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732" w:rsidRPr="0063657F" w:rsidRDefault="00F10732" w:rsidP="00F10732">
      <w:pPr>
        <w:pStyle w:val="ttCrest"/>
        <w:rPr>
          <w:sz w:val="19"/>
        </w:rPr>
      </w:pPr>
      <w:r w:rsidRPr="0063657F">
        <w:rPr>
          <w:noProof/>
          <w:lang w:eastAsia="en-AU"/>
        </w:rPr>
        <w:drawing>
          <wp:inline distT="0" distB="0" distL="0" distR="0">
            <wp:extent cx="1498600" cy="1101725"/>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F10732" w:rsidRPr="0063657F" w:rsidRDefault="00F10732" w:rsidP="00F10732">
      <w:pPr>
        <w:pStyle w:val="ShortT"/>
      </w:pPr>
      <w:r w:rsidRPr="0063657F">
        <w:t>National Greenhouse and Energy Reporting (Safeguard Mechanism) Rule 2015</w:t>
      </w:r>
    </w:p>
    <w:p w:rsidR="00F10732" w:rsidRPr="0063657F" w:rsidRDefault="00F10732" w:rsidP="00F10732">
      <w:pPr>
        <w:pStyle w:val="SignCoverPageStart"/>
        <w:rPr>
          <w:szCs w:val="22"/>
        </w:rPr>
      </w:pPr>
      <w:r w:rsidRPr="0063657F">
        <w:rPr>
          <w:szCs w:val="22"/>
        </w:rPr>
        <w:t>I, Greg Hunt, Minister for the Environment, make the following legislative rule.</w:t>
      </w:r>
    </w:p>
    <w:p w:rsidR="00F10732" w:rsidRDefault="00F10732" w:rsidP="00F10732">
      <w:pPr>
        <w:keepNext/>
        <w:spacing w:before="300" w:line="240" w:lineRule="atLeast"/>
        <w:ind w:right="397"/>
        <w:jc w:val="both"/>
        <w:rPr>
          <w:szCs w:val="22"/>
        </w:rPr>
      </w:pPr>
      <w:r w:rsidRPr="0063657F">
        <w:rPr>
          <w:szCs w:val="22"/>
        </w:rPr>
        <w:t>Dated</w:t>
      </w:r>
      <w:r w:rsidRPr="0063657F">
        <w:rPr>
          <w:szCs w:val="22"/>
        </w:rPr>
        <w:tab/>
      </w:r>
      <w:r w:rsidR="00FF5B94">
        <w:rPr>
          <w:szCs w:val="22"/>
        </w:rPr>
        <w:t>7 October</w:t>
      </w:r>
      <w:r w:rsidRPr="0063657F">
        <w:rPr>
          <w:szCs w:val="22"/>
        </w:rPr>
        <w:tab/>
      </w:r>
      <w:bookmarkStart w:id="0" w:name="BKCheck15B_1"/>
      <w:bookmarkEnd w:id="0"/>
      <w:r w:rsidRPr="0063657F">
        <w:rPr>
          <w:szCs w:val="22"/>
        </w:rPr>
        <w:t>2015</w:t>
      </w:r>
    </w:p>
    <w:p w:rsidR="00FF5B94" w:rsidRDefault="00FF5B94" w:rsidP="00F10732">
      <w:pPr>
        <w:keepNext/>
        <w:spacing w:before="300" w:line="240" w:lineRule="atLeast"/>
        <w:ind w:right="397"/>
        <w:jc w:val="both"/>
        <w:rPr>
          <w:szCs w:val="22"/>
        </w:rPr>
      </w:pPr>
    </w:p>
    <w:p w:rsidR="00FF5B94" w:rsidRPr="0063657F" w:rsidRDefault="00FF5B94" w:rsidP="00F10732">
      <w:pPr>
        <w:keepNext/>
        <w:spacing w:before="300" w:line="240" w:lineRule="atLeast"/>
        <w:ind w:right="397"/>
        <w:jc w:val="both"/>
        <w:rPr>
          <w:szCs w:val="22"/>
        </w:rPr>
      </w:pPr>
      <w:r>
        <w:rPr>
          <w:szCs w:val="22"/>
        </w:rPr>
        <w:t>GREG HUNT</w:t>
      </w:r>
    </w:p>
    <w:p w:rsidR="00F10732" w:rsidRPr="0063657F" w:rsidRDefault="00F10732" w:rsidP="00FF5B94">
      <w:pPr>
        <w:keepNext/>
        <w:tabs>
          <w:tab w:val="left" w:pos="3402"/>
        </w:tabs>
        <w:spacing w:before="1320" w:line="300" w:lineRule="atLeast"/>
        <w:ind w:right="397"/>
        <w:rPr>
          <w:szCs w:val="22"/>
        </w:rPr>
      </w:pPr>
      <w:r w:rsidRPr="0063657F">
        <w:rPr>
          <w:szCs w:val="22"/>
        </w:rPr>
        <w:t xml:space="preserve">Greg Hunt </w:t>
      </w:r>
    </w:p>
    <w:p w:rsidR="00F10732" w:rsidRPr="0063657F" w:rsidRDefault="00F10732" w:rsidP="00F10732">
      <w:pPr>
        <w:pStyle w:val="SignCoverPageEnd"/>
        <w:rPr>
          <w:szCs w:val="22"/>
        </w:rPr>
      </w:pPr>
      <w:r w:rsidRPr="0063657F">
        <w:rPr>
          <w:szCs w:val="22"/>
        </w:rPr>
        <w:t>Minister for the Environment</w:t>
      </w:r>
    </w:p>
    <w:p w:rsidR="00F10732" w:rsidRPr="0063657F" w:rsidRDefault="00F10732" w:rsidP="00F10732">
      <w:pPr>
        <w:spacing w:line="240" w:lineRule="auto"/>
      </w:pPr>
      <w:r w:rsidRPr="0063657F">
        <w:br w:type="page"/>
      </w:r>
    </w:p>
    <w:p w:rsidR="00F10732" w:rsidRPr="0063657F" w:rsidRDefault="00F10732" w:rsidP="00F10732"/>
    <w:p w:rsidR="00F10732" w:rsidRPr="0063657F" w:rsidRDefault="00F10732" w:rsidP="00F10732">
      <w:pPr>
        <w:pStyle w:val="Header"/>
        <w:tabs>
          <w:tab w:val="clear" w:pos="4150"/>
          <w:tab w:val="clear" w:pos="8307"/>
        </w:tabs>
      </w:pPr>
      <w:r w:rsidRPr="0063657F">
        <w:rPr>
          <w:rStyle w:val="CharChapNo"/>
        </w:rPr>
        <w:t xml:space="preserve"> </w:t>
      </w:r>
      <w:r w:rsidRPr="0063657F">
        <w:rPr>
          <w:rStyle w:val="CharChapText"/>
        </w:rPr>
        <w:t xml:space="preserve"> </w:t>
      </w:r>
    </w:p>
    <w:p w:rsidR="00F10732" w:rsidRPr="0063657F" w:rsidRDefault="00F10732" w:rsidP="00F10732">
      <w:pPr>
        <w:rPr>
          <w:sz w:val="36"/>
        </w:rPr>
      </w:pPr>
      <w:r w:rsidRPr="0063657F">
        <w:rPr>
          <w:sz w:val="36"/>
        </w:rPr>
        <w:t>Contents</w:t>
      </w:r>
    </w:p>
    <w:p w:rsidR="00433C3F" w:rsidRDefault="00433C3F">
      <w:pPr>
        <w:pStyle w:val="TOC2"/>
        <w:rPr>
          <w:rFonts w:asciiTheme="minorHAnsi" w:eastAsiaTheme="minorEastAsia" w:hAnsiTheme="minorHAnsi" w:cstheme="minorBidi"/>
          <w:b w:val="0"/>
          <w:noProof/>
          <w:kern w:val="0"/>
          <w:sz w:val="22"/>
          <w:szCs w:val="22"/>
        </w:rPr>
      </w:pPr>
      <w:bookmarkStart w:id="1" w:name="BKCheck15B_2"/>
      <w:bookmarkEnd w:id="1"/>
      <w:r>
        <w:rPr>
          <w:noProof/>
        </w:rPr>
        <w:t>Part 1 —Preliminary</w:t>
      </w:r>
      <w:r>
        <w:rPr>
          <w:noProof/>
        </w:rPr>
        <w:tab/>
      </w:r>
      <w:r w:rsidR="00F773E9">
        <w:rPr>
          <w:noProof/>
        </w:rPr>
        <w:t>5</w:t>
      </w:r>
    </w:p>
    <w:p w:rsidR="00433C3F" w:rsidRDefault="00433C3F">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sidR="00F773E9">
        <w:rPr>
          <w:noProof/>
        </w:rPr>
        <w:t>5</w:t>
      </w:r>
    </w:p>
    <w:p w:rsidR="00433C3F" w:rsidRDefault="00433C3F">
      <w:pPr>
        <w:pStyle w:val="TOC5"/>
        <w:rPr>
          <w:rFonts w:asciiTheme="minorHAnsi" w:eastAsiaTheme="minorEastAsia" w:hAnsiTheme="minorHAnsi" w:cstheme="minorBidi"/>
          <w:noProof/>
          <w:kern w:val="0"/>
          <w:sz w:val="22"/>
          <w:szCs w:val="22"/>
        </w:rPr>
      </w:pPr>
      <w:r>
        <w:rPr>
          <w:noProof/>
        </w:rPr>
        <w:t>2 Commencement</w:t>
      </w:r>
      <w:r>
        <w:rPr>
          <w:noProof/>
        </w:rPr>
        <w:tab/>
      </w:r>
      <w:r w:rsidR="00F773E9">
        <w:rPr>
          <w:noProof/>
        </w:rPr>
        <w:t>5</w:t>
      </w:r>
    </w:p>
    <w:p w:rsidR="00433C3F" w:rsidRDefault="00433C3F">
      <w:pPr>
        <w:pStyle w:val="TOC5"/>
        <w:rPr>
          <w:rFonts w:asciiTheme="minorHAnsi" w:eastAsiaTheme="minorEastAsia" w:hAnsiTheme="minorHAnsi" w:cstheme="minorBidi"/>
          <w:noProof/>
          <w:kern w:val="0"/>
          <w:sz w:val="22"/>
          <w:szCs w:val="22"/>
        </w:rPr>
      </w:pPr>
      <w:r>
        <w:rPr>
          <w:noProof/>
        </w:rPr>
        <w:t>3 Authority</w:t>
      </w:r>
      <w:r>
        <w:rPr>
          <w:noProof/>
        </w:rPr>
        <w:tab/>
      </w:r>
      <w:r w:rsidR="00F773E9">
        <w:rPr>
          <w:noProof/>
        </w:rPr>
        <w:t>5</w:t>
      </w:r>
    </w:p>
    <w:p w:rsidR="00433C3F" w:rsidRDefault="00433C3F">
      <w:pPr>
        <w:pStyle w:val="TOC5"/>
        <w:rPr>
          <w:rFonts w:asciiTheme="minorHAnsi" w:eastAsiaTheme="minorEastAsia" w:hAnsiTheme="minorHAnsi" w:cstheme="minorBidi"/>
          <w:noProof/>
          <w:kern w:val="0"/>
          <w:sz w:val="22"/>
          <w:szCs w:val="22"/>
        </w:rPr>
      </w:pPr>
      <w:r>
        <w:rPr>
          <w:noProof/>
        </w:rPr>
        <w:t>4 Definitions</w:t>
      </w:r>
      <w:r>
        <w:rPr>
          <w:noProof/>
        </w:rPr>
        <w:tab/>
      </w:r>
      <w:r w:rsidR="00F773E9">
        <w:rPr>
          <w:noProof/>
        </w:rPr>
        <w:t>5</w:t>
      </w:r>
    </w:p>
    <w:p w:rsidR="00433C3F" w:rsidRDefault="00433C3F">
      <w:pPr>
        <w:pStyle w:val="TOC5"/>
        <w:rPr>
          <w:rFonts w:asciiTheme="minorHAnsi" w:eastAsiaTheme="minorEastAsia" w:hAnsiTheme="minorHAnsi" w:cstheme="minorBidi"/>
          <w:noProof/>
          <w:kern w:val="0"/>
          <w:sz w:val="22"/>
          <w:szCs w:val="22"/>
        </w:rPr>
      </w:pPr>
      <w:r>
        <w:rPr>
          <w:noProof/>
        </w:rPr>
        <w:t>5 Identification of production variables</w:t>
      </w:r>
      <w:r>
        <w:rPr>
          <w:noProof/>
        </w:rPr>
        <w:tab/>
      </w:r>
      <w:r w:rsidR="00F773E9">
        <w:rPr>
          <w:noProof/>
        </w:rPr>
        <w:t>10</w:t>
      </w:r>
    </w:p>
    <w:p w:rsidR="00433C3F" w:rsidRDefault="00433C3F">
      <w:pPr>
        <w:pStyle w:val="TOC5"/>
        <w:rPr>
          <w:rFonts w:asciiTheme="minorHAnsi" w:eastAsiaTheme="minorEastAsia" w:hAnsiTheme="minorHAnsi" w:cstheme="minorBidi"/>
          <w:noProof/>
          <w:kern w:val="0"/>
          <w:sz w:val="22"/>
          <w:szCs w:val="22"/>
        </w:rPr>
      </w:pPr>
      <w:r>
        <w:rPr>
          <w:noProof/>
        </w:rPr>
        <w:t>6 Emissions-intensity calculation criteria</w:t>
      </w:r>
      <w:r>
        <w:rPr>
          <w:noProof/>
        </w:rPr>
        <w:tab/>
      </w:r>
      <w:r w:rsidR="00F773E9">
        <w:rPr>
          <w:noProof/>
        </w:rPr>
        <w:t>13</w:t>
      </w:r>
    </w:p>
    <w:p w:rsidR="00433C3F" w:rsidRDefault="00433C3F">
      <w:pPr>
        <w:pStyle w:val="TOC2"/>
        <w:rPr>
          <w:rFonts w:asciiTheme="minorHAnsi" w:eastAsiaTheme="minorEastAsia" w:hAnsiTheme="minorHAnsi" w:cstheme="minorBidi"/>
          <w:b w:val="0"/>
          <w:noProof/>
          <w:kern w:val="0"/>
          <w:sz w:val="22"/>
          <w:szCs w:val="22"/>
        </w:rPr>
      </w:pPr>
      <w:r>
        <w:rPr>
          <w:noProof/>
        </w:rPr>
        <w:t>Part 2 —Coverage</w:t>
      </w:r>
      <w:r>
        <w:rPr>
          <w:noProof/>
        </w:rPr>
        <w:tab/>
      </w:r>
      <w:r w:rsidR="00F773E9">
        <w:rPr>
          <w:noProof/>
        </w:rPr>
        <w:t>15</w:t>
      </w:r>
    </w:p>
    <w:p w:rsidR="00433C3F" w:rsidRDefault="00433C3F">
      <w:pPr>
        <w:pStyle w:val="TOC5"/>
        <w:rPr>
          <w:rFonts w:asciiTheme="minorHAnsi" w:eastAsiaTheme="minorEastAsia" w:hAnsiTheme="minorHAnsi" w:cstheme="minorBidi"/>
          <w:noProof/>
          <w:kern w:val="0"/>
          <w:sz w:val="22"/>
          <w:szCs w:val="22"/>
        </w:rPr>
      </w:pPr>
      <w:r>
        <w:rPr>
          <w:noProof/>
        </w:rPr>
        <w:t>7 Covered emissions</w:t>
      </w:r>
      <w:r>
        <w:rPr>
          <w:noProof/>
        </w:rPr>
        <w:tab/>
      </w:r>
      <w:r w:rsidR="00F773E9">
        <w:rPr>
          <w:noProof/>
        </w:rPr>
        <w:t>15</w:t>
      </w:r>
    </w:p>
    <w:p w:rsidR="00433C3F" w:rsidRDefault="00433C3F">
      <w:pPr>
        <w:pStyle w:val="TOC5"/>
        <w:rPr>
          <w:rFonts w:asciiTheme="minorHAnsi" w:eastAsiaTheme="minorEastAsia" w:hAnsiTheme="minorHAnsi" w:cstheme="minorBidi"/>
          <w:noProof/>
          <w:kern w:val="0"/>
          <w:sz w:val="22"/>
          <w:szCs w:val="22"/>
        </w:rPr>
      </w:pPr>
      <w:r>
        <w:rPr>
          <w:noProof/>
        </w:rPr>
        <w:t>8 Designated large facility threshold</w:t>
      </w:r>
      <w:r>
        <w:rPr>
          <w:noProof/>
        </w:rPr>
        <w:tab/>
      </w:r>
      <w:r w:rsidR="00F773E9">
        <w:rPr>
          <w:noProof/>
        </w:rPr>
        <w:t>15</w:t>
      </w:r>
    </w:p>
    <w:p w:rsidR="00433C3F" w:rsidRDefault="00433C3F">
      <w:pPr>
        <w:pStyle w:val="TOC2"/>
        <w:rPr>
          <w:rFonts w:asciiTheme="minorHAnsi" w:eastAsiaTheme="minorEastAsia" w:hAnsiTheme="minorHAnsi" w:cstheme="minorBidi"/>
          <w:b w:val="0"/>
          <w:noProof/>
          <w:kern w:val="0"/>
          <w:sz w:val="22"/>
          <w:szCs w:val="22"/>
        </w:rPr>
      </w:pPr>
      <w:r>
        <w:rPr>
          <w:noProof/>
        </w:rPr>
        <w:t>Part 3 —Baselines</w:t>
      </w:r>
      <w:r>
        <w:rPr>
          <w:noProof/>
        </w:rPr>
        <w:tab/>
      </w:r>
      <w:r w:rsidR="00F773E9">
        <w:rPr>
          <w:noProof/>
        </w:rPr>
        <w:t>16</w:t>
      </w:r>
    </w:p>
    <w:p w:rsidR="00433C3F" w:rsidRDefault="00433C3F">
      <w:pPr>
        <w:pStyle w:val="TOC3"/>
        <w:rPr>
          <w:rFonts w:asciiTheme="minorHAnsi" w:eastAsiaTheme="minorEastAsia" w:hAnsiTheme="minorHAnsi" w:cstheme="minorBidi"/>
          <w:b w:val="0"/>
          <w:noProof/>
          <w:kern w:val="0"/>
          <w:szCs w:val="22"/>
        </w:rPr>
      </w:pPr>
      <w:r>
        <w:rPr>
          <w:noProof/>
        </w:rPr>
        <w:t>Division 1 —Baseline emissions number</w:t>
      </w:r>
      <w:r>
        <w:rPr>
          <w:noProof/>
        </w:rPr>
        <w:tab/>
      </w:r>
      <w:r w:rsidR="00F773E9">
        <w:rPr>
          <w:noProof/>
        </w:rPr>
        <w:t>16</w:t>
      </w:r>
    </w:p>
    <w:p w:rsidR="00433C3F" w:rsidRDefault="00433C3F">
      <w:pPr>
        <w:pStyle w:val="TOC5"/>
        <w:rPr>
          <w:rFonts w:asciiTheme="minorHAnsi" w:eastAsiaTheme="minorEastAsia" w:hAnsiTheme="minorHAnsi" w:cstheme="minorBidi"/>
          <w:noProof/>
          <w:kern w:val="0"/>
          <w:sz w:val="22"/>
          <w:szCs w:val="22"/>
        </w:rPr>
      </w:pPr>
      <w:r>
        <w:rPr>
          <w:noProof/>
        </w:rPr>
        <w:t>9 Operation of this Division</w:t>
      </w:r>
      <w:r>
        <w:rPr>
          <w:noProof/>
        </w:rPr>
        <w:tab/>
      </w:r>
      <w:r w:rsidR="00F773E9">
        <w:rPr>
          <w:noProof/>
        </w:rPr>
        <w:t>16</w:t>
      </w:r>
    </w:p>
    <w:p w:rsidR="00433C3F" w:rsidRDefault="00433C3F">
      <w:pPr>
        <w:pStyle w:val="TOC5"/>
        <w:rPr>
          <w:rFonts w:asciiTheme="minorHAnsi" w:eastAsiaTheme="minorEastAsia" w:hAnsiTheme="minorHAnsi" w:cstheme="minorBidi"/>
          <w:noProof/>
          <w:kern w:val="0"/>
          <w:sz w:val="22"/>
          <w:szCs w:val="22"/>
        </w:rPr>
      </w:pPr>
      <w:r>
        <w:rPr>
          <w:noProof/>
        </w:rPr>
        <w:t>10 Baseline emissions number</w:t>
      </w:r>
      <w:r>
        <w:rPr>
          <w:noProof/>
        </w:rPr>
        <w:tab/>
      </w:r>
      <w:r w:rsidR="00F773E9">
        <w:rPr>
          <w:noProof/>
        </w:rPr>
        <w:t>16</w:t>
      </w:r>
    </w:p>
    <w:p w:rsidR="00433C3F" w:rsidRDefault="00433C3F">
      <w:pPr>
        <w:pStyle w:val="TOC3"/>
        <w:rPr>
          <w:rFonts w:asciiTheme="minorHAnsi" w:eastAsiaTheme="minorEastAsia" w:hAnsiTheme="minorHAnsi" w:cstheme="minorBidi"/>
          <w:b w:val="0"/>
          <w:noProof/>
          <w:kern w:val="0"/>
          <w:szCs w:val="22"/>
        </w:rPr>
      </w:pPr>
      <w:r>
        <w:rPr>
          <w:noProof/>
        </w:rPr>
        <w:t>Division 2 —Baseline determinations</w:t>
      </w:r>
      <w:r>
        <w:rPr>
          <w:noProof/>
        </w:rPr>
        <w:tab/>
      </w:r>
      <w:r w:rsidR="00F773E9">
        <w:rPr>
          <w:noProof/>
        </w:rPr>
        <w:t>16</w:t>
      </w:r>
    </w:p>
    <w:p w:rsidR="00433C3F" w:rsidRDefault="00433C3F">
      <w:pPr>
        <w:pStyle w:val="TOC4"/>
        <w:rPr>
          <w:rFonts w:asciiTheme="minorHAnsi" w:eastAsiaTheme="minorEastAsia" w:hAnsiTheme="minorHAnsi" w:cstheme="minorBidi"/>
          <w:b w:val="0"/>
          <w:noProof/>
          <w:kern w:val="0"/>
          <w:sz w:val="22"/>
          <w:szCs w:val="22"/>
        </w:rPr>
      </w:pPr>
      <w:r>
        <w:rPr>
          <w:noProof/>
        </w:rPr>
        <w:t>Subdivision 1 —Preliminary</w:t>
      </w:r>
      <w:r>
        <w:rPr>
          <w:noProof/>
        </w:rPr>
        <w:tab/>
      </w:r>
      <w:r w:rsidR="00F773E9">
        <w:rPr>
          <w:noProof/>
        </w:rPr>
        <w:t>16</w:t>
      </w:r>
    </w:p>
    <w:p w:rsidR="00433C3F" w:rsidRDefault="00433C3F">
      <w:pPr>
        <w:pStyle w:val="TOC5"/>
        <w:rPr>
          <w:rFonts w:asciiTheme="minorHAnsi" w:eastAsiaTheme="minorEastAsia" w:hAnsiTheme="minorHAnsi" w:cstheme="minorBidi"/>
          <w:noProof/>
          <w:kern w:val="0"/>
          <w:sz w:val="22"/>
          <w:szCs w:val="22"/>
        </w:rPr>
      </w:pPr>
      <w:r>
        <w:rPr>
          <w:noProof/>
        </w:rPr>
        <w:t>11 Operation of this Division</w:t>
      </w:r>
      <w:r>
        <w:rPr>
          <w:noProof/>
        </w:rPr>
        <w:tab/>
      </w:r>
      <w:r w:rsidR="00F773E9">
        <w:rPr>
          <w:noProof/>
        </w:rPr>
        <w:t>16</w:t>
      </w:r>
    </w:p>
    <w:p w:rsidR="00433C3F" w:rsidRDefault="00433C3F">
      <w:pPr>
        <w:pStyle w:val="TOC5"/>
        <w:rPr>
          <w:rFonts w:asciiTheme="minorHAnsi" w:eastAsiaTheme="minorEastAsia" w:hAnsiTheme="minorHAnsi" w:cstheme="minorBidi"/>
          <w:noProof/>
          <w:kern w:val="0"/>
          <w:sz w:val="22"/>
          <w:szCs w:val="22"/>
        </w:rPr>
      </w:pPr>
      <w:r>
        <w:rPr>
          <w:noProof/>
        </w:rPr>
        <w:t>12 Minimum baseline emissions number</w:t>
      </w:r>
      <w:r>
        <w:rPr>
          <w:noProof/>
        </w:rPr>
        <w:tab/>
      </w:r>
      <w:r w:rsidR="00F773E9">
        <w:rPr>
          <w:noProof/>
        </w:rPr>
        <w:t>16</w:t>
      </w:r>
    </w:p>
    <w:p w:rsidR="00433C3F" w:rsidRDefault="00433C3F">
      <w:pPr>
        <w:pStyle w:val="TOC5"/>
        <w:rPr>
          <w:rFonts w:asciiTheme="minorHAnsi" w:eastAsiaTheme="minorEastAsia" w:hAnsiTheme="minorHAnsi" w:cstheme="minorBidi"/>
          <w:noProof/>
          <w:kern w:val="0"/>
          <w:sz w:val="22"/>
          <w:szCs w:val="22"/>
        </w:rPr>
      </w:pPr>
      <w:r>
        <w:rPr>
          <w:noProof/>
        </w:rPr>
        <w:t>13 References to covered emissions</w:t>
      </w:r>
      <w:r>
        <w:rPr>
          <w:noProof/>
        </w:rPr>
        <w:tab/>
      </w:r>
      <w:r w:rsidR="00F773E9">
        <w:rPr>
          <w:noProof/>
        </w:rPr>
        <w:t>16</w:t>
      </w:r>
    </w:p>
    <w:p w:rsidR="00433C3F" w:rsidRDefault="00433C3F">
      <w:pPr>
        <w:pStyle w:val="TOC4"/>
        <w:rPr>
          <w:rFonts w:asciiTheme="minorHAnsi" w:eastAsiaTheme="minorEastAsia" w:hAnsiTheme="minorHAnsi" w:cstheme="minorBidi"/>
          <w:b w:val="0"/>
          <w:noProof/>
          <w:kern w:val="0"/>
          <w:sz w:val="22"/>
          <w:szCs w:val="22"/>
        </w:rPr>
      </w:pPr>
      <w:r>
        <w:rPr>
          <w:noProof/>
        </w:rPr>
        <w:t>Subdivision 2 —Reported-emissions baseline determinations</w:t>
      </w:r>
      <w:r>
        <w:rPr>
          <w:noProof/>
        </w:rPr>
        <w:tab/>
      </w:r>
      <w:r w:rsidR="00F773E9">
        <w:rPr>
          <w:noProof/>
        </w:rPr>
        <w:t>16</w:t>
      </w:r>
    </w:p>
    <w:p w:rsidR="00433C3F" w:rsidRDefault="00433C3F">
      <w:pPr>
        <w:pStyle w:val="TOC5"/>
        <w:rPr>
          <w:rFonts w:asciiTheme="minorHAnsi" w:eastAsiaTheme="minorEastAsia" w:hAnsiTheme="minorHAnsi" w:cstheme="minorBidi"/>
          <w:noProof/>
          <w:kern w:val="0"/>
          <w:sz w:val="22"/>
          <w:szCs w:val="22"/>
        </w:rPr>
      </w:pPr>
      <w:r>
        <w:rPr>
          <w:noProof/>
        </w:rPr>
        <w:t>14 Reported-emissions baseline determinations</w:t>
      </w:r>
      <w:r>
        <w:rPr>
          <w:noProof/>
        </w:rPr>
        <w:tab/>
      </w:r>
      <w:r w:rsidR="00F773E9">
        <w:rPr>
          <w:noProof/>
        </w:rPr>
        <w:t>16</w:t>
      </w:r>
    </w:p>
    <w:p w:rsidR="00433C3F" w:rsidRDefault="00433C3F">
      <w:pPr>
        <w:pStyle w:val="TOC5"/>
        <w:rPr>
          <w:rFonts w:asciiTheme="minorHAnsi" w:eastAsiaTheme="minorEastAsia" w:hAnsiTheme="minorHAnsi" w:cstheme="minorBidi"/>
          <w:noProof/>
          <w:kern w:val="0"/>
          <w:sz w:val="22"/>
          <w:szCs w:val="22"/>
        </w:rPr>
      </w:pPr>
      <w:r>
        <w:rPr>
          <w:noProof/>
        </w:rPr>
        <w:t>15 Further information</w:t>
      </w:r>
      <w:r>
        <w:rPr>
          <w:noProof/>
        </w:rPr>
        <w:tab/>
      </w:r>
      <w:r w:rsidR="00F773E9">
        <w:rPr>
          <w:noProof/>
        </w:rPr>
        <w:t>17</w:t>
      </w:r>
    </w:p>
    <w:p w:rsidR="00433C3F" w:rsidRDefault="00433C3F">
      <w:pPr>
        <w:pStyle w:val="TOC5"/>
        <w:rPr>
          <w:rFonts w:asciiTheme="minorHAnsi" w:eastAsiaTheme="minorEastAsia" w:hAnsiTheme="minorHAnsi" w:cstheme="minorBidi"/>
          <w:noProof/>
          <w:kern w:val="0"/>
          <w:sz w:val="22"/>
          <w:szCs w:val="22"/>
        </w:rPr>
      </w:pPr>
      <w:r>
        <w:rPr>
          <w:noProof/>
        </w:rPr>
        <w:t>16 Process for making a reported-emissions baseline determination</w:t>
      </w:r>
      <w:r>
        <w:rPr>
          <w:noProof/>
        </w:rPr>
        <w:tab/>
      </w:r>
      <w:r w:rsidR="00F773E9">
        <w:rPr>
          <w:noProof/>
        </w:rPr>
        <w:t>18</w:t>
      </w:r>
    </w:p>
    <w:p w:rsidR="00433C3F" w:rsidRDefault="00433C3F">
      <w:pPr>
        <w:pStyle w:val="TOC5"/>
        <w:rPr>
          <w:rFonts w:asciiTheme="minorHAnsi" w:eastAsiaTheme="minorEastAsia" w:hAnsiTheme="minorHAnsi" w:cstheme="minorBidi"/>
          <w:noProof/>
          <w:kern w:val="0"/>
          <w:sz w:val="22"/>
          <w:szCs w:val="22"/>
        </w:rPr>
      </w:pPr>
      <w:r>
        <w:rPr>
          <w:noProof/>
        </w:rPr>
        <w:t>17 Determining the baseline emissions number</w:t>
      </w:r>
      <w:r>
        <w:rPr>
          <w:noProof/>
        </w:rPr>
        <w:tab/>
      </w:r>
      <w:r w:rsidR="00F773E9">
        <w:rPr>
          <w:noProof/>
        </w:rPr>
        <w:t>18</w:t>
      </w:r>
    </w:p>
    <w:p w:rsidR="00433C3F" w:rsidRDefault="00433C3F">
      <w:pPr>
        <w:pStyle w:val="TOC5"/>
        <w:rPr>
          <w:rFonts w:asciiTheme="minorHAnsi" w:eastAsiaTheme="minorEastAsia" w:hAnsiTheme="minorHAnsi" w:cstheme="minorBidi"/>
          <w:noProof/>
          <w:kern w:val="0"/>
          <w:sz w:val="22"/>
          <w:szCs w:val="22"/>
        </w:rPr>
      </w:pPr>
      <w:r>
        <w:rPr>
          <w:noProof/>
        </w:rPr>
        <w:t>18 Duration of reported-emissions baseline determination</w:t>
      </w:r>
      <w:r>
        <w:rPr>
          <w:noProof/>
        </w:rPr>
        <w:tab/>
      </w:r>
      <w:r w:rsidR="00F773E9">
        <w:rPr>
          <w:noProof/>
        </w:rPr>
        <w:t>20</w:t>
      </w:r>
    </w:p>
    <w:p w:rsidR="00433C3F" w:rsidRDefault="00433C3F">
      <w:pPr>
        <w:pStyle w:val="TOC5"/>
        <w:rPr>
          <w:rFonts w:asciiTheme="minorHAnsi" w:eastAsiaTheme="minorEastAsia" w:hAnsiTheme="minorHAnsi" w:cstheme="minorBidi"/>
          <w:noProof/>
          <w:kern w:val="0"/>
          <w:sz w:val="22"/>
          <w:szCs w:val="22"/>
        </w:rPr>
      </w:pPr>
      <w:r>
        <w:rPr>
          <w:noProof/>
        </w:rPr>
        <w:t>19 Variation of reported-emissions baseline determination because of reporting error or changes in activities</w:t>
      </w:r>
      <w:r>
        <w:rPr>
          <w:noProof/>
        </w:rPr>
        <w:tab/>
      </w:r>
      <w:r w:rsidR="00F773E9">
        <w:rPr>
          <w:noProof/>
        </w:rPr>
        <w:t>21</w:t>
      </w:r>
    </w:p>
    <w:p w:rsidR="00433C3F" w:rsidRDefault="00433C3F">
      <w:pPr>
        <w:pStyle w:val="TOC5"/>
        <w:rPr>
          <w:rFonts w:asciiTheme="minorHAnsi" w:eastAsiaTheme="minorEastAsia" w:hAnsiTheme="minorHAnsi" w:cstheme="minorBidi"/>
          <w:noProof/>
          <w:kern w:val="0"/>
          <w:sz w:val="22"/>
          <w:szCs w:val="22"/>
        </w:rPr>
      </w:pPr>
      <w:r>
        <w:rPr>
          <w:noProof/>
        </w:rPr>
        <w:t>20 Variation of transport reported-emissions baseline determination where calculated-emissions baseline determination or benchmark-emissions baseline determination incorporated</w:t>
      </w:r>
      <w:r>
        <w:rPr>
          <w:noProof/>
        </w:rPr>
        <w:tab/>
      </w:r>
      <w:r w:rsidR="00F773E9">
        <w:rPr>
          <w:noProof/>
        </w:rPr>
        <w:t>21</w:t>
      </w:r>
    </w:p>
    <w:p w:rsidR="00433C3F" w:rsidRDefault="00433C3F">
      <w:pPr>
        <w:pStyle w:val="TOC5"/>
        <w:rPr>
          <w:rFonts w:asciiTheme="minorHAnsi" w:eastAsiaTheme="minorEastAsia" w:hAnsiTheme="minorHAnsi" w:cstheme="minorBidi"/>
          <w:noProof/>
          <w:kern w:val="0"/>
          <w:sz w:val="22"/>
          <w:szCs w:val="22"/>
        </w:rPr>
      </w:pPr>
      <w:r>
        <w:rPr>
          <w:noProof/>
        </w:rPr>
        <w:t>21 Further information</w:t>
      </w:r>
      <w:r>
        <w:rPr>
          <w:noProof/>
        </w:rPr>
        <w:tab/>
      </w:r>
      <w:r w:rsidR="00F773E9">
        <w:rPr>
          <w:noProof/>
        </w:rPr>
        <w:t>23</w:t>
      </w:r>
    </w:p>
    <w:p w:rsidR="00433C3F" w:rsidRDefault="00433C3F">
      <w:pPr>
        <w:pStyle w:val="TOC4"/>
        <w:rPr>
          <w:rFonts w:asciiTheme="minorHAnsi" w:eastAsiaTheme="minorEastAsia" w:hAnsiTheme="minorHAnsi" w:cstheme="minorBidi"/>
          <w:b w:val="0"/>
          <w:noProof/>
          <w:kern w:val="0"/>
          <w:sz w:val="22"/>
          <w:szCs w:val="22"/>
        </w:rPr>
      </w:pPr>
      <w:r>
        <w:rPr>
          <w:noProof/>
        </w:rPr>
        <w:t>Subdivision 3 —Calculated-emissions baseline determination</w:t>
      </w:r>
      <w:r>
        <w:rPr>
          <w:noProof/>
        </w:rPr>
        <w:tab/>
      </w:r>
      <w:r w:rsidR="00F773E9">
        <w:rPr>
          <w:noProof/>
        </w:rPr>
        <w:t>23</w:t>
      </w:r>
    </w:p>
    <w:p w:rsidR="00433C3F" w:rsidRDefault="00433C3F">
      <w:pPr>
        <w:pStyle w:val="TOC5"/>
        <w:rPr>
          <w:rFonts w:asciiTheme="minorHAnsi" w:eastAsiaTheme="minorEastAsia" w:hAnsiTheme="minorHAnsi" w:cstheme="minorBidi"/>
          <w:noProof/>
          <w:kern w:val="0"/>
          <w:sz w:val="22"/>
          <w:szCs w:val="22"/>
        </w:rPr>
      </w:pPr>
      <w:r>
        <w:rPr>
          <w:noProof/>
        </w:rPr>
        <w:t>22 Application</w:t>
      </w:r>
      <w:r>
        <w:rPr>
          <w:noProof/>
        </w:rPr>
        <w:tab/>
      </w:r>
      <w:r w:rsidR="00F773E9">
        <w:rPr>
          <w:noProof/>
        </w:rPr>
        <w:t>23</w:t>
      </w:r>
    </w:p>
    <w:p w:rsidR="00433C3F" w:rsidRDefault="00433C3F">
      <w:pPr>
        <w:pStyle w:val="TOC5"/>
        <w:rPr>
          <w:rFonts w:asciiTheme="minorHAnsi" w:eastAsiaTheme="minorEastAsia" w:hAnsiTheme="minorHAnsi" w:cstheme="minorBidi"/>
          <w:noProof/>
          <w:kern w:val="0"/>
          <w:sz w:val="22"/>
          <w:szCs w:val="22"/>
        </w:rPr>
      </w:pPr>
      <w:r>
        <w:rPr>
          <w:noProof/>
        </w:rPr>
        <w:t>23 New facility criteria</w:t>
      </w:r>
      <w:r>
        <w:rPr>
          <w:noProof/>
        </w:rPr>
        <w:tab/>
      </w:r>
      <w:r w:rsidR="00F773E9">
        <w:rPr>
          <w:noProof/>
        </w:rPr>
        <w:t>24</w:t>
      </w:r>
    </w:p>
    <w:p w:rsidR="00433C3F" w:rsidRDefault="00433C3F">
      <w:pPr>
        <w:pStyle w:val="TOC5"/>
        <w:rPr>
          <w:rFonts w:asciiTheme="minorHAnsi" w:eastAsiaTheme="minorEastAsia" w:hAnsiTheme="minorHAnsi" w:cstheme="minorBidi"/>
          <w:noProof/>
          <w:kern w:val="0"/>
          <w:sz w:val="22"/>
          <w:szCs w:val="22"/>
        </w:rPr>
      </w:pPr>
      <w:r>
        <w:rPr>
          <w:noProof/>
        </w:rPr>
        <w:t>24 Significant expansion criteria</w:t>
      </w:r>
      <w:r>
        <w:rPr>
          <w:noProof/>
        </w:rPr>
        <w:tab/>
      </w:r>
      <w:r w:rsidR="00F773E9">
        <w:rPr>
          <w:noProof/>
        </w:rPr>
        <w:t>24</w:t>
      </w:r>
    </w:p>
    <w:p w:rsidR="00433C3F" w:rsidRDefault="00433C3F">
      <w:pPr>
        <w:pStyle w:val="TOC5"/>
        <w:rPr>
          <w:rFonts w:asciiTheme="minorHAnsi" w:eastAsiaTheme="minorEastAsia" w:hAnsiTheme="minorHAnsi" w:cstheme="minorBidi"/>
          <w:noProof/>
          <w:kern w:val="0"/>
          <w:sz w:val="22"/>
          <w:szCs w:val="22"/>
        </w:rPr>
      </w:pPr>
      <w:r>
        <w:rPr>
          <w:noProof/>
        </w:rPr>
        <w:t>25 Inherent emissions variability criteria</w:t>
      </w:r>
      <w:r>
        <w:rPr>
          <w:noProof/>
        </w:rPr>
        <w:tab/>
      </w:r>
      <w:r w:rsidR="00F773E9">
        <w:rPr>
          <w:noProof/>
        </w:rPr>
        <w:t>26</w:t>
      </w:r>
    </w:p>
    <w:p w:rsidR="00433C3F" w:rsidRDefault="00433C3F">
      <w:pPr>
        <w:pStyle w:val="TOC5"/>
        <w:rPr>
          <w:rFonts w:asciiTheme="minorHAnsi" w:eastAsiaTheme="minorEastAsia" w:hAnsiTheme="minorHAnsi" w:cstheme="minorBidi"/>
          <w:noProof/>
          <w:kern w:val="0"/>
          <w:sz w:val="22"/>
          <w:szCs w:val="22"/>
        </w:rPr>
      </w:pPr>
      <w:r>
        <w:rPr>
          <w:noProof/>
        </w:rPr>
        <w:t>26  Initial calculated baseline criteria</w:t>
      </w:r>
      <w:r>
        <w:rPr>
          <w:noProof/>
        </w:rPr>
        <w:tab/>
      </w:r>
      <w:r w:rsidR="00F773E9">
        <w:rPr>
          <w:noProof/>
        </w:rPr>
        <w:t>27</w:t>
      </w:r>
    </w:p>
    <w:p w:rsidR="00433C3F" w:rsidRDefault="00433C3F">
      <w:pPr>
        <w:pStyle w:val="TOC5"/>
        <w:rPr>
          <w:rFonts w:asciiTheme="minorHAnsi" w:eastAsiaTheme="minorEastAsia" w:hAnsiTheme="minorHAnsi" w:cstheme="minorBidi"/>
          <w:noProof/>
          <w:kern w:val="0"/>
          <w:sz w:val="22"/>
          <w:szCs w:val="22"/>
        </w:rPr>
      </w:pPr>
      <w:r>
        <w:rPr>
          <w:noProof/>
        </w:rPr>
        <w:t>27 Information required in applications</w:t>
      </w:r>
      <w:r>
        <w:rPr>
          <w:noProof/>
        </w:rPr>
        <w:tab/>
      </w:r>
      <w:r w:rsidR="00F773E9">
        <w:rPr>
          <w:noProof/>
        </w:rPr>
        <w:t>27</w:t>
      </w:r>
    </w:p>
    <w:p w:rsidR="00433C3F" w:rsidRDefault="00433C3F">
      <w:pPr>
        <w:pStyle w:val="TOC5"/>
        <w:rPr>
          <w:rFonts w:asciiTheme="minorHAnsi" w:eastAsiaTheme="minorEastAsia" w:hAnsiTheme="minorHAnsi" w:cstheme="minorBidi"/>
          <w:noProof/>
          <w:kern w:val="0"/>
          <w:sz w:val="22"/>
          <w:szCs w:val="22"/>
        </w:rPr>
      </w:pPr>
      <w:r>
        <w:rPr>
          <w:noProof/>
        </w:rPr>
        <w:t>28 Audit reports</w:t>
      </w:r>
      <w:r>
        <w:rPr>
          <w:noProof/>
        </w:rPr>
        <w:tab/>
      </w:r>
      <w:r w:rsidR="00F773E9">
        <w:rPr>
          <w:noProof/>
        </w:rPr>
        <w:t>28</w:t>
      </w:r>
    </w:p>
    <w:p w:rsidR="00433C3F" w:rsidRDefault="00433C3F">
      <w:pPr>
        <w:pStyle w:val="TOC5"/>
        <w:rPr>
          <w:rFonts w:asciiTheme="minorHAnsi" w:eastAsiaTheme="minorEastAsia" w:hAnsiTheme="minorHAnsi" w:cstheme="minorBidi"/>
          <w:noProof/>
          <w:kern w:val="0"/>
          <w:sz w:val="22"/>
          <w:szCs w:val="22"/>
        </w:rPr>
      </w:pPr>
      <w:r>
        <w:rPr>
          <w:noProof/>
        </w:rPr>
        <w:t>29 Further information</w:t>
      </w:r>
      <w:r>
        <w:rPr>
          <w:noProof/>
        </w:rPr>
        <w:tab/>
      </w:r>
      <w:r w:rsidR="00F773E9">
        <w:rPr>
          <w:noProof/>
        </w:rPr>
        <w:t>29</w:t>
      </w:r>
    </w:p>
    <w:p w:rsidR="00433C3F" w:rsidRDefault="00433C3F">
      <w:pPr>
        <w:pStyle w:val="TOC5"/>
        <w:rPr>
          <w:rFonts w:asciiTheme="minorHAnsi" w:eastAsiaTheme="minorEastAsia" w:hAnsiTheme="minorHAnsi" w:cstheme="minorBidi"/>
          <w:noProof/>
          <w:kern w:val="0"/>
          <w:sz w:val="22"/>
          <w:szCs w:val="22"/>
        </w:rPr>
      </w:pPr>
      <w:r>
        <w:rPr>
          <w:noProof/>
        </w:rPr>
        <w:t>30 Making of calculated-emissions baseline determination</w:t>
      </w:r>
      <w:r>
        <w:rPr>
          <w:noProof/>
        </w:rPr>
        <w:tab/>
      </w:r>
      <w:r w:rsidR="00F773E9">
        <w:rPr>
          <w:noProof/>
        </w:rPr>
        <w:t>29</w:t>
      </w:r>
    </w:p>
    <w:p w:rsidR="00433C3F" w:rsidRDefault="00433C3F">
      <w:pPr>
        <w:pStyle w:val="TOC5"/>
        <w:rPr>
          <w:rFonts w:asciiTheme="minorHAnsi" w:eastAsiaTheme="minorEastAsia" w:hAnsiTheme="minorHAnsi" w:cstheme="minorBidi"/>
          <w:noProof/>
          <w:kern w:val="0"/>
          <w:sz w:val="22"/>
          <w:szCs w:val="22"/>
        </w:rPr>
      </w:pPr>
      <w:r>
        <w:rPr>
          <w:noProof/>
        </w:rPr>
        <w:t>31 Duration of calculated-emissions baseline determination</w:t>
      </w:r>
      <w:r>
        <w:rPr>
          <w:noProof/>
        </w:rPr>
        <w:tab/>
      </w:r>
      <w:r w:rsidR="00F773E9">
        <w:rPr>
          <w:noProof/>
        </w:rPr>
        <w:t>31</w:t>
      </w:r>
    </w:p>
    <w:p w:rsidR="00433C3F" w:rsidRDefault="00433C3F">
      <w:pPr>
        <w:pStyle w:val="TOC4"/>
        <w:rPr>
          <w:rFonts w:asciiTheme="minorHAnsi" w:eastAsiaTheme="minorEastAsia" w:hAnsiTheme="minorHAnsi" w:cstheme="minorBidi"/>
          <w:b w:val="0"/>
          <w:noProof/>
          <w:kern w:val="0"/>
          <w:sz w:val="22"/>
          <w:szCs w:val="22"/>
        </w:rPr>
      </w:pPr>
      <w:r>
        <w:rPr>
          <w:noProof/>
        </w:rPr>
        <w:t>Subdivision 4 —Benchmark-emissions baseline determination</w:t>
      </w:r>
      <w:r>
        <w:rPr>
          <w:noProof/>
        </w:rPr>
        <w:tab/>
      </w:r>
      <w:r w:rsidR="00F773E9">
        <w:rPr>
          <w:noProof/>
        </w:rPr>
        <w:t>31</w:t>
      </w:r>
    </w:p>
    <w:p w:rsidR="00433C3F" w:rsidRDefault="00433C3F">
      <w:pPr>
        <w:pStyle w:val="TOC5"/>
        <w:rPr>
          <w:rFonts w:asciiTheme="minorHAnsi" w:eastAsiaTheme="minorEastAsia" w:hAnsiTheme="minorHAnsi" w:cstheme="minorBidi"/>
          <w:noProof/>
          <w:kern w:val="0"/>
          <w:sz w:val="22"/>
          <w:szCs w:val="22"/>
        </w:rPr>
      </w:pPr>
      <w:r>
        <w:rPr>
          <w:noProof/>
        </w:rPr>
        <w:t>32 Application</w:t>
      </w:r>
      <w:r>
        <w:rPr>
          <w:noProof/>
        </w:rPr>
        <w:tab/>
      </w:r>
      <w:r w:rsidR="00F773E9">
        <w:rPr>
          <w:noProof/>
        </w:rPr>
        <w:t>31</w:t>
      </w:r>
    </w:p>
    <w:p w:rsidR="00433C3F" w:rsidRDefault="00433C3F">
      <w:pPr>
        <w:pStyle w:val="TOC5"/>
        <w:rPr>
          <w:rFonts w:asciiTheme="minorHAnsi" w:eastAsiaTheme="minorEastAsia" w:hAnsiTheme="minorHAnsi" w:cstheme="minorBidi"/>
          <w:noProof/>
          <w:kern w:val="0"/>
          <w:sz w:val="22"/>
          <w:szCs w:val="22"/>
        </w:rPr>
      </w:pPr>
      <w:r>
        <w:rPr>
          <w:noProof/>
        </w:rPr>
        <w:t>33 New facility criteria</w:t>
      </w:r>
      <w:r>
        <w:rPr>
          <w:noProof/>
        </w:rPr>
        <w:tab/>
      </w:r>
      <w:r w:rsidR="00F773E9">
        <w:rPr>
          <w:noProof/>
        </w:rPr>
        <w:t>32</w:t>
      </w:r>
    </w:p>
    <w:p w:rsidR="00433C3F" w:rsidRDefault="00433C3F">
      <w:pPr>
        <w:pStyle w:val="TOC5"/>
        <w:rPr>
          <w:rFonts w:asciiTheme="minorHAnsi" w:eastAsiaTheme="minorEastAsia" w:hAnsiTheme="minorHAnsi" w:cstheme="minorBidi"/>
          <w:noProof/>
          <w:kern w:val="0"/>
          <w:sz w:val="22"/>
          <w:szCs w:val="22"/>
        </w:rPr>
      </w:pPr>
      <w:r>
        <w:rPr>
          <w:noProof/>
        </w:rPr>
        <w:t>34 Significant expansion criteria</w:t>
      </w:r>
      <w:r>
        <w:rPr>
          <w:noProof/>
        </w:rPr>
        <w:tab/>
      </w:r>
      <w:r w:rsidR="00F773E9">
        <w:rPr>
          <w:noProof/>
        </w:rPr>
        <w:t>33</w:t>
      </w:r>
    </w:p>
    <w:p w:rsidR="00433C3F" w:rsidRDefault="00433C3F">
      <w:pPr>
        <w:pStyle w:val="TOC5"/>
        <w:rPr>
          <w:rFonts w:asciiTheme="minorHAnsi" w:eastAsiaTheme="minorEastAsia" w:hAnsiTheme="minorHAnsi" w:cstheme="minorBidi"/>
          <w:noProof/>
          <w:kern w:val="0"/>
          <w:sz w:val="22"/>
          <w:szCs w:val="22"/>
        </w:rPr>
      </w:pPr>
      <w:r>
        <w:rPr>
          <w:noProof/>
        </w:rPr>
        <w:t>35 Information required in applications</w:t>
      </w:r>
      <w:r>
        <w:rPr>
          <w:noProof/>
        </w:rPr>
        <w:tab/>
      </w:r>
      <w:r w:rsidR="00F773E9">
        <w:rPr>
          <w:noProof/>
        </w:rPr>
        <w:t>34</w:t>
      </w:r>
    </w:p>
    <w:p w:rsidR="00433C3F" w:rsidRDefault="00433C3F">
      <w:pPr>
        <w:pStyle w:val="TOC5"/>
        <w:rPr>
          <w:rFonts w:asciiTheme="minorHAnsi" w:eastAsiaTheme="minorEastAsia" w:hAnsiTheme="minorHAnsi" w:cstheme="minorBidi"/>
          <w:noProof/>
          <w:kern w:val="0"/>
          <w:sz w:val="22"/>
          <w:szCs w:val="22"/>
        </w:rPr>
      </w:pPr>
      <w:r>
        <w:rPr>
          <w:noProof/>
        </w:rPr>
        <w:t>36 Audit reports</w:t>
      </w:r>
      <w:r>
        <w:rPr>
          <w:noProof/>
        </w:rPr>
        <w:tab/>
      </w:r>
      <w:r w:rsidR="00F773E9">
        <w:rPr>
          <w:noProof/>
        </w:rPr>
        <w:t>35</w:t>
      </w:r>
    </w:p>
    <w:p w:rsidR="00433C3F" w:rsidRDefault="00433C3F">
      <w:pPr>
        <w:pStyle w:val="TOC5"/>
        <w:rPr>
          <w:rFonts w:asciiTheme="minorHAnsi" w:eastAsiaTheme="minorEastAsia" w:hAnsiTheme="minorHAnsi" w:cstheme="minorBidi"/>
          <w:noProof/>
          <w:kern w:val="0"/>
          <w:sz w:val="22"/>
          <w:szCs w:val="22"/>
        </w:rPr>
      </w:pPr>
      <w:r>
        <w:rPr>
          <w:noProof/>
        </w:rPr>
        <w:t>37 Further information</w:t>
      </w:r>
      <w:r>
        <w:rPr>
          <w:noProof/>
        </w:rPr>
        <w:tab/>
      </w:r>
      <w:r w:rsidR="00F773E9">
        <w:rPr>
          <w:noProof/>
        </w:rPr>
        <w:t>36</w:t>
      </w:r>
    </w:p>
    <w:p w:rsidR="00433C3F" w:rsidRDefault="00433C3F">
      <w:pPr>
        <w:pStyle w:val="TOC5"/>
        <w:rPr>
          <w:rFonts w:asciiTheme="minorHAnsi" w:eastAsiaTheme="minorEastAsia" w:hAnsiTheme="minorHAnsi" w:cstheme="minorBidi"/>
          <w:noProof/>
          <w:kern w:val="0"/>
          <w:sz w:val="22"/>
          <w:szCs w:val="22"/>
        </w:rPr>
      </w:pPr>
      <w:r>
        <w:rPr>
          <w:noProof/>
        </w:rPr>
        <w:t>38 Making of benchmark-emissions baseline determination</w:t>
      </w:r>
      <w:r>
        <w:rPr>
          <w:noProof/>
        </w:rPr>
        <w:tab/>
      </w:r>
      <w:r w:rsidR="00F773E9">
        <w:rPr>
          <w:noProof/>
        </w:rPr>
        <w:t>37</w:t>
      </w:r>
    </w:p>
    <w:p w:rsidR="00433C3F" w:rsidRDefault="00433C3F">
      <w:pPr>
        <w:pStyle w:val="TOC5"/>
        <w:rPr>
          <w:rFonts w:asciiTheme="minorHAnsi" w:eastAsiaTheme="minorEastAsia" w:hAnsiTheme="minorHAnsi" w:cstheme="minorBidi"/>
          <w:noProof/>
          <w:kern w:val="0"/>
          <w:sz w:val="22"/>
          <w:szCs w:val="22"/>
        </w:rPr>
      </w:pPr>
      <w:r>
        <w:rPr>
          <w:noProof/>
        </w:rPr>
        <w:lastRenderedPageBreak/>
        <w:t>39 Duration of benchmark-emissions baseline determination</w:t>
      </w:r>
      <w:r>
        <w:rPr>
          <w:noProof/>
        </w:rPr>
        <w:tab/>
      </w:r>
      <w:r w:rsidR="00F773E9">
        <w:rPr>
          <w:noProof/>
        </w:rPr>
        <w:t>38</w:t>
      </w:r>
    </w:p>
    <w:p w:rsidR="00433C3F" w:rsidRDefault="00433C3F">
      <w:pPr>
        <w:pStyle w:val="TOC4"/>
        <w:rPr>
          <w:rFonts w:asciiTheme="minorHAnsi" w:eastAsiaTheme="minorEastAsia" w:hAnsiTheme="minorHAnsi" w:cstheme="minorBidi"/>
          <w:b w:val="0"/>
          <w:noProof/>
          <w:kern w:val="0"/>
          <w:sz w:val="22"/>
          <w:szCs w:val="22"/>
        </w:rPr>
      </w:pPr>
      <w:r>
        <w:rPr>
          <w:noProof/>
        </w:rPr>
        <w:t>Subdivision 5 —Production-adjusted baseline determination</w:t>
      </w:r>
      <w:r>
        <w:rPr>
          <w:noProof/>
        </w:rPr>
        <w:tab/>
      </w:r>
      <w:r w:rsidR="00F773E9">
        <w:rPr>
          <w:noProof/>
        </w:rPr>
        <w:t>38</w:t>
      </w:r>
    </w:p>
    <w:p w:rsidR="00433C3F" w:rsidRDefault="00433C3F">
      <w:pPr>
        <w:pStyle w:val="TOC5"/>
        <w:rPr>
          <w:rFonts w:asciiTheme="minorHAnsi" w:eastAsiaTheme="minorEastAsia" w:hAnsiTheme="minorHAnsi" w:cstheme="minorBidi"/>
          <w:noProof/>
          <w:kern w:val="0"/>
          <w:sz w:val="22"/>
          <w:szCs w:val="22"/>
        </w:rPr>
      </w:pPr>
      <w:r>
        <w:rPr>
          <w:noProof/>
        </w:rPr>
        <w:t>40 Application</w:t>
      </w:r>
      <w:r>
        <w:rPr>
          <w:noProof/>
        </w:rPr>
        <w:tab/>
      </w:r>
      <w:r w:rsidR="00F773E9">
        <w:rPr>
          <w:noProof/>
        </w:rPr>
        <w:t>38</w:t>
      </w:r>
    </w:p>
    <w:p w:rsidR="00433C3F" w:rsidRDefault="00433C3F">
      <w:pPr>
        <w:pStyle w:val="TOC5"/>
        <w:rPr>
          <w:rFonts w:asciiTheme="minorHAnsi" w:eastAsiaTheme="minorEastAsia" w:hAnsiTheme="minorHAnsi" w:cstheme="minorBidi"/>
          <w:noProof/>
          <w:kern w:val="0"/>
          <w:sz w:val="22"/>
          <w:szCs w:val="22"/>
        </w:rPr>
      </w:pPr>
      <w:r>
        <w:rPr>
          <w:noProof/>
        </w:rPr>
        <w:t>41 Information required in applications</w:t>
      </w:r>
      <w:r>
        <w:rPr>
          <w:noProof/>
        </w:rPr>
        <w:tab/>
      </w:r>
      <w:r w:rsidR="00F773E9">
        <w:rPr>
          <w:noProof/>
        </w:rPr>
        <w:t>39</w:t>
      </w:r>
    </w:p>
    <w:p w:rsidR="00433C3F" w:rsidRDefault="00433C3F">
      <w:pPr>
        <w:pStyle w:val="TOC5"/>
        <w:rPr>
          <w:rFonts w:asciiTheme="minorHAnsi" w:eastAsiaTheme="minorEastAsia" w:hAnsiTheme="minorHAnsi" w:cstheme="minorBidi"/>
          <w:noProof/>
          <w:kern w:val="0"/>
          <w:sz w:val="22"/>
          <w:szCs w:val="22"/>
        </w:rPr>
      </w:pPr>
      <w:r>
        <w:rPr>
          <w:noProof/>
        </w:rPr>
        <w:t>42 Audit reports</w:t>
      </w:r>
      <w:r>
        <w:rPr>
          <w:noProof/>
        </w:rPr>
        <w:tab/>
      </w:r>
      <w:r w:rsidR="00F773E9">
        <w:rPr>
          <w:noProof/>
        </w:rPr>
        <w:t>40</w:t>
      </w:r>
    </w:p>
    <w:p w:rsidR="00433C3F" w:rsidRDefault="00433C3F">
      <w:pPr>
        <w:pStyle w:val="TOC5"/>
        <w:rPr>
          <w:rFonts w:asciiTheme="minorHAnsi" w:eastAsiaTheme="minorEastAsia" w:hAnsiTheme="minorHAnsi" w:cstheme="minorBidi"/>
          <w:noProof/>
          <w:kern w:val="0"/>
          <w:sz w:val="22"/>
          <w:szCs w:val="22"/>
        </w:rPr>
      </w:pPr>
      <w:r>
        <w:rPr>
          <w:noProof/>
        </w:rPr>
        <w:t>43 Further information</w:t>
      </w:r>
      <w:r>
        <w:rPr>
          <w:noProof/>
        </w:rPr>
        <w:tab/>
      </w:r>
      <w:r w:rsidR="00F773E9">
        <w:rPr>
          <w:noProof/>
        </w:rPr>
        <w:t>41</w:t>
      </w:r>
    </w:p>
    <w:p w:rsidR="00433C3F" w:rsidRDefault="00433C3F">
      <w:pPr>
        <w:pStyle w:val="TOC5"/>
        <w:rPr>
          <w:rFonts w:asciiTheme="minorHAnsi" w:eastAsiaTheme="minorEastAsia" w:hAnsiTheme="minorHAnsi" w:cstheme="minorBidi"/>
          <w:noProof/>
          <w:kern w:val="0"/>
          <w:sz w:val="22"/>
          <w:szCs w:val="22"/>
        </w:rPr>
      </w:pPr>
      <w:r>
        <w:rPr>
          <w:noProof/>
        </w:rPr>
        <w:t>44 Making of production-adjusted baseline determination</w:t>
      </w:r>
      <w:r>
        <w:rPr>
          <w:noProof/>
        </w:rPr>
        <w:tab/>
      </w:r>
      <w:r w:rsidR="00F773E9">
        <w:rPr>
          <w:noProof/>
        </w:rPr>
        <w:t>41</w:t>
      </w:r>
    </w:p>
    <w:p w:rsidR="00433C3F" w:rsidRDefault="00433C3F">
      <w:pPr>
        <w:pStyle w:val="TOC5"/>
        <w:rPr>
          <w:rFonts w:asciiTheme="minorHAnsi" w:eastAsiaTheme="minorEastAsia" w:hAnsiTheme="minorHAnsi" w:cstheme="minorBidi"/>
          <w:noProof/>
          <w:kern w:val="0"/>
          <w:sz w:val="22"/>
          <w:szCs w:val="22"/>
        </w:rPr>
      </w:pPr>
      <w:r>
        <w:rPr>
          <w:noProof/>
        </w:rPr>
        <w:t>45 Duration of production-adjusted baseline determination</w:t>
      </w:r>
      <w:r>
        <w:rPr>
          <w:noProof/>
        </w:rPr>
        <w:tab/>
      </w:r>
      <w:r w:rsidR="00F773E9">
        <w:rPr>
          <w:noProof/>
        </w:rPr>
        <w:t>43</w:t>
      </w:r>
    </w:p>
    <w:p w:rsidR="00433C3F" w:rsidRDefault="00433C3F">
      <w:pPr>
        <w:pStyle w:val="TOC4"/>
        <w:rPr>
          <w:rFonts w:asciiTheme="minorHAnsi" w:eastAsiaTheme="minorEastAsia" w:hAnsiTheme="minorHAnsi" w:cstheme="minorBidi"/>
          <w:b w:val="0"/>
          <w:noProof/>
          <w:kern w:val="0"/>
          <w:sz w:val="22"/>
          <w:szCs w:val="22"/>
        </w:rPr>
      </w:pPr>
      <w:r>
        <w:rPr>
          <w:noProof/>
        </w:rPr>
        <w:t>Subdivision 6 — Variation of baseline determination for reduction in emissions intensity</w:t>
      </w:r>
      <w:r>
        <w:rPr>
          <w:noProof/>
        </w:rPr>
        <w:tab/>
      </w:r>
      <w:r w:rsidR="00F773E9">
        <w:rPr>
          <w:noProof/>
        </w:rPr>
        <w:t>43</w:t>
      </w:r>
    </w:p>
    <w:p w:rsidR="00433C3F" w:rsidRDefault="00433C3F">
      <w:pPr>
        <w:pStyle w:val="TOC5"/>
        <w:rPr>
          <w:rFonts w:asciiTheme="minorHAnsi" w:eastAsiaTheme="minorEastAsia" w:hAnsiTheme="minorHAnsi" w:cstheme="minorBidi"/>
          <w:noProof/>
          <w:kern w:val="0"/>
          <w:sz w:val="22"/>
          <w:szCs w:val="22"/>
        </w:rPr>
      </w:pPr>
      <w:r>
        <w:rPr>
          <w:noProof/>
        </w:rPr>
        <w:t>46 Application</w:t>
      </w:r>
      <w:r>
        <w:rPr>
          <w:noProof/>
        </w:rPr>
        <w:tab/>
      </w:r>
      <w:r w:rsidR="00F773E9">
        <w:rPr>
          <w:noProof/>
        </w:rPr>
        <w:t>43</w:t>
      </w:r>
    </w:p>
    <w:p w:rsidR="00433C3F" w:rsidRDefault="00433C3F">
      <w:pPr>
        <w:pStyle w:val="TOC5"/>
        <w:rPr>
          <w:rFonts w:asciiTheme="minorHAnsi" w:eastAsiaTheme="minorEastAsia" w:hAnsiTheme="minorHAnsi" w:cstheme="minorBidi"/>
          <w:noProof/>
          <w:kern w:val="0"/>
          <w:sz w:val="22"/>
          <w:szCs w:val="22"/>
        </w:rPr>
      </w:pPr>
      <w:r>
        <w:rPr>
          <w:noProof/>
        </w:rPr>
        <w:t>47 Emissions intensity test</w:t>
      </w:r>
      <w:r>
        <w:rPr>
          <w:noProof/>
        </w:rPr>
        <w:tab/>
      </w:r>
      <w:r w:rsidR="00F773E9">
        <w:rPr>
          <w:noProof/>
        </w:rPr>
        <w:t>44</w:t>
      </w:r>
    </w:p>
    <w:p w:rsidR="00433C3F" w:rsidRDefault="00433C3F">
      <w:pPr>
        <w:pStyle w:val="TOC5"/>
        <w:rPr>
          <w:rFonts w:asciiTheme="minorHAnsi" w:eastAsiaTheme="minorEastAsia" w:hAnsiTheme="minorHAnsi" w:cstheme="minorBidi"/>
          <w:noProof/>
          <w:kern w:val="0"/>
          <w:sz w:val="22"/>
          <w:szCs w:val="22"/>
        </w:rPr>
      </w:pPr>
      <w:r>
        <w:rPr>
          <w:noProof/>
        </w:rPr>
        <w:t>48 Information to accompany applications</w:t>
      </w:r>
      <w:r>
        <w:rPr>
          <w:noProof/>
        </w:rPr>
        <w:tab/>
      </w:r>
      <w:r w:rsidR="00F773E9">
        <w:rPr>
          <w:noProof/>
        </w:rPr>
        <w:t>46</w:t>
      </w:r>
    </w:p>
    <w:p w:rsidR="00433C3F" w:rsidRDefault="00433C3F">
      <w:pPr>
        <w:pStyle w:val="TOC5"/>
        <w:rPr>
          <w:rFonts w:asciiTheme="minorHAnsi" w:eastAsiaTheme="minorEastAsia" w:hAnsiTheme="minorHAnsi" w:cstheme="minorBidi"/>
          <w:noProof/>
          <w:kern w:val="0"/>
          <w:sz w:val="22"/>
          <w:szCs w:val="22"/>
        </w:rPr>
      </w:pPr>
      <w:r>
        <w:rPr>
          <w:noProof/>
        </w:rPr>
        <w:t>49 Audit reports</w:t>
      </w:r>
      <w:r>
        <w:rPr>
          <w:noProof/>
        </w:rPr>
        <w:tab/>
      </w:r>
      <w:r w:rsidR="00F773E9">
        <w:rPr>
          <w:noProof/>
        </w:rPr>
        <w:t>47</w:t>
      </w:r>
    </w:p>
    <w:p w:rsidR="00433C3F" w:rsidRDefault="00433C3F">
      <w:pPr>
        <w:pStyle w:val="TOC5"/>
        <w:rPr>
          <w:rFonts w:asciiTheme="minorHAnsi" w:eastAsiaTheme="minorEastAsia" w:hAnsiTheme="minorHAnsi" w:cstheme="minorBidi"/>
          <w:noProof/>
          <w:kern w:val="0"/>
          <w:sz w:val="22"/>
          <w:szCs w:val="22"/>
        </w:rPr>
      </w:pPr>
      <w:r>
        <w:rPr>
          <w:noProof/>
        </w:rPr>
        <w:t>50 Further information</w:t>
      </w:r>
      <w:r>
        <w:rPr>
          <w:noProof/>
        </w:rPr>
        <w:tab/>
      </w:r>
      <w:r w:rsidR="00F773E9">
        <w:rPr>
          <w:noProof/>
        </w:rPr>
        <w:t>47</w:t>
      </w:r>
    </w:p>
    <w:p w:rsidR="00433C3F" w:rsidRDefault="00433C3F">
      <w:pPr>
        <w:pStyle w:val="TOC5"/>
        <w:rPr>
          <w:rFonts w:asciiTheme="minorHAnsi" w:eastAsiaTheme="minorEastAsia" w:hAnsiTheme="minorHAnsi" w:cstheme="minorBidi"/>
          <w:noProof/>
          <w:kern w:val="0"/>
          <w:sz w:val="22"/>
          <w:szCs w:val="22"/>
        </w:rPr>
      </w:pPr>
      <w:r>
        <w:rPr>
          <w:noProof/>
        </w:rPr>
        <w:t>51 Variation of baseline determination</w:t>
      </w:r>
      <w:r>
        <w:rPr>
          <w:noProof/>
        </w:rPr>
        <w:tab/>
      </w:r>
      <w:r w:rsidR="00F773E9">
        <w:rPr>
          <w:noProof/>
        </w:rPr>
        <w:t>48</w:t>
      </w:r>
    </w:p>
    <w:p w:rsidR="00433C3F" w:rsidRDefault="00433C3F">
      <w:pPr>
        <w:pStyle w:val="TOC4"/>
        <w:rPr>
          <w:rFonts w:asciiTheme="minorHAnsi" w:eastAsiaTheme="minorEastAsia" w:hAnsiTheme="minorHAnsi" w:cstheme="minorBidi"/>
          <w:b w:val="0"/>
          <w:noProof/>
          <w:kern w:val="0"/>
          <w:sz w:val="22"/>
          <w:szCs w:val="22"/>
        </w:rPr>
      </w:pPr>
      <w:r>
        <w:rPr>
          <w:noProof/>
        </w:rPr>
        <w:t>Subdivision 7 —Landfill-benchmark baseline determination</w:t>
      </w:r>
      <w:r>
        <w:rPr>
          <w:noProof/>
        </w:rPr>
        <w:tab/>
      </w:r>
      <w:r w:rsidR="00F773E9">
        <w:rPr>
          <w:noProof/>
        </w:rPr>
        <w:t>49</w:t>
      </w:r>
    </w:p>
    <w:p w:rsidR="00433C3F" w:rsidRDefault="00433C3F">
      <w:pPr>
        <w:pStyle w:val="TOC5"/>
        <w:rPr>
          <w:rFonts w:asciiTheme="minorHAnsi" w:eastAsiaTheme="minorEastAsia" w:hAnsiTheme="minorHAnsi" w:cstheme="minorBidi"/>
          <w:noProof/>
          <w:kern w:val="0"/>
          <w:sz w:val="22"/>
          <w:szCs w:val="22"/>
        </w:rPr>
      </w:pPr>
      <w:r>
        <w:rPr>
          <w:noProof/>
        </w:rPr>
        <w:t>52 Application</w:t>
      </w:r>
      <w:r>
        <w:rPr>
          <w:noProof/>
        </w:rPr>
        <w:tab/>
      </w:r>
      <w:r w:rsidR="00F773E9">
        <w:rPr>
          <w:noProof/>
        </w:rPr>
        <w:t>49</w:t>
      </w:r>
    </w:p>
    <w:p w:rsidR="00433C3F" w:rsidRDefault="00433C3F">
      <w:pPr>
        <w:pStyle w:val="TOC5"/>
        <w:rPr>
          <w:rFonts w:asciiTheme="minorHAnsi" w:eastAsiaTheme="minorEastAsia" w:hAnsiTheme="minorHAnsi" w:cstheme="minorBidi"/>
          <w:noProof/>
          <w:kern w:val="0"/>
          <w:sz w:val="22"/>
          <w:szCs w:val="22"/>
        </w:rPr>
      </w:pPr>
      <w:r>
        <w:rPr>
          <w:noProof/>
        </w:rPr>
        <w:t>53 Further information</w:t>
      </w:r>
      <w:r>
        <w:rPr>
          <w:noProof/>
        </w:rPr>
        <w:tab/>
      </w:r>
      <w:r w:rsidR="00F773E9">
        <w:rPr>
          <w:noProof/>
        </w:rPr>
        <w:t>49</w:t>
      </w:r>
    </w:p>
    <w:p w:rsidR="00433C3F" w:rsidRDefault="00433C3F">
      <w:pPr>
        <w:pStyle w:val="TOC5"/>
        <w:rPr>
          <w:rFonts w:asciiTheme="minorHAnsi" w:eastAsiaTheme="minorEastAsia" w:hAnsiTheme="minorHAnsi" w:cstheme="minorBidi"/>
          <w:noProof/>
          <w:kern w:val="0"/>
          <w:sz w:val="22"/>
          <w:szCs w:val="22"/>
        </w:rPr>
      </w:pPr>
      <w:r>
        <w:rPr>
          <w:noProof/>
        </w:rPr>
        <w:t>54 Making of landfill-benchmark baseline determination</w:t>
      </w:r>
      <w:r>
        <w:rPr>
          <w:noProof/>
        </w:rPr>
        <w:tab/>
      </w:r>
      <w:r w:rsidR="00F773E9">
        <w:rPr>
          <w:noProof/>
        </w:rPr>
        <w:t>49</w:t>
      </w:r>
    </w:p>
    <w:p w:rsidR="00433C3F" w:rsidRDefault="00433C3F">
      <w:pPr>
        <w:pStyle w:val="TOC5"/>
        <w:rPr>
          <w:rFonts w:asciiTheme="minorHAnsi" w:eastAsiaTheme="minorEastAsia" w:hAnsiTheme="minorHAnsi" w:cstheme="minorBidi"/>
          <w:noProof/>
          <w:kern w:val="0"/>
          <w:sz w:val="22"/>
          <w:szCs w:val="22"/>
        </w:rPr>
      </w:pPr>
      <w:r>
        <w:rPr>
          <w:noProof/>
        </w:rPr>
        <w:t>55 Duration of landfill-benchmark baseline determination</w:t>
      </w:r>
      <w:r>
        <w:rPr>
          <w:noProof/>
        </w:rPr>
        <w:tab/>
      </w:r>
      <w:r w:rsidR="00F773E9">
        <w:rPr>
          <w:noProof/>
        </w:rPr>
        <w:t>50</w:t>
      </w:r>
    </w:p>
    <w:p w:rsidR="00433C3F" w:rsidRDefault="00433C3F">
      <w:pPr>
        <w:pStyle w:val="TOC4"/>
        <w:rPr>
          <w:rFonts w:asciiTheme="minorHAnsi" w:eastAsiaTheme="minorEastAsia" w:hAnsiTheme="minorHAnsi" w:cstheme="minorBidi"/>
          <w:b w:val="0"/>
          <w:noProof/>
          <w:kern w:val="0"/>
          <w:sz w:val="22"/>
          <w:szCs w:val="22"/>
        </w:rPr>
      </w:pPr>
      <w:r>
        <w:rPr>
          <w:noProof/>
        </w:rPr>
        <w:t>Subdivision 8 —General variation and remaking of baseline determinations</w:t>
      </w:r>
      <w:r>
        <w:rPr>
          <w:noProof/>
        </w:rPr>
        <w:tab/>
      </w:r>
      <w:r w:rsidR="00F773E9">
        <w:rPr>
          <w:noProof/>
        </w:rPr>
        <w:t>51</w:t>
      </w:r>
    </w:p>
    <w:p w:rsidR="00433C3F" w:rsidRDefault="00433C3F">
      <w:pPr>
        <w:pStyle w:val="TOC5"/>
        <w:rPr>
          <w:rFonts w:asciiTheme="minorHAnsi" w:eastAsiaTheme="minorEastAsia" w:hAnsiTheme="minorHAnsi" w:cstheme="minorBidi"/>
          <w:noProof/>
          <w:kern w:val="0"/>
          <w:sz w:val="22"/>
          <w:szCs w:val="22"/>
        </w:rPr>
      </w:pPr>
      <w:r>
        <w:rPr>
          <w:noProof/>
        </w:rPr>
        <w:t>56 Variation relating to changes in carbon dioxide equivalence</w:t>
      </w:r>
      <w:r>
        <w:rPr>
          <w:noProof/>
        </w:rPr>
        <w:tab/>
      </w:r>
      <w:r w:rsidR="00F773E9">
        <w:rPr>
          <w:noProof/>
        </w:rPr>
        <w:t>51</w:t>
      </w:r>
    </w:p>
    <w:p w:rsidR="00433C3F" w:rsidRDefault="00433C3F">
      <w:pPr>
        <w:pStyle w:val="TOC5"/>
        <w:rPr>
          <w:rFonts w:asciiTheme="minorHAnsi" w:eastAsiaTheme="minorEastAsia" w:hAnsiTheme="minorHAnsi" w:cstheme="minorBidi"/>
          <w:noProof/>
          <w:kern w:val="0"/>
          <w:sz w:val="22"/>
          <w:szCs w:val="22"/>
        </w:rPr>
      </w:pPr>
      <w:r>
        <w:rPr>
          <w:noProof/>
        </w:rPr>
        <w:t>57 Remaking of baseline determinations because of error</w:t>
      </w:r>
      <w:r>
        <w:rPr>
          <w:noProof/>
        </w:rPr>
        <w:tab/>
      </w:r>
      <w:r w:rsidR="00F773E9">
        <w:rPr>
          <w:noProof/>
        </w:rPr>
        <w:t>52</w:t>
      </w:r>
    </w:p>
    <w:p w:rsidR="00433C3F" w:rsidRDefault="00433C3F">
      <w:pPr>
        <w:pStyle w:val="TOC5"/>
        <w:rPr>
          <w:rFonts w:asciiTheme="minorHAnsi" w:eastAsiaTheme="minorEastAsia" w:hAnsiTheme="minorHAnsi" w:cstheme="minorBidi"/>
          <w:noProof/>
          <w:kern w:val="0"/>
          <w:sz w:val="22"/>
          <w:szCs w:val="22"/>
        </w:rPr>
      </w:pPr>
      <w:r>
        <w:rPr>
          <w:noProof/>
        </w:rPr>
        <w:t>58 Further information</w:t>
      </w:r>
      <w:r>
        <w:rPr>
          <w:noProof/>
        </w:rPr>
        <w:tab/>
      </w:r>
      <w:r w:rsidR="00F773E9">
        <w:rPr>
          <w:noProof/>
        </w:rPr>
        <w:t>53</w:t>
      </w:r>
    </w:p>
    <w:p w:rsidR="00433C3F" w:rsidRDefault="00433C3F">
      <w:pPr>
        <w:pStyle w:val="TOC2"/>
        <w:rPr>
          <w:rFonts w:asciiTheme="minorHAnsi" w:eastAsiaTheme="minorEastAsia" w:hAnsiTheme="minorHAnsi" w:cstheme="minorBidi"/>
          <w:b w:val="0"/>
          <w:noProof/>
          <w:kern w:val="0"/>
          <w:sz w:val="22"/>
          <w:szCs w:val="22"/>
        </w:rPr>
      </w:pPr>
      <w:r>
        <w:rPr>
          <w:noProof/>
        </w:rPr>
        <w:t>Part 4 —Compliance</w:t>
      </w:r>
      <w:r>
        <w:rPr>
          <w:noProof/>
        </w:rPr>
        <w:tab/>
      </w:r>
      <w:r w:rsidR="00F773E9">
        <w:rPr>
          <w:noProof/>
        </w:rPr>
        <w:t>54</w:t>
      </w:r>
    </w:p>
    <w:p w:rsidR="00433C3F" w:rsidRDefault="00433C3F">
      <w:pPr>
        <w:pStyle w:val="TOC3"/>
        <w:rPr>
          <w:rFonts w:asciiTheme="minorHAnsi" w:eastAsiaTheme="minorEastAsia" w:hAnsiTheme="minorHAnsi" w:cstheme="minorBidi"/>
          <w:b w:val="0"/>
          <w:noProof/>
          <w:kern w:val="0"/>
          <w:szCs w:val="22"/>
        </w:rPr>
      </w:pPr>
      <w:r>
        <w:rPr>
          <w:noProof/>
        </w:rPr>
        <w:t>Division 1 —Exemption declarations</w:t>
      </w:r>
      <w:r>
        <w:rPr>
          <w:noProof/>
        </w:rPr>
        <w:tab/>
      </w:r>
      <w:r w:rsidR="00F773E9">
        <w:rPr>
          <w:noProof/>
        </w:rPr>
        <w:t>54</w:t>
      </w:r>
    </w:p>
    <w:p w:rsidR="00433C3F" w:rsidRDefault="00433C3F">
      <w:pPr>
        <w:pStyle w:val="TOC5"/>
        <w:rPr>
          <w:rFonts w:asciiTheme="minorHAnsi" w:eastAsiaTheme="minorEastAsia" w:hAnsiTheme="minorHAnsi" w:cstheme="minorBidi"/>
          <w:noProof/>
          <w:kern w:val="0"/>
          <w:sz w:val="22"/>
          <w:szCs w:val="22"/>
        </w:rPr>
      </w:pPr>
      <w:r>
        <w:rPr>
          <w:noProof/>
        </w:rPr>
        <w:t>59 Operation of this Division</w:t>
      </w:r>
      <w:r>
        <w:rPr>
          <w:noProof/>
        </w:rPr>
        <w:tab/>
      </w:r>
      <w:r w:rsidR="00F773E9">
        <w:rPr>
          <w:noProof/>
        </w:rPr>
        <w:t>54</w:t>
      </w:r>
    </w:p>
    <w:p w:rsidR="00433C3F" w:rsidRDefault="00433C3F">
      <w:pPr>
        <w:pStyle w:val="TOC5"/>
        <w:rPr>
          <w:rFonts w:asciiTheme="minorHAnsi" w:eastAsiaTheme="minorEastAsia" w:hAnsiTheme="minorHAnsi" w:cstheme="minorBidi"/>
          <w:noProof/>
          <w:kern w:val="0"/>
          <w:sz w:val="22"/>
          <w:szCs w:val="22"/>
        </w:rPr>
      </w:pPr>
      <w:r>
        <w:rPr>
          <w:noProof/>
        </w:rPr>
        <w:t>60 Application</w:t>
      </w:r>
      <w:r>
        <w:rPr>
          <w:noProof/>
        </w:rPr>
        <w:tab/>
      </w:r>
      <w:r w:rsidR="00F773E9">
        <w:rPr>
          <w:noProof/>
        </w:rPr>
        <w:t>54</w:t>
      </w:r>
    </w:p>
    <w:p w:rsidR="00433C3F" w:rsidRDefault="00433C3F">
      <w:pPr>
        <w:pStyle w:val="TOC5"/>
        <w:rPr>
          <w:rFonts w:asciiTheme="minorHAnsi" w:eastAsiaTheme="minorEastAsia" w:hAnsiTheme="minorHAnsi" w:cstheme="minorBidi"/>
          <w:noProof/>
          <w:kern w:val="0"/>
          <w:sz w:val="22"/>
          <w:szCs w:val="22"/>
        </w:rPr>
      </w:pPr>
      <w:r>
        <w:rPr>
          <w:noProof/>
        </w:rPr>
        <w:t>61 Further information</w:t>
      </w:r>
      <w:r>
        <w:rPr>
          <w:noProof/>
        </w:rPr>
        <w:tab/>
      </w:r>
      <w:r w:rsidR="00F773E9">
        <w:rPr>
          <w:noProof/>
        </w:rPr>
        <w:t>54</w:t>
      </w:r>
    </w:p>
    <w:p w:rsidR="00433C3F" w:rsidRDefault="00433C3F">
      <w:pPr>
        <w:pStyle w:val="TOC5"/>
        <w:rPr>
          <w:rFonts w:asciiTheme="minorHAnsi" w:eastAsiaTheme="minorEastAsia" w:hAnsiTheme="minorHAnsi" w:cstheme="minorBidi"/>
          <w:noProof/>
          <w:kern w:val="0"/>
          <w:sz w:val="22"/>
          <w:szCs w:val="22"/>
        </w:rPr>
      </w:pPr>
      <w:r>
        <w:rPr>
          <w:noProof/>
        </w:rPr>
        <w:t>62 Issue of exemption declaration</w:t>
      </w:r>
      <w:r>
        <w:rPr>
          <w:noProof/>
        </w:rPr>
        <w:tab/>
      </w:r>
      <w:r w:rsidR="00F773E9">
        <w:rPr>
          <w:noProof/>
        </w:rPr>
        <w:t>55</w:t>
      </w:r>
    </w:p>
    <w:p w:rsidR="00433C3F" w:rsidRDefault="00433C3F">
      <w:pPr>
        <w:pStyle w:val="TOC5"/>
        <w:rPr>
          <w:rFonts w:asciiTheme="minorHAnsi" w:eastAsiaTheme="minorEastAsia" w:hAnsiTheme="minorHAnsi" w:cstheme="minorBidi"/>
          <w:noProof/>
          <w:kern w:val="0"/>
          <w:sz w:val="22"/>
          <w:szCs w:val="22"/>
        </w:rPr>
      </w:pPr>
      <w:r>
        <w:rPr>
          <w:noProof/>
        </w:rPr>
        <w:t>63 Revocation of exemption declaration because of false or misleading information</w:t>
      </w:r>
      <w:r>
        <w:rPr>
          <w:noProof/>
        </w:rPr>
        <w:tab/>
      </w:r>
      <w:r w:rsidR="00F773E9">
        <w:rPr>
          <w:noProof/>
        </w:rPr>
        <w:t>56</w:t>
      </w:r>
    </w:p>
    <w:p w:rsidR="00433C3F" w:rsidRDefault="00433C3F">
      <w:pPr>
        <w:pStyle w:val="TOC3"/>
        <w:rPr>
          <w:rFonts w:asciiTheme="minorHAnsi" w:eastAsiaTheme="minorEastAsia" w:hAnsiTheme="minorHAnsi" w:cstheme="minorBidi"/>
          <w:b w:val="0"/>
          <w:noProof/>
          <w:kern w:val="0"/>
          <w:szCs w:val="22"/>
        </w:rPr>
      </w:pPr>
      <w:r>
        <w:rPr>
          <w:noProof/>
        </w:rPr>
        <w:t>Division 2 —Declared multi-year periods</w:t>
      </w:r>
      <w:r>
        <w:rPr>
          <w:noProof/>
        </w:rPr>
        <w:tab/>
      </w:r>
      <w:r w:rsidR="00F773E9">
        <w:rPr>
          <w:noProof/>
        </w:rPr>
        <w:t>56</w:t>
      </w:r>
    </w:p>
    <w:p w:rsidR="00433C3F" w:rsidRDefault="00433C3F">
      <w:pPr>
        <w:pStyle w:val="TOC5"/>
        <w:rPr>
          <w:rFonts w:asciiTheme="minorHAnsi" w:eastAsiaTheme="minorEastAsia" w:hAnsiTheme="minorHAnsi" w:cstheme="minorBidi"/>
          <w:noProof/>
          <w:kern w:val="0"/>
          <w:sz w:val="22"/>
          <w:szCs w:val="22"/>
        </w:rPr>
      </w:pPr>
      <w:r>
        <w:rPr>
          <w:noProof/>
        </w:rPr>
        <w:t>64 Operation of this Division</w:t>
      </w:r>
      <w:r>
        <w:rPr>
          <w:noProof/>
        </w:rPr>
        <w:tab/>
      </w:r>
      <w:r w:rsidR="00F773E9">
        <w:rPr>
          <w:noProof/>
        </w:rPr>
        <w:t>56</w:t>
      </w:r>
    </w:p>
    <w:p w:rsidR="00433C3F" w:rsidRDefault="00433C3F">
      <w:pPr>
        <w:pStyle w:val="TOC5"/>
        <w:rPr>
          <w:rFonts w:asciiTheme="minorHAnsi" w:eastAsiaTheme="minorEastAsia" w:hAnsiTheme="minorHAnsi" w:cstheme="minorBidi"/>
          <w:noProof/>
          <w:kern w:val="0"/>
          <w:sz w:val="22"/>
          <w:szCs w:val="22"/>
        </w:rPr>
      </w:pPr>
      <w:r>
        <w:rPr>
          <w:noProof/>
        </w:rPr>
        <w:t>65 Application</w:t>
      </w:r>
      <w:r>
        <w:rPr>
          <w:noProof/>
        </w:rPr>
        <w:tab/>
      </w:r>
      <w:r w:rsidR="00F773E9">
        <w:rPr>
          <w:noProof/>
        </w:rPr>
        <w:t>56</w:t>
      </w:r>
    </w:p>
    <w:p w:rsidR="00433C3F" w:rsidRDefault="00433C3F">
      <w:pPr>
        <w:pStyle w:val="TOC5"/>
        <w:rPr>
          <w:rFonts w:asciiTheme="minorHAnsi" w:eastAsiaTheme="minorEastAsia" w:hAnsiTheme="minorHAnsi" w:cstheme="minorBidi"/>
          <w:noProof/>
          <w:kern w:val="0"/>
          <w:sz w:val="22"/>
          <w:szCs w:val="22"/>
        </w:rPr>
      </w:pPr>
      <w:r>
        <w:rPr>
          <w:noProof/>
        </w:rPr>
        <w:t>66 Further information</w:t>
      </w:r>
      <w:r>
        <w:rPr>
          <w:noProof/>
        </w:rPr>
        <w:tab/>
      </w:r>
      <w:r w:rsidR="00F773E9">
        <w:rPr>
          <w:noProof/>
        </w:rPr>
        <w:t>57</w:t>
      </w:r>
    </w:p>
    <w:p w:rsidR="00433C3F" w:rsidRDefault="00433C3F">
      <w:pPr>
        <w:pStyle w:val="TOC5"/>
        <w:rPr>
          <w:rFonts w:asciiTheme="minorHAnsi" w:eastAsiaTheme="minorEastAsia" w:hAnsiTheme="minorHAnsi" w:cstheme="minorBidi"/>
          <w:noProof/>
          <w:kern w:val="0"/>
          <w:sz w:val="22"/>
          <w:szCs w:val="22"/>
        </w:rPr>
      </w:pPr>
      <w:r>
        <w:rPr>
          <w:noProof/>
        </w:rPr>
        <w:t>67 Making of multi-year period declaration</w:t>
      </w:r>
      <w:r>
        <w:rPr>
          <w:noProof/>
        </w:rPr>
        <w:tab/>
      </w:r>
      <w:r w:rsidR="00F773E9">
        <w:rPr>
          <w:noProof/>
        </w:rPr>
        <w:t>57</w:t>
      </w:r>
    </w:p>
    <w:p w:rsidR="00433C3F" w:rsidRDefault="00433C3F">
      <w:pPr>
        <w:pStyle w:val="TOC5"/>
        <w:rPr>
          <w:rFonts w:asciiTheme="minorHAnsi" w:eastAsiaTheme="minorEastAsia" w:hAnsiTheme="minorHAnsi" w:cstheme="minorBidi"/>
          <w:noProof/>
          <w:kern w:val="0"/>
          <w:sz w:val="22"/>
          <w:szCs w:val="22"/>
        </w:rPr>
      </w:pPr>
      <w:r>
        <w:rPr>
          <w:noProof/>
        </w:rPr>
        <w:t>68 Variation or revocation of multi-year period declaration on request</w:t>
      </w:r>
      <w:r>
        <w:rPr>
          <w:noProof/>
        </w:rPr>
        <w:tab/>
      </w:r>
      <w:r w:rsidR="00F773E9">
        <w:rPr>
          <w:noProof/>
        </w:rPr>
        <w:t>58</w:t>
      </w:r>
    </w:p>
    <w:p w:rsidR="00433C3F" w:rsidRDefault="00433C3F">
      <w:pPr>
        <w:pStyle w:val="TOC5"/>
        <w:rPr>
          <w:rFonts w:asciiTheme="minorHAnsi" w:eastAsiaTheme="minorEastAsia" w:hAnsiTheme="minorHAnsi" w:cstheme="minorBidi"/>
          <w:noProof/>
          <w:kern w:val="0"/>
          <w:sz w:val="22"/>
          <w:szCs w:val="22"/>
        </w:rPr>
      </w:pPr>
      <w:r>
        <w:rPr>
          <w:noProof/>
        </w:rPr>
        <w:t>69 Revocation of multi-year period declaration because of false or misleading information</w:t>
      </w:r>
      <w:r>
        <w:rPr>
          <w:noProof/>
        </w:rPr>
        <w:tab/>
      </w:r>
      <w:r w:rsidR="00F773E9">
        <w:rPr>
          <w:noProof/>
        </w:rPr>
        <w:t>59</w:t>
      </w:r>
    </w:p>
    <w:p w:rsidR="00433C3F" w:rsidRDefault="00433C3F">
      <w:pPr>
        <w:pStyle w:val="TOC3"/>
        <w:rPr>
          <w:rFonts w:asciiTheme="minorHAnsi" w:eastAsiaTheme="minorEastAsia" w:hAnsiTheme="minorHAnsi" w:cstheme="minorBidi"/>
          <w:b w:val="0"/>
          <w:noProof/>
          <w:kern w:val="0"/>
          <w:szCs w:val="22"/>
        </w:rPr>
      </w:pPr>
      <w:r>
        <w:rPr>
          <w:noProof/>
        </w:rPr>
        <w:t>Division 3 —Notification and publication requirements</w:t>
      </w:r>
      <w:r>
        <w:rPr>
          <w:noProof/>
        </w:rPr>
        <w:tab/>
      </w:r>
      <w:r w:rsidR="00F773E9">
        <w:rPr>
          <w:noProof/>
        </w:rPr>
        <w:t>60</w:t>
      </w:r>
    </w:p>
    <w:p w:rsidR="00433C3F" w:rsidRDefault="00433C3F">
      <w:pPr>
        <w:pStyle w:val="TOC5"/>
        <w:rPr>
          <w:rFonts w:asciiTheme="minorHAnsi" w:eastAsiaTheme="minorEastAsia" w:hAnsiTheme="minorHAnsi" w:cstheme="minorBidi"/>
          <w:noProof/>
          <w:kern w:val="0"/>
          <w:sz w:val="22"/>
          <w:szCs w:val="22"/>
        </w:rPr>
      </w:pPr>
      <w:r>
        <w:rPr>
          <w:noProof/>
        </w:rPr>
        <w:t>70 Operation of this Division</w:t>
      </w:r>
      <w:r>
        <w:rPr>
          <w:noProof/>
        </w:rPr>
        <w:tab/>
      </w:r>
      <w:r w:rsidR="00F773E9">
        <w:rPr>
          <w:noProof/>
        </w:rPr>
        <w:t>60</w:t>
      </w:r>
    </w:p>
    <w:p w:rsidR="00433C3F" w:rsidRDefault="00433C3F">
      <w:pPr>
        <w:pStyle w:val="TOC5"/>
        <w:rPr>
          <w:rFonts w:asciiTheme="minorHAnsi" w:eastAsiaTheme="minorEastAsia" w:hAnsiTheme="minorHAnsi" w:cstheme="minorBidi"/>
          <w:noProof/>
          <w:kern w:val="0"/>
          <w:sz w:val="22"/>
          <w:szCs w:val="22"/>
        </w:rPr>
      </w:pPr>
      <w:r>
        <w:rPr>
          <w:noProof/>
        </w:rPr>
        <w:t>71 Advisory notices</w:t>
      </w:r>
      <w:r>
        <w:rPr>
          <w:noProof/>
        </w:rPr>
        <w:tab/>
      </w:r>
      <w:r w:rsidR="00F773E9">
        <w:rPr>
          <w:noProof/>
        </w:rPr>
        <w:t>60</w:t>
      </w:r>
    </w:p>
    <w:p w:rsidR="00433C3F" w:rsidRDefault="00433C3F">
      <w:pPr>
        <w:pStyle w:val="TOC5"/>
        <w:rPr>
          <w:rFonts w:asciiTheme="minorHAnsi" w:eastAsiaTheme="minorEastAsia" w:hAnsiTheme="minorHAnsi" w:cstheme="minorBidi"/>
          <w:noProof/>
          <w:kern w:val="0"/>
          <w:sz w:val="22"/>
          <w:szCs w:val="22"/>
        </w:rPr>
      </w:pPr>
      <w:r>
        <w:rPr>
          <w:noProof/>
        </w:rPr>
        <w:t>72 Publication</w:t>
      </w:r>
      <w:r>
        <w:rPr>
          <w:noProof/>
        </w:rPr>
        <w:tab/>
      </w:r>
      <w:r w:rsidR="00F773E9">
        <w:rPr>
          <w:noProof/>
        </w:rPr>
        <w:t>60</w:t>
      </w:r>
    </w:p>
    <w:p w:rsidR="00433C3F" w:rsidRDefault="00433C3F">
      <w:pPr>
        <w:pStyle w:val="TOC2"/>
        <w:rPr>
          <w:rFonts w:asciiTheme="minorHAnsi" w:eastAsiaTheme="minorEastAsia" w:hAnsiTheme="minorHAnsi" w:cstheme="minorBidi"/>
          <w:b w:val="0"/>
          <w:noProof/>
          <w:kern w:val="0"/>
          <w:sz w:val="22"/>
          <w:szCs w:val="22"/>
        </w:rPr>
      </w:pPr>
      <w:r>
        <w:rPr>
          <w:noProof/>
        </w:rPr>
        <w:t>Part 5 —Registration, reporting and record-keeping</w:t>
      </w:r>
      <w:r>
        <w:rPr>
          <w:noProof/>
        </w:rPr>
        <w:tab/>
      </w:r>
      <w:r w:rsidR="00F773E9">
        <w:rPr>
          <w:noProof/>
        </w:rPr>
        <w:t>62</w:t>
      </w:r>
    </w:p>
    <w:p w:rsidR="00433C3F" w:rsidRDefault="00433C3F">
      <w:pPr>
        <w:pStyle w:val="TOC3"/>
        <w:rPr>
          <w:rFonts w:asciiTheme="minorHAnsi" w:eastAsiaTheme="minorEastAsia" w:hAnsiTheme="minorHAnsi" w:cstheme="minorBidi"/>
          <w:b w:val="0"/>
          <w:noProof/>
          <w:kern w:val="0"/>
          <w:szCs w:val="22"/>
        </w:rPr>
      </w:pPr>
      <w:r>
        <w:rPr>
          <w:noProof/>
        </w:rPr>
        <w:t>Division 1 —Registration</w:t>
      </w:r>
      <w:r>
        <w:rPr>
          <w:noProof/>
        </w:rPr>
        <w:tab/>
      </w:r>
      <w:r w:rsidR="00F773E9">
        <w:rPr>
          <w:noProof/>
        </w:rPr>
        <w:t>62</w:t>
      </w:r>
    </w:p>
    <w:p w:rsidR="00433C3F" w:rsidRDefault="00433C3F">
      <w:pPr>
        <w:pStyle w:val="TOC5"/>
        <w:rPr>
          <w:rFonts w:asciiTheme="minorHAnsi" w:eastAsiaTheme="minorEastAsia" w:hAnsiTheme="minorHAnsi" w:cstheme="minorBidi"/>
          <w:noProof/>
          <w:kern w:val="0"/>
          <w:sz w:val="22"/>
          <w:szCs w:val="22"/>
        </w:rPr>
      </w:pPr>
      <w:r>
        <w:rPr>
          <w:noProof/>
        </w:rPr>
        <w:t>73 Operation of this Division</w:t>
      </w:r>
      <w:r>
        <w:rPr>
          <w:noProof/>
        </w:rPr>
        <w:tab/>
      </w:r>
      <w:r w:rsidR="00F773E9">
        <w:rPr>
          <w:noProof/>
        </w:rPr>
        <w:t>62</w:t>
      </w:r>
    </w:p>
    <w:p w:rsidR="00433C3F" w:rsidRDefault="00433C3F">
      <w:pPr>
        <w:pStyle w:val="TOC5"/>
        <w:rPr>
          <w:rFonts w:asciiTheme="minorHAnsi" w:eastAsiaTheme="minorEastAsia" w:hAnsiTheme="minorHAnsi" w:cstheme="minorBidi"/>
          <w:noProof/>
          <w:kern w:val="0"/>
          <w:sz w:val="22"/>
          <w:szCs w:val="22"/>
        </w:rPr>
      </w:pPr>
      <w:r>
        <w:rPr>
          <w:noProof/>
        </w:rPr>
        <w:t>74 Application requirements</w:t>
      </w:r>
      <w:r>
        <w:rPr>
          <w:noProof/>
        </w:rPr>
        <w:tab/>
      </w:r>
      <w:r w:rsidR="00F773E9">
        <w:rPr>
          <w:noProof/>
        </w:rPr>
        <w:t>62</w:t>
      </w:r>
    </w:p>
    <w:p w:rsidR="00433C3F" w:rsidRDefault="00433C3F">
      <w:pPr>
        <w:pStyle w:val="TOC3"/>
        <w:rPr>
          <w:rFonts w:asciiTheme="minorHAnsi" w:eastAsiaTheme="minorEastAsia" w:hAnsiTheme="minorHAnsi" w:cstheme="minorBidi"/>
          <w:b w:val="0"/>
          <w:noProof/>
          <w:kern w:val="0"/>
          <w:szCs w:val="22"/>
        </w:rPr>
      </w:pPr>
      <w:r>
        <w:rPr>
          <w:noProof/>
        </w:rPr>
        <w:t>Division 2 —Reporting</w:t>
      </w:r>
      <w:r>
        <w:rPr>
          <w:noProof/>
        </w:rPr>
        <w:tab/>
      </w:r>
      <w:r w:rsidR="00F773E9">
        <w:rPr>
          <w:noProof/>
        </w:rPr>
        <w:t>62</w:t>
      </w:r>
    </w:p>
    <w:p w:rsidR="00433C3F" w:rsidRDefault="00433C3F">
      <w:pPr>
        <w:pStyle w:val="TOC5"/>
        <w:rPr>
          <w:rFonts w:asciiTheme="minorHAnsi" w:eastAsiaTheme="minorEastAsia" w:hAnsiTheme="minorHAnsi" w:cstheme="minorBidi"/>
          <w:noProof/>
          <w:kern w:val="0"/>
          <w:sz w:val="22"/>
          <w:szCs w:val="22"/>
        </w:rPr>
      </w:pPr>
      <w:r>
        <w:rPr>
          <w:noProof/>
        </w:rPr>
        <w:t>75 Operation of this Division</w:t>
      </w:r>
      <w:r>
        <w:rPr>
          <w:noProof/>
        </w:rPr>
        <w:tab/>
      </w:r>
      <w:r w:rsidR="00F773E9">
        <w:rPr>
          <w:noProof/>
        </w:rPr>
        <w:t>62</w:t>
      </w:r>
    </w:p>
    <w:p w:rsidR="00433C3F" w:rsidRDefault="00433C3F">
      <w:pPr>
        <w:pStyle w:val="TOC5"/>
        <w:rPr>
          <w:rFonts w:asciiTheme="minorHAnsi" w:eastAsiaTheme="minorEastAsia" w:hAnsiTheme="minorHAnsi" w:cstheme="minorBidi"/>
          <w:noProof/>
          <w:kern w:val="0"/>
          <w:sz w:val="22"/>
          <w:szCs w:val="22"/>
        </w:rPr>
      </w:pPr>
      <w:r>
        <w:rPr>
          <w:noProof/>
        </w:rPr>
        <w:t>76 Required information</w:t>
      </w:r>
      <w:r>
        <w:rPr>
          <w:noProof/>
        </w:rPr>
        <w:tab/>
      </w:r>
      <w:r w:rsidR="00F773E9">
        <w:rPr>
          <w:noProof/>
        </w:rPr>
        <w:t>62</w:t>
      </w:r>
    </w:p>
    <w:p w:rsidR="00433C3F" w:rsidRDefault="00433C3F">
      <w:pPr>
        <w:pStyle w:val="TOC5"/>
        <w:rPr>
          <w:rFonts w:asciiTheme="minorHAnsi" w:eastAsiaTheme="minorEastAsia" w:hAnsiTheme="minorHAnsi" w:cstheme="minorBidi"/>
          <w:noProof/>
          <w:kern w:val="0"/>
          <w:sz w:val="22"/>
          <w:szCs w:val="22"/>
        </w:rPr>
      </w:pPr>
      <w:r>
        <w:rPr>
          <w:noProof/>
        </w:rPr>
        <w:t>77 Reporting a change in principal activity for facility</w:t>
      </w:r>
      <w:r>
        <w:rPr>
          <w:noProof/>
        </w:rPr>
        <w:tab/>
      </w:r>
      <w:r w:rsidR="00F773E9">
        <w:rPr>
          <w:noProof/>
        </w:rPr>
        <w:t>62</w:t>
      </w:r>
    </w:p>
    <w:p w:rsidR="00433C3F" w:rsidRDefault="00433C3F">
      <w:pPr>
        <w:pStyle w:val="TOC3"/>
        <w:rPr>
          <w:rFonts w:asciiTheme="minorHAnsi" w:eastAsiaTheme="minorEastAsia" w:hAnsiTheme="minorHAnsi" w:cstheme="minorBidi"/>
          <w:b w:val="0"/>
          <w:noProof/>
          <w:kern w:val="0"/>
          <w:szCs w:val="22"/>
        </w:rPr>
      </w:pPr>
      <w:r>
        <w:rPr>
          <w:noProof/>
        </w:rPr>
        <w:lastRenderedPageBreak/>
        <w:t>Division 3 —Record-keeping</w:t>
      </w:r>
      <w:r>
        <w:rPr>
          <w:noProof/>
        </w:rPr>
        <w:tab/>
      </w:r>
      <w:r w:rsidR="00F773E9">
        <w:rPr>
          <w:noProof/>
        </w:rPr>
        <w:t>63</w:t>
      </w:r>
    </w:p>
    <w:p w:rsidR="00433C3F" w:rsidRDefault="00433C3F">
      <w:pPr>
        <w:pStyle w:val="TOC5"/>
        <w:rPr>
          <w:rFonts w:asciiTheme="minorHAnsi" w:eastAsiaTheme="minorEastAsia" w:hAnsiTheme="minorHAnsi" w:cstheme="minorBidi"/>
          <w:noProof/>
          <w:kern w:val="0"/>
          <w:sz w:val="22"/>
          <w:szCs w:val="22"/>
        </w:rPr>
      </w:pPr>
      <w:r>
        <w:rPr>
          <w:noProof/>
        </w:rPr>
        <w:t>78 Form of records</w:t>
      </w:r>
      <w:r>
        <w:rPr>
          <w:noProof/>
        </w:rPr>
        <w:tab/>
      </w:r>
      <w:r w:rsidR="00F773E9">
        <w:rPr>
          <w:noProof/>
        </w:rPr>
        <w:t>63</w:t>
      </w:r>
    </w:p>
    <w:p w:rsidR="00433C3F" w:rsidRDefault="00433C3F">
      <w:pPr>
        <w:pStyle w:val="TOC1"/>
        <w:rPr>
          <w:rFonts w:asciiTheme="minorHAnsi" w:eastAsiaTheme="minorEastAsia" w:hAnsiTheme="minorHAnsi" w:cstheme="minorBidi"/>
          <w:b w:val="0"/>
          <w:noProof/>
          <w:kern w:val="0"/>
          <w:sz w:val="22"/>
          <w:szCs w:val="22"/>
        </w:rPr>
      </w:pPr>
      <w:r>
        <w:rPr>
          <w:noProof/>
        </w:rPr>
        <w:t>Schedule 1 —Benchmark Emissions-Intensity Index</w:t>
      </w:r>
      <w:r>
        <w:rPr>
          <w:noProof/>
        </w:rPr>
        <w:tab/>
      </w:r>
      <w:r w:rsidR="00F773E9">
        <w:rPr>
          <w:noProof/>
        </w:rPr>
        <w:t>64</w:t>
      </w:r>
    </w:p>
    <w:p w:rsidR="00433C3F" w:rsidRDefault="00433C3F">
      <w:pPr>
        <w:pStyle w:val="TOC5"/>
        <w:rPr>
          <w:rFonts w:asciiTheme="minorHAnsi" w:eastAsiaTheme="minorEastAsia" w:hAnsiTheme="minorHAnsi" w:cstheme="minorBidi"/>
          <w:noProof/>
          <w:kern w:val="0"/>
          <w:sz w:val="22"/>
          <w:szCs w:val="22"/>
        </w:rPr>
      </w:pPr>
      <w:r>
        <w:rPr>
          <w:noProof/>
        </w:rPr>
        <w:t>1  Benchmark Emissions-Intensity Index</w:t>
      </w:r>
      <w:r>
        <w:rPr>
          <w:noProof/>
        </w:rPr>
        <w:tab/>
      </w:r>
      <w:r w:rsidR="00F773E9">
        <w:rPr>
          <w:noProof/>
        </w:rPr>
        <w:t>64</w:t>
      </w:r>
    </w:p>
    <w:p w:rsidR="00F10732" w:rsidRPr="0063657F" w:rsidRDefault="00F10732" w:rsidP="00F10732">
      <w:pPr>
        <w:spacing w:line="240" w:lineRule="auto"/>
      </w:pPr>
      <w:r w:rsidRPr="0063657F">
        <w:br w:type="page"/>
      </w:r>
    </w:p>
    <w:p w:rsidR="00F10732" w:rsidRPr="0063657F" w:rsidRDefault="00F773E9" w:rsidP="00F10732">
      <w:pPr>
        <w:pStyle w:val="h2Part"/>
      </w:pPr>
      <w:bookmarkStart w:id="2" w:name="_Toc431896940"/>
      <w:r>
        <w:lastRenderedPageBreak/>
        <w:t>Part 1</w:t>
      </w:r>
      <w:r w:rsidR="00F10732" w:rsidRPr="0063657F">
        <w:t>—</w:t>
      </w:r>
      <w:bookmarkStart w:id="3" w:name="_Toc405889304"/>
      <w:r w:rsidR="00F10732" w:rsidRPr="0063657F">
        <w:t>Preliminary</w:t>
      </w:r>
      <w:bookmarkEnd w:id="2"/>
      <w:bookmarkEnd w:id="3"/>
    </w:p>
    <w:p w:rsidR="00F10732" w:rsidRPr="0063657F" w:rsidRDefault="00F773E9" w:rsidP="00F10732">
      <w:pPr>
        <w:pStyle w:val="h5Section"/>
      </w:pPr>
      <w:bookmarkStart w:id="4" w:name="_Toc405889305"/>
      <w:bookmarkStart w:id="5" w:name="_Toc431896941"/>
      <w:r>
        <w:t>1</w:t>
      </w:r>
      <w:r w:rsidR="00F10732" w:rsidRPr="0063657F">
        <w:t xml:space="preserve"> Name</w:t>
      </w:r>
      <w:bookmarkEnd w:id="4"/>
      <w:bookmarkEnd w:id="5"/>
    </w:p>
    <w:p w:rsidR="00F10732" w:rsidRPr="0063657F" w:rsidRDefault="00F10732" w:rsidP="00F10732">
      <w:pPr>
        <w:pStyle w:val="tMain"/>
      </w:pPr>
      <w:r w:rsidRPr="0063657F">
        <w:tab/>
      </w:r>
      <w:r w:rsidRPr="0063657F">
        <w:tab/>
        <w:t xml:space="preserve">This is the </w:t>
      </w:r>
      <w:bookmarkStart w:id="6" w:name="BKCheck15B_3"/>
      <w:bookmarkEnd w:id="6"/>
      <w:r w:rsidR="00F773E9">
        <w:rPr>
          <w:i/>
          <w:noProof/>
        </w:rPr>
        <w:t>National Greenhouse and Energy Reporting (Safeguard Mechanism) Rule 2015</w:t>
      </w:r>
      <w:r w:rsidRPr="0063657F">
        <w:t>.</w:t>
      </w:r>
    </w:p>
    <w:p w:rsidR="00F10732" w:rsidRPr="0063657F" w:rsidRDefault="00F773E9" w:rsidP="00F10732">
      <w:pPr>
        <w:pStyle w:val="h5Section"/>
      </w:pPr>
      <w:bookmarkStart w:id="7" w:name="_Toc405889306"/>
      <w:bookmarkStart w:id="8" w:name="_Toc431896942"/>
      <w:r>
        <w:t>2</w:t>
      </w:r>
      <w:r w:rsidR="00F10732" w:rsidRPr="0063657F">
        <w:t xml:space="preserve"> </w:t>
      </w:r>
      <w:proofErr w:type="gramStart"/>
      <w:r w:rsidR="00F10732" w:rsidRPr="0063657F">
        <w:t>Commencement</w:t>
      </w:r>
      <w:bookmarkEnd w:id="7"/>
      <w:bookmarkEnd w:id="8"/>
      <w:proofErr w:type="gramEnd"/>
    </w:p>
    <w:p w:rsidR="00F10732" w:rsidRPr="0063657F" w:rsidRDefault="00F10732" w:rsidP="00F10732">
      <w:pPr>
        <w:pStyle w:val="tMain"/>
      </w:pPr>
      <w:r w:rsidRPr="0063657F">
        <w:tab/>
      </w:r>
      <w:r w:rsidRPr="0063657F">
        <w:tab/>
        <w:t>This instrument commences on 1 July 2016.</w:t>
      </w:r>
    </w:p>
    <w:p w:rsidR="00F10732" w:rsidRPr="0063657F" w:rsidRDefault="00F773E9" w:rsidP="00F10732">
      <w:pPr>
        <w:pStyle w:val="h5Section"/>
      </w:pPr>
      <w:bookmarkStart w:id="9" w:name="_Toc405889307"/>
      <w:bookmarkStart w:id="10" w:name="_Toc431896943"/>
      <w:r>
        <w:t>3</w:t>
      </w:r>
      <w:r w:rsidR="00F10732" w:rsidRPr="0063657F">
        <w:t xml:space="preserve"> </w:t>
      </w:r>
      <w:proofErr w:type="gramStart"/>
      <w:r w:rsidR="00F10732" w:rsidRPr="0063657F">
        <w:t>Authority</w:t>
      </w:r>
      <w:bookmarkEnd w:id="9"/>
      <w:bookmarkEnd w:id="10"/>
      <w:proofErr w:type="gramEnd"/>
    </w:p>
    <w:p w:rsidR="00F10732" w:rsidRPr="0063657F" w:rsidRDefault="00F10732" w:rsidP="00F10732">
      <w:pPr>
        <w:pStyle w:val="tMain"/>
      </w:pPr>
      <w:r w:rsidRPr="0063657F">
        <w:tab/>
      </w:r>
      <w:r w:rsidRPr="0063657F">
        <w:tab/>
        <w:t>This instrument is made under subsection </w:t>
      </w:r>
      <w:proofErr w:type="gramStart"/>
      <w:r w:rsidRPr="0063657F">
        <w:t>22XS(</w:t>
      </w:r>
      <w:proofErr w:type="gramEnd"/>
      <w:r w:rsidRPr="0063657F">
        <w:t xml:space="preserve">1) of the </w:t>
      </w:r>
      <w:r w:rsidRPr="0063657F">
        <w:rPr>
          <w:i/>
        </w:rPr>
        <w:t>National Greenhouse and Energy Reporting Act 2007</w:t>
      </w:r>
      <w:r w:rsidRPr="0063657F">
        <w:t>.</w:t>
      </w:r>
    </w:p>
    <w:p w:rsidR="00F10732" w:rsidRPr="0063657F" w:rsidRDefault="00F773E9" w:rsidP="00F10732">
      <w:pPr>
        <w:pStyle w:val="h5Section"/>
      </w:pPr>
      <w:bookmarkStart w:id="11" w:name="_Toc405889309"/>
      <w:bookmarkStart w:id="12" w:name="_Toc431896944"/>
      <w:r>
        <w:t>4</w:t>
      </w:r>
      <w:r w:rsidR="00F10732" w:rsidRPr="0063657F">
        <w:t xml:space="preserve"> Definitions</w:t>
      </w:r>
      <w:bookmarkEnd w:id="11"/>
      <w:bookmarkEnd w:id="12"/>
    </w:p>
    <w:p w:rsidR="00F10732" w:rsidRPr="0063657F" w:rsidRDefault="00F10732" w:rsidP="00F10732">
      <w:pPr>
        <w:pStyle w:val="tMain"/>
      </w:pPr>
      <w:r w:rsidRPr="0063657F">
        <w:tab/>
      </w:r>
      <w:r w:rsidRPr="0063657F">
        <w:tab/>
        <w:t>In this instrument:</w:t>
      </w:r>
    </w:p>
    <w:p w:rsidR="00F10732" w:rsidRPr="0063657F" w:rsidRDefault="00F10732" w:rsidP="00F10732">
      <w:pPr>
        <w:pStyle w:val="tDefn"/>
      </w:pPr>
      <w:r w:rsidRPr="0063657F">
        <w:rPr>
          <w:b/>
          <w:i/>
        </w:rPr>
        <w:t>Act</w:t>
      </w:r>
      <w:r w:rsidRPr="0063657F">
        <w:t xml:space="preserve"> means the </w:t>
      </w:r>
      <w:r w:rsidRPr="0063657F">
        <w:rPr>
          <w:i/>
        </w:rPr>
        <w:t>National Greenhouse and Energy Reporting Act 2007</w:t>
      </w:r>
      <w:r w:rsidRPr="0063657F">
        <w:t>.</w:t>
      </w:r>
    </w:p>
    <w:p w:rsidR="00F10732" w:rsidRPr="0063657F" w:rsidRDefault="00F10732" w:rsidP="00F10732">
      <w:pPr>
        <w:pStyle w:val="tDefn"/>
        <w:rPr>
          <w:b/>
          <w:i/>
        </w:rPr>
      </w:pPr>
      <w:proofErr w:type="gramStart"/>
      <w:r w:rsidRPr="0063657F">
        <w:rPr>
          <w:b/>
          <w:i/>
        </w:rPr>
        <w:t>adverse</w:t>
      </w:r>
      <w:proofErr w:type="gramEnd"/>
      <w:r w:rsidRPr="0063657F">
        <w:rPr>
          <w:b/>
          <w:i/>
        </w:rPr>
        <w:t xml:space="preserve"> conclusion </w:t>
      </w:r>
      <w:r w:rsidRPr="0063657F">
        <w:t xml:space="preserve">has the meaning given by the </w:t>
      </w:r>
      <w:r w:rsidRPr="0063657F">
        <w:rPr>
          <w:i/>
        </w:rPr>
        <w:t>National Greenhouse and Energy Reporting (Audit) Determination 2009.</w:t>
      </w:r>
    </w:p>
    <w:p w:rsidR="00F10732" w:rsidRPr="0063657F" w:rsidRDefault="00F10732" w:rsidP="00F10732">
      <w:pPr>
        <w:pStyle w:val="tDefn"/>
        <w:rPr>
          <w:b/>
        </w:rPr>
      </w:pPr>
      <w:proofErr w:type="spellStart"/>
      <w:proofErr w:type="gramStart"/>
      <w:r w:rsidRPr="0063657F">
        <w:rPr>
          <w:b/>
          <w:i/>
        </w:rPr>
        <w:t>askm</w:t>
      </w:r>
      <w:proofErr w:type="spellEnd"/>
      <w:proofErr w:type="gramEnd"/>
      <w:r w:rsidRPr="0063657F">
        <w:rPr>
          <w:b/>
          <w:i/>
        </w:rPr>
        <w:t xml:space="preserve"> </w:t>
      </w:r>
      <w:r w:rsidRPr="0063657F">
        <w:t>means available seat kilometres.</w:t>
      </w:r>
      <w:r w:rsidRPr="0063657F">
        <w:rPr>
          <w:b/>
        </w:rPr>
        <w:t xml:space="preserve"> </w:t>
      </w:r>
    </w:p>
    <w:p w:rsidR="00F10732" w:rsidRPr="0063657F" w:rsidRDefault="00F10732" w:rsidP="00F10732">
      <w:pPr>
        <w:pStyle w:val="tDefn"/>
      </w:pPr>
      <w:proofErr w:type="gramStart"/>
      <w:r w:rsidRPr="0063657F">
        <w:rPr>
          <w:b/>
          <w:i/>
        </w:rPr>
        <w:t>baseline</w:t>
      </w:r>
      <w:proofErr w:type="gramEnd"/>
      <w:r w:rsidRPr="0063657F">
        <w:rPr>
          <w:b/>
          <w:i/>
        </w:rPr>
        <w:t xml:space="preserve"> determination</w:t>
      </w:r>
      <w:r w:rsidRPr="0063657F">
        <w:rPr>
          <w:b/>
        </w:rPr>
        <w:t xml:space="preserve"> </w:t>
      </w:r>
      <w:r w:rsidR="002D0A8D">
        <w:t>means</w:t>
      </w:r>
      <w:r w:rsidRPr="0063657F">
        <w:t>:</w:t>
      </w:r>
    </w:p>
    <w:p w:rsidR="00F10732" w:rsidRPr="0063657F" w:rsidRDefault="00F10732" w:rsidP="00F10732">
      <w:pPr>
        <w:pStyle w:val="tPara"/>
      </w:pPr>
      <w:r w:rsidRPr="0063657F">
        <w:tab/>
        <w:t>(a)</w:t>
      </w:r>
      <w:r w:rsidRPr="0063657F">
        <w:tab/>
      </w:r>
      <w:proofErr w:type="gramStart"/>
      <w:r w:rsidR="002D0A8D">
        <w:t>a</w:t>
      </w:r>
      <w:proofErr w:type="gramEnd"/>
      <w:r w:rsidR="002D0A8D">
        <w:t xml:space="preserve"> </w:t>
      </w:r>
      <w:r w:rsidRPr="0063657F">
        <w:t>reported-emissions baseline determination; or</w:t>
      </w:r>
    </w:p>
    <w:p w:rsidR="00F10732" w:rsidRPr="0063657F" w:rsidRDefault="00F10732" w:rsidP="00F10732">
      <w:pPr>
        <w:pStyle w:val="tPara"/>
      </w:pPr>
      <w:r w:rsidRPr="0063657F">
        <w:tab/>
        <w:t>(b)</w:t>
      </w:r>
      <w:r w:rsidRPr="0063657F">
        <w:tab/>
      </w:r>
      <w:proofErr w:type="gramStart"/>
      <w:r w:rsidR="002D0A8D">
        <w:t>a</w:t>
      </w:r>
      <w:proofErr w:type="gramEnd"/>
      <w:r w:rsidR="002D0A8D">
        <w:t xml:space="preserve"> </w:t>
      </w:r>
      <w:r w:rsidRPr="0063657F">
        <w:t>calculated-emissions baseline determination; or</w:t>
      </w:r>
    </w:p>
    <w:p w:rsidR="00F10732" w:rsidRPr="0063657F" w:rsidRDefault="00F10732" w:rsidP="00F10732">
      <w:pPr>
        <w:pStyle w:val="tPara"/>
      </w:pPr>
      <w:r w:rsidRPr="0063657F">
        <w:tab/>
        <w:t>(c)</w:t>
      </w:r>
      <w:r w:rsidRPr="0063657F">
        <w:tab/>
      </w:r>
      <w:proofErr w:type="gramStart"/>
      <w:r w:rsidR="002D0A8D">
        <w:t>a</w:t>
      </w:r>
      <w:proofErr w:type="gramEnd"/>
      <w:r w:rsidR="002D0A8D">
        <w:t xml:space="preserve"> </w:t>
      </w:r>
      <w:r w:rsidRPr="0063657F">
        <w:t>benchmark-emissions baseline determination; or</w:t>
      </w:r>
    </w:p>
    <w:p w:rsidR="00F10732" w:rsidRPr="0063657F" w:rsidRDefault="00F10732" w:rsidP="00F10732">
      <w:pPr>
        <w:pStyle w:val="tPara"/>
      </w:pPr>
      <w:r w:rsidRPr="0063657F">
        <w:tab/>
        <w:t>(d)</w:t>
      </w:r>
      <w:r w:rsidRPr="0063657F">
        <w:tab/>
      </w:r>
      <w:proofErr w:type="gramStart"/>
      <w:r w:rsidR="002D0A8D">
        <w:t>a</w:t>
      </w:r>
      <w:proofErr w:type="gramEnd"/>
      <w:r w:rsidR="002D0A8D">
        <w:t xml:space="preserve"> </w:t>
      </w:r>
      <w:r w:rsidRPr="0063657F">
        <w:t>production-adjusted baseline determination; or</w:t>
      </w:r>
    </w:p>
    <w:p w:rsidR="00F10732" w:rsidRPr="0063657F" w:rsidRDefault="00F10732" w:rsidP="00F10732">
      <w:pPr>
        <w:pStyle w:val="tPara"/>
      </w:pPr>
      <w:r w:rsidRPr="0063657F">
        <w:tab/>
        <w:t>(e)</w:t>
      </w:r>
      <w:r w:rsidRPr="0063657F">
        <w:tab/>
      </w:r>
      <w:proofErr w:type="gramStart"/>
      <w:r w:rsidR="002D0A8D">
        <w:t>a</w:t>
      </w:r>
      <w:proofErr w:type="gramEnd"/>
      <w:r w:rsidR="002D0A8D">
        <w:t xml:space="preserve"> </w:t>
      </w:r>
      <w:r w:rsidRPr="0063657F">
        <w:t>landfill-benchmark baseline determination.</w:t>
      </w:r>
    </w:p>
    <w:p w:rsidR="00F10732" w:rsidRPr="0063657F" w:rsidRDefault="00F10732" w:rsidP="00F10732">
      <w:pPr>
        <w:pStyle w:val="tDefn"/>
      </w:pPr>
      <w:proofErr w:type="gramStart"/>
      <w:r w:rsidRPr="0063657F">
        <w:rPr>
          <w:b/>
          <w:i/>
        </w:rPr>
        <w:t>baseline</w:t>
      </w:r>
      <w:proofErr w:type="gramEnd"/>
      <w:r w:rsidRPr="0063657F">
        <w:rPr>
          <w:b/>
          <w:i/>
        </w:rPr>
        <w:t xml:space="preserve"> intensity comparison year</w:t>
      </w:r>
      <w:r w:rsidRPr="0063657F">
        <w:t xml:space="preserve"> includes the following financial years:</w:t>
      </w:r>
    </w:p>
    <w:p w:rsidR="00F10732" w:rsidRPr="0063657F" w:rsidRDefault="00F10732" w:rsidP="00F10732">
      <w:pPr>
        <w:pStyle w:val="tPara"/>
      </w:pPr>
      <w:r w:rsidRPr="0063657F">
        <w:tab/>
        <w:t>(a)</w:t>
      </w:r>
      <w:r w:rsidRPr="0063657F">
        <w:tab/>
        <w:t>if a reported-emissions baseline determination applies to the facility in respect of a financial year the subject of an</w:t>
      </w:r>
      <w:r w:rsidR="00E53D30" w:rsidRPr="0063657F">
        <w:t xml:space="preserve"> application under subsection 46</w:t>
      </w:r>
      <w:r w:rsidRPr="0063657F">
        <w:t>(1)—the year used to determine the baseline emission</w:t>
      </w:r>
      <w:r w:rsidR="004A58CC" w:rsidRPr="0063657F">
        <w:t>s</w:t>
      </w:r>
      <w:r w:rsidRPr="0063657F">
        <w:t xml:space="preserve"> number under subsection 17(1); and</w:t>
      </w:r>
    </w:p>
    <w:p w:rsidR="00F10732" w:rsidRPr="0063657F" w:rsidRDefault="00F10732" w:rsidP="00F10732">
      <w:pPr>
        <w:pStyle w:val="tPara"/>
      </w:pPr>
      <w:r w:rsidRPr="0063657F">
        <w:tab/>
        <w:t>(b)</w:t>
      </w:r>
      <w:r w:rsidRPr="0063657F">
        <w:tab/>
        <w:t>if a calculated-emissions baseline determination applies to the facility in respect of a financial year the subject of an</w:t>
      </w:r>
      <w:r w:rsidR="00E53D30" w:rsidRPr="0063657F">
        <w:t xml:space="preserve"> application under subsection 46</w:t>
      </w:r>
      <w:r w:rsidRPr="0063657F">
        <w:t>(1)—</w:t>
      </w:r>
      <w:r w:rsidR="00B820C9" w:rsidRPr="0063657F">
        <w:t>first year of the calculated-emissions baseline determination;</w:t>
      </w:r>
      <w:r w:rsidRPr="0063657F">
        <w:t xml:space="preserve"> and</w:t>
      </w:r>
    </w:p>
    <w:p w:rsidR="00F10732" w:rsidRPr="0063657F" w:rsidRDefault="00F10732" w:rsidP="00F10732">
      <w:pPr>
        <w:pStyle w:val="tPara"/>
      </w:pPr>
      <w:r w:rsidRPr="0063657F">
        <w:tab/>
      </w:r>
      <w:r w:rsidR="00990535" w:rsidRPr="0063657F">
        <w:t>(c</w:t>
      </w:r>
      <w:r w:rsidRPr="0063657F">
        <w:t>)</w:t>
      </w:r>
      <w:r w:rsidRPr="0063657F">
        <w:tab/>
        <w:t>if a production-adjusted baseline determination applies to the facility in respect of a financial year the subject of an</w:t>
      </w:r>
      <w:r w:rsidR="00E53D30" w:rsidRPr="0063657F">
        <w:t xml:space="preserve"> application under subsection 46</w:t>
      </w:r>
      <w:r w:rsidRPr="0063657F">
        <w:t>(1)—the year used to determine the baseline emi</w:t>
      </w:r>
      <w:r w:rsidR="0091268B" w:rsidRPr="0063657F">
        <w:t>ssion</w:t>
      </w:r>
      <w:r w:rsidR="004A58CC" w:rsidRPr="0063657F">
        <w:t>s</w:t>
      </w:r>
      <w:r w:rsidR="0091268B" w:rsidRPr="0063657F">
        <w:t xml:space="preserve"> number under subsection 44</w:t>
      </w:r>
      <w:r w:rsidRPr="0063657F">
        <w:t>(3); and</w:t>
      </w:r>
    </w:p>
    <w:p w:rsidR="00F10732" w:rsidRPr="0063657F" w:rsidRDefault="00990535" w:rsidP="00F45561">
      <w:pPr>
        <w:pStyle w:val="tPara"/>
      </w:pPr>
      <w:r w:rsidRPr="0063657F">
        <w:tab/>
        <w:t>(d</w:t>
      </w:r>
      <w:r w:rsidR="00F10732" w:rsidRPr="0063657F">
        <w:t>)</w:t>
      </w:r>
      <w:r w:rsidR="00F10732" w:rsidRPr="0063657F">
        <w:tab/>
      </w:r>
      <w:proofErr w:type="gramStart"/>
      <w:r w:rsidR="00F10732" w:rsidRPr="0063657F">
        <w:t>if</w:t>
      </w:r>
      <w:proofErr w:type="gramEnd"/>
      <w:r w:rsidR="00F10732" w:rsidRPr="0063657F">
        <w:t xml:space="preserve"> a baseline determination has been varied in respect of a financial year under Subdivision 6 of Part 4—that financial year</w:t>
      </w:r>
      <w:r w:rsidR="00F45561" w:rsidRPr="0063657F">
        <w:t>.</w:t>
      </w:r>
    </w:p>
    <w:p w:rsidR="001B5C2A" w:rsidRPr="0063657F" w:rsidRDefault="001B5C2A" w:rsidP="001B5C2A">
      <w:pPr>
        <w:pStyle w:val="tDefn"/>
      </w:pPr>
      <w:proofErr w:type="gramStart"/>
      <w:r w:rsidRPr="0063657F">
        <w:rPr>
          <w:b/>
          <w:i/>
        </w:rPr>
        <w:t>benchmark-emissions</w:t>
      </w:r>
      <w:proofErr w:type="gramEnd"/>
      <w:r w:rsidRPr="0063657F">
        <w:rPr>
          <w:b/>
          <w:i/>
        </w:rPr>
        <w:t xml:space="preserve"> baseline determination</w:t>
      </w:r>
      <w:r w:rsidRPr="0063657F">
        <w:t xml:space="preserve"> means a determination under subsection 38(2).</w:t>
      </w:r>
    </w:p>
    <w:p w:rsidR="00F032BF" w:rsidRPr="0063657F" w:rsidRDefault="00F032BF" w:rsidP="00F032BF">
      <w:pPr>
        <w:pStyle w:val="tDefn"/>
      </w:pPr>
      <w:r w:rsidRPr="0063657F">
        <w:rPr>
          <w:b/>
          <w:i/>
        </w:rPr>
        <w:t xml:space="preserve">Benchmark Emissions-Intensity Index </w:t>
      </w:r>
      <w:r w:rsidRPr="0063657F">
        <w:t xml:space="preserve">means index of </w:t>
      </w:r>
      <w:r w:rsidR="001033B1" w:rsidRPr="0063657F">
        <w:t>emissions intensity</w:t>
      </w:r>
      <w:r w:rsidRPr="0063657F">
        <w:t xml:space="preserve"> per unit of a production variable (including the benchmark capture efficiency rate for non-legacy greenhouse gas </w:t>
      </w:r>
      <w:r w:rsidR="002C361A" w:rsidRPr="0063657F">
        <w:t>emissions) set out in Schedule 1</w:t>
      </w:r>
      <w:r w:rsidRPr="0063657F">
        <w:t xml:space="preserve">. </w:t>
      </w:r>
    </w:p>
    <w:p w:rsidR="002417CF" w:rsidRPr="0063657F" w:rsidRDefault="00317146" w:rsidP="00317146">
      <w:pPr>
        <w:pStyle w:val="tDefn"/>
      </w:pPr>
      <w:proofErr w:type="gramStart"/>
      <w:r w:rsidRPr="0063657F">
        <w:rPr>
          <w:b/>
          <w:i/>
        </w:rPr>
        <w:t>benchmark</w:t>
      </w:r>
      <w:proofErr w:type="gramEnd"/>
      <w:r w:rsidRPr="0063657F">
        <w:rPr>
          <w:b/>
          <w:i/>
        </w:rPr>
        <w:t xml:space="preserve"> facility</w:t>
      </w:r>
      <w:r w:rsidR="002417CF" w:rsidRPr="0063657F">
        <w:t xml:space="preserve"> </w:t>
      </w:r>
      <w:r w:rsidRPr="0063657F">
        <w:t>means a facility for which:</w:t>
      </w:r>
    </w:p>
    <w:p w:rsidR="00317146" w:rsidRPr="0063657F" w:rsidRDefault="00317146" w:rsidP="00317146">
      <w:pPr>
        <w:pStyle w:val="tPara"/>
      </w:pPr>
      <w:r w:rsidRPr="0063657F">
        <w:lastRenderedPageBreak/>
        <w:tab/>
        <w:t>(a)</w:t>
      </w:r>
      <w:r w:rsidRPr="0063657F">
        <w:tab/>
      </w:r>
      <w:proofErr w:type="gramStart"/>
      <w:r w:rsidRPr="0063657F">
        <w:t>a</w:t>
      </w:r>
      <w:proofErr w:type="gramEnd"/>
      <w:r w:rsidRPr="0063657F">
        <w:t xml:space="preserve"> benchmark-emissions baseline determination has been made (whether or not that determination remains in force); and</w:t>
      </w:r>
    </w:p>
    <w:p w:rsidR="00317146" w:rsidRPr="0063657F" w:rsidRDefault="00317146" w:rsidP="00317146">
      <w:pPr>
        <w:pStyle w:val="tPara"/>
      </w:pPr>
      <w:r w:rsidRPr="0063657F">
        <w:tab/>
        <w:t>(b)</w:t>
      </w:r>
      <w:r w:rsidRPr="0063657F">
        <w:tab/>
      </w:r>
      <w:proofErr w:type="gramStart"/>
      <w:r w:rsidRPr="0063657F">
        <w:t>a</w:t>
      </w:r>
      <w:proofErr w:type="gramEnd"/>
      <w:r w:rsidRPr="0063657F">
        <w:t xml:space="preserve"> production-adjusted baseline determination has been made on the basis of an application under paragraph 40(1)(b) (whether or not that determination remains in force).</w:t>
      </w:r>
    </w:p>
    <w:p w:rsidR="00F10732" w:rsidRPr="0063657F" w:rsidRDefault="00F10732" w:rsidP="00F10732">
      <w:pPr>
        <w:pStyle w:val="tDefn"/>
      </w:pPr>
      <w:proofErr w:type="gramStart"/>
      <w:r w:rsidRPr="0063657F">
        <w:rPr>
          <w:b/>
          <w:i/>
        </w:rPr>
        <w:t>by</w:t>
      </w:r>
      <w:r w:rsidRPr="0063657F">
        <w:rPr>
          <w:b/>
          <w:i/>
        </w:rPr>
        <w:noBreakHyphen/>
        <w:t>product</w:t>
      </w:r>
      <w:proofErr w:type="gramEnd"/>
      <w:r w:rsidR="008105A9" w:rsidRPr="0063657F">
        <w:t xml:space="preserve"> means a saleable</w:t>
      </w:r>
      <w:r w:rsidRPr="0063657F">
        <w:t xml:space="preserve"> output</w:t>
      </w:r>
      <w:r w:rsidR="00F9793D" w:rsidRPr="0063657F">
        <w:t xml:space="preserve"> or other product</w:t>
      </w:r>
      <w:r w:rsidRPr="0063657F">
        <w:t xml:space="preserve"> that:</w:t>
      </w:r>
    </w:p>
    <w:p w:rsidR="00F10732" w:rsidRPr="0063657F" w:rsidRDefault="00F10732" w:rsidP="00F10732">
      <w:pPr>
        <w:pStyle w:val="tPara"/>
      </w:pPr>
      <w:r w:rsidRPr="0063657F">
        <w:tab/>
        <w:t>(a)</w:t>
      </w:r>
      <w:r w:rsidRPr="0063657F">
        <w:tab/>
      </w:r>
      <w:proofErr w:type="gramStart"/>
      <w:r w:rsidRPr="0063657F">
        <w:t>results</w:t>
      </w:r>
      <w:proofErr w:type="gramEnd"/>
      <w:r w:rsidRPr="0063657F">
        <w:t xml:space="preserve"> from a chemical or physical process undertaken by a facility other than for the purpose of producing the output; and</w:t>
      </w:r>
    </w:p>
    <w:p w:rsidR="00F10732" w:rsidRPr="0063657F" w:rsidRDefault="00F10732" w:rsidP="00F10732">
      <w:pPr>
        <w:pStyle w:val="tPara"/>
      </w:pPr>
      <w:r w:rsidRPr="0063657F">
        <w:tab/>
        <w:t>(b)</w:t>
      </w:r>
      <w:r w:rsidRPr="0063657F">
        <w:tab/>
      </w:r>
      <w:proofErr w:type="gramStart"/>
      <w:r w:rsidRPr="0063657F">
        <w:t>will</w:t>
      </w:r>
      <w:proofErr w:type="gramEnd"/>
      <w:r w:rsidRPr="0063657F">
        <w:t xml:space="preserve"> be </w:t>
      </w:r>
      <w:r w:rsidR="008105A9" w:rsidRPr="0063657F">
        <w:t>disposed of, by sale or gift,</w:t>
      </w:r>
      <w:r w:rsidRPr="0063657F">
        <w:t xml:space="preserve"> without any further processing by the facility (other than further processing in accordance with standard industry practice).</w:t>
      </w:r>
    </w:p>
    <w:p w:rsidR="00F10732" w:rsidRPr="0063657F" w:rsidRDefault="00F10732" w:rsidP="00F10732">
      <w:pPr>
        <w:pStyle w:val="tDefn"/>
      </w:pPr>
      <w:proofErr w:type="gramStart"/>
      <w:r w:rsidRPr="0063657F">
        <w:rPr>
          <w:b/>
          <w:i/>
        </w:rPr>
        <w:t>calculated-emissions</w:t>
      </w:r>
      <w:proofErr w:type="gramEnd"/>
      <w:r w:rsidRPr="0063657F">
        <w:rPr>
          <w:b/>
          <w:i/>
        </w:rPr>
        <w:t xml:space="preserve"> baseline determination</w:t>
      </w:r>
      <w:r w:rsidRPr="0063657F">
        <w:t xml:space="preserve"> means a d</w:t>
      </w:r>
      <w:r w:rsidR="00E53D30" w:rsidRPr="0063657F">
        <w:t>etermination under subsection</w:t>
      </w:r>
      <w:r w:rsidR="00814503" w:rsidRPr="0063657F">
        <w:t> </w:t>
      </w:r>
      <w:r w:rsidR="00E53D30" w:rsidRPr="0063657F">
        <w:t>30</w:t>
      </w:r>
      <w:r w:rsidRPr="0063657F">
        <w:t>(2).</w:t>
      </w:r>
    </w:p>
    <w:p w:rsidR="00F10732" w:rsidRPr="0063657F" w:rsidRDefault="00F10732" w:rsidP="00F10732">
      <w:pPr>
        <w:pStyle w:val="tDefn"/>
        <w:rPr>
          <w:bCs/>
          <w:iCs/>
        </w:rPr>
      </w:pPr>
      <w:proofErr w:type="gramStart"/>
      <w:r w:rsidRPr="0063657F">
        <w:rPr>
          <w:b/>
          <w:bCs/>
          <w:i/>
          <w:iCs/>
        </w:rPr>
        <w:t>criminal</w:t>
      </w:r>
      <w:proofErr w:type="gramEnd"/>
      <w:r w:rsidRPr="0063657F">
        <w:rPr>
          <w:b/>
          <w:bCs/>
          <w:i/>
          <w:iCs/>
        </w:rPr>
        <w:t xml:space="preserve"> activity </w:t>
      </w:r>
      <w:r w:rsidRPr="0063657F">
        <w:rPr>
          <w:bCs/>
          <w:iCs/>
        </w:rPr>
        <w:t>means any activity that the Regulator has reasonable cause to believe involves the commission of an offence by one or more persons.</w:t>
      </w:r>
    </w:p>
    <w:p w:rsidR="004C799E" w:rsidRPr="0063657F" w:rsidRDefault="004C799E" w:rsidP="00F10732">
      <w:pPr>
        <w:pStyle w:val="tDefn"/>
        <w:rPr>
          <w:iCs/>
        </w:rPr>
      </w:pPr>
      <w:r w:rsidRPr="0063657F">
        <w:rPr>
          <w:b/>
          <w:bCs/>
          <w:i/>
          <w:iCs/>
        </w:rPr>
        <w:t>Darwin to Katherine network</w:t>
      </w:r>
      <w:r w:rsidRPr="0063657F">
        <w:rPr>
          <w:bCs/>
          <w:iCs/>
        </w:rPr>
        <w:t xml:space="preserve"> means the local distribution systems in items 1, 2 and 5 of Schedule 2 to the </w:t>
      </w:r>
      <w:r w:rsidRPr="0063657F">
        <w:rPr>
          <w:i/>
          <w:iCs/>
        </w:rPr>
        <w:t>National Electricity (Northern Territory) (National Uniform Legislation) Act 2015</w:t>
      </w:r>
      <w:r w:rsidRPr="0063657F">
        <w:rPr>
          <w:iCs/>
        </w:rPr>
        <w:t xml:space="preserve"> (NT)</w:t>
      </w:r>
      <w:r w:rsidR="00B82F0D" w:rsidRPr="0063657F">
        <w:rPr>
          <w:iCs/>
        </w:rPr>
        <w:t xml:space="preserve"> and any transmission or distribution system</w:t>
      </w:r>
      <w:r w:rsidR="001B00CC" w:rsidRPr="0063657F">
        <w:rPr>
          <w:iCs/>
        </w:rPr>
        <w:t xml:space="preserve"> which is connected to those local distribution systems</w:t>
      </w:r>
      <w:r w:rsidRPr="0063657F">
        <w:rPr>
          <w:iCs/>
        </w:rPr>
        <w:t>.</w:t>
      </w:r>
    </w:p>
    <w:p w:rsidR="00F10732" w:rsidRPr="0063657F" w:rsidRDefault="00F10732" w:rsidP="00F10732">
      <w:pPr>
        <w:pStyle w:val="tDefn"/>
        <w:rPr>
          <w:bCs/>
          <w:iCs/>
        </w:rPr>
      </w:pPr>
      <w:proofErr w:type="gramStart"/>
      <w:r w:rsidRPr="0063657F">
        <w:rPr>
          <w:b/>
          <w:bCs/>
          <w:i/>
          <w:iCs/>
        </w:rPr>
        <w:t>designated</w:t>
      </w:r>
      <w:proofErr w:type="gramEnd"/>
      <w:r w:rsidRPr="0063657F">
        <w:rPr>
          <w:b/>
          <w:bCs/>
          <w:i/>
          <w:iCs/>
        </w:rPr>
        <w:t xml:space="preserve"> electricity network</w:t>
      </w:r>
      <w:r w:rsidRPr="0063657F">
        <w:rPr>
          <w:bCs/>
          <w:iCs/>
        </w:rPr>
        <w:t xml:space="preserve"> means one of the following electricity networks:</w:t>
      </w:r>
    </w:p>
    <w:p w:rsidR="00F10732" w:rsidRPr="0063657F" w:rsidRDefault="00F10732" w:rsidP="00F10732">
      <w:pPr>
        <w:pStyle w:val="tPara"/>
      </w:pPr>
      <w:r w:rsidRPr="0063657F">
        <w:tab/>
        <w:t>(a)</w:t>
      </w:r>
      <w:r w:rsidRPr="0063657F">
        <w:tab/>
        <w:t xml:space="preserve">the interconnected national electricity system within the meaning of the National Electricity Law set out in the Schedule to the </w:t>
      </w:r>
      <w:r w:rsidRPr="0063657F">
        <w:rPr>
          <w:i/>
        </w:rPr>
        <w:t>National Electricity (South Australia) Act 1996</w:t>
      </w:r>
      <w:r w:rsidRPr="0063657F">
        <w:t xml:space="preserve"> (SA);</w:t>
      </w:r>
    </w:p>
    <w:p w:rsidR="00F10732" w:rsidRPr="0063657F" w:rsidRDefault="00706DE4" w:rsidP="00F10732">
      <w:pPr>
        <w:pStyle w:val="tPara"/>
      </w:pPr>
      <w:r w:rsidRPr="0063657F">
        <w:tab/>
        <w:t>(b)</w:t>
      </w:r>
      <w:r w:rsidRPr="0063657F">
        <w:tab/>
      </w:r>
      <w:proofErr w:type="gramStart"/>
      <w:r w:rsidRPr="0063657F">
        <w:t>the</w:t>
      </w:r>
      <w:proofErr w:type="gramEnd"/>
      <w:r w:rsidRPr="0063657F">
        <w:t xml:space="preserve"> South West interconnected s</w:t>
      </w:r>
      <w:r w:rsidR="00F10732" w:rsidRPr="0063657F">
        <w:t xml:space="preserve">ystem </w:t>
      </w:r>
      <w:r w:rsidRPr="0063657F">
        <w:t xml:space="preserve">within the meaning of section 3 of the </w:t>
      </w:r>
      <w:r w:rsidRPr="0063657F">
        <w:rPr>
          <w:i/>
        </w:rPr>
        <w:t>Electricity Industry Act 2004</w:t>
      </w:r>
      <w:r w:rsidRPr="0063657F">
        <w:t xml:space="preserve"> (WA)</w:t>
      </w:r>
      <w:r w:rsidR="00F10732" w:rsidRPr="0063657F">
        <w:t>;</w:t>
      </w:r>
    </w:p>
    <w:p w:rsidR="00F10732" w:rsidRPr="0063657F" w:rsidRDefault="00C614F4" w:rsidP="00F10732">
      <w:pPr>
        <w:pStyle w:val="tPara"/>
      </w:pPr>
      <w:r>
        <w:tab/>
        <w:t>(c)</w:t>
      </w:r>
      <w:r>
        <w:tab/>
      </w:r>
      <w:proofErr w:type="gramStart"/>
      <w:r>
        <w:t>the</w:t>
      </w:r>
      <w:proofErr w:type="gramEnd"/>
      <w:r>
        <w:t xml:space="preserve"> North West</w:t>
      </w:r>
      <w:r w:rsidR="00706DE4" w:rsidRPr="0063657F">
        <w:t xml:space="preserve"> interconnected s</w:t>
      </w:r>
      <w:r w:rsidR="00F10732" w:rsidRPr="0063657F">
        <w:t xml:space="preserve">ystem </w:t>
      </w:r>
      <w:r w:rsidR="00706DE4" w:rsidRPr="0063657F">
        <w:t xml:space="preserve">within the meaning of section 2 of the </w:t>
      </w:r>
      <w:r w:rsidR="00706DE4" w:rsidRPr="0063657F">
        <w:rPr>
          <w:i/>
        </w:rPr>
        <w:t>Electricity Transmission and Distribution Systems (Access) Act 1994</w:t>
      </w:r>
      <w:r w:rsidR="00706DE4" w:rsidRPr="0063657F">
        <w:t xml:space="preserve"> (WA)</w:t>
      </w:r>
      <w:r w:rsidR="00F10732" w:rsidRPr="0063657F">
        <w:t>;</w:t>
      </w:r>
    </w:p>
    <w:p w:rsidR="00F10732" w:rsidRPr="0063657F" w:rsidRDefault="00F10732" w:rsidP="00F10732">
      <w:pPr>
        <w:pStyle w:val="tPara"/>
      </w:pPr>
      <w:r w:rsidRPr="0063657F">
        <w:tab/>
        <w:t>(d)</w:t>
      </w:r>
      <w:r w:rsidRPr="0063657F">
        <w:tab/>
      </w:r>
      <w:proofErr w:type="gramStart"/>
      <w:r w:rsidRPr="0063657F">
        <w:t>the</w:t>
      </w:r>
      <w:proofErr w:type="gramEnd"/>
      <w:r w:rsidRPr="0063657F">
        <w:t xml:space="preserve"> Darwin to Katherine ne</w:t>
      </w:r>
      <w:r w:rsidR="004C799E" w:rsidRPr="0063657F">
        <w:t>twork</w:t>
      </w:r>
      <w:r w:rsidR="00BF539C" w:rsidRPr="0063657F">
        <w:t>;</w:t>
      </w:r>
    </w:p>
    <w:p w:rsidR="00BF539C" w:rsidRPr="0063657F" w:rsidRDefault="00BF539C" w:rsidP="00BF539C">
      <w:pPr>
        <w:pStyle w:val="tPara"/>
      </w:pPr>
      <w:r w:rsidRPr="0063657F">
        <w:tab/>
        <w:t>(e)</w:t>
      </w:r>
      <w:r w:rsidRPr="0063657F">
        <w:tab/>
      </w:r>
      <w:proofErr w:type="gramStart"/>
      <w:r w:rsidR="00A72FF5" w:rsidRPr="0063657F">
        <w:t>the</w:t>
      </w:r>
      <w:proofErr w:type="gramEnd"/>
      <w:r w:rsidR="00A72FF5" w:rsidRPr="0063657F">
        <w:t xml:space="preserve"> Mount Isa–Cloncurry supply network within the meaning of section 10 of the </w:t>
      </w:r>
      <w:r w:rsidR="00A72FF5" w:rsidRPr="0063657F">
        <w:rPr>
          <w:i/>
        </w:rPr>
        <w:t xml:space="preserve">Electricity—National Scheme (Queensland) Act 1997 </w:t>
      </w:r>
      <w:r w:rsidR="00A72FF5" w:rsidRPr="0063657F">
        <w:t>(Qld).</w:t>
      </w:r>
    </w:p>
    <w:p w:rsidR="00761AE2" w:rsidRPr="0063657F" w:rsidRDefault="00761AE2" w:rsidP="00F10732">
      <w:pPr>
        <w:pStyle w:val="tDefn"/>
        <w:rPr>
          <w:bCs/>
          <w:iCs/>
        </w:rPr>
      </w:pPr>
      <w:proofErr w:type="gramStart"/>
      <w:r w:rsidRPr="0063657F">
        <w:rPr>
          <w:b/>
          <w:bCs/>
          <w:i/>
          <w:iCs/>
        </w:rPr>
        <w:t>details</w:t>
      </w:r>
      <w:proofErr w:type="gramEnd"/>
      <w:r w:rsidRPr="0063657F">
        <w:rPr>
          <w:bCs/>
          <w:i/>
          <w:iCs/>
        </w:rPr>
        <w:t xml:space="preserve">, </w:t>
      </w:r>
      <w:r w:rsidRPr="0063657F">
        <w:rPr>
          <w:bCs/>
          <w:iCs/>
        </w:rPr>
        <w:t xml:space="preserve">in relation to a determination or declaration under </w:t>
      </w:r>
      <w:r w:rsidR="00143C7B">
        <w:rPr>
          <w:bCs/>
          <w:iCs/>
        </w:rPr>
        <w:t>this instrument, include</w:t>
      </w:r>
      <w:r w:rsidRPr="0063657F">
        <w:rPr>
          <w:bCs/>
          <w:iCs/>
        </w:rPr>
        <w:t>s:</w:t>
      </w:r>
    </w:p>
    <w:p w:rsidR="00761AE2" w:rsidRPr="0063657F" w:rsidRDefault="00761AE2" w:rsidP="00761AE2">
      <w:pPr>
        <w:pStyle w:val="tPara"/>
      </w:pPr>
      <w:r w:rsidRPr="0063657F">
        <w:tab/>
        <w:t>(a)</w:t>
      </w:r>
      <w:r w:rsidRPr="0063657F">
        <w:tab/>
      </w:r>
      <w:proofErr w:type="gramStart"/>
      <w:r w:rsidRPr="0063657F">
        <w:t>the</w:t>
      </w:r>
      <w:proofErr w:type="gramEnd"/>
      <w:r w:rsidRPr="0063657F">
        <w:t xml:space="preserve"> type of determination or declaration;</w:t>
      </w:r>
      <w:r w:rsidR="00667570" w:rsidRPr="0063657F">
        <w:t xml:space="preserve"> and</w:t>
      </w:r>
    </w:p>
    <w:p w:rsidR="00761AE2" w:rsidRPr="0063657F" w:rsidRDefault="00761AE2" w:rsidP="00761AE2">
      <w:pPr>
        <w:pStyle w:val="tPara"/>
      </w:pPr>
      <w:r w:rsidRPr="0063657F">
        <w:tab/>
        <w:t>(b)</w:t>
      </w:r>
      <w:r w:rsidRPr="0063657F">
        <w:tab/>
      </w:r>
      <w:proofErr w:type="gramStart"/>
      <w:r w:rsidRPr="0063657F">
        <w:t>the</w:t>
      </w:r>
      <w:proofErr w:type="gramEnd"/>
      <w:r w:rsidRPr="0063657F">
        <w:t xml:space="preserve"> facility to which the determination or declaration relates;</w:t>
      </w:r>
      <w:r w:rsidR="00667570" w:rsidRPr="0063657F">
        <w:t xml:space="preserve"> and</w:t>
      </w:r>
    </w:p>
    <w:p w:rsidR="00761AE2" w:rsidRPr="0063657F" w:rsidRDefault="00761AE2" w:rsidP="00761AE2">
      <w:pPr>
        <w:pStyle w:val="tPara"/>
      </w:pPr>
      <w:r w:rsidRPr="0063657F">
        <w:tab/>
        <w:t>(c)</w:t>
      </w:r>
      <w:r w:rsidRPr="0063657F">
        <w:tab/>
      </w:r>
      <w:proofErr w:type="gramStart"/>
      <w:r w:rsidRPr="0063657F">
        <w:t>the</w:t>
      </w:r>
      <w:proofErr w:type="gramEnd"/>
      <w:r w:rsidRPr="0063657F">
        <w:t xml:space="preserve"> responsible emitter for the facility to which the determination or declaration relates;</w:t>
      </w:r>
      <w:r w:rsidR="00667570" w:rsidRPr="0063657F">
        <w:t xml:space="preserve"> and</w:t>
      </w:r>
    </w:p>
    <w:p w:rsidR="00761AE2" w:rsidRPr="0063657F" w:rsidRDefault="00761AE2" w:rsidP="00761AE2">
      <w:pPr>
        <w:pStyle w:val="tPara"/>
      </w:pPr>
      <w:r w:rsidRPr="0063657F">
        <w:tab/>
        <w:t>(</w:t>
      </w:r>
      <w:r w:rsidR="00667570" w:rsidRPr="0063657F">
        <w:t>d</w:t>
      </w:r>
      <w:r w:rsidRPr="0063657F">
        <w:t>)</w:t>
      </w:r>
      <w:r w:rsidRPr="0063657F">
        <w:tab/>
      </w:r>
      <w:proofErr w:type="gramStart"/>
      <w:r w:rsidRPr="0063657F">
        <w:t>the</w:t>
      </w:r>
      <w:proofErr w:type="gramEnd"/>
      <w:r w:rsidRPr="0063657F">
        <w:t xml:space="preserve"> start and any end date of the determination or declaration;</w:t>
      </w:r>
      <w:r w:rsidR="00667570" w:rsidRPr="0063657F">
        <w:t xml:space="preserve"> and</w:t>
      </w:r>
    </w:p>
    <w:p w:rsidR="00761AE2" w:rsidRPr="0063657F" w:rsidRDefault="00761AE2" w:rsidP="00761AE2">
      <w:pPr>
        <w:pStyle w:val="tPara"/>
      </w:pPr>
      <w:r w:rsidRPr="0063657F">
        <w:tab/>
        <w:t>(</w:t>
      </w:r>
      <w:r w:rsidR="00667570" w:rsidRPr="0063657F">
        <w:t>e</w:t>
      </w:r>
      <w:r w:rsidRPr="0063657F">
        <w:t>)</w:t>
      </w:r>
      <w:r w:rsidRPr="0063657F">
        <w:tab/>
        <w:t>whether the new facility criteria, significant expansi</w:t>
      </w:r>
      <w:r w:rsidR="00667570" w:rsidRPr="0063657F">
        <w:t>on criteria, inherent emissions variability criteria or initial calculated baseline were satisfied in relation to the making of the determination; and</w:t>
      </w:r>
    </w:p>
    <w:p w:rsidR="00667570" w:rsidRPr="0063657F" w:rsidRDefault="00667570" w:rsidP="00667570">
      <w:pPr>
        <w:pStyle w:val="tPara"/>
      </w:pPr>
      <w:r w:rsidRPr="0063657F">
        <w:tab/>
        <w:t>(f)</w:t>
      </w:r>
      <w:r w:rsidRPr="0063657F">
        <w:tab/>
      </w:r>
      <w:proofErr w:type="gramStart"/>
      <w:r w:rsidRPr="0063657F">
        <w:t>if</w:t>
      </w:r>
      <w:proofErr w:type="gramEnd"/>
      <w:r w:rsidRPr="0063657F">
        <w:t xml:space="preserve"> the determination specifies a baseline emission number—that number; and</w:t>
      </w:r>
    </w:p>
    <w:p w:rsidR="00667570" w:rsidRPr="0063657F" w:rsidRDefault="00E445F7" w:rsidP="00143C7B">
      <w:pPr>
        <w:pStyle w:val="tPara"/>
      </w:pPr>
      <w:r w:rsidRPr="0063657F">
        <w:tab/>
        <w:t>(g)</w:t>
      </w:r>
      <w:r w:rsidRPr="0063657F">
        <w:tab/>
      </w:r>
      <w:proofErr w:type="gramStart"/>
      <w:r w:rsidRPr="0063657F">
        <w:t>if</w:t>
      </w:r>
      <w:proofErr w:type="gramEnd"/>
      <w:r w:rsidRPr="0063657F">
        <w:t xml:space="preserve"> a determination or declaration is being vari</w:t>
      </w:r>
      <w:r w:rsidR="00143C7B">
        <w:t>ed—the nature of that variation.</w:t>
      </w:r>
    </w:p>
    <w:p w:rsidR="00F10732" w:rsidRPr="0063657F" w:rsidRDefault="00F10732" w:rsidP="00F10732">
      <w:pPr>
        <w:pStyle w:val="tDefn"/>
      </w:pPr>
      <w:proofErr w:type="spellStart"/>
      <w:proofErr w:type="gramStart"/>
      <w:r w:rsidRPr="0063657F">
        <w:rPr>
          <w:b/>
          <w:bCs/>
          <w:i/>
          <w:iCs/>
        </w:rPr>
        <w:t>dwtnmi</w:t>
      </w:r>
      <w:proofErr w:type="spellEnd"/>
      <w:proofErr w:type="gramEnd"/>
      <w:r w:rsidRPr="0063657F">
        <w:t xml:space="preserve"> means dead weight tonne nautical miles.</w:t>
      </w:r>
    </w:p>
    <w:p w:rsidR="00F10732" w:rsidRPr="0063657F" w:rsidRDefault="00F10732" w:rsidP="00F10732">
      <w:pPr>
        <w:pStyle w:val="tDefn"/>
      </w:pPr>
      <w:proofErr w:type="gramStart"/>
      <w:r w:rsidRPr="0063657F">
        <w:rPr>
          <w:b/>
          <w:i/>
        </w:rPr>
        <w:t>emissions-intensity</w:t>
      </w:r>
      <w:proofErr w:type="gramEnd"/>
      <w:r w:rsidRPr="0063657F">
        <w:rPr>
          <w:b/>
          <w:i/>
        </w:rPr>
        <w:t xml:space="preserve"> calculation criteria </w:t>
      </w:r>
      <w:r w:rsidRPr="0063657F">
        <w:t>has the meaning given by section 6.</w:t>
      </w:r>
    </w:p>
    <w:p w:rsidR="00F10732" w:rsidRPr="0063657F" w:rsidRDefault="001033B1" w:rsidP="00F10732">
      <w:pPr>
        <w:pStyle w:val="tDefn"/>
      </w:pPr>
      <w:proofErr w:type="gramStart"/>
      <w:r w:rsidRPr="0063657F">
        <w:rPr>
          <w:b/>
          <w:i/>
        </w:rPr>
        <w:t>emissions</w:t>
      </w:r>
      <w:proofErr w:type="gramEnd"/>
      <w:r w:rsidRPr="0063657F">
        <w:rPr>
          <w:b/>
          <w:i/>
        </w:rPr>
        <w:t xml:space="preserve"> intensity</w:t>
      </w:r>
      <w:r w:rsidR="00F10732" w:rsidRPr="0063657F">
        <w:rPr>
          <w:b/>
          <w:i/>
        </w:rPr>
        <w:t xml:space="preserve"> test</w:t>
      </w:r>
      <w:r w:rsidR="00F10732" w:rsidRPr="0063657F">
        <w:rPr>
          <w:b/>
        </w:rPr>
        <w:t xml:space="preserve"> </w:t>
      </w:r>
      <w:r w:rsidR="00F10732" w:rsidRPr="0063657F">
        <w:t>means</w:t>
      </w:r>
      <w:r w:rsidR="00E53D30" w:rsidRPr="0063657F">
        <w:t xml:space="preserve"> the test set out in section 47</w:t>
      </w:r>
      <w:r w:rsidR="00F10732" w:rsidRPr="0063657F">
        <w:t>.</w:t>
      </w:r>
    </w:p>
    <w:p w:rsidR="009E71E2" w:rsidRPr="0063657F" w:rsidRDefault="009E71E2" w:rsidP="00F10732">
      <w:pPr>
        <w:pStyle w:val="tDefn"/>
        <w:rPr>
          <w:b/>
        </w:rPr>
      </w:pPr>
      <w:proofErr w:type="gramStart"/>
      <w:r w:rsidRPr="0063657F">
        <w:rPr>
          <w:b/>
          <w:i/>
        </w:rPr>
        <w:t>fixed</w:t>
      </w:r>
      <w:proofErr w:type="gramEnd"/>
      <w:r w:rsidRPr="0063657F">
        <w:rPr>
          <w:b/>
          <w:i/>
        </w:rPr>
        <w:t xml:space="preserve"> proportion </w:t>
      </w:r>
      <w:r w:rsidRPr="0063657F">
        <w:t>includes a proportion that varies by less than 5%.</w:t>
      </w:r>
    </w:p>
    <w:p w:rsidR="00F10732" w:rsidRPr="0063657F" w:rsidRDefault="00F10732" w:rsidP="00F10732">
      <w:pPr>
        <w:pStyle w:val="tDefn"/>
      </w:pPr>
      <w:proofErr w:type="gramStart"/>
      <w:r w:rsidRPr="0063657F">
        <w:rPr>
          <w:b/>
          <w:i/>
        </w:rPr>
        <w:lastRenderedPageBreak/>
        <w:t>grid-connected</w:t>
      </w:r>
      <w:proofErr w:type="gramEnd"/>
      <w:r w:rsidRPr="0063657F">
        <w:rPr>
          <w:b/>
          <w:i/>
        </w:rPr>
        <w:t xml:space="preserve"> electricity generator</w:t>
      </w:r>
      <w:r w:rsidRPr="0063657F">
        <w:t xml:space="preserve"> means a designated generation facility connected to </w:t>
      </w:r>
      <w:r w:rsidR="004F2184" w:rsidRPr="0063657F">
        <w:t xml:space="preserve">a </w:t>
      </w:r>
      <w:r w:rsidRPr="0063657F">
        <w:t xml:space="preserve">designated electricity network at any time </w:t>
      </w:r>
      <w:r w:rsidR="001B00CC" w:rsidRPr="0063657F">
        <w:t>during a financial year</w:t>
      </w:r>
      <w:r w:rsidRPr="0063657F">
        <w:t>.</w:t>
      </w:r>
    </w:p>
    <w:p w:rsidR="00FA2A6A" w:rsidRPr="0063657F" w:rsidRDefault="00FA2A6A" w:rsidP="00F10732">
      <w:pPr>
        <w:pStyle w:val="tDefn"/>
      </w:pPr>
      <w:proofErr w:type="gramStart"/>
      <w:r w:rsidRPr="0063657F">
        <w:rPr>
          <w:b/>
          <w:i/>
        </w:rPr>
        <w:t>identifying</w:t>
      </w:r>
      <w:proofErr w:type="gramEnd"/>
      <w:r w:rsidRPr="0063657F">
        <w:rPr>
          <w:b/>
          <w:i/>
        </w:rPr>
        <w:t xml:space="preserve"> details </w:t>
      </w:r>
      <w:r w:rsidRPr="0063657F">
        <w:t>has the meaning given by the</w:t>
      </w:r>
      <w:r w:rsidR="007540C5" w:rsidRPr="0063657F">
        <w:t xml:space="preserve"> NGER Regulations.</w:t>
      </w:r>
    </w:p>
    <w:p w:rsidR="005678AC" w:rsidRPr="0063657F" w:rsidRDefault="00E13EF0" w:rsidP="00083EA0">
      <w:pPr>
        <w:pStyle w:val="tDefn"/>
      </w:pPr>
      <w:proofErr w:type="gramStart"/>
      <w:r w:rsidRPr="0063657F">
        <w:rPr>
          <w:b/>
          <w:i/>
        </w:rPr>
        <w:t>identifying</w:t>
      </w:r>
      <w:proofErr w:type="gramEnd"/>
      <w:r w:rsidRPr="0063657F">
        <w:rPr>
          <w:b/>
          <w:i/>
        </w:rPr>
        <w:t xml:space="preserve"> information</w:t>
      </w:r>
      <w:r w:rsidR="00083EA0" w:rsidRPr="0063657F">
        <w:rPr>
          <w:b/>
          <w:i/>
        </w:rPr>
        <w:t xml:space="preserve"> </w:t>
      </w:r>
      <w:r w:rsidR="00083EA0" w:rsidRPr="0063657F">
        <w:t>has the meaning given by the NGER Regulations.</w:t>
      </w:r>
    </w:p>
    <w:p w:rsidR="00F10732" w:rsidRPr="0063657F" w:rsidRDefault="00F10732" w:rsidP="00F10732">
      <w:pPr>
        <w:pStyle w:val="tDefn"/>
      </w:pPr>
      <w:proofErr w:type="gramStart"/>
      <w:r w:rsidRPr="0063657F">
        <w:rPr>
          <w:b/>
          <w:i/>
        </w:rPr>
        <w:t>inherent</w:t>
      </w:r>
      <w:proofErr w:type="gramEnd"/>
      <w:r w:rsidRPr="0063657F">
        <w:rPr>
          <w:b/>
          <w:i/>
        </w:rPr>
        <w:t xml:space="preserve"> emissions variability criteria </w:t>
      </w:r>
      <w:r w:rsidRPr="0063657F">
        <w:t>means the criteria in section 25.</w:t>
      </w:r>
    </w:p>
    <w:p w:rsidR="00200310" w:rsidRPr="0063657F" w:rsidRDefault="00200310" w:rsidP="00F10732">
      <w:pPr>
        <w:pStyle w:val="tDefn"/>
      </w:pPr>
      <w:proofErr w:type="gramStart"/>
      <w:r w:rsidRPr="0063657F">
        <w:rPr>
          <w:b/>
          <w:i/>
        </w:rPr>
        <w:t>initial</w:t>
      </w:r>
      <w:proofErr w:type="gramEnd"/>
      <w:r w:rsidRPr="0063657F">
        <w:rPr>
          <w:b/>
          <w:i/>
        </w:rPr>
        <w:t xml:space="preserve"> calculated baseline criteria</w:t>
      </w:r>
      <w:r w:rsidRPr="0063657F">
        <w:t xml:space="preserve"> m</w:t>
      </w:r>
      <w:r w:rsidR="00E53D30" w:rsidRPr="0063657F">
        <w:t>eans the criteria in section 26</w:t>
      </w:r>
      <w:r w:rsidRPr="0063657F">
        <w:t>.</w:t>
      </w:r>
    </w:p>
    <w:p w:rsidR="00F10732" w:rsidRPr="0063657F" w:rsidRDefault="00F10732" w:rsidP="00F10732">
      <w:pPr>
        <w:pStyle w:val="tDefn"/>
      </w:pPr>
      <w:proofErr w:type="gramStart"/>
      <w:r w:rsidRPr="0063657F">
        <w:rPr>
          <w:b/>
          <w:i/>
        </w:rPr>
        <w:t>input</w:t>
      </w:r>
      <w:proofErr w:type="gramEnd"/>
      <w:r w:rsidRPr="0063657F">
        <w:t xml:space="preserve"> means:</w:t>
      </w:r>
    </w:p>
    <w:p w:rsidR="00F10732" w:rsidRPr="0063657F" w:rsidRDefault="00F10732" w:rsidP="00F10732">
      <w:pPr>
        <w:pStyle w:val="tPara"/>
      </w:pPr>
      <w:r w:rsidRPr="0063657F">
        <w:tab/>
        <w:t>(a)</w:t>
      </w:r>
      <w:r w:rsidRPr="0063657F">
        <w:tab/>
      </w:r>
      <w:proofErr w:type="gramStart"/>
      <w:r w:rsidRPr="0063657F">
        <w:t>if</w:t>
      </w:r>
      <w:proofErr w:type="gramEnd"/>
      <w:r w:rsidRPr="0063657F">
        <w:t xml:space="preserve"> the input relates to a landfill facility—a tonne of waste received by a landfill facility; and</w:t>
      </w:r>
    </w:p>
    <w:p w:rsidR="00F10732" w:rsidRPr="0063657F" w:rsidRDefault="00F10732" w:rsidP="00F10732">
      <w:pPr>
        <w:pStyle w:val="tPara"/>
      </w:pPr>
      <w:r w:rsidRPr="0063657F">
        <w:tab/>
        <w:t>(b)</w:t>
      </w:r>
      <w:r w:rsidRPr="0063657F">
        <w:tab/>
      </w:r>
      <w:proofErr w:type="gramStart"/>
      <w:r w:rsidRPr="0063657F">
        <w:t>otherwise—</w:t>
      </w:r>
      <w:proofErr w:type="gramEnd"/>
      <w:r w:rsidRPr="0063657F">
        <w:t>anything that undergoes a chemical or physical process to produce an intermediate product or an output.</w:t>
      </w:r>
    </w:p>
    <w:p w:rsidR="00F10732" w:rsidRPr="0063657F" w:rsidRDefault="00F10732" w:rsidP="00F10732">
      <w:pPr>
        <w:pStyle w:val="tDefn"/>
        <w:rPr>
          <w:i/>
          <w:szCs w:val="22"/>
        </w:rPr>
      </w:pPr>
      <w:proofErr w:type="gramStart"/>
      <w:r w:rsidRPr="0063657F">
        <w:rPr>
          <w:b/>
          <w:i/>
          <w:szCs w:val="22"/>
        </w:rPr>
        <w:t>intermediate</w:t>
      </w:r>
      <w:proofErr w:type="gramEnd"/>
      <w:r w:rsidRPr="0063657F">
        <w:rPr>
          <w:b/>
          <w:i/>
          <w:szCs w:val="22"/>
        </w:rPr>
        <w:t xml:space="preserve"> product</w:t>
      </w:r>
      <w:r w:rsidRPr="0063657F">
        <w:rPr>
          <w:i/>
          <w:szCs w:val="22"/>
        </w:rPr>
        <w:t xml:space="preserve"> </w:t>
      </w:r>
      <w:r w:rsidRPr="0063657F">
        <w:rPr>
          <w:szCs w:val="22"/>
        </w:rPr>
        <w:t>means a product that:</w:t>
      </w:r>
    </w:p>
    <w:p w:rsidR="00F10732" w:rsidRPr="0063657F" w:rsidRDefault="00F10732" w:rsidP="00F10732">
      <w:pPr>
        <w:pStyle w:val="tPara"/>
      </w:pPr>
      <w:r w:rsidRPr="0063657F">
        <w:tab/>
        <w:t>(a)</w:t>
      </w:r>
      <w:r w:rsidRPr="0063657F">
        <w:tab/>
      </w:r>
      <w:proofErr w:type="gramStart"/>
      <w:r w:rsidRPr="0063657F">
        <w:t>results</w:t>
      </w:r>
      <w:proofErr w:type="gramEnd"/>
      <w:r w:rsidRPr="0063657F">
        <w:t xml:space="preserve"> from a chemical or physical process undertaken by a facility using one or more inputs; and</w:t>
      </w:r>
    </w:p>
    <w:p w:rsidR="00E5756C" w:rsidRPr="0063657F" w:rsidRDefault="00F10732" w:rsidP="00D01B50">
      <w:pPr>
        <w:pStyle w:val="tPara"/>
      </w:pPr>
      <w:r w:rsidRPr="0063657F">
        <w:tab/>
        <w:t>(b)</w:t>
      </w:r>
      <w:r w:rsidRPr="0063657F">
        <w:tab/>
      </w:r>
      <w:proofErr w:type="gramStart"/>
      <w:r w:rsidRPr="0063657F">
        <w:t>is</w:t>
      </w:r>
      <w:proofErr w:type="gramEnd"/>
      <w:r w:rsidRPr="0063657F">
        <w:t xml:space="preserve"> then used as an input for the production of an output at the same facility</w:t>
      </w:r>
      <w:r w:rsidR="00D01B50" w:rsidRPr="0063657F">
        <w:t>.</w:t>
      </w:r>
    </w:p>
    <w:p w:rsidR="00F10732" w:rsidRPr="0063657F" w:rsidRDefault="00F10732" w:rsidP="00F10732">
      <w:pPr>
        <w:pStyle w:val="tDefn"/>
      </w:pPr>
      <w:proofErr w:type="gramStart"/>
      <w:r w:rsidRPr="0063657F">
        <w:rPr>
          <w:b/>
          <w:i/>
        </w:rPr>
        <w:t>inter-state</w:t>
      </w:r>
      <w:proofErr w:type="gramEnd"/>
      <w:r w:rsidRPr="0063657F">
        <w:rPr>
          <w:b/>
          <w:i/>
        </w:rPr>
        <w:t xml:space="preserve"> transport facility</w:t>
      </w:r>
      <w:r w:rsidRPr="0063657F">
        <w:rPr>
          <w:b/>
        </w:rPr>
        <w:t xml:space="preserve"> </w:t>
      </w:r>
      <w:r w:rsidRPr="0063657F">
        <w:t>means a facility:</w:t>
      </w:r>
    </w:p>
    <w:p w:rsidR="00F10732" w:rsidRPr="0063657F" w:rsidRDefault="00F10732" w:rsidP="00F10732">
      <w:pPr>
        <w:pStyle w:val="tPara"/>
      </w:pPr>
      <w:r w:rsidRPr="0063657F">
        <w:tab/>
        <w:t>(a)</w:t>
      </w:r>
      <w:r w:rsidRPr="0063657F">
        <w:tab/>
      </w:r>
      <w:proofErr w:type="gramStart"/>
      <w:r w:rsidRPr="0063657F">
        <w:t>covered</w:t>
      </w:r>
      <w:proofErr w:type="gramEnd"/>
      <w:r w:rsidRPr="0063657F">
        <w:t xml:space="preserve"> by regulation 2.19 of the </w:t>
      </w:r>
      <w:r w:rsidR="007540C5" w:rsidRPr="0063657F">
        <w:t>NGER Regulations</w:t>
      </w:r>
      <w:r w:rsidRPr="0063657F">
        <w:t>; and</w:t>
      </w:r>
    </w:p>
    <w:p w:rsidR="00F10732" w:rsidRPr="0063657F" w:rsidRDefault="00F10732" w:rsidP="00F10732">
      <w:pPr>
        <w:pStyle w:val="tPara"/>
      </w:pPr>
      <w:r w:rsidRPr="0063657F">
        <w:tab/>
        <w:t>(b)</w:t>
      </w:r>
      <w:r w:rsidRPr="0063657F">
        <w:tab/>
      </w:r>
      <w:proofErr w:type="gramStart"/>
      <w:r w:rsidRPr="0063657F">
        <w:t>with</w:t>
      </w:r>
      <w:proofErr w:type="gramEnd"/>
      <w:r w:rsidRPr="0063657F">
        <w:t xml:space="preserve"> activities or a series of activities in more than one State or Territory.</w:t>
      </w:r>
    </w:p>
    <w:p w:rsidR="00F10732" w:rsidRPr="0063657F" w:rsidRDefault="00F10732" w:rsidP="00F10732">
      <w:pPr>
        <w:pStyle w:val="tDefn"/>
      </w:pPr>
      <w:proofErr w:type="gramStart"/>
      <w:r w:rsidRPr="0063657F">
        <w:rPr>
          <w:b/>
          <w:i/>
        </w:rPr>
        <w:t>landfill</w:t>
      </w:r>
      <w:proofErr w:type="gramEnd"/>
      <w:r w:rsidRPr="0063657F">
        <w:rPr>
          <w:b/>
          <w:i/>
        </w:rPr>
        <w:t xml:space="preserve"> baseline emissions formula </w:t>
      </w:r>
      <w:r w:rsidRPr="0063657F">
        <w:t xml:space="preserve">means the formula for determining the baseline emissions number for a financial year set out in an landfill-benchmark baseline </w:t>
      </w:r>
      <w:r w:rsidR="00E53D30" w:rsidRPr="0063657F">
        <w:t>determination under section 54</w:t>
      </w:r>
      <w:r w:rsidRPr="0063657F">
        <w:t>.</w:t>
      </w:r>
    </w:p>
    <w:p w:rsidR="00F10732" w:rsidRPr="0063657F" w:rsidRDefault="00F10732" w:rsidP="00F10732">
      <w:pPr>
        <w:pStyle w:val="tDefn"/>
      </w:pPr>
      <w:proofErr w:type="gramStart"/>
      <w:r w:rsidRPr="0063657F">
        <w:rPr>
          <w:b/>
          <w:i/>
        </w:rPr>
        <w:t>landfill-benchmark</w:t>
      </w:r>
      <w:proofErr w:type="gramEnd"/>
      <w:r w:rsidRPr="0063657F">
        <w:rPr>
          <w:b/>
          <w:i/>
        </w:rPr>
        <w:t xml:space="preserve"> baseline determination</w:t>
      </w:r>
      <w:r w:rsidRPr="0063657F">
        <w:t xml:space="preserve"> means a determination under subsection</w:t>
      </w:r>
      <w:r w:rsidR="00814503" w:rsidRPr="0063657F">
        <w:t> </w:t>
      </w:r>
      <w:r w:rsidR="00E53D30" w:rsidRPr="0063657F">
        <w:t>54</w:t>
      </w:r>
      <w:r w:rsidR="00F773E9">
        <w:t>(2)</w:t>
      </w:r>
      <w:r w:rsidRPr="0063657F">
        <w:t>.</w:t>
      </w:r>
    </w:p>
    <w:p w:rsidR="00F10732" w:rsidRPr="0063657F" w:rsidRDefault="00F10732" w:rsidP="00F10732">
      <w:pPr>
        <w:pStyle w:val="tDefn"/>
      </w:pPr>
      <w:proofErr w:type="gramStart"/>
      <w:r w:rsidRPr="0063657F">
        <w:rPr>
          <w:b/>
          <w:i/>
        </w:rPr>
        <w:t>landfill</w:t>
      </w:r>
      <w:proofErr w:type="gramEnd"/>
      <w:r w:rsidRPr="0063657F">
        <w:rPr>
          <w:b/>
          <w:i/>
        </w:rPr>
        <w:t xml:space="preserve"> facility</w:t>
      </w:r>
      <w:r w:rsidRPr="0063657F">
        <w:t xml:space="preserve"> means a facility for the disposal of solid waste as landfill, and includes a facility that is closed for the acceptance of waste.</w:t>
      </w:r>
    </w:p>
    <w:p w:rsidR="00F10732" w:rsidRPr="0063657F" w:rsidRDefault="00F10732" w:rsidP="00F10732">
      <w:pPr>
        <w:pStyle w:val="tDefn"/>
      </w:pPr>
      <w:proofErr w:type="gramStart"/>
      <w:r w:rsidRPr="0063657F">
        <w:rPr>
          <w:b/>
          <w:i/>
        </w:rPr>
        <w:t>large</w:t>
      </w:r>
      <w:proofErr w:type="gramEnd"/>
      <w:r w:rsidRPr="0063657F">
        <w:rPr>
          <w:b/>
          <w:i/>
        </w:rPr>
        <w:t xml:space="preserve"> new facility </w:t>
      </w:r>
      <w:r w:rsidRPr="0063657F">
        <w:t xml:space="preserve">means a facility which: </w:t>
      </w:r>
    </w:p>
    <w:p w:rsidR="00F10732" w:rsidRPr="0063657F" w:rsidRDefault="00F10732" w:rsidP="00F10732">
      <w:pPr>
        <w:pStyle w:val="tPara"/>
      </w:pPr>
      <w:r w:rsidRPr="0063657F">
        <w:tab/>
        <w:t>(a)</w:t>
      </w:r>
      <w:r w:rsidRPr="0063657F">
        <w:tab/>
      </w:r>
      <w:proofErr w:type="gramStart"/>
      <w:r w:rsidRPr="0063657F">
        <w:t>meets</w:t>
      </w:r>
      <w:proofErr w:type="gramEnd"/>
      <w:r w:rsidRPr="0063657F">
        <w:t xml:space="preserve"> the new facility criteria; and</w:t>
      </w:r>
    </w:p>
    <w:p w:rsidR="00F10732" w:rsidRPr="0063657F" w:rsidRDefault="00F10732" w:rsidP="00F10732">
      <w:pPr>
        <w:pStyle w:val="tPara"/>
      </w:pPr>
      <w:r w:rsidRPr="0063657F">
        <w:tab/>
        <w:t>(b)</w:t>
      </w:r>
      <w:r w:rsidRPr="0063657F">
        <w:tab/>
      </w:r>
      <w:proofErr w:type="gramStart"/>
      <w:r w:rsidRPr="0063657F">
        <w:t>has</w:t>
      </w:r>
      <w:proofErr w:type="gramEnd"/>
      <w:r w:rsidRPr="0063657F">
        <w:t xml:space="preserve">, or is </w:t>
      </w:r>
      <w:r w:rsidR="00DF12F8" w:rsidRPr="0063657F">
        <w:t>likely</w:t>
      </w:r>
      <w:r w:rsidRPr="0063657F">
        <w:t xml:space="preserve"> to have, a baseline emissions number of more than 2 million t</w:t>
      </w:r>
      <w:r w:rsidR="00814503" w:rsidRPr="0063657F">
        <w:t> </w:t>
      </w:r>
      <w:r w:rsidRPr="0063657F">
        <w:t>CO</w:t>
      </w:r>
      <w:r w:rsidRPr="0063657F">
        <w:rPr>
          <w:vertAlign w:val="subscript"/>
        </w:rPr>
        <w:t>2</w:t>
      </w:r>
      <w:r w:rsidR="007F7E20" w:rsidRPr="0063657F">
        <w:rPr>
          <w:rFonts w:ascii="Helvetica Neue" w:hAnsi="Helvetica Neue"/>
          <w:b/>
          <w:bCs/>
          <w:i/>
          <w:iCs/>
          <w:sz w:val="19"/>
          <w:szCs w:val="19"/>
        </w:rPr>
        <w:noBreakHyphen/>
      </w:r>
      <w:r w:rsidRPr="0063657F">
        <w:t>e</w:t>
      </w:r>
      <w:r w:rsidR="00BE4B54" w:rsidRPr="0063657F">
        <w:t xml:space="preserve"> (assuming a 5 year baseline determination)</w:t>
      </w:r>
      <w:r w:rsidR="00C049B7" w:rsidRPr="0063657F">
        <w:t>; and</w:t>
      </w:r>
    </w:p>
    <w:p w:rsidR="00C049B7" w:rsidRPr="0063657F" w:rsidRDefault="00C049B7" w:rsidP="00C049B7">
      <w:pPr>
        <w:pStyle w:val="tPara"/>
      </w:pPr>
      <w:r w:rsidRPr="0063657F">
        <w:tab/>
        <w:t>(c)</w:t>
      </w:r>
      <w:r w:rsidRPr="0063657F">
        <w:tab/>
      </w:r>
      <w:proofErr w:type="gramStart"/>
      <w:r w:rsidRPr="0063657F">
        <w:t>is</w:t>
      </w:r>
      <w:proofErr w:type="gramEnd"/>
      <w:r w:rsidRPr="0063657F">
        <w:t xml:space="preserve"> not, or will not be, a grid-connected electricity generator.</w:t>
      </w:r>
    </w:p>
    <w:p w:rsidR="00F10732" w:rsidRPr="0063657F" w:rsidRDefault="00F10732" w:rsidP="00F10732">
      <w:pPr>
        <w:pStyle w:val="tDefn"/>
      </w:pPr>
      <w:proofErr w:type="gramStart"/>
      <w:r w:rsidRPr="0063657F">
        <w:rPr>
          <w:b/>
          <w:i/>
        </w:rPr>
        <w:t>legacy</w:t>
      </w:r>
      <w:proofErr w:type="gramEnd"/>
      <w:r w:rsidRPr="0063657F">
        <w:rPr>
          <w:b/>
          <w:i/>
        </w:rPr>
        <w:t xml:space="preserve"> emissions </w:t>
      </w:r>
      <w:r w:rsidRPr="0063657F">
        <w:t>has the meaning given by subsection 7(2).</w:t>
      </w:r>
    </w:p>
    <w:p w:rsidR="00F10732" w:rsidRPr="0063657F" w:rsidRDefault="00F10732" w:rsidP="00F10732">
      <w:pPr>
        <w:pStyle w:val="tDefn"/>
      </w:pPr>
      <w:proofErr w:type="gramStart"/>
      <w:r w:rsidRPr="0063657F">
        <w:rPr>
          <w:b/>
          <w:i/>
        </w:rPr>
        <w:t>limited</w:t>
      </w:r>
      <w:proofErr w:type="gramEnd"/>
      <w:r w:rsidRPr="0063657F">
        <w:rPr>
          <w:b/>
          <w:i/>
        </w:rPr>
        <w:t xml:space="preserve"> assurance conclusion</w:t>
      </w:r>
      <w:r w:rsidRPr="0063657F">
        <w:t xml:space="preserve"> has the meaning given by the </w:t>
      </w:r>
      <w:r w:rsidRPr="0063657F">
        <w:rPr>
          <w:i/>
        </w:rPr>
        <w:t>National Greenhouse and Energy Reporting (Audit) Determination 2009.</w:t>
      </w:r>
    </w:p>
    <w:p w:rsidR="00A27AC6" w:rsidRPr="00A27AC6" w:rsidRDefault="00A27AC6" w:rsidP="00A27AC6">
      <w:pPr>
        <w:pStyle w:val="tDefn"/>
      </w:pPr>
      <w:proofErr w:type="gramStart"/>
      <w:r w:rsidRPr="0063657F">
        <w:rPr>
          <w:b/>
          <w:i/>
        </w:rPr>
        <w:t>multi-year</w:t>
      </w:r>
      <w:proofErr w:type="gramEnd"/>
      <w:r w:rsidRPr="0063657F">
        <w:rPr>
          <w:b/>
          <w:i/>
        </w:rPr>
        <w:t xml:space="preserve"> period declaration </w:t>
      </w:r>
      <w:r w:rsidRPr="0063657F">
        <w:t>has the meaning given by subsection 65</w:t>
      </w:r>
      <w:r>
        <w:t>(1).</w:t>
      </w:r>
    </w:p>
    <w:p w:rsidR="00F10732" w:rsidRPr="0063657F" w:rsidRDefault="00F10732" w:rsidP="00F10732">
      <w:pPr>
        <w:pStyle w:val="tDefn"/>
      </w:pPr>
      <w:proofErr w:type="gramStart"/>
      <w:r w:rsidRPr="0063657F">
        <w:rPr>
          <w:b/>
          <w:i/>
        </w:rPr>
        <w:t>m</w:t>
      </w:r>
      <w:r w:rsidRPr="0063657F">
        <w:rPr>
          <w:b/>
          <w:i/>
          <w:vertAlign w:val="superscript"/>
        </w:rPr>
        <w:t>3</w:t>
      </w:r>
      <w:r w:rsidRPr="0063657F">
        <w:rPr>
          <w:b/>
          <w:i/>
        </w:rPr>
        <w:t>km</w:t>
      </w:r>
      <w:proofErr w:type="gramEnd"/>
      <w:r w:rsidRPr="0063657F">
        <w:rPr>
          <w:b/>
          <w:i/>
        </w:rPr>
        <w:t xml:space="preserve"> </w:t>
      </w:r>
      <w:r w:rsidRPr="0063657F">
        <w:t>means metres cubed kilometres.</w:t>
      </w:r>
    </w:p>
    <w:p w:rsidR="00F10732" w:rsidRPr="0063657F" w:rsidRDefault="00F10732" w:rsidP="008D1E78">
      <w:pPr>
        <w:pStyle w:val="tDefn"/>
      </w:pPr>
      <w:proofErr w:type="gramStart"/>
      <w:r w:rsidRPr="0063657F">
        <w:rPr>
          <w:b/>
          <w:i/>
        </w:rPr>
        <w:t>national</w:t>
      </w:r>
      <w:proofErr w:type="gramEnd"/>
      <w:r w:rsidRPr="0063657F">
        <w:rPr>
          <w:b/>
          <w:i/>
        </w:rPr>
        <w:t xml:space="preserve"> facility definition</w:t>
      </w:r>
      <w:r w:rsidRPr="0063657F">
        <w:t xml:space="preserve"> means the requirements for</w:t>
      </w:r>
      <w:r w:rsidR="008D1E78" w:rsidRPr="0063657F">
        <w:t xml:space="preserve"> a transport facility applying </w:t>
      </w:r>
      <w:r w:rsidRPr="0063657F">
        <w:t xml:space="preserve">as a result of a nomination under </w:t>
      </w:r>
      <w:proofErr w:type="spellStart"/>
      <w:r w:rsidRPr="0063657F">
        <w:t>subregulation</w:t>
      </w:r>
      <w:proofErr w:type="spellEnd"/>
      <w:r w:rsidRPr="0063657F">
        <w:t xml:space="preserve"> 2.19A(2)</w:t>
      </w:r>
      <w:r w:rsidR="00B47E72" w:rsidRPr="0063657F">
        <w:t xml:space="preserve"> of the NGER Regulations</w:t>
      </w:r>
      <w:r w:rsidR="008D1E78" w:rsidRPr="0063657F">
        <w:t>.</w:t>
      </w:r>
    </w:p>
    <w:p w:rsidR="00F10732" w:rsidRPr="0063657F" w:rsidRDefault="00F10732" w:rsidP="00F10732">
      <w:pPr>
        <w:pStyle w:val="tDefn"/>
      </w:pPr>
      <w:proofErr w:type="gramStart"/>
      <w:r w:rsidRPr="0063657F">
        <w:rPr>
          <w:b/>
          <w:i/>
        </w:rPr>
        <w:t>new</w:t>
      </w:r>
      <w:proofErr w:type="gramEnd"/>
      <w:r w:rsidRPr="0063657F">
        <w:rPr>
          <w:b/>
          <w:i/>
        </w:rPr>
        <w:t xml:space="preserve"> facility criteria</w:t>
      </w:r>
      <w:r w:rsidRPr="0063657F">
        <w:t xml:space="preserve"> means:</w:t>
      </w:r>
    </w:p>
    <w:p w:rsidR="00F10732" w:rsidRPr="0063657F" w:rsidRDefault="00F10732" w:rsidP="00F10732">
      <w:pPr>
        <w:pStyle w:val="tPara"/>
      </w:pPr>
      <w:r w:rsidRPr="0063657F">
        <w:tab/>
        <w:t>(a)</w:t>
      </w:r>
      <w:r w:rsidRPr="0063657F">
        <w:tab/>
      </w:r>
      <w:proofErr w:type="gramStart"/>
      <w:r w:rsidRPr="0063657F">
        <w:t>in</w:t>
      </w:r>
      <w:proofErr w:type="gramEnd"/>
      <w:r w:rsidRPr="0063657F">
        <w:t xml:space="preserve"> relation to a calculated-emissions baseline determination—the criteria in section</w:t>
      </w:r>
      <w:r w:rsidR="00814503" w:rsidRPr="0063657F">
        <w:t> </w:t>
      </w:r>
      <w:r w:rsidRPr="0063657F">
        <w:t>23.</w:t>
      </w:r>
    </w:p>
    <w:p w:rsidR="00F10732" w:rsidRPr="0063657F" w:rsidRDefault="00F10732" w:rsidP="00F10732">
      <w:pPr>
        <w:pStyle w:val="tPara"/>
      </w:pPr>
      <w:r w:rsidRPr="0063657F">
        <w:lastRenderedPageBreak/>
        <w:tab/>
        <w:t>(b)</w:t>
      </w:r>
      <w:r w:rsidRPr="0063657F">
        <w:tab/>
      </w:r>
      <w:proofErr w:type="gramStart"/>
      <w:r w:rsidRPr="0063657F">
        <w:t>in</w:t>
      </w:r>
      <w:proofErr w:type="gramEnd"/>
      <w:r w:rsidRPr="0063657F">
        <w:t xml:space="preserve"> relation to a benchmark-emissions baseline determin</w:t>
      </w:r>
      <w:r w:rsidR="00E53D30" w:rsidRPr="0063657F">
        <w:t>ation—the criteria in section</w:t>
      </w:r>
      <w:r w:rsidR="00814503" w:rsidRPr="0063657F">
        <w:t> </w:t>
      </w:r>
      <w:r w:rsidR="00E53D30" w:rsidRPr="0063657F">
        <w:t>33</w:t>
      </w:r>
      <w:r w:rsidRPr="0063657F">
        <w:t>.</w:t>
      </w:r>
    </w:p>
    <w:p w:rsidR="00F10732" w:rsidRPr="0063657F" w:rsidRDefault="00F10732" w:rsidP="00F10732">
      <w:pPr>
        <w:pStyle w:val="tDefn"/>
      </w:pPr>
      <w:r w:rsidRPr="0063657F">
        <w:rPr>
          <w:b/>
          <w:i/>
        </w:rPr>
        <w:t>NGER (Measurement) Determination</w:t>
      </w:r>
      <w:r w:rsidRPr="0063657F">
        <w:t xml:space="preserve"> means the </w:t>
      </w:r>
      <w:r w:rsidRPr="0063657F">
        <w:rPr>
          <w:i/>
        </w:rPr>
        <w:t>National Greenhouse and Energy Reporting (Measurement) Determination 2008</w:t>
      </w:r>
      <w:r w:rsidRPr="0063657F">
        <w:t>.</w:t>
      </w:r>
    </w:p>
    <w:p w:rsidR="00B47E72" w:rsidRPr="0063657F" w:rsidRDefault="00B47E72" w:rsidP="00F10732">
      <w:pPr>
        <w:pStyle w:val="tDefn"/>
      </w:pPr>
      <w:r w:rsidRPr="0063657F">
        <w:rPr>
          <w:b/>
          <w:i/>
        </w:rPr>
        <w:t xml:space="preserve">NGER Regulations </w:t>
      </w:r>
      <w:r w:rsidRPr="0063657F">
        <w:t xml:space="preserve">means the </w:t>
      </w:r>
      <w:r w:rsidRPr="0063657F">
        <w:rPr>
          <w:i/>
        </w:rPr>
        <w:t>National Greenhouse and Energy Reporting Regulations 2008.</w:t>
      </w:r>
    </w:p>
    <w:p w:rsidR="00F10732" w:rsidRPr="0063657F" w:rsidRDefault="00F10732" w:rsidP="00F10732">
      <w:pPr>
        <w:pStyle w:val="tDefn"/>
      </w:pPr>
      <w:proofErr w:type="gramStart"/>
      <w:r w:rsidRPr="0063657F">
        <w:rPr>
          <w:b/>
          <w:i/>
        </w:rPr>
        <w:t>output</w:t>
      </w:r>
      <w:proofErr w:type="gramEnd"/>
      <w:r w:rsidRPr="0063657F">
        <w:t xml:space="preserve"> means a product that is:</w:t>
      </w:r>
    </w:p>
    <w:p w:rsidR="00C654E5" w:rsidRPr="0063657F" w:rsidRDefault="00F10732" w:rsidP="00C654E5">
      <w:pPr>
        <w:pStyle w:val="tPara"/>
      </w:pPr>
      <w:r w:rsidRPr="0063657F">
        <w:tab/>
        <w:t>(a)</w:t>
      </w:r>
      <w:r w:rsidRPr="0063657F">
        <w:tab/>
      </w:r>
      <w:proofErr w:type="gramStart"/>
      <w:r w:rsidRPr="0063657F">
        <w:t>if</w:t>
      </w:r>
      <w:proofErr w:type="gramEnd"/>
      <w:r w:rsidRPr="0063657F">
        <w:t xml:space="preserve"> the output is from a transport facility—a transport service measured by service units; or</w:t>
      </w:r>
    </w:p>
    <w:p w:rsidR="00C654E5" w:rsidRPr="0063657F" w:rsidRDefault="00C654E5" w:rsidP="00C654E5">
      <w:pPr>
        <w:pStyle w:val="tPara"/>
      </w:pPr>
      <w:r w:rsidRPr="0063657F">
        <w:tab/>
        <w:t>(b)</w:t>
      </w:r>
      <w:r w:rsidRPr="0063657F">
        <w:tab/>
        <w:t xml:space="preserve">if more than </w:t>
      </w:r>
      <w:r w:rsidR="00D27F10" w:rsidRPr="0063657F">
        <w:t xml:space="preserve">25,000 megawatt hours </w:t>
      </w:r>
      <w:r w:rsidRPr="0063657F">
        <w:t>of electricity is, or is to be, generated at the facility</w:t>
      </w:r>
      <w:r w:rsidR="00D27F10" w:rsidRPr="0063657F">
        <w:t xml:space="preserve"> in a financial year</w:t>
      </w:r>
      <w:r w:rsidRPr="0063657F">
        <w:t>—electricity generated at the facility; or</w:t>
      </w:r>
    </w:p>
    <w:p w:rsidR="00F10732" w:rsidRPr="0063657F" w:rsidRDefault="00C654E5" w:rsidP="00F10732">
      <w:pPr>
        <w:pStyle w:val="tPara"/>
      </w:pPr>
      <w:r w:rsidRPr="0063657F">
        <w:tab/>
        <w:t>(c</w:t>
      </w:r>
      <w:r w:rsidR="00F10732" w:rsidRPr="0063657F">
        <w:t>)</w:t>
      </w:r>
      <w:r w:rsidR="00F10732" w:rsidRPr="0063657F">
        <w:tab/>
      </w:r>
      <w:proofErr w:type="gramStart"/>
      <w:r w:rsidR="00F10732" w:rsidRPr="0063657F">
        <w:t>otherwise—</w:t>
      </w:r>
      <w:proofErr w:type="gramEnd"/>
      <w:r w:rsidR="00F10732" w:rsidRPr="0063657F">
        <w:t>the last product resulting from a chemical or physical process undertaken by a facility using one or more inputs or intermediate products.</w:t>
      </w:r>
    </w:p>
    <w:p w:rsidR="00F10732" w:rsidRPr="0063657F" w:rsidRDefault="00F10732" w:rsidP="00F10732">
      <w:pPr>
        <w:pStyle w:val="tDefn"/>
      </w:pPr>
      <w:proofErr w:type="gramStart"/>
      <w:r w:rsidRPr="0063657F">
        <w:rPr>
          <w:b/>
          <w:i/>
        </w:rPr>
        <w:t>output</w:t>
      </w:r>
      <w:proofErr w:type="gramEnd"/>
      <w:r w:rsidRPr="0063657F">
        <w:rPr>
          <w:b/>
          <w:i/>
        </w:rPr>
        <w:t xml:space="preserve"> variable</w:t>
      </w:r>
      <w:r w:rsidRPr="0063657F">
        <w:t xml:space="preserve"> means any of the following:</w:t>
      </w:r>
    </w:p>
    <w:p w:rsidR="007B3D8A" w:rsidRPr="0063657F" w:rsidRDefault="00F10732" w:rsidP="007B3D8A">
      <w:pPr>
        <w:pStyle w:val="tPara"/>
      </w:pPr>
      <w:r w:rsidRPr="0063657F">
        <w:tab/>
        <w:t>(a)</w:t>
      </w:r>
      <w:r w:rsidRPr="0063657F">
        <w:tab/>
      </w:r>
      <w:proofErr w:type="gramStart"/>
      <w:r w:rsidRPr="0063657F">
        <w:t>if</w:t>
      </w:r>
      <w:proofErr w:type="gramEnd"/>
      <w:r w:rsidRPr="0063657F">
        <w:t xml:space="preserve"> </w:t>
      </w:r>
      <w:r w:rsidR="004F2184" w:rsidRPr="0063657F">
        <w:t xml:space="preserve">the </w:t>
      </w:r>
      <w:r w:rsidR="007B3D8A" w:rsidRPr="0063657F">
        <w:t>only output for a facility is</w:t>
      </w:r>
      <w:r w:rsidRPr="0063657F">
        <w:t xml:space="preserve"> electricity generation—the quantity of electricity exported from the facility as measured in megawatt hours;</w:t>
      </w:r>
    </w:p>
    <w:p w:rsidR="007B3D8A" w:rsidRPr="0063657F" w:rsidRDefault="00C654E5" w:rsidP="007B3D8A">
      <w:pPr>
        <w:pStyle w:val="tPara"/>
      </w:pPr>
      <w:r w:rsidRPr="0063657F">
        <w:tab/>
        <w:t>(b)</w:t>
      </w:r>
      <w:r w:rsidRPr="0063657F">
        <w:tab/>
        <w:t>if</w:t>
      </w:r>
      <w:r w:rsidR="007B3D8A" w:rsidRPr="0063657F">
        <w:t xml:space="preserve"> electricity generation is one of 2 or more </w:t>
      </w:r>
      <w:r w:rsidRPr="0063657F">
        <w:t>outputs for a facility</w:t>
      </w:r>
      <w:r w:rsidR="007B3D8A" w:rsidRPr="0063657F">
        <w:t>—the quantity of electricity generated at the facility as measured in megawatt hours;</w:t>
      </w:r>
    </w:p>
    <w:p w:rsidR="00F10732" w:rsidRPr="0063657F" w:rsidRDefault="007B3D8A" w:rsidP="00F10732">
      <w:pPr>
        <w:pStyle w:val="tPara"/>
      </w:pPr>
      <w:r w:rsidRPr="0063657F">
        <w:tab/>
        <w:t>(c</w:t>
      </w:r>
      <w:r w:rsidR="00F10732" w:rsidRPr="0063657F">
        <w:t>)</w:t>
      </w:r>
      <w:r w:rsidR="00F10732" w:rsidRPr="0063657F">
        <w:tab/>
      </w:r>
      <w:proofErr w:type="gramStart"/>
      <w:r w:rsidR="00F10732" w:rsidRPr="0063657F">
        <w:t>if</w:t>
      </w:r>
      <w:proofErr w:type="gramEnd"/>
      <w:r w:rsidR="00F10732" w:rsidRPr="0063657F">
        <w:t xml:space="preserve"> the facility is a transport facility—the </w:t>
      </w:r>
      <w:r w:rsidR="004F2184" w:rsidRPr="0063657F">
        <w:t xml:space="preserve">quantity of </w:t>
      </w:r>
      <w:r w:rsidR="00F10732" w:rsidRPr="0063657F">
        <w:t>service units of that facility</w:t>
      </w:r>
    </w:p>
    <w:p w:rsidR="00F10732" w:rsidRPr="0063657F" w:rsidRDefault="007B3D8A" w:rsidP="00F10732">
      <w:pPr>
        <w:pStyle w:val="tPara"/>
      </w:pPr>
      <w:r w:rsidRPr="0063657F">
        <w:tab/>
        <w:t>(d</w:t>
      </w:r>
      <w:r w:rsidR="00F10732" w:rsidRPr="0063657F">
        <w:t>)</w:t>
      </w:r>
      <w:r w:rsidR="00F10732" w:rsidRPr="0063657F">
        <w:tab/>
      </w:r>
      <w:proofErr w:type="gramStart"/>
      <w:r w:rsidR="00F10732" w:rsidRPr="0063657F">
        <w:t>the</w:t>
      </w:r>
      <w:proofErr w:type="gramEnd"/>
      <w:r w:rsidR="00F10732" w:rsidRPr="0063657F">
        <w:t xml:space="preserve"> quantity of a product that is produced or processed by a facility, if:</w:t>
      </w:r>
    </w:p>
    <w:p w:rsidR="00F10732" w:rsidRPr="0063657F" w:rsidRDefault="00F10732" w:rsidP="00F10732">
      <w:pPr>
        <w:pStyle w:val="tSubpara"/>
      </w:pPr>
      <w:r w:rsidRPr="0063657F">
        <w:tab/>
        <w:t>(</w:t>
      </w:r>
      <w:proofErr w:type="spellStart"/>
      <w:r w:rsidRPr="0063657F">
        <w:t>i</w:t>
      </w:r>
      <w:proofErr w:type="spellEnd"/>
      <w:r w:rsidRPr="0063657F">
        <w:t>)</w:t>
      </w:r>
      <w:r w:rsidRPr="0063657F">
        <w:tab/>
      </w:r>
      <w:proofErr w:type="gramStart"/>
      <w:r w:rsidRPr="0063657F">
        <w:t>the</w:t>
      </w:r>
      <w:proofErr w:type="gramEnd"/>
      <w:r w:rsidRPr="0063657F">
        <w:t xml:space="preserve"> product is the last saleable output from a chemical or physical process undertaken by the facility; and</w:t>
      </w:r>
    </w:p>
    <w:p w:rsidR="00F10732" w:rsidRPr="0063657F" w:rsidRDefault="00F10732" w:rsidP="00F10732">
      <w:pPr>
        <w:pStyle w:val="tSubpara"/>
      </w:pPr>
      <w:r w:rsidRPr="0063657F">
        <w:tab/>
        <w:t>(ii)</w:t>
      </w:r>
      <w:r w:rsidRPr="0063657F">
        <w:tab/>
      </w:r>
      <w:proofErr w:type="gramStart"/>
      <w:r w:rsidRPr="0063657F">
        <w:t>an</w:t>
      </w:r>
      <w:proofErr w:type="gramEnd"/>
      <w:r w:rsidRPr="0063657F">
        <w:t xml:space="preserve"> increase in the quantity of the product produced or processed by the facility would result in an increase in the quantity of </w:t>
      </w:r>
      <w:r w:rsidR="0012715B" w:rsidRPr="0063657F">
        <w:t>covered</w:t>
      </w:r>
      <w:r w:rsidRPr="0063657F">
        <w:t xml:space="preserve"> emissions from the facility; and</w:t>
      </w:r>
    </w:p>
    <w:p w:rsidR="00F10732" w:rsidRPr="0063657F" w:rsidRDefault="00F10732" w:rsidP="00F10732">
      <w:pPr>
        <w:pStyle w:val="tSubpara"/>
      </w:pPr>
      <w:r w:rsidRPr="0063657F">
        <w:tab/>
        <w:t>(iii)</w:t>
      </w:r>
      <w:r w:rsidRPr="0063657F">
        <w:tab/>
      </w:r>
      <w:proofErr w:type="gramStart"/>
      <w:r w:rsidRPr="0063657F">
        <w:t>a</w:t>
      </w:r>
      <w:proofErr w:type="gramEnd"/>
      <w:r w:rsidRPr="0063657F">
        <w:t xml:space="preserve"> decrease in the quantity of the product produced or processed by the facility would result in a decrease in the quantity of </w:t>
      </w:r>
      <w:r w:rsidR="0012715B" w:rsidRPr="0063657F">
        <w:t>covered</w:t>
      </w:r>
      <w:r w:rsidRPr="0063657F">
        <w:t xml:space="preserve"> emissions from the facility; and</w:t>
      </w:r>
    </w:p>
    <w:p w:rsidR="00F10732" w:rsidRPr="0063657F" w:rsidRDefault="00F10732" w:rsidP="00F10732">
      <w:pPr>
        <w:pStyle w:val="tSubpara"/>
      </w:pPr>
      <w:r w:rsidRPr="0063657F">
        <w:tab/>
        <w:t>(iv)</w:t>
      </w:r>
      <w:r w:rsidRPr="0063657F">
        <w:tab/>
      </w:r>
      <w:proofErr w:type="gramStart"/>
      <w:r w:rsidRPr="0063657F">
        <w:t>the</w:t>
      </w:r>
      <w:proofErr w:type="gramEnd"/>
      <w:r w:rsidRPr="0063657F">
        <w:t xml:space="preserve"> quantity of the product can be expressed in a unit of measurement that complies with the </w:t>
      </w:r>
      <w:r w:rsidRPr="0063657F">
        <w:rPr>
          <w:i/>
        </w:rPr>
        <w:t>National Measurement Act 1960</w:t>
      </w:r>
      <w:r w:rsidRPr="0063657F">
        <w:t>; and</w:t>
      </w:r>
    </w:p>
    <w:p w:rsidR="00F10732" w:rsidRPr="0063657F" w:rsidRDefault="00F10732" w:rsidP="00F10732">
      <w:pPr>
        <w:pStyle w:val="tSubpara"/>
      </w:pPr>
      <w:r w:rsidRPr="0063657F">
        <w:tab/>
        <w:t>(v)</w:t>
      </w:r>
      <w:r w:rsidRPr="0063657F">
        <w:tab/>
      </w:r>
      <w:proofErr w:type="gramStart"/>
      <w:r w:rsidRPr="0063657F">
        <w:t>the</w:t>
      </w:r>
      <w:proofErr w:type="gramEnd"/>
      <w:r w:rsidRPr="0063657F">
        <w:t xml:space="preserve"> product is not an intermediate product, a by-product or a waste product.</w:t>
      </w:r>
    </w:p>
    <w:p w:rsidR="00F10732" w:rsidRPr="0063657F" w:rsidRDefault="00F10732" w:rsidP="00F10732">
      <w:pPr>
        <w:pStyle w:val="tDefn"/>
        <w:rPr>
          <w:lang w:val="en-US"/>
        </w:rPr>
      </w:pPr>
      <w:proofErr w:type="spellStart"/>
      <w:proofErr w:type="gramStart"/>
      <w:r w:rsidRPr="0063657F">
        <w:rPr>
          <w:b/>
          <w:bCs/>
          <w:i/>
          <w:iCs/>
        </w:rPr>
        <w:t>pkm</w:t>
      </w:r>
      <w:proofErr w:type="spellEnd"/>
      <w:proofErr w:type="gramEnd"/>
      <w:r w:rsidRPr="0063657F">
        <w:t xml:space="preserve"> means passenger kilometres.</w:t>
      </w:r>
    </w:p>
    <w:p w:rsidR="00F10732" w:rsidRPr="0063657F" w:rsidRDefault="00F10732" w:rsidP="00F10732">
      <w:pPr>
        <w:pStyle w:val="tDefn"/>
        <w:rPr>
          <w:b/>
          <w:i/>
          <w:szCs w:val="22"/>
        </w:rPr>
      </w:pPr>
      <w:proofErr w:type="spellStart"/>
      <w:proofErr w:type="gramStart"/>
      <w:r w:rsidRPr="0063657F">
        <w:rPr>
          <w:b/>
          <w:bCs/>
          <w:i/>
          <w:iCs/>
        </w:rPr>
        <w:t>pnmi</w:t>
      </w:r>
      <w:proofErr w:type="spellEnd"/>
      <w:proofErr w:type="gramEnd"/>
      <w:r w:rsidRPr="0063657F">
        <w:t xml:space="preserve"> means passenger nautical miles.</w:t>
      </w:r>
    </w:p>
    <w:p w:rsidR="00F10732" w:rsidRPr="0063657F" w:rsidRDefault="00F10732" w:rsidP="00F10732">
      <w:pPr>
        <w:pStyle w:val="tDefn"/>
        <w:rPr>
          <w:szCs w:val="22"/>
        </w:rPr>
      </w:pPr>
      <w:proofErr w:type="gramStart"/>
      <w:r w:rsidRPr="0063657F">
        <w:rPr>
          <w:b/>
          <w:i/>
          <w:szCs w:val="22"/>
        </w:rPr>
        <w:t>primary</w:t>
      </w:r>
      <w:proofErr w:type="gramEnd"/>
      <w:r w:rsidRPr="0063657F">
        <w:rPr>
          <w:b/>
          <w:i/>
          <w:szCs w:val="22"/>
        </w:rPr>
        <w:t xml:space="preserve"> production variable </w:t>
      </w:r>
      <w:r w:rsidRPr="0063657F">
        <w:rPr>
          <w:szCs w:val="22"/>
        </w:rPr>
        <w:t>means:</w:t>
      </w:r>
    </w:p>
    <w:p w:rsidR="00F10732" w:rsidRPr="0063657F" w:rsidRDefault="00F10732" w:rsidP="00F10732">
      <w:pPr>
        <w:pStyle w:val="tPara"/>
      </w:pPr>
      <w:r w:rsidRPr="0063657F">
        <w:tab/>
        <w:t>(a)</w:t>
      </w:r>
      <w:r w:rsidRPr="0063657F">
        <w:tab/>
      </w:r>
      <w:proofErr w:type="gramStart"/>
      <w:r w:rsidRPr="0063657F">
        <w:t>if</w:t>
      </w:r>
      <w:proofErr w:type="gramEnd"/>
      <w:r w:rsidRPr="0063657F">
        <w:t xml:space="preserve"> there is only one production variable—that variable</w:t>
      </w:r>
      <w:r w:rsidRPr="0063657F">
        <w:tab/>
      </w:r>
    </w:p>
    <w:p w:rsidR="00F10732" w:rsidRPr="0063657F" w:rsidRDefault="00F10732" w:rsidP="00F10732">
      <w:pPr>
        <w:pStyle w:val="tPara"/>
      </w:pPr>
      <w:r w:rsidRPr="0063657F">
        <w:tab/>
        <w:t>(b)</w:t>
      </w:r>
      <w:r w:rsidRPr="0063657F">
        <w:tab/>
        <w:t>if there is more than one production variable—the variable that is most significant for the operation of the facility having primary</w:t>
      </w:r>
      <w:r w:rsidR="00744D78" w:rsidRPr="0063657F">
        <w:t xml:space="preserve"> regard to the share of revenue</w:t>
      </w:r>
      <w:r w:rsidR="00BE4B54" w:rsidRPr="0063657F">
        <w:t xml:space="preserve"> and </w:t>
      </w:r>
      <w:r w:rsidR="000F63D8" w:rsidRPr="0063657F">
        <w:t xml:space="preserve">covered </w:t>
      </w:r>
      <w:r w:rsidR="00744D78" w:rsidRPr="0063657F">
        <w:t>emissions</w:t>
      </w:r>
      <w:r w:rsidR="00BE4B54" w:rsidRPr="0063657F">
        <w:t xml:space="preserve"> </w:t>
      </w:r>
      <w:r w:rsidRPr="0063657F">
        <w:t>directly or indirectly attributable to that production variable.</w:t>
      </w:r>
    </w:p>
    <w:p w:rsidR="00F10732" w:rsidRPr="0063657F" w:rsidRDefault="00F10732" w:rsidP="00F10732">
      <w:pPr>
        <w:pStyle w:val="tDefn"/>
        <w:rPr>
          <w:szCs w:val="22"/>
        </w:rPr>
      </w:pPr>
      <w:proofErr w:type="gramStart"/>
      <w:r w:rsidRPr="0063657F">
        <w:rPr>
          <w:b/>
          <w:i/>
          <w:szCs w:val="22"/>
        </w:rPr>
        <w:t>production</w:t>
      </w:r>
      <w:proofErr w:type="gramEnd"/>
      <w:r w:rsidRPr="0063657F">
        <w:rPr>
          <w:b/>
          <w:i/>
          <w:szCs w:val="22"/>
        </w:rPr>
        <w:t xml:space="preserve"> assessment period</w:t>
      </w:r>
      <w:r w:rsidRPr="0063657F">
        <w:rPr>
          <w:szCs w:val="22"/>
        </w:rPr>
        <w:t>, in relation to a production-adjusted baseline determination, means:</w:t>
      </w:r>
    </w:p>
    <w:p w:rsidR="003D6780" w:rsidRPr="0063657F" w:rsidRDefault="003D6780" w:rsidP="00F10732">
      <w:pPr>
        <w:pStyle w:val="tPara"/>
      </w:pPr>
      <w:r w:rsidRPr="0063657F">
        <w:tab/>
        <w:t>(</w:t>
      </w:r>
      <w:proofErr w:type="gramStart"/>
      <w:r w:rsidRPr="0063657F">
        <w:t>a</w:t>
      </w:r>
      <w:proofErr w:type="gramEnd"/>
      <w:r w:rsidRPr="0063657F">
        <w:t>)</w:t>
      </w:r>
      <w:r w:rsidRPr="0063657F">
        <w:tab/>
        <w:t>if paragraph 40</w:t>
      </w:r>
      <w:r w:rsidR="00F10732" w:rsidRPr="0063657F">
        <w:t>(1)(a) applies</w:t>
      </w:r>
      <w:r w:rsidRPr="0063657F">
        <w:t xml:space="preserve"> because of the expiry of a calculated-emissions baseline determination</w:t>
      </w:r>
      <w:r w:rsidR="00F10732" w:rsidRPr="0063657F">
        <w:t xml:space="preserve">—the period covered by </w:t>
      </w:r>
      <w:r w:rsidRPr="0063657F">
        <w:t>that</w:t>
      </w:r>
      <w:r w:rsidR="00F10732" w:rsidRPr="0063657F">
        <w:t xml:space="preserve"> </w:t>
      </w:r>
      <w:r w:rsidRPr="0063657F">
        <w:t>baseline determination;</w:t>
      </w:r>
    </w:p>
    <w:p w:rsidR="00F10732" w:rsidRPr="0063657F" w:rsidRDefault="003D6780" w:rsidP="003D6780">
      <w:pPr>
        <w:pStyle w:val="tPara"/>
      </w:pPr>
      <w:r w:rsidRPr="0063657F">
        <w:tab/>
        <w:t>(b)</w:t>
      </w:r>
      <w:r w:rsidRPr="0063657F">
        <w:tab/>
      </w:r>
      <w:proofErr w:type="gramStart"/>
      <w:r w:rsidRPr="0063657F">
        <w:t>if</w:t>
      </w:r>
      <w:proofErr w:type="gramEnd"/>
      <w:r w:rsidRPr="0063657F">
        <w:t xml:space="preserve"> paragraph 40(1)(a) applies because of the expiry of a benchmark-emissions baseline determination—the production estimation period used in calculating the baseline emissions number for that</w:t>
      </w:r>
      <w:r w:rsidR="00F10732" w:rsidRPr="0063657F">
        <w:t xml:space="preserve"> baseline determination; or</w:t>
      </w:r>
    </w:p>
    <w:p w:rsidR="00F10732" w:rsidRPr="0063657F" w:rsidRDefault="003D6780" w:rsidP="00F10732">
      <w:pPr>
        <w:pStyle w:val="tPara"/>
      </w:pPr>
      <w:r w:rsidRPr="0063657F">
        <w:lastRenderedPageBreak/>
        <w:tab/>
        <w:t>(c)</w:t>
      </w:r>
      <w:r w:rsidRPr="0063657F">
        <w:tab/>
      </w:r>
      <w:proofErr w:type="gramStart"/>
      <w:r w:rsidRPr="0063657F">
        <w:t>if</w:t>
      </w:r>
      <w:proofErr w:type="gramEnd"/>
      <w:r w:rsidRPr="0063657F">
        <w:t xml:space="preserve"> paragraph 40</w:t>
      </w:r>
      <w:r w:rsidR="00F10732" w:rsidRPr="0063657F">
        <w:t>(1)(b) applies—the three year period starting on 1 July of the first financial year the facility’s covered emissions exceeded 100,000 t CO</w:t>
      </w:r>
      <w:r w:rsidR="00F10732" w:rsidRPr="0063657F">
        <w:rPr>
          <w:vertAlign w:val="subscript"/>
        </w:rPr>
        <w:t>2</w:t>
      </w:r>
      <w:r w:rsidR="007F7E20" w:rsidRPr="0063657F">
        <w:rPr>
          <w:rFonts w:ascii="Helvetica Neue" w:hAnsi="Helvetica Neue"/>
          <w:b/>
          <w:bCs/>
          <w:i/>
          <w:iCs/>
          <w:sz w:val="19"/>
          <w:szCs w:val="19"/>
        </w:rPr>
        <w:noBreakHyphen/>
      </w:r>
      <w:r w:rsidR="00F10732" w:rsidRPr="0063657F">
        <w:t>e.</w:t>
      </w:r>
    </w:p>
    <w:p w:rsidR="001B5C2A" w:rsidRPr="0063657F" w:rsidRDefault="001B5C2A" w:rsidP="001B5C2A">
      <w:pPr>
        <w:pStyle w:val="tDefn"/>
      </w:pPr>
      <w:proofErr w:type="gramStart"/>
      <w:r w:rsidRPr="0063657F">
        <w:rPr>
          <w:b/>
          <w:i/>
          <w:szCs w:val="22"/>
        </w:rPr>
        <w:t>production-adjusted</w:t>
      </w:r>
      <w:proofErr w:type="gramEnd"/>
      <w:r w:rsidRPr="0063657F">
        <w:rPr>
          <w:b/>
          <w:i/>
          <w:szCs w:val="22"/>
        </w:rPr>
        <w:t xml:space="preserve"> baseline determination </w:t>
      </w:r>
      <w:r w:rsidRPr="0063657F">
        <w:t>means a d</w:t>
      </w:r>
      <w:r w:rsidR="000F674F" w:rsidRPr="0063657F">
        <w:t>etermination under subsection 44</w:t>
      </w:r>
      <w:r w:rsidRPr="0063657F">
        <w:t>(2).</w:t>
      </w:r>
    </w:p>
    <w:p w:rsidR="009E690F" w:rsidRPr="0063657F" w:rsidRDefault="009E690F" w:rsidP="00F10732">
      <w:pPr>
        <w:pStyle w:val="tDefn"/>
        <w:rPr>
          <w:b/>
          <w:szCs w:val="22"/>
        </w:rPr>
      </w:pPr>
      <w:proofErr w:type="gramStart"/>
      <w:r w:rsidRPr="0063657F">
        <w:rPr>
          <w:b/>
          <w:i/>
          <w:szCs w:val="22"/>
        </w:rPr>
        <w:t>production</w:t>
      </w:r>
      <w:proofErr w:type="gramEnd"/>
      <w:r w:rsidRPr="0063657F">
        <w:rPr>
          <w:b/>
          <w:i/>
          <w:szCs w:val="22"/>
        </w:rPr>
        <w:t xml:space="preserve"> estimation period</w:t>
      </w:r>
      <w:r w:rsidRPr="0063657F">
        <w:rPr>
          <w:b/>
          <w:szCs w:val="22"/>
        </w:rPr>
        <w:t xml:space="preserve"> </w:t>
      </w:r>
      <w:r w:rsidRPr="0063657F">
        <w:rPr>
          <w:szCs w:val="22"/>
        </w:rPr>
        <w:t>has th</w:t>
      </w:r>
      <w:r w:rsidR="003E3A1B" w:rsidRPr="0063657F">
        <w:rPr>
          <w:szCs w:val="22"/>
        </w:rPr>
        <w:t>e meaning given by subsection 35</w:t>
      </w:r>
      <w:r w:rsidRPr="0063657F">
        <w:rPr>
          <w:szCs w:val="22"/>
        </w:rPr>
        <w:t>(4).</w:t>
      </w:r>
    </w:p>
    <w:p w:rsidR="00F10732" w:rsidRPr="0063657F" w:rsidRDefault="00F10732" w:rsidP="00F10732">
      <w:pPr>
        <w:pStyle w:val="tDefn"/>
        <w:rPr>
          <w:szCs w:val="22"/>
        </w:rPr>
      </w:pPr>
      <w:proofErr w:type="gramStart"/>
      <w:r w:rsidRPr="0063657F">
        <w:rPr>
          <w:b/>
          <w:i/>
          <w:szCs w:val="22"/>
        </w:rPr>
        <w:t>production</w:t>
      </w:r>
      <w:proofErr w:type="gramEnd"/>
      <w:r w:rsidRPr="0063657F">
        <w:rPr>
          <w:b/>
          <w:i/>
          <w:szCs w:val="22"/>
        </w:rPr>
        <w:t xml:space="preserve"> variable</w:t>
      </w:r>
      <w:r w:rsidRPr="0063657F">
        <w:rPr>
          <w:i/>
          <w:szCs w:val="22"/>
        </w:rPr>
        <w:t xml:space="preserve">, </w:t>
      </w:r>
      <w:r w:rsidRPr="0063657F">
        <w:rPr>
          <w:szCs w:val="22"/>
        </w:rPr>
        <w:t xml:space="preserve">for a facility, means: </w:t>
      </w:r>
    </w:p>
    <w:p w:rsidR="00A306BF" w:rsidRDefault="008F4D7C" w:rsidP="00F10732">
      <w:pPr>
        <w:pStyle w:val="tPara"/>
      </w:pPr>
      <w:r>
        <w:tab/>
        <w:t>(</w:t>
      </w:r>
      <w:proofErr w:type="gramStart"/>
      <w:r>
        <w:t>a</w:t>
      </w:r>
      <w:proofErr w:type="gramEnd"/>
      <w:r>
        <w:t>)</w:t>
      </w:r>
      <w:r>
        <w:tab/>
        <w:t>in relation to</w:t>
      </w:r>
      <w:r w:rsidR="00A306BF">
        <w:t>:</w:t>
      </w:r>
      <w:r w:rsidR="00F10732" w:rsidRPr="0063657F">
        <w:t xml:space="preserve"> </w:t>
      </w:r>
    </w:p>
    <w:p w:rsidR="00A306BF" w:rsidRDefault="00A306BF" w:rsidP="00A306BF">
      <w:pPr>
        <w:pStyle w:val="tSubpara"/>
      </w:pPr>
      <w:r>
        <w:tab/>
        <w:t>(</w:t>
      </w:r>
      <w:proofErr w:type="spellStart"/>
      <w:r>
        <w:t>i</w:t>
      </w:r>
      <w:proofErr w:type="spellEnd"/>
      <w:r>
        <w:t>)</w:t>
      </w:r>
      <w:r>
        <w:tab/>
      </w:r>
      <w:proofErr w:type="gramStart"/>
      <w:r w:rsidR="008F4D7C">
        <w:t>a</w:t>
      </w:r>
      <w:proofErr w:type="gramEnd"/>
      <w:r w:rsidR="008F4D7C">
        <w:t xml:space="preserve"> </w:t>
      </w:r>
      <w:r w:rsidR="00F10732" w:rsidRPr="0063657F">
        <w:t>calculated-emis</w:t>
      </w:r>
      <w:r>
        <w:t>sions baseline determination; or</w:t>
      </w:r>
    </w:p>
    <w:p w:rsidR="00A306BF" w:rsidRDefault="00A306BF" w:rsidP="00A306BF">
      <w:pPr>
        <w:pStyle w:val="tSubpara"/>
      </w:pPr>
      <w:r>
        <w:tab/>
        <w:t>(ii)</w:t>
      </w:r>
      <w:r>
        <w:tab/>
      </w:r>
      <w:proofErr w:type="gramStart"/>
      <w:r w:rsidR="008F4D7C">
        <w:t>a</w:t>
      </w:r>
      <w:proofErr w:type="gramEnd"/>
      <w:r w:rsidR="008F4D7C">
        <w:t xml:space="preserve"> </w:t>
      </w:r>
      <w:r w:rsidR="00F10732" w:rsidRPr="0063657F">
        <w:t>production-adjusted baseline determination to follow a calculated-emiss</w:t>
      </w:r>
      <w:r>
        <w:t>ions baseline determination; or</w:t>
      </w:r>
    </w:p>
    <w:p w:rsidR="00A306BF" w:rsidRDefault="00A306BF" w:rsidP="00A306BF">
      <w:pPr>
        <w:pStyle w:val="tSubpara"/>
      </w:pPr>
      <w:r>
        <w:tab/>
        <w:t>(ii)</w:t>
      </w:r>
      <w:r>
        <w:tab/>
      </w:r>
      <w:proofErr w:type="gramStart"/>
      <w:r w:rsidR="008F4D7C">
        <w:t>a</w:t>
      </w:r>
      <w:proofErr w:type="gramEnd"/>
      <w:r w:rsidR="008F4D7C">
        <w:t xml:space="preserve"> </w:t>
      </w:r>
      <w:r w:rsidR="00F10732" w:rsidRPr="0063657F">
        <w:t>variation of a baseline determinatio</w:t>
      </w:r>
      <w:r>
        <w:t>n under subdivision 6 of Part 3 for a facility other than a benchmark facility;</w:t>
      </w:r>
    </w:p>
    <w:p w:rsidR="00F10732" w:rsidRPr="0063657F" w:rsidRDefault="00A306BF" w:rsidP="00A306BF">
      <w:pPr>
        <w:pStyle w:val="tPara"/>
      </w:pPr>
      <w:r>
        <w:tab/>
      </w:r>
      <w:r>
        <w:tab/>
      </w:r>
      <w:r w:rsidR="00F10732" w:rsidRPr="0063657F">
        <w:t xml:space="preserve">an output variable, </w:t>
      </w:r>
      <w:r w:rsidR="00F163CA">
        <w:t xml:space="preserve">the quantity of an output, </w:t>
      </w:r>
      <w:r w:rsidR="00F10732" w:rsidRPr="0063657F">
        <w:t>the quantity of an input or the quantity of an intermediate product identified as a production variable for the facility in accordance with section 5; and</w:t>
      </w:r>
    </w:p>
    <w:p w:rsidR="00A306BF" w:rsidRDefault="008F4D7C" w:rsidP="00F10732">
      <w:pPr>
        <w:pStyle w:val="tPara"/>
      </w:pPr>
      <w:r>
        <w:tab/>
        <w:t>(b)</w:t>
      </w:r>
      <w:r>
        <w:tab/>
      </w:r>
      <w:proofErr w:type="gramStart"/>
      <w:r>
        <w:t>in</w:t>
      </w:r>
      <w:proofErr w:type="gramEnd"/>
      <w:r>
        <w:t xml:space="preserve"> relation to</w:t>
      </w:r>
      <w:r w:rsidR="00A306BF">
        <w:t>:</w:t>
      </w:r>
      <w:r w:rsidR="00F10732" w:rsidRPr="0063657F">
        <w:t xml:space="preserve"> </w:t>
      </w:r>
    </w:p>
    <w:p w:rsidR="00A306BF" w:rsidRDefault="00A306BF" w:rsidP="00A306BF">
      <w:pPr>
        <w:pStyle w:val="tSubpara"/>
      </w:pPr>
      <w:r>
        <w:tab/>
        <w:t>(</w:t>
      </w:r>
      <w:proofErr w:type="spellStart"/>
      <w:r>
        <w:t>i</w:t>
      </w:r>
      <w:proofErr w:type="spellEnd"/>
      <w:r>
        <w:t>)</w:t>
      </w:r>
      <w:r>
        <w:tab/>
      </w:r>
      <w:proofErr w:type="gramStart"/>
      <w:r w:rsidR="008F4D7C">
        <w:t>a</w:t>
      </w:r>
      <w:proofErr w:type="gramEnd"/>
      <w:r w:rsidR="008F4D7C">
        <w:t xml:space="preserve"> </w:t>
      </w:r>
      <w:r w:rsidR="00F10732" w:rsidRPr="0063657F">
        <w:t>benchmark-emissions baseline determination</w:t>
      </w:r>
      <w:r w:rsidR="00200BD0">
        <w:t>; or</w:t>
      </w:r>
      <w:r w:rsidR="00F10732" w:rsidRPr="0063657F">
        <w:t xml:space="preserve"> </w:t>
      </w:r>
    </w:p>
    <w:p w:rsidR="00A306BF" w:rsidRDefault="00A306BF" w:rsidP="00A306BF">
      <w:pPr>
        <w:pStyle w:val="tSubpara"/>
      </w:pPr>
      <w:r>
        <w:tab/>
        <w:t>(ii)</w:t>
      </w:r>
      <w:r>
        <w:tab/>
      </w:r>
      <w:proofErr w:type="gramStart"/>
      <w:r w:rsidR="008F4D7C">
        <w:t>a</w:t>
      </w:r>
      <w:proofErr w:type="gramEnd"/>
      <w:r w:rsidR="008F4D7C">
        <w:t xml:space="preserve"> </w:t>
      </w:r>
      <w:r w:rsidR="00F10732" w:rsidRPr="0063657F">
        <w:t>production-adjusted baseline determination that does not follow a calculated-emissions baseline determination</w:t>
      </w:r>
      <w:r>
        <w:t>; or</w:t>
      </w:r>
    </w:p>
    <w:p w:rsidR="00A306BF" w:rsidRDefault="00A306BF" w:rsidP="00A306BF">
      <w:pPr>
        <w:pStyle w:val="tSubpara"/>
      </w:pPr>
      <w:r>
        <w:tab/>
        <w:t>(ii)</w:t>
      </w:r>
      <w:r>
        <w:tab/>
      </w:r>
      <w:proofErr w:type="gramStart"/>
      <w:r w:rsidR="008F4D7C">
        <w:t>a</w:t>
      </w:r>
      <w:proofErr w:type="gramEnd"/>
      <w:r w:rsidR="008F4D7C">
        <w:t xml:space="preserve"> </w:t>
      </w:r>
      <w:r w:rsidRPr="0063657F">
        <w:t>variation of a baseline determinatio</w:t>
      </w:r>
      <w:r>
        <w:t>n under subdivision 6 of Part 3 for a benchmark facility;</w:t>
      </w:r>
    </w:p>
    <w:p w:rsidR="00F10732" w:rsidRPr="0063657F" w:rsidRDefault="00A306BF" w:rsidP="00A306BF">
      <w:pPr>
        <w:pStyle w:val="tPara"/>
      </w:pPr>
      <w:r>
        <w:tab/>
      </w:r>
      <w:r>
        <w:tab/>
      </w:r>
      <w:proofErr w:type="gramStart"/>
      <w:r w:rsidR="00F10732" w:rsidRPr="0063657F">
        <w:t>a</w:t>
      </w:r>
      <w:proofErr w:type="gramEnd"/>
      <w:r w:rsidR="00F10732" w:rsidRPr="0063657F">
        <w:t xml:space="preserve"> metric related to production at a facility that is applicable to the facility in accordance with any requirements set out in the Benchmark Emissions-Intensity Index.</w:t>
      </w:r>
    </w:p>
    <w:p w:rsidR="00F10732" w:rsidRPr="0063657F" w:rsidRDefault="00F10732" w:rsidP="00F10732">
      <w:pPr>
        <w:pStyle w:val="tDefn"/>
        <w:rPr>
          <w:i/>
        </w:rPr>
      </w:pPr>
      <w:proofErr w:type="gramStart"/>
      <w:r w:rsidRPr="0063657F">
        <w:rPr>
          <w:b/>
          <w:i/>
        </w:rPr>
        <w:t>qualified</w:t>
      </w:r>
      <w:proofErr w:type="gramEnd"/>
      <w:r w:rsidRPr="0063657F">
        <w:rPr>
          <w:b/>
          <w:i/>
        </w:rPr>
        <w:t xml:space="preserve"> limited assurance conclusion</w:t>
      </w:r>
      <w:r w:rsidRPr="0063657F">
        <w:t xml:space="preserve"> has the meaning given by the </w:t>
      </w:r>
      <w:r w:rsidRPr="0063657F">
        <w:rPr>
          <w:i/>
        </w:rPr>
        <w:t>National Greenhouse and Energy Reporting (Audit) Determination 2009.</w:t>
      </w:r>
    </w:p>
    <w:p w:rsidR="00F10732" w:rsidRPr="0063657F" w:rsidRDefault="00F10732" w:rsidP="00F10732">
      <w:pPr>
        <w:pStyle w:val="tDefn"/>
        <w:rPr>
          <w:i/>
        </w:rPr>
      </w:pPr>
      <w:proofErr w:type="gramStart"/>
      <w:r w:rsidRPr="0063657F">
        <w:rPr>
          <w:b/>
          <w:i/>
        </w:rPr>
        <w:t>qualified</w:t>
      </w:r>
      <w:proofErr w:type="gramEnd"/>
      <w:r w:rsidRPr="0063657F">
        <w:rPr>
          <w:b/>
          <w:i/>
        </w:rPr>
        <w:t xml:space="preserve"> reasonable assurance conclusion</w:t>
      </w:r>
      <w:r w:rsidRPr="0063657F">
        <w:t xml:space="preserve"> has the meaning given by the </w:t>
      </w:r>
      <w:r w:rsidRPr="0063657F">
        <w:rPr>
          <w:i/>
        </w:rPr>
        <w:t>National Greenhouse and Energy Reporting (Audit) Determination 2009.</w:t>
      </w:r>
    </w:p>
    <w:p w:rsidR="00F128DF" w:rsidRPr="0063657F" w:rsidRDefault="00F128DF" w:rsidP="00F128DF">
      <w:pPr>
        <w:pStyle w:val="tDefn"/>
        <w:rPr>
          <w:i/>
        </w:rPr>
      </w:pPr>
      <w:proofErr w:type="gramStart"/>
      <w:r w:rsidRPr="0063657F">
        <w:rPr>
          <w:b/>
          <w:i/>
        </w:rPr>
        <w:t>reasonable</w:t>
      </w:r>
      <w:proofErr w:type="gramEnd"/>
      <w:r w:rsidRPr="0063657F">
        <w:rPr>
          <w:b/>
          <w:i/>
        </w:rPr>
        <w:t xml:space="preserve"> assurance conclusion </w:t>
      </w:r>
      <w:r w:rsidRPr="0063657F">
        <w:t xml:space="preserve">has the meaning given by the </w:t>
      </w:r>
      <w:r w:rsidRPr="0063657F">
        <w:rPr>
          <w:i/>
        </w:rPr>
        <w:t>National Greenhouse and Energy Reporting (Audit) Determination 2009.</w:t>
      </w:r>
    </w:p>
    <w:p w:rsidR="001B5C2A" w:rsidRPr="0063657F" w:rsidRDefault="001B5C2A" w:rsidP="001B5C2A">
      <w:pPr>
        <w:pStyle w:val="tDefn"/>
      </w:pPr>
      <w:proofErr w:type="gramStart"/>
      <w:r w:rsidRPr="0063657F">
        <w:rPr>
          <w:b/>
          <w:i/>
        </w:rPr>
        <w:t>relevant</w:t>
      </w:r>
      <w:proofErr w:type="gramEnd"/>
      <w:r w:rsidRPr="0063657F">
        <w:rPr>
          <w:b/>
          <w:i/>
        </w:rPr>
        <w:t xml:space="preserve"> benchmark </w:t>
      </w:r>
      <w:r w:rsidR="001033B1" w:rsidRPr="0063657F">
        <w:rPr>
          <w:b/>
          <w:i/>
        </w:rPr>
        <w:t>emissions intensity</w:t>
      </w:r>
      <w:r w:rsidRPr="0063657F">
        <w:rPr>
          <w:b/>
          <w:i/>
        </w:rPr>
        <w:t xml:space="preserve"> </w:t>
      </w:r>
      <w:r w:rsidRPr="0063657F">
        <w:t>means the t CO</w:t>
      </w:r>
      <w:r w:rsidRPr="0063657F">
        <w:rPr>
          <w:vertAlign w:val="subscript"/>
        </w:rPr>
        <w:t>2</w:t>
      </w:r>
      <w:r w:rsidR="007F7E20" w:rsidRPr="0063657F">
        <w:rPr>
          <w:rFonts w:ascii="Helvetica Neue" w:hAnsi="Helvetica Neue"/>
          <w:b/>
          <w:bCs/>
          <w:i/>
          <w:iCs/>
          <w:sz w:val="19"/>
          <w:szCs w:val="19"/>
        </w:rPr>
        <w:noBreakHyphen/>
      </w:r>
      <w:r w:rsidRPr="0063657F">
        <w:t>e per unit of a production variable for a kind of facility in the Benchmark Emissions-Intensity Index.</w:t>
      </w:r>
    </w:p>
    <w:p w:rsidR="00331991" w:rsidRPr="0063657F" w:rsidRDefault="00331991" w:rsidP="00331991">
      <w:pPr>
        <w:pStyle w:val="tDefn"/>
        <w:rPr>
          <w:szCs w:val="22"/>
        </w:rPr>
      </w:pPr>
      <w:proofErr w:type="gramStart"/>
      <w:r w:rsidRPr="0063657F">
        <w:rPr>
          <w:b/>
          <w:i/>
          <w:szCs w:val="22"/>
        </w:rPr>
        <w:t>relevant</w:t>
      </w:r>
      <w:proofErr w:type="gramEnd"/>
      <w:r w:rsidRPr="0063657F">
        <w:rPr>
          <w:b/>
          <w:i/>
          <w:szCs w:val="22"/>
        </w:rPr>
        <w:t xml:space="preserve"> earlier estimates</w:t>
      </w:r>
      <w:r w:rsidRPr="0063657F">
        <w:rPr>
          <w:szCs w:val="22"/>
        </w:rPr>
        <w:t xml:space="preserve"> means any of the following:</w:t>
      </w:r>
    </w:p>
    <w:p w:rsidR="00331991" w:rsidRPr="0063657F" w:rsidRDefault="00331991" w:rsidP="00331991">
      <w:pPr>
        <w:pStyle w:val="tPara"/>
      </w:pPr>
      <w:r w:rsidRPr="0063657F">
        <w:tab/>
        <w:t>(a)</w:t>
      </w:r>
      <w:r w:rsidRPr="0063657F">
        <w:tab/>
      </w:r>
      <w:proofErr w:type="gramStart"/>
      <w:r w:rsidRPr="0063657F">
        <w:t>an</w:t>
      </w:r>
      <w:proofErr w:type="gramEnd"/>
      <w:r w:rsidRPr="0063657F">
        <w:t xml:space="preserve"> estimate included in an environmental impact assessment statement; </w:t>
      </w:r>
    </w:p>
    <w:p w:rsidR="00331991" w:rsidRPr="0063657F" w:rsidRDefault="00331991" w:rsidP="00331991">
      <w:pPr>
        <w:pStyle w:val="tPara"/>
      </w:pPr>
      <w:r w:rsidRPr="0063657F">
        <w:tab/>
        <w:t>(b)</w:t>
      </w:r>
      <w:r w:rsidRPr="0063657F">
        <w:tab/>
      </w:r>
      <w:proofErr w:type="gramStart"/>
      <w:r w:rsidRPr="0063657F">
        <w:t>an</w:t>
      </w:r>
      <w:proofErr w:type="gramEnd"/>
      <w:r w:rsidRPr="0063657F">
        <w:t xml:space="preserve"> estimate made in an earlier application for a baseline determination in relation to the facility;</w:t>
      </w:r>
    </w:p>
    <w:p w:rsidR="00331991" w:rsidRPr="0063657F" w:rsidRDefault="00331991" w:rsidP="00331991">
      <w:pPr>
        <w:pStyle w:val="tPara"/>
      </w:pPr>
      <w:r w:rsidRPr="0063657F">
        <w:tab/>
        <w:t>(c)</w:t>
      </w:r>
      <w:r w:rsidRPr="0063657F">
        <w:tab/>
      </w:r>
      <w:proofErr w:type="gramStart"/>
      <w:r w:rsidRPr="0063657F">
        <w:t>an</w:t>
      </w:r>
      <w:proofErr w:type="gramEnd"/>
      <w:r w:rsidRPr="0063657F">
        <w:t xml:space="preserve"> estimate published by the responsible emitter or by a person associated with the responsible emitter, such as their controlling corporation;</w:t>
      </w:r>
    </w:p>
    <w:p w:rsidR="00331991" w:rsidRPr="0063657F" w:rsidRDefault="006303D7" w:rsidP="00C50DD9">
      <w:pPr>
        <w:pStyle w:val="tDefn"/>
        <w:spacing w:before="40"/>
        <w:rPr>
          <w:szCs w:val="22"/>
        </w:rPr>
      </w:pPr>
      <w:proofErr w:type="gramStart"/>
      <w:r w:rsidRPr="0063657F">
        <w:t>that</w:t>
      </w:r>
      <w:proofErr w:type="gramEnd"/>
      <w:r w:rsidR="00331991" w:rsidRPr="0063657F">
        <w:t>:</w:t>
      </w:r>
      <w:r w:rsidR="00331991" w:rsidRPr="0063657F">
        <w:tab/>
      </w:r>
    </w:p>
    <w:p w:rsidR="00331991" w:rsidRPr="0063657F" w:rsidRDefault="00331991" w:rsidP="00331991">
      <w:pPr>
        <w:pStyle w:val="tPara"/>
      </w:pPr>
      <w:r w:rsidRPr="0063657F">
        <w:tab/>
        <w:t>(</w:t>
      </w:r>
      <w:proofErr w:type="gramStart"/>
      <w:r w:rsidRPr="0063657F">
        <w:t>d</w:t>
      </w:r>
      <w:proofErr w:type="gramEnd"/>
      <w:r w:rsidRPr="0063657F">
        <w:t>)</w:t>
      </w:r>
      <w:r w:rsidRPr="0063657F">
        <w:tab/>
        <w:t>was publically available or submitted to the Regulator before the relevant application for a baseline determination; and</w:t>
      </w:r>
    </w:p>
    <w:p w:rsidR="00331991" w:rsidRPr="0063657F" w:rsidRDefault="00331991" w:rsidP="00331991">
      <w:pPr>
        <w:pStyle w:val="tPara"/>
      </w:pPr>
      <w:r w:rsidRPr="0063657F">
        <w:tab/>
        <w:t>(</w:t>
      </w:r>
      <w:proofErr w:type="gramStart"/>
      <w:r w:rsidRPr="0063657F">
        <w:t>e</w:t>
      </w:r>
      <w:proofErr w:type="gramEnd"/>
      <w:r w:rsidRPr="0063657F">
        <w:t>)</w:t>
      </w:r>
      <w:r w:rsidRPr="0063657F">
        <w:tab/>
        <w:t xml:space="preserve">relates to the </w:t>
      </w:r>
      <w:r w:rsidR="000D5605" w:rsidRPr="0063657F">
        <w:t xml:space="preserve">expected </w:t>
      </w:r>
      <w:r w:rsidR="000F63D8" w:rsidRPr="0063657F">
        <w:t xml:space="preserve">covered </w:t>
      </w:r>
      <w:r w:rsidR="000D5605" w:rsidRPr="0063657F">
        <w:t xml:space="preserve">emissions, </w:t>
      </w:r>
      <w:r w:rsidR="000F63D8" w:rsidRPr="0063657F">
        <w:t xml:space="preserve">covered </w:t>
      </w:r>
      <w:r w:rsidR="001033B1" w:rsidRPr="0063657F">
        <w:t>emissions intensity</w:t>
      </w:r>
      <w:r w:rsidRPr="0063657F">
        <w:t xml:space="preserve"> or </w:t>
      </w:r>
      <w:r w:rsidR="006303D7" w:rsidRPr="0063657F">
        <w:t>quantity of a production variable relied upon in an application for a baseline determination.</w:t>
      </w:r>
    </w:p>
    <w:p w:rsidR="00F10732" w:rsidRPr="0063657F" w:rsidRDefault="00F10732" w:rsidP="00F10732">
      <w:pPr>
        <w:pStyle w:val="tDefn"/>
      </w:pPr>
      <w:proofErr w:type="gramStart"/>
      <w:r w:rsidRPr="0063657F">
        <w:rPr>
          <w:b/>
          <w:i/>
        </w:rPr>
        <w:t>reported-emissions</w:t>
      </w:r>
      <w:proofErr w:type="gramEnd"/>
      <w:r w:rsidRPr="0063657F">
        <w:rPr>
          <w:b/>
          <w:i/>
        </w:rPr>
        <w:t xml:space="preserve"> baseline determination </w:t>
      </w:r>
      <w:r w:rsidRPr="0063657F">
        <w:t>means a determination under subsection</w:t>
      </w:r>
      <w:r w:rsidR="001D1ACB" w:rsidRPr="0063657F">
        <w:t> </w:t>
      </w:r>
      <w:r w:rsidRPr="0063657F">
        <w:t>14(1) or (2).</w:t>
      </w:r>
    </w:p>
    <w:p w:rsidR="00F032BF" w:rsidRPr="0063657F" w:rsidRDefault="00F032BF" w:rsidP="00F032BF">
      <w:pPr>
        <w:pStyle w:val="tDefn"/>
      </w:pPr>
      <w:r w:rsidRPr="0063657F">
        <w:rPr>
          <w:b/>
          <w:i/>
        </w:rPr>
        <w:lastRenderedPageBreak/>
        <w:t xml:space="preserve">sectoral-baseline financial year </w:t>
      </w:r>
      <w:r w:rsidRPr="0063657F">
        <w:t xml:space="preserve">means every financial year before the financial year beginning on the first 1 July after the Regulator has published a statement on its website that the total reported scope 1 emissions of all grid-connected electricity generators exceeded </w:t>
      </w:r>
      <w:r w:rsidR="00396A0F" w:rsidRPr="0063657F">
        <w:t>198</w:t>
      </w:r>
      <w:r w:rsidRPr="0063657F">
        <w:t>,000,000 t CO</w:t>
      </w:r>
      <w:r w:rsidRPr="0063657F">
        <w:rPr>
          <w:vertAlign w:val="subscript"/>
        </w:rPr>
        <w:t>2</w:t>
      </w:r>
      <w:r w:rsidR="007F7E20" w:rsidRPr="0063657F">
        <w:rPr>
          <w:rFonts w:ascii="Helvetica Neue" w:hAnsi="Helvetica Neue"/>
          <w:b/>
          <w:bCs/>
          <w:i/>
          <w:iCs/>
          <w:sz w:val="19"/>
          <w:szCs w:val="19"/>
        </w:rPr>
        <w:noBreakHyphen/>
      </w:r>
      <w:r w:rsidRPr="0063657F">
        <w:t>e emissions in the previous financial year based upon reports submitted to the Regulator at the time of the statement. The Regulator must take all reasonable steps to publish the statement at least 4 months before the start of the financial year which is not a sectoral-baseline financial year.</w:t>
      </w:r>
    </w:p>
    <w:p w:rsidR="00F032BF" w:rsidRPr="0063657F" w:rsidRDefault="00F032BF" w:rsidP="00F032BF">
      <w:pPr>
        <w:pStyle w:val="nPara"/>
      </w:pPr>
      <w:r w:rsidRPr="0063657F">
        <w:tab/>
        <w:t>Example:</w:t>
      </w:r>
      <w:r w:rsidRPr="0063657F">
        <w:tab/>
        <w:t>If the sum of reported emissions from each grid-connec</w:t>
      </w:r>
      <w:r w:rsidR="00D43155" w:rsidRPr="0063657F">
        <w:t>ted electricity generator was 21</w:t>
      </w:r>
      <w:r w:rsidRPr="0063657F">
        <w:t>0,000,000 t CO</w:t>
      </w:r>
      <w:r w:rsidRPr="0063657F">
        <w:rPr>
          <w:vertAlign w:val="subscript"/>
        </w:rPr>
        <w:t>2</w:t>
      </w:r>
      <w:r w:rsidR="007F7E20" w:rsidRPr="0063657F">
        <w:rPr>
          <w:rFonts w:ascii="Helvetica Neue" w:hAnsi="Helvetica Neue"/>
          <w:b/>
          <w:bCs/>
          <w:i/>
          <w:iCs/>
          <w:sz w:val="19"/>
          <w:szCs w:val="19"/>
        </w:rPr>
        <w:noBreakHyphen/>
      </w:r>
      <w:r w:rsidRPr="0063657F">
        <w:t>e in 2020-21, by 28 February 2022 the Regulator would publish a statement on its website and the fina</w:t>
      </w:r>
      <w:r w:rsidR="00951ED3" w:rsidRPr="0063657F">
        <w:t>ncial year beginning 1 July 2022</w:t>
      </w:r>
      <w:r w:rsidRPr="0063657F">
        <w:t xml:space="preserve"> would not be a sectoral-baseline financial year and emissions of grid-connected electricity generators would be covered emissions in that year.</w:t>
      </w:r>
    </w:p>
    <w:p w:rsidR="0033313B" w:rsidRPr="0063657F" w:rsidRDefault="0033313B" w:rsidP="00F10732">
      <w:pPr>
        <w:pStyle w:val="tDefn"/>
      </w:pPr>
      <w:proofErr w:type="gramStart"/>
      <w:r w:rsidRPr="0063657F">
        <w:rPr>
          <w:b/>
          <w:i/>
        </w:rPr>
        <w:t>service</w:t>
      </w:r>
      <w:proofErr w:type="gramEnd"/>
      <w:r w:rsidRPr="0063657F">
        <w:rPr>
          <w:b/>
          <w:i/>
        </w:rPr>
        <w:t xml:space="preserve"> unit </w:t>
      </w:r>
      <w:r w:rsidRPr="0063657F">
        <w:t xml:space="preserve">means a unit of measure </w:t>
      </w:r>
      <w:r w:rsidR="00636C21" w:rsidRPr="0063657F">
        <w:t>related to a transport facility</w:t>
      </w:r>
      <w:r w:rsidRPr="0063657F">
        <w:t xml:space="preserve"> </w:t>
      </w:r>
      <w:r w:rsidR="00636C21" w:rsidRPr="0063657F">
        <w:t>(</w:t>
      </w:r>
      <w:r w:rsidRPr="0063657F">
        <w:t xml:space="preserve">such as </w:t>
      </w:r>
      <w:proofErr w:type="spellStart"/>
      <w:r w:rsidRPr="0063657F">
        <w:t>askm</w:t>
      </w:r>
      <w:proofErr w:type="spellEnd"/>
      <w:r w:rsidRPr="0063657F">
        <w:t xml:space="preserve">, </w:t>
      </w:r>
      <w:proofErr w:type="spellStart"/>
      <w:r w:rsidRPr="0063657F">
        <w:t>dwtnmi</w:t>
      </w:r>
      <w:proofErr w:type="spellEnd"/>
      <w:r w:rsidRPr="0063657F">
        <w:t xml:space="preserve">, </w:t>
      </w:r>
      <w:r w:rsidRPr="0063657F">
        <w:rPr>
          <w:rFonts w:ascii="Helvetica Neue" w:hAnsi="Helvetica Neue"/>
          <w:szCs w:val="22"/>
        </w:rPr>
        <w:t>m</w:t>
      </w:r>
      <w:r w:rsidRPr="0063657F">
        <w:rPr>
          <w:rFonts w:ascii="Helvetica Neue" w:hAnsi="Helvetica Neue"/>
          <w:szCs w:val="22"/>
          <w:vertAlign w:val="superscript"/>
        </w:rPr>
        <w:t>3</w:t>
      </w:r>
      <w:r w:rsidRPr="0063657F">
        <w:rPr>
          <w:rFonts w:ascii="Helvetica Neue" w:hAnsi="Helvetica Neue"/>
          <w:szCs w:val="22"/>
        </w:rPr>
        <w:t>km,</w:t>
      </w:r>
      <w:r w:rsidRPr="0063657F">
        <w:t xml:space="preserve"> </w:t>
      </w:r>
      <w:proofErr w:type="spellStart"/>
      <w:r w:rsidRPr="0063657F">
        <w:t>p</w:t>
      </w:r>
      <w:r w:rsidR="00636C21" w:rsidRPr="0063657F">
        <w:t>km</w:t>
      </w:r>
      <w:proofErr w:type="spellEnd"/>
      <w:r w:rsidR="00636C21" w:rsidRPr="0063657F">
        <w:t xml:space="preserve">, </w:t>
      </w:r>
      <w:proofErr w:type="spellStart"/>
      <w:r w:rsidR="00636C21" w:rsidRPr="0063657F">
        <w:t>pnmi</w:t>
      </w:r>
      <w:proofErr w:type="spellEnd"/>
      <w:r w:rsidR="00636C21" w:rsidRPr="0063657F">
        <w:t xml:space="preserve">, </w:t>
      </w:r>
      <w:proofErr w:type="spellStart"/>
      <w:r w:rsidR="00636C21" w:rsidRPr="0063657F">
        <w:t>tkm</w:t>
      </w:r>
      <w:proofErr w:type="spellEnd"/>
      <w:r w:rsidR="00636C21" w:rsidRPr="0063657F">
        <w:t xml:space="preserve">, </w:t>
      </w:r>
      <w:proofErr w:type="spellStart"/>
      <w:r w:rsidR="00636C21" w:rsidRPr="0063657F">
        <w:t>tnmi</w:t>
      </w:r>
      <w:proofErr w:type="spellEnd"/>
      <w:r w:rsidR="00636C21" w:rsidRPr="0063657F">
        <w:t xml:space="preserve"> or </w:t>
      </w:r>
      <w:proofErr w:type="spellStart"/>
      <w:r w:rsidR="00636C21" w:rsidRPr="0063657F">
        <w:t>vkt</w:t>
      </w:r>
      <w:proofErr w:type="spellEnd"/>
      <w:r w:rsidR="00636C21" w:rsidRPr="0063657F">
        <w:t>)</w:t>
      </w:r>
      <w:r w:rsidRPr="0063657F">
        <w:t xml:space="preserve"> determined </w:t>
      </w:r>
      <w:r w:rsidR="00636C21" w:rsidRPr="0063657F">
        <w:t xml:space="preserve">and measured </w:t>
      </w:r>
      <w:r w:rsidRPr="0063657F">
        <w:t>by the responsible emitter for the facility taking into account:</w:t>
      </w:r>
    </w:p>
    <w:p w:rsidR="0033313B" w:rsidRPr="0063657F" w:rsidRDefault="0033313B" w:rsidP="0033313B">
      <w:pPr>
        <w:pStyle w:val="tPara"/>
      </w:pPr>
      <w:r w:rsidRPr="0063657F">
        <w:tab/>
        <w:t>(a)</w:t>
      </w:r>
      <w:r w:rsidRPr="0063657F">
        <w:tab/>
      </w:r>
      <w:proofErr w:type="gramStart"/>
      <w:r w:rsidRPr="0063657F">
        <w:t>standard</w:t>
      </w:r>
      <w:proofErr w:type="gramEnd"/>
      <w:r w:rsidRPr="0063657F">
        <w:t xml:space="preserve"> industry practice; and</w:t>
      </w:r>
    </w:p>
    <w:p w:rsidR="0033313B" w:rsidRPr="0063657F" w:rsidRDefault="00636C21" w:rsidP="0033313B">
      <w:pPr>
        <w:pStyle w:val="tPara"/>
      </w:pPr>
      <w:r w:rsidRPr="0063657F">
        <w:tab/>
        <w:t>(b)</w:t>
      </w:r>
      <w:r w:rsidRPr="0063657F">
        <w:tab/>
      </w:r>
      <w:proofErr w:type="gramStart"/>
      <w:r w:rsidRPr="0063657F">
        <w:t>existing</w:t>
      </w:r>
      <w:proofErr w:type="gramEnd"/>
      <w:r w:rsidRPr="0063657F">
        <w:t xml:space="preserve"> measurement systems used by the responsible emitter.</w:t>
      </w:r>
    </w:p>
    <w:p w:rsidR="00F10732" w:rsidRPr="0063657F" w:rsidRDefault="00F10732" w:rsidP="00F10732">
      <w:pPr>
        <w:pStyle w:val="tDefn"/>
      </w:pPr>
      <w:proofErr w:type="gramStart"/>
      <w:r w:rsidRPr="0063657F">
        <w:rPr>
          <w:b/>
          <w:i/>
        </w:rPr>
        <w:t>significant</w:t>
      </w:r>
      <w:proofErr w:type="gramEnd"/>
      <w:r w:rsidRPr="0063657F">
        <w:rPr>
          <w:b/>
          <w:i/>
        </w:rPr>
        <w:t xml:space="preserve"> expansion criteria</w:t>
      </w:r>
      <w:r w:rsidRPr="0063657F">
        <w:t xml:space="preserve"> means:</w:t>
      </w:r>
    </w:p>
    <w:p w:rsidR="00F10732" w:rsidRPr="0063657F" w:rsidRDefault="00F10732" w:rsidP="00F10732">
      <w:pPr>
        <w:pStyle w:val="tPara"/>
      </w:pPr>
      <w:r w:rsidRPr="0063657F">
        <w:tab/>
        <w:t>(a)</w:t>
      </w:r>
      <w:r w:rsidRPr="0063657F">
        <w:tab/>
      </w:r>
      <w:proofErr w:type="gramStart"/>
      <w:r w:rsidRPr="0063657F">
        <w:t>in</w:t>
      </w:r>
      <w:proofErr w:type="gramEnd"/>
      <w:r w:rsidRPr="0063657F">
        <w:t xml:space="preserve"> relation to a calculated-emissions baseline determination—the criteria in section</w:t>
      </w:r>
      <w:r w:rsidR="00B41D44" w:rsidRPr="0063657F">
        <w:t> </w:t>
      </w:r>
      <w:r w:rsidRPr="0063657F">
        <w:t>24.</w:t>
      </w:r>
    </w:p>
    <w:p w:rsidR="00F10732" w:rsidRPr="0063657F" w:rsidRDefault="00F10732" w:rsidP="00F10732">
      <w:pPr>
        <w:pStyle w:val="tPara"/>
      </w:pPr>
      <w:r w:rsidRPr="0063657F">
        <w:tab/>
        <w:t>(b)</w:t>
      </w:r>
      <w:r w:rsidRPr="0063657F">
        <w:tab/>
      </w:r>
      <w:proofErr w:type="gramStart"/>
      <w:r w:rsidRPr="0063657F">
        <w:t>in</w:t>
      </w:r>
      <w:proofErr w:type="gramEnd"/>
      <w:r w:rsidRPr="0063657F">
        <w:t xml:space="preserve"> relation to a benchmark-emissions baseline determination—the criteria in section</w:t>
      </w:r>
      <w:r w:rsidR="00B41D44" w:rsidRPr="0063657F">
        <w:t> </w:t>
      </w:r>
      <w:r w:rsidR="00FC5932" w:rsidRPr="0063657F">
        <w:t>34</w:t>
      </w:r>
      <w:r w:rsidRPr="0063657F">
        <w:t>.</w:t>
      </w:r>
    </w:p>
    <w:p w:rsidR="00F10732" w:rsidRPr="0063657F" w:rsidRDefault="00F10732" w:rsidP="00F10732">
      <w:pPr>
        <w:pStyle w:val="tDefn"/>
      </w:pPr>
      <w:proofErr w:type="gramStart"/>
      <w:r w:rsidRPr="0063657F">
        <w:rPr>
          <w:b/>
          <w:i/>
        </w:rPr>
        <w:t>t</w:t>
      </w:r>
      <w:proofErr w:type="gramEnd"/>
      <w:r w:rsidRPr="0063657F">
        <w:rPr>
          <w:b/>
          <w:i/>
        </w:rPr>
        <w:t xml:space="preserve"> CO</w:t>
      </w:r>
      <w:r w:rsidRPr="0063657F">
        <w:rPr>
          <w:b/>
          <w:i/>
          <w:vertAlign w:val="subscript"/>
        </w:rPr>
        <w:t>2</w:t>
      </w:r>
      <w:r w:rsidR="002326D7" w:rsidRPr="0063657F">
        <w:rPr>
          <w:rFonts w:ascii="Helvetica Neue" w:hAnsi="Helvetica Neue"/>
          <w:b/>
          <w:bCs/>
          <w:i/>
          <w:iCs/>
          <w:sz w:val="19"/>
          <w:szCs w:val="19"/>
        </w:rPr>
        <w:noBreakHyphen/>
      </w:r>
      <w:r w:rsidRPr="0063657F">
        <w:rPr>
          <w:b/>
          <w:i/>
        </w:rPr>
        <w:t>e</w:t>
      </w:r>
      <w:r w:rsidRPr="0063657F">
        <w:t xml:space="preserve"> means tonnes of carbon dioxide equivalence.</w:t>
      </w:r>
    </w:p>
    <w:p w:rsidR="00F10732" w:rsidRPr="0063657F" w:rsidRDefault="00F10732" w:rsidP="00F10732">
      <w:pPr>
        <w:pStyle w:val="tDefn"/>
        <w:rPr>
          <w:lang w:val="en-US"/>
        </w:rPr>
      </w:pPr>
      <w:proofErr w:type="spellStart"/>
      <w:proofErr w:type="gramStart"/>
      <w:r w:rsidRPr="0063657F">
        <w:rPr>
          <w:b/>
          <w:bCs/>
          <w:i/>
          <w:iCs/>
        </w:rPr>
        <w:t>tkm</w:t>
      </w:r>
      <w:proofErr w:type="spellEnd"/>
      <w:proofErr w:type="gramEnd"/>
      <w:r w:rsidRPr="0063657F">
        <w:t xml:space="preserve"> means tonne kilometres.</w:t>
      </w:r>
    </w:p>
    <w:p w:rsidR="00F10732" w:rsidRPr="0063657F" w:rsidRDefault="00F10732" w:rsidP="00F10732">
      <w:pPr>
        <w:pStyle w:val="tDefn"/>
      </w:pPr>
      <w:proofErr w:type="spellStart"/>
      <w:proofErr w:type="gramStart"/>
      <w:r w:rsidRPr="0063657F">
        <w:rPr>
          <w:b/>
          <w:bCs/>
          <w:i/>
          <w:iCs/>
        </w:rPr>
        <w:t>tnmi</w:t>
      </w:r>
      <w:proofErr w:type="spellEnd"/>
      <w:proofErr w:type="gramEnd"/>
      <w:r w:rsidRPr="0063657F">
        <w:t xml:space="preserve"> means tonne nautical miles.</w:t>
      </w:r>
    </w:p>
    <w:p w:rsidR="00F10732" w:rsidRPr="0063657F" w:rsidRDefault="00F10732" w:rsidP="00F10732">
      <w:pPr>
        <w:pStyle w:val="tDefn"/>
        <w:rPr>
          <w:b/>
          <w:i/>
        </w:rPr>
      </w:pPr>
      <w:proofErr w:type="spellStart"/>
      <w:proofErr w:type="gramStart"/>
      <w:r w:rsidRPr="0063657F">
        <w:rPr>
          <w:b/>
          <w:bCs/>
          <w:i/>
          <w:iCs/>
        </w:rPr>
        <w:t>vkt</w:t>
      </w:r>
      <w:proofErr w:type="spellEnd"/>
      <w:proofErr w:type="gramEnd"/>
      <w:r w:rsidRPr="0063657F">
        <w:t xml:space="preserve"> means vehicle kilometres travelled.</w:t>
      </w:r>
    </w:p>
    <w:p w:rsidR="00F10732" w:rsidRPr="0063657F" w:rsidRDefault="00F10732" w:rsidP="00F10732">
      <w:pPr>
        <w:pStyle w:val="tDefn"/>
      </w:pPr>
      <w:proofErr w:type="gramStart"/>
      <w:r w:rsidRPr="0063657F">
        <w:rPr>
          <w:b/>
          <w:i/>
        </w:rPr>
        <w:t>waste</w:t>
      </w:r>
      <w:proofErr w:type="gramEnd"/>
      <w:r w:rsidRPr="0063657F">
        <w:rPr>
          <w:b/>
          <w:i/>
        </w:rPr>
        <w:t xml:space="preserve"> product</w:t>
      </w:r>
      <w:r w:rsidRPr="0063657F">
        <w:t xml:space="preserve"> means an output</w:t>
      </w:r>
      <w:r w:rsidR="00F9793D" w:rsidRPr="0063657F">
        <w:t xml:space="preserve"> or other product</w:t>
      </w:r>
      <w:r w:rsidRPr="0063657F">
        <w:t xml:space="preserve"> that:</w:t>
      </w:r>
    </w:p>
    <w:p w:rsidR="00F10732" w:rsidRPr="0063657F" w:rsidRDefault="00F10732" w:rsidP="00F10732">
      <w:pPr>
        <w:pStyle w:val="tPara"/>
      </w:pPr>
      <w:r w:rsidRPr="0063657F">
        <w:tab/>
        <w:t>(a)</w:t>
      </w:r>
      <w:r w:rsidRPr="0063657F">
        <w:tab/>
      </w:r>
      <w:proofErr w:type="gramStart"/>
      <w:r w:rsidRPr="0063657F">
        <w:t>results</w:t>
      </w:r>
      <w:proofErr w:type="gramEnd"/>
      <w:r w:rsidRPr="0063657F">
        <w:t xml:space="preserve"> from a chemical or physical process undertaken by a facility other than for the purpose of producing the output; and</w:t>
      </w:r>
    </w:p>
    <w:p w:rsidR="00F10732" w:rsidRPr="0063657F" w:rsidRDefault="00F10732" w:rsidP="00F10732">
      <w:pPr>
        <w:pStyle w:val="tPara"/>
      </w:pPr>
      <w:r w:rsidRPr="0063657F">
        <w:tab/>
        <w:t>(b)</w:t>
      </w:r>
      <w:r w:rsidRPr="0063657F">
        <w:tab/>
      </w:r>
      <w:proofErr w:type="gramStart"/>
      <w:r w:rsidRPr="0063657F">
        <w:t>will</w:t>
      </w:r>
      <w:proofErr w:type="gramEnd"/>
      <w:r w:rsidRPr="0063657F">
        <w:t xml:space="preserve"> be disposed of without any further processing by the facility (other than further processing in accordance with standard industry practice); and</w:t>
      </w:r>
    </w:p>
    <w:p w:rsidR="00F10732" w:rsidRPr="0063657F" w:rsidRDefault="00F10732" w:rsidP="00F10732">
      <w:pPr>
        <w:pStyle w:val="tPara"/>
      </w:pPr>
      <w:r w:rsidRPr="0063657F">
        <w:tab/>
        <w:t>(c)</w:t>
      </w:r>
      <w:r w:rsidRPr="0063657F">
        <w:tab/>
      </w:r>
      <w:proofErr w:type="gramStart"/>
      <w:r w:rsidRPr="0063657F">
        <w:t>is</w:t>
      </w:r>
      <w:proofErr w:type="gramEnd"/>
      <w:r w:rsidRPr="0063657F">
        <w:t xml:space="preserve"> not a by-product.</w:t>
      </w:r>
    </w:p>
    <w:p w:rsidR="00F10732" w:rsidRPr="0063657F" w:rsidRDefault="00F773E9" w:rsidP="00F10732">
      <w:pPr>
        <w:pStyle w:val="h5Section"/>
      </w:pPr>
      <w:bookmarkStart w:id="13" w:name="_Toc431896945"/>
      <w:r>
        <w:t>5</w:t>
      </w:r>
      <w:r w:rsidR="00F10732" w:rsidRPr="0063657F">
        <w:t xml:space="preserve"> Identification of production variables</w:t>
      </w:r>
      <w:bookmarkEnd w:id="13"/>
    </w:p>
    <w:p w:rsidR="00F10732" w:rsidRPr="0063657F" w:rsidRDefault="00F10732" w:rsidP="00F10732">
      <w:pPr>
        <w:pStyle w:val="tMain"/>
      </w:pPr>
      <w:r w:rsidRPr="0063657F">
        <w:tab/>
      </w:r>
      <w:r w:rsidR="00F773E9">
        <w:t>(1)</w:t>
      </w:r>
      <w:r w:rsidRPr="0063657F">
        <w:tab/>
        <w:t>The identification of a production variable in relation to a facility must meet the requirements of this section.</w:t>
      </w:r>
    </w:p>
    <w:p w:rsidR="00F10732" w:rsidRPr="0063657F" w:rsidRDefault="00F10732" w:rsidP="00F10732">
      <w:pPr>
        <w:pStyle w:val="tMain"/>
      </w:pPr>
      <w:r w:rsidRPr="0063657F">
        <w:tab/>
      </w:r>
      <w:r w:rsidR="00F773E9">
        <w:t>(2)</w:t>
      </w:r>
      <w:r w:rsidRPr="0063657F">
        <w:tab/>
        <w:t xml:space="preserve">If the facility </w:t>
      </w:r>
      <w:r w:rsidR="00687F6F" w:rsidRPr="0063657F">
        <w:t>has only one output</w:t>
      </w:r>
      <w:r w:rsidR="00E47812" w:rsidRPr="0063657F">
        <w:t xml:space="preserve"> that has an output variable</w:t>
      </w:r>
      <w:r w:rsidR="00B41D44" w:rsidRPr="0063657F">
        <w:t xml:space="preserve">, </w:t>
      </w:r>
      <w:r w:rsidR="00687F6F" w:rsidRPr="0063657F">
        <w:t>th</w:t>
      </w:r>
      <w:r w:rsidR="00E47812" w:rsidRPr="0063657F">
        <w:t>at</w:t>
      </w:r>
      <w:r w:rsidRPr="0063657F">
        <w:t xml:space="preserve"> output variable must be the production variable.</w:t>
      </w:r>
    </w:p>
    <w:p w:rsidR="00F10732" w:rsidRPr="0063657F" w:rsidRDefault="00F10732" w:rsidP="00F10732">
      <w:pPr>
        <w:pStyle w:val="tMain"/>
      </w:pPr>
      <w:r w:rsidRPr="0063657F">
        <w:tab/>
      </w:r>
      <w:r w:rsidR="00F773E9">
        <w:t>(3)</w:t>
      </w:r>
      <w:r w:rsidRPr="0063657F">
        <w:tab/>
        <w:t>If the facility h</w:t>
      </w:r>
      <w:r w:rsidR="00687F6F" w:rsidRPr="0063657F">
        <w:t>as more than one output</w:t>
      </w:r>
      <w:r w:rsidR="00E47812" w:rsidRPr="0063657F">
        <w:t xml:space="preserve"> that has an output variable</w:t>
      </w:r>
      <w:r w:rsidR="00B41D44" w:rsidRPr="0063657F">
        <w:t xml:space="preserve">, </w:t>
      </w:r>
      <w:r w:rsidR="00687F6F" w:rsidRPr="0063657F">
        <w:t>each of th</w:t>
      </w:r>
      <w:r w:rsidR="00E47812" w:rsidRPr="0063657F">
        <w:t>ose</w:t>
      </w:r>
      <w:r w:rsidRPr="0063657F">
        <w:t xml:space="preserve"> output variables</w:t>
      </w:r>
      <w:r w:rsidR="00687F6F" w:rsidRPr="0063657F">
        <w:t xml:space="preserve"> </w:t>
      </w:r>
      <w:r w:rsidRPr="0063657F">
        <w:t xml:space="preserve">must be a production variable </w:t>
      </w:r>
      <w:r w:rsidR="006D264C" w:rsidRPr="0063657F">
        <w:t>unless subsections (4), (5),</w:t>
      </w:r>
      <w:r w:rsidR="000143B6" w:rsidRPr="0063657F">
        <w:t xml:space="preserve"> (6),</w:t>
      </w:r>
      <w:r w:rsidR="008E3254" w:rsidRPr="0063657F">
        <w:t xml:space="preserve"> (7),</w:t>
      </w:r>
      <w:r w:rsidR="000143B6" w:rsidRPr="0063657F">
        <w:t xml:space="preserve"> (9)</w:t>
      </w:r>
      <w:r w:rsidR="008E3254" w:rsidRPr="0063657F">
        <w:t xml:space="preserve"> or (10)</w:t>
      </w:r>
      <w:r w:rsidR="006D264C" w:rsidRPr="0063657F">
        <w:t xml:space="preserve"> </w:t>
      </w:r>
      <w:r w:rsidRPr="0063657F">
        <w:t>apply.</w:t>
      </w:r>
    </w:p>
    <w:p w:rsidR="00F10732" w:rsidRPr="0063657F" w:rsidRDefault="00F10732" w:rsidP="00F10732">
      <w:pPr>
        <w:pStyle w:val="h6Subsec"/>
      </w:pPr>
      <w:r w:rsidRPr="0063657F">
        <w:t>Similar output variables</w:t>
      </w:r>
    </w:p>
    <w:p w:rsidR="00F10732" w:rsidRPr="0063657F" w:rsidRDefault="00F10732" w:rsidP="00F10732">
      <w:pPr>
        <w:pStyle w:val="tMain"/>
      </w:pPr>
      <w:r w:rsidRPr="0063657F">
        <w:tab/>
      </w:r>
      <w:r w:rsidR="00F773E9">
        <w:t>(4)</w:t>
      </w:r>
      <w:r w:rsidRPr="0063657F">
        <w:tab/>
        <w:t>If:</w:t>
      </w:r>
    </w:p>
    <w:p w:rsidR="00F10732" w:rsidRPr="0063657F" w:rsidRDefault="00F10732" w:rsidP="00F10732">
      <w:pPr>
        <w:pStyle w:val="tPara"/>
      </w:pPr>
      <w:r w:rsidRPr="0063657F">
        <w:tab/>
      </w:r>
      <w:r w:rsidR="00F773E9">
        <w:t>(a)</w:t>
      </w:r>
      <w:r w:rsidRPr="0063657F">
        <w:tab/>
        <w:t xml:space="preserve">2 or more of a facility’s output variables (the </w:t>
      </w:r>
      <w:r w:rsidRPr="0063657F">
        <w:rPr>
          <w:b/>
          <w:i/>
        </w:rPr>
        <w:t>similar variables</w:t>
      </w:r>
      <w:r w:rsidRPr="0063657F">
        <w:t>) are measured in the same units; and</w:t>
      </w:r>
    </w:p>
    <w:p w:rsidR="00F10732" w:rsidRPr="0063657F" w:rsidRDefault="00F10732" w:rsidP="00F10732">
      <w:pPr>
        <w:pStyle w:val="tPara"/>
      </w:pPr>
      <w:r w:rsidRPr="0063657F">
        <w:lastRenderedPageBreak/>
        <w:tab/>
      </w:r>
      <w:r w:rsidR="00F773E9">
        <w:t>(b)</w:t>
      </w:r>
      <w:r w:rsidRPr="0063657F">
        <w:tab/>
      </w:r>
      <w:proofErr w:type="gramStart"/>
      <w:r w:rsidRPr="0063657F">
        <w:t>the</w:t>
      </w:r>
      <w:proofErr w:type="gramEnd"/>
      <w:r w:rsidRPr="0063657F">
        <w:t xml:space="preserve"> </w:t>
      </w:r>
      <w:r w:rsidR="000F63D8" w:rsidRPr="0063657F">
        <w:t xml:space="preserve">covered </w:t>
      </w:r>
      <w:r w:rsidRPr="0063657F">
        <w:t>emissions per unit of production of all of the similar variables are materially similar;</w:t>
      </w:r>
    </w:p>
    <w:p w:rsidR="00F10732" w:rsidRPr="0063657F" w:rsidRDefault="00F10732" w:rsidP="00C50DD9">
      <w:pPr>
        <w:pStyle w:val="tMain"/>
        <w:spacing w:before="40"/>
      </w:pPr>
      <w:r w:rsidRPr="0063657F">
        <w:tab/>
      </w:r>
      <w:r w:rsidRPr="0063657F">
        <w:tab/>
      </w:r>
      <w:proofErr w:type="gramStart"/>
      <w:r w:rsidRPr="0063657F">
        <w:t>the</w:t>
      </w:r>
      <w:proofErr w:type="gramEnd"/>
      <w:r w:rsidRPr="0063657F">
        <w:t xml:space="preserve"> </w:t>
      </w:r>
      <w:r w:rsidR="00A306BF">
        <w:t xml:space="preserve">responsible emitter for the facility may choose the </w:t>
      </w:r>
      <w:r w:rsidRPr="0063657F">
        <w:t xml:space="preserve">sum of the similar variables </w:t>
      </w:r>
      <w:r w:rsidR="00A306BF">
        <w:t>to</w:t>
      </w:r>
      <w:r w:rsidRPr="0063657F">
        <w:t xml:space="preserve"> be </w:t>
      </w:r>
      <w:r w:rsidR="00CF7CF9" w:rsidRPr="0063657F">
        <w:t>treated as</w:t>
      </w:r>
      <w:r w:rsidRPr="0063657F">
        <w:t xml:space="preserve"> a single production variable for the facility instead of the individual </w:t>
      </w:r>
      <w:r w:rsidR="00B41D44" w:rsidRPr="0063657F">
        <w:t xml:space="preserve">output </w:t>
      </w:r>
      <w:r w:rsidRPr="0063657F">
        <w:t>variables.</w:t>
      </w:r>
    </w:p>
    <w:p w:rsidR="00F10732" w:rsidRPr="0063657F" w:rsidRDefault="00F10732" w:rsidP="00F10732">
      <w:pPr>
        <w:pStyle w:val="h6Subsec"/>
      </w:pPr>
      <w:r w:rsidRPr="0063657F">
        <w:t>Inputs and intermediate products</w:t>
      </w:r>
    </w:p>
    <w:p w:rsidR="00C4339C" w:rsidRPr="0063657F" w:rsidRDefault="00C4339C" w:rsidP="00C4339C">
      <w:pPr>
        <w:pStyle w:val="tMain"/>
      </w:pPr>
      <w:r w:rsidRPr="0063657F">
        <w:tab/>
      </w:r>
      <w:r w:rsidR="00F773E9">
        <w:t>(5)</w:t>
      </w:r>
      <w:r w:rsidRPr="0063657F">
        <w:tab/>
        <w:t>If:</w:t>
      </w:r>
    </w:p>
    <w:p w:rsidR="00C4339C" w:rsidRPr="0063657F" w:rsidRDefault="00C4339C" w:rsidP="00C4339C">
      <w:pPr>
        <w:pStyle w:val="tPara"/>
      </w:pPr>
      <w:r w:rsidRPr="0063657F">
        <w:tab/>
      </w:r>
      <w:r w:rsidR="00F773E9">
        <w:t>(a)</w:t>
      </w:r>
      <w:r w:rsidRPr="0063657F">
        <w:tab/>
      </w:r>
      <w:proofErr w:type="gramStart"/>
      <w:r w:rsidRPr="0063657F">
        <w:t>a</w:t>
      </w:r>
      <w:proofErr w:type="gramEnd"/>
      <w:r w:rsidRPr="0063657F">
        <w:t xml:space="preserve"> single input, or a single intermediate product, is used to produce all of a facility’s outputs; and</w:t>
      </w:r>
    </w:p>
    <w:p w:rsidR="00C4339C" w:rsidRPr="0063657F" w:rsidRDefault="00C4339C" w:rsidP="00C4339C">
      <w:pPr>
        <w:pStyle w:val="tPara"/>
      </w:pPr>
      <w:r w:rsidRPr="0063657F">
        <w:tab/>
      </w:r>
      <w:r w:rsidR="00F773E9">
        <w:t>(b)</w:t>
      </w:r>
      <w:r w:rsidRPr="0063657F">
        <w:tab/>
      </w:r>
      <w:proofErr w:type="gramStart"/>
      <w:r w:rsidRPr="0063657F">
        <w:t>the</w:t>
      </w:r>
      <w:proofErr w:type="gramEnd"/>
      <w:r w:rsidRPr="0063657F">
        <w:t xml:space="preserve"> input, or intermediate product, meets the requirements set out in subsection (</w:t>
      </w:r>
      <w:r w:rsidR="006D264C" w:rsidRPr="0063657F">
        <w:t>8</w:t>
      </w:r>
      <w:r w:rsidRPr="0063657F">
        <w:t>);</w:t>
      </w:r>
    </w:p>
    <w:p w:rsidR="005170E0" w:rsidRPr="0063657F" w:rsidRDefault="005170E0" w:rsidP="005170E0">
      <w:pPr>
        <w:pStyle w:val="tPara"/>
      </w:pPr>
      <w:r w:rsidRPr="0063657F">
        <w:tab/>
      </w:r>
      <w:r w:rsidR="00F773E9">
        <w:t>(c)</w:t>
      </w:r>
      <w:r w:rsidRPr="0063657F">
        <w:tab/>
      </w:r>
      <w:proofErr w:type="gramStart"/>
      <w:r w:rsidRPr="0063657F">
        <w:t>no</w:t>
      </w:r>
      <w:proofErr w:type="gramEnd"/>
      <w:r w:rsidRPr="0063657F">
        <w:t xml:space="preserve"> other input or intermediate product that meets the requirements set out in subsection (8) is used to produce any of the facility’s outputs;</w:t>
      </w:r>
    </w:p>
    <w:p w:rsidR="00C4339C" w:rsidRPr="0063657F" w:rsidRDefault="00C4339C" w:rsidP="00C4339C">
      <w:pPr>
        <w:pStyle w:val="subsection2"/>
      </w:pPr>
      <w:proofErr w:type="gramStart"/>
      <w:r w:rsidRPr="0063657F">
        <w:t>the</w:t>
      </w:r>
      <w:proofErr w:type="gramEnd"/>
      <w:r w:rsidRPr="0063657F">
        <w:t xml:space="preserve"> </w:t>
      </w:r>
      <w:r w:rsidR="00CC0F2E" w:rsidRPr="0063657F">
        <w:t>responsible emitter for the facility</w:t>
      </w:r>
      <w:r w:rsidRPr="0063657F">
        <w:t xml:space="preserve"> may choose the quantity of the input, or the quantity of the intermediate product, to be a production variable for the facility instead of the facility’s output variables.</w:t>
      </w:r>
    </w:p>
    <w:p w:rsidR="00674E64" w:rsidRPr="0063657F" w:rsidRDefault="00674E64" w:rsidP="00674E64">
      <w:pPr>
        <w:pStyle w:val="h6Subsec"/>
      </w:pPr>
      <w:r w:rsidRPr="0063657F">
        <w:t>Multiple inputs and intermediate products</w:t>
      </w:r>
    </w:p>
    <w:p w:rsidR="00C4339C" w:rsidRPr="0063657F" w:rsidRDefault="00C4339C" w:rsidP="00C4339C">
      <w:pPr>
        <w:pStyle w:val="tMain"/>
      </w:pPr>
      <w:r w:rsidRPr="0063657F">
        <w:tab/>
      </w:r>
      <w:r w:rsidR="00F773E9">
        <w:t>(6)</w:t>
      </w:r>
      <w:r w:rsidRPr="0063657F">
        <w:tab/>
        <w:t>If:</w:t>
      </w:r>
    </w:p>
    <w:p w:rsidR="00C4339C" w:rsidRPr="0063657F" w:rsidRDefault="00A208D4" w:rsidP="00A208D4">
      <w:pPr>
        <w:pStyle w:val="tPara"/>
      </w:pPr>
      <w:r w:rsidRPr="0063657F">
        <w:tab/>
      </w:r>
      <w:r w:rsidR="00F773E9">
        <w:t>(a)</w:t>
      </w:r>
      <w:r w:rsidRPr="0063657F">
        <w:tab/>
      </w:r>
      <w:r w:rsidR="006D264C" w:rsidRPr="0063657F">
        <w:t xml:space="preserve">2 </w:t>
      </w:r>
      <w:r w:rsidR="00C4339C" w:rsidRPr="0063657F">
        <w:t>or more inputs, or 2 or more intermediate products, are used to produce all of a facility’s outputs; and</w:t>
      </w:r>
    </w:p>
    <w:p w:rsidR="00C4339C" w:rsidRPr="0063657F" w:rsidRDefault="00A208D4" w:rsidP="00A208D4">
      <w:pPr>
        <w:pStyle w:val="tPara"/>
      </w:pPr>
      <w:r w:rsidRPr="0063657F">
        <w:tab/>
      </w:r>
      <w:r w:rsidR="00F773E9">
        <w:t>(b)</w:t>
      </w:r>
      <w:r w:rsidRPr="0063657F">
        <w:tab/>
      </w:r>
      <w:proofErr w:type="gramStart"/>
      <w:r w:rsidR="00C4339C" w:rsidRPr="0063657F">
        <w:t>the</w:t>
      </w:r>
      <w:proofErr w:type="gramEnd"/>
      <w:r w:rsidR="00C4339C" w:rsidRPr="0063657F">
        <w:t xml:space="preserve"> inputs, or intermediate products, are used in a fixed proportion to each other; and</w:t>
      </w:r>
    </w:p>
    <w:p w:rsidR="00C4339C" w:rsidRPr="0063657F" w:rsidRDefault="00A208D4" w:rsidP="00A208D4">
      <w:pPr>
        <w:pStyle w:val="tPara"/>
      </w:pPr>
      <w:r w:rsidRPr="0063657F">
        <w:tab/>
      </w:r>
      <w:r w:rsidR="00F773E9">
        <w:t>(c)</w:t>
      </w:r>
      <w:r w:rsidRPr="0063657F">
        <w:tab/>
      </w:r>
      <w:proofErr w:type="gramStart"/>
      <w:r w:rsidR="00C4339C" w:rsidRPr="0063657F">
        <w:t>the</w:t>
      </w:r>
      <w:proofErr w:type="gramEnd"/>
      <w:r w:rsidR="00C4339C" w:rsidRPr="0063657F">
        <w:t xml:space="preserve"> inputs, or intermediate products, meet the requirements set out in subsection (</w:t>
      </w:r>
      <w:r w:rsidR="006D264C" w:rsidRPr="0063657F">
        <w:t>8</w:t>
      </w:r>
      <w:r w:rsidR="00C4339C" w:rsidRPr="0063657F">
        <w:t>);</w:t>
      </w:r>
    </w:p>
    <w:p w:rsidR="00C4339C" w:rsidRPr="0063657F" w:rsidRDefault="00C4339C" w:rsidP="00C4339C">
      <w:pPr>
        <w:pStyle w:val="subsection2"/>
      </w:pPr>
      <w:proofErr w:type="gramStart"/>
      <w:r w:rsidRPr="0063657F">
        <w:t>the</w:t>
      </w:r>
      <w:proofErr w:type="gramEnd"/>
      <w:r w:rsidRPr="0063657F">
        <w:t xml:space="preserve"> </w:t>
      </w:r>
      <w:r w:rsidR="00CC0F2E" w:rsidRPr="0063657F">
        <w:t>responsible emitter for the facility</w:t>
      </w:r>
      <w:r w:rsidRPr="0063657F">
        <w:t xml:space="preserve"> may choose the quantity of one of the inputs, or the quantity of one of the intermediate products, to be a production variable for the facility instead of the facility’s output variables.</w:t>
      </w:r>
    </w:p>
    <w:p w:rsidR="00674E64" w:rsidRPr="0063657F" w:rsidRDefault="00674E64" w:rsidP="00674E64">
      <w:pPr>
        <w:pStyle w:val="h6Subsec"/>
      </w:pPr>
      <w:r w:rsidRPr="0063657F">
        <w:t>Similar inputs and similar intermediate products</w:t>
      </w:r>
    </w:p>
    <w:p w:rsidR="00C4339C" w:rsidRPr="0063657F" w:rsidRDefault="00A208D4" w:rsidP="00A208D4">
      <w:pPr>
        <w:pStyle w:val="tMain"/>
      </w:pPr>
      <w:r w:rsidRPr="0063657F">
        <w:tab/>
      </w:r>
      <w:r w:rsidR="00F773E9">
        <w:t>(7)</w:t>
      </w:r>
      <w:r w:rsidRPr="0063657F">
        <w:tab/>
      </w:r>
      <w:r w:rsidR="00C4339C" w:rsidRPr="0063657F">
        <w:t>If:</w:t>
      </w:r>
    </w:p>
    <w:p w:rsidR="00C4339C" w:rsidRPr="0063657F" w:rsidRDefault="00A208D4" w:rsidP="00A208D4">
      <w:pPr>
        <w:pStyle w:val="tPara"/>
      </w:pPr>
      <w:r w:rsidRPr="0063657F">
        <w:tab/>
      </w:r>
      <w:r w:rsidR="00F773E9">
        <w:t>(a)</w:t>
      </w:r>
      <w:r w:rsidRPr="0063657F">
        <w:tab/>
      </w:r>
      <w:r w:rsidR="006D264C" w:rsidRPr="0063657F">
        <w:t xml:space="preserve">2 </w:t>
      </w:r>
      <w:r w:rsidR="00C4339C" w:rsidRPr="0063657F">
        <w:t>or more inputs, or 2 or more intermediate products, are used to produce all of a facility’s outputs; and</w:t>
      </w:r>
    </w:p>
    <w:p w:rsidR="00C4339C" w:rsidRPr="0063657F" w:rsidRDefault="00A208D4" w:rsidP="00A208D4">
      <w:pPr>
        <w:pStyle w:val="tPara"/>
      </w:pPr>
      <w:r w:rsidRPr="0063657F">
        <w:tab/>
      </w:r>
      <w:r w:rsidR="00F773E9">
        <w:t>(b)</w:t>
      </w:r>
      <w:r w:rsidRPr="0063657F">
        <w:tab/>
      </w:r>
      <w:r w:rsidR="006D264C" w:rsidRPr="0063657F">
        <w:t xml:space="preserve">2 </w:t>
      </w:r>
      <w:r w:rsidR="00C4339C" w:rsidRPr="0063657F">
        <w:t xml:space="preserve">or more of the inputs (the </w:t>
      </w:r>
      <w:r w:rsidR="00C4339C" w:rsidRPr="0063657F">
        <w:rPr>
          <w:b/>
          <w:i/>
        </w:rPr>
        <w:t>similar inputs</w:t>
      </w:r>
      <w:r w:rsidR="00C4339C" w:rsidRPr="0063657F">
        <w:t xml:space="preserve">), or 2 or more of the intermediate products (the </w:t>
      </w:r>
      <w:r w:rsidR="00C4339C" w:rsidRPr="0063657F">
        <w:rPr>
          <w:b/>
          <w:i/>
        </w:rPr>
        <w:t>similar intermediate products</w:t>
      </w:r>
      <w:r w:rsidR="00C4339C" w:rsidRPr="0063657F">
        <w:t>), can be quantified using the same unit of measurement; and</w:t>
      </w:r>
    </w:p>
    <w:p w:rsidR="00C4339C" w:rsidRPr="0063657F" w:rsidRDefault="00A208D4" w:rsidP="00A208D4">
      <w:pPr>
        <w:pStyle w:val="tPara"/>
      </w:pPr>
      <w:r w:rsidRPr="0063657F">
        <w:tab/>
      </w:r>
      <w:r w:rsidR="00F773E9">
        <w:t>(c)</w:t>
      </w:r>
      <w:r w:rsidRPr="0063657F">
        <w:tab/>
      </w:r>
      <w:proofErr w:type="gramStart"/>
      <w:r w:rsidR="00C4339C" w:rsidRPr="0063657F">
        <w:t>the</w:t>
      </w:r>
      <w:proofErr w:type="gramEnd"/>
      <w:r w:rsidR="00C4339C" w:rsidRPr="0063657F">
        <w:t xml:space="preserve"> </w:t>
      </w:r>
      <w:r w:rsidR="0012715B" w:rsidRPr="0063657F">
        <w:t xml:space="preserve">covered </w:t>
      </w:r>
      <w:r w:rsidR="00C4339C" w:rsidRPr="0063657F">
        <w:t>emissions produced by the facility per unit of each similar input, or similar intermediate product, used are materially similar; and</w:t>
      </w:r>
    </w:p>
    <w:p w:rsidR="00C4339C" w:rsidRPr="0063657F" w:rsidRDefault="00A208D4" w:rsidP="00A208D4">
      <w:pPr>
        <w:pStyle w:val="tPara"/>
      </w:pPr>
      <w:r w:rsidRPr="0063657F">
        <w:tab/>
      </w:r>
      <w:r w:rsidR="00F773E9">
        <w:t>(d)</w:t>
      </w:r>
      <w:r w:rsidRPr="0063657F">
        <w:tab/>
      </w:r>
      <w:proofErr w:type="gramStart"/>
      <w:r w:rsidR="00C4339C" w:rsidRPr="0063657F">
        <w:t>the</w:t>
      </w:r>
      <w:proofErr w:type="gramEnd"/>
      <w:r w:rsidR="00C4339C" w:rsidRPr="0063657F">
        <w:t xml:space="preserve"> similar inputs, or similar intermediate products, meet the requirements set out in subsection (</w:t>
      </w:r>
      <w:r w:rsidR="006D264C" w:rsidRPr="0063657F">
        <w:t>8</w:t>
      </w:r>
      <w:r w:rsidR="00C4339C" w:rsidRPr="0063657F">
        <w:t>);</w:t>
      </w:r>
    </w:p>
    <w:p w:rsidR="00C4339C" w:rsidRPr="0063657F" w:rsidRDefault="00C4339C" w:rsidP="00C4339C">
      <w:pPr>
        <w:pStyle w:val="subsection2"/>
      </w:pPr>
      <w:proofErr w:type="gramStart"/>
      <w:r w:rsidRPr="0063657F">
        <w:t>the</w:t>
      </w:r>
      <w:proofErr w:type="gramEnd"/>
      <w:r w:rsidRPr="0063657F">
        <w:t xml:space="preserve"> </w:t>
      </w:r>
      <w:r w:rsidR="00CC0F2E" w:rsidRPr="0063657F">
        <w:t>responsible emitter for the facility</w:t>
      </w:r>
      <w:r w:rsidRPr="0063657F">
        <w:t xml:space="preserve"> may choose the </w:t>
      </w:r>
      <w:r w:rsidR="006D264C" w:rsidRPr="0063657F">
        <w:t xml:space="preserve">quantity of the </w:t>
      </w:r>
      <w:r w:rsidRPr="0063657F">
        <w:t>similar inputs, or</w:t>
      </w:r>
      <w:r w:rsidR="006D264C" w:rsidRPr="0063657F">
        <w:t xml:space="preserve"> the quantity of the</w:t>
      </w:r>
      <w:r w:rsidRPr="0063657F">
        <w:t xml:space="preserve"> similar intermediate products, to be a single production variable for the facility instead of the facility’s output variables.</w:t>
      </w:r>
    </w:p>
    <w:p w:rsidR="00674E64" w:rsidRPr="0063657F" w:rsidRDefault="00674E64" w:rsidP="00674E64">
      <w:pPr>
        <w:pStyle w:val="h6Subsec"/>
      </w:pPr>
      <w:r w:rsidRPr="0063657F">
        <w:t>Requirements that must be met</w:t>
      </w:r>
    </w:p>
    <w:p w:rsidR="00C4339C" w:rsidRPr="0063657F" w:rsidRDefault="00A208D4" w:rsidP="00A208D4">
      <w:pPr>
        <w:pStyle w:val="tMain"/>
      </w:pPr>
      <w:r w:rsidRPr="0063657F">
        <w:tab/>
      </w:r>
      <w:r w:rsidR="00F773E9">
        <w:t>(8)</w:t>
      </w:r>
      <w:r w:rsidRPr="0063657F">
        <w:tab/>
      </w:r>
      <w:r w:rsidR="00C4339C" w:rsidRPr="0063657F">
        <w:t>An input, or an intermediate product, that is used by a facility to produce multiple output</w:t>
      </w:r>
      <w:r w:rsidR="00CC0F2E" w:rsidRPr="0063657F">
        <w:t>s</w:t>
      </w:r>
      <w:r w:rsidR="00C4339C" w:rsidRPr="0063657F">
        <w:t xml:space="preserve"> meets the requirements set out in this subsection if:</w:t>
      </w:r>
    </w:p>
    <w:p w:rsidR="00C4339C" w:rsidRPr="0063657F" w:rsidRDefault="006D264C" w:rsidP="006D264C">
      <w:pPr>
        <w:pStyle w:val="tPara"/>
      </w:pPr>
      <w:r w:rsidRPr="0063657F">
        <w:tab/>
      </w:r>
      <w:r w:rsidR="00F773E9">
        <w:t>(a)</w:t>
      </w:r>
      <w:r w:rsidRPr="0063657F">
        <w:tab/>
      </w:r>
      <w:proofErr w:type="gramStart"/>
      <w:r w:rsidR="00C93CE8" w:rsidRPr="0063657F">
        <w:t>one</w:t>
      </w:r>
      <w:proofErr w:type="gramEnd"/>
      <w:r w:rsidR="00C93CE8" w:rsidRPr="0063657F">
        <w:t xml:space="preserve"> or more of the following apply</w:t>
      </w:r>
      <w:r w:rsidR="00C4339C" w:rsidRPr="0063657F">
        <w:t>:</w:t>
      </w:r>
    </w:p>
    <w:p w:rsidR="00C4339C" w:rsidRPr="0063657F" w:rsidRDefault="006D264C" w:rsidP="006D264C">
      <w:pPr>
        <w:pStyle w:val="tSubpara"/>
      </w:pPr>
      <w:r w:rsidRPr="0063657F">
        <w:lastRenderedPageBreak/>
        <w:tab/>
      </w:r>
      <w:r w:rsidR="00F773E9">
        <w:t>(</w:t>
      </w:r>
      <w:proofErr w:type="spellStart"/>
      <w:r w:rsidR="00F773E9">
        <w:t>i</w:t>
      </w:r>
      <w:proofErr w:type="spellEnd"/>
      <w:r w:rsidR="00F773E9">
        <w:t>)</w:t>
      </w:r>
      <w:r w:rsidRPr="0063657F">
        <w:tab/>
      </w:r>
      <w:proofErr w:type="gramStart"/>
      <w:r w:rsidR="00C4339C" w:rsidRPr="0063657F">
        <w:t>the</w:t>
      </w:r>
      <w:proofErr w:type="gramEnd"/>
      <w:r w:rsidR="00C4339C" w:rsidRPr="0063657F">
        <w:t xml:space="preserve"> outputs are produced in a fixed proportion to the i</w:t>
      </w:r>
      <w:r w:rsidR="00C93CE8" w:rsidRPr="0063657F">
        <w:t xml:space="preserve">nput or intermediate product; </w:t>
      </w:r>
    </w:p>
    <w:p w:rsidR="00C93CE8" w:rsidRPr="0063657F" w:rsidRDefault="006D264C" w:rsidP="006D264C">
      <w:pPr>
        <w:pStyle w:val="tSubpara"/>
      </w:pPr>
      <w:r w:rsidRPr="0063657F">
        <w:tab/>
      </w:r>
      <w:r w:rsidR="00F773E9">
        <w:t>(ii)</w:t>
      </w:r>
      <w:r w:rsidRPr="0063657F">
        <w:tab/>
      </w:r>
      <w:proofErr w:type="gramStart"/>
      <w:r w:rsidR="00C4339C" w:rsidRPr="0063657F">
        <w:t>each</w:t>
      </w:r>
      <w:proofErr w:type="gramEnd"/>
      <w:r w:rsidR="00C4339C" w:rsidRPr="0063657F">
        <w:t xml:space="preserve"> output can be quantified using the same unit of measurement, and the </w:t>
      </w:r>
      <w:r w:rsidR="0012715B" w:rsidRPr="0063657F">
        <w:t xml:space="preserve">covered </w:t>
      </w:r>
      <w:r w:rsidR="00C4339C" w:rsidRPr="0063657F">
        <w:t xml:space="preserve">emissions per unit of production of each output are materially similar; </w:t>
      </w:r>
    </w:p>
    <w:p w:rsidR="00C93CE8" w:rsidRPr="0063657F" w:rsidRDefault="00C93CE8" w:rsidP="00C93CE8">
      <w:pPr>
        <w:pStyle w:val="tSubpara"/>
      </w:pPr>
      <w:r w:rsidRPr="0063657F">
        <w:tab/>
      </w:r>
      <w:r w:rsidR="00F773E9">
        <w:t>(iii)</w:t>
      </w:r>
      <w:r w:rsidRPr="0063657F">
        <w:tab/>
      </w:r>
      <w:proofErr w:type="gramStart"/>
      <w:r w:rsidR="00143B3B" w:rsidRPr="0063657F">
        <w:t>the</w:t>
      </w:r>
      <w:proofErr w:type="gramEnd"/>
      <w:r w:rsidR="00143B3B" w:rsidRPr="0063657F">
        <w:t xml:space="preserve"> facility is</w:t>
      </w:r>
      <w:r w:rsidRPr="0063657F">
        <w:t>:</w:t>
      </w:r>
    </w:p>
    <w:p w:rsidR="00C93CE8" w:rsidRPr="0063657F" w:rsidRDefault="00C93CE8" w:rsidP="00C93CE8">
      <w:pPr>
        <w:pStyle w:val="tSubsub"/>
      </w:pPr>
      <w:r w:rsidRPr="0063657F">
        <w:tab/>
      </w:r>
      <w:r w:rsidR="00F773E9">
        <w:t>(A)</w:t>
      </w:r>
      <w:r w:rsidRPr="0063657F">
        <w:tab/>
      </w:r>
      <w:proofErr w:type="gramStart"/>
      <w:r w:rsidR="00143B3B" w:rsidRPr="0063657F">
        <w:t>a</w:t>
      </w:r>
      <w:proofErr w:type="gramEnd"/>
      <w:r w:rsidR="00143B3B" w:rsidRPr="0063657F">
        <w:t xml:space="preserve"> </w:t>
      </w:r>
      <w:r w:rsidRPr="0063657F">
        <w:t xml:space="preserve">petroleum refinery; or </w:t>
      </w:r>
    </w:p>
    <w:p w:rsidR="00C4339C" w:rsidRPr="0063657F" w:rsidRDefault="00C93CE8" w:rsidP="00C93CE8">
      <w:pPr>
        <w:pStyle w:val="tSubsub"/>
      </w:pPr>
      <w:r w:rsidRPr="0063657F">
        <w:tab/>
      </w:r>
      <w:r w:rsidR="00F773E9">
        <w:t>(B)</w:t>
      </w:r>
      <w:r w:rsidRPr="0063657F">
        <w:tab/>
      </w:r>
      <w:proofErr w:type="gramStart"/>
      <w:r w:rsidR="00143B3B" w:rsidRPr="0063657F">
        <w:t>a</w:t>
      </w:r>
      <w:proofErr w:type="gramEnd"/>
      <w:r w:rsidR="00143B3B" w:rsidRPr="0063657F">
        <w:t xml:space="preserve"> </w:t>
      </w:r>
      <w:r w:rsidRPr="0063657F">
        <w:t>natural gas processing or liquefaction facility; and</w:t>
      </w:r>
    </w:p>
    <w:p w:rsidR="00C4339C" w:rsidRPr="0063657F" w:rsidRDefault="006D264C" w:rsidP="006D264C">
      <w:pPr>
        <w:pStyle w:val="tPara"/>
      </w:pPr>
      <w:r w:rsidRPr="0063657F">
        <w:tab/>
      </w:r>
      <w:r w:rsidR="00F773E9">
        <w:t>(b)</w:t>
      </w:r>
      <w:r w:rsidRPr="0063657F">
        <w:tab/>
      </w:r>
      <w:proofErr w:type="gramStart"/>
      <w:r w:rsidR="00C4339C" w:rsidRPr="0063657F">
        <w:t>an</w:t>
      </w:r>
      <w:proofErr w:type="gramEnd"/>
      <w:r w:rsidR="00C4339C" w:rsidRPr="0063657F">
        <w:t xml:space="preserve"> increase in the quantity of the input or intermediate product used by the facility to produce the outputs would result in an increase in the quantity of </w:t>
      </w:r>
      <w:r w:rsidR="0012715B" w:rsidRPr="0063657F">
        <w:t>covered</w:t>
      </w:r>
      <w:r w:rsidR="00C4339C" w:rsidRPr="0063657F">
        <w:t xml:space="preserve"> emissions from the facility; and</w:t>
      </w:r>
    </w:p>
    <w:p w:rsidR="00C4339C" w:rsidRPr="0063657F" w:rsidRDefault="006D264C" w:rsidP="006D264C">
      <w:pPr>
        <w:pStyle w:val="tPara"/>
      </w:pPr>
      <w:r w:rsidRPr="0063657F">
        <w:tab/>
      </w:r>
      <w:r w:rsidR="00F773E9">
        <w:t>(c)</w:t>
      </w:r>
      <w:r w:rsidRPr="0063657F">
        <w:tab/>
      </w:r>
      <w:proofErr w:type="gramStart"/>
      <w:r w:rsidR="00C4339C" w:rsidRPr="0063657F">
        <w:t>a</w:t>
      </w:r>
      <w:proofErr w:type="gramEnd"/>
      <w:r w:rsidR="00C4339C" w:rsidRPr="0063657F">
        <w:t xml:space="preserve"> decrease in the quantity of the input or intermediate product used by the facility to produce the outputs would result in a decrease in the quantity of </w:t>
      </w:r>
      <w:r w:rsidR="0012715B" w:rsidRPr="0063657F">
        <w:t>covered</w:t>
      </w:r>
      <w:r w:rsidR="00C4339C" w:rsidRPr="0063657F">
        <w:t xml:space="preserve"> emissions from the facility; and</w:t>
      </w:r>
    </w:p>
    <w:p w:rsidR="005170E0" w:rsidRPr="0063657F" w:rsidRDefault="005170E0" w:rsidP="005170E0">
      <w:pPr>
        <w:pStyle w:val="tPara"/>
      </w:pPr>
      <w:r w:rsidRPr="0063657F">
        <w:tab/>
      </w:r>
      <w:r w:rsidR="00F773E9">
        <w:t>(d)</w:t>
      </w:r>
      <w:r w:rsidRPr="0063657F">
        <w:tab/>
      </w:r>
      <w:proofErr w:type="gramStart"/>
      <w:r w:rsidRPr="0063657F">
        <w:t>either</w:t>
      </w:r>
      <w:proofErr w:type="gramEnd"/>
      <w:r w:rsidRPr="0063657F">
        <w:t>:</w:t>
      </w:r>
    </w:p>
    <w:p w:rsidR="005170E0" w:rsidRPr="0063657F" w:rsidRDefault="005170E0" w:rsidP="005170E0">
      <w:pPr>
        <w:pStyle w:val="tSubpara"/>
      </w:pPr>
      <w:r w:rsidRPr="0063657F">
        <w:tab/>
      </w:r>
      <w:r w:rsidR="00F773E9">
        <w:t>(</w:t>
      </w:r>
      <w:proofErr w:type="spellStart"/>
      <w:r w:rsidR="00F773E9">
        <w:t>i</w:t>
      </w:r>
      <w:proofErr w:type="spellEnd"/>
      <w:r w:rsidR="00F773E9">
        <w:t>)</w:t>
      </w:r>
      <w:r w:rsidRPr="0063657F">
        <w:tab/>
      </w:r>
      <w:proofErr w:type="gramStart"/>
      <w:r w:rsidRPr="0063657F">
        <w:t>the</w:t>
      </w:r>
      <w:proofErr w:type="gramEnd"/>
      <w:r w:rsidRPr="0063657F">
        <w:t xml:space="preserve"> input or intermediate product is an essential component of the production process, and omitting it would prevent the production process working; or</w:t>
      </w:r>
    </w:p>
    <w:p w:rsidR="005170E0" w:rsidRPr="0063657F" w:rsidRDefault="005170E0" w:rsidP="005170E0">
      <w:pPr>
        <w:pStyle w:val="tSubpara"/>
      </w:pPr>
      <w:r w:rsidRPr="0063657F">
        <w:tab/>
      </w:r>
      <w:r w:rsidR="00F773E9">
        <w:t>(ii)</w:t>
      </w:r>
      <w:r w:rsidRPr="0063657F">
        <w:tab/>
      </w:r>
      <w:proofErr w:type="gramStart"/>
      <w:r w:rsidRPr="0063657F">
        <w:t>omitting</w:t>
      </w:r>
      <w:proofErr w:type="gramEnd"/>
      <w:r w:rsidRPr="0063657F">
        <w:t xml:space="preserve"> the input or intermediate product from the production process during a financial year would change the covered emissions of the facility by 5% or more; and</w:t>
      </w:r>
    </w:p>
    <w:p w:rsidR="00C4339C" w:rsidRPr="0063657F" w:rsidRDefault="006D264C" w:rsidP="006D264C">
      <w:pPr>
        <w:pStyle w:val="tPara"/>
      </w:pPr>
      <w:r w:rsidRPr="0063657F">
        <w:tab/>
      </w:r>
      <w:r w:rsidR="00F773E9">
        <w:t>(e)</w:t>
      </w:r>
      <w:r w:rsidRPr="0063657F">
        <w:tab/>
      </w:r>
      <w:proofErr w:type="gramStart"/>
      <w:r w:rsidR="00C4339C" w:rsidRPr="0063657F">
        <w:t>the</w:t>
      </w:r>
      <w:proofErr w:type="gramEnd"/>
      <w:r w:rsidR="00C4339C" w:rsidRPr="0063657F">
        <w:t xml:space="preserve"> quantity of the input or intermediate product can be expressed in a unit of measurement that complies with the </w:t>
      </w:r>
      <w:r w:rsidR="00C4339C" w:rsidRPr="0063657F">
        <w:rPr>
          <w:i/>
        </w:rPr>
        <w:t>National Measurement Act 1960</w:t>
      </w:r>
      <w:r w:rsidR="00C4339C" w:rsidRPr="0063657F">
        <w:t>; and</w:t>
      </w:r>
    </w:p>
    <w:p w:rsidR="00675E9D" w:rsidRPr="0063657F" w:rsidRDefault="006D264C" w:rsidP="006D264C">
      <w:pPr>
        <w:pStyle w:val="tPara"/>
      </w:pPr>
      <w:r w:rsidRPr="0063657F">
        <w:tab/>
      </w:r>
      <w:r w:rsidR="00F773E9">
        <w:t>(f)</w:t>
      </w:r>
      <w:r w:rsidRPr="0063657F">
        <w:tab/>
      </w:r>
      <w:proofErr w:type="gramStart"/>
      <w:r w:rsidR="00C4339C" w:rsidRPr="0063657F">
        <w:t>for</w:t>
      </w:r>
      <w:proofErr w:type="gramEnd"/>
      <w:r w:rsidR="00C4339C" w:rsidRPr="0063657F">
        <w:t xml:space="preserve"> a facility that is</w:t>
      </w:r>
      <w:r w:rsidR="00675E9D" w:rsidRPr="0063657F">
        <w:t>:</w:t>
      </w:r>
      <w:r w:rsidR="00C4339C" w:rsidRPr="0063657F">
        <w:t xml:space="preserve"> </w:t>
      </w:r>
    </w:p>
    <w:p w:rsidR="00675E9D" w:rsidRPr="0063657F" w:rsidRDefault="00143B3B" w:rsidP="00143B3B">
      <w:pPr>
        <w:pStyle w:val="tSubpara"/>
      </w:pPr>
      <w:r w:rsidRPr="0063657F">
        <w:tab/>
      </w:r>
      <w:r w:rsidR="00F773E9">
        <w:t>(</w:t>
      </w:r>
      <w:proofErr w:type="spellStart"/>
      <w:r w:rsidR="00F773E9">
        <w:t>i</w:t>
      </w:r>
      <w:proofErr w:type="spellEnd"/>
      <w:r w:rsidR="00F773E9">
        <w:t>)</w:t>
      </w:r>
      <w:r w:rsidRPr="0063657F">
        <w:tab/>
      </w:r>
      <w:proofErr w:type="gramStart"/>
      <w:r w:rsidRPr="0063657F">
        <w:t>a</w:t>
      </w:r>
      <w:proofErr w:type="gramEnd"/>
      <w:r w:rsidRPr="0063657F">
        <w:t xml:space="preserve"> </w:t>
      </w:r>
      <w:r w:rsidR="00C4339C" w:rsidRPr="0063657F">
        <w:t>petroleum refinery</w:t>
      </w:r>
      <w:r w:rsidR="00675E9D" w:rsidRPr="0063657F">
        <w:t>; or</w:t>
      </w:r>
      <w:r w:rsidR="002C4D3F" w:rsidRPr="0063657F">
        <w:t xml:space="preserve"> </w:t>
      </w:r>
    </w:p>
    <w:p w:rsidR="00675E9D" w:rsidRPr="0063657F" w:rsidRDefault="00143B3B" w:rsidP="00143B3B">
      <w:pPr>
        <w:pStyle w:val="tSubpara"/>
      </w:pPr>
      <w:r w:rsidRPr="0063657F">
        <w:tab/>
      </w:r>
      <w:r w:rsidR="00F773E9">
        <w:t>(ii)</w:t>
      </w:r>
      <w:r w:rsidRPr="0063657F">
        <w:tab/>
      </w:r>
      <w:proofErr w:type="gramStart"/>
      <w:r w:rsidRPr="0063657F">
        <w:t>a</w:t>
      </w:r>
      <w:proofErr w:type="gramEnd"/>
      <w:r w:rsidRPr="0063657F">
        <w:t xml:space="preserve"> </w:t>
      </w:r>
      <w:r w:rsidR="002C4D3F" w:rsidRPr="0063657F">
        <w:t>natural gas processing or liquefaction facility</w:t>
      </w:r>
      <w:r w:rsidR="002F1381" w:rsidRPr="0063657F">
        <w:t>;</w:t>
      </w:r>
    </w:p>
    <w:p w:rsidR="00C4339C" w:rsidRPr="0063657F" w:rsidRDefault="00675E9D" w:rsidP="00675E9D">
      <w:pPr>
        <w:pStyle w:val="tPara"/>
      </w:pPr>
      <w:r w:rsidRPr="0063657F">
        <w:tab/>
      </w:r>
      <w:r w:rsidRPr="0063657F">
        <w:tab/>
        <w:t>—</w:t>
      </w:r>
      <w:r w:rsidR="00C4339C" w:rsidRPr="0063657F">
        <w:t>the input or intermediate product is</w:t>
      </w:r>
      <w:r w:rsidR="002C4D3F" w:rsidRPr="0063657F">
        <w:t xml:space="preserve"> primarily</w:t>
      </w:r>
      <w:r w:rsidR="00C4339C" w:rsidRPr="0063657F">
        <w:t xml:space="preserve"> used as an input to a production process (whether or not it is also a fuel that produces energy at the facility); and</w:t>
      </w:r>
    </w:p>
    <w:p w:rsidR="00675E9D" w:rsidRPr="0063657F" w:rsidRDefault="006D264C" w:rsidP="006D264C">
      <w:pPr>
        <w:pStyle w:val="tPara"/>
      </w:pPr>
      <w:r w:rsidRPr="0063657F">
        <w:tab/>
      </w:r>
      <w:r w:rsidR="00F773E9">
        <w:t>(g)</w:t>
      </w:r>
      <w:r w:rsidRPr="0063657F">
        <w:tab/>
      </w:r>
      <w:proofErr w:type="gramStart"/>
      <w:r w:rsidR="00C4339C" w:rsidRPr="0063657F">
        <w:t>for</w:t>
      </w:r>
      <w:proofErr w:type="gramEnd"/>
      <w:r w:rsidR="00C4339C" w:rsidRPr="0063657F">
        <w:t xml:space="preserve"> a facili</w:t>
      </w:r>
      <w:r w:rsidR="002D0A8D">
        <w:t>ty that is not</w:t>
      </w:r>
      <w:r w:rsidR="00675E9D" w:rsidRPr="0063657F">
        <w:t>:</w:t>
      </w:r>
    </w:p>
    <w:p w:rsidR="00675E9D" w:rsidRPr="0063657F" w:rsidRDefault="00143B3B" w:rsidP="00143B3B">
      <w:pPr>
        <w:pStyle w:val="tSubpara"/>
      </w:pPr>
      <w:r w:rsidRPr="0063657F">
        <w:tab/>
      </w:r>
      <w:r w:rsidR="00F773E9">
        <w:t>(</w:t>
      </w:r>
      <w:proofErr w:type="spellStart"/>
      <w:r w:rsidR="00F773E9">
        <w:t>i</w:t>
      </w:r>
      <w:proofErr w:type="spellEnd"/>
      <w:r w:rsidR="00F773E9">
        <w:t>)</w:t>
      </w:r>
      <w:r w:rsidRPr="0063657F">
        <w:tab/>
      </w:r>
      <w:proofErr w:type="gramStart"/>
      <w:r w:rsidRPr="0063657F">
        <w:t>a</w:t>
      </w:r>
      <w:proofErr w:type="gramEnd"/>
      <w:r w:rsidRPr="0063657F">
        <w:t xml:space="preserve"> </w:t>
      </w:r>
      <w:r w:rsidR="00675E9D" w:rsidRPr="0063657F">
        <w:t xml:space="preserve">petroleum refinery; or </w:t>
      </w:r>
    </w:p>
    <w:p w:rsidR="00675E9D" w:rsidRPr="0063657F" w:rsidRDefault="00143B3B" w:rsidP="00143B3B">
      <w:pPr>
        <w:pStyle w:val="tSubpara"/>
      </w:pPr>
      <w:r w:rsidRPr="0063657F">
        <w:tab/>
      </w:r>
      <w:r w:rsidR="00F773E9">
        <w:t>(ii)</w:t>
      </w:r>
      <w:r w:rsidRPr="0063657F">
        <w:tab/>
      </w:r>
      <w:proofErr w:type="gramStart"/>
      <w:r w:rsidRPr="0063657F">
        <w:t>a</w:t>
      </w:r>
      <w:proofErr w:type="gramEnd"/>
      <w:r w:rsidRPr="0063657F">
        <w:t xml:space="preserve"> </w:t>
      </w:r>
      <w:r w:rsidR="00675E9D" w:rsidRPr="0063657F">
        <w:t>natural gas processing or liquefaction facility</w:t>
      </w:r>
      <w:r w:rsidR="002F1381" w:rsidRPr="0063657F">
        <w:t>;</w:t>
      </w:r>
    </w:p>
    <w:p w:rsidR="00C4339C" w:rsidRPr="0063657F" w:rsidRDefault="00675E9D" w:rsidP="00675E9D">
      <w:pPr>
        <w:pStyle w:val="tPara"/>
      </w:pPr>
      <w:r w:rsidRPr="0063657F">
        <w:tab/>
      </w:r>
      <w:r w:rsidRPr="0063657F">
        <w:tab/>
        <w:t>—</w:t>
      </w:r>
      <w:r w:rsidR="00C4339C" w:rsidRPr="0063657F">
        <w:t>the input or intermediate product is not a fuel that produces energy at the facility.</w:t>
      </w:r>
    </w:p>
    <w:p w:rsidR="00674E64" w:rsidRPr="00143C7B" w:rsidRDefault="00674E64" w:rsidP="00674E64">
      <w:pPr>
        <w:pStyle w:val="h6Subsec"/>
      </w:pPr>
      <w:r w:rsidRPr="00143C7B">
        <w:t>If no discernible output</w:t>
      </w:r>
    </w:p>
    <w:p w:rsidR="00143C7B" w:rsidRPr="00143C7B" w:rsidRDefault="00F10732" w:rsidP="00143C7B">
      <w:pPr>
        <w:pStyle w:val="tMain"/>
      </w:pPr>
      <w:r w:rsidRPr="00143C7B">
        <w:tab/>
      </w:r>
      <w:r w:rsidR="00F773E9">
        <w:t>(9)</w:t>
      </w:r>
      <w:r w:rsidR="00C93CE8" w:rsidRPr="00143C7B">
        <w:tab/>
      </w:r>
      <w:r w:rsidR="00143C7B" w:rsidRPr="00143C7B">
        <w:t>If:</w:t>
      </w:r>
    </w:p>
    <w:p w:rsidR="00143C7B" w:rsidRPr="00143C7B" w:rsidRDefault="00143C7B" w:rsidP="00143C7B">
      <w:pPr>
        <w:pStyle w:val="tPara"/>
      </w:pPr>
      <w:r w:rsidRPr="00143C7B">
        <w:tab/>
        <w:t>(a)</w:t>
      </w:r>
      <w:r w:rsidRPr="00143C7B">
        <w:tab/>
      </w:r>
      <w:proofErr w:type="gramStart"/>
      <w:r w:rsidRPr="00143C7B">
        <w:t>a</w:t>
      </w:r>
      <w:proofErr w:type="gramEnd"/>
      <w:r w:rsidRPr="00143C7B">
        <w:t xml:space="preserve"> facility does not have a discernible output that has an output variable; and</w:t>
      </w:r>
    </w:p>
    <w:p w:rsidR="00143C7B" w:rsidRPr="00143C7B" w:rsidRDefault="00143C7B" w:rsidP="00143C7B">
      <w:pPr>
        <w:pStyle w:val="tPara"/>
      </w:pPr>
      <w:r w:rsidRPr="00143C7B">
        <w:tab/>
        <w:t>(b)</w:t>
      </w:r>
      <w:r w:rsidRPr="00143C7B">
        <w:tab/>
      </w:r>
      <w:proofErr w:type="gramStart"/>
      <w:r w:rsidRPr="00143C7B">
        <w:t>the</w:t>
      </w:r>
      <w:proofErr w:type="gramEnd"/>
      <w:r w:rsidRPr="00143C7B">
        <w:t xml:space="preserve"> facility has one or more inputs, intermediate products or outputs that are not saleable products, each of which satisfies the following;</w:t>
      </w:r>
    </w:p>
    <w:p w:rsidR="00143C7B" w:rsidRPr="00143C7B" w:rsidRDefault="00066332" w:rsidP="00143C7B">
      <w:pPr>
        <w:pStyle w:val="tSubpara"/>
      </w:pPr>
      <w:r>
        <w:tab/>
        <w:t>(</w:t>
      </w:r>
      <w:proofErr w:type="spellStart"/>
      <w:r w:rsidR="00143C7B" w:rsidRPr="00143C7B">
        <w:t>i</w:t>
      </w:r>
      <w:proofErr w:type="spellEnd"/>
      <w:r w:rsidR="00143C7B" w:rsidRPr="00143C7B">
        <w:t>)</w:t>
      </w:r>
      <w:r w:rsidR="00143C7B" w:rsidRPr="00143C7B">
        <w:tab/>
      </w:r>
      <w:proofErr w:type="gramStart"/>
      <w:r w:rsidR="00143C7B" w:rsidRPr="00143C7B">
        <w:t>an</w:t>
      </w:r>
      <w:proofErr w:type="gramEnd"/>
      <w:r w:rsidR="00143C7B" w:rsidRPr="00143C7B">
        <w:t xml:space="preserve"> increase in the quantity of the input, intermediate product or output used by or produced or processed by the facility would result in an increase in the quantity of covered emissions from the facility; and</w:t>
      </w:r>
    </w:p>
    <w:p w:rsidR="00143C7B" w:rsidRPr="00143C7B" w:rsidRDefault="00066332" w:rsidP="00143C7B">
      <w:pPr>
        <w:pStyle w:val="tSubpara"/>
      </w:pPr>
      <w:r>
        <w:tab/>
        <w:t>(</w:t>
      </w:r>
      <w:r w:rsidR="0078237F">
        <w:t>ii)</w:t>
      </w:r>
      <w:r w:rsidR="0078237F">
        <w:tab/>
      </w:r>
      <w:proofErr w:type="gramStart"/>
      <w:r w:rsidR="0078237F">
        <w:t>a</w:t>
      </w:r>
      <w:proofErr w:type="gramEnd"/>
      <w:r w:rsidR="0078237F">
        <w:t xml:space="preserve"> decrease</w:t>
      </w:r>
      <w:r w:rsidR="00143C7B" w:rsidRPr="00143C7B">
        <w:t xml:space="preserve"> in the quantity of the input, intermediate product or output used by or produced or processed by the facility would result in a decrease in the quantity of covered emissions from the facility; and</w:t>
      </w:r>
    </w:p>
    <w:p w:rsidR="00143C7B" w:rsidRDefault="00066332" w:rsidP="00143C7B">
      <w:pPr>
        <w:pStyle w:val="tSubpara"/>
      </w:pPr>
      <w:r>
        <w:tab/>
        <w:t>(iii</w:t>
      </w:r>
      <w:r w:rsidR="00143C7B" w:rsidRPr="00143C7B">
        <w:t>)</w:t>
      </w:r>
      <w:r w:rsidR="00143C7B" w:rsidRPr="00143C7B">
        <w:tab/>
      </w:r>
      <w:proofErr w:type="gramStart"/>
      <w:r w:rsidR="00143C7B" w:rsidRPr="00143C7B">
        <w:t>the</w:t>
      </w:r>
      <w:proofErr w:type="gramEnd"/>
      <w:r w:rsidR="00143C7B" w:rsidRPr="00143C7B">
        <w:t xml:space="preserve"> quantity of the input, intermediate product or output can be expressed in a unit of measurement that complies with the </w:t>
      </w:r>
      <w:r w:rsidR="00143C7B" w:rsidRPr="00143C7B">
        <w:rPr>
          <w:i/>
        </w:rPr>
        <w:t>National Measurement Act 1960</w:t>
      </w:r>
      <w:r w:rsidR="00143C7B" w:rsidRPr="00143C7B">
        <w:t xml:space="preserve">; </w:t>
      </w:r>
    </w:p>
    <w:p w:rsidR="00066332" w:rsidRPr="00143C7B" w:rsidRDefault="00066332" w:rsidP="00066332">
      <w:pPr>
        <w:pStyle w:val="tSubpara"/>
      </w:pPr>
      <w:r>
        <w:tab/>
        <w:t>(iv</w:t>
      </w:r>
      <w:r w:rsidRPr="00143C7B">
        <w:t>)</w:t>
      </w:r>
      <w:r w:rsidRPr="00143C7B">
        <w:tab/>
      </w:r>
      <w:proofErr w:type="gramStart"/>
      <w:r w:rsidR="000D354C">
        <w:t>the</w:t>
      </w:r>
      <w:proofErr w:type="gramEnd"/>
      <w:r w:rsidR="000D354C">
        <w:t xml:space="preserve"> input, intermediate product or output</w:t>
      </w:r>
      <w:r>
        <w:t xml:space="preserve"> is not a by-product or waste product</w:t>
      </w:r>
      <w:r w:rsidRPr="00143C7B">
        <w:t xml:space="preserve">; </w:t>
      </w:r>
    </w:p>
    <w:p w:rsidR="00143C7B" w:rsidRPr="00143C7B" w:rsidRDefault="00143C7B" w:rsidP="00143C7B">
      <w:pPr>
        <w:pStyle w:val="tMain"/>
        <w:spacing w:before="80"/>
      </w:pPr>
      <w:r w:rsidRPr="00143C7B">
        <w:tab/>
      </w:r>
      <w:r w:rsidRPr="00143C7B">
        <w:tab/>
      </w:r>
      <w:r w:rsidRPr="00143C7B">
        <w:tab/>
      </w:r>
      <w:proofErr w:type="gramStart"/>
      <w:r w:rsidRPr="00143C7B">
        <w:t>then</w:t>
      </w:r>
      <w:proofErr w:type="gramEnd"/>
      <w:r w:rsidRPr="00143C7B">
        <w:t>:</w:t>
      </w:r>
    </w:p>
    <w:p w:rsidR="00143C7B" w:rsidRPr="00143C7B" w:rsidRDefault="00143C7B" w:rsidP="00143C7B">
      <w:pPr>
        <w:pStyle w:val="tPara"/>
      </w:pPr>
      <w:r w:rsidRPr="00143C7B">
        <w:tab/>
        <w:t>(c)</w:t>
      </w:r>
      <w:r w:rsidRPr="00143C7B">
        <w:tab/>
      </w:r>
      <w:proofErr w:type="gramStart"/>
      <w:r w:rsidRPr="00143C7B">
        <w:t>the</w:t>
      </w:r>
      <w:proofErr w:type="gramEnd"/>
      <w:r w:rsidRPr="00143C7B">
        <w:t xml:space="preserve"> responsible emitter for the facility may</w:t>
      </w:r>
      <w:r>
        <w:t xml:space="preserve"> choose to</w:t>
      </w:r>
      <w:r w:rsidRPr="00143C7B">
        <w:t xml:space="preserve"> use the quantities of those inputs, intermediate products or outputs as production variables for the facility; and</w:t>
      </w:r>
    </w:p>
    <w:p w:rsidR="00F10732" w:rsidRPr="00143C7B" w:rsidRDefault="00143C7B" w:rsidP="00143C7B">
      <w:pPr>
        <w:pStyle w:val="tPara"/>
      </w:pPr>
      <w:r w:rsidRPr="00143C7B">
        <w:tab/>
        <w:t>(d)</w:t>
      </w:r>
      <w:r w:rsidRPr="00143C7B">
        <w:tab/>
      </w:r>
      <w:proofErr w:type="gramStart"/>
      <w:r w:rsidRPr="00143C7B">
        <w:t>subsection</w:t>
      </w:r>
      <w:proofErr w:type="gramEnd"/>
      <w:r w:rsidRPr="00143C7B">
        <w:t xml:space="preserve"> (4) applies as if they were output variables.</w:t>
      </w:r>
    </w:p>
    <w:p w:rsidR="00F1258B" w:rsidRPr="0063657F" w:rsidRDefault="00F1258B" w:rsidP="00F1258B">
      <w:pPr>
        <w:pStyle w:val="h6Subsec"/>
      </w:pPr>
      <w:r w:rsidRPr="0063657F">
        <w:lastRenderedPageBreak/>
        <w:t xml:space="preserve">If </w:t>
      </w:r>
      <w:r w:rsidR="008E3254" w:rsidRPr="0063657F">
        <w:t>emissions-intensive trade-exposed activities conducted</w:t>
      </w:r>
    </w:p>
    <w:p w:rsidR="00F1258B" w:rsidRPr="0063657F" w:rsidRDefault="00F1258B" w:rsidP="00F1258B">
      <w:pPr>
        <w:pStyle w:val="tMain"/>
      </w:pPr>
      <w:r w:rsidRPr="0063657F">
        <w:tab/>
      </w:r>
      <w:r w:rsidR="00F773E9">
        <w:t>(10)</w:t>
      </w:r>
      <w:r w:rsidRPr="0063657F">
        <w:tab/>
      </w:r>
      <w:r w:rsidR="007622FB" w:rsidRPr="0063657F">
        <w:t xml:space="preserve">If the facility carries out one or more emissions-intensive trade-exposed activities (within the meaning of the </w:t>
      </w:r>
      <w:r w:rsidR="007622FB" w:rsidRPr="0063657F">
        <w:rPr>
          <w:i/>
        </w:rPr>
        <w:t>Renewable Energy (Electricity) Act 2001</w:t>
      </w:r>
      <w:r w:rsidR="007622FB" w:rsidRPr="004B4BEB">
        <w:t>)</w:t>
      </w:r>
      <w:r w:rsidR="007622FB" w:rsidRPr="0063657F">
        <w:t xml:space="preserve"> the responsible emitter for the facility may choose t</w:t>
      </w:r>
      <w:r w:rsidRPr="0063657F">
        <w:t xml:space="preserve">he quantity of </w:t>
      </w:r>
      <w:r w:rsidR="008E3254" w:rsidRPr="0063657F">
        <w:t>all</w:t>
      </w:r>
      <w:r w:rsidRPr="0063657F">
        <w:t xml:space="preserve"> relevant product</w:t>
      </w:r>
      <w:r w:rsidR="008E3254" w:rsidRPr="0063657F">
        <w:t>s (within the meaning of Part 3A of the</w:t>
      </w:r>
      <w:r w:rsidR="008E3254" w:rsidRPr="0063657F">
        <w:rPr>
          <w:i/>
        </w:rPr>
        <w:t xml:space="preserve"> Renewable Energy (Electricity) Regulations 2001</w:t>
      </w:r>
      <w:r w:rsidR="008E3254" w:rsidRPr="0063657F">
        <w:t xml:space="preserve">) associated with a facility </w:t>
      </w:r>
      <w:r w:rsidR="007622FB" w:rsidRPr="0063657F">
        <w:t>to be</w:t>
      </w:r>
      <w:r w:rsidR="008E3254" w:rsidRPr="0063657F">
        <w:t xml:space="preserve"> production variable</w:t>
      </w:r>
      <w:r w:rsidR="002C4D3F" w:rsidRPr="0063657F">
        <w:t>s</w:t>
      </w:r>
      <w:r w:rsidR="008E3254" w:rsidRPr="0063657F">
        <w:t xml:space="preserve"> for a facility </w:t>
      </w:r>
      <w:r w:rsidR="00FC5932" w:rsidRPr="0063657F">
        <w:t>instead of the facility’s output variables (other than an output variable covered by paragraph (a) or (b) of the definition of output variable in section 4)</w:t>
      </w:r>
      <w:r w:rsidR="008E3254" w:rsidRPr="0063657F">
        <w:t>.</w:t>
      </w:r>
    </w:p>
    <w:p w:rsidR="00F10732" w:rsidRPr="0063657F" w:rsidRDefault="00F10732" w:rsidP="00F10732">
      <w:pPr>
        <w:pStyle w:val="h6Subsec"/>
      </w:pPr>
      <w:r w:rsidRPr="0063657F">
        <w:t>Meaning of materially similar</w:t>
      </w:r>
    </w:p>
    <w:p w:rsidR="00F10732" w:rsidRPr="0063657F" w:rsidRDefault="00F10732" w:rsidP="00F10732">
      <w:pPr>
        <w:pStyle w:val="tMain"/>
      </w:pPr>
      <w:r w:rsidRPr="0063657F">
        <w:tab/>
      </w:r>
      <w:r w:rsidR="00F773E9">
        <w:t>(11)</w:t>
      </w:r>
      <w:r w:rsidRPr="0063657F">
        <w:tab/>
        <w:t>For the purposes of para</w:t>
      </w:r>
      <w:r w:rsidR="000143B6" w:rsidRPr="0063657F">
        <w:t>graph (4</w:t>
      </w:r>
      <w:proofErr w:type="gramStart"/>
      <w:r w:rsidR="000143B6" w:rsidRPr="0063657F">
        <w:t>)(</w:t>
      </w:r>
      <w:proofErr w:type="gramEnd"/>
      <w:r w:rsidR="000143B6" w:rsidRPr="0063657F">
        <w:t>b) and subparagraph (8</w:t>
      </w:r>
      <w:r w:rsidR="004F2184" w:rsidRPr="0063657F">
        <w:t>)(a</w:t>
      </w:r>
      <w:r w:rsidRPr="0063657F">
        <w:t xml:space="preserve">)(ii), the </w:t>
      </w:r>
      <w:r w:rsidR="0012715B" w:rsidRPr="0063657F">
        <w:t xml:space="preserve">covered </w:t>
      </w:r>
      <w:r w:rsidRPr="0063657F">
        <w:t xml:space="preserve">emissions per unit of production of 2 output variables or outputs are </w:t>
      </w:r>
      <w:r w:rsidRPr="0063657F">
        <w:rPr>
          <w:b/>
          <w:i/>
        </w:rPr>
        <w:t>materially similar</w:t>
      </w:r>
      <w:r w:rsidRPr="0063657F">
        <w:t xml:space="preserve"> if the average </w:t>
      </w:r>
      <w:r w:rsidR="0012715B" w:rsidRPr="0063657F">
        <w:t xml:space="preserve">covered </w:t>
      </w:r>
      <w:r w:rsidRPr="0063657F">
        <w:t xml:space="preserve">emissions per unit of production of one of those variables or outputs during the </w:t>
      </w:r>
      <w:r w:rsidR="00CC0F2E" w:rsidRPr="0063657F">
        <w:t>relevant comparison period</w:t>
      </w:r>
      <w:r w:rsidRPr="0063657F">
        <w:t xml:space="preserve"> </w:t>
      </w:r>
      <w:r w:rsidR="002416D8" w:rsidRPr="0063657F">
        <w:t xml:space="preserve">is, </w:t>
      </w:r>
      <w:r w:rsidR="00B41D44" w:rsidRPr="0063657F">
        <w:t xml:space="preserve">or </w:t>
      </w:r>
      <w:r w:rsidRPr="0063657F">
        <w:t>is expected to be</w:t>
      </w:r>
      <w:r w:rsidR="00B41D44" w:rsidRPr="0063657F">
        <w:t>,</w:t>
      </w:r>
      <w:r w:rsidRPr="0063657F">
        <w:t xml:space="preserve"> no more than 5% greater than the average </w:t>
      </w:r>
      <w:r w:rsidR="0012715B" w:rsidRPr="0063657F">
        <w:t xml:space="preserve">covered </w:t>
      </w:r>
      <w:r w:rsidRPr="0063657F">
        <w:t>emissions per unit of production of the other variable or output during that period.</w:t>
      </w:r>
    </w:p>
    <w:p w:rsidR="000143B6" w:rsidRPr="0063657F" w:rsidRDefault="000143B6" w:rsidP="000143B6">
      <w:pPr>
        <w:pStyle w:val="tMain"/>
      </w:pPr>
      <w:r w:rsidRPr="0063657F">
        <w:tab/>
      </w:r>
      <w:r w:rsidR="00F773E9">
        <w:t>(12)</w:t>
      </w:r>
      <w:r w:rsidRPr="0063657F">
        <w:tab/>
        <w:t xml:space="preserve">For the purposes of paragraph (7)(c), the </w:t>
      </w:r>
      <w:r w:rsidR="0012715B" w:rsidRPr="0063657F">
        <w:t xml:space="preserve">covered </w:t>
      </w:r>
      <w:r w:rsidRPr="0063657F">
        <w:t xml:space="preserve">emissions produced by a facility per unit of each similar input, or similar intermediate product, used by the facility are </w:t>
      </w:r>
      <w:r w:rsidRPr="0063657F">
        <w:rPr>
          <w:b/>
          <w:i/>
        </w:rPr>
        <w:t>materially similar</w:t>
      </w:r>
      <w:r w:rsidRPr="0063657F">
        <w:t xml:space="preserve"> if the average </w:t>
      </w:r>
      <w:r w:rsidR="0012715B" w:rsidRPr="0063657F">
        <w:t xml:space="preserve">covered </w:t>
      </w:r>
      <w:r w:rsidRPr="0063657F">
        <w:t xml:space="preserve">emissions per unit of one of the similar inputs, or similar intermediate products, used during the </w:t>
      </w:r>
      <w:r w:rsidR="00CC0F2E" w:rsidRPr="0063657F">
        <w:t>relevant comparison period</w:t>
      </w:r>
      <w:r w:rsidR="002416D8" w:rsidRPr="0063657F">
        <w:t xml:space="preserve"> i</w:t>
      </w:r>
      <w:r w:rsidR="00843261" w:rsidRPr="0063657F">
        <w:t>s, or</w:t>
      </w:r>
      <w:r w:rsidRPr="0063657F">
        <w:t xml:space="preserve"> is expected to be</w:t>
      </w:r>
      <w:r w:rsidR="00843261" w:rsidRPr="0063657F">
        <w:t>,</w:t>
      </w:r>
      <w:r w:rsidRPr="0063657F">
        <w:t xml:space="preserve"> no more than 5% greater than the average </w:t>
      </w:r>
      <w:r w:rsidR="0012715B" w:rsidRPr="0063657F">
        <w:t xml:space="preserve">covered </w:t>
      </w:r>
      <w:r w:rsidRPr="0063657F">
        <w:t>emissions per unit of any other similar input, or similar intermediate product, used during that period.</w:t>
      </w:r>
    </w:p>
    <w:p w:rsidR="00CC0F2E" w:rsidRPr="0063657F" w:rsidRDefault="00CC0F2E" w:rsidP="00CC0F2E">
      <w:pPr>
        <w:pStyle w:val="tMain"/>
      </w:pPr>
      <w:r w:rsidRPr="0063657F">
        <w:tab/>
      </w:r>
      <w:r w:rsidR="00F773E9">
        <w:t>(13)</w:t>
      </w:r>
      <w:r w:rsidRPr="0063657F">
        <w:tab/>
      </w:r>
      <w:r w:rsidR="00000348" w:rsidRPr="0063657F">
        <w:t xml:space="preserve">In this section the relevant </w:t>
      </w:r>
      <w:r w:rsidR="00392C99" w:rsidRPr="0063657F">
        <w:t>comparison</w:t>
      </w:r>
      <w:r w:rsidR="00000348" w:rsidRPr="0063657F">
        <w:t xml:space="preserve"> period is:</w:t>
      </w:r>
    </w:p>
    <w:p w:rsidR="00CC0F2E" w:rsidRPr="0063657F" w:rsidRDefault="00000348" w:rsidP="00392C99">
      <w:pPr>
        <w:pStyle w:val="tPara"/>
      </w:pPr>
      <w:r w:rsidRPr="0063657F">
        <w:tab/>
      </w:r>
      <w:r w:rsidR="00F773E9">
        <w:t>(a)</w:t>
      </w:r>
      <w:r w:rsidRPr="0063657F">
        <w:tab/>
      </w:r>
      <w:proofErr w:type="gramStart"/>
      <w:r w:rsidRPr="0063657F">
        <w:t>if</w:t>
      </w:r>
      <w:proofErr w:type="gramEnd"/>
      <w:r w:rsidRPr="0063657F">
        <w:t xml:space="preserve"> production</w:t>
      </w:r>
      <w:r w:rsidR="00392C99" w:rsidRPr="0063657F">
        <w:t xml:space="preserve"> variables are being identified for a calculated-emissions baseline determination—the </w:t>
      </w:r>
      <w:r w:rsidR="00CC0F2E" w:rsidRPr="0063657F">
        <w:t xml:space="preserve">first </w:t>
      </w:r>
      <w:r w:rsidR="00B41D44" w:rsidRPr="0063657F">
        <w:t xml:space="preserve">3 </w:t>
      </w:r>
      <w:r w:rsidR="00CC0F2E" w:rsidRPr="0063657F">
        <w:t xml:space="preserve">years of </w:t>
      </w:r>
      <w:r w:rsidR="00392C99" w:rsidRPr="0063657F">
        <w:t>that</w:t>
      </w:r>
      <w:r w:rsidR="00CC0F2E" w:rsidRPr="0063657F">
        <w:t xml:space="preserve"> baseline determination</w:t>
      </w:r>
      <w:r w:rsidR="00392C99" w:rsidRPr="0063657F">
        <w:t>;</w:t>
      </w:r>
      <w:r w:rsidR="004D2BCF" w:rsidRPr="0063657F">
        <w:t xml:space="preserve"> and</w:t>
      </w:r>
    </w:p>
    <w:p w:rsidR="00392C99" w:rsidRPr="0063657F" w:rsidRDefault="00392C99" w:rsidP="00392C99">
      <w:pPr>
        <w:pStyle w:val="tPara"/>
      </w:pPr>
      <w:r w:rsidRPr="0063657F">
        <w:tab/>
      </w:r>
      <w:r w:rsidR="00F773E9">
        <w:t>(b)</w:t>
      </w:r>
      <w:r w:rsidRPr="0063657F">
        <w:tab/>
        <w:t xml:space="preserve">if production variables are being identified for a variation of a baseline determination under subsection 51(2)—both the financial year </w:t>
      </w:r>
      <w:r w:rsidR="004D2BCF" w:rsidRPr="0063657F">
        <w:t>for which the baseline emission</w:t>
      </w:r>
      <w:r w:rsidR="004A58CC" w:rsidRPr="0063657F">
        <w:t>s</w:t>
      </w:r>
      <w:r w:rsidR="004D2BCF" w:rsidRPr="0063657F">
        <w:t xml:space="preserve"> number</w:t>
      </w:r>
      <w:r w:rsidRPr="0063657F">
        <w:t xml:space="preserve"> is to be varied and the </w:t>
      </w:r>
      <w:r w:rsidR="00603F7B" w:rsidRPr="0063657F">
        <w:t xml:space="preserve">most recent baseline </w:t>
      </w:r>
      <w:r w:rsidR="004D2BCF" w:rsidRPr="0063657F">
        <w:t>intensity comparison year.</w:t>
      </w:r>
    </w:p>
    <w:p w:rsidR="00F10732" w:rsidRPr="0063657F" w:rsidRDefault="00F773E9" w:rsidP="00F10732">
      <w:pPr>
        <w:pStyle w:val="h5Section"/>
      </w:pPr>
      <w:bookmarkStart w:id="14" w:name="_Toc431896946"/>
      <w:r>
        <w:t>6</w:t>
      </w:r>
      <w:r w:rsidR="00F10732" w:rsidRPr="0063657F">
        <w:t xml:space="preserve"> Emissions-intensity calculation criteria</w:t>
      </w:r>
      <w:bookmarkEnd w:id="14"/>
      <w:r w:rsidR="00F10732" w:rsidRPr="0063657F">
        <w:tab/>
      </w:r>
      <w:r w:rsidR="00F10732" w:rsidRPr="0063657F">
        <w:tab/>
      </w:r>
    </w:p>
    <w:p w:rsidR="00AC3101" w:rsidRPr="0063657F" w:rsidRDefault="00F10732" w:rsidP="00F10732">
      <w:pPr>
        <w:pStyle w:val="tMain"/>
      </w:pPr>
      <w:r w:rsidRPr="0063657F">
        <w:tab/>
      </w:r>
      <w:r w:rsidR="00F773E9">
        <w:t>(1)</w:t>
      </w:r>
      <w:r w:rsidRPr="0063657F">
        <w:tab/>
        <w:t xml:space="preserve">The calculation of the emissions-intensity of a production variable meets the emissions-intensity </w:t>
      </w:r>
      <w:r w:rsidR="00947FB2" w:rsidRPr="0063657F">
        <w:t>calculation</w:t>
      </w:r>
      <w:r w:rsidRPr="0063657F">
        <w:t xml:space="preserve"> criteria if</w:t>
      </w:r>
      <w:r w:rsidR="00AC3101" w:rsidRPr="0063657F">
        <w:t xml:space="preserve">: </w:t>
      </w:r>
    </w:p>
    <w:p w:rsidR="00F10732" w:rsidRPr="0063657F" w:rsidRDefault="00AC3101" w:rsidP="00AC3101">
      <w:pPr>
        <w:pStyle w:val="tPara"/>
      </w:pPr>
      <w:r w:rsidRPr="0063657F">
        <w:tab/>
      </w:r>
      <w:r w:rsidR="00F773E9">
        <w:t>(a)</w:t>
      </w:r>
      <w:r w:rsidRPr="0063657F">
        <w:tab/>
      </w:r>
      <w:proofErr w:type="gramStart"/>
      <w:r w:rsidR="00F10732" w:rsidRPr="0063657F">
        <w:t>the</w:t>
      </w:r>
      <w:proofErr w:type="gramEnd"/>
      <w:r w:rsidR="00F10732" w:rsidRPr="0063657F">
        <w:t xml:space="preserve"> requirements of </w:t>
      </w:r>
      <w:r w:rsidRPr="0063657F">
        <w:t>subsections (2) to (8)</w:t>
      </w:r>
      <w:r w:rsidR="00F10732" w:rsidRPr="0063657F">
        <w:t xml:space="preserve"> are met</w:t>
      </w:r>
      <w:r w:rsidRPr="0063657F">
        <w:t>; and</w:t>
      </w:r>
    </w:p>
    <w:p w:rsidR="00AC3101" w:rsidRPr="0063657F" w:rsidRDefault="00AC3101" w:rsidP="00AC3101">
      <w:pPr>
        <w:pStyle w:val="tPara"/>
      </w:pPr>
      <w:r w:rsidRPr="0063657F">
        <w:tab/>
      </w:r>
      <w:r w:rsidR="00F773E9">
        <w:t>(b)</w:t>
      </w:r>
      <w:r w:rsidRPr="0063657F">
        <w:tab/>
      </w:r>
      <w:proofErr w:type="gramStart"/>
      <w:r w:rsidRPr="0063657F">
        <w:t>the</w:t>
      </w:r>
      <w:proofErr w:type="gramEnd"/>
      <w:r w:rsidRPr="0063657F">
        <w:t xml:space="preserve"> principles in subsections (9) to (11) have been taken into account.</w:t>
      </w:r>
    </w:p>
    <w:p w:rsidR="00AC3101" w:rsidRPr="0063657F" w:rsidRDefault="00AC3101" w:rsidP="00AC3101">
      <w:pPr>
        <w:pStyle w:val="h6Subsec"/>
      </w:pPr>
      <w:r w:rsidRPr="0063657F">
        <w:t>Requirements</w:t>
      </w:r>
    </w:p>
    <w:p w:rsidR="00F10732" w:rsidRPr="0063657F" w:rsidRDefault="00F10732" w:rsidP="00F10732">
      <w:pPr>
        <w:pStyle w:val="tMain"/>
      </w:pPr>
      <w:r w:rsidRPr="0063657F">
        <w:tab/>
      </w:r>
      <w:r w:rsidR="00F773E9">
        <w:t>(2)</w:t>
      </w:r>
      <w:r w:rsidRPr="0063657F">
        <w:tab/>
        <w:t>Only covered emissions are included in the calculation.</w:t>
      </w:r>
    </w:p>
    <w:p w:rsidR="00B80E19" w:rsidRPr="0063657F" w:rsidRDefault="00B80E19" w:rsidP="00B80E19">
      <w:pPr>
        <w:pStyle w:val="tMain"/>
      </w:pPr>
      <w:r w:rsidRPr="0063657F">
        <w:tab/>
      </w:r>
      <w:r w:rsidR="00F773E9">
        <w:t>(3)</w:t>
      </w:r>
      <w:r w:rsidRPr="0063657F">
        <w:tab/>
        <w:t xml:space="preserve">If there is only one production variable—the </w:t>
      </w:r>
      <w:r w:rsidR="001033B1" w:rsidRPr="0063657F">
        <w:t>emissions intensity</w:t>
      </w:r>
      <w:r w:rsidRPr="0063657F">
        <w:t xml:space="preserve"> of the production variable is calculated by dividing the total covered emissions of the facility by the production variable.</w:t>
      </w:r>
    </w:p>
    <w:p w:rsidR="00B80E19" w:rsidRPr="0063657F" w:rsidRDefault="00B80E19" w:rsidP="00B80E19">
      <w:pPr>
        <w:pStyle w:val="tMain"/>
      </w:pPr>
      <w:r w:rsidRPr="0063657F">
        <w:tab/>
      </w:r>
      <w:r w:rsidR="00F773E9">
        <w:t>(4)</w:t>
      </w:r>
      <w:r w:rsidRPr="0063657F">
        <w:tab/>
        <w:t>If there are 2 or more production variables—the total covered emissions of the facility are apportioned between each production variable and then the emissions apportione</w:t>
      </w:r>
      <w:r w:rsidR="001F0A39" w:rsidRPr="0063657F">
        <w:t>d to each production variable are</w:t>
      </w:r>
      <w:r w:rsidRPr="0063657F">
        <w:t xml:space="preserve"> divided by that production variable.</w:t>
      </w:r>
    </w:p>
    <w:p w:rsidR="00F10732" w:rsidRPr="0063657F" w:rsidRDefault="00F10732" w:rsidP="00F10732">
      <w:pPr>
        <w:pStyle w:val="tMain"/>
      </w:pPr>
      <w:r w:rsidRPr="0063657F">
        <w:tab/>
      </w:r>
      <w:r w:rsidR="00F773E9">
        <w:t>(5)</w:t>
      </w:r>
      <w:r w:rsidRPr="0063657F">
        <w:tab/>
        <w:t xml:space="preserve">The </w:t>
      </w:r>
      <w:r w:rsidR="001033B1" w:rsidRPr="0063657F">
        <w:t>emissions intensity</w:t>
      </w:r>
      <w:r w:rsidRPr="0063657F">
        <w:t xml:space="preserve"> is expressed in t CO</w:t>
      </w:r>
      <w:r w:rsidRPr="0063657F">
        <w:rPr>
          <w:vertAlign w:val="subscript"/>
        </w:rPr>
        <w:t>2</w:t>
      </w:r>
      <w:r w:rsidR="002326D7" w:rsidRPr="0063657F">
        <w:rPr>
          <w:rFonts w:ascii="Helvetica Neue" w:hAnsi="Helvetica Neue"/>
          <w:b/>
          <w:bCs/>
          <w:i/>
          <w:iCs/>
          <w:sz w:val="19"/>
          <w:szCs w:val="19"/>
        </w:rPr>
        <w:noBreakHyphen/>
      </w:r>
      <w:r w:rsidRPr="0063657F">
        <w:t>e per unit of the production variable.</w:t>
      </w:r>
    </w:p>
    <w:p w:rsidR="00F10732" w:rsidRPr="0063657F" w:rsidRDefault="00F10732" w:rsidP="00F10732">
      <w:pPr>
        <w:pStyle w:val="tMain"/>
      </w:pPr>
      <w:r w:rsidRPr="0063657F">
        <w:tab/>
      </w:r>
      <w:r w:rsidR="00F773E9">
        <w:t>(6)</w:t>
      </w:r>
      <w:r w:rsidRPr="0063657F">
        <w:tab/>
        <w:t>If a greenhouse gas other than carbon dioxide has</w:t>
      </w:r>
      <w:r w:rsidR="00B41D44" w:rsidRPr="0063657F">
        <w:t xml:space="preserve"> contributed</w:t>
      </w:r>
      <w:r w:rsidRPr="0063657F">
        <w:t xml:space="preserve">, or is </w:t>
      </w:r>
      <w:r w:rsidR="00DA62E0" w:rsidRPr="0063657F">
        <w:t xml:space="preserve">reasonably </w:t>
      </w:r>
      <w:r w:rsidRPr="0063657F">
        <w:t>likely to contribute</w:t>
      </w:r>
      <w:r w:rsidR="00B41D44" w:rsidRPr="0063657F">
        <w:t>,</w:t>
      </w:r>
      <w:r w:rsidRPr="0063657F">
        <w:t xml:space="preserve"> more than 1% of the expected covered emissions in the financial year being </w:t>
      </w:r>
      <w:r w:rsidRPr="0063657F">
        <w:lastRenderedPageBreak/>
        <w:t>considered</w:t>
      </w:r>
      <w:r w:rsidR="00D67BC6">
        <w:t xml:space="preserve"> for the purpose of making of a calculated-emissions baseline determination</w:t>
      </w:r>
      <w:r w:rsidRPr="0063657F">
        <w:t xml:space="preserve">—the </w:t>
      </w:r>
      <w:r w:rsidR="001033B1" w:rsidRPr="0063657F">
        <w:t>emissions intensity</w:t>
      </w:r>
      <w:r w:rsidRPr="0063657F">
        <w:t xml:space="preserve"> of that gas in t CO</w:t>
      </w:r>
      <w:r w:rsidRPr="0063657F">
        <w:rPr>
          <w:vertAlign w:val="subscript"/>
        </w:rPr>
        <w:t>2</w:t>
      </w:r>
      <w:r w:rsidR="002326D7" w:rsidRPr="0063657F">
        <w:rPr>
          <w:rFonts w:ascii="Helvetica Neue" w:hAnsi="Helvetica Neue"/>
          <w:b/>
          <w:bCs/>
          <w:i/>
          <w:iCs/>
          <w:sz w:val="19"/>
          <w:szCs w:val="19"/>
        </w:rPr>
        <w:noBreakHyphen/>
      </w:r>
      <w:r w:rsidRPr="0063657F">
        <w:t>e per unit of each production variable must be separately identified.</w:t>
      </w:r>
    </w:p>
    <w:p w:rsidR="00F10732" w:rsidRPr="0063657F" w:rsidRDefault="00F10732" w:rsidP="00F10732">
      <w:pPr>
        <w:pStyle w:val="tMain"/>
      </w:pPr>
      <w:r w:rsidRPr="0063657F">
        <w:tab/>
      </w:r>
      <w:r w:rsidR="00F773E9">
        <w:t>(7)</w:t>
      </w:r>
      <w:r w:rsidRPr="0063657F">
        <w:tab/>
        <w:t xml:space="preserve">The calculation must measure and apportion </w:t>
      </w:r>
      <w:r w:rsidR="0012715B" w:rsidRPr="0063657F">
        <w:t xml:space="preserve">covered </w:t>
      </w:r>
      <w:r w:rsidRPr="0063657F">
        <w:t>emissions in a manner that is consistent with the NGER (Measurement) Determination.</w:t>
      </w:r>
    </w:p>
    <w:p w:rsidR="00F10732" w:rsidRPr="0063657F" w:rsidRDefault="00F10732" w:rsidP="00F10732">
      <w:pPr>
        <w:pStyle w:val="tMain"/>
      </w:pPr>
      <w:r w:rsidRPr="0063657F">
        <w:tab/>
      </w:r>
      <w:r w:rsidR="00F773E9">
        <w:t>(8)</w:t>
      </w:r>
      <w:r w:rsidRPr="0063657F">
        <w:tab/>
        <w:t xml:space="preserve">The </w:t>
      </w:r>
      <w:r w:rsidR="001033B1" w:rsidRPr="0063657F">
        <w:t>emissions intensity</w:t>
      </w:r>
      <w:r w:rsidRPr="0063657F">
        <w:t xml:space="preserve"> of each production variable must fairly represent the actual emissions attributable to the production variable.</w:t>
      </w:r>
    </w:p>
    <w:p w:rsidR="00AC3101" w:rsidRPr="0063657F" w:rsidRDefault="00AC3101" w:rsidP="00AC3101">
      <w:pPr>
        <w:pStyle w:val="h6Subsec"/>
      </w:pPr>
      <w:r w:rsidRPr="0063657F">
        <w:t>Principles</w:t>
      </w:r>
    </w:p>
    <w:p w:rsidR="00290184" w:rsidRPr="0063657F" w:rsidRDefault="00F10732" w:rsidP="00F10732">
      <w:pPr>
        <w:pStyle w:val="tMain"/>
      </w:pPr>
      <w:r w:rsidRPr="0063657F">
        <w:tab/>
      </w:r>
      <w:r w:rsidR="00F773E9">
        <w:t>(9)</w:t>
      </w:r>
      <w:r w:rsidR="000E4D6C" w:rsidRPr="0063657F">
        <w:tab/>
        <w:t>If a</w:t>
      </w:r>
      <w:r w:rsidRPr="0063657F">
        <w:t xml:space="preserve"> </w:t>
      </w:r>
      <w:r w:rsidR="000E4D6C" w:rsidRPr="0063657F">
        <w:t xml:space="preserve">covered </w:t>
      </w:r>
      <w:r w:rsidRPr="0063657F">
        <w:t>emissions source overlaps 2 or more production variable</w:t>
      </w:r>
      <w:r w:rsidR="001F0A39" w:rsidRPr="0063657F">
        <w:t>s</w:t>
      </w:r>
      <w:r w:rsidR="002D1989" w:rsidRPr="0063657F">
        <w:t>—</w:t>
      </w:r>
      <w:r w:rsidRPr="0063657F">
        <w:t xml:space="preserve">emissions from that source are apportioned between the variables so that the sum of the </w:t>
      </w:r>
      <w:r w:rsidR="000E4D6C" w:rsidRPr="0063657F">
        <w:t xml:space="preserve">covered </w:t>
      </w:r>
      <w:r w:rsidRPr="0063657F">
        <w:t>emissions apportioned to each variable in</w:t>
      </w:r>
      <w:r w:rsidR="00290184" w:rsidRPr="0063657F">
        <w:t>:</w:t>
      </w:r>
    </w:p>
    <w:p w:rsidR="00290184" w:rsidRPr="0063657F" w:rsidRDefault="00290184" w:rsidP="00290184">
      <w:pPr>
        <w:pStyle w:val="tPara"/>
      </w:pPr>
      <w:r w:rsidRPr="0063657F">
        <w:tab/>
      </w:r>
      <w:r w:rsidR="00F773E9">
        <w:t>(a)</w:t>
      </w:r>
      <w:r w:rsidRPr="0063657F">
        <w:tab/>
      </w:r>
      <w:proofErr w:type="gramStart"/>
      <w:r w:rsidRPr="0063657F">
        <w:t>if</w:t>
      </w:r>
      <w:proofErr w:type="gramEnd"/>
      <w:r w:rsidRPr="0063657F">
        <w:t xml:space="preserve"> production variables are being identified for a calculated-emissions baseline determination—</w:t>
      </w:r>
      <w:r w:rsidR="007F7E20" w:rsidRPr="0063657F">
        <w:t>each</w:t>
      </w:r>
      <w:r w:rsidR="002D1989" w:rsidRPr="0063657F">
        <w:t xml:space="preserve"> of the</w:t>
      </w:r>
      <w:r w:rsidRPr="0063657F">
        <w:t xml:space="preserve"> first 3 years of that baseline determination; and</w:t>
      </w:r>
    </w:p>
    <w:p w:rsidR="00290184" w:rsidRPr="0063657F" w:rsidRDefault="00290184" w:rsidP="00290184">
      <w:pPr>
        <w:pStyle w:val="tPara"/>
      </w:pPr>
      <w:r w:rsidRPr="0063657F">
        <w:tab/>
      </w:r>
      <w:r w:rsidR="00F773E9">
        <w:t>(b)</w:t>
      </w:r>
      <w:r w:rsidRPr="0063657F">
        <w:tab/>
        <w:t>if production variables are being identified for a variation of a baseline determination under subsection 51(2)</w:t>
      </w:r>
      <w:r w:rsidR="006848CF" w:rsidRPr="0063657F">
        <w:t xml:space="preserve"> and the facility is not a benchmark facility</w:t>
      </w:r>
      <w:r w:rsidRPr="0063657F">
        <w:t>—both the financial year for which the baseline emission</w:t>
      </w:r>
      <w:r w:rsidR="004A58CC" w:rsidRPr="0063657F">
        <w:t>s</w:t>
      </w:r>
      <w:r w:rsidRPr="0063657F">
        <w:t xml:space="preserve"> number is to be varied and the most recent baseline intensity comparison year;</w:t>
      </w:r>
    </w:p>
    <w:p w:rsidR="0003074B" w:rsidRPr="0063657F" w:rsidRDefault="00F1258B" w:rsidP="002D1989">
      <w:pPr>
        <w:pStyle w:val="subsection2"/>
      </w:pPr>
      <w:proofErr w:type="gramStart"/>
      <w:r w:rsidRPr="0063657F">
        <w:t>should</w:t>
      </w:r>
      <w:proofErr w:type="gramEnd"/>
      <w:r w:rsidRPr="0063657F">
        <w:t xml:space="preserve"> be</w:t>
      </w:r>
      <w:r w:rsidR="00F10732" w:rsidRPr="0063657F">
        <w:t xml:space="preserve"> no more than 5% greater than the total covered emissions</w:t>
      </w:r>
      <w:r w:rsidR="006848CF" w:rsidRPr="0063657F">
        <w:t>, or expected covered emissions,</w:t>
      </w:r>
      <w:r w:rsidR="00F10732" w:rsidRPr="0063657F">
        <w:t xml:space="preserve"> </w:t>
      </w:r>
      <w:r w:rsidR="006848CF" w:rsidRPr="0063657F">
        <w:t xml:space="preserve">from that source during </w:t>
      </w:r>
      <w:r w:rsidR="002D1989" w:rsidRPr="0063657F">
        <w:t>each</w:t>
      </w:r>
      <w:r w:rsidR="00F10732" w:rsidRPr="0063657F">
        <w:t xml:space="preserve"> year.</w:t>
      </w:r>
    </w:p>
    <w:p w:rsidR="00FE3301" w:rsidRPr="0063657F" w:rsidRDefault="00FE3301" w:rsidP="00FE3301">
      <w:pPr>
        <w:pStyle w:val="tMain"/>
      </w:pPr>
      <w:r w:rsidRPr="0063657F">
        <w:tab/>
      </w:r>
      <w:r w:rsidR="00F773E9">
        <w:t>(10)</w:t>
      </w:r>
      <w:r w:rsidRPr="0063657F">
        <w:tab/>
      </w:r>
      <w:r w:rsidR="00AC3101" w:rsidRPr="0063657F">
        <w:t>T</w:t>
      </w:r>
      <w:r w:rsidRPr="0063657F">
        <w:t xml:space="preserve">he method used to calculate the </w:t>
      </w:r>
      <w:r w:rsidR="001033B1" w:rsidRPr="0063657F">
        <w:t>emissions intensity</w:t>
      </w:r>
      <w:r w:rsidRPr="0063657F">
        <w:t xml:space="preserve"> </w:t>
      </w:r>
      <w:r w:rsidR="00C4189F" w:rsidRPr="0063657F">
        <w:t xml:space="preserve">should </w:t>
      </w:r>
      <w:r w:rsidRPr="0063657F">
        <w:t xml:space="preserve">be consistent with </w:t>
      </w:r>
      <w:r w:rsidR="004F2184" w:rsidRPr="0063657F">
        <w:t xml:space="preserve">the method used in </w:t>
      </w:r>
      <w:r w:rsidRPr="0063657F">
        <w:t xml:space="preserve">any previous </w:t>
      </w:r>
      <w:r w:rsidR="00C4189F" w:rsidRPr="0063657F">
        <w:t xml:space="preserve">successful </w:t>
      </w:r>
      <w:r w:rsidRPr="0063657F">
        <w:t>application for a baseline determination</w:t>
      </w:r>
      <w:r w:rsidR="00017672" w:rsidRPr="0063657F">
        <w:t xml:space="preserve"> or variation of a baseline determination</w:t>
      </w:r>
      <w:r w:rsidRPr="0063657F">
        <w:t xml:space="preserve"> relating to the same facility.</w:t>
      </w:r>
    </w:p>
    <w:p w:rsidR="00122351" w:rsidRPr="0063657F" w:rsidRDefault="003C0285" w:rsidP="00A1429C">
      <w:pPr>
        <w:pStyle w:val="tMain"/>
      </w:pPr>
      <w:r w:rsidRPr="0063657F">
        <w:tab/>
      </w:r>
      <w:r w:rsidR="00F773E9">
        <w:t>(11)</w:t>
      </w:r>
      <w:r w:rsidRPr="0063657F">
        <w:tab/>
      </w:r>
      <w:r w:rsidR="00A1429C" w:rsidRPr="0063657F">
        <w:t xml:space="preserve">The apportionment of </w:t>
      </w:r>
      <w:r w:rsidR="000E4D6C" w:rsidRPr="0063657F">
        <w:t xml:space="preserve">covered </w:t>
      </w:r>
      <w:r w:rsidR="00A1429C" w:rsidRPr="0063657F">
        <w:t xml:space="preserve">emissions to individual production variables should be free of bias that may lead to an overestimate of </w:t>
      </w:r>
      <w:r w:rsidR="000E4D6C" w:rsidRPr="0063657F">
        <w:t xml:space="preserve">covered </w:t>
      </w:r>
      <w:r w:rsidR="00A1429C" w:rsidRPr="0063657F">
        <w:t>emissions in</w:t>
      </w:r>
      <w:r w:rsidR="00122351" w:rsidRPr="0063657F">
        <w:t>:</w:t>
      </w:r>
      <w:r w:rsidR="00A1429C" w:rsidRPr="0063657F">
        <w:t xml:space="preserve"> </w:t>
      </w:r>
    </w:p>
    <w:p w:rsidR="00122351" w:rsidRPr="0063657F" w:rsidRDefault="00122351" w:rsidP="00122351">
      <w:pPr>
        <w:pStyle w:val="tPara"/>
      </w:pPr>
      <w:r w:rsidRPr="0063657F">
        <w:tab/>
      </w:r>
      <w:r w:rsidR="00F773E9">
        <w:t>(a)</w:t>
      </w:r>
      <w:r w:rsidRPr="0063657F">
        <w:tab/>
      </w:r>
      <w:proofErr w:type="gramStart"/>
      <w:r w:rsidRPr="0063657F">
        <w:t>if</w:t>
      </w:r>
      <w:proofErr w:type="gramEnd"/>
      <w:r w:rsidRPr="0063657F">
        <w:t xml:space="preserve"> production variables are being identified for a calculated-emissions baseline determination— the period to be covered by the baseline determination; and</w:t>
      </w:r>
    </w:p>
    <w:p w:rsidR="00122351" w:rsidRPr="0063657F" w:rsidRDefault="00122351" w:rsidP="00122351">
      <w:pPr>
        <w:pStyle w:val="tPara"/>
      </w:pPr>
      <w:r w:rsidRPr="0063657F">
        <w:tab/>
      </w:r>
      <w:r w:rsidR="00F773E9">
        <w:t>(b)</w:t>
      </w:r>
      <w:r w:rsidRPr="0063657F">
        <w:tab/>
      </w:r>
      <w:proofErr w:type="gramStart"/>
      <w:r w:rsidRPr="0063657F">
        <w:t>if</w:t>
      </w:r>
      <w:proofErr w:type="gramEnd"/>
      <w:r w:rsidRPr="0063657F">
        <w:t xml:space="preserve"> production variables are being identified for a variation of a baseline determination under subsection 51(2) and the facility is not a benchmark facility—the most recent baseline intensity comparison year;</w:t>
      </w:r>
    </w:p>
    <w:p w:rsidR="003C0285" w:rsidRPr="0063657F" w:rsidRDefault="00A1429C" w:rsidP="001F0A39">
      <w:pPr>
        <w:pStyle w:val="subsection2"/>
      </w:pPr>
      <w:proofErr w:type="gramStart"/>
      <w:r w:rsidRPr="0063657F">
        <w:t>due</w:t>
      </w:r>
      <w:proofErr w:type="gramEnd"/>
      <w:r w:rsidRPr="0063657F">
        <w:t xml:space="preserve"> to changes in the relative mix of production variables</w:t>
      </w:r>
      <w:r w:rsidR="003C0285" w:rsidRPr="0063657F">
        <w:t>.</w:t>
      </w:r>
    </w:p>
    <w:p w:rsidR="001F0A39" w:rsidRPr="0063657F" w:rsidRDefault="001F0A39">
      <w:pPr>
        <w:spacing w:line="240" w:lineRule="auto"/>
        <w:rPr>
          <w:rStyle w:val="CharPartNo"/>
          <w:rFonts w:eastAsia="Times New Roman"/>
          <w:b/>
          <w:kern w:val="28"/>
          <w:sz w:val="32"/>
          <w:lang w:eastAsia="en-AU"/>
        </w:rPr>
      </w:pPr>
      <w:r w:rsidRPr="0063657F">
        <w:rPr>
          <w:rStyle w:val="CharPartNo"/>
        </w:rPr>
        <w:br w:type="page"/>
      </w:r>
    </w:p>
    <w:p w:rsidR="00F10732" w:rsidRPr="0063657F" w:rsidRDefault="00F773E9" w:rsidP="001F0A39">
      <w:pPr>
        <w:pStyle w:val="h2Part"/>
        <w:ind w:left="0" w:firstLine="0"/>
      </w:pPr>
      <w:bookmarkStart w:id="15" w:name="_Toc405889310"/>
      <w:bookmarkStart w:id="16" w:name="_Toc431896947"/>
      <w:r>
        <w:rPr>
          <w:rStyle w:val="CharPartNo"/>
        </w:rPr>
        <w:lastRenderedPageBreak/>
        <w:t>Part 2</w:t>
      </w:r>
      <w:r w:rsidR="00F10732" w:rsidRPr="0063657F">
        <w:rPr>
          <w:rStyle w:val="CharPartNo"/>
        </w:rPr>
        <w:t>—</w:t>
      </w:r>
      <w:bookmarkEnd w:id="15"/>
      <w:r w:rsidR="00F10732" w:rsidRPr="0063657F">
        <w:rPr>
          <w:rStyle w:val="CharPartText"/>
        </w:rPr>
        <w:t>Coverage</w:t>
      </w:r>
      <w:bookmarkEnd w:id="16"/>
      <w:r w:rsidR="00F10732" w:rsidRPr="0063657F">
        <w:rPr>
          <w:rStyle w:val="CharDivNo"/>
        </w:rPr>
        <w:t xml:space="preserve"> </w:t>
      </w:r>
      <w:r w:rsidR="00F10732" w:rsidRPr="0063657F">
        <w:rPr>
          <w:rStyle w:val="CharDivText"/>
        </w:rPr>
        <w:t xml:space="preserve"> </w:t>
      </w:r>
    </w:p>
    <w:p w:rsidR="00F10732" w:rsidRPr="0063657F" w:rsidRDefault="00F773E9" w:rsidP="00F10732">
      <w:pPr>
        <w:pStyle w:val="h5Section"/>
      </w:pPr>
      <w:bookmarkStart w:id="17" w:name="_Toc431896948"/>
      <w:r>
        <w:t>7</w:t>
      </w:r>
      <w:r w:rsidR="00F10732" w:rsidRPr="0063657F">
        <w:t xml:space="preserve"> Covered emissions</w:t>
      </w:r>
      <w:bookmarkEnd w:id="17"/>
      <w:r w:rsidR="00F10732" w:rsidRPr="0063657F">
        <w:t xml:space="preserve"> </w:t>
      </w:r>
    </w:p>
    <w:p w:rsidR="00F10732" w:rsidRPr="0063657F" w:rsidRDefault="00F10732" w:rsidP="00F10732">
      <w:pPr>
        <w:pStyle w:val="tMain"/>
      </w:pPr>
      <w:r w:rsidRPr="0063657F">
        <w:tab/>
      </w:r>
      <w:r w:rsidR="00F773E9">
        <w:t>(1)</w:t>
      </w:r>
      <w:r w:rsidRPr="0063657F">
        <w:tab/>
        <w:t>For section 22XI of the Act, the following scope 1 emissions of one or more greenhouse gases are not covered emissions for the purposes of the safeguard mechanism:</w:t>
      </w:r>
    </w:p>
    <w:p w:rsidR="00F10732" w:rsidRPr="0063657F" w:rsidRDefault="00F10732" w:rsidP="00F10732">
      <w:pPr>
        <w:pStyle w:val="tPara"/>
      </w:pPr>
      <w:r w:rsidRPr="0063657F">
        <w:tab/>
      </w:r>
      <w:r w:rsidR="00F773E9">
        <w:t>(a)</w:t>
      </w:r>
      <w:r w:rsidRPr="0063657F">
        <w:tab/>
      </w:r>
      <w:proofErr w:type="gramStart"/>
      <w:r w:rsidRPr="0063657F">
        <w:t>emissions</w:t>
      </w:r>
      <w:proofErr w:type="gramEnd"/>
      <w:r w:rsidRPr="0063657F">
        <w:t xml:space="preserve"> of one or more greenhouse gases in circumstances where the Minister has not determined</w:t>
      </w:r>
      <w:r w:rsidR="004E667C" w:rsidRPr="0063657F">
        <w:t>, under subsection 10(3) of the Act</w:t>
      </w:r>
      <w:r w:rsidRPr="0063657F">
        <w:t>:</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methods</w:t>
      </w:r>
      <w:proofErr w:type="gramEnd"/>
      <w:r w:rsidRPr="0063657F">
        <w:t xml:space="preserve"> by which the amounts of the scope 1 emissions of the greenhouse gas are to be measured; or</w:t>
      </w:r>
    </w:p>
    <w:p w:rsidR="00F10732" w:rsidRPr="0063657F" w:rsidRDefault="00F10732" w:rsidP="00F10732">
      <w:pPr>
        <w:pStyle w:val="tSubpara"/>
      </w:pPr>
      <w:r w:rsidRPr="0063657F">
        <w:tab/>
      </w:r>
      <w:r w:rsidR="00F773E9">
        <w:t>(ii)</w:t>
      </w:r>
      <w:r w:rsidRPr="0063657F">
        <w:tab/>
      </w:r>
      <w:proofErr w:type="gramStart"/>
      <w:r w:rsidRPr="0063657F">
        <w:t>criteria</w:t>
      </w:r>
      <w:proofErr w:type="gramEnd"/>
      <w:r w:rsidRPr="0063657F">
        <w:t xml:space="preserve"> for methods by which the amounts of the scope 1 emissions of the greenhouse gas are to be measured; </w:t>
      </w:r>
    </w:p>
    <w:p w:rsidR="00F10732" w:rsidRPr="0063657F" w:rsidRDefault="00F10732" w:rsidP="00F10732">
      <w:pPr>
        <w:pStyle w:val="tPara"/>
      </w:pPr>
      <w:r w:rsidRPr="0063657F">
        <w:tab/>
      </w:r>
      <w:r w:rsidR="00F773E9">
        <w:t>(b)</w:t>
      </w:r>
      <w:r w:rsidRPr="0063657F">
        <w:tab/>
      </w:r>
      <w:proofErr w:type="gramStart"/>
      <w:r w:rsidRPr="0063657F">
        <w:t>legacy</w:t>
      </w:r>
      <w:proofErr w:type="gramEnd"/>
      <w:r w:rsidRPr="0063657F">
        <w:t xml:space="preserve"> emissions from the operation of a landfill facility;</w:t>
      </w:r>
    </w:p>
    <w:p w:rsidR="00F10732" w:rsidRPr="0063657F" w:rsidRDefault="00F10732" w:rsidP="00F10732">
      <w:pPr>
        <w:pStyle w:val="tPara"/>
      </w:pPr>
      <w:r w:rsidRPr="0063657F">
        <w:tab/>
      </w:r>
      <w:r w:rsidR="00F773E9">
        <w:t>(c)</w:t>
      </w:r>
      <w:r w:rsidRPr="0063657F">
        <w:tab/>
      </w:r>
      <w:proofErr w:type="gramStart"/>
      <w:r w:rsidRPr="0063657F">
        <w:t>emissions</w:t>
      </w:r>
      <w:proofErr w:type="gramEnd"/>
      <w:r w:rsidRPr="0063657F">
        <w:t xml:space="preserve"> of one or more greenhouse gases from the operation of a grid-connected electricity generator in respect of a </w:t>
      </w:r>
      <w:r w:rsidR="00872ADA" w:rsidRPr="0063657F">
        <w:t>sectoral</w:t>
      </w:r>
      <w:r w:rsidRPr="0063657F">
        <w:t>-baseline financial year;</w:t>
      </w:r>
    </w:p>
    <w:p w:rsidR="00F10732" w:rsidRPr="0063657F" w:rsidRDefault="00F10732" w:rsidP="00F10732">
      <w:pPr>
        <w:pStyle w:val="tPara"/>
      </w:pPr>
      <w:r w:rsidRPr="0063657F">
        <w:tab/>
      </w:r>
      <w:r w:rsidR="00F773E9">
        <w:t>(d)</w:t>
      </w:r>
      <w:r w:rsidRPr="0063657F">
        <w:tab/>
      </w:r>
      <w:proofErr w:type="gramStart"/>
      <w:r w:rsidRPr="0063657F">
        <w:t>if</w:t>
      </w:r>
      <w:proofErr w:type="gramEnd"/>
      <w:r w:rsidRPr="0063657F">
        <w:t xml:space="preserve"> a facility is partly in Australia and partly in either the Greater Sunrise unit area or Joint Petroleum Development Area—scope 1 emissions of greenhouse gases which occurred in the Greater Sunrise unit area or Joint Petroleum Development Area.</w:t>
      </w:r>
    </w:p>
    <w:p w:rsidR="00F10732" w:rsidRPr="0063657F" w:rsidRDefault="00F10732" w:rsidP="00F10732">
      <w:pPr>
        <w:pStyle w:val="nPara"/>
      </w:pPr>
      <w:r w:rsidRPr="0063657F">
        <w:tab/>
        <w:t>Note:</w:t>
      </w:r>
      <w:r w:rsidRPr="0063657F">
        <w:tab/>
        <w:t>A facility wholly in the Greater Sunrise unit area or Joint Petroleum Development Area is not subject to the safeguard provisions in accordance with subsection 6A(2) of the Act.</w:t>
      </w:r>
    </w:p>
    <w:p w:rsidR="004E667C" w:rsidRPr="0063657F" w:rsidRDefault="004E667C" w:rsidP="00C50DD9">
      <w:pPr>
        <w:pStyle w:val="h6Subsec"/>
      </w:pPr>
      <w:r w:rsidRPr="0063657F">
        <w:t>Legacy emissions</w:t>
      </w:r>
    </w:p>
    <w:p w:rsidR="00F10732" w:rsidRPr="0063657F" w:rsidRDefault="00F10732" w:rsidP="00F10732">
      <w:pPr>
        <w:pStyle w:val="tMain"/>
      </w:pPr>
      <w:r w:rsidRPr="0063657F">
        <w:tab/>
      </w:r>
      <w:r w:rsidR="00F773E9">
        <w:t>(2)</w:t>
      </w:r>
      <w:r w:rsidRPr="0063657F">
        <w:tab/>
        <w:t xml:space="preserve">For </w:t>
      </w:r>
      <w:r w:rsidR="004E667C" w:rsidRPr="0063657F">
        <w:t xml:space="preserve">the purposes of </w:t>
      </w:r>
      <w:r w:rsidRPr="0063657F">
        <w:t>subsection (1), if:</w:t>
      </w:r>
    </w:p>
    <w:p w:rsidR="00F10732" w:rsidRPr="0063657F" w:rsidRDefault="00F10732" w:rsidP="00F10732">
      <w:pPr>
        <w:pStyle w:val="tPara"/>
      </w:pPr>
      <w:r w:rsidRPr="0063657F">
        <w:tab/>
      </w:r>
      <w:r w:rsidR="00F773E9">
        <w:t>(a)</w:t>
      </w:r>
      <w:r w:rsidRPr="0063657F">
        <w:tab/>
      </w:r>
      <w:proofErr w:type="gramStart"/>
      <w:r w:rsidRPr="0063657F">
        <w:t>an</w:t>
      </w:r>
      <w:proofErr w:type="gramEnd"/>
      <w:r w:rsidRPr="0063657F">
        <w:t xml:space="preserve"> amount of greenhouse gas was emitted from the operation of a landfill facility; and</w:t>
      </w:r>
    </w:p>
    <w:p w:rsidR="00F10732" w:rsidRPr="0063657F" w:rsidRDefault="00F10732" w:rsidP="00F10732">
      <w:pPr>
        <w:pStyle w:val="tPara"/>
      </w:pPr>
      <w:r w:rsidRPr="0063657F">
        <w:tab/>
      </w:r>
      <w:r w:rsidR="00F773E9">
        <w:t>(b)</w:t>
      </w:r>
      <w:r w:rsidRPr="0063657F">
        <w:tab/>
      </w:r>
      <w:proofErr w:type="gramStart"/>
      <w:r w:rsidRPr="0063657F">
        <w:t>waste</w:t>
      </w:r>
      <w:proofErr w:type="gramEnd"/>
      <w:r w:rsidRPr="0063657F">
        <w:t xml:space="preserve"> was accepted by the landfill facility before 1 July 2016;</w:t>
      </w:r>
    </w:p>
    <w:p w:rsidR="00F10732" w:rsidRPr="0063657F" w:rsidRDefault="00F10732" w:rsidP="00C50DD9">
      <w:pPr>
        <w:pStyle w:val="tMain"/>
        <w:spacing w:before="40"/>
      </w:pPr>
      <w:r w:rsidRPr="0063657F">
        <w:tab/>
      </w:r>
      <w:r w:rsidRPr="0063657F">
        <w:tab/>
      </w:r>
      <w:proofErr w:type="gramStart"/>
      <w:r w:rsidRPr="0063657F">
        <w:t>so</w:t>
      </w:r>
      <w:proofErr w:type="gramEnd"/>
      <w:r w:rsidRPr="0063657F">
        <w:t xml:space="preserve"> much of the amount mentioned in paragraph (a) as is, under a determination under subsection 10(3) of the</w:t>
      </w:r>
      <w:r w:rsidR="00442DE9" w:rsidRPr="0063657F">
        <w:t xml:space="preserve"> Act</w:t>
      </w:r>
      <w:r w:rsidRPr="0063657F">
        <w:t xml:space="preserve">, taken to be attributable to waste accepted by the facility before 1 July 2016 is a </w:t>
      </w:r>
      <w:r w:rsidRPr="0063657F">
        <w:rPr>
          <w:b/>
          <w:i/>
        </w:rPr>
        <w:t>legacy emission</w:t>
      </w:r>
      <w:r w:rsidRPr="0063657F">
        <w:t xml:space="preserve"> from the operation of the landfill facility.</w:t>
      </w:r>
    </w:p>
    <w:p w:rsidR="00F10732" w:rsidRPr="0063657F" w:rsidRDefault="00F773E9" w:rsidP="00F10732">
      <w:pPr>
        <w:pStyle w:val="h5Section"/>
      </w:pPr>
      <w:bookmarkStart w:id="18" w:name="_Toc431896949"/>
      <w:r>
        <w:t>8</w:t>
      </w:r>
      <w:r w:rsidR="00F10732" w:rsidRPr="0063657F">
        <w:t xml:space="preserve"> Designated large facility threshold</w:t>
      </w:r>
      <w:bookmarkEnd w:id="18"/>
    </w:p>
    <w:p w:rsidR="00F10732" w:rsidRPr="0063657F" w:rsidRDefault="00F10732" w:rsidP="00F10732">
      <w:pPr>
        <w:pStyle w:val="tMain"/>
      </w:pPr>
      <w:r w:rsidRPr="0063657F">
        <w:tab/>
      </w:r>
      <w:r w:rsidRPr="0063657F">
        <w:tab/>
        <w:t xml:space="preserve">For paragraph </w:t>
      </w:r>
      <w:proofErr w:type="gramStart"/>
      <w:r w:rsidRPr="0063657F">
        <w:t>22XJ(</w:t>
      </w:r>
      <w:proofErr w:type="gramEnd"/>
      <w:r w:rsidRPr="0063657F">
        <w:t>1)(b) of the Act, the specified number is 100,000.</w:t>
      </w:r>
    </w:p>
    <w:p w:rsidR="00F10732" w:rsidRPr="0063657F" w:rsidRDefault="00F10732" w:rsidP="00F10732">
      <w:pPr>
        <w:pStyle w:val="tMain"/>
      </w:pPr>
    </w:p>
    <w:p w:rsidR="00F10732" w:rsidRPr="0063657F" w:rsidRDefault="00F10732" w:rsidP="00F10732">
      <w:pPr>
        <w:pStyle w:val="tMain"/>
      </w:pPr>
    </w:p>
    <w:p w:rsidR="00F10732" w:rsidRPr="0063657F" w:rsidRDefault="00F10732" w:rsidP="00F10732">
      <w:pPr>
        <w:pStyle w:val="h2Part"/>
        <w:rPr>
          <w:rStyle w:val="CharPartText"/>
        </w:rPr>
      </w:pPr>
      <w:r w:rsidRPr="0063657F">
        <w:rPr>
          <w:sz w:val="28"/>
          <w:szCs w:val="28"/>
        </w:rPr>
        <w:br w:type="page"/>
      </w:r>
      <w:bookmarkStart w:id="19" w:name="_Toc431896950"/>
      <w:r w:rsidR="00F773E9">
        <w:rPr>
          <w:rStyle w:val="CharPartNo"/>
        </w:rPr>
        <w:lastRenderedPageBreak/>
        <w:t>Part 3</w:t>
      </w:r>
      <w:r w:rsidRPr="0063657F">
        <w:rPr>
          <w:rStyle w:val="CharPartNo"/>
        </w:rPr>
        <w:t>—</w:t>
      </w:r>
      <w:r w:rsidRPr="0063657F">
        <w:rPr>
          <w:rStyle w:val="CharPartText"/>
        </w:rPr>
        <w:t>Baselines</w:t>
      </w:r>
      <w:bookmarkEnd w:id="19"/>
    </w:p>
    <w:p w:rsidR="00F10732" w:rsidRPr="0063657F" w:rsidRDefault="00F773E9" w:rsidP="00F10732">
      <w:pPr>
        <w:pStyle w:val="h3Div"/>
      </w:pPr>
      <w:bookmarkStart w:id="20" w:name="_Toc431896951"/>
      <w:r>
        <w:t>Division 1</w:t>
      </w:r>
      <w:r w:rsidR="00F10732" w:rsidRPr="0063657F">
        <w:t>—Baseline emissions number</w:t>
      </w:r>
      <w:bookmarkEnd w:id="20"/>
    </w:p>
    <w:p w:rsidR="00F10732" w:rsidRPr="0063657F" w:rsidRDefault="00F773E9" w:rsidP="00F10732">
      <w:pPr>
        <w:pStyle w:val="h5Section"/>
      </w:pPr>
      <w:bookmarkStart w:id="21" w:name="_Toc431896952"/>
      <w:r>
        <w:t>9</w:t>
      </w:r>
      <w:r w:rsidR="00F10732" w:rsidRPr="0063657F">
        <w:t xml:space="preserve"> Operation of this Division</w:t>
      </w:r>
      <w:bookmarkEnd w:id="21"/>
      <w:r w:rsidR="00F10732" w:rsidRPr="0063657F">
        <w:t xml:space="preserve"> </w:t>
      </w:r>
    </w:p>
    <w:p w:rsidR="00F10732" w:rsidRPr="0063657F" w:rsidRDefault="004F2184" w:rsidP="00F10732">
      <w:pPr>
        <w:pStyle w:val="tMain"/>
        <w:rPr>
          <w:rStyle w:val="CharDivText"/>
        </w:rPr>
      </w:pPr>
      <w:r w:rsidRPr="0063657F">
        <w:tab/>
      </w:r>
      <w:r w:rsidRPr="0063657F">
        <w:tab/>
        <w:t xml:space="preserve">For subsection </w:t>
      </w:r>
      <w:proofErr w:type="gramStart"/>
      <w:r w:rsidRPr="0063657F">
        <w:t>22XL(</w:t>
      </w:r>
      <w:proofErr w:type="gramEnd"/>
      <w:r w:rsidRPr="0063657F">
        <w:t>1</w:t>
      </w:r>
      <w:r w:rsidR="00F10732" w:rsidRPr="0063657F">
        <w:t>) of the Act, this Division provides for the ascertainment of a baseline emissions number for a facility for a financial year.</w:t>
      </w:r>
      <w:r w:rsidR="00F10732" w:rsidRPr="0063657F">
        <w:rPr>
          <w:rStyle w:val="CharDivNo"/>
        </w:rPr>
        <w:t xml:space="preserve"> </w:t>
      </w:r>
      <w:r w:rsidR="00F10732" w:rsidRPr="0063657F">
        <w:rPr>
          <w:rStyle w:val="CharDivText"/>
        </w:rPr>
        <w:t xml:space="preserve"> </w:t>
      </w:r>
    </w:p>
    <w:p w:rsidR="00F10732" w:rsidRPr="0063657F" w:rsidRDefault="00F773E9" w:rsidP="00F10732">
      <w:pPr>
        <w:pStyle w:val="h5Section"/>
      </w:pPr>
      <w:bookmarkStart w:id="22" w:name="_Toc431896953"/>
      <w:r>
        <w:t>10</w:t>
      </w:r>
      <w:r w:rsidR="00F10732" w:rsidRPr="0063657F">
        <w:t xml:space="preserve"> Baseline emissions number</w:t>
      </w:r>
      <w:bookmarkEnd w:id="22"/>
    </w:p>
    <w:p w:rsidR="00F10732" w:rsidRPr="0063657F" w:rsidRDefault="00F10732" w:rsidP="00F10732">
      <w:pPr>
        <w:pStyle w:val="tMain"/>
      </w:pPr>
      <w:r w:rsidRPr="0063657F">
        <w:tab/>
      </w:r>
      <w:r w:rsidRPr="0063657F">
        <w:tab/>
        <w:t>The baseline emissions number, in t CO</w:t>
      </w:r>
      <w:r w:rsidRPr="0063657F">
        <w:rPr>
          <w:vertAlign w:val="subscript"/>
        </w:rPr>
        <w:t>2</w:t>
      </w:r>
      <w:r w:rsidR="002326D7" w:rsidRPr="0063657F">
        <w:rPr>
          <w:rFonts w:ascii="Helvetica Neue" w:hAnsi="Helvetica Neue"/>
          <w:b/>
          <w:bCs/>
          <w:i/>
          <w:iCs/>
          <w:sz w:val="19"/>
          <w:szCs w:val="19"/>
        </w:rPr>
        <w:noBreakHyphen/>
      </w:r>
      <w:r w:rsidRPr="0063657F">
        <w:t>e, for a facility for a financial year is:</w:t>
      </w:r>
    </w:p>
    <w:p w:rsidR="00F10732" w:rsidRPr="0063657F" w:rsidRDefault="00F10732" w:rsidP="00F10732">
      <w:pPr>
        <w:pStyle w:val="tPara"/>
      </w:pPr>
      <w:r w:rsidRPr="0063657F">
        <w:tab/>
      </w:r>
      <w:r w:rsidR="00F773E9">
        <w:t>(a)</w:t>
      </w:r>
      <w:r w:rsidRPr="0063657F">
        <w:tab/>
      </w:r>
      <w:proofErr w:type="gramStart"/>
      <w:r w:rsidRPr="0063657F">
        <w:t>if</w:t>
      </w:r>
      <w:proofErr w:type="gramEnd"/>
      <w:r w:rsidRPr="0063657F">
        <w:t xml:space="preserve"> a baseline determination is in force in respect of the facility for a financial year—the number ascertained under that determination; and</w:t>
      </w:r>
    </w:p>
    <w:p w:rsidR="00F10732" w:rsidRPr="0063657F" w:rsidRDefault="00F10732" w:rsidP="00F10732">
      <w:pPr>
        <w:pStyle w:val="tPara"/>
      </w:pPr>
      <w:r w:rsidRPr="0063657F">
        <w:tab/>
      </w:r>
      <w:r w:rsidR="00F773E9">
        <w:t>(b)</w:t>
      </w:r>
      <w:r w:rsidRPr="0063657F">
        <w:tab/>
      </w:r>
      <w:proofErr w:type="gramStart"/>
      <w:r w:rsidRPr="0063657F">
        <w:t>otherwise—</w:t>
      </w:r>
      <w:proofErr w:type="gramEnd"/>
      <w:r w:rsidRPr="0063657F">
        <w:t>100,000.</w:t>
      </w:r>
    </w:p>
    <w:p w:rsidR="00F10732" w:rsidRPr="0063657F" w:rsidRDefault="00F773E9" w:rsidP="00F10732">
      <w:pPr>
        <w:pStyle w:val="h3Div"/>
        <w:rPr>
          <w:rStyle w:val="CharPartNo"/>
        </w:rPr>
      </w:pPr>
      <w:bookmarkStart w:id="23" w:name="_Toc431896954"/>
      <w:r>
        <w:rPr>
          <w:rStyle w:val="CharPartNo"/>
        </w:rPr>
        <w:t>Division 2</w:t>
      </w:r>
      <w:r w:rsidR="00F10732" w:rsidRPr="0063657F">
        <w:rPr>
          <w:rStyle w:val="CharPartNo"/>
        </w:rPr>
        <w:t>—Baseline determinations</w:t>
      </w:r>
      <w:bookmarkEnd w:id="23"/>
    </w:p>
    <w:p w:rsidR="00F10732" w:rsidRPr="0063657F" w:rsidRDefault="00F773E9" w:rsidP="00F10732">
      <w:pPr>
        <w:pStyle w:val="h4Subdiv"/>
      </w:pPr>
      <w:bookmarkStart w:id="24" w:name="_Toc431896955"/>
      <w:r>
        <w:t>Subdivision 1</w:t>
      </w:r>
      <w:r w:rsidR="00F10732" w:rsidRPr="0063657F">
        <w:t>—Preliminary</w:t>
      </w:r>
      <w:bookmarkEnd w:id="24"/>
    </w:p>
    <w:p w:rsidR="00F10732" w:rsidRPr="0063657F" w:rsidRDefault="00F773E9" w:rsidP="00F10732">
      <w:pPr>
        <w:pStyle w:val="h5Section"/>
      </w:pPr>
      <w:bookmarkStart w:id="25" w:name="_Toc431896956"/>
      <w:r>
        <w:t>11</w:t>
      </w:r>
      <w:r w:rsidR="00F10732" w:rsidRPr="0063657F">
        <w:t xml:space="preserve"> Operation of this Division</w:t>
      </w:r>
      <w:bookmarkEnd w:id="25"/>
      <w:r w:rsidR="00F10732" w:rsidRPr="0063657F">
        <w:t xml:space="preserve"> </w:t>
      </w:r>
    </w:p>
    <w:p w:rsidR="00F10732" w:rsidRPr="0063657F" w:rsidRDefault="00F10732" w:rsidP="00F10732">
      <w:pPr>
        <w:pStyle w:val="tMain"/>
      </w:pPr>
      <w:r w:rsidRPr="0063657F">
        <w:tab/>
      </w:r>
      <w:r w:rsidRPr="0063657F">
        <w:tab/>
        <w:t>This Division provides for the making, variation and expiry of baseline determinations.</w:t>
      </w:r>
    </w:p>
    <w:p w:rsidR="00F10732" w:rsidRPr="0063657F" w:rsidRDefault="00F773E9" w:rsidP="00F10732">
      <w:pPr>
        <w:pStyle w:val="h5Section"/>
      </w:pPr>
      <w:bookmarkStart w:id="26" w:name="_Toc431896957"/>
      <w:r>
        <w:t>12</w:t>
      </w:r>
      <w:r w:rsidR="00F10732" w:rsidRPr="0063657F">
        <w:t xml:space="preserve"> Minimum baseline emissions number</w:t>
      </w:r>
      <w:bookmarkEnd w:id="26"/>
    </w:p>
    <w:p w:rsidR="00F10732" w:rsidRPr="0063657F" w:rsidRDefault="00F10732" w:rsidP="00F10732">
      <w:pPr>
        <w:pStyle w:val="tMain"/>
      </w:pPr>
      <w:r w:rsidRPr="0063657F">
        <w:tab/>
      </w:r>
      <w:r w:rsidRPr="0063657F">
        <w:tab/>
        <w:t>Despite any other provision in this Division, a baseline determination must not provide that a baseline emissions number for a facility for a financial year is less than 100,000</w:t>
      </w:r>
      <w:r w:rsidR="00A53B28" w:rsidRPr="0063657F">
        <w:t> </w:t>
      </w:r>
      <w:r w:rsidRPr="0063657F">
        <w:t>t</w:t>
      </w:r>
      <w:r w:rsidR="00A53B28" w:rsidRPr="0063657F">
        <w:t> </w:t>
      </w:r>
      <w:r w:rsidRPr="0063657F">
        <w:t>CO</w:t>
      </w:r>
      <w:r w:rsidRPr="0063657F">
        <w:rPr>
          <w:vertAlign w:val="subscript"/>
        </w:rPr>
        <w:t>2</w:t>
      </w:r>
      <w:r w:rsidR="002326D7" w:rsidRPr="0063657F">
        <w:rPr>
          <w:rFonts w:ascii="Helvetica Neue" w:hAnsi="Helvetica Neue"/>
          <w:b/>
          <w:bCs/>
          <w:i/>
          <w:iCs/>
          <w:sz w:val="19"/>
          <w:szCs w:val="19"/>
        </w:rPr>
        <w:noBreakHyphen/>
      </w:r>
      <w:r w:rsidRPr="0063657F">
        <w:t>e.</w:t>
      </w:r>
    </w:p>
    <w:p w:rsidR="00F10732" w:rsidRPr="0063657F" w:rsidRDefault="00F773E9" w:rsidP="00F10732">
      <w:pPr>
        <w:pStyle w:val="h5Section"/>
      </w:pPr>
      <w:bookmarkStart w:id="27" w:name="_Toc431896958"/>
      <w:r>
        <w:t>13</w:t>
      </w:r>
      <w:r w:rsidR="00F10732" w:rsidRPr="0063657F">
        <w:t xml:space="preserve"> References to covered emissions</w:t>
      </w:r>
      <w:bookmarkEnd w:id="27"/>
    </w:p>
    <w:p w:rsidR="00F10732" w:rsidRPr="0063657F" w:rsidRDefault="00F10732" w:rsidP="00F10732">
      <w:pPr>
        <w:pStyle w:val="tMain"/>
      </w:pPr>
      <w:r w:rsidRPr="0063657F">
        <w:tab/>
      </w:r>
      <w:r w:rsidRPr="0063657F">
        <w:tab/>
        <w:t>A reference to covered emissions</w:t>
      </w:r>
      <w:r w:rsidR="00E56224" w:rsidRPr="0063657F">
        <w:t xml:space="preserve"> in a financial year</w:t>
      </w:r>
      <w:r w:rsidRPr="0063657F">
        <w:t xml:space="preserve"> in this Division: </w:t>
      </w:r>
    </w:p>
    <w:p w:rsidR="00F10732" w:rsidRPr="0063657F" w:rsidRDefault="00F10732" w:rsidP="00F10732">
      <w:pPr>
        <w:pStyle w:val="tPara"/>
      </w:pPr>
      <w:r w:rsidRPr="0063657F">
        <w:tab/>
      </w:r>
      <w:r w:rsidR="00F773E9">
        <w:t>(a)</w:t>
      </w:r>
      <w:r w:rsidRPr="0063657F">
        <w:tab/>
      </w:r>
      <w:proofErr w:type="gramStart"/>
      <w:r w:rsidRPr="0063657F">
        <w:t>is</w:t>
      </w:r>
      <w:proofErr w:type="gramEnd"/>
      <w:r w:rsidRPr="0063657F">
        <w:t xml:space="preserve"> to be calculated on the assumption the financial year is not a </w:t>
      </w:r>
      <w:r w:rsidR="00872ADA" w:rsidRPr="0063657F">
        <w:t>sectoral</w:t>
      </w:r>
      <w:r w:rsidRPr="0063657F">
        <w:t>-baseline financial year; and</w:t>
      </w:r>
    </w:p>
    <w:p w:rsidR="00F10732" w:rsidRPr="0063657F" w:rsidRDefault="00F10732" w:rsidP="00480037">
      <w:pPr>
        <w:pStyle w:val="tPara"/>
        <w:rPr>
          <w:rFonts w:eastAsiaTheme="minorHAnsi"/>
        </w:rPr>
      </w:pPr>
      <w:r w:rsidRPr="0063657F">
        <w:tab/>
      </w:r>
      <w:r w:rsidR="00F773E9">
        <w:t>(b)</w:t>
      </w:r>
      <w:r w:rsidRPr="0063657F">
        <w:tab/>
      </w:r>
      <w:proofErr w:type="gramStart"/>
      <w:r w:rsidRPr="0063657F">
        <w:t>other</w:t>
      </w:r>
      <w:proofErr w:type="gramEnd"/>
      <w:r w:rsidRPr="0063657F">
        <w:t xml:space="preserve"> than in subdivision 7—is taken to include legacy emissions from the operation of a landfill facility</w:t>
      </w:r>
      <w:r w:rsidR="00480037" w:rsidRPr="0063657F">
        <w:t>.</w:t>
      </w:r>
    </w:p>
    <w:p w:rsidR="00F10732" w:rsidRPr="0063657F" w:rsidRDefault="00F773E9" w:rsidP="00F10732">
      <w:pPr>
        <w:pStyle w:val="h4Subdiv"/>
      </w:pPr>
      <w:bookmarkStart w:id="28" w:name="_Toc431896959"/>
      <w:r>
        <w:t>Subdivision 2</w:t>
      </w:r>
      <w:r w:rsidR="00F10732" w:rsidRPr="0063657F">
        <w:t>—Reported-emissions baseline determinations</w:t>
      </w:r>
      <w:bookmarkEnd w:id="28"/>
    </w:p>
    <w:p w:rsidR="00F10732" w:rsidRPr="0063657F" w:rsidRDefault="00F773E9" w:rsidP="00F10732">
      <w:pPr>
        <w:pStyle w:val="h5Section"/>
      </w:pPr>
      <w:bookmarkStart w:id="29" w:name="_Toc431896960"/>
      <w:r>
        <w:t>14</w:t>
      </w:r>
      <w:r w:rsidR="00F10732" w:rsidRPr="0063657F">
        <w:t xml:space="preserve"> Reported-emissions baseline determinations</w:t>
      </w:r>
      <w:bookmarkEnd w:id="29"/>
    </w:p>
    <w:p w:rsidR="00F10732" w:rsidRPr="0063657F" w:rsidRDefault="00F10732" w:rsidP="00F10732">
      <w:pPr>
        <w:pStyle w:val="h6Subsec"/>
      </w:pPr>
      <w:r w:rsidRPr="0063657F">
        <w:t>General</w:t>
      </w:r>
    </w:p>
    <w:p w:rsidR="00F10732" w:rsidRPr="0063657F" w:rsidRDefault="00F10732" w:rsidP="00F10732">
      <w:pPr>
        <w:pStyle w:val="tMain"/>
      </w:pPr>
      <w:r w:rsidRPr="0063657F">
        <w:tab/>
      </w:r>
      <w:r w:rsidR="00F773E9">
        <w:t>(1)</w:t>
      </w:r>
      <w:r w:rsidRPr="0063657F">
        <w:tab/>
        <w:t>If</w:t>
      </w:r>
      <w:r w:rsidR="00A53B28" w:rsidRPr="0063657F">
        <w:t>,</w:t>
      </w:r>
      <w:r w:rsidRPr="0063657F">
        <w:t xml:space="preserve"> in relation to a facility:</w:t>
      </w:r>
    </w:p>
    <w:p w:rsidR="00F10732" w:rsidRPr="0063657F" w:rsidRDefault="00F10732" w:rsidP="00F10732">
      <w:pPr>
        <w:pStyle w:val="tPara"/>
      </w:pPr>
      <w:r w:rsidRPr="0063657F">
        <w:tab/>
      </w:r>
      <w:r w:rsidR="00F773E9">
        <w:t>(</w:t>
      </w:r>
      <w:proofErr w:type="gramStart"/>
      <w:r w:rsidR="00F773E9">
        <w:t>a</w:t>
      </w:r>
      <w:proofErr w:type="gramEnd"/>
      <w:r w:rsidR="00F773E9">
        <w:t>)</w:t>
      </w:r>
      <w:r w:rsidRPr="0063657F">
        <w:tab/>
        <w:t>both:</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scope</w:t>
      </w:r>
      <w:proofErr w:type="gramEnd"/>
      <w:r w:rsidRPr="0063657F">
        <w:t xml:space="preserve"> 1 emissions of one or more greenhouse gases from the operation of the facility were included in reports under the Act for the </w:t>
      </w:r>
      <w:r w:rsidR="00A53B28" w:rsidRPr="0063657F">
        <w:t xml:space="preserve">5 </w:t>
      </w:r>
      <w:r w:rsidRPr="0063657F">
        <w:t>financial years beginning 1 July 2009; and</w:t>
      </w:r>
    </w:p>
    <w:p w:rsidR="00F10732" w:rsidRPr="0063657F" w:rsidRDefault="00F10732" w:rsidP="00F10732">
      <w:pPr>
        <w:pStyle w:val="tSubpara"/>
      </w:pPr>
      <w:r w:rsidRPr="0063657F">
        <w:tab/>
      </w:r>
      <w:r w:rsidR="00F773E9">
        <w:t>(ii)</w:t>
      </w:r>
      <w:r w:rsidRPr="0063657F">
        <w:tab/>
      </w:r>
      <w:proofErr w:type="gramStart"/>
      <w:r w:rsidRPr="0063657F">
        <w:t>there</w:t>
      </w:r>
      <w:proofErr w:type="gramEnd"/>
      <w:r w:rsidRPr="0063657F">
        <w:t xml:space="preserve"> were more than 100,000 t CO</w:t>
      </w:r>
      <w:r w:rsidRPr="0063657F">
        <w:rPr>
          <w:vertAlign w:val="subscript"/>
        </w:rPr>
        <w:t>2</w:t>
      </w:r>
      <w:r w:rsidR="002326D7" w:rsidRPr="0063657F">
        <w:rPr>
          <w:rFonts w:ascii="Helvetica Neue" w:hAnsi="Helvetica Neue"/>
          <w:b/>
          <w:bCs/>
          <w:i/>
          <w:iCs/>
          <w:sz w:val="19"/>
          <w:szCs w:val="19"/>
        </w:rPr>
        <w:noBreakHyphen/>
      </w:r>
      <w:r w:rsidRPr="0063657F">
        <w:t xml:space="preserve">e of covered emissions reported for at least one of the </w:t>
      </w:r>
      <w:r w:rsidR="00A53B28" w:rsidRPr="0063657F">
        <w:t xml:space="preserve">5 </w:t>
      </w:r>
      <w:r w:rsidRPr="0063657F">
        <w:t>financial years beginning on 1 July 2009; or</w:t>
      </w:r>
    </w:p>
    <w:p w:rsidR="00F10732" w:rsidRPr="0063657F" w:rsidRDefault="00F10732" w:rsidP="00F10732">
      <w:pPr>
        <w:pStyle w:val="tPara"/>
      </w:pPr>
      <w:r w:rsidRPr="0063657F">
        <w:tab/>
      </w:r>
      <w:r w:rsidR="00F773E9">
        <w:t>(b)</w:t>
      </w:r>
      <w:r w:rsidRPr="0063657F">
        <w:tab/>
      </w:r>
      <w:r w:rsidRPr="0063657F">
        <w:tab/>
      </w:r>
      <w:proofErr w:type="gramStart"/>
      <w:r w:rsidRPr="0063657F">
        <w:t>both</w:t>
      </w:r>
      <w:proofErr w:type="gramEnd"/>
      <w:r w:rsidRPr="0063657F">
        <w:t>:</w:t>
      </w:r>
    </w:p>
    <w:p w:rsidR="00F10732" w:rsidRPr="0063657F" w:rsidRDefault="00F10732" w:rsidP="00F10732">
      <w:pPr>
        <w:pStyle w:val="tSubpara"/>
      </w:pPr>
      <w:r w:rsidRPr="0063657F">
        <w:lastRenderedPageBreak/>
        <w:tab/>
      </w:r>
      <w:r w:rsidR="00F773E9">
        <w:t>(</w:t>
      </w:r>
      <w:proofErr w:type="spellStart"/>
      <w:r w:rsidR="00F773E9">
        <w:t>i</w:t>
      </w:r>
      <w:proofErr w:type="spellEnd"/>
      <w:r w:rsidR="00F773E9">
        <w:t>)</w:t>
      </w:r>
      <w:r w:rsidRPr="0063657F">
        <w:tab/>
      </w:r>
      <w:proofErr w:type="gramStart"/>
      <w:r w:rsidRPr="0063657F">
        <w:t>scope</w:t>
      </w:r>
      <w:proofErr w:type="gramEnd"/>
      <w:r w:rsidRPr="0063657F">
        <w:t xml:space="preserve"> 1 emissions of one or more greenhouse gases from the operation of the facility were included in reports under the Act for at least </w:t>
      </w:r>
      <w:r w:rsidR="000805C9" w:rsidRPr="0063657F">
        <w:t xml:space="preserve">3 </w:t>
      </w:r>
      <w:r w:rsidRPr="0063657F">
        <w:t xml:space="preserve">of the </w:t>
      </w:r>
      <w:r w:rsidR="000805C9" w:rsidRPr="0063657F">
        <w:t xml:space="preserve">5 </w:t>
      </w:r>
      <w:r w:rsidRPr="0063657F">
        <w:t>financial years beginning 1 July 2009; and</w:t>
      </w:r>
    </w:p>
    <w:p w:rsidR="00F10732" w:rsidRPr="0063657F" w:rsidRDefault="00F10732" w:rsidP="00F10732">
      <w:pPr>
        <w:pStyle w:val="tSubpara"/>
      </w:pPr>
      <w:r w:rsidRPr="0063657F">
        <w:tab/>
      </w:r>
      <w:r w:rsidR="00F773E9">
        <w:t>(ii)</w:t>
      </w:r>
      <w:r w:rsidRPr="0063657F">
        <w:tab/>
      </w:r>
      <w:proofErr w:type="gramStart"/>
      <w:r w:rsidRPr="0063657F">
        <w:t>there</w:t>
      </w:r>
      <w:proofErr w:type="gramEnd"/>
      <w:r w:rsidRPr="0063657F">
        <w:t xml:space="preserve"> were more than 100,000 t CO</w:t>
      </w:r>
      <w:r w:rsidRPr="0063657F">
        <w:rPr>
          <w:vertAlign w:val="subscript"/>
        </w:rPr>
        <w:t>2</w:t>
      </w:r>
      <w:r w:rsidR="002326D7" w:rsidRPr="0063657F">
        <w:rPr>
          <w:rFonts w:ascii="Helvetica Neue" w:hAnsi="Helvetica Neue"/>
          <w:b/>
          <w:bCs/>
          <w:i/>
          <w:iCs/>
          <w:sz w:val="19"/>
          <w:szCs w:val="19"/>
        </w:rPr>
        <w:noBreakHyphen/>
      </w:r>
      <w:r w:rsidRPr="0063657F">
        <w:t xml:space="preserve">e of covered emissions reported for at least </w:t>
      </w:r>
      <w:r w:rsidR="000805C9" w:rsidRPr="0063657F">
        <w:t xml:space="preserve">3 </w:t>
      </w:r>
      <w:r w:rsidRPr="0063657F">
        <w:t xml:space="preserve">of the </w:t>
      </w:r>
      <w:r w:rsidR="000805C9" w:rsidRPr="0063657F">
        <w:t xml:space="preserve">5 </w:t>
      </w:r>
      <w:r w:rsidRPr="0063657F">
        <w:t>financial years beginning on 1 July 2009; or</w:t>
      </w:r>
    </w:p>
    <w:p w:rsidR="00F10732" w:rsidRPr="0063657F" w:rsidRDefault="00F10732" w:rsidP="00F10732">
      <w:pPr>
        <w:pStyle w:val="tPara"/>
      </w:pPr>
      <w:r w:rsidRPr="0063657F">
        <w:tab/>
      </w:r>
      <w:r w:rsidR="00F773E9">
        <w:t>(c)</w:t>
      </w:r>
      <w:r w:rsidRPr="0063657F">
        <w:tab/>
      </w:r>
      <w:proofErr w:type="gramStart"/>
      <w:r w:rsidRPr="0063657F">
        <w:t>all</w:t>
      </w:r>
      <w:proofErr w:type="gramEnd"/>
      <w:r w:rsidRPr="0063657F">
        <w:t xml:space="preserve"> of the following apply:</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t xml:space="preserve">scope 1 emissions of one or more greenhouse gases from the operation of the facility were included in at least one report under the Act for any of the </w:t>
      </w:r>
      <w:r w:rsidR="000805C9" w:rsidRPr="0063657F">
        <w:t xml:space="preserve">5 </w:t>
      </w:r>
      <w:r w:rsidRPr="0063657F">
        <w:t>financial years beginning 1 July 2009; and</w:t>
      </w:r>
    </w:p>
    <w:p w:rsidR="00F10732" w:rsidRPr="0063657F" w:rsidRDefault="00F10732" w:rsidP="00F10732">
      <w:pPr>
        <w:pStyle w:val="tSubpara"/>
      </w:pPr>
      <w:r w:rsidRPr="0063657F">
        <w:tab/>
      </w:r>
      <w:r w:rsidR="00F773E9">
        <w:t>(ii)</w:t>
      </w:r>
      <w:r w:rsidRPr="0063657F">
        <w:tab/>
      </w:r>
      <w:proofErr w:type="gramStart"/>
      <w:r w:rsidRPr="0063657F">
        <w:t>there</w:t>
      </w:r>
      <w:proofErr w:type="gramEnd"/>
      <w:r w:rsidRPr="0063657F">
        <w:t xml:space="preserve"> were more than 100,000 t CO</w:t>
      </w:r>
      <w:r w:rsidRPr="0063657F">
        <w:rPr>
          <w:vertAlign w:val="subscript"/>
        </w:rPr>
        <w:t>2</w:t>
      </w:r>
      <w:r w:rsidR="002326D7" w:rsidRPr="0063657F">
        <w:rPr>
          <w:rFonts w:ascii="Helvetica Neue" w:hAnsi="Helvetica Neue"/>
          <w:b/>
          <w:bCs/>
          <w:i/>
          <w:iCs/>
          <w:sz w:val="19"/>
          <w:szCs w:val="19"/>
        </w:rPr>
        <w:noBreakHyphen/>
      </w:r>
      <w:r w:rsidRPr="0063657F">
        <w:t xml:space="preserve">e of covered emissions reported for at least one of the </w:t>
      </w:r>
      <w:r w:rsidR="000805C9" w:rsidRPr="0063657F">
        <w:t xml:space="preserve">5 </w:t>
      </w:r>
      <w:r w:rsidRPr="0063657F">
        <w:t>financial years beginning on 1 July 2009; and</w:t>
      </w:r>
    </w:p>
    <w:p w:rsidR="00F10732" w:rsidRPr="0063657F" w:rsidRDefault="00F10732" w:rsidP="00F10732">
      <w:pPr>
        <w:pStyle w:val="tSubpara"/>
      </w:pPr>
      <w:r w:rsidRPr="0063657F">
        <w:tab/>
      </w:r>
      <w:r w:rsidR="00F773E9">
        <w:t>(iii)</w:t>
      </w:r>
      <w:r w:rsidRPr="0063657F">
        <w:tab/>
      </w:r>
      <w:proofErr w:type="gramStart"/>
      <w:r w:rsidRPr="0063657F">
        <w:t>the</w:t>
      </w:r>
      <w:proofErr w:type="gramEnd"/>
      <w:r w:rsidRPr="0063657F">
        <w:t xml:space="preserve"> responsible emitter for the facility had notified the Regulator in writing before 1 August 2016 that it was seeking a reported-emissions baseline determination in respect of the facility;</w:t>
      </w:r>
    </w:p>
    <w:p w:rsidR="00F10732" w:rsidRPr="0063657F" w:rsidRDefault="00F10732" w:rsidP="00C50DD9">
      <w:pPr>
        <w:pStyle w:val="tMain"/>
        <w:spacing w:before="40"/>
      </w:pPr>
      <w:r w:rsidRPr="0063657F">
        <w:tab/>
      </w:r>
      <w:r w:rsidRPr="0063657F">
        <w:tab/>
      </w:r>
      <w:proofErr w:type="gramStart"/>
      <w:r w:rsidRPr="0063657F">
        <w:t>the</w:t>
      </w:r>
      <w:proofErr w:type="gramEnd"/>
      <w:r w:rsidRPr="0063657F">
        <w:t xml:space="preserve"> Regulator must make a reported-emissions baseline determination in relation to the facility.</w:t>
      </w:r>
    </w:p>
    <w:p w:rsidR="00F10732" w:rsidRPr="0063657F" w:rsidRDefault="00F10732" w:rsidP="00F10732">
      <w:pPr>
        <w:pStyle w:val="h6Subsec"/>
      </w:pPr>
      <w:r w:rsidRPr="0063657F">
        <w:t>Inter-state transport facilities</w:t>
      </w:r>
    </w:p>
    <w:p w:rsidR="00F10732" w:rsidRPr="0063657F" w:rsidRDefault="00F10732" w:rsidP="00F10732">
      <w:pPr>
        <w:pStyle w:val="tMain"/>
      </w:pPr>
      <w:r w:rsidRPr="0063657F">
        <w:tab/>
      </w:r>
      <w:r w:rsidR="00F773E9">
        <w:t>(2)</w:t>
      </w:r>
      <w:r w:rsidRPr="0063657F">
        <w:tab/>
        <w:t>If</w:t>
      </w:r>
      <w:r w:rsidR="000805C9" w:rsidRPr="0063657F">
        <w:t>,</w:t>
      </w:r>
      <w:r w:rsidRPr="0063657F">
        <w:t xml:space="preserve"> in relation to an inter-state transport facility:</w:t>
      </w:r>
    </w:p>
    <w:p w:rsidR="00F10732" w:rsidRPr="0063657F" w:rsidRDefault="00F10732" w:rsidP="00F10732">
      <w:pPr>
        <w:pStyle w:val="tPara"/>
      </w:pPr>
      <w:r w:rsidRPr="0063657F">
        <w:tab/>
      </w:r>
      <w:r w:rsidR="00F773E9">
        <w:t>(a)</w:t>
      </w:r>
      <w:r w:rsidRPr="0063657F">
        <w:tab/>
      </w:r>
      <w:proofErr w:type="gramStart"/>
      <w:r w:rsidRPr="0063657F">
        <w:t>the</w:t>
      </w:r>
      <w:proofErr w:type="gramEnd"/>
      <w:r w:rsidRPr="0063657F">
        <w:t xml:space="preserve"> national facility definition applies</w:t>
      </w:r>
      <w:r w:rsidR="000805C9" w:rsidRPr="0063657F">
        <w:t xml:space="preserve"> to the facility</w:t>
      </w:r>
      <w:r w:rsidRPr="0063657F">
        <w:t xml:space="preserve"> from 1 July of a financial year; and</w:t>
      </w:r>
    </w:p>
    <w:p w:rsidR="00F10732" w:rsidRPr="0063657F" w:rsidRDefault="00F10732" w:rsidP="00F10732">
      <w:pPr>
        <w:pStyle w:val="tPara"/>
      </w:pPr>
      <w:r w:rsidRPr="0063657F">
        <w:tab/>
      </w:r>
      <w:r w:rsidR="00F773E9">
        <w:t>(b)</w:t>
      </w:r>
      <w:r w:rsidRPr="0063657F">
        <w:tab/>
      </w:r>
      <w:proofErr w:type="gramStart"/>
      <w:r w:rsidRPr="0063657F">
        <w:t>subsection</w:t>
      </w:r>
      <w:proofErr w:type="gramEnd"/>
      <w:r w:rsidRPr="0063657F">
        <w:t xml:space="preserve"> (1) would apply </w:t>
      </w:r>
      <w:r w:rsidR="000805C9" w:rsidRPr="0063657F">
        <w:t xml:space="preserve">to the facility </w:t>
      </w:r>
      <w:r w:rsidRPr="0063657F">
        <w:t xml:space="preserve">if: </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the</w:t>
      </w:r>
      <w:proofErr w:type="gramEnd"/>
      <w:r w:rsidRPr="0063657F">
        <w:t xml:space="preserve"> national facility definition was the basis of reports under the Act for the </w:t>
      </w:r>
      <w:r w:rsidR="000805C9" w:rsidRPr="0063657F">
        <w:t xml:space="preserve">5 </w:t>
      </w:r>
      <w:r w:rsidRPr="0063657F">
        <w:t>financial year</w:t>
      </w:r>
      <w:r w:rsidR="000805C9" w:rsidRPr="0063657F">
        <w:t>s</w:t>
      </w:r>
      <w:r w:rsidRPr="0063657F">
        <w:t xml:space="preserve"> beginning 1 July 2009; and</w:t>
      </w:r>
    </w:p>
    <w:p w:rsidR="00F10732" w:rsidRPr="0063657F" w:rsidRDefault="00F10732" w:rsidP="00F10732">
      <w:pPr>
        <w:pStyle w:val="tSubpara"/>
      </w:pPr>
      <w:r w:rsidRPr="0063657F">
        <w:tab/>
      </w:r>
      <w:r w:rsidR="00F773E9">
        <w:t>(ii)</w:t>
      </w:r>
      <w:r w:rsidRPr="0063657F">
        <w:tab/>
      </w:r>
      <w:proofErr w:type="gramStart"/>
      <w:r w:rsidRPr="0063657F">
        <w:t>the</w:t>
      </w:r>
      <w:proofErr w:type="gramEnd"/>
      <w:r w:rsidRPr="0063657F">
        <w:t xml:space="preserve"> reference to 1 August 2016 in subparagraph (1)(c)(iii) was taken to be a reference to 1 August of the financial year referred to in paragraph (a);</w:t>
      </w:r>
    </w:p>
    <w:p w:rsidR="00F10732" w:rsidRPr="0063657F" w:rsidRDefault="00F10732" w:rsidP="00C50DD9">
      <w:pPr>
        <w:pStyle w:val="tMain"/>
        <w:spacing w:before="40"/>
      </w:pPr>
      <w:r w:rsidRPr="0063657F">
        <w:tab/>
      </w:r>
      <w:r w:rsidRPr="0063657F">
        <w:tab/>
      </w:r>
      <w:proofErr w:type="gramStart"/>
      <w:r w:rsidRPr="0063657F">
        <w:t>the</w:t>
      </w:r>
      <w:proofErr w:type="gramEnd"/>
      <w:r w:rsidRPr="0063657F">
        <w:t xml:space="preserve"> Regulator must make a reported-emissions baseline determination in relation to the facility.</w:t>
      </w:r>
    </w:p>
    <w:p w:rsidR="00F10732" w:rsidRPr="0063657F" w:rsidRDefault="00F10732" w:rsidP="00F10732">
      <w:pPr>
        <w:pStyle w:val="tMain"/>
      </w:pPr>
      <w:r w:rsidRPr="0063657F">
        <w:tab/>
      </w:r>
      <w:r w:rsidR="00F773E9">
        <w:t>(3)</w:t>
      </w:r>
      <w:r w:rsidRPr="0063657F">
        <w:tab/>
        <w:t>For the purposes of subparagraphs (1</w:t>
      </w:r>
      <w:proofErr w:type="gramStart"/>
      <w:r w:rsidRPr="0063657F">
        <w:t>)(</w:t>
      </w:r>
      <w:proofErr w:type="gramEnd"/>
      <w:r w:rsidRPr="0063657F">
        <w:t xml:space="preserve">a)(ii), (1)(b)(ii) and (1)(c)(ii): </w:t>
      </w:r>
    </w:p>
    <w:p w:rsidR="009B301E" w:rsidRPr="0063657F" w:rsidRDefault="00F10732" w:rsidP="00F10732">
      <w:pPr>
        <w:pStyle w:val="tPara"/>
      </w:pPr>
      <w:r w:rsidRPr="0063657F">
        <w:tab/>
      </w:r>
      <w:r w:rsidR="00F773E9">
        <w:t>(a)</w:t>
      </w:r>
      <w:r w:rsidRPr="0063657F">
        <w:tab/>
      </w:r>
      <w:proofErr w:type="gramStart"/>
      <w:r w:rsidRPr="0063657F">
        <w:t>the</w:t>
      </w:r>
      <w:proofErr w:type="gramEnd"/>
      <w:r w:rsidRPr="0063657F">
        <w:t xml:space="preserve"> carbon dioxide equivalence of</w:t>
      </w:r>
      <w:r w:rsidR="009B301E" w:rsidRPr="0063657F">
        <w:t>:</w:t>
      </w:r>
      <w:r w:rsidRPr="0063657F">
        <w:t xml:space="preserve"> </w:t>
      </w:r>
    </w:p>
    <w:p w:rsidR="009B301E" w:rsidRPr="0063657F" w:rsidRDefault="009B301E" w:rsidP="009B301E">
      <w:pPr>
        <w:pStyle w:val="tSubpara"/>
      </w:pPr>
      <w:r w:rsidRPr="0063657F">
        <w:tab/>
      </w:r>
      <w:r w:rsidR="00F773E9">
        <w:t>(</w:t>
      </w:r>
      <w:proofErr w:type="spellStart"/>
      <w:r w:rsidR="00F773E9">
        <w:t>i</w:t>
      </w:r>
      <w:proofErr w:type="spellEnd"/>
      <w:r w:rsidR="00F773E9">
        <w:t>)</w:t>
      </w:r>
      <w:r w:rsidRPr="0063657F">
        <w:tab/>
      </w:r>
      <w:proofErr w:type="gramStart"/>
      <w:r w:rsidR="00F10732" w:rsidRPr="0063657F">
        <w:t>carbon</w:t>
      </w:r>
      <w:proofErr w:type="gramEnd"/>
      <w:r w:rsidR="00F10732" w:rsidRPr="0063657F">
        <w:t xml:space="preserve"> dioxide, </w:t>
      </w:r>
      <w:r w:rsidR="00BC10D5" w:rsidRPr="0063657F">
        <w:t>and</w:t>
      </w:r>
    </w:p>
    <w:p w:rsidR="009B301E" w:rsidRPr="0063657F" w:rsidRDefault="009B301E" w:rsidP="009B301E">
      <w:pPr>
        <w:pStyle w:val="tSubpara"/>
      </w:pPr>
      <w:r w:rsidRPr="0063657F">
        <w:tab/>
      </w:r>
      <w:r w:rsidR="00F773E9">
        <w:t>(ii)</w:t>
      </w:r>
      <w:r w:rsidRPr="0063657F">
        <w:tab/>
      </w:r>
      <w:proofErr w:type="gramStart"/>
      <w:r w:rsidR="00BC10D5" w:rsidRPr="0063657F">
        <w:t>methane</w:t>
      </w:r>
      <w:proofErr w:type="gramEnd"/>
      <w:r w:rsidR="00BC10D5" w:rsidRPr="0063657F">
        <w:t>; and</w:t>
      </w:r>
    </w:p>
    <w:p w:rsidR="00BC10D5" w:rsidRPr="0063657F" w:rsidRDefault="009B301E" w:rsidP="009B301E">
      <w:pPr>
        <w:pStyle w:val="tSubpara"/>
      </w:pPr>
      <w:r w:rsidRPr="0063657F">
        <w:tab/>
      </w:r>
      <w:r w:rsidR="00F773E9">
        <w:t>(iii)</w:t>
      </w:r>
      <w:r w:rsidRPr="0063657F">
        <w:tab/>
      </w:r>
      <w:proofErr w:type="gramStart"/>
      <w:r w:rsidR="00F10732" w:rsidRPr="0063657F">
        <w:t>nitrous</w:t>
      </w:r>
      <w:proofErr w:type="gramEnd"/>
      <w:r w:rsidR="00F10732" w:rsidRPr="0063657F">
        <w:t xml:space="preserve"> oxide</w:t>
      </w:r>
      <w:r w:rsidR="00BC10D5" w:rsidRPr="0063657F">
        <w:t>;</w:t>
      </w:r>
      <w:r w:rsidR="00F10732" w:rsidRPr="0063657F">
        <w:t xml:space="preserve"> and </w:t>
      </w:r>
    </w:p>
    <w:p w:rsidR="00BC10D5" w:rsidRPr="0063657F" w:rsidRDefault="00BC10D5" w:rsidP="00BC10D5">
      <w:pPr>
        <w:pStyle w:val="tSubpara"/>
      </w:pPr>
      <w:r w:rsidRPr="0063657F">
        <w:tab/>
      </w:r>
      <w:r w:rsidR="00F773E9">
        <w:t>(iv)</w:t>
      </w:r>
      <w:r w:rsidRPr="0063657F">
        <w:tab/>
      </w:r>
      <w:proofErr w:type="spellStart"/>
      <w:proofErr w:type="gramStart"/>
      <w:r w:rsidR="00F10732" w:rsidRPr="0063657F">
        <w:t>perfluorocarbon</w:t>
      </w:r>
      <w:proofErr w:type="spellEnd"/>
      <w:proofErr w:type="gramEnd"/>
      <w:r w:rsidR="00F10732" w:rsidRPr="0063657F">
        <w:t xml:space="preserve"> emissions attributable to aluminium production</w:t>
      </w:r>
      <w:r w:rsidRPr="0063657F">
        <w:t>;</w:t>
      </w:r>
      <w:r w:rsidR="00F10732" w:rsidRPr="0063657F">
        <w:t xml:space="preserve"> </w:t>
      </w:r>
    </w:p>
    <w:p w:rsidR="00F10732" w:rsidRPr="0063657F" w:rsidRDefault="00BC10D5" w:rsidP="00BC10D5">
      <w:pPr>
        <w:pStyle w:val="tPara"/>
      </w:pPr>
      <w:r w:rsidRPr="0063657F">
        <w:tab/>
      </w:r>
      <w:r w:rsidRPr="0063657F">
        <w:tab/>
      </w:r>
      <w:r w:rsidR="00F10732" w:rsidRPr="0063657F">
        <w:t>is to be determined consistently with the global warming potential of the greenhouse gas under regulation 2.02 of the</w:t>
      </w:r>
      <w:r w:rsidR="007540C5" w:rsidRPr="0063657F">
        <w:t xml:space="preserve"> NGER Regulations</w:t>
      </w:r>
      <w:r w:rsidR="00F10732" w:rsidRPr="0063657F">
        <w:t xml:space="preserve"> as at the time the reported-emissions baseline determination is made</w:t>
      </w:r>
      <w:r w:rsidR="000805C9" w:rsidRPr="0063657F">
        <w:t>; and</w:t>
      </w:r>
    </w:p>
    <w:p w:rsidR="00F10732" w:rsidRPr="0063657F" w:rsidRDefault="00F10732" w:rsidP="00F10732">
      <w:pPr>
        <w:pStyle w:val="tPara"/>
      </w:pPr>
      <w:r w:rsidRPr="0063657F">
        <w:tab/>
      </w:r>
      <w:r w:rsidR="00F773E9">
        <w:t>(b)</w:t>
      </w:r>
      <w:r w:rsidRPr="0063657F">
        <w:tab/>
      </w:r>
      <w:proofErr w:type="gramStart"/>
      <w:r w:rsidRPr="0063657F">
        <w:t>the</w:t>
      </w:r>
      <w:proofErr w:type="gramEnd"/>
      <w:r w:rsidRPr="0063657F">
        <w:t xml:space="preserve"> carbon dioxide equivalence of each greenhouse gas not covered by paragraph (a) is to be determined consistently with the global warming potential of the greenhouse gas </w:t>
      </w:r>
      <w:r w:rsidR="008B253C" w:rsidRPr="0063657F">
        <w:t>assumed in the relevant report under the Act</w:t>
      </w:r>
      <w:r w:rsidRPr="0063657F">
        <w:t>.</w:t>
      </w:r>
    </w:p>
    <w:p w:rsidR="00F10732" w:rsidRPr="0063657F" w:rsidRDefault="00F773E9" w:rsidP="00F10732">
      <w:pPr>
        <w:pStyle w:val="h5Section"/>
      </w:pPr>
      <w:bookmarkStart w:id="30" w:name="_Toc431896961"/>
      <w:proofErr w:type="gramStart"/>
      <w:r>
        <w:t>15</w:t>
      </w:r>
      <w:r w:rsidR="00F10732" w:rsidRPr="0063657F">
        <w:t xml:space="preserve"> Further information</w:t>
      </w:r>
      <w:bookmarkEnd w:id="30"/>
      <w:proofErr w:type="gramEnd"/>
    </w:p>
    <w:p w:rsidR="00F10732" w:rsidRPr="0063657F" w:rsidRDefault="00F10732" w:rsidP="00F10732">
      <w:pPr>
        <w:pStyle w:val="tMain"/>
      </w:pPr>
      <w:r w:rsidRPr="0063657F">
        <w:tab/>
      </w:r>
      <w:r w:rsidR="00F773E9">
        <w:t>(1)</w:t>
      </w:r>
      <w:r w:rsidRPr="0063657F">
        <w:tab/>
        <w:t xml:space="preserve">The Regulator may, by written notice given to </w:t>
      </w:r>
      <w:r w:rsidR="004E76AE" w:rsidRPr="0063657F">
        <w:t xml:space="preserve">the </w:t>
      </w:r>
      <w:r w:rsidRPr="0063657F">
        <w:t>responsible emitter, require the responsible emitter to give the Regulator, within the period specified in the notice, further information in connection with the reported-emissions baseline determination.</w:t>
      </w:r>
    </w:p>
    <w:p w:rsidR="00F10732" w:rsidRPr="0063657F" w:rsidRDefault="00F10732" w:rsidP="00F10732">
      <w:pPr>
        <w:pStyle w:val="tMain"/>
      </w:pPr>
      <w:r w:rsidRPr="0063657F">
        <w:tab/>
      </w:r>
      <w:r w:rsidR="00F773E9">
        <w:t>(2)</w:t>
      </w:r>
      <w:r w:rsidRPr="0063657F">
        <w:tab/>
        <w:t>If the responsible emitter breaches the requirement, the Regulator may, by written notice given to the responsible emitter:</w:t>
      </w:r>
    </w:p>
    <w:p w:rsidR="00F10732" w:rsidRPr="0063657F" w:rsidRDefault="00F10732" w:rsidP="00F10732">
      <w:pPr>
        <w:pStyle w:val="tPara"/>
      </w:pPr>
      <w:r w:rsidRPr="0063657F">
        <w:lastRenderedPageBreak/>
        <w:tab/>
      </w:r>
      <w:r w:rsidR="00F773E9">
        <w:t>(a)</w:t>
      </w:r>
      <w:r w:rsidRPr="0063657F">
        <w:tab/>
        <w:t>refuse to take any action, or any further action, in relation to making a reported-emissions baseline determination until the information is provided; and</w:t>
      </w:r>
    </w:p>
    <w:p w:rsidR="00F10732" w:rsidRPr="0063657F" w:rsidRDefault="00F10732" w:rsidP="00F10732">
      <w:pPr>
        <w:pStyle w:val="tPara"/>
      </w:pPr>
      <w:r w:rsidRPr="0063657F">
        <w:tab/>
      </w:r>
      <w:r w:rsidR="00F773E9">
        <w:t>(b)</w:t>
      </w:r>
      <w:r w:rsidRPr="0063657F">
        <w:tab/>
      </w:r>
      <w:proofErr w:type="gramStart"/>
      <w:r w:rsidRPr="0063657F">
        <w:t>make</w:t>
      </w:r>
      <w:proofErr w:type="gramEnd"/>
      <w:r w:rsidRPr="0063657F">
        <w:t xml:space="preserve"> any assumptions the Regulator considers appropriate about the information which was not provided.</w:t>
      </w:r>
    </w:p>
    <w:p w:rsidR="00F10732" w:rsidRPr="0063657F" w:rsidRDefault="00F773E9" w:rsidP="00F10732">
      <w:pPr>
        <w:pStyle w:val="h5Section"/>
      </w:pPr>
      <w:bookmarkStart w:id="31" w:name="_Toc431896962"/>
      <w:r>
        <w:t>16</w:t>
      </w:r>
      <w:r w:rsidR="00F10732" w:rsidRPr="0063657F">
        <w:t xml:space="preserve"> Process for making a reported-emissions baseline determination</w:t>
      </w:r>
      <w:bookmarkEnd w:id="31"/>
    </w:p>
    <w:p w:rsidR="00F10732" w:rsidRPr="0063657F" w:rsidRDefault="00F10732" w:rsidP="00F10732">
      <w:pPr>
        <w:pStyle w:val="tMain"/>
      </w:pPr>
      <w:r w:rsidRPr="0063657F">
        <w:tab/>
      </w:r>
      <w:r w:rsidR="00F773E9">
        <w:t>(1)</w:t>
      </w:r>
      <w:r w:rsidRPr="0063657F">
        <w:tab/>
        <w:t xml:space="preserve">The Regulator must not make a reported-emissions baseline determination in relation to </w:t>
      </w:r>
      <w:r w:rsidR="000805C9" w:rsidRPr="0063657F">
        <w:t xml:space="preserve">a </w:t>
      </w:r>
      <w:r w:rsidRPr="0063657F">
        <w:t xml:space="preserve">facility unless the Regulator </w:t>
      </w:r>
      <w:r w:rsidR="000805C9" w:rsidRPr="0063657F">
        <w:t xml:space="preserve">has </w:t>
      </w:r>
      <w:r w:rsidRPr="0063657F">
        <w:t>provided a written notice to the responsible emitter for the facility:</w:t>
      </w:r>
    </w:p>
    <w:p w:rsidR="00F10732" w:rsidRPr="0063657F" w:rsidRDefault="00F10732" w:rsidP="00F10732">
      <w:pPr>
        <w:pStyle w:val="tPara"/>
      </w:pPr>
      <w:r w:rsidRPr="0063657F">
        <w:tab/>
      </w:r>
      <w:r w:rsidR="00F773E9">
        <w:t>(a)</w:t>
      </w:r>
      <w:r w:rsidRPr="0063657F">
        <w:tab/>
      </w:r>
      <w:proofErr w:type="gramStart"/>
      <w:r w:rsidRPr="0063657F">
        <w:t>stating</w:t>
      </w:r>
      <w:proofErr w:type="gramEnd"/>
      <w:r w:rsidRPr="0063657F">
        <w:t xml:space="preserve"> that it intends to make a reported-emissions baseline determination in relation to the facility; and</w:t>
      </w:r>
    </w:p>
    <w:p w:rsidR="00F10732" w:rsidRPr="0063657F" w:rsidRDefault="00F10732" w:rsidP="00F10732">
      <w:pPr>
        <w:pStyle w:val="tPara"/>
      </w:pPr>
      <w:r w:rsidRPr="0063657F">
        <w:tab/>
      </w:r>
      <w:r w:rsidR="00F773E9">
        <w:t>(b)</w:t>
      </w:r>
      <w:r w:rsidRPr="0063657F">
        <w:tab/>
      </w:r>
      <w:proofErr w:type="gramStart"/>
      <w:r w:rsidRPr="0063657F">
        <w:t>specifying</w:t>
      </w:r>
      <w:proofErr w:type="gramEnd"/>
      <w:r w:rsidRPr="0063657F">
        <w:t xml:space="preserve"> the baseline emissions number that would apply under the determination; and</w:t>
      </w:r>
    </w:p>
    <w:p w:rsidR="00F10732" w:rsidRPr="0063657F" w:rsidRDefault="00F10732" w:rsidP="00F10732">
      <w:pPr>
        <w:pStyle w:val="tPara"/>
      </w:pPr>
      <w:r w:rsidRPr="0063657F">
        <w:tab/>
      </w:r>
      <w:r w:rsidR="00F773E9">
        <w:t>(c)</w:t>
      </w:r>
      <w:r w:rsidRPr="0063657F">
        <w:tab/>
      </w:r>
      <w:proofErr w:type="gramStart"/>
      <w:r w:rsidRPr="0063657F">
        <w:t>stating</w:t>
      </w:r>
      <w:proofErr w:type="gramEnd"/>
      <w:r w:rsidRPr="0063657F">
        <w:t xml:space="preserve"> whether any </w:t>
      </w:r>
      <w:r w:rsidR="000F63D8" w:rsidRPr="0063657F">
        <w:t xml:space="preserve">covered </w:t>
      </w:r>
      <w:r w:rsidRPr="0063657F">
        <w:t xml:space="preserve">emissions are proposed to be: </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disregarded</w:t>
      </w:r>
      <w:proofErr w:type="gramEnd"/>
      <w:r w:rsidRPr="0063657F">
        <w:t xml:space="preserve"> under subsection 17(2) or 17(3); or </w:t>
      </w:r>
    </w:p>
    <w:p w:rsidR="00F10732" w:rsidRPr="0063657F" w:rsidRDefault="00F10732" w:rsidP="00F10732">
      <w:pPr>
        <w:pStyle w:val="tSubpara"/>
      </w:pPr>
      <w:r w:rsidRPr="0063657F">
        <w:tab/>
      </w:r>
      <w:r w:rsidR="00F773E9">
        <w:t>(ii)</w:t>
      </w:r>
      <w:r w:rsidRPr="0063657F">
        <w:tab/>
      </w:r>
      <w:proofErr w:type="gramStart"/>
      <w:r w:rsidRPr="0063657F">
        <w:t>included</w:t>
      </w:r>
      <w:proofErr w:type="gramEnd"/>
      <w:r w:rsidRPr="0063657F">
        <w:t xml:space="preserve"> under subsection 17(4); and</w:t>
      </w:r>
    </w:p>
    <w:p w:rsidR="00F10732" w:rsidRPr="0063657F" w:rsidRDefault="00F10732" w:rsidP="00F10732">
      <w:pPr>
        <w:pStyle w:val="tPara"/>
      </w:pPr>
      <w:r w:rsidRPr="0063657F">
        <w:tab/>
      </w:r>
      <w:r w:rsidR="00F773E9">
        <w:t>(d)</w:t>
      </w:r>
      <w:r w:rsidRPr="0063657F">
        <w:tab/>
      </w:r>
      <w:proofErr w:type="gramStart"/>
      <w:r w:rsidRPr="0063657F">
        <w:t>seeking</w:t>
      </w:r>
      <w:proofErr w:type="gramEnd"/>
      <w:r w:rsidRPr="0063657F">
        <w:t xml:space="preserve"> any comments by a date specified in the notice.</w:t>
      </w:r>
    </w:p>
    <w:p w:rsidR="00F10732" w:rsidRPr="0063657F" w:rsidRDefault="00F10732" w:rsidP="00F10732">
      <w:pPr>
        <w:pStyle w:val="tMain"/>
      </w:pPr>
      <w:r w:rsidRPr="0063657F">
        <w:tab/>
      </w:r>
      <w:r w:rsidR="00F773E9">
        <w:t>(2)</w:t>
      </w:r>
      <w:r w:rsidRPr="0063657F">
        <w:tab/>
        <w:t>The Regulator must consider any comments received by the date specified in the notice and use all reasonable endeavours to make a reported-emissions baseline determination by the later of:</w:t>
      </w:r>
    </w:p>
    <w:p w:rsidR="00F10732" w:rsidRPr="0063657F" w:rsidRDefault="00F10732" w:rsidP="00F10732">
      <w:pPr>
        <w:pStyle w:val="tPara"/>
      </w:pPr>
      <w:r w:rsidRPr="0063657F">
        <w:tab/>
      </w:r>
      <w:r w:rsidR="00F773E9">
        <w:t>(a)</w:t>
      </w:r>
      <w:r w:rsidRPr="0063657F">
        <w:tab/>
      </w:r>
      <w:proofErr w:type="gramStart"/>
      <w:r w:rsidRPr="0063657F">
        <w:t>the</w:t>
      </w:r>
      <w:proofErr w:type="gramEnd"/>
      <w:r w:rsidRPr="0063657F">
        <w:t xml:space="preserve"> first 1 </w:t>
      </w:r>
      <w:r w:rsidR="00DF12F8" w:rsidRPr="0063657F">
        <w:t>September</w:t>
      </w:r>
      <w:r w:rsidRPr="0063657F">
        <w:t xml:space="preserve"> after the proposed commencement of the determination; and</w:t>
      </w:r>
    </w:p>
    <w:p w:rsidR="00F10732" w:rsidRPr="0063657F" w:rsidRDefault="00F10732" w:rsidP="00F10732">
      <w:pPr>
        <w:pStyle w:val="tPara"/>
      </w:pPr>
      <w:r w:rsidRPr="0063657F">
        <w:tab/>
      </w:r>
      <w:r w:rsidR="00F773E9">
        <w:t>(b)</w:t>
      </w:r>
      <w:r w:rsidRPr="0063657F">
        <w:tab/>
      </w:r>
      <w:r w:rsidR="008133B2" w:rsidRPr="0063657F">
        <w:t>if the Regulator requires the responsible emitter to give further information under subsection 15(1) in connection with the reported-emissions baseline determination—30 days after the responsible emitter gave the Regulator the information</w:t>
      </w:r>
      <w:r w:rsidRPr="0063657F">
        <w:t>; and</w:t>
      </w:r>
    </w:p>
    <w:p w:rsidR="008133B2" w:rsidRPr="0063657F" w:rsidRDefault="00F10732" w:rsidP="008133B2">
      <w:pPr>
        <w:pStyle w:val="tPara"/>
      </w:pPr>
      <w:r w:rsidRPr="0063657F">
        <w:tab/>
      </w:r>
      <w:r w:rsidR="00F773E9">
        <w:t>(c)</w:t>
      </w:r>
      <w:r w:rsidRPr="0063657F">
        <w:tab/>
        <w:t>30 days after the date specified in paragraph (1</w:t>
      </w:r>
      <w:proofErr w:type="gramStart"/>
      <w:r w:rsidRPr="0063657F">
        <w:t>)(</w:t>
      </w:r>
      <w:proofErr w:type="gramEnd"/>
      <w:r w:rsidRPr="0063657F">
        <w:t>d).</w:t>
      </w:r>
    </w:p>
    <w:p w:rsidR="00F10732" w:rsidRPr="0063657F" w:rsidRDefault="00F10732" w:rsidP="00F10732">
      <w:pPr>
        <w:pStyle w:val="tMain"/>
      </w:pPr>
      <w:r w:rsidRPr="0063657F">
        <w:tab/>
      </w:r>
      <w:r w:rsidR="00F773E9">
        <w:t>(3)</w:t>
      </w:r>
      <w:r w:rsidRPr="0063657F">
        <w:tab/>
      </w:r>
      <w:proofErr w:type="gramStart"/>
      <w:r w:rsidRPr="0063657F">
        <w:t>As</w:t>
      </w:r>
      <w:proofErr w:type="gramEnd"/>
      <w:r w:rsidRPr="0063657F">
        <w:t xml:space="preserve"> soon as practicable after making a reported-emissions baseline determination, the Regulator must:</w:t>
      </w:r>
    </w:p>
    <w:p w:rsidR="00F10732" w:rsidRPr="0063657F" w:rsidRDefault="00F10732" w:rsidP="00F10732">
      <w:pPr>
        <w:pStyle w:val="tPara"/>
      </w:pPr>
      <w:r w:rsidRPr="0063657F">
        <w:tab/>
      </w:r>
      <w:r w:rsidR="00F773E9">
        <w:t>(a)</w:t>
      </w:r>
      <w:r w:rsidRPr="0063657F">
        <w:tab/>
      </w:r>
      <w:proofErr w:type="gramStart"/>
      <w:r w:rsidRPr="0063657F">
        <w:t>provide</w:t>
      </w:r>
      <w:proofErr w:type="gramEnd"/>
      <w:r w:rsidRPr="0063657F">
        <w:t xml:space="preserve"> written notice of the determination to the responsible emitter for the facility covered by the determination; and</w:t>
      </w:r>
    </w:p>
    <w:p w:rsidR="00F10732" w:rsidRPr="0063657F" w:rsidRDefault="00F10732" w:rsidP="00F10732">
      <w:pPr>
        <w:pStyle w:val="tPara"/>
      </w:pPr>
      <w:r w:rsidRPr="0063657F">
        <w:tab/>
      </w:r>
      <w:r w:rsidR="00F773E9">
        <w:t>(b)</w:t>
      </w:r>
      <w:r w:rsidRPr="0063657F">
        <w:tab/>
      </w:r>
      <w:proofErr w:type="gramStart"/>
      <w:r w:rsidRPr="0063657F">
        <w:t>publish</w:t>
      </w:r>
      <w:proofErr w:type="gramEnd"/>
      <w:r w:rsidRPr="0063657F">
        <w:t xml:space="preserve"> the details of the determination on its website.</w:t>
      </w:r>
    </w:p>
    <w:p w:rsidR="00F10732" w:rsidRPr="0063657F" w:rsidRDefault="00F10732" w:rsidP="00F10732">
      <w:pPr>
        <w:pStyle w:val="tMain"/>
      </w:pPr>
      <w:r w:rsidRPr="0063657F">
        <w:tab/>
      </w:r>
      <w:r w:rsidR="00F773E9">
        <w:t>(4)</w:t>
      </w:r>
      <w:r w:rsidRPr="0063657F">
        <w:tab/>
        <w:t>It is immaterial whether the written notice under subsection (1) was provided to the responsible emitter before or after the commencement of this section.</w:t>
      </w:r>
    </w:p>
    <w:p w:rsidR="00F10732" w:rsidRPr="0063657F" w:rsidRDefault="00F773E9" w:rsidP="00F10732">
      <w:pPr>
        <w:pStyle w:val="h5Section"/>
      </w:pPr>
      <w:bookmarkStart w:id="32" w:name="_Toc431896963"/>
      <w:r>
        <w:t>17</w:t>
      </w:r>
      <w:r w:rsidR="00F10732" w:rsidRPr="0063657F">
        <w:t xml:space="preserve"> Determining the baseline emissions number</w:t>
      </w:r>
      <w:bookmarkEnd w:id="32"/>
    </w:p>
    <w:p w:rsidR="00F10732" w:rsidRPr="0063657F" w:rsidRDefault="00F10732" w:rsidP="00F10732">
      <w:pPr>
        <w:pStyle w:val="tMain"/>
      </w:pPr>
      <w:r w:rsidRPr="0063657F">
        <w:tab/>
      </w:r>
      <w:r w:rsidR="00F773E9">
        <w:t>(1)</w:t>
      </w:r>
      <w:r w:rsidRPr="0063657F">
        <w:tab/>
        <w:t>Subject to section 12, a reported-emissions baseline determination must specify the baseline emissions number for the facility for each financial year during which the determination is in force as the highest annual number of t CO</w:t>
      </w:r>
      <w:r w:rsidRPr="0063657F">
        <w:rPr>
          <w:vertAlign w:val="subscript"/>
        </w:rPr>
        <w:t>2</w:t>
      </w:r>
      <w:r w:rsidR="002326D7" w:rsidRPr="0063657F">
        <w:rPr>
          <w:rFonts w:ascii="Helvetica Neue" w:hAnsi="Helvetica Neue"/>
          <w:b/>
          <w:bCs/>
          <w:i/>
          <w:iCs/>
          <w:sz w:val="19"/>
          <w:szCs w:val="19"/>
        </w:rPr>
        <w:noBreakHyphen/>
      </w:r>
      <w:r w:rsidRPr="0063657F">
        <w:t xml:space="preserve">e of covered emissions based on the available reports under the Act for the </w:t>
      </w:r>
      <w:r w:rsidR="000805C9" w:rsidRPr="0063657F">
        <w:t xml:space="preserve">5 </w:t>
      </w:r>
      <w:r w:rsidRPr="0063657F">
        <w:t>financial years beginning on 1 July 2009.</w:t>
      </w:r>
    </w:p>
    <w:p w:rsidR="00F10732" w:rsidRPr="0063657F" w:rsidRDefault="00F10732" w:rsidP="00F10732">
      <w:pPr>
        <w:pStyle w:val="tMain"/>
      </w:pPr>
      <w:r w:rsidRPr="0063657F">
        <w:tab/>
      </w:r>
      <w:r w:rsidR="00F773E9">
        <w:t>(2)</w:t>
      </w:r>
      <w:r w:rsidRPr="0063657F">
        <w:tab/>
      </w:r>
      <w:r w:rsidR="00E56224" w:rsidRPr="0063657F">
        <w:t>For the purposes of subsection (1), a</w:t>
      </w:r>
      <w:r w:rsidRPr="0063657F">
        <w:t xml:space="preserve">ny </w:t>
      </w:r>
      <w:r w:rsidR="004C1836" w:rsidRPr="0063657F">
        <w:t xml:space="preserve">covered </w:t>
      </w:r>
      <w:r w:rsidRPr="0063657F">
        <w:t xml:space="preserve">emissions reported as a vertically integrated production process which were not from the operation of the facility </w:t>
      </w:r>
      <w:r w:rsidR="000805C9" w:rsidRPr="0063657F">
        <w:t xml:space="preserve">that is </w:t>
      </w:r>
      <w:r w:rsidRPr="0063657F">
        <w:t>the subject of the reported-emissions baseline determination are to be disregarded.</w:t>
      </w:r>
    </w:p>
    <w:p w:rsidR="00F10732" w:rsidRPr="0063657F" w:rsidRDefault="00F10732" w:rsidP="00F10732">
      <w:pPr>
        <w:pStyle w:val="tMain"/>
      </w:pPr>
      <w:r w:rsidRPr="0063657F">
        <w:tab/>
      </w:r>
      <w:r w:rsidR="00F773E9">
        <w:t>(3)</w:t>
      </w:r>
      <w:r w:rsidRPr="0063657F">
        <w:tab/>
      </w:r>
      <w:r w:rsidR="00E56224" w:rsidRPr="0063657F">
        <w:t>For the purposes of subsection (1), t</w:t>
      </w:r>
      <w:r w:rsidRPr="0063657F">
        <w:t>he Regulator m</w:t>
      </w:r>
      <w:r w:rsidR="00BE636F" w:rsidRPr="0063657F">
        <w:t>ust</w:t>
      </w:r>
      <w:r w:rsidRPr="0063657F">
        <w:t xml:space="preserve"> disregard any significant </w:t>
      </w:r>
      <w:r w:rsidR="000F27F3" w:rsidRPr="0063657F">
        <w:t xml:space="preserve">covered </w:t>
      </w:r>
      <w:r w:rsidRPr="0063657F">
        <w:t>emissions attributable to activities previously conducted at the facility</w:t>
      </w:r>
      <w:r w:rsidR="00AC3101" w:rsidRPr="0063657F">
        <w:t xml:space="preserve"> (the </w:t>
      </w:r>
      <w:r w:rsidR="00AC3101" w:rsidRPr="0063657F">
        <w:rPr>
          <w:b/>
          <w:i/>
        </w:rPr>
        <w:t>original activities</w:t>
      </w:r>
      <w:r w:rsidR="00AC3101" w:rsidRPr="0063657F">
        <w:t>)</w:t>
      </w:r>
      <w:r w:rsidRPr="0063657F">
        <w:t xml:space="preserve"> </w:t>
      </w:r>
      <w:r w:rsidR="00373A91" w:rsidRPr="0063657F">
        <w:t>if</w:t>
      </w:r>
      <w:r w:rsidRPr="0063657F">
        <w:t xml:space="preserve">: </w:t>
      </w:r>
    </w:p>
    <w:p w:rsidR="00BE636F" w:rsidRPr="0063657F" w:rsidRDefault="00F10732" w:rsidP="00F10732">
      <w:pPr>
        <w:pStyle w:val="tPara"/>
      </w:pPr>
      <w:r w:rsidRPr="0063657F">
        <w:tab/>
      </w:r>
      <w:r w:rsidR="00F773E9">
        <w:t>(</w:t>
      </w:r>
      <w:proofErr w:type="gramStart"/>
      <w:r w:rsidR="00F773E9">
        <w:t>a</w:t>
      </w:r>
      <w:proofErr w:type="gramEnd"/>
      <w:r w:rsidR="00F773E9">
        <w:t>)</w:t>
      </w:r>
      <w:r w:rsidRPr="0063657F">
        <w:tab/>
      </w:r>
      <w:r w:rsidR="00BE636F" w:rsidRPr="0063657F">
        <w:t xml:space="preserve">both: </w:t>
      </w:r>
    </w:p>
    <w:p w:rsidR="00F10732" w:rsidRPr="0063657F" w:rsidRDefault="00BE636F" w:rsidP="00BE636F">
      <w:pPr>
        <w:pStyle w:val="tSubpara"/>
      </w:pPr>
      <w:r w:rsidRPr="0063657F">
        <w:lastRenderedPageBreak/>
        <w:tab/>
      </w:r>
      <w:r w:rsidR="00F773E9">
        <w:t>(</w:t>
      </w:r>
      <w:proofErr w:type="spellStart"/>
      <w:r w:rsidR="00F773E9">
        <w:t>i</w:t>
      </w:r>
      <w:proofErr w:type="spellEnd"/>
      <w:r w:rsidR="00F773E9">
        <w:t>)</w:t>
      </w:r>
      <w:r w:rsidRPr="0063657F">
        <w:tab/>
      </w:r>
      <w:proofErr w:type="gramStart"/>
      <w:r w:rsidRPr="0063657F">
        <w:t>the</w:t>
      </w:r>
      <w:proofErr w:type="gramEnd"/>
      <w:r w:rsidRPr="0063657F">
        <w:t xml:space="preserve"> Regulator is satisfied that </w:t>
      </w:r>
      <w:r w:rsidR="00373A91" w:rsidRPr="0063657F">
        <w:t xml:space="preserve">activities of the same kind as the original activities are </w:t>
      </w:r>
      <w:r w:rsidR="00F10732" w:rsidRPr="0063657F">
        <w:t>no longer conducted</w:t>
      </w:r>
      <w:r w:rsidR="00373A91" w:rsidRPr="0063657F">
        <w:t xml:space="preserve"> at the facility</w:t>
      </w:r>
      <w:r w:rsidR="00F10732" w:rsidRPr="0063657F">
        <w:t xml:space="preserve">; </w:t>
      </w:r>
      <w:r w:rsidRPr="0063657F">
        <w:t>and</w:t>
      </w:r>
    </w:p>
    <w:p w:rsidR="00BE636F" w:rsidRPr="0063657F" w:rsidRDefault="00BE636F" w:rsidP="00BE636F">
      <w:pPr>
        <w:pStyle w:val="tSubpara"/>
      </w:pPr>
      <w:r w:rsidRPr="0063657F">
        <w:tab/>
      </w:r>
      <w:r w:rsidR="00F773E9">
        <w:t>(ii)</w:t>
      </w:r>
      <w:r w:rsidRPr="0063657F">
        <w:tab/>
      </w:r>
      <w:proofErr w:type="gramStart"/>
      <w:r w:rsidRPr="0063657F">
        <w:t>the</w:t>
      </w:r>
      <w:proofErr w:type="gramEnd"/>
      <w:r w:rsidRPr="0063657F">
        <w:t xml:space="preserve"> Regulator </w:t>
      </w:r>
      <w:r w:rsidR="00C84CEA" w:rsidRPr="0063657F">
        <w:t>has reasonable evidence to consider</w:t>
      </w:r>
      <w:r w:rsidRPr="0063657F">
        <w:t xml:space="preserve"> that activities of the same kind as the original activities are unlikely to be conducted for at least the next three financial years; or</w:t>
      </w:r>
    </w:p>
    <w:p w:rsidR="00BE636F" w:rsidRPr="0063657F" w:rsidRDefault="00BE636F" w:rsidP="00BE636F">
      <w:pPr>
        <w:pStyle w:val="tPara"/>
      </w:pPr>
      <w:r w:rsidRPr="0063657F">
        <w:tab/>
      </w:r>
      <w:r w:rsidR="00F773E9">
        <w:t>(b)</w:t>
      </w:r>
      <w:r w:rsidRPr="0063657F">
        <w:tab/>
      </w:r>
      <w:proofErr w:type="gramStart"/>
      <w:r w:rsidRPr="0063657F">
        <w:t>the</w:t>
      </w:r>
      <w:proofErr w:type="gramEnd"/>
      <w:r w:rsidRPr="0063657F">
        <w:t xml:space="preserve"> Regulator is satisfied that </w:t>
      </w:r>
      <w:r w:rsidR="000F63D8" w:rsidRPr="0063657F">
        <w:t xml:space="preserve">covered </w:t>
      </w:r>
      <w:r w:rsidR="00373A91" w:rsidRPr="0063657F">
        <w:t xml:space="preserve">emissions of the </w:t>
      </w:r>
      <w:r w:rsidR="00AC3101" w:rsidRPr="0063657F">
        <w:t xml:space="preserve">original </w:t>
      </w:r>
      <w:r w:rsidR="00373A91" w:rsidRPr="0063657F">
        <w:t xml:space="preserve">activities are now </w:t>
      </w:r>
      <w:r w:rsidR="00F10732" w:rsidRPr="0063657F">
        <w:t xml:space="preserve">reported under the </w:t>
      </w:r>
      <w:r w:rsidRPr="0063657F">
        <w:t>Act as part of another facility.</w:t>
      </w:r>
    </w:p>
    <w:p w:rsidR="00F10732" w:rsidRPr="0063657F" w:rsidRDefault="00F10732" w:rsidP="00F10732">
      <w:pPr>
        <w:pStyle w:val="tMain"/>
      </w:pPr>
      <w:r w:rsidRPr="0063657F">
        <w:tab/>
      </w:r>
      <w:r w:rsidR="00F773E9">
        <w:t>(4)</w:t>
      </w:r>
      <w:r w:rsidRPr="0063657F">
        <w:tab/>
        <w:t xml:space="preserve">Any significant </w:t>
      </w:r>
      <w:r w:rsidR="000E4D6C" w:rsidRPr="0063657F">
        <w:t xml:space="preserve">covered </w:t>
      </w:r>
      <w:r w:rsidRPr="0063657F">
        <w:t>emissions attributable to activities previously conducted at another facility are to be included in the reported covered emissions of the facility to be covered by the reported-emissions baseline determination for the purposes of subsection</w:t>
      </w:r>
      <w:r w:rsidR="000805C9" w:rsidRPr="0063657F">
        <w:t> </w:t>
      </w:r>
      <w:r w:rsidRPr="0063657F">
        <w:t>(1) if:</w:t>
      </w:r>
    </w:p>
    <w:p w:rsidR="00F10732" w:rsidRPr="0063657F" w:rsidRDefault="00F10732" w:rsidP="00F10732">
      <w:pPr>
        <w:pStyle w:val="tPara"/>
      </w:pPr>
      <w:r w:rsidRPr="0063657F">
        <w:tab/>
      </w:r>
      <w:r w:rsidR="00F773E9">
        <w:t>(a)</w:t>
      </w:r>
      <w:r w:rsidRPr="0063657F">
        <w:tab/>
      </w:r>
      <w:proofErr w:type="gramStart"/>
      <w:r w:rsidRPr="0063657F">
        <w:t>those</w:t>
      </w:r>
      <w:proofErr w:type="gramEnd"/>
      <w:r w:rsidRPr="0063657F">
        <w:t xml:space="preserve"> activities are now conducted as part of the facility to be covered by the reported-emissions baseline determination</w:t>
      </w:r>
      <w:r w:rsidR="00947FB2" w:rsidRPr="0063657F">
        <w:t xml:space="preserve"> </w:t>
      </w:r>
      <w:r w:rsidR="00D25259" w:rsidRPr="0063657F">
        <w:t>because the boundarie</w:t>
      </w:r>
      <w:r w:rsidR="00947FB2" w:rsidRPr="0063657F">
        <w:t>s</w:t>
      </w:r>
      <w:r w:rsidR="004C1836" w:rsidRPr="0063657F">
        <w:t xml:space="preserve"> or scope of activities </w:t>
      </w:r>
      <w:r w:rsidR="00947FB2" w:rsidRPr="0063657F">
        <w:t>of that facility have changed</w:t>
      </w:r>
      <w:r w:rsidRPr="0063657F">
        <w:t>; and</w:t>
      </w:r>
    </w:p>
    <w:p w:rsidR="00F10732" w:rsidRPr="0063657F" w:rsidRDefault="00F10732" w:rsidP="000E4D6C">
      <w:pPr>
        <w:pStyle w:val="tPara"/>
      </w:pPr>
      <w:r w:rsidRPr="0063657F">
        <w:tab/>
      </w:r>
      <w:r w:rsidR="00F773E9">
        <w:t>(b)</w:t>
      </w:r>
      <w:r w:rsidRPr="0063657F">
        <w:tab/>
      </w:r>
      <w:proofErr w:type="gramStart"/>
      <w:r w:rsidRPr="0063657F">
        <w:t>the</w:t>
      </w:r>
      <w:proofErr w:type="gramEnd"/>
      <w:r w:rsidRPr="0063657F">
        <w:t xml:space="preserve"> </w:t>
      </w:r>
      <w:r w:rsidR="000E4D6C" w:rsidRPr="0063657F">
        <w:t xml:space="preserve">covered </w:t>
      </w:r>
      <w:r w:rsidRPr="0063657F">
        <w:t xml:space="preserve">emissions from those activities will be reported under the Act as resulting from the </w:t>
      </w:r>
      <w:r w:rsidR="000E4D6C" w:rsidRPr="0063657F">
        <w:t>operation of that facility; and</w:t>
      </w:r>
    </w:p>
    <w:p w:rsidR="00F10732" w:rsidRPr="0063657F" w:rsidRDefault="00F10732" w:rsidP="00F10732">
      <w:pPr>
        <w:pStyle w:val="tPara"/>
      </w:pPr>
      <w:r w:rsidRPr="0063657F">
        <w:tab/>
      </w:r>
      <w:r w:rsidR="00F773E9">
        <w:t>(c)</w:t>
      </w:r>
      <w:r w:rsidRPr="0063657F">
        <w:tab/>
      </w:r>
      <w:proofErr w:type="gramStart"/>
      <w:r w:rsidRPr="0063657F">
        <w:t>the</w:t>
      </w:r>
      <w:proofErr w:type="gramEnd"/>
      <w:r w:rsidRPr="0063657F">
        <w:t xml:space="preserve"> </w:t>
      </w:r>
      <w:r w:rsidR="000E4D6C" w:rsidRPr="0063657F">
        <w:t xml:space="preserve">covered </w:t>
      </w:r>
      <w:r w:rsidRPr="0063657F">
        <w:t>emissions were previously included in a repor</w:t>
      </w:r>
      <w:r w:rsidR="000F674F" w:rsidRPr="0063657F">
        <w:t>t under the Act in relation to</w:t>
      </w:r>
      <w:r w:rsidRPr="0063657F">
        <w:t xml:space="preserve"> another facility.</w:t>
      </w:r>
    </w:p>
    <w:p w:rsidR="00F10732" w:rsidRPr="0063657F" w:rsidRDefault="00F10732" w:rsidP="00F10732">
      <w:pPr>
        <w:pStyle w:val="tMain"/>
      </w:pPr>
      <w:r w:rsidRPr="0063657F">
        <w:tab/>
      </w:r>
      <w:r w:rsidR="00F773E9">
        <w:t>(5)</w:t>
      </w:r>
      <w:r w:rsidRPr="0063657F">
        <w:tab/>
        <w:t>If:</w:t>
      </w:r>
    </w:p>
    <w:p w:rsidR="00F10732" w:rsidRPr="0063657F" w:rsidRDefault="00F10732" w:rsidP="00F10732">
      <w:pPr>
        <w:pStyle w:val="tPara"/>
      </w:pPr>
      <w:r w:rsidRPr="0063657F">
        <w:tab/>
      </w:r>
      <w:r w:rsidR="00F773E9">
        <w:t>(a)</w:t>
      </w:r>
      <w:r w:rsidRPr="0063657F">
        <w:tab/>
        <w:t>a reported-emissions baseline determination is being made on the basis of subsection 14(2) in relation to an inter-state transport facility; and</w:t>
      </w:r>
    </w:p>
    <w:p w:rsidR="00F10732" w:rsidRPr="0063657F" w:rsidRDefault="00F10732" w:rsidP="00F10732">
      <w:pPr>
        <w:pStyle w:val="tPara"/>
      </w:pPr>
      <w:r w:rsidRPr="0063657F">
        <w:tab/>
      </w:r>
      <w:r w:rsidR="00F773E9">
        <w:t>(b)</w:t>
      </w:r>
      <w:r w:rsidRPr="0063657F">
        <w:tab/>
      </w:r>
      <w:proofErr w:type="gramStart"/>
      <w:r w:rsidRPr="0063657F">
        <w:t>a</w:t>
      </w:r>
      <w:proofErr w:type="gramEnd"/>
      <w:r w:rsidRPr="0063657F">
        <w:t xml:space="preserve"> calculated-emissions baseline determination</w:t>
      </w:r>
      <w:r w:rsidR="00B37261" w:rsidRPr="0063657F">
        <w:t>, benchmark-emissions baseline determination</w:t>
      </w:r>
      <w:r w:rsidR="0015270A" w:rsidRPr="0063657F">
        <w:t xml:space="preserve"> or production-adjusted baseline determination</w:t>
      </w:r>
      <w:r w:rsidRPr="0063657F">
        <w:t xml:space="preserve"> in respect of one or more state-based facilities whose activities constitute the inter-state transport facility applied in the financial year immediately before the commencement of the reported-emissions baseline determination;</w:t>
      </w:r>
    </w:p>
    <w:p w:rsidR="00F10732" w:rsidRPr="0063657F" w:rsidRDefault="00F10732" w:rsidP="00C50DD9">
      <w:pPr>
        <w:pStyle w:val="tMain"/>
        <w:spacing w:before="40"/>
      </w:pPr>
      <w:r w:rsidRPr="0063657F">
        <w:tab/>
      </w:r>
      <w:r w:rsidRPr="0063657F">
        <w:tab/>
      </w:r>
      <w:proofErr w:type="gramStart"/>
      <w:r w:rsidRPr="0063657F">
        <w:t>the</w:t>
      </w:r>
      <w:proofErr w:type="gramEnd"/>
      <w:r w:rsidRPr="0063657F">
        <w:t xml:space="preserve"> baseline emissions number for the state-based facilities in the year immediately before the commencement of the reported-emissions baseline determination is to be used under subsection (1) in lieu of the reported emissions of the state-based facilities in the relevant financial year.</w:t>
      </w:r>
    </w:p>
    <w:p w:rsidR="00F10732" w:rsidRPr="0063657F" w:rsidRDefault="00F10732" w:rsidP="00F10732">
      <w:pPr>
        <w:pStyle w:val="tMain"/>
      </w:pPr>
      <w:r w:rsidRPr="0063657F">
        <w:tab/>
      </w:r>
      <w:r w:rsidR="00F773E9">
        <w:t>(6)</w:t>
      </w:r>
      <w:r w:rsidRPr="0063657F">
        <w:tab/>
        <w:t>For the purposes of subsection (1):</w:t>
      </w:r>
    </w:p>
    <w:p w:rsidR="00BC10D5" w:rsidRPr="0063657F" w:rsidRDefault="00F10732" w:rsidP="00BC10D5">
      <w:pPr>
        <w:pStyle w:val="tPara"/>
      </w:pPr>
      <w:r w:rsidRPr="0063657F">
        <w:tab/>
      </w:r>
      <w:r w:rsidR="00F773E9">
        <w:t>(a)</w:t>
      </w:r>
      <w:r w:rsidRPr="0063657F">
        <w:tab/>
      </w:r>
      <w:proofErr w:type="gramStart"/>
      <w:r w:rsidRPr="0063657F">
        <w:t>the</w:t>
      </w:r>
      <w:proofErr w:type="gramEnd"/>
      <w:r w:rsidRPr="0063657F">
        <w:t xml:space="preserve"> carbon dioxide equivalence of </w:t>
      </w:r>
      <w:r w:rsidR="00BC10D5" w:rsidRPr="0063657F">
        <w:t xml:space="preserve">: </w:t>
      </w:r>
    </w:p>
    <w:p w:rsidR="00BC10D5" w:rsidRPr="0063657F" w:rsidRDefault="00BC10D5" w:rsidP="00BC10D5">
      <w:pPr>
        <w:pStyle w:val="tSubpara"/>
      </w:pPr>
      <w:r w:rsidRPr="0063657F">
        <w:tab/>
      </w:r>
      <w:r w:rsidR="00F773E9">
        <w:t>(</w:t>
      </w:r>
      <w:proofErr w:type="spellStart"/>
      <w:r w:rsidR="00F773E9">
        <w:t>i</w:t>
      </w:r>
      <w:proofErr w:type="spellEnd"/>
      <w:r w:rsidR="00F773E9">
        <w:t>)</w:t>
      </w:r>
      <w:r w:rsidRPr="0063657F">
        <w:tab/>
      </w:r>
      <w:proofErr w:type="gramStart"/>
      <w:r w:rsidRPr="0063657F">
        <w:t>carbon</w:t>
      </w:r>
      <w:proofErr w:type="gramEnd"/>
      <w:r w:rsidRPr="0063657F">
        <w:t xml:space="preserve"> dioxide, and</w:t>
      </w:r>
    </w:p>
    <w:p w:rsidR="00BC10D5" w:rsidRPr="0063657F" w:rsidRDefault="00BC10D5" w:rsidP="00BC10D5">
      <w:pPr>
        <w:pStyle w:val="tSubpara"/>
      </w:pPr>
      <w:r w:rsidRPr="0063657F">
        <w:tab/>
      </w:r>
      <w:r w:rsidR="00F773E9">
        <w:t>(ii)</w:t>
      </w:r>
      <w:r w:rsidRPr="0063657F">
        <w:tab/>
      </w:r>
      <w:proofErr w:type="gramStart"/>
      <w:r w:rsidRPr="0063657F">
        <w:t>methane</w:t>
      </w:r>
      <w:proofErr w:type="gramEnd"/>
      <w:r w:rsidRPr="0063657F">
        <w:t>; and</w:t>
      </w:r>
    </w:p>
    <w:p w:rsidR="00BC10D5" w:rsidRPr="0063657F" w:rsidRDefault="00BC10D5" w:rsidP="00BC10D5">
      <w:pPr>
        <w:pStyle w:val="tSubpara"/>
      </w:pPr>
      <w:r w:rsidRPr="0063657F">
        <w:tab/>
      </w:r>
      <w:r w:rsidR="00F773E9">
        <w:t>(iii)</w:t>
      </w:r>
      <w:r w:rsidRPr="0063657F">
        <w:tab/>
      </w:r>
      <w:proofErr w:type="gramStart"/>
      <w:r w:rsidRPr="0063657F">
        <w:t>nitrous</w:t>
      </w:r>
      <w:proofErr w:type="gramEnd"/>
      <w:r w:rsidRPr="0063657F">
        <w:t xml:space="preserve"> oxide; and </w:t>
      </w:r>
    </w:p>
    <w:p w:rsidR="00BC10D5" w:rsidRPr="0063657F" w:rsidRDefault="00BC10D5" w:rsidP="00BC10D5">
      <w:pPr>
        <w:pStyle w:val="tSubpara"/>
      </w:pPr>
      <w:r w:rsidRPr="0063657F">
        <w:tab/>
      </w:r>
      <w:r w:rsidR="00F773E9">
        <w:t>(iv)</w:t>
      </w:r>
      <w:r w:rsidRPr="0063657F">
        <w:tab/>
      </w:r>
      <w:proofErr w:type="spellStart"/>
      <w:proofErr w:type="gramStart"/>
      <w:r w:rsidRPr="0063657F">
        <w:t>perfluorocarbon</w:t>
      </w:r>
      <w:proofErr w:type="spellEnd"/>
      <w:proofErr w:type="gramEnd"/>
      <w:r w:rsidRPr="0063657F">
        <w:t xml:space="preserve"> emissions attributable to aluminium production; </w:t>
      </w:r>
    </w:p>
    <w:p w:rsidR="00F10732" w:rsidRPr="0063657F" w:rsidRDefault="00BC10D5" w:rsidP="00F10732">
      <w:pPr>
        <w:pStyle w:val="tPara"/>
      </w:pPr>
      <w:r w:rsidRPr="0063657F">
        <w:tab/>
      </w:r>
      <w:r w:rsidRPr="0063657F">
        <w:tab/>
      </w:r>
      <w:r w:rsidR="00F10732" w:rsidRPr="0063657F">
        <w:t xml:space="preserve">is to be determined consistently with the global warming potential of the greenhouse gas under regulation 2.02 of the </w:t>
      </w:r>
      <w:r w:rsidR="007540C5" w:rsidRPr="0063657F">
        <w:t xml:space="preserve">NGER Regulations </w:t>
      </w:r>
      <w:r w:rsidR="00F10732" w:rsidRPr="0063657F">
        <w:t>as at the time the reported-emissions baseline determination is made</w:t>
      </w:r>
      <w:r w:rsidR="00067A31" w:rsidRPr="0063657F">
        <w:t>; and</w:t>
      </w:r>
    </w:p>
    <w:p w:rsidR="00F10732" w:rsidRPr="0063657F" w:rsidRDefault="00F10732" w:rsidP="00F10732">
      <w:pPr>
        <w:pStyle w:val="tPara"/>
      </w:pPr>
      <w:r w:rsidRPr="0063657F">
        <w:tab/>
      </w:r>
      <w:r w:rsidR="00F773E9">
        <w:t>(b)</w:t>
      </w:r>
      <w:r w:rsidRPr="0063657F">
        <w:tab/>
      </w:r>
      <w:proofErr w:type="gramStart"/>
      <w:r w:rsidRPr="0063657F">
        <w:t>the</w:t>
      </w:r>
      <w:proofErr w:type="gramEnd"/>
      <w:r w:rsidRPr="0063657F">
        <w:t xml:space="preserve"> carbon dioxide equivalence of each greenhouse gas not covered by paragraph (a) is to be determined: </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t xml:space="preserve">if the responsible emitter has provided </w:t>
      </w:r>
      <w:r w:rsidR="004C1836" w:rsidRPr="0063657F">
        <w:t xml:space="preserve">sufficient </w:t>
      </w:r>
      <w:r w:rsidRPr="0063657F">
        <w:t xml:space="preserve">data for each greenhouse gas </w:t>
      </w:r>
      <w:r w:rsidR="00007F24" w:rsidRPr="0063657F">
        <w:t xml:space="preserve">with the intention that it is </w:t>
      </w:r>
      <w:r w:rsidRPr="0063657F">
        <w:t>to be used by the Regulator under this section—consistently with the global warming potential of the greenhouse gas under regulation 2.02 of the</w:t>
      </w:r>
      <w:r w:rsidR="007540C5" w:rsidRPr="0063657F">
        <w:t xml:space="preserve"> NGER Regulations</w:t>
      </w:r>
      <w:r w:rsidR="00007F24" w:rsidRPr="0063657F">
        <w:t xml:space="preserve"> </w:t>
      </w:r>
      <w:r w:rsidRPr="0063657F">
        <w:t>as at the time the reported-emissions baseline determination is made; or</w:t>
      </w:r>
    </w:p>
    <w:p w:rsidR="00F10732" w:rsidRPr="0063657F" w:rsidRDefault="00F10732" w:rsidP="00F10732">
      <w:pPr>
        <w:pStyle w:val="tSubpara"/>
      </w:pPr>
      <w:r w:rsidRPr="0063657F">
        <w:tab/>
      </w:r>
      <w:r w:rsidR="00F773E9">
        <w:t>(ii)</w:t>
      </w:r>
      <w:r w:rsidRPr="0063657F">
        <w:tab/>
        <w:t>if the responsible emitter has not provided</w:t>
      </w:r>
      <w:r w:rsidR="004C1836" w:rsidRPr="0063657F">
        <w:t xml:space="preserve"> sufficient</w:t>
      </w:r>
      <w:r w:rsidRPr="0063657F">
        <w:t xml:space="preserve"> data for each greenhouse gas to be used by the Regulator under this section—consistently with the global warming potential of the greenhouse gas </w:t>
      </w:r>
      <w:r w:rsidR="008B253C" w:rsidRPr="0063657F">
        <w:t>assumed in the relevant report under the Act</w:t>
      </w:r>
      <w:r w:rsidR="00255695" w:rsidRPr="0063657F">
        <w:t>;</w:t>
      </w:r>
    </w:p>
    <w:p w:rsidR="009434E4" w:rsidRPr="0063657F" w:rsidRDefault="001D4B47" w:rsidP="001D4B47">
      <w:pPr>
        <w:pStyle w:val="tPara"/>
      </w:pPr>
      <w:r w:rsidRPr="0063657F">
        <w:lastRenderedPageBreak/>
        <w:tab/>
      </w:r>
      <w:r w:rsidR="00F773E9">
        <w:t>(c)</w:t>
      </w:r>
      <w:r w:rsidRPr="0063657F">
        <w:tab/>
      </w:r>
      <w:proofErr w:type="gramStart"/>
      <w:r w:rsidR="009434E4" w:rsidRPr="0063657F">
        <w:t>in</w:t>
      </w:r>
      <w:proofErr w:type="gramEnd"/>
      <w:r w:rsidR="009434E4" w:rsidRPr="0063657F">
        <w:t xml:space="preserve"> determining the baseline emissions number of the facility, if the facility’s emissions had at any time previously been reported in relation to 2 or more facilities, the reported covered emissions of those separate facilities may be summed</w:t>
      </w:r>
      <w:r w:rsidR="006359F9" w:rsidRPr="0063657F">
        <w:t>.</w:t>
      </w:r>
    </w:p>
    <w:p w:rsidR="00F10732" w:rsidRPr="0063657F" w:rsidRDefault="00F10732" w:rsidP="004C1836">
      <w:pPr>
        <w:pStyle w:val="tMain"/>
      </w:pPr>
      <w:r w:rsidRPr="0063657F">
        <w:tab/>
      </w:r>
      <w:r w:rsidR="00F773E9">
        <w:t>(7)</w:t>
      </w:r>
      <w:r w:rsidRPr="0063657F">
        <w:tab/>
        <w:t>For the purposes of subsection</w:t>
      </w:r>
      <w:r w:rsidR="00064B76" w:rsidRPr="0063657F">
        <w:t>s</w:t>
      </w:r>
      <w:r w:rsidRPr="0063657F">
        <w:t xml:space="preserve"> (3) and (4), significant </w:t>
      </w:r>
      <w:r w:rsidR="004C1836" w:rsidRPr="0063657F">
        <w:t xml:space="preserve">covered </w:t>
      </w:r>
      <w:r w:rsidRPr="0063657F">
        <w:t xml:space="preserve">emissions </w:t>
      </w:r>
      <w:r w:rsidR="004C1836" w:rsidRPr="0063657F">
        <w:t xml:space="preserve">means </w:t>
      </w:r>
      <w:r w:rsidRPr="0063657F">
        <w:t>emissions from the operation of the facility in a year exceeding 5% of the number which would otherwise be the baseline emissions number for the facility.</w:t>
      </w:r>
    </w:p>
    <w:p w:rsidR="00F10732" w:rsidRPr="0063657F" w:rsidRDefault="00F10732" w:rsidP="00F10732">
      <w:pPr>
        <w:pStyle w:val="tMain"/>
      </w:pPr>
      <w:r w:rsidRPr="0063657F">
        <w:tab/>
      </w:r>
      <w:r w:rsidR="00F773E9">
        <w:t>(8)</w:t>
      </w:r>
      <w:r w:rsidRPr="0063657F">
        <w:tab/>
      </w:r>
      <w:r w:rsidR="00067A31" w:rsidRPr="0063657F">
        <w:t>When</w:t>
      </w:r>
      <w:r w:rsidRPr="0063657F">
        <w:t xml:space="preserve"> disregarding </w:t>
      </w:r>
      <w:r w:rsidR="000F63D8" w:rsidRPr="0063657F">
        <w:t xml:space="preserve">covered </w:t>
      </w:r>
      <w:r w:rsidRPr="0063657F">
        <w:t xml:space="preserve">emissions under subsection (2) or (3) or including </w:t>
      </w:r>
      <w:r w:rsidR="000F63D8" w:rsidRPr="0063657F">
        <w:t xml:space="preserve">covered </w:t>
      </w:r>
      <w:r w:rsidRPr="0063657F">
        <w:t>emissions under subsection (4), the Regulator may:</w:t>
      </w:r>
    </w:p>
    <w:p w:rsidR="00F10732" w:rsidRPr="0063657F" w:rsidRDefault="00F10732" w:rsidP="00F10732">
      <w:pPr>
        <w:pStyle w:val="tPara"/>
      </w:pPr>
      <w:r w:rsidRPr="0063657F">
        <w:tab/>
      </w:r>
      <w:r w:rsidR="00F773E9">
        <w:t>(a)</w:t>
      </w:r>
      <w:r w:rsidRPr="0063657F">
        <w:tab/>
      </w:r>
      <w:proofErr w:type="gramStart"/>
      <w:r w:rsidRPr="0063657F">
        <w:t>take</w:t>
      </w:r>
      <w:proofErr w:type="gramEnd"/>
      <w:r w:rsidRPr="0063657F">
        <w:t xml:space="preserve"> into account disaggregated emissions information provided by the responsible emitter for the facility and any audit reports associated with information; or</w:t>
      </w:r>
    </w:p>
    <w:p w:rsidR="00F10732" w:rsidRPr="0063657F" w:rsidRDefault="00F10732" w:rsidP="00F10732">
      <w:pPr>
        <w:pStyle w:val="tPara"/>
      </w:pPr>
      <w:r w:rsidRPr="0063657F">
        <w:tab/>
      </w:r>
      <w:r w:rsidR="00F773E9">
        <w:t>(b)</w:t>
      </w:r>
      <w:r w:rsidRPr="0063657F">
        <w:tab/>
      </w:r>
      <w:proofErr w:type="gramStart"/>
      <w:r w:rsidRPr="0063657F">
        <w:t>disregard</w:t>
      </w:r>
      <w:proofErr w:type="gramEnd"/>
      <w:r w:rsidRPr="0063657F">
        <w:t xml:space="preserve"> </w:t>
      </w:r>
      <w:r w:rsidR="004F0AA0" w:rsidRPr="0063657F">
        <w:t xml:space="preserve">emissions </w:t>
      </w:r>
      <w:r w:rsidRPr="0063657F">
        <w:t xml:space="preserve">on a pro rata basis using one or more reports under the Act that: </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if</w:t>
      </w:r>
      <w:proofErr w:type="gramEnd"/>
      <w:r w:rsidRPr="0063657F">
        <w:t xml:space="preserve"> subsection (2) applies—include </w:t>
      </w:r>
      <w:r w:rsidR="000F63D8" w:rsidRPr="0063657F">
        <w:t xml:space="preserve">covered </w:t>
      </w:r>
      <w:r w:rsidRPr="0063657F">
        <w:t xml:space="preserve">emissions from the activities previously conducted at the facility; or </w:t>
      </w:r>
    </w:p>
    <w:p w:rsidR="00F10732" w:rsidRPr="0063657F" w:rsidRDefault="00F10732" w:rsidP="004F0AA0">
      <w:pPr>
        <w:pStyle w:val="tSubpara"/>
      </w:pPr>
      <w:r w:rsidRPr="0063657F">
        <w:tab/>
      </w:r>
      <w:r w:rsidR="00F773E9">
        <w:t>(ii)</w:t>
      </w:r>
      <w:r w:rsidRPr="0063657F">
        <w:tab/>
      </w:r>
      <w:proofErr w:type="gramStart"/>
      <w:r w:rsidRPr="0063657F">
        <w:t>if</w:t>
      </w:r>
      <w:proofErr w:type="gramEnd"/>
      <w:r w:rsidRPr="0063657F">
        <w:t xml:space="preserve"> subsection (3) applies—were not aggregated as a vertically in</w:t>
      </w:r>
      <w:r w:rsidR="004F0AA0" w:rsidRPr="0063657F">
        <w:t>tegrated production process; or</w:t>
      </w:r>
    </w:p>
    <w:p w:rsidR="004F0AA0" w:rsidRPr="0063657F" w:rsidRDefault="004F0AA0" w:rsidP="004F0AA0">
      <w:pPr>
        <w:pStyle w:val="tPara"/>
      </w:pPr>
      <w:r w:rsidRPr="0063657F">
        <w:tab/>
      </w:r>
      <w:r w:rsidR="00F773E9">
        <w:t>(c)</w:t>
      </w:r>
      <w:r w:rsidRPr="0063657F">
        <w:tab/>
        <w:t xml:space="preserve">include </w:t>
      </w:r>
      <w:r w:rsidR="000F63D8" w:rsidRPr="0063657F">
        <w:t xml:space="preserve">covered </w:t>
      </w:r>
      <w:r w:rsidRPr="0063657F">
        <w:t xml:space="preserve">emissions on a pro rata basis using one or more reports under the Act </w:t>
      </w:r>
      <w:r w:rsidR="003351CD" w:rsidRPr="0063657F">
        <w:t xml:space="preserve">that </w:t>
      </w:r>
      <w:r w:rsidRPr="0063657F">
        <w:t xml:space="preserve">include </w:t>
      </w:r>
      <w:r w:rsidR="000F63D8" w:rsidRPr="0063657F">
        <w:t xml:space="preserve">covered </w:t>
      </w:r>
      <w:r w:rsidRPr="0063657F">
        <w:t>emissions from the activities now conducted at the facility; or</w:t>
      </w:r>
    </w:p>
    <w:p w:rsidR="00F10732" w:rsidRPr="0063657F" w:rsidRDefault="00F10732" w:rsidP="00F10732">
      <w:pPr>
        <w:pStyle w:val="tPara"/>
      </w:pPr>
      <w:r w:rsidRPr="0063657F">
        <w:tab/>
      </w:r>
      <w:r w:rsidR="00F773E9">
        <w:t>(d)</w:t>
      </w:r>
      <w:r w:rsidRPr="0063657F">
        <w:tab/>
      </w:r>
      <w:proofErr w:type="gramStart"/>
      <w:r w:rsidRPr="0063657F">
        <w:t>disregard</w:t>
      </w:r>
      <w:proofErr w:type="gramEnd"/>
      <w:r w:rsidRPr="0063657F">
        <w:t xml:space="preserve"> </w:t>
      </w:r>
      <w:r w:rsidR="000F63D8" w:rsidRPr="0063657F">
        <w:t xml:space="preserve">covered </w:t>
      </w:r>
      <w:r w:rsidRPr="0063657F">
        <w:t xml:space="preserve">emissions under subsection (2) or (3) or not include </w:t>
      </w:r>
      <w:r w:rsidR="000F63D8" w:rsidRPr="0063657F">
        <w:t xml:space="preserve">covered </w:t>
      </w:r>
      <w:r w:rsidRPr="0063657F">
        <w:t>emissions under subsection (4) if the Regulator has requested that the emissions information be audited and the responsible emitter has not provided an audit report in relation to those emissions</w:t>
      </w:r>
      <w:r w:rsidR="00345B34" w:rsidRPr="0063657F">
        <w:t xml:space="preserve"> </w:t>
      </w:r>
      <w:r w:rsidR="00A02EB2" w:rsidRPr="0063657F">
        <w:t>that meets</w:t>
      </w:r>
      <w:r w:rsidR="00345B34" w:rsidRPr="0063657F">
        <w:t xml:space="preserve"> any requirements notified in writing by the Regulator to the responsible emitter for the facility</w:t>
      </w:r>
      <w:r w:rsidRPr="0063657F">
        <w:t xml:space="preserve">. </w:t>
      </w:r>
    </w:p>
    <w:p w:rsidR="00F10732" w:rsidRPr="0063657F" w:rsidRDefault="00F10732" w:rsidP="00F10732">
      <w:pPr>
        <w:pStyle w:val="tMain"/>
      </w:pPr>
      <w:r w:rsidRPr="0063657F">
        <w:tab/>
      </w:r>
      <w:r w:rsidR="00F773E9">
        <w:t>(9)</w:t>
      </w:r>
      <w:r w:rsidRPr="0063657F">
        <w:tab/>
        <w:t>The baseline emissions number is to be rounded to the nearest whole number (with a number ending in .5 being rounded up).</w:t>
      </w:r>
    </w:p>
    <w:p w:rsidR="00F10732" w:rsidRPr="0063657F" w:rsidRDefault="00F773E9" w:rsidP="00F10732">
      <w:pPr>
        <w:pStyle w:val="h5Section"/>
      </w:pPr>
      <w:bookmarkStart w:id="33" w:name="_Toc431896964"/>
      <w:r>
        <w:t>18</w:t>
      </w:r>
      <w:r w:rsidR="00F10732" w:rsidRPr="0063657F">
        <w:t xml:space="preserve"> Duration of reported-emissions baseline determination</w:t>
      </w:r>
      <w:bookmarkEnd w:id="33"/>
      <w:r w:rsidR="00F10732" w:rsidRPr="0063657F">
        <w:t xml:space="preserve"> </w:t>
      </w:r>
    </w:p>
    <w:p w:rsidR="00F10732" w:rsidRPr="0063657F" w:rsidRDefault="00F10732" w:rsidP="00F10732">
      <w:pPr>
        <w:pStyle w:val="tMain"/>
      </w:pPr>
      <w:r w:rsidRPr="0063657F">
        <w:tab/>
      </w:r>
      <w:r w:rsidR="00F773E9">
        <w:t>(1)</w:t>
      </w:r>
      <w:r w:rsidRPr="0063657F">
        <w:tab/>
        <w:t>A reported-emissions baseline determination made on the basis of subsection 14(1) is to come into force on 1 July 2016 unless a calculated-emissions baseline determination has been made with effect from 1 July 2016.</w:t>
      </w:r>
    </w:p>
    <w:p w:rsidR="00F10732" w:rsidRPr="0063657F" w:rsidRDefault="00F10732" w:rsidP="00F10732">
      <w:pPr>
        <w:pStyle w:val="tMain"/>
      </w:pPr>
      <w:r w:rsidRPr="0063657F">
        <w:tab/>
      </w:r>
      <w:r w:rsidR="00F773E9">
        <w:t>(2)</w:t>
      </w:r>
      <w:r w:rsidRPr="0063657F">
        <w:tab/>
        <w:t>A reported-emissions baseline determination made on the basis of subsection 14(2) is to come into force on the first 1 July that the national facility definition applie</w:t>
      </w:r>
      <w:r w:rsidR="007C0F57" w:rsidRPr="0063657F">
        <w:t>s</w:t>
      </w:r>
      <w:r w:rsidRPr="0063657F">
        <w:t xml:space="preserve"> to the inter-state transport facility unless a calculated-emissions baseline determination has been made with effect from that 1 July.</w:t>
      </w:r>
    </w:p>
    <w:p w:rsidR="00F10732" w:rsidRPr="0063657F" w:rsidRDefault="00F10732" w:rsidP="00F10732">
      <w:pPr>
        <w:pStyle w:val="tMain"/>
      </w:pPr>
      <w:r w:rsidRPr="0063657F">
        <w:tab/>
      </w:r>
      <w:r w:rsidR="00F773E9">
        <w:t>(3)</w:t>
      </w:r>
      <w:r w:rsidRPr="0063657F">
        <w:tab/>
        <w:t>A reported-emissions baseline determination:</w:t>
      </w:r>
    </w:p>
    <w:p w:rsidR="00F10732" w:rsidRPr="0063657F" w:rsidRDefault="00F10732" w:rsidP="00F10732">
      <w:pPr>
        <w:pStyle w:val="tPara"/>
      </w:pPr>
      <w:r w:rsidRPr="0063657F">
        <w:tab/>
      </w:r>
      <w:r w:rsidR="00F773E9">
        <w:t>(a)</w:t>
      </w:r>
      <w:r w:rsidRPr="0063657F">
        <w:tab/>
      </w:r>
      <w:proofErr w:type="gramStart"/>
      <w:r w:rsidRPr="0063657F">
        <w:t>ceases</w:t>
      </w:r>
      <w:proofErr w:type="gramEnd"/>
      <w:r w:rsidRPr="0063657F">
        <w:t xml:space="preserve"> to be in force from the date when another baseline determination commences in relation to the facility; and</w:t>
      </w:r>
    </w:p>
    <w:p w:rsidR="00F10732" w:rsidRPr="0063657F" w:rsidRDefault="00F10732" w:rsidP="00F10732">
      <w:pPr>
        <w:pStyle w:val="tPara"/>
      </w:pPr>
      <w:r w:rsidRPr="0063657F">
        <w:tab/>
      </w:r>
      <w:r w:rsidR="00F773E9">
        <w:t>(b)</w:t>
      </w:r>
      <w:r w:rsidRPr="0063657F">
        <w:tab/>
      </w:r>
      <w:proofErr w:type="gramStart"/>
      <w:r w:rsidRPr="0063657F">
        <w:t>comes</w:t>
      </w:r>
      <w:proofErr w:type="gramEnd"/>
      <w:r w:rsidRPr="0063657F">
        <w:t xml:space="preserve"> into, or comes back into, force at the expiry of a calculated-emissions baseline determination or a benchmark-emissions baseline determination until replaced by another baseline determination.</w:t>
      </w:r>
    </w:p>
    <w:p w:rsidR="00F10732" w:rsidRPr="0063657F" w:rsidRDefault="00F10732" w:rsidP="00F10732">
      <w:pPr>
        <w:pStyle w:val="tMain"/>
      </w:pPr>
      <w:r w:rsidRPr="0063657F">
        <w:tab/>
      </w:r>
      <w:r w:rsidR="00F773E9">
        <w:t>(4)</w:t>
      </w:r>
      <w:r w:rsidRPr="0063657F">
        <w:tab/>
        <w:t>A reported-emissions baseline determination made on the basis of subsection 14(2) replaces any other baseline determination which previously applied to the activities or series of activities which constitute the inter-state transport facility.</w:t>
      </w:r>
    </w:p>
    <w:p w:rsidR="00F10732" w:rsidRPr="0063657F" w:rsidRDefault="00F773E9" w:rsidP="00F10732">
      <w:pPr>
        <w:pStyle w:val="h5Section"/>
      </w:pPr>
      <w:bookmarkStart w:id="34" w:name="_Toc431896965"/>
      <w:r>
        <w:lastRenderedPageBreak/>
        <w:t>19</w:t>
      </w:r>
      <w:r w:rsidR="00F10732" w:rsidRPr="0063657F">
        <w:t xml:space="preserve"> Variation of reported-emissions baseline determination because of reporting error or changes in activities</w:t>
      </w:r>
      <w:bookmarkEnd w:id="34"/>
    </w:p>
    <w:p w:rsidR="00F10732" w:rsidRPr="0063657F" w:rsidRDefault="00F10732" w:rsidP="00F10732">
      <w:pPr>
        <w:pStyle w:val="tMain"/>
      </w:pPr>
      <w:r w:rsidRPr="0063657F">
        <w:tab/>
      </w:r>
      <w:r w:rsidR="00F773E9">
        <w:t>(1)</w:t>
      </w:r>
      <w:r w:rsidRPr="0063657F">
        <w:tab/>
        <w:t>If:</w:t>
      </w:r>
    </w:p>
    <w:p w:rsidR="00F10732" w:rsidRPr="0063657F" w:rsidRDefault="00F10732" w:rsidP="00F10732">
      <w:pPr>
        <w:pStyle w:val="tPara"/>
      </w:pPr>
      <w:r w:rsidRPr="0063657F">
        <w:tab/>
      </w:r>
      <w:r w:rsidR="00F773E9">
        <w:t>(a)</w:t>
      </w:r>
      <w:r w:rsidRPr="0063657F">
        <w:tab/>
      </w:r>
      <w:proofErr w:type="gramStart"/>
      <w:r w:rsidRPr="0063657F">
        <w:t>a</w:t>
      </w:r>
      <w:proofErr w:type="gramEnd"/>
      <w:r w:rsidRPr="0063657F">
        <w:t xml:space="preserve"> report under the Act used to establish a baseline emissions number for a reported-emissions baseline determination is resubmitted after the determination is made; or</w:t>
      </w:r>
    </w:p>
    <w:p w:rsidR="00F10732" w:rsidRPr="0063657F" w:rsidRDefault="00F10732" w:rsidP="00F10732">
      <w:pPr>
        <w:pStyle w:val="tPara"/>
      </w:pPr>
      <w:r w:rsidRPr="0063657F">
        <w:tab/>
      </w:r>
      <w:r w:rsidR="00F773E9">
        <w:t>(b)</w:t>
      </w:r>
      <w:r w:rsidRPr="0063657F">
        <w:tab/>
      </w:r>
      <w:proofErr w:type="gramStart"/>
      <w:r w:rsidRPr="0063657F">
        <w:t>the</w:t>
      </w:r>
      <w:proofErr w:type="gramEnd"/>
      <w:r w:rsidRPr="0063657F">
        <w:t xml:space="preserve"> Regulator has reasonable evidence to consider that a report under the Act used to establish a baseline emissions number for a reported-emissions baseline determination was incorrect; or</w:t>
      </w:r>
    </w:p>
    <w:p w:rsidR="00F10732" w:rsidRPr="0063657F" w:rsidRDefault="00F10732" w:rsidP="00F10732">
      <w:pPr>
        <w:pStyle w:val="tPara"/>
      </w:pPr>
      <w:r w:rsidRPr="0063657F">
        <w:tab/>
      </w:r>
      <w:r w:rsidR="00F773E9">
        <w:t>(c)</w:t>
      </w:r>
      <w:r w:rsidRPr="0063657F">
        <w:tab/>
      </w:r>
      <w:proofErr w:type="gramStart"/>
      <w:r w:rsidR="00E5676B" w:rsidRPr="0063657F">
        <w:t>all</w:t>
      </w:r>
      <w:proofErr w:type="gramEnd"/>
      <w:r w:rsidR="00E5676B" w:rsidRPr="0063657F">
        <w:t xml:space="preserve"> of the</w:t>
      </w:r>
      <w:r w:rsidRPr="0063657F">
        <w:t xml:space="preserve"> following </w:t>
      </w:r>
      <w:r w:rsidR="00E5676B" w:rsidRPr="0063657F">
        <w:t>apply</w:t>
      </w:r>
      <w:r w:rsidRPr="0063657F">
        <w:t xml:space="preserve">: </w:t>
      </w:r>
    </w:p>
    <w:p w:rsidR="00F10732" w:rsidRPr="0063657F" w:rsidRDefault="00F10732" w:rsidP="00F10732">
      <w:pPr>
        <w:pStyle w:val="tSubpara"/>
      </w:pPr>
      <w:r w:rsidRPr="0063657F">
        <w:tab/>
      </w:r>
      <w:r w:rsidR="00F773E9">
        <w:t>(</w:t>
      </w:r>
      <w:proofErr w:type="spellStart"/>
      <w:r w:rsidR="00F773E9">
        <w:t>i</w:t>
      </w:r>
      <w:proofErr w:type="spellEnd"/>
      <w:r w:rsidR="00F773E9">
        <w:t>)</w:t>
      </w:r>
      <w:r w:rsidR="00E5676B" w:rsidRPr="0063657F">
        <w:tab/>
      </w:r>
      <w:proofErr w:type="gramStart"/>
      <w:r w:rsidR="00563844" w:rsidRPr="0063657F">
        <w:t>covered</w:t>
      </w:r>
      <w:proofErr w:type="gramEnd"/>
      <w:r w:rsidR="00563844" w:rsidRPr="0063657F">
        <w:t xml:space="preserve"> </w:t>
      </w:r>
      <w:r w:rsidR="00E5676B" w:rsidRPr="0063657F">
        <w:t xml:space="preserve">emissions attributable to one or more </w:t>
      </w:r>
      <w:r w:rsidRPr="0063657F">
        <w:t xml:space="preserve">activities </w:t>
      </w:r>
      <w:r w:rsidR="00E5676B" w:rsidRPr="0063657F">
        <w:t xml:space="preserve">(the </w:t>
      </w:r>
      <w:r w:rsidR="00E5676B" w:rsidRPr="0063657F">
        <w:rPr>
          <w:b/>
          <w:i/>
        </w:rPr>
        <w:t>original activities</w:t>
      </w:r>
      <w:r w:rsidR="00E5676B" w:rsidRPr="0063657F">
        <w:t xml:space="preserve">) </w:t>
      </w:r>
      <w:r w:rsidRPr="0063657F">
        <w:t xml:space="preserve">were included in a report under the Act used to establish a baseline emissions number for a reported-emissions baseline determination; </w:t>
      </w:r>
    </w:p>
    <w:p w:rsidR="00F10732" w:rsidRPr="0063657F" w:rsidRDefault="00F10732" w:rsidP="00F10732">
      <w:pPr>
        <w:pStyle w:val="tSubpara"/>
      </w:pPr>
      <w:r w:rsidRPr="0063657F">
        <w:tab/>
      </w:r>
      <w:r w:rsidR="00F773E9">
        <w:t>(ii)</w:t>
      </w:r>
      <w:r w:rsidRPr="0063657F">
        <w:tab/>
      </w:r>
      <w:proofErr w:type="gramStart"/>
      <w:r w:rsidRPr="0063657F">
        <w:t>the</w:t>
      </w:r>
      <w:proofErr w:type="gramEnd"/>
      <w:r w:rsidRPr="0063657F">
        <w:t xml:space="preserve"> </w:t>
      </w:r>
      <w:r w:rsidR="00563844" w:rsidRPr="0063657F">
        <w:t xml:space="preserve">covered </w:t>
      </w:r>
      <w:r w:rsidR="00E5676B" w:rsidRPr="0063657F">
        <w:t xml:space="preserve">emissions attributable the original </w:t>
      </w:r>
      <w:r w:rsidRPr="0063657F">
        <w:t xml:space="preserve">activities </w:t>
      </w:r>
      <w:r w:rsidR="00E5676B" w:rsidRPr="0063657F">
        <w:t>were</w:t>
      </w:r>
      <w:r w:rsidRPr="0063657F">
        <w:t xml:space="preserve"> significant</w:t>
      </w:r>
      <w:r w:rsidR="00563844" w:rsidRPr="0063657F">
        <w:t xml:space="preserve"> covered</w:t>
      </w:r>
      <w:r w:rsidRPr="0063657F">
        <w:t xml:space="preserve"> emissions (within the meaning of section</w:t>
      </w:r>
      <w:r w:rsidR="0066445F" w:rsidRPr="0063657F">
        <w:t> </w:t>
      </w:r>
      <w:r w:rsidRPr="0063657F">
        <w:t xml:space="preserve">17); </w:t>
      </w:r>
    </w:p>
    <w:p w:rsidR="00F10732" w:rsidRPr="0063657F" w:rsidRDefault="00F10732" w:rsidP="00F10732">
      <w:pPr>
        <w:pStyle w:val="tSubpara"/>
      </w:pPr>
      <w:r w:rsidRPr="0063657F">
        <w:tab/>
      </w:r>
      <w:r w:rsidR="00F773E9">
        <w:t>(iii)</w:t>
      </w:r>
      <w:r w:rsidRPr="0063657F">
        <w:tab/>
      </w:r>
      <w:proofErr w:type="gramStart"/>
      <w:r w:rsidR="00BE636F" w:rsidRPr="0063657F">
        <w:t>the</w:t>
      </w:r>
      <w:proofErr w:type="gramEnd"/>
      <w:r w:rsidR="00BE636F" w:rsidRPr="0063657F">
        <w:t xml:space="preserve"> Regulator is satisfied that </w:t>
      </w:r>
      <w:r w:rsidR="00E5676B" w:rsidRPr="0063657F">
        <w:t>activities of the same kind as the original activities were not conducted at the facility during a financial year</w:t>
      </w:r>
      <w:r w:rsidRPr="0063657F">
        <w:t>;</w:t>
      </w:r>
    </w:p>
    <w:p w:rsidR="00E5676B" w:rsidRPr="0063657F" w:rsidRDefault="00E5676B" w:rsidP="00E5676B">
      <w:pPr>
        <w:pStyle w:val="tSubpara"/>
      </w:pPr>
      <w:r w:rsidRPr="0063657F">
        <w:tab/>
      </w:r>
      <w:r w:rsidR="00F773E9">
        <w:t>(iv)</w:t>
      </w:r>
      <w:r w:rsidRPr="0063657F">
        <w:tab/>
      </w:r>
      <w:proofErr w:type="gramStart"/>
      <w:r w:rsidRPr="0063657F">
        <w:t>the</w:t>
      </w:r>
      <w:proofErr w:type="gramEnd"/>
      <w:r w:rsidRPr="0063657F">
        <w:t xml:space="preserve"> Regulator </w:t>
      </w:r>
      <w:r w:rsidR="00C84CEA" w:rsidRPr="0063657F">
        <w:t xml:space="preserve">has reasonable evidence to </w:t>
      </w:r>
      <w:r w:rsidR="00663178" w:rsidRPr="0063657F">
        <w:t>consider</w:t>
      </w:r>
      <w:r w:rsidRPr="0063657F">
        <w:t xml:space="preserve"> that activities of the same kind as the original activities are unlikely to be conducted for at least the next three financial years;</w:t>
      </w:r>
    </w:p>
    <w:p w:rsidR="00F10732" w:rsidRPr="0063657F" w:rsidRDefault="00F10732" w:rsidP="00C50DD9">
      <w:pPr>
        <w:pStyle w:val="tMain"/>
        <w:spacing w:before="40"/>
      </w:pPr>
      <w:r w:rsidRPr="0063657F">
        <w:tab/>
      </w:r>
      <w:r w:rsidRPr="0063657F">
        <w:tab/>
      </w:r>
      <w:proofErr w:type="gramStart"/>
      <w:r w:rsidRPr="0063657F">
        <w:t>the</w:t>
      </w:r>
      <w:proofErr w:type="gramEnd"/>
      <w:r w:rsidRPr="0063657F">
        <w:t xml:space="preserve"> Regulator may vary </w:t>
      </w:r>
      <w:r w:rsidR="00265F90" w:rsidRPr="0063657F">
        <w:t xml:space="preserve">the </w:t>
      </w:r>
      <w:r w:rsidRPr="0063657F">
        <w:t>baseline emissions number in the reported-emissions baseline determination to address the issue with effect from the start of the financial year in which the decision to vary the determination is made.</w:t>
      </w:r>
    </w:p>
    <w:p w:rsidR="00F10732" w:rsidRPr="0063657F" w:rsidRDefault="00F10732" w:rsidP="00F10732">
      <w:pPr>
        <w:pStyle w:val="tMain"/>
      </w:pPr>
      <w:r w:rsidRPr="0063657F">
        <w:tab/>
      </w:r>
      <w:r w:rsidR="00F773E9">
        <w:t>(2)</w:t>
      </w:r>
      <w:r w:rsidRPr="0063657F">
        <w:tab/>
        <w:t>Before the Regulator varies a baseline determination for a facility under this section, the Regulator must provide a written notice to the responsible emitter for the facility:</w:t>
      </w:r>
    </w:p>
    <w:p w:rsidR="00F10732" w:rsidRPr="0063657F" w:rsidRDefault="00F10732" w:rsidP="00F10732">
      <w:pPr>
        <w:pStyle w:val="tPara"/>
      </w:pPr>
      <w:r w:rsidRPr="0063657F">
        <w:tab/>
      </w:r>
      <w:r w:rsidR="00F773E9">
        <w:t>(a)</w:t>
      </w:r>
      <w:r w:rsidRPr="0063657F">
        <w:tab/>
      </w:r>
      <w:proofErr w:type="gramStart"/>
      <w:r w:rsidR="0066445F" w:rsidRPr="0063657F">
        <w:t>stating</w:t>
      </w:r>
      <w:proofErr w:type="gramEnd"/>
      <w:r w:rsidR="0066445F" w:rsidRPr="0063657F">
        <w:t xml:space="preserve"> </w:t>
      </w:r>
      <w:r w:rsidRPr="0063657F">
        <w:t>that it intends to vary the baseline determination in relation to the facility under this section; and</w:t>
      </w:r>
    </w:p>
    <w:p w:rsidR="00F10732" w:rsidRPr="0063657F" w:rsidRDefault="00F10732" w:rsidP="00F10732">
      <w:pPr>
        <w:pStyle w:val="tPara"/>
      </w:pPr>
      <w:r w:rsidRPr="0063657F">
        <w:tab/>
      </w:r>
      <w:r w:rsidR="00F773E9">
        <w:t>(b)</w:t>
      </w:r>
      <w:r w:rsidRPr="0063657F">
        <w:tab/>
      </w:r>
      <w:proofErr w:type="gramStart"/>
      <w:r w:rsidRPr="0063657F">
        <w:t>specifying</w:t>
      </w:r>
      <w:proofErr w:type="gramEnd"/>
      <w:r w:rsidRPr="0063657F">
        <w:t xml:space="preserve"> the baseline emissions number that would apply under the determination; and</w:t>
      </w:r>
    </w:p>
    <w:p w:rsidR="00F10732" w:rsidRPr="0063657F" w:rsidRDefault="00F10732" w:rsidP="00F10732">
      <w:pPr>
        <w:pStyle w:val="tPara"/>
      </w:pPr>
      <w:r w:rsidRPr="0063657F">
        <w:tab/>
      </w:r>
      <w:r w:rsidR="00F773E9">
        <w:t>(c)</w:t>
      </w:r>
      <w:r w:rsidRPr="0063657F">
        <w:tab/>
      </w:r>
      <w:proofErr w:type="gramStart"/>
      <w:r w:rsidRPr="0063657F">
        <w:t>seeking</w:t>
      </w:r>
      <w:proofErr w:type="gramEnd"/>
      <w:r w:rsidRPr="0063657F">
        <w:t xml:space="preserve"> any comments by a date specified in the notice.</w:t>
      </w:r>
    </w:p>
    <w:p w:rsidR="00F10732" w:rsidRPr="0063657F" w:rsidRDefault="00F10732" w:rsidP="00F10732">
      <w:pPr>
        <w:pStyle w:val="tMain"/>
      </w:pPr>
      <w:r w:rsidRPr="0063657F">
        <w:tab/>
      </w:r>
      <w:r w:rsidR="00F773E9">
        <w:t>(3)</w:t>
      </w:r>
      <w:r w:rsidRPr="0063657F">
        <w:tab/>
        <w:t>The Regulator must consider any comments received by the date specified in the notice and use all reasonable endeavours to vary</w:t>
      </w:r>
      <w:r w:rsidR="00277608" w:rsidRPr="0063657F">
        <w:t>,</w:t>
      </w:r>
      <w:r w:rsidRPr="0063657F">
        <w:t xml:space="preserve"> </w:t>
      </w:r>
      <w:r w:rsidR="00277608" w:rsidRPr="0063657F">
        <w:t xml:space="preserve">or decide not to vary, </w:t>
      </w:r>
      <w:r w:rsidRPr="0063657F">
        <w:t xml:space="preserve">a reported-emissions baseline determination </w:t>
      </w:r>
      <w:r w:rsidR="00277608" w:rsidRPr="0063657F">
        <w:t xml:space="preserve">by the later of: </w:t>
      </w:r>
    </w:p>
    <w:p w:rsidR="00277608" w:rsidRPr="0063657F" w:rsidRDefault="00277608" w:rsidP="00277608">
      <w:pPr>
        <w:pStyle w:val="tPara"/>
      </w:pPr>
      <w:r w:rsidRPr="0063657F">
        <w:tab/>
      </w:r>
      <w:r w:rsidR="00F773E9">
        <w:t>(a)</w:t>
      </w:r>
      <w:r w:rsidRPr="0063657F">
        <w:tab/>
      </w:r>
      <w:r w:rsidR="008133B2" w:rsidRPr="0063657F">
        <w:t>if the Regulator requires the responsible emitter to give further information under subsection 21(1) in connection with the variation of the baseline determination—30 days after the responsible emitter gave the Regulator the information</w:t>
      </w:r>
      <w:r w:rsidRPr="0063657F">
        <w:t>; and</w:t>
      </w:r>
    </w:p>
    <w:p w:rsidR="00277608" w:rsidRPr="0063657F" w:rsidRDefault="00277608" w:rsidP="00277608">
      <w:pPr>
        <w:pStyle w:val="tPara"/>
      </w:pPr>
      <w:r w:rsidRPr="0063657F">
        <w:tab/>
      </w:r>
      <w:r w:rsidR="00F773E9">
        <w:t>(b)</w:t>
      </w:r>
      <w:r w:rsidRPr="0063657F">
        <w:tab/>
        <w:t>30 days after the date specified in paragraph (2</w:t>
      </w:r>
      <w:proofErr w:type="gramStart"/>
      <w:r w:rsidRPr="0063657F">
        <w:t>)(</w:t>
      </w:r>
      <w:proofErr w:type="gramEnd"/>
      <w:r w:rsidRPr="0063657F">
        <w:t>c).</w:t>
      </w:r>
    </w:p>
    <w:p w:rsidR="00F10732" w:rsidRPr="0063657F" w:rsidRDefault="00F10732" w:rsidP="00F10732">
      <w:pPr>
        <w:pStyle w:val="tMain"/>
      </w:pPr>
      <w:r w:rsidRPr="0063657F">
        <w:tab/>
      </w:r>
      <w:r w:rsidR="00F773E9">
        <w:t>(4)</w:t>
      </w:r>
      <w:r w:rsidRPr="0063657F">
        <w:tab/>
      </w:r>
      <w:proofErr w:type="gramStart"/>
      <w:r w:rsidRPr="0063657F">
        <w:t>As</w:t>
      </w:r>
      <w:proofErr w:type="gramEnd"/>
      <w:r w:rsidRPr="0063657F">
        <w:t xml:space="preserve"> soon as practicable after varying a baseline determination, the Regulator must:</w:t>
      </w:r>
    </w:p>
    <w:p w:rsidR="00F10732" w:rsidRPr="0063657F" w:rsidRDefault="00F10732" w:rsidP="00F10732">
      <w:pPr>
        <w:pStyle w:val="tPara"/>
      </w:pPr>
      <w:r w:rsidRPr="0063657F">
        <w:tab/>
      </w:r>
      <w:r w:rsidR="00F773E9">
        <w:t>(a)</w:t>
      </w:r>
      <w:r w:rsidRPr="0063657F">
        <w:tab/>
      </w:r>
      <w:proofErr w:type="gramStart"/>
      <w:r w:rsidRPr="0063657F">
        <w:t>provide</w:t>
      </w:r>
      <w:proofErr w:type="gramEnd"/>
      <w:r w:rsidRPr="0063657F">
        <w:t xml:space="preserve"> written notice of the varied determination to the responsible emitter for the facility covered by the determination; and</w:t>
      </w:r>
    </w:p>
    <w:p w:rsidR="00F10732" w:rsidRPr="0063657F" w:rsidRDefault="00F10732" w:rsidP="00F10732">
      <w:pPr>
        <w:pStyle w:val="tPara"/>
      </w:pPr>
      <w:r w:rsidRPr="0063657F">
        <w:tab/>
      </w:r>
      <w:r w:rsidR="00F773E9">
        <w:t>(b)</w:t>
      </w:r>
      <w:r w:rsidRPr="0063657F">
        <w:tab/>
      </w:r>
      <w:proofErr w:type="gramStart"/>
      <w:r w:rsidRPr="0063657F">
        <w:t>publish</w:t>
      </w:r>
      <w:proofErr w:type="gramEnd"/>
      <w:r w:rsidRPr="0063657F">
        <w:t xml:space="preserve"> the details of the varied determination on its website.</w:t>
      </w:r>
    </w:p>
    <w:p w:rsidR="00F10732" w:rsidRPr="0063657F" w:rsidRDefault="00F10732" w:rsidP="00F10732">
      <w:pPr>
        <w:pStyle w:val="tMain"/>
      </w:pPr>
      <w:r w:rsidRPr="0063657F">
        <w:tab/>
      </w:r>
      <w:r w:rsidR="00F773E9">
        <w:t>(5)</w:t>
      </w:r>
      <w:r w:rsidRPr="0063657F">
        <w:tab/>
        <w:t>To avoid doubt, a decision to vary a baseline determination under this section is a reviewable decision under section 56 of the Act.</w:t>
      </w:r>
    </w:p>
    <w:p w:rsidR="00F10732" w:rsidRPr="0063657F" w:rsidRDefault="00F773E9" w:rsidP="00F10732">
      <w:pPr>
        <w:pStyle w:val="h5Section"/>
      </w:pPr>
      <w:bookmarkStart w:id="35" w:name="_Toc431896966"/>
      <w:r>
        <w:t>20</w:t>
      </w:r>
      <w:r w:rsidR="00F10732" w:rsidRPr="0063657F">
        <w:t xml:space="preserve"> Variation of transport reported-emission</w:t>
      </w:r>
      <w:r w:rsidR="004A58CC" w:rsidRPr="0063657F">
        <w:t>s</w:t>
      </w:r>
      <w:r w:rsidR="00F10732" w:rsidRPr="0063657F">
        <w:t xml:space="preserve"> baseline determination where calculated-emissions baseline determination </w:t>
      </w:r>
      <w:r w:rsidR="005B29E0" w:rsidRPr="0063657F">
        <w:t xml:space="preserve">or benchmark-emissions baseline determination </w:t>
      </w:r>
      <w:r w:rsidR="00F10732" w:rsidRPr="0063657F">
        <w:t>incorporated</w:t>
      </w:r>
      <w:bookmarkEnd w:id="35"/>
    </w:p>
    <w:p w:rsidR="00F10732" w:rsidRPr="0063657F" w:rsidRDefault="00F10732" w:rsidP="00F10732">
      <w:pPr>
        <w:pStyle w:val="tMain"/>
      </w:pPr>
      <w:r w:rsidRPr="0063657F">
        <w:tab/>
      </w:r>
      <w:r w:rsidR="00F773E9">
        <w:t>(1)</w:t>
      </w:r>
      <w:r w:rsidRPr="0063657F">
        <w:tab/>
        <w:t>If:</w:t>
      </w:r>
    </w:p>
    <w:p w:rsidR="00F10732" w:rsidRPr="0063657F" w:rsidRDefault="00F10732" w:rsidP="00F10732">
      <w:pPr>
        <w:pStyle w:val="tPara"/>
      </w:pPr>
      <w:r w:rsidRPr="0063657F">
        <w:lastRenderedPageBreak/>
        <w:tab/>
      </w:r>
      <w:r w:rsidR="00F773E9">
        <w:t>(a)</w:t>
      </w:r>
      <w:r w:rsidRPr="0063657F">
        <w:tab/>
        <w:t xml:space="preserve">a baseline emissions number in a calculated-emissions baseline determination </w:t>
      </w:r>
      <w:r w:rsidR="005B29E0" w:rsidRPr="0063657F">
        <w:t xml:space="preserve">or benchmark-emissions baseline determination </w:t>
      </w:r>
      <w:r w:rsidRPr="0063657F">
        <w:t>was used in determining the baseline emissions number in a reported-emissions baseline determination under subsection 17(5); and</w:t>
      </w:r>
    </w:p>
    <w:p w:rsidR="00F10732" w:rsidRPr="0063657F" w:rsidRDefault="00F10732" w:rsidP="00F10732">
      <w:pPr>
        <w:pStyle w:val="tPara"/>
      </w:pPr>
      <w:r w:rsidRPr="0063657F">
        <w:tab/>
      </w:r>
      <w:r w:rsidR="00F773E9">
        <w:t>(b)</w:t>
      </w:r>
      <w:r w:rsidRPr="0063657F">
        <w:tab/>
      </w:r>
      <w:proofErr w:type="gramStart"/>
      <w:r w:rsidRPr="0063657F">
        <w:t>the</w:t>
      </w:r>
      <w:proofErr w:type="gramEnd"/>
      <w:r w:rsidRPr="0063657F">
        <w:t xml:space="preserve"> calculated-emissions baseline determination </w:t>
      </w:r>
      <w:r w:rsidR="00B37261" w:rsidRPr="0063657F">
        <w:t xml:space="preserve">or benchmark-emissions baseline determination </w:t>
      </w:r>
      <w:r w:rsidRPr="0063657F">
        <w:t>would have expired at the end of a financial year had it not been replaced by the reported-emissions baseline determination;</w:t>
      </w:r>
    </w:p>
    <w:p w:rsidR="00F10732" w:rsidRPr="0063657F" w:rsidRDefault="00F10732" w:rsidP="00C50DD9">
      <w:pPr>
        <w:pStyle w:val="tMain"/>
        <w:spacing w:before="40"/>
      </w:pPr>
      <w:r w:rsidRPr="0063657F">
        <w:tab/>
      </w:r>
      <w:r w:rsidRPr="0063657F">
        <w:tab/>
      </w:r>
      <w:proofErr w:type="gramStart"/>
      <w:r w:rsidRPr="0063657F">
        <w:t>the</w:t>
      </w:r>
      <w:proofErr w:type="gramEnd"/>
      <w:r w:rsidRPr="0063657F">
        <w:t xml:space="preserve"> Regulator must vary the reported-emissions baseline determination with effect from the start of the next financial year. </w:t>
      </w:r>
    </w:p>
    <w:p w:rsidR="00F10732" w:rsidRPr="0063657F" w:rsidRDefault="00F10732" w:rsidP="00F10732">
      <w:pPr>
        <w:pStyle w:val="tMain"/>
      </w:pPr>
      <w:r w:rsidRPr="0063657F">
        <w:tab/>
      </w:r>
      <w:r w:rsidR="00F773E9">
        <w:t>(2)</w:t>
      </w:r>
      <w:r w:rsidRPr="0063657F">
        <w:tab/>
        <w:t>The Regulator must vary the baseline emissions number in the reported-emissions baseline determination so that it reflects:</w:t>
      </w:r>
    </w:p>
    <w:p w:rsidR="00F10732" w:rsidRPr="0063657F" w:rsidRDefault="00F10732" w:rsidP="00F10732">
      <w:pPr>
        <w:pStyle w:val="tPara"/>
      </w:pPr>
      <w:r w:rsidRPr="0063657F">
        <w:tab/>
      </w:r>
      <w:r w:rsidR="00F773E9">
        <w:t>(a)</w:t>
      </w:r>
      <w:r w:rsidRPr="0063657F">
        <w:tab/>
        <w:t>if the responsible emitter has provided the information and audit report that would be required to make a production-adjusted baseline determination for the facility covered by the calculated-emissions baseline determination</w:t>
      </w:r>
      <w:r w:rsidR="00B37261" w:rsidRPr="0063657F">
        <w:t xml:space="preserve"> or benchmark-emissions baseline determination</w:t>
      </w:r>
      <w:r w:rsidRPr="0063657F">
        <w:t xml:space="preserve"> no later than the first 31 October after the financial year in paragraph (1)(b)—the number that would have been the baseline emissions number under section 17 if the production-adjusted baseline determination applied to that facility in place of the calculated-emissions baseline determination</w:t>
      </w:r>
      <w:r w:rsidR="00B37261" w:rsidRPr="0063657F">
        <w:t xml:space="preserve"> or benchmark-emissions baseline determination</w:t>
      </w:r>
      <w:r w:rsidRPr="0063657F">
        <w:t>; or</w:t>
      </w:r>
    </w:p>
    <w:p w:rsidR="00F10732" w:rsidRPr="0063657F" w:rsidRDefault="00F10732" w:rsidP="00F10732">
      <w:pPr>
        <w:pStyle w:val="tPara"/>
      </w:pPr>
      <w:r w:rsidRPr="0063657F">
        <w:tab/>
      </w:r>
      <w:r w:rsidR="00F773E9">
        <w:t>(b)</w:t>
      </w:r>
      <w:r w:rsidRPr="0063657F">
        <w:tab/>
        <w:t xml:space="preserve">if the responsible emitter has not provided the information and audit report that would be required to make a production-adjusted baseline determination for the facility covered by the calculated-emissions baseline determination </w:t>
      </w:r>
      <w:r w:rsidR="00B37261" w:rsidRPr="0063657F">
        <w:t xml:space="preserve">or benchmark-emissions baseline determination </w:t>
      </w:r>
      <w:r w:rsidRPr="0063657F">
        <w:t xml:space="preserve">no later than the first 31 October after the financial year in paragraph (1)(b)—the number that would have been the baseline emissions number under section 17 if the calculated-emissions baseline determination </w:t>
      </w:r>
      <w:r w:rsidR="00B37261" w:rsidRPr="0063657F">
        <w:t xml:space="preserve">or benchmark-emissions baseline determination </w:t>
      </w:r>
      <w:r w:rsidRPr="0063657F">
        <w:t>had never been made.</w:t>
      </w:r>
    </w:p>
    <w:p w:rsidR="00F10732" w:rsidRPr="0063657F" w:rsidRDefault="00F10732" w:rsidP="00F10732">
      <w:pPr>
        <w:pStyle w:val="tMain"/>
      </w:pPr>
      <w:r w:rsidRPr="0063657F">
        <w:tab/>
      </w:r>
      <w:r w:rsidR="00F773E9">
        <w:t>(3)</w:t>
      </w:r>
      <w:r w:rsidRPr="0063657F">
        <w:tab/>
        <w:t>Before the Regulator varies a baseline determination for a facility under this section, the Regulator must provide a written notice to the responsible emitter for the facility:</w:t>
      </w:r>
    </w:p>
    <w:p w:rsidR="00F10732" w:rsidRPr="0063657F" w:rsidRDefault="00F10732" w:rsidP="00F10732">
      <w:pPr>
        <w:pStyle w:val="tPara"/>
      </w:pPr>
      <w:r w:rsidRPr="0063657F">
        <w:tab/>
      </w:r>
      <w:r w:rsidR="00F773E9">
        <w:t>(a)</w:t>
      </w:r>
      <w:r w:rsidRPr="0063657F">
        <w:tab/>
      </w:r>
      <w:proofErr w:type="gramStart"/>
      <w:r w:rsidR="0066445F" w:rsidRPr="0063657F">
        <w:t>stating</w:t>
      </w:r>
      <w:proofErr w:type="gramEnd"/>
      <w:r w:rsidR="0066445F" w:rsidRPr="0063657F">
        <w:t xml:space="preserve"> </w:t>
      </w:r>
      <w:r w:rsidRPr="0063657F">
        <w:t>that it intends to vary the baseline determination in relation to the facility under this section; and</w:t>
      </w:r>
    </w:p>
    <w:p w:rsidR="00F10732" w:rsidRPr="0063657F" w:rsidRDefault="00F10732" w:rsidP="00F10732">
      <w:pPr>
        <w:pStyle w:val="tPara"/>
      </w:pPr>
      <w:r w:rsidRPr="0063657F">
        <w:tab/>
      </w:r>
      <w:r w:rsidR="00F773E9">
        <w:t>(b)</w:t>
      </w:r>
      <w:r w:rsidRPr="0063657F">
        <w:tab/>
      </w:r>
      <w:proofErr w:type="gramStart"/>
      <w:r w:rsidRPr="0063657F">
        <w:t>specifying</w:t>
      </w:r>
      <w:proofErr w:type="gramEnd"/>
      <w:r w:rsidRPr="0063657F">
        <w:t xml:space="preserve"> the baseline emissions number that would apply under the determination; and</w:t>
      </w:r>
    </w:p>
    <w:p w:rsidR="00F10732" w:rsidRPr="0063657F" w:rsidRDefault="00F10732" w:rsidP="00F10732">
      <w:pPr>
        <w:pStyle w:val="tPara"/>
      </w:pPr>
      <w:r w:rsidRPr="0063657F">
        <w:tab/>
      </w:r>
      <w:r w:rsidR="00F773E9">
        <w:t>(c)</w:t>
      </w:r>
      <w:r w:rsidRPr="0063657F">
        <w:tab/>
      </w:r>
      <w:proofErr w:type="gramStart"/>
      <w:r w:rsidRPr="0063657F">
        <w:t>seeking</w:t>
      </w:r>
      <w:proofErr w:type="gramEnd"/>
      <w:r w:rsidRPr="0063657F">
        <w:t xml:space="preserve"> any comments by a date specified in the notice.</w:t>
      </w:r>
    </w:p>
    <w:p w:rsidR="00277608" w:rsidRPr="0063657F" w:rsidRDefault="00F10732" w:rsidP="00277608">
      <w:pPr>
        <w:pStyle w:val="tMain"/>
      </w:pPr>
      <w:r w:rsidRPr="0063657F">
        <w:tab/>
      </w:r>
      <w:r w:rsidR="00F773E9">
        <w:t>(4)</w:t>
      </w:r>
      <w:r w:rsidRPr="0063657F">
        <w:tab/>
        <w:t xml:space="preserve">The Regulator must consider any comments received by the date specified in the notice and use all reasonable endeavours to vary the reported-emissions baseline determination </w:t>
      </w:r>
      <w:r w:rsidR="00277608" w:rsidRPr="0063657F">
        <w:t xml:space="preserve">by the later of: </w:t>
      </w:r>
    </w:p>
    <w:p w:rsidR="00277608" w:rsidRPr="0063657F" w:rsidRDefault="00277608" w:rsidP="00277608">
      <w:pPr>
        <w:pStyle w:val="tPara"/>
      </w:pPr>
      <w:r w:rsidRPr="0063657F">
        <w:tab/>
      </w:r>
      <w:r w:rsidR="00F773E9">
        <w:t>(a)</w:t>
      </w:r>
      <w:r w:rsidRPr="0063657F">
        <w:tab/>
      </w:r>
      <w:r w:rsidR="000F27F3" w:rsidRPr="0063657F">
        <w:t>if the Regulator requires the responsible emitter to give further information under subsection 21(1) in connection with the variation of the baseline determination—30 days after the responsible emitter gave the Regulator the information</w:t>
      </w:r>
      <w:r w:rsidRPr="0063657F">
        <w:t>; and</w:t>
      </w:r>
    </w:p>
    <w:p w:rsidR="00277608" w:rsidRPr="0063657F" w:rsidRDefault="00277608" w:rsidP="00277608">
      <w:pPr>
        <w:pStyle w:val="tPara"/>
      </w:pPr>
      <w:r w:rsidRPr="0063657F">
        <w:tab/>
      </w:r>
      <w:r w:rsidR="00F773E9">
        <w:t>(b)</w:t>
      </w:r>
      <w:r w:rsidRPr="0063657F">
        <w:tab/>
        <w:t>30 days after the date specified in paragraph (3</w:t>
      </w:r>
      <w:proofErr w:type="gramStart"/>
      <w:r w:rsidRPr="0063657F">
        <w:t>)(</w:t>
      </w:r>
      <w:proofErr w:type="gramEnd"/>
      <w:r w:rsidRPr="0063657F">
        <w:t>c).</w:t>
      </w:r>
    </w:p>
    <w:p w:rsidR="00F10732" w:rsidRPr="0063657F" w:rsidRDefault="00F10732" w:rsidP="00F10732">
      <w:pPr>
        <w:pStyle w:val="tMain"/>
      </w:pPr>
      <w:r w:rsidRPr="0063657F">
        <w:tab/>
      </w:r>
      <w:r w:rsidR="00F773E9">
        <w:t>(5)</w:t>
      </w:r>
      <w:r w:rsidRPr="0063657F">
        <w:tab/>
      </w:r>
      <w:proofErr w:type="gramStart"/>
      <w:r w:rsidRPr="0063657F">
        <w:t>As</w:t>
      </w:r>
      <w:proofErr w:type="gramEnd"/>
      <w:r w:rsidRPr="0063657F">
        <w:t xml:space="preserve"> soon as practicable after varying a baseline determination, the Regulator must:</w:t>
      </w:r>
    </w:p>
    <w:p w:rsidR="00F10732" w:rsidRPr="0063657F" w:rsidRDefault="00F10732" w:rsidP="00F10732">
      <w:pPr>
        <w:pStyle w:val="tPara"/>
      </w:pPr>
      <w:r w:rsidRPr="0063657F">
        <w:tab/>
      </w:r>
      <w:r w:rsidR="00F773E9">
        <w:t>(a)</w:t>
      </w:r>
      <w:r w:rsidRPr="0063657F">
        <w:tab/>
      </w:r>
      <w:proofErr w:type="gramStart"/>
      <w:r w:rsidRPr="0063657F">
        <w:t>provide</w:t>
      </w:r>
      <w:proofErr w:type="gramEnd"/>
      <w:r w:rsidRPr="0063657F">
        <w:t xml:space="preserve"> written notice of the varied determination to the responsible emitter for the facility covered by the determination; and</w:t>
      </w:r>
    </w:p>
    <w:p w:rsidR="00F10732" w:rsidRPr="0063657F" w:rsidRDefault="00F10732" w:rsidP="00F10732">
      <w:pPr>
        <w:pStyle w:val="tPara"/>
      </w:pPr>
      <w:r w:rsidRPr="0063657F">
        <w:tab/>
      </w:r>
      <w:r w:rsidR="00F773E9">
        <w:t>(b)</w:t>
      </w:r>
      <w:r w:rsidRPr="0063657F">
        <w:tab/>
      </w:r>
      <w:proofErr w:type="gramStart"/>
      <w:r w:rsidRPr="0063657F">
        <w:t>publish</w:t>
      </w:r>
      <w:proofErr w:type="gramEnd"/>
      <w:r w:rsidRPr="0063657F">
        <w:t xml:space="preserve"> the details of the varied determination on its website.</w:t>
      </w:r>
    </w:p>
    <w:p w:rsidR="00F10732" w:rsidRPr="0063657F" w:rsidRDefault="00F10732" w:rsidP="00F10732">
      <w:pPr>
        <w:pStyle w:val="tMain"/>
      </w:pPr>
      <w:r w:rsidRPr="0063657F">
        <w:tab/>
      </w:r>
      <w:r w:rsidR="00F773E9">
        <w:t>(6)</w:t>
      </w:r>
      <w:r w:rsidRPr="0063657F">
        <w:tab/>
        <w:t>To avoid doubt, a decision to vary a baseline determination under this section is a reviewable decision under section 56 of the Act.</w:t>
      </w:r>
    </w:p>
    <w:p w:rsidR="00F10732" w:rsidRPr="0063657F" w:rsidRDefault="00F773E9" w:rsidP="00F10732">
      <w:pPr>
        <w:pStyle w:val="h5Section"/>
      </w:pPr>
      <w:bookmarkStart w:id="36" w:name="_Toc431896967"/>
      <w:proofErr w:type="gramStart"/>
      <w:r>
        <w:lastRenderedPageBreak/>
        <w:t>21</w:t>
      </w:r>
      <w:r w:rsidR="00F10732" w:rsidRPr="0063657F">
        <w:t xml:space="preserve"> Further information</w:t>
      </w:r>
      <w:bookmarkEnd w:id="36"/>
      <w:proofErr w:type="gramEnd"/>
    </w:p>
    <w:p w:rsidR="00F10732" w:rsidRPr="0063657F" w:rsidRDefault="00F10732" w:rsidP="00F10732">
      <w:pPr>
        <w:pStyle w:val="tMain"/>
      </w:pPr>
      <w:r w:rsidRPr="0063657F">
        <w:tab/>
      </w:r>
      <w:r w:rsidR="00F773E9">
        <w:t>(1)</w:t>
      </w:r>
      <w:r w:rsidRPr="0063657F">
        <w:tab/>
        <w:t xml:space="preserve">The Regulator may, by written notice given to </w:t>
      </w:r>
      <w:r w:rsidR="004E76AE" w:rsidRPr="0063657F">
        <w:t xml:space="preserve">the </w:t>
      </w:r>
      <w:r w:rsidRPr="0063657F">
        <w:t>responsible emitter, require the responsible emitter to give the Regulator, within the period specified in the notice, further information in connection with the variation of a baseline determination under section 19 or 20.</w:t>
      </w:r>
    </w:p>
    <w:p w:rsidR="00F10732" w:rsidRPr="0063657F" w:rsidRDefault="00F10732" w:rsidP="00F10732">
      <w:pPr>
        <w:pStyle w:val="tMain"/>
      </w:pPr>
      <w:r w:rsidRPr="0063657F">
        <w:tab/>
      </w:r>
      <w:r w:rsidR="00F773E9">
        <w:t>(2)</w:t>
      </w:r>
      <w:r w:rsidRPr="0063657F">
        <w:tab/>
        <w:t>If the responsible emitter breaches the requirement, the Regulator may, by written notice given to the responsible emitter:</w:t>
      </w:r>
    </w:p>
    <w:p w:rsidR="00F10732" w:rsidRPr="0063657F" w:rsidRDefault="00F10732" w:rsidP="00F10732">
      <w:pPr>
        <w:pStyle w:val="tPara"/>
      </w:pPr>
      <w:r w:rsidRPr="0063657F">
        <w:tab/>
      </w:r>
      <w:r w:rsidR="00F773E9">
        <w:t>(</w:t>
      </w:r>
      <w:proofErr w:type="gramStart"/>
      <w:r w:rsidR="00F773E9">
        <w:t>a</w:t>
      </w:r>
      <w:proofErr w:type="gramEnd"/>
      <w:r w:rsidR="00F773E9">
        <w:t>)</w:t>
      </w:r>
      <w:r w:rsidRPr="0063657F">
        <w:tab/>
        <w:t>refuse to take any action, or any further action, in relation to varying the baseline determination until the information is provided; and</w:t>
      </w:r>
    </w:p>
    <w:p w:rsidR="00F10732" w:rsidRPr="0063657F" w:rsidRDefault="00F10732" w:rsidP="00F10732">
      <w:pPr>
        <w:pStyle w:val="tPara"/>
      </w:pPr>
      <w:r w:rsidRPr="0063657F">
        <w:tab/>
      </w:r>
      <w:r w:rsidR="00F773E9">
        <w:t>(b)</w:t>
      </w:r>
      <w:r w:rsidRPr="0063657F">
        <w:tab/>
      </w:r>
      <w:proofErr w:type="gramStart"/>
      <w:r w:rsidRPr="0063657F">
        <w:t>make</w:t>
      </w:r>
      <w:proofErr w:type="gramEnd"/>
      <w:r w:rsidRPr="0063657F">
        <w:t xml:space="preserve"> any assumptions the Regulator considers appropriate about the information which was not provided.</w:t>
      </w:r>
    </w:p>
    <w:p w:rsidR="00F10732" w:rsidRPr="0063657F" w:rsidRDefault="00F773E9" w:rsidP="00F10732">
      <w:pPr>
        <w:pStyle w:val="h4Subdiv"/>
      </w:pPr>
      <w:bookmarkStart w:id="37" w:name="_Toc431896968"/>
      <w:r>
        <w:t>Subdivision 3</w:t>
      </w:r>
      <w:r w:rsidR="00F10732" w:rsidRPr="0063657F">
        <w:t>—Calculated-emissions baseline determination</w:t>
      </w:r>
      <w:bookmarkEnd w:id="37"/>
    </w:p>
    <w:p w:rsidR="00F10732" w:rsidRPr="0063657F" w:rsidRDefault="00F773E9" w:rsidP="00F10732">
      <w:pPr>
        <w:pStyle w:val="h5Section"/>
      </w:pPr>
      <w:bookmarkStart w:id="38" w:name="_Toc431896969"/>
      <w:r>
        <w:t>22</w:t>
      </w:r>
      <w:r w:rsidR="00F10732" w:rsidRPr="0063657F">
        <w:t xml:space="preserve"> </w:t>
      </w:r>
      <w:proofErr w:type="gramStart"/>
      <w:r w:rsidR="00F10732" w:rsidRPr="0063657F">
        <w:t>Application</w:t>
      </w:r>
      <w:bookmarkEnd w:id="38"/>
      <w:proofErr w:type="gramEnd"/>
    </w:p>
    <w:p w:rsidR="00F10732" w:rsidRPr="0063657F" w:rsidRDefault="00F10732" w:rsidP="00F10732">
      <w:pPr>
        <w:pStyle w:val="tMain"/>
      </w:pPr>
      <w:r w:rsidRPr="0063657F">
        <w:tab/>
      </w:r>
      <w:r w:rsidR="00F773E9">
        <w:t>(1)</w:t>
      </w:r>
      <w:r w:rsidRPr="0063657F">
        <w:tab/>
        <w:t xml:space="preserve">The responsible emitter for a facility may apply to the Regulator for a calculated-emissions baseline determination for the facility if </w:t>
      </w:r>
      <w:r w:rsidR="0048479B" w:rsidRPr="0063657F">
        <w:t>one or more of the following</w:t>
      </w:r>
      <w:r w:rsidRPr="0063657F">
        <w:t xml:space="preserve"> are satisfied:</w:t>
      </w:r>
    </w:p>
    <w:p w:rsidR="00F10732" w:rsidRPr="0063657F" w:rsidRDefault="00F10732" w:rsidP="00F10732">
      <w:pPr>
        <w:pStyle w:val="tPara"/>
      </w:pPr>
      <w:r w:rsidRPr="0063657F">
        <w:tab/>
      </w:r>
      <w:r w:rsidR="00F773E9">
        <w:t>(a)</w:t>
      </w:r>
      <w:r w:rsidRPr="0063657F">
        <w:tab/>
      </w:r>
      <w:proofErr w:type="gramStart"/>
      <w:r w:rsidRPr="0063657F">
        <w:t>the</w:t>
      </w:r>
      <w:proofErr w:type="gramEnd"/>
      <w:r w:rsidRPr="0063657F">
        <w:t xml:space="preserve"> new facility criteria;</w:t>
      </w:r>
    </w:p>
    <w:p w:rsidR="00F10732" w:rsidRPr="0063657F" w:rsidRDefault="00F10732" w:rsidP="00F10732">
      <w:pPr>
        <w:pStyle w:val="tPara"/>
      </w:pPr>
      <w:r w:rsidRPr="0063657F">
        <w:tab/>
      </w:r>
      <w:r w:rsidR="00F773E9">
        <w:t>(b)</w:t>
      </w:r>
      <w:r w:rsidRPr="0063657F">
        <w:tab/>
      </w:r>
      <w:proofErr w:type="gramStart"/>
      <w:r w:rsidRPr="0063657F">
        <w:t>the</w:t>
      </w:r>
      <w:proofErr w:type="gramEnd"/>
      <w:r w:rsidRPr="0063657F">
        <w:t xml:space="preserve"> significant expansion criteria;</w:t>
      </w:r>
    </w:p>
    <w:p w:rsidR="00F10732" w:rsidRPr="0063657F" w:rsidRDefault="00F10732" w:rsidP="00F10732">
      <w:pPr>
        <w:pStyle w:val="tPara"/>
      </w:pPr>
      <w:r w:rsidRPr="0063657F">
        <w:tab/>
      </w:r>
      <w:r w:rsidR="00F773E9">
        <w:t>(c)</w:t>
      </w:r>
      <w:r w:rsidRPr="0063657F">
        <w:tab/>
      </w:r>
      <w:proofErr w:type="gramStart"/>
      <w:r w:rsidRPr="0063657F">
        <w:t>the</w:t>
      </w:r>
      <w:proofErr w:type="gramEnd"/>
      <w:r w:rsidRPr="0063657F">
        <w:t xml:space="preserve"> inherent</w:t>
      </w:r>
      <w:r w:rsidR="0048389C" w:rsidRPr="0063657F">
        <w:t xml:space="preserve"> emissions variability criteria;</w:t>
      </w:r>
    </w:p>
    <w:p w:rsidR="0048389C" w:rsidRPr="0063657F" w:rsidRDefault="0048389C" w:rsidP="0048389C">
      <w:pPr>
        <w:pStyle w:val="tPara"/>
      </w:pPr>
      <w:r w:rsidRPr="0063657F">
        <w:tab/>
      </w:r>
      <w:r w:rsidR="00F773E9">
        <w:t>(d)</w:t>
      </w:r>
      <w:r w:rsidRPr="0063657F">
        <w:tab/>
      </w:r>
      <w:proofErr w:type="gramStart"/>
      <w:r w:rsidR="007F5E46" w:rsidRPr="0063657F">
        <w:t>the</w:t>
      </w:r>
      <w:proofErr w:type="gramEnd"/>
      <w:r w:rsidR="007F5E46" w:rsidRPr="0063657F">
        <w:t xml:space="preserve"> initi</w:t>
      </w:r>
      <w:r w:rsidR="001434C6" w:rsidRPr="0063657F">
        <w:t>al calculated baseline criteria.</w:t>
      </w:r>
    </w:p>
    <w:p w:rsidR="00F10732" w:rsidRPr="0063657F" w:rsidRDefault="00F10732" w:rsidP="00F10732">
      <w:pPr>
        <w:pStyle w:val="tMain"/>
      </w:pPr>
      <w:r w:rsidRPr="0063657F">
        <w:tab/>
      </w:r>
      <w:r w:rsidR="00F773E9">
        <w:t>(2)</w:t>
      </w:r>
      <w:r w:rsidRPr="0063657F">
        <w:tab/>
        <w:t>An application under subsection (1) must:</w:t>
      </w:r>
    </w:p>
    <w:p w:rsidR="00F10732" w:rsidRPr="0063657F" w:rsidRDefault="00F10732" w:rsidP="00F10732">
      <w:pPr>
        <w:pStyle w:val="tPara"/>
      </w:pPr>
      <w:r w:rsidRPr="0063657F">
        <w:tab/>
      </w:r>
      <w:r w:rsidR="00F773E9">
        <w:t>(a)</w:t>
      </w:r>
      <w:r w:rsidRPr="0063657F">
        <w:tab/>
      </w:r>
      <w:proofErr w:type="gramStart"/>
      <w:r w:rsidRPr="0063657F">
        <w:t>be</w:t>
      </w:r>
      <w:proofErr w:type="gramEnd"/>
      <w:r w:rsidRPr="0063657F">
        <w:t xml:space="preserve"> given in a manner and form approved, in writing, by the Regulator; and</w:t>
      </w:r>
    </w:p>
    <w:p w:rsidR="00F10732" w:rsidRPr="0063657F" w:rsidRDefault="00F10732" w:rsidP="00F10732">
      <w:pPr>
        <w:pStyle w:val="tPara"/>
      </w:pPr>
      <w:r w:rsidRPr="0063657F">
        <w:tab/>
      </w:r>
      <w:r w:rsidR="00F773E9">
        <w:t>(b)</w:t>
      </w:r>
      <w:r w:rsidRPr="0063657F">
        <w:tab/>
      </w:r>
      <w:proofErr w:type="gramStart"/>
      <w:r w:rsidRPr="0063657F">
        <w:t>specify</w:t>
      </w:r>
      <w:proofErr w:type="gramEnd"/>
      <w:r w:rsidRPr="0063657F">
        <w:t xml:space="preserve"> the desired start date for the calculated-emissions baseline determination as 1 July of a particular year; and</w:t>
      </w:r>
    </w:p>
    <w:p w:rsidR="00F10732" w:rsidRPr="0063657F" w:rsidRDefault="00F10732" w:rsidP="00F10732">
      <w:pPr>
        <w:pStyle w:val="tPara"/>
      </w:pPr>
      <w:r w:rsidRPr="0063657F">
        <w:tab/>
      </w:r>
      <w:r w:rsidR="00F773E9">
        <w:t>(c)</w:t>
      </w:r>
      <w:r w:rsidRPr="0063657F">
        <w:tab/>
      </w:r>
      <w:proofErr w:type="gramStart"/>
      <w:r w:rsidRPr="0063657F">
        <w:t>include</w:t>
      </w:r>
      <w:proofErr w:type="gramEnd"/>
      <w:r w:rsidRPr="0063657F">
        <w:t xml:space="preserve"> information required by section </w:t>
      </w:r>
      <w:r w:rsidR="00B36BC8" w:rsidRPr="0063657F">
        <w:t>27</w:t>
      </w:r>
      <w:r w:rsidRPr="0063657F">
        <w:t>; and</w:t>
      </w:r>
    </w:p>
    <w:p w:rsidR="00F10732" w:rsidRPr="0063657F" w:rsidRDefault="00F10732" w:rsidP="00F10732">
      <w:pPr>
        <w:pStyle w:val="tPara"/>
      </w:pPr>
      <w:r w:rsidRPr="0063657F">
        <w:tab/>
      </w:r>
      <w:r w:rsidR="00F773E9">
        <w:t>(d)</w:t>
      </w:r>
      <w:r w:rsidRPr="0063657F">
        <w:tab/>
      </w:r>
      <w:proofErr w:type="gramStart"/>
      <w:r w:rsidRPr="0063657F">
        <w:t>be</w:t>
      </w:r>
      <w:proofErr w:type="gramEnd"/>
      <w:r w:rsidRPr="0063657F">
        <w:t xml:space="preserve"> accompanied by an audit repor</w:t>
      </w:r>
      <w:r w:rsidR="00E53D30" w:rsidRPr="0063657F">
        <w:t>t which complies with section 28</w:t>
      </w:r>
      <w:r w:rsidRPr="0063657F">
        <w:t>.</w:t>
      </w:r>
    </w:p>
    <w:p w:rsidR="00F10732" w:rsidRPr="0063657F" w:rsidRDefault="00F10732" w:rsidP="00F10732">
      <w:pPr>
        <w:pStyle w:val="tMain"/>
      </w:pPr>
      <w:r w:rsidRPr="0063657F">
        <w:tab/>
      </w:r>
      <w:r w:rsidR="00F773E9">
        <w:t>(3)</w:t>
      </w:r>
      <w:r w:rsidR="0011414A" w:rsidRPr="0063657F">
        <w:tab/>
        <w:t>Unless subsection (5</w:t>
      </w:r>
      <w:r w:rsidRPr="0063657F">
        <w:t>) applies, an application under subsection (1) must be given to the Regulator:</w:t>
      </w:r>
    </w:p>
    <w:p w:rsidR="00F10732" w:rsidRPr="0063657F" w:rsidRDefault="00F10732" w:rsidP="00F10732">
      <w:pPr>
        <w:pStyle w:val="tPara"/>
      </w:pPr>
      <w:r w:rsidRPr="0063657F">
        <w:tab/>
      </w:r>
      <w:r w:rsidR="00F773E9">
        <w:t>(a)</w:t>
      </w:r>
      <w:r w:rsidRPr="0063657F">
        <w:tab/>
      </w:r>
      <w:proofErr w:type="gramStart"/>
      <w:r w:rsidRPr="0063657F">
        <w:t>no</w:t>
      </w:r>
      <w:proofErr w:type="gramEnd"/>
      <w:r w:rsidRPr="0063657F">
        <w:t xml:space="preserve"> earlier than </w:t>
      </w:r>
      <w:r w:rsidR="005936A9" w:rsidRPr="0063657F">
        <w:t>one</w:t>
      </w:r>
      <w:r w:rsidRPr="0063657F">
        <w:t xml:space="preserve"> year before the requested start date for the calculated-emissions baseline determination; and</w:t>
      </w:r>
    </w:p>
    <w:p w:rsidR="00F10732" w:rsidRPr="0063657F" w:rsidRDefault="00F10732" w:rsidP="00F10732">
      <w:pPr>
        <w:pStyle w:val="tPara"/>
      </w:pPr>
      <w:r w:rsidRPr="0063657F">
        <w:tab/>
      </w:r>
      <w:r w:rsidR="00F773E9">
        <w:t>(b)</w:t>
      </w:r>
      <w:r w:rsidRPr="0063657F">
        <w:tab/>
      </w:r>
      <w:proofErr w:type="gramStart"/>
      <w:r w:rsidRPr="0063657F">
        <w:t>no</w:t>
      </w:r>
      <w:proofErr w:type="gramEnd"/>
      <w:r w:rsidRPr="0063657F">
        <w:t xml:space="preserve"> later than the first 31 October after the end of the first financial year to which the calculated-emissions baseline determination is to apply.</w:t>
      </w:r>
    </w:p>
    <w:p w:rsidR="00F10732" w:rsidRPr="0063657F" w:rsidRDefault="00F10732" w:rsidP="00F10732">
      <w:pPr>
        <w:pStyle w:val="tMain"/>
      </w:pPr>
      <w:r w:rsidRPr="0063657F">
        <w:tab/>
      </w:r>
      <w:r w:rsidR="00F773E9">
        <w:t>(4)</w:t>
      </w:r>
      <w:r w:rsidRPr="0063657F">
        <w:tab/>
        <w:t>The responsible emitter for the facility may, by written notice to the Regulator, withdraw an application at any time before the Regulator makes a decision on the application.</w:t>
      </w:r>
    </w:p>
    <w:p w:rsidR="00F10732" w:rsidRPr="0063657F" w:rsidRDefault="00F10732" w:rsidP="00F10732">
      <w:pPr>
        <w:pStyle w:val="tMain"/>
      </w:pPr>
      <w:r w:rsidRPr="0063657F">
        <w:tab/>
      </w:r>
      <w:r w:rsidR="00F773E9">
        <w:t>(5)</w:t>
      </w:r>
      <w:r w:rsidRPr="0063657F">
        <w:tab/>
        <w:t>If:</w:t>
      </w:r>
    </w:p>
    <w:p w:rsidR="00F10732" w:rsidRPr="0063657F" w:rsidRDefault="00F10732" w:rsidP="00F10732">
      <w:pPr>
        <w:pStyle w:val="tPara"/>
      </w:pPr>
      <w:r w:rsidRPr="0063657F">
        <w:tab/>
      </w:r>
      <w:r w:rsidR="00F773E9">
        <w:t>(a)</w:t>
      </w:r>
      <w:r w:rsidRPr="0063657F">
        <w:tab/>
      </w:r>
      <w:proofErr w:type="gramStart"/>
      <w:r w:rsidRPr="0063657F">
        <w:t>an</w:t>
      </w:r>
      <w:proofErr w:type="gramEnd"/>
      <w:r w:rsidRPr="0063657F">
        <w:t xml:space="preserve"> application which complies with subsection (2) is made within the period allowed by subsection (3); and</w:t>
      </w:r>
    </w:p>
    <w:p w:rsidR="00F10732" w:rsidRPr="0063657F" w:rsidRDefault="00F10732" w:rsidP="00F10732">
      <w:pPr>
        <w:pStyle w:val="tPara"/>
      </w:pPr>
      <w:r w:rsidRPr="0063657F">
        <w:tab/>
      </w:r>
      <w:r w:rsidR="00F773E9">
        <w:t>(b)</w:t>
      </w:r>
      <w:r w:rsidRPr="0063657F">
        <w:tab/>
      </w:r>
      <w:proofErr w:type="gramStart"/>
      <w:r w:rsidRPr="0063657F">
        <w:t>the</w:t>
      </w:r>
      <w:proofErr w:type="gramEnd"/>
      <w:r w:rsidRPr="0063657F">
        <w:t xml:space="preserve"> Regulator has refused to make the calculated-emissions baseline determination the subject of the application; and</w:t>
      </w:r>
    </w:p>
    <w:p w:rsidR="00F10732" w:rsidRPr="0063657F" w:rsidRDefault="00F10732" w:rsidP="00F10732">
      <w:pPr>
        <w:pStyle w:val="tPara"/>
      </w:pPr>
      <w:r w:rsidRPr="0063657F">
        <w:tab/>
      </w:r>
      <w:r w:rsidR="00F773E9">
        <w:t>(c)</w:t>
      </w:r>
      <w:r w:rsidRPr="0063657F">
        <w:tab/>
      </w:r>
      <w:proofErr w:type="gramStart"/>
      <w:r w:rsidRPr="0063657F">
        <w:t>a</w:t>
      </w:r>
      <w:proofErr w:type="gramEnd"/>
      <w:r w:rsidRPr="0063657F">
        <w:t xml:space="preserve"> new application would not comply with paragraph (3)(b);</w:t>
      </w:r>
    </w:p>
    <w:p w:rsidR="00F10732" w:rsidRPr="0063657F" w:rsidRDefault="00F10732" w:rsidP="00C50DD9">
      <w:pPr>
        <w:pStyle w:val="tMain"/>
        <w:spacing w:before="40"/>
      </w:pPr>
      <w:r w:rsidRPr="0063657F">
        <w:tab/>
      </w:r>
      <w:r w:rsidRPr="0063657F">
        <w:tab/>
      </w:r>
      <w:proofErr w:type="gramStart"/>
      <w:r w:rsidRPr="0063657F">
        <w:t>the</w:t>
      </w:r>
      <w:proofErr w:type="gramEnd"/>
      <w:r w:rsidRPr="0063657F">
        <w:t xml:space="preserve"> Regulator may accept a new application made no later than 1 February after the end of the first financial year to which </w:t>
      </w:r>
      <w:r w:rsidR="00FC5932" w:rsidRPr="0063657F">
        <w:t xml:space="preserve">the </w:t>
      </w:r>
      <w:r w:rsidRPr="0063657F">
        <w:t>calculated-emissions baseline determination is to apply.</w:t>
      </w:r>
    </w:p>
    <w:p w:rsidR="00F10732" w:rsidRPr="0063657F" w:rsidRDefault="00F773E9" w:rsidP="00F10732">
      <w:pPr>
        <w:pStyle w:val="h5Section"/>
      </w:pPr>
      <w:bookmarkStart w:id="39" w:name="_Toc431896970"/>
      <w:r>
        <w:lastRenderedPageBreak/>
        <w:t>23</w:t>
      </w:r>
      <w:r w:rsidR="00F10732" w:rsidRPr="0063657F">
        <w:t xml:space="preserve"> New facility criteria</w:t>
      </w:r>
      <w:bookmarkEnd w:id="39"/>
    </w:p>
    <w:p w:rsidR="00F10732" w:rsidRPr="0063657F" w:rsidRDefault="00F10732" w:rsidP="00F10732">
      <w:pPr>
        <w:pStyle w:val="tMain"/>
        <w:rPr>
          <w:rFonts w:eastAsiaTheme="minorHAnsi"/>
        </w:rPr>
      </w:pPr>
      <w:r w:rsidRPr="0063657F">
        <w:tab/>
      </w:r>
      <w:r w:rsidR="00F773E9">
        <w:t>(1)</w:t>
      </w:r>
      <w:r w:rsidRPr="0063657F">
        <w:tab/>
      </w:r>
      <w:r w:rsidRPr="0063657F">
        <w:rPr>
          <w:rFonts w:eastAsiaTheme="minorHAnsi"/>
        </w:rPr>
        <w:t>The new facility criteria are satisfied in relation to a facility if all of the criteria in this section are met.</w:t>
      </w:r>
    </w:p>
    <w:p w:rsidR="00F10732" w:rsidRPr="0063657F" w:rsidRDefault="00F10732" w:rsidP="00F10732">
      <w:pPr>
        <w:pStyle w:val="tMain"/>
        <w:rPr>
          <w:rFonts w:eastAsiaTheme="minorHAnsi"/>
        </w:rPr>
      </w:pPr>
      <w:r w:rsidRPr="0063657F">
        <w:rPr>
          <w:rFonts w:eastAsiaTheme="minorHAnsi"/>
        </w:rPr>
        <w:tab/>
      </w:r>
      <w:r w:rsidR="00F773E9">
        <w:rPr>
          <w:rFonts w:eastAsiaTheme="minorHAnsi"/>
        </w:rPr>
        <w:t>(2)</w:t>
      </w:r>
      <w:r w:rsidRPr="0063657F">
        <w:rPr>
          <w:rFonts w:eastAsiaTheme="minorHAnsi"/>
        </w:rPr>
        <w:tab/>
        <w:t>The facility is not covered by the criteria for making a reported-emissions baseline determination in subsection 14(1) or (2).</w:t>
      </w:r>
    </w:p>
    <w:p w:rsidR="00F10732" w:rsidRPr="0063657F" w:rsidRDefault="00F10732" w:rsidP="00F10732">
      <w:pPr>
        <w:pStyle w:val="tMain"/>
      </w:pPr>
      <w:r w:rsidRPr="0063657F">
        <w:rPr>
          <w:rFonts w:eastAsiaTheme="minorHAnsi"/>
        </w:rPr>
        <w:tab/>
      </w:r>
      <w:r w:rsidR="00F773E9">
        <w:rPr>
          <w:rFonts w:eastAsiaTheme="minorHAnsi"/>
        </w:rPr>
        <w:t>(3)</w:t>
      </w:r>
      <w:r w:rsidRPr="0063657F">
        <w:rPr>
          <w:rFonts w:eastAsiaTheme="minorHAnsi"/>
        </w:rPr>
        <w:tab/>
      </w:r>
      <w:r w:rsidRPr="0063657F">
        <w:t xml:space="preserve">Scope 1 emissions of one or more greenhouse gases from the operation of the facility were not included in reports under the Act for all of the </w:t>
      </w:r>
      <w:r w:rsidR="0048479B" w:rsidRPr="0063657F">
        <w:t xml:space="preserve">5 </w:t>
      </w:r>
      <w:r w:rsidRPr="0063657F">
        <w:t>financial years starting on 1 July 2009.</w:t>
      </w:r>
    </w:p>
    <w:p w:rsidR="00F10732" w:rsidRPr="0063657F" w:rsidRDefault="00F10732" w:rsidP="00F10732">
      <w:pPr>
        <w:pStyle w:val="tMain"/>
        <w:rPr>
          <w:rFonts w:eastAsiaTheme="minorHAnsi"/>
        </w:rPr>
      </w:pPr>
      <w:r w:rsidRPr="0063657F">
        <w:rPr>
          <w:rFonts w:eastAsiaTheme="minorHAnsi"/>
        </w:rPr>
        <w:tab/>
      </w:r>
      <w:r w:rsidR="00F773E9">
        <w:rPr>
          <w:rFonts w:eastAsiaTheme="minorHAnsi"/>
        </w:rPr>
        <w:t>(4)</w:t>
      </w:r>
      <w:r w:rsidRPr="0063657F">
        <w:rPr>
          <w:rFonts w:eastAsiaTheme="minorHAnsi"/>
        </w:rPr>
        <w:tab/>
        <w:t xml:space="preserve">The facility has emitted, or is reasonably expected to emit, more than 100,000 </w:t>
      </w:r>
      <w:r w:rsidRPr="0063657F">
        <w:t>t CO</w:t>
      </w:r>
      <w:r w:rsidRPr="0063657F">
        <w:rPr>
          <w:vertAlign w:val="subscript"/>
        </w:rPr>
        <w:t>2</w:t>
      </w:r>
      <w:r w:rsidR="002326D7" w:rsidRPr="0063657F">
        <w:rPr>
          <w:rFonts w:ascii="Helvetica Neue" w:hAnsi="Helvetica Neue"/>
          <w:b/>
          <w:bCs/>
          <w:i/>
          <w:iCs/>
          <w:sz w:val="19"/>
          <w:szCs w:val="19"/>
        </w:rPr>
        <w:noBreakHyphen/>
      </w:r>
      <w:r w:rsidRPr="0063657F">
        <w:t>e</w:t>
      </w:r>
      <w:r w:rsidRPr="0063657F">
        <w:rPr>
          <w:rFonts w:eastAsiaTheme="minorHAnsi"/>
        </w:rPr>
        <w:t xml:space="preserve"> of covered emissions in the first year of the proposed calculated-emissions baseline determination.</w:t>
      </w:r>
    </w:p>
    <w:p w:rsidR="003F11FC" w:rsidRPr="0063657F" w:rsidRDefault="003F11FC" w:rsidP="003F11FC">
      <w:pPr>
        <w:pStyle w:val="tMain"/>
        <w:rPr>
          <w:rFonts w:eastAsiaTheme="minorHAnsi"/>
        </w:rPr>
      </w:pPr>
      <w:r w:rsidRPr="0063657F">
        <w:rPr>
          <w:rFonts w:eastAsiaTheme="minorHAnsi"/>
        </w:rPr>
        <w:tab/>
      </w:r>
      <w:r w:rsidR="00F773E9">
        <w:rPr>
          <w:rFonts w:eastAsiaTheme="minorHAnsi"/>
        </w:rPr>
        <w:t>(5)</w:t>
      </w:r>
      <w:r w:rsidRPr="0063657F">
        <w:rPr>
          <w:rFonts w:eastAsiaTheme="minorHAnsi"/>
        </w:rPr>
        <w:tab/>
        <w:t>The responsible emitter for the facility has not:</w:t>
      </w:r>
    </w:p>
    <w:p w:rsidR="003F11FC" w:rsidRPr="0063657F" w:rsidRDefault="003F11FC" w:rsidP="003F11FC">
      <w:pPr>
        <w:pStyle w:val="tPara"/>
        <w:rPr>
          <w:rFonts w:eastAsiaTheme="minorHAnsi"/>
        </w:rPr>
      </w:pPr>
      <w:r w:rsidRPr="0063657F">
        <w:rPr>
          <w:rFonts w:eastAsiaTheme="minorHAnsi"/>
        </w:rPr>
        <w:tab/>
      </w:r>
      <w:r w:rsidR="00F773E9">
        <w:rPr>
          <w:rFonts w:eastAsiaTheme="minorHAnsi"/>
        </w:rPr>
        <w:t>(a)</w:t>
      </w:r>
      <w:r w:rsidRPr="0063657F">
        <w:rPr>
          <w:rFonts w:eastAsiaTheme="minorHAnsi"/>
        </w:rPr>
        <w:tab/>
      </w:r>
      <w:proofErr w:type="gramStart"/>
      <w:r w:rsidRPr="0063657F">
        <w:rPr>
          <w:rFonts w:eastAsiaTheme="minorHAnsi"/>
        </w:rPr>
        <w:t>change</w:t>
      </w:r>
      <w:r w:rsidR="00AC6F20" w:rsidRPr="0063657F">
        <w:rPr>
          <w:rFonts w:eastAsiaTheme="minorHAnsi"/>
        </w:rPr>
        <w:t>d</w:t>
      </w:r>
      <w:proofErr w:type="gramEnd"/>
      <w:r w:rsidR="00AC6F20" w:rsidRPr="0063657F">
        <w:rPr>
          <w:rFonts w:eastAsiaTheme="minorHAnsi"/>
        </w:rPr>
        <w:t xml:space="preserve">, or is </w:t>
      </w:r>
      <w:r w:rsidR="000F674F" w:rsidRPr="0063657F">
        <w:rPr>
          <w:rFonts w:eastAsiaTheme="minorHAnsi"/>
        </w:rPr>
        <w:t xml:space="preserve">not </w:t>
      </w:r>
      <w:r w:rsidR="00AC6F20" w:rsidRPr="0063657F">
        <w:rPr>
          <w:rFonts w:eastAsiaTheme="minorHAnsi"/>
        </w:rPr>
        <w:t>expected to change,</w:t>
      </w:r>
      <w:r w:rsidRPr="0063657F">
        <w:rPr>
          <w:rFonts w:eastAsiaTheme="minorHAnsi"/>
        </w:rPr>
        <w:t xml:space="preserve"> the manner in which scope 1 emissions are reported</w:t>
      </w:r>
      <w:r w:rsidR="00AC6F20" w:rsidRPr="0063657F">
        <w:rPr>
          <w:rFonts w:eastAsiaTheme="minorHAnsi"/>
        </w:rPr>
        <w:t xml:space="preserve"> </w:t>
      </w:r>
      <w:r w:rsidR="0099725E" w:rsidRPr="0063657F">
        <w:rPr>
          <w:rFonts w:eastAsiaTheme="minorHAnsi"/>
        </w:rPr>
        <w:t xml:space="preserve">or calculated </w:t>
      </w:r>
      <w:r w:rsidR="00AC6F20" w:rsidRPr="0063657F">
        <w:rPr>
          <w:rFonts w:eastAsiaTheme="minorHAnsi"/>
        </w:rPr>
        <w:t>under the Act</w:t>
      </w:r>
      <w:r w:rsidRPr="0063657F">
        <w:rPr>
          <w:rFonts w:eastAsiaTheme="minorHAnsi"/>
        </w:rPr>
        <w:t>; or</w:t>
      </w:r>
    </w:p>
    <w:p w:rsidR="003F11FC" w:rsidRPr="0063657F" w:rsidRDefault="003F11FC" w:rsidP="003F11FC">
      <w:pPr>
        <w:pStyle w:val="tPara"/>
        <w:rPr>
          <w:rFonts w:eastAsiaTheme="minorHAnsi"/>
        </w:rPr>
      </w:pPr>
      <w:r w:rsidRPr="0063657F">
        <w:rPr>
          <w:rFonts w:eastAsiaTheme="minorHAnsi"/>
        </w:rPr>
        <w:tab/>
      </w:r>
      <w:r w:rsidR="00F773E9">
        <w:rPr>
          <w:rFonts w:eastAsiaTheme="minorHAnsi"/>
        </w:rPr>
        <w:t>(</w:t>
      </w:r>
      <w:proofErr w:type="gramStart"/>
      <w:r w:rsidR="00F773E9">
        <w:rPr>
          <w:rFonts w:eastAsiaTheme="minorHAnsi"/>
        </w:rPr>
        <w:t>b</w:t>
      </w:r>
      <w:proofErr w:type="gramEnd"/>
      <w:r w:rsidR="00F773E9">
        <w:rPr>
          <w:rFonts w:eastAsiaTheme="minorHAnsi"/>
        </w:rPr>
        <w:t>)</w:t>
      </w:r>
      <w:r w:rsidRPr="0063657F">
        <w:rPr>
          <w:rFonts w:eastAsiaTheme="minorHAnsi"/>
        </w:rPr>
        <w:tab/>
        <w:t>cause</w:t>
      </w:r>
      <w:r w:rsidR="00AC6F20" w:rsidRPr="0063657F">
        <w:rPr>
          <w:rFonts w:eastAsiaTheme="minorHAnsi"/>
        </w:rPr>
        <w:t xml:space="preserve">d, or is </w:t>
      </w:r>
      <w:r w:rsidR="000F674F" w:rsidRPr="0063657F">
        <w:rPr>
          <w:rFonts w:eastAsiaTheme="minorHAnsi"/>
        </w:rPr>
        <w:t xml:space="preserve">not </w:t>
      </w:r>
      <w:r w:rsidR="00AC6F20" w:rsidRPr="0063657F">
        <w:rPr>
          <w:rFonts w:eastAsiaTheme="minorHAnsi"/>
        </w:rPr>
        <w:t>expected to cause,</w:t>
      </w:r>
      <w:r w:rsidRPr="0063657F">
        <w:rPr>
          <w:rFonts w:eastAsiaTheme="minorHAnsi"/>
        </w:rPr>
        <w:t xml:space="preserve"> scope 1 emissions of greenhouse gases;</w:t>
      </w:r>
    </w:p>
    <w:p w:rsidR="003F11FC" w:rsidRPr="0063657F" w:rsidRDefault="003F11FC" w:rsidP="003F11FC">
      <w:pPr>
        <w:pStyle w:val="tMain"/>
        <w:spacing w:before="40"/>
        <w:rPr>
          <w:rFonts w:eastAsiaTheme="minorHAnsi"/>
        </w:rPr>
      </w:pPr>
      <w:r w:rsidRPr="0063657F">
        <w:rPr>
          <w:rFonts w:eastAsiaTheme="minorHAnsi"/>
        </w:rPr>
        <w:tab/>
      </w:r>
      <w:r w:rsidRPr="0063657F">
        <w:rPr>
          <w:rFonts w:eastAsiaTheme="minorHAnsi"/>
        </w:rPr>
        <w:tab/>
      </w:r>
      <w:proofErr w:type="gramStart"/>
      <w:r w:rsidRPr="0063657F">
        <w:rPr>
          <w:rFonts w:eastAsiaTheme="minorHAnsi"/>
        </w:rPr>
        <w:t>for</w:t>
      </w:r>
      <w:proofErr w:type="gramEnd"/>
      <w:r w:rsidRPr="0063657F">
        <w:rPr>
          <w:rFonts w:eastAsiaTheme="minorHAnsi"/>
        </w:rPr>
        <w:t xml:space="preserve"> the primary purpose of meeting</w:t>
      </w:r>
      <w:r w:rsidR="00AC6F20" w:rsidRPr="0063657F">
        <w:rPr>
          <w:rFonts w:eastAsiaTheme="minorHAnsi"/>
        </w:rPr>
        <w:t xml:space="preserve"> the threshold in subsection (4)</w:t>
      </w:r>
      <w:r w:rsidRPr="0063657F">
        <w:rPr>
          <w:rFonts w:eastAsiaTheme="minorHAnsi"/>
        </w:rPr>
        <w:t>.</w:t>
      </w:r>
    </w:p>
    <w:p w:rsidR="00F10732" w:rsidRPr="0063657F" w:rsidRDefault="00F10732" w:rsidP="00F10732">
      <w:pPr>
        <w:pStyle w:val="tMain"/>
        <w:rPr>
          <w:rFonts w:eastAsiaTheme="minorHAnsi"/>
        </w:rPr>
      </w:pPr>
      <w:r w:rsidRPr="0063657F">
        <w:rPr>
          <w:rFonts w:eastAsiaTheme="minorHAnsi"/>
        </w:rPr>
        <w:tab/>
      </w:r>
      <w:r w:rsidR="00F773E9">
        <w:rPr>
          <w:rFonts w:eastAsiaTheme="minorHAnsi"/>
        </w:rPr>
        <w:t>(6)</w:t>
      </w:r>
      <w:r w:rsidRPr="0063657F">
        <w:rPr>
          <w:rFonts w:eastAsiaTheme="minorHAnsi"/>
        </w:rPr>
        <w:tab/>
        <w:t>A calculated-emissions baseline determination has never been made in relation to the facility.</w:t>
      </w:r>
    </w:p>
    <w:p w:rsidR="00F10732" w:rsidRPr="0063657F" w:rsidRDefault="00F10732" w:rsidP="00F10732">
      <w:pPr>
        <w:pStyle w:val="tMain"/>
        <w:rPr>
          <w:rFonts w:eastAsiaTheme="minorHAnsi"/>
        </w:rPr>
      </w:pPr>
      <w:r w:rsidRPr="0063657F">
        <w:rPr>
          <w:rFonts w:eastAsiaTheme="minorHAnsi"/>
        </w:rPr>
        <w:tab/>
      </w:r>
      <w:r w:rsidR="00F773E9">
        <w:rPr>
          <w:rFonts w:eastAsiaTheme="minorHAnsi"/>
        </w:rPr>
        <w:t>(7)</w:t>
      </w:r>
      <w:r w:rsidRPr="0063657F">
        <w:rPr>
          <w:rFonts w:eastAsiaTheme="minorHAnsi"/>
        </w:rPr>
        <w:tab/>
      </w:r>
      <w:r w:rsidRPr="0063657F">
        <w:t>The calculated-emissions baseline determination to which the application relates is to commence on 1 July 2016, 1 July 2017, 1 July 2018 or 1 July 2019.</w:t>
      </w:r>
    </w:p>
    <w:p w:rsidR="00F10732" w:rsidRPr="0063657F" w:rsidRDefault="00F773E9" w:rsidP="00F10732">
      <w:pPr>
        <w:pStyle w:val="h5Section"/>
      </w:pPr>
      <w:bookmarkStart w:id="40" w:name="_Toc431896971"/>
      <w:r>
        <w:t>24</w:t>
      </w:r>
      <w:r w:rsidR="00F10732" w:rsidRPr="0063657F">
        <w:t xml:space="preserve"> Significant expansion criteria</w:t>
      </w:r>
      <w:bookmarkEnd w:id="40"/>
    </w:p>
    <w:p w:rsidR="00F10732" w:rsidRPr="0063657F" w:rsidRDefault="00F10732" w:rsidP="00F10732">
      <w:pPr>
        <w:pStyle w:val="tMain"/>
        <w:rPr>
          <w:rFonts w:eastAsiaTheme="minorHAnsi"/>
        </w:rPr>
      </w:pPr>
      <w:r w:rsidRPr="0063657F">
        <w:rPr>
          <w:rFonts w:eastAsiaTheme="minorHAnsi"/>
        </w:rPr>
        <w:tab/>
      </w:r>
      <w:r w:rsidR="00F773E9">
        <w:rPr>
          <w:rFonts w:eastAsiaTheme="minorHAnsi"/>
        </w:rPr>
        <w:t>(1)</w:t>
      </w:r>
      <w:r w:rsidRPr="0063657F">
        <w:rPr>
          <w:rFonts w:eastAsiaTheme="minorHAnsi"/>
        </w:rPr>
        <w:tab/>
        <w:t>The significant expansion criteria are satisfied in relation to a facility if all of the criteria in this section are met.</w:t>
      </w:r>
    </w:p>
    <w:p w:rsidR="00F10732" w:rsidRPr="0063657F" w:rsidRDefault="00F10732" w:rsidP="00F10732">
      <w:pPr>
        <w:pStyle w:val="h6Subsec"/>
        <w:rPr>
          <w:rFonts w:eastAsiaTheme="minorHAnsi"/>
        </w:rPr>
      </w:pPr>
      <w:r w:rsidRPr="0063657F">
        <w:rPr>
          <w:rFonts w:eastAsiaTheme="minorHAnsi"/>
        </w:rPr>
        <w:t>Significant expansion must occur</w:t>
      </w:r>
    </w:p>
    <w:p w:rsidR="00F10732" w:rsidRPr="0063657F" w:rsidRDefault="00F10732" w:rsidP="00F10732">
      <w:pPr>
        <w:pStyle w:val="tMain"/>
        <w:rPr>
          <w:rFonts w:eastAsiaTheme="minorHAnsi"/>
        </w:rPr>
      </w:pPr>
      <w:r w:rsidRPr="0063657F">
        <w:rPr>
          <w:rFonts w:eastAsiaTheme="minorHAnsi"/>
        </w:rPr>
        <w:tab/>
      </w:r>
      <w:r w:rsidR="00F773E9">
        <w:rPr>
          <w:rFonts w:eastAsiaTheme="minorHAnsi"/>
        </w:rPr>
        <w:t>(2)</w:t>
      </w:r>
      <w:r w:rsidRPr="0063657F">
        <w:rPr>
          <w:rFonts w:eastAsiaTheme="minorHAnsi"/>
        </w:rPr>
        <w:tab/>
      </w:r>
      <w:r w:rsidR="0048479B" w:rsidRPr="0063657F">
        <w:rPr>
          <w:rFonts w:eastAsiaTheme="minorHAnsi"/>
        </w:rPr>
        <w:t xml:space="preserve">For a facility that is not a landfill facility: the </w:t>
      </w:r>
      <w:r w:rsidRPr="0063657F">
        <w:rPr>
          <w:rFonts w:eastAsiaTheme="minorHAnsi"/>
        </w:rPr>
        <w:t>facility must have completed a significant expansion during a relevant expansion period where:</w:t>
      </w:r>
    </w:p>
    <w:p w:rsidR="00F10732" w:rsidRPr="0063657F" w:rsidRDefault="00F10732" w:rsidP="00F10732">
      <w:pPr>
        <w:pStyle w:val="tPara"/>
      </w:pPr>
      <w:r w:rsidRPr="0063657F">
        <w:tab/>
      </w:r>
      <w:r w:rsidR="00F773E9">
        <w:t>(a)</w:t>
      </w:r>
      <w:r w:rsidRPr="0063657F">
        <w:tab/>
      </w:r>
      <w:proofErr w:type="gramStart"/>
      <w:r w:rsidRPr="0063657F">
        <w:t>new</w:t>
      </w:r>
      <w:proofErr w:type="gramEnd"/>
      <w:r w:rsidRPr="0063657F">
        <w:t xml:space="preserve"> equipment is installed and used by the facility during a relevant expansion period to produce or process a production variable; and</w:t>
      </w:r>
    </w:p>
    <w:p w:rsidR="00F10732" w:rsidRPr="0063657F" w:rsidRDefault="00F10732" w:rsidP="00F10732">
      <w:pPr>
        <w:pStyle w:val="tPara"/>
      </w:pPr>
      <w:r w:rsidRPr="0063657F">
        <w:tab/>
      </w:r>
      <w:r w:rsidR="00F773E9">
        <w:t>(b)</w:t>
      </w:r>
      <w:r w:rsidRPr="0063657F">
        <w:tab/>
      </w:r>
      <w:proofErr w:type="gramStart"/>
      <w:r w:rsidRPr="0063657F">
        <w:t>after</w:t>
      </w:r>
      <w:proofErr w:type="gramEnd"/>
      <w:r w:rsidRPr="0063657F">
        <w:t xml:space="preserve"> the equipment is in use, and any existing equipment that is to be decommissioned has been decommissioned, either:</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t>the maximum productive capacity of the equipment used to produce one or more production variables will be more than 20% greater than the maximum productive capacity of the equipment that existed before the installation in relation to those production variables; or</w:t>
      </w:r>
    </w:p>
    <w:p w:rsidR="00415A27" w:rsidRPr="0063657F" w:rsidRDefault="00F10732" w:rsidP="00F10732">
      <w:pPr>
        <w:pStyle w:val="tSubpara"/>
      </w:pPr>
      <w:r w:rsidRPr="0063657F">
        <w:tab/>
      </w:r>
      <w:r w:rsidR="00F773E9">
        <w:t>(ii)</w:t>
      </w:r>
      <w:r w:rsidRPr="0063657F">
        <w:tab/>
      </w:r>
      <w:proofErr w:type="gramStart"/>
      <w:r w:rsidRPr="0063657F">
        <w:t>one</w:t>
      </w:r>
      <w:proofErr w:type="gramEnd"/>
      <w:r w:rsidRPr="0063657F">
        <w:t xml:space="preserve"> or more production variables will be produced at the facility which</w:t>
      </w:r>
      <w:r w:rsidR="00415A27" w:rsidRPr="0063657F">
        <w:t>:</w:t>
      </w:r>
      <w:r w:rsidRPr="0063657F">
        <w:t xml:space="preserve"> </w:t>
      </w:r>
    </w:p>
    <w:p w:rsidR="00F10732" w:rsidRPr="0063657F" w:rsidRDefault="00415A27" w:rsidP="00415A27">
      <w:pPr>
        <w:pStyle w:val="tSubsub"/>
      </w:pPr>
      <w:r w:rsidRPr="0063657F">
        <w:tab/>
      </w:r>
      <w:r w:rsidR="00F773E9">
        <w:t>(A)</w:t>
      </w:r>
      <w:r w:rsidRPr="0063657F">
        <w:tab/>
      </w:r>
      <w:proofErr w:type="gramStart"/>
      <w:r w:rsidR="00F10732" w:rsidRPr="0063657F">
        <w:t>were</w:t>
      </w:r>
      <w:proofErr w:type="gramEnd"/>
      <w:r w:rsidR="00F10732" w:rsidRPr="0063657F">
        <w:t xml:space="preserve"> not produced before the relevant expansion period; and</w:t>
      </w:r>
    </w:p>
    <w:p w:rsidR="00415A27" w:rsidRPr="0063657F" w:rsidRDefault="00415A27" w:rsidP="00415A27">
      <w:pPr>
        <w:pStyle w:val="tSubsub"/>
      </w:pPr>
      <w:r w:rsidRPr="0063657F">
        <w:tab/>
      </w:r>
      <w:r w:rsidR="00F773E9">
        <w:t>(B)</w:t>
      </w:r>
      <w:r w:rsidRPr="0063657F">
        <w:tab/>
      </w:r>
      <w:proofErr w:type="gramStart"/>
      <w:r w:rsidRPr="0063657F">
        <w:t>are</w:t>
      </w:r>
      <w:proofErr w:type="gramEnd"/>
      <w:r w:rsidRPr="0063657F">
        <w:t xml:space="preserve"> not a replacement for other production variables produced before the relevant expansion period; and</w:t>
      </w:r>
    </w:p>
    <w:p w:rsidR="00F10732" w:rsidRPr="0063657F" w:rsidRDefault="00F10732" w:rsidP="00F10732">
      <w:pPr>
        <w:pStyle w:val="tPara"/>
      </w:pPr>
      <w:r w:rsidRPr="0063657F">
        <w:tab/>
      </w:r>
      <w:r w:rsidR="00F773E9">
        <w:t>(c)</w:t>
      </w:r>
      <w:r w:rsidRPr="0063657F">
        <w:tab/>
      </w:r>
      <w:proofErr w:type="gramStart"/>
      <w:r w:rsidRPr="0063657F">
        <w:t>the</w:t>
      </w:r>
      <w:proofErr w:type="gramEnd"/>
      <w:r w:rsidRPr="0063657F">
        <w:t xml:space="preserve"> production variables which meet the requirements of subparagraph (2)(b)(</w:t>
      </w:r>
      <w:proofErr w:type="spellStart"/>
      <w:r w:rsidRPr="0063657F">
        <w:t>i</w:t>
      </w:r>
      <w:proofErr w:type="spellEnd"/>
      <w:r w:rsidRPr="0063657F">
        <w:t>) or (ii) are significant to the operation of the facility having regard to:</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whether</w:t>
      </w:r>
      <w:proofErr w:type="gramEnd"/>
      <w:r w:rsidRPr="0063657F">
        <w:t xml:space="preserve"> one of the production variables is the primary production variable for the facility; </w:t>
      </w:r>
      <w:r w:rsidR="00945A0B" w:rsidRPr="0063657F">
        <w:t>or</w:t>
      </w:r>
    </w:p>
    <w:p w:rsidR="00F10732" w:rsidRPr="0063657F" w:rsidRDefault="00F10732" w:rsidP="00F10732">
      <w:pPr>
        <w:pStyle w:val="tSubpara"/>
      </w:pPr>
      <w:r w:rsidRPr="0063657F">
        <w:tab/>
      </w:r>
      <w:r w:rsidR="00F773E9">
        <w:t>(ii)</w:t>
      </w:r>
      <w:r w:rsidRPr="0063657F">
        <w:tab/>
        <w:t xml:space="preserve">whether </w:t>
      </w:r>
      <w:r w:rsidR="00FB1834" w:rsidRPr="0063657F">
        <w:t>more</w:t>
      </w:r>
      <w:r w:rsidRPr="0063657F">
        <w:t xml:space="preserve"> than 20% of the revenue expected from the facility in</w:t>
      </w:r>
      <w:r w:rsidR="004E76AE" w:rsidRPr="0063657F">
        <w:t xml:space="preserve"> the</w:t>
      </w:r>
      <w:r w:rsidRPr="0063657F">
        <w:t xml:space="preserve"> financial year with the highest expected production of the primary production </w:t>
      </w:r>
      <w:r w:rsidRPr="0063657F">
        <w:lastRenderedPageBreak/>
        <w:t xml:space="preserve">variable over the period to be covered by the calculated-emissions baseline determination is attributable to the new or expanded production variables; </w:t>
      </w:r>
      <w:r w:rsidR="00945A0B" w:rsidRPr="0063657F">
        <w:t>or</w:t>
      </w:r>
    </w:p>
    <w:p w:rsidR="00F10732" w:rsidRPr="0063657F" w:rsidRDefault="00F10732" w:rsidP="00F10732">
      <w:pPr>
        <w:pStyle w:val="tSubpara"/>
      </w:pPr>
      <w:r w:rsidRPr="0063657F">
        <w:tab/>
      </w:r>
      <w:r w:rsidR="00F773E9">
        <w:t>(iii)</w:t>
      </w:r>
      <w:r w:rsidRPr="0063657F">
        <w:tab/>
        <w:t xml:space="preserve">if the production variable is onsite electricity—whether the electricity will supply over </w:t>
      </w:r>
      <w:r w:rsidR="00FC51E1" w:rsidRPr="0063657F">
        <w:t>30%</w:t>
      </w:r>
      <w:r w:rsidRPr="0063657F">
        <w:t xml:space="preserve"> of the electricity needs of the facility in the period to be covered by the calculated-emissions baseline determination.</w:t>
      </w:r>
    </w:p>
    <w:p w:rsidR="00332292" w:rsidRPr="0063657F" w:rsidRDefault="00332292" w:rsidP="00332292">
      <w:pPr>
        <w:pStyle w:val="tMain"/>
      </w:pPr>
      <w:r w:rsidRPr="0063657F">
        <w:tab/>
      </w:r>
      <w:r w:rsidR="00F773E9">
        <w:t>(3)</w:t>
      </w:r>
      <w:r w:rsidRPr="0063657F">
        <w:tab/>
        <w:t xml:space="preserve">For the purposes of this section: </w:t>
      </w:r>
    </w:p>
    <w:p w:rsidR="00332292" w:rsidRPr="0063657F" w:rsidRDefault="00332292" w:rsidP="00332292">
      <w:pPr>
        <w:pStyle w:val="tPara"/>
      </w:pPr>
      <w:r w:rsidRPr="0063657F">
        <w:tab/>
      </w:r>
      <w:r w:rsidR="00F773E9">
        <w:t>(a)</w:t>
      </w:r>
      <w:r w:rsidRPr="0063657F">
        <w:tab/>
      </w:r>
      <w:proofErr w:type="gramStart"/>
      <w:r w:rsidRPr="0063657F">
        <w:t>the</w:t>
      </w:r>
      <w:proofErr w:type="gramEnd"/>
      <w:r w:rsidRPr="0063657F">
        <w:t xml:space="preserve"> installation of new equipment at a transport facility includes the addition of </w:t>
      </w:r>
      <w:r w:rsidR="003A4290" w:rsidRPr="0063657F">
        <w:t xml:space="preserve">new or used </w:t>
      </w:r>
      <w:r w:rsidRPr="0063657F">
        <w:t>equipment, such as trucks or planes, to carry out the activities which constitute the facility; and</w:t>
      </w:r>
    </w:p>
    <w:p w:rsidR="00332292" w:rsidRPr="0063657F" w:rsidRDefault="00332292" w:rsidP="00332292">
      <w:pPr>
        <w:pStyle w:val="tPara"/>
      </w:pPr>
      <w:r w:rsidRPr="0063657F">
        <w:tab/>
      </w:r>
      <w:r w:rsidR="00F773E9">
        <w:t>(b)</w:t>
      </w:r>
      <w:r w:rsidRPr="0063657F">
        <w:tab/>
      </w:r>
      <w:proofErr w:type="gramStart"/>
      <w:r w:rsidRPr="0063657F">
        <w:t>if</w:t>
      </w:r>
      <w:proofErr w:type="gramEnd"/>
      <w:r w:rsidRPr="0063657F">
        <w:t xml:space="preserve"> a production variable for a facility is the quantity of an </w:t>
      </w:r>
      <w:r w:rsidR="00A02EB2" w:rsidRPr="0063657F">
        <w:t xml:space="preserve">input, </w:t>
      </w:r>
      <w:r w:rsidRPr="0063657F">
        <w:t>the input is taken to be produced at a facility if it is used to prod</w:t>
      </w:r>
      <w:r w:rsidR="002E318A" w:rsidRPr="0063657F">
        <w:t>uce the outputs of the facility; and</w:t>
      </w:r>
    </w:p>
    <w:p w:rsidR="002E318A" w:rsidRPr="0063657F" w:rsidRDefault="002E318A" w:rsidP="002E318A">
      <w:pPr>
        <w:pStyle w:val="tPara"/>
      </w:pPr>
      <w:r w:rsidRPr="0063657F">
        <w:tab/>
      </w:r>
      <w:r w:rsidR="00F773E9">
        <w:t>(c)</w:t>
      </w:r>
      <w:r w:rsidRPr="0063657F">
        <w:tab/>
        <w:t>the production variables used for the purposes of subsection (2) need not be the same as the production variables used for the purposes of paragraph 27(1)(c).</w:t>
      </w:r>
    </w:p>
    <w:p w:rsidR="00F10732" w:rsidRPr="0063657F" w:rsidRDefault="00F10732" w:rsidP="00F10732">
      <w:pPr>
        <w:pStyle w:val="tMain"/>
      </w:pPr>
      <w:r w:rsidRPr="0063657F">
        <w:tab/>
      </w:r>
      <w:r w:rsidR="00F773E9">
        <w:t>(4)</w:t>
      </w:r>
      <w:r w:rsidRPr="0063657F">
        <w:tab/>
      </w:r>
      <w:r w:rsidR="0048479B" w:rsidRPr="0063657F">
        <w:t>For a landfill facility: the</w:t>
      </w:r>
      <w:r w:rsidRPr="0063657F">
        <w:t xml:space="preserve"> facility must have undergone a significant expansion where during a relevant expansion period its </w:t>
      </w:r>
      <w:proofErr w:type="spellStart"/>
      <w:r w:rsidRPr="0063657F">
        <w:t>licenced</w:t>
      </w:r>
      <w:proofErr w:type="spellEnd"/>
      <w:r w:rsidRPr="0063657F">
        <w:t xml:space="preserve"> capacity has increased by</w:t>
      </w:r>
      <w:r w:rsidR="00FB1834" w:rsidRPr="0063657F">
        <w:t xml:space="preserve"> more than</w:t>
      </w:r>
      <w:r w:rsidRPr="0063657F">
        <w:t xml:space="preserve"> 20% since the start of the period.</w:t>
      </w:r>
    </w:p>
    <w:p w:rsidR="00F10732" w:rsidRPr="0063657F" w:rsidRDefault="00F10732" w:rsidP="00F10732">
      <w:pPr>
        <w:pStyle w:val="tMain"/>
      </w:pPr>
      <w:r w:rsidRPr="0063657F">
        <w:tab/>
      </w:r>
      <w:r w:rsidR="00F773E9">
        <w:t>(5)</w:t>
      </w:r>
      <w:r w:rsidRPr="0063657F">
        <w:tab/>
        <w:t xml:space="preserve">For the purposes of this section, a </w:t>
      </w:r>
      <w:r w:rsidRPr="0063657F">
        <w:rPr>
          <w:b/>
          <w:i/>
        </w:rPr>
        <w:t>relevant expansion period</w:t>
      </w:r>
      <w:r w:rsidRPr="0063657F">
        <w:t xml:space="preserve"> ends either:</w:t>
      </w:r>
    </w:p>
    <w:p w:rsidR="00F10732" w:rsidRPr="0063657F" w:rsidRDefault="00F10732" w:rsidP="00F10732">
      <w:pPr>
        <w:pStyle w:val="tPara"/>
      </w:pPr>
      <w:r w:rsidRPr="0063657F">
        <w:tab/>
      </w:r>
      <w:r w:rsidR="00F773E9">
        <w:t>(a)</w:t>
      </w:r>
      <w:r w:rsidRPr="0063657F">
        <w:tab/>
      </w:r>
      <w:proofErr w:type="gramStart"/>
      <w:r w:rsidRPr="0063657F">
        <w:t>immediately</w:t>
      </w:r>
      <w:proofErr w:type="gramEnd"/>
      <w:r w:rsidRPr="0063657F">
        <w:t xml:space="preserve"> before the period to be covered by the calculated-emissions baseline determination; or  </w:t>
      </w:r>
    </w:p>
    <w:p w:rsidR="00F10732" w:rsidRPr="0063657F" w:rsidRDefault="00F10732" w:rsidP="00F10732">
      <w:pPr>
        <w:pStyle w:val="tPara"/>
      </w:pPr>
      <w:r w:rsidRPr="0063657F">
        <w:tab/>
      </w:r>
      <w:r w:rsidR="00F773E9">
        <w:t>(b)</w:t>
      </w:r>
      <w:r w:rsidRPr="0063657F">
        <w:tab/>
        <w:t xml:space="preserve">30 June of the first financial year to be covered by the calculated-emissions baseline determination </w:t>
      </w:r>
    </w:p>
    <w:p w:rsidR="00F10732" w:rsidRPr="0063657F" w:rsidRDefault="00F10732" w:rsidP="00C50DD9">
      <w:pPr>
        <w:pStyle w:val="tMain"/>
        <w:spacing w:before="40"/>
      </w:pPr>
      <w:r w:rsidRPr="0063657F">
        <w:tab/>
      </w:r>
      <w:r w:rsidRPr="0063657F">
        <w:tab/>
      </w:r>
      <w:proofErr w:type="gramStart"/>
      <w:r w:rsidRPr="0063657F">
        <w:t>and</w:t>
      </w:r>
      <w:proofErr w:type="gramEnd"/>
      <w:r w:rsidRPr="0063657F">
        <w:t xml:space="preserve"> starts:</w:t>
      </w:r>
    </w:p>
    <w:p w:rsidR="00F10732" w:rsidRPr="0063657F" w:rsidRDefault="00F10732" w:rsidP="00F10732">
      <w:pPr>
        <w:pStyle w:val="tPara"/>
      </w:pPr>
      <w:r w:rsidRPr="0063657F">
        <w:tab/>
      </w:r>
      <w:r w:rsidR="00F773E9">
        <w:t>(c)</w:t>
      </w:r>
      <w:r w:rsidRPr="0063657F">
        <w:tab/>
      </w:r>
      <w:proofErr w:type="gramStart"/>
      <w:r w:rsidRPr="0063657F">
        <w:t>if</w:t>
      </w:r>
      <w:proofErr w:type="gramEnd"/>
      <w:r w:rsidRPr="0063657F">
        <w:t xml:space="preserve"> a calculated-emissions baseline determination</w:t>
      </w:r>
      <w:r w:rsidR="007D1674" w:rsidRPr="0063657F">
        <w:t xml:space="preserve"> in relation to the facility</w:t>
      </w:r>
      <w:r w:rsidRPr="0063657F">
        <w:t xml:space="preserve"> has expired</w:t>
      </w:r>
      <w:r w:rsidR="007D1674" w:rsidRPr="0063657F">
        <w:t>,</w:t>
      </w:r>
      <w:r w:rsidRPr="0063657F">
        <w:t xml:space="preserve"> </w:t>
      </w:r>
      <w:r w:rsidR="007D1674" w:rsidRPr="0063657F">
        <w:t xml:space="preserve">or will expire, </w:t>
      </w:r>
      <w:r w:rsidR="007D1674" w:rsidRPr="0063657F">
        <w:rPr>
          <w:rFonts w:eastAsiaTheme="minorHAnsi"/>
        </w:rPr>
        <w:t>before the start of the proposed period of the calculated-emissions baseline determination the subject of the application</w:t>
      </w:r>
      <w:r w:rsidRPr="0063657F">
        <w:t>—on the later of:</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007C0491" w:rsidRPr="0063657F">
        <w:t>the</w:t>
      </w:r>
      <w:proofErr w:type="gramEnd"/>
      <w:r w:rsidR="007C0491" w:rsidRPr="0063657F">
        <w:t xml:space="preserve"> 1 July of the last financial year of the expired, or expiring, baseline determination</w:t>
      </w:r>
      <w:r w:rsidRPr="0063657F">
        <w:t>; and</w:t>
      </w:r>
    </w:p>
    <w:p w:rsidR="00F10732" w:rsidRPr="0063657F" w:rsidRDefault="00F10732" w:rsidP="00F10732">
      <w:pPr>
        <w:pStyle w:val="tSubpara"/>
      </w:pPr>
      <w:r w:rsidRPr="0063657F">
        <w:tab/>
      </w:r>
      <w:r w:rsidR="00F773E9">
        <w:t>(ii)</w:t>
      </w:r>
      <w:r w:rsidRPr="0063657F">
        <w:tab/>
      </w:r>
      <w:r w:rsidR="0048479B" w:rsidRPr="0063657F">
        <w:t xml:space="preserve">3 </w:t>
      </w:r>
      <w:r w:rsidRPr="0063657F">
        <w:t>yea</w:t>
      </w:r>
      <w:r w:rsidR="007D1674" w:rsidRPr="0063657F">
        <w:t>rs before the end of the period; or</w:t>
      </w:r>
    </w:p>
    <w:p w:rsidR="007D1674" w:rsidRPr="0063657F" w:rsidRDefault="007D1674" w:rsidP="007D1674">
      <w:pPr>
        <w:pStyle w:val="tPara"/>
      </w:pPr>
      <w:r w:rsidRPr="0063657F">
        <w:tab/>
      </w:r>
      <w:r w:rsidR="00F773E9">
        <w:t>(d)</w:t>
      </w:r>
      <w:r w:rsidRPr="0063657F">
        <w:tab/>
      </w:r>
      <w:proofErr w:type="gramStart"/>
      <w:r w:rsidRPr="0063657F">
        <w:t>otherwise—</w:t>
      </w:r>
      <w:proofErr w:type="gramEnd"/>
      <w:r w:rsidRPr="0063657F">
        <w:t>on the later of:</w:t>
      </w:r>
    </w:p>
    <w:p w:rsidR="007D1674" w:rsidRPr="0063657F" w:rsidRDefault="007D1674" w:rsidP="007D1674">
      <w:pPr>
        <w:pStyle w:val="tSubpara"/>
      </w:pPr>
      <w:r w:rsidRPr="0063657F">
        <w:tab/>
      </w:r>
      <w:r w:rsidR="00F773E9">
        <w:t>(</w:t>
      </w:r>
      <w:proofErr w:type="spellStart"/>
      <w:r w:rsidR="00F773E9">
        <w:t>i</w:t>
      </w:r>
      <w:proofErr w:type="spellEnd"/>
      <w:r w:rsidR="00F773E9">
        <w:t>)</w:t>
      </w:r>
      <w:r w:rsidRPr="0063657F">
        <w:tab/>
        <w:t>1 July 2014; and</w:t>
      </w:r>
    </w:p>
    <w:p w:rsidR="007D1674" w:rsidRPr="0063657F" w:rsidRDefault="007D1674" w:rsidP="007D1674">
      <w:pPr>
        <w:pStyle w:val="tSubpara"/>
      </w:pPr>
      <w:r w:rsidRPr="0063657F">
        <w:tab/>
      </w:r>
      <w:r w:rsidR="00F773E9">
        <w:t>(ii)</w:t>
      </w:r>
      <w:r w:rsidRPr="0063657F">
        <w:tab/>
        <w:t>3 years before the end of the period.</w:t>
      </w:r>
    </w:p>
    <w:p w:rsidR="00F10732" w:rsidRPr="0063657F" w:rsidRDefault="00F10732" w:rsidP="00F10732">
      <w:pPr>
        <w:pStyle w:val="tMain"/>
      </w:pPr>
      <w:r w:rsidRPr="0063657F">
        <w:tab/>
      </w:r>
      <w:r w:rsidR="00F773E9">
        <w:t>(6)</w:t>
      </w:r>
      <w:r w:rsidRPr="0063657F">
        <w:tab/>
        <w:t>For the purposes of subparagraph (2</w:t>
      </w:r>
      <w:proofErr w:type="gramStart"/>
      <w:r w:rsidRPr="0063657F">
        <w:t>)(</w:t>
      </w:r>
      <w:proofErr w:type="gramEnd"/>
      <w:r w:rsidRPr="0063657F">
        <w:t>c)(ii), the calculation of the expected revenue must be based upon prices related to the production variable current at the time of the application.</w:t>
      </w:r>
    </w:p>
    <w:p w:rsidR="00F10732" w:rsidRPr="0063657F" w:rsidRDefault="00F10732" w:rsidP="00F10732">
      <w:pPr>
        <w:pStyle w:val="h6Subsec"/>
      </w:pPr>
      <w:r w:rsidRPr="0063657F">
        <w:t>Other criteria</w:t>
      </w:r>
    </w:p>
    <w:p w:rsidR="00F10732" w:rsidRPr="0063657F" w:rsidRDefault="00F10732" w:rsidP="00F10732">
      <w:pPr>
        <w:pStyle w:val="tMain"/>
        <w:rPr>
          <w:rFonts w:eastAsiaTheme="minorHAnsi"/>
        </w:rPr>
      </w:pPr>
      <w:r w:rsidRPr="0063657F">
        <w:rPr>
          <w:rFonts w:eastAsiaTheme="minorHAnsi"/>
        </w:rPr>
        <w:tab/>
      </w:r>
      <w:r w:rsidR="00F773E9">
        <w:rPr>
          <w:rFonts w:eastAsiaTheme="minorHAnsi"/>
        </w:rPr>
        <w:t>(7)</w:t>
      </w:r>
      <w:r w:rsidRPr="0063657F">
        <w:rPr>
          <w:rFonts w:eastAsiaTheme="minorHAnsi"/>
        </w:rPr>
        <w:tab/>
        <w:t>The facility either:</w:t>
      </w:r>
    </w:p>
    <w:p w:rsidR="00F10732" w:rsidRPr="0063657F" w:rsidRDefault="00F10732" w:rsidP="00F10732">
      <w:pPr>
        <w:pStyle w:val="tPara"/>
        <w:rPr>
          <w:rFonts w:eastAsiaTheme="minorHAnsi"/>
        </w:rPr>
      </w:pPr>
      <w:r w:rsidRPr="0063657F">
        <w:rPr>
          <w:rFonts w:eastAsiaTheme="minorHAnsi"/>
        </w:rPr>
        <w:tab/>
      </w:r>
      <w:r w:rsidR="00F773E9">
        <w:rPr>
          <w:rFonts w:eastAsiaTheme="minorHAnsi"/>
        </w:rPr>
        <w:t>(a)</w:t>
      </w:r>
      <w:r w:rsidRPr="0063657F">
        <w:rPr>
          <w:rFonts w:eastAsiaTheme="minorHAnsi"/>
        </w:rPr>
        <w:tab/>
      </w:r>
      <w:proofErr w:type="gramStart"/>
      <w:r w:rsidRPr="0063657F">
        <w:rPr>
          <w:rFonts w:eastAsiaTheme="minorHAnsi"/>
        </w:rPr>
        <w:t>has</w:t>
      </w:r>
      <w:proofErr w:type="gramEnd"/>
      <w:r w:rsidRPr="0063657F">
        <w:rPr>
          <w:rFonts w:eastAsiaTheme="minorHAnsi"/>
        </w:rPr>
        <w:t xml:space="preserve"> previously emitted more than 100,000 </w:t>
      </w:r>
      <w:r w:rsidRPr="0063657F">
        <w:t>t CO</w:t>
      </w:r>
      <w:r w:rsidRPr="0063657F">
        <w:rPr>
          <w:vertAlign w:val="subscript"/>
        </w:rPr>
        <w:t>2</w:t>
      </w:r>
      <w:r w:rsidR="002326D7" w:rsidRPr="0063657F">
        <w:rPr>
          <w:rFonts w:ascii="Helvetica Neue" w:hAnsi="Helvetica Neue"/>
          <w:b/>
          <w:bCs/>
          <w:i/>
          <w:iCs/>
          <w:sz w:val="19"/>
          <w:szCs w:val="19"/>
        </w:rPr>
        <w:noBreakHyphen/>
      </w:r>
      <w:r w:rsidRPr="0063657F">
        <w:t xml:space="preserve">e </w:t>
      </w:r>
      <w:r w:rsidRPr="0063657F">
        <w:rPr>
          <w:rFonts w:eastAsiaTheme="minorHAnsi"/>
        </w:rPr>
        <w:t>of covered emissions in a financial year; or</w:t>
      </w:r>
    </w:p>
    <w:p w:rsidR="00F10732" w:rsidRPr="0063657F" w:rsidRDefault="00F10732" w:rsidP="00F10732">
      <w:pPr>
        <w:pStyle w:val="tPara"/>
        <w:rPr>
          <w:rFonts w:eastAsiaTheme="minorHAnsi"/>
        </w:rPr>
      </w:pPr>
      <w:r w:rsidRPr="0063657F">
        <w:rPr>
          <w:rFonts w:eastAsiaTheme="minorHAnsi"/>
        </w:rPr>
        <w:tab/>
      </w:r>
      <w:r w:rsidR="00F773E9">
        <w:rPr>
          <w:rFonts w:eastAsiaTheme="minorHAnsi"/>
        </w:rPr>
        <w:t>(b)</w:t>
      </w:r>
      <w:r w:rsidRPr="0063657F">
        <w:rPr>
          <w:rFonts w:eastAsiaTheme="minorHAnsi"/>
        </w:rPr>
        <w:tab/>
      </w:r>
      <w:proofErr w:type="gramStart"/>
      <w:r w:rsidRPr="0063657F">
        <w:rPr>
          <w:rFonts w:eastAsiaTheme="minorHAnsi"/>
        </w:rPr>
        <w:t>is</w:t>
      </w:r>
      <w:proofErr w:type="gramEnd"/>
      <w:r w:rsidRPr="0063657F">
        <w:rPr>
          <w:rFonts w:eastAsiaTheme="minorHAnsi"/>
        </w:rPr>
        <w:t xml:space="preserve"> reasonably expected to emit more than 100,000</w:t>
      </w:r>
      <w:r w:rsidRPr="0063657F">
        <w:t xml:space="preserve"> t CO</w:t>
      </w:r>
      <w:r w:rsidRPr="0063657F">
        <w:rPr>
          <w:vertAlign w:val="subscript"/>
        </w:rPr>
        <w:t>2</w:t>
      </w:r>
      <w:r w:rsidR="002326D7" w:rsidRPr="0063657F">
        <w:rPr>
          <w:rFonts w:ascii="Helvetica Neue" w:hAnsi="Helvetica Neue"/>
          <w:b/>
          <w:bCs/>
          <w:i/>
          <w:iCs/>
          <w:sz w:val="19"/>
          <w:szCs w:val="19"/>
        </w:rPr>
        <w:noBreakHyphen/>
      </w:r>
      <w:r w:rsidRPr="0063657F">
        <w:t>e</w:t>
      </w:r>
      <w:r w:rsidR="00A72BB5" w:rsidRPr="0063657F">
        <w:rPr>
          <w:rFonts w:eastAsiaTheme="minorHAnsi"/>
        </w:rPr>
        <w:t xml:space="preserve"> of covered emissions in the</w:t>
      </w:r>
      <w:r w:rsidRPr="0063657F">
        <w:rPr>
          <w:rFonts w:eastAsiaTheme="minorHAnsi"/>
        </w:rPr>
        <w:t xml:space="preserve"> first financial year to be covered by the calculated-emissions baseline determination.</w:t>
      </w:r>
    </w:p>
    <w:p w:rsidR="00F10732" w:rsidRPr="0063657F" w:rsidRDefault="00F10732" w:rsidP="00F10732">
      <w:pPr>
        <w:pStyle w:val="tMain"/>
        <w:rPr>
          <w:rFonts w:eastAsiaTheme="minorHAnsi"/>
        </w:rPr>
      </w:pPr>
      <w:r w:rsidRPr="0063657F">
        <w:rPr>
          <w:rFonts w:eastAsiaTheme="minorHAnsi"/>
        </w:rPr>
        <w:tab/>
      </w:r>
      <w:r w:rsidR="00F773E9">
        <w:rPr>
          <w:rFonts w:eastAsiaTheme="minorHAnsi"/>
        </w:rPr>
        <w:t>(8)</w:t>
      </w:r>
      <w:r w:rsidRPr="0063657F">
        <w:rPr>
          <w:rFonts w:eastAsiaTheme="minorHAnsi"/>
        </w:rPr>
        <w:tab/>
        <w:t>The facility has, or is reasonably expected to, emit more than the baseline emissions number that would otherwise apply to the facility in at least one financial year of the period to be covered by the calculated-emissions baseline determination.</w:t>
      </w:r>
    </w:p>
    <w:p w:rsidR="00F10732" w:rsidRPr="0063657F" w:rsidRDefault="00F10732" w:rsidP="00F10732">
      <w:pPr>
        <w:pStyle w:val="tMain"/>
        <w:rPr>
          <w:rFonts w:eastAsiaTheme="minorHAnsi"/>
        </w:rPr>
      </w:pPr>
      <w:r w:rsidRPr="0063657F">
        <w:rPr>
          <w:rFonts w:eastAsiaTheme="minorHAnsi"/>
        </w:rPr>
        <w:tab/>
      </w:r>
      <w:r w:rsidR="00F773E9">
        <w:rPr>
          <w:rFonts w:eastAsiaTheme="minorHAnsi"/>
        </w:rPr>
        <w:t>(9)</w:t>
      </w:r>
      <w:r w:rsidRPr="0063657F">
        <w:rPr>
          <w:rFonts w:eastAsiaTheme="minorHAnsi"/>
        </w:rPr>
        <w:tab/>
        <w:t>A calculated-emissions baseline determination in relation to the facility:</w:t>
      </w:r>
    </w:p>
    <w:p w:rsidR="00F10732" w:rsidRPr="0063657F" w:rsidRDefault="00F10732" w:rsidP="00F10732">
      <w:pPr>
        <w:pStyle w:val="tPara"/>
        <w:rPr>
          <w:rFonts w:eastAsiaTheme="minorHAnsi"/>
        </w:rPr>
      </w:pPr>
      <w:r w:rsidRPr="0063657F">
        <w:rPr>
          <w:rFonts w:eastAsiaTheme="minorHAnsi"/>
        </w:rPr>
        <w:tab/>
      </w:r>
      <w:r w:rsidR="00F773E9">
        <w:rPr>
          <w:rFonts w:eastAsiaTheme="minorHAnsi"/>
        </w:rPr>
        <w:t>(a)</w:t>
      </w:r>
      <w:r w:rsidRPr="0063657F">
        <w:rPr>
          <w:rFonts w:eastAsiaTheme="minorHAnsi"/>
        </w:rPr>
        <w:tab/>
      </w:r>
      <w:proofErr w:type="gramStart"/>
      <w:r w:rsidRPr="0063657F">
        <w:rPr>
          <w:rFonts w:eastAsiaTheme="minorHAnsi"/>
        </w:rPr>
        <w:t>has</w:t>
      </w:r>
      <w:proofErr w:type="gramEnd"/>
      <w:r w:rsidRPr="0063657F">
        <w:rPr>
          <w:rFonts w:eastAsiaTheme="minorHAnsi"/>
        </w:rPr>
        <w:t xml:space="preserve"> never been made; or</w:t>
      </w:r>
    </w:p>
    <w:p w:rsidR="00F10732" w:rsidRPr="0063657F" w:rsidRDefault="00F10732" w:rsidP="00F10732">
      <w:pPr>
        <w:pStyle w:val="tPara"/>
        <w:rPr>
          <w:rFonts w:eastAsiaTheme="minorHAnsi"/>
        </w:rPr>
      </w:pPr>
      <w:r w:rsidRPr="0063657F">
        <w:rPr>
          <w:rFonts w:eastAsiaTheme="minorHAnsi"/>
        </w:rPr>
        <w:lastRenderedPageBreak/>
        <w:tab/>
      </w:r>
      <w:r w:rsidR="00F773E9">
        <w:rPr>
          <w:rFonts w:eastAsiaTheme="minorHAnsi"/>
        </w:rPr>
        <w:t>(b)</w:t>
      </w:r>
      <w:r w:rsidRPr="0063657F">
        <w:rPr>
          <w:rFonts w:eastAsiaTheme="minorHAnsi"/>
        </w:rPr>
        <w:tab/>
      </w:r>
      <w:proofErr w:type="gramStart"/>
      <w:r w:rsidRPr="0063657F">
        <w:rPr>
          <w:rFonts w:eastAsiaTheme="minorHAnsi"/>
        </w:rPr>
        <w:t>was</w:t>
      </w:r>
      <w:proofErr w:type="gramEnd"/>
      <w:r w:rsidRPr="0063657F">
        <w:rPr>
          <w:rFonts w:eastAsiaTheme="minorHAnsi"/>
        </w:rPr>
        <w:t xml:space="preserve"> made but has</w:t>
      </w:r>
      <w:r w:rsidR="0048479B" w:rsidRPr="0063657F">
        <w:rPr>
          <w:rFonts w:eastAsiaTheme="minorHAnsi"/>
        </w:rPr>
        <w:t xml:space="preserve"> expired</w:t>
      </w:r>
      <w:r w:rsidRPr="0063657F">
        <w:rPr>
          <w:rFonts w:eastAsiaTheme="minorHAnsi"/>
        </w:rPr>
        <w:t>, or will expire</w:t>
      </w:r>
      <w:r w:rsidR="0048479B" w:rsidRPr="0063657F">
        <w:rPr>
          <w:rFonts w:eastAsiaTheme="minorHAnsi"/>
        </w:rPr>
        <w:t>,</w:t>
      </w:r>
      <w:r w:rsidRPr="0063657F">
        <w:rPr>
          <w:rFonts w:eastAsiaTheme="minorHAnsi"/>
        </w:rPr>
        <w:t xml:space="preserve"> before the start of the proposed period of the calculated-emissions baseline determination the subject of the application.</w:t>
      </w:r>
    </w:p>
    <w:p w:rsidR="00F10732" w:rsidRPr="0063657F" w:rsidRDefault="00F10732" w:rsidP="00F10732">
      <w:pPr>
        <w:pStyle w:val="tMain"/>
      </w:pPr>
      <w:r w:rsidRPr="0063657F">
        <w:tab/>
      </w:r>
      <w:r w:rsidR="00F773E9">
        <w:t>(10)</w:t>
      </w:r>
      <w:r w:rsidRPr="0063657F">
        <w:tab/>
        <w:t>The calculated-emissions baseline determination to which the application relates is to commence on a 1 July 2016, 1 July 2017, 1 July 2018 or 1 July 2019.</w:t>
      </w:r>
    </w:p>
    <w:p w:rsidR="00F10732" w:rsidRPr="0063657F" w:rsidRDefault="00F773E9" w:rsidP="00F10732">
      <w:pPr>
        <w:pStyle w:val="h5Section"/>
      </w:pPr>
      <w:bookmarkStart w:id="41" w:name="_Toc431896972"/>
      <w:r>
        <w:t>25</w:t>
      </w:r>
      <w:r w:rsidR="00F10732" w:rsidRPr="0063657F">
        <w:t xml:space="preserve"> Inherent emissions variability criteria</w:t>
      </w:r>
      <w:bookmarkEnd w:id="41"/>
    </w:p>
    <w:p w:rsidR="00F10732" w:rsidRPr="0063657F" w:rsidRDefault="00F10732" w:rsidP="00F10732">
      <w:pPr>
        <w:pStyle w:val="tMain"/>
        <w:rPr>
          <w:rFonts w:eastAsiaTheme="minorHAnsi"/>
        </w:rPr>
      </w:pPr>
      <w:r w:rsidRPr="0063657F">
        <w:rPr>
          <w:rFonts w:eastAsiaTheme="minorHAnsi"/>
        </w:rPr>
        <w:tab/>
      </w:r>
      <w:r w:rsidR="00F773E9">
        <w:rPr>
          <w:rFonts w:eastAsiaTheme="minorHAnsi"/>
        </w:rPr>
        <w:t>(1)</w:t>
      </w:r>
      <w:r w:rsidRPr="0063657F">
        <w:rPr>
          <w:rFonts w:eastAsiaTheme="minorHAnsi"/>
        </w:rPr>
        <w:tab/>
        <w:t>The inherent emissions variability criteria are satisfied in relation to a facility if all of the criteria in this section are met.</w:t>
      </w:r>
    </w:p>
    <w:p w:rsidR="00F10732" w:rsidRPr="0063657F" w:rsidRDefault="00F10732" w:rsidP="00F10732">
      <w:pPr>
        <w:pStyle w:val="tMain"/>
        <w:rPr>
          <w:rFonts w:eastAsiaTheme="minorHAnsi"/>
        </w:rPr>
      </w:pPr>
      <w:r w:rsidRPr="0063657F">
        <w:rPr>
          <w:rFonts w:eastAsiaTheme="minorHAnsi"/>
        </w:rPr>
        <w:tab/>
      </w:r>
      <w:r w:rsidR="00F773E9">
        <w:rPr>
          <w:rFonts w:eastAsiaTheme="minorHAnsi"/>
        </w:rPr>
        <w:t>(2)</w:t>
      </w:r>
      <w:r w:rsidRPr="0063657F">
        <w:rPr>
          <w:rFonts w:eastAsiaTheme="minorHAnsi"/>
        </w:rPr>
        <w:tab/>
        <w:t>At least one of the following has been made in relation to the facility:</w:t>
      </w:r>
    </w:p>
    <w:p w:rsidR="00F10732" w:rsidRPr="0063657F" w:rsidRDefault="00F10732" w:rsidP="00F10732">
      <w:pPr>
        <w:pStyle w:val="tPara"/>
        <w:rPr>
          <w:rFonts w:eastAsiaTheme="minorHAnsi"/>
        </w:rPr>
      </w:pPr>
      <w:r w:rsidRPr="0063657F">
        <w:rPr>
          <w:rFonts w:eastAsiaTheme="minorHAnsi"/>
        </w:rPr>
        <w:tab/>
      </w:r>
      <w:r w:rsidR="00F773E9">
        <w:rPr>
          <w:rFonts w:eastAsiaTheme="minorHAnsi"/>
        </w:rPr>
        <w:t>(a)</w:t>
      </w:r>
      <w:r w:rsidRPr="0063657F">
        <w:rPr>
          <w:rFonts w:eastAsiaTheme="minorHAnsi"/>
        </w:rPr>
        <w:tab/>
      </w:r>
      <w:proofErr w:type="gramStart"/>
      <w:r w:rsidRPr="0063657F">
        <w:rPr>
          <w:rFonts w:eastAsiaTheme="minorHAnsi"/>
        </w:rPr>
        <w:t>a</w:t>
      </w:r>
      <w:proofErr w:type="gramEnd"/>
      <w:r w:rsidRPr="0063657F">
        <w:rPr>
          <w:rFonts w:eastAsiaTheme="minorHAnsi"/>
        </w:rPr>
        <w:t xml:space="preserve"> reported-emissions baseline determination;</w:t>
      </w:r>
    </w:p>
    <w:p w:rsidR="00F10732" w:rsidRPr="0063657F" w:rsidRDefault="00F10732" w:rsidP="00F10732">
      <w:pPr>
        <w:pStyle w:val="tPara"/>
        <w:rPr>
          <w:rFonts w:eastAsiaTheme="minorHAnsi"/>
        </w:rPr>
      </w:pPr>
      <w:r w:rsidRPr="0063657F">
        <w:rPr>
          <w:rFonts w:eastAsiaTheme="minorHAnsi"/>
        </w:rPr>
        <w:tab/>
      </w:r>
      <w:r w:rsidR="00F773E9">
        <w:rPr>
          <w:rFonts w:eastAsiaTheme="minorHAnsi"/>
        </w:rPr>
        <w:t>(b)</w:t>
      </w:r>
      <w:r w:rsidRPr="0063657F">
        <w:rPr>
          <w:rFonts w:eastAsiaTheme="minorHAnsi"/>
        </w:rPr>
        <w:tab/>
      </w:r>
      <w:proofErr w:type="gramStart"/>
      <w:r w:rsidRPr="0063657F">
        <w:rPr>
          <w:rFonts w:eastAsiaTheme="minorHAnsi"/>
        </w:rPr>
        <w:t>a</w:t>
      </w:r>
      <w:proofErr w:type="gramEnd"/>
      <w:r w:rsidRPr="0063657F">
        <w:rPr>
          <w:rFonts w:eastAsiaTheme="minorHAnsi"/>
        </w:rPr>
        <w:t xml:space="preserve"> calculated-emissions baseline determination.</w:t>
      </w:r>
    </w:p>
    <w:p w:rsidR="00F10732" w:rsidRPr="0063657F" w:rsidRDefault="00F10732" w:rsidP="00F10732">
      <w:pPr>
        <w:pStyle w:val="tMain"/>
        <w:rPr>
          <w:rFonts w:eastAsiaTheme="minorHAnsi"/>
        </w:rPr>
      </w:pPr>
      <w:r w:rsidRPr="0063657F">
        <w:rPr>
          <w:rFonts w:eastAsiaTheme="minorHAnsi"/>
        </w:rPr>
        <w:tab/>
      </w:r>
      <w:r w:rsidR="00F773E9">
        <w:rPr>
          <w:rFonts w:eastAsiaTheme="minorHAnsi"/>
        </w:rPr>
        <w:t>(3)</w:t>
      </w:r>
      <w:r w:rsidRPr="0063657F">
        <w:rPr>
          <w:rFonts w:eastAsiaTheme="minorHAnsi"/>
        </w:rPr>
        <w:tab/>
        <w:t>The facility must satisfy all of the following:</w:t>
      </w:r>
    </w:p>
    <w:p w:rsidR="00F10732" w:rsidRPr="0063657F" w:rsidRDefault="00F10732" w:rsidP="00F10732">
      <w:pPr>
        <w:pStyle w:val="tPara"/>
      </w:pPr>
      <w:r w:rsidRPr="0063657F">
        <w:tab/>
      </w:r>
      <w:r w:rsidR="00F773E9">
        <w:t>(a)</w:t>
      </w:r>
      <w:r w:rsidRPr="0063657F">
        <w:tab/>
      </w:r>
      <w:proofErr w:type="gramStart"/>
      <w:r w:rsidRPr="0063657F">
        <w:t>either</w:t>
      </w:r>
      <w:proofErr w:type="gramEnd"/>
      <w:r w:rsidRPr="0063657F">
        <w:t>:</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the</w:t>
      </w:r>
      <w:proofErr w:type="gramEnd"/>
      <w:r w:rsidRPr="0063657F">
        <w:t xml:space="preserve"> extraction of a natural resource is the principal activity which constitutes the facility; or</w:t>
      </w:r>
    </w:p>
    <w:p w:rsidR="00F10732" w:rsidRPr="0063657F" w:rsidRDefault="00F10732" w:rsidP="00F10732">
      <w:pPr>
        <w:pStyle w:val="tSubpara"/>
      </w:pPr>
      <w:r w:rsidRPr="0063657F">
        <w:tab/>
      </w:r>
      <w:r w:rsidR="00F773E9">
        <w:t>(ii)</w:t>
      </w:r>
      <w:r w:rsidRPr="0063657F">
        <w:tab/>
      </w:r>
      <w:r w:rsidR="005A2FA1" w:rsidRPr="0063657F">
        <w:t xml:space="preserve">the facility is a </w:t>
      </w:r>
      <w:r w:rsidRPr="0063657F">
        <w:t>natural gas processing or liquefaction facility</w:t>
      </w:r>
      <w:r w:rsidR="005A2FA1" w:rsidRPr="0063657F">
        <w:t xml:space="preserve"> that is associated with the extraction of natural gas from a natural gas reserve</w:t>
      </w:r>
      <w:r w:rsidRPr="0063657F">
        <w:t>; and</w:t>
      </w:r>
    </w:p>
    <w:p w:rsidR="00F10732" w:rsidRPr="0063657F" w:rsidRDefault="00F10732" w:rsidP="00F10732">
      <w:pPr>
        <w:pStyle w:val="tPara"/>
      </w:pPr>
      <w:r w:rsidRPr="0063657F">
        <w:tab/>
      </w:r>
      <w:r w:rsidR="00F773E9">
        <w:t>(b)</w:t>
      </w:r>
      <w:r w:rsidRPr="0063657F">
        <w:tab/>
        <w:t>the properties of the</w:t>
      </w:r>
      <w:r w:rsidR="00AE0327" w:rsidRPr="0063657F">
        <w:t xml:space="preserve"> natural</w:t>
      </w:r>
      <w:r w:rsidRPr="0063657F">
        <w:t xml:space="preserve"> resource or</w:t>
      </w:r>
      <w:r w:rsidR="00AE0327" w:rsidRPr="0063657F">
        <w:t xml:space="preserve"> natural gas</w:t>
      </w:r>
      <w:r w:rsidRPr="0063657F">
        <w:t xml:space="preserve"> reserve </w:t>
      </w:r>
      <w:r w:rsidR="00753257" w:rsidRPr="0063657F">
        <w:t>have</w:t>
      </w:r>
      <w:r w:rsidRPr="0063657F">
        <w:t xml:space="preserve"> a direct effect on the </w:t>
      </w:r>
      <w:r w:rsidR="000E4D6C" w:rsidRPr="0063657F">
        <w:t xml:space="preserve">covered </w:t>
      </w:r>
      <w:r w:rsidRPr="0063657F">
        <w:t xml:space="preserve">emissions </w:t>
      </w:r>
      <w:r w:rsidR="00945A0B" w:rsidRPr="0063657F">
        <w:t xml:space="preserve">or </w:t>
      </w:r>
      <w:r w:rsidR="000E4D6C" w:rsidRPr="0063657F">
        <w:t xml:space="preserve">covered </w:t>
      </w:r>
      <w:r w:rsidR="001033B1" w:rsidRPr="0063657F">
        <w:t>emissions intensity</w:t>
      </w:r>
      <w:r w:rsidRPr="0063657F">
        <w:t xml:space="preserve"> of the facility;  and</w:t>
      </w:r>
    </w:p>
    <w:p w:rsidR="00F10732" w:rsidRPr="0063657F" w:rsidRDefault="00F10732" w:rsidP="00F10732">
      <w:pPr>
        <w:pStyle w:val="tPara"/>
      </w:pPr>
      <w:r w:rsidRPr="0063657F">
        <w:tab/>
      </w:r>
      <w:r w:rsidR="00F773E9">
        <w:t>(c)</w:t>
      </w:r>
      <w:r w:rsidRPr="0063657F">
        <w:tab/>
      </w:r>
      <w:proofErr w:type="gramStart"/>
      <w:r w:rsidRPr="0063657F">
        <w:t>the</w:t>
      </w:r>
      <w:proofErr w:type="gramEnd"/>
      <w:r w:rsidRPr="0063657F">
        <w:t xml:space="preserve"> facility has limited </w:t>
      </w:r>
      <w:r w:rsidR="003A4290" w:rsidRPr="0063657F">
        <w:t xml:space="preserve">cost-effective </w:t>
      </w:r>
      <w:r w:rsidRPr="0063657F">
        <w:t xml:space="preserve">ability to control for the </w:t>
      </w:r>
      <w:r w:rsidR="000E4D6C" w:rsidRPr="0063657F">
        <w:t xml:space="preserve">covered </w:t>
      </w:r>
      <w:r w:rsidRPr="0063657F">
        <w:t>emissions related to the natural resource or</w:t>
      </w:r>
      <w:r w:rsidR="00AE0327" w:rsidRPr="0063657F">
        <w:t xml:space="preserve"> natural gas</w:t>
      </w:r>
      <w:r w:rsidRPr="0063657F">
        <w:t xml:space="preserve"> reserve.</w:t>
      </w:r>
    </w:p>
    <w:p w:rsidR="00F10732" w:rsidRPr="0063657F" w:rsidRDefault="00F10732" w:rsidP="00637C40">
      <w:pPr>
        <w:pStyle w:val="tMain"/>
      </w:pPr>
      <w:r w:rsidRPr="0063657F">
        <w:tab/>
      </w:r>
      <w:r w:rsidR="00F773E9">
        <w:t>(4)</w:t>
      </w:r>
      <w:r w:rsidRPr="0063657F">
        <w:tab/>
        <w:t>The facility’s covered emissions in respect of the first financial year to be covered by the calculated-emissions baseline determination ha</w:t>
      </w:r>
      <w:r w:rsidR="00637C40" w:rsidRPr="0063657F">
        <w:t>ve</w:t>
      </w:r>
      <w:r w:rsidR="005A2FA1" w:rsidRPr="0063657F">
        <w:t xml:space="preserve"> exceeded</w:t>
      </w:r>
      <w:r w:rsidRPr="0063657F">
        <w:t>, or are reasonably expected to exceed</w:t>
      </w:r>
      <w:r w:rsidR="00637C40" w:rsidRPr="0063657F">
        <w:t xml:space="preserve"> </w:t>
      </w:r>
      <w:r w:rsidRPr="0063657F">
        <w:t xml:space="preserve">the baseline emissions number which would otherwise apply to the </w:t>
      </w:r>
      <w:r w:rsidR="001F6743" w:rsidRPr="0063657F">
        <w:t>facility in that financial year.</w:t>
      </w:r>
    </w:p>
    <w:p w:rsidR="00F10732" w:rsidRPr="0063657F" w:rsidRDefault="00F10732" w:rsidP="00F10732">
      <w:pPr>
        <w:pStyle w:val="tMain"/>
      </w:pPr>
      <w:r w:rsidRPr="0063657F">
        <w:tab/>
      </w:r>
      <w:r w:rsidR="00F773E9">
        <w:t>(5)</w:t>
      </w:r>
      <w:r w:rsidRPr="0063657F">
        <w:tab/>
        <w:t>The properties</w:t>
      </w:r>
      <w:r w:rsidR="00AE0327" w:rsidRPr="0063657F">
        <w:t xml:space="preserve"> of the natural resource or natural gas reserve</w:t>
      </w:r>
      <w:r w:rsidRPr="0063657F">
        <w:t xml:space="preserve"> </w:t>
      </w:r>
      <w:r w:rsidR="00BC7012" w:rsidRPr="0063657F">
        <w:t>are</w:t>
      </w:r>
      <w:r w:rsidRPr="0063657F">
        <w:t xml:space="preserve"> the primary reason for the </w:t>
      </w:r>
      <w:r w:rsidR="005A2FA1" w:rsidRPr="0063657F">
        <w:t xml:space="preserve">excess </w:t>
      </w:r>
      <w:r w:rsidRPr="0063657F">
        <w:t>in subsection (4).</w:t>
      </w:r>
    </w:p>
    <w:p w:rsidR="00F10732" w:rsidRPr="0063657F" w:rsidRDefault="00F10732" w:rsidP="00F10732">
      <w:pPr>
        <w:pStyle w:val="tMain"/>
      </w:pPr>
      <w:r w:rsidRPr="0063657F">
        <w:rPr>
          <w:rFonts w:eastAsiaTheme="minorHAnsi"/>
        </w:rPr>
        <w:tab/>
      </w:r>
      <w:r w:rsidR="00F773E9">
        <w:rPr>
          <w:rFonts w:eastAsiaTheme="minorHAnsi"/>
        </w:rPr>
        <w:t>(6)</w:t>
      </w:r>
      <w:r w:rsidRPr="0063657F">
        <w:rPr>
          <w:rFonts w:eastAsiaTheme="minorHAnsi"/>
        </w:rPr>
        <w:tab/>
        <w:t>No more than one calculated-emissions baseline determination has been made in relation to the facility</w:t>
      </w:r>
      <w:r w:rsidRPr="0063657F">
        <w:t>.</w:t>
      </w:r>
    </w:p>
    <w:p w:rsidR="00F10732" w:rsidRPr="0063657F" w:rsidRDefault="00F10732" w:rsidP="00F10732">
      <w:pPr>
        <w:pStyle w:val="tMain"/>
      </w:pPr>
      <w:r w:rsidRPr="0063657F">
        <w:tab/>
      </w:r>
      <w:r w:rsidR="00F773E9">
        <w:t>(7)</w:t>
      </w:r>
      <w:r w:rsidRPr="0063657F">
        <w:tab/>
        <w:t>A benchmark-emissions baseline determination has never been made in relation to the facility.</w:t>
      </w:r>
    </w:p>
    <w:p w:rsidR="00F10732" w:rsidRPr="0063657F" w:rsidRDefault="00F10732" w:rsidP="00F10732">
      <w:pPr>
        <w:pStyle w:val="tMain"/>
      </w:pPr>
      <w:r w:rsidRPr="0063657F">
        <w:tab/>
      </w:r>
      <w:r w:rsidR="00F773E9">
        <w:t>(8)</w:t>
      </w:r>
      <w:r w:rsidRPr="0063657F">
        <w:tab/>
        <w:t>The facility is not a grid-connected electricity generator.</w:t>
      </w:r>
    </w:p>
    <w:p w:rsidR="00F10732" w:rsidRPr="0063657F" w:rsidRDefault="00F10732" w:rsidP="00F10732">
      <w:pPr>
        <w:pStyle w:val="tMain"/>
      </w:pPr>
      <w:r w:rsidRPr="0063657F">
        <w:tab/>
      </w:r>
      <w:r w:rsidR="00F773E9">
        <w:t>(9)</w:t>
      </w:r>
      <w:r w:rsidRPr="0063657F">
        <w:tab/>
        <w:t>The calculated-emissions baseline determination to which the application relates is to commence on a 1 July up to and including 1 July 2024.</w:t>
      </w:r>
    </w:p>
    <w:p w:rsidR="00BC7012" w:rsidRPr="0063657F" w:rsidRDefault="00BC7012" w:rsidP="00BC7012">
      <w:pPr>
        <w:pStyle w:val="tMain"/>
      </w:pPr>
      <w:r w:rsidRPr="0063657F">
        <w:tab/>
      </w:r>
      <w:r w:rsidR="00F773E9">
        <w:t>(10)</w:t>
      </w:r>
      <w:r w:rsidRPr="0063657F">
        <w:tab/>
        <w:t>For the purposes of this section, the properties of a natural resource or natural gas reserve include the following:</w:t>
      </w:r>
    </w:p>
    <w:p w:rsidR="00BC7012" w:rsidRPr="0063657F" w:rsidRDefault="00BC7012" w:rsidP="00BC7012">
      <w:pPr>
        <w:pStyle w:val="tPara"/>
      </w:pPr>
      <w:r w:rsidRPr="0063657F">
        <w:tab/>
      </w:r>
      <w:r w:rsidR="00F773E9">
        <w:t>(a)</w:t>
      </w:r>
      <w:r w:rsidRPr="0063657F">
        <w:tab/>
      </w:r>
      <w:proofErr w:type="gramStart"/>
      <w:r w:rsidRPr="0063657F">
        <w:t>grade</w:t>
      </w:r>
      <w:proofErr w:type="gramEnd"/>
      <w:r w:rsidRPr="0063657F">
        <w:t>;</w:t>
      </w:r>
    </w:p>
    <w:p w:rsidR="00BC7012" w:rsidRPr="0063657F" w:rsidRDefault="00BC7012" w:rsidP="00BC7012">
      <w:pPr>
        <w:pStyle w:val="tPara"/>
      </w:pPr>
      <w:r w:rsidRPr="0063657F">
        <w:tab/>
      </w:r>
      <w:r w:rsidR="00F773E9">
        <w:t>(b)</w:t>
      </w:r>
      <w:r w:rsidRPr="0063657F">
        <w:tab/>
      </w:r>
      <w:proofErr w:type="gramStart"/>
      <w:r w:rsidRPr="0063657F">
        <w:t>depth</w:t>
      </w:r>
      <w:proofErr w:type="gramEnd"/>
      <w:r w:rsidRPr="0063657F">
        <w:t xml:space="preserve">; </w:t>
      </w:r>
    </w:p>
    <w:p w:rsidR="00BC7012" w:rsidRPr="0063657F" w:rsidRDefault="00BC7012" w:rsidP="00BC7012">
      <w:pPr>
        <w:pStyle w:val="tPara"/>
      </w:pPr>
      <w:r w:rsidRPr="0063657F">
        <w:tab/>
      </w:r>
      <w:r w:rsidR="00F773E9">
        <w:t>(c)</w:t>
      </w:r>
      <w:r w:rsidRPr="0063657F">
        <w:tab/>
      </w:r>
      <w:proofErr w:type="gramStart"/>
      <w:r w:rsidRPr="0063657F">
        <w:t>distance</w:t>
      </w:r>
      <w:proofErr w:type="gramEnd"/>
      <w:r w:rsidRPr="0063657F">
        <w:t xml:space="preserve"> from a processing plant;</w:t>
      </w:r>
    </w:p>
    <w:p w:rsidR="00B82F0D" w:rsidRPr="0063657F" w:rsidRDefault="00BC7012" w:rsidP="00B82F0D">
      <w:pPr>
        <w:pStyle w:val="tPara"/>
      </w:pPr>
      <w:r w:rsidRPr="0063657F">
        <w:tab/>
      </w:r>
      <w:r w:rsidR="00F773E9">
        <w:t>(d)</w:t>
      </w:r>
      <w:r w:rsidRPr="0063657F">
        <w:tab/>
      </w:r>
      <w:proofErr w:type="gramStart"/>
      <w:r w:rsidR="00B82F0D" w:rsidRPr="0063657F">
        <w:t>greenhouse</w:t>
      </w:r>
      <w:proofErr w:type="gramEnd"/>
      <w:r w:rsidR="00B82F0D" w:rsidRPr="0063657F">
        <w:t xml:space="preserve"> gas</w:t>
      </w:r>
      <w:r w:rsidRPr="0063657F">
        <w:t xml:space="preserve"> content;</w:t>
      </w:r>
    </w:p>
    <w:p w:rsidR="00BC7012" w:rsidRPr="0063657F" w:rsidRDefault="00BC7012" w:rsidP="00BC7012">
      <w:pPr>
        <w:pStyle w:val="tPara"/>
      </w:pPr>
      <w:r w:rsidRPr="0063657F">
        <w:tab/>
      </w:r>
      <w:r w:rsidR="00F773E9">
        <w:t>(e)</w:t>
      </w:r>
      <w:r w:rsidRPr="0063657F">
        <w:tab/>
      </w:r>
      <w:proofErr w:type="gramStart"/>
      <w:r w:rsidRPr="0063657F">
        <w:t>other</w:t>
      </w:r>
      <w:proofErr w:type="gramEnd"/>
      <w:r w:rsidRPr="0063657F">
        <w:t xml:space="preserve"> </w:t>
      </w:r>
      <w:r w:rsidR="0033313B" w:rsidRPr="0063657F">
        <w:t xml:space="preserve">similar </w:t>
      </w:r>
      <w:r w:rsidRPr="0063657F">
        <w:t>properties.</w:t>
      </w:r>
    </w:p>
    <w:p w:rsidR="001434C6" w:rsidRPr="0063657F" w:rsidRDefault="00F773E9" w:rsidP="00B36BC8">
      <w:pPr>
        <w:pStyle w:val="h5Section"/>
      </w:pPr>
      <w:bookmarkStart w:id="42" w:name="_Toc431896973"/>
      <w:proofErr w:type="gramStart"/>
      <w:r>
        <w:lastRenderedPageBreak/>
        <w:t>26</w:t>
      </w:r>
      <w:r w:rsidR="00B36BC8" w:rsidRPr="0063657F">
        <w:t xml:space="preserve">  </w:t>
      </w:r>
      <w:r w:rsidR="001434C6" w:rsidRPr="0063657F">
        <w:t>Initial</w:t>
      </w:r>
      <w:proofErr w:type="gramEnd"/>
      <w:r w:rsidR="001434C6" w:rsidRPr="0063657F">
        <w:t xml:space="preserve"> calculated baseline criteria</w:t>
      </w:r>
      <w:bookmarkEnd w:id="42"/>
    </w:p>
    <w:p w:rsidR="001434C6" w:rsidRPr="0063657F" w:rsidRDefault="001434C6" w:rsidP="001434C6">
      <w:pPr>
        <w:pStyle w:val="tMain"/>
        <w:rPr>
          <w:rFonts w:eastAsiaTheme="minorHAnsi"/>
        </w:rPr>
      </w:pPr>
      <w:r w:rsidRPr="0063657F">
        <w:rPr>
          <w:rFonts w:eastAsiaTheme="minorHAnsi"/>
        </w:rPr>
        <w:tab/>
      </w:r>
      <w:r w:rsidR="00F773E9">
        <w:rPr>
          <w:rFonts w:eastAsiaTheme="minorHAnsi"/>
        </w:rPr>
        <w:t>(1)</w:t>
      </w:r>
      <w:r w:rsidRPr="0063657F">
        <w:rPr>
          <w:rFonts w:eastAsiaTheme="minorHAnsi"/>
        </w:rPr>
        <w:tab/>
        <w:t>The initial calculated baseline criteria are satisfied in relation to a facility if all of the criteria in this section are met.</w:t>
      </w:r>
    </w:p>
    <w:p w:rsidR="001E4C9A" w:rsidRPr="0063657F" w:rsidRDefault="001434C6" w:rsidP="001434C6">
      <w:pPr>
        <w:pStyle w:val="tMain"/>
        <w:rPr>
          <w:rFonts w:eastAsiaTheme="minorHAnsi"/>
        </w:rPr>
      </w:pPr>
      <w:r w:rsidRPr="0063657F">
        <w:rPr>
          <w:rFonts w:eastAsiaTheme="minorHAnsi"/>
        </w:rPr>
        <w:tab/>
      </w:r>
      <w:r w:rsidR="00F773E9">
        <w:rPr>
          <w:rFonts w:eastAsiaTheme="minorHAnsi"/>
        </w:rPr>
        <w:t>(2)</w:t>
      </w:r>
      <w:r w:rsidRPr="0063657F">
        <w:rPr>
          <w:rFonts w:eastAsiaTheme="minorHAnsi"/>
        </w:rPr>
        <w:tab/>
      </w:r>
      <w:r w:rsidR="001E4C9A" w:rsidRPr="0063657F">
        <w:rPr>
          <w:rFonts w:eastAsiaTheme="minorHAnsi"/>
        </w:rPr>
        <w:t>Either:</w:t>
      </w:r>
    </w:p>
    <w:p w:rsidR="001434C6" w:rsidRPr="0063657F" w:rsidRDefault="001E4C9A" w:rsidP="001E4C9A">
      <w:pPr>
        <w:pStyle w:val="tPara"/>
        <w:rPr>
          <w:rFonts w:eastAsiaTheme="minorHAnsi"/>
        </w:rPr>
      </w:pPr>
      <w:r w:rsidRPr="0063657F">
        <w:rPr>
          <w:rFonts w:eastAsiaTheme="minorHAnsi"/>
        </w:rPr>
        <w:tab/>
      </w:r>
      <w:r w:rsidR="00F773E9">
        <w:rPr>
          <w:rFonts w:eastAsiaTheme="minorHAnsi"/>
        </w:rPr>
        <w:t>(a)</w:t>
      </w:r>
      <w:r w:rsidRPr="0063657F">
        <w:rPr>
          <w:rFonts w:eastAsiaTheme="minorHAnsi"/>
        </w:rPr>
        <w:tab/>
      </w:r>
      <w:proofErr w:type="gramStart"/>
      <w:r w:rsidRPr="0063657F">
        <w:rPr>
          <w:rFonts w:eastAsiaTheme="minorHAnsi"/>
        </w:rPr>
        <w:t>a</w:t>
      </w:r>
      <w:proofErr w:type="gramEnd"/>
      <w:r w:rsidR="001434C6" w:rsidRPr="0063657F">
        <w:rPr>
          <w:rFonts w:eastAsiaTheme="minorHAnsi"/>
        </w:rPr>
        <w:t xml:space="preserve"> reported-emissions baseline determination has been made in relation to the facility</w:t>
      </w:r>
      <w:r w:rsidRPr="0063657F">
        <w:rPr>
          <w:rFonts w:eastAsiaTheme="minorHAnsi"/>
        </w:rPr>
        <w:t>; or</w:t>
      </w:r>
    </w:p>
    <w:p w:rsidR="001E4C9A" w:rsidRPr="0063657F" w:rsidRDefault="001E4C9A" w:rsidP="001E4C9A">
      <w:pPr>
        <w:pStyle w:val="tPara"/>
        <w:rPr>
          <w:rFonts w:eastAsiaTheme="minorHAnsi"/>
        </w:rPr>
      </w:pPr>
      <w:r w:rsidRPr="0063657F">
        <w:tab/>
      </w:r>
      <w:r w:rsidR="00F773E9">
        <w:t>(b)</w:t>
      </w:r>
      <w:r w:rsidRPr="0063657F">
        <w:tab/>
      </w:r>
      <w:proofErr w:type="gramStart"/>
      <w:r w:rsidRPr="0063657F">
        <w:t>scope</w:t>
      </w:r>
      <w:proofErr w:type="gramEnd"/>
      <w:r w:rsidRPr="0063657F">
        <w:t xml:space="preserve"> 1 emissions of one or more greenhouse gases from the operation of the facility were included in reports under the Act for all of the 5 financial years starting on 1 July 2009.</w:t>
      </w:r>
    </w:p>
    <w:p w:rsidR="001434C6" w:rsidRPr="0063657F" w:rsidRDefault="001434C6" w:rsidP="001434C6">
      <w:pPr>
        <w:pStyle w:val="tMain"/>
      </w:pPr>
      <w:r w:rsidRPr="0063657F">
        <w:tab/>
      </w:r>
      <w:r w:rsidR="00F773E9">
        <w:t>(3)</w:t>
      </w:r>
      <w:r w:rsidRPr="0063657F">
        <w:tab/>
        <w:t>The facility’s covered emissions in respect of the financial year beginning 1 July 2016 have</w:t>
      </w:r>
      <w:r w:rsidR="00120B49" w:rsidRPr="0063657F">
        <w:t xml:space="preserve"> exceeded</w:t>
      </w:r>
      <w:r w:rsidRPr="0063657F">
        <w:t>, or are reasonably expected to exceed</w:t>
      </w:r>
      <w:r w:rsidR="00120B49" w:rsidRPr="0063657F">
        <w:t>,</w:t>
      </w:r>
      <w:r w:rsidRPr="0063657F">
        <w:t xml:space="preserve"> the baseline emissions number which applies to the facility</w:t>
      </w:r>
      <w:r w:rsidR="00084200" w:rsidRPr="0063657F">
        <w:t xml:space="preserve"> in that financial year</w:t>
      </w:r>
      <w:r w:rsidRPr="0063657F">
        <w:t>.</w:t>
      </w:r>
    </w:p>
    <w:p w:rsidR="00AC6F20" w:rsidRPr="0063657F" w:rsidRDefault="00AC6F20" w:rsidP="00AC6F20">
      <w:pPr>
        <w:pStyle w:val="tMain"/>
        <w:rPr>
          <w:rFonts w:eastAsiaTheme="minorHAnsi"/>
        </w:rPr>
      </w:pPr>
      <w:r w:rsidRPr="0063657F">
        <w:rPr>
          <w:rFonts w:eastAsiaTheme="minorHAnsi"/>
        </w:rPr>
        <w:tab/>
      </w:r>
      <w:r w:rsidR="00F773E9">
        <w:rPr>
          <w:rFonts w:eastAsiaTheme="minorHAnsi"/>
        </w:rPr>
        <w:t>(4)</w:t>
      </w:r>
      <w:r w:rsidRPr="0063657F">
        <w:rPr>
          <w:rFonts w:eastAsiaTheme="minorHAnsi"/>
        </w:rPr>
        <w:tab/>
        <w:t>The responsible emitter for the facility has not:</w:t>
      </w:r>
    </w:p>
    <w:p w:rsidR="00AC6F20" w:rsidRPr="0063657F" w:rsidRDefault="00AC6F20" w:rsidP="00AC6F20">
      <w:pPr>
        <w:pStyle w:val="tPara"/>
        <w:rPr>
          <w:rFonts w:eastAsiaTheme="minorHAnsi"/>
        </w:rPr>
      </w:pPr>
      <w:r w:rsidRPr="0063657F">
        <w:rPr>
          <w:rFonts w:eastAsiaTheme="minorHAnsi"/>
        </w:rPr>
        <w:tab/>
      </w:r>
      <w:r w:rsidR="00F773E9">
        <w:rPr>
          <w:rFonts w:eastAsiaTheme="minorHAnsi"/>
        </w:rPr>
        <w:t>(a)</w:t>
      </w:r>
      <w:r w:rsidRPr="0063657F">
        <w:rPr>
          <w:rFonts w:eastAsiaTheme="minorHAnsi"/>
        </w:rPr>
        <w:tab/>
      </w:r>
      <w:proofErr w:type="gramStart"/>
      <w:r w:rsidRPr="0063657F">
        <w:rPr>
          <w:rFonts w:eastAsiaTheme="minorHAnsi"/>
        </w:rPr>
        <w:t>changed</w:t>
      </w:r>
      <w:proofErr w:type="gramEnd"/>
      <w:r w:rsidRPr="0063657F">
        <w:rPr>
          <w:rFonts w:eastAsiaTheme="minorHAnsi"/>
        </w:rPr>
        <w:t xml:space="preserve">, or is </w:t>
      </w:r>
      <w:r w:rsidR="000F674F" w:rsidRPr="0063657F">
        <w:rPr>
          <w:rFonts w:eastAsiaTheme="minorHAnsi"/>
        </w:rPr>
        <w:t xml:space="preserve">not </w:t>
      </w:r>
      <w:r w:rsidRPr="0063657F">
        <w:rPr>
          <w:rFonts w:eastAsiaTheme="minorHAnsi"/>
        </w:rPr>
        <w:t>expected to change, the manner in which scope 1 emissions are reported</w:t>
      </w:r>
      <w:r w:rsidR="0099725E" w:rsidRPr="0063657F">
        <w:rPr>
          <w:rFonts w:eastAsiaTheme="minorHAnsi"/>
        </w:rPr>
        <w:t xml:space="preserve"> or calculated</w:t>
      </w:r>
      <w:r w:rsidRPr="0063657F">
        <w:rPr>
          <w:rFonts w:eastAsiaTheme="minorHAnsi"/>
        </w:rPr>
        <w:t xml:space="preserve"> under the Act; or</w:t>
      </w:r>
    </w:p>
    <w:p w:rsidR="00AC6F20" w:rsidRPr="0063657F" w:rsidRDefault="00AC6F20" w:rsidP="00AC6F20">
      <w:pPr>
        <w:pStyle w:val="tPara"/>
        <w:rPr>
          <w:rFonts w:eastAsiaTheme="minorHAnsi"/>
        </w:rPr>
      </w:pPr>
      <w:r w:rsidRPr="0063657F">
        <w:rPr>
          <w:rFonts w:eastAsiaTheme="minorHAnsi"/>
        </w:rPr>
        <w:tab/>
      </w:r>
      <w:r w:rsidR="00F773E9">
        <w:rPr>
          <w:rFonts w:eastAsiaTheme="minorHAnsi"/>
        </w:rPr>
        <w:t>(</w:t>
      </w:r>
      <w:proofErr w:type="gramStart"/>
      <w:r w:rsidR="00F773E9">
        <w:rPr>
          <w:rFonts w:eastAsiaTheme="minorHAnsi"/>
        </w:rPr>
        <w:t>b</w:t>
      </w:r>
      <w:proofErr w:type="gramEnd"/>
      <w:r w:rsidR="00F773E9">
        <w:rPr>
          <w:rFonts w:eastAsiaTheme="minorHAnsi"/>
        </w:rPr>
        <w:t>)</w:t>
      </w:r>
      <w:r w:rsidRPr="0063657F">
        <w:rPr>
          <w:rFonts w:eastAsiaTheme="minorHAnsi"/>
        </w:rPr>
        <w:tab/>
        <w:t xml:space="preserve">caused, or is </w:t>
      </w:r>
      <w:r w:rsidR="000F674F" w:rsidRPr="0063657F">
        <w:rPr>
          <w:rFonts w:eastAsiaTheme="minorHAnsi"/>
        </w:rPr>
        <w:t xml:space="preserve">not </w:t>
      </w:r>
      <w:r w:rsidRPr="0063657F">
        <w:rPr>
          <w:rFonts w:eastAsiaTheme="minorHAnsi"/>
        </w:rPr>
        <w:t>expected to cause, scope 1 emissions of greenhouse gases;</w:t>
      </w:r>
    </w:p>
    <w:p w:rsidR="00AC6F20" w:rsidRPr="0063657F" w:rsidRDefault="00AC6F20" w:rsidP="00AC6F20">
      <w:pPr>
        <w:pStyle w:val="tMain"/>
        <w:spacing w:before="40"/>
        <w:rPr>
          <w:rFonts w:eastAsiaTheme="minorHAnsi"/>
        </w:rPr>
      </w:pPr>
      <w:r w:rsidRPr="0063657F">
        <w:rPr>
          <w:rFonts w:eastAsiaTheme="minorHAnsi"/>
        </w:rPr>
        <w:tab/>
      </w:r>
      <w:r w:rsidRPr="0063657F">
        <w:rPr>
          <w:rFonts w:eastAsiaTheme="minorHAnsi"/>
        </w:rPr>
        <w:tab/>
      </w:r>
      <w:proofErr w:type="gramStart"/>
      <w:r w:rsidRPr="0063657F">
        <w:rPr>
          <w:rFonts w:eastAsiaTheme="minorHAnsi"/>
        </w:rPr>
        <w:t>for</w:t>
      </w:r>
      <w:proofErr w:type="gramEnd"/>
      <w:r w:rsidRPr="0063657F">
        <w:rPr>
          <w:rFonts w:eastAsiaTheme="minorHAnsi"/>
        </w:rPr>
        <w:t xml:space="preserve"> the primary purpose of </w:t>
      </w:r>
      <w:r w:rsidR="00880C59" w:rsidRPr="0063657F">
        <w:rPr>
          <w:rFonts w:eastAsiaTheme="minorHAnsi"/>
        </w:rPr>
        <w:t>exceeding the baseline emission</w:t>
      </w:r>
      <w:r w:rsidR="004A58CC" w:rsidRPr="0063657F">
        <w:rPr>
          <w:rFonts w:eastAsiaTheme="minorHAnsi"/>
        </w:rPr>
        <w:t>s</w:t>
      </w:r>
      <w:r w:rsidR="00880C59" w:rsidRPr="0063657F">
        <w:rPr>
          <w:rFonts w:eastAsiaTheme="minorHAnsi"/>
        </w:rPr>
        <w:t xml:space="preserve"> number in subsection (3).</w:t>
      </w:r>
    </w:p>
    <w:p w:rsidR="001434C6" w:rsidRPr="0063657F" w:rsidRDefault="001434C6" w:rsidP="001434C6">
      <w:pPr>
        <w:pStyle w:val="tMain"/>
      </w:pPr>
      <w:r w:rsidRPr="0063657F">
        <w:tab/>
      </w:r>
      <w:r w:rsidR="00F773E9">
        <w:t>(5)</w:t>
      </w:r>
      <w:r w:rsidRPr="0063657F">
        <w:tab/>
        <w:t>The facility is not a grid-connected electricity generator.</w:t>
      </w:r>
    </w:p>
    <w:p w:rsidR="001434C6" w:rsidRPr="0063657F" w:rsidRDefault="001434C6" w:rsidP="00200310">
      <w:pPr>
        <w:pStyle w:val="tMain"/>
      </w:pPr>
      <w:r w:rsidRPr="0063657F">
        <w:tab/>
      </w:r>
      <w:r w:rsidR="00F773E9">
        <w:t>(6)</w:t>
      </w:r>
      <w:r w:rsidRPr="0063657F">
        <w:tab/>
        <w:t>The calculated-emissions baseline determination to which the applicati</w:t>
      </w:r>
      <w:r w:rsidR="00200310" w:rsidRPr="0063657F">
        <w:t>on relates is to commence on</w:t>
      </w:r>
      <w:r w:rsidRPr="0063657F">
        <w:t xml:space="preserve"> 1 July 2016.</w:t>
      </w:r>
    </w:p>
    <w:p w:rsidR="00F10732" w:rsidRPr="0063657F" w:rsidRDefault="00F773E9" w:rsidP="00F10732">
      <w:pPr>
        <w:pStyle w:val="h5Section"/>
      </w:pPr>
      <w:bookmarkStart w:id="43" w:name="_Toc431896974"/>
      <w:r>
        <w:t>27</w:t>
      </w:r>
      <w:r w:rsidR="00F10732" w:rsidRPr="0063657F">
        <w:t xml:space="preserve"> Information required in applications</w:t>
      </w:r>
      <w:bookmarkEnd w:id="43"/>
      <w:r w:rsidR="00F10732" w:rsidRPr="0063657F">
        <w:t xml:space="preserve"> </w:t>
      </w:r>
    </w:p>
    <w:p w:rsidR="00F10732" w:rsidRPr="0063657F" w:rsidRDefault="00F10732" w:rsidP="00F10732">
      <w:pPr>
        <w:pStyle w:val="tMain"/>
      </w:pPr>
      <w:r w:rsidRPr="0063657F">
        <w:tab/>
      </w:r>
      <w:r w:rsidR="00F773E9">
        <w:t>(1)</w:t>
      </w:r>
      <w:r w:rsidRPr="0063657F">
        <w:tab/>
        <w:t>An application for a calculated-emissions baseline determination must include the following information:</w:t>
      </w:r>
    </w:p>
    <w:p w:rsidR="00120B49" w:rsidRPr="0063657F" w:rsidRDefault="00F10732" w:rsidP="00F10732">
      <w:pPr>
        <w:pStyle w:val="tPara"/>
      </w:pPr>
      <w:r w:rsidRPr="0063657F">
        <w:tab/>
      </w:r>
      <w:r w:rsidR="00F773E9">
        <w:t>(a)</w:t>
      </w:r>
      <w:r w:rsidRPr="0063657F">
        <w:tab/>
      </w:r>
      <w:proofErr w:type="gramStart"/>
      <w:r w:rsidRPr="0063657F">
        <w:t>an</w:t>
      </w:r>
      <w:proofErr w:type="gramEnd"/>
      <w:r w:rsidRPr="0063657F">
        <w:t xml:space="preserve"> explanation </w:t>
      </w:r>
      <w:r w:rsidR="003A4290" w:rsidRPr="0063657F">
        <w:t xml:space="preserve">and supporting evidence </w:t>
      </w:r>
      <w:r w:rsidRPr="0063657F">
        <w:t>substantiating that</w:t>
      </w:r>
      <w:r w:rsidR="00120B49" w:rsidRPr="0063657F">
        <w:t xml:space="preserve"> one or more of the following are satisfied:</w:t>
      </w:r>
    </w:p>
    <w:p w:rsidR="00120B49" w:rsidRPr="0063657F" w:rsidRDefault="00120B49" w:rsidP="00C50DD9">
      <w:pPr>
        <w:pStyle w:val="tSubpara"/>
      </w:pPr>
      <w:r w:rsidRPr="0063657F">
        <w:tab/>
      </w:r>
      <w:r w:rsidR="00F773E9">
        <w:t>(</w:t>
      </w:r>
      <w:proofErr w:type="spellStart"/>
      <w:r w:rsidR="00F773E9">
        <w:t>i</w:t>
      </w:r>
      <w:proofErr w:type="spellEnd"/>
      <w:r w:rsidR="00F773E9">
        <w:t>)</w:t>
      </w:r>
      <w:r w:rsidRPr="0063657F">
        <w:tab/>
      </w:r>
      <w:proofErr w:type="gramStart"/>
      <w:r w:rsidR="00F10732" w:rsidRPr="0063657F">
        <w:t>the</w:t>
      </w:r>
      <w:proofErr w:type="gramEnd"/>
      <w:r w:rsidR="00F10732" w:rsidRPr="0063657F">
        <w:t xml:space="preserve"> new facility criteria</w:t>
      </w:r>
      <w:r w:rsidRPr="0063657F">
        <w:t>;</w:t>
      </w:r>
    </w:p>
    <w:p w:rsidR="00120B49" w:rsidRPr="0063657F" w:rsidRDefault="00120B49" w:rsidP="00C50DD9">
      <w:pPr>
        <w:pStyle w:val="tSubpara"/>
      </w:pPr>
      <w:r w:rsidRPr="0063657F">
        <w:tab/>
      </w:r>
      <w:r w:rsidR="00F773E9">
        <w:t>(ii)</w:t>
      </w:r>
      <w:r w:rsidRPr="0063657F">
        <w:tab/>
      </w:r>
      <w:proofErr w:type="gramStart"/>
      <w:r w:rsidRPr="0063657F">
        <w:t>the</w:t>
      </w:r>
      <w:proofErr w:type="gramEnd"/>
      <w:r w:rsidR="00F10732" w:rsidRPr="0063657F">
        <w:t xml:space="preserve"> s</w:t>
      </w:r>
      <w:r w:rsidR="00AE175B" w:rsidRPr="0063657F">
        <w:t>ignificant expansion criteria</w:t>
      </w:r>
      <w:r w:rsidRPr="0063657F">
        <w:t>;</w:t>
      </w:r>
    </w:p>
    <w:p w:rsidR="00120B49" w:rsidRPr="0063657F" w:rsidRDefault="00120B49" w:rsidP="00C50DD9">
      <w:pPr>
        <w:pStyle w:val="tSubpara"/>
      </w:pPr>
      <w:r w:rsidRPr="0063657F">
        <w:tab/>
      </w:r>
      <w:r w:rsidR="00F773E9">
        <w:t>(iii)</w:t>
      </w:r>
      <w:r w:rsidRPr="0063657F">
        <w:tab/>
      </w:r>
      <w:proofErr w:type="gramStart"/>
      <w:r w:rsidRPr="0063657F">
        <w:t>the</w:t>
      </w:r>
      <w:proofErr w:type="gramEnd"/>
      <w:r w:rsidR="00F10732" w:rsidRPr="0063657F">
        <w:t xml:space="preserve"> inherent emissions variability criteria</w:t>
      </w:r>
      <w:r w:rsidRPr="0063657F">
        <w:t>;</w:t>
      </w:r>
    </w:p>
    <w:p w:rsidR="00F10732" w:rsidRPr="0063657F" w:rsidRDefault="00120B49" w:rsidP="00C50DD9">
      <w:pPr>
        <w:pStyle w:val="tSubpara"/>
      </w:pPr>
      <w:r w:rsidRPr="0063657F">
        <w:tab/>
      </w:r>
      <w:r w:rsidR="00F773E9">
        <w:t>(iv)</w:t>
      </w:r>
      <w:r w:rsidRPr="0063657F">
        <w:tab/>
      </w:r>
      <w:proofErr w:type="gramStart"/>
      <w:r w:rsidRPr="0063657F">
        <w:t>the</w:t>
      </w:r>
      <w:proofErr w:type="gramEnd"/>
      <w:r w:rsidR="00F10732" w:rsidRPr="0063657F">
        <w:t xml:space="preserve"> </w:t>
      </w:r>
      <w:r w:rsidR="00AE175B" w:rsidRPr="0063657F">
        <w:rPr>
          <w:rFonts w:eastAsiaTheme="minorHAnsi"/>
        </w:rPr>
        <w:t>initial calculated baseline criteria</w:t>
      </w:r>
      <w:r w:rsidR="00F10732" w:rsidRPr="0063657F">
        <w:t>;</w:t>
      </w:r>
    </w:p>
    <w:p w:rsidR="00F10732" w:rsidRPr="0063657F" w:rsidRDefault="00F10732" w:rsidP="00F10732">
      <w:pPr>
        <w:pStyle w:val="tPara"/>
      </w:pPr>
      <w:r w:rsidRPr="0063657F">
        <w:tab/>
      </w:r>
      <w:r w:rsidR="00F773E9">
        <w:t>(b)</w:t>
      </w:r>
      <w:r w:rsidRPr="0063657F">
        <w:tab/>
      </w:r>
      <w:proofErr w:type="gramStart"/>
      <w:r w:rsidRPr="0063657F">
        <w:t>an</w:t>
      </w:r>
      <w:proofErr w:type="gramEnd"/>
      <w:r w:rsidRPr="0063657F">
        <w:t xml:space="preserve"> outline of the measures to reduce greenhouse gas emissions</w:t>
      </w:r>
      <w:r w:rsidR="00E11BEA">
        <w:t xml:space="preserve"> </w:t>
      </w:r>
      <w:r w:rsidR="00E7171A">
        <w:t xml:space="preserve">intensity </w:t>
      </w:r>
      <w:r w:rsidRPr="0063657F">
        <w:t xml:space="preserve">undertaken, or to be undertaken, at the facility; </w:t>
      </w:r>
    </w:p>
    <w:p w:rsidR="00F10732" w:rsidRPr="0063657F" w:rsidRDefault="00F10732" w:rsidP="00F10732">
      <w:pPr>
        <w:pStyle w:val="tPara"/>
      </w:pPr>
      <w:r w:rsidRPr="0063657F">
        <w:tab/>
      </w:r>
      <w:r w:rsidR="00F773E9">
        <w:t>(c)</w:t>
      </w:r>
      <w:r w:rsidRPr="0063657F">
        <w:tab/>
      </w:r>
      <w:proofErr w:type="gramStart"/>
      <w:r w:rsidRPr="0063657F">
        <w:t>in</w:t>
      </w:r>
      <w:proofErr w:type="gramEnd"/>
      <w:r w:rsidRPr="0063657F">
        <w:t xml:space="preserve"> accordance with subsection (3), the </w:t>
      </w:r>
      <w:r w:rsidR="00525F0E" w:rsidRPr="0063657F">
        <w:t>quantity</w:t>
      </w:r>
      <w:r w:rsidRPr="0063657F">
        <w:t xml:space="preserve"> of all production variables that are reasonably likely to be produced by the facility in: </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t xml:space="preserve">if the application is received by the Regulator before the first 31 July after the proposed commencement of the calculated-emissions baseline determination—the financial year with the highest expected production </w:t>
      </w:r>
      <w:r w:rsidR="00120B49" w:rsidRPr="0063657F">
        <w:t xml:space="preserve">level </w:t>
      </w:r>
      <w:r w:rsidRPr="0063657F">
        <w:t>of the primary production variable over the period to be covered by the calculated-emissions baseline determination; or</w:t>
      </w:r>
    </w:p>
    <w:p w:rsidR="00F10732" w:rsidRPr="0063657F" w:rsidRDefault="00F10732" w:rsidP="00F10732">
      <w:pPr>
        <w:pStyle w:val="tSubpara"/>
      </w:pPr>
      <w:r w:rsidRPr="0063657F">
        <w:tab/>
      </w:r>
      <w:r w:rsidR="00F773E9">
        <w:t>(ii)</w:t>
      </w:r>
      <w:r w:rsidRPr="0063657F">
        <w:tab/>
        <w:t>if the application is received by the Regulator before the second 31 July after the proposed commencement of the calculated-emissions baseline determination—the financial year with the highest expected production level of the primary production variable over the period to be covered by the calculated-emissions baseline determination other than the first year; or</w:t>
      </w:r>
    </w:p>
    <w:p w:rsidR="00F10732" w:rsidRPr="0063657F" w:rsidRDefault="00F10732" w:rsidP="00F10732">
      <w:pPr>
        <w:pStyle w:val="tSubpara"/>
      </w:pPr>
      <w:r w:rsidRPr="0063657F">
        <w:tab/>
      </w:r>
      <w:r w:rsidR="00F773E9">
        <w:t>(iii)</w:t>
      </w:r>
      <w:r w:rsidRPr="0063657F">
        <w:tab/>
        <w:t xml:space="preserve">if the application is received by the Regulator after the second 31 July after the proposed commencement of the calculated-emissions baseline determination—the financial year with the highest expected production level </w:t>
      </w:r>
      <w:r w:rsidRPr="0063657F">
        <w:lastRenderedPageBreak/>
        <w:t xml:space="preserve">of the primary production variable over the period to be covered by the calculated-emissions baseline determination other than the first or second year; </w:t>
      </w:r>
    </w:p>
    <w:p w:rsidR="00F10732" w:rsidRPr="0063657F" w:rsidRDefault="00F10732" w:rsidP="00F10732">
      <w:pPr>
        <w:pStyle w:val="tPara"/>
      </w:pPr>
      <w:r w:rsidRPr="0063657F">
        <w:tab/>
      </w:r>
      <w:r w:rsidR="00F773E9">
        <w:t>(d)</w:t>
      </w:r>
      <w:r w:rsidRPr="0063657F">
        <w:tab/>
      </w:r>
      <w:proofErr w:type="gramStart"/>
      <w:r w:rsidRPr="0063657F">
        <w:t>the</w:t>
      </w:r>
      <w:proofErr w:type="gramEnd"/>
      <w:r w:rsidRPr="0063657F">
        <w:t xml:space="preserve"> expected </w:t>
      </w:r>
      <w:r w:rsidR="001033B1" w:rsidRPr="0063657F">
        <w:t>emissions intensity</w:t>
      </w:r>
      <w:r w:rsidRPr="0063657F">
        <w:t xml:space="preserve"> per unit of production for each production variable</w:t>
      </w:r>
      <w:r w:rsidR="00401BF7" w:rsidRPr="0063657F">
        <w:t xml:space="preserve"> outlined under paragraph (c</w:t>
      </w:r>
      <w:r w:rsidRPr="0063657F">
        <w:t xml:space="preserve">) consistent with the </w:t>
      </w:r>
      <w:r w:rsidR="001033B1" w:rsidRPr="0063657F">
        <w:t>emissions-intensity</w:t>
      </w:r>
      <w:r w:rsidRPr="0063657F">
        <w:t xml:space="preserve"> calculation criteria;</w:t>
      </w:r>
    </w:p>
    <w:p w:rsidR="00F10732" w:rsidRPr="0063657F" w:rsidRDefault="00F10732" w:rsidP="00F10732">
      <w:pPr>
        <w:pStyle w:val="tPara"/>
      </w:pPr>
      <w:r w:rsidRPr="0063657F">
        <w:tab/>
      </w:r>
      <w:r w:rsidR="00F773E9">
        <w:t>(e)</w:t>
      </w:r>
      <w:r w:rsidRPr="0063657F">
        <w:tab/>
        <w:t xml:space="preserve">the expected covered emissions from the facility </w:t>
      </w:r>
      <w:r w:rsidR="00120B49" w:rsidRPr="0063657F">
        <w:t xml:space="preserve">calculated </w:t>
      </w:r>
      <w:r w:rsidRPr="0063657F">
        <w:t xml:space="preserve">by multiplying the </w:t>
      </w:r>
      <w:r w:rsidR="00EC1496" w:rsidRPr="0063657F">
        <w:t xml:space="preserve">quantity </w:t>
      </w:r>
      <w:r w:rsidRPr="0063657F">
        <w:t>of</w:t>
      </w:r>
      <w:r w:rsidR="00147926" w:rsidRPr="0063657F">
        <w:t xml:space="preserve"> each of</w:t>
      </w:r>
      <w:r w:rsidRPr="0063657F">
        <w:t xml:space="preserve"> the production variables under pa</w:t>
      </w:r>
      <w:r w:rsidR="00401BF7" w:rsidRPr="0063657F">
        <w:t>ragraph (c</w:t>
      </w:r>
      <w:r w:rsidRPr="0063657F">
        <w:t xml:space="preserve">) </w:t>
      </w:r>
      <w:r w:rsidR="0086028F" w:rsidRPr="0063657F">
        <w:t xml:space="preserve">by </w:t>
      </w:r>
      <w:r w:rsidRPr="0063657F">
        <w:t xml:space="preserve">the expected </w:t>
      </w:r>
      <w:r w:rsidR="001033B1" w:rsidRPr="0063657F">
        <w:t>emissions intensity</w:t>
      </w:r>
      <w:r w:rsidRPr="0063657F">
        <w:t xml:space="preserve"> of </w:t>
      </w:r>
      <w:r w:rsidR="00401BF7" w:rsidRPr="0063657F">
        <w:t>that variable under paragraph (d</w:t>
      </w:r>
      <w:r w:rsidRPr="0063657F">
        <w:t>), and summing the results;</w:t>
      </w:r>
    </w:p>
    <w:p w:rsidR="00F10732" w:rsidRPr="0063657F" w:rsidRDefault="00F10732" w:rsidP="00F10732">
      <w:pPr>
        <w:pStyle w:val="tPara"/>
      </w:pPr>
      <w:r w:rsidRPr="0063657F">
        <w:tab/>
      </w:r>
      <w:r w:rsidR="00F773E9">
        <w:t>(f)</w:t>
      </w:r>
      <w:r w:rsidRPr="0063657F">
        <w:tab/>
      </w:r>
      <w:proofErr w:type="gramStart"/>
      <w:r w:rsidRPr="0063657F">
        <w:t>copies</w:t>
      </w:r>
      <w:proofErr w:type="gramEnd"/>
      <w:r w:rsidRPr="0063657F">
        <w:t xml:space="preserve"> of the most recent environmental impact assessments </w:t>
      </w:r>
      <w:r w:rsidR="00F9793D" w:rsidRPr="0063657F">
        <w:t xml:space="preserve">(if any) </w:t>
      </w:r>
      <w:r w:rsidRPr="0063657F">
        <w:t>relating to activities at the facility which result in significant emissions of greenhouse gases;</w:t>
      </w:r>
    </w:p>
    <w:p w:rsidR="00525F0E" w:rsidRPr="0063657F" w:rsidRDefault="00525F0E" w:rsidP="00525F0E">
      <w:pPr>
        <w:pStyle w:val="tPara"/>
      </w:pPr>
      <w:r w:rsidRPr="0063657F">
        <w:tab/>
      </w:r>
      <w:r w:rsidR="00F773E9">
        <w:t>(g)</w:t>
      </w:r>
      <w:r w:rsidRPr="0063657F">
        <w:tab/>
      </w:r>
      <w:proofErr w:type="gramStart"/>
      <w:r w:rsidR="005D24E5" w:rsidRPr="0063657F">
        <w:t>any</w:t>
      </w:r>
      <w:proofErr w:type="gramEnd"/>
      <w:r w:rsidR="005D24E5" w:rsidRPr="0063657F">
        <w:t xml:space="preserve"> </w:t>
      </w:r>
      <w:r w:rsidRPr="0063657F">
        <w:t xml:space="preserve">relevant earlier estimates of the </w:t>
      </w:r>
      <w:r w:rsidR="00176D25" w:rsidRPr="0063657F">
        <w:t>information required by</w:t>
      </w:r>
      <w:r w:rsidRPr="0063657F">
        <w:t xml:space="preserve"> paragraph (c), </w:t>
      </w:r>
      <w:r w:rsidR="005D24E5" w:rsidRPr="0063657F">
        <w:t xml:space="preserve">(d) </w:t>
      </w:r>
      <w:r w:rsidR="00176D25" w:rsidRPr="0063657F">
        <w:t>and (e);</w:t>
      </w:r>
    </w:p>
    <w:p w:rsidR="00F10732" w:rsidRPr="0063657F" w:rsidRDefault="00F10732" w:rsidP="00F10732">
      <w:pPr>
        <w:pStyle w:val="tPara"/>
      </w:pPr>
      <w:r w:rsidRPr="0063657F">
        <w:tab/>
      </w:r>
      <w:r w:rsidR="00F773E9">
        <w:t>(h)</w:t>
      </w:r>
      <w:r w:rsidRPr="0063657F">
        <w:tab/>
      </w:r>
      <w:proofErr w:type="gramStart"/>
      <w:r w:rsidRPr="0063657F">
        <w:t>if</w:t>
      </w:r>
      <w:proofErr w:type="gramEnd"/>
      <w:r w:rsidRPr="0063657F">
        <w:t xml:space="preserve"> the </w:t>
      </w:r>
      <w:r w:rsidR="00176D25" w:rsidRPr="0063657F">
        <w:t>information provided under paragraph (c), (d) or (e)</w:t>
      </w:r>
      <w:r w:rsidRPr="0063657F">
        <w:t xml:space="preserve"> is different from</w:t>
      </w:r>
      <w:r w:rsidR="00954EAE" w:rsidRPr="0063657F">
        <w:t xml:space="preserve"> </w:t>
      </w:r>
      <w:r w:rsidR="00176D25" w:rsidRPr="0063657F">
        <w:t xml:space="preserve">the </w:t>
      </w:r>
      <w:r w:rsidR="00331991" w:rsidRPr="0063657F">
        <w:t xml:space="preserve">relevant earlier </w:t>
      </w:r>
      <w:r w:rsidR="00954EAE" w:rsidRPr="0063657F">
        <w:t>estimates</w:t>
      </w:r>
      <w:r w:rsidR="00176D25" w:rsidRPr="0063657F">
        <w:t xml:space="preserve"> under paragraph (g)</w:t>
      </w:r>
      <w:r w:rsidR="00E7119B" w:rsidRPr="0063657F">
        <w:t>—</w:t>
      </w:r>
      <w:r w:rsidRPr="0063657F">
        <w:t>the reasons why this is the case;</w:t>
      </w:r>
    </w:p>
    <w:p w:rsidR="00F10732" w:rsidRPr="0063657F" w:rsidRDefault="00F10732" w:rsidP="00F10732">
      <w:pPr>
        <w:pStyle w:val="tPara"/>
      </w:pPr>
      <w:r w:rsidRPr="0063657F">
        <w:tab/>
      </w:r>
      <w:r w:rsidR="00F773E9">
        <w:t>(</w:t>
      </w:r>
      <w:proofErr w:type="spellStart"/>
      <w:r w:rsidR="00F773E9">
        <w:t>i</w:t>
      </w:r>
      <w:proofErr w:type="spellEnd"/>
      <w:r w:rsidR="00F773E9">
        <w:t>)</w:t>
      </w:r>
      <w:r w:rsidRPr="0063657F">
        <w:tab/>
      </w:r>
      <w:proofErr w:type="gramStart"/>
      <w:r w:rsidRPr="0063657F">
        <w:t>historical</w:t>
      </w:r>
      <w:proofErr w:type="gramEnd"/>
      <w:r w:rsidRPr="0063657F">
        <w:t xml:space="preserve"> emissions and production data that supports the estima</w:t>
      </w:r>
      <w:r w:rsidR="008B253C" w:rsidRPr="0063657F">
        <w:t>tes in paragraphs</w:t>
      </w:r>
      <w:r w:rsidR="00120B49" w:rsidRPr="0063657F">
        <w:t> </w:t>
      </w:r>
      <w:r w:rsidR="008B253C" w:rsidRPr="0063657F">
        <w:t>(c) and (d).</w:t>
      </w:r>
    </w:p>
    <w:p w:rsidR="00F10732" w:rsidRPr="0063657F" w:rsidRDefault="00F10732" w:rsidP="00F10732">
      <w:pPr>
        <w:pStyle w:val="tMain"/>
      </w:pPr>
      <w:r w:rsidRPr="0063657F">
        <w:tab/>
      </w:r>
      <w:r w:rsidR="00F773E9">
        <w:t>(2)</w:t>
      </w:r>
      <w:r w:rsidRPr="0063657F">
        <w:tab/>
        <w:t>If the significant expansion criteria are met in relation to the application</w:t>
      </w:r>
      <w:r w:rsidR="00120B49" w:rsidRPr="0063657F">
        <w:t xml:space="preserve">, </w:t>
      </w:r>
      <w:r w:rsidRPr="0063657F">
        <w:t>the application for a calculated-emissions baseline determination must include the following information or documents:</w:t>
      </w:r>
    </w:p>
    <w:p w:rsidR="00F10732" w:rsidRPr="0063657F" w:rsidRDefault="00F10732" w:rsidP="00F10732">
      <w:pPr>
        <w:pStyle w:val="tPara"/>
      </w:pPr>
      <w:r w:rsidRPr="0063657F">
        <w:tab/>
      </w:r>
      <w:r w:rsidR="00F773E9">
        <w:t>(</w:t>
      </w:r>
      <w:proofErr w:type="gramStart"/>
      <w:r w:rsidR="00F773E9">
        <w:t>a</w:t>
      </w:r>
      <w:proofErr w:type="gramEnd"/>
      <w:r w:rsidR="00F773E9">
        <w:t>)</w:t>
      </w:r>
      <w:r w:rsidRPr="0063657F">
        <w:tab/>
        <w:t>if subparagraph 24(2)(b)(</w:t>
      </w:r>
      <w:proofErr w:type="spellStart"/>
      <w:r w:rsidRPr="0063657F">
        <w:t>i</w:t>
      </w:r>
      <w:proofErr w:type="spellEnd"/>
      <w:r w:rsidRPr="0063657F">
        <w:t xml:space="preserve">) applies—evidence of the maximum productive capacity of the equipment at the facility before and after the significant expansion; </w:t>
      </w:r>
    </w:p>
    <w:p w:rsidR="005521DD" w:rsidRPr="0063657F" w:rsidRDefault="005521DD" w:rsidP="005521DD">
      <w:pPr>
        <w:pStyle w:val="tPara"/>
      </w:pPr>
      <w:r w:rsidRPr="0063657F">
        <w:tab/>
      </w:r>
      <w:r w:rsidR="00F773E9">
        <w:t>(b)</w:t>
      </w:r>
      <w:r w:rsidRPr="0063657F">
        <w:tab/>
      </w:r>
      <w:proofErr w:type="gramStart"/>
      <w:r w:rsidRPr="0063657F">
        <w:t>if</w:t>
      </w:r>
      <w:proofErr w:type="gramEnd"/>
      <w:r w:rsidRPr="0063657F">
        <w:t xml:space="preserve"> subparagrap</w:t>
      </w:r>
      <w:r w:rsidR="00DD28CA" w:rsidRPr="0063657F">
        <w:t>h 24(2)(b)(ii) applies—evidence</w:t>
      </w:r>
      <w:r w:rsidRPr="0063657F">
        <w:t xml:space="preserve"> that the new production variable was not produced before the relevant expansion period and is not a replacement production variable;</w:t>
      </w:r>
    </w:p>
    <w:p w:rsidR="00F10732" w:rsidRPr="0063657F" w:rsidRDefault="00F10732" w:rsidP="00F10732">
      <w:pPr>
        <w:pStyle w:val="tPara"/>
      </w:pPr>
      <w:r w:rsidRPr="0063657F">
        <w:tab/>
      </w:r>
      <w:r w:rsidR="00F773E9">
        <w:t>(c)</w:t>
      </w:r>
      <w:r w:rsidRPr="0063657F">
        <w:tab/>
      </w:r>
      <w:proofErr w:type="gramStart"/>
      <w:r w:rsidRPr="0063657F">
        <w:t>if</w:t>
      </w:r>
      <w:proofErr w:type="gramEnd"/>
      <w:r w:rsidRPr="0063657F">
        <w:t xml:space="preserve"> the facility is a landfill facility—evidence of the licensed capacity of the facility before and after the significant expansion.</w:t>
      </w:r>
    </w:p>
    <w:p w:rsidR="00F10732" w:rsidRPr="0063657F" w:rsidRDefault="00F10732" w:rsidP="00F10732">
      <w:pPr>
        <w:pStyle w:val="tMain"/>
      </w:pPr>
      <w:r w:rsidRPr="0063657F">
        <w:tab/>
      </w:r>
      <w:r w:rsidR="00F773E9">
        <w:t>(3)</w:t>
      </w:r>
      <w:r w:rsidRPr="0063657F">
        <w:tab/>
      </w:r>
      <w:r w:rsidR="00437B80" w:rsidRPr="0063657F">
        <w:t>For the purposes of paragraph (1)(c), t</w:t>
      </w:r>
      <w:r w:rsidRPr="0063657F">
        <w:t xml:space="preserve">he </w:t>
      </w:r>
      <w:r w:rsidR="00EC1496" w:rsidRPr="0063657F">
        <w:t>quantity</w:t>
      </w:r>
      <w:r w:rsidRPr="0063657F">
        <w:t xml:space="preserve"> of a production variable other than a service unit must </w:t>
      </w:r>
      <w:r w:rsidR="00380FF8" w:rsidRPr="0063657F">
        <w:t xml:space="preserve">be calculated on that basis that </w:t>
      </w:r>
      <w:r w:rsidRPr="0063657F">
        <w:t>the variable will be measured at a time that is as close as possible to when the variable enters, or leaves, the production or processing process or landfill facility.</w:t>
      </w:r>
    </w:p>
    <w:p w:rsidR="00F10732" w:rsidRPr="0063657F" w:rsidRDefault="00F773E9" w:rsidP="00F10732">
      <w:pPr>
        <w:pStyle w:val="h5Section"/>
      </w:pPr>
      <w:bookmarkStart w:id="44" w:name="_Toc431896975"/>
      <w:r>
        <w:t>28</w:t>
      </w:r>
      <w:r w:rsidR="00F10732" w:rsidRPr="0063657F">
        <w:t xml:space="preserve"> Audit reports</w:t>
      </w:r>
      <w:bookmarkEnd w:id="44"/>
      <w:r w:rsidR="00F10732" w:rsidRPr="0063657F">
        <w:t xml:space="preserve"> </w:t>
      </w:r>
    </w:p>
    <w:p w:rsidR="00F10732" w:rsidRPr="0063657F" w:rsidRDefault="00F10732" w:rsidP="00F10732">
      <w:pPr>
        <w:pStyle w:val="tMain"/>
      </w:pPr>
      <w:r w:rsidRPr="0063657F">
        <w:tab/>
      </w:r>
      <w:r w:rsidR="00F773E9">
        <w:t>(1)</w:t>
      </w:r>
      <w:r w:rsidRPr="0063657F">
        <w:tab/>
        <w:t>An application must be accompanied by an audit report which complies with this section.</w:t>
      </w:r>
    </w:p>
    <w:p w:rsidR="00F10732" w:rsidRPr="0063657F" w:rsidRDefault="00F10732" w:rsidP="00F10732">
      <w:pPr>
        <w:pStyle w:val="tMain"/>
      </w:pPr>
      <w:r w:rsidRPr="0063657F">
        <w:tab/>
      </w:r>
      <w:r w:rsidR="00F773E9">
        <w:t>(2)</w:t>
      </w:r>
      <w:r w:rsidRPr="0063657F">
        <w:tab/>
        <w:t>The matters to be audited and covered by the audit report are whether, in all material respects:</w:t>
      </w:r>
    </w:p>
    <w:p w:rsidR="00F10732" w:rsidRPr="0063657F" w:rsidRDefault="00F10732" w:rsidP="00492223">
      <w:pPr>
        <w:pStyle w:val="h6Subsec"/>
      </w:pPr>
      <w:r w:rsidRPr="0063657F">
        <w:t>Reasonable assurance matters</w:t>
      </w:r>
    </w:p>
    <w:p w:rsidR="00F10732" w:rsidRPr="0063657F" w:rsidRDefault="00F10732" w:rsidP="00F10732">
      <w:pPr>
        <w:pStyle w:val="tPara"/>
      </w:pPr>
      <w:r w:rsidRPr="0063657F">
        <w:tab/>
      </w:r>
      <w:r w:rsidR="00F773E9">
        <w:t>(a)</w:t>
      </w:r>
      <w:r w:rsidRPr="0063657F">
        <w:tab/>
        <w:t xml:space="preserve">if the </w:t>
      </w:r>
      <w:r w:rsidR="00880C59" w:rsidRPr="0063657F">
        <w:t xml:space="preserve">new facility criteria, </w:t>
      </w:r>
      <w:r w:rsidRPr="0063657F">
        <w:t>significant expansion criteria</w:t>
      </w:r>
      <w:r w:rsidR="00880C59" w:rsidRPr="0063657F">
        <w:t>,</w:t>
      </w:r>
      <w:r w:rsidRPr="0063657F">
        <w:t xml:space="preserve"> inherent emissions variability criteria </w:t>
      </w:r>
      <w:r w:rsidR="00880C59" w:rsidRPr="0063657F">
        <w:t xml:space="preserve">or initial calculated baseline criteria </w:t>
      </w:r>
      <w:r w:rsidRPr="0063657F">
        <w:t>are relied upon by the applicant—those criteria are satisfied; and</w:t>
      </w:r>
    </w:p>
    <w:p w:rsidR="00F10732" w:rsidRPr="0063657F" w:rsidRDefault="00F10732" w:rsidP="00F10732">
      <w:pPr>
        <w:pStyle w:val="tPara"/>
      </w:pPr>
      <w:r w:rsidRPr="0063657F">
        <w:tab/>
      </w:r>
      <w:r w:rsidR="00F773E9">
        <w:t>(b)</w:t>
      </w:r>
      <w:r w:rsidRPr="0063657F">
        <w:tab/>
      </w:r>
      <w:proofErr w:type="gramStart"/>
      <w:r w:rsidRPr="0063657F">
        <w:t>the</w:t>
      </w:r>
      <w:proofErr w:type="gramEnd"/>
      <w:r w:rsidRPr="0063657F">
        <w:t xml:space="preserve"> application has been</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prepared</w:t>
      </w:r>
      <w:proofErr w:type="gramEnd"/>
      <w:r w:rsidRPr="0063657F">
        <w:t xml:space="preserve"> in accordance with section </w:t>
      </w:r>
      <w:r w:rsidR="00B36BC8" w:rsidRPr="0063657F">
        <w:t>27</w:t>
      </w:r>
      <w:r w:rsidRPr="0063657F">
        <w:t>; and</w:t>
      </w:r>
    </w:p>
    <w:p w:rsidR="00F10732" w:rsidRPr="0063657F" w:rsidRDefault="00F10732" w:rsidP="00F10732">
      <w:pPr>
        <w:pStyle w:val="tSubpara"/>
      </w:pPr>
      <w:r w:rsidRPr="0063657F">
        <w:tab/>
      </w:r>
      <w:r w:rsidR="00F773E9">
        <w:t>(ii)</w:t>
      </w:r>
      <w:r w:rsidRPr="0063657F">
        <w:tab/>
      </w:r>
      <w:proofErr w:type="gramStart"/>
      <w:r w:rsidRPr="0063657F">
        <w:t>presented</w:t>
      </w:r>
      <w:proofErr w:type="gramEnd"/>
      <w:r w:rsidRPr="0063657F">
        <w:t xml:space="preserve"> fairly; and</w:t>
      </w:r>
    </w:p>
    <w:p w:rsidR="00F10732" w:rsidRPr="0063657F" w:rsidRDefault="00F10732" w:rsidP="00F10732">
      <w:pPr>
        <w:pStyle w:val="h6Subsec"/>
      </w:pPr>
      <w:r w:rsidRPr="0063657F">
        <w:t>Limited assurance matters</w:t>
      </w:r>
    </w:p>
    <w:p w:rsidR="00F10732" w:rsidRPr="0063657F" w:rsidRDefault="00F10732" w:rsidP="00F10732">
      <w:pPr>
        <w:pStyle w:val="tPara"/>
      </w:pPr>
      <w:r w:rsidRPr="0063657F">
        <w:tab/>
      </w:r>
      <w:r w:rsidR="00F773E9">
        <w:t>(c)</w:t>
      </w:r>
      <w:r w:rsidRPr="0063657F">
        <w:tab/>
      </w:r>
      <w:proofErr w:type="gramStart"/>
      <w:r w:rsidRPr="0063657F">
        <w:t>the</w:t>
      </w:r>
      <w:proofErr w:type="gramEnd"/>
      <w:r w:rsidRPr="0063657F">
        <w:t xml:space="preserve"> estimates of the quantity of each production variable under paragraph </w:t>
      </w:r>
      <w:r w:rsidR="00B36BC8" w:rsidRPr="0063657F">
        <w:t>27</w:t>
      </w:r>
      <w:r w:rsidRPr="0063657F">
        <w:t xml:space="preserve">(1)(c) and </w:t>
      </w:r>
      <w:r w:rsidR="001033B1" w:rsidRPr="0063657F">
        <w:t>emissions intensity</w:t>
      </w:r>
      <w:r w:rsidRPr="0063657F">
        <w:t xml:space="preserve"> of each production variable are:</w:t>
      </w:r>
    </w:p>
    <w:p w:rsidR="00F10732" w:rsidRPr="0063657F" w:rsidRDefault="00F10732" w:rsidP="0017255A">
      <w:pPr>
        <w:pStyle w:val="tSubpara"/>
      </w:pPr>
      <w:r w:rsidRPr="0063657F">
        <w:lastRenderedPageBreak/>
        <w:tab/>
      </w:r>
      <w:r w:rsidR="00F773E9">
        <w:t>(</w:t>
      </w:r>
      <w:proofErr w:type="spellStart"/>
      <w:r w:rsidR="00F773E9">
        <w:t>i</w:t>
      </w:r>
      <w:proofErr w:type="spellEnd"/>
      <w:r w:rsidR="00F773E9">
        <w:t>)</w:t>
      </w:r>
      <w:r w:rsidRPr="0063657F">
        <w:tab/>
      </w:r>
      <w:proofErr w:type="gramStart"/>
      <w:r w:rsidR="0017255A" w:rsidRPr="0063657F">
        <w:t>based</w:t>
      </w:r>
      <w:proofErr w:type="gramEnd"/>
      <w:r w:rsidR="0017255A" w:rsidRPr="0063657F">
        <w:t xml:space="preserve"> on</w:t>
      </w:r>
      <w:r w:rsidRPr="0063657F">
        <w:t xml:space="preserve"> the applicant’s assumptions </w:t>
      </w:r>
      <w:r w:rsidR="0017255A" w:rsidRPr="0063657F">
        <w:t xml:space="preserve">which </w:t>
      </w:r>
      <w:r w:rsidRPr="0063657F">
        <w:t>provide a reasonab</w:t>
      </w:r>
      <w:r w:rsidR="0017255A" w:rsidRPr="0063657F">
        <w:t>le basis for the estimates; and</w:t>
      </w:r>
    </w:p>
    <w:p w:rsidR="0017255A" w:rsidRPr="0063657F" w:rsidRDefault="00F10732" w:rsidP="00F10732">
      <w:pPr>
        <w:pStyle w:val="tSubpara"/>
      </w:pPr>
      <w:r w:rsidRPr="0063657F">
        <w:tab/>
      </w:r>
      <w:r w:rsidR="00F773E9">
        <w:t>(ii)</w:t>
      </w:r>
      <w:r w:rsidRPr="0063657F">
        <w:tab/>
      </w:r>
      <w:proofErr w:type="gramStart"/>
      <w:r w:rsidR="0017255A" w:rsidRPr="0063657F">
        <w:t>calculated</w:t>
      </w:r>
      <w:proofErr w:type="gramEnd"/>
      <w:r w:rsidR="0017255A" w:rsidRPr="0063657F">
        <w:t xml:space="preserve"> on the basis of the applicant’s assumptions and any historical data that is:</w:t>
      </w:r>
    </w:p>
    <w:p w:rsidR="0017255A" w:rsidRPr="0063657F" w:rsidRDefault="0017255A" w:rsidP="0017255A">
      <w:pPr>
        <w:pStyle w:val="tSubsub"/>
      </w:pPr>
      <w:r w:rsidRPr="0063657F">
        <w:tab/>
      </w:r>
      <w:r w:rsidR="00F773E9">
        <w:t>(A)</w:t>
      </w:r>
      <w:r w:rsidRPr="0063657F">
        <w:tab/>
      </w:r>
      <w:proofErr w:type="gramStart"/>
      <w:r w:rsidRPr="0063657F">
        <w:t>fairly</w:t>
      </w:r>
      <w:proofErr w:type="gramEnd"/>
      <w:r w:rsidRPr="0063657F">
        <w:t xml:space="preserve"> stated; and</w:t>
      </w:r>
    </w:p>
    <w:p w:rsidR="0017255A" w:rsidRPr="0063657F" w:rsidRDefault="0017255A" w:rsidP="0017255A">
      <w:pPr>
        <w:pStyle w:val="tSubsub"/>
      </w:pPr>
      <w:r w:rsidRPr="0063657F">
        <w:tab/>
      </w:r>
      <w:r w:rsidR="00F773E9">
        <w:t>(B)</w:t>
      </w:r>
      <w:r w:rsidRPr="0063657F">
        <w:tab/>
        <w:t xml:space="preserve">if related to </w:t>
      </w:r>
      <w:r w:rsidR="001033B1" w:rsidRPr="0063657F">
        <w:t>emissions intensity</w:t>
      </w:r>
      <w:r w:rsidRPr="0063657F">
        <w:t xml:space="preserve">—reasonably expected to reflect the </w:t>
      </w:r>
      <w:r w:rsidR="001033B1" w:rsidRPr="0063657F">
        <w:t>emissions intensity</w:t>
      </w:r>
      <w:r w:rsidRPr="0063657F">
        <w:t xml:space="preserve"> of the facility in the financial year determined under paragraph 27(1)(c); and</w:t>
      </w:r>
    </w:p>
    <w:p w:rsidR="00F10732" w:rsidRPr="0063657F" w:rsidRDefault="0017255A" w:rsidP="0017255A">
      <w:pPr>
        <w:pStyle w:val="tSubpara"/>
      </w:pPr>
      <w:r w:rsidRPr="0063657F">
        <w:tab/>
      </w:r>
      <w:r w:rsidR="00F773E9">
        <w:t>(iii)</w:t>
      </w:r>
      <w:r w:rsidRPr="0063657F">
        <w:tab/>
      </w:r>
      <w:proofErr w:type="gramStart"/>
      <w:r w:rsidRPr="0063657F">
        <w:t>reasonable</w:t>
      </w:r>
      <w:proofErr w:type="gramEnd"/>
      <w:r w:rsidRPr="0063657F">
        <w:t>.</w:t>
      </w:r>
    </w:p>
    <w:p w:rsidR="00F10732" w:rsidRPr="0063657F" w:rsidRDefault="00F10732" w:rsidP="00F10732">
      <w:pPr>
        <w:pStyle w:val="tMain"/>
      </w:pPr>
      <w:r w:rsidRPr="0063657F">
        <w:tab/>
      </w:r>
      <w:r w:rsidR="00F773E9">
        <w:t>(3)</w:t>
      </w:r>
      <w:r w:rsidRPr="0063657F">
        <w:tab/>
        <w:t>The audit report must include one of the following conclusions for the matters in paragraphs (2</w:t>
      </w:r>
      <w:proofErr w:type="gramStart"/>
      <w:r w:rsidRPr="0063657F">
        <w:t>)(</w:t>
      </w:r>
      <w:proofErr w:type="gramEnd"/>
      <w:r w:rsidRPr="0063657F">
        <w:t>a) and (b):</w:t>
      </w:r>
    </w:p>
    <w:p w:rsidR="00F10732" w:rsidRPr="0063657F" w:rsidRDefault="00F10732" w:rsidP="00F10732">
      <w:pPr>
        <w:pStyle w:val="tPara"/>
      </w:pPr>
      <w:r w:rsidRPr="0063657F">
        <w:tab/>
      </w:r>
      <w:r w:rsidR="00F773E9">
        <w:t>(a)</w:t>
      </w:r>
      <w:r w:rsidRPr="0063657F">
        <w:tab/>
      </w:r>
      <w:proofErr w:type="gramStart"/>
      <w:r w:rsidRPr="0063657F">
        <w:t>a</w:t>
      </w:r>
      <w:proofErr w:type="gramEnd"/>
      <w:r w:rsidRPr="0063657F">
        <w:t xml:space="preserve"> reasonable assurance conclusion;</w:t>
      </w:r>
    </w:p>
    <w:p w:rsidR="00F10732" w:rsidRPr="0063657F" w:rsidRDefault="00F10732" w:rsidP="00F10732">
      <w:pPr>
        <w:pStyle w:val="tPara"/>
      </w:pPr>
      <w:r w:rsidRPr="0063657F">
        <w:tab/>
      </w:r>
      <w:r w:rsidR="00F773E9">
        <w:t>(b)</w:t>
      </w:r>
      <w:r w:rsidRPr="0063657F">
        <w:tab/>
      </w:r>
      <w:proofErr w:type="gramStart"/>
      <w:r w:rsidRPr="0063657F">
        <w:t>a</w:t>
      </w:r>
      <w:proofErr w:type="gramEnd"/>
      <w:r w:rsidRPr="0063657F">
        <w:t xml:space="preserve"> qualified reasonable assurance conclusion;</w:t>
      </w:r>
    </w:p>
    <w:p w:rsidR="00F10732" w:rsidRPr="0063657F" w:rsidRDefault="00F10732" w:rsidP="00F10732">
      <w:pPr>
        <w:pStyle w:val="tPara"/>
      </w:pPr>
      <w:r w:rsidRPr="0063657F">
        <w:tab/>
      </w:r>
      <w:r w:rsidR="00F773E9">
        <w:t>(c)</w:t>
      </w:r>
      <w:r w:rsidRPr="0063657F">
        <w:tab/>
      </w:r>
      <w:proofErr w:type="gramStart"/>
      <w:r w:rsidRPr="0063657F">
        <w:t>an</w:t>
      </w:r>
      <w:proofErr w:type="gramEnd"/>
      <w:r w:rsidRPr="0063657F">
        <w:t xml:space="preserve"> adverse conclusion;</w:t>
      </w:r>
    </w:p>
    <w:p w:rsidR="00F10732" w:rsidRPr="0063657F" w:rsidRDefault="00F10732" w:rsidP="00F10732">
      <w:pPr>
        <w:pStyle w:val="tPara"/>
      </w:pPr>
      <w:r w:rsidRPr="0063657F">
        <w:tab/>
      </w:r>
      <w:r w:rsidR="00F773E9">
        <w:t>(d)</w:t>
      </w:r>
      <w:r w:rsidRPr="0063657F">
        <w:tab/>
      </w:r>
      <w:proofErr w:type="gramStart"/>
      <w:r w:rsidRPr="0063657F">
        <w:t>a</w:t>
      </w:r>
      <w:proofErr w:type="gramEnd"/>
      <w:r w:rsidRPr="0063657F">
        <w:t xml:space="preserve"> conclusion that </w:t>
      </w:r>
      <w:r w:rsidR="00A72BB5" w:rsidRPr="0063657F">
        <w:t xml:space="preserve">the </w:t>
      </w:r>
      <w:r w:rsidRPr="0063657F">
        <w:t xml:space="preserve">assurance provider is unable to form an opinion about the matter being audited. </w:t>
      </w:r>
    </w:p>
    <w:p w:rsidR="00F10732" w:rsidRPr="0063657F" w:rsidRDefault="00F10732" w:rsidP="00F10732">
      <w:pPr>
        <w:pStyle w:val="tMain"/>
      </w:pPr>
      <w:r w:rsidRPr="0063657F">
        <w:tab/>
      </w:r>
      <w:r w:rsidR="00F773E9">
        <w:t>(4)</w:t>
      </w:r>
      <w:r w:rsidRPr="0063657F">
        <w:tab/>
        <w:t>The audit report must include one of the following conclusions for the matters in paragraph (2</w:t>
      </w:r>
      <w:proofErr w:type="gramStart"/>
      <w:r w:rsidRPr="0063657F">
        <w:t>)(</w:t>
      </w:r>
      <w:proofErr w:type="gramEnd"/>
      <w:r w:rsidRPr="0063657F">
        <w:t>c):</w:t>
      </w:r>
    </w:p>
    <w:p w:rsidR="00F10732" w:rsidRPr="0063657F" w:rsidRDefault="00F10732" w:rsidP="00F10732">
      <w:pPr>
        <w:pStyle w:val="tPara"/>
      </w:pPr>
      <w:r w:rsidRPr="0063657F">
        <w:tab/>
      </w:r>
      <w:r w:rsidR="00F773E9">
        <w:t>(a)</w:t>
      </w:r>
      <w:r w:rsidRPr="0063657F">
        <w:tab/>
      </w:r>
      <w:proofErr w:type="gramStart"/>
      <w:r w:rsidRPr="0063657F">
        <w:t>a</w:t>
      </w:r>
      <w:proofErr w:type="gramEnd"/>
      <w:r w:rsidRPr="0063657F">
        <w:t xml:space="preserve"> limited assurance conclusion;</w:t>
      </w:r>
    </w:p>
    <w:p w:rsidR="00F10732" w:rsidRPr="0063657F" w:rsidRDefault="00F10732" w:rsidP="00F10732">
      <w:pPr>
        <w:pStyle w:val="tPara"/>
      </w:pPr>
      <w:r w:rsidRPr="0063657F">
        <w:tab/>
      </w:r>
      <w:r w:rsidR="00F773E9">
        <w:t>(b)</w:t>
      </w:r>
      <w:r w:rsidRPr="0063657F">
        <w:tab/>
      </w:r>
      <w:proofErr w:type="gramStart"/>
      <w:r w:rsidRPr="0063657F">
        <w:t>a</w:t>
      </w:r>
      <w:proofErr w:type="gramEnd"/>
      <w:r w:rsidRPr="0063657F">
        <w:t xml:space="preserve"> qualified limited assurance conclusion;</w:t>
      </w:r>
    </w:p>
    <w:p w:rsidR="00F10732" w:rsidRPr="0063657F" w:rsidRDefault="00F10732" w:rsidP="00F10732">
      <w:pPr>
        <w:pStyle w:val="tPara"/>
      </w:pPr>
      <w:r w:rsidRPr="0063657F">
        <w:tab/>
      </w:r>
      <w:r w:rsidR="00F773E9">
        <w:t>(c)</w:t>
      </w:r>
      <w:r w:rsidRPr="0063657F">
        <w:tab/>
      </w:r>
      <w:proofErr w:type="gramStart"/>
      <w:r w:rsidRPr="0063657F">
        <w:t>an</w:t>
      </w:r>
      <w:proofErr w:type="gramEnd"/>
      <w:r w:rsidRPr="0063657F">
        <w:t xml:space="preserve"> adverse conclusion;</w:t>
      </w:r>
    </w:p>
    <w:p w:rsidR="00F10732" w:rsidRPr="0063657F" w:rsidRDefault="00F10732" w:rsidP="00F10732">
      <w:pPr>
        <w:pStyle w:val="tPara"/>
      </w:pPr>
      <w:r w:rsidRPr="0063657F">
        <w:tab/>
      </w:r>
      <w:r w:rsidR="00F773E9">
        <w:t>(d)</w:t>
      </w:r>
      <w:r w:rsidRPr="0063657F">
        <w:tab/>
      </w:r>
      <w:proofErr w:type="gramStart"/>
      <w:r w:rsidRPr="0063657F">
        <w:t>a</w:t>
      </w:r>
      <w:proofErr w:type="gramEnd"/>
      <w:r w:rsidRPr="0063657F">
        <w:t xml:space="preserve"> conclusion that </w:t>
      </w:r>
      <w:r w:rsidR="00A72BB5" w:rsidRPr="0063657F">
        <w:t xml:space="preserve">the </w:t>
      </w:r>
      <w:r w:rsidRPr="0063657F">
        <w:t xml:space="preserve">assurance provider is unable to form an opinion about the matter being audited. </w:t>
      </w:r>
    </w:p>
    <w:p w:rsidR="00F10732" w:rsidRPr="0063657F" w:rsidRDefault="00F10732" w:rsidP="00F10732">
      <w:pPr>
        <w:pStyle w:val="tMain"/>
      </w:pPr>
      <w:r w:rsidRPr="0063657F">
        <w:tab/>
      </w:r>
      <w:r w:rsidR="00F773E9">
        <w:t>(5)</w:t>
      </w:r>
      <w:r w:rsidRPr="0063657F">
        <w:tab/>
        <w:t>An audit report under this section must be the result of an audit which:</w:t>
      </w:r>
    </w:p>
    <w:p w:rsidR="00F10732" w:rsidRPr="0063657F" w:rsidRDefault="00F10732" w:rsidP="00F10732">
      <w:pPr>
        <w:pStyle w:val="tPara"/>
      </w:pPr>
      <w:r w:rsidRPr="0063657F">
        <w:tab/>
        <w:t>(a)</w:t>
      </w:r>
      <w:r w:rsidRPr="0063657F">
        <w:tab/>
      </w:r>
      <w:proofErr w:type="gramStart"/>
      <w:r w:rsidRPr="0063657F">
        <w:t>was</w:t>
      </w:r>
      <w:proofErr w:type="gramEnd"/>
      <w:r w:rsidRPr="0063657F">
        <w:t xml:space="preserve"> conducted in accordance with the relevant requirements for limited assurance engagements and reasonable assurance engagements under the </w:t>
      </w:r>
      <w:r w:rsidRPr="0063657F">
        <w:rPr>
          <w:i/>
        </w:rPr>
        <w:t>National Greenhouse and Energy Reporting (Audit) Determination 2009</w:t>
      </w:r>
      <w:r w:rsidRPr="0063657F">
        <w:t>; and</w:t>
      </w:r>
    </w:p>
    <w:p w:rsidR="00F10732" w:rsidRPr="0063657F" w:rsidRDefault="00F10732" w:rsidP="00F10732">
      <w:pPr>
        <w:pStyle w:val="tPara"/>
      </w:pPr>
      <w:r w:rsidRPr="0063657F">
        <w:tab/>
        <w:t>(b)</w:t>
      </w:r>
      <w:r w:rsidRPr="0063657F">
        <w:tab/>
      </w:r>
      <w:proofErr w:type="gramStart"/>
      <w:r w:rsidRPr="0063657F">
        <w:t>had</w:t>
      </w:r>
      <w:proofErr w:type="gramEnd"/>
      <w:r w:rsidRPr="0063657F">
        <w:t xml:space="preserve"> an audit team leader who is registered as a Category 2 auditor under </w:t>
      </w:r>
      <w:proofErr w:type="spellStart"/>
      <w:r w:rsidRPr="0063657F">
        <w:t>subregulation</w:t>
      </w:r>
      <w:proofErr w:type="spellEnd"/>
      <w:r w:rsidRPr="0063657F">
        <w:t> 6.25(3) of the</w:t>
      </w:r>
      <w:r w:rsidR="007540C5" w:rsidRPr="0063657F">
        <w:t xml:space="preserve"> NGER Regulations</w:t>
      </w:r>
      <w:r w:rsidRPr="0063657F">
        <w:t>; and</w:t>
      </w:r>
    </w:p>
    <w:p w:rsidR="00F10732" w:rsidRPr="0063657F" w:rsidRDefault="00F10732" w:rsidP="00F10732">
      <w:pPr>
        <w:pStyle w:val="tPara"/>
      </w:pPr>
      <w:r w:rsidRPr="0063657F">
        <w:tab/>
        <w:t>(c)</w:t>
      </w:r>
      <w:r w:rsidRPr="0063657F">
        <w:tab/>
      </w:r>
      <w:proofErr w:type="gramStart"/>
      <w:r w:rsidRPr="0063657F">
        <w:t>was</w:t>
      </w:r>
      <w:proofErr w:type="gramEnd"/>
      <w:r w:rsidRPr="0063657F">
        <w:t xml:space="preserve"> otherwise in accordance with subsection 75(1) of the Act.</w:t>
      </w:r>
    </w:p>
    <w:p w:rsidR="00F10732" w:rsidRPr="0063657F" w:rsidRDefault="00F773E9" w:rsidP="00F10732">
      <w:pPr>
        <w:pStyle w:val="h5Section"/>
      </w:pPr>
      <w:bookmarkStart w:id="45" w:name="_Toc431896976"/>
      <w:proofErr w:type="gramStart"/>
      <w:r>
        <w:t>29</w:t>
      </w:r>
      <w:r w:rsidR="00F10732" w:rsidRPr="0063657F">
        <w:t xml:space="preserve"> Further information</w:t>
      </w:r>
      <w:bookmarkEnd w:id="45"/>
      <w:proofErr w:type="gramEnd"/>
    </w:p>
    <w:p w:rsidR="00F10732" w:rsidRPr="0063657F" w:rsidRDefault="00F10732" w:rsidP="00F10732">
      <w:pPr>
        <w:pStyle w:val="tMain"/>
      </w:pPr>
      <w:r w:rsidRPr="0063657F">
        <w:tab/>
      </w:r>
      <w:r w:rsidR="00F773E9">
        <w:t>(1)</w:t>
      </w:r>
      <w:r w:rsidRPr="0063657F">
        <w:tab/>
        <w:t>The Regulator may, by written notice given to an applicant, require the applicant to give the Regulator, within the period specified in the notice, further information in connection with the application.</w:t>
      </w:r>
    </w:p>
    <w:p w:rsidR="00F10732" w:rsidRPr="0063657F" w:rsidRDefault="00F10732" w:rsidP="00F10732">
      <w:pPr>
        <w:pStyle w:val="tMain"/>
      </w:pPr>
      <w:r w:rsidRPr="0063657F">
        <w:tab/>
      </w:r>
      <w:r w:rsidR="00F773E9">
        <w:t>(2)</w:t>
      </w:r>
      <w:r w:rsidRPr="0063657F">
        <w:tab/>
        <w:t>If the applicant breaches the requirement, the Regulator may, by written notice given to the applicant:</w:t>
      </w:r>
    </w:p>
    <w:p w:rsidR="00F10732" w:rsidRPr="0063657F" w:rsidRDefault="00F10732" w:rsidP="00F10732">
      <w:pPr>
        <w:pStyle w:val="tPara"/>
      </w:pPr>
      <w:r w:rsidRPr="0063657F">
        <w:tab/>
      </w:r>
      <w:r w:rsidR="00F773E9">
        <w:t>(a)</w:t>
      </w:r>
      <w:r w:rsidRPr="0063657F">
        <w:tab/>
      </w:r>
      <w:proofErr w:type="gramStart"/>
      <w:r w:rsidRPr="0063657F">
        <w:t>refuse</w:t>
      </w:r>
      <w:proofErr w:type="gramEnd"/>
      <w:r w:rsidRPr="0063657F">
        <w:t xml:space="preserve"> to consider the application; or</w:t>
      </w:r>
    </w:p>
    <w:p w:rsidR="00F10732" w:rsidRPr="0063657F" w:rsidRDefault="00F10732" w:rsidP="00F10732">
      <w:pPr>
        <w:pStyle w:val="tPara"/>
        <w:rPr>
          <w:b/>
          <w:sz w:val="28"/>
          <w:szCs w:val="28"/>
        </w:rPr>
      </w:pPr>
      <w:r w:rsidRPr="0063657F">
        <w:tab/>
      </w:r>
      <w:r w:rsidR="00F773E9">
        <w:t>(b)</w:t>
      </w:r>
      <w:r w:rsidRPr="0063657F">
        <w:tab/>
      </w:r>
      <w:proofErr w:type="gramStart"/>
      <w:r w:rsidRPr="0063657F">
        <w:t>refuse</w:t>
      </w:r>
      <w:proofErr w:type="gramEnd"/>
      <w:r w:rsidRPr="0063657F">
        <w:t xml:space="preserve"> to take any action, or any further action, in relation to the application.</w:t>
      </w:r>
    </w:p>
    <w:p w:rsidR="00F10732" w:rsidRPr="0063657F" w:rsidRDefault="00F773E9" w:rsidP="00F10732">
      <w:pPr>
        <w:pStyle w:val="h5Section"/>
      </w:pPr>
      <w:bookmarkStart w:id="46" w:name="_Toc431896977"/>
      <w:r>
        <w:t>30</w:t>
      </w:r>
      <w:r w:rsidR="00F10732" w:rsidRPr="0063657F">
        <w:t xml:space="preserve"> Making of calculated-emissions baseline determination</w:t>
      </w:r>
      <w:bookmarkEnd w:id="46"/>
    </w:p>
    <w:p w:rsidR="00F10732" w:rsidRPr="0063657F" w:rsidRDefault="00F10732" w:rsidP="00F10732">
      <w:pPr>
        <w:pStyle w:val="h6Subsec"/>
      </w:pPr>
      <w:r w:rsidRPr="0063657F">
        <w:t>Scope</w:t>
      </w:r>
    </w:p>
    <w:p w:rsidR="00F10732" w:rsidRPr="0063657F" w:rsidRDefault="00F10732" w:rsidP="00F10732">
      <w:pPr>
        <w:pStyle w:val="tMain"/>
      </w:pPr>
      <w:r w:rsidRPr="0063657F">
        <w:tab/>
      </w:r>
      <w:r w:rsidR="00F773E9">
        <w:t>(1)</w:t>
      </w:r>
      <w:r w:rsidRPr="0063657F">
        <w:tab/>
        <w:t>This section applies if an application under section 22 has been made for a calculated-emissions baseline determination for a facility.</w:t>
      </w:r>
    </w:p>
    <w:p w:rsidR="00F10732" w:rsidRPr="0063657F" w:rsidRDefault="00F10732" w:rsidP="00F10732">
      <w:pPr>
        <w:pStyle w:val="h6Subsec"/>
      </w:pPr>
      <w:r w:rsidRPr="0063657F">
        <w:lastRenderedPageBreak/>
        <w:t xml:space="preserve">Determination </w:t>
      </w:r>
    </w:p>
    <w:p w:rsidR="00F10732" w:rsidRPr="0063657F" w:rsidRDefault="00F10732" w:rsidP="00F10732">
      <w:pPr>
        <w:pStyle w:val="tMain"/>
      </w:pPr>
      <w:r w:rsidRPr="0063657F">
        <w:tab/>
      </w:r>
      <w:r w:rsidR="00F773E9">
        <w:t>(2)</w:t>
      </w:r>
      <w:r w:rsidRPr="0063657F">
        <w:tab/>
        <w:t>The Regulator may make a calculated-emissions baseline determination for the facility if satisfied</w:t>
      </w:r>
      <w:r w:rsidR="00492223" w:rsidRPr="0063657F">
        <w:t xml:space="preserve"> that</w:t>
      </w:r>
      <w:r w:rsidRPr="0063657F">
        <w:t xml:space="preserve">: </w:t>
      </w:r>
    </w:p>
    <w:p w:rsidR="00F10732" w:rsidRPr="0063657F" w:rsidRDefault="00F10732" w:rsidP="00F10732">
      <w:pPr>
        <w:pStyle w:val="tPara"/>
      </w:pPr>
      <w:r w:rsidRPr="0063657F">
        <w:tab/>
      </w:r>
      <w:r w:rsidR="00F773E9">
        <w:t>(a)</w:t>
      </w:r>
      <w:r w:rsidRPr="0063657F">
        <w:tab/>
      </w:r>
      <w:proofErr w:type="gramStart"/>
      <w:r w:rsidRPr="0063657F">
        <w:t>the</w:t>
      </w:r>
      <w:proofErr w:type="gramEnd"/>
      <w:r w:rsidRPr="0063657F">
        <w:t xml:space="preserve"> audit report accompanying an application contains a reasonable assurance conclusion or qualified reasonable assurance conclusion</w:t>
      </w:r>
      <w:r w:rsidR="00553B8A" w:rsidRPr="0063657F">
        <w:t xml:space="preserve"> for the matters in paragraph</w:t>
      </w:r>
      <w:r w:rsidR="00E7119B" w:rsidRPr="0063657F">
        <w:t>s</w:t>
      </w:r>
      <w:r w:rsidR="00553B8A" w:rsidRPr="0063657F">
        <w:t xml:space="preserve"> 28</w:t>
      </w:r>
      <w:r w:rsidRPr="0063657F">
        <w:t>(2)(a) and (b); and</w:t>
      </w:r>
    </w:p>
    <w:p w:rsidR="00F10732" w:rsidRPr="0063657F" w:rsidRDefault="00F10732" w:rsidP="00F10732">
      <w:pPr>
        <w:pStyle w:val="tPara"/>
      </w:pPr>
      <w:r w:rsidRPr="0063657F">
        <w:tab/>
      </w:r>
      <w:r w:rsidR="00F773E9">
        <w:t>(b)</w:t>
      </w:r>
      <w:r w:rsidRPr="0063657F">
        <w:tab/>
      </w:r>
      <w:proofErr w:type="gramStart"/>
      <w:r w:rsidRPr="0063657F">
        <w:t>the</w:t>
      </w:r>
      <w:proofErr w:type="gramEnd"/>
      <w:r w:rsidRPr="0063657F">
        <w:t xml:space="preserve"> audit report accompanying an application contains a limited assurance conclusion or qualified limited assurance conclusion</w:t>
      </w:r>
      <w:r w:rsidR="00553B8A" w:rsidRPr="0063657F">
        <w:t xml:space="preserve"> for the matters in paragraph</w:t>
      </w:r>
      <w:r w:rsidR="0048429E" w:rsidRPr="0063657F">
        <w:t> </w:t>
      </w:r>
      <w:r w:rsidR="00553B8A" w:rsidRPr="0063657F">
        <w:t>28</w:t>
      </w:r>
      <w:r w:rsidRPr="0063657F">
        <w:t>(2)(c); and</w:t>
      </w:r>
    </w:p>
    <w:p w:rsidR="00F10732" w:rsidRPr="0063657F" w:rsidRDefault="00F10732" w:rsidP="00F10732">
      <w:pPr>
        <w:pStyle w:val="tPara"/>
      </w:pPr>
      <w:r w:rsidRPr="0063657F">
        <w:tab/>
      </w:r>
      <w:r w:rsidR="00F773E9">
        <w:t>(c)</w:t>
      </w:r>
      <w:r w:rsidRPr="0063657F">
        <w:tab/>
      </w:r>
      <w:proofErr w:type="gramStart"/>
      <w:r w:rsidRPr="0063657F">
        <w:t>the</w:t>
      </w:r>
      <w:proofErr w:type="gramEnd"/>
      <w:r w:rsidRPr="0063657F">
        <w:t xml:space="preserve"> relevant new facility criteria, s</w:t>
      </w:r>
      <w:r w:rsidR="00AE175B" w:rsidRPr="0063657F">
        <w:t>ignificant expansion criteria,</w:t>
      </w:r>
      <w:r w:rsidRPr="0063657F">
        <w:t xml:space="preserve"> inherent emissions variability criteria </w:t>
      </w:r>
      <w:r w:rsidR="00AE175B" w:rsidRPr="0063657F">
        <w:t xml:space="preserve">or </w:t>
      </w:r>
      <w:r w:rsidR="00AE175B" w:rsidRPr="0063657F">
        <w:rPr>
          <w:rFonts w:eastAsiaTheme="minorHAnsi"/>
        </w:rPr>
        <w:t xml:space="preserve">initial calculated baseline criteria </w:t>
      </w:r>
      <w:r w:rsidRPr="0063657F">
        <w:t>are met; and</w:t>
      </w:r>
    </w:p>
    <w:p w:rsidR="00F10732" w:rsidRPr="0063657F" w:rsidRDefault="00F10732" w:rsidP="00F10732">
      <w:pPr>
        <w:pStyle w:val="tPara"/>
      </w:pPr>
      <w:r w:rsidRPr="0063657F">
        <w:tab/>
      </w:r>
      <w:r w:rsidR="00F773E9">
        <w:t>(d)</w:t>
      </w:r>
      <w:r w:rsidRPr="0063657F">
        <w:tab/>
      </w:r>
      <w:proofErr w:type="gramStart"/>
      <w:r w:rsidRPr="0063657F">
        <w:t>if</w:t>
      </w:r>
      <w:proofErr w:type="gramEnd"/>
      <w:r w:rsidRPr="0063657F">
        <w:t xml:space="preserve"> an explanation is </w:t>
      </w:r>
      <w:r w:rsidR="00176D25" w:rsidRPr="0063657F">
        <w:t xml:space="preserve">included under paragraph </w:t>
      </w:r>
      <w:r w:rsidR="00B36BC8" w:rsidRPr="0063657F">
        <w:t>27</w:t>
      </w:r>
      <w:r w:rsidR="00176D25" w:rsidRPr="0063657F">
        <w:t>(1)(h</w:t>
      </w:r>
      <w:r w:rsidRPr="0063657F">
        <w:t>)—that explanation is reasonable.</w:t>
      </w:r>
    </w:p>
    <w:p w:rsidR="00F10732" w:rsidRPr="0063657F" w:rsidRDefault="00F10732" w:rsidP="00F10732">
      <w:pPr>
        <w:pStyle w:val="h6Subsec"/>
      </w:pPr>
      <w:r w:rsidRPr="0063657F">
        <w:t>Baseline emissions number</w:t>
      </w:r>
    </w:p>
    <w:p w:rsidR="00F10732" w:rsidRPr="0063657F" w:rsidRDefault="00F10732" w:rsidP="00F10732">
      <w:pPr>
        <w:pStyle w:val="tMain"/>
      </w:pPr>
      <w:r w:rsidRPr="0063657F">
        <w:tab/>
      </w:r>
      <w:r w:rsidR="00F773E9">
        <w:t>(3)</w:t>
      </w:r>
      <w:r w:rsidRPr="0063657F">
        <w:tab/>
        <w:t xml:space="preserve">The baseline emissions number specified in the determination made under subsection (2) must be the total amount of tonnes of carbon dioxide equivalent covered emissions calculated by multiplying the </w:t>
      </w:r>
      <w:r w:rsidR="00EC1496" w:rsidRPr="0063657F">
        <w:t>quantity</w:t>
      </w:r>
      <w:r w:rsidRPr="0063657F">
        <w:t xml:space="preserve"> of</w:t>
      </w:r>
      <w:r w:rsidR="00147926" w:rsidRPr="0063657F">
        <w:t xml:space="preserve"> each of</w:t>
      </w:r>
      <w:r w:rsidRPr="0063657F">
        <w:t xml:space="preserve"> the production variables</w:t>
      </w:r>
      <w:r w:rsidR="00F45561" w:rsidRPr="0063657F">
        <w:t xml:space="preserve"> in the financial year determined under paragraph 27(1)(c)</w:t>
      </w:r>
      <w:r w:rsidRPr="0063657F">
        <w:t xml:space="preserve"> </w:t>
      </w:r>
      <w:r w:rsidR="0086028F" w:rsidRPr="0063657F">
        <w:t xml:space="preserve">by </w:t>
      </w:r>
      <w:r w:rsidRPr="0063657F">
        <w:t xml:space="preserve">the expected </w:t>
      </w:r>
      <w:r w:rsidR="001033B1" w:rsidRPr="0063657F">
        <w:t>emissions intensity</w:t>
      </w:r>
      <w:r w:rsidRPr="0063657F">
        <w:t xml:space="preserve"> of </w:t>
      </w:r>
      <w:r w:rsidR="00147926" w:rsidRPr="0063657F">
        <w:t xml:space="preserve">that </w:t>
      </w:r>
      <w:r w:rsidRPr="0063657F">
        <w:t>variable and summing the results.</w:t>
      </w:r>
    </w:p>
    <w:p w:rsidR="00F10732" w:rsidRPr="0063657F" w:rsidRDefault="00F10732" w:rsidP="00F10732">
      <w:pPr>
        <w:pStyle w:val="h6Subsec"/>
      </w:pPr>
      <w:r w:rsidRPr="0063657F">
        <w:t>Timing</w:t>
      </w:r>
    </w:p>
    <w:p w:rsidR="00F10732" w:rsidRPr="0063657F" w:rsidRDefault="00F10732" w:rsidP="00F10732">
      <w:pPr>
        <w:pStyle w:val="tMain"/>
      </w:pPr>
      <w:r w:rsidRPr="0063657F">
        <w:tab/>
      </w:r>
      <w:r w:rsidR="00F773E9">
        <w:t>(4)</w:t>
      </w:r>
      <w:r w:rsidRPr="0063657F">
        <w:tab/>
        <w:t>The Regulator must take all reasonable steps to ensure that a decision is made on the application:</w:t>
      </w:r>
    </w:p>
    <w:p w:rsidR="00F10732" w:rsidRPr="0063657F" w:rsidRDefault="00F10732" w:rsidP="00F10732">
      <w:pPr>
        <w:pStyle w:val="tPara"/>
      </w:pPr>
      <w:r w:rsidRPr="0063657F">
        <w:tab/>
      </w:r>
      <w:r w:rsidR="00F773E9">
        <w:t>(a)</w:t>
      </w:r>
      <w:r w:rsidRPr="0063657F">
        <w:tab/>
        <w:t>if the Regulator requires the applicant to give further</w:t>
      </w:r>
      <w:r w:rsidR="00553B8A" w:rsidRPr="0063657F">
        <w:t xml:space="preserve"> information under subsection 29</w:t>
      </w:r>
      <w:r w:rsidRPr="0063657F">
        <w:t>(1) in relation to the application—within 60 days after the applicant gave the Regulator the information; or</w:t>
      </w:r>
    </w:p>
    <w:p w:rsidR="00F10732" w:rsidRPr="0063657F" w:rsidRDefault="00F10732" w:rsidP="00F10732">
      <w:pPr>
        <w:pStyle w:val="tPara"/>
      </w:pPr>
      <w:r w:rsidRPr="0063657F">
        <w:tab/>
      </w:r>
      <w:r w:rsidR="00F773E9">
        <w:t>(b)</w:t>
      </w:r>
      <w:r w:rsidRPr="0063657F">
        <w:tab/>
      </w:r>
      <w:proofErr w:type="gramStart"/>
      <w:r w:rsidRPr="0063657F">
        <w:t>otherwise—</w:t>
      </w:r>
      <w:proofErr w:type="gramEnd"/>
      <w:r w:rsidRPr="0063657F">
        <w:t>within 60 days after the application was made.</w:t>
      </w:r>
    </w:p>
    <w:p w:rsidR="00F10732" w:rsidRPr="0063657F" w:rsidRDefault="00F10732" w:rsidP="00F10732">
      <w:pPr>
        <w:pStyle w:val="h6Subsec"/>
      </w:pPr>
      <w:r w:rsidRPr="0063657F">
        <w:t>Notification and publication</w:t>
      </w:r>
    </w:p>
    <w:p w:rsidR="00F10732" w:rsidRPr="0063657F" w:rsidRDefault="00F10732" w:rsidP="00F10732">
      <w:pPr>
        <w:pStyle w:val="tMain"/>
      </w:pPr>
      <w:r w:rsidRPr="0063657F">
        <w:tab/>
      </w:r>
      <w:r w:rsidR="00F773E9">
        <w:t>(5)</w:t>
      </w:r>
      <w:r w:rsidRPr="0063657F">
        <w:tab/>
      </w:r>
      <w:proofErr w:type="gramStart"/>
      <w:r w:rsidRPr="0063657F">
        <w:t>As</w:t>
      </w:r>
      <w:proofErr w:type="gramEnd"/>
      <w:r w:rsidRPr="0063657F">
        <w:t xml:space="preserve"> soon as practicable after making a calculated-emissions baseline determination, the Regulator must:</w:t>
      </w:r>
    </w:p>
    <w:p w:rsidR="00F10732" w:rsidRPr="0063657F" w:rsidRDefault="00F10732" w:rsidP="00F10732">
      <w:pPr>
        <w:pStyle w:val="tPara"/>
      </w:pPr>
      <w:r w:rsidRPr="0063657F">
        <w:tab/>
      </w:r>
      <w:r w:rsidR="00F773E9">
        <w:t>(a)</w:t>
      </w:r>
      <w:r w:rsidRPr="0063657F">
        <w:tab/>
      </w:r>
      <w:proofErr w:type="gramStart"/>
      <w:r w:rsidRPr="0063657F">
        <w:t>provide</w:t>
      </w:r>
      <w:proofErr w:type="gramEnd"/>
      <w:r w:rsidRPr="0063657F">
        <w:t xml:space="preserve"> written notice of the determination to the responsible emitter for the facility covered by the determination; and</w:t>
      </w:r>
    </w:p>
    <w:p w:rsidR="007A023F" w:rsidRPr="0063657F" w:rsidRDefault="00F10732" w:rsidP="00F10732">
      <w:pPr>
        <w:pStyle w:val="tPara"/>
      </w:pPr>
      <w:r w:rsidRPr="0063657F">
        <w:tab/>
      </w:r>
      <w:r w:rsidR="00F773E9">
        <w:t>(b)</w:t>
      </w:r>
      <w:r w:rsidRPr="0063657F">
        <w:tab/>
      </w:r>
      <w:proofErr w:type="gramStart"/>
      <w:r w:rsidRPr="0063657F">
        <w:t>publish</w:t>
      </w:r>
      <w:proofErr w:type="gramEnd"/>
      <w:r w:rsidR="007A023F" w:rsidRPr="0063657F">
        <w:t xml:space="preserve"> on its website:</w:t>
      </w:r>
    </w:p>
    <w:p w:rsidR="007A023F" w:rsidRPr="0063657F" w:rsidRDefault="007A023F" w:rsidP="007A023F">
      <w:pPr>
        <w:pStyle w:val="tSubpara"/>
      </w:pPr>
      <w:r w:rsidRPr="0063657F">
        <w:tab/>
      </w:r>
      <w:r w:rsidR="00F773E9">
        <w:t>(</w:t>
      </w:r>
      <w:proofErr w:type="spellStart"/>
      <w:r w:rsidR="00F773E9">
        <w:t>i</w:t>
      </w:r>
      <w:proofErr w:type="spellEnd"/>
      <w:r w:rsidR="00F773E9">
        <w:t>)</w:t>
      </w:r>
      <w:r w:rsidRPr="0063657F">
        <w:tab/>
      </w:r>
      <w:proofErr w:type="gramStart"/>
      <w:r w:rsidR="00F10732" w:rsidRPr="0063657F">
        <w:t>the</w:t>
      </w:r>
      <w:proofErr w:type="gramEnd"/>
      <w:r w:rsidR="00F10732" w:rsidRPr="0063657F">
        <w:t xml:space="preserve"> details of the determination</w:t>
      </w:r>
      <w:r w:rsidRPr="0063657F">
        <w:t>;</w:t>
      </w:r>
      <w:r w:rsidR="00F10732" w:rsidRPr="0063657F">
        <w:t xml:space="preserve"> and </w:t>
      </w:r>
    </w:p>
    <w:p w:rsidR="00F10732" w:rsidRPr="0063657F" w:rsidRDefault="007A023F" w:rsidP="007A023F">
      <w:pPr>
        <w:pStyle w:val="tSubpara"/>
      </w:pPr>
      <w:r w:rsidRPr="0063657F">
        <w:tab/>
      </w:r>
      <w:r w:rsidR="00F773E9">
        <w:t>(ii)</w:t>
      </w:r>
      <w:r w:rsidRPr="0063657F">
        <w:tab/>
      </w:r>
      <w:proofErr w:type="gramStart"/>
      <w:r w:rsidR="00F10732" w:rsidRPr="0063657F">
        <w:t>the</w:t>
      </w:r>
      <w:proofErr w:type="gramEnd"/>
      <w:r w:rsidR="00F10732" w:rsidRPr="0063657F">
        <w:t xml:space="preserve"> information included in an applicati</w:t>
      </w:r>
      <w:r w:rsidR="00624515" w:rsidRPr="0063657F">
        <w:t>on in compliance with paragraph</w:t>
      </w:r>
      <w:r w:rsidR="00AB4439" w:rsidRPr="0063657F">
        <w:t> </w:t>
      </w:r>
      <w:r w:rsidR="00B36BC8" w:rsidRPr="0063657F">
        <w:t>27</w:t>
      </w:r>
      <w:r w:rsidR="00624515" w:rsidRPr="0063657F">
        <w:t>(1)(b).</w:t>
      </w:r>
      <w:r w:rsidR="00F10732" w:rsidRPr="0063657F">
        <w:t xml:space="preserve"> </w:t>
      </w:r>
    </w:p>
    <w:p w:rsidR="00F10732" w:rsidRPr="0063657F" w:rsidRDefault="00F10732" w:rsidP="00F10732">
      <w:pPr>
        <w:pStyle w:val="tMain"/>
      </w:pPr>
      <w:r w:rsidRPr="0063657F">
        <w:tab/>
      </w:r>
      <w:r w:rsidR="00F773E9">
        <w:t>(6)</w:t>
      </w:r>
      <w:r w:rsidRPr="0063657F">
        <w:tab/>
        <w:t>If the Regulator decides to refuse to make a calculated-emissions baseline determination, the Regulator must give written notice of the decision to the applicant.</w:t>
      </w:r>
    </w:p>
    <w:p w:rsidR="00F10732" w:rsidRPr="0063657F" w:rsidRDefault="00F10732" w:rsidP="00F10732">
      <w:pPr>
        <w:pStyle w:val="h6Subsec"/>
      </w:pPr>
      <w:r w:rsidRPr="0063657F">
        <w:t>Rounding</w:t>
      </w:r>
    </w:p>
    <w:p w:rsidR="00F10732" w:rsidRPr="0063657F" w:rsidRDefault="00F10732" w:rsidP="00F10732">
      <w:pPr>
        <w:pStyle w:val="tMain"/>
      </w:pPr>
      <w:r w:rsidRPr="0063657F">
        <w:tab/>
      </w:r>
      <w:r w:rsidR="00F773E9">
        <w:t>(7)</w:t>
      </w:r>
      <w:r w:rsidRPr="0063657F">
        <w:tab/>
        <w:t>The baseline emissions number is to be rounded to the nearest whole number (with a number ending in .5 being rounded up).</w:t>
      </w:r>
    </w:p>
    <w:p w:rsidR="00F10732" w:rsidRPr="0063657F" w:rsidRDefault="00F773E9" w:rsidP="00F10732">
      <w:pPr>
        <w:pStyle w:val="h5Section"/>
      </w:pPr>
      <w:bookmarkStart w:id="47" w:name="_Toc431896978"/>
      <w:r>
        <w:lastRenderedPageBreak/>
        <w:t>31</w:t>
      </w:r>
      <w:r w:rsidR="00F10732" w:rsidRPr="0063657F">
        <w:t xml:space="preserve"> Duration of calculated-emissions baseline determination</w:t>
      </w:r>
      <w:bookmarkEnd w:id="47"/>
      <w:r w:rsidR="00F10732" w:rsidRPr="0063657F">
        <w:t xml:space="preserve"> </w:t>
      </w:r>
    </w:p>
    <w:p w:rsidR="00F10732" w:rsidRPr="0063657F" w:rsidRDefault="00F10732" w:rsidP="00F10732">
      <w:pPr>
        <w:pStyle w:val="tMain"/>
      </w:pPr>
      <w:r w:rsidRPr="0063657F">
        <w:tab/>
      </w:r>
      <w:r w:rsidR="00F773E9">
        <w:t>(1)</w:t>
      </w:r>
      <w:r w:rsidRPr="0063657F">
        <w:tab/>
        <w:t xml:space="preserve">If a calculated-emissions baseline determination is made </w:t>
      </w:r>
      <w:r w:rsidR="0076470C" w:rsidRPr="0063657F">
        <w:t xml:space="preserve">within </w:t>
      </w:r>
      <w:r w:rsidR="00AB4439" w:rsidRPr="0063657F">
        <w:t>2</w:t>
      </w:r>
      <w:r w:rsidR="0076470C" w:rsidRPr="0063657F">
        <w:t xml:space="preserve"> years </w:t>
      </w:r>
      <w:r w:rsidRPr="0063657F">
        <w:t>after the requested start of the determination, it must come into force on the 1 July requested in the application.</w:t>
      </w:r>
    </w:p>
    <w:p w:rsidR="00F10732" w:rsidRPr="0063657F" w:rsidRDefault="00F10732" w:rsidP="00F10732">
      <w:pPr>
        <w:pStyle w:val="tMain"/>
      </w:pPr>
      <w:r w:rsidRPr="0063657F">
        <w:tab/>
      </w:r>
      <w:r w:rsidR="00F773E9">
        <w:t>(2)</w:t>
      </w:r>
      <w:r w:rsidRPr="0063657F">
        <w:tab/>
        <w:t xml:space="preserve">A calculated-emissions baseline determination made later than specified in subsection (1) is to come into force from the earliest 1 July possible under subsection </w:t>
      </w:r>
      <w:proofErr w:type="gramStart"/>
      <w:r w:rsidRPr="0063657F">
        <w:t>22XQ(</w:t>
      </w:r>
      <w:proofErr w:type="gramEnd"/>
      <w:r w:rsidRPr="0063657F">
        <w:t>2) of the Act.</w:t>
      </w:r>
    </w:p>
    <w:p w:rsidR="00F10732" w:rsidRPr="0063657F" w:rsidRDefault="00F10732" w:rsidP="00F10732">
      <w:pPr>
        <w:pStyle w:val="tMain"/>
      </w:pPr>
      <w:r w:rsidRPr="0063657F">
        <w:tab/>
      </w:r>
      <w:r w:rsidR="00F773E9">
        <w:t>(3)</w:t>
      </w:r>
      <w:r w:rsidRPr="0063657F">
        <w:tab/>
        <w:t>Subject to subsections (4) and (5), a calculated-emissions baseline determination must expire:</w:t>
      </w:r>
    </w:p>
    <w:p w:rsidR="00F10732" w:rsidRPr="0063657F" w:rsidRDefault="00F10732" w:rsidP="00F10732">
      <w:pPr>
        <w:pStyle w:val="tPara"/>
      </w:pPr>
      <w:r w:rsidRPr="0063657F">
        <w:tab/>
      </w:r>
      <w:r w:rsidR="00F773E9">
        <w:t>(a)</w:t>
      </w:r>
      <w:r w:rsidRPr="0063657F">
        <w:tab/>
      </w:r>
      <w:proofErr w:type="gramStart"/>
      <w:r w:rsidRPr="0063657F">
        <w:t>if</w:t>
      </w:r>
      <w:proofErr w:type="gramEnd"/>
      <w:r w:rsidRPr="0063657F">
        <w:t xml:space="preserve"> the facility is a large new facility—</w:t>
      </w:r>
      <w:r w:rsidR="00492223" w:rsidRPr="0063657F">
        <w:t xml:space="preserve">5 </w:t>
      </w:r>
      <w:r w:rsidRPr="0063657F">
        <w:t>years after the requested start of the determination; and</w:t>
      </w:r>
    </w:p>
    <w:p w:rsidR="00F10732" w:rsidRPr="0063657F" w:rsidRDefault="00F10732" w:rsidP="00F10732">
      <w:pPr>
        <w:pStyle w:val="tPara"/>
      </w:pPr>
      <w:r w:rsidRPr="0063657F">
        <w:tab/>
      </w:r>
      <w:r w:rsidR="00F773E9">
        <w:t>(b)</w:t>
      </w:r>
      <w:r w:rsidRPr="0063657F">
        <w:tab/>
      </w:r>
      <w:proofErr w:type="gramStart"/>
      <w:r w:rsidRPr="0063657F">
        <w:t>if</w:t>
      </w:r>
      <w:proofErr w:type="gramEnd"/>
      <w:r w:rsidRPr="0063657F">
        <w:t xml:space="preserve"> the facility is not a large new facility—</w:t>
      </w:r>
      <w:r w:rsidR="00492223" w:rsidRPr="0063657F">
        <w:t xml:space="preserve">3 </w:t>
      </w:r>
      <w:r w:rsidRPr="0063657F">
        <w:t>years after the requested start of the determination.</w:t>
      </w:r>
    </w:p>
    <w:p w:rsidR="00F10732" w:rsidRPr="0063657F" w:rsidRDefault="00F10732" w:rsidP="00F10732">
      <w:pPr>
        <w:pStyle w:val="nMain"/>
      </w:pPr>
      <w:r w:rsidRPr="0063657F">
        <w:tab/>
        <w:t>Note:</w:t>
      </w:r>
      <w:r w:rsidRPr="0063657F">
        <w:tab/>
        <w:t xml:space="preserve">If subsection (2) applies and the determination’s commencement is delayed from that requested in the original application, the period will be less than the </w:t>
      </w:r>
      <w:r w:rsidR="005936A9" w:rsidRPr="0063657F">
        <w:t xml:space="preserve">5 </w:t>
      </w:r>
      <w:r w:rsidRPr="0063657F">
        <w:t xml:space="preserve">or </w:t>
      </w:r>
      <w:r w:rsidR="005936A9" w:rsidRPr="0063657F">
        <w:t xml:space="preserve">3 </w:t>
      </w:r>
      <w:r w:rsidRPr="0063657F">
        <w:t>years in paragraph (a) and (b).</w:t>
      </w:r>
    </w:p>
    <w:p w:rsidR="00F10732" w:rsidRPr="0063657F" w:rsidRDefault="00F10732" w:rsidP="00F10732">
      <w:pPr>
        <w:pStyle w:val="tMain"/>
      </w:pPr>
      <w:r w:rsidRPr="0063657F">
        <w:tab/>
      </w:r>
      <w:r w:rsidR="00F773E9">
        <w:t>(4)</w:t>
      </w:r>
      <w:r w:rsidRPr="0063657F">
        <w:tab/>
        <w:t xml:space="preserve">If: </w:t>
      </w:r>
    </w:p>
    <w:p w:rsidR="00F10732" w:rsidRPr="0063657F" w:rsidRDefault="00F10732" w:rsidP="00F10732">
      <w:pPr>
        <w:pStyle w:val="tPara"/>
      </w:pPr>
      <w:r w:rsidRPr="0063657F">
        <w:tab/>
      </w:r>
      <w:r w:rsidR="00F773E9">
        <w:t>(a)</w:t>
      </w:r>
      <w:r w:rsidRPr="0063657F">
        <w:tab/>
      </w:r>
      <w:proofErr w:type="gramStart"/>
      <w:r w:rsidRPr="0063657F">
        <w:t>a</w:t>
      </w:r>
      <w:proofErr w:type="gramEnd"/>
      <w:r w:rsidRPr="0063657F">
        <w:t xml:space="preserve"> calculated-emissions baseline determination was made </w:t>
      </w:r>
      <w:r w:rsidR="008F4D7C">
        <w:t>in relation to a facility</w:t>
      </w:r>
      <w:r w:rsidRPr="0063657F">
        <w:t xml:space="preserve"> (the </w:t>
      </w:r>
      <w:r w:rsidRPr="0063657F">
        <w:rPr>
          <w:b/>
          <w:i/>
        </w:rPr>
        <w:t>first determination</w:t>
      </w:r>
      <w:r w:rsidRPr="0063657F">
        <w:t xml:space="preserve">); and </w:t>
      </w:r>
    </w:p>
    <w:p w:rsidR="00F10732" w:rsidRPr="0063657F" w:rsidRDefault="00F10732" w:rsidP="00F10732">
      <w:pPr>
        <w:pStyle w:val="tPara"/>
      </w:pPr>
      <w:r w:rsidRPr="0063657F">
        <w:tab/>
      </w:r>
      <w:r w:rsidR="00F773E9">
        <w:t>(b)</w:t>
      </w:r>
      <w:r w:rsidRPr="0063657F">
        <w:tab/>
        <w:t>a second calculated-emissions baseline determination is made on the basis of the inherent emissions variability criteria to cover</w:t>
      </w:r>
      <w:r w:rsidR="008F4D7C">
        <w:t xml:space="preserve"> the facility in</w:t>
      </w:r>
      <w:r w:rsidRPr="0063657F">
        <w:t xml:space="preserve"> one or more years of the first determination (the </w:t>
      </w:r>
      <w:r w:rsidRPr="0063657F">
        <w:rPr>
          <w:b/>
          <w:i/>
        </w:rPr>
        <w:t>second determination</w:t>
      </w:r>
      <w:r w:rsidRPr="0063657F">
        <w:t>);</w:t>
      </w:r>
    </w:p>
    <w:p w:rsidR="00F10732" w:rsidRPr="0063657F" w:rsidRDefault="00F10732" w:rsidP="00C50DD9">
      <w:pPr>
        <w:pStyle w:val="tMain"/>
        <w:spacing w:before="40"/>
      </w:pPr>
      <w:r w:rsidRPr="0063657F">
        <w:tab/>
      </w:r>
      <w:r w:rsidRPr="0063657F">
        <w:tab/>
      </w:r>
      <w:proofErr w:type="gramStart"/>
      <w:r w:rsidRPr="0063657F">
        <w:t>the</w:t>
      </w:r>
      <w:proofErr w:type="gramEnd"/>
      <w:r w:rsidRPr="0063657F">
        <w:t xml:space="preserve"> first determination expires immediately before the commencement of the second determination.</w:t>
      </w:r>
    </w:p>
    <w:p w:rsidR="00F10732" w:rsidRPr="0063657F" w:rsidRDefault="00F10732" w:rsidP="00F10732">
      <w:pPr>
        <w:pStyle w:val="tMain"/>
      </w:pPr>
      <w:r w:rsidRPr="0063657F">
        <w:tab/>
      </w:r>
      <w:r w:rsidR="00F773E9">
        <w:t>(5)</w:t>
      </w:r>
      <w:r w:rsidRPr="0063657F">
        <w:tab/>
        <w:t>If:</w:t>
      </w:r>
    </w:p>
    <w:p w:rsidR="00F10732" w:rsidRPr="0063657F" w:rsidRDefault="00F10732" w:rsidP="00F10732">
      <w:pPr>
        <w:pStyle w:val="tPara"/>
      </w:pPr>
      <w:r w:rsidRPr="0063657F">
        <w:tab/>
      </w:r>
      <w:r w:rsidR="00F773E9">
        <w:t>(a)</w:t>
      </w:r>
      <w:r w:rsidRPr="0063657F">
        <w:tab/>
      </w:r>
      <w:proofErr w:type="gramStart"/>
      <w:r w:rsidRPr="0063657F">
        <w:t>a</w:t>
      </w:r>
      <w:proofErr w:type="gramEnd"/>
      <w:r w:rsidRPr="0063657F">
        <w:t xml:space="preserve"> calculated-emissions baseline determination was made on the basis of the new facility criteria; and</w:t>
      </w:r>
    </w:p>
    <w:p w:rsidR="00F10732" w:rsidRPr="0063657F" w:rsidRDefault="00F10732" w:rsidP="00F10732">
      <w:pPr>
        <w:pStyle w:val="tPara"/>
      </w:pPr>
      <w:r w:rsidRPr="0063657F">
        <w:tab/>
      </w:r>
      <w:r w:rsidR="00F773E9">
        <w:t>(b)</w:t>
      </w:r>
      <w:r w:rsidRPr="0063657F">
        <w:tab/>
      </w:r>
      <w:proofErr w:type="gramStart"/>
      <w:r w:rsidRPr="0063657F">
        <w:t>the</w:t>
      </w:r>
      <w:proofErr w:type="gramEnd"/>
      <w:r w:rsidRPr="0063657F">
        <w:t xml:space="preserve"> </w:t>
      </w:r>
      <w:r w:rsidR="00AD43B7" w:rsidRPr="0063657F">
        <w:t xml:space="preserve">covered </w:t>
      </w:r>
      <w:r w:rsidRPr="0063657F">
        <w:t>emissions of the facility were not over 100,000 t CO</w:t>
      </w:r>
      <w:r w:rsidRPr="0063657F">
        <w:rPr>
          <w:vertAlign w:val="subscript"/>
        </w:rPr>
        <w:t>2</w:t>
      </w:r>
      <w:r w:rsidR="002326D7" w:rsidRPr="0063657F">
        <w:rPr>
          <w:rFonts w:ascii="Helvetica Neue" w:hAnsi="Helvetica Neue"/>
          <w:b/>
          <w:bCs/>
          <w:i/>
          <w:iCs/>
          <w:sz w:val="19"/>
          <w:szCs w:val="19"/>
        </w:rPr>
        <w:noBreakHyphen/>
      </w:r>
      <w:r w:rsidRPr="0063657F">
        <w:t xml:space="preserve">e in any of the </w:t>
      </w:r>
      <w:r w:rsidR="005936A9" w:rsidRPr="0063657F">
        <w:t xml:space="preserve">4 </w:t>
      </w:r>
      <w:r w:rsidRPr="0063657F">
        <w:t>financial years starting on 1 July 2016;</w:t>
      </w:r>
    </w:p>
    <w:p w:rsidR="00F10732" w:rsidRPr="0063657F" w:rsidRDefault="00F10732" w:rsidP="00C50DD9">
      <w:pPr>
        <w:pStyle w:val="tMain"/>
        <w:spacing w:before="40"/>
      </w:pPr>
      <w:r w:rsidRPr="0063657F">
        <w:tab/>
      </w:r>
      <w:r w:rsidRPr="0063657F">
        <w:tab/>
      </w:r>
      <w:proofErr w:type="gramStart"/>
      <w:r w:rsidRPr="0063657F">
        <w:t>the</w:t>
      </w:r>
      <w:proofErr w:type="gramEnd"/>
      <w:r w:rsidRPr="0063657F">
        <w:t xml:space="preserve"> determination expires on 1 July 2020.</w:t>
      </w:r>
    </w:p>
    <w:p w:rsidR="00F10732" w:rsidRPr="0063657F" w:rsidRDefault="00F773E9" w:rsidP="00F10732">
      <w:pPr>
        <w:pStyle w:val="h4Subdiv"/>
      </w:pPr>
      <w:bookmarkStart w:id="48" w:name="_Toc431896979"/>
      <w:r>
        <w:t>Subdivision 4</w:t>
      </w:r>
      <w:r w:rsidR="00F10732" w:rsidRPr="0063657F">
        <w:t>—Benchmark-emissions baseline determination</w:t>
      </w:r>
      <w:bookmarkEnd w:id="48"/>
    </w:p>
    <w:p w:rsidR="00F10732" w:rsidRPr="0063657F" w:rsidRDefault="00F773E9" w:rsidP="00F10732">
      <w:pPr>
        <w:pStyle w:val="h5Section"/>
      </w:pPr>
      <w:bookmarkStart w:id="49" w:name="_Toc431896980"/>
      <w:r>
        <w:t>32</w:t>
      </w:r>
      <w:r w:rsidR="00F10732" w:rsidRPr="0063657F">
        <w:t xml:space="preserve"> </w:t>
      </w:r>
      <w:proofErr w:type="gramStart"/>
      <w:r w:rsidR="00F10732" w:rsidRPr="0063657F">
        <w:t>Application</w:t>
      </w:r>
      <w:bookmarkEnd w:id="49"/>
      <w:proofErr w:type="gramEnd"/>
    </w:p>
    <w:p w:rsidR="00F10732" w:rsidRPr="0063657F" w:rsidRDefault="00F10732" w:rsidP="00F10732">
      <w:pPr>
        <w:pStyle w:val="tMain"/>
      </w:pPr>
      <w:r w:rsidRPr="0063657F">
        <w:tab/>
      </w:r>
      <w:r w:rsidR="00F773E9">
        <w:t>(1)</w:t>
      </w:r>
      <w:r w:rsidRPr="0063657F">
        <w:tab/>
        <w:t xml:space="preserve">The responsible emitter for a facility, other than a landfill facility, may apply to the Regulator for a benchmark-emissions baseline determination for the facility if: </w:t>
      </w:r>
    </w:p>
    <w:p w:rsidR="00F10732" w:rsidRPr="0063657F" w:rsidRDefault="00F10732" w:rsidP="00F10732">
      <w:pPr>
        <w:pStyle w:val="tPara"/>
      </w:pPr>
      <w:r w:rsidRPr="0063657F">
        <w:tab/>
      </w:r>
      <w:r w:rsidR="00F773E9">
        <w:t>(a)</w:t>
      </w:r>
      <w:r w:rsidRPr="0063657F">
        <w:tab/>
      </w:r>
      <w:proofErr w:type="gramStart"/>
      <w:r w:rsidR="005936A9" w:rsidRPr="0063657F">
        <w:t>one</w:t>
      </w:r>
      <w:proofErr w:type="gramEnd"/>
      <w:r w:rsidR="005936A9" w:rsidRPr="0063657F">
        <w:t xml:space="preserve"> or more </w:t>
      </w:r>
      <w:r w:rsidRPr="0063657F">
        <w:t>of the following are satisfied:</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the</w:t>
      </w:r>
      <w:proofErr w:type="gramEnd"/>
      <w:r w:rsidRPr="0063657F">
        <w:t xml:space="preserve"> new facility criteria; </w:t>
      </w:r>
    </w:p>
    <w:p w:rsidR="00F10732" w:rsidRPr="0063657F" w:rsidRDefault="00F10732" w:rsidP="00F10732">
      <w:pPr>
        <w:pStyle w:val="tSubpara"/>
      </w:pPr>
      <w:r w:rsidRPr="0063657F">
        <w:tab/>
      </w:r>
      <w:r w:rsidR="00F773E9">
        <w:t>(ii)</w:t>
      </w:r>
      <w:r w:rsidRPr="0063657F">
        <w:tab/>
      </w:r>
      <w:proofErr w:type="gramStart"/>
      <w:r w:rsidRPr="0063657F">
        <w:t>the</w:t>
      </w:r>
      <w:proofErr w:type="gramEnd"/>
      <w:r w:rsidRPr="0063657F">
        <w:t xml:space="preserve"> significant expansion criteria; and</w:t>
      </w:r>
      <w:r w:rsidRPr="0063657F">
        <w:tab/>
      </w:r>
    </w:p>
    <w:p w:rsidR="00F10732" w:rsidRPr="0063657F" w:rsidRDefault="00F10732" w:rsidP="00F10732">
      <w:pPr>
        <w:pStyle w:val="tPara"/>
      </w:pPr>
      <w:r w:rsidRPr="0063657F">
        <w:tab/>
      </w:r>
      <w:r w:rsidR="00F773E9">
        <w:t>(b)</w:t>
      </w:r>
      <w:r w:rsidRPr="0063657F">
        <w:tab/>
      </w:r>
      <w:proofErr w:type="gramStart"/>
      <w:r w:rsidRPr="0063657F">
        <w:t>there</w:t>
      </w:r>
      <w:proofErr w:type="gramEnd"/>
      <w:r w:rsidRPr="0063657F">
        <w:t xml:space="preserve"> is a relevant benchmark </w:t>
      </w:r>
      <w:r w:rsidR="001033B1" w:rsidRPr="0063657F">
        <w:t>emissions intensity</w:t>
      </w:r>
      <w:r w:rsidRPr="0063657F">
        <w:t xml:space="preserve"> applicable to one or more of the production variables of the facility.</w:t>
      </w:r>
    </w:p>
    <w:p w:rsidR="00F10732" w:rsidRPr="0063657F" w:rsidRDefault="00F10732" w:rsidP="00F10732">
      <w:pPr>
        <w:pStyle w:val="tMain"/>
      </w:pPr>
      <w:r w:rsidRPr="0063657F">
        <w:tab/>
      </w:r>
      <w:r w:rsidR="00F773E9">
        <w:t>(2)</w:t>
      </w:r>
      <w:r w:rsidRPr="0063657F">
        <w:tab/>
        <w:t>An application under subsection (1) must:</w:t>
      </w:r>
    </w:p>
    <w:p w:rsidR="00F10732" w:rsidRPr="0063657F" w:rsidRDefault="00F10732" w:rsidP="00F10732">
      <w:pPr>
        <w:pStyle w:val="tPara"/>
      </w:pPr>
      <w:r w:rsidRPr="0063657F">
        <w:tab/>
      </w:r>
      <w:r w:rsidR="00F773E9">
        <w:t>(a)</w:t>
      </w:r>
      <w:r w:rsidRPr="0063657F">
        <w:tab/>
      </w:r>
      <w:proofErr w:type="gramStart"/>
      <w:r w:rsidRPr="0063657F">
        <w:t>be</w:t>
      </w:r>
      <w:proofErr w:type="gramEnd"/>
      <w:r w:rsidRPr="0063657F">
        <w:t xml:space="preserve"> given in a manner and form approved, in writing, by the Regulator; and</w:t>
      </w:r>
    </w:p>
    <w:p w:rsidR="00F10732" w:rsidRPr="0063657F" w:rsidRDefault="00F10732" w:rsidP="00F10732">
      <w:pPr>
        <w:pStyle w:val="tPara"/>
      </w:pPr>
      <w:r w:rsidRPr="0063657F">
        <w:tab/>
      </w:r>
      <w:r w:rsidR="00F773E9">
        <w:t>(b)</w:t>
      </w:r>
      <w:r w:rsidRPr="0063657F">
        <w:tab/>
      </w:r>
      <w:proofErr w:type="gramStart"/>
      <w:r w:rsidRPr="0063657F">
        <w:t>specify</w:t>
      </w:r>
      <w:proofErr w:type="gramEnd"/>
      <w:r w:rsidRPr="0063657F">
        <w:t xml:space="preserve"> the desired start date for the benchmark-emissions baseline determination as 1 July of a particular year; and</w:t>
      </w:r>
    </w:p>
    <w:p w:rsidR="00F10732" w:rsidRPr="0063657F" w:rsidRDefault="00F10732" w:rsidP="00F10732">
      <w:pPr>
        <w:pStyle w:val="tPara"/>
      </w:pPr>
      <w:r w:rsidRPr="0063657F">
        <w:tab/>
      </w:r>
      <w:r w:rsidR="00F773E9">
        <w:t>(c)</w:t>
      </w:r>
      <w:r w:rsidRPr="0063657F">
        <w:tab/>
      </w:r>
      <w:proofErr w:type="gramStart"/>
      <w:r w:rsidRPr="0063657F">
        <w:t>include</w:t>
      </w:r>
      <w:proofErr w:type="gramEnd"/>
      <w:r w:rsidRPr="0063657F">
        <w:t xml:space="preserve"> in</w:t>
      </w:r>
      <w:r w:rsidR="00553B8A" w:rsidRPr="0063657F">
        <w:t>formation required by section 35</w:t>
      </w:r>
      <w:r w:rsidRPr="0063657F">
        <w:t>; and</w:t>
      </w:r>
    </w:p>
    <w:p w:rsidR="00F10732" w:rsidRPr="0063657F" w:rsidRDefault="00F10732" w:rsidP="00F10732">
      <w:pPr>
        <w:pStyle w:val="tPara"/>
      </w:pPr>
      <w:r w:rsidRPr="0063657F">
        <w:tab/>
      </w:r>
      <w:r w:rsidR="00F773E9">
        <w:t>(d)</w:t>
      </w:r>
      <w:r w:rsidRPr="0063657F">
        <w:tab/>
      </w:r>
      <w:proofErr w:type="gramStart"/>
      <w:r w:rsidRPr="0063657F">
        <w:t>be</w:t>
      </w:r>
      <w:proofErr w:type="gramEnd"/>
      <w:r w:rsidRPr="0063657F">
        <w:t xml:space="preserve"> accompanied by an audit report which complies with section </w:t>
      </w:r>
      <w:r w:rsidR="00553B8A" w:rsidRPr="0063657F">
        <w:t>36</w:t>
      </w:r>
      <w:r w:rsidRPr="0063657F">
        <w:t>.</w:t>
      </w:r>
    </w:p>
    <w:p w:rsidR="00F10732" w:rsidRPr="0063657F" w:rsidRDefault="00F10732" w:rsidP="00F10732">
      <w:pPr>
        <w:pStyle w:val="tMain"/>
      </w:pPr>
      <w:r w:rsidRPr="0063657F">
        <w:lastRenderedPageBreak/>
        <w:tab/>
      </w:r>
      <w:r w:rsidR="00F773E9">
        <w:t>(3)</w:t>
      </w:r>
      <w:r w:rsidRPr="0063657F">
        <w:tab/>
        <w:t>Unless</w:t>
      </w:r>
      <w:r w:rsidR="0011414A" w:rsidRPr="0063657F">
        <w:t xml:space="preserve"> subsection (5</w:t>
      </w:r>
      <w:r w:rsidRPr="0063657F">
        <w:t>) applies, an application under subsection (1) must be given to the Regulator:</w:t>
      </w:r>
    </w:p>
    <w:p w:rsidR="00F10732" w:rsidRPr="0063657F" w:rsidRDefault="00F10732" w:rsidP="00F10732">
      <w:pPr>
        <w:pStyle w:val="tPara"/>
      </w:pPr>
      <w:r w:rsidRPr="0063657F">
        <w:tab/>
      </w:r>
      <w:r w:rsidR="00F773E9">
        <w:t>(a)</w:t>
      </w:r>
      <w:r w:rsidRPr="0063657F">
        <w:tab/>
      </w:r>
      <w:proofErr w:type="gramStart"/>
      <w:r w:rsidRPr="0063657F">
        <w:t>no</w:t>
      </w:r>
      <w:proofErr w:type="gramEnd"/>
      <w:r w:rsidRPr="0063657F">
        <w:t xml:space="preserve"> earlier than </w:t>
      </w:r>
      <w:r w:rsidR="005936A9" w:rsidRPr="0063657F">
        <w:t>one</w:t>
      </w:r>
      <w:r w:rsidRPr="0063657F">
        <w:t xml:space="preserve"> year before the requested start date for the benchmark-emissions baseline determination; and</w:t>
      </w:r>
    </w:p>
    <w:p w:rsidR="00F10732" w:rsidRPr="0063657F" w:rsidRDefault="00F10732" w:rsidP="00F10732">
      <w:pPr>
        <w:pStyle w:val="tPara"/>
      </w:pPr>
      <w:r w:rsidRPr="0063657F">
        <w:tab/>
      </w:r>
      <w:r w:rsidR="00F773E9">
        <w:t>(b)</w:t>
      </w:r>
      <w:r w:rsidRPr="0063657F">
        <w:tab/>
      </w:r>
      <w:proofErr w:type="gramStart"/>
      <w:r w:rsidRPr="0063657F">
        <w:t>no</w:t>
      </w:r>
      <w:proofErr w:type="gramEnd"/>
      <w:r w:rsidRPr="0063657F">
        <w:t xml:space="preserve"> later than the first 31 October after the end of the first financial year to which the benchmark-emissions baseline determination is to apply.</w:t>
      </w:r>
    </w:p>
    <w:p w:rsidR="00F10732" w:rsidRPr="0063657F" w:rsidRDefault="00F10732" w:rsidP="00F10732">
      <w:pPr>
        <w:pStyle w:val="tMain"/>
      </w:pPr>
      <w:r w:rsidRPr="0063657F">
        <w:tab/>
      </w:r>
      <w:r w:rsidR="00F773E9">
        <w:t>(4)</w:t>
      </w:r>
      <w:r w:rsidRPr="0063657F">
        <w:tab/>
        <w:t>The responsible emitter for the facility may, by written notice to the Regulator, withdraw an application at any time before the Regulator makes a decision on the application.</w:t>
      </w:r>
    </w:p>
    <w:p w:rsidR="00F10732" w:rsidRPr="0063657F" w:rsidRDefault="00F10732" w:rsidP="00F10732">
      <w:pPr>
        <w:pStyle w:val="tMain"/>
      </w:pPr>
      <w:r w:rsidRPr="0063657F">
        <w:tab/>
      </w:r>
      <w:r w:rsidR="00F773E9">
        <w:t>(5)</w:t>
      </w:r>
      <w:r w:rsidRPr="0063657F">
        <w:tab/>
        <w:t>If:</w:t>
      </w:r>
    </w:p>
    <w:p w:rsidR="00F10732" w:rsidRPr="0063657F" w:rsidRDefault="00F10732" w:rsidP="00F10732">
      <w:pPr>
        <w:pStyle w:val="tPara"/>
      </w:pPr>
      <w:r w:rsidRPr="0063657F">
        <w:tab/>
      </w:r>
      <w:r w:rsidR="00F773E9">
        <w:t>(a)</w:t>
      </w:r>
      <w:r w:rsidRPr="0063657F">
        <w:tab/>
      </w:r>
      <w:proofErr w:type="gramStart"/>
      <w:r w:rsidRPr="0063657F">
        <w:t>an</w:t>
      </w:r>
      <w:proofErr w:type="gramEnd"/>
      <w:r w:rsidRPr="0063657F">
        <w:t xml:space="preserve"> application which complies with subsection (2) is made within the period allowed by subsection (3); and</w:t>
      </w:r>
    </w:p>
    <w:p w:rsidR="00F10732" w:rsidRPr="0063657F" w:rsidRDefault="00F10732" w:rsidP="00F10732">
      <w:pPr>
        <w:pStyle w:val="tPara"/>
      </w:pPr>
      <w:r w:rsidRPr="0063657F">
        <w:tab/>
      </w:r>
      <w:r w:rsidR="00F773E9">
        <w:t>(b)</w:t>
      </w:r>
      <w:r w:rsidRPr="0063657F">
        <w:tab/>
      </w:r>
      <w:proofErr w:type="gramStart"/>
      <w:r w:rsidRPr="0063657F">
        <w:t>the</w:t>
      </w:r>
      <w:proofErr w:type="gramEnd"/>
      <w:r w:rsidRPr="0063657F">
        <w:t xml:space="preserve"> Regulator has refused to make the benchmark-emissions baseline determination the subject of the application; and</w:t>
      </w:r>
    </w:p>
    <w:p w:rsidR="00F10732" w:rsidRPr="0063657F" w:rsidRDefault="00F10732" w:rsidP="00F10732">
      <w:pPr>
        <w:pStyle w:val="tPara"/>
      </w:pPr>
      <w:r w:rsidRPr="0063657F">
        <w:tab/>
      </w:r>
      <w:r w:rsidR="00F773E9">
        <w:t>(c)</w:t>
      </w:r>
      <w:r w:rsidRPr="0063657F">
        <w:tab/>
      </w:r>
      <w:proofErr w:type="gramStart"/>
      <w:r w:rsidRPr="0063657F">
        <w:t>a</w:t>
      </w:r>
      <w:proofErr w:type="gramEnd"/>
      <w:r w:rsidRPr="0063657F">
        <w:t xml:space="preserve"> new application would not comply with paragraph (3)(b);</w:t>
      </w:r>
    </w:p>
    <w:p w:rsidR="00F10732" w:rsidRPr="0063657F" w:rsidRDefault="00F10732" w:rsidP="00C50DD9">
      <w:pPr>
        <w:pStyle w:val="tMain"/>
        <w:spacing w:before="40"/>
      </w:pPr>
      <w:r w:rsidRPr="0063657F">
        <w:tab/>
      </w:r>
      <w:r w:rsidRPr="0063657F">
        <w:tab/>
      </w:r>
      <w:proofErr w:type="gramStart"/>
      <w:r w:rsidRPr="0063657F">
        <w:t>the</w:t>
      </w:r>
      <w:proofErr w:type="gramEnd"/>
      <w:r w:rsidRPr="0063657F">
        <w:t xml:space="preserve"> Regulator may accept a new application made no later than 1 February after the end of the first financial year to which</w:t>
      </w:r>
      <w:r w:rsidR="00FC5932" w:rsidRPr="0063657F">
        <w:t xml:space="preserve"> the</w:t>
      </w:r>
      <w:r w:rsidRPr="0063657F">
        <w:t xml:space="preserve"> benchmark-emissions baseline determination is to apply.</w:t>
      </w:r>
    </w:p>
    <w:p w:rsidR="00F10732" w:rsidRPr="0063657F" w:rsidRDefault="00F773E9" w:rsidP="00F10732">
      <w:pPr>
        <w:pStyle w:val="h5Section"/>
      </w:pPr>
      <w:bookmarkStart w:id="50" w:name="_Toc431896981"/>
      <w:r>
        <w:t>33</w:t>
      </w:r>
      <w:r w:rsidR="00F10732" w:rsidRPr="0063657F">
        <w:t xml:space="preserve"> New facility criteria</w:t>
      </w:r>
      <w:bookmarkEnd w:id="50"/>
    </w:p>
    <w:p w:rsidR="00F10732" w:rsidRPr="0063657F" w:rsidRDefault="00F10732" w:rsidP="00F10732">
      <w:pPr>
        <w:pStyle w:val="tMain"/>
        <w:rPr>
          <w:rFonts w:eastAsiaTheme="minorHAnsi"/>
        </w:rPr>
      </w:pPr>
      <w:r w:rsidRPr="0063657F">
        <w:tab/>
      </w:r>
      <w:r w:rsidR="00F773E9">
        <w:t>(1)</w:t>
      </w:r>
      <w:r w:rsidRPr="0063657F">
        <w:tab/>
      </w:r>
      <w:r w:rsidRPr="0063657F">
        <w:rPr>
          <w:rFonts w:eastAsiaTheme="minorHAnsi"/>
        </w:rPr>
        <w:t>The new facility criteria are satisfied in relation to a facility if all of the criteria in this section are met.</w:t>
      </w:r>
    </w:p>
    <w:p w:rsidR="00F10732" w:rsidRPr="0063657F" w:rsidRDefault="005936A9" w:rsidP="00C50DD9">
      <w:pPr>
        <w:pStyle w:val="tMain"/>
        <w:rPr>
          <w:rFonts w:eastAsiaTheme="minorHAnsi"/>
        </w:rPr>
      </w:pPr>
      <w:r w:rsidRPr="0063657F">
        <w:rPr>
          <w:rFonts w:eastAsiaTheme="minorHAnsi"/>
        </w:rPr>
        <w:tab/>
      </w:r>
      <w:r w:rsidR="00F773E9">
        <w:rPr>
          <w:rFonts w:eastAsiaTheme="minorHAnsi"/>
        </w:rPr>
        <w:t>(2)</w:t>
      </w:r>
      <w:r w:rsidRPr="0063657F">
        <w:rPr>
          <w:rFonts w:eastAsiaTheme="minorHAnsi"/>
        </w:rPr>
        <w:tab/>
        <w:t>U</w:t>
      </w:r>
      <w:r w:rsidR="0091268B" w:rsidRPr="0063657F">
        <w:rPr>
          <w:rFonts w:eastAsiaTheme="minorHAnsi"/>
        </w:rPr>
        <w:t>nless subsection (7</w:t>
      </w:r>
      <w:r w:rsidR="00F10732" w:rsidRPr="0063657F">
        <w:rPr>
          <w:rFonts w:eastAsiaTheme="minorHAnsi"/>
        </w:rPr>
        <w:t>) applies</w:t>
      </w:r>
      <w:r w:rsidRPr="0063657F">
        <w:t xml:space="preserve">, the facility is </w:t>
      </w:r>
      <w:r w:rsidR="00F10732" w:rsidRPr="0063657F">
        <w:rPr>
          <w:rFonts w:eastAsiaTheme="minorHAnsi"/>
        </w:rPr>
        <w:t>not covered by a baseline determination</w:t>
      </w:r>
      <w:r w:rsidRPr="0063657F">
        <w:rPr>
          <w:rFonts w:eastAsiaTheme="minorHAnsi"/>
        </w:rPr>
        <w:t>.</w:t>
      </w:r>
    </w:p>
    <w:p w:rsidR="00F10732" w:rsidRPr="0063657F" w:rsidRDefault="00C50DD9" w:rsidP="00C50DD9">
      <w:pPr>
        <w:pStyle w:val="tMain"/>
      </w:pPr>
      <w:r w:rsidRPr="0063657F">
        <w:tab/>
      </w:r>
      <w:r w:rsidR="00F773E9">
        <w:t>(3)</w:t>
      </w:r>
      <w:r w:rsidRPr="0063657F">
        <w:tab/>
      </w:r>
      <w:r w:rsidR="005936A9" w:rsidRPr="0063657F">
        <w:t>S</w:t>
      </w:r>
      <w:r w:rsidR="00F10732" w:rsidRPr="0063657F">
        <w:t xml:space="preserve">cope 1 emissions of one or more greenhouse gases from the operation of the facility were not required to be included in reports under the Act for any </w:t>
      </w:r>
      <w:r w:rsidR="005936A9" w:rsidRPr="0063657F">
        <w:t xml:space="preserve">5 </w:t>
      </w:r>
      <w:r w:rsidR="00F10732" w:rsidRPr="0063657F">
        <w:t>or more financial years before the start of the proposed benchmark-emissions baseline determination.</w:t>
      </w:r>
    </w:p>
    <w:p w:rsidR="00F10732" w:rsidRPr="0063657F" w:rsidRDefault="00F10732" w:rsidP="00F10732">
      <w:pPr>
        <w:pStyle w:val="tMain"/>
        <w:rPr>
          <w:rFonts w:eastAsiaTheme="minorHAnsi"/>
        </w:rPr>
      </w:pPr>
      <w:r w:rsidRPr="0063657F">
        <w:rPr>
          <w:rFonts w:eastAsiaTheme="minorHAnsi"/>
        </w:rPr>
        <w:tab/>
      </w:r>
      <w:r w:rsidR="00F773E9">
        <w:rPr>
          <w:rFonts w:eastAsiaTheme="minorHAnsi"/>
        </w:rPr>
        <w:t>(4)</w:t>
      </w:r>
      <w:r w:rsidRPr="0063657F">
        <w:rPr>
          <w:rFonts w:eastAsiaTheme="minorHAnsi"/>
        </w:rPr>
        <w:tab/>
        <w:t>The facility either:</w:t>
      </w:r>
    </w:p>
    <w:p w:rsidR="00F10732" w:rsidRPr="0063657F" w:rsidRDefault="00F10732" w:rsidP="00F10732">
      <w:pPr>
        <w:pStyle w:val="tPara"/>
        <w:rPr>
          <w:rFonts w:eastAsiaTheme="minorHAnsi"/>
        </w:rPr>
      </w:pPr>
      <w:r w:rsidRPr="0063657F">
        <w:rPr>
          <w:rFonts w:eastAsiaTheme="minorHAnsi"/>
        </w:rPr>
        <w:tab/>
      </w:r>
      <w:r w:rsidR="00F773E9">
        <w:rPr>
          <w:rFonts w:eastAsiaTheme="minorHAnsi"/>
        </w:rPr>
        <w:t>(a)</w:t>
      </w:r>
      <w:r w:rsidRPr="0063657F">
        <w:rPr>
          <w:rFonts w:eastAsiaTheme="minorHAnsi"/>
        </w:rPr>
        <w:tab/>
      </w:r>
      <w:proofErr w:type="gramStart"/>
      <w:r w:rsidRPr="0063657F">
        <w:rPr>
          <w:rFonts w:eastAsiaTheme="minorHAnsi"/>
        </w:rPr>
        <w:t>has</w:t>
      </w:r>
      <w:proofErr w:type="gramEnd"/>
      <w:r w:rsidRPr="0063657F">
        <w:rPr>
          <w:rFonts w:eastAsiaTheme="minorHAnsi"/>
        </w:rPr>
        <w:t xml:space="preserve"> previously emitted more than 100,000 </w:t>
      </w:r>
      <w:r w:rsidRPr="0063657F">
        <w:t>t CO</w:t>
      </w:r>
      <w:r w:rsidRPr="0063657F">
        <w:rPr>
          <w:vertAlign w:val="subscript"/>
        </w:rPr>
        <w:t>2</w:t>
      </w:r>
      <w:r w:rsidR="002326D7" w:rsidRPr="0063657F">
        <w:rPr>
          <w:rFonts w:ascii="Helvetica Neue" w:hAnsi="Helvetica Neue"/>
          <w:b/>
          <w:bCs/>
          <w:i/>
          <w:iCs/>
          <w:sz w:val="19"/>
          <w:szCs w:val="19"/>
        </w:rPr>
        <w:noBreakHyphen/>
      </w:r>
      <w:r w:rsidRPr="0063657F">
        <w:t xml:space="preserve">e </w:t>
      </w:r>
      <w:r w:rsidRPr="0063657F">
        <w:rPr>
          <w:rFonts w:eastAsiaTheme="minorHAnsi"/>
        </w:rPr>
        <w:t>of covered emissions in a financial year; or</w:t>
      </w:r>
    </w:p>
    <w:p w:rsidR="00F10732" w:rsidRPr="0063657F" w:rsidRDefault="00F10732" w:rsidP="00F10732">
      <w:pPr>
        <w:pStyle w:val="tPara"/>
        <w:rPr>
          <w:rFonts w:eastAsiaTheme="minorHAnsi"/>
        </w:rPr>
      </w:pPr>
      <w:r w:rsidRPr="0063657F">
        <w:rPr>
          <w:rFonts w:eastAsiaTheme="minorHAnsi"/>
        </w:rPr>
        <w:tab/>
      </w:r>
      <w:r w:rsidR="00F773E9">
        <w:rPr>
          <w:rFonts w:eastAsiaTheme="minorHAnsi"/>
        </w:rPr>
        <w:t>(b)</w:t>
      </w:r>
      <w:r w:rsidRPr="0063657F">
        <w:rPr>
          <w:rFonts w:eastAsiaTheme="minorHAnsi"/>
        </w:rPr>
        <w:tab/>
      </w:r>
      <w:proofErr w:type="gramStart"/>
      <w:r w:rsidRPr="0063657F">
        <w:rPr>
          <w:rFonts w:eastAsiaTheme="minorHAnsi"/>
        </w:rPr>
        <w:t>is</w:t>
      </w:r>
      <w:proofErr w:type="gramEnd"/>
      <w:r w:rsidRPr="0063657F">
        <w:rPr>
          <w:rFonts w:eastAsiaTheme="minorHAnsi"/>
        </w:rPr>
        <w:t xml:space="preserve"> reasonably expected to emit more than 100,000 </w:t>
      </w:r>
      <w:r w:rsidRPr="0063657F">
        <w:t>t CO</w:t>
      </w:r>
      <w:r w:rsidRPr="0063657F">
        <w:rPr>
          <w:vertAlign w:val="subscript"/>
        </w:rPr>
        <w:t>2</w:t>
      </w:r>
      <w:r w:rsidR="002326D7" w:rsidRPr="0063657F">
        <w:rPr>
          <w:rFonts w:ascii="Helvetica Neue" w:hAnsi="Helvetica Neue"/>
          <w:b/>
          <w:bCs/>
          <w:i/>
          <w:iCs/>
          <w:sz w:val="19"/>
          <w:szCs w:val="19"/>
        </w:rPr>
        <w:noBreakHyphen/>
      </w:r>
      <w:r w:rsidRPr="0063657F">
        <w:t>e</w:t>
      </w:r>
      <w:r w:rsidRPr="0063657F">
        <w:rPr>
          <w:rFonts w:eastAsiaTheme="minorHAnsi"/>
        </w:rPr>
        <w:t xml:space="preserve"> of covered emissions</w:t>
      </w:r>
      <w:r w:rsidR="00173154" w:rsidRPr="0063657F">
        <w:rPr>
          <w:rFonts w:eastAsiaTheme="minorHAnsi"/>
        </w:rPr>
        <w:t xml:space="preserve"> in the</w:t>
      </w:r>
      <w:r w:rsidRPr="0063657F">
        <w:rPr>
          <w:rFonts w:eastAsiaTheme="minorHAnsi"/>
        </w:rPr>
        <w:t xml:space="preserve"> first year of the proposed benchmark-emissions baseline determination.</w:t>
      </w:r>
    </w:p>
    <w:p w:rsidR="00F10732" w:rsidRPr="0063657F" w:rsidRDefault="00F10732" w:rsidP="00F10732">
      <w:pPr>
        <w:pStyle w:val="tMain"/>
        <w:rPr>
          <w:rFonts w:eastAsiaTheme="minorHAnsi"/>
        </w:rPr>
      </w:pPr>
      <w:r w:rsidRPr="0063657F">
        <w:rPr>
          <w:rFonts w:eastAsiaTheme="minorHAnsi"/>
        </w:rPr>
        <w:tab/>
      </w:r>
      <w:r w:rsidR="00F773E9">
        <w:rPr>
          <w:rFonts w:eastAsiaTheme="minorHAnsi"/>
        </w:rPr>
        <w:t>(5)</w:t>
      </w:r>
      <w:r w:rsidRPr="0063657F">
        <w:rPr>
          <w:rFonts w:eastAsiaTheme="minorHAnsi"/>
        </w:rPr>
        <w:tab/>
        <w:t>Either:</w:t>
      </w:r>
    </w:p>
    <w:p w:rsidR="00F10732" w:rsidRPr="0063657F" w:rsidRDefault="00F10732" w:rsidP="00F10732">
      <w:pPr>
        <w:pStyle w:val="tPara"/>
        <w:rPr>
          <w:rFonts w:eastAsiaTheme="minorHAnsi"/>
        </w:rPr>
      </w:pPr>
      <w:r w:rsidRPr="0063657F">
        <w:rPr>
          <w:rFonts w:eastAsiaTheme="minorHAnsi"/>
        </w:rPr>
        <w:tab/>
      </w:r>
      <w:r w:rsidR="00F773E9">
        <w:rPr>
          <w:rFonts w:eastAsiaTheme="minorHAnsi"/>
        </w:rPr>
        <w:t>(a)</w:t>
      </w:r>
      <w:r w:rsidRPr="0063657F">
        <w:rPr>
          <w:rFonts w:eastAsiaTheme="minorHAnsi"/>
        </w:rPr>
        <w:tab/>
      </w:r>
      <w:proofErr w:type="gramStart"/>
      <w:r w:rsidRPr="0063657F">
        <w:rPr>
          <w:rFonts w:eastAsiaTheme="minorHAnsi"/>
        </w:rPr>
        <w:t>a</w:t>
      </w:r>
      <w:proofErr w:type="gramEnd"/>
      <w:r w:rsidRPr="0063657F">
        <w:rPr>
          <w:rFonts w:eastAsiaTheme="minorHAnsi"/>
        </w:rPr>
        <w:t xml:space="preserve"> calculated-emissions baseline determination has never been made in relation to the facility; or</w:t>
      </w:r>
    </w:p>
    <w:p w:rsidR="00F10732" w:rsidRPr="0063657F" w:rsidRDefault="00F10732" w:rsidP="00F10732">
      <w:pPr>
        <w:pStyle w:val="tPara"/>
        <w:rPr>
          <w:rFonts w:eastAsiaTheme="minorHAnsi"/>
        </w:rPr>
      </w:pPr>
      <w:r w:rsidRPr="0063657F">
        <w:rPr>
          <w:rFonts w:eastAsiaTheme="minorHAnsi"/>
        </w:rPr>
        <w:tab/>
      </w:r>
      <w:r w:rsidR="00F773E9">
        <w:rPr>
          <w:rFonts w:eastAsiaTheme="minorHAnsi"/>
        </w:rPr>
        <w:t>(b)</w:t>
      </w:r>
      <w:r w:rsidRPr="0063657F">
        <w:rPr>
          <w:rFonts w:eastAsiaTheme="minorHAnsi"/>
        </w:rPr>
        <w:tab/>
      </w:r>
      <w:proofErr w:type="gramStart"/>
      <w:r w:rsidRPr="0063657F">
        <w:rPr>
          <w:rFonts w:eastAsiaTheme="minorHAnsi"/>
        </w:rPr>
        <w:t>a</w:t>
      </w:r>
      <w:proofErr w:type="gramEnd"/>
      <w:r w:rsidRPr="0063657F">
        <w:rPr>
          <w:rFonts w:eastAsiaTheme="minorHAnsi"/>
        </w:rPr>
        <w:t xml:space="preserve"> calculated-emissions baseline determination was made in relation to the facility b</w:t>
      </w:r>
      <w:r w:rsidR="00553B8A" w:rsidRPr="0063657F">
        <w:rPr>
          <w:rFonts w:eastAsiaTheme="minorHAnsi"/>
        </w:rPr>
        <w:t>ut expired under subsection 31</w:t>
      </w:r>
      <w:r w:rsidRPr="0063657F">
        <w:rPr>
          <w:rFonts w:eastAsiaTheme="minorHAnsi"/>
        </w:rPr>
        <w:t>(5).</w:t>
      </w:r>
    </w:p>
    <w:p w:rsidR="00F10732" w:rsidRPr="0063657F" w:rsidRDefault="00F10732" w:rsidP="00F10732">
      <w:pPr>
        <w:pStyle w:val="tMain"/>
        <w:rPr>
          <w:rFonts w:eastAsiaTheme="minorHAnsi"/>
        </w:rPr>
      </w:pPr>
      <w:r w:rsidRPr="0063657F">
        <w:rPr>
          <w:rFonts w:eastAsiaTheme="minorHAnsi"/>
        </w:rPr>
        <w:tab/>
      </w:r>
      <w:r w:rsidR="00F773E9">
        <w:rPr>
          <w:rFonts w:eastAsiaTheme="minorHAnsi"/>
        </w:rPr>
        <w:t>(6)</w:t>
      </w:r>
      <w:r w:rsidRPr="0063657F">
        <w:rPr>
          <w:rFonts w:eastAsiaTheme="minorHAnsi"/>
        </w:rPr>
        <w:tab/>
      </w:r>
      <w:r w:rsidRPr="0063657F">
        <w:t xml:space="preserve">The benchmark-emissions baseline determination to which the application relates is to commence no earlier than 1 July of the first financial year after the financial year ending on 30 June 2020 that the facility has emitted, or is reasonably expected to emit, </w:t>
      </w:r>
      <w:r w:rsidR="00153900">
        <w:t xml:space="preserve">more than </w:t>
      </w:r>
      <w:r w:rsidRPr="0063657F">
        <w:rPr>
          <w:rFonts w:eastAsiaTheme="minorHAnsi"/>
        </w:rPr>
        <w:t>100,000</w:t>
      </w:r>
      <w:r w:rsidR="00173154" w:rsidRPr="0063657F">
        <w:rPr>
          <w:rFonts w:eastAsiaTheme="minorHAnsi"/>
        </w:rPr>
        <w:t> </w:t>
      </w:r>
      <w:r w:rsidRPr="0063657F">
        <w:t>t CO</w:t>
      </w:r>
      <w:r w:rsidRPr="0063657F">
        <w:rPr>
          <w:vertAlign w:val="subscript"/>
        </w:rPr>
        <w:t>2</w:t>
      </w:r>
      <w:r w:rsidR="007F7E20" w:rsidRPr="0063657F">
        <w:rPr>
          <w:rFonts w:ascii="Helvetica Neue" w:hAnsi="Helvetica Neue"/>
          <w:b/>
          <w:bCs/>
          <w:i/>
          <w:iCs/>
          <w:sz w:val="19"/>
          <w:szCs w:val="19"/>
        </w:rPr>
        <w:noBreakHyphen/>
      </w:r>
      <w:r w:rsidRPr="0063657F">
        <w:t>e</w:t>
      </w:r>
      <w:r w:rsidRPr="0063657F">
        <w:rPr>
          <w:rFonts w:eastAsiaTheme="minorHAnsi"/>
        </w:rPr>
        <w:t xml:space="preserve"> of covered emissions.</w:t>
      </w:r>
    </w:p>
    <w:p w:rsidR="00F10732" w:rsidRPr="0063657F" w:rsidRDefault="00F10732" w:rsidP="00F10732">
      <w:pPr>
        <w:pStyle w:val="tMain"/>
      </w:pPr>
      <w:r w:rsidRPr="0063657F">
        <w:tab/>
      </w:r>
      <w:r w:rsidR="00F773E9">
        <w:t>(7)</w:t>
      </w:r>
      <w:r w:rsidR="00255695" w:rsidRPr="0063657F">
        <w:tab/>
        <w:t>Despite subsection (2)</w:t>
      </w:r>
      <w:r w:rsidRPr="0063657F">
        <w:t>, a facility covered by a benchmark-emissions baseline determination made on the basis of the new facility criteria may apply for another benchmark-emissions baseline determination to apply for all or part of the same period as the original determination if a new applicable production variable for the facility has been added to the Benchmark Emissions-Intensity Index since the first determination was made.</w:t>
      </w:r>
    </w:p>
    <w:p w:rsidR="00F10732" w:rsidRPr="0063657F" w:rsidRDefault="00F773E9" w:rsidP="00F10732">
      <w:pPr>
        <w:pStyle w:val="h5Section"/>
      </w:pPr>
      <w:bookmarkStart w:id="51" w:name="_Toc431896982"/>
      <w:r>
        <w:lastRenderedPageBreak/>
        <w:t>34</w:t>
      </w:r>
      <w:r w:rsidR="00F10732" w:rsidRPr="0063657F">
        <w:t xml:space="preserve"> Significant expansion criteria</w:t>
      </w:r>
      <w:bookmarkEnd w:id="51"/>
    </w:p>
    <w:p w:rsidR="00F10732" w:rsidRPr="0063657F" w:rsidRDefault="00F10732" w:rsidP="00F10732">
      <w:pPr>
        <w:pStyle w:val="tMain"/>
        <w:rPr>
          <w:rFonts w:eastAsiaTheme="minorHAnsi"/>
        </w:rPr>
      </w:pPr>
      <w:r w:rsidRPr="0063657F">
        <w:rPr>
          <w:rFonts w:eastAsiaTheme="minorHAnsi"/>
        </w:rPr>
        <w:tab/>
      </w:r>
      <w:r w:rsidR="00F773E9">
        <w:rPr>
          <w:rFonts w:eastAsiaTheme="minorHAnsi"/>
        </w:rPr>
        <w:t>(1)</w:t>
      </w:r>
      <w:r w:rsidRPr="0063657F">
        <w:rPr>
          <w:rFonts w:eastAsiaTheme="minorHAnsi"/>
        </w:rPr>
        <w:tab/>
        <w:t>The significant expansion criteria are satisfied in relation to a facility if all of the criteria in this section are met.</w:t>
      </w:r>
    </w:p>
    <w:p w:rsidR="00F10732" w:rsidRPr="0063657F" w:rsidRDefault="00F10732" w:rsidP="00F10732">
      <w:pPr>
        <w:pStyle w:val="h6Subsec"/>
        <w:rPr>
          <w:rFonts w:eastAsiaTheme="minorHAnsi"/>
        </w:rPr>
      </w:pPr>
      <w:r w:rsidRPr="0063657F">
        <w:rPr>
          <w:rFonts w:eastAsiaTheme="minorHAnsi"/>
        </w:rPr>
        <w:t>Significant expansion must occur</w:t>
      </w:r>
    </w:p>
    <w:p w:rsidR="00F10732" w:rsidRPr="0063657F" w:rsidRDefault="00F10732" w:rsidP="00F10732">
      <w:pPr>
        <w:pStyle w:val="tMain"/>
        <w:rPr>
          <w:rFonts w:eastAsiaTheme="minorHAnsi"/>
        </w:rPr>
      </w:pPr>
      <w:r w:rsidRPr="0063657F">
        <w:rPr>
          <w:rFonts w:eastAsiaTheme="minorHAnsi"/>
        </w:rPr>
        <w:tab/>
      </w:r>
      <w:r w:rsidR="00F773E9">
        <w:rPr>
          <w:rFonts w:eastAsiaTheme="minorHAnsi"/>
        </w:rPr>
        <w:t>(2)</w:t>
      </w:r>
      <w:r w:rsidRPr="0063657F">
        <w:rPr>
          <w:rFonts w:eastAsiaTheme="minorHAnsi"/>
        </w:rPr>
        <w:tab/>
      </w:r>
      <w:r w:rsidR="00173154" w:rsidRPr="0063657F">
        <w:rPr>
          <w:rFonts w:eastAsiaTheme="minorHAnsi"/>
        </w:rPr>
        <w:t>The</w:t>
      </w:r>
      <w:r w:rsidRPr="0063657F">
        <w:rPr>
          <w:rFonts w:eastAsiaTheme="minorHAnsi"/>
        </w:rPr>
        <w:t xml:space="preserve"> facility must have completed a significant expansion during a relevant expansion period where:</w:t>
      </w:r>
    </w:p>
    <w:p w:rsidR="00F10732" w:rsidRPr="0063657F" w:rsidRDefault="00F10732" w:rsidP="00F10732">
      <w:pPr>
        <w:pStyle w:val="tPara"/>
      </w:pPr>
      <w:r w:rsidRPr="0063657F">
        <w:tab/>
      </w:r>
      <w:r w:rsidR="00F773E9">
        <w:t>(a)</w:t>
      </w:r>
      <w:r w:rsidRPr="0063657F">
        <w:tab/>
      </w:r>
      <w:proofErr w:type="gramStart"/>
      <w:r w:rsidRPr="0063657F">
        <w:t>new</w:t>
      </w:r>
      <w:proofErr w:type="gramEnd"/>
      <w:r w:rsidRPr="0063657F">
        <w:t xml:space="preserve"> equipment is installed and used by the facility during a relevant expansion period to produce or process a production variable; and</w:t>
      </w:r>
    </w:p>
    <w:p w:rsidR="00F10732" w:rsidRPr="0063657F" w:rsidRDefault="00F10732" w:rsidP="00F10732">
      <w:pPr>
        <w:pStyle w:val="tPara"/>
      </w:pPr>
      <w:r w:rsidRPr="0063657F">
        <w:tab/>
      </w:r>
      <w:r w:rsidR="00F773E9">
        <w:t>(b)</w:t>
      </w:r>
      <w:r w:rsidRPr="0063657F">
        <w:tab/>
      </w:r>
      <w:proofErr w:type="gramStart"/>
      <w:r w:rsidRPr="0063657F">
        <w:t>after</w:t>
      </w:r>
      <w:proofErr w:type="gramEnd"/>
      <w:r w:rsidRPr="0063657F">
        <w:t xml:space="preserve"> the equipment is in use, and any existing equipment that is to be decommissioned has been decommissioned, either:</w:t>
      </w:r>
    </w:p>
    <w:p w:rsidR="00F10732" w:rsidRPr="0063657F" w:rsidRDefault="00F10732" w:rsidP="003C3DD9">
      <w:pPr>
        <w:pStyle w:val="tSubpara"/>
      </w:pPr>
      <w:r w:rsidRPr="0063657F">
        <w:tab/>
      </w:r>
      <w:r w:rsidR="00F773E9">
        <w:t>(</w:t>
      </w:r>
      <w:proofErr w:type="spellStart"/>
      <w:r w:rsidR="00F773E9">
        <w:t>i</w:t>
      </w:r>
      <w:proofErr w:type="spellEnd"/>
      <w:r w:rsidR="00F773E9">
        <w:t>)</w:t>
      </w:r>
      <w:r w:rsidRPr="0063657F">
        <w:tab/>
        <w:t>the maximum productive capacity of the equipment used to produce one or more production variables will be more than 20% greater than the maximum productive capacity of the equipment that existed before the installation in relation to that production variable; or</w:t>
      </w:r>
    </w:p>
    <w:p w:rsidR="003C3DD9" w:rsidRPr="0063657F" w:rsidRDefault="003C3DD9" w:rsidP="003C3DD9">
      <w:pPr>
        <w:pStyle w:val="tSubpara"/>
      </w:pPr>
      <w:r w:rsidRPr="0063657F">
        <w:tab/>
      </w:r>
      <w:r w:rsidR="00F773E9">
        <w:t>(ii)</w:t>
      </w:r>
      <w:r w:rsidRPr="0063657F">
        <w:tab/>
      </w:r>
      <w:proofErr w:type="gramStart"/>
      <w:r w:rsidRPr="0063657F">
        <w:t>one</w:t>
      </w:r>
      <w:proofErr w:type="gramEnd"/>
      <w:r w:rsidRPr="0063657F">
        <w:t xml:space="preserve"> or more production variables will be produced at the facility which: </w:t>
      </w:r>
    </w:p>
    <w:p w:rsidR="003C3DD9" w:rsidRPr="0063657F" w:rsidRDefault="003C3DD9" w:rsidP="003C3DD9">
      <w:pPr>
        <w:pStyle w:val="tSubsub"/>
      </w:pPr>
      <w:r w:rsidRPr="0063657F">
        <w:tab/>
      </w:r>
      <w:r w:rsidR="00F773E9">
        <w:t>(A)</w:t>
      </w:r>
      <w:r w:rsidRPr="0063657F">
        <w:tab/>
      </w:r>
      <w:proofErr w:type="gramStart"/>
      <w:r w:rsidRPr="0063657F">
        <w:t>were</w:t>
      </w:r>
      <w:proofErr w:type="gramEnd"/>
      <w:r w:rsidRPr="0063657F">
        <w:t xml:space="preserve"> not produced before the relevant expansion period; and</w:t>
      </w:r>
    </w:p>
    <w:p w:rsidR="003C3DD9" w:rsidRPr="0063657F" w:rsidRDefault="003C3DD9" w:rsidP="00E6362C">
      <w:pPr>
        <w:pStyle w:val="tSubsub"/>
      </w:pPr>
      <w:r w:rsidRPr="0063657F">
        <w:tab/>
      </w:r>
      <w:r w:rsidR="00F773E9">
        <w:t>(B)</w:t>
      </w:r>
      <w:r w:rsidRPr="0063657F">
        <w:tab/>
      </w:r>
      <w:proofErr w:type="gramStart"/>
      <w:r w:rsidRPr="0063657F">
        <w:t>are</w:t>
      </w:r>
      <w:proofErr w:type="gramEnd"/>
      <w:r w:rsidRPr="0063657F">
        <w:t xml:space="preserve"> not a replacement for other production variables produced before the</w:t>
      </w:r>
      <w:r w:rsidR="00E6362C" w:rsidRPr="0063657F">
        <w:t xml:space="preserve"> relevant expansion period; and</w:t>
      </w:r>
    </w:p>
    <w:p w:rsidR="00F10732" w:rsidRPr="0063657F" w:rsidRDefault="00F10732" w:rsidP="00F10732">
      <w:pPr>
        <w:pStyle w:val="tPara"/>
      </w:pPr>
      <w:r w:rsidRPr="0063657F">
        <w:tab/>
      </w:r>
      <w:r w:rsidR="00F773E9">
        <w:t>(c)</w:t>
      </w:r>
      <w:r w:rsidRPr="0063657F">
        <w:tab/>
      </w:r>
      <w:proofErr w:type="gramStart"/>
      <w:r w:rsidRPr="0063657F">
        <w:t>the</w:t>
      </w:r>
      <w:proofErr w:type="gramEnd"/>
      <w:r w:rsidRPr="0063657F">
        <w:t xml:space="preserve"> production variables which meet the requirements of subparagraph (2)(b)(</w:t>
      </w:r>
      <w:proofErr w:type="spellStart"/>
      <w:r w:rsidRPr="0063657F">
        <w:t>i</w:t>
      </w:r>
      <w:proofErr w:type="spellEnd"/>
      <w:r w:rsidRPr="0063657F">
        <w:t>) or (ii) are significant to the operation of the facility having regard to:</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whether</w:t>
      </w:r>
      <w:proofErr w:type="gramEnd"/>
      <w:r w:rsidRPr="0063657F">
        <w:t xml:space="preserve"> one of the production variables is the primary productio</w:t>
      </w:r>
      <w:r w:rsidR="00945A0B" w:rsidRPr="0063657F">
        <w:t>n variable for the facility; or</w:t>
      </w:r>
    </w:p>
    <w:p w:rsidR="00F10732" w:rsidRPr="0063657F" w:rsidRDefault="00F10732" w:rsidP="00F10732">
      <w:pPr>
        <w:pStyle w:val="tSubpara"/>
      </w:pPr>
      <w:r w:rsidRPr="0063657F">
        <w:tab/>
      </w:r>
      <w:r w:rsidR="00F773E9">
        <w:t>(ii)</w:t>
      </w:r>
      <w:r w:rsidRPr="0063657F">
        <w:tab/>
        <w:t xml:space="preserve">whether </w:t>
      </w:r>
      <w:r w:rsidR="00FB1834" w:rsidRPr="0063657F">
        <w:t>more</w:t>
      </w:r>
      <w:r w:rsidRPr="0063657F">
        <w:t xml:space="preserve"> than 20% of the revenue expected from the facility in financial year with the highest expected production of the primary production variable over the period to be covered by the benchmark-emissions baseline determination is attributable to the new or ex</w:t>
      </w:r>
      <w:r w:rsidR="00945A0B" w:rsidRPr="0063657F">
        <w:t>panded production variables; or</w:t>
      </w:r>
    </w:p>
    <w:p w:rsidR="00F10732" w:rsidRPr="0063657F" w:rsidRDefault="00F10732" w:rsidP="00F10732">
      <w:pPr>
        <w:pStyle w:val="tSubpara"/>
      </w:pPr>
      <w:r w:rsidRPr="0063657F">
        <w:tab/>
      </w:r>
      <w:r w:rsidR="00F773E9">
        <w:t>(iii)</w:t>
      </w:r>
      <w:r w:rsidRPr="0063657F">
        <w:tab/>
        <w:t>if the production variable is onsite electricity—whether the electricity will supply over</w:t>
      </w:r>
      <w:r w:rsidR="00FC51E1" w:rsidRPr="0063657F">
        <w:t xml:space="preserve"> 30%</w:t>
      </w:r>
      <w:r w:rsidRPr="0063657F">
        <w:t xml:space="preserve"> of the electricity needs of the facility in the period to be covered by the benchmark-emissions baseline determination.</w:t>
      </w:r>
    </w:p>
    <w:p w:rsidR="00332292" w:rsidRPr="0063657F" w:rsidRDefault="00F10732" w:rsidP="00F10732">
      <w:pPr>
        <w:pStyle w:val="tMain"/>
      </w:pPr>
      <w:r w:rsidRPr="0063657F">
        <w:tab/>
      </w:r>
      <w:r w:rsidR="00F773E9">
        <w:t>(3)</w:t>
      </w:r>
      <w:r w:rsidRPr="0063657F">
        <w:tab/>
        <w:t>F</w:t>
      </w:r>
      <w:r w:rsidR="00332292" w:rsidRPr="0063657F">
        <w:t>or the purposes of this section:</w:t>
      </w:r>
      <w:r w:rsidRPr="0063657F">
        <w:t xml:space="preserve"> </w:t>
      </w:r>
    </w:p>
    <w:p w:rsidR="00F10732" w:rsidRPr="0063657F" w:rsidRDefault="00332292" w:rsidP="00332292">
      <w:pPr>
        <w:pStyle w:val="tPara"/>
      </w:pPr>
      <w:r w:rsidRPr="0063657F">
        <w:tab/>
      </w:r>
      <w:r w:rsidR="00F773E9">
        <w:t>(a)</w:t>
      </w:r>
      <w:r w:rsidRPr="0063657F">
        <w:tab/>
      </w:r>
      <w:proofErr w:type="gramStart"/>
      <w:r w:rsidR="00F10732" w:rsidRPr="0063657F">
        <w:t>the</w:t>
      </w:r>
      <w:proofErr w:type="gramEnd"/>
      <w:r w:rsidR="00F10732" w:rsidRPr="0063657F">
        <w:t xml:space="preserve"> installation of </w:t>
      </w:r>
      <w:r w:rsidR="00F032BF" w:rsidRPr="0063657F">
        <w:t xml:space="preserve">new </w:t>
      </w:r>
      <w:r w:rsidR="00F10732" w:rsidRPr="0063657F">
        <w:t xml:space="preserve">equipment at a transport facility includes the addition of </w:t>
      </w:r>
      <w:r w:rsidR="003A4290" w:rsidRPr="0063657F">
        <w:t xml:space="preserve">new or used </w:t>
      </w:r>
      <w:r w:rsidR="00F10732" w:rsidRPr="0063657F">
        <w:t>equipment, such as trucks or planes, to carry out the activitie</w:t>
      </w:r>
      <w:r w:rsidRPr="0063657F">
        <w:t>s which constitute the facility; and</w:t>
      </w:r>
    </w:p>
    <w:p w:rsidR="00332292" w:rsidRPr="0063657F" w:rsidRDefault="00332292" w:rsidP="00332292">
      <w:pPr>
        <w:pStyle w:val="tPara"/>
      </w:pPr>
      <w:r w:rsidRPr="0063657F">
        <w:tab/>
      </w:r>
      <w:r w:rsidR="00F773E9">
        <w:t>(b)</w:t>
      </w:r>
      <w:r w:rsidRPr="0063657F">
        <w:tab/>
      </w:r>
      <w:proofErr w:type="gramStart"/>
      <w:r w:rsidRPr="0063657F">
        <w:t>if</w:t>
      </w:r>
      <w:proofErr w:type="gramEnd"/>
      <w:r w:rsidRPr="0063657F">
        <w:t xml:space="preserve"> a production variable for a facil</w:t>
      </w:r>
      <w:r w:rsidR="00A02EB2" w:rsidRPr="0063657F">
        <w:t xml:space="preserve">ity is the quantity of an input, </w:t>
      </w:r>
      <w:r w:rsidRPr="0063657F">
        <w:t>the input is taken to be produced at a facility if it is used to produce the outputs of the facility.</w:t>
      </w:r>
    </w:p>
    <w:p w:rsidR="00F10732" w:rsidRPr="0063657F" w:rsidRDefault="00F10732" w:rsidP="00F10732">
      <w:pPr>
        <w:pStyle w:val="tMain"/>
      </w:pPr>
      <w:r w:rsidRPr="0063657F">
        <w:tab/>
      </w:r>
      <w:r w:rsidR="00F773E9">
        <w:t>(4)</w:t>
      </w:r>
      <w:r w:rsidRPr="0063657F">
        <w:tab/>
        <w:t xml:space="preserve">For the purposes of this section, a </w:t>
      </w:r>
      <w:r w:rsidRPr="0063657F">
        <w:rPr>
          <w:b/>
          <w:i/>
        </w:rPr>
        <w:t>relevant expansion period</w:t>
      </w:r>
      <w:r w:rsidRPr="0063657F">
        <w:t xml:space="preserve"> ends either:</w:t>
      </w:r>
    </w:p>
    <w:p w:rsidR="00F10732" w:rsidRPr="0063657F" w:rsidRDefault="00F10732" w:rsidP="00F10732">
      <w:pPr>
        <w:pStyle w:val="tPara"/>
      </w:pPr>
      <w:r w:rsidRPr="0063657F">
        <w:tab/>
      </w:r>
      <w:r w:rsidR="00F773E9">
        <w:t>(a)</w:t>
      </w:r>
      <w:r w:rsidRPr="0063657F">
        <w:tab/>
      </w:r>
      <w:proofErr w:type="gramStart"/>
      <w:r w:rsidRPr="0063657F">
        <w:t>immediately</w:t>
      </w:r>
      <w:proofErr w:type="gramEnd"/>
      <w:r w:rsidRPr="0063657F">
        <w:t xml:space="preserve"> before the period to be covered by the benchmark-emissions baseline determination; or  </w:t>
      </w:r>
    </w:p>
    <w:p w:rsidR="00F10732" w:rsidRPr="0063657F" w:rsidRDefault="00F10732" w:rsidP="00F10732">
      <w:pPr>
        <w:pStyle w:val="tPara"/>
      </w:pPr>
      <w:r w:rsidRPr="0063657F">
        <w:tab/>
      </w:r>
      <w:r w:rsidR="00F773E9">
        <w:t>(b)</w:t>
      </w:r>
      <w:r w:rsidRPr="0063657F">
        <w:tab/>
        <w:t>30 June of the first financial year to be covered by the benchmark-emissions baseline determination;</w:t>
      </w:r>
    </w:p>
    <w:p w:rsidR="00F10732" w:rsidRPr="0063657F" w:rsidRDefault="00F10732" w:rsidP="00C50DD9">
      <w:pPr>
        <w:pStyle w:val="tMain"/>
        <w:spacing w:before="40"/>
      </w:pPr>
      <w:r w:rsidRPr="0063657F">
        <w:tab/>
      </w:r>
      <w:r w:rsidRPr="0063657F">
        <w:tab/>
      </w:r>
      <w:proofErr w:type="gramStart"/>
      <w:r w:rsidRPr="0063657F">
        <w:t>and</w:t>
      </w:r>
      <w:proofErr w:type="gramEnd"/>
      <w:r w:rsidRPr="0063657F">
        <w:t xml:space="preserve"> starts:</w:t>
      </w:r>
    </w:p>
    <w:p w:rsidR="007D1674" w:rsidRPr="0063657F" w:rsidRDefault="007D1674" w:rsidP="007D1674">
      <w:pPr>
        <w:pStyle w:val="tPara"/>
      </w:pPr>
      <w:r w:rsidRPr="0063657F">
        <w:tab/>
      </w:r>
      <w:r w:rsidR="00F773E9">
        <w:t>(c)</w:t>
      </w:r>
      <w:r w:rsidRPr="0063657F">
        <w:tab/>
      </w:r>
      <w:proofErr w:type="gramStart"/>
      <w:r w:rsidRPr="0063657F">
        <w:t>if</w:t>
      </w:r>
      <w:proofErr w:type="gramEnd"/>
      <w:r w:rsidRPr="0063657F">
        <w:t xml:space="preserve"> a calculated-emissions baseline determination or benchmark-emissions baseline determination in relation to the facility has expired, or will expire, </w:t>
      </w:r>
      <w:r w:rsidRPr="0063657F">
        <w:rPr>
          <w:rFonts w:eastAsiaTheme="minorHAnsi"/>
        </w:rPr>
        <w:t>before the start of the proposed period of the benchmark-emissions baseline determination the subject of the application</w:t>
      </w:r>
      <w:r w:rsidRPr="0063657F">
        <w:t>—on the later of:</w:t>
      </w:r>
    </w:p>
    <w:p w:rsidR="007D1674" w:rsidRPr="0063657F" w:rsidRDefault="007D1674" w:rsidP="007D1674">
      <w:pPr>
        <w:pStyle w:val="tSubpara"/>
      </w:pPr>
      <w:r w:rsidRPr="0063657F">
        <w:tab/>
      </w:r>
      <w:r w:rsidR="00F773E9">
        <w:t>(</w:t>
      </w:r>
      <w:proofErr w:type="spellStart"/>
      <w:r w:rsidR="00F773E9">
        <w:t>i</w:t>
      </w:r>
      <w:proofErr w:type="spellEnd"/>
      <w:r w:rsidR="00F773E9">
        <w:t>)</w:t>
      </w:r>
      <w:r w:rsidRPr="0063657F">
        <w:tab/>
      </w:r>
      <w:proofErr w:type="gramStart"/>
      <w:r w:rsidR="007C0491" w:rsidRPr="0063657F">
        <w:t>the</w:t>
      </w:r>
      <w:proofErr w:type="gramEnd"/>
      <w:r w:rsidRPr="0063657F">
        <w:t xml:space="preserve"> 1 July </w:t>
      </w:r>
      <w:r w:rsidR="007C0491" w:rsidRPr="0063657F">
        <w:t>of the last financial year of the expired, or expiring, baseline determination</w:t>
      </w:r>
      <w:r w:rsidRPr="0063657F">
        <w:t>; and</w:t>
      </w:r>
    </w:p>
    <w:p w:rsidR="007D1674" w:rsidRPr="0063657F" w:rsidRDefault="007D1674" w:rsidP="007D1674">
      <w:pPr>
        <w:pStyle w:val="tSubpara"/>
      </w:pPr>
      <w:r w:rsidRPr="0063657F">
        <w:tab/>
      </w:r>
      <w:r w:rsidR="00F773E9">
        <w:t>(ii)</w:t>
      </w:r>
      <w:r w:rsidRPr="0063657F">
        <w:tab/>
        <w:t>3 years before the end of the period; or</w:t>
      </w:r>
    </w:p>
    <w:p w:rsidR="007D1674" w:rsidRPr="0063657F" w:rsidRDefault="007D1674" w:rsidP="002D3457">
      <w:pPr>
        <w:pStyle w:val="tPara"/>
      </w:pPr>
      <w:r w:rsidRPr="0063657F">
        <w:lastRenderedPageBreak/>
        <w:tab/>
      </w:r>
      <w:r w:rsidR="00F773E9">
        <w:t>(d)</w:t>
      </w:r>
      <w:r w:rsidRPr="0063657F">
        <w:tab/>
      </w:r>
      <w:proofErr w:type="gramStart"/>
      <w:r w:rsidRPr="0063657F">
        <w:t>otherwise—</w:t>
      </w:r>
      <w:proofErr w:type="gramEnd"/>
      <w:r w:rsidRPr="0063657F">
        <w:t>3 year</w:t>
      </w:r>
      <w:r w:rsidR="002D3457">
        <w:t>s before the end of the period.</w:t>
      </w:r>
    </w:p>
    <w:p w:rsidR="00F10732" w:rsidRPr="0063657F" w:rsidRDefault="00F10732" w:rsidP="00F10732">
      <w:pPr>
        <w:pStyle w:val="tMain"/>
      </w:pPr>
      <w:r w:rsidRPr="0063657F">
        <w:tab/>
      </w:r>
      <w:r w:rsidR="00F773E9">
        <w:t>(5)</w:t>
      </w:r>
      <w:r w:rsidRPr="0063657F">
        <w:tab/>
        <w:t>For the purposes of subparagraph (2</w:t>
      </w:r>
      <w:proofErr w:type="gramStart"/>
      <w:r w:rsidRPr="0063657F">
        <w:t>)(</w:t>
      </w:r>
      <w:proofErr w:type="gramEnd"/>
      <w:r w:rsidRPr="0063657F">
        <w:t>c)(ii), the calculation of the expected revenue must be based upon prices related to the production variable current at the time of the application.</w:t>
      </w:r>
    </w:p>
    <w:p w:rsidR="00F10732" w:rsidRPr="0063657F" w:rsidRDefault="00F10732" w:rsidP="00F10732">
      <w:pPr>
        <w:pStyle w:val="h6Subsec"/>
      </w:pPr>
      <w:r w:rsidRPr="0063657F">
        <w:t>Other criteria</w:t>
      </w:r>
    </w:p>
    <w:p w:rsidR="00F10732" w:rsidRPr="0063657F" w:rsidRDefault="00F10732" w:rsidP="00F10732">
      <w:pPr>
        <w:pStyle w:val="tMain"/>
        <w:rPr>
          <w:rFonts w:eastAsiaTheme="minorHAnsi"/>
        </w:rPr>
      </w:pPr>
      <w:r w:rsidRPr="0063657F">
        <w:rPr>
          <w:rFonts w:eastAsiaTheme="minorHAnsi"/>
        </w:rPr>
        <w:tab/>
      </w:r>
      <w:r w:rsidR="00F773E9">
        <w:rPr>
          <w:rFonts w:eastAsiaTheme="minorHAnsi"/>
        </w:rPr>
        <w:t>(6)</w:t>
      </w:r>
      <w:r w:rsidRPr="0063657F">
        <w:rPr>
          <w:rFonts w:eastAsiaTheme="minorHAnsi"/>
        </w:rPr>
        <w:tab/>
        <w:t>The facility either:</w:t>
      </w:r>
    </w:p>
    <w:p w:rsidR="00F10732" w:rsidRPr="0063657F" w:rsidRDefault="00F10732" w:rsidP="00F10732">
      <w:pPr>
        <w:pStyle w:val="tPara"/>
        <w:rPr>
          <w:rFonts w:eastAsiaTheme="minorHAnsi"/>
        </w:rPr>
      </w:pPr>
      <w:r w:rsidRPr="0063657F">
        <w:rPr>
          <w:rFonts w:eastAsiaTheme="minorHAnsi"/>
        </w:rPr>
        <w:tab/>
      </w:r>
      <w:r w:rsidR="00F773E9">
        <w:rPr>
          <w:rFonts w:eastAsiaTheme="minorHAnsi"/>
        </w:rPr>
        <w:t>(a)</w:t>
      </w:r>
      <w:r w:rsidRPr="0063657F">
        <w:rPr>
          <w:rFonts w:eastAsiaTheme="minorHAnsi"/>
        </w:rPr>
        <w:tab/>
      </w:r>
      <w:proofErr w:type="gramStart"/>
      <w:r w:rsidRPr="0063657F">
        <w:rPr>
          <w:rFonts w:eastAsiaTheme="minorHAnsi"/>
        </w:rPr>
        <w:t>has</w:t>
      </w:r>
      <w:proofErr w:type="gramEnd"/>
      <w:r w:rsidRPr="0063657F">
        <w:rPr>
          <w:rFonts w:eastAsiaTheme="minorHAnsi"/>
        </w:rPr>
        <w:t xml:space="preserve"> previously emitted more than 100,000 </w:t>
      </w:r>
      <w:r w:rsidRPr="0063657F">
        <w:t>t CO</w:t>
      </w:r>
      <w:r w:rsidRPr="0063657F">
        <w:rPr>
          <w:vertAlign w:val="subscript"/>
        </w:rPr>
        <w:t>2</w:t>
      </w:r>
      <w:r w:rsidR="007F7E20" w:rsidRPr="0063657F">
        <w:rPr>
          <w:rFonts w:ascii="Helvetica Neue" w:hAnsi="Helvetica Neue"/>
          <w:b/>
          <w:bCs/>
          <w:i/>
          <w:iCs/>
          <w:sz w:val="19"/>
          <w:szCs w:val="19"/>
        </w:rPr>
        <w:noBreakHyphen/>
      </w:r>
      <w:r w:rsidRPr="0063657F">
        <w:t xml:space="preserve">e </w:t>
      </w:r>
      <w:r w:rsidRPr="0063657F">
        <w:rPr>
          <w:rFonts w:eastAsiaTheme="minorHAnsi"/>
        </w:rPr>
        <w:t>of covered emissions in a financial year; or</w:t>
      </w:r>
    </w:p>
    <w:p w:rsidR="00F10732" w:rsidRPr="0063657F" w:rsidRDefault="00F10732" w:rsidP="00F10732">
      <w:pPr>
        <w:pStyle w:val="tPara"/>
        <w:rPr>
          <w:rFonts w:eastAsiaTheme="minorHAnsi"/>
        </w:rPr>
      </w:pPr>
      <w:r w:rsidRPr="0063657F">
        <w:rPr>
          <w:rFonts w:eastAsiaTheme="minorHAnsi"/>
        </w:rPr>
        <w:tab/>
      </w:r>
      <w:r w:rsidR="00F773E9">
        <w:rPr>
          <w:rFonts w:eastAsiaTheme="minorHAnsi"/>
        </w:rPr>
        <w:t>(b)</w:t>
      </w:r>
      <w:r w:rsidRPr="0063657F">
        <w:rPr>
          <w:rFonts w:eastAsiaTheme="minorHAnsi"/>
        </w:rPr>
        <w:tab/>
      </w:r>
      <w:proofErr w:type="gramStart"/>
      <w:r w:rsidRPr="0063657F">
        <w:rPr>
          <w:rFonts w:eastAsiaTheme="minorHAnsi"/>
        </w:rPr>
        <w:t>is</w:t>
      </w:r>
      <w:proofErr w:type="gramEnd"/>
      <w:r w:rsidRPr="0063657F">
        <w:rPr>
          <w:rFonts w:eastAsiaTheme="minorHAnsi"/>
        </w:rPr>
        <w:t xml:space="preserve"> reasonably expected to emit more than 100,000</w:t>
      </w:r>
      <w:r w:rsidRPr="0063657F">
        <w:t xml:space="preserve"> t CO</w:t>
      </w:r>
      <w:r w:rsidRPr="0063657F">
        <w:rPr>
          <w:vertAlign w:val="subscript"/>
        </w:rPr>
        <w:t>2</w:t>
      </w:r>
      <w:r w:rsidR="007F7E20" w:rsidRPr="0063657F">
        <w:rPr>
          <w:rFonts w:ascii="Helvetica Neue" w:hAnsi="Helvetica Neue"/>
          <w:b/>
          <w:bCs/>
          <w:i/>
          <w:iCs/>
          <w:sz w:val="19"/>
          <w:szCs w:val="19"/>
        </w:rPr>
        <w:noBreakHyphen/>
      </w:r>
      <w:r w:rsidRPr="0063657F">
        <w:t>e</w:t>
      </w:r>
      <w:r w:rsidR="00A72BB5" w:rsidRPr="0063657F">
        <w:rPr>
          <w:rFonts w:eastAsiaTheme="minorHAnsi"/>
        </w:rPr>
        <w:t xml:space="preserve"> of covered emissions in the</w:t>
      </w:r>
      <w:r w:rsidRPr="0063657F">
        <w:rPr>
          <w:rFonts w:eastAsiaTheme="minorHAnsi"/>
        </w:rPr>
        <w:t xml:space="preserve"> first financial year to be covered by the benchmark-emissions baseline determination.</w:t>
      </w:r>
    </w:p>
    <w:p w:rsidR="00F10732" w:rsidRPr="0063657F" w:rsidRDefault="00F10732" w:rsidP="00F10732">
      <w:pPr>
        <w:pStyle w:val="tMain"/>
        <w:rPr>
          <w:rFonts w:eastAsiaTheme="minorHAnsi"/>
        </w:rPr>
      </w:pPr>
      <w:r w:rsidRPr="0063657F">
        <w:rPr>
          <w:rFonts w:eastAsiaTheme="minorHAnsi"/>
        </w:rPr>
        <w:tab/>
      </w:r>
      <w:r w:rsidR="00F773E9">
        <w:rPr>
          <w:rFonts w:eastAsiaTheme="minorHAnsi"/>
        </w:rPr>
        <w:t>(7)</w:t>
      </w:r>
      <w:r w:rsidRPr="0063657F">
        <w:rPr>
          <w:rFonts w:eastAsiaTheme="minorHAnsi"/>
        </w:rPr>
        <w:tab/>
        <w:t>The facility has</w:t>
      </w:r>
      <w:r w:rsidR="00173154" w:rsidRPr="0063657F">
        <w:rPr>
          <w:rFonts w:eastAsiaTheme="minorHAnsi"/>
        </w:rPr>
        <w:t xml:space="preserve"> emitted</w:t>
      </w:r>
      <w:r w:rsidRPr="0063657F">
        <w:rPr>
          <w:rFonts w:eastAsiaTheme="minorHAnsi"/>
        </w:rPr>
        <w:t>, or is reasonably expected to emit</w:t>
      </w:r>
      <w:r w:rsidR="00173154" w:rsidRPr="0063657F">
        <w:rPr>
          <w:rFonts w:eastAsiaTheme="minorHAnsi"/>
        </w:rPr>
        <w:t>,</w:t>
      </w:r>
      <w:r w:rsidRPr="0063657F">
        <w:rPr>
          <w:rFonts w:eastAsiaTheme="minorHAnsi"/>
        </w:rPr>
        <w:t xml:space="preserve"> more than the baseline emissions number that would otherwise apply to the facility in at least one financial year of the period to be covered by the benchmark-emissions baseline determination.</w:t>
      </w:r>
    </w:p>
    <w:p w:rsidR="00F10732" w:rsidRPr="0063657F" w:rsidRDefault="00F10732" w:rsidP="00F10732">
      <w:pPr>
        <w:pStyle w:val="tMain"/>
        <w:rPr>
          <w:rFonts w:eastAsiaTheme="minorHAnsi"/>
        </w:rPr>
      </w:pPr>
      <w:r w:rsidRPr="0063657F">
        <w:rPr>
          <w:rFonts w:eastAsiaTheme="minorHAnsi"/>
        </w:rPr>
        <w:tab/>
      </w:r>
      <w:r w:rsidR="00F773E9">
        <w:rPr>
          <w:rFonts w:eastAsiaTheme="minorHAnsi"/>
        </w:rPr>
        <w:t>(8)</w:t>
      </w:r>
      <w:r w:rsidRPr="0063657F">
        <w:rPr>
          <w:rFonts w:eastAsiaTheme="minorHAnsi"/>
        </w:rPr>
        <w:tab/>
        <w:t>A calculated-emissions baseline determination or benchmark-emissions baseline determination in relation to the facility:</w:t>
      </w:r>
    </w:p>
    <w:p w:rsidR="00F10732" w:rsidRPr="0063657F" w:rsidRDefault="00F10732" w:rsidP="00F10732">
      <w:pPr>
        <w:pStyle w:val="tPara"/>
        <w:rPr>
          <w:rFonts w:eastAsiaTheme="minorHAnsi"/>
        </w:rPr>
      </w:pPr>
      <w:r w:rsidRPr="0063657F">
        <w:rPr>
          <w:rFonts w:eastAsiaTheme="minorHAnsi"/>
        </w:rPr>
        <w:tab/>
      </w:r>
      <w:r w:rsidR="00F773E9">
        <w:rPr>
          <w:rFonts w:eastAsiaTheme="minorHAnsi"/>
        </w:rPr>
        <w:t>(a)</w:t>
      </w:r>
      <w:r w:rsidRPr="0063657F">
        <w:rPr>
          <w:rFonts w:eastAsiaTheme="minorHAnsi"/>
        </w:rPr>
        <w:tab/>
      </w:r>
      <w:proofErr w:type="gramStart"/>
      <w:r w:rsidRPr="0063657F">
        <w:rPr>
          <w:rFonts w:eastAsiaTheme="minorHAnsi"/>
        </w:rPr>
        <w:t>has</w:t>
      </w:r>
      <w:proofErr w:type="gramEnd"/>
      <w:r w:rsidRPr="0063657F">
        <w:rPr>
          <w:rFonts w:eastAsiaTheme="minorHAnsi"/>
        </w:rPr>
        <w:t xml:space="preserve"> never been made; or</w:t>
      </w:r>
    </w:p>
    <w:p w:rsidR="00F10732" w:rsidRPr="0063657F" w:rsidRDefault="00F10732" w:rsidP="00F10732">
      <w:pPr>
        <w:pStyle w:val="tPara"/>
        <w:rPr>
          <w:rFonts w:eastAsiaTheme="minorHAnsi"/>
        </w:rPr>
      </w:pPr>
      <w:r w:rsidRPr="0063657F">
        <w:rPr>
          <w:rFonts w:eastAsiaTheme="minorHAnsi"/>
        </w:rPr>
        <w:tab/>
      </w:r>
      <w:r w:rsidR="00F773E9">
        <w:rPr>
          <w:rFonts w:eastAsiaTheme="minorHAnsi"/>
        </w:rPr>
        <w:t>(b)</w:t>
      </w:r>
      <w:r w:rsidRPr="0063657F">
        <w:rPr>
          <w:rFonts w:eastAsiaTheme="minorHAnsi"/>
        </w:rPr>
        <w:tab/>
      </w:r>
      <w:proofErr w:type="gramStart"/>
      <w:r w:rsidRPr="0063657F">
        <w:rPr>
          <w:rFonts w:eastAsiaTheme="minorHAnsi"/>
        </w:rPr>
        <w:t>was</w:t>
      </w:r>
      <w:proofErr w:type="gramEnd"/>
      <w:r w:rsidRPr="0063657F">
        <w:rPr>
          <w:rFonts w:eastAsiaTheme="minorHAnsi"/>
        </w:rPr>
        <w:t xml:space="preserve"> made but has</w:t>
      </w:r>
      <w:r w:rsidR="00173154" w:rsidRPr="0063657F">
        <w:rPr>
          <w:rFonts w:eastAsiaTheme="minorHAnsi"/>
        </w:rPr>
        <w:t xml:space="preserve"> expired</w:t>
      </w:r>
      <w:r w:rsidRPr="0063657F">
        <w:rPr>
          <w:rFonts w:eastAsiaTheme="minorHAnsi"/>
        </w:rPr>
        <w:t>, or will expire</w:t>
      </w:r>
      <w:r w:rsidR="00173154" w:rsidRPr="0063657F">
        <w:rPr>
          <w:rFonts w:eastAsiaTheme="minorHAnsi"/>
        </w:rPr>
        <w:t>,</w:t>
      </w:r>
      <w:r w:rsidRPr="0063657F">
        <w:rPr>
          <w:rFonts w:eastAsiaTheme="minorHAnsi"/>
        </w:rPr>
        <w:t xml:space="preserve"> before the start of the proposed period of the benchmark-emissions baseline determination the subject of the application.</w:t>
      </w:r>
    </w:p>
    <w:p w:rsidR="00F10732" w:rsidRPr="0063657F" w:rsidRDefault="00F10732" w:rsidP="00F10732">
      <w:pPr>
        <w:pStyle w:val="tMain"/>
      </w:pPr>
      <w:r w:rsidRPr="0063657F">
        <w:tab/>
      </w:r>
      <w:r w:rsidR="00F773E9">
        <w:t>(9)</w:t>
      </w:r>
      <w:r w:rsidRPr="0063657F">
        <w:tab/>
        <w:t>The benchmark-emissions baseline determination to which the application relates is to commence on or after 1 July 2020.</w:t>
      </w:r>
      <w:r w:rsidRPr="0063657F">
        <w:tab/>
      </w:r>
    </w:p>
    <w:p w:rsidR="00F10732" w:rsidRPr="0063657F" w:rsidRDefault="00F773E9" w:rsidP="00F10732">
      <w:pPr>
        <w:pStyle w:val="h5Section"/>
      </w:pPr>
      <w:bookmarkStart w:id="52" w:name="_Toc431896983"/>
      <w:r>
        <w:t>35</w:t>
      </w:r>
      <w:r w:rsidR="00F10732" w:rsidRPr="0063657F">
        <w:t xml:space="preserve"> Information required in applications</w:t>
      </w:r>
      <w:bookmarkEnd w:id="52"/>
      <w:r w:rsidR="00F10732" w:rsidRPr="0063657F">
        <w:t xml:space="preserve"> </w:t>
      </w:r>
    </w:p>
    <w:p w:rsidR="00F10732" w:rsidRPr="0063657F" w:rsidRDefault="00F10732" w:rsidP="00F10732">
      <w:pPr>
        <w:pStyle w:val="h6Subsec"/>
      </w:pPr>
      <w:r w:rsidRPr="0063657F">
        <w:t>New facility applications</w:t>
      </w:r>
    </w:p>
    <w:p w:rsidR="00F10732" w:rsidRPr="0063657F" w:rsidRDefault="00F10732" w:rsidP="00F10732">
      <w:pPr>
        <w:pStyle w:val="tMain"/>
      </w:pPr>
      <w:r w:rsidRPr="0063657F">
        <w:tab/>
      </w:r>
      <w:r w:rsidR="00F773E9">
        <w:t>(1)</w:t>
      </w:r>
      <w:r w:rsidRPr="0063657F">
        <w:tab/>
        <w:t>If the new facility criteria are met in relation to the application</w:t>
      </w:r>
      <w:r w:rsidR="00173154" w:rsidRPr="0063657F">
        <w:t xml:space="preserve">, </w:t>
      </w:r>
      <w:r w:rsidRPr="0063657F">
        <w:t>an application for a benchmark-emissions baseline determination must include the following information:</w:t>
      </w:r>
    </w:p>
    <w:p w:rsidR="00F10732" w:rsidRPr="0063657F" w:rsidRDefault="00F10732" w:rsidP="00F10732">
      <w:pPr>
        <w:pStyle w:val="tPara"/>
      </w:pPr>
      <w:r w:rsidRPr="0063657F">
        <w:tab/>
      </w:r>
      <w:r w:rsidR="00F773E9">
        <w:t>(a)</w:t>
      </w:r>
      <w:r w:rsidRPr="0063657F">
        <w:tab/>
      </w:r>
      <w:proofErr w:type="gramStart"/>
      <w:r w:rsidRPr="0063657F">
        <w:t>an</w:t>
      </w:r>
      <w:proofErr w:type="gramEnd"/>
      <w:r w:rsidRPr="0063657F">
        <w:t xml:space="preserve"> explanation </w:t>
      </w:r>
      <w:r w:rsidR="005521DD" w:rsidRPr="0063657F">
        <w:t xml:space="preserve">and supporting evidence </w:t>
      </w:r>
      <w:r w:rsidRPr="0063657F">
        <w:t xml:space="preserve">substantiating that the new facility criteria are </w:t>
      </w:r>
      <w:r w:rsidR="00173154" w:rsidRPr="0063657F">
        <w:t>satisfied</w:t>
      </w:r>
      <w:r w:rsidRPr="0063657F">
        <w:t>;</w:t>
      </w:r>
    </w:p>
    <w:p w:rsidR="00F10732" w:rsidRPr="0063657F" w:rsidRDefault="00F10732" w:rsidP="00F10732">
      <w:pPr>
        <w:pStyle w:val="tPara"/>
      </w:pPr>
      <w:r w:rsidRPr="0063657F">
        <w:tab/>
      </w:r>
      <w:r w:rsidR="00F773E9">
        <w:t>(b)</w:t>
      </w:r>
      <w:r w:rsidRPr="0063657F">
        <w:tab/>
        <w:t xml:space="preserve">in accordance with subsection (3), the </w:t>
      </w:r>
      <w:r w:rsidR="00176D25" w:rsidRPr="0063657F">
        <w:t>quantity</w:t>
      </w:r>
      <w:r w:rsidR="004E76AE" w:rsidRPr="0063657F">
        <w:t xml:space="preserve"> of</w:t>
      </w:r>
      <w:r w:rsidRPr="0063657F">
        <w:t xml:space="preserve"> all production variables that</w:t>
      </w:r>
      <w:r w:rsidR="00F961F6" w:rsidRPr="0063657F">
        <w:t xml:space="preserve"> have been, or</w:t>
      </w:r>
      <w:r w:rsidRPr="0063657F">
        <w:t xml:space="preserve"> are reasonably likely to be</w:t>
      </w:r>
      <w:r w:rsidR="00F961F6" w:rsidRPr="0063657F">
        <w:t>,</w:t>
      </w:r>
      <w:r w:rsidRPr="0063657F">
        <w:t xml:space="preserve"> produced by the facility in the financial year with the highest expected production level of the primary production variable over the </w:t>
      </w:r>
      <w:r w:rsidR="00F961F6" w:rsidRPr="0063657F">
        <w:t>production estimation period</w:t>
      </w:r>
      <w:r w:rsidR="009E690F" w:rsidRPr="0063657F">
        <w:t>;</w:t>
      </w:r>
    </w:p>
    <w:p w:rsidR="00F10732" w:rsidRPr="0063657F" w:rsidRDefault="00F10732" w:rsidP="00F10732">
      <w:pPr>
        <w:pStyle w:val="tPara"/>
      </w:pPr>
      <w:r w:rsidRPr="0063657F">
        <w:tab/>
      </w:r>
      <w:r w:rsidR="00F773E9">
        <w:t>(c)</w:t>
      </w:r>
      <w:r w:rsidRPr="0063657F">
        <w:tab/>
      </w:r>
      <w:proofErr w:type="gramStart"/>
      <w:r w:rsidRPr="0063657F">
        <w:t>the</w:t>
      </w:r>
      <w:proofErr w:type="gramEnd"/>
      <w:r w:rsidRPr="0063657F">
        <w:t xml:space="preserve"> </w:t>
      </w:r>
      <w:r w:rsidR="001033B1" w:rsidRPr="0063657F">
        <w:t>emissions intensity</w:t>
      </w:r>
      <w:r w:rsidRPr="0063657F">
        <w:t xml:space="preserve"> per unit of production for each production variable outlined under paragraph (b) consistent with its relevant benchmark </w:t>
      </w:r>
      <w:r w:rsidR="001033B1" w:rsidRPr="0063657F">
        <w:t>emissions intensity</w:t>
      </w:r>
      <w:r w:rsidRPr="0063657F">
        <w:t>;</w:t>
      </w:r>
    </w:p>
    <w:p w:rsidR="00F10732" w:rsidRPr="0063657F" w:rsidRDefault="00F10732" w:rsidP="00F10732">
      <w:pPr>
        <w:pStyle w:val="tPara"/>
      </w:pPr>
      <w:r w:rsidRPr="0063657F">
        <w:tab/>
      </w:r>
      <w:r w:rsidR="00F773E9">
        <w:t>(d)</w:t>
      </w:r>
      <w:r w:rsidRPr="0063657F">
        <w:tab/>
        <w:t>the expected covered emissions from the facility</w:t>
      </w:r>
      <w:r w:rsidR="0086028F" w:rsidRPr="0063657F">
        <w:t xml:space="preserve"> calculated</w:t>
      </w:r>
      <w:r w:rsidRPr="0063657F">
        <w:t xml:space="preserve"> by multiplying the </w:t>
      </w:r>
      <w:r w:rsidR="00EC1496" w:rsidRPr="0063657F">
        <w:t xml:space="preserve">quantity </w:t>
      </w:r>
      <w:r w:rsidRPr="0063657F">
        <w:t>of</w:t>
      </w:r>
      <w:r w:rsidR="00147926" w:rsidRPr="0063657F">
        <w:t xml:space="preserve"> each of</w:t>
      </w:r>
      <w:r w:rsidRPr="0063657F">
        <w:t xml:space="preserve"> the production variables under paragraph (b) </w:t>
      </w:r>
      <w:r w:rsidR="0086028F" w:rsidRPr="0063657F">
        <w:t xml:space="preserve">by </w:t>
      </w:r>
      <w:r w:rsidRPr="0063657F">
        <w:t xml:space="preserve">the expected </w:t>
      </w:r>
      <w:r w:rsidR="001033B1" w:rsidRPr="0063657F">
        <w:t>emissions intensity</w:t>
      </w:r>
      <w:r w:rsidRPr="0063657F">
        <w:t xml:space="preserve"> of that variable under paragraph (c), and summing the results;</w:t>
      </w:r>
    </w:p>
    <w:p w:rsidR="00176D25" w:rsidRPr="0063657F" w:rsidRDefault="00176D25" w:rsidP="00176D25">
      <w:pPr>
        <w:pStyle w:val="tPara"/>
      </w:pPr>
      <w:r w:rsidRPr="0063657F">
        <w:tab/>
      </w:r>
      <w:r w:rsidR="00F773E9">
        <w:t>(e)</w:t>
      </w:r>
      <w:r w:rsidRPr="0063657F">
        <w:tab/>
      </w:r>
      <w:proofErr w:type="gramStart"/>
      <w:r w:rsidRPr="0063657F">
        <w:t>any</w:t>
      </w:r>
      <w:proofErr w:type="gramEnd"/>
      <w:r w:rsidRPr="0063657F">
        <w:t xml:space="preserve"> relevant earlier estimates of the information required by paragraph (</w:t>
      </w:r>
      <w:r w:rsidR="008B253C" w:rsidRPr="0063657F">
        <w:t>b</w:t>
      </w:r>
      <w:r w:rsidRPr="0063657F">
        <w:t>);</w:t>
      </w:r>
    </w:p>
    <w:p w:rsidR="00176D25" w:rsidRPr="0063657F" w:rsidRDefault="00176D25" w:rsidP="00176D25">
      <w:pPr>
        <w:pStyle w:val="tPara"/>
      </w:pPr>
      <w:r w:rsidRPr="0063657F">
        <w:tab/>
      </w:r>
      <w:r w:rsidR="00F773E9">
        <w:t>(f)</w:t>
      </w:r>
      <w:r w:rsidRPr="0063657F">
        <w:tab/>
      </w:r>
      <w:proofErr w:type="gramStart"/>
      <w:r w:rsidRPr="0063657F">
        <w:t>if</w:t>
      </w:r>
      <w:proofErr w:type="gramEnd"/>
      <w:r w:rsidRPr="0063657F">
        <w:t xml:space="preserve"> the information provided under paragraph </w:t>
      </w:r>
      <w:r w:rsidR="008B253C" w:rsidRPr="0063657F">
        <w:t>(b</w:t>
      </w:r>
      <w:r w:rsidRPr="0063657F">
        <w:t>) is different from the relevant earlier estimates</w:t>
      </w:r>
      <w:r w:rsidR="008B253C" w:rsidRPr="0063657F">
        <w:t xml:space="preserve"> under paragraph (e</w:t>
      </w:r>
      <w:r w:rsidRPr="0063657F">
        <w:t>)—the reasons why this is t</w:t>
      </w:r>
      <w:r w:rsidR="009B34D2" w:rsidRPr="0063657F">
        <w:t>he case.</w:t>
      </w:r>
    </w:p>
    <w:p w:rsidR="00F10732" w:rsidRPr="0063657F" w:rsidRDefault="00F10732" w:rsidP="00F10732">
      <w:pPr>
        <w:pStyle w:val="h6Subsec"/>
      </w:pPr>
      <w:r w:rsidRPr="0063657F">
        <w:t>Significant expansion applications</w:t>
      </w:r>
    </w:p>
    <w:p w:rsidR="00F10732" w:rsidRPr="0063657F" w:rsidRDefault="00F10732" w:rsidP="00F10732">
      <w:pPr>
        <w:pStyle w:val="tMain"/>
      </w:pPr>
      <w:r w:rsidRPr="0063657F">
        <w:tab/>
      </w:r>
      <w:r w:rsidR="00F773E9">
        <w:t>(2)</w:t>
      </w:r>
      <w:r w:rsidRPr="0063657F">
        <w:tab/>
        <w:t>If the significant expansion criteria are met in relation to the application</w:t>
      </w:r>
      <w:r w:rsidR="0086028F" w:rsidRPr="0063657F">
        <w:t xml:space="preserve">, </w:t>
      </w:r>
      <w:r w:rsidRPr="0063657F">
        <w:t>the application for a benchmark-emissions baseline determination must include the following information or documents:</w:t>
      </w:r>
    </w:p>
    <w:p w:rsidR="00F10732" w:rsidRPr="0063657F" w:rsidRDefault="00F10732" w:rsidP="00F10732">
      <w:pPr>
        <w:pStyle w:val="tPara"/>
      </w:pPr>
      <w:r w:rsidRPr="0063657F">
        <w:lastRenderedPageBreak/>
        <w:tab/>
      </w:r>
      <w:r w:rsidR="00F773E9">
        <w:t>(a)</w:t>
      </w:r>
      <w:r w:rsidRPr="0063657F">
        <w:tab/>
      </w:r>
      <w:proofErr w:type="gramStart"/>
      <w:r w:rsidRPr="0063657F">
        <w:t>an</w:t>
      </w:r>
      <w:proofErr w:type="gramEnd"/>
      <w:r w:rsidRPr="0063657F">
        <w:t xml:space="preserve"> explanation </w:t>
      </w:r>
      <w:r w:rsidR="005521DD" w:rsidRPr="0063657F">
        <w:t xml:space="preserve">and supporting evidence </w:t>
      </w:r>
      <w:r w:rsidRPr="0063657F">
        <w:t xml:space="preserve">substantiating that the significant expansion criteria are </w:t>
      </w:r>
      <w:r w:rsidR="00C1449E" w:rsidRPr="0063657F">
        <w:t>satisfied</w:t>
      </w:r>
      <w:r w:rsidRPr="0063657F">
        <w:t>;</w:t>
      </w:r>
    </w:p>
    <w:p w:rsidR="00F10732" w:rsidRPr="0063657F" w:rsidRDefault="00F10732" w:rsidP="00F10732">
      <w:pPr>
        <w:pStyle w:val="tPara"/>
      </w:pPr>
      <w:r w:rsidRPr="0063657F">
        <w:tab/>
      </w:r>
      <w:r w:rsidR="00F773E9">
        <w:t>(b)</w:t>
      </w:r>
      <w:r w:rsidRPr="0063657F">
        <w:tab/>
        <w:t xml:space="preserve">in accordance with subsection (3), the </w:t>
      </w:r>
      <w:r w:rsidR="00EC1496" w:rsidRPr="0063657F">
        <w:t>quantity</w:t>
      </w:r>
      <w:r w:rsidRPr="0063657F">
        <w:t xml:space="preserve"> of all production variables that</w:t>
      </w:r>
      <w:r w:rsidR="00F961F6" w:rsidRPr="0063657F">
        <w:t xml:space="preserve"> have been, or</w:t>
      </w:r>
      <w:r w:rsidRPr="0063657F">
        <w:t xml:space="preserve"> are reasonably likely to be</w:t>
      </w:r>
      <w:r w:rsidR="00F961F6" w:rsidRPr="0063657F">
        <w:t>,</w:t>
      </w:r>
      <w:r w:rsidRPr="0063657F">
        <w:t xml:space="preserve"> produced by the facility in the financial year with the highest expected production level of the primary production variable over the </w:t>
      </w:r>
      <w:r w:rsidR="00F961F6" w:rsidRPr="0063657F">
        <w:t>production estimation period</w:t>
      </w:r>
      <w:r w:rsidRPr="0063657F">
        <w:t xml:space="preserve">; </w:t>
      </w:r>
    </w:p>
    <w:p w:rsidR="00F10732" w:rsidRPr="0063657F" w:rsidRDefault="00F10732" w:rsidP="00F10732">
      <w:pPr>
        <w:pStyle w:val="tPara"/>
      </w:pPr>
      <w:r w:rsidRPr="0063657F">
        <w:tab/>
      </w:r>
      <w:r w:rsidR="00F773E9">
        <w:t>(c)</w:t>
      </w:r>
      <w:r w:rsidRPr="0063657F">
        <w:tab/>
        <w:t xml:space="preserve">in accordance with subsection (3), the </w:t>
      </w:r>
      <w:r w:rsidR="00EC1496" w:rsidRPr="0063657F">
        <w:t>quan</w:t>
      </w:r>
      <w:r w:rsidR="008B253C" w:rsidRPr="0063657F">
        <w:t>t</w:t>
      </w:r>
      <w:r w:rsidR="00EC1496" w:rsidRPr="0063657F">
        <w:t>ity</w:t>
      </w:r>
      <w:r w:rsidRPr="0063657F">
        <w:t xml:space="preserve"> of all production variables produced by the facility in the financial year with the highest production of the primary production variable out of the </w:t>
      </w:r>
      <w:r w:rsidR="0086028F" w:rsidRPr="0063657F">
        <w:t xml:space="preserve">3 </w:t>
      </w:r>
      <w:r w:rsidRPr="0063657F">
        <w:t>financial years before the financial year during which the new equipment began to be installed at the facility;</w:t>
      </w:r>
    </w:p>
    <w:p w:rsidR="00F10732" w:rsidRPr="0063657F" w:rsidRDefault="00F10732" w:rsidP="00F10732">
      <w:pPr>
        <w:pStyle w:val="tPara"/>
      </w:pPr>
      <w:r w:rsidRPr="0063657F">
        <w:tab/>
      </w:r>
      <w:r w:rsidR="00F773E9">
        <w:t>(d)</w:t>
      </w:r>
      <w:r w:rsidRPr="0063657F">
        <w:tab/>
      </w:r>
      <w:proofErr w:type="gramStart"/>
      <w:r w:rsidRPr="0063657F">
        <w:t>the</w:t>
      </w:r>
      <w:proofErr w:type="gramEnd"/>
      <w:r w:rsidRPr="0063657F">
        <w:t xml:space="preserve"> change in production for each production variable</w:t>
      </w:r>
      <w:r w:rsidR="00C04B5B" w:rsidRPr="0063657F">
        <w:t xml:space="preserve"> calculated</w:t>
      </w:r>
      <w:r w:rsidRPr="0063657F">
        <w:t xml:space="preserve"> by subtracting the </w:t>
      </w:r>
      <w:r w:rsidR="00EC1496" w:rsidRPr="0063657F">
        <w:t>quantity</w:t>
      </w:r>
      <w:r w:rsidRPr="0063657F">
        <w:t xml:space="preserve"> of each production variable identified under paragraph (b) </w:t>
      </w:r>
      <w:r w:rsidR="0086028F" w:rsidRPr="0063657F">
        <w:t xml:space="preserve">from </w:t>
      </w:r>
      <w:r w:rsidRPr="0063657F">
        <w:t xml:space="preserve">the </w:t>
      </w:r>
      <w:r w:rsidR="00EC1496" w:rsidRPr="0063657F">
        <w:t xml:space="preserve">quantity </w:t>
      </w:r>
      <w:r w:rsidRPr="0063657F">
        <w:t>of that production variable under paragraph (c);</w:t>
      </w:r>
    </w:p>
    <w:p w:rsidR="00F10732" w:rsidRPr="0063657F" w:rsidRDefault="00F10732" w:rsidP="00F10732">
      <w:pPr>
        <w:pStyle w:val="tPara"/>
      </w:pPr>
      <w:r w:rsidRPr="0063657F">
        <w:tab/>
      </w:r>
      <w:r w:rsidR="00F773E9">
        <w:t>(e)</w:t>
      </w:r>
      <w:r w:rsidRPr="0063657F">
        <w:tab/>
      </w:r>
      <w:proofErr w:type="gramStart"/>
      <w:r w:rsidRPr="0063657F">
        <w:t>the</w:t>
      </w:r>
      <w:proofErr w:type="gramEnd"/>
      <w:r w:rsidRPr="0063657F">
        <w:t xml:space="preserve"> </w:t>
      </w:r>
      <w:r w:rsidR="001033B1" w:rsidRPr="0063657F">
        <w:t>emissions intensity</w:t>
      </w:r>
      <w:r w:rsidRPr="0063657F">
        <w:t xml:space="preserve"> per unit of production for each production variable outlined under paragraph (b) consistent its relevant benchmark </w:t>
      </w:r>
      <w:r w:rsidR="001033B1" w:rsidRPr="0063657F">
        <w:t>emissions intensity</w:t>
      </w:r>
      <w:r w:rsidRPr="0063657F">
        <w:t>;</w:t>
      </w:r>
    </w:p>
    <w:p w:rsidR="00F10732" w:rsidRPr="0063657F" w:rsidRDefault="00F10732" w:rsidP="00F10732">
      <w:pPr>
        <w:pStyle w:val="tPara"/>
      </w:pPr>
      <w:r w:rsidRPr="0063657F">
        <w:tab/>
      </w:r>
      <w:r w:rsidR="00F773E9">
        <w:t>(f)</w:t>
      </w:r>
      <w:r w:rsidRPr="0063657F">
        <w:tab/>
        <w:t xml:space="preserve">the expected additional covered emissions from the facility </w:t>
      </w:r>
      <w:r w:rsidR="0086028F" w:rsidRPr="0063657F">
        <w:t xml:space="preserve">calculated </w:t>
      </w:r>
      <w:r w:rsidRPr="0063657F">
        <w:t>by multiplying the change in production for each production variable under paragraph</w:t>
      </w:r>
      <w:r w:rsidR="00147926" w:rsidRPr="0063657F">
        <w:t> </w:t>
      </w:r>
      <w:r w:rsidRPr="0063657F">
        <w:t xml:space="preserve">(d) </w:t>
      </w:r>
      <w:r w:rsidR="0086028F" w:rsidRPr="0063657F">
        <w:t xml:space="preserve">by </w:t>
      </w:r>
      <w:r w:rsidRPr="0063657F">
        <w:t xml:space="preserve">the </w:t>
      </w:r>
      <w:r w:rsidR="001033B1" w:rsidRPr="0063657F">
        <w:t>emissions intensity</w:t>
      </w:r>
      <w:r w:rsidRPr="0063657F">
        <w:t xml:space="preserve"> of that variable under paragraph (e), and summing the results;</w:t>
      </w:r>
    </w:p>
    <w:p w:rsidR="00F10732" w:rsidRPr="0063657F" w:rsidRDefault="00F10732" w:rsidP="00F10732">
      <w:pPr>
        <w:pStyle w:val="tPara"/>
      </w:pPr>
      <w:r w:rsidRPr="0063657F">
        <w:tab/>
      </w:r>
      <w:r w:rsidR="00F773E9">
        <w:t>(g)</w:t>
      </w:r>
      <w:r w:rsidR="00553B8A" w:rsidRPr="0063657F">
        <w:tab/>
      </w:r>
      <w:proofErr w:type="gramStart"/>
      <w:r w:rsidR="00553B8A" w:rsidRPr="0063657F">
        <w:t>if</w:t>
      </w:r>
      <w:proofErr w:type="gramEnd"/>
      <w:r w:rsidR="00553B8A" w:rsidRPr="0063657F">
        <w:t xml:space="preserve"> subparagraph 34</w:t>
      </w:r>
      <w:r w:rsidRPr="0063657F">
        <w:t>(2)(b)(</w:t>
      </w:r>
      <w:proofErr w:type="spellStart"/>
      <w:r w:rsidRPr="0063657F">
        <w:t>i</w:t>
      </w:r>
      <w:proofErr w:type="spellEnd"/>
      <w:r w:rsidRPr="0063657F">
        <w:t>) applies—evidence of the maximum productive capacity of the equipment at the facility before and after the significant</w:t>
      </w:r>
      <w:r w:rsidR="005521DD" w:rsidRPr="0063657F">
        <w:t xml:space="preserve"> expansion; </w:t>
      </w:r>
    </w:p>
    <w:p w:rsidR="005521DD" w:rsidRPr="0063657F" w:rsidRDefault="005521DD" w:rsidP="005521DD">
      <w:pPr>
        <w:pStyle w:val="tPara"/>
      </w:pPr>
      <w:r w:rsidRPr="0063657F">
        <w:tab/>
      </w:r>
      <w:r w:rsidR="00F773E9">
        <w:t>(</w:t>
      </w:r>
      <w:proofErr w:type="gramStart"/>
      <w:r w:rsidR="00F773E9">
        <w:t>h</w:t>
      </w:r>
      <w:proofErr w:type="gramEnd"/>
      <w:r w:rsidR="00F773E9">
        <w:t>)</w:t>
      </w:r>
      <w:r w:rsidRPr="0063657F">
        <w:tab/>
        <w:t>if subparagrap</w:t>
      </w:r>
      <w:r w:rsidR="00DD28CA" w:rsidRPr="0063657F">
        <w:t>h 34(2)(b)(ii) applies—evidence</w:t>
      </w:r>
      <w:r w:rsidRPr="0063657F">
        <w:t xml:space="preserve"> that the new production variable was not produced before the relevant expansion period and is not a replacement production variable; </w:t>
      </w:r>
    </w:p>
    <w:p w:rsidR="00F10732" w:rsidRPr="0063657F" w:rsidRDefault="00F10732" w:rsidP="00F10732">
      <w:pPr>
        <w:pStyle w:val="tPara"/>
      </w:pPr>
      <w:r w:rsidRPr="0063657F">
        <w:tab/>
      </w:r>
      <w:r w:rsidR="00F773E9">
        <w:t>(</w:t>
      </w:r>
      <w:proofErr w:type="spellStart"/>
      <w:r w:rsidR="00F773E9">
        <w:t>i</w:t>
      </w:r>
      <w:proofErr w:type="spellEnd"/>
      <w:r w:rsidR="00F773E9">
        <w:t>)</w:t>
      </w:r>
      <w:r w:rsidRPr="0063657F">
        <w:tab/>
      </w:r>
      <w:proofErr w:type="gramStart"/>
      <w:r w:rsidRPr="0063657F">
        <w:t>if</w:t>
      </w:r>
      <w:proofErr w:type="gramEnd"/>
      <w:r w:rsidRPr="0063657F">
        <w:t xml:space="preserve"> a baseline emissions number applies to the facility because of paragraph 10(b)—the covered emissions of the facility in the financial year used f</w:t>
      </w:r>
      <w:r w:rsidR="005521DD" w:rsidRPr="0063657F">
        <w:t xml:space="preserve">or the purpose of paragraph (c); </w:t>
      </w:r>
    </w:p>
    <w:p w:rsidR="00176D25" w:rsidRPr="0063657F" w:rsidRDefault="00176D25" w:rsidP="00176D25">
      <w:pPr>
        <w:pStyle w:val="tPara"/>
      </w:pPr>
      <w:r w:rsidRPr="0063657F">
        <w:tab/>
      </w:r>
      <w:r w:rsidR="00F773E9">
        <w:t>(j)</w:t>
      </w:r>
      <w:r w:rsidRPr="0063657F">
        <w:tab/>
      </w:r>
      <w:proofErr w:type="gramStart"/>
      <w:r w:rsidRPr="0063657F">
        <w:t>any</w:t>
      </w:r>
      <w:proofErr w:type="gramEnd"/>
      <w:r w:rsidRPr="0063657F">
        <w:t xml:space="preserve"> relevant earlier estimates of the information required by paragraph (b) and (c);</w:t>
      </w:r>
    </w:p>
    <w:p w:rsidR="00176D25" w:rsidRPr="0063657F" w:rsidRDefault="00176D25" w:rsidP="00176D25">
      <w:pPr>
        <w:pStyle w:val="tPara"/>
      </w:pPr>
      <w:r w:rsidRPr="0063657F">
        <w:tab/>
      </w:r>
      <w:r w:rsidR="00F773E9">
        <w:t>(k)</w:t>
      </w:r>
      <w:r w:rsidRPr="0063657F">
        <w:tab/>
      </w:r>
      <w:proofErr w:type="gramStart"/>
      <w:r w:rsidRPr="0063657F">
        <w:t>if</w:t>
      </w:r>
      <w:proofErr w:type="gramEnd"/>
      <w:r w:rsidRPr="0063657F">
        <w:t xml:space="preserve"> the information provided under paragraph (b) or (c) is different from the relevant earlier estimates under paragraph (</w:t>
      </w:r>
      <w:proofErr w:type="spellStart"/>
      <w:r w:rsidRPr="0063657F">
        <w:t>i</w:t>
      </w:r>
      <w:proofErr w:type="spellEnd"/>
      <w:r w:rsidRPr="0063657F">
        <w:t>)—t</w:t>
      </w:r>
      <w:r w:rsidR="009B34D2" w:rsidRPr="0063657F">
        <w:t>he reasons why this is the case.</w:t>
      </w:r>
    </w:p>
    <w:p w:rsidR="00F10732" w:rsidRPr="0063657F" w:rsidRDefault="00F10732" w:rsidP="00F10732">
      <w:pPr>
        <w:pStyle w:val="tMain"/>
      </w:pPr>
      <w:r w:rsidRPr="0063657F">
        <w:tab/>
      </w:r>
      <w:r w:rsidR="00F773E9">
        <w:t>(3)</w:t>
      </w:r>
      <w:r w:rsidRPr="0063657F">
        <w:tab/>
        <w:t xml:space="preserve">The </w:t>
      </w:r>
      <w:r w:rsidR="00EC1496" w:rsidRPr="0063657F">
        <w:t>quantity</w:t>
      </w:r>
      <w:r w:rsidRPr="0063657F">
        <w:t xml:space="preserve"> of a production variable must:</w:t>
      </w:r>
    </w:p>
    <w:p w:rsidR="00F10732" w:rsidRPr="0063657F" w:rsidRDefault="00F10732" w:rsidP="00F10732">
      <w:pPr>
        <w:pStyle w:val="tPara"/>
      </w:pPr>
      <w:r w:rsidRPr="0063657F">
        <w:tab/>
      </w:r>
      <w:r w:rsidR="00F773E9">
        <w:t>(a)</w:t>
      </w:r>
      <w:r w:rsidRPr="0063657F">
        <w:tab/>
      </w:r>
      <w:proofErr w:type="gramStart"/>
      <w:r w:rsidR="00C04B5B" w:rsidRPr="0063657F">
        <w:t>be</w:t>
      </w:r>
      <w:proofErr w:type="gramEnd"/>
      <w:r w:rsidR="00C04B5B" w:rsidRPr="0063657F">
        <w:t xml:space="preserve"> </w:t>
      </w:r>
      <w:r w:rsidRPr="0063657F">
        <w:t>measured using the units specified in the Benchmark Emissions-Intensity Index; and</w:t>
      </w:r>
    </w:p>
    <w:p w:rsidR="00F10732" w:rsidRPr="0063657F" w:rsidRDefault="00F10732" w:rsidP="00F10732">
      <w:pPr>
        <w:pStyle w:val="tPara"/>
      </w:pPr>
      <w:r w:rsidRPr="0063657F">
        <w:tab/>
      </w:r>
      <w:r w:rsidR="00F773E9">
        <w:t>(b)</w:t>
      </w:r>
      <w:r w:rsidRPr="0063657F">
        <w:tab/>
      </w:r>
      <w:proofErr w:type="gramStart"/>
      <w:r w:rsidRPr="0063657F">
        <w:t>meet</w:t>
      </w:r>
      <w:proofErr w:type="gramEnd"/>
      <w:r w:rsidRPr="0063657F">
        <w:t xml:space="preserve"> any measurement requirements or procedures specified in the Benchmark Emissions-Intensity Index.</w:t>
      </w:r>
    </w:p>
    <w:p w:rsidR="00F961F6" w:rsidRPr="0063657F" w:rsidRDefault="00F961F6" w:rsidP="00F961F6">
      <w:pPr>
        <w:pStyle w:val="tMain"/>
      </w:pPr>
      <w:r w:rsidRPr="0063657F">
        <w:tab/>
      </w:r>
      <w:r w:rsidR="00F773E9">
        <w:t>(4)</w:t>
      </w:r>
      <w:r w:rsidRPr="0063657F">
        <w:tab/>
        <w:t xml:space="preserve">For the purposes of this section, the </w:t>
      </w:r>
      <w:r w:rsidRPr="0063657F">
        <w:rPr>
          <w:b/>
          <w:i/>
        </w:rPr>
        <w:t>production estimation period</w:t>
      </w:r>
      <w:r w:rsidRPr="0063657F">
        <w:t xml:space="preserve"> is </w:t>
      </w:r>
      <w:r w:rsidR="00C04B5B" w:rsidRPr="0063657F">
        <w:t xml:space="preserve">3 </w:t>
      </w:r>
      <w:r w:rsidRPr="0063657F">
        <w:t xml:space="preserve">or </w:t>
      </w:r>
      <w:r w:rsidR="00C04B5B" w:rsidRPr="0063657F">
        <w:t xml:space="preserve">5 </w:t>
      </w:r>
      <w:r w:rsidRPr="0063657F">
        <w:t>financial years which would be the duration of the benchmark-emissions baseline determination if it were made to commence from the earliest 1 July possible.</w:t>
      </w:r>
    </w:p>
    <w:p w:rsidR="00BA2E69" w:rsidRPr="0063657F" w:rsidRDefault="00BA2E69" w:rsidP="00BA2E69">
      <w:pPr>
        <w:pStyle w:val="nMain"/>
      </w:pPr>
      <w:r w:rsidRPr="0063657F">
        <w:tab/>
        <w:t>Note:</w:t>
      </w:r>
      <w:r w:rsidRPr="0063657F">
        <w:tab/>
        <w:t>Under section 39 the duration of a benchmark-emissions baseline determination may be less than the maximum 3 or 5 year duration.</w:t>
      </w:r>
    </w:p>
    <w:p w:rsidR="00F10732" w:rsidRPr="0063657F" w:rsidRDefault="00F773E9" w:rsidP="00F10732">
      <w:pPr>
        <w:pStyle w:val="h5Section"/>
      </w:pPr>
      <w:bookmarkStart w:id="53" w:name="_Toc431896984"/>
      <w:r>
        <w:t>36</w:t>
      </w:r>
      <w:r w:rsidR="00F10732" w:rsidRPr="0063657F">
        <w:t xml:space="preserve"> Audit reports</w:t>
      </w:r>
      <w:bookmarkEnd w:id="53"/>
      <w:r w:rsidR="00F10732" w:rsidRPr="0063657F">
        <w:t xml:space="preserve"> </w:t>
      </w:r>
    </w:p>
    <w:p w:rsidR="00F10732" w:rsidRPr="0063657F" w:rsidRDefault="00F10732" w:rsidP="00F10732">
      <w:pPr>
        <w:pStyle w:val="tMain"/>
      </w:pPr>
      <w:r w:rsidRPr="0063657F">
        <w:tab/>
      </w:r>
      <w:r w:rsidR="00F773E9">
        <w:t>(1)</w:t>
      </w:r>
      <w:r w:rsidRPr="0063657F">
        <w:tab/>
        <w:t>An application must be accompanied by an audit report which complies with this section.</w:t>
      </w:r>
    </w:p>
    <w:p w:rsidR="00F10732" w:rsidRPr="0063657F" w:rsidRDefault="00F10732" w:rsidP="00F10732">
      <w:pPr>
        <w:pStyle w:val="tMain"/>
      </w:pPr>
      <w:r w:rsidRPr="0063657F">
        <w:tab/>
      </w:r>
      <w:r w:rsidR="00F773E9">
        <w:t>(2)</w:t>
      </w:r>
      <w:r w:rsidRPr="0063657F">
        <w:tab/>
        <w:t>The matters to be audited and covered by the audit report are whether, in all material respects:</w:t>
      </w:r>
    </w:p>
    <w:p w:rsidR="00F10732" w:rsidRPr="0063657F" w:rsidRDefault="00F10732" w:rsidP="00F10732">
      <w:pPr>
        <w:pStyle w:val="h6Subsec"/>
      </w:pPr>
      <w:r w:rsidRPr="0063657F">
        <w:t>Reasonable assurance matters</w:t>
      </w:r>
    </w:p>
    <w:p w:rsidR="00F10732" w:rsidRPr="0063657F" w:rsidRDefault="00F10732" w:rsidP="00F10732">
      <w:pPr>
        <w:pStyle w:val="tPara"/>
      </w:pPr>
      <w:r w:rsidRPr="0063657F">
        <w:tab/>
      </w:r>
      <w:r w:rsidR="00F773E9">
        <w:t>(a)</w:t>
      </w:r>
      <w:r w:rsidRPr="0063657F">
        <w:tab/>
      </w:r>
      <w:proofErr w:type="gramStart"/>
      <w:r w:rsidRPr="0063657F">
        <w:t>if</w:t>
      </w:r>
      <w:proofErr w:type="gramEnd"/>
      <w:r w:rsidRPr="0063657F">
        <w:t xml:space="preserve"> the significant expansion criteria are relied upon by the applicant—those criteria are satisfied;</w:t>
      </w:r>
      <w:r w:rsidR="002D3457">
        <w:t xml:space="preserve"> and</w:t>
      </w:r>
    </w:p>
    <w:p w:rsidR="00F10732" w:rsidRPr="0063657F" w:rsidRDefault="00F10732" w:rsidP="00F10732">
      <w:pPr>
        <w:pStyle w:val="tPara"/>
      </w:pPr>
      <w:r w:rsidRPr="0063657F">
        <w:tab/>
      </w:r>
      <w:r w:rsidR="00F773E9">
        <w:t>(b)</w:t>
      </w:r>
      <w:r w:rsidRPr="0063657F">
        <w:tab/>
      </w:r>
      <w:proofErr w:type="gramStart"/>
      <w:r w:rsidRPr="0063657F">
        <w:t>the</w:t>
      </w:r>
      <w:proofErr w:type="gramEnd"/>
      <w:r w:rsidRPr="0063657F">
        <w:t xml:space="preserve"> application has been: </w:t>
      </w:r>
    </w:p>
    <w:p w:rsidR="00F10732" w:rsidRPr="0063657F" w:rsidRDefault="00F10732" w:rsidP="00F10732">
      <w:pPr>
        <w:pStyle w:val="tSubpara"/>
      </w:pPr>
      <w:r w:rsidRPr="0063657F">
        <w:lastRenderedPageBreak/>
        <w:tab/>
      </w:r>
      <w:r w:rsidR="00F773E9">
        <w:t>(</w:t>
      </w:r>
      <w:proofErr w:type="spellStart"/>
      <w:r w:rsidR="00F773E9">
        <w:t>i</w:t>
      </w:r>
      <w:proofErr w:type="spellEnd"/>
      <w:r w:rsidR="00F773E9">
        <w:t>)</w:t>
      </w:r>
      <w:r w:rsidRPr="0063657F">
        <w:tab/>
      </w:r>
      <w:proofErr w:type="gramStart"/>
      <w:r w:rsidRPr="0063657F">
        <w:t>prepar</w:t>
      </w:r>
      <w:r w:rsidR="00553B8A" w:rsidRPr="0063657F">
        <w:t>ed</w:t>
      </w:r>
      <w:proofErr w:type="gramEnd"/>
      <w:r w:rsidR="00553B8A" w:rsidRPr="0063657F">
        <w:t xml:space="preserve"> in accordance with section 35</w:t>
      </w:r>
      <w:r w:rsidRPr="0063657F">
        <w:t>; and</w:t>
      </w:r>
    </w:p>
    <w:p w:rsidR="00F10732" w:rsidRPr="0063657F" w:rsidRDefault="00F10732" w:rsidP="00F10732">
      <w:pPr>
        <w:pStyle w:val="tSubpara"/>
      </w:pPr>
      <w:r w:rsidRPr="0063657F">
        <w:tab/>
      </w:r>
      <w:r w:rsidR="00F773E9">
        <w:t>(ii)</w:t>
      </w:r>
      <w:r w:rsidRPr="0063657F">
        <w:tab/>
      </w:r>
      <w:proofErr w:type="gramStart"/>
      <w:r w:rsidRPr="0063657F">
        <w:t>presented</w:t>
      </w:r>
      <w:proofErr w:type="gramEnd"/>
      <w:r w:rsidRPr="0063657F">
        <w:t xml:space="preserve"> fairly; and</w:t>
      </w:r>
    </w:p>
    <w:p w:rsidR="00F10732" w:rsidRPr="0063657F" w:rsidRDefault="00F10732" w:rsidP="00F10732">
      <w:pPr>
        <w:pStyle w:val="h6Subsec"/>
      </w:pPr>
      <w:r w:rsidRPr="0063657F">
        <w:t>Limited assurance matters</w:t>
      </w:r>
    </w:p>
    <w:p w:rsidR="00F10732" w:rsidRPr="0063657F" w:rsidRDefault="00F10732" w:rsidP="00F10732">
      <w:pPr>
        <w:pStyle w:val="tPara"/>
      </w:pPr>
      <w:r w:rsidRPr="0063657F">
        <w:tab/>
      </w:r>
      <w:r w:rsidR="00F773E9">
        <w:t>(c)</w:t>
      </w:r>
      <w:r w:rsidRPr="0063657F">
        <w:tab/>
      </w:r>
      <w:proofErr w:type="gramStart"/>
      <w:r w:rsidRPr="0063657F">
        <w:t>the</w:t>
      </w:r>
      <w:proofErr w:type="gramEnd"/>
      <w:r w:rsidRPr="0063657F">
        <w:t xml:space="preserve"> estimates of the quantity of each production variable under paragraph</w:t>
      </w:r>
      <w:r w:rsidR="00DE13B7" w:rsidRPr="0063657F">
        <w:t>s</w:t>
      </w:r>
      <w:r w:rsidRPr="0063657F">
        <w:t xml:space="preserve"> 3</w:t>
      </w:r>
      <w:r w:rsidR="00553B8A" w:rsidRPr="0063657F">
        <w:t>5</w:t>
      </w:r>
      <w:r w:rsidRPr="0063657F">
        <w:t>(1)(b), (2)(b) and (2)(c):</w:t>
      </w:r>
    </w:p>
    <w:p w:rsidR="005E2288" w:rsidRPr="0063657F" w:rsidRDefault="005E2288" w:rsidP="005E2288">
      <w:pPr>
        <w:pStyle w:val="tSubpara"/>
      </w:pPr>
      <w:r w:rsidRPr="0063657F">
        <w:tab/>
      </w:r>
      <w:r w:rsidR="00F773E9">
        <w:t>(</w:t>
      </w:r>
      <w:proofErr w:type="spellStart"/>
      <w:r w:rsidR="00F773E9">
        <w:t>i</w:t>
      </w:r>
      <w:proofErr w:type="spellEnd"/>
      <w:r w:rsidR="00F773E9">
        <w:t>)</w:t>
      </w:r>
      <w:r w:rsidRPr="0063657F">
        <w:tab/>
      </w:r>
      <w:proofErr w:type="gramStart"/>
      <w:r w:rsidRPr="0063657F">
        <w:t>meet</w:t>
      </w:r>
      <w:proofErr w:type="gramEnd"/>
      <w:r w:rsidRPr="0063657F">
        <w:t xml:space="preserve"> the requirements in subsection 35(3); and</w:t>
      </w:r>
    </w:p>
    <w:p w:rsidR="005E2288" w:rsidRPr="0063657F" w:rsidRDefault="005E2288" w:rsidP="005E2288">
      <w:pPr>
        <w:pStyle w:val="tSubpara"/>
      </w:pPr>
      <w:r w:rsidRPr="0063657F">
        <w:tab/>
      </w:r>
      <w:r w:rsidR="00F773E9">
        <w:t>(ii)</w:t>
      </w:r>
      <w:r w:rsidRPr="0063657F">
        <w:tab/>
      </w:r>
      <w:proofErr w:type="gramStart"/>
      <w:r w:rsidR="00396C50" w:rsidRPr="0063657F">
        <w:t>are</w:t>
      </w:r>
      <w:proofErr w:type="gramEnd"/>
      <w:r w:rsidR="00396C50" w:rsidRPr="0063657F">
        <w:t xml:space="preserve"> </w:t>
      </w:r>
      <w:r w:rsidRPr="0063657F">
        <w:t>based on the applicant’s assumptions which provide a reasonable basis for the estimates; and</w:t>
      </w:r>
    </w:p>
    <w:p w:rsidR="005E2288" w:rsidRPr="0063657F" w:rsidRDefault="005E2288" w:rsidP="00396C50">
      <w:pPr>
        <w:pStyle w:val="tSubpara"/>
      </w:pPr>
      <w:r w:rsidRPr="0063657F">
        <w:tab/>
      </w:r>
      <w:r w:rsidR="00F773E9">
        <w:t>(iii)</w:t>
      </w:r>
      <w:r w:rsidRPr="0063657F">
        <w:tab/>
      </w:r>
      <w:proofErr w:type="gramStart"/>
      <w:r w:rsidR="00396C50" w:rsidRPr="0063657F">
        <w:t>are</w:t>
      </w:r>
      <w:proofErr w:type="gramEnd"/>
      <w:r w:rsidR="00396C50" w:rsidRPr="0063657F">
        <w:t xml:space="preserve"> </w:t>
      </w:r>
      <w:r w:rsidRPr="0063657F">
        <w:t>calculated on the basis of the applicant’s assumptions and any historical data</w:t>
      </w:r>
      <w:r w:rsidR="00396C50" w:rsidRPr="0063657F">
        <w:t xml:space="preserve"> that is </w:t>
      </w:r>
      <w:r w:rsidRPr="0063657F">
        <w:t xml:space="preserve">fairly stated; </w:t>
      </w:r>
      <w:r w:rsidR="00396C50" w:rsidRPr="0063657F">
        <w:t>and</w:t>
      </w:r>
    </w:p>
    <w:p w:rsidR="00F10732" w:rsidRPr="0063657F" w:rsidRDefault="005E2288" w:rsidP="00396C50">
      <w:pPr>
        <w:pStyle w:val="tSubpara"/>
      </w:pPr>
      <w:r w:rsidRPr="0063657F">
        <w:tab/>
      </w:r>
      <w:r w:rsidR="00F773E9">
        <w:t>(iv)</w:t>
      </w:r>
      <w:r w:rsidRPr="0063657F">
        <w:tab/>
      </w:r>
      <w:proofErr w:type="gramStart"/>
      <w:r w:rsidR="00396C50" w:rsidRPr="0063657F">
        <w:t>are</w:t>
      </w:r>
      <w:proofErr w:type="gramEnd"/>
      <w:r w:rsidR="00396C50" w:rsidRPr="0063657F">
        <w:t xml:space="preserve"> </w:t>
      </w:r>
      <w:r w:rsidRPr="0063657F">
        <w:t>reasonable.</w:t>
      </w:r>
    </w:p>
    <w:p w:rsidR="00F10732" w:rsidRPr="0063657F" w:rsidRDefault="00F10732" w:rsidP="00F10732">
      <w:pPr>
        <w:pStyle w:val="tMain"/>
      </w:pPr>
      <w:r w:rsidRPr="0063657F">
        <w:tab/>
      </w:r>
      <w:r w:rsidR="00F773E9">
        <w:t>(3)</w:t>
      </w:r>
      <w:r w:rsidRPr="0063657F">
        <w:tab/>
        <w:t>The audit report must include one of the following conclusions for the matters in paragraph</w:t>
      </w:r>
      <w:r w:rsidR="00DE13B7" w:rsidRPr="0063657F">
        <w:t>s</w:t>
      </w:r>
      <w:r w:rsidRPr="0063657F">
        <w:t xml:space="preserve"> (2</w:t>
      </w:r>
      <w:proofErr w:type="gramStart"/>
      <w:r w:rsidRPr="0063657F">
        <w:t>)(</w:t>
      </w:r>
      <w:proofErr w:type="gramEnd"/>
      <w:r w:rsidRPr="0063657F">
        <w:t>a) and (b):</w:t>
      </w:r>
    </w:p>
    <w:p w:rsidR="00F10732" w:rsidRPr="0063657F" w:rsidRDefault="00F10732" w:rsidP="00F10732">
      <w:pPr>
        <w:pStyle w:val="tPara"/>
      </w:pPr>
      <w:r w:rsidRPr="0063657F">
        <w:tab/>
      </w:r>
      <w:r w:rsidR="00F773E9">
        <w:t>(a)</w:t>
      </w:r>
      <w:r w:rsidRPr="0063657F">
        <w:tab/>
      </w:r>
      <w:proofErr w:type="gramStart"/>
      <w:r w:rsidRPr="0063657F">
        <w:t>a</w:t>
      </w:r>
      <w:proofErr w:type="gramEnd"/>
      <w:r w:rsidRPr="0063657F">
        <w:t xml:space="preserve"> reasonable assurance conclusion;</w:t>
      </w:r>
    </w:p>
    <w:p w:rsidR="00F10732" w:rsidRPr="0063657F" w:rsidRDefault="00F10732" w:rsidP="00F10732">
      <w:pPr>
        <w:pStyle w:val="tPara"/>
      </w:pPr>
      <w:r w:rsidRPr="0063657F">
        <w:tab/>
      </w:r>
      <w:r w:rsidR="00F773E9">
        <w:t>(b)</w:t>
      </w:r>
      <w:r w:rsidRPr="0063657F">
        <w:tab/>
      </w:r>
      <w:proofErr w:type="gramStart"/>
      <w:r w:rsidRPr="0063657F">
        <w:t>a</w:t>
      </w:r>
      <w:proofErr w:type="gramEnd"/>
      <w:r w:rsidRPr="0063657F">
        <w:t xml:space="preserve"> qualified reasonable assurance conclusion;</w:t>
      </w:r>
    </w:p>
    <w:p w:rsidR="00F10732" w:rsidRPr="0063657F" w:rsidRDefault="00F10732" w:rsidP="00F10732">
      <w:pPr>
        <w:pStyle w:val="tPara"/>
      </w:pPr>
      <w:r w:rsidRPr="0063657F">
        <w:tab/>
      </w:r>
      <w:r w:rsidR="00F773E9">
        <w:t>(c)</w:t>
      </w:r>
      <w:r w:rsidRPr="0063657F">
        <w:tab/>
      </w:r>
      <w:proofErr w:type="gramStart"/>
      <w:r w:rsidRPr="0063657F">
        <w:t>an</w:t>
      </w:r>
      <w:proofErr w:type="gramEnd"/>
      <w:r w:rsidRPr="0063657F">
        <w:t xml:space="preserve"> adverse conclusion;</w:t>
      </w:r>
    </w:p>
    <w:p w:rsidR="00F10732" w:rsidRPr="0063657F" w:rsidRDefault="00F10732" w:rsidP="00F10732">
      <w:pPr>
        <w:pStyle w:val="tPara"/>
      </w:pPr>
      <w:r w:rsidRPr="0063657F">
        <w:tab/>
      </w:r>
      <w:r w:rsidR="00F773E9">
        <w:t>(d)</w:t>
      </w:r>
      <w:r w:rsidRPr="0063657F">
        <w:tab/>
      </w:r>
      <w:proofErr w:type="gramStart"/>
      <w:r w:rsidRPr="0063657F">
        <w:t>a</w:t>
      </w:r>
      <w:proofErr w:type="gramEnd"/>
      <w:r w:rsidRPr="0063657F">
        <w:t xml:space="preserve"> conclusion that </w:t>
      </w:r>
      <w:r w:rsidR="00A72BB5" w:rsidRPr="0063657F">
        <w:t xml:space="preserve">the </w:t>
      </w:r>
      <w:r w:rsidRPr="0063657F">
        <w:t xml:space="preserve">assurance provider is unable to form an opinion about the matter being audited. </w:t>
      </w:r>
    </w:p>
    <w:p w:rsidR="00F10732" w:rsidRPr="0063657F" w:rsidRDefault="00F10732" w:rsidP="00F10732">
      <w:pPr>
        <w:pStyle w:val="tMain"/>
      </w:pPr>
      <w:r w:rsidRPr="0063657F">
        <w:tab/>
      </w:r>
      <w:r w:rsidR="00F773E9">
        <w:t>(4)</w:t>
      </w:r>
      <w:r w:rsidRPr="0063657F">
        <w:tab/>
        <w:t>The audit report must include one of the following conclusions for the matters in paragraph (2</w:t>
      </w:r>
      <w:proofErr w:type="gramStart"/>
      <w:r w:rsidRPr="0063657F">
        <w:t>)(</w:t>
      </w:r>
      <w:proofErr w:type="gramEnd"/>
      <w:r w:rsidRPr="0063657F">
        <w:t>c):</w:t>
      </w:r>
    </w:p>
    <w:p w:rsidR="00F10732" w:rsidRPr="0063657F" w:rsidRDefault="00F10732" w:rsidP="00F10732">
      <w:pPr>
        <w:pStyle w:val="tPara"/>
      </w:pPr>
      <w:r w:rsidRPr="0063657F">
        <w:tab/>
      </w:r>
      <w:r w:rsidR="00F773E9">
        <w:t>(a)</w:t>
      </w:r>
      <w:r w:rsidRPr="0063657F">
        <w:tab/>
      </w:r>
      <w:proofErr w:type="gramStart"/>
      <w:r w:rsidRPr="0063657F">
        <w:t>a</w:t>
      </w:r>
      <w:proofErr w:type="gramEnd"/>
      <w:r w:rsidRPr="0063657F">
        <w:t xml:space="preserve"> limited assurance conclusion;</w:t>
      </w:r>
    </w:p>
    <w:p w:rsidR="00F10732" w:rsidRPr="0063657F" w:rsidRDefault="00F10732" w:rsidP="00F10732">
      <w:pPr>
        <w:pStyle w:val="tPara"/>
      </w:pPr>
      <w:r w:rsidRPr="0063657F">
        <w:tab/>
      </w:r>
      <w:r w:rsidR="00F773E9">
        <w:t>(b)</w:t>
      </w:r>
      <w:r w:rsidRPr="0063657F">
        <w:tab/>
      </w:r>
      <w:proofErr w:type="gramStart"/>
      <w:r w:rsidRPr="0063657F">
        <w:t>a</w:t>
      </w:r>
      <w:proofErr w:type="gramEnd"/>
      <w:r w:rsidRPr="0063657F">
        <w:t xml:space="preserve"> qualified limited assurance conclusion;</w:t>
      </w:r>
    </w:p>
    <w:p w:rsidR="00F10732" w:rsidRPr="0063657F" w:rsidRDefault="00F10732" w:rsidP="00F10732">
      <w:pPr>
        <w:pStyle w:val="tPara"/>
      </w:pPr>
      <w:r w:rsidRPr="0063657F">
        <w:tab/>
      </w:r>
      <w:r w:rsidR="00F773E9">
        <w:t>(c)</w:t>
      </w:r>
      <w:r w:rsidRPr="0063657F">
        <w:tab/>
      </w:r>
      <w:proofErr w:type="gramStart"/>
      <w:r w:rsidRPr="0063657F">
        <w:t>an</w:t>
      </w:r>
      <w:proofErr w:type="gramEnd"/>
      <w:r w:rsidRPr="0063657F">
        <w:t xml:space="preserve"> adverse conclusion;</w:t>
      </w:r>
    </w:p>
    <w:p w:rsidR="00F10732" w:rsidRPr="0063657F" w:rsidRDefault="00F10732" w:rsidP="00F10732">
      <w:pPr>
        <w:pStyle w:val="tPara"/>
      </w:pPr>
      <w:r w:rsidRPr="0063657F">
        <w:tab/>
      </w:r>
      <w:r w:rsidR="00F773E9">
        <w:t>(d)</w:t>
      </w:r>
      <w:r w:rsidRPr="0063657F">
        <w:tab/>
      </w:r>
      <w:proofErr w:type="gramStart"/>
      <w:r w:rsidRPr="0063657F">
        <w:t>a</w:t>
      </w:r>
      <w:proofErr w:type="gramEnd"/>
      <w:r w:rsidRPr="0063657F">
        <w:t xml:space="preserve"> conclusion that </w:t>
      </w:r>
      <w:r w:rsidR="00A72BB5" w:rsidRPr="0063657F">
        <w:t xml:space="preserve">the </w:t>
      </w:r>
      <w:r w:rsidRPr="0063657F">
        <w:t xml:space="preserve">assurance provider is unable to form an opinion about the matter being audited. </w:t>
      </w:r>
    </w:p>
    <w:p w:rsidR="00F10732" w:rsidRPr="0063657F" w:rsidRDefault="00F10732" w:rsidP="00F10732">
      <w:pPr>
        <w:pStyle w:val="tMain"/>
      </w:pPr>
      <w:r w:rsidRPr="0063657F">
        <w:tab/>
      </w:r>
      <w:r w:rsidR="00F773E9">
        <w:t>(5)</w:t>
      </w:r>
      <w:r w:rsidRPr="0063657F">
        <w:tab/>
        <w:t>An audit report under this section must be the result of an audit which:</w:t>
      </w:r>
    </w:p>
    <w:p w:rsidR="00F10732" w:rsidRPr="0063657F" w:rsidRDefault="00F10732" w:rsidP="00F10732">
      <w:pPr>
        <w:pStyle w:val="tPara"/>
      </w:pPr>
      <w:r w:rsidRPr="0063657F">
        <w:tab/>
        <w:t>(a)</w:t>
      </w:r>
      <w:r w:rsidRPr="0063657F">
        <w:tab/>
      </w:r>
      <w:proofErr w:type="gramStart"/>
      <w:r w:rsidRPr="0063657F">
        <w:t>was</w:t>
      </w:r>
      <w:proofErr w:type="gramEnd"/>
      <w:r w:rsidRPr="0063657F">
        <w:t xml:space="preserve"> conducted in accordance with the relevant requirements for limited assurance engagements and reasonable assurance engagements under the </w:t>
      </w:r>
      <w:r w:rsidRPr="0063657F">
        <w:rPr>
          <w:i/>
        </w:rPr>
        <w:t>National Greenhouse and Energy Reporting (Audit) Determination 2009</w:t>
      </w:r>
      <w:r w:rsidRPr="0063657F">
        <w:t>; and</w:t>
      </w:r>
    </w:p>
    <w:p w:rsidR="00F10732" w:rsidRPr="0063657F" w:rsidRDefault="00F10732" w:rsidP="00F10732">
      <w:pPr>
        <w:pStyle w:val="tPara"/>
      </w:pPr>
      <w:r w:rsidRPr="0063657F">
        <w:tab/>
        <w:t>(b)</w:t>
      </w:r>
      <w:r w:rsidRPr="0063657F">
        <w:tab/>
      </w:r>
      <w:proofErr w:type="gramStart"/>
      <w:r w:rsidRPr="0063657F">
        <w:t>had</w:t>
      </w:r>
      <w:proofErr w:type="gramEnd"/>
      <w:r w:rsidRPr="0063657F">
        <w:t xml:space="preserve"> an audit team leader who is registered as a Category 2 auditor under </w:t>
      </w:r>
      <w:proofErr w:type="spellStart"/>
      <w:r w:rsidRPr="0063657F">
        <w:t>subregulation</w:t>
      </w:r>
      <w:proofErr w:type="spellEnd"/>
      <w:r w:rsidRPr="0063657F">
        <w:t xml:space="preserve"> 6.25(3) of the </w:t>
      </w:r>
      <w:r w:rsidR="007540C5" w:rsidRPr="0063657F">
        <w:t>NGER Regulations</w:t>
      </w:r>
      <w:r w:rsidRPr="0063657F">
        <w:t>; and</w:t>
      </w:r>
    </w:p>
    <w:p w:rsidR="00F10732" w:rsidRPr="0063657F" w:rsidRDefault="00F10732" w:rsidP="00F10732">
      <w:pPr>
        <w:pStyle w:val="tPara"/>
      </w:pPr>
      <w:r w:rsidRPr="0063657F">
        <w:tab/>
        <w:t>(c)</w:t>
      </w:r>
      <w:r w:rsidRPr="0063657F">
        <w:tab/>
      </w:r>
      <w:proofErr w:type="gramStart"/>
      <w:r w:rsidRPr="0063657F">
        <w:t>was</w:t>
      </w:r>
      <w:proofErr w:type="gramEnd"/>
      <w:r w:rsidRPr="0063657F">
        <w:t xml:space="preserve"> otherwise in accordance with subsection 75(1) of the Act.</w:t>
      </w:r>
    </w:p>
    <w:p w:rsidR="00F10732" w:rsidRPr="0063657F" w:rsidRDefault="00F773E9" w:rsidP="00F10732">
      <w:pPr>
        <w:pStyle w:val="h5Section"/>
      </w:pPr>
      <w:bookmarkStart w:id="54" w:name="_Toc431896985"/>
      <w:proofErr w:type="gramStart"/>
      <w:r>
        <w:t>37</w:t>
      </w:r>
      <w:r w:rsidR="00F10732" w:rsidRPr="0063657F">
        <w:t xml:space="preserve"> Further information</w:t>
      </w:r>
      <w:bookmarkEnd w:id="54"/>
      <w:proofErr w:type="gramEnd"/>
    </w:p>
    <w:p w:rsidR="00F10732" w:rsidRPr="0063657F" w:rsidRDefault="00F10732" w:rsidP="00F10732">
      <w:pPr>
        <w:pStyle w:val="tMain"/>
      </w:pPr>
      <w:r w:rsidRPr="0063657F">
        <w:tab/>
      </w:r>
      <w:r w:rsidR="00F773E9">
        <w:t>(1)</w:t>
      </w:r>
      <w:r w:rsidRPr="0063657F">
        <w:tab/>
        <w:t>The Regulator may, by written notice given to an applicant, require the applicant to give the Regulator, within the period specified in the notice, further information in connection with the application.</w:t>
      </w:r>
    </w:p>
    <w:p w:rsidR="00F10732" w:rsidRPr="0063657F" w:rsidRDefault="00F10732" w:rsidP="00F10732">
      <w:pPr>
        <w:pStyle w:val="tMain"/>
      </w:pPr>
      <w:r w:rsidRPr="0063657F">
        <w:tab/>
      </w:r>
      <w:r w:rsidR="00F773E9">
        <w:t>(2)</w:t>
      </w:r>
      <w:r w:rsidRPr="0063657F">
        <w:tab/>
        <w:t>If the applicant breaches the requirement, the Regulator may, by written notice given to the applicant:</w:t>
      </w:r>
    </w:p>
    <w:p w:rsidR="00F10732" w:rsidRPr="0063657F" w:rsidRDefault="00F10732" w:rsidP="00F10732">
      <w:pPr>
        <w:pStyle w:val="tPara"/>
      </w:pPr>
      <w:r w:rsidRPr="0063657F">
        <w:tab/>
      </w:r>
      <w:r w:rsidR="00F773E9">
        <w:t>(a)</w:t>
      </w:r>
      <w:r w:rsidRPr="0063657F">
        <w:tab/>
      </w:r>
      <w:proofErr w:type="gramStart"/>
      <w:r w:rsidRPr="0063657F">
        <w:t>refuse</w:t>
      </w:r>
      <w:proofErr w:type="gramEnd"/>
      <w:r w:rsidRPr="0063657F">
        <w:t xml:space="preserve"> to consider the application; or</w:t>
      </w:r>
    </w:p>
    <w:p w:rsidR="00F10732" w:rsidRPr="0063657F" w:rsidRDefault="00F10732" w:rsidP="00F10732">
      <w:pPr>
        <w:pStyle w:val="tPara"/>
        <w:rPr>
          <w:b/>
          <w:sz w:val="28"/>
          <w:szCs w:val="28"/>
        </w:rPr>
      </w:pPr>
      <w:r w:rsidRPr="0063657F">
        <w:tab/>
      </w:r>
      <w:r w:rsidR="00F773E9">
        <w:t>(b)</w:t>
      </w:r>
      <w:r w:rsidRPr="0063657F">
        <w:tab/>
      </w:r>
      <w:proofErr w:type="gramStart"/>
      <w:r w:rsidRPr="0063657F">
        <w:t>refuse</w:t>
      </w:r>
      <w:proofErr w:type="gramEnd"/>
      <w:r w:rsidRPr="0063657F">
        <w:t xml:space="preserve"> to take any action, or any further action, in relation to the application.</w:t>
      </w:r>
    </w:p>
    <w:p w:rsidR="00F10732" w:rsidRPr="0063657F" w:rsidRDefault="00F773E9" w:rsidP="00F10732">
      <w:pPr>
        <w:pStyle w:val="h5Section"/>
      </w:pPr>
      <w:bookmarkStart w:id="55" w:name="_Toc431896986"/>
      <w:r>
        <w:lastRenderedPageBreak/>
        <w:t>38</w:t>
      </w:r>
      <w:r w:rsidR="00F10732" w:rsidRPr="0063657F">
        <w:t xml:space="preserve"> Making of benchmark-emissions baseline determination</w:t>
      </w:r>
      <w:bookmarkEnd w:id="55"/>
    </w:p>
    <w:p w:rsidR="00F10732" w:rsidRPr="0063657F" w:rsidRDefault="00F10732" w:rsidP="00F10732">
      <w:pPr>
        <w:pStyle w:val="h6Subsec"/>
      </w:pPr>
      <w:r w:rsidRPr="0063657F">
        <w:t>Scope</w:t>
      </w:r>
    </w:p>
    <w:p w:rsidR="00F10732" w:rsidRPr="0063657F" w:rsidRDefault="00F10732" w:rsidP="00F10732">
      <w:pPr>
        <w:pStyle w:val="tMain"/>
      </w:pPr>
      <w:r w:rsidRPr="0063657F">
        <w:tab/>
      </w:r>
      <w:r w:rsidR="00F773E9">
        <w:t>(1)</w:t>
      </w:r>
      <w:r w:rsidRPr="0063657F">
        <w:tab/>
        <w:t>This section applies if an application under section 3</w:t>
      </w:r>
      <w:r w:rsidR="00553B8A" w:rsidRPr="0063657F">
        <w:t>2</w:t>
      </w:r>
      <w:r w:rsidRPr="0063657F">
        <w:t xml:space="preserve"> has been made for a benchmark-emissions baseline determination for a facility.</w:t>
      </w:r>
    </w:p>
    <w:p w:rsidR="00F10732" w:rsidRPr="0063657F" w:rsidRDefault="00F10732" w:rsidP="00F10732">
      <w:pPr>
        <w:pStyle w:val="h6Subsec"/>
      </w:pPr>
      <w:r w:rsidRPr="0063657F">
        <w:t xml:space="preserve">Determination </w:t>
      </w:r>
    </w:p>
    <w:p w:rsidR="00F10732" w:rsidRPr="0063657F" w:rsidRDefault="00F10732" w:rsidP="00F10732">
      <w:pPr>
        <w:pStyle w:val="tMain"/>
      </w:pPr>
      <w:r w:rsidRPr="0063657F">
        <w:tab/>
      </w:r>
      <w:r w:rsidR="00F773E9">
        <w:t>(2)</w:t>
      </w:r>
      <w:r w:rsidRPr="0063657F">
        <w:tab/>
        <w:t>The Regulator may make a benchmark-emissions baseline determination for the facility if satisfied</w:t>
      </w:r>
      <w:r w:rsidR="00FB50AD" w:rsidRPr="0063657F">
        <w:t xml:space="preserve"> that</w:t>
      </w:r>
      <w:r w:rsidRPr="0063657F">
        <w:t xml:space="preserve">: </w:t>
      </w:r>
    </w:p>
    <w:p w:rsidR="00F10732" w:rsidRPr="0063657F" w:rsidRDefault="00F10732" w:rsidP="00F10732">
      <w:pPr>
        <w:pStyle w:val="tPara"/>
      </w:pPr>
      <w:r w:rsidRPr="0063657F">
        <w:tab/>
      </w:r>
      <w:r w:rsidR="00F773E9">
        <w:t>(a)</w:t>
      </w:r>
      <w:r w:rsidRPr="0063657F">
        <w:tab/>
      </w:r>
      <w:proofErr w:type="gramStart"/>
      <w:r w:rsidRPr="0063657F">
        <w:t>the</w:t>
      </w:r>
      <w:proofErr w:type="gramEnd"/>
      <w:r w:rsidRPr="0063657F">
        <w:t xml:space="preserve"> audit report accompanying an application contains a reasonable assurance conclusion or qualified reasonable assurance conclusion</w:t>
      </w:r>
      <w:r w:rsidR="00553B8A" w:rsidRPr="0063657F">
        <w:t xml:space="preserve"> for the matters in paragraph</w:t>
      </w:r>
      <w:r w:rsidR="008D13EE" w:rsidRPr="0063657F">
        <w:t>s</w:t>
      </w:r>
      <w:r w:rsidR="00553B8A" w:rsidRPr="0063657F">
        <w:t xml:space="preserve"> 36</w:t>
      </w:r>
      <w:r w:rsidRPr="0063657F">
        <w:t>(2)(a) and (b); and</w:t>
      </w:r>
    </w:p>
    <w:p w:rsidR="00F10732" w:rsidRPr="0063657F" w:rsidRDefault="00F10732" w:rsidP="00F10732">
      <w:pPr>
        <w:pStyle w:val="tPara"/>
      </w:pPr>
      <w:r w:rsidRPr="0063657F">
        <w:tab/>
      </w:r>
      <w:r w:rsidR="00F773E9">
        <w:t>(b)</w:t>
      </w:r>
      <w:r w:rsidRPr="0063657F">
        <w:tab/>
      </w:r>
      <w:proofErr w:type="gramStart"/>
      <w:r w:rsidRPr="0063657F">
        <w:t>the</w:t>
      </w:r>
      <w:proofErr w:type="gramEnd"/>
      <w:r w:rsidRPr="0063657F">
        <w:t xml:space="preserve"> audit report accompanying an application contains a limited assurance conclusion or qualified limited assurance conclusion</w:t>
      </w:r>
      <w:r w:rsidR="00553B8A" w:rsidRPr="0063657F">
        <w:t xml:space="preserve"> for the matters in paragraph</w:t>
      </w:r>
      <w:r w:rsidR="00FB50AD" w:rsidRPr="0063657F">
        <w:t> </w:t>
      </w:r>
      <w:r w:rsidR="00553B8A" w:rsidRPr="0063657F">
        <w:t>36</w:t>
      </w:r>
      <w:r w:rsidRPr="0063657F">
        <w:t>(2)(c); and</w:t>
      </w:r>
    </w:p>
    <w:p w:rsidR="00F10732" w:rsidRPr="0063657F" w:rsidRDefault="00F10732" w:rsidP="00F10732">
      <w:pPr>
        <w:pStyle w:val="tPara"/>
      </w:pPr>
      <w:r w:rsidRPr="0063657F">
        <w:tab/>
      </w:r>
      <w:r w:rsidR="00F773E9">
        <w:t>(c)</w:t>
      </w:r>
      <w:r w:rsidRPr="0063657F">
        <w:tab/>
      </w:r>
      <w:proofErr w:type="gramStart"/>
      <w:r w:rsidRPr="0063657F">
        <w:t>the</w:t>
      </w:r>
      <w:proofErr w:type="gramEnd"/>
      <w:r w:rsidRPr="0063657F">
        <w:t xml:space="preserve"> relevant new facility criteria or significant expansion criteria are met; and</w:t>
      </w:r>
    </w:p>
    <w:p w:rsidR="00F10732" w:rsidRPr="0063657F" w:rsidRDefault="00F10732" w:rsidP="00F10732">
      <w:pPr>
        <w:pStyle w:val="tPara"/>
      </w:pPr>
      <w:r w:rsidRPr="0063657F">
        <w:tab/>
      </w:r>
      <w:r w:rsidR="00F773E9">
        <w:t>(d)</w:t>
      </w:r>
      <w:r w:rsidRPr="0063657F">
        <w:tab/>
      </w:r>
      <w:proofErr w:type="gramStart"/>
      <w:r w:rsidRPr="0063657F">
        <w:t>the</w:t>
      </w:r>
      <w:proofErr w:type="gramEnd"/>
      <w:r w:rsidRPr="0063657F">
        <w:t xml:space="preserve"> production variables used in the application:</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are</w:t>
      </w:r>
      <w:proofErr w:type="gramEnd"/>
      <w:r w:rsidRPr="0063657F">
        <w:t xml:space="preserve"> applicable to the facility in accordance any requirements set out in the Benchmark Emissions-Intensity Index; and</w:t>
      </w:r>
    </w:p>
    <w:p w:rsidR="00F10732" w:rsidRPr="0063657F" w:rsidRDefault="00F10732" w:rsidP="00F10732">
      <w:pPr>
        <w:pStyle w:val="tSubpara"/>
      </w:pPr>
      <w:r w:rsidRPr="0063657F">
        <w:tab/>
      </w:r>
      <w:r w:rsidR="00F773E9">
        <w:t>(ii)</w:t>
      </w:r>
      <w:r w:rsidRPr="0063657F">
        <w:tab/>
      </w:r>
      <w:proofErr w:type="gramStart"/>
      <w:r w:rsidRPr="0063657F">
        <w:t>meet</w:t>
      </w:r>
      <w:proofErr w:type="gramEnd"/>
      <w:r w:rsidR="00553B8A" w:rsidRPr="0063657F">
        <w:t xml:space="preserve"> the requirements of s 35</w:t>
      </w:r>
      <w:r w:rsidR="00EC1496" w:rsidRPr="0063657F">
        <w:t>(3); and</w:t>
      </w:r>
    </w:p>
    <w:p w:rsidR="00EC1496" w:rsidRPr="0063657F" w:rsidRDefault="00EC1496" w:rsidP="00EC1496">
      <w:pPr>
        <w:pStyle w:val="tPara"/>
      </w:pPr>
      <w:r w:rsidRPr="0063657F">
        <w:tab/>
      </w:r>
      <w:r w:rsidR="00F773E9">
        <w:t>(e)</w:t>
      </w:r>
      <w:r w:rsidRPr="0063657F">
        <w:tab/>
      </w:r>
      <w:proofErr w:type="gramStart"/>
      <w:r w:rsidRPr="0063657F">
        <w:t>if</w:t>
      </w:r>
      <w:proofErr w:type="gramEnd"/>
      <w:r w:rsidRPr="0063657F">
        <w:t xml:space="preserve"> an explanation is </w:t>
      </w:r>
      <w:r w:rsidR="008B253C" w:rsidRPr="0063657F">
        <w:t>included</w:t>
      </w:r>
      <w:r w:rsidR="00553B8A" w:rsidRPr="0063657F">
        <w:t xml:space="preserve"> under paragraph 35</w:t>
      </w:r>
      <w:r w:rsidRPr="0063657F">
        <w:t>(1)(f)</w:t>
      </w:r>
      <w:r w:rsidR="00FC5932" w:rsidRPr="0063657F">
        <w:t xml:space="preserve"> or (2)(k</w:t>
      </w:r>
      <w:r w:rsidRPr="0063657F">
        <w:t>)—that explanation is reasonable.</w:t>
      </w:r>
    </w:p>
    <w:p w:rsidR="00F10732" w:rsidRPr="0063657F" w:rsidRDefault="00F10732" w:rsidP="00F10732">
      <w:pPr>
        <w:pStyle w:val="h6Subsec"/>
      </w:pPr>
      <w:r w:rsidRPr="0063657F">
        <w:t>Baseline emissions number</w:t>
      </w:r>
    </w:p>
    <w:p w:rsidR="00F10732" w:rsidRPr="0063657F" w:rsidRDefault="00F10732" w:rsidP="00F10732">
      <w:pPr>
        <w:pStyle w:val="tMain"/>
      </w:pPr>
      <w:r w:rsidRPr="0063657F">
        <w:tab/>
      </w:r>
      <w:r w:rsidR="00F773E9">
        <w:t>(3)</w:t>
      </w:r>
      <w:r w:rsidRPr="0063657F">
        <w:tab/>
        <w:t xml:space="preserve">The baseline emissions number specified in the determination made under subsection (2) must be: </w:t>
      </w:r>
    </w:p>
    <w:p w:rsidR="00F10732" w:rsidRPr="0063657F" w:rsidRDefault="00F10732" w:rsidP="00F10732">
      <w:pPr>
        <w:pStyle w:val="tPara"/>
      </w:pPr>
      <w:r w:rsidRPr="0063657F">
        <w:tab/>
      </w:r>
      <w:r w:rsidR="00F773E9">
        <w:t>(a)</w:t>
      </w:r>
      <w:r w:rsidRPr="0063657F">
        <w:tab/>
        <w:t xml:space="preserve">if the new facility criteria are met—the total amount of </w:t>
      </w:r>
      <w:r w:rsidR="00FB50AD" w:rsidRPr="0063657F">
        <w:t>t CO</w:t>
      </w:r>
      <w:r w:rsidR="00FB50AD" w:rsidRPr="0063657F">
        <w:rPr>
          <w:vertAlign w:val="subscript"/>
        </w:rPr>
        <w:t>2</w:t>
      </w:r>
      <w:r w:rsidR="007F7E20" w:rsidRPr="0063657F">
        <w:rPr>
          <w:rFonts w:ascii="Helvetica Neue" w:hAnsi="Helvetica Neue"/>
          <w:b/>
          <w:bCs/>
          <w:i/>
          <w:iCs/>
          <w:sz w:val="19"/>
          <w:szCs w:val="19"/>
        </w:rPr>
        <w:noBreakHyphen/>
      </w:r>
      <w:r w:rsidR="00FB50AD" w:rsidRPr="0063657F">
        <w:t>e of</w:t>
      </w:r>
      <w:r w:rsidRPr="0063657F">
        <w:t xml:space="preserve"> covered emissions calculated by multiplying the </w:t>
      </w:r>
      <w:r w:rsidR="00EC1496" w:rsidRPr="0063657F">
        <w:t>quantity</w:t>
      </w:r>
      <w:r w:rsidRPr="0063657F">
        <w:t xml:space="preserve"> of </w:t>
      </w:r>
      <w:r w:rsidR="00147926" w:rsidRPr="0063657F">
        <w:t xml:space="preserve">each of </w:t>
      </w:r>
      <w:r w:rsidRPr="0063657F">
        <w:t xml:space="preserve">the production variables </w:t>
      </w:r>
      <w:r w:rsidR="00B820FC" w:rsidRPr="0063657F">
        <w:t xml:space="preserve">in the financial year determined under paragraph 35(1)(b) </w:t>
      </w:r>
      <w:r w:rsidR="0086028F" w:rsidRPr="0063657F">
        <w:t xml:space="preserve">by </w:t>
      </w:r>
      <w:r w:rsidRPr="0063657F">
        <w:t xml:space="preserve">the relevant benchmark </w:t>
      </w:r>
      <w:r w:rsidR="001033B1" w:rsidRPr="0063657F">
        <w:t>emissions intensity</w:t>
      </w:r>
      <w:r w:rsidRPr="0063657F">
        <w:t xml:space="preserve"> of </w:t>
      </w:r>
      <w:r w:rsidR="00147926" w:rsidRPr="0063657F">
        <w:t xml:space="preserve">that </w:t>
      </w:r>
      <w:r w:rsidRPr="0063657F">
        <w:t>variable and summing the results; or</w:t>
      </w:r>
    </w:p>
    <w:p w:rsidR="00F10732" w:rsidRPr="0063657F" w:rsidRDefault="00F10732" w:rsidP="00F10732">
      <w:pPr>
        <w:pStyle w:val="tPara"/>
      </w:pPr>
      <w:r w:rsidRPr="0063657F">
        <w:tab/>
      </w:r>
      <w:r w:rsidR="00F773E9">
        <w:t>(b)</w:t>
      </w:r>
      <w:r w:rsidRPr="0063657F">
        <w:tab/>
      </w:r>
      <w:proofErr w:type="gramStart"/>
      <w:r w:rsidRPr="0063657F">
        <w:t>if</w:t>
      </w:r>
      <w:proofErr w:type="gramEnd"/>
      <w:r w:rsidRPr="0063657F">
        <w:t xml:space="preserve"> the significant expansion criteria are met—the total amount of t CO</w:t>
      </w:r>
      <w:r w:rsidRPr="0063657F">
        <w:rPr>
          <w:vertAlign w:val="subscript"/>
        </w:rPr>
        <w:t>2</w:t>
      </w:r>
      <w:r w:rsidR="007F7E20" w:rsidRPr="0063657F">
        <w:rPr>
          <w:rFonts w:ascii="Helvetica Neue" w:hAnsi="Helvetica Neue"/>
          <w:b/>
          <w:bCs/>
          <w:i/>
          <w:iCs/>
          <w:sz w:val="19"/>
          <w:szCs w:val="19"/>
        </w:rPr>
        <w:noBreakHyphen/>
      </w:r>
      <w:r w:rsidRPr="0063657F">
        <w:t xml:space="preserve">e </w:t>
      </w:r>
      <w:r w:rsidR="00A53B28" w:rsidRPr="0063657F">
        <w:t xml:space="preserve">of </w:t>
      </w:r>
      <w:r w:rsidRPr="0063657F">
        <w:t>covered emissions calculated by summing:</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t xml:space="preserve">the change in production for each production variable </w:t>
      </w:r>
      <w:r w:rsidR="00B820FC" w:rsidRPr="0063657F">
        <w:t xml:space="preserve">determined under paragraph 35(2)(d) </w:t>
      </w:r>
      <w:r w:rsidRPr="0063657F">
        <w:t xml:space="preserve">multiplied by its relevant benchmark </w:t>
      </w:r>
      <w:r w:rsidR="001033B1" w:rsidRPr="0063657F">
        <w:t>emissions intensity</w:t>
      </w:r>
      <w:r w:rsidRPr="0063657F">
        <w:t xml:space="preserve">; and </w:t>
      </w:r>
    </w:p>
    <w:p w:rsidR="00F10732" w:rsidRPr="0063657F" w:rsidRDefault="00F10732" w:rsidP="00F10732">
      <w:pPr>
        <w:pStyle w:val="tSubpara"/>
      </w:pPr>
      <w:r w:rsidRPr="0063657F">
        <w:tab/>
      </w:r>
      <w:r w:rsidR="00F773E9">
        <w:t>(ii)</w:t>
      </w:r>
      <w:r w:rsidRPr="0063657F">
        <w:tab/>
      </w:r>
      <w:proofErr w:type="gramStart"/>
      <w:r w:rsidRPr="0063657F">
        <w:t>if</w:t>
      </w:r>
      <w:proofErr w:type="gramEnd"/>
      <w:r w:rsidRPr="0063657F">
        <w:t xml:space="preserve"> a reported-emissions baseline determination or production-adjusted baseline determination would otherwise apply in the first year of the benchmark-emissions baseline determination—the baseline emissions number applicable under that determination; and</w:t>
      </w:r>
    </w:p>
    <w:p w:rsidR="00F10732" w:rsidRPr="0063657F" w:rsidRDefault="00F10732" w:rsidP="00F10732">
      <w:pPr>
        <w:pStyle w:val="tSubpara"/>
      </w:pPr>
      <w:r w:rsidRPr="0063657F">
        <w:tab/>
      </w:r>
      <w:r w:rsidR="00F773E9">
        <w:t>(iii)</w:t>
      </w:r>
      <w:r w:rsidRPr="0063657F">
        <w:tab/>
      </w:r>
      <w:proofErr w:type="gramStart"/>
      <w:r w:rsidRPr="0063657F">
        <w:t>if</w:t>
      </w:r>
      <w:proofErr w:type="gramEnd"/>
      <w:r w:rsidRPr="0063657F">
        <w:t xml:space="preserve"> a baseline emission</w:t>
      </w:r>
      <w:r w:rsidR="004A58CC" w:rsidRPr="0063657F">
        <w:t>s</w:t>
      </w:r>
      <w:r w:rsidRPr="0063657F">
        <w:t xml:space="preserve"> number applies because of paragraph 10(b)—the lesser of:</w:t>
      </w:r>
    </w:p>
    <w:p w:rsidR="00F10732" w:rsidRPr="0063657F" w:rsidRDefault="00F10732" w:rsidP="00F10732">
      <w:pPr>
        <w:pStyle w:val="tSubsub"/>
      </w:pPr>
      <w:r w:rsidRPr="0063657F">
        <w:tab/>
      </w:r>
      <w:r w:rsidR="00F773E9">
        <w:t>(A)</w:t>
      </w:r>
      <w:r w:rsidRPr="0063657F">
        <w:tab/>
        <w:t>100,000 t CO</w:t>
      </w:r>
      <w:r w:rsidRPr="0063657F">
        <w:rPr>
          <w:vertAlign w:val="subscript"/>
        </w:rPr>
        <w:t>2</w:t>
      </w:r>
      <w:r w:rsidR="007F7E20" w:rsidRPr="0063657F">
        <w:rPr>
          <w:rFonts w:ascii="Helvetica Neue" w:hAnsi="Helvetica Neue"/>
          <w:b/>
          <w:bCs/>
          <w:i/>
          <w:iCs/>
          <w:sz w:val="19"/>
          <w:szCs w:val="19"/>
        </w:rPr>
        <w:noBreakHyphen/>
      </w:r>
      <w:r w:rsidRPr="0063657F">
        <w:t>e; and</w:t>
      </w:r>
    </w:p>
    <w:p w:rsidR="00F10732" w:rsidRPr="0063657F" w:rsidRDefault="00F10732" w:rsidP="00F10732">
      <w:pPr>
        <w:pStyle w:val="tSubsub"/>
      </w:pPr>
      <w:r w:rsidRPr="0063657F">
        <w:tab/>
      </w:r>
      <w:r w:rsidR="00F773E9">
        <w:t>(B)</w:t>
      </w:r>
      <w:r w:rsidRPr="0063657F">
        <w:tab/>
      </w:r>
      <w:proofErr w:type="gramStart"/>
      <w:r w:rsidRPr="0063657F">
        <w:t>the</w:t>
      </w:r>
      <w:proofErr w:type="gramEnd"/>
      <w:r w:rsidRPr="0063657F">
        <w:t xml:space="preserve"> covered emissions of the facility in the financial year used in paragraph 3</w:t>
      </w:r>
      <w:r w:rsidR="00553B8A" w:rsidRPr="0063657F">
        <w:t>5</w:t>
      </w:r>
      <w:r w:rsidRPr="0063657F">
        <w:t>(2)(c).</w:t>
      </w:r>
    </w:p>
    <w:p w:rsidR="00F10732" w:rsidRPr="0063657F" w:rsidRDefault="00F10732" w:rsidP="00F10732">
      <w:pPr>
        <w:pStyle w:val="h6Subsec"/>
      </w:pPr>
      <w:r w:rsidRPr="0063657F">
        <w:t>Timing</w:t>
      </w:r>
    </w:p>
    <w:p w:rsidR="00F10732" w:rsidRPr="0063657F" w:rsidRDefault="00F10732" w:rsidP="00F10732">
      <w:pPr>
        <w:pStyle w:val="tMain"/>
      </w:pPr>
      <w:r w:rsidRPr="0063657F">
        <w:tab/>
      </w:r>
      <w:r w:rsidR="00F773E9">
        <w:t>(4)</w:t>
      </w:r>
      <w:r w:rsidRPr="0063657F">
        <w:tab/>
        <w:t>The Regulator must take all reasonable steps to ensure that a decision is made on the application:</w:t>
      </w:r>
    </w:p>
    <w:p w:rsidR="00F10732" w:rsidRPr="0063657F" w:rsidRDefault="00F10732" w:rsidP="00F10732">
      <w:pPr>
        <w:pStyle w:val="tPara"/>
      </w:pPr>
      <w:r w:rsidRPr="0063657F">
        <w:lastRenderedPageBreak/>
        <w:tab/>
      </w:r>
      <w:r w:rsidR="00F773E9">
        <w:t>(a)</w:t>
      </w:r>
      <w:r w:rsidRPr="0063657F">
        <w:tab/>
        <w:t>if the Regulator requires the applicant to give further</w:t>
      </w:r>
      <w:r w:rsidR="00553B8A" w:rsidRPr="0063657F">
        <w:t xml:space="preserve"> information under subsection 37</w:t>
      </w:r>
      <w:r w:rsidRPr="0063657F">
        <w:t>(1) in relation to the application—within 60 days after the applicant gave the Regulator the information; or</w:t>
      </w:r>
    </w:p>
    <w:p w:rsidR="00F10732" w:rsidRPr="0063657F" w:rsidRDefault="00F10732" w:rsidP="00F10732">
      <w:pPr>
        <w:pStyle w:val="tPara"/>
      </w:pPr>
      <w:r w:rsidRPr="0063657F">
        <w:tab/>
      </w:r>
      <w:r w:rsidR="00F773E9">
        <w:t>(b)</w:t>
      </w:r>
      <w:r w:rsidRPr="0063657F">
        <w:tab/>
      </w:r>
      <w:proofErr w:type="gramStart"/>
      <w:r w:rsidRPr="0063657F">
        <w:t>otherwise—</w:t>
      </w:r>
      <w:proofErr w:type="gramEnd"/>
      <w:r w:rsidRPr="0063657F">
        <w:t>within 60 days after the application was made.</w:t>
      </w:r>
    </w:p>
    <w:p w:rsidR="00F10732" w:rsidRPr="0063657F" w:rsidRDefault="00F10732" w:rsidP="00F10732">
      <w:pPr>
        <w:pStyle w:val="h6Subsec"/>
      </w:pPr>
      <w:r w:rsidRPr="0063657F">
        <w:t>Notification and publication</w:t>
      </w:r>
    </w:p>
    <w:p w:rsidR="00F10732" w:rsidRPr="0063657F" w:rsidRDefault="00F10732" w:rsidP="00F10732">
      <w:pPr>
        <w:pStyle w:val="tMain"/>
      </w:pPr>
      <w:r w:rsidRPr="0063657F">
        <w:tab/>
      </w:r>
      <w:r w:rsidR="00F773E9">
        <w:t>(5)</w:t>
      </w:r>
      <w:r w:rsidRPr="0063657F">
        <w:tab/>
      </w:r>
      <w:proofErr w:type="gramStart"/>
      <w:r w:rsidRPr="0063657F">
        <w:t>As</w:t>
      </w:r>
      <w:proofErr w:type="gramEnd"/>
      <w:r w:rsidRPr="0063657F">
        <w:t xml:space="preserve"> soon as practicable after making a benchmark-emissions baseline determination, the Regulator must:</w:t>
      </w:r>
    </w:p>
    <w:p w:rsidR="00F10732" w:rsidRPr="0063657F" w:rsidRDefault="00F10732" w:rsidP="00F10732">
      <w:pPr>
        <w:pStyle w:val="tPara"/>
      </w:pPr>
      <w:r w:rsidRPr="0063657F">
        <w:tab/>
      </w:r>
      <w:r w:rsidR="00F773E9">
        <w:t>(a)</w:t>
      </w:r>
      <w:r w:rsidRPr="0063657F">
        <w:tab/>
      </w:r>
      <w:proofErr w:type="gramStart"/>
      <w:r w:rsidRPr="0063657F">
        <w:t>provide</w:t>
      </w:r>
      <w:proofErr w:type="gramEnd"/>
      <w:r w:rsidRPr="0063657F">
        <w:t xml:space="preserve"> written notice of the determination to the responsible emitter for the facility covered by the determination; and</w:t>
      </w:r>
    </w:p>
    <w:p w:rsidR="00F10732" w:rsidRPr="0063657F" w:rsidRDefault="007A023F" w:rsidP="00E445F7">
      <w:pPr>
        <w:pStyle w:val="tPara"/>
      </w:pPr>
      <w:r w:rsidRPr="0063657F">
        <w:tab/>
      </w:r>
      <w:r w:rsidR="00F773E9">
        <w:t>(b)</w:t>
      </w:r>
      <w:r w:rsidRPr="0063657F">
        <w:tab/>
      </w:r>
      <w:proofErr w:type="gramStart"/>
      <w:r w:rsidRPr="0063657F">
        <w:t>publish</w:t>
      </w:r>
      <w:proofErr w:type="gramEnd"/>
      <w:r w:rsidRPr="0063657F">
        <w:t xml:space="preserve"> </w:t>
      </w:r>
      <w:r w:rsidR="00E445F7" w:rsidRPr="0063657F">
        <w:t>the details of the determination on its website.</w:t>
      </w:r>
      <w:r w:rsidRPr="0063657F">
        <w:t xml:space="preserve"> </w:t>
      </w:r>
    </w:p>
    <w:p w:rsidR="00F10732" w:rsidRPr="0063657F" w:rsidRDefault="00F10732" w:rsidP="00F10732">
      <w:pPr>
        <w:pStyle w:val="tMain"/>
      </w:pPr>
      <w:r w:rsidRPr="0063657F">
        <w:tab/>
      </w:r>
      <w:r w:rsidR="00F773E9">
        <w:t>(6)</w:t>
      </w:r>
      <w:r w:rsidRPr="0063657F">
        <w:tab/>
        <w:t>If the Regulator decides to refuse to make a benchmark-emissions baseline determination, the Regulator must give written notice of the decision to the applicant.</w:t>
      </w:r>
    </w:p>
    <w:p w:rsidR="00F10732" w:rsidRPr="0063657F" w:rsidRDefault="00F10732" w:rsidP="00F10732">
      <w:pPr>
        <w:pStyle w:val="h6Subsec"/>
      </w:pPr>
      <w:r w:rsidRPr="0063657F">
        <w:t>Rounding</w:t>
      </w:r>
    </w:p>
    <w:p w:rsidR="00F10732" w:rsidRPr="0063657F" w:rsidRDefault="00F10732" w:rsidP="00F10732">
      <w:pPr>
        <w:pStyle w:val="tMain"/>
      </w:pPr>
      <w:r w:rsidRPr="0063657F">
        <w:tab/>
      </w:r>
      <w:r w:rsidR="00F773E9">
        <w:t>(7)</w:t>
      </w:r>
      <w:r w:rsidRPr="0063657F">
        <w:tab/>
        <w:t>The baseline emissions number is to be rounded to the nearest whole number (with a number ending in .5 being rounded up).</w:t>
      </w:r>
    </w:p>
    <w:p w:rsidR="00F10732" w:rsidRPr="0063657F" w:rsidRDefault="00F773E9" w:rsidP="00F10732">
      <w:pPr>
        <w:pStyle w:val="h5Section"/>
      </w:pPr>
      <w:bookmarkStart w:id="56" w:name="_Toc431896987"/>
      <w:r>
        <w:t>39</w:t>
      </w:r>
      <w:r w:rsidR="00F10732" w:rsidRPr="0063657F">
        <w:t xml:space="preserve"> Duration of benchmark-emissions baseline determination</w:t>
      </w:r>
      <w:bookmarkEnd w:id="56"/>
      <w:r w:rsidR="00F10732" w:rsidRPr="0063657F">
        <w:t xml:space="preserve"> </w:t>
      </w:r>
    </w:p>
    <w:p w:rsidR="00F10732" w:rsidRPr="0063657F" w:rsidRDefault="00F10732" w:rsidP="00F10732">
      <w:pPr>
        <w:pStyle w:val="tMain"/>
      </w:pPr>
      <w:r w:rsidRPr="0063657F">
        <w:tab/>
      </w:r>
      <w:r w:rsidR="00F773E9">
        <w:t>(1)</w:t>
      </w:r>
      <w:r w:rsidRPr="0063657F">
        <w:tab/>
        <w:t xml:space="preserve">If a benchmark-emissions baseline determination is made </w:t>
      </w:r>
      <w:r w:rsidR="0076470C" w:rsidRPr="0063657F">
        <w:t>within</w:t>
      </w:r>
      <w:r w:rsidRPr="0063657F">
        <w:t xml:space="preserve"> </w:t>
      </w:r>
      <w:r w:rsidR="00AB4439" w:rsidRPr="0063657F">
        <w:t>2</w:t>
      </w:r>
      <w:r w:rsidR="0076470C" w:rsidRPr="0063657F">
        <w:t xml:space="preserve"> years</w:t>
      </w:r>
      <w:r w:rsidRPr="0063657F">
        <w:t xml:space="preserve"> </w:t>
      </w:r>
      <w:r w:rsidR="0076470C" w:rsidRPr="0063657F">
        <w:t>after</w:t>
      </w:r>
      <w:r w:rsidRPr="0063657F">
        <w:t xml:space="preserve"> the requested start of the determination, it must come into force on the 1 July requested in the application.</w:t>
      </w:r>
    </w:p>
    <w:p w:rsidR="00F10732" w:rsidRPr="0063657F" w:rsidRDefault="00F10732" w:rsidP="00F10732">
      <w:pPr>
        <w:pStyle w:val="tMain"/>
      </w:pPr>
      <w:r w:rsidRPr="0063657F">
        <w:tab/>
      </w:r>
      <w:r w:rsidR="00F773E9">
        <w:t>(2)</w:t>
      </w:r>
      <w:r w:rsidRPr="0063657F">
        <w:tab/>
        <w:t xml:space="preserve">A benchmark-emissions baseline determination made later than </w:t>
      </w:r>
      <w:r w:rsidR="00AB4439" w:rsidRPr="0063657F">
        <w:t>specified in subsection </w:t>
      </w:r>
      <w:r w:rsidRPr="0063657F">
        <w:t>(1) is to come into force from the earliest 1</w:t>
      </w:r>
      <w:r w:rsidR="00AB4439" w:rsidRPr="0063657F">
        <w:t xml:space="preserve"> July possible under subsection </w:t>
      </w:r>
      <w:proofErr w:type="gramStart"/>
      <w:r w:rsidRPr="0063657F">
        <w:t>22XQ(</w:t>
      </w:r>
      <w:proofErr w:type="gramEnd"/>
      <w:r w:rsidRPr="0063657F">
        <w:t>2) of the Act.</w:t>
      </w:r>
    </w:p>
    <w:p w:rsidR="00F10732" w:rsidRPr="0063657F" w:rsidRDefault="00F10732" w:rsidP="00F10732">
      <w:pPr>
        <w:pStyle w:val="tMain"/>
      </w:pPr>
      <w:r w:rsidRPr="0063657F">
        <w:tab/>
      </w:r>
      <w:r w:rsidR="00F773E9">
        <w:t>(3)</w:t>
      </w:r>
      <w:r w:rsidRPr="0063657F">
        <w:tab/>
        <w:t>A benchmark-emissions baseline determination must expire:</w:t>
      </w:r>
    </w:p>
    <w:p w:rsidR="00F10732" w:rsidRPr="0063657F" w:rsidRDefault="00F10732" w:rsidP="00F10732">
      <w:pPr>
        <w:pStyle w:val="tPara"/>
      </w:pPr>
      <w:r w:rsidRPr="0063657F">
        <w:tab/>
      </w:r>
      <w:r w:rsidR="00F773E9">
        <w:t>(a)</w:t>
      </w:r>
      <w:r w:rsidRPr="0063657F">
        <w:tab/>
        <w:t>if the facility is a large new facility—</w:t>
      </w:r>
      <w:r w:rsidR="00FB50AD" w:rsidRPr="0063657F">
        <w:t xml:space="preserve">5 </w:t>
      </w:r>
      <w:r w:rsidRPr="0063657F">
        <w:t xml:space="preserve">years after the start of the first year the facility’s </w:t>
      </w:r>
      <w:r w:rsidR="003D6780" w:rsidRPr="0063657F">
        <w:t xml:space="preserve">covered </w:t>
      </w:r>
      <w:r w:rsidRPr="0063657F">
        <w:t>emissions exceeded, or were expected to exceed, 100,000 t CO</w:t>
      </w:r>
      <w:r w:rsidRPr="0063657F">
        <w:rPr>
          <w:vertAlign w:val="subscript"/>
        </w:rPr>
        <w:t>2</w:t>
      </w:r>
      <w:r w:rsidR="007F7E20" w:rsidRPr="0063657F">
        <w:rPr>
          <w:rFonts w:ascii="Helvetica Neue" w:hAnsi="Helvetica Neue"/>
          <w:b/>
          <w:bCs/>
          <w:i/>
          <w:iCs/>
          <w:sz w:val="19"/>
          <w:szCs w:val="19"/>
        </w:rPr>
        <w:noBreakHyphen/>
      </w:r>
      <w:r w:rsidRPr="0063657F">
        <w:t>e; and</w:t>
      </w:r>
    </w:p>
    <w:p w:rsidR="00F10732" w:rsidRPr="0063657F" w:rsidRDefault="00F10732" w:rsidP="00F10732">
      <w:pPr>
        <w:pStyle w:val="tPara"/>
      </w:pPr>
      <w:r w:rsidRPr="0063657F">
        <w:tab/>
      </w:r>
      <w:r w:rsidR="00F773E9">
        <w:t>(b)</w:t>
      </w:r>
      <w:r w:rsidRPr="0063657F">
        <w:tab/>
        <w:t>if the facility is not a large new facility and meets the new facility criteria—</w:t>
      </w:r>
      <w:r w:rsidR="00FB50AD" w:rsidRPr="0063657F">
        <w:t xml:space="preserve">3 </w:t>
      </w:r>
      <w:r w:rsidRPr="0063657F">
        <w:t xml:space="preserve">years after the start of the first year the facility’s </w:t>
      </w:r>
      <w:r w:rsidR="003D6780" w:rsidRPr="0063657F">
        <w:t xml:space="preserve">covered </w:t>
      </w:r>
      <w:r w:rsidRPr="0063657F">
        <w:t>emissions exceeded, or were expected to exceed, 100,000 t CO</w:t>
      </w:r>
      <w:r w:rsidRPr="0063657F">
        <w:rPr>
          <w:vertAlign w:val="subscript"/>
        </w:rPr>
        <w:t>2</w:t>
      </w:r>
      <w:r w:rsidR="007F7E20" w:rsidRPr="0063657F">
        <w:rPr>
          <w:rFonts w:ascii="Helvetica Neue" w:hAnsi="Helvetica Neue"/>
          <w:b/>
          <w:bCs/>
          <w:i/>
          <w:iCs/>
          <w:sz w:val="19"/>
          <w:szCs w:val="19"/>
        </w:rPr>
        <w:noBreakHyphen/>
      </w:r>
      <w:r w:rsidRPr="0063657F">
        <w:t>e; and</w:t>
      </w:r>
    </w:p>
    <w:p w:rsidR="00F10732" w:rsidRDefault="00F10732" w:rsidP="00F10732">
      <w:pPr>
        <w:pStyle w:val="tPara"/>
      </w:pPr>
      <w:r w:rsidRPr="0063657F">
        <w:tab/>
      </w:r>
      <w:r w:rsidR="00F773E9">
        <w:t>(c)</w:t>
      </w:r>
      <w:r w:rsidRPr="0063657F">
        <w:tab/>
      </w:r>
      <w:proofErr w:type="gramStart"/>
      <w:r w:rsidRPr="0063657F">
        <w:t>if</w:t>
      </w:r>
      <w:proofErr w:type="gramEnd"/>
      <w:r w:rsidRPr="0063657F">
        <w:t xml:space="preserve"> the facility meets the significant expansion criteria—</w:t>
      </w:r>
      <w:r w:rsidR="00FB50AD" w:rsidRPr="0063657F">
        <w:t xml:space="preserve">3 </w:t>
      </w:r>
      <w:r w:rsidRPr="0063657F">
        <w:t>years after it</w:t>
      </w:r>
      <w:r w:rsidR="009D717D">
        <w:t xml:space="preserve"> commences; and</w:t>
      </w:r>
    </w:p>
    <w:p w:rsidR="009D717D" w:rsidRPr="0063657F" w:rsidRDefault="009D717D" w:rsidP="009D717D">
      <w:pPr>
        <w:pStyle w:val="tPara"/>
      </w:pPr>
      <w:r>
        <w:tab/>
      </w:r>
      <w:r w:rsidR="00F773E9">
        <w:t>(d)</w:t>
      </w:r>
      <w:r>
        <w:tab/>
      </w:r>
      <w:proofErr w:type="gramStart"/>
      <w:r>
        <w:t>if</w:t>
      </w:r>
      <w:proofErr w:type="gramEnd"/>
      <w:r>
        <w:t xml:space="preserve"> replaced by a new benchmark-emissions baseline determination t</w:t>
      </w:r>
      <w:r w:rsidR="00B46FFA">
        <w:t>o which subsection 33(7) applies</w:t>
      </w:r>
      <w:r w:rsidRPr="0063657F">
        <w:t>—</w:t>
      </w:r>
      <w:r>
        <w:t>immediately before the commencement of that new determination.</w:t>
      </w:r>
    </w:p>
    <w:p w:rsidR="00F10732" w:rsidRPr="0063657F" w:rsidRDefault="00F773E9" w:rsidP="00F10732">
      <w:pPr>
        <w:pStyle w:val="h4Subdiv"/>
      </w:pPr>
      <w:bookmarkStart w:id="57" w:name="_Toc431896988"/>
      <w:r>
        <w:t>Subdivision 5</w:t>
      </w:r>
      <w:r w:rsidR="00F10732" w:rsidRPr="0063657F">
        <w:t>—Production-adjusted baseline determination</w:t>
      </w:r>
      <w:bookmarkEnd w:id="57"/>
    </w:p>
    <w:p w:rsidR="00F10732" w:rsidRPr="0063657F" w:rsidRDefault="00F773E9" w:rsidP="00F10732">
      <w:pPr>
        <w:pStyle w:val="h5Section"/>
      </w:pPr>
      <w:bookmarkStart w:id="58" w:name="_Toc431896989"/>
      <w:r>
        <w:t>40</w:t>
      </w:r>
      <w:r w:rsidR="00F10732" w:rsidRPr="0063657F">
        <w:t xml:space="preserve"> </w:t>
      </w:r>
      <w:proofErr w:type="gramStart"/>
      <w:r w:rsidR="00F10732" w:rsidRPr="0063657F">
        <w:t>Application</w:t>
      </w:r>
      <w:bookmarkEnd w:id="58"/>
      <w:proofErr w:type="gramEnd"/>
    </w:p>
    <w:p w:rsidR="00F10732" w:rsidRPr="0063657F" w:rsidRDefault="00F10732" w:rsidP="00F10732">
      <w:pPr>
        <w:pStyle w:val="tMain"/>
      </w:pPr>
      <w:r w:rsidRPr="0063657F">
        <w:tab/>
      </w:r>
      <w:r w:rsidR="00F773E9">
        <w:t>(1)</w:t>
      </w:r>
      <w:r w:rsidRPr="0063657F">
        <w:tab/>
        <w:t>The responsible emitter for a facility may apply to the Regulator for a production-adjusted baseline determination for the facility to commence either:</w:t>
      </w:r>
    </w:p>
    <w:p w:rsidR="00F10732" w:rsidRPr="0063657F" w:rsidRDefault="00F10732" w:rsidP="00F10732">
      <w:pPr>
        <w:pStyle w:val="tPara"/>
      </w:pPr>
      <w:r w:rsidRPr="0063657F">
        <w:tab/>
      </w:r>
      <w:r w:rsidR="00F773E9">
        <w:t>(a)</w:t>
      </w:r>
      <w:r w:rsidRPr="0063657F">
        <w:tab/>
      </w:r>
      <w:proofErr w:type="gramStart"/>
      <w:r w:rsidRPr="0063657F">
        <w:t>after</w:t>
      </w:r>
      <w:proofErr w:type="gramEnd"/>
      <w:r w:rsidRPr="0063657F">
        <w:t xml:space="preserve"> the expiry of a calculated-emissions baseline determination or benchmark-emissions baseline determination; or</w:t>
      </w:r>
    </w:p>
    <w:p w:rsidR="00F10732" w:rsidRPr="0063657F" w:rsidRDefault="00F10732" w:rsidP="00F10732">
      <w:pPr>
        <w:pStyle w:val="tPara"/>
      </w:pPr>
      <w:r w:rsidRPr="0063657F">
        <w:tab/>
      </w:r>
      <w:r w:rsidR="00F773E9">
        <w:t>(b)</w:t>
      </w:r>
      <w:r w:rsidRPr="0063657F">
        <w:tab/>
      </w:r>
      <w:proofErr w:type="gramStart"/>
      <w:r w:rsidRPr="0063657F">
        <w:t>if</w:t>
      </w:r>
      <w:proofErr w:type="gramEnd"/>
      <w:r w:rsidRPr="0063657F">
        <w:t>:</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the</w:t>
      </w:r>
      <w:proofErr w:type="gramEnd"/>
      <w:r w:rsidRPr="0063657F">
        <w:t xml:space="preserve"> facility: </w:t>
      </w:r>
    </w:p>
    <w:p w:rsidR="00F10732" w:rsidRPr="0063657F" w:rsidRDefault="00F10732" w:rsidP="00F10732">
      <w:pPr>
        <w:pStyle w:val="tSubsub"/>
      </w:pPr>
      <w:r w:rsidRPr="0063657F">
        <w:lastRenderedPageBreak/>
        <w:tab/>
      </w:r>
      <w:r w:rsidR="00F773E9">
        <w:t>(A)</w:t>
      </w:r>
      <w:r w:rsidRPr="0063657F">
        <w:tab/>
        <w:t>is eligible for benchmark-emissions baseline determination on the basis of the new facility criteria; or</w:t>
      </w:r>
    </w:p>
    <w:p w:rsidR="00F10732" w:rsidRPr="0063657F" w:rsidRDefault="00F10732" w:rsidP="00F10732">
      <w:pPr>
        <w:pStyle w:val="tSubsub"/>
      </w:pPr>
      <w:r w:rsidRPr="0063657F">
        <w:tab/>
      </w:r>
      <w:r w:rsidR="00F773E9">
        <w:t>(B)</w:t>
      </w:r>
      <w:r w:rsidRPr="0063657F">
        <w:tab/>
        <w:t xml:space="preserve">could have been eligible for a benchmark-emissions baseline determination on the basis of the new facility criteria if an application was made in an earlier </w:t>
      </w:r>
      <w:r w:rsidR="00553B8A" w:rsidRPr="0063657F">
        <w:t>year (disregarding paragraph 32(</w:t>
      </w:r>
      <w:r w:rsidRPr="0063657F">
        <w:t>1)(b));</w:t>
      </w:r>
      <w:r w:rsidR="00DE13B7" w:rsidRPr="0063657F">
        <w:t xml:space="preserve"> and</w:t>
      </w:r>
    </w:p>
    <w:p w:rsidR="00F10732" w:rsidRPr="0063657F" w:rsidRDefault="00F10732" w:rsidP="00F10732">
      <w:pPr>
        <w:pStyle w:val="tSubpara"/>
      </w:pPr>
      <w:r w:rsidRPr="0063657F">
        <w:tab/>
      </w:r>
      <w:r w:rsidR="00F773E9">
        <w:t>(ii)</w:t>
      </w:r>
      <w:r w:rsidRPr="0063657F">
        <w:tab/>
      </w:r>
      <w:proofErr w:type="gramStart"/>
      <w:r w:rsidRPr="0063657F">
        <w:t>a</w:t>
      </w:r>
      <w:proofErr w:type="gramEnd"/>
      <w:r w:rsidRPr="0063657F">
        <w:t xml:space="preserve"> benchmark-emissions baseline determination was not made in rela</w:t>
      </w:r>
      <w:r w:rsidR="00DE13B7" w:rsidRPr="0063657F">
        <w:t>tion to the facility—</w:t>
      </w:r>
    </w:p>
    <w:p w:rsidR="00F10732" w:rsidRPr="0063657F" w:rsidRDefault="00F10732" w:rsidP="00DE13B7">
      <w:pPr>
        <w:pStyle w:val="tMain"/>
        <w:spacing w:before="40"/>
        <w:ind w:left="1700"/>
      </w:pPr>
      <w:r w:rsidRPr="0063657F">
        <w:tab/>
      </w:r>
      <w:r w:rsidRPr="0063657F">
        <w:tab/>
      </w:r>
      <w:proofErr w:type="gramStart"/>
      <w:r w:rsidRPr="0063657F">
        <w:t>no</w:t>
      </w:r>
      <w:proofErr w:type="gramEnd"/>
      <w:r w:rsidRPr="0063657F">
        <w:t xml:space="preserve"> earlier than the third financial year after the facility’s </w:t>
      </w:r>
      <w:r w:rsidR="00AD43B7" w:rsidRPr="0063657F">
        <w:t xml:space="preserve">covered </w:t>
      </w:r>
      <w:r w:rsidRPr="0063657F">
        <w:t>emissions first exceeded 100,000</w:t>
      </w:r>
      <w:r w:rsidR="00FB50AD" w:rsidRPr="0063657F">
        <w:t> </w:t>
      </w:r>
      <w:r w:rsidRPr="0063657F">
        <w:t>t</w:t>
      </w:r>
      <w:r w:rsidR="00FB50AD" w:rsidRPr="0063657F">
        <w:t> </w:t>
      </w:r>
      <w:r w:rsidRPr="0063657F">
        <w:t>CO</w:t>
      </w:r>
      <w:r w:rsidRPr="0063657F">
        <w:rPr>
          <w:vertAlign w:val="subscript"/>
        </w:rPr>
        <w:t>2</w:t>
      </w:r>
      <w:r w:rsidR="007F7E20" w:rsidRPr="0063657F">
        <w:rPr>
          <w:rFonts w:ascii="Helvetica Neue" w:hAnsi="Helvetica Neue"/>
          <w:b/>
          <w:bCs/>
          <w:i/>
          <w:iCs/>
          <w:sz w:val="19"/>
          <w:szCs w:val="19"/>
        </w:rPr>
        <w:noBreakHyphen/>
      </w:r>
      <w:r w:rsidRPr="0063657F">
        <w:t>e.</w:t>
      </w:r>
    </w:p>
    <w:p w:rsidR="00F10732" w:rsidRPr="0063657F" w:rsidRDefault="00F10732" w:rsidP="00F10732">
      <w:pPr>
        <w:pStyle w:val="tMain"/>
      </w:pPr>
      <w:r w:rsidRPr="0063657F">
        <w:tab/>
      </w:r>
      <w:r w:rsidR="00F773E9">
        <w:t>(2)</w:t>
      </w:r>
      <w:r w:rsidRPr="0063657F">
        <w:tab/>
        <w:t>An application under subsection (1) must:</w:t>
      </w:r>
    </w:p>
    <w:p w:rsidR="00F10732" w:rsidRPr="0063657F" w:rsidRDefault="00F10732" w:rsidP="00F10732">
      <w:pPr>
        <w:pStyle w:val="tPara"/>
      </w:pPr>
      <w:r w:rsidRPr="0063657F">
        <w:tab/>
      </w:r>
      <w:r w:rsidR="00F773E9">
        <w:t>(a)</w:t>
      </w:r>
      <w:r w:rsidRPr="0063657F">
        <w:tab/>
      </w:r>
      <w:proofErr w:type="gramStart"/>
      <w:r w:rsidRPr="0063657F">
        <w:t>be</w:t>
      </w:r>
      <w:proofErr w:type="gramEnd"/>
      <w:r w:rsidRPr="0063657F">
        <w:t xml:space="preserve"> given in a manner and form approved, in writing, by the Regulator; and</w:t>
      </w:r>
    </w:p>
    <w:p w:rsidR="00F10732" w:rsidRPr="0063657F" w:rsidRDefault="00F10732" w:rsidP="00F10732">
      <w:pPr>
        <w:pStyle w:val="tPara"/>
      </w:pPr>
      <w:r w:rsidRPr="0063657F">
        <w:tab/>
      </w:r>
      <w:r w:rsidR="00F773E9">
        <w:t>(b)</w:t>
      </w:r>
      <w:r w:rsidRPr="0063657F">
        <w:tab/>
      </w:r>
      <w:proofErr w:type="gramStart"/>
      <w:r w:rsidRPr="0063657F">
        <w:t>specify</w:t>
      </w:r>
      <w:proofErr w:type="gramEnd"/>
      <w:r w:rsidRPr="0063657F">
        <w:t xml:space="preserve"> the desired start date for the production-adjusted baseline determination as 1 July of a particular year; and</w:t>
      </w:r>
    </w:p>
    <w:p w:rsidR="00F10732" w:rsidRPr="0063657F" w:rsidRDefault="00F10732" w:rsidP="00F10732">
      <w:pPr>
        <w:pStyle w:val="tPara"/>
      </w:pPr>
      <w:r w:rsidRPr="0063657F">
        <w:tab/>
      </w:r>
      <w:r w:rsidR="00F773E9">
        <w:t>(c)</w:t>
      </w:r>
      <w:r w:rsidRPr="0063657F">
        <w:tab/>
      </w:r>
      <w:proofErr w:type="gramStart"/>
      <w:r w:rsidRPr="0063657F">
        <w:t>include</w:t>
      </w:r>
      <w:proofErr w:type="gramEnd"/>
      <w:r w:rsidRPr="0063657F">
        <w:t xml:space="preserve"> information required by section </w:t>
      </w:r>
      <w:r w:rsidR="00553B8A" w:rsidRPr="0063657F">
        <w:t>41</w:t>
      </w:r>
      <w:r w:rsidRPr="0063657F">
        <w:t>; and</w:t>
      </w:r>
    </w:p>
    <w:p w:rsidR="00F10732" w:rsidRPr="0063657F" w:rsidRDefault="00F10732" w:rsidP="00F10732">
      <w:pPr>
        <w:pStyle w:val="tPara"/>
      </w:pPr>
      <w:r w:rsidRPr="0063657F">
        <w:tab/>
      </w:r>
      <w:r w:rsidR="00F773E9">
        <w:t>(d)</w:t>
      </w:r>
      <w:r w:rsidRPr="0063657F">
        <w:tab/>
      </w:r>
      <w:proofErr w:type="gramStart"/>
      <w:r w:rsidRPr="0063657F">
        <w:t>be</w:t>
      </w:r>
      <w:proofErr w:type="gramEnd"/>
      <w:r w:rsidRPr="0063657F">
        <w:t xml:space="preserve"> accompanied by an audit report which complies with section </w:t>
      </w:r>
      <w:r w:rsidR="00553B8A" w:rsidRPr="0063657F">
        <w:t>42</w:t>
      </w:r>
      <w:r w:rsidRPr="0063657F">
        <w:t>.</w:t>
      </w:r>
    </w:p>
    <w:p w:rsidR="00F10732" w:rsidRPr="0063657F" w:rsidRDefault="00F10732" w:rsidP="00F10732">
      <w:pPr>
        <w:pStyle w:val="tMain"/>
      </w:pPr>
      <w:r w:rsidRPr="0063657F">
        <w:tab/>
      </w:r>
      <w:r w:rsidR="00F773E9">
        <w:t>(3)</w:t>
      </w:r>
      <w:r w:rsidR="0011414A" w:rsidRPr="0063657F">
        <w:tab/>
        <w:t>Unless subsection (5</w:t>
      </w:r>
      <w:r w:rsidRPr="0063657F">
        <w:t>) applies, an application under subsection (1) must be given to the Regulator:</w:t>
      </w:r>
    </w:p>
    <w:p w:rsidR="00F10732" w:rsidRPr="0063657F" w:rsidRDefault="00F10732" w:rsidP="00F10732">
      <w:pPr>
        <w:pStyle w:val="tPara"/>
      </w:pPr>
      <w:r w:rsidRPr="0063657F">
        <w:tab/>
      </w:r>
      <w:r w:rsidR="00F773E9">
        <w:t>(a)</w:t>
      </w:r>
      <w:r w:rsidRPr="0063657F">
        <w:tab/>
      </w:r>
      <w:proofErr w:type="gramStart"/>
      <w:r w:rsidRPr="0063657F">
        <w:t>no</w:t>
      </w:r>
      <w:proofErr w:type="gramEnd"/>
      <w:r w:rsidRPr="0063657F">
        <w:t xml:space="preserve"> earlier than the requested start date for the production-adjusted baseline determination; and</w:t>
      </w:r>
    </w:p>
    <w:p w:rsidR="00F10732" w:rsidRPr="0063657F" w:rsidRDefault="00F10732" w:rsidP="00F10732">
      <w:pPr>
        <w:pStyle w:val="tPara"/>
      </w:pPr>
      <w:r w:rsidRPr="0063657F">
        <w:tab/>
      </w:r>
      <w:r w:rsidR="00F773E9">
        <w:t>(b)</w:t>
      </w:r>
      <w:r w:rsidRPr="0063657F">
        <w:tab/>
      </w:r>
      <w:proofErr w:type="gramStart"/>
      <w:r w:rsidRPr="0063657F">
        <w:t>no</w:t>
      </w:r>
      <w:proofErr w:type="gramEnd"/>
      <w:r w:rsidRPr="0063657F">
        <w:t xml:space="preserve"> later than the first 31 October after the end of the first </w:t>
      </w:r>
      <w:r w:rsidR="00FB50AD" w:rsidRPr="0063657F">
        <w:t xml:space="preserve">financial </w:t>
      </w:r>
      <w:r w:rsidRPr="0063657F">
        <w:t>year to which the production-adjusted baseline determination is to apply.</w:t>
      </w:r>
    </w:p>
    <w:p w:rsidR="00F10732" w:rsidRPr="0063657F" w:rsidRDefault="00F10732" w:rsidP="00F10732">
      <w:pPr>
        <w:pStyle w:val="tMain"/>
      </w:pPr>
      <w:r w:rsidRPr="0063657F">
        <w:tab/>
      </w:r>
      <w:r w:rsidR="00F773E9">
        <w:t>(4)</w:t>
      </w:r>
      <w:r w:rsidRPr="0063657F">
        <w:tab/>
        <w:t>The responsible emitter for the facility may, by written notice to the Regulator, withdraw an application at any time before the Regulator makes a decision on the application.</w:t>
      </w:r>
    </w:p>
    <w:p w:rsidR="00F10732" w:rsidRPr="0063657F" w:rsidRDefault="00F10732" w:rsidP="00F10732">
      <w:pPr>
        <w:pStyle w:val="tMain"/>
      </w:pPr>
      <w:r w:rsidRPr="0063657F">
        <w:tab/>
      </w:r>
      <w:r w:rsidR="00F773E9">
        <w:t>(5)</w:t>
      </w:r>
      <w:r w:rsidRPr="0063657F">
        <w:tab/>
        <w:t>If:</w:t>
      </w:r>
    </w:p>
    <w:p w:rsidR="00F10732" w:rsidRPr="0063657F" w:rsidRDefault="00F10732" w:rsidP="00F10732">
      <w:pPr>
        <w:pStyle w:val="tPara"/>
      </w:pPr>
      <w:r w:rsidRPr="0063657F">
        <w:tab/>
      </w:r>
      <w:r w:rsidR="00F773E9">
        <w:t>(a)</w:t>
      </w:r>
      <w:r w:rsidRPr="0063657F">
        <w:tab/>
      </w:r>
      <w:proofErr w:type="gramStart"/>
      <w:r w:rsidRPr="0063657F">
        <w:t>an</w:t>
      </w:r>
      <w:proofErr w:type="gramEnd"/>
      <w:r w:rsidRPr="0063657F">
        <w:t xml:space="preserve"> application which complies with subsection (2) is made within the period allowed by subsection (3); and</w:t>
      </w:r>
    </w:p>
    <w:p w:rsidR="00F10732" w:rsidRPr="0063657F" w:rsidRDefault="00F10732" w:rsidP="00F10732">
      <w:pPr>
        <w:pStyle w:val="tPara"/>
      </w:pPr>
      <w:r w:rsidRPr="0063657F">
        <w:tab/>
      </w:r>
      <w:r w:rsidR="00F773E9">
        <w:t>(b)</w:t>
      </w:r>
      <w:r w:rsidRPr="0063657F">
        <w:tab/>
      </w:r>
      <w:proofErr w:type="gramStart"/>
      <w:r w:rsidRPr="0063657F">
        <w:t>the</w:t>
      </w:r>
      <w:proofErr w:type="gramEnd"/>
      <w:r w:rsidRPr="0063657F">
        <w:t xml:space="preserve"> Regulator has refused to make the production-adjusted baseline determination the subject of the application; and</w:t>
      </w:r>
    </w:p>
    <w:p w:rsidR="00F10732" w:rsidRPr="0063657F" w:rsidRDefault="00F10732" w:rsidP="00F10732">
      <w:pPr>
        <w:pStyle w:val="tPara"/>
      </w:pPr>
      <w:r w:rsidRPr="0063657F">
        <w:tab/>
      </w:r>
      <w:r w:rsidR="00F773E9">
        <w:t>(c)</w:t>
      </w:r>
      <w:r w:rsidRPr="0063657F">
        <w:tab/>
      </w:r>
      <w:proofErr w:type="gramStart"/>
      <w:r w:rsidRPr="0063657F">
        <w:t>a</w:t>
      </w:r>
      <w:proofErr w:type="gramEnd"/>
      <w:r w:rsidRPr="0063657F">
        <w:t xml:space="preserve"> new application would not comply with paragraph (3)(b);</w:t>
      </w:r>
    </w:p>
    <w:p w:rsidR="00F10732" w:rsidRPr="0063657F" w:rsidRDefault="00F10732" w:rsidP="00C50DD9">
      <w:pPr>
        <w:pStyle w:val="tMain"/>
        <w:spacing w:before="40"/>
      </w:pPr>
      <w:r w:rsidRPr="0063657F">
        <w:tab/>
      </w:r>
      <w:r w:rsidRPr="0063657F">
        <w:tab/>
      </w:r>
      <w:proofErr w:type="gramStart"/>
      <w:r w:rsidRPr="0063657F">
        <w:t>the</w:t>
      </w:r>
      <w:proofErr w:type="gramEnd"/>
      <w:r w:rsidRPr="0063657F">
        <w:t xml:space="preserve"> Regulator may accept a new application made no later than 1 February after the end of the first financial year to which </w:t>
      </w:r>
      <w:r w:rsidR="00FB50AD" w:rsidRPr="0063657F">
        <w:t xml:space="preserve">the </w:t>
      </w:r>
      <w:r w:rsidRPr="0063657F">
        <w:t>production-adjusted baseline determination is to apply.</w:t>
      </w:r>
    </w:p>
    <w:p w:rsidR="00F10732" w:rsidRPr="0063657F" w:rsidRDefault="00F10732" w:rsidP="00F10732">
      <w:pPr>
        <w:pStyle w:val="tMain"/>
      </w:pPr>
      <w:r w:rsidRPr="0063657F">
        <w:tab/>
      </w:r>
      <w:r w:rsidR="00F773E9">
        <w:t>(6)</w:t>
      </w:r>
      <w:r w:rsidRPr="0063657F">
        <w:tab/>
      </w:r>
      <w:r w:rsidR="00F700A6">
        <w:t>Paragraph</w:t>
      </w:r>
      <w:r w:rsidRPr="0063657F">
        <w:t xml:space="preserve"> (1</w:t>
      </w:r>
      <w:proofErr w:type="gramStart"/>
      <w:r w:rsidRPr="0063657F">
        <w:t>)</w:t>
      </w:r>
      <w:r w:rsidR="00F700A6">
        <w:t>(</w:t>
      </w:r>
      <w:proofErr w:type="gramEnd"/>
      <w:r w:rsidR="00F700A6">
        <w:t>a)</w:t>
      </w:r>
      <w:r w:rsidRPr="0063657F">
        <w:t xml:space="preserve"> does not apply to a calculated-emissions baseline determination which expired under s</w:t>
      </w:r>
      <w:r w:rsidR="00553B8A" w:rsidRPr="0063657F">
        <w:t>ubsection 31</w:t>
      </w:r>
      <w:r w:rsidRPr="0063657F">
        <w:t>(4) or (5).</w:t>
      </w:r>
    </w:p>
    <w:p w:rsidR="00F10732" w:rsidRPr="0063657F" w:rsidRDefault="00F773E9" w:rsidP="00F10732">
      <w:pPr>
        <w:pStyle w:val="h5Section"/>
      </w:pPr>
      <w:bookmarkStart w:id="59" w:name="_Toc431896990"/>
      <w:r>
        <w:t>41</w:t>
      </w:r>
      <w:r w:rsidR="00F10732" w:rsidRPr="0063657F">
        <w:t xml:space="preserve"> Information required in applications</w:t>
      </w:r>
      <w:bookmarkEnd w:id="59"/>
      <w:r w:rsidR="00F10732" w:rsidRPr="0063657F">
        <w:t xml:space="preserve"> </w:t>
      </w:r>
    </w:p>
    <w:p w:rsidR="00F10732" w:rsidRPr="0063657F" w:rsidRDefault="00F10732" w:rsidP="00F10732">
      <w:pPr>
        <w:pStyle w:val="tMain"/>
      </w:pPr>
      <w:r w:rsidRPr="0063657F">
        <w:tab/>
      </w:r>
      <w:r w:rsidR="00F773E9">
        <w:t>(1)</w:t>
      </w:r>
      <w:r w:rsidRPr="0063657F">
        <w:tab/>
        <w:t>Unless subsection (2) applies, an application for a production-adjusted baseline determination must include the following information:</w:t>
      </w:r>
    </w:p>
    <w:p w:rsidR="00F10732" w:rsidRPr="0063657F" w:rsidRDefault="00F10732" w:rsidP="00F10732">
      <w:pPr>
        <w:pStyle w:val="tPara"/>
      </w:pPr>
      <w:r w:rsidRPr="0063657F">
        <w:tab/>
      </w:r>
      <w:r w:rsidR="00F773E9">
        <w:t>(a)</w:t>
      </w:r>
      <w:r w:rsidRPr="0063657F">
        <w:tab/>
      </w:r>
      <w:proofErr w:type="gramStart"/>
      <w:r w:rsidRPr="0063657F">
        <w:t>in</w:t>
      </w:r>
      <w:proofErr w:type="gramEnd"/>
      <w:r w:rsidRPr="0063657F">
        <w:t xml:space="preserve"> accordance with subsection (3), the </w:t>
      </w:r>
      <w:r w:rsidR="00EC1496" w:rsidRPr="0063657F">
        <w:t>quantity</w:t>
      </w:r>
      <w:r w:rsidRPr="0063657F">
        <w:t xml:space="preserve"> of all production variables that: </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were</w:t>
      </w:r>
      <w:proofErr w:type="gramEnd"/>
      <w:r w:rsidRPr="0063657F">
        <w:t xml:space="preserve"> produced by the facility in the financial year with the highest actual production level of the primary production variable over the production assessment period; and</w:t>
      </w:r>
    </w:p>
    <w:p w:rsidR="00F10732" w:rsidRPr="0063657F" w:rsidRDefault="00F10732" w:rsidP="00F10732">
      <w:pPr>
        <w:pStyle w:val="tSubpara"/>
      </w:pPr>
      <w:r w:rsidRPr="0063657F">
        <w:tab/>
      </w:r>
      <w:r w:rsidR="00F773E9">
        <w:t>(ii)</w:t>
      </w:r>
      <w:r w:rsidRPr="0063657F">
        <w:tab/>
      </w:r>
      <w:proofErr w:type="gramStart"/>
      <w:r w:rsidRPr="0063657F">
        <w:t>if</w:t>
      </w:r>
      <w:proofErr w:type="gramEnd"/>
      <w:r w:rsidRPr="0063657F">
        <w:t xml:space="preserve"> the determination is to commence after a calculated-emissions baseline determination—were used in making that determination; and</w:t>
      </w:r>
    </w:p>
    <w:p w:rsidR="00F10732" w:rsidRPr="0063657F" w:rsidRDefault="00F10732" w:rsidP="00F10732">
      <w:pPr>
        <w:pStyle w:val="tSubpara"/>
      </w:pPr>
      <w:r w:rsidRPr="0063657F">
        <w:tab/>
      </w:r>
      <w:r w:rsidR="00F773E9">
        <w:t>(iii)</w:t>
      </w:r>
      <w:r w:rsidRPr="0063657F">
        <w:tab/>
      </w:r>
      <w:proofErr w:type="gramStart"/>
      <w:r w:rsidRPr="0063657F">
        <w:t>if</w:t>
      </w:r>
      <w:proofErr w:type="gramEnd"/>
      <w:r w:rsidRPr="0063657F">
        <w:t xml:space="preserve"> the determination is to commence after a benchmark-emissions baseli</w:t>
      </w:r>
      <w:r w:rsidR="00553B8A" w:rsidRPr="0063657F">
        <w:t>ne determination or paragraph 40</w:t>
      </w:r>
      <w:r w:rsidRPr="0063657F">
        <w:t xml:space="preserve">(1)(b) applies—are applicable to the facility in </w:t>
      </w:r>
      <w:r w:rsidRPr="0063657F">
        <w:lastRenderedPageBreak/>
        <w:t>accordance with any requirements set out in the Benchmark Emissions-Intensity Index;</w:t>
      </w:r>
    </w:p>
    <w:p w:rsidR="00F10732" w:rsidRPr="0063657F" w:rsidRDefault="00F10732" w:rsidP="00F10732">
      <w:pPr>
        <w:pStyle w:val="tPara"/>
      </w:pPr>
      <w:r w:rsidRPr="0063657F">
        <w:tab/>
      </w:r>
      <w:r w:rsidR="00F773E9">
        <w:t>(b)</w:t>
      </w:r>
      <w:r w:rsidR="00F700A6">
        <w:tab/>
      </w:r>
      <w:proofErr w:type="gramStart"/>
      <w:r w:rsidR="00F700A6">
        <w:t>the</w:t>
      </w:r>
      <w:proofErr w:type="gramEnd"/>
      <w:r w:rsidRPr="0063657F">
        <w:t xml:space="preserve"> </w:t>
      </w:r>
      <w:r w:rsidR="001033B1" w:rsidRPr="0063657F">
        <w:t>emissions intensity</w:t>
      </w:r>
      <w:r w:rsidRPr="0063657F">
        <w:t xml:space="preserve"> per unit of production for each production variable outlined under paragraph (a): </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if</w:t>
      </w:r>
      <w:proofErr w:type="gramEnd"/>
      <w:r w:rsidRPr="0063657F">
        <w:t xml:space="preserve"> the determination is to commence after a calculated-emissions baseline determination—consistent with the </w:t>
      </w:r>
      <w:r w:rsidR="001033B1" w:rsidRPr="0063657F">
        <w:t>emissions intensity</w:t>
      </w:r>
      <w:r w:rsidRPr="0063657F">
        <w:t xml:space="preserve"> per unit of production used in making that determination; or</w:t>
      </w:r>
    </w:p>
    <w:p w:rsidR="00F10732" w:rsidRPr="0063657F" w:rsidRDefault="00F10732" w:rsidP="00F10732">
      <w:pPr>
        <w:pStyle w:val="tSubpara"/>
      </w:pPr>
      <w:r w:rsidRPr="0063657F">
        <w:tab/>
      </w:r>
      <w:r w:rsidR="00F773E9">
        <w:t>(ii)</w:t>
      </w:r>
      <w:r w:rsidRPr="0063657F">
        <w:tab/>
      </w:r>
      <w:proofErr w:type="gramStart"/>
      <w:r w:rsidRPr="0063657F">
        <w:t>if</w:t>
      </w:r>
      <w:proofErr w:type="gramEnd"/>
      <w:r w:rsidRPr="0063657F">
        <w:t xml:space="preserve"> the determination is to commence after a benchmark-emissions baseli</w:t>
      </w:r>
      <w:r w:rsidR="00553B8A" w:rsidRPr="0063657F">
        <w:t>ne determination or paragraph 40</w:t>
      </w:r>
      <w:r w:rsidRPr="0063657F">
        <w:t xml:space="preserve">(1)(b) applies—consistent with its relevant benchmark </w:t>
      </w:r>
      <w:r w:rsidR="001033B1" w:rsidRPr="0063657F">
        <w:t>emissions intensity</w:t>
      </w:r>
      <w:r w:rsidRPr="0063657F">
        <w:t>; and</w:t>
      </w:r>
    </w:p>
    <w:p w:rsidR="00F10732" w:rsidRPr="0063657F" w:rsidRDefault="00F10732" w:rsidP="00F10732">
      <w:pPr>
        <w:pStyle w:val="tPara"/>
      </w:pPr>
      <w:r w:rsidRPr="0063657F">
        <w:tab/>
      </w:r>
      <w:r w:rsidR="00F773E9">
        <w:t>(c)</w:t>
      </w:r>
      <w:r w:rsidRPr="0063657F">
        <w:tab/>
      </w:r>
      <w:proofErr w:type="gramStart"/>
      <w:r w:rsidRPr="0063657F">
        <w:t>the</w:t>
      </w:r>
      <w:proofErr w:type="gramEnd"/>
      <w:r w:rsidRPr="0063657F">
        <w:t xml:space="preserve"> adjusted total covered emissions from the facility </w:t>
      </w:r>
      <w:r w:rsidR="00FB50AD" w:rsidRPr="0063657F">
        <w:t xml:space="preserve">calculated </w:t>
      </w:r>
      <w:r w:rsidRPr="0063657F">
        <w:t xml:space="preserve">by multiplying the </w:t>
      </w:r>
      <w:r w:rsidR="00EC1496" w:rsidRPr="0063657F">
        <w:t>quantity</w:t>
      </w:r>
      <w:r w:rsidRPr="0063657F">
        <w:t xml:space="preserve"> of</w:t>
      </w:r>
      <w:r w:rsidR="00147926" w:rsidRPr="0063657F">
        <w:t xml:space="preserve"> each of</w:t>
      </w:r>
      <w:r w:rsidRPr="0063657F">
        <w:t xml:space="preserve"> the production variables under paragraph (a) </w:t>
      </w:r>
      <w:r w:rsidR="0086028F" w:rsidRPr="0063657F">
        <w:t xml:space="preserve">by </w:t>
      </w:r>
      <w:r w:rsidRPr="0063657F">
        <w:t xml:space="preserve">the expected </w:t>
      </w:r>
      <w:r w:rsidR="001033B1" w:rsidRPr="0063657F">
        <w:t>emissions intensity</w:t>
      </w:r>
      <w:r w:rsidRPr="0063657F">
        <w:t xml:space="preserve"> of that variable under paragra</w:t>
      </w:r>
      <w:r w:rsidR="00EC1496" w:rsidRPr="0063657F">
        <w:t>ph (b), and summing the results.</w:t>
      </w:r>
    </w:p>
    <w:p w:rsidR="00F10732" w:rsidRPr="0063657F" w:rsidRDefault="00F10732" w:rsidP="00F10732">
      <w:pPr>
        <w:pStyle w:val="tMain"/>
      </w:pPr>
      <w:r w:rsidRPr="0063657F">
        <w:tab/>
      </w:r>
      <w:r w:rsidR="00F773E9">
        <w:t>(2)</w:t>
      </w:r>
      <w:r w:rsidRPr="0063657F">
        <w:tab/>
        <w:t>If the significant expansion criteria were met in relation to the previous benchmark-emissions baseline determination</w:t>
      </w:r>
      <w:r w:rsidR="00FB50AD" w:rsidRPr="0063657F">
        <w:t xml:space="preserve">, </w:t>
      </w:r>
      <w:r w:rsidRPr="0063657F">
        <w:t>the application for a production-adjusted baseline determination must include the following information or documents:</w:t>
      </w:r>
    </w:p>
    <w:p w:rsidR="00F10732" w:rsidRPr="0063657F" w:rsidRDefault="00F10732" w:rsidP="00F10732">
      <w:pPr>
        <w:pStyle w:val="tPara"/>
      </w:pPr>
      <w:r w:rsidRPr="0063657F">
        <w:tab/>
      </w:r>
      <w:r w:rsidR="00F773E9">
        <w:t>(a)</w:t>
      </w:r>
      <w:r w:rsidRPr="0063657F">
        <w:tab/>
        <w:t xml:space="preserve">in accordance with subsection (3), the </w:t>
      </w:r>
      <w:r w:rsidR="00EC1496" w:rsidRPr="0063657F">
        <w:t>quantity</w:t>
      </w:r>
      <w:r w:rsidRPr="0063657F">
        <w:t xml:space="preserve"> of all production variables that were produced by the facility in the financial year with the highest actual production level of the primary production variable over the period covered by the previous benchmark-emissions baseline determination; </w:t>
      </w:r>
    </w:p>
    <w:p w:rsidR="00F10732" w:rsidRPr="0063657F" w:rsidRDefault="00F10732" w:rsidP="00F10732">
      <w:pPr>
        <w:pStyle w:val="tPara"/>
      </w:pPr>
      <w:r w:rsidRPr="0063657F">
        <w:tab/>
      </w:r>
      <w:r w:rsidR="00F773E9">
        <w:t>(b)</w:t>
      </w:r>
      <w:r w:rsidRPr="0063657F">
        <w:tab/>
        <w:t>the change in production for each production variable</w:t>
      </w:r>
      <w:r w:rsidR="0048429E" w:rsidRPr="0063657F">
        <w:t xml:space="preserve"> calculated</w:t>
      </w:r>
      <w:r w:rsidRPr="0063657F">
        <w:t xml:space="preserve"> by subtracting the </w:t>
      </w:r>
      <w:r w:rsidR="00EC1496" w:rsidRPr="0063657F">
        <w:t>quantity</w:t>
      </w:r>
      <w:r w:rsidRPr="0063657F">
        <w:t xml:space="preserve"> of each production variable identified under paragraph (a) </w:t>
      </w:r>
      <w:r w:rsidR="00C04B5B" w:rsidRPr="0063657F">
        <w:t xml:space="preserve">from </w:t>
      </w:r>
      <w:r w:rsidRPr="0063657F">
        <w:t>the amount of that production variable previo</w:t>
      </w:r>
      <w:r w:rsidR="001E40E4" w:rsidRPr="0063657F">
        <w:t>usly provided under paragraph 35</w:t>
      </w:r>
      <w:r w:rsidRPr="0063657F">
        <w:t>(2)(c);</w:t>
      </w:r>
    </w:p>
    <w:p w:rsidR="00F10732" w:rsidRPr="0063657F" w:rsidRDefault="00F10732" w:rsidP="00F10732">
      <w:pPr>
        <w:pStyle w:val="tPara"/>
      </w:pPr>
      <w:r w:rsidRPr="0063657F">
        <w:tab/>
      </w:r>
      <w:r w:rsidR="00F773E9">
        <w:t>(c)</w:t>
      </w:r>
      <w:r w:rsidR="00F700A6">
        <w:tab/>
      </w:r>
      <w:proofErr w:type="gramStart"/>
      <w:r w:rsidR="00F700A6">
        <w:t>the</w:t>
      </w:r>
      <w:proofErr w:type="gramEnd"/>
      <w:r w:rsidRPr="0063657F">
        <w:t xml:space="preserve"> </w:t>
      </w:r>
      <w:r w:rsidR="001033B1" w:rsidRPr="0063657F">
        <w:t>emissions intensity</w:t>
      </w:r>
      <w:r w:rsidRPr="0063657F">
        <w:t xml:space="preserve"> per unit of production for each production variable outlined under paragraph (b) consistent with its relevant benchmark </w:t>
      </w:r>
      <w:r w:rsidR="001033B1" w:rsidRPr="0063657F">
        <w:t>emissions intensity</w:t>
      </w:r>
      <w:r w:rsidRPr="0063657F">
        <w:t xml:space="preserve">; </w:t>
      </w:r>
    </w:p>
    <w:p w:rsidR="00F10732" w:rsidRPr="0063657F" w:rsidRDefault="00F10732" w:rsidP="00EC1496">
      <w:pPr>
        <w:pStyle w:val="tPara"/>
      </w:pPr>
      <w:r w:rsidRPr="0063657F">
        <w:tab/>
      </w:r>
      <w:r w:rsidR="00F773E9">
        <w:t>(d)</w:t>
      </w:r>
      <w:r w:rsidRPr="0063657F">
        <w:tab/>
        <w:t xml:space="preserve">the </w:t>
      </w:r>
      <w:r w:rsidR="00F700A6">
        <w:t>adjusted</w:t>
      </w:r>
      <w:r w:rsidRPr="0063657F">
        <w:t xml:space="preserve"> additional covered emissions from the facility </w:t>
      </w:r>
      <w:r w:rsidR="0048429E" w:rsidRPr="0063657F">
        <w:t xml:space="preserve">calculated </w:t>
      </w:r>
      <w:r w:rsidRPr="0063657F">
        <w:t>by multiplying the change in production for each production variable under paragraph</w:t>
      </w:r>
      <w:r w:rsidR="0048429E" w:rsidRPr="0063657F">
        <w:t> </w:t>
      </w:r>
      <w:r w:rsidRPr="0063657F">
        <w:t xml:space="preserve">(b) </w:t>
      </w:r>
      <w:r w:rsidR="0086028F" w:rsidRPr="0063657F">
        <w:t xml:space="preserve">by </w:t>
      </w:r>
      <w:r w:rsidRPr="0063657F">
        <w:t xml:space="preserve">the </w:t>
      </w:r>
      <w:r w:rsidR="001033B1" w:rsidRPr="0063657F">
        <w:t>emissions intensity</w:t>
      </w:r>
      <w:r w:rsidRPr="0063657F">
        <w:t xml:space="preserve"> of that variable under paragra</w:t>
      </w:r>
      <w:r w:rsidR="00EC1496" w:rsidRPr="0063657F">
        <w:t>ph (c), and summing the results.</w:t>
      </w:r>
    </w:p>
    <w:p w:rsidR="00F10732" w:rsidRPr="0063657F" w:rsidRDefault="00F10732" w:rsidP="00F10732">
      <w:pPr>
        <w:pStyle w:val="tMain"/>
      </w:pPr>
      <w:r w:rsidRPr="0063657F">
        <w:tab/>
      </w:r>
      <w:r w:rsidR="00F773E9">
        <w:t>(3)</w:t>
      </w:r>
      <w:r w:rsidRPr="0063657F">
        <w:tab/>
        <w:t xml:space="preserve">The </w:t>
      </w:r>
      <w:r w:rsidR="00EC1496" w:rsidRPr="0063657F">
        <w:t>quantity</w:t>
      </w:r>
      <w:r w:rsidRPr="0063657F">
        <w:t xml:space="preserve"> of a production variable must:</w:t>
      </w:r>
    </w:p>
    <w:p w:rsidR="00F10732" w:rsidRPr="0063657F" w:rsidRDefault="00F10732" w:rsidP="00F10732">
      <w:pPr>
        <w:pStyle w:val="tPara"/>
      </w:pPr>
      <w:r w:rsidRPr="0063657F">
        <w:tab/>
      </w:r>
      <w:r w:rsidR="00F773E9">
        <w:t>(a)</w:t>
      </w:r>
      <w:r w:rsidRPr="0063657F">
        <w:tab/>
        <w:t>if the determination is to commence after a calculated-emissions baseline determination and the production variable is not a service unit—be measured at a time that is as close as possible to when the variable enters, or leaves, the production or processing process or landfill facility;</w:t>
      </w:r>
    </w:p>
    <w:p w:rsidR="00F10732" w:rsidRPr="0063657F" w:rsidRDefault="00F10732" w:rsidP="00F10732">
      <w:pPr>
        <w:pStyle w:val="tPara"/>
      </w:pPr>
      <w:r w:rsidRPr="0063657F">
        <w:tab/>
      </w:r>
      <w:r w:rsidR="00F773E9">
        <w:t>(b)</w:t>
      </w:r>
      <w:r w:rsidRPr="0063657F">
        <w:tab/>
      </w:r>
      <w:proofErr w:type="gramStart"/>
      <w:r w:rsidRPr="0063657F">
        <w:t>if</w:t>
      </w:r>
      <w:proofErr w:type="gramEnd"/>
      <w:r w:rsidRPr="0063657F">
        <w:t xml:space="preserve"> the determination is to commence after a benchmark-emissions baseli</w:t>
      </w:r>
      <w:r w:rsidR="00D84C37" w:rsidRPr="0063657F">
        <w:t>ne determination or paragraph 40</w:t>
      </w:r>
      <w:r w:rsidRPr="0063657F">
        <w:t>(1)(b) applies—both:</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be</w:t>
      </w:r>
      <w:proofErr w:type="gramEnd"/>
      <w:r w:rsidRPr="0063657F">
        <w:t xml:space="preserve"> measured using the units specified in the Benchmark Emissions-Intensity Index; and</w:t>
      </w:r>
    </w:p>
    <w:p w:rsidR="00F10732" w:rsidRPr="0063657F" w:rsidRDefault="00F10732" w:rsidP="00F10732">
      <w:pPr>
        <w:pStyle w:val="tSubpara"/>
      </w:pPr>
      <w:r w:rsidRPr="0063657F">
        <w:tab/>
      </w:r>
      <w:r w:rsidR="00F773E9">
        <w:t>(ii)</w:t>
      </w:r>
      <w:r w:rsidRPr="0063657F">
        <w:tab/>
      </w:r>
      <w:proofErr w:type="gramStart"/>
      <w:r w:rsidRPr="0063657F">
        <w:t>meet</w:t>
      </w:r>
      <w:proofErr w:type="gramEnd"/>
      <w:r w:rsidRPr="0063657F">
        <w:t xml:space="preserve"> any measurement requirements or procedures specified in the Benchmark Emissions-Intensity Index.</w:t>
      </w:r>
    </w:p>
    <w:p w:rsidR="00F10732" w:rsidRPr="0063657F" w:rsidRDefault="00F773E9" w:rsidP="00F10732">
      <w:pPr>
        <w:pStyle w:val="h5Section"/>
      </w:pPr>
      <w:bookmarkStart w:id="60" w:name="_Toc431896991"/>
      <w:r>
        <w:t>42</w:t>
      </w:r>
      <w:r w:rsidR="00F10732" w:rsidRPr="0063657F">
        <w:t xml:space="preserve"> Audit reports</w:t>
      </w:r>
      <w:bookmarkEnd w:id="60"/>
      <w:r w:rsidR="00F10732" w:rsidRPr="0063657F">
        <w:t xml:space="preserve"> </w:t>
      </w:r>
    </w:p>
    <w:p w:rsidR="00F10732" w:rsidRPr="0063657F" w:rsidRDefault="00F10732" w:rsidP="00F10732">
      <w:pPr>
        <w:pStyle w:val="tMain"/>
      </w:pPr>
      <w:r w:rsidRPr="0063657F">
        <w:tab/>
      </w:r>
      <w:r w:rsidR="00F773E9">
        <w:t>(1)</w:t>
      </w:r>
      <w:r w:rsidRPr="0063657F">
        <w:tab/>
        <w:t>An application must be accompanied by an audit report which complies with this section.</w:t>
      </w:r>
    </w:p>
    <w:p w:rsidR="00F10732" w:rsidRPr="0063657F" w:rsidRDefault="00F10732" w:rsidP="00F10732">
      <w:pPr>
        <w:pStyle w:val="tMain"/>
      </w:pPr>
      <w:r w:rsidRPr="0063657F">
        <w:tab/>
      </w:r>
      <w:r w:rsidR="00F773E9">
        <w:t>(2)</w:t>
      </w:r>
      <w:r w:rsidRPr="0063657F">
        <w:tab/>
        <w:t>The matters to be audited and covered by the audit report are whether, in all material respects:</w:t>
      </w:r>
    </w:p>
    <w:p w:rsidR="0048429E" w:rsidRPr="0063657F" w:rsidRDefault="0048429E" w:rsidP="00C50DD9">
      <w:pPr>
        <w:pStyle w:val="h6Subsec"/>
      </w:pPr>
      <w:r w:rsidRPr="0063657F">
        <w:t>Reasonable assurance matters</w:t>
      </w:r>
    </w:p>
    <w:p w:rsidR="00F10732" w:rsidRPr="0063657F" w:rsidRDefault="00F10732" w:rsidP="00F10732">
      <w:pPr>
        <w:pStyle w:val="tPara"/>
      </w:pPr>
      <w:r w:rsidRPr="0063657F">
        <w:tab/>
      </w:r>
      <w:r w:rsidR="00F773E9">
        <w:t>(a)</w:t>
      </w:r>
      <w:r w:rsidRPr="0063657F">
        <w:tab/>
      </w:r>
      <w:proofErr w:type="gramStart"/>
      <w:r w:rsidRPr="0063657F">
        <w:t>the</w:t>
      </w:r>
      <w:proofErr w:type="gramEnd"/>
      <w:r w:rsidRPr="0063657F">
        <w:t xml:space="preserve"> selection of the production variable for the facility: </w:t>
      </w:r>
    </w:p>
    <w:p w:rsidR="00F10732" w:rsidRPr="0063657F" w:rsidRDefault="00F10732" w:rsidP="00F10732">
      <w:pPr>
        <w:pStyle w:val="tSubpara"/>
      </w:pPr>
      <w:r w:rsidRPr="0063657F">
        <w:lastRenderedPageBreak/>
        <w:tab/>
      </w:r>
      <w:r w:rsidR="00F773E9">
        <w:t>(</w:t>
      </w:r>
      <w:proofErr w:type="spellStart"/>
      <w:r w:rsidR="00F773E9">
        <w:t>i</w:t>
      </w:r>
      <w:proofErr w:type="spellEnd"/>
      <w:r w:rsidR="00F773E9">
        <w:t>)</w:t>
      </w:r>
      <w:r w:rsidRPr="0063657F">
        <w:tab/>
        <w:t>if the determination is to commence after a benchmark-emissions baseli</w:t>
      </w:r>
      <w:r w:rsidR="00D84C37" w:rsidRPr="0063657F">
        <w:t>ne determination or paragraph 40</w:t>
      </w:r>
      <w:r w:rsidRPr="0063657F">
        <w:t>(1)(b) applies—is applicable to the facility in accordance with the Benchmark Emissions-Intensity Index; and</w:t>
      </w:r>
    </w:p>
    <w:p w:rsidR="00F10732" w:rsidRPr="0063657F" w:rsidRDefault="00F10732" w:rsidP="00F10732">
      <w:pPr>
        <w:pStyle w:val="tSubpara"/>
      </w:pPr>
      <w:r w:rsidRPr="0063657F">
        <w:tab/>
      </w:r>
      <w:r w:rsidR="00F773E9">
        <w:t>(ii)</w:t>
      </w:r>
      <w:r w:rsidRPr="0063657F">
        <w:tab/>
      </w:r>
      <w:proofErr w:type="gramStart"/>
      <w:r w:rsidRPr="0063657F">
        <w:t>is</w:t>
      </w:r>
      <w:proofErr w:type="gramEnd"/>
      <w:r w:rsidRPr="0063657F">
        <w:t xml:space="preserve"> supported by historical data</w:t>
      </w:r>
      <w:r w:rsidR="00396C50" w:rsidRPr="0063657F">
        <w:t xml:space="preserve"> that is fairly stated</w:t>
      </w:r>
      <w:r w:rsidRPr="0063657F">
        <w:t>; and</w:t>
      </w:r>
    </w:p>
    <w:p w:rsidR="00F10732" w:rsidRPr="0063657F" w:rsidRDefault="00F10732" w:rsidP="00F10732">
      <w:pPr>
        <w:pStyle w:val="tPara"/>
      </w:pPr>
      <w:r w:rsidRPr="0063657F">
        <w:tab/>
      </w:r>
      <w:r w:rsidR="00F773E9">
        <w:t>(b)</w:t>
      </w:r>
      <w:r w:rsidRPr="0063657F">
        <w:tab/>
      </w:r>
      <w:proofErr w:type="gramStart"/>
      <w:r w:rsidRPr="0063657F">
        <w:t>the</w:t>
      </w:r>
      <w:proofErr w:type="gramEnd"/>
      <w:r w:rsidRPr="0063657F">
        <w:t xml:space="preserve"> application has been:</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prepared</w:t>
      </w:r>
      <w:proofErr w:type="gramEnd"/>
      <w:r w:rsidRPr="0063657F">
        <w:t xml:space="preserve"> in accordance with section</w:t>
      </w:r>
      <w:r w:rsidR="00D84C37" w:rsidRPr="0063657F">
        <w:t xml:space="preserve"> 41</w:t>
      </w:r>
      <w:r w:rsidRPr="0063657F">
        <w:t>; and</w:t>
      </w:r>
    </w:p>
    <w:p w:rsidR="00F10732" w:rsidRPr="0063657F" w:rsidRDefault="00F10732" w:rsidP="00F10732">
      <w:pPr>
        <w:pStyle w:val="tSubpara"/>
      </w:pPr>
      <w:r w:rsidRPr="0063657F">
        <w:tab/>
      </w:r>
      <w:r w:rsidR="00F773E9">
        <w:t>(ii)</w:t>
      </w:r>
      <w:r w:rsidRPr="0063657F">
        <w:tab/>
      </w:r>
      <w:proofErr w:type="gramStart"/>
      <w:r w:rsidRPr="0063657F">
        <w:t>presented</w:t>
      </w:r>
      <w:proofErr w:type="gramEnd"/>
      <w:r w:rsidRPr="0063657F">
        <w:t xml:space="preserve"> fairly; and</w:t>
      </w:r>
    </w:p>
    <w:p w:rsidR="00F10732" w:rsidRPr="0063657F" w:rsidRDefault="00F10732" w:rsidP="00F10732">
      <w:pPr>
        <w:pStyle w:val="tPara"/>
      </w:pPr>
      <w:r w:rsidRPr="0063657F">
        <w:tab/>
      </w:r>
      <w:r w:rsidR="00F773E9">
        <w:t>(c)</w:t>
      </w:r>
      <w:r w:rsidRPr="0063657F">
        <w:tab/>
      </w:r>
      <w:proofErr w:type="gramStart"/>
      <w:r w:rsidRPr="0063657F">
        <w:t>the</w:t>
      </w:r>
      <w:proofErr w:type="gramEnd"/>
      <w:r w:rsidRPr="0063657F">
        <w:t xml:space="preserve"> estimates of the quantity of each produc</w:t>
      </w:r>
      <w:r w:rsidR="00D84C37" w:rsidRPr="0063657F">
        <w:t>tion variable under paragraph</w:t>
      </w:r>
      <w:r w:rsidR="0048429E" w:rsidRPr="0063657F">
        <w:t> </w:t>
      </w:r>
      <w:r w:rsidR="00D84C37" w:rsidRPr="0063657F">
        <w:t>41</w:t>
      </w:r>
      <w:r w:rsidRPr="0063657F">
        <w:t>(1)(a) or (2)(a):</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meet</w:t>
      </w:r>
      <w:proofErr w:type="gramEnd"/>
      <w:r w:rsidRPr="0063657F">
        <w:t xml:space="preserve"> t</w:t>
      </w:r>
      <w:r w:rsidR="00D84C37" w:rsidRPr="0063657F">
        <w:t>he requirements in subsection 41</w:t>
      </w:r>
      <w:r w:rsidRPr="0063657F">
        <w:t>(3);</w:t>
      </w:r>
      <w:r w:rsidR="0048429E" w:rsidRPr="0063657F">
        <w:t xml:space="preserve"> and</w:t>
      </w:r>
    </w:p>
    <w:p w:rsidR="00F10732" w:rsidRPr="0063657F" w:rsidRDefault="00F10732" w:rsidP="00F10732">
      <w:pPr>
        <w:pStyle w:val="tSubpara"/>
      </w:pPr>
      <w:r w:rsidRPr="0063657F">
        <w:tab/>
      </w:r>
      <w:r w:rsidR="00F773E9">
        <w:t>(ii)</w:t>
      </w:r>
      <w:r w:rsidRPr="0063657F">
        <w:tab/>
      </w:r>
      <w:proofErr w:type="gramStart"/>
      <w:r w:rsidRPr="0063657F">
        <w:t>are</w:t>
      </w:r>
      <w:proofErr w:type="gramEnd"/>
      <w:r w:rsidRPr="0063657F">
        <w:t xml:space="preserve"> supported by historical data</w:t>
      </w:r>
      <w:r w:rsidR="00396C50" w:rsidRPr="0063657F">
        <w:t xml:space="preserve"> that is fairly stated</w:t>
      </w:r>
      <w:r w:rsidRPr="0063657F">
        <w:t>.</w:t>
      </w:r>
    </w:p>
    <w:p w:rsidR="00F10732" w:rsidRPr="0063657F" w:rsidRDefault="00F10732" w:rsidP="00F10732">
      <w:pPr>
        <w:pStyle w:val="tMain"/>
      </w:pPr>
      <w:r w:rsidRPr="0063657F">
        <w:tab/>
      </w:r>
      <w:r w:rsidR="00F773E9">
        <w:t>(3)</w:t>
      </w:r>
      <w:r w:rsidRPr="0063657F">
        <w:tab/>
        <w:t xml:space="preserve">The audit report must include one of the following conclusions for the engagement under the </w:t>
      </w:r>
      <w:r w:rsidRPr="0063657F">
        <w:rPr>
          <w:i/>
        </w:rPr>
        <w:t>National Greenhouse and Energy Reporting (Audit) Determination 2009</w:t>
      </w:r>
      <w:r w:rsidRPr="0063657F">
        <w:t>:</w:t>
      </w:r>
    </w:p>
    <w:p w:rsidR="00F10732" w:rsidRPr="0063657F" w:rsidRDefault="00F10732" w:rsidP="00F10732">
      <w:pPr>
        <w:pStyle w:val="tPara"/>
      </w:pPr>
      <w:r w:rsidRPr="0063657F">
        <w:tab/>
      </w:r>
      <w:r w:rsidR="00F773E9">
        <w:t>(a)</w:t>
      </w:r>
      <w:r w:rsidRPr="0063657F">
        <w:tab/>
      </w:r>
      <w:proofErr w:type="gramStart"/>
      <w:r w:rsidRPr="0063657F">
        <w:t>a</w:t>
      </w:r>
      <w:proofErr w:type="gramEnd"/>
      <w:r w:rsidRPr="0063657F">
        <w:t xml:space="preserve"> reasonable assurance conclusion;</w:t>
      </w:r>
    </w:p>
    <w:p w:rsidR="00F10732" w:rsidRPr="0063657F" w:rsidRDefault="00F10732" w:rsidP="00F10732">
      <w:pPr>
        <w:pStyle w:val="tPara"/>
      </w:pPr>
      <w:r w:rsidRPr="0063657F">
        <w:tab/>
      </w:r>
      <w:r w:rsidR="00F773E9">
        <w:t>(b)</w:t>
      </w:r>
      <w:r w:rsidRPr="0063657F">
        <w:tab/>
      </w:r>
      <w:proofErr w:type="gramStart"/>
      <w:r w:rsidRPr="0063657F">
        <w:t>a</w:t>
      </w:r>
      <w:proofErr w:type="gramEnd"/>
      <w:r w:rsidRPr="0063657F">
        <w:t xml:space="preserve"> qualified reasonable assurance conclusion;</w:t>
      </w:r>
    </w:p>
    <w:p w:rsidR="00F10732" w:rsidRPr="0063657F" w:rsidRDefault="00F10732" w:rsidP="00F10732">
      <w:pPr>
        <w:pStyle w:val="tPara"/>
      </w:pPr>
      <w:r w:rsidRPr="0063657F">
        <w:tab/>
      </w:r>
      <w:r w:rsidR="00F773E9">
        <w:t>(c)</w:t>
      </w:r>
      <w:r w:rsidRPr="0063657F">
        <w:tab/>
      </w:r>
      <w:proofErr w:type="gramStart"/>
      <w:r w:rsidRPr="0063657F">
        <w:t>an</w:t>
      </w:r>
      <w:proofErr w:type="gramEnd"/>
      <w:r w:rsidRPr="0063657F">
        <w:t xml:space="preserve"> adverse conclusion;</w:t>
      </w:r>
    </w:p>
    <w:p w:rsidR="00F10732" w:rsidRPr="0063657F" w:rsidRDefault="00F10732" w:rsidP="00F10732">
      <w:pPr>
        <w:pStyle w:val="tPara"/>
      </w:pPr>
      <w:r w:rsidRPr="0063657F">
        <w:tab/>
      </w:r>
      <w:r w:rsidR="00F773E9">
        <w:t>(d)</w:t>
      </w:r>
      <w:r w:rsidRPr="0063657F">
        <w:tab/>
      </w:r>
      <w:proofErr w:type="gramStart"/>
      <w:r w:rsidRPr="0063657F">
        <w:t>a</w:t>
      </w:r>
      <w:proofErr w:type="gramEnd"/>
      <w:r w:rsidRPr="0063657F">
        <w:t xml:space="preserve"> conclusion that </w:t>
      </w:r>
      <w:r w:rsidR="00A72BB5" w:rsidRPr="0063657F">
        <w:t xml:space="preserve">the </w:t>
      </w:r>
      <w:r w:rsidRPr="0063657F">
        <w:t xml:space="preserve">assurance provider is unable to form an opinion about the matter being audited. </w:t>
      </w:r>
    </w:p>
    <w:p w:rsidR="00F10732" w:rsidRPr="0063657F" w:rsidRDefault="00F10732" w:rsidP="00F10732">
      <w:pPr>
        <w:pStyle w:val="tMain"/>
      </w:pPr>
      <w:r w:rsidRPr="0063657F">
        <w:tab/>
      </w:r>
      <w:r w:rsidR="00F773E9">
        <w:t>(4)</w:t>
      </w:r>
      <w:r w:rsidRPr="0063657F">
        <w:tab/>
        <w:t>An audit report under this section must be the result of an audit which:</w:t>
      </w:r>
    </w:p>
    <w:p w:rsidR="00F10732" w:rsidRPr="0063657F" w:rsidRDefault="00F10732" w:rsidP="00F10732">
      <w:pPr>
        <w:pStyle w:val="tPara"/>
      </w:pPr>
      <w:r w:rsidRPr="0063657F">
        <w:tab/>
        <w:t>(a)</w:t>
      </w:r>
      <w:r w:rsidRPr="0063657F">
        <w:tab/>
      </w:r>
      <w:proofErr w:type="gramStart"/>
      <w:r w:rsidRPr="0063657F">
        <w:t>was</w:t>
      </w:r>
      <w:proofErr w:type="gramEnd"/>
      <w:r w:rsidRPr="0063657F">
        <w:t xml:space="preserve"> conducted in accordance with the relevant requirements for reasonable assurance engagements under the </w:t>
      </w:r>
      <w:r w:rsidRPr="0063657F">
        <w:rPr>
          <w:i/>
        </w:rPr>
        <w:t>National Greenhouse and Energy Reporting (Audit) Determination 2009</w:t>
      </w:r>
      <w:r w:rsidRPr="0063657F">
        <w:t>; and</w:t>
      </w:r>
    </w:p>
    <w:p w:rsidR="00F10732" w:rsidRPr="0063657F" w:rsidRDefault="00F10732" w:rsidP="00F10732">
      <w:pPr>
        <w:pStyle w:val="tPara"/>
      </w:pPr>
      <w:r w:rsidRPr="0063657F">
        <w:tab/>
        <w:t>(b)</w:t>
      </w:r>
      <w:r w:rsidRPr="0063657F">
        <w:tab/>
      </w:r>
      <w:proofErr w:type="gramStart"/>
      <w:r w:rsidRPr="0063657F">
        <w:t>had</w:t>
      </w:r>
      <w:proofErr w:type="gramEnd"/>
      <w:r w:rsidRPr="0063657F">
        <w:t xml:space="preserve"> an audit team leader who is registered as a Category 2 auditor under </w:t>
      </w:r>
      <w:proofErr w:type="spellStart"/>
      <w:r w:rsidRPr="0063657F">
        <w:t>subregulation</w:t>
      </w:r>
      <w:proofErr w:type="spellEnd"/>
      <w:r w:rsidRPr="0063657F">
        <w:t xml:space="preserve"> 6.25(3) of the </w:t>
      </w:r>
      <w:r w:rsidR="007540C5" w:rsidRPr="0063657F">
        <w:t>NGER Regulations</w:t>
      </w:r>
      <w:r w:rsidR="007540C5" w:rsidRPr="0063657F">
        <w:rPr>
          <w:i/>
        </w:rPr>
        <w:t xml:space="preserve">; </w:t>
      </w:r>
      <w:r w:rsidRPr="0063657F">
        <w:t>and</w:t>
      </w:r>
    </w:p>
    <w:p w:rsidR="00F10732" w:rsidRPr="0063657F" w:rsidRDefault="00F10732" w:rsidP="00F10732">
      <w:pPr>
        <w:pStyle w:val="tPara"/>
      </w:pPr>
      <w:r w:rsidRPr="0063657F">
        <w:tab/>
        <w:t>(c)</w:t>
      </w:r>
      <w:r w:rsidRPr="0063657F">
        <w:tab/>
      </w:r>
      <w:proofErr w:type="gramStart"/>
      <w:r w:rsidRPr="0063657F">
        <w:t>was</w:t>
      </w:r>
      <w:proofErr w:type="gramEnd"/>
      <w:r w:rsidRPr="0063657F">
        <w:t xml:space="preserve"> otherwise in accordance with subsection 75(1) of the Act.</w:t>
      </w:r>
    </w:p>
    <w:p w:rsidR="00F10732" w:rsidRPr="0063657F" w:rsidRDefault="00F773E9" w:rsidP="00F10732">
      <w:pPr>
        <w:pStyle w:val="h5Section"/>
      </w:pPr>
      <w:bookmarkStart w:id="61" w:name="_Toc431896992"/>
      <w:proofErr w:type="gramStart"/>
      <w:r>
        <w:t>43</w:t>
      </w:r>
      <w:r w:rsidR="00F10732" w:rsidRPr="0063657F">
        <w:t xml:space="preserve"> Further information</w:t>
      </w:r>
      <w:bookmarkEnd w:id="61"/>
      <w:proofErr w:type="gramEnd"/>
    </w:p>
    <w:p w:rsidR="00F10732" w:rsidRPr="0063657F" w:rsidRDefault="00F10732" w:rsidP="00F10732">
      <w:pPr>
        <w:pStyle w:val="tMain"/>
      </w:pPr>
      <w:r w:rsidRPr="0063657F">
        <w:tab/>
      </w:r>
      <w:r w:rsidR="00F773E9">
        <w:t>(1)</w:t>
      </w:r>
      <w:r w:rsidRPr="0063657F">
        <w:tab/>
        <w:t>The Regulator may, by written notice given to an applicant, require the applicant to give the Regulator, within the period specified in the notice, further information in connection with the application.</w:t>
      </w:r>
    </w:p>
    <w:p w:rsidR="00F10732" w:rsidRPr="0063657F" w:rsidRDefault="00F10732" w:rsidP="00F10732">
      <w:pPr>
        <w:pStyle w:val="tMain"/>
      </w:pPr>
      <w:r w:rsidRPr="0063657F">
        <w:tab/>
      </w:r>
      <w:r w:rsidR="00F773E9">
        <w:t>(2)</w:t>
      </w:r>
      <w:r w:rsidRPr="0063657F">
        <w:tab/>
        <w:t>If the applicant breaches the requirement, the Regulator may, by written notice given to the applicant:</w:t>
      </w:r>
    </w:p>
    <w:p w:rsidR="00F10732" w:rsidRPr="0063657F" w:rsidRDefault="00F10732" w:rsidP="00F10732">
      <w:pPr>
        <w:pStyle w:val="tPara"/>
      </w:pPr>
      <w:r w:rsidRPr="0063657F">
        <w:tab/>
      </w:r>
      <w:r w:rsidR="00F773E9">
        <w:t>(a)</w:t>
      </w:r>
      <w:r w:rsidRPr="0063657F">
        <w:tab/>
      </w:r>
      <w:proofErr w:type="gramStart"/>
      <w:r w:rsidRPr="0063657F">
        <w:t>refuse</w:t>
      </w:r>
      <w:proofErr w:type="gramEnd"/>
      <w:r w:rsidRPr="0063657F">
        <w:t xml:space="preserve"> to consider the application; or</w:t>
      </w:r>
    </w:p>
    <w:p w:rsidR="00F10732" w:rsidRPr="0063657F" w:rsidRDefault="00F10732" w:rsidP="00F10732">
      <w:pPr>
        <w:pStyle w:val="tPara"/>
        <w:rPr>
          <w:b/>
          <w:sz w:val="28"/>
          <w:szCs w:val="28"/>
        </w:rPr>
      </w:pPr>
      <w:r w:rsidRPr="0063657F">
        <w:tab/>
      </w:r>
      <w:r w:rsidR="00F773E9">
        <w:t>(b)</w:t>
      </w:r>
      <w:r w:rsidRPr="0063657F">
        <w:tab/>
      </w:r>
      <w:proofErr w:type="gramStart"/>
      <w:r w:rsidRPr="0063657F">
        <w:t>refuse</w:t>
      </w:r>
      <w:proofErr w:type="gramEnd"/>
      <w:r w:rsidRPr="0063657F">
        <w:t xml:space="preserve"> to take any action, or any further action, in relation to the application.</w:t>
      </w:r>
    </w:p>
    <w:p w:rsidR="00F10732" w:rsidRPr="0063657F" w:rsidRDefault="00F773E9" w:rsidP="00F10732">
      <w:pPr>
        <w:pStyle w:val="h5Section"/>
      </w:pPr>
      <w:bookmarkStart w:id="62" w:name="_Toc431896993"/>
      <w:r>
        <w:t>44</w:t>
      </w:r>
      <w:r w:rsidR="00F10732" w:rsidRPr="0063657F">
        <w:t xml:space="preserve"> Making of production-adjusted baseline determination</w:t>
      </w:r>
      <w:bookmarkEnd w:id="62"/>
    </w:p>
    <w:p w:rsidR="00F10732" w:rsidRPr="0063657F" w:rsidRDefault="00F10732" w:rsidP="00F10732">
      <w:pPr>
        <w:pStyle w:val="h6Subsec"/>
      </w:pPr>
      <w:r w:rsidRPr="0063657F">
        <w:t>Scope</w:t>
      </w:r>
    </w:p>
    <w:p w:rsidR="00F10732" w:rsidRPr="0063657F" w:rsidRDefault="00F10732" w:rsidP="00F10732">
      <w:pPr>
        <w:pStyle w:val="tMain"/>
      </w:pPr>
      <w:r w:rsidRPr="0063657F">
        <w:tab/>
      </w:r>
      <w:r w:rsidR="00F773E9">
        <w:t>(1)</w:t>
      </w:r>
      <w:r w:rsidRPr="0063657F">
        <w:tab/>
        <w:t>This section applies if an application under section </w:t>
      </w:r>
      <w:r w:rsidR="00D84C37" w:rsidRPr="0063657F">
        <w:t>40</w:t>
      </w:r>
      <w:r w:rsidRPr="0063657F">
        <w:t xml:space="preserve"> has been made for a production-adjusted baseline determination for a facility.</w:t>
      </w:r>
    </w:p>
    <w:p w:rsidR="00F10732" w:rsidRPr="0063657F" w:rsidRDefault="00F10732" w:rsidP="00F10732">
      <w:pPr>
        <w:pStyle w:val="h6Subsec"/>
      </w:pPr>
      <w:r w:rsidRPr="0063657F">
        <w:t xml:space="preserve">Determination </w:t>
      </w:r>
    </w:p>
    <w:p w:rsidR="00F10732" w:rsidRPr="0063657F" w:rsidRDefault="00F10732" w:rsidP="00F10732">
      <w:pPr>
        <w:pStyle w:val="tMain"/>
      </w:pPr>
      <w:r w:rsidRPr="0063657F">
        <w:tab/>
      </w:r>
      <w:r w:rsidR="00F773E9">
        <w:t>(2)</w:t>
      </w:r>
      <w:r w:rsidRPr="0063657F">
        <w:tab/>
        <w:t>The Regulator may make a production-adjusted baseline determination for the facility if satisfied</w:t>
      </w:r>
      <w:r w:rsidR="0048429E" w:rsidRPr="0063657F">
        <w:t xml:space="preserve"> that</w:t>
      </w:r>
      <w:r w:rsidRPr="0063657F">
        <w:t xml:space="preserve">: </w:t>
      </w:r>
    </w:p>
    <w:p w:rsidR="00F10732" w:rsidRPr="0063657F" w:rsidRDefault="00F10732" w:rsidP="00F10732">
      <w:pPr>
        <w:pStyle w:val="tPara"/>
      </w:pPr>
      <w:r w:rsidRPr="0063657F">
        <w:tab/>
      </w:r>
      <w:r w:rsidR="00F773E9">
        <w:t>(a)</w:t>
      </w:r>
      <w:r w:rsidRPr="0063657F">
        <w:tab/>
      </w:r>
      <w:proofErr w:type="gramStart"/>
      <w:r w:rsidRPr="0063657F">
        <w:t>the</w:t>
      </w:r>
      <w:proofErr w:type="gramEnd"/>
      <w:r w:rsidRPr="0063657F">
        <w:t xml:space="preserve"> audit report accompanying an application contains a reasonable assurance conclusion or qualified reasonable assurance conclusion; and</w:t>
      </w:r>
    </w:p>
    <w:p w:rsidR="00F10732" w:rsidRPr="0063657F" w:rsidRDefault="00F10732" w:rsidP="00F10732">
      <w:pPr>
        <w:pStyle w:val="tPara"/>
      </w:pPr>
      <w:r w:rsidRPr="0063657F">
        <w:tab/>
      </w:r>
      <w:r w:rsidR="00F773E9">
        <w:t>(b)</w:t>
      </w:r>
      <w:r w:rsidR="00D84C37" w:rsidRPr="0063657F">
        <w:tab/>
      </w:r>
      <w:proofErr w:type="gramStart"/>
      <w:r w:rsidR="00D84C37" w:rsidRPr="0063657F">
        <w:t>if</w:t>
      </w:r>
      <w:proofErr w:type="gramEnd"/>
      <w:r w:rsidR="00D84C37" w:rsidRPr="0063657F">
        <w:t xml:space="preserve"> paragraph 40 </w:t>
      </w:r>
      <w:r w:rsidRPr="0063657F">
        <w:t>(1)(b) applies—the requirements in that paragraph are met; and</w:t>
      </w:r>
    </w:p>
    <w:p w:rsidR="00F10732" w:rsidRPr="0063657F" w:rsidRDefault="00F10732" w:rsidP="00F10732">
      <w:pPr>
        <w:pStyle w:val="tPara"/>
      </w:pPr>
      <w:r w:rsidRPr="0063657F">
        <w:lastRenderedPageBreak/>
        <w:tab/>
      </w:r>
      <w:r w:rsidR="00F773E9">
        <w:t>(c)</w:t>
      </w:r>
      <w:r w:rsidRPr="0063657F">
        <w:tab/>
      </w:r>
      <w:proofErr w:type="gramStart"/>
      <w:r w:rsidRPr="0063657F">
        <w:t>the</w:t>
      </w:r>
      <w:proofErr w:type="gramEnd"/>
      <w:r w:rsidRPr="0063657F">
        <w:t xml:space="preserve"> production variables used in the application:</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if</w:t>
      </w:r>
      <w:proofErr w:type="gramEnd"/>
      <w:r w:rsidRPr="0063657F">
        <w:t xml:space="preserve"> the determination is to commence after a calculated-emissions baseline determination—were used in making that determination; and</w:t>
      </w:r>
    </w:p>
    <w:p w:rsidR="00F10732" w:rsidRPr="0063657F" w:rsidRDefault="00F10732" w:rsidP="00F10732">
      <w:pPr>
        <w:pStyle w:val="tSubpara"/>
      </w:pPr>
      <w:r w:rsidRPr="0063657F">
        <w:tab/>
      </w:r>
      <w:r w:rsidR="00F773E9">
        <w:t>(ii)</w:t>
      </w:r>
      <w:r w:rsidRPr="0063657F">
        <w:tab/>
        <w:t>if the determination is to commence after a benchmark-emissions baseli</w:t>
      </w:r>
      <w:r w:rsidR="00D84C37" w:rsidRPr="0063657F">
        <w:t>ne determination or paragraph 40</w:t>
      </w:r>
      <w:r w:rsidRPr="0063657F">
        <w:t xml:space="preserve">(1)(b) applies—are applicable to the facility in accordance </w:t>
      </w:r>
      <w:r w:rsidR="00A7630B" w:rsidRPr="0063657F">
        <w:t xml:space="preserve">with </w:t>
      </w:r>
      <w:r w:rsidRPr="0063657F">
        <w:t>any requirements set out in the Benchmark Emissions-Intensity Index; and</w:t>
      </w:r>
    </w:p>
    <w:p w:rsidR="00F10732" w:rsidRPr="0063657F" w:rsidRDefault="00F10732" w:rsidP="00F10732">
      <w:pPr>
        <w:pStyle w:val="tSubpara"/>
      </w:pPr>
      <w:r w:rsidRPr="0063657F">
        <w:tab/>
      </w:r>
      <w:r w:rsidR="00F773E9">
        <w:t>(iii)</w:t>
      </w:r>
      <w:r w:rsidR="00D84C37" w:rsidRPr="0063657F">
        <w:tab/>
      </w:r>
      <w:proofErr w:type="gramStart"/>
      <w:r w:rsidR="00D84C37" w:rsidRPr="0063657F">
        <w:t>meet</w:t>
      </w:r>
      <w:proofErr w:type="gramEnd"/>
      <w:r w:rsidR="00D84C37" w:rsidRPr="0063657F">
        <w:t xml:space="preserve"> the requirements of s</w:t>
      </w:r>
      <w:r w:rsidR="0048429E" w:rsidRPr="0063657F">
        <w:t>ubsection</w:t>
      </w:r>
      <w:r w:rsidR="00D84C37" w:rsidRPr="0063657F">
        <w:t xml:space="preserve"> 41</w:t>
      </w:r>
      <w:r w:rsidRPr="0063657F">
        <w:t>(3).</w:t>
      </w:r>
    </w:p>
    <w:p w:rsidR="00F10732" w:rsidRPr="0063657F" w:rsidRDefault="00F10732" w:rsidP="00F10732">
      <w:pPr>
        <w:pStyle w:val="h6Subsec"/>
      </w:pPr>
      <w:r w:rsidRPr="0063657F">
        <w:t>Baseline emissions number</w:t>
      </w:r>
    </w:p>
    <w:p w:rsidR="00F10732" w:rsidRPr="0063657F" w:rsidRDefault="00F10732" w:rsidP="00F10732">
      <w:pPr>
        <w:pStyle w:val="tMain"/>
      </w:pPr>
      <w:r w:rsidRPr="0063657F">
        <w:tab/>
      </w:r>
      <w:r w:rsidR="00F773E9">
        <w:t>(3)</w:t>
      </w:r>
      <w:r w:rsidRPr="0063657F">
        <w:tab/>
        <w:t xml:space="preserve">The baseline emissions number specified in the determination made under subsection (2) must be: </w:t>
      </w:r>
    </w:p>
    <w:p w:rsidR="00F10732" w:rsidRPr="0063657F" w:rsidRDefault="00F10732" w:rsidP="00F10732">
      <w:pPr>
        <w:pStyle w:val="tPara"/>
      </w:pPr>
      <w:r w:rsidRPr="0063657F">
        <w:tab/>
      </w:r>
      <w:r w:rsidR="00F773E9">
        <w:t>(a)</w:t>
      </w:r>
      <w:r w:rsidRPr="0063657F">
        <w:tab/>
        <w:t>if the determination is to commence after a calculated-emissions baseline determination—the total amount of t CO</w:t>
      </w:r>
      <w:r w:rsidRPr="0063657F">
        <w:rPr>
          <w:vertAlign w:val="subscript"/>
        </w:rPr>
        <w:t>2</w:t>
      </w:r>
      <w:r w:rsidR="007F7E20" w:rsidRPr="0063657F">
        <w:rPr>
          <w:rFonts w:ascii="Helvetica Neue" w:hAnsi="Helvetica Neue"/>
          <w:b/>
          <w:bCs/>
          <w:i/>
          <w:iCs/>
          <w:sz w:val="19"/>
          <w:szCs w:val="19"/>
        </w:rPr>
        <w:noBreakHyphen/>
      </w:r>
      <w:r w:rsidRPr="0063657F">
        <w:t>e</w:t>
      </w:r>
      <w:r w:rsidR="00A53B28" w:rsidRPr="0063657F">
        <w:t xml:space="preserve"> of</w:t>
      </w:r>
      <w:r w:rsidRPr="0063657F">
        <w:t xml:space="preserve"> covered emissions calculated by multiplying the </w:t>
      </w:r>
      <w:r w:rsidR="00EC1496" w:rsidRPr="0063657F">
        <w:t>quantity</w:t>
      </w:r>
      <w:r w:rsidRPr="0063657F">
        <w:t xml:space="preserve"> of </w:t>
      </w:r>
      <w:r w:rsidR="0086028F" w:rsidRPr="0063657F">
        <w:t xml:space="preserve">each of </w:t>
      </w:r>
      <w:r w:rsidRPr="0063657F">
        <w:t xml:space="preserve">the production variables </w:t>
      </w:r>
      <w:r w:rsidR="00D41AF2" w:rsidRPr="0063657F">
        <w:t>in</w:t>
      </w:r>
      <w:r w:rsidR="00B820FC" w:rsidRPr="0063657F">
        <w:t xml:space="preserve"> the financial year determined under subparagraph 41(1</w:t>
      </w:r>
      <w:proofErr w:type="gramStart"/>
      <w:r w:rsidR="00B820FC" w:rsidRPr="0063657F">
        <w:t>)(</w:t>
      </w:r>
      <w:proofErr w:type="gramEnd"/>
      <w:r w:rsidR="00B820FC" w:rsidRPr="0063657F">
        <w:t>a)(</w:t>
      </w:r>
      <w:proofErr w:type="spellStart"/>
      <w:r w:rsidR="00B820FC" w:rsidRPr="0063657F">
        <w:t>i</w:t>
      </w:r>
      <w:proofErr w:type="spellEnd"/>
      <w:r w:rsidR="00B820FC" w:rsidRPr="0063657F">
        <w:t xml:space="preserve">) </w:t>
      </w:r>
      <w:r w:rsidR="0086028F" w:rsidRPr="0063657F">
        <w:t xml:space="preserve">by </w:t>
      </w:r>
      <w:r w:rsidRPr="0063657F">
        <w:t xml:space="preserve">the </w:t>
      </w:r>
      <w:r w:rsidR="001033B1" w:rsidRPr="0063657F">
        <w:t>emissions intensity</w:t>
      </w:r>
      <w:r w:rsidRPr="0063657F">
        <w:t xml:space="preserve"> of </w:t>
      </w:r>
      <w:r w:rsidR="00147926" w:rsidRPr="0063657F">
        <w:t xml:space="preserve">that </w:t>
      </w:r>
      <w:r w:rsidRPr="0063657F">
        <w:t>variable used in making the previous calculated-emissions baseline determination and summing the results; or</w:t>
      </w:r>
    </w:p>
    <w:p w:rsidR="00F10732" w:rsidRPr="0063657F" w:rsidRDefault="00F10732" w:rsidP="00F10732">
      <w:pPr>
        <w:pStyle w:val="tPara"/>
      </w:pPr>
      <w:r w:rsidRPr="0063657F">
        <w:tab/>
      </w:r>
      <w:r w:rsidR="00F773E9">
        <w:t>(b)</w:t>
      </w:r>
      <w:r w:rsidRPr="0063657F">
        <w:tab/>
        <w:t>if the determination is to commence after a benchmark-emissions baseline determination made on the basis of the new f</w:t>
      </w:r>
      <w:r w:rsidR="00D84C37" w:rsidRPr="0063657F">
        <w:t>acility criteria or paragraph 40</w:t>
      </w:r>
      <w:r w:rsidRPr="0063657F">
        <w:t>(1</w:t>
      </w:r>
      <w:proofErr w:type="gramStart"/>
      <w:r w:rsidRPr="0063657F">
        <w:t>)(</w:t>
      </w:r>
      <w:proofErr w:type="gramEnd"/>
      <w:r w:rsidRPr="0063657F">
        <w:t>b) applies—the total amount of t CO</w:t>
      </w:r>
      <w:r w:rsidRPr="0063657F">
        <w:rPr>
          <w:vertAlign w:val="subscript"/>
        </w:rPr>
        <w:t>2</w:t>
      </w:r>
      <w:r w:rsidR="007F7E20" w:rsidRPr="0063657F">
        <w:rPr>
          <w:rFonts w:ascii="Helvetica Neue" w:hAnsi="Helvetica Neue"/>
          <w:b/>
          <w:bCs/>
          <w:i/>
          <w:iCs/>
          <w:sz w:val="19"/>
          <w:szCs w:val="19"/>
        </w:rPr>
        <w:noBreakHyphen/>
      </w:r>
      <w:r w:rsidRPr="0063657F">
        <w:t xml:space="preserve">e </w:t>
      </w:r>
      <w:r w:rsidR="00A53B28" w:rsidRPr="0063657F">
        <w:t xml:space="preserve">of </w:t>
      </w:r>
      <w:r w:rsidRPr="0063657F">
        <w:t xml:space="preserve">covered emissions calculated by multiplying the </w:t>
      </w:r>
      <w:r w:rsidR="00EC1496" w:rsidRPr="0063657F">
        <w:t>quantity</w:t>
      </w:r>
      <w:r w:rsidRPr="0063657F">
        <w:t xml:space="preserve"> of the production variables </w:t>
      </w:r>
      <w:r w:rsidR="00D41AF2" w:rsidRPr="0063657F">
        <w:t>in</w:t>
      </w:r>
      <w:r w:rsidR="00B820FC" w:rsidRPr="0063657F">
        <w:t xml:space="preserve"> the financial year determined under subparagraph 41(1)(a)(</w:t>
      </w:r>
      <w:proofErr w:type="spellStart"/>
      <w:r w:rsidR="00B820FC" w:rsidRPr="0063657F">
        <w:t>i</w:t>
      </w:r>
      <w:proofErr w:type="spellEnd"/>
      <w:r w:rsidR="00B820FC" w:rsidRPr="0063657F">
        <w:t xml:space="preserve">) </w:t>
      </w:r>
      <w:r w:rsidRPr="0063657F">
        <w:t xml:space="preserve">with the relevant benchmark </w:t>
      </w:r>
      <w:r w:rsidR="001033B1" w:rsidRPr="0063657F">
        <w:t>emissions intensity</w:t>
      </w:r>
      <w:r w:rsidRPr="0063657F">
        <w:t xml:space="preserve"> of each variable and summing the results; or</w:t>
      </w:r>
    </w:p>
    <w:p w:rsidR="00F10732" w:rsidRPr="0063657F" w:rsidRDefault="00F10732" w:rsidP="00F10732">
      <w:pPr>
        <w:pStyle w:val="tPara"/>
      </w:pPr>
      <w:r w:rsidRPr="0063657F">
        <w:tab/>
      </w:r>
      <w:r w:rsidR="00F773E9">
        <w:t>(c)</w:t>
      </w:r>
      <w:r w:rsidRPr="0063657F">
        <w:tab/>
      </w:r>
      <w:proofErr w:type="gramStart"/>
      <w:r w:rsidRPr="0063657F">
        <w:t>if</w:t>
      </w:r>
      <w:proofErr w:type="gramEnd"/>
      <w:r w:rsidRPr="0063657F">
        <w:t xml:space="preserve"> the determination is to commence after </w:t>
      </w:r>
      <w:r w:rsidR="000F674F" w:rsidRPr="0063657F">
        <w:t xml:space="preserve">a </w:t>
      </w:r>
      <w:r w:rsidRPr="0063657F">
        <w:t>benchmark-emissions baseline determination made on the basis of the significant expansion criteria—the total amount of t CO</w:t>
      </w:r>
      <w:r w:rsidRPr="0063657F">
        <w:rPr>
          <w:vertAlign w:val="subscript"/>
        </w:rPr>
        <w:t>2</w:t>
      </w:r>
      <w:r w:rsidR="007F7E20" w:rsidRPr="0063657F">
        <w:rPr>
          <w:rFonts w:ascii="Helvetica Neue" w:hAnsi="Helvetica Neue"/>
          <w:b/>
          <w:bCs/>
          <w:i/>
          <w:iCs/>
          <w:sz w:val="19"/>
          <w:szCs w:val="19"/>
        </w:rPr>
        <w:noBreakHyphen/>
      </w:r>
      <w:r w:rsidRPr="0063657F">
        <w:t>e</w:t>
      </w:r>
      <w:r w:rsidR="00A53B28" w:rsidRPr="0063657F">
        <w:t xml:space="preserve"> of</w:t>
      </w:r>
      <w:r w:rsidRPr="0063657F">
        <w:t xml:space="preserve"> covered emissions calculated by summing:</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the</w:t>
      </w:r>
      <w:proofErr w:type="gramEnd"/>
      <w:r w:rsidRPr="0063657F">
        <w:t xml:space="preserve"> </w:t>
      </w:r>
      <w:r w:rsidR="00B820FC" w:rsidRPr="0063657F">
        <w:t>change in</w:t>
      </w:r>
      <w:r w:rsidRPr="0063657F">
        <w:t xml:space="preserve"> production for each production variable </w:t>
      </w:r>
      <w:r w:rsidR="00B820FC" w:rsidRPr="0063657F">
        <w:t xml:space="preserve">determined under </w:t>
      </w:r>
      <w:r w:rsidR="00D41AF2" w:rsidRPr="0063657F">
        <w:t xml:space="preserve">paragraph 41(2)(b) </w:t>
      </w:r>
      <w:r w:rsidRPr="0063657F">
        <w:t xml:space="preserve">multiplied by its relevant benchmark </w:t>
      </w:r>
      <w:r w:rsidR="001033B1" w:rsidRPr="0063657F">
        <w:t>emissions intensity</w:t>
      </w:r>
      <w:r w:rsidRPr="0063657F">
        <w:t xml:space="preserve">; and </w:t>
      </w:r>
    </w:p>
    <w:p w:rsidR="00F10732" w:rsidRPr="0063657F" w:rsidRDefault="00F10732" w:rsidP="00F10732">
      <w:pPr>
        <w:pStyle w:val="tSubpara"/>
      </w:pPr>
      <w:r w:rsidRPr="0063657F">
        <w:tab/>
      </w:r>
      <w:r w:rsidR="00F773E9">
        <w:t>(ii)</w:t>
      </w:r>
      <w:r w:rsidRPr="0063657F">
        <w:tab/>
      </w:r>
      <w:r w:rsidRPr="0063657F">
        <w:tab/>
      </w:r>
      <w:proofErr w:type="gramStart"/>
      <w:r w:rsidRPr="0063657F">
        <w:t>if</w:t>
      </w:r>
      <w:proofErr w:type="gramEnd"/>
      <w:r w:rsidRPr="0063657F">
        <w:t xml:space="preserve"> a reported-emissions baseline determination or production-adjusted baseline determination would otherwise apply in the first year of the proposed production-adjusted baseline determination—the baseline emissions number applicable under that determination; and</w:t>
      </w:r>
    </w:p>
    <w:p w:rsidR="00F10732" w:rsidRPr="0063657F" w:rsidRDefault="00F10732" w:rsidP="00F10732">
      <w:pPr>
        <w:pStyle w:val="tSubpara"/>
      </w:pPr>
      <w:r w:rsidRPr="0063657F">
        <w:tab/>
      </w:r>
      <w:r w:rsidR="00F773E9">
        <w:t>(iii)</w:t>
      </w:r>
      <w:r w:rsidRPr="0063657F">
        <w:tab/>
      </w:r>
      <w:proofErr w:type="gramStart"/>
      <w:r w:rsidRPr="0063657F">
        <w:t>if</w:t>
      </w:r>
      <w:proofErr w:type="gramEnd"/>
      <w:r w:rsidRPr="0063657F">
        <w:t xml:space="preserve"> a baseline emission</w:t>
      </w:r>
      <w:r w:rsidR="004A58CC" w:rsidRPr="0063657F">
        <w:t>s</w:t>
      </w:r>
      <w:r w:rsidRPr="0063657F">
        <w:t xml:space="preserve"> number applies in the first year of the proposed production-adjusted baseline determination because of paragraph 10(b)—the lesser of:</w:t>
      </w:r>
    </w:p>
    <w:p w:rsidR="00F10732" w:rsidRPr="0063657F" w:rsidRDefault="00F10732" w:rsidP="00F10732">
      <w:pPr>
        <w:pStyle w:val="tSubsub"/>
      </w:pPr>
      <w:r w:rsidRPr="0063657F">
        <w:tab/>
      </w:r>
      <w:r w:rsidR="00F773E9">
        <w:t>(A)</w:t>
      </w:r>
      <w:r w:rsidRPr="0063657F">
        <w:tab/>
        <w:t>100,000 t CO</w:t>
      </w:r>
      <w:r w:rsidRPr="0063657F">
        <w:rPr>
          <w:vertAlign w:val="subscript"/>
        </w:rPr>
        <w:t>2</w:t>
      </w:r>
      <w:r w:rsidR="007F7E20" w:rsidRPr="0063657F">
        <w:rPr>
          <w:rFonts w:ascii="Helvetica Neue" w:hAnsi="Helvetica Neue"/>
          <w:b/>
          <w:bCs/>
          <w:i/>
          <w:iCs/>
          <w:sz w:val="19"/>
          <w:szCs w:val="19"/>
        </w:rPr>
        <w:noBreakHyphen/>
      </w:r>
      <w:r w:rsidRPr="0063657F">
        <w:t>e; and</w:t>
      </w:r>
    </w:p>
    <w:p w:rsidR="00F10732" w:rsidRPr="0063657F" w:rsidRDefault="00F10732" w:rsidP="00F10732">
      <w:pPr>
        <w:pStyle w:val="tSubsub"/>
      </w:pPr>
      <w:r w:rsidRPr="0063657F">
        <w:tab/>
      </w:r>
      <w:r w:rsidR="00F773E9">
        <w:t>(B)</w:t>
      </w:r>
      <w:r w:rsidRPr="0063657F">
        <w:tab/>
      </w:r>
      <w:proofErr w:type="gramStart"/>
      <w:r w:rsidRPr="0063657F">
        <w:t>the</w:t>
      </w:r>
      <w:proofErr w:type="gramEnd"/>
      <w:r w:rsidRPr="0063657F">
        <w:t xml:space="preserve"> covered emissions of the facility in the fin</w:t>
      </w:r>
      <w:r w:rsidR="003D6780" w:rsidRPr="0063657F">
        <w:t>ancial year used in paragraph 35</w:t>
      </w:r>
      <w:r w:rsidRPr="0063657F">
        <w:t>(2)(c) of the application for the previous benchmark-emissions baseline determination.</w:t>
      </w:r>
    </w:p>
    <w:p w:rsidR="00F10732" w:rsidRPr="0063657F" w:rsidRDefault="00F10732" w:rsidP="00F10732">
      <w:pPr>
        <w:pStyle w:val="h6Subsec"/>
      </w:pPr>
      <w:r w:rsidRPr="0063657F">
        <w:t>Timing</w:t>
      </w:r>
    </w:p>
    <w:p w:rsidR="00F10732" w:rsidRPr="0063657F" w:rsidRDefault="00F10732" w:rsidP="00F10732">
      <w:pPr>
        <w:pStyle w:val="tMain"/>
      </w:pPr>
      <w:r w:rsidRPr="0063657F">
        <w:tab/>
      </w:r>
      <w:r w:rsidR="00F773E9">
        <w:t>(4)</w:t>
      </w:r>
      <w:r w:rsidRPr="0063657F">
        <w:tab/>
        <w:t>The Regulator must take all reasonable steps to ensure that a decision is made on the application:</w:t>
      </w:r>
    </w:p>
    <w:p w:rsidR="00F10732" w:rsidRPr="0063657F" w:rsidRDefault="00F10732" w:rsidP="00F10732">
      <w:pPr>
        <w:pStyle w:val="tPara"/>
      </w:pPr>
      <w:r w:rsidRPr="0063657F">
        <w:tab/>
      </w:r>
      <w:r w:rsidR="00F773E9">
        <w:t>(a)</w:t>
      </w:r>
      <w:r w:rsidRPr="0063657F">
        <w:tab/>
        <w:t>if the Regulator requires the applicant to give further</w:t>
      </w:r>
      <w:r w:rsidR="00D84C37" w:rsidRPr="0063657F">
        <w:t xml:space="preserve"> information under subsection 43</w:t>
      </w:r>
      <w:r w:rsidRPr="0063657F">
        <w:t>(1) in relation to the application—within 60 days after the applicant gave the Regulator the information; or</w:t>
      </w:r>
    </w:p>
    <w:p w:rsidR="00F10732" w:rsidRPr="0063657F" w:rsidRDefault="00F10732" w:rsidP="00F10732">
      <w:pPr>
        <w:pStyle w:val="tPara"/>
      </w:pPr>
      <w:r w:rsidRPr="0063657F">
        <w:tab/>
      </w:r>
      <w:r w:rsidR="00F773E9">
        <w:t>(b)</w:t>
      </w:r>
      <w:r w:rsidRPr="0063657F">
        <w:tab/>
      </w:r>
      <w:proofErr w:type="gramStart"/>
      <w:r w:rsidRPr="0063657F">
        <w:t>otherwise—</w:t>
      </w:r>
      <w:proofErr w:type="gramEnd"/>
      <w:r w:rsidRPr="0063657F">
        <w:t>within 60 days after the application was made.</w:t>
      </w:r>
    </w:p>
    <w:p w:rsidR="00F10732" w:rsidRPr="0063657F" w:rsidRDefault="00F10732" w:rsidP="00F10732">
      <w:pPr>
        <w:pStyle w:val="h6Subsec"/>
      </w:pPr>
      <w:r w:rsidRPr="0063657F">
        <w:lastRenderedPageBreak/>
        <w:t>Notification and publication</w:t>
      </w:r>
    </w:p>
    <w:p w:rsidR="00F10732" w:rsidRPr="0063657F" w:rsidRDefault="00F10732" w:rsidP="00F10732">
      <w:pPr>
        <w:pStyle w:val="tMain"/>
      </w:pPr>
      <w:r w:rsidRPr="0063657F">
        <w:tab/>
      </w:r>
      <w:r w:rsidR="00F773E9">
        <w:t>(5)</w:t>
      </w:r>
      <w:r w:rsidRPr="0063657F">
        <w:tab/>
      </w:r>
      <w:proofErr w:type="gramStart"/>
      <w:r w:rsidRPr="0063657F">
        <w:t>As</w:t>
      </w:r>
      <w:proofErr w:type="gramEnd"/>
      <w:r w:rsidRPr="0063657F">
        <w:t xml:space="preserve"> soon as practicable after making a production-adjusted baseline determination, the Regulator must:</w:t>
      </w:r>
    </w:p>
    <w:p w:rsidR="00F10732" w:rsidRPr="0063657F" w:rsidRDefault="00F10732" w:rsidP="00F10732">
      <w:pPr>
        <w:pStyle w:val="tPara"/>
      </w:pPr>
      <w:r w:rsidRPr="0063657F">
        <w:tab/>
      </w:r>
      <w:r w:rsidR="00F773E9">
        <w:t>(a)</w:t>
      </w:r>
      <w:r w:rsidRPr="0063657F">
        <w:tab/>
      </w:r>
      <w:proofErr w:type="gramStart"/>
      <w:r w:rsidRPr="0063657F">
        <w:t>provide</w:t>
      </w:r>
      <w:proofErr w:type="gramEnd"/>
      <w:r w:rsidRPr="0063657F">
        <w:t xml:space="preserve"> written notice of the determination to the responsible emitter for the facility covered by the determination; and</w:t>
      </w:r>
    </w:p>
    <w:p w:rsidR="007A023F" w:rsidRPr="0063657F" w:rsidRDefault="00E445F7" w:rsidP="00E445F7">
      <w:pPr>
        <w:pStyle w:val="tPara"/>
      </w:pPr>
      <w:r w:rsidRPr="0063657F">
        <w:tab/>
      </w:r>
      <w:r w:rsidR="00F773E9">
        <w:t>(b)</w:t>
      </w:r>
      <w:r w:rsidRPr="0063657F">
        <w:tab/>
      </w:r>
      <w:proofErr w:type="gramStart"/>
      <w:r w:rsidRPr="0063657F">
        <w:t>publish</w:t>
      </w:r>
      <w:proofErr w:type="gramEnd"/>
      <w:r w:rsidRPr="0063657F">
        <w:t xml:space="preserve"> the details of the determination on its website.</w:t>
      </w:r>
      <w:r w:rsidR="007A023F" w:rsidRPr="0063657F">
        <w:t xml:space="preserve"> </w:t>
      </w:r>
    </w:p>
    <w:p w:rsidR="00F10732" w:rsidRPr="0063657F" w:rsidRDefault="00F10732" w:rsidP="00F10732">
      <w:pPr>
        <w:pStyle w:val="tMain"/>
      </w:pPr>
      <w:r w:rsidRPr="0063657F">
        <w:tab/>
      </w:r>
      <w:r w:rsidR="00F773E9">
        <w:t>(6)</w:t>
      </w:r>
      <w:r w:rsidRPr="0063657F">
        <w:tab/>
        <w:t>If the Regulator decides to refuse to make a production-adjusted baseline determination, the Regulator must give written notice of the decision to the applicant.</w:t>
      </w:r>
    </w:p>
    <w:p w:rsidR="00F10732" w:rsidRPr="0063657F" w:rsidRDefault="00F10732" w:rsidP="00F10732">
      <w:pPr>
        <w:pStyle w:val="h6Subsec"/>
      </w:pPr>
      <w:r w:rsidRPr="0063657F">
        <w:t>Rounding</w:t>
      </w:r>
    </w:p>
    <w:p w:rsidR="00F10732" w:rsidRPr="0063657F" w:rsidRDefault="00F10732" w:rsidP="00F10732">
      <w:pPr>
        <w:pStyle w:val="tMain"/>
      </w:pPr>
      <w:r w:rsidRPr="0063657F">
        <w:tab/>
      </w:r>
      <w:r w:rsidR="00F773E9">
        <w:t>(7)</w:t>
      </w:r>
      <w:r w:rsidRPr="0063657F">
        <w:tab/>
        <w:t>The baseline emissions number is to be rounded to the nearest whole number (with a number ending in .5 being rounded up).</w:t>
      </w:r>
    </w:p>
    <w:p w:rsidR="00F10732" w:rsidRPr="0063657F" w:rsidRDefault="00F773E9" w:rsidP="00F10732">
      <w:pPr>
        <w:pStyle w:val="h5Section"/>
      </w:pPr>
      <w:bookmarkStart w:id="63" w:name="_Toc431896994"/>
      <w:r>
        <w:t>45</w:t>
      </w:r>
      <w:r w:rsidR="00F10732" w:rsidRPr="0063657F">
        <w:t xml:space="preserve"> Duration of production-adjusted baseline determination</w:t>
      </w:r>
      <w:bookmarkEnd w:id="63"/>
      <w:r w:rsidR="00F10732" w:rsidRPr="0063657F">
        <w:t xml:space="preserve"> </w:t>
      </w:r>
    </w:p>
    <w:p w:rsidR="00F10732" w:rsidRPr="0063657F" w:rsidRDefault="00F10732" w:rsidP="00F10732">
      <w:pPr>
        <w:pStyle w:val="tMain"/>
      </w:pPr>
      <w:r w:rsidRPr="0063657F">
        <w:tab/>
      </w:r>
      <w:r w:rsidR="00F773E9">
        <w:t>(1)</w:t>
      </w:r>
      <w:r w:rsidRPr="0063657F">
        <w:tab/>
        <w:t xml:space="preserve">If a production-adjusted baseline determination is made </w:t>
      </w:r>
      <w:r w:rsidR="0076470C" w:rsidRPr="0063657F">
        <w:t xml:space="preserve">within </w:t>
      </w:r>
      <w:r w:rsidR="00AB4439" w:rsidRPr="0063657F">
        <w:t>2</w:t>
      </w:r>
      <w:r w:rsidR="0076470C" w:rsidRPr="0063657F">
        <w:t xml:space="preserve"> years </w:t>
      </w:r>
      <w:r w:rsidRPr="0063657F">
        <w:t>after the requested start of the determination, it must come into force on the 1 July requested in the application.</w:t>
      </w:r>
    </w:p>
    <w:p w:rsidR="00F10732" w:rsidRPr="0063657F" w:rsidRDefault="00F10732" w:rsidP="00F10732">
      <w:pPr>
        <w:pStyle w:val="tMain"/>
      </w:pPr>
      <w:r w:rsidRPr="0063657F">
        <w:tab/>
      </w:r>
      <w:r w:rsidR="00F773E9">
        <w:t>(2)</w:t>
      </w:r>
      <w:r w:rsidRPr="0063657F">
        <w:tab/>
        <w:t xml:space="preserve">A production-adjusted baseline determination made later than specified in subsection (1) is to come into force from the earliest 1 July possible under subsection </w:t>
      </w:r>
      <w:proofErr w:type="gramStart"/>
      <w:r w:rsidRPr="0063657F">
        <w:t>22XQ(</w:t>
      </w:r>
      <w:proofErr w:type="gramEnd"/>
      <w:r w:rsidRPr="0063657F">
        <w:t>2) of the Act.</w:t>
      </w:r>
    </w:p>
    <w:p w:rsidR="00F10732" w:rsidRPr="0063657F" w:rsidRDefault="00F10732" w:rsidP="00F10732">
      <w:pPr>
        <w:pStyle w:val="tMain"/>
      </w:pPr>
      <w:r w:rsidRPr="0063657F">
        <w:tab/>
      </w:r>
      <w:r w:rsidR="00F773E9">
        <w:t>(3)</w:t>
      </w:r>
      <w:r w:rsidRPr="0063657F">
        <w:tab/>
        <w:t>A production-adjusted baseline determination:</w:t>
      </w:r>
    </w:p>
    <w:p w:rsidR="00F10732" w:rsidRPr="0063657F" w:rsidRDefault="00F10732" w:rsidP="00F10732">
      <w:pPr>
        <w:pStyle w:val="tPara"/>
      </w:pPr>
      <w:r w:rsidRPr="0063657F">
        <w:tab/>
      </w:r>
      <w:r w:rsidR="00F773E9">
        <w:t>(a)</w:t>
      </w:r>
      <w:r w:rsidRPr="0063657F">
        <w:tab/>
      </w:r>
      <w:proofErr w:type="gramStart"/>
      <w:r w:rsidRPr="0063657F">
        <w:t>ceases</w:t>
      </w:r>
      <w:proofErr w:type="gramEnd"/>
      <w:r w:rsidRPr="0063657F">
        <w:t xml:space="preserve"> to be in force from the date when another baseline determination commences in relation to the facility; and</w:t>
      </w:r>
    </w:p>
    <w:p w:rsidR="00F10732" w:rsidRPr="0063657F" w:rsidRDefault="00F10732" w:rsidP="00F10732">
      <w:pPr>
        <w:pStyle w:val="tPara"/>
      </w:pPr>
      <w:r w:rsidRPr="0063657F">
        <w:tab/>
      </w:r>
      <w:r w:rsidR="00F773E9">
        <w:t>(b)</w:t>
      </w:r>
      <w:r w:rsidRPr="0063657F">
        <w:tab/>
      </w:r>
      <w:proofErr w:type="gramStart"/>
      <w:r w:rsidRPr="0063657F">
        <w:t>unless</w:t>
      </w:r>
      <w:proofErr w:type="gramEnd"/>
      <w:r w:rsidRPr="0063657F">
        <w:t xml:space="preserve"> a more recent production-adjusted baseline determination has been made—comes back in force at the expiry of a calculated-emissions baseline determination or a benchmark-emissions baseline determination until replaced by another baseline determination.</w:t>
      </w:r>
    </w:p>
    <w:p w:rsidR="00F10732" w:rsidRPr="0063657F" w:rsidRDefault="00F773E9" w:rsidP="00F10732">
      <w:pPr>
        <w:pStyle w:val="h4Subdiv"/>
      </w:pPr>
      <w:bookmarkStart w:id="64" w:name="_Toc431896995"/>
      <w:r>
        <w:t>Subdivision 6</w:t>
      </w:r>
      <w:r w:rsidR="00F10732" w:rsidRPr="0063657F">
        <w:t xml:space="preserve">— Variation of baseline determination for reduction in </w:t>
      </w:r>
      <w:r w:rsidR="001033B1" w:rsidRPr="0063657F">
        <w:t>emissions intensity</w:t>
      </w:r>
      <w:bookmarkEnd w:id="64"/>
    </w:p>
    <w:p w:rsidR="00F10732" w:rsidRPr="0063657F" w:rsidRDefault="00F773E9" w:rsidP="00F10732">
      <w:pPr>
        <w:pStyle w:val="h5Section"/>
      </w:pPr>
      <w:bookmarkStart w:id="65" w:name="_Toc431896996"/>
      <w:r>
        <w:t>46</w:t>
      </w:r>
      <w:r w:rsidR="00F10732" w:rsidRPr="0063657F">
        <w:t xml:space="preserve"> </w:t>
      </w:r>
      <w:proofErr w:type="gramStart"/>
      <w:r w:rsidR="00F10732" w:rsidRPr="0063657F">
        <w:t>Application</w:t>
      </w:r>
      <w:bookmarkEnd w:id="65"/>
      <w:proofErr w:type="gramEnd"/>
      <w:r w:rsidR="00F10732" w:rsidRPr="0063657F">
        <w:t xml:space="preserve"> </w:t>
      </w:r>
    </w:p>
    <w:p w:rsidR="00F10732" w:rsidRPr="0063657F" w:rsidRDefault="00F10732" w:rsidP="00F10732">
      <w:pPr>
        <w:pStyle w:val="tMain"/>
      </w:pPr>
      <w:r w:rsidRPr="0063657F">
        <w:tab/>
      </w:r>
      <w:r w:rsidR="00F773E9">
        <w:t>(1)</w:t>
      </w:r>
      <w:r w:rsidRPr="0063657F">
        <w:tab/>
        <w:t xml:space="preserve">The responsible emitter for a facility may apply to the Regulator for a variation of a baseline determination which applies to the facility in respect of a financial year if the facility meets the </w:t>
      </w:r>
      <w:r w:rsidR="001033B1" w:rsidRPr="0063657F">
        <w:t>emissions intensity</w:t>
      </w:r>
      <w:r w:rsidRPr="0063657F">
        <w:t xml:space="preserve"> test in respect of that financial year.</w:t>
      </w:r>
    </w:p>
    <w:p w:rsidR="00F10732" w:rsidRPr="0063657F" w:rsidRDefault="00F10732" w:rsidP="00F10732">
      <w:pPr>
        <w:pStyle w:val="tMain"/>
      </w:pPr>
      <w:r w:rsidRPr="0063657F">
        <w:tab/>
      </w:r>
      <w:r w:rsidR="00F773E9">
        <w:t>(2)</w:t>
      </w:r>
      <w:r w:rsidRPr="0063657F">
        <w:tab/>
        <w:t>However, an application may not be made if:</w:t>
      </w:r>
    </w:p>
    <w:p w:rsidR="00F10732" w:rsidRPr="0063657F" w:rsidRDefault="00F10732" w:rsidP="00F10732">
      <w:pPr>
        <w:pStyle w:val="tPara"/>
      </w:pPr>
      <w:r w:rsidRPr="0063657F">
        <w:tab/>
      </w:r>
      <w:r w:rsidR="00F773E9">
        <w:t>(</w:t>
      </w:r>
      <w:proofErr w:type="gramStart"/>
      <w:r w:rsidR="00F773E9">
        <w:t>a</w:t>
      </w:r>
      <w:proofErr w:type="gramEnd"/>
      <w:r w:rsidR="00F773E9">
        <w:t>)</w:t>
      </w:r>
      <w:r w:rsidRPr="0063657F">
        <w:tab/>
        <w:t>both:</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the</w:t>
      </w:r>
      <w:proofErr w:type="gramEnd"/>
      <w:r w:rsidRPr="0063657F">
        <w:t xml:space="preserve"> responsible emitter has also applied for a </w:t>
      </w:r>
      <w:r w:rsidR="005455BF" w:rsidRPr="0063657F">
        <w:t>multi-year</w:t>
      </w:r>
      <w:r w:rsidRPr="0063657F">
        <w:t xml:space="preserve"> period declaration such that the financial year will be the first year of a </w:t>
      </w:r>
      <w:r w:rsidR="00A41939">
        <w:t xml:space="preserve">declared </w:t>
      </w:r>
      <w:r w:rsidRPr="0063657F">
        <w:t>multi-year period; and</w:t>
      </w:r>
    </w:p>
    <w:p w:rsidR="00F10732" w:rsidRPr="0063657F" w:rsidRDefault="00F10732" w:rsidP="00F10732">
      <w:pPr>
        <w:pStyle w:val="tSubpara"/>
      </w:pPr>
      <w:r w:rsidRPr="0063657F">
        <w:tab/>
      </w:r>
      <w:r w:rsidR="00F773E9">
        <w:t>(ii)</w:t>
      </w:r>
      <w:r w:rsidRPr="0063657F">
        <w:tab/>
      </w:r>
      <w:proofErr w:type="gramStart"/>
      <w:r w:rsidRPr="0063657F">
        <w:t>the</w:t>
      </w:r>
      <w:proofErr w:type="gramEnd"/>
      <w:r w:rsidRPr="0063657F">
        <w:t xml:space="preserve"> Regulator has not refused to make a </w:t>
      </w:r>
      <w:r w:rsidR="005455BF" w:rsidRPr="0063657F">
        <w:t>multi-year</w:t>
      </w:r>
      <w:r w:rsidRPr="0063657F">
        <w:t xml:space="preserve"> period declaration; or</w:t>
      </w:r>
    </w:p>
    <w:p w:rsidR="00F10732" w:rsidRPr="0063657F" w:rsidRDefault="00F10732" w:rsidP="0015270A">
      <w:pPr>
        <w:pStyle w:val="tPara"/>
      </w:pPr>
      <w:r w:rsidRPr="0063657F">
        <w:tab/>
      </w:r>
      <w:r w:rsidR="00F773E9">
        <w:t>(b)</w:t>
      </w:r>
      <w:r w:rsidRPr="0063657F">
        <w:tab/>
      </w:r>
      <w:proofErr w:type="gramStart"/>
      <w:r w:rsidRPr="0063657F">
        <w:t>the</w:t>
      </w:r>
      <w:proofErr w:type="gramEnd"/>
      <w:r w:rsidRPr="0063657F">
        <w:t xml:space="preserve"> financial year is the first year o</w:t>
      </w:r>
      <w:r w:rsidR="00990535" w:rsidRPr="0063657F">
        <w:t>f a</w:t>
      </w:r>
      <w:r w:rsidR="007D7001" w:rsidRPr="0063657F">
        <w:t xml:space="preserve"> </w:t>
      </w:r>
      <w:r w:rsidR="00A41939">
        <w:t xml:space="preserve">declared </w:t>
      </w:r>
      <w:r w:rsidR="007D7001" w:rsidRPr="0063657F">
        <w:t>multi-year period; or</w:t>
      </w:r>
    </w:p>
    <w:p w:rsidR="007D7001" w:rsidRPr="0063657F" w:rsidRDefault="007D7001" w:rsidP="007D7001">
      <w:pPr>
        <w:pStyle w:val="tPara"/>
      </w:pPr>
      <w:r w:rsidRPr="0063657F">
        <w:tab/>
      </w:r>
      <w:r w:rsidR="00F773E9">
        <w:t>(c)</w:t>
      </w:r>
      <w:r w:rsidRPr="0063657F">
        <w:tab/>
      </w:r>
      <w:proofErr w:type="gramStart"/>
      <w:r w:rsidRPr="0063657F">
        <w:t>a</w:t>
      </w:r>
      <w:proofErr w:type="gramEnd"/>
      <w:r w:rsidRPr="0063657F">
        <w:t xml:space="preserve"> landfill-benchmark baseline determination applies to the facility in respect of the financial year the subject of the application.</w:t>
      </w:r>
    </w:p>
    <w:p w:rsidR="00F10732" w:rsidRPr="0063657F" w:rsidRDefault="00F10732" w:rsidP="00F10732">
      <w:pPr>
        <w:pStyle w:val="tMain"/>
      </w:pPr>
      <w:r w:rsidRPr="0063657F">
        <w:tab/>
      </w:r>
      <w:r w:rsidR="00F773E9">
        <w:t>(3)</w:t>
      </w:r>
      <w:r w:rsidRPr="0063657F">
        <w:tab/>
        <w:t>An application under subsection (1) must:</w:t>
      </w:r>
    </w:p>
    <w:p w:rsidR="00F10732" w:rsidRPr="0063657F" w:rsidRDefault="00F10732" w:rsidP="00F10732">
      <w:pPr>
        <w:pStyle w:val="tPara"/>
      </w:pPr>
      <w:r w:rsidRPr="0063657F">
        <w:tab/>
      </w:r>
      <w:r w:rsidR="00F773E9">
        <w:t>(a)</w:t>
      </w:r>
      <w:r w:rsidRPr="0063657F">
        <w:tab/>
      </w:r>
      <w:proofErr w:type="gramStart"/>
      <w:r w:rsidRPr="0063657F">
        <w:t>be</w:t>
      </w:r>
      <w:proofErr w:type="gramEnd"/>
      <w:r w:rsidRPr="0063657F">
        <w:t xml:space="preserve"> given in a manner and form approved, in writing, by the Regulator; and</w:t>
      </w:r>
    </w:p>
    <w:p w:rsidR="00F10732" w:rsidRPr="0063657F" w:rsidRDefault="00F10732" w:rsidP="00F10732">
      <w:pPr>
        <w:pStyle w:val="tPara"/>
      </w:pPr>
      <w:r w:rsidRPr="0063657F">
        <w:lastRenderedPageBreak/>
        <w:tab/>
      </w:r>
      <w:r w:rsidR="00F773E9">
        <w:t>(b)</w:t>
      </w:r>
      <w:r w:rsidRPr="0063657F">
        <w:tab/>
      </w:r>
      <w:proofErr w:type="gramStart"/>
      <w:r w:rsidRPr="0063657F">
        <w:t>specify</w:t>
      </w:r>
      <w:proofErr w:type="gramEnd"/>
      <w:r w:rsidRPr="0063657F">
        <w:t xml:space="preserve"> the financial year for which the baseline emissions number is to be varied; and</w:t>
      </w:r>
    </w:p>
    <w:p w:rsidR="00F10732" w:rsidRPr="0063657F" w:rsidRDefault="00F10732" w:rsidP="00F10732">
      <w:pPr>
        <w:pStyle w:val="tPara"/>
      </w:pPr>
      <w:r w:rsidRPr="0063657F">
        <w:tab/>
      </w:r>
      <w:r w:rsidR="00F773E9">
        <w:t>(c)</w:t>
      </w:r>
      <w:r w:rsidRPr="0063657F">
        <w:tab/>
      </w:r>
      <w:proofErr w:type="gramStart"/>
      <w:r w:rsidRPr="0063657F">
        <w:t>include</w:t>
      </w:r>
      <w:proofErr w:type="gramEnd"/>
      <w:r w:rsidRPr="0063657F">
        <w:t xml:space="preserve"> in</w:t>
      </w:r>
      <w:r w:rsidR="00D84C37" w:rsidRPr="0063657F">
        <w:t>formation required by section 48</w:t>
      </w:r>
      <w:r w:rsidRPr="0063657F">
        <w:t>; and</w:t>
      </w:r>
    </w:p>
    <w:p w:rsidR="00F10732" w:rsidRPr="0063657F" w:rsidRDefault="00F10732" w:rsidP="00F10732">
      <w:pPr>
        <w:pStyle w:val="tPara"/>
      </w:pPr>
      <w:r w:rsidRPr="0063657F">
        <w:tab/>
      </w:r>
      <w:r w:rsidR="00F773E9">
        <w:t>(d)</w:t>
      </w:r>
      <w:r w:rsidRPr="0063657F">
        <w:tab/>
      </w:r>
      <w:proofErr w:type="gramStart"/>
      <w:r w:rsidRPr="0063657F">
        <w:t>be</w:t>
      </w:r>
      <w:proofErr w:type="gramEnd"/>
      <w:r w:rsidRPr="0063657F">
        <w:t xml:space="preserve"> accompanied by an audit repor</w:t>
      </w:r>
      <w:r w:rsidR="00D84C37" w:rsidRPr="0063657F">
        <w:t>t which complies with section 49</w:t>
      </w:r>
      <w:r w:rsidRPr="0063657F">
        <w:t>.</w:t>
      </w:r>
    </w:p>
    <w:p w:rsidR="00F10732" w:rsidRPr="0063657F" w:rsidRDefault="00F10732" w:rsidP="00F10732">
      <w:pPr>
        <w:pStyle w:val="tMain"/>
      </w:pPr>
      <w:r w:rsidRPr="0063657F">
        <w:tab/>
      </w:r>
      <w:r w:rsidR="00F773E9">
        <w:t>(4)</w:t>
      </w:r>
      <w:r w:rsidR="00EC6367" w:rsidRPr="0063657F">
        <w:tab/>
        <w:t>Unless subsection (6</w:t>
      </w:r>
      <w:r w:rsidRPr="0063657F">
        <w:t xml:space="preserve">) </w:t>
      </w:r>
      <w:r w:rsidR="006241D9" w:rsidRPr="0063657F">
        <w:t xml:space="preserve">or (7) </w:t>
      </w:r>
      <w:r w:rsidRPr="0063657F">
        <w:t>applies, an application under subsection (1) must be given to the Regulator no later than the first 31 October after the end of the financial year.</w:t>
      </w:r>
    </w:p>
    <w:p w:rsidR="00F10732" w:rsidRPr="0063657F" w:rsidRDefault="00F10732" w:rsidP="00F10732">
      <w:pPr>
        <w:pStyle w:val="tMain"/>
      </w:pPr>
      <w:r w:rsidRPr="0063657F">
        <w:tab/>
      </w:r>
      <w:r w:rsidR="00F773E9">
        <w:t>(5)</w:t>
      </w:r>
      <w:r w:rsidRPr="0063657F">
        <w:tab/>
        <w:t>The responsible emitter for the facility may, by written notice to the Regulator, withdraw an application at any time before the Regulator makes a decision on the application.</w:t>
      </w:r>
    </w:p>
    <w:p w:rsidR="00F10732" w:rsidRPr="0063657F" w:rsidRDefault="00F10732" w:rsidP="00F10732">
      <w:pPr>
        <w:pStyle w:val="tMain"/>
      </w:pPr>
      <w:r w:rsidRPr="0063657F">
        <w:tab/>
      </w:r>
      <w:r w:rsidR="00F773E9">
        <w:t>(6)</w:t>
      </w:r>
      <w:r w:rsidRPr="0063657F">
        <w:tab/>
        <w:t>If:</w:t>
      </w:r>
    </w:p>
    <w:p w:rsidR="00F10732" w:rsidRPr="0063657F" w:rsidRDefault="00F10732" w:rsidP="00F10732">
      <w:pPr>
        <w:pStyle w:val="tPara"/>
      </w:pPr>
      <w:r w:rsidRPr="0063657F">
        <w:tab/>
      </w:r>
      <w:r w:rsidR="00F773E9">
        <w:t>(a)</w:t>
      </w:r>
      <w:r w:rsidRPr="0063657F">
        <w:tab/>
      </w:r>
      <w:proofErr w:type="gramStart"/>
      <w:r w:rsidRPr="0063657F">
        <w:t>an</w:t>
      </w:r>
      <w:proofErr w:type="gramEnd"/>
      <w:r w:rsidRPr="0063657F">
        <w:t xml:space="preserve"> application w</w:t>
      </w:r>
      <w:r w:rsidR="00EC6367" w:rsidRPr="0063657F">
        <w:t>hich complies with subsection (3</w:t>
      </w:r>
      <w:r w:rsidRPr="0063657F">
        <w:t>) is made within the</w:t>
      </w:r>
      <w:r w:rsidR="00EC6367" w:rsidRPr="0063657F">
        <w:t xml:space="preserve"> period allowed by subsection (4</w:t>
      </w:r>
      <w:r w:rsidRPr="0063657F">
        <w:t>); and</w:t>
      </w:r>
    </w:p>
    <w:p w:rsidR="00F10732" w:rsidRPr="0063657F" w:rsidRDefault="00F10732" w:rsidP="00F10732">
      <w:pPr>
        <w:pStyle w:val="tPara"/>
      </w:pPr>
      <w:r w:rsidRPr="0063657F">
        <w:tab/>
      </w:r>
      <w:r w:rsidR="00F773E9">
        <w:t>(b)</w:t>
      </w:r>
      <w:r w:rsidRPr="0063657F">
        <w:tab/>
      </w:r>
      <w:proofErr w:type="gramStart"/>
      <w:r w:rsidRPr="0063657F">
        <w:t>the</w:t>
      </w:r>
      <w:proofErr w:type="gramEnd"/>
      <w:r w:rsidRPr="0063657F">
        <w:t xml:space="preserve"> Regulator has refused to vary the baseline determination the subject of the application; and</w:t>
      </w:r>
    </w:p>
    <w:p w:rsidR="00F10732" w:rsidRPr="0063657F" w:rsidRDefault="00F10732" w:rsidP="00F10732">
      <w:pPr>
        <w:pStyle w:val="tPara"/>
      </w:pPr>
      <w:r w:rsidRPr="0063657F">
        <w:tab/>
      </w:r>
      <w:r w:rsidR="00F773E9">
        <w:t>(c)</w:t>
      </w:r>
      <w:r w:rsidRPr="0063657F">
        <w:tab/>
      </w:r>
      <w:proofErr w:type="gramStart"/>
      <w:r w:rsidRPr="0063657F">
        <w:t>a</w:t>
      </w:r>
      <w:proofErr w:type="gramEnd"/>
      <w:r w:rsidRPr="0063657F">
        <w:t xml:space="preserve"> new application would not comply with subsection (4);</w:t>
      </w:r>
    </w:p>
    <w:p w:rsidR="00F10732" w:rsidRPr="0063657F" w:rsidRDefault="00F10732" w:rsidP="00C50DD9">
      <w:pPr>
        <w:pStyle w:val="tMain"/>
        <w:spacing w:before="40"/>
      </w:pPr>
      <w:r w:rsidRPr="0063657F">
        <w:tab/>
      </w:r>
      <w:r w:rsidRPr="0063657F">
        <w:tab/>
      </w:r>
      <w:proofErr w:type="gramStart"/>
      <w:r w:rsidRPr="0063657F">
        <w:t>the</w:t>
      </w:r>
      <w:proofErr w:type="gramEnd"/>
      <w:r w:rsidRPr="0063657F">
        <w:t xml:space="preserve"> Regulator may accept a new application made no later than 1 February after the end of the financial year. </w:t>
      </w:r>
    </w:p>
    <w:p w:rsidR="005A50C8" w:rsidRPr="0063657F" w:rsidRDefault="005A50C8" w:rsidP="005A50C8">
      <w:pPr>
        <w:pStyle w:val="tMain"/>
      </w:pPr>
      <w:r w:rsidRPr="0063657F">
        <w:tab/>
      </w:r>
      <w:r w:rsidR="00F773E9">
        <w:t>(7)</w:t>
      </w:r>
      <w:r w:rsidRPr="0063657F">
        <w:tab/>
        <w:t xml:space="preserve">If the responsible emitter provides reasons why it was impractical to meet the 31 October deadline, the Regulator may accept an application made no later than 1 February after the end of the financial year. </w:t>
      </w:r>
    </w:p>
    <w:p w:rsidR="00F10732" w:rsidRPr="0063657F" w:rsidRDefault="00F773E9" w:rsidP="00F10732">
      <w:pPr>
        <w:pStyle w:val="h5Section"/>
      </w:pPr>
      <w:bookmarkStart w:id="66" w:name="_Toc431896997"/>
      <w:r>
        <w:t>47</w:t>
      </w:r>
      <w:r w:rsidR="00F10732" w:rsidRPr="0063657F">
        <w:t xml:space="preserve"> </w:t>
      </w:r>
      <w:r w:rsidR="001033B1" w:rsidRPr="0063657F">
        <w:t>Emissions intensity</w:t>
      </w:r>
      <w:r w:rsidR="00F10732" w:rsidRPr="0063657F">
        <w:t xml:space="preserve"> test</w:t>
      </w:r>
      <w:bookmarkEnd w:id="66"/>
    </w:p>
    <w:p w:rsidR="00F10732" w:rsidRPr="0063657F" w:rsidRDefault="00F10732" w:rsidP="00F10732">
      <w:pPr>
        <w:pStyle w:val="tMain"/>
      </w:pPr>
      <w:r w:rsidRPr="0063657F">
        <w:tab/>
      </w:r>
      <w:r w:rsidR="00F773E9">
        <w:t>(1)</w:t>
      </w:r>
      <w:r w:rsidRPr="0063657F">
        <w:tab/>
        <w:t>A facility</w:t>
      </w:r>
      <w:r w:rsidR="002417CF" w:rsidRPr="0063657F">
        <w:t>,</w:t>
      </w:r>
      <w:r w:rsidRPr="0063657F">
        <w:t xml:space="preserve"> other than a landfill facility </w:t>
      </w:r>
      <w:r w:rsidR="00564BE6" w:rsidRPr="0063657F">
        <w:t xml:space="preserve">or benchmark </w:t>
      </w:r>
      <w:proofErr w:type="gramStart"/>
      <w:r w:rsidR="00564BE6" w:rsidRPr="0063657F">
        <w:t>facility</w:t>
      </w:r>
      <w:r w:rsidR="002417CF" w:rsidRPr="0063657F">
        <w:t>,</w:t>
      </w:r>
      <w:proofErr w:type="gramEnd"/>
      <w:r w:rsidR="00564BE6" w:rsidRPr="0063657F">
        <w:t xml:space="preserve"> </w:t>
      </w:r>
      <w:r w:rsidRPr="0063657F">
        <w:t xml:space="preserve">passes the </w:t>
      </w:r>
      <w:r w:rsidR="001033B1" w:rsidRPr="0063657F">
        <w:t>emissions intensity</w:t>
      </w:r>
      <w:r w:rsidRPr="0063657F">
        <w:t xml:space="preserve"> test in respect of a financial year</w:t>
      </w:r>
      <w:r w:rsidR="00A02EB2" w:rsidRPr="0063657F">
        <w:t xml:space="preserve"> if</w:t>
      </w:r>
      <w:r w:rsidRPr="0063657F">
        <w:t>:</w:t>
      </w:r>
    </w:p>
    <w:p w:rsidR="00F10732" w:rsidRPr="0063657F" w:rsidRDefault="00F10732" w:rsidP="00564BE6">
      <w:pPr>
        <w:pStyle w:val="tPara"/>
      </w:pPr>
      <w:r w:rsidRPr="0063657F">
        <w:tab/>
      </w:r>
      <w:r w:rsidR="00F773E9">
        <w:t>(a)</w:t>
      </w:r>
      <w:r w:rsidRPr="0063657F">
        <w:tab/>
        <w:t>if the facility has only one production variable identified in accordance with section</w:t>
      </w:r>
      <w:r w:rsidR="000E1100" w:rsidRPr="0063657F">
        <w:t> </w:t>
      </w:r>
      <w:r w:rsidRPr="0063657F">
        <w:t xml:space="preserve">5—the </w:t>
      </w:r>
      <w:r w:rsidR="001033B1" w:rsidRPr="0063657F">
        <w:t>emissions intensity</w:t>
      </w:r>
      <w:r w:rsidRPr="0063657F">
        <w:t xml:space="preserve"> of the production variable in </w:t>
      </w:r>
      <w:r w:rsidR="00B1764A" w:rsidRPr="0063657F">
        <w:t xml:space="preserve">the </w:t>
      </w:r>
      <w:r w:rsidRPr="0063657F">
        <w:t xml:space="preserve">financial year the subject of the application is lower than the </w:t>
      </w:r>
      <w:r w:rsidR="001033B1" w:rsidRPr="0063657F">
        <w:t>emissions intensity</w:t>
      </w:r>
      <w:r w:rsidRPr="0063657F">
        <w:t xml:space="preserve"> of the production variable</w:t>
      </w:r>
      <w:r w:rsidR="00564BE6" w:rsidRPr="0063657F">
        <w:t xml:space="preserve"> </w:t>
      </w:r>
      <w:r w:rsidRPr="0063657F">
        <w:t>in the most recent baseline intensity comparison year</w:t>
      </w:r>
      <w:r w:rsidR="000E1100" w:rsidRPr="0063657F">
        <w:t>; and</w:t>
      </w:r>
    </w:p>
    <w:p w:rsidR="00F10732" w:rsidRPr="0063657F" w:rsidRDefault="00F10732" w:rsidP="00F10732">
      <w:pPr>
        <w:pStyle w:val="tPara"/>
      </w:pPr>
      <w:r w:rsidRPr="0063657F">
        <w:tab/>
      </w:r>
      <w:r w:rsidR="00F773E9">
        <w:t>(b)</w:t>
      </w:r>
      <w:r w:rsidRPr="0063657F">
        <w:tab/>
      </w:r>
      <w:proofErr w:type="gramStart"/>
      <w:r w:rsidRPr="0063657F">
        <w:t>if</w:t>
      </w:r>
      <w:proofErr w:type="gramEnd"/>
      <w:r w:rsidRPr="0063657F">
        <w:t xml:space="preserve"> the facility has </w:t>
      </w:r>
      <w:r w:rsidR="00EC6367" w:rsidRPr="0063657F">
        <w:t>2</w:t>
      </w:r>
      <w:r w:rsidRPr="0063657F">
        <w:t xml:space="preserve"> or more production variables identified in accordance with section 5—the result of the following formula is positive:</w:t>
      </w:r>
    </w:p>
    <w:p w:rsidR="00F10732" w:rsidRPr="0063657F" w:rsidRDefault="000F0E74" w:rsidP="00F10732">
      <w:pPr>
        <w:pStyle w:val="tMain"/>
      </w:pPr>
      <m:oMathPara>
        <m:oMathParaPr>
          <m:jc m:val="left"/>
        </m:oMathParaPr>
        <m:oMath>
          <m:nary>
            <m:naryPr>
              <m:chr m:val="∑"/>
              <m:limLoc m:val="undOvr"/>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 xml:space="preserve"> (EI</m:t>
                  </m:r>
                </m:e>
                <m:sub>
                  <m:r>
                    <w:rPr>
                      <w:rFonts w:ascii="Cambria Math" w:hAnsi="Cambria Math"/>
                    </w:rPr>
                    <m:t>b,p</m:t>
                  </m:r>
                </m:sub>
              </m:sSub>
              <m:r>
                <w:rPr>
                  <w:rFonts w:ascii="Cambria Math" w:hAnsi="Cambria Math"/>
                </w:rPr>
                <m:t>-</m:t>
              </m:r>
              <m:sSub>
                <m:sSubPr>
                  <m:ctrlPr>
                    <w:rPr>
                      <w:rFonts w:ascii="Cambria Math" w:hAnsi="Cambria Math"/>
                      <w:i/>
                    </w:rPr>
                  </m:ctrlPr>
                </m:sSubPr>
                <m:e>
                  <m:r>
                    <w:rPr>
                      <w:rFonts w:ascii="Cambria Math" w:hAnsi="Cambria Math"/>
                    </w:rPr>
                    <m:t xml:space="preserve"> EI</m:t>
                  </m:r>
                </m:e>
                <m:sub>
                  <m:r>
                    <w:rPr>
                      <w:rFonts w:ascii="Cambria Math" w:hAnsi="Cambria Math"/>
                    </w:rPr>
                    <m:t>f,p</m:t>
                  </m:r>
                </m:sub>
              </m:sSub>
              <m:r>
                <w:rPr>
                  <w:rFonts w:ascii="Cambria Math" w:hAnsi="Cambria Math"/>
                </w:rPr>
                <m:t xml:space="preserve">)  ×  </m:t>
              </m:r>
              <m:sSub>
                <m:sSubPr>
                  <m:ctrlPr>
                    <w:rPr>
                      <w:rFonts w:ascii="Cambria Math" w:hAnsi="Cambria Math"/>
                      <w:i/>
                    </w:rPr>
                  </m:ctrlPr>
                </m:sSubPr>
                <m:e>
                  <m:r>
                    <w:rPr>
                      <w:rFonts w:ascii="Cambria Math" w:hAnsi="Cambria Math"/>
                    </w:rPr>
                    <m:t xml:space="preserve"> Q</m:t>
                  </m:r>
                </m:e>
                <m:sub>
                  <m:r>
                    <w:rPr>
                      <w:rFonts w:ascii="Cambria Math" w:hAnsi="Cambria Math"/>
                    </w:rPr>
                    <m:t>f,p</m:t>
                  </m:r>
                </m:sub>
              </m:sSub>
            </m:e>
          </m:nary>
          <m:r>
            <w:rPr>
              <w:rFonts w:ascii="Cambria Math" w:hAnsi="Cambria Math"/>
            </w:rPr>
            <m:t xml:space="preserve"> </m:t>
          </m:r>
        </m:oMath>
      </m:oMathPara>
    </w:p>
    <w:p w:rsidR="00F10732" w:rsidRPr="0063657F" w:rsidRDefault="00F10732" w:rsidP="00F10732">
      <w:pPr>
        <w:pStyle w:val="tDefn"/>
      </w:pPr>
      <w:proofErr w:type="gramStart"/>
      <w:r w:rsidRPr="0063657F">
        <w:t>where</w:t>
      </w:r>
      <w:proofErr w:type="gramEnd"/>
      <w:r w:rsidRPr="0063657F">
        <w:t>:</w:t>
      </w:r>
    </w:p>
    <w:p w:rsidR="00F10732" w:rsidRPr="0063657F" w:rsidRDefault="00F10732" w:rsidP="00564BE6">
      <w:pPr>
        <w:pStyle w:val="tDefn"/>
      </w:pPr>
      <w:proofErr w:type="spellStart"/>
      <w:r w:rsidRPr="0063657F">
        <w:rPr>
          <w:b/>
          <w:i/>
        </w:rPr>
        <w:t>EI</w:t>
      </w:r>
      <w:r w:rsidRPr="0063657F">
        <w:rPr>
          <w:b/>
          <w:i/>
          <w:vertAlign w:val="subscript"/>
        </w:rPr>
        <w:t>b</w:t>
      </w:r>
      <w:proofErr w:type="gramStart"/>
      <w:r w:rsidRPr="0063657F">
        <w:rPr>
          <w:b/>
          <w:i/>
          <w:vertAlign w:val="subscript"/>
        </w:rPr>
        <w:t>,p</w:t>
      </w:r>
      <w:proofErr w:type="spellEnd"/>
      <w:proofErr w:type="gramEnd"/>
      <w:r w:rsidRPr="0063657F">
        <w:t xml:space="preserve"> is the </w:t>
      </w:r>
      <w:r w:rsidR="001033B1" w:rsidRPr="0063657F">
        <w:t>emissions intensity</w:t>
      </w:r>
      <w:r w:rsidRPr="0063657F">
        <w:t xml:space="preserve"> of the production variable</w:t>
      </w:r>
      <w:r w:rsidR="00564BE6" w:rsidRPr="0063657F">
        <w:t xml:space="preserve"> (p) </w:t>
      </w:r>
      <w:r w:rsidRPr="0063657F">
        <w:t>in the most recent baseline intensity comparison year (b).</w:t>
      </w:r>
    </w:p>
    <w:p w:rsidR="00F10732" w:rsidRPr="0063657F" w:rsidRDefault="00F10732" w:rsidP="00F10732">
      <w:pPr>
        <w:pStyle w:val="tDefn"/>
      </w:pPr>
      <w:proofErr w:type="spellStart"/>
      <w:r w:rsidRPr="0063657F">
        <w:rPr>
          <w:b/>
          <w:i/>
        </w:rPr>
        <w:t>EI</w:t>
      </w:r>
      <w:r w:rsidRPr="0063657F">
        <w:rPr>
          <w:b/>
          <w:i/>
          <w:vertAlign w:val="subscript"/>
        </w:rPr>
        <w:t>f</w:t>
      </w:r>
      <w:proofErr w:type="gramStart"/>
      <w:r w:rsidRPr="0063657F">
        <w:rPr>
          <w:b/>
          <w:i/>
          <w:vertAlign w:val="subscript"/>
        </w:rPr>
        <w:t>,p</w:t>
      </w:r>
      <w:proofErr w:type="spellEnd"/>
      <w:proofErr w:type="gramEnd"/>
      <w:r w:rsidRPr="0063657F">
        <w:t xml:space="preserve"> is </w:t>
      </w:r>
      <w:r w:rsidR="001033B1" w:rsidRPr="0063657F">
        <w:t>emissions intensity</w:t>
      </w:r>
      <w:r w:rsidRPr="0063657F">
        <w:t xml:space="preserve"> of the production variable</w:t>
      </w:r>
      <w:r w:rsidR="00EC6367" w:rsidRPr="0063657F">
        <w:t xml:space="preserve"> (p)</w:t>
      </w:r>
      <w:r w:rsidRPr="0063657F">
        <w:t xml:space="preserve"> in the financial year the subject of the application (f).</w:t>
      </w:r>
    </w:p>
    <w:p w:rsidR="00F10732" w:rsidRPr="0063657F" w:rsidRDefault="00F10732" w:rsidP="00F10732">
      <w:pPr>
        <w:pStyle w:val="tDefn"/>
      </w:pPr>
      <w:proofErr w:type="spellStart"/>
      <w:r w:rsidRPr="0063657F">
        <w:rPr>
          <w:b/>
          <w:i/>
        </w:rPr>
        <w:t>Q</w:t>
      </w:r>
      <w:r w:rsidRPr="0063657F">
        <w:rPr>
          <w:b/>
          <w:i/>
          <w:vertAlign w:val="subscript"/>
        </w:rPr>
        <w:t>f</w:t>
      </w:r>
      <w:proofErr w:type="gramStart"/>
      <w:r w:rsidRPr="0063657F">
        <w:rPr>
          <w:b/>
          <w:i/>
          <w:vertAlign w:val="subscript"/>
        </w:rPr>
        <w:t>,p</w:t>
      </w:r>
      <w:proofErr w:type="spellEnd"/>
      <w:proofErr w:type="gramEnd"/>
      <w:r w:rsidRPr="0063657F">
        <w:t xml:space="preserve"> is the </w:t>
      </w:r>
      <w:r w:rsidR="00EC1496" w:rsidRPr="0063657F">
        <w:t>quantity</w:t>
      </w:r>
      <w:r w:rsidRPr="0063657F">
        <w:t xml:space="preserve"> of the production variable (p) produced in the financial year the subject of the application (f).</w:t>
      </w:r>
    </w:p>
    <w:p w:rsidR="00564BE6" w:rsidRPr="0063657F" w:rsidRDefault="00564BE6" w:rsidP="00564BE6">
      <w:pPr>
        <w:pStyle w:val="tMain"/>
      </w:pPr>
      <w:r w:rsidRPr="0063657F">
        <w:tab/>
      </w:r>
      <w:r w:rsidR="00F773E9">
        <w:t>(2)</w:t>
      </w:r>
      <w:r w:rsidRPr="0063657F">
        <w:tab/>
        <w:t xml:space="preserve">A benchmark facility passes the </w:t>
      </w:r>
      <w:r w:rsidR="001033B1" w:rsidRPr="0063657F">
        <w:t>emissions intensity</w:t>
      </w:r>
      <w:r w:rsidRPr="0063657F">
        <w:t xml:space="preserve"> test in respect of a financial year:</w:t>
      </w:r>
    </w:p>
    <w:p w:rsidR="00564BE6" w:rsidRPr="0063657F" w:rsidRDefault="00564BE6" w:rsidP="00564BE6">
      <w:pPr>
        <w:pStyle w:val="tPara"/>
      </w:pPr>
      <w:r w:rsidRPr="0063657F">
        <w:tab/>
      </w:r>
      <w:r w:rsidR="00F773E9">
        <w:t>(a)</w:t>
      </w:r>
      <w:r w:rsidRPr="0063657F">
        <w:tab/>
        <w:t xml:space="preserve">if the facility has only one production variable for which there is a relevant benchmark </w:t>
      </w:r>
      <w:r w:rsidR="001033B1" w:rsidRPr="0063657F">
        <w:t>emissions intensity</w:t>
      </w:r>
      <w:r w:rsidRPr="0063657F">
        <w:t xml:space="preserve">—the </w:t>
      </w:r>
      <w:r w:rsidR="001033B1" w:rsidRPr="0063657F">
        <w:t>emissions intensity</w:t>
      </w:r>
      <w:r w:rsidRPr="0063657F">
        <w:t xml:space="preserve"> of the production variable in</w:t>
      </w:r>
      <w:r w:rsidR="00B1764A" w:rsidRPr="0063657F">
        <w:t xml:space="preserve"> the</w:t>
      </w:r>
      <w:r w:rsidRPr="0063657F">
        <w:t xml:space="preserve"> financial year the subject of the application is lower than the </w:t>
      </w:r>
      <w:r w:rsidR="002417CF" w:rsidRPr="0063657F">
        <w:t xml:space="preserve">relevant benchmark </w:t>
      </w:r>
      <w:r w:rsidR="001033B1" w:rsidRPr="0063657F">
        <w:t>emissions intensity</w:t>
      </w:r>
      <w:r w:rsidRPr="0063657F">
        <w:t>; and</w:t>
      </w:r>
    </w:p>
    <w:p w:rsidR="00564BE6" w:rsidRPr="0063657F" w:rsidRDefault="00564BE6" w:rsidP="00564BE6">
      <w:pPr>
        <w:pStyle w:val="tPara"/>
      </w:pPr>
      <w:r w:rsidRPr="0063657F">
        <w:lastRenderedPageBreak/>
        <w:tab/>
      </w:r>
      <w:r w:rsidR="00F773E9">
        <w:t>(b)</w:t>
      </w:r>
      <w:r w:rsidRPr="0063657F">
        <w:tab/>
      </w:r>
      <w:proofErr w:type="gramStart"/>
      <w:r w:rsidRPr="0063657F">
        <w:t>if</w:t>
      </w:r>
      <w:proofErr w:type="gramEnd"/>
      <w:r w:rsidRPr="0063657F">
        <w:t xml:space="preserve"> the facility has 2 or more production variables </w:t>
      </w:r>
      <w:r w:rsidR="002417CF" w:rsidRPr="0063657F">
        <w:t xml:space="preserve">for which there is a relevant benchmark </w:t>
      </w:r>
      <w:r w:rsidR="001033B1" w:rsidRPr="0063657F">
        <w:t>emissions intensity</w:t>
      </w:r>
      <w:r w:rsidRPr="0063657F">
        <w:t>—the result of the following formula is positive:</w:t>
      </w:r>
    </w:p>
    <w:p w:rsidR="00564BE6" w:rsidRPr="0063657F" w:rsidRDefault="000F0E74" w:rsidP="00564BE6">
      <w:pPr>
        <w:pStyle w:val="tMain"/>
      </w:pPr>
      <m:oMathPara>
        <m:oMathParaPr>
          <m:jc m:val="left"/>
        </m:oMathParaPr>
        <m:oMath>
          <m:nary>
            <m:naryPr>
              <m:chr m:val="∑"/>
              <m:limLoc m:val="undOvr"/>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 xml:space="preserve"> (EI</m:t>
                  </m:r>
                </m:e>
                <m:sub>
                  <m:r>
                    <w:rPr>
                      <w:rFonts w:ascii="Cambria Math" w:hAnsi="Cambria Math"/>
                    </w:rPr>
                    <m:t>r,p</m:t>
                  </m:r>
                </m:sub>
              </m:sSub>
              <m:r>
                <w:rPr>
                  <w:rFonts w:ascii="Cambria Math" w:hAnsi="Cambria Math"/>
                </w:rPr>
                <m:t>-</m:t>
              </m:r>
              <m:sSub>
                <m:sSubPr>
                  <m:ctrlPr>
                    <w:rPr>
                      <w:rFonts w:ascii="Cambria Math" w:hAnsi="Cambria Math"/>
                      <w:i/>
                    </w:rPr>
                  </m:ctrlPr>
                </m:sSubPr>
                <m:e>
                  <m:r>
                    <w:rPr>
                      <w:rFonts w:ascii="Cambria Math" w:hAnsi="Cambria Math"/>
                    </w:rPr>
                    <m:t xml:space="preserve"> EI</m:t>
                  </m:r>
                </m:e>
                <m:sub>
                  <m:r>
                    <w:rPr>
                      <w:rFonts w:ascii="Cambria Math" w:hAnsi="Cambria Math"/>
                    </w:rPr>
                    <m:t>f,p</m:t>
                  </m:r>
                </m:sub>
              </m:sSub>
              <m:r>
                <w:rPr>
                  <w:rFonts w:ascii="Cambria Math" w:hAnsi="Cambria Math"/>
                </w:rPr>
                <m:t xml:space="preserve">)  ×  </m:t>
              </m:r>
              <m:sSub>
                <m:sSubPr>
                  <m:ctrlPr>
                    <w:rPr>
                      <w:rFonts w:ascii="Cambria Math" w:hAnsi="Cambria Math"/>
                      <w:i/>
                    </w:rPr>
                  </m:ctrlPr>
                </m:sSubPr>
                <m:e>
                  <m:r>
                    <w:rPr>
                      <w:rFonts w:ascii="Cambria Math" w:hAnsi="Cambria Math"/>
                    </w:rPr>
                    <m:t xml:space="preserve"> Q</m:t>
                  </m:r>
                </m:e>
                <m:sub>
                  <m:r>
                    <w:rPr>
                      <w:rFonts w:ascii="Cambria Math" w:hAnsi="Cambria Math"/>
                    </w:rPr>
                    <m:t>f,p</m:t>
                  </m:r>
                </m:sub>
              </m:sSub>
            </m:e>
          </m:nary>
          <m:r>
            <w:rPr>
              <w:rFonts w:ascii="Cambria Math" w:hAnsi="Cambria Math"/>
            </w:rPr>
            <m:t xml:space="preserve"> </m:t>
          </m:r>
        </m:oMath>
      </m:oMathPara>
    </w:p>
    <w:p w:rsidR="00564BE6" w:rsidRPr="0063657F" w:rsidRDefault="00564BE6" w:rsidP="00564BE6">
      <w:pPr>
        <w:pStyle w:val="tDefn"/>
      </w:pPr>
      <w:proofErr w:type="gramStart"/>
      <w:r w:rsidRPr="0063657F">
        <w:t>where</w:t>
      </w:r>
      <w:proofErr w:type="gramEnd"/>
      <w:r w:rsidRPr="0063657F">
        <w:t>:</w:t>
      </w:r>
    </w:p>
    <w:p w:rsidR="00564BE6" w:rsidRPr="0063657F" w:rsidRDefault="00564BE6" w:rsidP="00564BE6">
      <w:pPr>
        <w:pStyle w:val="tDefn"/>
      </w:pPr>
      <w:proofErr w:type="spellStart"/>
      <w:r w:rsidRPr="0063657F">
        <w:rPr>
          <w:b/>
          <w:i/>
        </w:rPr>
        <w:t>EI</w:t>
      </w:r>
      <w:r w:rsidR="002417CF" w:rsidRPr="0063657F">
        <w:rPr>
          <w:b/>
          <w:i/>
          <w:vertAlign w:val="subscript"/>
        </w:rPr>
        <w:t>r</w:t>
      </w:r>
      <w:proofErr w:type="gramStart"/>
      <w:r w:rsidRPr="0063657F">
        <w:rPr>
          <w:b/>
          <w:i/>
          <w:vertAlign w:val="subscript"/>
        </w:rPr>
        <w:t>,p</w:t>
      </w:r>
      <w:proofErr w:type="spellEnd"/>
      <w:proofErr w:type="gramEnd"/>
      <w:r w:rsidRPr="0063657F">
        <w:t xml:space="preserve"> is the </w:t>
      </w:r>
      <w:r w:rsidR="002417CF" w:rsidRPr="0063657F">
        <w:t xml:space="preserve">relevant benchmark </w:t>
      </w:r>
      <w:r w:rsidR="001033B1" w:rsidRPr="0063657F">
        <w:t>emissions intensity</w:t>
      </w:r>
      <w:r w:rsidR="002417CF" w:rsidRPr="0063657F">
        <w:t xml:space="preserve"> (r)</w:t>
      </w:r>
      <w:r w:rsidRPr="0063657F">
        <w:t xml:space="preserve"> of the production variable (p)</w:t>
      </w:r>
    </w:p>
    <w:p w:rsidR="00564BE6" w:rsidRPr="0063657F" w:rsidRDefault="00564BE6" w:rsidP="00564BE6">
      <w:pPr>
        <w:pStyle w:val="tDefn"/>
      </w:pPr>
      <w:proofErr w:type="spellStart"/>
      <w:r w:rsidRPr="0063657F">
        <w:rPr>
          <w:b/>
          <w:i/>
        </w:rPr>
        <w:t>EI</w:t>
      </w:r>
      <w:r w:rsidRPr="0063657F">
        <w:rPr>
          <w:b/>
          <w:i/>
          <w:vertAlign w:val="subscript"/>
        </w:rPr>
        <w:t>f</w:t>
      </w:r>
      <w:proofErr w:type="gramStart"/>
      <w:r w:rsidRPr="0063657F">
        <w:rPr>
          <w:b/>
          <w:i/>
          <w:vertAlign w:val="subscript"/>
        </w:rPr>
        <w:t>,p</w:t>
      </w:r>
      <w:proofErr w:type="spellEnd"/>
      <w:proofErr w:type="gramEnd"/>
      <w:r w:rsidRPr="0063657F">
        <w:t xml:space="preserve"> is </w:t>
      </w:r>
      <w:r w:rsidR="001033B1" w:rsidRPr="0063657F">
        <w:t>emissions intensity</w:t>
      </w:r>
      <w:r w:rsidRPr="0063657F">
        <w:t xml:space="preserve"> of the production variable (p) in the financial year the subject of the application (f).</w:t>
      </w:r>
    </w:p>
    <w:p w:rsidR="000817AA" w:rsidRPr="0063657F" w:rsidRDefault="00564BE6" w:rsidP="00564BE6">
      <w:pPr>
        <w:pStyle w:val="tDefn"/>
      </w:pPr>
      <w:proofErr w:type="spellStart"/>
      <w:r w:rsidRPr="0063657F">
        <w:rPr>
          <w:b/>
          <w:i/>
        </w:rPr>
        <w:t>Q</w:t>
      </w:r>
      <w:r w:rsidRPr="0063657F">
        <w:rPr>
          <w:b/>
          <w:i/>
          <w:vertAlign w:val="subscript"/>
        </w:rPr>
        <w:t>f</w:t>
      </w:r>
      <w:proofErr w:type="gramStart"/>
      <w:r w:rsidRPr="0063657F">
        <w:rPr>
          <w:b/>
          <w:i/>
          <w:vertAlign w:val="subscript"/>
        </w:rPr>
        <w:t>,p</w:t>
      </w:r>
      <w:proofErr w:type="spellEnd"/>
      <w:proofErr w:type="gramEnd"/>
      <w:r w:rsidRPr="0063657F">
        <w:t xml:space="preserve"> is the quantity of the production variable (p) produced in the financial year the subject of the application (f)</w:t>
      </w:r>
      <w:r w:rsidR="000817AA" w:rsidRPr="0063657F">
        <w:t>:</w:t>
      </w:r>
    </w:p>
    <w:p w:rsidR="000817AA" w:rsidRPr="0063657F" w:rsidRDefault="000817AA" w:rsidP="000817AA">
      <w:pPr>
        <w:pStyle w:val="tPara"/>
      </w:pPr>
      <w:r w:rsidRPr="0063657F">
        <w:tab/>
        <w:t>(a)</w:t>
      </w:r>
      <w:r w:rsidRPr="0063657F">
        <w:tab/>
      </w:r>
      <w:proofErr w:type="gramStart"/>
      <w:r w:rsidRPr="0063657F">
        <w:t>measured</w:t>
      </w:r>
      <w:proofErr w:type="gramEnd"/>
      <w:r w:rsidRPr="0063657F">
        <w:t xml:space="preserve"> using the units specified in the Benchmark Emissions-Intensity Index; and</w:t>
      </w:r>
    </w:p>
    <w:p w:rsidR="00564BE6" w:rsidRPr="0063657F" w:rsidRDefault="000817AA" w:rsidP="000817AA">
      <w:pPr>
        <w:pStyle w:val="tPara"/>
      </w:pPr>
      <w:r w:rsidRPr="0063657F">
        <w:tab/>
        <w:t>(b)</w:t>
      </w:r>
      <w:r w:rsidRPr="0063657F">
        <w:tab/>
      </w:r>
      <w:proofErr w:type="gramStart"/>
      <w:r w:rsidRPr="0063657F">
        <w:t>meeting</w:t>
      </w:r>
      <w:proofErr w:type="gramEnd"/>
      <w:r w:rsidRPr="0063657F">
        <w:t xml:space="preserve"> any measurement requirements or procedures specified in the Benchmark Emissions-Intensity Index.</w:t>
      </w:r>
    </w:p>
    <w:p w:rsidR="00564BE6" w:rsidRPr="0063657F" w:rsidRDefault="00564BE6" w:rsidP="00564BE6">
      <w:pPr>
        <w:pStyle w:val="tMain"/>
      </w:pPr>
      <w:r w:rsidRPr="0063657F">
        <w:tab/>
      </w:r>
      <w:r w:rsidR="00F773E9">
        <w:t>(3)</w:t>
      </w:r>
      <w:r w:rsidRPr="0063657F">
        <w:tab/>
        <w:t xml:space="preserve">A landfill facility passes the </w:t>
      </w:r>
      <w:r w:rsidR="001033B1" w:rsidRPr="0063657F">
        <w:t>emissions intensity</w:t>
      </w:r>
      <w:r w:rsidRPr="0063657F">
        <w:t xml:space="preserve"> test in respect of a financial year if the percentage of landfill gas captured during the financial year is higher than the percentage of landfill gas captured in the most recent baseline intensity comparison year.</w:t>
      </w:r>
    </w:p>
    <w:p w:rsidR="00564BE6" w:rsidRPr="0063657F" w:rsidRDefault="002417CF" w:rsidP="002417CF">
      <w:pPr>
        <w:pStyle w:val="h6Subsec"/>
      </w:pPr>
      <w:r w:rsidRPr="0063657F">
        <w:t xml:space="preserve">Calculating the </w:t>
      </w:r>
      <w:r w:rsidR="001033B1" w:rsidRPr="0063657F">
        <w:t>emissions intensity</w:t>
      </w:r>
      <w:r w:rsidRPr="0063657F">
        <w:t xml:space="preserve"> of a production variable</w:t>
      </w:r>
    </w:p>
    <w:p w:rsidR="00F10732" w:rsidRPr="0063657F" w:rsidRDefault="00F10732" w:rsidP="00F10732">
      <w:pPr>
        <w:pStyle w:val="tMain"/>
      </w:pPr>
      <w:r w:rsidRPr="0063657F">
        <w:tab/>
      </w:r>
      <w:r w:rsidR="00F773E9">
        <w:t>(4)</w:t>
      </w:r>
      <w:r w:rsidRPr="0063657F">
        <w:tab/>
        <w:t xml:space="preserve">For the purpose of this section the </w:t>
      </w:r>
      <w:r w:rsidR="001033B1" w:rsidRPr="0063657F">
        <w:t>emissions intensity</w:t>
      </w:r>
      <w:r w:rsidRPr="0063657F">
        <w:t xml:space="preserve"> of a production variable is the number of t CO</w:t>
      </w:r>
      <w:r w:rsidRPr="0063657F">
        <w:rPr>
          <w:vertAlign w:val="subscript"/>
        </w:rPr>
        <w:t>2</w:t>
      </w:r>
      <w:r w:rsidR="007F7E20" w:rsidRPr="0063657F">
        <w:rPr>
          <w:rFonts w:ascii="Helvetica Neue" w:hAnsi="Helvetica Neue"/>
          <w:b/>
          <w:bCs/>
          <w:i/>
          <w:iCs/>
          <w:sz w:val="19"/>
          <w:szCs w:val="19"/>
        </w:rPr>
        <w:noBreakHyphen/>
      </w:r>
      <w:r w:rsidRPr="0063657F">
        <w:t>e of covered emissions</w:t>
      </w:r>
      <w:r w:rsidRPr="0063657F">
        <w:rPr>
          <w:b/>
          <w:i/>
        </w:rPr>
        <w:t xml:space="preserve"> </w:t>
      </w:r>
      <w:r w:rsidRPr="0063657F">
        <w:t xml:space="preserve">per unit of the </w:t>
      </w:r>
      <w:r w:rsidR="00EC1496" w:rsidRPr="0063657F">
        <w:t>quantity</w:t>
      </w:r>
      <w:r w:rsidRPr="0063657F">
        <w:t xml:space="preserve"> of the production variable</w:t>
      </w:r>
      <w:r w:rsidRPr="0063657F">
        <w:rPr>
          <w:vertAlign w:val="subscript"/>
        </w:rPr>
        <w:t xml:space="preserve"> </w:t>
      </w:r>
      <w:r w:rsidRPr="0063657F">
        <w:t>which is:</w:t>
      </w:r>
    </w:p>
    <w:p w:rsidR="00F10732" w:rsidRPr="0063657F" w:rsidRDefault="00F10732" w:rsidP="00F10732">
      <w:pPr>
        <w:pStyle w:val="tPara"/>
      </w:pPr>
      <w:r w:rsidRPr="0063657F">
        <w:tab/>
      </w:r>
      <w:r w:rsidR="00F773E9">
        <w:t>(a)</w:t>
      </w:r>
      <w:r w:rsidRPr="0063657F">
        <w:tab/>
        <w:t>if a year is the most recent baseline intensity comparison year only because of paragraph (b) of the definition of baseline intensity comparison year—</w:t>
      </w:r>
      <w:r w:rsidR="0041465D" w:rsidRPr="0063657F">
        <w:t>deemed to be</w:t>
      </w:r>
      <w:r w:rsidRPr="0063657F">
        <w:t xml:space="preserve"> the </w:t>
      </w:r>
      <w:r w:rsidR="001033B1" w:rsidRPr="0063657F">
        <w:t>emissions intensity</w:t>
      </w:r>
      <w:r w:rsidRPr="0063657F">
        <w:t xml:space="preserve"> of the production variable used to determine the baseline emissions number in the calculated-emissions baseline determination which applies to the facility; and</w:t>
      </w:r>
    </w:p>
    <w:p w:rsidR="00DD2078" w:rsidRPr="0063657F" w:rsidRDefault="00F10732" w:rsidP="00F10732">
      <w:pPr>
        <w:pStyle w:val="tPara"/>
      </w:pPr>
      <w:r w:rsidRPr="0063657F">
        <w:tab/>
      </w:r>
      <w:r w:rsidR="00F773E9">
        <w:t>(b)</w:t>
      </w:r>
      <w:r w:rsidRPr="0063657F">
        <w:tab/>
      </w:r>
      <w:proofErr w:type="gramStart"/>
      <w:r w:rsidRPr="0063657F">
        <w:t>otherwise</w:t>
      </w:r>
      <w:proofErr w:type="gramEnd"/>
      <w:r w:rsidR="00DD2078" w:rsidRPr="0063657F">
        <w:t>:</w:t>
      </w:r>
    </w:p>
    <w:p w:rsidR="00F10732" w:rsidRPr="0063657F" w:rsidRDefault="00DD2078" w:rsidP="00BD50A9">
      <w:pPr>
        <w:pStyle w:val="tSubpara"/>
      </w:pPr>
      <w:r w:rsidRPr="0063657F">
        <w:tab/>
      </w:r>
      <w:r w:rsidR="00F773E9">
        <w:t>(</w:t>
      </w:r>
      <w:proofErr w:type="spellStart"/>
      <w:r w:rsidR="00F773E9">
        <w:t>i</w:t>
      </w:r>
      <w:proofErr w:type="spellEnd"/>
      <w:r w:rsidR="00F773E9">
        <w:t>)</w:t>
      </w:r>
      <w:r w:rsidRPr="0063657F">
        <w:tab/>
      </w:r>
      <w:proofErr w:type="gramStart"/>
      <w:r w:rsidR="00F10732" w:rsidRPr="0063657F">
        <w:t>determined</w:t>
      </w:r>
      <w:proofErr w:type="gramEnd"/>
      <w:r w:rsidR="00F10732" w:rsidRPr="0063657F">
        <w:t xml:space="preserve"> for </w:t>
      </w:r>
      <w:r w:rsidRPr="0063657F">
        <w:t xml:space="preserve">a </w:t>
      </w:r>
      <w:r w:rsidR="00F10732" w:rsidRPr="0063657F">
        <w:t>financial year</w:t>
      </w:r>
      <w:r w:rsidR="00BD50A9" w:rsidRPr="0063657F">
        <w:t xml:space="preserve"> </w:t>
      </w:r>
      <w:r w:rsidR="00F10732" w:rsidRPr="0063657F">
        <w:t>based on the covered emissions of the facility in that financial year;</w:t>
      </w:r>
      <w:r w:rsidR="000E1100" w:rsidRPr="0063657F">
        <w:t xml:space="preserve"> and</w:t>
      </w:r>
    </w:p>
    <w:p w:rsidR="00F10732" w:rsidRPr="0063657F" w:rsidRDefault="00F10732" w:rsidP="00F10732">
      <w:pPr>
        <w:pStyle w:val="tSubpara"/>
      </w:pPr>
      <w:r w:rsidRPr="0063657F">
        <w:tab/>
      </w:r>
      <w:r w:rsidR="00F773E9">
        <w:t>(ii)</w:t>
      </w:r>
      <w:r w:rsidRPr="0063657F">
        <w:tab/>
        <w:t>if there is only one production variable—</w:t>
      </w:r>
      <w:r w:rsidR="000E1100" w:rsidRPr="0063657F">
        <w:t xml:space="preserve">calculated by </w:t>
      </w:r>
      <w:r w:rsidRPr="0063657F">
        <w:t xml:space="preserve">dividing the covered emissions for the facility by the </w:t>
      </w:r>
      <w:r w:rsidR="00EC1496" w:rsidRPr="0063657F">
        <w:t>quantity</w:t>
      </w:r>
      <w:r w:rsidRPr="0063657F">
        <w:t xml:space="preserve"> of the production variable produced in the financial year;</w:t>
      </w:r>
      <w:r w:rsidR="000E1100" w:rsidRPr="0063657F">
        <w:t xml:space="preserve"> and</w:t>
      </w:r>
    </w:p>
    <w:p w:rsidR="00F10732" w:rsidRPr="0063657F" w:rsidRDefault="00F10732" w:rsidP="00F10732">
      <w:pPr>
        <w:pStyle w:val="tSubpara"/>
      </w:pPr>
      <w:r w:rsidRPr="0063657F">
        <w:tab/>
      </w:r>
      <w:r w:rsidR="00F773E9">
        <w:t>(iii)</w:t>
      </w:r>
      <w:r w:rsidRPr="0063657F">
        <w:tab/>
      </w:r>
      <w:proofErr w:type="gramStart"/>
      <w:r w:rsidRPr="0063657F">
        <w:t>if</w:t>
      </w:r>
      <w:proofErr w:type="gramEnd"/>
      <w:r w:rsidRPr="0063657F">
        <w:t xml:space="preserve"> there is more than one production variable—</w:t>
      </w:r>
      <w:r w:rsidR="0056240B" w:rsidRPr="0063657F">
        <w:t>worked out</w:t>
      </w:r>
      <w:r w:rsidR="000E1100" w:rsidRPr="0063657F">
        <w:t xml:space="preserve"> in a manner that </w:t>
      </w:r>
      <w:r w:rsidRPr="0063657F">
        <w:t>apportions covered emissions consistent</w:t>
      </w:r>
      <w:r w:rsidR="00EC6367" w:rsidRPr="0063657F">
        <w:t>ly</w:t>
      </w:r>
      <w:r w:rsidRPr="0063657F">
        <w:t xml:space="preserve"> with the </w:t>
      </w:r>
      <w:r w:rsidR="00A94285" w:rsidRPr="0063657F">
        <w:t>emissions-</w:t>
      </w:r>
      <w:r w:rsidR="001033B1" w:rsidRPr="0063657F">
        <w:t>intensity</w:t>
      </w:r>
      <w:r w:rsidRPr="0063657F">
        <w:t xml:space="preserve"> calculation criteria;</w:t>
      </w:r>
      <w:r w:rsidR="000E1100" w:rsidRPr="0063657F">
        <w:t xml:space="preserve"> and</w:t>
      </w:r>
    </w:p>
    <w:p w:rsidR="00317146" w:rsidRPr="0063657F" w:rsidRDefault="00317146" w:rsidP="00317146">
      <w:pPr>
        <w:pStyle w:val="tSubpara"/>
      </w:pPr>
      <w:r w:rsidRPr="0063657F">
        <w:tab/>
      </w:r>
      <w:r w:rsidR="00F773E9">
        <w:t>(iv)</w:t>
      </w:r>
      <w:r w:rsidRPr="0063657F">
        <w:tab/>
      </w:r>
      <w:proofErr w:type="gramStart"/>
      <w:r w:rsidRPr="0063657F">
        <w:t>if</w:t>
      </w:r>
      <w:proofErr w:type="gramEnd"/>
      <w:r w:rsidRPr="0063657F">
        <w:t xml:space="preserve"> the facility is a benchmark facility</w:t>
      </w:r>
      <w:r w:rsidR="00BD50A9" w:rsidRPr="0063657F">
        <w:t>—</w:t>
      </w:r>
      <w:r w:rsidR="008D1E78" w:rsidRPr="0063657F">
        <w:t>based on the</w:t>
      </w:r>
      <w:r w:rsidR="00BD50A9" w:rsidRPr="0063657F">
        <w:t xml:space="preserve"> quantity of each production variable</w:t>
      </w:r>
      <w:r w:rsidR="008D1E78" w:rsidRPr="0063657F">
        <w:t xml:space="preserve"> in the financial year</w:t>
      </w:r>
      <w:r w:rsidR="00BD50A9" w:rsidRPr="0063657F">
        <w:t>:</w:t>
      </w:r>
    </w:p>
    <w:p w:rsidR="00BD50A9" w:rsidRPr="0063657F" w:rsidRDefault="00BD50A9" w:rsidP="00BD50A9">
      <w:pPr>
        <w:pStyle w:val="tSubsub"/>
      </w:pPr>
      <w:r w:rsidRPr="0063657F">
        <w:tab/>
      </w:r>
      <w:r w:rsidR="00F773E9">
        <w:t>(A)</w:t>
      </w:r>
      <w:r w:rsidRPr="0063657F">
        <w:tab/>
      </w:r>
      <w:proofErr w:type="gramStart"/>
      <w:r w:rsidR="008D1E78" w:rsidRPr="0063657F">
        <w:t>a</w:t>
      </w:r>
      <w:r w:rsidRPr="0063657F">
        <w:t>s</w:t>
      </w:r>
      <w:proofErr w:type="gramEnd"/>
      <w:r w:rsidRPr="0063657F">
        <w:t xml:space="preserve"> measured using the units specified in the Benchmark Emissions-Intensity Index; and</w:t>
      </w:r>
    </w:p>
    <w:p w:rsidR="00BD50A9" w:rsidRPr="0063657F" w:rsidRDefault="00BD50A9" w:rsidP="00BD50A9">
      <w:pPr>
        <w:pStyle w:val="tSubsub"/>
      </w:pPr>
      <w:r w:rsidRPr="0063657F">
        <w:tab/>
      </w:r>
      <w:r w:rsidR="00F773E9">
        <w:t>(B)</w:t>
      </w:r>
      <w:r w:rsidRPr="0063657F">
        <w:tab/>
      </w:r>
      <w:proofErr w:type="gramStart"/>
      <w:r w:rsidRPr="0063657F">
        <w:t>meet</w:t>
      </w:r>
      <w:r w:rsidR="008D1E78" w:rsidRPr="0063657F">
        <w:t>ing</w:t>
      </w:r>
      <w:proofErr w:type="gramEnd"/>
      <w:r w:rsidRPr="0063657F">
        <w:t xml:space="preserve"> any measurement requirements or procedures specified in the Benc</w:t>
      </w:r>
      <w:r w:rsidR="008D1E78" w:rsidRPr="0063657F">
        <w:t>hmark Emissions-Intensity Index;</w:t>
      </w:r>
    </w:p>
    <w:p w:rsidR="00F10732" w:rsidRPr="0063657F" w:rsidRDefault="00F10732" w:rsidP="00F10732">
      <w:pPr>
        <w:pStyle w:val="tSubpara"/>
      </w:pPr>
      <w:r w:rsidRPr="0063657F">
        <w:tab/>
      </w:r>
      <w:r w:rsidR="00F773E9">
        <w:t>(v)</w:t>
      </w:r>
      <w:r w:rsidRPr="0063657F">
        <w:tab/>
      </w:r>
      <w:proofErr w:type="gramStart"/>
      <w:r w:rsidR="00BD50A9" w:rsidRPr="0063657F">
        <w:t>subject</w:t>
      </w:r>
      <w:proofErr w:type="gramEnd"/>
      <w:r w:rsidR="00BD50A9" w:rsidRPr="0063657F">
        <w:t xml:space="preserve"> to subparagraph (</w:t>
      </w:r>
      <w:r w:rsidR="001033B1" w:rsidRPr="0063657F">
        <w:t>i</w:t>
      </w:r>
      <w:r w:rsidR="00BD50A9" w:rsidRPr="0063657F">
        <w:t xml:space="preserve">v), </w:t>
      </w:r>
      <w:r w:rsidR="0056240B" w:rsidRPr="0063657F">
        <w:t xml:space="preserve">worked out in a manner that is </w:t>
      </w:r>
      <w:r w:rsidRPr="0063657F">
        <w:t>consistent for both apport</w:t>
      </w:r>
      <w:r w:rsidR="00C50DD9" w:rsidRPr="0063657F">
        <w:t>ioning</w:t>
      </w:r>
      <w:r w:rsidR="00563844" w:rsidRPr="0063657F">
        <w:t xml:space="preserve"> covered</w:t>
      </w:r>
      <w:r w:rsidR="00C50DD9" w:rsidRPr="0063657F">
        <w:t xml:space="preserve"> emissions and measuring</w:t>
      </w:r>
      <w:r w:rsidRPr="0063657F">
        <w:t xml:space="preserve"> of the </w:t>
      </w:r>
      <w:r w:rsidR="00EC1496" w:rsidRPr="0063657F">
        <w:t>quantity</w:t>
      </w:r>
      <w:r w:rsidRPr="0063657F">
        <w:t xml:space="preserve"> </w:t>
      </w:r>
      <w:r w:rsidR="00C50DD9" w:rsidRPr="0063657F">
        <w:t xml:space="preserve">of the production variable </w:t>
      </w:r>
      <w:r w:rsidRPr="0063657F">
        <w:t>between all of the following:</w:t>
      </w:r>
    </w:p>
    <w:p w:rsidR="00F10732" w:rsidRPr="0063657F" w:rsidRDefault="00F10732" w:rsidP="00F10732">
      <w:pPr>
        <w:pStyle w:val="tSubsub"/>
      </w:pPr>
      <w:r w:rsidRPr="0063657F">
        <w:tab/>
      </w:r>
      <w:r w:rsidR="00F773E9">
        <w:t>(A)</w:t>
      </w:r>
      <w:r w:rsidRPr="0063657F">
        <w:tab/>
        <w:t xml:space="preserve">the most recent baseline intensity comparison year; </w:t>
      </w:r>
    </w:p>
    <w:p w:rsidR="00F10732" w:rsidRPr="0063657F" w:rsidRDefault="00F10732" w:rsidP="00F10732">
      <w:pPr>
        <w:pStyle w:val="tSubsub"/>
      </w:pPr>
      <w:r w:rsidRPr="0063657F">
        <w:lastRenderedPageBreak/>
        <w:tab/>
      </w:r>
      <w:r w:rsidR="00F773E9">
        <w:t>(B)</w:t>
      </w:r>
      <w:r w:rsidRPr="0063657F">
        <w:tab/>
      </w:r>
      <w:proofErr w:type="gramStart"/>
      <w:r w:rsidRPr="0063657F">
        <w:t>the</w:t>
      </w:r>
      <w:proofErr w:type="gramEnd"/>
      <w:r w:rsidRPr="0063657F">
        <w:t xml:space="preserve"> financial year the subject of the application; </w:t>
      </w:r>
    </w:p>
    <w:p w:rsidR="00F10732" w:rsidRPr="0063657F" w:rsidRDefault="00F10732" w:rsidP="00F10732">
      <w:pPr>
        <w:pStyle w:val="tSubsub"/>
      </w:pPr>
      <w:r w:rsidRPr="0063657F">
        <w:tab/>
      </w:r>
      <w:r w:rsidR="00F773E9">
        <w:t>(C)</w:t>
      </w:r>
      <w:r w:rsidRPr="0063657F">
        <w:tab/>
      </w:r>
      <w:proofErr w:type="gramStart"/>
      <w:r w:rsidRPr="0063657F">
        <w:t>any</w:t>
      </w:r>
      <w:proofErr w:type="gramEnd"/>
      <w:r w:rsidRPr="0063657F">
        <w:t xml:space="preserve"> previous </w:t>
      </w:r>
      <w:r w:rsidR="00563844" w:rsidRPr="0063657F">
        <w:t xml:space="preserve">successful </w:t>
      </w:r>
      <w:r w:rsidRPr="0063657F">
        <w:t>application u</w:t>
      </w:r>
      <w:r w:rsidR="00D84C37" w:rsidRPr="0063657F">
        <w:t>nder subsection 46(1)</w:t>
      </w:r>
      <w:r w:rsidR="006E6098" w:rsidRPr="0063657F">
        <w:t xml:space="preserve"> that is based on the same production variables</w:t>
      </w:r>
      <w:r w:rsidRPr="0063657F">
        <w:t>.</w:t>
      </w:r>
    </w:p>
    <w:p w:rsidR="00F10732" w:rsidRPr="0063657F" w:rsidRDefault="00F773E9" w:rsidP="00F10732">
      <w:pPr>
        <w:pStyle w:val="h5Section"/>
      </w:pPr>
      <w:bookmarkStart w:id="67" w:name="_Toc431896998"/>
      <w:r>
        <w:t>48</w:t>
      </w:r>
      <w:r w:rsidR="00F10732" w:rsidRPr="0063657F">
        <w:t xml:space="preserve"> Information to accompany applications</w:t>
      </w:r>
      <w:bookmarkEnd w:id="67"/>
      <w:r w:rsidR="00F10732" w:rsidRPr="0063657F">
        <w:t xml:space="preserve"> </w:t>
      </w:r>
    </w:p>
    <w:p w:rsidR="00F10732" w:rsidRPr="0063657F" w:rsidRDefault="00F10732" w:rsidP="00F10732">
      <w:pPr>
        <w:pStyle w:val="tMain"/>
      </w:pPr>
      <w:r w:rsidRPr="0063657F">
        <w:tab/>
      </w:r>
      <w:r w:rsidR="00F773E9">
        <w:t>(1)</w:t>
      </w:r>
      <w:r w:rsidRPr="0063657F">
        <w:tab/>
      </w:r>
      <w:r w:rsidR="0056240B" w:rsidRPr="0063657F">
        <w:t>For a</w:t>
      </w:r>
      <w:r w:rsidRPr="0063657F">
        <w:t xml:space="preserve"> facility </w:t>
      </w:r>
      <w:r w:rsidR="004B7C84" w:rsidRPr="0063657F">
        <w:t xml:space="preserve">that </w:t>
      </w:r>
      <w:r w:rsidRPr="0063657F">
        <w:t>is not a landfill facility</w:t>
      </w:r>
      <w:r w:rsidR="004B7C84" w:rsidRPr="0063657F">
        <w:t xml:space="preserve"> or benchmark facility</w:t>
      </w:r>
      <w:r w:rsidR="0056240B" w:rsidRPr="0063657F">
        <w:t xml:space="preserve">, </w:t>
      </w:r>
      <w:r w:rsidRPr="0063657F">
        <w:t>an application for a variation of a baseline determination must include the following information:</w:t>
      </w:r>
    </w:p>
    <w:p w:rsidR="00F10732" w:rsidRPr="0063657F" w:rsidRDefault="00F10732" w:rsidP="00F10732">
      <w:pPr>
        <w:pStyle w:val="tPara"/>
      </w:pPr>
      <w:r w:rsidRPr="0063657F">
        <w:tab/>
      </w:r>
      <w:r w:rsidR="00F773E9">
        <w:t>(a)</w:t>
      </w:r>
      <w:r w:rsidRPr="0063657F">
        <w:tab/>
        <w:t xml:space="preserve">in accordance with subsection (2), the </w:t>
      </w:r>
      <w:r w:rsidR="00EC1496" w:rsidRPr="0063657F">
        <w:t>quantity</w:t>
      </w:r>
      <w:r w:rsidRPr="0063657F">
        <w:t xml:space="preserve"> of all production variables that were produced by the facility in the financial year the subject of the application and the most recent baseline intensity comparison year;</w:t>
      </w:r>
    </w:p>
    <w:p w:rsidR="00F10732" w:rsidRPr="0063657F" w:rsidRDefault="00F10732" w:rsidP="00F10732">
      <w:pPr>
        <w:pStyle w:val="tPara"/>
      </w:pPr>
      <w:r w:rsidRPr="0063657F">
        <w:tab/>
      </w:r>
      <w:r w:rsidR="00F773E9">
        <w:t>(b)</w:t>
      </w:r>
      <w:r w:rsidRPr="0063657F">
        <w:tab/>
      </w:r>
      <w:proofErr w:type="gramStart"/>
      <w:r w:rsidRPr="0063657F">
        <w:t>if</w:t>
      </w:r>
      <w:proofErr w:type="gramEnd"/>
      <w:r w:rsidRPr="0063657F">
        <w:t xml:space="preserve"> there is more than one production variable—set out: </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the</w:t>
      </w:r>
      <w:proofErr w:type="gramEnd"/>
      <w:r w:rsidRPr="0063657F">
        <w:t xml:space="preserve"> </w:t>
      </w:r>
      <w:r w:rsidR="001033B1" w:rsidRPr="0063657F">
        <w:t>emissions intensity</w:t>
      </w:r>
      <w:r w:rsidRPr="0063657F">
        <w:t xml:space="preserve"> per unit of production for each production variable outlined under paragraph (a) in each financial year consistent with t</w:t>
      </w:r>
      <w:r w:rsidR="00D84C37" w:rsidRPr="0063657F">
        <w:t>he requirements of subsection 47</w:t>
      </w:r>
      <w:r w:rsidR="008D1E78" w:rsidRPr="0063657F">
        <w:t>(4</w:t>
      </w:r>
      <w:r w:rsidRPr="0063657F">
        <w:t>); and</w:t>
      </w:r>
    </w:p>
    <w:p w:rsidR="00F10732" w:rsidRPr="0063657F" w:rsidRDefault="00F10732" w:rsidP="00F10732">
      <w:pPr>
        <w:pStyle w:val="tSubpara"/>
      </w:pPr>
      <w:r w:rsidRPr="0063657F">
        <w:tab/>
      </w:r>
      <w:r w:rsidR="00F773E9">
        <w:t>(ii)</w:t>
      </w:r>
      <w:r w:rsidRPr="0063657F">
        <w:tab/>
        <w:t xml:space="preserve">the total covered emissions in the financial year calculated by multiplying the </w:t>
      </w:r>
      <w:r w:rsidR="00EC1496" w:rsidRPr="0063657F">
        <w:t>quantity</w:t>
      </w:r>
      <w:r w:rsidRPr="0063657F">
        <w:t xml:space="preserve"> of</w:t>
      </w:r>
      <w:r w:rsidR="008B1AB6" w:rsidRPr="0063657F">
        <w:t xml:space="preserve"> each of</w:t>
      </w:r>
      <w:r w:rsidRPr="0063657F">
        <w:t xml:space="preserve"> the production variables in the financial year the subject of the application under</w:t>
      </w:r>
      <w:r w:rsidR="00EC6367" w:rsidRPr="0063657F">
        <w:t xml:space="preserve"> paragraph (a) </w:t>
      </w:r>
      <w:r w:rsidR="008B1AB6" w:rsidRPr="0063657F">
        <w:t xml:space="preserve">by </w:t>
      </w:r>
      <w:r w:rsidR="00EC6367" w:rsidRPr="0063657F">
        <w:t>the</w:t>
      </w:r>
      <w:r w:rsidRPr="0063657F">
        <w:t xml:space="preserve"> </w:t>
      </w:r>
      <w:r w:rsidR="001033B1" w:rsidRPr="0063657F">
        <w:t>emissions intensity</w:t>
      </w:r>
      <w:r w:rsidRPr="0063657F">
        <w:t xml:space="preserve"> of that variable in that financia</w:t>
      </w:r>
      <w:r w:rsidR="00EC6367" w:rsidRPr="0063657F">
        <w:t>l year under subparagraph (b)(</w:t>
      </w:r>
      <w:proofErr w:type="spellStart"/>
      <w:r w:rsidR="00EC6367" w:rsidRPr="0063657F">
        <w:t>i</w:t>
      </w:r>
      <w:proofErr w:type="spellEnd"/>
      <w:r w:rsidRPr="0063657F">
        <w:t>), and summing the results;</w:t>
      </w:r>
    </w:p>
    <w:p w:rsidR="00F10732" w:rsidRPr="0063657F" w:rsidRDefault="00F10732" w:rsidP="00F10732">
      <w:pPr>
        <w:pStyle w:val="tPara"/>
      </w:pPr>
      <w:r w:rsidRPr="0063657F">
        <w:tab/>
      </w:r>
      <w:r w:rsidR="00F773E9">
        <w:t>(c)</w:t>
      </w:r>
      <w:r w:rsidRPr="0063657F">
        <w:tab/>
      </w:r>
      <w:proofErr w:type="gramStart"/>
      <w:r w:rsidRPr="0063657F">
        <w:t>an</w:t>
      </w:r>
      <w:proofErr w:type="gramEnd"/>
      <w:r w:rsidRPr="0063657F">
        <w:t xml:space="preserve"> explanation of the method used to calculate the </w:t>
      </w:r>
      <w:r w:rsidR="001033B1" w:rsidRPr="0063657F">
        <w:t>emissions intensity</w:t>
      </w:r>
      <w:r w:rsidRPr="0063657F">
        <w:t xml:space="preserve"> of each production variable an</w:t>
      </w:r>
      <w:r w:rsidR="00EC6367" w:rsidRPr="0063657F">
        <w:t>d apportion any emissions</w:t>
      </w:r>
      <w:r w:rsidRPr="0063657F">
        <w:t xml:space="preserve"> consistent</w:t>
      </w:r>
      <w:r w:rsidR="00EC6367" w:rsidRPr="0063657F">
        <w:t>ly</w:t>
      </w:r>
      <w:r w:rsidRPr="0063657F">
        <w:t xml:space="preserve"> with t</w:t>
      </w:r>
      <w:r w:rsidR="00D84C37" w:rsidRPr="0063657F">
        <w:t>he requirements of subsection 47</w:t>
      </w:r>
      <w:r w:rsidR="004B7C84" w:rsidRPr="0063657F">
        <w:t>(4</w:t>
      </w:r>
      <w:r w:rsidRPr="0063657F">
        <w:t>).</w:t>
      </w:r>
    </w:p>
    <w:p w:rsidR="00F10732" w:rsidRPr="0063657F" w:rsidRDefault="00F10732" w:rsidP="004B7C84">
      <w:pPr>
        <w:pStyle w:val="tMain"/>
      </w:pPr>
      <w:r w:rsidRPr="0063657F">
        <w:tab/>
      </w:r>
      <w:r w:rsidR="00F773E9">
        <w:t>(2)</w:t>
      </w:r>
      <w:r w:rsidRPr="0063657F">
        <w:tab/>
      </w:r>
      <w:r w:rsidR="00415BE7" w:rsidRPr="0063657F">
        <w:t>For the purposes of subsection (1)</w:t>
      </w:r>
      <w:r w:rsidR="004B7C84" w:rsidRPr="0063657F">
        <w:t xml:space="preserve">, </w:t>
      </w:r>
      <w:r w:rsidR="00437B80" w:rsidRPr="0063657F">
        <w:t>the quantity of a</w:t>
      </w:r>
      <w:r w:rsidRPr="0063657F">
        <w:t xml:space="preserve"> production variable </w:t>
      </w:r>
      <w:r w:rsidR="00097167" w:rsidRPr="0063657F">
        <w:t xml:space="preserve">that </w:t>
      </w:r>
      <w:r w:rsidRPr="0063657F">
        <w:t>is not a service unit</w:t>
      </w:r>
      <w:r w:rsidR="00097167" w:rsidRPr="0063657F">
        <w:t xml:space="preserve"> </w:t>
      </w:r>
      <w:r w:rsidRPr="0063657F">
        <w:t>must be measured at a time that is as close as possible to when the variable enters, or leaves, the production or processing process</w:t>
      </w:r>
      <w:r w:rsidR="004B7C84" w:rsidRPr="0063657F">
        <w:t>.</w:t>
      </w:r>
    </w:p>
    <w:p w:rsidR="004B7C84" w:rsidRPr="0063657F" w:rsidRDefault="004B7C84" w:rsidP="004B7C84">
      <w:pPr>
        <w:pStyle w:val="tMain"/>
      </w:pPr>
      <w:r w:rsidRPr="0063657F">
        <w:tab/>
      </w:r>
      <w:r w:rsidR="00F773E9">
        <w:t>(3)</w:t>
      </w:r>
      <w:r w:rsidRPr="0063657F">
        <w:tab/>
        <w:t>For a benchmark facility, an application for a variation of a baseline determination must include the following information:</w:t>
      </w:r>
    </w:p>
    <w:p w:rsidR="004B7C84" w:rsidRPr="0063657F" w:rsidRDefault="004B7C84" w:rsidP="004B7C84">
      <w:pPr>
        <w:pStyle w:val="tPara"/>
      </w:pPr>
      <w:r w:rsidRPr="0063657F">
        <w:tab/>
      </w:r>
      <w:r w:rsidR="00F773E9">
        <w:t>(a)</w:t>
      </w:r>
      <w:r w:rsidRPr="0063657F">
        <w:tab/>
      </w:r>
      <w:proofErr w:type="gramStart"/>
      <w:r w:rsidRPr="0063657F">
        <w:t>the</w:t>
      </w:r>
      <w:proofErr w:type="gramEnd"/>
      <w:r w:rsidRPr="0063657F">
        <w:t xml:space="preserve"> quantity of all production variables that were produced by the facility in the financial year the subject of the application:</w:t>
      </w:r>
    </w:p>
    <w:p w:rsidR="004B7C84" w:rsidRPr="0063657F" w:rsidRDefault="004B7C84" w:rsidP="004B7C84">
      <w:pPr>
        <w:pStyle w:val="tSubpara"/>
      </w:pPr>
      <w:r w:rsidRPr="0063657F">
        <w:tab/>
      </w:r>
      <w:r w:rsidR="00F773E9">
        <w:t>(</w:t>
      </w:r>
      <w:proofErr w:type="spellStart"/>
      <w:r w:rsidR="00F773E9">
        <w:t>i</w:t>
      </w:r>
      <w:proofErr w:type="spellEnd"/>
      <w:r w:rsidR="00F773E9">
        <w:t>)</w:t>
      </w:r>
      <w:r w:rsidRPr="0063657F">
        <w:tab/>
      </w:r>
      <w:proofErr w:type="gramStart"/>
      <w:r w:rsidRPr="0063657F">
        <w:t>measured</w:t>
      </w:r>
      <w:proofErr w:type="gramEnd"/>
      <w:r w:rsidRPr="0063657F">
        <w:t xml:space="preserve"> using the units specified in the Benchmark Emissions-Intensity Index; and</w:t>
      </w:r>
    </w:p>
    <w:p w:rsidR="004B7C84" w:rsidRPr="0063657F" w:rsidRDefault="004B7C84" w:rsidP="004B7C84">
      <w:pPr>
        <w:pStyle w:val="tSubpara"/>
      </w:pPr>
      <w:r w:rsidRPr="0063657F">
        <w:tab/>
      </w:r>
      <w:r w:rsidR="00F773E9">
        <w:t>(ii)</w:t>
      </w:r>
      <w:r w:rsidRPr="0063657F">
        <w:tab/>
      </w:r>
      <w:proofErr w:type="gramStart"/>
      <w:r w:rsidRPr="0063657F">
        <w:t>meeting</w:t>
      </w:r>
      <w:proofErr w:type="gramEnd"/>
      <w:r w:rsidRPr="0063657F">
        <w:t xml:space="preserve"> any measurement requirements or procedures specified in the Benchmark Emissions-Intensity Index;</w:t>
      </w:r>
    </w:p>
    <w:p w:rsidR="004B7C84" w:rsidRPr="0063657F" w:rsidRDefault="004B7C84" w:rsidP="004B7C84">
      <w:pPr>
        <w:pStyle w:val="tPara"/>
      </w:pPr>
      <w:r w:rsidRPr="0063657F">
        <w:tab/>
      </w:r>
      <w:r w:rsidR="00F773E9">
        <w:t>(b)</w:t>
      </w:r>
      <w:r w:rsidRPr="0063657F">
        <w:tab/>
      </w:r>
      <w:proofErr w:type="gramStart"/>
      <w:r w:rsidRPr="0063657F">
        <w:t>if</w:t>
      </w:r>
      <w:proofErr w:type="gramEnd"/>
      <w:r w:rsidRPr="0063657F">
        <w:t xml:space="preserve"> there is more than one production variable—set out: </w:t>
      </w:r>
    </w:p>
    <w:p w:rsidR="004B7C84" w:rsidRPr="0063657F" w:rsidRDefault="004B7C84" w:rsidP="004B7C84">
      <w:pPr>
        <w:pStyle w:val="tSubpara"/>
      </w:pPr>
      <w:r w:rsidRPr="0063657F">
        <w:tab/>
      </w:r>
      <w:r w:rsidR="00F773E9">
        <w:t>(</w:t>
      </w:r>
      <w:proofErr w:type="spellStart"/>
      <w:r w:rsidR="00F773E9">
        <w:t>i</w:t>
      </w:r>
      <w:proofErr w:type="spellEnd"/>
      <w:r w:rsidR="00F773E9">
        <w:t>)</w:t>
      </w:r>
      <w:r w:rsidRPr="0063657F">
        <w:tab/>
      </w:r>
      <w:proofErr w:type="gramStart"/>
      <w:r w:rsidRPr="0063657F">
        <w:t>the</w:t>
      </w:r>
      <w:proofErr w:type="gramEnd"/>
      <w:r w:rsidRPr="0063657F">
        <w:t xml:space="preserve"> </w:t>
      </w:r>
      <w:r w:rsidR="001033B1" w:rsidRPr="0063657F">
        <w:t>emissions intensity</w:t>
      </w:r>
      <w:r w:rsidRPr="0063657F">
        <w:t xml:space="preserve"> per unit of production for each production variable outlined under paragraph (a) in each financial year consistent with the requirements of subsection 47(4); and</w:t>
      </w:r>
    </w:p>
    <w:p w:rsidR="004B7C84" w:rsidRPr="0063657F" w:rsidRDefault="004B7C84" w:rsidP="004B7C84">
      <w:pPr>
        <w:pStyle w:val="tSubpara"/>
      </w:pPr>
      <w:r w:rsidRPr="0063657F">
        <w:tab/>
      </w:r>
      <w:r w:rsidR="00F773E9">
        <w:t>(ii)</w:t>
      </w:r>
      <w:r w:rsidRPr="0063657F">
        <w:tab/>
        <w:t xml:space="preserve">the total covered emissions in the financial year calculated by multiplying the quantity of each of the production variables in the financial year that is the subject of the application under paragraph (a) by the </w:t>
      </w:r>
      <w:r w:rsidR="001033B1" w:rsidRPr="0063657F">
        <w:t>emissions intensity</w:t>
      </w:r>
      <w:r w:rsidRPr="0063657F">
        <w:t xml:space="preserve"> of that variable in that financial year under subparagraph (b)(</w:t>
      </w:r>
      <w:proofErr w:type="spellStart"/>
      <w:r w:rsidRPr="0063657F">
        <w:t>i</w:t>
      </w:r>
      <w:proofErr w:type="spellEnd"/>
      <w:r w:rsidRPr="0063657F">
        <w:t>), and summing the results;</w:t>
      </w:r>
    </w:p>
    <w:p w:rsidR="004B7C84" w:rsidRPr="0063657F" w:rsidRDefault="004B7C84" w:rsidP="004B7C84">
      <w:pPr>
        <w:pStyle w:val="tPara"/>
      </w:pPr>
      <w:r w:rsidRPr="0063657F">
        <w:tab/>
      </w:r>
      <w:r w:rsidR="00F773E9">
        <w:t>(c)</w:t>
      </w:r>
      <w:r w:rsidRPr="0063657F">
        <w:tab/>
      </w:r>
      <w:proofErr w:type="gramStart"/>
      <w:r w:rsidRPr="0063657F">
        <w:t>an</w:t>
      </w:r>
      <w:proofErr w:type="gramEnd"/>
      <w:r w:rsidRPr="0063657F">
        <w:t xml:space="preserve"> explanation of the method used to calculate the </w:t>
      </w:r>
      <w:r w:rsidR="001033B1" w:rsidRPr="0063657F">
        <w:t>emissions intensity</w:t>
      </w:r>
      <w:r w:rsidRPr="0063657F">
        <w:t xml:space="preserve"> of each production variable and apportion any emissions consistently with the requirements of subsection 47(4).</w:t>
      </w:r>
    </w:p>
    <w:p w:rsidR="00F10732" w:rsidRPr="0063657F" w:rsidRDefault="00F10732" w:rsidP="00F10732">
      <w:pPr>
        <w:pStyle w:val="tMain"/>
      </w:pPr>
      <w:r w:rsidRPr="0063657F">
        <w:tab/>
      </w:r>
      <w:r w:rsidR="00F773E9">
        <w:t>(4)</w:t>
      </w:r>
      <w:r w:rsidRPr="0063657F">
        <w:tab/>
      </w:r>
      <w:r w:rsidR="008B1AB6" w:rsidRPr="0063657F">
        <w:t xml:space="preserve">For </w:t>
      </w:r>
      <w:r w:rsidRPr="0063657F">
        <w:t>a landfill facility</w:t>
      </w:r>
      <w:r w:rsidR="008B1AB6" w:rsidRPr="0063657F">
        <w:t xml:space="preserve">, </w:t>
      </w:r>
      <w:r w:rsidRPr="0063657F">
        <w:t>an application for a variation of a baseline determination must include the following information:</w:t>
      </w:r>
    </w:p>
    <w:p w:rsidR="00F10732" w:rsidRPr="0063657F" w:rsidRDefault="00F10732" w:rsidP="00F10732">
      <w:pPr>
        <w:pStyle w:val="tPara"/>
      </w:pPr>
      <w:r w:rsidRPr="0063657F">
        <w:tab/>
      </w:r>
      <w:r w:rsidR="00F773E9">
        <w:t>(a)</w:t>
      </w:r>
      <w:r w:rsidRPr="0063657F">
        <w:tab/>
      </w:r>
      <w:proofErr w:type="gramStart"/>
      <w:r w:rsidRPr="0063657F">
        <w:t>the</w:t>
      </w:r>
      <w:proofErr w:type="gramEnd"/>
      <w:r w:rsidRPr="0063657F">
        <w:t xml:space="preserve"> amount, in t CO</w:t>
      </w:r>
      <w:r w:rsidRPr="0063657F">
        <w:rPr>
          <w:vertAlign w:val="subscript"/>
        </w:rPr>
        <w:t>2</w:t>
      </w:r>
      <w:r w:rsidR="007F7E20" w:rsidRPr="0063657F">
        <w:rPr>
          <w:rFonts w:ascii="Helvetica Neue" w:hAnsi="Helvetica Neue"/>
          <w:b/>
          <w:bCs/>
          <w:i/>
          <w:iCs/>
          <w:sz w:val="19"/>
          <w:szCs w:val="19"/>
        </w:rPr>
        <w:noBreakHyphen/>
      </w:r>
      <w:r w:rsidRPr="0063657F">
        <w:t>e of landfill gas captured at the landfill facility in the financial year the subject of the application and the baseline intensity comparison year; and</w:t>
      </w:r>
    </w:p>
    <w:p w:rsidR="00F10732" w:rsidRPr="0063657F" w:rsidRDefault="00F10732" w:rsidP="00F10732">
      <w:pPr>
        <w:pStyle w:val="tPara"/>
      </w:pPr>
      <w:r w:rsidRPr="0063657F">
        <w:lastRenderedPageBreak/>
        <w:tab/>
      </w:r>
      <w:r w:rsidR="00F773E9">
        <w:t>(b)</w:t>
      </w:r>
      <w:r w:rsidRPr="0063657F">
        <w:tab/>
      </w:r>
      <w:proofErr w:type="gramStart"/>
      <w:r w:rsidRPr="0063657F">
        <w:t>the</w:t>
      </w:r>
      <w:proofErr w:type="gramEnd"/>
      <w:r w:rsidRPr="0063657F">
        <w:t xml:space="preserve"> amount, in t CO</w:t>
      </w:r>
      <w:r w:rsidRPr="0063657F">
        <w:rPr>
          <w:vertAlign w:val="subscript"/>
        </w:rPr>
        <w:t>2</w:t>
      </w:r>
      <w:r w:rsidR="007F7E20" w:rsidRPr="0063657F">
        <w:rPr>
          <w:rFonts w:ascii="Helvetica Neue" w:hAnsi="Helvetica Neue"/>
          <w:b/>
          <w:bCs/>
          <w:i/>
          <w:iCs/>
          <w:sz w:val="19"/>
          <w:szCs w:val="19"/>
        </w:rPr>
        <w:noBreakHyphen/>
      </w:r>
      <w:r w:rsidRPr="0063657F">
        <w:t>e, of scope 1 greenhouse gas emissions of the facility in the financial year disregarding any capture of those emissions at the facility in relation to the facility and the financial year.</w:t>
      </w:r>
    </w:p>
    <w:p w:rsidR="00F10732" w:rsidRPr="0063657F" w:rsidRDefault="00F773E9" w:rsidP="00F10732">
      <w:pPr>
        <w:pStyle w:val="h5Section"/>
      </w:pPr>
      <w:bookmarkStart w:id="68" w:name="_Toc431896999"/>
      <w:r>
        <w:t>49</w:t>
      </w:r>
      <w:r w:rsidR="00F10732" w:rsidRPr="0063657F">
        <w:t xml:space="preserve"> Audit reports</w:t>
      </w:r>
      <w:bookmarkEnd w:id="68"/>
      <w:r w:rsidR="00F10732" w:rsidRPr="0063657F">
        <w:t xml:space="preserve"> </w:t>
      </w:r>
    </w:p>
    <w:p w:rsidR="00F10732" w:rsidRPr="0063657F" w:rsidRDefault="00F10732" w:rsidP="00F10732">
      <w:pPr>
        <w:pStyle w:val="tMain"/>
      </w:pPr>
      <w:r w:rsidRPr="0063657F">
        <w:tab/>
      </w:r>
      <w:r w:rsidR="00F773E9">
        <w:t>(1)</w:t>
      </w:r>
      <w:r w:rsidRPr="0063657F">
        <w:tab/>
        <w:t>An application must be accompanied by an audit report which complies with this section.</w:t>
      </w:r>
    </w:p>
    <w:p w:rsidR="00F10732" w:rsidRPr="0063657F" w:rsidRDefault="00F10732" w:rsidP="00F10732">
      <w:pPr>
        <w:pStyle w:val="tMain"/>
      </w:pPr>
      <w:r w:rsidRPr="0063657F">
        <w:tab/>
      </w:r>
      <w:r w:rsidR="00F773E9">
        <w:t>(2)</w:t>
      </w:r>
      <w:r w:rsidRPr="0063657F">
        <w:tab/>
      </w:r>
      <w:r w:rsidR="00097167" w:rsidRPr="0063657F">
        <w:t xml:space="preserve">For a </w:t>
      </w:r>
      <w:r w:rsidRPr="0063657F">
        <w:t>facility</w:t>
      </w:r>
      <w:r w:rsidR="00097167" w:rsidRPr="0063657F">
        <w:t xml:space="preserve"> that</w:t>
      </w:r>
      <w:r w:rsidRPr="0063657F">
        <w:t xml:space="preserve"> is not a landfill facility</w:t>
      </w:r>
      <w:r w:rsidR="00097167" w:rsidRPr="0063657F">
        <w:t xml:space="preserve">, </w:t>
      </w:r>
      <w:r w:rsidRPr="0063657F">
        <w:t>the matters to be audited and covered by the audit report are whether, in all material respects:</w:t>
      </w:r>
    </w:p>
    <w:p w:rsidR="00097167" w:rsidRPr="0063657F" w:rsidRDefault="00097167" w:rsidP="00C50DD9">
      <w:pPr>
        <w:pStyle w:val="h6Subsec"/>
      </w:pPr>
      <w:r w:rsidRPr="0063657F">
        <w:t>Reasonable assurance matters</w:t>
      </w:r>
    </w:p>
    <w:p w:rsidR="00F10732" w:rsidRPr="0063657F" w:rsidRDefault="00F10732" w:rsidP="00F10732">
      <w:pPr>
        <w:pStyle w:val="tPara"/>
      </w:pPr>
      <w:r w:rsidRPr="0063657F">
        <w:tab/>
      </w:r>
      <w:r w:rsidR="00F773E9">
        <w:t>(a)</w:t>
      </w:r>
      <w:r w:rsidRPr="0063657F">
        <w:tab/>
      </w:r>
      <w:proofErr w:type="gramStart"/>
      <w:r w:rsidRPr="0063657F">
        <w:t>the</w:t>
      </w:r>
      <w:proofErr w:type="gramEnd"/>
      <w:r w:rsidRPr="0063657F">
        <w:t xml:space="preserve"> </w:t>
      </w:r>
      <w:r w:rsidR="001033B1" w:rsidRPr="0063657F">
        <w:t>emissions intensity</w:t>
      </w:r>
      <w:r w:rsidRPr="0063657F">
        <w:t xml:space="preserve"> test is satisfied; and</w:t>
      </w:r>
    </w:p>
    <w:p w:rsidR="00F10732" w:rsidRPr="0063657F" w:rsidRDefault="00F10732" w:rsidP="00F10732">
      <w:pPr>
        <w:pStyle w:val="tPara"/>
      </w:pPr>
      <w:r w:rsidRPr="0063657F">
        <w:tab/>
      </w:r>
      <w:r w:rsidR="00F773E9">
        <w:t>(b)</w:t>
      </w:r>
      <w:r w:rsidRPr="0063657F">
        <w:tab/>
      </w:r>
      <w:proofErr w:type="gramStart"/>
      <w:r w:rsidRPr="0063657F">
        <w:t>the</w:t>
      </w:r>
      <w:proofErr w:type="gramEnd"/>
      <w:r w:rsidRPr="0063657F">
        <w:t xml:space="preserve"> application has been: </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prepar</w:t>
      </w:r>
      <w:r w:rsidR="00D84C37" w:rsidRPr="0063657F">
        <w:t>ed</w:t>
      </w:r>
      <w:proofErr w:type="gramEnd"/>
      <w:r w:rsidR="00D84C37" w:rsidRPr="0063657F">
        <w:t xml:space="preserve"> in accordance with section 48</w:t>
      </w:r>
      <w:r w:rsidRPr="0063657F">
        <w:t>; and</w:t>
      </w:r>
    </w:p>
    <w:p w:rsidR="00F10732" w:rsidRPr="0063657F" w:rsidRDefault="00F10732" w:rsidP="00F10732">
      <w:pPr>
        <w:pStyle w:val="tSubpara"/>
      </w:pPr>
      <w:r w:rsidRPr="0063657F">
        <w:tab/>
      </w:r>
      <w:r w:rsidR="00F773E9">
        <w:t>(ii)</w:t>
      </w:r>
      <w:r w:rsidRPr="0063657F">
        <w:tab/>
      </w:r>
      <w:proofErr w:type="gramStart"/>
      <w:r w:rsidRPr="0063657F">
        <w:t>presented</w:t>
      </w:r>
      <w:proofErr w:type="gramEnd"/>
      <w:r w:rsidRPr="0063657F">
        <w:t xml:space="preserve"> fairly; and</w:t>
      </w:r>
    </w:p>
    <w:p w:rsidR="00F10732" w:rsidRPr="0063657F" w:rsidRDefault="00F10732" w:rsidP="00F10732">
      <w:pPr>
        <w:pStyle w:val="tPara"/>
      </w:pPr>
      <w:r w:rsidRPr="0063657F">
        <w:tab/>
      </w:r>
      <w:r w:rsidR="00F773E9">
        <w:t>(c)</w:t>
      </w:r>
      <w:r w:rsidRPr="0063657F">
        <w:tab/>
      </w:r>
      <w:proofErr w:type="gramStart"/>
      <w:r w:rsidRPr="0063657F">
        <w:t>that</w:t>
      </w:r>
      <w:proofErr w:type="gramEnd"/>
      <w:r w:rsidRPr="0063657F">
        <w:t xml:space="preserve"> the estimates of the quantity of each production variable:</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meet</w:t>
      </w:r>
      <w:proofErr w:type="gramEnd"/>
      <w:r w:rsidRPr="0063657F">
        <w:t xml:space="preserve"> </w:t>
      </w:r>
      <w:r w:rsidR="00D84C37" w:rsidRPr="0063657F">
        <w:t xml:space="preserve">the requirements of </w:t>
      </w:r>
      <w:r w:rsidR="00FA2A6A" w:rsidRPr="0063657F">
        <w:t>subsection</w:t>
      </w:r>
      <w:r w:rsidR="00D84C37" w:rsidRPr="0063657F">
        <w:t xml:space="preserve"> 48</w:t>
      </w:r>
      <w:r w:rsidRPr="0063657F">
        <w:t>(2)</w:t>
      </w:r>
      <w:r w:rsidR="000817AA" w:rsidRPr="0063657F">
        <w:t xml:space="preserve"> or paragraph 48(3)(a)</w:t>
      </w:r>
      <w:r w:rsidRPr="0063657F">
        <w:t>; and</w:t>
      </w:r>
    </w:p>
    <w:p w:rsidR="00F10732" w:rsidRPr="0063657F" w:rsidRDefault="00F10732" w:rsidP="00F10732">
      <w:pPr>
        <w:pStyle w:val="tSubpara"/>
      </w:pPr>
      <w:r w:rsidRPr="0063657F">
        <w:tab/>
      </w:r>
      <w:r w:rsidR="00F773E9">
        <w:t>(ii)</w:t>
      </w:r>
      <w:r w:rsidRPr="0063657F">
        <w:tab/>
      </w:r>
      <w:proofErr w:type="gramStart"/>
      <w:r w:rsidRPr="0063657F">
        <w:t>are</w:t>
      </w:r>
      <w:proofErr w:type="gramEnd"/>
      <w:r w:rsidRPr="0063657F">
        <w:t xml:space="preserve"> supported by historical data</w:t>
      </w:r>
      <w:r w:rsidR="00396C50" w:rsidRPr="0063657F">
        <w:t xml:space="preserve"> that is fairly stated</w:t>
      </w:r>
      <w:r w:rsidRPr="0063657F">
        <w:t>; and</w:t>
      </w:r>
    </w:p>
    <w:p w:rsidR="00F10732" w:rsidRPr="0063657F" w:rsidRDefault="00F10732" w:rsidP="00F10732">
      <w:pPr>
        <w:pStyle w:val="tPara"/>
      </w:pPr>
      <w:r w:rsidRPr="0063657F">
        <w:tab/>
      </w:r>
      <w:r w:rsidR="00F773E9">
        <w:t>(d)</w:t>
      </w:r>
      <w:r w:rsidRPr="0063657F">
        <w:tab/>
      </w:r>
      <w:proofErr w:type="gramStart"/>
      <w:r w:rsidRPr="0063657F">
        <w:t>the</w:t>
      </w:r>
      <w:proofErr w:type="gramEnd"/>
      <w:r w:rsidRPr="0063657F">
        <w:t xml:space="preserve"> calculation of the </w:t>
      </w:r>
      <w:r w:rsidR="001033B1" w:rsidRPr="0063657F">
        <w:t>emissions intensity</w:t>
      </w:r>
      <w:r w:rsidRPr="0063657F">
        <w:t xml:space="preserve"> of each production variable:</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meets</w:t>
      </w:r>
      <w:proofErr w:type="gramEnd"/>
      <w:r w:rsidRPr="0063657F">
        <w:t xml:space="preserve"> t</w:t>
      </w:r>
      <w:r w:rsidR="00D84C37" w:rsidRPr="0063657F">
        <w:t>he requirements of subsection 47</w:t>
      </w:r>
      <w:r w:rsidR="008D1E78" w:rsidRPr="0063657F">
        <w:t>(4</w:t>
      </w:r>
      <w:r w:rsidRPr="0063657F">
        <w:t>); and</w:t>
      </w:r>
    </w:p>
    <w:p w:rsidR="00F10732" w:rsidRPr="0063657F" w:rsidRDefault="00F10732" w:rsidP="00F10732">
      <w:pPr>
        <w:pStyle w:val="tSubpara"/>
      </w:pPr>
      <w:r w:rsidRPr="0063657F">
        <w:tab/>
      </w:r>
      <w:r w:rsidR="00F773E9">
        <w:t>(ii)</w:t>
      </w:r>
      <w:r w:rsidRPr="0063657F">
        <w:tab/>
      </w:r>
      <w:proofErr w:type="gramStart"/>
      <w:r w:rsidRPr="0063657F">
        <w:t>is</w:t>
      </w:r>
      <w:proofErr w:type="gramEnd"/>
      <w:r w:rsidRPr="0063657F">
        <w:t xml:space="preserve"> supported by historical data</w:t>
      </w:r>
      <w:r w:rsidR="00396C50" w:rsidRPr="0063657F">
        <w:t xml:space="preserve"> that is fairly stated</w:t>
      </w:r>
      <w:r w:rsidRPr="0063657F">
        <w:t>.</w:t>
      </w:r>
    </w:p>
    <w:p w:rsidR="00F10732" w:rsidRPr="0063657F" w:rsidRDefault="00F10732" w:rsidP="00F10732">
      <w:pPr>
        <w:pStyle w:val="tMain"/>
      </w:pPr>
      <w:r w:rsidRPr="0063657F">
        <w:tab/>
      </w:r>
      <w:r w:rsidR="00F773E9">
        <w:t>(3)</w:t>
      </w:r>
      <w:r w:rsidRPr="0063657F">
        <w:tab/>
      </w:r>
      <w:r w:rsidR="00097167" w:rsidRPr="0063657F">
        <w:t>For</w:t>
      </w:r>
      <w:r w:rsidRPr="0063657F">
        <w:t xml:space="preserve"> a landfill facility</w:t>
      </w:r>
      <w:r w:rsidR="00AB40C3" w:rsidRPr="0063657F">
        <w:t xml:space="preserve">, </w:t>
      </w:r>
      <w:r w:rsidRPr="0063657F">
        <w:t>the matters to be audited and covered by the audit report are whether, in all material respects:</w:t>
      </w:r>
    </w:p>
    <w:p w:rsidR="00F10732" w:rsidRPr="0063657F" w:rsidRDefault="00F10732" w:rsidP="00F10732">
      <w:pPr>
        <w:pStyle w:val="tPara"/>
      </w:pPr>
      <w:r w:rsidRPr="0063657F">
        <w:tab/>
      </w:r>
      <w:r w:rsidR="00F773E9">
        <w:t>(a)</w:t>
      </w:r>
      <w:r w:rsidRPr="0063657F">
        <w:tab/>
      </w:r>
      <w:proofErr w:type="gramStart"/>
      <w:r w:rsidRPr="0063657F">
        <w:t>the</w:t>
      </w:r>
      <w:proofErr w:type="gramEnd"/>
      <w:r w:rsidRPr="0063657F">
        <w:t xml:space="preserve"> </w:t>
      </w:r>
      <w:r w:rsidR="001033B1" w:rsidRPr="0063657F">
        <w:t>emissions intensity</w:t>
      </w:r>
      <w:r w:rsidRPr="0063657F">
        <w:t xml:space="preserve"> test is satisfied; and</w:t>
      </w:r>
    </w:p>
    <w:p w:rsidR="00F10732" w:rsidRPr="0063657F" w:rsidRDefault="00F10732" w:rsidP="00F10732">
      <w:pPr>
        <w:pStyle w:val="tPara"/>
      </w:pPr>
      <w:r w:rsidRPr="0063657F">
        <w:tab/>
      </w:r>
      <w:r w:rsidR="00F773E9">
        <w:t>(b)</w:t>
      </w:r>
      <w:r w:rsidRPr="0063657F">
        <w:tab/>
      </w:r>
      <w:proofErr w:type="gramStart"/>
      <w:r w:rsidRPr="0063657F">
        <w:t>the</w:t>
      </w:r>
      <w:proofErr w:type="gramEnd"/>
      <w:r w:rsidRPr="0063657F">
        <w:t xml:space="preserve"> information included u</w:t>
      </w:r>
      <w:r w:rsidR="00D84C37" w:rsidRPr="0063657F">
        <w:t>nder subsection 48</w:t>
      </w:r>
      <w:r w:rsidR="007D7001" w:rsidRPr="0063657F">
        <w:t>(4</w:t>
      </w:r>
      <w:r w:rsidRPr="0063657F">
        <w:t xml:space="preserve">) is: </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correctly</w:t>
      </w:r>
      <w:proofErr w:type="gramEnd"/>
      <w:r w:rsidRPr="0063657F">
        <w:t xml:space="preserve"> stated; and</w:t>
      </w:r>
    </w:p>
    <w:p w:rsidR="00F10732" w:rsidRPr="0063657F" w:rsidRDefault="00F10732" w:rsidP="00F10732">
      <w:pPr>
        <w:pStyle w:val="tSubpara"/>
      </w:pPr>
      <w:r w:rsidRPr="0063657F">
        <w:tab/>
      </w:r>
      <w:r w:rsidR="00F773E9">
        <w:t>(ii)</w:t>
      </w:r>
      <w:r w:rsidRPr="0063657F">
        <w:tab/>
      </w:r>
      <w:proofErr w:type="gramStart"/>
      <w:r w:rsidRPr="0063657F">
        <w:t>supported</w:t>
      </w:r>
      <w:proofErr w:type="gramEnd"/>
      <w:r w:rsidRPr="0063657F">
        <w:t xml:space="preserve"> by historical data</w:t>
      </w:r>
      <w:r w:rsidR="00396C50" w:rsidRPr="0063657F">
        <w:t xml:space="preserve"> that is fairly stated</w:t>
      </w:r>
      <w:r w:rsidRPr="0063657F">
        <w:t>.</w:t>
      </w:r>
    </w:p>
    <w:p w:rsidR="00F10732" w:rsidRPr="0063657F" w:rsidRDefault="00F10732" w:rsidP="00F10732">
      <w:pPr>
        <w:pStyle w:val="tMain"/>
      </w:pPr>
      <w:r w:rsidRPr="0063657F">
        <w:tab/>
      </w:r>
      <w:r w:rsidR="00F773E9">
        <w:t>(4)</w:t>
      </w:r>
      <w:r w:rsidRPr="0063657F">
        <w:tab/>
        <w:t xml:space="preserve">The audit report must include one of the following conclusions for the engagement under the </w:t>
      </w:r>
      <w:r w:rsidRPr="0063657F">
        <w:rPr>
          <w:i/>
        </w:rPr>
        <w:t>National Greenhouse and Energy Reporting (Audit) Determination 2009</w:t>
      </w:r>
      <w:r w:rsidRPr="0063657F">
        <w:t>:</w:t>
      </w:r>
    </w:p>
    <w:p w:rsidR="00F10732" w:rsidRPr="0063657F" w:rsidRDefault="00F10732" w:rsidP="00F10732">
      <w:pPr>
        <w:pStyle w:val="tPara"/>
      </w:pPr>
      <w:r w:rsidRPr="0063657F">
        <w:tab/>
      </w:r>
      <w:r w:rsidR="00F773E9">
        <w:t>(a)</w:t>
      </w:r>
      <w:r w:rsidRPr="0063657F">
        <w:tab/>
      </w:r>
      <w:proofErr w:type="gramStart"/>
      <w:r w:rsidRPr="0063657F">
        <w:t>a</w:t>
      </w:r>
      <w:proofErr w:type="gramEnd"/>
      <w:r w:rsidRPr="0063657F">
        <w:t xml:space="preserve"> reasonable assurance conclusion;</w:t>
      </w:r>
    </w:p>
    <w:p w:rsidR="00F10732" w:rsidRPr="0063657F" w:rsidRDefault="00F10732" w:rsidP="00F10732">
      <w:pPr>
        <w:pStyle w:val="tPara"/>
      </w:pPr>
      <w:r w:rsidRPr="0063657F">
        <w:tab/>
      </w:r>
      <w:r w:rsidR="00F773E9">
        <w:t>(b)</w:t>
      </w:r>
      <w:r w:rsidRPr="0063657F">
        <w:tab/>
      </w:r>
      <w:proofErr w:type="gramStart"/>
      <w:r w:rsidRPr="0063657F">
        <w:t>a</w:t>
      </w:r>
      <w:proofErr w:type="gramEnd"/>
      <w:r w:rsidRPr="0063657F">
        <w:t xml:space="preserve"> qualified reasonable assurance conclusion;</w:t>
      </w:r>
    </w:p>
    <w:p w:rsidR="00F10732" w:rsidRPr="0063657F" w:rsidRDefault="00F10732" w:rsidP="00F10732">
      <w:pPr>
        <w:pStyle w:val="tPara"/>
      </w:pPr>
      <w:r w:rsidRPr="0063657F">
        <w:tab/>
      </w:r>
      <w:r w:rsidR="00F773E9">
        <w:t>(c)</w:t>
      </w:r>
      <w:r w:rsidRPr="0063657F">
        <w:tab/>
      </w:r>
      <w:proofErr w:type="gramStart"/>
      <w:r w:rsidRPr="0063657F">
        <w:t>an</w:t>
      </w:r>
      <w:proofErr w:type="gramEnd"/>
      <w:r w:rsidRPr="0063657F">
        <w:t xml:space="preserve"> adverse conclusion;</w:t>
      </w:r>
    </w:p>
    <w:p w:rsidR="00F10732" w:rsidRPr="0063657F" w:rsidRDefault="00F10732" w:rsidP="00F10732">
      <w:pPr>
        <w:pStyle w:val="tPara"/>
      </w:pPr>
      <w:r w:rsidRPr="0063657F">
        <w:tab/>
      </w:r>
      <w:r w:rsidR="00F773E9">
        <w:t>(d)</w:t>
      </w:r>
      <w:r w:rsidRPr="0063657F">
        <w:tab/>
      </w:r>
      <w:proofErr w:type="gramStart"/>
      <w:r w:rsidRPr="0063657F">
        <w:t>a</w:t>
      </w:r>
      <w:proofErr w:type="gramEnd"/>
      <w:r w:rsidRPr="0063657F">
        <w:t xml:space="preserve"> conclusion that </w:t>
      </w:r>
      <w:r w:rsidR="00A72BB5" w:rsidRPr="0063657F">
        <w:t xml:space="preserve">the </w:t>
      </w:r>
      <w:r w:rsidRPr="0063657F">
        <w:t xml:space="preserve">assurance provider is unable to form an opinion about the matter being audited. </w:t>
      </w:r>
    </w:p>
    <w:p w:rsidR="00F10732" w:rsidRPr="0063657F" w:rsidRDefault="00F10732" w:rsidP="00F10732">
      <w:pPr>
        <w:pStyle w:val="tMain"/>
      </w:pPr>
      <w:r w:rsidRPr="0063657F">
        <w:tab/>
      </w:r>
      <w:r w:rsidR="00F773E9">
        <w:t>(5)</w:t>
      </w:r>
      <w:r w:rsidRPr="0063657F">
        <w:tab/>
        <w:t>An audit report under this section must be the result of an audit which:</w:t>
      </w:r>
    </w:p>
    <w:p w:rsidR="00F10732" w:rsidRPr="0063657F" w:rsidRDefault="00F10732" w:rsidP="00F10732">
      <w:pPr>
        <w:pStyle w:val="tPara"/>
      </w:pPr>
      <w:r w:rsidRPr="0063657F">
        <w:tab/>
        <w:t>(a)</w:t>
      </w:r>
      <w:r w:rsidRPr="0063657F">
        <w:tab/>
      </w:r>
      <w:proofErr w:type="gramStart"/>
      <w:r w:rsidRPr="0063657F">
        <w:t>was</w:t>
      </w:r>
      <w:proofErr w:type="gramEnd"/>
      <w:r w:rsidRPr="0063657F">
        <w:t xml:space="preserve"> conducted in accordance with the relevant requirements for reasonable assurance engagements under the </w:t>
      </w:r>
      <w:r w:rsidRPr="0063657F">
        <w:rPr>
          <w:i/>
        </w:rPr>
        <w:t>National Greenhouse and Energy Reporting (Audit) Determination 2009</w:t>
      </w:r>
      <w:r w:rsidRPr="0063657F">
        <w:t>; and</w:t>
      </w:r>
    </w:p>
    <w:p w:rsidR="00F10732" w:rsidRPr="0063657F" w:rsidRDefault="00F10732" w:rsidP="00F10732">
      <w:pPr>
        <w:pStyle w:val="tPara"/>
      </w:pPr>
      <w:r w:rsidRPr="0063657F">
        <w:tab/>
        <w:t>(b)</w:t>
      </w:r>
      <w:r w:rsidRPr="0063657F">
        <w:tab/>
      </w:r>
      <w:proofErr w:type="gramStart"/>
      <w:r w:rsidRPr="0063657F">
        <w:t>had</w:t>
      </w:r>
      <w:proofErr w:type="gramEnd"/>
      <w:r w:rsidRPr="0063657F">
        <w:t xml:space="preserve"> an audit team leader who is registered as a Category 2 auditor under </w:t>
      </w:r>
      <w:proofErr w:type="spellStart"/>
      <w:r w:rsidRPr="0063657F">
        <w:t>subregulation</w:t>
      </w:r>
      <w:proofErr w:type="spellEnd"/>
      <w:r w:rsidRPr="0063657F">
        <w:t xml:space="preserve"> 6.25(3) of the </w:t>
      </w:r>
      <w:r w:rsidR="007540C5" w:rsidRPr="0063657F">
        <w:t>NGER Regulations</w:t>
      </w:r>
      <w:r w:rsidRPr="0063657F">
        <w:t>; and</w:t>
      </w:r>
    </w:p>
    <w:p w:rsidR="00F10732" w:rsidRPr="0063657F" w:rsidRDefault="00F10732" w:rsidP="00F10732">
      <w:pPr>
        <w:pStyle w:val="tPara"/>
      </w:pPr>
      <w:r w:rsidRPr="0063657F">
        <w:tab/>
        <w:t>(c)</w:t>
      </w:r>
      <w:r w:rsidRPr="0063657F">
        <w:tab/>
      </w:r>
      <w:proofErr w:type="gramStart"/>
      <w:r w:rsidRPr="0063657F">
        <w:t>was</w:t>
      </w:r>
      <w:proofErr w:type="gramEnd"/>
      <w:r w:rsidRPr="0063657F">
        <w:t xml:space="preserve"> otherwise in accordance with subsection 75(1) of the Act.</w:t>
      </w:r>
    </w:p>
    <w:p w:rsidR="00F10732" w:rsidRPr="0063657F" w:rsidRDefault="00F773E9" w:rsidP="00F10732">
      <w:pPr>
        <w:pStyle w:val="h5Section"/>
      </w:pPr>
      <w:bookmarkStart w:id="69" w:name="_Toc431897000"/>
      <w:proofErr w:type="gramStart"/>
      <w:r>
        <w:t>50</w:t>
      </w:r>
      <w:r w:rsidR="00F10732" w:rsidRPr="0063657F">
        <w:t xml:space="preserve"> Further information</w:t>
      </w:r>
      <w:bookmarkEnd w:id="69"/>
      <w:proofErr w:type="gramEnd"/>
    </w:p>
    <w:p w:rsidR="00F10732" w:rsidRPr="0063657F" w:rsidRDefault="00F10732" w:rsidP="00F10732">
      <w:pPr>
        <w:pStyle w:val="tMain"/>
      </w:pPr>
      <w:r w:rsidRPr="0063657F">
        <w:tab/>
      </w:r>
      <w:r w:rsidR="00F773E9">
        <w:t>(1)</w:t>
      </w:r>
      <w:r w:rsidRPr="0063657F">
        <w:tab/>
        <w:t>The Regulator may, by written notice given to an applicant, require the applicant to give the Regulator, within the period specified in the notice, further information in connection with the application.</w:t>
      </w:r>
    </w:p>
    <w:p w:rsidR="00F10732" w:rsidRPr="0063657F" w:rsidRDefault="00F10732" w:rsidP="00F10732">
      <w:pPr>
        <w:pStyle w:val="tMain"/>
      </w:pPr>
      <w:r w:rsidRPr="0063657F">
        <w:lastRenderedPageBreak/>
        <w:tab/>
      </w:r>
      <w:r w:rsidR="00F773E9">
        <w:t>(2)</w:t>
      </w:r>
      <w:r w:rsidRPr="0063657F">
        <w:tab/>
        <w:t>If the applicant breaches the requirement, the Regulator may, by written notice given to the applicant:</w:t>
      </w:r>
    </w:p>
    <w:p w:rsidR="00F10732" w:rsidRPr="0063657F" w:rsidRDefault="00F10732" w:rsidP="00F10732">
      <w:pPr>
        <w:pStyle w:val="tPara"/>
      </w:pPr>
      <w:r w:rsidRPr="0063657F">
        <w:tab/>
      </w:r>
      <w:r w:rsidR="00F773E9">
        <w:t>(a)</w:t>
      </w:r>
      <w:r w:rsidRPr="0063657F">
        <w:tab/>
      </w:r>
      <w:proofErr w:type="gramStart"/>
      <w:r w:rsidRPr="0063657F">
        <w:t>refuse</w:t>
      </w:r>
      <w:proofErr w:type="gramEnd"/>
      <w:r w:rsidRPr="0063657F">
        <w:t xml:space="preserve"> to consider the application; or</w:t>
      </w:r>
    </w:p>
    <w:p w:rsidR="00F10732" w:rsidRPr="0063657F" w:rsidRDefault="00F10732" w:rsidP="00F10732">
      <w:pPr>
        <w:pStyle w:val="tPara"/>
        <w:rPr>
          <w:b/>
          <w:sz w:val="28"/>
          <w:szCs w:val="28"/>
        </w:rPr>
      </w:pPr>
      <w:r w:rsidRPr="0063657F">
        <w:tab/>
      </w:r>
      <w:r w:rsidR="00F773E9">
        <w:t>(b)</w:t>
      </w:r>
      <w:r w:rsidRPr="0063657F">
        <w:tab/>
      </w:r>
      <w:proofErr w:type="gramStart"/>
      <w:r w:rsidRPr="0063657F">
        <w:t>refuse</w:t>
      </w:r>
      <w:proofErr w:type="gramEnd"/>
      <w:r w:rsidRPr="0063657F">
        <w:t xml:space="preserve"> to take any action, or any further action, in relation to the application.</w:t>
      </w:r>
    </w:p>
    <w:p w:rsidR="00F10732" w:rsidRPr="0063657F" w:rsidRDefault="00F773E9" w:rsidP="00F10732">
      <w:pPr>
        <w:pStyle w:val="h5Section"/>
      </w:pPr>
      <w:bookmarkStart w:id="70" w:name="_Toc431897001"/>
      <w:r>
        <w:t>51</w:t>
      </w:r>
      <w:r w:rsidR="00F10732" w:rsidRPr="0063657F">
        <w:t xml:space="preserve"> Variation of baseline determination</w:t>
      </w:r>
      <w:bookmarkEnd w:id="70"/>
    </w:p>
    <w:p w:rsidR="00F10732" w:rsidRPr="0063657F" w:rsidRDefault="00F10732" w:rsidP="00F10732">
      <w:pPr>
        <w:pStyle w:val="h6Subsec"/>
      </w:pPr>
      <w:r w:rsidRPr="0063657F">
        <w:t>Scope</w:t>
      </w:r>
    </w:p>
    <w:p w:rsidR="00F10732" w:rsidRPr="0063657F" w:rsidRDefault="00F10732" w:rsidP="00F10732">
      <w:pPr>
        <w:pStyle w:val="tMain"/>
      </w:pPr>
      <w:r w:rsidRPr="0063657F">
        <w:tab/>
      </w:r>
      <w:r w:rsidR="00F773E9">
        <w:t>(1)</w:t>
      </w:r>
      <w:r w:rsidRPr="0063657F">
        <w:tab/>
        <w:t>This section applies if an application under section </w:t>
      </w:r>
      <w:r w:rsidR="00D84C37" w:rsidRPr="0063657F">
        <w:t>46</w:t>
      </w:r>
      <w:r w:rsidRPr="0063657F">
        <w:t xml:space="preserve"> has been made for variation of a baseline determination for a facility.</w:t>
      </w:r>
    </w:p>
    <w:p w:rsidR="00F10732" w:rsidRPr="0063657F" w:rsidRDefault="00F10732" w:rsidP="00F10732">
      <w:pPr>
        <w:pStyle w:val="h6Subsec"/>
      </w:pPr>
      <w:r w:rsidRPr="0063657F">
        <w:t>Variation</w:t>
      </w:r>
    </w:p>
    <w:p w:rsidR="00F10732" w:rsidRPr="0063657F" w:rsidRDefault="00F10732" w:rsidP="00F10732">
      <w:pPr>
        <w:pStyle w:val="tMain"/>
      </w:pPr>
      <w:r w:rsidRPr="0063657F">
        <w:tab/>
      </w:r>
      <w:r w:rsidR="00F773E9">
        <w:t>(2)</w:t>
      </w:r>
      <w:r w:rsidRPr="0063657F">
        <w:tab/>
        <w:t>The Regulator may vary the baseline determination to increase the baseline emissions number for the year so that it equals the amount of covered emissions (in t CO</w:t>
      </w:r>
      <w:r w:rsidRPr="0063657F">
        <w:rPr>
          <w:vertAlign w:val="subscript"/>
        </w:rPr>
        <w:t>2</w:t>
      </w:r>
      <w:r w:rsidR="007F7E20" w:rsidRPr="0063657F">
        <w:rPr>
          <w:rFonts w:ascii="Helvetica Neue" w:hAnsi="Helvetica Neue"/>
          <w:b/>
          <w:bCs/>
          <w:i/>
          <w:iCs/>
          <w:sz w:val="19"/>
          <w:szCs w:val="19"/>
        </w:rPr>
        <w:noBreakHyphen/>
      </w:r>
      <w:r w:rsidRPr="0063657F">
        <w:t>e) for the financial year the subject of the application if satisfied that:</w:t>
      </w:r>
    </w:p>
    <w:p w:rsidR="00F10732" w:rsidRPr="0063657F" w:rsidRDefault="00F10732" w:rsidP="00F10732">
      <w:pPr>
        <w:pStyle w:val="tPara"/>
      </w:pPr>
      <w:r w:rsidRPr="0063657F">
        <w:tab/>
      </w:r>
      <w:r w:rsidR="00F773E9">
        <w:t>(a)</w:t>
      </w:r>
      <w:r w:rsidRPr="0063657F">
        <w:tab/>
      </w:r>
      <w:proofErr w:type="gramStart"/>
      <w:r w:rsidRPr="0063657F">
        <w:t>the</w:t>
      </w:r>
      <w:proofErr w:type="gramEnd"/>
      <w:r w:rsidRPr="0063657F">
        <w:t xml:space="preserve"> audit report accompanying an application contains a reasonable assurance conclusion or qualified reasonable assurance conclusion; and</w:t>
      </w:r>
    </w:p>
    <w:p w:rsidR="00F10732" w:rsidRPr="0063657F" w:rsidRDefault="00F10732" w:rsidP="00F10732">
      <w:pPr>
        <w:pStyle w:val="tPara"/>
      </w:pPr>
      <w:r w:rsidRPr="0063657F">
        <w:tab/>
      </w:r>
      <w:r w:rsidR="00F773E9">
        <w:t>(b)</w:t>
      </w:r>
      <w:r w:rsidRPr="0063657F">
        <w:tab/>
      </w:r>
      <w:proofErr w:type="gramStart"/>
      <w:r w:rsidRPr="0063657F">
        <w:t>the</w:t>
      </w:r>
      <w:proofErr w:type="gramEnd"/>
      <w:r w:rsidRPr="0063657F">
        <w:t xml:space="preserve"> </w:t>
      </w:r>
      <w:r w:rsidR="001033B1" w:rsidRPr="0063657F">
        <w:t>emissions intensity</w:t>
      </w:r>
      <w:r w:rsidRPr="0063657F">
        <w:t xml:space="preserve"> test is met in relation to the financial year the subject of the application; and</w:t>
      </w:r>
    </w:p>
    <w:p w:rsidR="00F10732" w:rsidRPr="0063657F" w:rsidRDefault="00F10732" w:rsidP="00F10732">
      <w:pPr>
        <w:pStyle w:val="tPara"/>
      </w:pPr>
      <w:r w:rsidRPr="0063657F">
        <w:tab/>
      </w:r>
      <w:r w:rsidR="00F773E9">
        <w:t>(c)</w:t>
      </w:r>
      <w:r w:rsidRPr="0063657F">
        <w:tab/>
      </w:r>
      <w:proofErr w:type="gramStart"/>
      <w:r w:rsidRPr="0063657F">
        <w:t>if</w:t>
      </w:r>
      <w:proofErr w:type="gramEnd"/>
      <w:r w:rsidRPr="0063657F">
        <w:t xml:space="preserve"> the facility is not a landfill facility—the </w:t>
      </w:r>
      <w:r w:rsidR="00EC1496" w:rsidRPr="0063657F">
        <w:t>quantity</w:t>
      </w:r>
      <w:r w:rsidRPr="0063657F">
        <w:t xml:space="preserve"> of each production variable </w:t>
      </w:r>
      <w:r w:rsidR="0000613B" w:rsidRPr="0063657F">
        <w:t>met the requirements of subsection 48(2) or paragraph 48(3)(a);</w:t>
      </w:r>
    </w:p>
    <w:p w:rsidR="00F10732" w:rsidRPr="0063657F" w:rsidRDefault="00F10732" w:rsidP="00F10732">
      <w:pPr>
        <w:pStyle w:val="tPara"/>
      </w:pPr>
      <w:r w:rsidRPr="0063657F">
        <w:tab/>
      </w:r>
      <w:r w:rsidR="00F773E9">
        <w:t>(d)</w:t>
      </w:r>
      <w:r w:rsidRPr="0063657F">
        <w:tab/>
      </w:r>
      <w:proofErr w:type="gramStart"/>
      <w:r w:rsidRPr="0063657F">
        <w:t>if</w:t>
      </w:r>
      <w:proofErr w:type="gramEnd"/>
      <w:r w:rsidRPr="0063657F">
        <w:t xml:space="preserve"> there is more than one production variable and the facility is not a landfill facility—</w:t>
      </w:r>
      <w:r w:rsidR="0000613B" w:rsidRPr="0063657F">
        <w:t xml:space="preserve">the </w:t>
      </w:r>
      <w:r w:rsidR="001033B1" w:rsidRPr="0063657F">
        <w:t>emissions intensity</w:t>
      </w:r>
      <w:r w:rsidR="0000613B" w:rsidRPr="0063657F">
        <w:t xml:space="preserve"> of each production variable meets the requirements of subsection 47(4)</w:t>
      </w:r>
      <w:r w:rsidRPr="0063657F">
        <w:t>.</w:t>
      </w:r>
    </w:p>
    <w:p w:rsidR="00F10732" w:rsidRPr="0063657F" w:rsidRDefault="00F10732" w:rsidP="00F10732">
      <w:pPr>
        <w:pStyle w:val="tMain"/>
      </w:pPr>
      <w:r w:rsidRPr="0063657F">
        <w:tab/>
      </w:r>
      <w:r w:rsidR="00F773E9">
        <w:t>(3)</w:t>
      </w:r>
      <w:r w:rsidRPr="0063657F">
        <w:tab/>
        <w:t xml:space="preserve">The varied baseline emissions number is to be rounded </w:t>
      </w:r>
      <w:r w:rsidR="0000613B" w:rsidRPr="0063657F">
        <w:t xml:space="preserve">up </w:t>
      </w:r>
      <w:r w:rsidRPr="0063657F">
        <w:t>to the ne</w:t>
      </w:r>
      <w:r w:rsidR="00692ED7" w:rsidRPr="0063657F">
        <w:t>xt</w:t>
      </w:r>
      <w:r w:rsidR="0000613B" w:rsidRPr="0063657F">
        <w:t xml:space="preserve"> whole number</w:t>
      </w:r>
      <w:r w:rsidRPr="0063657F">
        <w:t>.</w:t>
      </w:r>
    </w:p>
    <w:p w:rsidR="00F10732" w:rsidRPr="0063657F" w:rsidRDefault="00F10732" w:rsidP="00F10732">
      <w:pPr>
        <w:pStyle w:val="h6Subsec"/>
      </w:pPr>
      <w:r w:rsidRPr="0063657F">
        <w:t>Timing</w:t>
      </w:r>
    </w:p>
    <w:p w:rsidR="00F10732" w:rsidRPr="0063657F" w:rsidRDefault="00F10732" w:rsidP="00F10732">
      <w:pPr>
        <w:pStyle w:val="tMain"/>
      </w:pPr>
      <w:r w:rsidRPr="0063657F">
        <w:tab/>
      </w:r>
      <w:r w:rsidR="00F773E9">
        <w:t>(4)</w:t>
      </w:r>
      <w:r w:rsidRPr="0063657F">
        <w:tab/>
        <w:t>The Regulator must take all reasonable steps to ensure that a decision is made on the application:</w:t>
      </w:r>
    </w:p>
    <w:p w:rsidR="00F10732" w:rsidRPr="0063657F" w:rsidRDefault="00F10732" w:rsidP="00F10732">
      <w:pPr>
        <w:pStyle w:val="tPara"/>
      </w:pPr>
      <w:r w:rsidRPr="0063657F">
        <w:tab/>
      </w:r>
      <w:r w:rsidR="00F773E9">
        <w:t>(a)</w:t>
      </w:r>
      <w:r w:rsidRPr="0063657F">
        <w:tab/>
        <w:t>if the Regulator requires the applicant to give further</w:t>
      </w:r>
      <w:r w:rsidR="004F1247" w:rsidRPr="0063657F">
        <w:t xml:space="preserve"> information under subsection 50</w:t>
      </w:r>
      <w:r w:rsidRPr="0063657F">
        <w:t>(1) in relation to the application—within 60 days after the applicant gave the Regulator the information; or</w:t>
      </w:r>
    </w:p>
    <w:p w:rsidR="00F10732" w:rsidRPr="0063657F" w:rsidRDefault="00F10732" w:rsidP="00F10732">
      <w:pPr>
        <w:pStyle w:val="tPara"/>
      </w:pPr>
      <w:r w:rsidRPr="0063657F">
        <w:tab/>
      </w:r>
      <w:r w:rsidR="00F773E9">
        <w:t>(b)</w:t>
      </w:r>
      <w:r w:rsidRPr="0063657F">
        <w:tab/>
      </w:r>
      <w:proofErr w:type="gramStart"/>
      <w:r w:rsidRPr="0063657F">
        <w:t>otherwise—</w:t>
      </w:r>
      <w:proofErr w:type="gramEnd"/>
      <w:r w:rsidRPr="0063657F">
        <w:t>within 60 days after the application was made.</w:t>
      </w:r>
    </w:p>
    <w:p w:rsidR="00F10732" w:rsidRPr="0063657F" w:rsidRDefault="00F10732" w:rsidP="00F10732">
      <w:pPr>
        <w:pStyle w:val="h6Subsec"/>
      </w:pPr>
      <w:r w:rsidRPr="0063657F">
        <w:t xml:space="preserve">Notification and publication </w:t>
      </w:r>
    </w:p>
    <w:p w:rsidR="00F10732" w:rsidRPr="0063657F" w:rsidRDefault="00F10732" w:rsidP="00F10732">
      <w:pPr>
        <w:pStyle w:val="tMain"/>
      </w:pPr>
      <w:r w:rsidRPr="0063657F">
        <w:tab/>
      </w:r>
      <w:r w:rsidR="00F773E9">
        <w:t>(5)</w:t>
      </w:r>
      <w:r w:rsidRPr="0063657F">
        <w:tab/>
      </w:r>
      <w:proofErr w:type="gramStart"/>
      <w:r w:rsidRPr="0063657F">
        <w:t>As</w:t>
      </w:r>
      <w:proofErr w:type="gramEnd"/>
      <w:r w:rsidRPr="0063657F">
        <w:t xml:space="preserve"> soon as practicable after varying a baseline determination, the Regulator must:</w:t>
      </w:r>
    </w:p>
    <w:p w:rsidR="00F10732" w:rsidRPr="0063657F" w:rsidRDefault="00F10732" w:rsidP="00F10732">
      <w:pPr>
        <w:pStyle w:val="tPara"/>
      </w:pPr>
      <w:r w:rsidRPr="0063657F">
        <w:tab/>
      </w:r>
      <w:r w:rsidR="00F773E9">
        <w:t>(a)</w:t>
      </w:r>
      <w:r w:rsidRPr="0063657F">
        <w:tab/>
      </w:r>
      <w:proofErr w:type="gramStart"/>
      <w:r w:rsidRPr="0063657F">
        <w:t>provide</w:t>
      </w:r>
      <w:proofErr w:type="gramEnd"/>
      <w:r w:rsidRPr="0063657F">
        <w:t xml:space="preserve"> written notice of the variation to the responsible emitter for the facility covered by the determination; and</w:t>
      </w:r>
    </w:p>
    <w:p w:rsidR="00E445F7" w:rsidRPr="0063657F" w:rsidRDefault="00E445F7" w:rsidP="00E445F7">
      <w:pPr>
        <w:pStyle w:val="tPara"/>
      </w:pPr>
      <w:r w:rsidRPr="0063657F">
        <w:tab/>
      </w:r>
      <w:r w:rsidR="00F773E9">
        <w:t>(b)</w:t>
      </w:r>
      <w:r w:rsidRPr="0063657F">
        <w:tab/>
      </w:r>
      <w:proofErr w:type="gramStart"/>
      <w:r w:rsidRPr="0063657F">
        <w:t>publish</w:t>
      </w:r>
      <w:proofErr w:type="gramEnd"/>
      <w:r w:rsidRPr="0063657F">
        <w:t xml:space="preserve"> the details of the variation of the baseline determination on its website.</w:t>
      </w:r>
    </w:p>
    <w:p w:rsidR="00F10732" w:rsidRPr="0063657F" w:rsidRDefault="00F10732" w:rsidP="00F10732">
      <w:pPr>
        <w:pStyle w:val="tMain"/>
      </w:pPr>
      <w:r w:rsidRPr="0063657F">
        <w:tab/>
      </w:r>
      <w:r w:rsidR="00F773E9">
        <w:t>(6)</w:t>
      </w:r>
      <w:r w:rsidRPr="0063657F">
        <w:tab/>
        <w:t>If the Regulator decides to refuse to vary a baseline determination, the Regulator must give written notice of the decision to the applicant.</w:t>
      </w:r>
    </w:p>
    <w:p w:rsidR="00F10732" w:rsidRPr="0063657F" w:rsidRDefault="00F10732" w:rsidP="00F10732">
      <w:pPr>
        <w:pStyle w:val="tMain"/>
      </w:pPr>
      <w:r w:rsidRPr="0063657F">
        <w:tab/>
      </w:r>
      <w:r w:rsidR="00F773E9">
        <w:t>(7)</w:t>
      </w:r>
      <w:r w:rsidRPr="0063657F">
        <w:tab/>
        <w:t>To avoid doubt, a decision to vary, or refuse to vary, a baseline determination under this section is a reviewable decision under section 56 of the Act.</w:t>
      </w:r>
    </w:p>
    <w:p w:rsidR="00F10732" w:rsidRPr="0063657F" w:rsidRDefault="00F773E9" w:rsidP="00F10732">
      <w:pPr>
        <w:pStyle w:val="h4Subdiv"/>
      </w:pPr>
      <w:bookmarkStart w:id="71" w:name="_Toc421628108"/>
      <w:bookmarkStart w:id="72" w:name="_Toc431897002"/>
      <w:r>
        <w:lastRenderedPageBreak/>
        <w:t>Subdivision 7</w:t>
      </w:r>
      <w:r w:rsidR="00F10732" w:rsidRPr="0063657F">
        <w:t>—Landfill-benchmark baseline determination</w:t>
      </w:r>
      <w:bookmarkEnd w:id="71"/>
      <w:bookmarkEnd w:id="72"/>
    </w:p>
    <w:p w:rsidR="00F10732" w:rsidRPr="0063657F" w:rsidRDefault="00F773E9" w:rsidP="00F10732">
      <w:pPr>
        <w:pStyle w:val="h5Section"/>
      </w:pPr>
      <w:bookmarkStart w:id="73" w:name="_Toc421628109"/>
      <w:bookmarkStart w:id="74" w:name="_Toc431897003"/>
      <w:r>
        <w:t>52</w:t>
      </w:r>
      <w:r w:rsidR="00F10732" w:rsidRPr="0063657F">
        <w:t xml:space="preserve"> </w:t>
      </w:r>
      <w:proofErr w:type="gramStart"/>
      <w:r w:rsidR="00F10732" w:rsidRPr="0063657F">
        <w:t>Application</w:t>
      </w:r>
      <w:bookmarkEnd w:id="73"/>
      <w:bookmarkEnd w:id="74"/>
      <w:proofErr w:type="gramEnd"/>
    </w:p>
    <w:p w:rsidR="00F10732" w:rsidRPr="0063657F" w:rsidRDefault="00F10732" w:rsidP="00F10732">
      <w:pPr>
        <w:pStyle w:val="tMain"/>
        <w:rPr>
          <w:rFonts w:eastAsiaTheme="minorHAnsi"/>
        </w:rPr>
      </w:pPr>
      <w:r w:rsidRPr="0063657F">
        <w:tab/>
      </w:r>
      <w:r w:rsidR="00F773E9">
        <w:t>(1)</w:t>
      </w:r>
      <w:r w:rsidRPr="0063657F">
        <w:tab/>
        <w:t xml:space="preserve">The responsible emitter for a landfill facility may apply to the Regulator for a landfill-benchmark baseline determination for the facility </w:t>
      </w:r>
      <w:r w:rsidRPr="0063657F">
        <w:rPr>
          <w:rFonts w:eastAsiaTheme="minorHAnsi"/>
        </w:rPr>
        <w:t>if the landfill facility:</w:t>
      </w:r>
    </w:p>
    <w:p w:rsidR="00F10732" w:rsidRPr="0063657F" w:rsidRDefault="00F10732" w:rsidP="00F10732">
      <w:pPr>
        <w:pStyle w:val="tPara"/>
        <w:rPr>
          <w:rFonts w:eastAsiaTheme="minorHAnsi"/>
        </w:rPr>
      </w:pPr>
      <w:r w:rsidRPr="0063657F">
        <w:rPr>
          <w:rFonts w:eastAsiaTheme="minorHAnsi"/>
        </w:rPr>
        <w:tab/>
      </w:r>
      <w:r w:rsidR="00F773E9">
        <w:rPr>
          <w:rFonts w:eastAsiaTheme="minorHAnsi"/>
        </w:rPr>
        <w:t>(a)</w:t>
      </w:r>
      <w:r w:rsidRPr="0063657F">
        <w:rPr>
          <w:rFonts w:eastAsiaTheme="minorHAnsi"/>
        </w:rPr>
        <w:tab/>
      </w:r>
      <w:proofErr w:type="gramStart"/>
      <w:r w:rsidRPr="0063657F">
        <w:rPr>
          <w:rFonts w:eastAsiaTheme="minorHAnsi"/>
        </w:rPr>
        <w:t>has</w:t>
      </w:r>
      <w:proofErr w:type="gramEnd"/>
      <w:r w:rsidRPr="0063657F">
        <w:rPr>
          <w:rFonts w:eastAsiaTheme="minorHAnsi"/>
        </w:rPr>
        <w:t xml:space="preserve"> previously emitted more than 100,000 </w:t>
      </w:r>
      <w:r w:rsidRPr="0063657F">
        <w:t>t CO</w:t>
      </w:r>
      <w:r w:rsidRPr="0063657F">
        <w:rPr>
          <w:vertAlign w:val="subscript"/>
        </w:rPr>
        <w:t>2</w:t>
      </w:r>
      <w:r w:rsidR="007F7E20" w:rsidRPr="0063657F">
        <w:rPr>
          <w:rFonts w:ascii="Helvetica Neue" w:hAnsi="Helvetica Neue"/>
          <w:b/>
          <w:bCs/>
          <w:i/>
          <w:iCs/>
          <w:sz w:val="19"/>
          <w:szCs w:val="19"/>
        </w:rPr>
        <w:noBreakHyphen/>
      </w:r>
      <w:r w:rsidRPr="0063657F">
        <w:t xml:space="preserve">e </w:t>
      </w:r>
      <w:r w:rsidRPr="0063657F">
        <w:rPr>
          <w:rFonts w:eastAsiaTheme="minorHAnsi"/>
        </w:rPr>
        <w:t>of covered emissions in a financial year; or</w:t>
      </w:r>
    </w:p>
    <w:p w:rsidR="00F10732" w:rsidRPr="0063657F" w:rsidRDefault="00F10732" w:rsidP="00F10732">
      <w:pPr>
        <w:pStyle w:val="tPara"/>
        <w:rPr>
          <w:rFonts w:eastAsiaTheme="minorHAnsi"/>
        </w:rPr>
      </w:pPr>
      <w:r w:rsidRPr="0063657F">
        <w:rPr>
          <w:rFonts w:eastAsiaTheme="minorHAnsi"/>
        </w:rPr>
        <w:tab/>
      </w:r>
      <w:r w:rsidR="00F773E9">
        <w:rPr>
          <w:rFonts w:eastAsiaTheme="minorHAnsi"/>
        </w:rPr>
        <w:t>(b)</w:t>
      </w:r>
      <w:r w:rsidRPr="0063657F">
        <w:rPr>
          <w:rFonts w:eastAsiaTheme="minorHAnsi"/>
        </w:rPr>
        <w:tab/>
      </w:r>
      <w:proofErr w:type="gramStart"/>
      <w:r w:rsidRPr="0063657F">
        <w:rPr>
          <w:rFonts w:eastAsiaTheme="minorHAnsi"/>
        </w:rPr>
        <w:t>is</w:t>
      </w:r>
      <w:proofErr w:type="gramEnd"/>
      <w:r w:rsidRPr="0063657F">
        <w:rPr>
          <w:rFonts w:eastAsiaTheme="minorHAnsi"/>
        </w:rPr>
        <w:t xml:space="preserve"> reasonably expected to emit more than 100,000</w:t>
      </w:r>
      <w:r w:rsidRPr="0063657F">
        <w:t xml:space="preserve"> t CO</w:t>
      </w:r>
      <w:r w:rsidRPr="0063657F">
        <w:rPr>
          <w:vertAlign w:val="subscript"/>
        </w:rPr>
        <w:t>2</w:t>
      </w:r>
      <w:r w:rsidR="007F7E20" w:rsidRPr="0063657F">
        <w:rPr>
          <w:rFonts w:ascii="Helvetica Neue" w:hAnsi="Helvetica Neue"/>
          <w:b/>
          <w:bCs/>
          <w:i/>
          <w:iCs/>
          <w:sz w:val="19"/>
          <w:szCs w:val="19"/>
        </w:rPr>
        <w:noBreakHyphen/>
      </w:r>
      <w:r w:rsidRPr="0063657F">
        <w:t>e</w:t>
      </w:r>
      <w:r w:rsidRPr="0063657F">
        <w:rPr>
          <w:rFonts w:eastAsiaTheme="minorHAnsi"/>
        </w:rPr>
        <w:t xml:space="preserve"> of covered emissions in </w:t>
      </w:r>
      <w:r w:rsidR="00AB40C3" w:rsidRPr="0063657F">
        <w:rPr>
          <w:rFonts w:eastAsiaTheme="minorHAnsi"/>
        </w:rPr>
        <w:t>the</w:t>
      </w:r>
      <w:r w:rsidRPr="0063657F">
        <w:rPr>
          <w:rFonts w:eastAsiaTheme="minorHAnsi"/>
        </w:rPr>
        <w:t xml:space="preserve"> first financial year to be covered by the landfill-benchmark baseline determination.</w:t>
      </w:r>
    </w:p>
    <w:p w:rsidR="00F10732" w:rsidRPr="0063657F" w:rsidRDefault="00F10732" w:rsidP="00F10732">
      <w:pPr>
        <w:pStyle w:val="tMain"/>
      </w:pPr>
      <w:r w:rsidRPr="0063657F">
        <w:tab/>
      </w:r>
      <w:r w:rsidR="00F773E9">
        <w:t>(2)</w:t>
      </w:r>
      <w:r w:rsidRPr="0063657F">
        <w:tab/>
        <w:t>An application under subsection (1) must:</w:t>
      </w:r>
    </w:p>
    <w:p w:rsidR="00F10732" w:rsidRPr="0063657F" w:rsidRDefault="00F10732" w:rsidP="00F10732">
      <w:pPr>
        <w:pStyle w:val="tPara"/>
      </w:pPr>
      <w:r w:rsidRPr="0063657F">
        <w:tab/>
      </w:r>
      <w:r w:rsidR="00F773E9">
        <w:t>(a)</w:t>
      </w:r>
      <w:r w:rsidRPr="0063657F">
        <w:tab/>
      </w:r>
      <w:proofErr w:type="gramStart"/>
      <w:r w:rsidRPr="0063657F">
        <w:t>be</w:t>
      </w:r>
      <w:proofErr w:type="gramEnd"/>
      <w:r w:rsidRPr="0063657F">
        <w:t xml:space="preserve"> given in a manner and form approved, in writing, by the Regulator; and</w:t>
      </w:r>
    </w:p>
    <w:p w:rsidR="00F10732" w:rsidRPr="0063657F" w:rsidRDefault="00F10732" w:rsidP="00F10732">
      <w:pPr>
        <w:pStyle w:val="tPara"/>
      </w:pPr>
      <w:r w:rsidRPr="0063657F">
        <w:tab/>
      </w:r>
      <w:r w:rsidR="00F773E9">
        <w:t>(b)</w:t>
      </w:r>
      <w:r w:rsidRPr="0063657F">
        <w:tab/>
      </w:r>
      <w:proofErr w:type="gramStart"/>
      <w:r w:rsidRPr="0063657F">
        <w:t>specify</w:t>
      </w:r>
      <w:proofErr w:type="gramEnd"/>
      <w:r w:rsidRPr="0063657F">
        <w:t xml:space="preserve"> the desired start date for the landfill-benchmark baseline determination as 1 July of a particular year on or after 1 July 2020; and</w:t>
      </w:r>
    </w:p>
    <w:p w:rsidR="00F10732" w:rsidRPr="0063657F" w:rsidRDefault="00F10732" w:rsidP="00F10732">
      <w:pPr>
        <w:pStyle w:val="tPara"/>
      </w:pPr>
      <w:r w:rsidRPr="0063657F">
        <w:tab/>
      </w:r>
      <w:r w:rsidR="00F773E9">
        <w:t>(c)</w:t>
      </w:r>
      <w:r w:rsidRPr="0063657F">
        <w:tab/>
      </w:r>
      <w:proofErr w:type="gramStart"/>
      <w:r w:rsidRPr="0063657F">
        <w:t>include</w:t>
      </w:r>
      <w:proofErr w:type="gramEnd"/>
      <w:r w:rsidRPr="0063657F">
        <w:t xml:space="preserve"> information establishing that the facility is a landfill facility.</w:t>
      </w:r>
    </w:p>
    <w:p w:rsidR="00F10732" w:rsidRPr="0063657F" w:rsidRDefault="00F10732" w:rsidP="00F10732">
      <w:pPr>
        <w:pStyle w:val="tMain"/>
      </w:pPr>
      <w:r w:rsidRPr="0063657F">
        <w:tab/>
      </w:r>
      <w:r w:rsidR="00F773E9">
        <w:t>(3)</w:t>
      </w:r>
      <w:r w:rsidRPr="0063657F">
        <w:tab/>
        <w:t>An application under subsection (1) must be given to the Regulator no later than the first 31 October after the end of</w:t>
      </w:r>
      <w:r w:rsidR="00AB40C3" w:rsidRPr="0063657F">
        <w:t xml:space="preserve"> the</w:t>
      </w:r>
      <w:r w:rsidRPr="0063657F">
        <w:t xml:space="preserve"> first</w:t>
      </w:r>
      <w:r w:rsidR="00AB40C3" w:rsidRPr="0063657F">
        <w:t xml:space="preserve"> financial</w:t>
      </w:r>
      <w:r w:rsidRPr="0063657F">
        <w:t xml:space="preserve"> year to which the landfill-benchmark baseline determination is to apply.</w:t>
      </w:r>
    </w:p>
    <w:p w:rsidR="00F10732" w:rsidRPr="0063657F" w:rsidRDefault="00F773E9" w:rsidP="00F10732">
      <w:pPr>
        <w:pStyle w:val="h5Section"/>
      </w:pPr>
      <w:bookmarkStart w:id="75" w:name="_Toc421628110"/>
      <w:bookmarkStart w:id="76" w:name="_Toc431897004"/>
      <w:proofErr w:type="gramStart"/>
      <w:r>
        <w:t>53</w:t>
      </w:r>
      <w:r w:rsidR="00F10732" w:rsidRPr="0063657F">
        <w:t xml:space="preserve"> Further information</w:t>
      </w:r>
      <w:bookmarkEnd w:id="75"/>
      <w:bookmarkEnd w:id="76"/>
      <w:proofErr w:type="gramEnd"/>
    </w:p>
    <w:p w:rsidR="00F10732" w:rsidRPr="0063657F" w:rsidRDefault="00F10732" w:rsidP="00F10732">
      <w:pPr>
        <w:pStyle w:val="tMain"/>
      </w:pPr>
      <w:r w:rsidRPr="0063657F">
        <w:tab/>
      </w:r>
      <w:r w:rsidR="00F773E9">
        <w:t>(1)</w:t>
      </w:r>
      <w:r w:rsidRPr="0063657F">
        <w:tab/>
        <w:t>The Regulator may, by written notice given to an applicant, require the applicant to give the Regulator, within the period specified in the notice, further information in connection with the application.</w:t>
      </w:r>
    </w:p>
    <w:p w:rsidR="00F10732" w:rsidRPr="0063657F" w:rsidRDefault="00F10732" w:rsidP="00F10732">
      <w:pPr>
        <w:pStyle w:val="tMain"/>
      </w:pPr>
      <w:r w:rsidRPr="0063657F">
        <w:tab/>
      </w:r>
      <w:r w:rsidR="00F773E9">
        <w:t>(2)</w:t>
      </w:r>
      <w:r w:rsidRPr="0063657F">
        <w:tab/>
        <w:t>If the applicant breaches the requirement, the Regulator may, by written notice given to the applicant:</w:t>
      </w:r>
    </w:p>
    <w:p w:rsidR="00F10732" w:rsidRPr="0063657F" w:rsidRDefault="00F10732" w:rsidP="00F10732">
      <w:pPr>
        <w:pStyle w:val="tPara"/>
      </w:pPr>
      <w:r w:rsidRPr="0063657F">
        <w:tab/>
      </w:r>
      <w:r w:rsidR="00F773E9">
        <w:t>(a)</w:t>
      </w:r>
      <w:r w:rsidRPr="0063657F">
        <w:tab/>
      </w:r>
      <w:proofErr w:type="gramStart"/>
      <w:r w:rsidRPr="0063657F">
        <w:t>refuse</w:t>
      </w:r>
      <w:proofErr w:type="gramEnd"/>
      <w:r w:rsidRPr="0063657F">
        <w:t xml:space="preserve"> to consider the application; or</w:t>
      </w:r>
    </w:p>
    <w:p w:rsidR="00F10732" w:rsidRPr="0063657F" w:rsidRDefault="00F10732" w:rsidP="00F10732">
      <w:pPr>
        <w:pStyle w:val="tPara"/>
        <w:rPr>
          <w:b/>
          <w:sz w:val="28"/>
          <w:szCs w:val="28"/>
        </w:rPr>
      </w:pPr>
      <w:r w:rsidRPr="0063657F">
        <w:tab/>
      </w:r>
      <w:r w:rsidR="00F773E9">
        <w:t>(b)</w:t>
      </w:r>
      <w:r w:rsidRPr="0063657F">
        <w:tab/>
      </w:r>
      <w:proofErr w:type="gramStart"/>
      <w:r w:rsidRPr="0063657F">
        <w:t>refuse</w:t>
      </w:r>
      <w:proofErr w:type="gramEnd"/>
      <w:r w:rsidRPr="0063657F">
        <w:t xml:space="preserve"> to take any action, or any further action, in relation to the application.</w:t>
      </w:r>
    </w:p>
    <w:p w:rsidR="00F10732" w:rsidRPr="0063657F" w:rsidRDefault="00F773E9" w:rsidP="00F10732">
      <w:pPr>
        <w:pStyle w:val="h5Section"/>
      </w:pPr>
      <w:bookmarkStart w:id="77" w:name="_Toc421628111"/>
      <w:bookmarkStart w:id="78" w:name="_Toc431897005"/>
      <w:r>
        <w:t>54</w:t>
      </w:r>
      <w:r w:rsidR="00F10732" w:rsidRPr="0063657F">
        <w:t xml:space="preserve"> Making of landfill-benchmark baseline determination</w:t>
      </w:r>
      <w:bookmarkEnd w:id="77"/>
      <w:bookmarkEnd w:id="78"/>
    </w:p>
    <w:p w:rsidR="00F10732" w:rsidRPr="0063657F" w:rsidRDefault="00F10732" w:rsidP="00F10732">
      <w:pPr>
        <w:pStyle w:val="h6Subsec"/>
      </w:pPr>
      <w:r w:rsidRPr="0063657F">
        <w:t>Scope</w:t>
      </w:r>
    </w:p>
    <w:p w:rsidR="00F10732" w:rsidRPr="0063657F" w:rsidRDefault="00F10732" w:rsidP="00F10732">
      <w:pPr>
        <w:pStyle w:val="tMain"/>
      </w:pPr>
      <w:r w:rsidRPr="0063657F">
        <w:tab/>
      </w:r>
      <w:r w:rsidR="00F773E9">
        <w:t>(1)</w:t>
      </w:r>
      <w:r w:rsidRPr="0063657F">
        <w:tab/>
        <w:t>This section applies if an application under section </w:t>
      </w:r>
      <w:r w:rsidR="00B36BC8" w:rsidRPr="0063657F">
        <w:t>52</w:t>
      </w:r>
      <w:r w:rsidRPr="0063657F">
        <w:t xml:space="preserve"> has been made for a landfill-benchmark baseline determination for a facility.</w:t>
      </w:r>
    </w:p>
    <w:p w:rsidR="00F10732" w:rsidRPr="0063657F" w:rsidRDefault="00F10732" w:rsidP="00F10732">
      <w:pPr>
        <w:pStyle w:val="h6Subsec"/>
      </w:pPr>
      <w:r w:rsidRPr="0063657F">
        <w:t xml:space="preserve">Determination </w:t>
      </w:r>
    </w:p>
    <w:p w:rsidR="00F10732" w:rsidRPr="0063657F" w:rsidRDefault="00F10732" w:rsidP="00C50DD9">
      <w:pPr>
        <w:pStyle w:val="tMain"/>
        <w:rPr>
          <w:rFonts w:eastAsiaTheme="minorHAnsi"/>
        </w:rPr>
      </w:pPr>
      <w:r w:rsidRPr="0063657F">
        <w:tab/>
      </w:r>
      <w:r w:rsidR="00F773E9">
        <w:t>(2)</w:t>
      </w:r>
      <w:r w:rsidRPr="0063657F">
        <w:tab/>
      </w:r>
      <w:r w:rsidR="001A5591" w:rsidRPr="0063657F">
        <w:t xml:space="preserve">The </w:t>
      </w:r>
      <w:r w:rsidRPr="0063657F">
        <w:t>Regulator may make a landfill-benchmark baseline determination for the facility if satisfied that</w:t>
      </w:r>
      <w:r w:rsidR="001A5591" w:rsidRPr="0063657F">
        <w:rPr>
          <w:rFonts w:eastAsiaTheme="minorHAnsi"/>
        </w:rPr>
        <w:t xml:space="preserve"> </w:t>
      </w:r>
      <w:r w:rsidRPr="0063657F">
        <w:rPr>
          <w:rFonts w:eastAsiaTheme="minorHAnsi"/>
        </w:rPr>
        <w:t>the facility is a landfill facility that:</w:t>
      </w:r>
    </w:p>
    <w:p w:rsidR="00F10732" w:rsidRPr="0063657F" w:rsidRDefault="001A5591" w:rsidP="00C50DD9">
      <w:pPr>
        <w:pStyle w:val="tPara"/>
        <w:rPr>
          <w:rFonts w:eastAsiaTheme="minorHAnsi"/>
        </w:rPr>
      </w:pPr>
      <w:r w:rsidRPr="0063657F">
        <w:rPr>
          <w:rFonts w:eastAsiaTheme="minorHAnsi"/>
        </w:rPr>
        <w:tab/>
      </w:r>
      <w:r w:rsidR="00F773E9">
        <w:rPr>
          <w:rFonts w:eastAsiaTheme="minorHAnsi"/>
        </w:rPr>
        <w:t>(a)</w:t>
      </w:r>
      <w:r w:rsidRPr="0063657F">
        <w:rPr>
          <w:rFonts w:eastAsiaTheme="minorHAnsi"/>
        </w:rPr>
        <w:tab/>
      </w:r>
      <w:proofErr w:type="gramStart"/>
      <w:r w:rsidR="00F10732" w:rsidRPr="0063657F">
        <w:rPr>
          <w:rFonts w:eastAsiaTheme="minorHAnsi"/>
        </w:rPr>
        <w:t>has</w:t>
      </w:r>
      <w:proofErr w:type="gramEnd"/>
      <w:r w:rsidR="00F10732" w:rsidRPr="0063657F">
        <w:rPr>
          <w:rFonts w:eastAsiaTheme="minorHAnsi"/>
        </w:rPr>
        <w:t xml:space="preserve"> previously emitted more than 100,000 </w:t>
      </w:r>
      <w:r w:rsidR="00F10732" w:rsidRPr="0063657F">
        <w:t>t CO</w:t>
      </w:r>
      <w:r w:rsidR="00F10732" w:rsidRPr="0063657F">
        <w:rPr>
          <w:vertAlign w:val="subscript"/>
        </w:rPr>
        <w:t>2</w:t>
      </w:r>
      <w:r w:rsidR="007F7E20" w:rsidRPr="0063657F">
        <w:rPr>
          <w:rFonts w:ascii="Helvetica Neue" w:hAnsi="Helvetica Neue"/>
          <w:b/>
          <w:bCs/>
          <w:i/>
          <w:iCs/>
          <w:sz w:val="19"/>
          <w:szCs w:val="19"/>
        </w:rPr>
        <w:noBreakHyphen/>
      </w:r>
      <w:r w:rsidR="00F10732" w:rsidRPr="0063657F">
        <w:t xml:space="preserve">e </w:t>
      </w:r>
      <w:r w:rsidR="00F10732" w:rsidRPr="0063657F">
        <w:rPr>
          <w:rFonts w:eastAsiaTheme="minorHAnsi"/>
        </w:rPr>
        <w:t>of covered emissions in a financial year; or</w:t>
      </w:r>
    </w:p>
    <w:p w:rsidR="00F10732" w:rsidRPr="0063657F" w:rsidRDefault="001A5591" w:rsidP="00C50DD9">
      <w:pPr>
        <w:pStyle w:val="tPara"/>
        <w:rPr>
          <w:rFonts w:eastAsiaTheme="minorHAnsi"/>
        </w:rPr>
      </w:pPr>
      <w:r w:rsidRPr="0063657F">
        <w:rPr>
          <w:rFonts w:eastAsiaTheme="minorHAnsi"/>
        </w:rPr>
        <w:tab/>
      </w:r>
      <w:r w:rsidR="00F773E9">
        <w:rPr>
          <w:rFonts w:eastAsiaTheme="minorHAnsi"/>
        </w:rPr>
        <w:t>(b)</w:t>
      </w:r>
      <w:r w:rsidRPr="0063657F">
        <w:rPr>
          <w:rFonts w:eastAsiaTheme="minorHAnsi"/>
        </w:rPr>
        <w:tab/>
      </w:r>
      <w:proofErr w:type="gramStart"/>
      <w:r w:rsidR="00F10732" w:rsidRPr="0063657F">
        <w:rPr>
          <w:rFonts w:eastAsiaTheme="minorHAnsi"/>
        </w:rPr>
        <w:t>is</w:t>
      </w:r>
      <w:proofErr w:type="gramEnd"/>
      <w:r w:rsidR="00F10732" w:rsidRPr="0063657F">
        <w:rPr>
          <w:rFonts w:eastAsiaTheme="minorHAnsi"/>
        </w:rPr>
        <w:t xml:space="preserve"> reasonably expected to emit more than 100,000</w:t>
      </w:r>
      <w:r w:rsidR="00F10732" w:rsidRPr="0063657F">
        <w:t xml:space="preserve"> t CO</w:t>
      </w:r>
      <w:r w:rsidR="00F10732" w:rsidRPr="0063657F">
        <w:rPr>
          <w:vertAlign w:val="subscript"/>
        </w:rPr>
        <w:t>2</w:t>
      </w:r>
      <w:r w:rsidR="007F7E20" w:rsidRPr="0063657F">
        <w:rPr>
          <w:rFonts w:ascii="Helvetica Neue" w:hAnsi="Helvetica Neue"/>
          <w:b/>
          <w:bCs/>
          <w:i/>
          <w:iCs/>
          <w:sz w:val="19"/>
          <w:szCs w:val="19"/>
        </w:rPr>
        <w:noBreakHyphen/>
      </w:r>
      <w:r w:rsidR="00F10732" w:rsidRPr="0063657F">
        <w:t>e</w:t>
      </w:r>
      <w:r w:rsidR="00B36BC8" w:rsidRPr="0063657F">
        <w:rPr>
          <w:rFonts w:eastAsiaTheme="minorHAnsi"/>
        </w:rPr>
        <w:t xml:space="preserve"> of covered emissions in the</w:t>
      </w:r>
      <w:r w:rsidR="00F10732" w:rsidRPr="0063657F">
        <w:rPr>
          <w:rFonts w:eastAsiaTheme="minorHAnsi"/>
        </w:rPr>
        <w:t xml:space="preserve"> first financial year to be covered by the landfill-benchmark baseline determination.</w:t>
      </w:r>
    </w:p>
    <w:p w:rsidR="00F10732" w:rsidRPr="0063657F" w:rsidRDefault="00F10732" w:rsidP="00F10732">
      <w:pPr>
        <w:pStyle w:val="tMain"/>
      </w:pPr>
      <w:r w:rsidRPr="0063657F">
        <w:tab/>
      </w:r>
      <w:r w:rsidR="00F773E9">
        <w:t>(3)</w:t>
      </w:r>
      <w:r w:rsidRPr="0063657F">
        <w:tab/>
        <w:t>Subject to section 12, a landfill-benchmark baseline determination must specify the landfill baseline emissions formula for the facility for each financial year during which the determination is in force as:</w:t>
      </w:r>
    </w:p>
    <w:p w:rsidR="00F10732" w:rsidRPr="0063657F" w:rsidRDefault="000F0E74" w:rsidP="00F10732">
      <w:pPr>
        <w:pStyle w:val="tMain"/>
      </w:pPr>
      <m:oMathPara>
        <m:oMath>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NLCH</m:t>
              </m:r>
            </m:e>
            <m:sub>
              <m:r>
                <w:rPr>
                  <w:rFonts w:ascii="Cambria Math" w:hAnsi="Cambria Math"/>
                </w:rPr>
                <m:t>4t</m:t>
              </m:r>
            </m:sub>
          </m:sSub>
          <m:r>
            <w:rPr>
              <w:rFonts w:ascii="Cambria Math" w:hAnsi="Cambria Math"/>
            </w:rPr>
            <m:t xml:space="preserve">×(1- </m:t>
          </m:r>
          <m:sSub>
            <m:sSubPr>
              <m:ctrlPr>
                <w:rPr>
                  <w:rFonts w:ascii="Cambria Math" w:hAnsi="Cambria Math"/>
                  <w:i/>
                </w:rPr>
              </m:ctrlPr>
            </m:sSubPr>
            <m:e>
              <m:r>
                <w:rPr>
                  <w:rFonts w:ascii="Cambria Math" w:hAnsi="Cambria Math"/>
                </w:rPr>
                <m:t>BC</m:t>
              </m:r>
            </m:e>
            <m:sub>
              <m:r>
                <w:rPr>
                  <w:rFonts w:ascii="Cambria Math" w:hAnsi="Cambria Math"/>
                </w:rPr>
                <m:t>t</m:t>
              </m:r>
            </m:sub>
          </m:sSub>
          <m:r>
            <w:rPr>
              <w:rFonts w:ascii="Cambria Math" w:hAnsi="Cambria Math"/>
            </w:rPr>
            <m:t xml:space="preserve">) ×(1- </m:t>
          </m:r>
          <m:sSub>
            <m:sSubPr>
              <m:ctrlPr>
                <w:rPr>
                  <w:rFonts w:ascii="Cambria Math" w:hAnsi="Cambria Math"/>
                  <w:i/>
                </w:rPr>
              </m:ctrlPr>
            </m:sSubPr>
            <m:e>
              <m:r>
                <w:rPr>
                  <w:rFonts w:ascii="Cambria Math" w:hAnsi="Cambria Math"/>
                </w:rPr>
                <m:t>O</m:t>
              </m:r>
              <m:r>
                <w:rPr>
                  <w:rFonts w:ascii="Cambria Math" w:hAnsi="Cambria Math"/>
                </w:rPr>
                <m:t>F)</m:t>
              </m:r>
            </m:e>
            <m:sub/>
          </m:sSub>
        </m:oMath>
      </m:oMathPara>
    </w:p>
    <w:p w:rsidR="00F10732" w:rsidRPr="0063657F" w:rsidRDefault="00F10732" w:rsidP="00F10732">
      <w:pPr>
        <w:pStyle w:val="tDefn"/>
      </w:pPr>
      <w:proofErr w:type="gramStart"/>
      <w:r w:rsidRPr="0063657F">
        <w:lastRenderedPageBreak/>
        <w:t>where</w:t>
      </w:r>
      <w:proofErr w:type="gramEnd"/>
      <w:r w:rsidRPr="0063657F">
        <w:t>:</w:t>
      </w:r>
    </w:p>
    <w:p w:rsidR="00F10732" w:rsidRPr="0063657F" w:rsidRDefault="00F10732" w:rsidP="00F10732">
      <w:pPr>
        <w:pStyle w:val="tDefn"/>
        <w:rPr>
          <w:b/>
        </w:rPr>
      </w:pPr>
      <w:proofErr w:type="gramStart"/>
      <w:r w:rsidRPr="0063657F">
        <w:rPr>
          <w:b/>
          <w:i/>
        </w:rPr>
        <w:t>B</w:t>
      </w:r>
      <w:r w:rsidRPr="0063657F">
        <w:rPr>
          <w:b/>
          <w:i/>
          <w:vertAlign w:val="subscript"/>
        </w:rPr>
        <w:t>t</w:t>
      </w:r>
      <w:proofErr w:type="gramEnd"/>
      <w:r w:rsidRPr="0063657F">
        <w:rPr>
          <w:b/>
          <w:i/>
        </w:rPr>
        <w:t xml:space="preserve"> </w:t>
      </w:r>
      <w:r w:rsidRPr="0063657F">
        <w:t>is the baseline emissions number for the facility for the financial year (t).</w:t>
      </w:r>
    </w:p>
    <w:p w:rsidR="00F10732" w:rsidRPr="0063657F" w:rsidRDefault="00F10732" w:rsidP="00F10732">
      <w:pPr>
        <w:pStyle w:val="tDefn"/>
      </w:pPr>
      <w:r w:rsidRPr="0063657F">
        <w:rPr>
          <w:b/>
          <w:i/>
        </w:rPr>
        <w:t>NLCH</w:t>
      </w:r>
      <w:r w:rsidRPr="0063657F">
        <w:rPr>
          <w:b/>
          <w:i/>
          <w:vertAlign w:val="subscript"/>
        </w:rPr>
        <w:t>4t</w:t>
      </w:r>
      <w:r w:rsidRPr="0063657F">
        <w:t xml:space="preserve"> is the amount, in t CO</w:t>
      </w:r>
      <w:r w:rsidRPr="0063657F">
        <w:rPr>
          <w:vertAlign w:val="subscript"/>
        </w:rPr>
        <w:t>2</w:t>
      </w:r>
      <w:r w:rsidR="007F7E20" w:rsidRPr="0063657F">
        <w:rPr>
          <w:rFonts w:ascii="Helvetica Neue" w:hAnsi="Helvetica Neue"/>
          <w:b/>
          <w:bCs/>
          <w:i/>
          <w:iCs/>
          <w:sz w:val="19"/>
          <w:szCs w:val="19"/>
        </w:rPr>
        <w:noBreakHyphen/>
      </w:r>
      <w:r w:rsidRPr="0063657F">
        <w:t>e, of non-legacy scope 1 greenhouse gas emissions of the facility in the financial year disregarding any capture of those emissions at the facility included in a report under the Act in relation to the facility and the financial year.</w:t>
      </w:r>
    </w:p>
    <w:p w:rsidR="00F10732" w:rsidRPr="0063657F" w:rsidRDefault="00F10732" w:rsidP="00F10732">
      <w:pPr>
        <w:pStyle w:val="tDefn"/>
      </w:pPr>
      <w:proofErr w:type="spellStart"/>
      <w:r w:rsidRPr="0063657F">
        <w:rPr>
          <w:b/>
          <w:i/>
        </w:rPr>
        <w:t>BC</w:t>
      </w:r>
      <w:r w:rsidRPr="0063657F">
        <w:rPr>
          <w:b/>
          <w:i/>
          <w:vertAlign w:val="subscript"/>
        </w:rPr>
        <w:t>t</w:t>
      </w:r>
      <w:proofErr w:type="spellEnd"/>
      <w:r w:rsidRPr="0063657F">
        <w:t xml:space="preserve"> is benchmark capture efficiency rate for non-legacy greenhouse gas emissions set out in the Benchmark Emissions-Intensity Index as in force at the start of the financial year.</w:t>
      </w:r>
    </w:p>
    <w:p w:rsidR="00F10732" w:rsidRPr="0063657F" w:rsidRDefault="00F10732" w:rsidP="00F10732">
      <w:pPr>
        <w:pStyle w:val="tDefn"/>
      </w:pPr>
      <w:r w:rsidRPr="0063657F">
        <w:rPr>
          <w:b/>
          <w:i/>
        </w:rPr>
        <w:t>OF</w:t>
      </w:r>
      <w:r w:rsidRPr="0063657F">
        <w:t xml:space="preserve"> is the oxidisation factor in the near surface conditions of the landfill in subsection 5.4(1) of the NGER (Measurement) Determination as in force at the start of the financial year.</w:t>
      </w:r>
    </w:p>
    <w:p w:rsidR="00F10732" w:rsidRPr="0063657F" w:rsidRDefault="00F10732" w:rsidP="00F10732">
      <w:pPr>
        <w:pStyle w:val="h6Subsec"/>
      </w:pPr>
      <w:r w:rsidRPr="0063657F">
        <w:t>Timing</w:t>
      </w:r>
    </w:p>
    <w:p w:rsidR="00F10732" w:rsidRPr="0063657F" w:rsidRDefault="00F10732" w:rsidP="00F10732">
      <w:pPr>
        <w:pStyle w:val="tMain"/>
      </w:pPr>
      <w:r w:rsidRPr="0063657F">
        <w:tab/>
      </w:r>
      <w:r w:rsidR="00F773E9">
        <w:t>(4)</w:t>
      </w:r>
      <w:r w:rsidRPr="0063657F">
        <w:tab/>
        <w:t>The Regulator must take all reasonable steps to ensure that a decision is made on the application:</w:t>
      </w:r>
    </w:p>
    <w:p w:rsidR="00F10732" w:rsidRPr="0063657F" w:rsidRDefault="00F10732" w:rsidP="00F10732">
      <w:pPr>
        <w:pStyle w:val="tPara"/>
      </w:pPr>
      <w:r w:rsidRPr="0063657F">
        <w:tab/>
      </w:r>
      <w:r w:rsidR="00F773E9">
        <w:t>(a)</w:t>
      </w:r>
      <w:r w:rsidRPr="0063657F">
        <w:tab/>
        <w:t>if the Regulator requires the applicant to give further information under subsection 5</w:t>
      </w:r>
      <w:r w:rsidR="00B36BC8" w:rsidRPr="0063657F">
        <w:t>3</w:t>
      </w:r>
      <w:r w:rsidRPr="0063657F">
        <w:t>(1) in relation to the application—within 60 days after the applicant gave the Regulator the information; or</w:t>
      </w:r>
    </w:p>
    <w:p w:rsidR="00F10732" w:rsidRPr="0063657F" w:rsidRDefault="00F10732" w:rsidP="00F10732">
      <w:pPr>
        <w:pStyle w:val="tPara"/>
      </w:pPr>
      <w:r w:rsidRPr="0063657F">
        <w:tab/>
      </w:r>
      <w:r w:rsidR="00F773E9">
        <w:t>(b)</w:t>
      </w:r>
      <w:r w:rsidRPr="0063657F">
        <w:tab/>
      </w:r>
      <w:proofErr w:type="gramStart"/>
      <w:r w:rsidRPr="0063657F">
        <w:t>otherwise—</w:t>
      </w:r>
      <w:proofErr w:type="gramEnd"/>
      <w:r w:rsidRPr="0063657F">
        <w:t>within 60 days after the application was made.</w:t>
      </w:r>
    </w:p>
    <w:p w:rsidR="00F10732" w:rsidRPr="0063657F" w:rsidRDefault="00F10732" w:rsidP="00F10732">
      <w:pPr>
        <w:pStyle w:val="h6Subsec"/>
      </w:pPr>
      <w:r w:rsidRPr="0063657F">
        <w:t xml:space="preserve">Notification </w:t>
      </w:r>
    </w:p>
    <w:p w:rsidR="00F10732" w:rsidRPr="0063657F" w:rsidRDefault="00F10732" w:rsidP="00F10732">
      <w:pPr>
        <w:pStyle w:val="tMain"/>
      </w:pPr>
      <w:r w:rsidRPr="0063657F">
        <w:tab/>
      </w:r>
      <w:r w:rsidR="00F773E9">
        <w:t>(5)</w:t>
      </w:r>
      <w:r w:rsidRPr="0063657F">
        <w:tab/>
      </w:r>
      <w:proofErr w:type="gramStart"/>
      <w:r w:rsidRPr="0063657F">
        <w:t>As</w:t>
      </w:r>
      <w:proofErr w:type="gramEnd"/>
      <w:r w:rsidRPr="0063657F">
        <w:t xml:space="preserve"> soon as practicable after making a landfill-benchmark baseline determination, the Regulator must:</w:t>
      </w:r>
    </w:p>
    <w:p w:rsidR="00F10732" w:rsidRPr="0063657F" w:rsidRDefault="00F10732" w:rsidP="00F10732">
      <w:pPr>
        <w:pStyle w:val="tPara"/>
      </w:pPr>
      <w:r w:rsidRPr="0063657F">
        <w:tab/>
      </w:r>
      <w:r w:rsidR="00F773E9">
        <w:t>(a)</w:t>
      </w:r>
      <w:r w:rsidRPr="0063657F">
        <w:tab/>
      </w:r>
      <w:proofErr w:type="gramStart"/>
      <w:r w:rsidRPr="0063657F">
        <w:t>provide</w:t>
      </w:r>
      <w:proofErr w:type="gramEnd"/>
      <w:r w:rsidRPr="0063657F">
        <w:t xml:space="preserve"> written notice of the determination to the responsible emitter for the facility covered by the determination; and</w:t>
      </w:r>
    </w:p>
    <w:p w:rsidR="00F10732" w:rsidRPr="0063657F" w:rsidRDefault="00F10732" w:rsidP="00F10732">
      <w:pPr>
        <w:pStyle w:val="tPara"/>
      </w:pPr>
      <w:r w:rsidRPr="0063657F">
        <w:tab/>
      </w:r>
      <w:r w:rsidR="00F773E9">
        <w:t>(b)</w:t>
      </w:r>
      <w:r w:rsidRPr="0063657F">
        <w:tab/>
      </w:r>
      <w:proofErr w:type="gramStart"/>
      <w:r w:rsidRPr="0063657F">
        <w:t>publish</w:t>
      </w:r>
      <w:proofErr w:type="gramEnd"/>
      <w:r w:rsidRPr="0063657F">
        <w:t xml:space="preserve"> the details of the determination on its website.</w:t>
      </w:r>
    </w:p>
    <w:p w:rsidR="00F10732" w:rsidRPr="0063657F" w:rsidRDefault="00F10732" w:rsidP="00F10732">
      <w:pPr>
        <w:pStyle w:val="tMain"/>
      </w:pPr>
      <w:r w:rsidRPr="0063657F">
        <w:tab/>
      </w:r>
      <w:r w:rsidR="00F773E9">
        <w:t>(6)</w:t>
      </w:r>
      <w:r w:rsidRPr="0063657F">
        <w:tab/>
        <w:t>If the Regulator decides to refuse to make a landfill-benchmark baseline determination, the Regulator must give written notice of the decision to the applicant.</w:t>
      </w:r>
    </w:p>
    <w:p w:rsidR="00F10732" w:rsidRPr="0063657F" w:rsidRDefault="00F10732" w:rsidP="00F10732">
      <w:pPr>
        <w:pStyle w:val="h6Subsec"/>
      </w:pPr>
      <w:r w:rsidRPr="0063657F">
        <w:t>Rounding</w:t>
      </w:r>
    </w:p>
    <w:p w:rsidR="00F10732" w:rsidRPr="0063657F" w:rsidRDefault="00F10732" w:rsidP="00F10732">
      <w:pPr>
        <w:pStyle w:val="tMain"/>
      </w:pPr>
      <w:r w:rsidRPr="0063657F">
        <w:tab/>
      </w:r>
      <w:r w:rsidR="00F773E9">
        <w:t>(7)</w:t>
      </w:r>
      <w:r w:rsidRPr="0063657F">
        <w:tab/>
        <w:t>The baseline emissions number is to be rounded to the nearest whole number (with a number ending in .5 being rounded up).</w:t>
      </w:r>
    </w:p>
    <w:p w:rsidR="00F10732" w:rsidRPr="0063657F" w:rsidRDefault="00F773E9" w:rsidP="00F10732">
      <w:pPr>
        <w:pStyle w:val="h5Section"/>
      </w:pPr>
      <w:bookmarkStart w:id="79" w:name="_Toc421628112"/>
      <w:bookmarkStart w:id="80" w:name="_Toc431897006"/>
      <w:r>
        <w:t>55</w:t>
      </w:r>
      <w:r w:rsidR="00F10732" w:rsidRPr="0063657F">
        <w:t xml:space="preserve"> Duration of landfill-benchmark baseline determination</w:t>
      </w:r>
      <w:bookmarkEnd w:id="79"/>
      <w:bookmarkEnd w:id="80"/>
      <w:r w:rsidR="00F10732" w:rsidRPr="0063657F">
        <w:t xml:space="preserve"> </w:t>
      </w:r>
    </w:p>
    <w:p w:rsidR="00F10732" w:rsidRPr="0063657F" w:rsidRDefault="00F10732" w:rsidP="00F10732">
      <w:pPr>
        <w:pStyle w:val="tMain"/>
      </w:pPr>
      <w:r w:rsidRPr="0063657F">
        <w:tab/>
      </w:r>
      <w:r w:rsidR="00F773E9">
        <w:t>(1)</w:t>
      </w:r>
      <w:r w:rsidRPr="0063657F">
        <w:tab/>
        <w:t xml:space="preserve">If a landfill-benchmark baseline determination is made </w:t>
      </w:r>
      <w:r w:rsidR="0076470C" w:rsidRPr="0063657F">
        <w:t xml:space="preserve">within </w:t>
      </w:r>
      <w:r w:rsidR="00AB4439" w:rsidRPr="0063657F">
        <w:t>2</w:t>
      </w:r>
      <w:r w:rsidR="0076470C" w:rsidRPr="0063657F">
        <w:t xml:space="preserve"> </w:t>
      </w:r>
      <w:r w:rsidRPr="0063657F">
        <w:t>year</w:t>
      </w:r>
      <w:r w:rsidR="0076470C" w:rsidRPr="0063657F">
        <w:t>s</w:t>
      </w:r>
      <w:r w:rsidRPr="0063657F">
        <w:t xml:space="preserve"> after the requested start of the determination, it must come into force on the 1 July requested in the application.</w:t>
      </w:r>
    </w:p>
    <w:p w:rsidR="00F10732" w:rsidRPr="0063657F" w:rsidRDefault="00F10732" w:rsidP="00F10732">
      <w:pPr>
        <w:pStyle w:val="tMain"/>
      </w:pPr>
      <w:r w:rsidRPr="0063657F">
        <w:tab/>
      </w:r>
      <w:r w:rsidR="00F773E9">
        <w:t>(2)</w:t>
      </w:r>
      <w:r w:rsidRPr="0063657F">
        <w:tab/>
        <w:t xml:space="preserve">A landfill-benchmark baseline determination made later than specified in subsection (1) is to come into force from the earliest 1 July possible under subsection </w:t>
      </w:r>
      <w:proofErr w:type="gramStart"/>
      <w:r w:rsidRPr="0063657F">
        <w:t>22XQ(</w:t>
      </w:r>
      <w:proofErr w:type="gramEnd"/>
      <w:r w:rsidRPr="0063657F">
        <w:t>2) of the Act.</w:t>
      </w:r>
    </w:p>
    <w:p w:rsidR="00F10732" w:rsidRPr="0063657F" w:rsidRDefault="00F10732" w:rsidP="00F10732">
      <w:pPr>
        <w:pStyle w:val="tMain"/>
      </w:pPr>
      <w:r w:rsidRPr="0063657F">
        <w:tab/>
      </w:r>
      <w:r w:rsidR="00F773E9">
        <w:t>(3)</w:t>
      </w:r>
      <w:r w:rsidRPr="0063657F">
        <w:tab/>
        <w:t xml:space="preserve">A landfill-benchmark baseline determination: </w:t>
      </w:r>
    </w:p>
    <w:p w:rsidR="00F10732" w:rsidRPr="0063657F" w:rsidRDefault="00F10732" w:rsidP="00F10732">
      <w:pPr>
        <w:pStyle w:val="tPara"/>
      </w:pPr>
      <w:r w:rsidRPr="0063657F">
        <w:tab/>
      </w:r>
      <w:r w:rsidR="00F773E9">
        <w:t>(a)</w:t>
      </w:r>
      <w:r w:rsidRPr="0063657F">
        <w:tab/>
      </w:r>
      <w:proofErr w:type="gramStart"/>
      <w:r w:rsidRPr="0063657F">
        <w:t>replaces</w:t>
      </w:r>
      <w:proofErr w:type="gramEnd"/>
      <w:r w:rsidRPr="0063657F">
        <w:t xml:space="preserve"> another baseline determination in force in relation to the facility; and</w:t>
      </w:r>
    </w:p>
    <w:p w:rsidR="00F10732" w:rsidRPr="0063657F" w:rsidRDefault="00F10732" w:rsidP="00F10732">
      <w:pPr>
        <w:pStyle w:val="tPara"/>
      </w:pPr>
      <w:r w:rsidRPr="0063657F">
        <w:tab/>
      </w:r>
      <w:r w:rsidR="00F773E9">
        <w:t>(b)</w:t>
      </w:r>
      <w:r w:rsidRPr="0063657F">
        <w:tab/>
      </w:r>
      <w:proofErr w:type="gramStart"/>
      <w:r w:rsidRPr="0063657F">
        <w:t>ceases</w:t>
      </w:r>
      <w:proofErr w:type="gramEnd"/>
      <w:r w:rsidRPr="0063657F">
        <w:t xml:space="preserve"> to be in force from: </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the</w:t>
      </w:r>
      <w:proofErr w:type="gramEnd"/>
      <w:r w:rsidRPr="0063657F">
        <w:t xml:space="preserve"> date when another baseline determination commences in relation to the facility; or</w:t>
      </w:r>
    </w:p>
    <w:p w:rsidR="00F10732" w:rsidRPr="0063657F" w:rsidRDefault="00F10732" w:rsidP="00F10732">
      <w:pPr>
        <w:pStyle w:val="tSubpara"/>
      </w:pPr>
      <w:r w:rsidRPr="0063657F">
        <w:lastRenderedPageBreak/>
        <w:tab/>
      </w:r>
      <w:r w:rsidR="00F773E9">
        <w:t>(ii)</w:t>
      </w:r>
      <w:r w:rsidRPr="0063657F">
        <w:tab/>
      </w:r>
      <w:proofErr w:type="gramStart"/>
      <w:r w:rsidRPr="0063657F">
        <w:t>a</w:t>
      </w:r>
      <w:proofErr w:type="gramEnd"/>
      <w:r w:rsidRPr="0063657F">
        <w:t xml:space="preserve"> 30 June notified to the Regulator in writing by the responsible emitter for the facility.</w:t>
      </w:r>
    </w:p>
    <w:p w:rsidR="00F10732" w:rsidRPr="0063657F" w:rsidRDefault="00F773E9" w:rsidP="00F10732">
      <w:pPr>
        <w:pStyle w:val="h4Subdiv"/>
      </w:pPr>
      <w:bookmarkStart w:id="81" w:name="_Toc431897007"/>
      <w:r>
        <w:t>Subdivision 8</w:t>
      </w:r>
      <w:r w:rsidR="00F10732" w:rsidRPr="0063657F">
        <w:t>—General variation and remaking of baseline determinations</w:t>
      </w:r>
      <w:bookmarkEnd w:id="81"/>
    </w:p>
    <w:p w:rsidR="00F10732" w:rsidRPr="0063657F" w:rsidRDefault="00F773E9" w:rsidP="00F10732">
      <w:pPr>
        <w:pStyle w:val="h5Section"/>
      </w:pPr>
      <w:bookmarkStart w:id="82" w:name="_Toc431897008"/>
      <w:r>
        <w:t>56</w:t>
      </w:r>
      <w:r w:rsidR="00F10732" w:rsidRPr="0063657F">
        <w:t xml:space="preserve"> Variation relating to changes in carbon dioxide equivalence</w:t>
      </w:r>
      <w:bookmarkEnd w:id="82"/>
      <w:r w:rsidR="00F10732" w:rsidRPr="0063657F">
        <w:t xml:space="preserve"> </w:t>
      </w:r>
    </w:p>
    <w:p w:rsidR="00F10732" w:rsidRPr="0063657F" w:rsidRDefault="00F10732" w:rsidP="00F10732">
      <w:pPr>
        <w:pStyle w:val="tMain"/>
      </w:pPr>
      <w:r w:rsidRPr="0063657F">
        <w:tab/>
      </w:r>
      <w:r w:rsidR="00F773E9">
        <w:t>(1)</w:t>
      </w:r>
      <w:r w:rsidRPr="0063657F">
        <w:tab/>
        <w:t>If:</w:t>
      </w:r>
    </w:p>
    <w:p w:rsidR="00F10732" w:rsidRPr="0063657F" w:rsidRDefault="00F10732" w:rsidP="00F10732">
      <w:pPr>
        <w:pStyle w:val="tPara"/>
      </w:pPr>
      <w:r w:rsidRPr="0063657F">
        <w:tab/>
      </w:r>
      <w:r w:rsidR="00F773E9">
        <w:t>(a)</w:t>
      </w:r>
      <w:r w:rsidRPr="0063657F">
        <w:tab/>
      </w:r>
      <w:proofErr w:type="gramStart"/>
      <w:r w:rsidRPr="0063657F">
        <w:t>the</w:t>
      </w:r>
      <w:proofErr w:type="gramEnd"/>
      <w:r w:rsidRPr="0063657F">
        <w:t xml:space="preserve"> carbon dioxide equivalence of one or more greenhouse gases changes at the start of, or during a, financial year; and</w:t>
      </w:r>
    </w:p>
    <w:p w:rsidR="00F10732" w:rsidRPr="0063657F" w:rsidRDefault="00F10732" w:rsidP="00F10732">
      <w:pPr>
        <w:pStyle w:val="tPara"/>
      </w:pPr>
      <w:r w:rsidRPr="0063657F">
        <w:tab/>
      </w:r>
      <w:r w:rsidR="00F773E9">
        <w:t>(b)</w:t>
      </w:r>
      <w:r w:rsidRPr="0063657F">
        <w:tab/>
      </w:r>
      <w:proofErr w:type="gramStart"/>
      <w:r w:rsidR="001A5591" w:rsidRPr="0063657F">
        <w:t>one</w:t>
      </w:r>
      <w:proofErr w:type="gramEnd"/>
      <w:r w:rsidR="001A5591" w:rsidRPr="0063657F">
        <w:t xml:space="preserve"> of the following determinations for a facility is in force (the </w:t>
      </w:r>
      <w:r w:rsidR="001A5591" w:rsidRPr="0063657F">
        <w:rPr>
          <w:b/>
          <w:i/>
        </w:rPr>
        <w:t>relevant determination</w:t>
      </w:r>
      <w:r w:rsidR="001A5591" w:rsidRPr="0063657F">
        <w:t xml:space="preserve">): </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a</w:t>
      </w:r>
      <w:proofErr w:type="gramEnd"/>
      <w:r w:rsidRPr="0063657F">
        <w:t xml:space="preserve"> reported-emissions baseline determination;</w:t>
      </w:r>
    </w:p>
    <w:p w:rsidR="00F10732" w:rsidRPr="0063657F" w:rsidRDefault="00F10732" w:rsidP="00F10732">
      <w:pPr>
        <w:pStyle w:val="tSubpara"/>
      </w:pPr>
      <w:r w:rsidRPr="0063657F">
        <w:tab/>
      </w:r>
      <w:r w:rsidR="00F773E9">
        <w:t>(ii)</w:t>
      </w:r>
      <w:r w:rsidRPr="0063657F">
        <w:tab/>
      </w:r>
      <w:proofErr w:type="gramStart"/>
      <w:r w:rsidRPr="0063657F">
        <w:t>a</w:t>
      </w:r>
      <w:proofErr w:type="gramEnd"/>
      <w:r w:rsidRPr="0063657F">
        <w:t xml:space="preserve"> calculated-emissions baseline determination which was based upon an emissions-intensity per unit of a production variable identified by gre</w:t>
      </w:r>
      <w:r w:rsidR="00064B76" w:rsidRPr="0063657F">
        <w:t>enhouse gas under subsection 6(6</w:t>
      </w:r>
      <w:r w:rsidRPr="0063657F">
        <w:t xml:space="preserve">); </w:t>
      </w:r>
    </w:p>
    <w:p w:rsidR="00F10732" w:rsidRPr="0063657F" w:rsidRDefault="00F10732" w:rsidP="00F10732">
      <w:pPr>
        <w:pStyle w:val="tSubpara"/>
      </w:pPr>
      <w:r w:rsidRPr="0063657F">
        <w:tab/>
      </w:r>
      <w:r w:rsidR="00F773E9">
        <w:t>(iii)</w:t>
      </w:r>
      <w:r w:rsidRPr="0063657F">
        <w:tab/>
      </w:r>
      <w:proofErr w:type="gramStart"/>
      <w:r w:rsidRPr="0063657F">
        <w:t>a</w:t>
      </w:r>
      <w:proofErr w:type="gramEnd"/>
      <w:r w:rsidRPr="0063657F">
        <w:t xml:space="preserve"> benchmark-emissions baseline determination; </w:t>
      </w:r>
    </w:p>
    <w:p w:rsidR="00F10732" w:rsidRPr="0063657F" w:rsidRDefault="00F10732" w:rsidP="00F10732">
      <w:pPr>
        <w:pStyle w:val="tSubpara"/>
      </w:pPr>
      <w:r w:rsidRPr="0063657F">
        <w:tab/>
      </w:r>
      <w:r w:rsidR="00F773E9">
        <w:t>(iv)</w:t>
      </w:r>
      <w:r w:rsidRPr="0063657F">
        <w:tab/>
      </w:r>
      <w:proofErr w:type="gramStart"/>
      <w:r w:rsidRPr="0063657F">
        <w:t>a</w:t>
      </w:r>
      <w:proofErr w:type="gramEnd"/>
      <w:r w:rsidRPr="0063657F">
        <w:t xml:space="preserve"> production-adjusted baseline determination which was based upon: </w:t>
      </w:r>
    </w:p>
    <w:p w:rsidR="00F10732" w:rsidRPr="0063657F" w:rsidRDefault="00F10732" w:rsidP="00F10732">
      <w:pPr>
        <w:pStyle w:val="tSubsub"/>
      </w:pPr>
      <w:r w:rsidRPr="0063657F">
        <w:tab/>
      </w:r>
      <w:r w:rsidR="00F773E9">
        <w:t>(A)</w:t>
      </w:r>
      <w:r w:rsidRPr="0063657F">
        <w:tab/>
      </w:r>
      <w:proofErr w:type="gramStart"/>
      <w:r w:rsidRPr="0063657F">
        <w:t>an</w:t>
      </w:r>
      <w:proofErr w:type="gramEnd"/>
      <w:r w:rsidRPr="0063657F">
        <w:t xml:space="preserve"> </w:t>
      </w:r>
      <w:r w:rsidR="001033B1" w:rsidRPr="0063657F">
        <w:t>emissions intensity</w:t>
      </w:r>
      <w:r w:rsidRPr="0063657F">
        <w:t xml:space="preserve"> per unit of a production variable identified by greenhouse gas in an application for a calculated-emissions baseline de</w:t>
      </w:r>
      <w:r w:rsidR="00064B76" w:rsidRPr="0063657F">
        <w:t>termination under subsection 6(6</w:t>
      </w:r>
      <w:r w:rsidRPr="0063657F">
        <w:t>); or</w:t>
      </w:r>
    </w:p>
    <w:p w:rsidR="00F10732" w:rsidRPr="0063657F" w:rsidRDefault="00F10732" w:rsidP="00F10732">
      <w:pPr>
        <w:pStyle w:val="tSubsub"/>
      </w:pPr>
      <w:r w:rsidRPr="0063657F">
        <w:tab/>
      </w:r>
      <w:r w:rsidR="00F773E9">
        <w:t>(B)</w:t>
      </w:r>
      <w:r w:rsidRPr="0063657F">
        <w:tab/>
      </w:r>
      <w:proofErr w:type="gramStart"/>
      <w:r w:rsidRPr="0063657F">
        <w:t>an</w:t>
      </w:r>
      <w:proofErr w:type="gramEnd"/>
      <w:r w:rsidRPr="0063657F">
        <w:t xml:space="preserve"> </w:t>
      </w:r>
      <w:r w:rsidR="001033B1" w:rsidRPr="0063657F">
        <w:t>emissions intensity</w:t>
      </w:r>
      <w:r w:rsidRPr="0063657F">
        <w:t xml:space="preserve"> per unit of production consistent with the Benchmark Emissions-Intensity Index;</w:t>
      </w:r>
    </w:p>
    <w:p w:rsidR="00F10732" w:rsidRPr="0063657F" w:rsidRDefault="00F10732" w:rsidP="00C50DD9">
      <w:pPr>
        <w:pStyle w:val="tMain"/>
        <w:spacing w:before="40"/>
      </w:pPr>
      <w:r w:rsidRPr="0063657F">
        <w:tab/>
      </w:r>
      <w:r w:rsidRPr="0063657F">
        <w:tab/>
      </w:r>
      <w:proofErr w:type="gramStart"/>
      <w:r w:rsidRPr="0063657F">
        <w:t>the</w:t>
      </w:r>
      <w:proofErr w:type="gramEnd"/>
      <w:r w:rsidRPr="0063657F">
        <w:t xml:space="preserve"> Regulator must vary the</w:t>
      </w:r>
      <w:r w:rsidR="001A5591" w:rsidRPr="0063657F">
        <w:t xml:space="preserve"> relevant</w:t>
      </w:r>
      <w:r w:rsidRPr="0063657F">
        <w:t xml:space="preserve"> determination to reflect the changed carbon dioxide equivalence of the baseline emissions number with effect from the start of that financial year.</w:t>
      </w:r>
    </w:p>
    <w:p w:rsidR="00F10732" w:rsidRPr="0063657F" w:rsidRDefault="00F10732" w:rsidP="00F10732">
      <w:pPr>
        <w:pStyle w:val="tMain"/>
      </w:pPr>
      <w:r w:rsidRPr="0063657F">
        <w:tab/>
      </w:r>
      <w:r w:rsidR="00F773E9">
        <w:t>(2)</w:t>
      </w:r>
      <w:r w:rsidRPr="0063657F">
        <w:tab/>
        <w:t xml:space="preserve">For the purposes of subsection (1): </w:t>
      </w:r>
    </w:p>
    <w:p w:rsidR="00F10732" w:rsidRPr="0063657F" w:rsidRDefault="00F10732" w:rsidP="00F10732">
      <w:pPr>
        <w:pStyle w:val="tPara"/>
      </w:pPr>
      <w:r w:rsidRPr="0063657F">
        <w:tab/>
      </w:r>
      <w:r w:rsidR="00F773E9">
        <w:t>(a)</w:t>
      </w:r>
      <w:r w:rsidRPr="0063657F">
        <w:tab/>
        <w:t xml:space="preserve">the baseline emissions number in reported-emissions baseline determination need only be varied in relation to carbon dioxide, methane, nitrous oxide, </w:t>
      </w:r>
      <w:proofErr w:type="spellStart"/>
      <w:r w:rsidRPr="0063657F">
        <w:t>perfluorocarbon</w:t>
      </w:r>
      <w:proofErr w:type="spellEnd"/>
      <w:r w:rsidRPr="0063657F">
        <w:t xml:space="preserve"> emissions attributable to aluminium production and other greenhouse gases identifie</w:t>
      </w:r>
      <w:r w:rsidR="00D27761">
        <w:t>d under subparagraph 17(6)(b)(</w:t>
      </w:r>
      <w:proofErr w:type="spellStart"/>
      <w:r w:rsidR="00D27761">
        <w:t>i</w:t>
      </w:r>
      <w:proofErr w:type="spellEnd"/>
      <w:r w:rsidRPr="0063657F">
        <w:t>);</w:t>
      </w:r>
      <w:r w:rsidR="001A5591" w:rsidRPr="0063657F">
        <w:t xml:space="preserve"> and</w:t>
      </w:r>
    </w:p>
    <w:p w:rsidR="00F10732" w:rsidRPr="0063657F" w:rsidRDefault="00F10732" w:rsidP="00F10732">
      <w:pPr>
        <w:pStyle w:val="tPara"/>
      </w:pPr>
      <w:r w:rsidRPr="0063657F">
        <w:tab/>
      </w:r>
      <w:r w:rsidR="00F773E9">
        <w:t>(b)</w:t>
      </w:r>
      <w:r w:rsidRPr="0063657F">
        <w:tab/>
        <w:t xml:space="preserve">greenhouse gas emissions included in the baseline emissions number of a calculated-emissions baseline determination or production-adjusted baseline determination without an identified </w:t>
      </w:r>
      <w:r w:rsidR="001033B1" w:rsidRPr="0063657F">
        <w:t>emissions intensity</w:t>
      </w:r>
      <w:r w:rsidRPr="0063657F">
        <w:t xml:space="preserve"> of non-carbon dioxide greenhouse gas per unit of a producti</w:t>
      </w:r>
      <w:r w:rsidR="002D3457">
        <w:t>on variable under subsection 6(6</w:t>
      </w:r>
      <w:r w:rsidRPr="0063657F">
        <w:t>) are assumed to be emissions of carbon dioxide;</w:t>
      </w:r>
      <w:r w:rsidR="001A5591" w:rsidRPr="0063657F">
        <w:t xml:space="preserve"> and</w:t>
      </w:r>
    </w:p>
    <w:p w:rsidR="00F10732" w:rsidRPr="0063657F" w:rsidRDefault="00F10732" w:rsidP="00F10732">
      <w:pPr>
        <w:pStyle w:val="tPara"/>
      </w:pPr>
      <w:r w:rsidRPr="0063657F">
        <w:tab/>
      </w:r>
      <w:r w:rsidR="00F773E9">
        <w:t>(c)</w:t>
      </w:r>
      <w:r w:rsidRPr="0063657F">
        <w:tab/>
        <w:t xml:space="preserve">the changed carbon dioxide equivalence of a baseline emissions number derived from the Benchmark Emissions-Intensity Index must be determined consistently with the changed </w:t>
      </w:r>
      <w:r w:rsidR="001033B1" w:rsidRPr="0063657F">
        <w:t>emissions intensity</w:t>
      </w:r>
      <w:r w:rsidRPr="0063657F">
        <w:t xml:space="preserve"> of the relevant production variable in that Index.</w:t>
      </w:r>
    </w:p>
    <w:p w:rsidR="00F10732" w:rsidRPr="0063657F" w:rsidRDefault="00F10732" w:rsidP="00F10732">
      <w:pPr>
        <w:pStyle w:val="tMain"/>
      </w:pPr>
      <w:r w:rsidRPr="0063657F">
        <w:tab/>
      </w:r>
      <w:r w:rsidR="00F773E9">
        <w:t>(3)</w:t>
      </w:r>
      <w:r w:rsidRPr="0063657F">
        <w:tab/>
        <w:t>The baseline emissions number is to be rounded to the nearest whole number (with a number ending in .5 being rounded up).</w:t>
      </w:r>
    </w:p>
    <w:p w:rsidR="00F10732" w:rsidRPr="0063657F" w:rsidRDefault="00F10732" w:rsidP="00F10732">
      <w:pPr>
        <w:pStyle w:val="tMain"/>
      </w:pPr>
      <w:r w:rsidRPr="0063657F">
        <w:tab/>
      </w:r>
      <w:r w:rsidR="00F773E9">
        <w:t>(4)</w:t>
      </w:r>
      <w:r w:rsidRPr="0063657F">
        <w:tab/>
        <w:t>Before the Regulator varies a baseline determination for a facility under this section, the Regulator must provide a written notice to the responsible emitter for the facility:</w:t>
      </w:r>
    </w:p>
    <w:p w:rsidR="00F10732" w:rsidRPr="0063657F" w:rsidRDefault="00F10732" w:rsidP="00F10732">
      <w:pPr>
        <w:pStyle w:val="tPara"/>
      </w:pPr>
      <w:r w:rsidRPr="0063657F">
        <w:tab/>
      </w:r>
      <w:r w:rsidR="00F773E9">
        <w:t>(a)</w:t>
      </w:r>
      <w:r w:rsidRPr="0063657F">
        <w:tab/>
      </w:r>
      <w:proofErr w:type="gramStart"/>
      <w:r w:rsidR="0066445F" w:rsidRPr="0063657F">
        <w:t>stating</w:t>
      </w:r>
      <w:proofErr w:type="gramEnd"/>
      <w:r w:rsidR="0066445F" w:rsidRPr="0063657F">
        <w:t xml:space="preserve"> </w:t>
      </w:r>
      <w:r w:rsidRPr="0063657F">
        <w:t>that it intends to vary the baseline determination in relation to the facility under this section; and</w:t>
      </w:r>
    </w:p>
    <w:p w:rsidR="00F10732" w:rsidRPr="0063657F" w:rsidRDefault="00F10732" w:rsidP="00F10732">
      <w:pPr>
        <w:pStyle w:val="tPara"/>
      </w:pPr>
      <w:r w:rsidRPr="0063657F">
        <w:tab/>
      </w:r>
      <w:r w:rsidR="00F773E9">
        <w:t>(b)</w:t>
      </w:r>
      <w:r w:rsidRPr="0063657F">
        <w:tab/>
      </w:r>
      <w:proofErr w:type="gramStart"/>
      <w:r w:rsidRPr="0063657F">
        <w:t>specifying</w:t>
      </w:r>
      <w:proofErr w:type="gramEnd"/>
      <w:r w:rsidRPr="0063657F">
        <w:t xml:space="preserve"> the baseline emissions number that would apply under the determination; and</w:t>
      </w:r>
    </w:p>
    <w:p w:rsidR="00F10732" w:rsidRPr="0063657F" w:rsidRDefault="00F10732" w:rsidP="00F10732">
      <w:pPr>
        <w:pStyle w:val="tPara"/>
      </w:pPr>
      <w:r w:rsidRPr="0063657F">
        <w:tab/>
      </w:r>
      <w:r w:rsidR="00F773E9">
        <w:t>(c)</w:t>
      </w:r>
      <w:r w:rsidRPr="0063657F">
        <w:tab/>
      </w:r>
      <w:proofErr w:type="gramStart"/>
      <w:r w:rsidRPr="0063657F">
        <w:t>seeking</w:t>
      </w:r>
      <w:proofErr w:type="gramEnd"/>
      <w:r w:rsidRPr="0063657F">
        <w:t xml:space="preserve"> any comments by a date specified in the notice.</w:t>
      </w:r>
    </w:p>
    <w:p w:rsidR="00277608" w:rsidRPr="0063657F" w:rsidRDefault="00F10732" w:rsidP="00277608">
      <w:pPr>
        <w:pStyle w:val="tMain"/>
      </w:pPr>
      <w:r w:rsidRPr="0063657F">
        <w:lastRenderedPageBreak/>
        <w:tab/>
      </w:r>
      <w:r w:rsidR="00F773E9">
        <w:t>(5)</w:t>
      </w:r>
      <w:r w:rsidRPr="0063657F">
        <w:tab/>
        <w:t>The Regulator must consider any comments received by the date specified in the notice and use all reasonable endeavours to vary the baseline determination</w:t>
      </w:r>
      <w:r w:rsidR="00277608" w:rsidRPr="0063657F">
        <w:t xml:space="preserve"> by the later of: </w:t>
      </w:r>
    </w:p>
    <w:p w:rsidR="00277608" w:rsidRPr="0063657F" w:rsidRDefault="00277608" w:rsidP="00277608">
      <w:pPr>
        <w:pStyle w:val="tPara"/>
      </w:pPr>
      <w:r w:rsidRPr="0063657F">
        <w:tab/>
      </w:r>
      <w:r w:rsidR="00F773E9">
        <w:t>(a)</w:t>
      </w:r>
      <w:r w:rsidRPr="0063657F">
        <w:tab/>
      </w:r>
      <w:r w:rsidR="000F27F3" w:rsidRPr="0063657F">
        <w:t xml:space="preserve">if the Regulator requires the responsible emitter to give further information under subsection 58(1) in connection with the variation of the baseline determination—30 days after the responsible emitter gave the Regulator the information; </w:t>
      </w:r>
      <w:r w:rsidRPr="0063657F">
        <w:t>and</w:t>
      </w:r>
    </w:p>
    <w:p w:rsidR="00F10732" w:rsidRPr="0063657F" w:rsidRDefault="00277608" w:rsidP="00277608">
      <w:pPr>
        <w:pStyle w:val="tPara"/>
      </w:pPr>
      <w:r w:rsidRPr="0063657F">
        <w:tab/>
      </w:r>
      <w:r w:rsidR="00F773E9">
        <w:t>(b)</w:t>
      </w:r>
      <w:r w:rsidRPr="0063657F">
        <w:tab/>
        <w:t>30 days after the date specified in paragraph (4</w:t>
      </w:r>
      <w:proofErr w:type="gramStart"/>
      <w:r w:rsidRPr="0063657F">
        <w:t>)(</w:t>
      </w:r>
      <w:proofErr w:type="gramEnd"/>
      <w:r w:rsidRPr="0063657F">
        <w:t>c).</w:t>
      </w:r>
    </w:p>
    <w:p w:rsidR="00F10732" w:rsidRPr="0063657F" w:rsidRDefault="00F10732" w:rsidP="00F10732">
      <w:pPr>
        <w:pStyle w:val="tMain"/>
      </w:pPr>
      <w:r w:rsidRPr="0063657F">
        <w:tab/>
      </w:r>
      <w:r w:rsidR="00F773E9">
        <w:t>(6)</w:t>
      </w:r>
      <w:r w:rsidRPr="0063657F">
        <w:tab/>
      </w:r>
      <w:proofErr w:type="gramStart"/>
      <w:r w:rsidRPr="0063657F">
        <w:t>As</w:t>
      </w:r>
      <w:proofErr w:type="gramEnd"/>
      <w:r w:rsidRPr="0063657F">
        <w:t xml:space="preserve"> soon as practicable after varying a baseline determination, the Regulator must:</w:t>
      </w:r>
    </w:p>
    <w:p w:rsidR="00F10732" w:rsidRPr="0063657F" w:rsidRDefault="00F10732" w:rsidP="00F10732">
      <w:pPr>
        <w:pStyle w:val="tPara"/>
      </w:pPr>
      <w:r w:rsidRPr="0063657F">
        <w:tab/>
      </w:r>
      <w:r w:rsidR="00F773E9">
        <w:t>(a)</w:t>
      </w:r>
      <w:r w:rsidRPr="0063657F">
        <w:tab/>
      </w:r>
      <w:proofErr w:type="gramStart"/>
      <w:r w:rsidRPr="0063657F">
        <w:t>provide</w:t>
      </w:r>
      <w:proofErr w:type="gramEnd"/>
      <w:r w:rsidRPr="0063657F">
        <w:t xml:space="preserve"> written notice of the varied determination to the responsible emitter for the facility covered by the determination; and</w:t>
      </w:r>
    </w:p>
    <w:p w:rsidR="00F10732" w:rsidRPr="0063657F" w:rsidRDefault="00F10732" w:rsidP="00F10732">
      <w:pPr>
        <w:pStyle w:val="tPara"/>
      </w:pPr>
      <w:r w:rsidRPr="0063657F">
        <w:tab/>
      </w:r>
      <w:r w:rsidR="00F773E9">
        <w:t>(b)</w:t>
      </w:r>
      <w:r w:rsidRPr="0063657F">
        <w:tab/>
      </w:r>
      <w:proofErr w:type="gramStart"/>
      <w:r w:rsidRPr="0063657F">
        <w:t>publish</w:t>
      </w:r>
      <w:proofErr w:type="gramEnd"/>
      <w:r w:rsidRPr="0063657F">
        <w:t xml:space="preserve"> the details of the varied determination on its website.</w:t>
      </w:r>
    </w:p>
    <w:p w:rsidR="00F10732" w:rsidRPr="0063657F" w:rsidRDefault="00F10732" w:rsidP="00F10732">
      <w:pPr>
        <w:pStyle w:val="tMain"/>
      </w:pPr>
      <w:r w:rsidRPr="0063657F">
        <w:tab/>
      </w:r>
      <w:r w:rsidR="00F773E9">
        <w:t>(7)</w:t>
      </w:r>
      <w:r w:rsidRPr="0063657F">
        <w:tab/>
        <w:t>To avoid doubt, a decision to vary a baseline determination under this section is a reviewable decision under section 56 of the Act.</w:t>
      </w:r>
    </w:p>
    <w:p w:rsidR="00F10732" w:rsidRPr="0063657F" w:rsidRDefault="00F773E9" w:rsidP="00F10732">
      <w:pPr>
        <w:pStyle w:val="h5Section"/>
      </w:pPr>
      <w:bookmarkStart w:id="83" w:name="_Toc431897009"/>
      <w:r>
        <w:t>57</w:t>
      </w:r>
      <w:r w:rsidR="00F10732" w:rsidRPr="0063657F">
        <w:t xml:space="preserve"> Remaking of baseline determinations because of error</w:t>
      </w:r>
      <w:bookmarkEnd w:id="83"/>
    </w:p>
    <w:p w:rsidR="00F10732" w:rsidRPr="0063657F" w:rsidRDefault="00F10732" w:rsidP="00F10732">
      <w:pPr>
        <w:pStyle w:val="tMain"/>
      </w:pPr>
      <w:r w:rsidRPr="0063657F">
        <w:tab/>
      </w:r>
      <w:r w:rsidR="00F773E9">
        <w:t>(1)</w:t>
      </w:r>
      <w:r w:rsidRPr="0063657F">
        <w:tab/>
        <w:t>If the Regulator is satisfied that:</w:t>
      </w:r>
    </w:p>
    <w:p w:rsidR="00F10732" w:rsidRPr="0063657F" w:rsidRDefault="00F10732" w:rsidP="00F10732">
      <w:pPr>
        <w:pStyle w:val="tPara"/>
      </w:pPr>
      <w:r w:rsidRPr="0063657F">
        <w:tab/>
      </w:r>
      <w:r w:rsidR="00F773E9">
        <w:t>(a)</w:t>
      </w:r>
      <w:r w:rsidRPr="0063657F">
        <w:tab/>
      </w:r>
      <w:proofErr w:type="gramStart"/>
      <w:r w:rsidRPr="0063657F">
        <w:t>a</w:t>
      </w:r>
      <w:proofErr w:type="gramEnd"/>
      <w:r w:rsidRPr="0063657F">
        <w:t xml:space="preserve"> baseline determination or purported baseline determination has incorrectly calculated the baseline emissions number for a facility; or</w:t>
      </w:r>
    </w:p>
    <w:p w:rsidR="00F10732" w:rsidRPr="0063657F" w:rsidRDefault="00F10732" w:rsidP="00F10732">
      <w:pPr>
        <w:pStyle w:val="tPara"/>
      </w:pPr>
      <w:r w:rsidRPr="0063657F">
        <w:tab/>
      </w:r>
      <w:r w:rsidR="00F773E9">
        <w:t>(b)</w:t>
      </w:r>
      <w:r w:rsidRPr="0063657F">
        <w:tab/>
      </w:r>
      <w:proofErr w:type="gramStart"/>
      <w:r w:rsidRPr="0063657F">
        <w:t>the</w:t>
      </w:r>
      <w:proofErr w:type="gramEnd"/>
      <w:r w:rsidRPr="0063657F">
        <w:t xml:space="preserve"> making of a baseline determination or purported baseline determination was subject to jurisdictional error by the Regulator;</w:t>
      </w:r>
      <w:r w:rsidR="00E73C1D" w:rsidRPr="0063657F">
        <w:t xml:space="preserve"> or</w:t>
      </w:r>
    </w:p>
    <w:p w:rsidR="00E73C1D" w:rsidRPr="0063657F" w:rsidRDefault="00E73C1D" w:rsidP="00E73C1D">
      <w:pPr>
        <w:pStyle w:val="tPara"/>
      </w:pPr>
      <w:r w:rsidRPr="0063657F">
        <w:tab/>
      </w:r>
      <w:r w:rsidR="00F773E9">
        <w:t>(c)</w:t>
      </w:r>
      <w:r w:rsidRPr="0063657F">
        <w:tab/>
      </w:r>
      <w:proofErr w:type="gramStart"/>
      <w:r w:rsidRPr="0063657F">
        <w:t>information</w:t>
      </w:r>
      <w:proofErr w:type="gramEnd"/>
      <w:r w:rsidRPr="0063657F">
        <w:t xml:space="preserve"> provided to the Regulator by the responsible emitter in connection with the making of the baseline determination was false or misleading in a material particular;</w:t>
      </w:r>
    </w:p>
    <w:p w:rsidR="00F10732" w:rsidRPr="0063657F" w:rsidRDefault="00F10732" w:rsidP="00C50DD9">
      <w:pPr>
        <w:pStyle w:val="tMain"/>
        <w:spacing w:before="40"/>
      </w:pPr>
      <w:r w:rsidRPr="0063657F">
        <w:tab/>
      </w:r>
      <w:r w:rsidRPr="0063657F">
        <w:tab/>
      </w:r>
      <w:proofErr w:type="gramStart"/>
      <w:r w:rsidRPr="0063657F">
        <w:t>the</w:t>
      </w:r>
      <w:proofErr w:type="gramEnd"/>
      <w:r w:rsidRPr="0063657F">
        <w:t xml:space="preserve"> Regulator </w:t>
      </w:r>
      <w:r w:rsidR="00235A07" w:rsidRPr="0063657F">
        <w:t>may</w:t>
      </w:r>
      <w:r w:rsidRPr="0063657F">
        <w:t xml:space="preserve"> remake the </w:t>
      </w:r>
      <w:r w:rsidR="00235A07" w:rsidRPr="0063657F">
        <w:t>decisi</w:t>
      </w:r>
      <w:r w:rsidR="008D1BE1" w:rsidRPr="0063657F">
        <w:t>on to make or refuse to make the</w:t>
      </w:r>
      <w:r w:rsidR="00235A07" w:rsidRPr="0063657F">
        <w:t xml:space="preserve"> </w:t>
      </w:r>
      <w:r w:rsidRPr="0063657F">
        <w:t>baseline determination with effect from the start of that financial year in which the decision is remade.</w:t>
      </w:r>
    </w:p>
    <w:p w:rsidR="00F10732" w:rsidRPr="0063657F" w:rsidRDefault="00F10732" w:rsidP="00F10732">
      <w:pPr>
        <w:pStyle w:val="tMain"/>
      </w:pPr>
      <w:r w:rsidRPr="0063657F">
        <w:tab/>
      </w:r>
      <w:r w:rsidR="00F773E9">
        <w:t>(2)</w:t>
      </w:r>
      <w:r w:rsidRPr="0063657F">
        <w:tab/>
        <w:t xml:space="preserve">Before the Regulator remakes a </w:t>
      </w:r>
      <w:r w:rsidR="00235A07" w:rsidRPr="0063657F">
        <w:t xml:space="preserve">decision to make or refuse to make a </w:t>
      </w:r>
      <w:r w:rsidRPr="0063657F">
        <w:t>baseline determination for a facility under this section, the Regulator must provide a written notice to the responsible emitter for the facility:</w:t>
      </w:r>
    </w:p>
    <w:p w:rsidR="00F10732" w:rsidRPr="0063657F" w:rsidRDefault="00F10732" w:rsidP="00F10732">
      <w:pPr>
        <w:pStyle w:val="tPara"/>
      </w:pPr>
      <w:r w:rsidRPr="0063657F">
        <w:tab/>
      </w:r>
      <w:r w:rsidR="00F773E9">
        <w:t>(a)</w:t>
      </w:r>
      <w:r w:rsidRPr="0063657F">
        <w:tab/>
      </w:r>
      <w:proofErr w:type="gramStart"/>
      <w:r w:rsidR="0066445F" w:rsidRPr="0063657F">
        <w:t>stating</w:t>
      </w:r>
      <w:proofErr w:type="gramEnd"/>
      <w:r w:rsidR="0066445F" w:rsidRPr="0063657F">
        <w:t xml:space="preserve"> </w:t>
      </w:r>
      <w:r w:rsidRPr="0063657F">
        <w:t xml:space="preserve">that it intends to remake the </w:t>
      </w:r>
      <w:r w:rsidR="00235A07" w:rsidRPr="0063657F">
        <w:t>decision</w:t>
      </w:r>
      <w:r w:rsidRPr="0063657F">
        <w:t xml:space="preserve"> in relation to the facility under this section; and</w:t>
      </w:r>
    </w:p>
    <w:p w:rsidR="00F10732" w:rsidRPr="0063657F" w:rsidRDefault="00F10732" w:rsidP="00F10732">
      <w:pPr>
        <w:pStyle w:val="tPara"/>
      </w:pPr>
      <w:r w:rsidRPr="0063657F">
        <w:tab/>
      </w:r>
      <w:r w:rsidR="00F773E9">
        <w:t>(b)</w:t>
      </w:r>
      <w:r w:rsidRPr="0063657F">
        <w:tab/>
      </w:r>
      <w:proofErr w:type="gramStart"/>
      <w:r w:rsidR="00235A07" w:rsidRPr="0063657F">
        <w:t>if</w:t>
      </w:r>
      <w:proofErr w:type="gramEnd"/>
      <w:r w:rsidR="00235A07" w:rsidRPr="0063657F">
        <w:t xml:space="preserve"> a baseline determination is to be remade—</w:t>
      </w:r>
      <w:r w:rsidRPr="0063657F">
        <w:t>specifying the baseline emissions n</w:t>
      </w:r>
      <w:r w:rsidR="003017DC" w:rsidRPr="0063657F">
        <w:t>umber that would apply under that</w:t>
      </w:r>
      <w:r w:rsidRPr="0063657F">
        <w:t xml:space="preserve"> determination; and</w:t>
      </w:r>
    </w:p>
    <w:p w:rsidR="00F10732" w:rsidRPr="0063657F" w:rsidRDefault="00F10732" w:rsidP="00F10732">
      <w:pPr>
        <w:pStyle w:val="tPara"/>
      </w:pPr>
      <w:r w:rsidRPr="0063657F">
        <w:tab/>
      </w:r>
      <w:r w:rsidR="00F773E9">
        <w:t>(c)</w:t>
      </w:r>
      <w:r w:rsidRPr="0063657F">
        <w:tab/>
      </w:r>
      <w:proofErr w:type="gramStart"/>
      <w:r w:rsidRPr="0063657F">
        <w:t>seeking</w:t>
      </w:r>
      <w:proofErr w:type="gramEnd"/>
      <w:r w:rsidRPr="0063657F">
        <w:t xml:space="preserve"> any comments by a date specified in the notice.</w:t>
      </w:r>
    </w:p>
    <w:p w:rsidR="00277608" w:rsidRPr="0063657F" w:rsidRDefault="00F10732" w:rsidP="00277608">
      <w:pPr>
        <w:pStyle w:val="tMain"/>
      </w:pPr>
      <w:r w:rsidRPr="0063657F">
        <w:tab/>
      </w:r>
      <w:r w:rsidR="00F773E9">
        <w:t>(3)</w:t>
      </w:r>
      <w:r w:rsidRPr="0063657F">
        <w:tab/>
        <w:t xml:space="preserve">The Regulator must consider any comments received by the date specified in the notice and use all reasonable endeavours to make </w:t>
      </w:r>
      <w:r w:rsidR="003017DC" w:rsidRPr="0063657F">
        <w:t xml:space="preserve">or refuse to make </w:t>
      </w:r>
      <w:r w:rsidRPr="0063657F">
        <w:t xml:space="preserve">the baseline determination </w:t>
      </w:r>
      <w:r w:rsidR="00277608" w:rsidRPr="0063657F">
        <w:t xml:space="preserve">by the later of: </w:t>
      </w:r>
    </w:p>
    <w:p w:rsidR="00277608" w:rsidRPr="0063657F" w:rsidRDefault="00277608" w:rsidP="00277608">
      <w:pPr>
        <w:pStyle w:val="tPara"/>
      </w:pPr>
      <w:r w:rsidRPr="0063657F">
        <w:tab/>
      </w:r>
      <w:r w:rsidR="00F773E9">
        <w:t>(a)</w:t>
      </w:r>
      <w:r w:rsidRPr="0063657F">
        <w:tab/>
      </w:r>
      <w:r w:rsidR="000F27F3" w:rsidRPr="0063657F">
        <w:t>if the Regulator requires the responsible emitter to give further information under subsection 58(1) in connection with the remaking of a decision to make or refuse to make the baseline determination—30 days after the responsible emitter gave the Regulator the information</w:t>
      </w:r>
      <w:r w:rsidRPr="0063657F">
        <w:t>; and</w:t>
      </w:r>
    </w:p>
    <w:p w:rsidR="00F10732" w:rsidRPr="0063657F" w:rsidRDefault="00277608" w:rsidP="00277608">
      <w:pPr>
        <w:pStyle w:val="tPara"/>
      </w:pPr>
      <w:r w:rsidRPr="0063657F">
        <w:tab/>
      </w:r>
      <w:r w:rsidR="00F773E9">
        <w:t>(b)</w:t>
      </w:r>
      <w:r w:rsidRPr="0063657F">
        <w:tab/>
        <w:t>30 days after the date specified in paragraph (2</w:t>
      </w:r>
      <w:proofErr w:type="gramStart"/>
      <w:r w:rsidRPr="0063657F">
        <w:t>)(</w:t>
      </w:r>
      <w:proofErr w:type="gramEnd"/>
      <w:r w:rsidRPr="0063657F">
        <w:t>c).</w:t>
      </w:r>
    </w:p>
    <w:p w:rsidR="00F10732" w:rsidRPr="0063657F" w:rsidRDefault="00F10732" w:rsidP="00F10732">
      <w:pPr>
        <w:pStyle w:val="tMain"/>
      </w:pPr>
      <w:r w:rsidRPr="0063657F">
        <w:tab/>
      </w:r>
      <w:r w:rsidR="00F773E9">
        <w:t>(4)</w:t>
      </w:r>
      <w:r w:rsidRPr="0063657F">
        <w:tab/>
      </w:r>
      <w:proofErr w:type="gramStart"/>
      <w:r w:rsidRPr="0063657F">
        <w:t>As</w:t>
      </w:r>
      <w:proofErr w:type="gramEnd"/>
      <w:r w:rsidRPr="0063657F">
        <w:t xml:space="preserve"> soon</w:t>
      </w:r>
      <w:r w:rsidR="00235A07" w:rsidRPr="0063657F">
        <w:t xml:space="preserve"> as practicable after remaking or refusing to make a</w:t>
      </w:r>
      <w:r w:rsidRPr="0063657F">
        <w:t xml:space="preserve"> baseline determination, the Regulator must:</w:t>
      </w:r>
    </w:p>
    <w:p w:rsidR="00F10732" w:rsidRPr="0063657F" w:rsidRDefault="00F10732" w:rsidP="00F10732">
      <w:pPr>
        <w:pStyle w:val="tPara"/>
      </w:pPr>
      <w:r w:rsidRPr="0063657F">
        <w:tab/>
      </w:r>
      <w:r w:rsidR="00F773E9">
        <w:t>(a)</w:t>
      </w:r>
      <w:r w:rsidRPr="0063657F">
        <w:tab/>
      </w:r>
      <w:proofErr w:type="gramStart"/>
      <w:r w:rsidRPr="0063657F">
        <w:t>provide</w:t>
      </w:r>
      <w:proofErr w:type="gramEnd"/>
      <w:r w:rsidRPr="0063657F">
        <w:t xml:space="preserve"> written notice of the </w:t>
      </w:r>
      <w:r w:rsidR="00235A07" w:rsidRPr="0063657F">
        <w:t>decision</w:t>
      </w:r>
      <w:r w:rsidRPr="0063657F">
        <w:t xml:space="preserve"> to the responsible emitter for the facility covered by the </w:t>
      </w:r>
      <w:r w:rsidR="00235A07" w:rsidRPr="0063657F">
        <w:t xml:space="preserve">baseline </w:t>
      </w:r>
      <w:r w:rsidRPr="0063657F">
        <w:t>determination; and</w:t>
      </w:r>
    </w:p>
    <w:p w:rsidR="00F10732" w:rsidRPr="0063657F" w:rsidRDefault="00F10732" w:rsidP="00F10732">
      <w:pPr>
        <w:pStyle w:val="tPara"/>
      </w:pPr>
      <w:r w:rsidRPr="0063657F">
        <w:tab/>
      </w:r>
      <w:r w:rsidR="00F773E9">
        <w:t>(b)</w:t>
      </w:r>
      <w:r w:rsidRPr="0063657F">
        <w:tab/>
      </w:r>
      <w:proofErr w:type="gramStart"/>
      <w:r w:rsidRPr="0063657F">
        <w:t>publish</w:t>
      </w:r>
      <w:proofErr w:type="gramEnd"/>
      <w:r w:rsidRPr="0063657F">
        <w:t xml:space="preserve"> the details of </w:t>
      </w:r>
      <w:r w:rsidR="00235A07" w:rsidRPr="0063657F">
        <w:t>any</w:t>
      </w:r>
      <w:r w:rsidRPr="0063657F">
        <w:t xml:space="preserve"> remade </w:t>
      </w:r>
      <w:r w:rsidR="00235A07" w:rsidRPr="0063657F">
        <w:t xml:space="preserve">baseline </w:t>
      </w:r>
      <w:r w:rsidRPr="0063657F">
        <w:t>determination on its website.</w:t>
      </w:r>
    </w:p>
    <w:p w:rsidR="00F10732" w:rsidRPr="0063657F" w:rsidRDefault="00F10732" w:rsidP="00F10732">
      <w:pPr>
        <w:pStyle w:val="tMain"/>
      </w:pPr>
      <w:r w:rsidRPr="0063657F">
        <w:lastRenderedPageBreak/>
        <w:tab/>
      </w:r>
      <w:r w:rsidR="00F773E9">
        <w:t>(5)</w:t>
      </w:r>
      <w:r w:rsidRPr="0063657F">
        <w:tab/>
        <w:t xml:space="preserve">Despite subsection (1), the baseline emissions number for a facility in a financial year before the start of the remade baseline determination </w:t>
      </w:r>
      <w:r w:rsidR="00235A07" w:rsidRPr="0063657F">
        <w:t xml:space="preserve">or decision to refuse to make the baseline determination </w:t>
      </w:r>
      <w:r w:rsidRPr="0063657F">
        <w:t>is the baseline emissions number calculated in accordance with the original baseline determination or purported baseline determination.</w:t>
      </w:r>
    </w:p>
    <w:p w:rsidR="00F10732" w:rsidRPr="0063657F" w:rsidRDefault="00F10732" w:rsidP="00F10732">
      <w:pPr>
        <w:pStyle w:val="tMain"/>
      </w:pPr>
      <w:r w:rsidRPr="0063657F">
        <w:tab/>
      </w:r>
      <w:r w:rsidR="00F773E9">
        <w:t>(6)</w:t>
      </w:r>
      <w:r w:rsidRPr="0063657F">
        <w:tab/>
        <w:t>To avoid doubt, a decision to remake</w:t>
      </w:r>
      <w:r w:rsidR="00235A07" w:rsidRPr="0063657F">
        <w:t xml:space="preserve"> or refuse to make</w:t>
      </w:r>
      <w:r w:rsidRPr="0063657F">
        <w:t xml:space="preserve"> a baseline determination under this section is a reviewable decision under section 56 of the Act.</w:t>
      </w:r>
    </w:p>
    <w:p w:rsidR="00F10732" w:rsidRPr="0063657F" w:rsidRDefault="00F773E9" w:rsidP="00F10732">
      <w:pPr>
        <w:pStyle w:val="h5Section"/>
      </w:pPr>
      <w:bookmarkStart w:id="84" w:name="_Toc431897010"/>
      <w:proofErr w:type="gramStart"/>
      <w:r>
        <w:t>58</w:t>
      </w:r>
      <w:r w:rsidR="00F10732" w:rsidRPr="0063657F">
        <w:t xml:space="preserve"> Further information</w:t>
      </w:r>
      <w:bookmarkEnd w:id="84"/>
      <w:proofErr w:type="gramEnd"/>
    </w:p>
    <w:p w:rsidR="00F10732" w:rsidRPr="0063657F" w:rsidRDefault="00F10732" w:rsidP="00F10732">
      <w:pPr>
        <w:pStyle w:val="tMain"/>
      </w:pPr>
      <w:r w:rsidRPr="0063657F">
        <w:tab/>
      </w:r>
      <w:r w:rsidR="00F773E9">
        <w:t>(1)</w:t>
      </w:r>
      <w:r w:rsidRPr="0063657F">
        <w:tab/>
        <w:t xml:space="preserve">The Regulator may, by written notice given to </w:t>
      </w:r>
      <w:r w:rsidR="004E76AE" w:rsidRPr="0063657F">
        <w:t xml:space="preserve">the </w:t>
      </w:r>
      <w:r w:rsidRPr="0063657F">
        <w:t>responsible emitter, require the responsible emitter to give the Regulator, within the period specified in the notice, further information in connection with the variation of a baselin</w:t>
      </w:r>
      <w:r w:rsidR="00B36BC8" w:rsidRPr="0063657F">
        <w:t>e determination under section 56</w:t>
      </w:r>
      <w:r w:rsidRPr="0063657F">
        <w:t xml:space="preserve"> or remaking of a</w:t>
      </w:r>
      <w:r w:rsidR="003017DC" w:rsidRPr="0063657F">
        <w:t xml:space="preserve"> decision to make or refuse to make</w:t>
      </w:r>
      <w:r w:rsidRPr="0063657F">
        <w:t xml:space="preserve"> baselin</w:t>
      </w:r>
      <w:r w:rsidR="00B36BC8" w:rsidRPr="0063657F">
        <w:t>e determination under section 57</w:t>
      </w:r>
      <w:r w:rsidRPr="0063657F">
        <w:t>.</w:t>
      </w:r>
    </w:p>
    <w:p w:rsidR="00F10732" w:rsidRPr="0063657F" w:rsidRDefault="00F10732" w:rsidP="00F10732">
      <w:pPr>
        <w:pStyle w:val="tMain"/>
      </w:pPr>
      <w:r w:rsidRPr="0063657F">
        <w:tab/>
      </w:r>
      <w:r w:rsidR="00F773E9">
        <w:t>(2)</w:t>
      </w:r>
      <w:r w:rsidRPr="0063657F">
        <w:tab/>
        <w:t>If the responsible emitter breaches the requirement, the Regulator may, by written notice given to the responsible emitter:</w:t>
      </w:r>
    </w:p>
    <w:p w:rsidR="00F10732" w:rsidRPr="0063657F" w:rsidRDefault="00F10732" w:rsidP="00F10732">
      <w:pPr>
        <w:pStyle w:val="tPara"/>
      </w:pPr>
      <w:r w:rsidRPr="0063657F">
        <w:tab/>
      </w:r>
      <w:r w:rsidR="00F773E9">
        <w:t>(</w:t>
      </w:r>
      <w:proofErr w:type="gramStart"/>
      <w:r w:rsidR="00F773E9">
        <w:t>a</w:t>
      </w:r>
      <w:proofErr w:type="gramEnd"/>
      <w:r w:rsidR="00F773E9">
        <w:t>)</w:t>
      </w:r>
      <w:r w:rsidRPr="0063657F">
        <w:tab/>
        <w:t>refuse to take any action, or any further action, in relation to varying the baseline determination until the information is provided; and</w:t>
      </w:r>
    </w:p>
    <w:p w:rsidR="00F10732" w:rsidRPr="0063657F" w:rsidRDefault="00F10732" w:rsidP="00F10732">
      <w:pPr>
        <w:pStyle w:val="tPara"/>
      </w:pPr>
      <w:r w:rsidRPr="0063657F">
        <w:tab/>
      </w:r>
      <w:r w:rsidR="00F773E9">
        <w:t>(b)</w:t>
      </w:r>
      <w:r w:rsidRPr="0063657F">
        <w:tab/>
      </w:r>
      <w:proofErr w:type="gramStart"/>
      <w:r w:rsidRPr="0063657F">
        <w:t>make</w:t>
      </w:r>
      <w:proofErr w:type="gramEnd"/>
      <w:r w:rsidRPr="0063657F">
        <w:t xml:space="preserve"> any assumptions the Regulator considers appropriate about the information which was not provided.</w:t>
      </w:r>
    </w:p>
    <w:p w:rsidR="001F0A39" w:rsidRPr="0063657F" w:rsidRDefault="001F0A39">
      <w:pPr>
        <w:spacing w:line="240" w:lineRule="auto"/>
        <w:rPr>
          <w:rStyle w:val="CharPartNo"/>
          <w:rFonts w:eastAsia="Times New Roman"/>
          <w:b/>
          <w:kern w:val="28"/>
          <w:sz w:val="32"/>
          <w:lang w:eastAsia="en-AU"/>
        </w:rPr>
      </w:pPr>
      <w:r w:rsidRPr="0063657F">
        <w:rPr>
          <w:rStyle w:val="CharPartNo"/>
        </w:rPr>
        <w:br w:type="page"/>
      </w:r>
    </w:p>
    <w:p w:rsidR="00F10732" w:rsidRPr="0063657F" w:rsidRDefault="00F773E9" w:rsidP="00F10732">
      <w:pPr>
        <w:pStyle w:val="h2Part"/>
      </w:pPr>
      <w:bookmarkStart w:id="85" w:name="_Toc431897011"/>
      <w:r>
        <w:rPr>
          <w:rStyle w:val="CharPartNo"/>
        </w:rPr>
        <w:lastRenderedPageBreak/>
        <w:t>Part 4</w:t>
      </w:r>
      <w:r w:rsidR="00F10732" w:rsidRPr="0063657F">
        <w:rPr>
          <w:rStyle w:val="CharPartNo"/>
        </w:rPr>
        <w:t>—</w:t>
      </w:r>
      <w:r w:rsidR="00F10732" w:rsidRPr="0063657F">
        <w:rPr>
          <w:rStyle w:val="CharPartText"/>
        </w:rPr>
        <w:t>Compliance</w:t>
      </w:r>
      <w:bookmarkEnd w:id="85"/>
    </w:p>
    <w:p w:rsidR="00F10732" w:rsidRPr="0063657F" w:rsidRDefault="00F773E9" w:rsidP="00F10732">
      <w:pPr>
        <w:pStyle w:val="h3Div"/>
      </w:pPr>
      <w:bookmarkStart w:id="86" w:name="_Toc431897012"/>
      <w:r>
        <w:t>Division 1</w:t>
      </w:r>
      <w:r w:rsidR="00F10732" w:rsidRPr="0063657F">
        <w:t>—Exemption declarations</w:t>
      </w:r>
      <w:bookmarkEnd w:id="86"/>
    </w:p>
    <w:p w:rsidR="00F10732" w:rsidRPr="0063657F" w:rsidRDefault="00F773E9" w:rsidP="00F10732">
      <w:pPr>
        <w:pStyle w:val="h5Section"/>
      </w:pPr>
      <w:bookmarkStart w:id="87" w:name="_Toc431897013"/>
      <w:r>
        <w:t>59</w:t>
      </w:r>
      <w:r w:rsidR="00F10732" w:rsidRPr="0063657F">
        <w:t xml:space="preserve"> Operation of this Division</w:t>
      </w:r>
      <w:bookmarkEnd w:id="87"/>
      <w:r w:rsidR="00F10732" w:rsidRPr="0063657F">
        <w:t xml:space="preserve"> </w:t>
      </w:r>
    </w:p>
    <w:p w:rsidR="00F10732" w:rsidRPr="0063657F" w:rsidRDefault="00F10732" w:rsidP="00F10732">
      <w:pPr>
        <w:pStyle w:val="tMain"/>
      </w:pPr>
      <w:r w:rsidRPr="0063657F">
        <w:tab/>
      </w:r>
      <w:r w:rsidRPr="0063657F">
        <w:tab/>
        <w:t xml:space="preserve">For subsections </w:t>
      </w:r>
      <w:proofErr w:type="gramStart"/>
      <w:r w:rsidRPr="0063657F">
        <w:t>22XE(</w:t>
      </w:r>
      <w:proofErr w:type="gramEnd"/>
      <w:r w:rsidRPr="0063657F">
        <w:t xml:space="preserve">2), (3) and (4) of the Act, this Division provides for an exemption declaration </w:t>
      </w:r>
      <w:r w:rsidR="00266EA7" w:rsidRPr="0063657F">
        <w:t xml:space="preserve">to be issued </w:t>
      </w:r>
      <w:r w:rsidRPr="0063657F">
        <w:t>in relation to a facility for a monitoring period.</w:t>
      </w:r>
      <w:r w:rsidRPr="0063657F">
        <w:rPr>
          <w:rStyle w:val="CharDivNo"/>
        </w:rPr>
        <w:t xml:space="preserve"> </w:t>
      </w:r>
      <w:r w:rsidRPr="0063657F">
        <w:rPr>
          <w:rStyle w:val="CharDivText"/>
        </w:rPr>
        <w:t xml:space="preserve"> </w:t>
      </w:r>
    </w:p>
    <w:p w:rsidR="00F10732" w:rsidRPr="0063657F" w:rsidRDefault="00F773E9" w:rsidP="00F10732">
      <w:pPr>
        <w:pStyle w:val="h5Section"/>
      </w:pPr>
      <w:bookmarkStart w:id="88" w:name="_Toc431897014"/>
      <w:r>
        <w:t>60</w:t>
      </w:r>
      <w:r w:rsidR="00F10732" w:rsidRPr="0063657F">
        <w:t xml:space="preserve"> </w:t>
      </w:r>
      <w:proofErr w:type="gramStart"/>
      <w:r w:rsidR="00F10732" w:rsidRPr="0063657F">
        <w:t>Application</w:t>
      </w:r>
      <w:bookmarkEnd w:id="88"/>
      <w:proofErr w:type="gramEnd"/>
    </w:p>
    <w:p w:rsidR="00F10732" w:rsidRPr="0063657F" w:rsidRDefault="00F10732" w:rsidP="00F10732">
      <w:pPr>
        <w:pStyle w:val="tMain"/>
      </w:pPr>
      <w:r w:rsidRPr="0063657F">
        <w:tab/>
      </w:r>
      <w:r w:rsidR="00F773E9">
        <w:t>(1)</w:t>
      </w:r>
      <w:r w:rsidRPr="0063657F">
        <w:tab/>
        <w:t>The responsible emitter for a facility may apply to the Regulator for an exemption declaration for the facility for a monitoring period.</w:t>
      </w:r>
    </w:p>
    <w:p w:rsidR="00F10732" w:rsidRPr="0063657F" w:rsidRDefault="00F10732" w:rsidP="00F10732">
      <w:pPr>
        <w:pStyle w:val="tMain"/>
      </w:pPr>
      <w:r w:rsidRPr="0063657F">
        <w:tab/>
      </w:r>
      <w:r w:rsidR="00F773E9">
        <w:t>(2)</w:t>
      </w:r>
      <w:r w:rsidRPr="0063657F">
        <w:tab/>
      </w:r>
      <w:r w:rsidR="00A44F74">
        <w:t>The</w:t>
      </w:r>
      <w:r w:rsidRPr="0063657F">
        <w:t xml:space="preserve"> application must:</w:t>
      </w:r>
    </w:p>
    <w:p w:rsidR="00F10732" w:rsidRPr="0063657F" w:rsidRDefault="00F10732" w:rsidP="00F10732">
      <w:pPr>
        <w:pStyle w:val="tPara"/>
      </w:pPr>
      <w:r w:rsidRPr="0063657F">
        <w:tab/>
      </w:r>
      <w:r w:rsidR="00F773E9">
        <w:t>(a)</w:t>
      </w:r>
      <w:r w:rsidRPr="0063657F">
        <w:tab/>
      </w:r>
      <w:proofErr w:type="gramStart"/>
      <w:r w:rsidRPr="0063657F">
        <w:t>be</w:t>
      </w:r>
      <w:proofErr w:type="gramEnd"/>
      <w:r w:rsidRPr="0063657F">
        <w:t xml:space="preserve"> given in a manner and form approved, in writing, by the Regulator; and</w:t>
      </w:r>
    </w:p>
    <w:p w:rsidR="00F10732" w:rsidRPr="0063657F" w:rsidRDefault="00F10732" w:rsidP="00F10732">
      <w:pPr>
        <w:pStyle w:val="tPara"/>
      </w:pPr>
      <w:r w:rsidRPr="0063657F">
        <w:tab/>
      </w:r>
      <w:r w:rsidR="00F773E9">
        <w:t>(b)</w:t>
      </w:r>
      <w:r w:rsidRPr="0063657F">
        <w:tab/>
      </w:r>
      <w:proofErr w:type="gramStart"/>
      <w:r w:rsidRPr="0063657F">
        <w:t>specify</w:t>
      </w:r>
      <w:proofErr w:type="gramEnd"/>
      <w:r w:rsidRPr="0063657F">
        <w:t xml:space="preserve"> the facility and monitoring period for which an exemption declaration is sought;</w:t>
      </w:r>
      <w:r w:rsidR="00E4104E" w:rsidRPr="0063657F">
        <w:t xml:space="preserve"> and</w:t>
      </w:r>
    </w:p>
    <w:p w:rsidR="00F10732" w:rsidRPr="0063657F" w:rsidRDefault="00F10732" w:rsidP="00F10732">
      <w:pPr>
        <w:pStyle w:val="tPara"/>
      </w:pPr>
      <w:r w:rsidRPr="0063657F">
        <w:tab/>
      </w:r>
      <w:r w:rsidR="00F773E9">
        <w:t>(c)</w:t>
      </w:r>
      <w:r w:rsidRPr="0063657F">
        <w:tab/>
      </w:r>
      <w:proofErr w:type="gramStart"/>
      <w:r w:rsidRPr="0063657F">
        <w:t>include</w:t>
      </w:r>
      <w:proofErr w:type="gramEnd"/>
      <w:r w:rsidRPr="0063657F">
        <w:t xml:space="preserve"> information and documents substantiating: </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why</w:t>
      </w:r>
      <w:proofErr w:type="gramEnd"/>
      <w:r w:rsidRPr="0063657F">
        <w:t xml:space="preserve"> an exemption declaration should be made; and</w:t>
      </w:r>
    </w:p>
    <w:p w:rsidR="0070323A" w:rsidRPr="0063657F" w:rsidRDefault="0070323A" w:rsidP="0070323A">
      <w:pPr>
        <w:pStyle w:val="tSubpara"/>
      </w:pPr>
      <w:r w:rsidRPr="0063657F">
        <w:tab/>
      </w:r>
      <w:r w:rsidR="00F773E9">
        <w:t>(ii)</w:t>
      </w:r>
      <w:r w:rsidRPr="0063657F">
        <w:tab/>
      </w:r>
      <w:proofErr w:type="gramStart"/>
      <w:r w:rsidRPr="0063657F">
        <w:t>if</w:t>
      </w:r>
      <w:proofErr w:type="gramEnd"/>
      <w:r w:rsidRPr="0063657F">
        <w:t xml:space="preserve"> the application relates to criminal activity—the reasonableness of the steps the responsible emitter took:</w:t>
      </w:r>
    </w:p>
    <w:p w:rsidR="0070323A" w:rsidRPr="0063657F" w:rsidRDefault="0070323A" w:rsidP="0070323A">
      <w:pPr>
        <w:pStyle w:val="tSubsub"/>
      </w:pPr>
      <w:r w:rsidRPr="0063657F">
        <w:tab/>
      </w:r>
      <w:r w:rsidR="00F773E9">
        <w:t>(A)</w:t>
      </w:r>
      <w:r w:rsidRPr="0063657F">
        <w:tab/>
      </w:r>
      <w:proofErr w:type="gramStart"/>
      <w:r w:rsidRPr="0063657F">
        <w:t>before</w:t>
      </w:r>
      <w:proofErr w:type="gramEnd"/>
      <w:r w:rsidRPr="0063657F">
        <w:t xml:space="preserve"> the criminal activity occurred, to mitigate risks that criminal activity could result in an excess; and</w:t>
      </w:r>
    </w:p>
    <w:p w:rsidR="0070323A" w:rsidRPr="0063657F" w:rsidRDefault="0070323A" w:rsidP="0070323A">
      <w:pPr>
        <w:pStyle w:val="tSubsub"/>
      </w:pPr>
      <w:r w:rsidRPr="0063657F">
        <w:tab/>
      </w:r>
      <w:r w:rsidR="00F773E9">
        <w:t>(B)</w:t>
      </w:r>
      <w:r w:rsidRPr="0063657F">
        <w:tab/>
      </w:r>
      <w:proofErr w:type="gramStart"/>
      <w:r w:rsidRPr="0063657F">
        <w:t>after</w:t>
      </w:r>
      <w:proofErr w:type="gramEnd"/>
      <w:r w:rsidRPr="0063657F">
        <w:t xml:space="preserve"> the criminal activity occurred, to mitigate the likelihood of an excess as a result of the criminal activity; and </w:t>
      </w:r>
    </w:p>
    <w:p w:rsidR="0070323A" w:rsidRPr="0063657F" w:rsidRDefault="0070323A" w:rsidP="0070323A">
      <w:pPr>
        <w:pStyle w:val="tSubpara"/>
      </w:pPr>
      <w:r w:rsidRPr="0063657F">
        <w:tab/>
      </w:r>
      <w:r w:rsidR="00F773E9">
        <w:t>(iii)</w:t>
      </w:r>
      <w:r w:rsidRPr="0063657F">
        <w:tab/>
      </w:r>
      <w:proofErr w:type="gramStart"/>
      <w:r w:rsidRPr="0063657F">
        <w:t>if</w:t>
      </w:r>
      <w:proofErr w:type="gramEnd"/>
      <w:r w:rsidRPr="0063657F">
        <w:t xml:space="preserve"> the application relates to a natural disaster—the reasonableness of the steps the responsible emitter took:</w:t>
      </w:r>
    </w:p>
    <w:p w:rsidR="0070323A" w:rsidRPr="0063657F" w:rsidRDefault="0070323A" w:rsidP="0070323A">
      <w:pPr>
        <w:pStyle w:val="tSubsub"/>
      </w:pPr>
      <w:r w:rsidRPr="0063657F">
        <w:tab/>
      </w:r>
      <w:r w:rsidR="00F773E9">
        <w:t>(A)</w:t>
      </w:r>
      <w:r w:rsidRPr="0063657F">
        <w:tab/>
      </w:r>
      <w:proofErr w:type="gramStart"/>
      <w:r w:rsidRPr="0063657F">
        <w:t>before</w:t>
      </w:r>
      <w:proofErr w:type="gramEnd"/>
      <w:r w:rsidRPr="0063657F">
        <w:t xml:space="preserve"> the natural disaster occurred, to mitigate risks that a natural disaster could result in an excess; and</w:t>
      </w:r>
    </w:p>
    <w:p w:rsidR="0070323A" w:rsidRPr="0063657F" w:rsidRDefault="0070323A" w:rsidP="0070323A">
      <w:pPr>
        <w:pStyle w:val="tSubsub"/>
      </w:pPr>
      <w:r w:rsidRPr="0063657F">
        <w:tab/>
      </w:r>
      <w:r w:rsidR="00F773E9">
        <w:t>(B)</w:t>
      </w:r>
      <w:r w:rsidRPr="0063657F">
        <w:tab/>
      </w:r>
      <w:proofErr w:type="gramStart"/>
      <w:r w:rsidRPr="0063657F">
        <w:t>after</w:t>
      </w:r>
      <w:proofErr w:type="gramEnd"/>
      <w:r w:rsidRPr="0063657F">
        <w:t xml:space="preserve"> the natural disaster occurred, to mitigate the likelihood of an excess as a result of the natural disaster;</w:t>
      </w:r>
      <w:r w:rsidR="00D27761">
        <w:t xml:space="preserve"> and</w:t>
      </w:r>
    </w:p>
    <w:p w:rsidR="00F10732" w:rsidRPr="0063657F" w:rsidRDefault="00F10732" w:rsidP="00F10732">
      <w:pPr>
        <w:pStyle w:val="tSubpara"/>
      </w:pPr>
      <w:r w:rsidRPr="0063657F">
        <w:tab/>
      </w:r>
      <w:r w:rsidR="00F773E9">
        <w:t>(iv)</w:t>
      </w:r>
      <w:r w:rsidRPr="0063657F">
        <w:tab/>
      </w:r>
      <w:proofErr w:type="gramStart"/>
      <w:r w:rsidRPr="0063657F">
        <w:t>any</w:t>
      </w:r>
      <w:proofErr w:type="gramEnd"/>
      <w:r w:rsidRPr="0063657F">
        <w:t xml:space="preserve"> other factors that have significantly impacted the covered emissions of the facility over the monitoring period.</w:t>
      </w:r>
    </w:p>
    <w:p w:rsidR="00F10732" w:rsidRPr="0063657F" w:rsidRDefault="00F10732" w:rsidP="00F10732">
      <w:pPr>
        <w:pStyle w:val="tMain"/>
      </w:pPr>
      <w:r w:rsidRPr="0063657F">
        <w:tab/>
      </w:r>
      <w:r w:rsidR="00F773E9">
        <w:t>(3)</w:t>
      </w:r>
      <w:r w:rsidRPr="0063657F">
        <w:tab/>
        <w:t>An application under subsection (1) must be given to the Regulator no later than the first 31 October after the end of a monitoring period for which the exemption declaration is sought.</w:t>
      </w:r>
    </w:p>
    <w:p w:rsidR="00F10732" w:rsidRPr="0063657F" w:rsidRDefault="00F10732" w:rsidP="00F10732">
      <w:pPr>
        <w:pStyle w:val="tMain"/>
      </w:pPr>
      <w:r w:rsidRPr="0063657F">
        <w:tab/>
      </w:r>
      <w:r w:rsidR="00F773E9">
        <w:t>(4)</w:t>
      </w:r>
      <w:r w:rsidRPr="0063657F">
        <w:tab/>
        <w:t>The responsible emitter for the facility may, by written notice to the Regulator, withdraw an application at any time before the Regulator makes a decision on the application.</w:t>
      </w:r>
    </w:p>
    <w:p w:rsidR="00F10732" w:rsidRPr="0063657F" w:rsidRDefault="00F773E9" w:rsidP="00F10732">
      <w:pPr>
        <w:pStyle w:val="h5Section"/>
      </w:pPr>
      <w:bookmarkStart w:id="89" w:name="_Toc408408483"/>
      <w:bookmarkStart w:id="90" w:name="_Toc431897015"/>
      <w:proofErr w:type="gramStart"/>
      <w:r>
        <w:t>61</w:t>
      </w:r>
      <w:r w:rsidR="00F10732" w:rsidRPr="0063657F">
        <w:t xml:space="preserve"> Further information</w:t>
      </w:r>
      <w:bookmarkEnd w:id="89"/>
      <w:bookmarkEnd w:id="90"/>
      <w:proofErr w:type="gramEnd"/>
    </w:p>
    <w:p w:rsidR="00F10732" w:rsidRPr="0063657F" w:rsidRDefault="00F10732" w:rsidP="00F10732">
      <w:pPr>
        <w:pStyle w:val="tMain"/>
      </w:pPr>
      <w:r w:rsidRPr="0063657F">
        <w:tab/>
      </w:r>
      <w:r w:rsidR="00F773E9">
        <w:t>(1)</w:t>
      </w:r>
      <w:r w:rsidRPr="0063657F">
        <w:tab/>
        <w:t>The Regulator may, by written notice given to an applicant, require the applicant to give the Regulator, within the period specified in the notice, further information in connection with the application.</w:t>
      </w:r>
    </w:p>
    <w:p w:rsidR="00F10732" w:rsidRPr="0063657F" w:rsidRDefault="00F10732" w:rsidP="00F10732">
      <w:pPr>
        <w:pStyle w:val="tMain"/>
      </w:pPr>
      <w:r w:rsidRPr="0063657F">
        <w:tab/>
      </w:r>
      <w:r w:rsidR="00F773E9">
        <w:t>(2)</w:t>
      </w:r>
      <w:r w:rsidRPr="0063657F">
        <w:tab/>
        <w:t>If the applicant breaches the requirement, the Regulator may, by written notice given to the applicant:</w:t>
      </w:r>
    </w:p>
    <w:p w:rsidR="00F10732" w:rsidRPr="0063657F" w:rsidRDefault="00F10732" w:rsidP="00F10732">
      <w:pPr>
        <w:pStyle w:val="tPara"/>
      </w:pPr>
      <w:r w:rsidRPr="0063657F">
        <w:tab/>
      </w:r>
      <w:r w:rsidR="00F773E9">
        <w:t>(a)</w:t>
      </w:r>
      <w:r w:rsidRPr="0063657F">
        <w:tab/>
      </w:r>
      <w:proofErr w:type="gramStart"/>
      <w:r w:rsidRPr="0063657F">
        <w:t>refuse</w:t>
      </w:r>
      <w:proofErr w:type="gramEnd"/>
      <w:r w:rsidRPr="0063657F">
        <w:t xml:space="preserve"> to consider the application; or</w:t>
      </w:r>
    </w:p>
    <w:p w:rsidR="00F10732" w:rsidRPr="0063657F" w:rsidRDefault="00F10732" w:rsidP="00F10732">
      <w:pPr>
        <w:pStyle w:val="tPara"/>
        <w:rPr>
          <w:b/>
          <w:sz w:val="28"/>
          <w:szCs w:val="28"/>
        </w:rPr>
      </w:pPr>
      <w:r w:rsidRPr="0063657F">
        <w:tab/>
      </w:r>
      <w:r w:rsidR="00F773E9">
        <w:t>(b)</w:t>
      </w:r>
      <w:r w:rsidRPr="0063657F">
        <w:tab/>
      </w:r>
      <w:proofErr w:type="gramStart"/>
      <w:r w:rsidRPr="0063657F">
        <w:t>refuse</w:t>
      </w:r>
      <w:proofErr w:type="gramEnd"/>
      <w:r w:rsidRPr="0063657F">
        <w:t xml:space="preserve"> to take any action, or any further action, in relation to the application.</w:t>
      </w:r>
    </w:p>
    <w:p w:rsidR="00F10732" w:rsidRPr="0063657F" w:rsidRDefault="00F773E9" w:rsidP="00F10732">
      <w:pPr>
        <w:pStyle w:val="h5Section"/>
      </w:pPr>
      <w:bookmarkStart w:id="91" w:name="_Toc408408484"/>
      <w:bookmarkStart w:id="92" w:name="_Toc431897016"/>
      <w:r>
        <w:lastRenderedPageBreak/>
        <w:t>62</w:t>
      </w:r>
      <w:r w:rsidR="00F10732" w:rsidRPr="0063657F">
        <w:t xml:space="preserve"> Issue of </w:t>
      </w:r>
      <w:bookmarkEnd w:id="91"/>
      <w:r w:rsidR="00F10732" w:rsidRPr="0063657F">
        <w:t>exemption declaration</w:t>
      </w:r>
      <w:bookmarkEnd w:id="92"/>
    </w:p>
    <w:p w:rsidR="00F10732" w:rsidRPr="0063657F" w:rsidRDefault="00F10732" w:rsidP="00F10732">
      <w:pPr>
        <w:pStyle w:val="h6Subsec"/>
      </w:pPr>
      <w:r w:rsidRPr="0063657F">
        <w:t>Scope</w:t>
      </w:r>
    </w:p>
    <w:p w:rsidR="00F10732" w:rsidRPr="0063657F" w:rsidRDefault="00F10732" w:rsidP="00F10732">
      <w:pPr>
        <w:pStyle w:val="tMain"/>
      </w:pPr>
      <w:r w:rsidRPr="0063657F">
        <w:tab/>
      </w:r>
      <w:r w:rsidR="00F773E9">
        <w:t>(1)</w:t>
      </w:r>
      <w:r w:rsidRPr="0063657F">
        <w:tab/>
        <w:t>This section applies if an application under section </w:t>
      </w:r>
      <w:r w:rsidR="00B36BC8" w:rsidRPr="0063657F">
        <w:t>60</w:t>
      </w:r>
      <w:r w:rsidRPr="0063657F">
        <w:t xml:space="preserve"> has been made for an exemption declaration for a facility for a monitoring period.</w:t>
      </w:r>
    </w:p>
    <w:p w:rsidR="00F10732" w:rsidRPr="0063657F" w:rsidRDefault="00F10732" w:rsidP="00F10732">
      <w:pPr>
        <w:pStyle w:val="h6Subsec"/>
      </w:pPr>
      <w:r w:rsidRPr="0063657F">
        <w:t>Issue of exemption declaration</w:t>
      </w:r>
    </w:p>
    <w:p w:rsidR="00F10732" w:rsidRPr="0063657F" w:rsidRDefault="00F10732" w:rsidP="00F10732">
      <w:pPr>
        <w:pStyle w:val="tMain"/>
      </w:pPr>
      <w:r w:rsidRPr="0063657F">
        <w:tab/>
      </w:r>
      <w:r w:rsidR="00F773E9">
        <w:t>(2)</w:t>
      </w:r>
      <w:r w:rsidRPr="0063657F">
        <w:tab/>
        <w:t>If the Regulator is satisfied that:</w:t>
      </w:r>
    </w:p>
    <w:p w:rsidR="00F10732" w:rsidRPr="0063657F" w:rsidRDefault="00F10732" w:rsidP="00F10732">
      <w:pPr>
        <w:pStyle w:val="tPara"/>
      </w:pPr>
      <w:r w:rsidRPr="0063657F">
        <w:tab/>
      </w:r>
      <w:r w:rsidR="00F773E9">
        <w:t>(a)</w:t>
      </w:r>
      <w:r w:rsidRPr="0063657F">
        <w:tab/>
        <w:t>disregarding subsections 22XK(2) and (3) of the Act, the net emissions number for the facility for the monitoring period exceeds the baseline emissions number for the facility for the monitoring period; and</w:t>
      </w:r>
    </w:p>
    <w:p w:rsidR="00F10732" w:rsidRPr="0063657F" w:rsidRDefault="00F10732" w:rsidP="00F10732">
      <w:pPr>
        <w:pStyle w:val="tPara"/>
      </w:pPr>
      <w:r w:rsidRPr="0063657F">
        <w:tab/>
      </w:r>
      <w:r w:rsidR="00F773E9">
        <w:t>(b)</w:t>
      </w:r>
      <w:r w:rsidRPr="0063657F">
        <w:tab/>
      </w:r>
      <w:proofErr w:type="gramStart"/>
      <w:r w:rsidRPr="0063657F">
        <w:t>that</w:t>
      </w:r>
      <w:proofErr w:type="gramEnd"/>
      <w:r w:rsidRPr="0063657F">
        <w:t xml:space="preserve"> excess is the direct result of either or both of the following:</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a</w:t>
      </w:r>
      <w:proofErr w:type="gramEnd"/>
      <w:r w:rsidRPr="0063657F">
        <w:t xml:space="preserve"> natural disaster;</w:t>
      </w:r>
    </w:p>
    <w:p w:rsidR="00F10732" w:rsidRPr="0063657F" w:rsidRDefault="00F10732" w:rsidP="00F10732">
      <w:pPr>
        <w:pStyle w:val="tSubpara"/>
      </w:pPr>
      <w:r w:rsidRPr="0063657F">
        <w:tab/>
      </w:r>
      <w:r w:rsidR="00F773E9">
        <w:t>(ii)</w:t>
      </w:r>
      <w:r w:rsidRPr="0063657F">
        <w:tab/>
      </w:r>
      <w:proofErr w:type="gramStart"/>
      <w:r w:rsidRPr="0063657F">
        <w:t>criminal</w:t>
      </w:r>
      <w:proofErr w:type="gramEnd"/>
      <w:r w:rsidRPr="0063657F">
        <w:t xml:space="preserve"> activity;</w:t>
      </w:r>
      <w:r w:rsidR="00ED17B6" w:rsidRPr="0063657F">
        <w:t xml:space="preserve"> and</w:t>
      </w:r>
    </w:p>
    <w:p w:rsidR="00ED17B6" w:rsidRPr="0063657F" w:rsidRDefault="00ED17B6" w:rsidP="00ED17B6">
      <w:pPr>
        <w:pStyle w:val="tPara"/>
      </w:pPr>
      <w:r w:rsidRPr="0063657F">
        <w:tab/>
      </w:r>
      <w:r w:rsidR="00F773E9">
        <w:t>(c)</w:t>
      </w:r>
      <w:r w:rsidRPr="0063657F">
        <w:tab/>
      </w:r>
      <w:proofErr w:type="gramStart"/>
      <w:r w:rsidRPr="0063657F">
        <w:t>if</w:t>
      </w:r>
      <w:proofErr w:type="gramEnd"/>
      <w:r w:rsidRPr="0063657F">
        <w:t xml:space="preserve"> the excess relates to criminal activity—the responsible emitter:</w:t>
      </w:r>
    </w:p>
    <w:p w:rsidR="00ED17B6" w:rsidRPr="0063657F" w:rsidRDefault="00ED17B6" w:rsidP="00ED17B6">
      <w:pPr>
        <w:pStyle w:val="tSubpara"/>
      </w:pPr>
      <w:r w:rsidRPr="0063657F">
        <w:tab/>
      </w:r>
      <w:r w:rsidR="00F773E9">
        <w:t>(</w:t>
      </w:r>
      <w:proofErr w:type="spellStart"/>
      <w:r w:rsidR="00F773E9">
        <w:t>i</w:t>
      </w:r>
      <w:proofErr w:type="spellEnd"/>
      <w:r w:rsidR="00F773E9">
        <w:t>)</w:t>
      </w:r>
      <w:r w:rsidR="00867DC4" w:rsidRPr="0063657F">
        <w:tab/>
        <w:t>had</w:t>
      </w:r>
      <w:r w:rsidR="00B87063" w:rsidRPr="0063657F">
        <w:t>, before the criminal activity occurred,</w:t>
      </w:r>
      <w:r w:rsidRPr="0063657F">
        <w:t xml:space="preserve"> taken reasona</w:t>
      </w:r>
      <w:r w:rsidR="00867DC4" w:rsidRPr="0063657F">
        <w:t>ble steps to mitigate risks that</w:t>
      </w:r>
      <w:r w:rsidRPr="0063657F">
        <w:t xml:space="preserve"> criminal activity </w:t>
      </w:r>
      <w:r w:rsidR="00B87063" w:rsidRPr="0063657F">
        <w:t>c</w:t>
      </w:r>
      <w:r w:rsidR="00867DC4" w:rsidRPr="0063657F">
        <w:t>ould result</w:t>
      </w:r>
      <w:r w:rsidRPr="0063657F">
        <w:t xml:space="preserve"> in an excess; and</w:t>
      </w:r>
    </w:p>
    <w:p w:rsidR="00ED17B6" w:rsidRPr="0063657F" w:rsidRDefault="00ED17B6" w:rsidP="00ED17B6">
      <w:pPr>
        <w:pStyle w:val="tSubpara"/>
      </w:pPr>
      <w:r w:rsidRPr="0063657F">
        <w:tab/>
      </w:r>
      <w:r w:rsidR="00F773E9">
        <w:t>(ii)</w:t>
      </w:r>
      <w:r w:rsidRPr="0063657F">
        <w:tab/>
      </w:r>
      <w:proofErr w:type="gramStart"/>
      <w:r w:rsidRPr="0063657F">
        <w:t>has</w:t>
      </w:r>
      <w:proofErr w:type="gramEnd"/>
      <w:r w:rsidR="00B87063" w:rsidRPr="0063657F">
        <w:t>,</w:t>
      </w:r>
      <w:r w:rsidRPr="0063657F">
        <w:t xml:space="preserve"> </w:t>
      </w:r>
      <w:r w:rsidR="00867DC4" w:rsidRPr="0063657F">
        <w:t>after the criminal activity occurred</w:t>
      </w:r>
      <w:r w:rsidR="00B87063" w:rsidRPr="0063657F">
        <w:t>,</w:t>
      </w:r>
      <w:r w:rsidR="00867DC4" w:rsidRPr="0063657F">
        <w:t xml:space="preserve"> </w:t>
      </w:r>
      <w:r w:rsidRPr="0063657F">
        <w:t>taken reasonable steps to mitigate the likelihood</w:t>
      </w:r>
      <w:r w:rsidR="00867DC4" w:rsidRPr="0063657F">
        <w:t xml:space="preserve"> of an excess as a</w:t>
      </w:r>
      <w:r w:rsidRPr="0063657F">
        <w:t xml:space="preserve"> result of the criminal activity; and </w:t>
      </w:r>
    </w:p>
    <w:p w:rsidR="00ED17B6" w:rsidRPr="0063657F" w:rsidRDefault="00ED17B6" w:rsidP="00ED17B6">
      <w:pPr>
        <w:pStyle w:val="tSubpara"/>
      </w:pPr>
      <w:r w:rsidRPr="0063657F">
        <w:tab/>
      </w:r>
      <w:r w:rsidR="00F773E9">
        <w:t>(iii)</w:t>
      </w:r>
      <w:r w:rsidRPr="0063657F">
        <w:tab/>
      </w:r>
      <w:proofErr w:type="gramStart"/>
      <w:r w:rsidRPr="0063657F">
        <w:t>the</w:t>
      </w:r>
      <w:proofErr w:type="gramEnd"/>
      <w:r w:rsidRPr="0063657F">
        <w:t xml:space="preserve"> responsible e</w:t>
      </w:r>
      <w:r w:rsidR="00B87063" w:rsidRPr="0063657F">
        <w:t>mitter was not complicit in the</w:t>
      </w:r>
      <w:r w:rsidRPr="0063657F">
        <w:t xml:space="preserve"> criminal activity;</w:t>
      </w:r>
      <w:r w:rsidR="00867DC4" w:rsidRPr="0063657F">
        <w:t xml:space="preserve"> and</w:t>
      </w:r>
    </w:p>
    <w:p w:rsidR="00867DC4" w:rsidRPr="0063657F" w:rsidRDefault="00867DC4" w:rsidP="00867DC4">
      <w:pPr>
        <w:pStyle w:val="tPara"/>
      </w:pPr>
      <w:r w:rsidRPr="0063657F">
        <w:tab/>
      </w:r>
      <w:r w:rsidR="00F773E9">
        <w:t>(d)</w:t>
      </w:r>
      <w:r w:rsidRPr="0063657F">
        <w:tab/>
      </w:r>
      <w:proofErr w:type="gramStart"/>
      <w:r w:rsidRPr="0063657F">
        <w:t>if</w:t>
      </w:r>
      <w:proofErr w:type="gramEnd"/>
      <w:r w:rsidRPr="0063657F">
        <w:t xml:space="preserve"> the excess relates to a natural disaster—the responsible emitter:</w:t>
      </w:r>
    </w:p>
    <w:p w:rsidR="00867DC4" w:rsidRPr="0063657F" w:rsidRDefault="00867DC4" w:rsidP="00867DC4">
      <w:pPr>
        <w:pStyle w:val="tSubpara"/>
      </w:pPr>
      <w:r w:rsidRPr="0063657F">
        <w:tab/>
      </w:r>
      <w:r w:rsidR="00F773E9">
        <w:t>(</w:t>
      </w:r>
      <w:proofErr w:type="spellStart"/>
      <w:r w:rsidR="00F773E9">
        <w:t>i</w:t>
      </w:r>
      <w:proofErr w:type="spellEnd"/>
      <w:r w:rsidR="00F773E9">
        <w:t>)</w:t>
      </w:r>
      <w:r w:rsidRPr="0063657F">
        <w:tab/>
      </w:r>
      <w:proofErr w:type="gramStart"/>
      <w:r w:rsidRPr="0063657F">
        <w:t>had</w:t>
      </w:r>
      <w:proofErr w:type="gramEnd"/>
      <w:r w:rsidR="00B87063" w:rsidRPr="0063657F">
        <w:t>, before the natural disaster occurred,</w:t>
      </w:r>
      <w:r w:rsidRPr="0063657F">
        <w:t xml:space="preserve"> taken reasonable steps to mitigate risks that a n</w:t>
      </w:r>
      <w:r w:rsidR="008E0ED1" w:rsidRPr="0063657F">
        <w:t>atural disaster</w:t>
      </w:r>
      <w:r w:rsidRPr="0063657F">
        <w:t xml:space="preserve"> </w:t>
      </w:r>
      <w:r w:rsidR="00B87063" w:rsidRPr="0063657F">
        <w:t>c</w:t>
      </w:r>
      <w:r w:rsidRPr="0063657F">
        <w:t>ould result in an excess; and</w:t>
      </w:r>
    </w:p>
    <w:p w:rsidR="00F10732" w:rsidRPr="0063657F" w:rsidRDefault="00867DC4" w:rsidP="00B87063">
      <w:pPr>
        <w:pStyle w:val="tSubpara"/>
      </w:pPr>
      <w:r w:rsidRPr="0063657F">
        <w:tab/>
      </w:r>
      <w:r w:rsidR="00F773E9">
        <w:t>(ii)</w:t>
      </w:r>
      <w:r w:rsidRPr="0063657F">
        <w:tab/>
      </w:r>
      <w:proofErr w:type="gramStart"/>
      <w:r w:rsidRPr="0063657F">
        <w:t>has</w:t>
      </w:r>
      <w:proofErr w:type="gramEnd"/>
      <w:r w:rsidRPr="0063657F">
        <w:t xml:space="preserve">, after the </w:t>
      </w:r>
      <w:r w:rsidR="00B87063" w:rsidRPr="0063657F">
        <w:t>natural disaster</w:t>
      </w:r>
      <w:r w:rsidRPr="0063657F">
        <w:t xml:space="preserve"> occurred, taken reasonable steps to mitigate the likelihood of an excess as a result of the </w:t>
      </w:r>
      <w:r w:rsidR="00B87063" w:rsidRPr="0063657F">
        <w:t>natural disaster;</w:t>
      </w:r>
    </w:p>
    <w:p w:rsidR="00F10732" w:rsidRPr="0063657F" w:rsidRDefault="00F10732" w:rsidP="00C50DD9">
      <w:pPr>
        <w:pStyle w:val="tMain"/>
        <w:spacing w:before="40"/>
      </w:pPr>
      <w:r w:rsidRPr="0063657F">
        <w:tab/>
      </w:r>
      <w:r w:rsidRPr="0063657F">
        <w:tab/>
      </w:r>
      <w:proofErr w:type="gramStart"/>
      <w:r w:rsidRPr="0063657F">
        <w:t>the</w:t>
      </w:r>
      <w:proofErr w:type="gramEnd"/>
      <w:r w:rsidRPr="0063657F">
        <w:t xml:space="preserve"> Regulator must issue an exemption declaration for the facility for the monitoring period.</w:t>
      </w:r>
    </w:p>
    <w:p w:rsidR="00F10732" w:rsidRPr="0063657F" w:rsidRDefault="00F10732" w:rsidP="00F10732">
      <w:pPr>
        <w:pStyle w:val="h6Subsec"/>
      </w:pPr>
      <w:r w:rsidRPr="0063657F">
        <w:t>Timing</w:t>
      </w:r>
    </w:p>
    <w:p w:rsidR="00F10732" w:rsidRPr="0063657F" w:rsidRDefault="00F10732" w:rsidP="00F10732">
      <w:pPr>
        <w:pStyle w:val="tMain"/>
      </w:pPr>
      <w:r w:rsidRPr="0063657F">
        <w:tab/>
      </w:r>
      <w:r w:rsidR="00F773E9">
        <w:t>(3)</w:t>
      </w:r>
      <w:r w:rsidRPr="0063657F">
        <w:tab/>
        <w:t>The Regulator must take all reasonable steps to ensure that a decision is made on the application:</w:t>
      </w:r>
    </w:p>
    <w:p w:rsidR="00F10732" w:rsidRPr="0063657F" w:rsidRDefault="00F10732" w:rsidP="00F10732">
      <w:pPr>
        <w:pStyle w:val="tPara"/>
      </w:pPr>
      <w:r w:rsidRPr="0063657F">
        <w:tab/>
      </w:r>
      <w:r w:rsidR="00F773E9">
        <w:t>(a)</w:t>
      </w:r>
      <w:r w:rsidRPr="0063657F">
        <w:tab/>
        <w:t>if the Regulator requires the applicant to give further</w:t>
      </w:r>
      <w:r w:rsidR="00B36BC8" w:rsidRPr="0063657F">
        <w:t xml:space="preserve"> information under subsection 61</w:t>
      </w:r>
      <w:r w:rsidRPr="0063657F">
        <w:t>(1) in relation to the application—within 60 days after the applicant gave the Regulator the information; or</w:t>
      </w:r>
    </w:p>
    <w:p w:rsidR="00F10732" w:rsidRPr="0063657F" w:rsidRDefault="00F10732" w:rsidP="00F10732">
      <w:pPr>
        <w:pStyle w:val="tPara"/>
      </w:pPr>
      <w:r w:rsidRPr="0063657F">
        <w:tab/>
      </w:r>
      <w:r w:rsidR="00F773E9">
        <w:t>(b)</w:t>
      </w:r>
      <w:r w:rsidRPr="0063657F">
        <w:tab/>
      </w:r>
      <w:proofErr w:type="gramStart"/>
      <w:r w:rsidRPr="0063657F">
        <w:t>otherwise—</w:t>
      </w:r>
      <w:proofErr w:type="gramEnd"/>
      <w:r w:rsidRPr="0063657F">
        <w:t>within 60 days after the application was made.</w:t>
      </w:r>
    </w:p>
    <w:p w:rsidR="00A40F3F" w:rsidRPr="0063657F" w:rsidRDefault="00A40F3F" w:rsidP="00A40F3F">
      <w:pPr>
        <w:pStyle w:val="h6Subsec"/>
      </w:pPr>
      <w:r w:rsidRPr="0063657F">
        <w:t xml:space="preserve">Notification </w:t>
      </w:r>
    </w:p>
    <w:p w:rsidR="00A40F3F" w:rsidRPr="0063657F" w:rsidRDefault="00A40F3F" w:rsidP="00A40F3F">
      <w:pPr>
        <w:pStyle w:val="tMain"/>
      </w:pPr>
      <w:r w:rsidRPr="0063657F">
        <w:tab/>
      </w:r>
      <w:r w:rsidR="00F773E9">
        <w:t>(4)</w:t>
      </w:r>
      <w:r w:rsidRPr="0063657F">
        <w:tab/>
      </w:r>
      <w:proofErr w:type="gramStart"/>
      <w:r w:rsidRPr="0063657F">
        <w:t>As</w:t>
      </w:r>
      <w:proofErr w:type="gramEnd"/>
      <w:r w:rsidRPr="0063657F">
        <w:t xml:space="preserve"> soon as practicable after making an exemption declaration, the Regulator must:</w:t>
      </w:r>
    </w:p>
    <w:p w:rsidR="00A40F3F" w:rsidRPr="0063657F" w:rsidRDefault="00A40F3F" w:rsidP="00A40F3F">
      <w:pPr>
        <w:pStyle w:val="tPara"/>
      </w:pPr>
      <w:r w:rsidRPr="0063657F">
        <w:tab/>
      </w:r>
      <w:r w:rsidR="00F773E9">
        <w:t>(a)</w:t>
      </w:r>
      <w:r w:rsidRPr="0063657F">
        <w:tab/>
      </w:r>
      <w:proofErr w:type="gramStart"/>
      <w:r w:rsidRPr="0063657F">
        <w:t>provide</w:t>
      </w:r>
      <w:proofErr w:type="gramEnd"/>
      <w:r w:rsidRPr="0063657F">
        <w:t xml:space="preserve"> written notice of the declaration to the responsible emitter for the facility covered by the declaration; and</w:t>
      </w:r>
    </w:p>
    <w:p w:rsidR="00A40F3F" w:rsidRPr="0063657F" w:rsidRDefault="00A40F3F" w:rsidP="00A40F3F">
      <w:pPr>
        <w:pStyle w:val="tPara"/>
      </w:pPr>
      <w:r w:rsidRPr="0063657F">
        <w:tab/>
      </w:r>
      <w:r w:rsidR="00F773E9">
        <w:t>(b)</w:t>
      </w:r>
      <w:r w:rsidRPr="0063657F">
        <w:tab/>
      </w:r>
      <w:proofErr w:type="gramStart"/>
      <w:r w:rsidRPr="0063657F">
        <w:t>publish</w:t>
      </w:r>
      <w:proofErr w:type="gramEnd"/>
      <w:r w:rsidRPr="0063657F">
        <w:t xml:space="preserve"> the details of the declaration on its website.</w:t>
      </w:r>
    </w:p>
    <w:p w:rsidR="00A40F3F" w:rsidRPr="0063657F" w:rsidRDefault="00A40F3F" w:rsidP="00F10732">
      <w:pPr>
        <w:pStyle w:val="tPara"/>
      </w:pPr>
    </w:p>
    <w:p w:rsidR="00F10732" w:rsidRPr="0063657F" w:rsidRDefault="00F10732" w:rsidP="00F10732">
      <w:pPr>
        <w:pStyle w:val="h6Subsec"/>
      </w:pPr>
      <w:r w:rsidRPr="0063657F">
        <w:t>Refusal</w:t>
      </w:r>
    </w:p>
    <w:p w:rsidR="00F10732" w:rsidRPr="0063657F" w:rsidRDefault="00F10732" w:rsidP="00F10732">
      <w:pPr>
        <w:pStyle w:val="tMain"/>
      </w:pPr>
      <w:r w:rsidRPr="0063657F">
        <w:tab/>
      </w:r>
      <w:r w:rsidR="00F773E9">
        <w:t>(5)</w:t>
      </w:r>
      <w:r w:rsidRPr="0063657F">
        <w:tab/>
        <w:t>If the Regulator decides to refuse to issue an exemption declaration, the Regulator must give written notice of the decision to the applicant.</w:t>
      </w:r>
    </w:p>
    <w:p w:rsidR="009E71E2" w:rsidRPr="0063657F" w:rsidRDefault="00F773E9" w:rsidP="009E71E2">
      <w:pPr>
        <w:pStyle w:val="h5Section"/>
      </w:pPr>
      <w:bookmarkStart w:id="93" w:name="_Toc431897017"/>
      <w:r>
        <w:lastRenderedPageBreak/>
        <w:t>63</w:t>
      </w:r>
      <w:r w:rsidR="009E71E2" w:rsidRPr="0063657F">
        <w:t xml:space="preserve"> Revocation of exemption declaration because of false or misleading information</w:t>
      </w:r>
      <w:bookmarkEnd w:id="93"/>
    </w:p>
    <w:p w:rsidR="009E71E2" w:rsidRPr="0063657F" w:rsidRDefault="009E71E2" w:rsidP="009E71E2">
      <w:pPr>
        <w:pStyle w:val="tMain"/>
      </w:pPr>
      <w:r w:rsidRPr="0063657F">
        <w:tab/>
      </w:r>
      <w:r w:rsidR="00F773E9">
        <w:t>(1)</w:t>
      </w:r>
      <w:r w:rsidRPr="0063657F">
        <w:tab/>
        <w:t>If the Regulator is satisfied that:</w:t>
      </w:r>
    </w:p>
    <w:p w:rsidR="009E71E2" w:rsidRPr="0063657F" w:rsidRDefault="009E71E2" w:rsidP="009E71E2">
      <w:pPr>
        <w:pStyle w:val="tPara"/>
      </w:pPr>
      <w:r w:rsidRPr="0063657F">
        <w:tab/>
      </w:r>
      <w:r w:rsidR="00F773E9">
        <w:t>(a)</w:t>
      </w:r>
      <w:r w:rsidRPr="0063657F">
        <w:tab/>
      </w:r>
      <w:proofErr w:type="gramStart"/>
      <w:r w:rsidRPr="0063657F">
        <w:t>information</w:t>
      </w:r>
      <w:proofErr w:type="gramEnd"/>
      <w:r w:rsidRPr="0063657F">
        <w:t xml:space="preserve"> provided to the Regulator by the responsible emitter in connection with the making of </w:t>
      </w:r>
      <w:r w:rsidR="003D2506" w:rsidRPr="0063657F">
        <w:t>an exemption declaration</w:t>
      </w:r>
      <w:r w:rsidRPr="0063657F">
        <w:t xml:space="preserve"> was false or misleading in a material particular;</w:t>
      </w:r>
      <w:r w:rsidR="00D27761">
        <w:t xml:space="preserve"> and</w:t>
      </w:r>
    </w:p>
    <w:p w:rsidR="0022296C" w:rsidRPr="0063657F" w:rsidRDefault="0022296C" w:rsidP="0022296C">
      <w:pPr>
        <w:pStyle w:val="tPara"/>
      </w:pPr>
      <w:r w:rsidRPr="0063657F">
        <w:tab/>
      </w:r>
      <w:r w:rsidR="00F773E9">
        <w:t>(b)</w:t>
      </w:r>
      <w:r w:rsidRPr="0063657F">
        <w:tab/>
      </w:r>
      <w:proofErr w:type="gramStart"/>
      <w:r w:rsidRPr="0063657F">
        <w:t>the</w:t>
      </w:r>
      <w:proofErr w:type="gramEnd"/>
      <w:r w:rsidRPr="0063657F">
        <w:t xml:space="preserve"> Regulator would not have been satisfied of the matters set out in subsection 62(2) if the false or misleading information </w:t>
      </w:r>
      <w:r w:rsidR="00A44F74">
        <w:t>had not been</w:t>
      </w:r>
      <w:r w:rsidRPr="0063657F">
        <w:t xml:space="preserve"> provided</w:t>
      </w:r>
      <w:r w:rsidR="003D2506" w:rsidRPr="0063657F">
        <w:t>;</w:t>
      </w:r>
    </w:p>
    <w:p w:rsidR="009E71E2" w:rsidRPr="0063657F" w:rsidRDefault="009E71E2" w:rsidP="009E71E2">
      <w:pPr>
        <w:pStyle w:val="tMain"/>
        <w:spacing w:before="40"/>
      </w:pPr>
      <w:r w:rsidRPr="0063657F">
        <w:tab/>
      </w:r>
      <w:r w:rsidRPr="0063657F">
        <w:tab/>
      </w:r>
      <w:proofErr w:type="gramStart"/>
      <w:r w:rsidRPr="0063657F">
        <w:t>the</w:t>
      </w:r>
      <w:proofErr w:type="gramEnd"/>
      <w:r w:rsidRPr="0063657F">
        <w:t xml:space="preserve"> Regulator may </w:t>
      </w:r>
      <w:r w:rsidR="0022296C" w:rsidRPr="0063657F">
        <w:t>revoke the exemption declaration</w:t>
      </w:r>
      <w:r w:rsidRPr="0063657F">
        <w:t xml:space="preserve"> with effect from</w:t>
      </w:r>
      <w:r w:rsidR="0022296C" w:rsidRPr="0063657F">
        <w:t xml:space="preserve"> at least 30 days after the notification of a decision under this section</w:t>
      </w:r>
      <w:r w:rsidRPr="0063657F">
        <w:t>.</w:t>
      </w:r>
    </w:p>
    <w:p w:rsidR="009E71E2" w:rsidRPr="0063657F" w:rsidRDefault="009E71E2" w:rsidP="009E71E2">
      <w:pPr>
        <w:pStyle w:val="tMain"/>
      </w:pPr>
      <w:r w:rsidRPr="0063657F">
        <w:tab/>
      </w:r>
      <w:r w:rsidR="00F773E9">
        <w:t>(2)</w:t>
      </w:r>
      <w:r w:rsidRPr="0063657F">
        <w:tab/>
        <w:t xml:space="preserve">Before the Regulator </w:t>
      </w:r>
      <w:r w:rsidR="0022296C" w:rsidRPr="0063657F">
        <w:t>revokes an exemption declaration</w:t>
      </w:r>
      <w:r w:rsidRPr="0063657F">
        <w:t>, the Regulator must provide a written notice to the responsible emitter for the facility</w:t>
      </w:r>
      <w:r w:rsidR="003D2506" w:rsidRPr="0063657F">
        <w:t xml:space="preserve"> for the monitoring period covered by the exemption declaration</w:t>
      </w:r>
      <w:r w:rsidRPr="0063657F">
        <w:t>:</w:t>
      </w:r>
    </w:p>
    <w:p w:rsidR="009E71E2" w:rsidRPr="0063657F" w:rsidRDefault="009E71E2" w:rsidP="0022296C">
      <w:pPr>
        <w:pStyle w:val="tPara"/>
      </w:pPr>
      <w:r w:rsidRPr="0063657F">
        <w:tab/>
      </w:r>
      <w:r w:rsidR="00F773E9">
        <w:t>(a)</w:t>
      </w:r>
      <w:r w:rsidRPr="0063657F">
        <w:tab/>
      </w:r>
      <w:proofErr w:type="gramStart"/>
      <w:r w:rsidRPr="0063657F">
        <w:t>stating</w:t>
      </w:r>
      <w:proofErr w:type="gramEnd"/>
      <w:r w:rsidRPr="0063657F">
        <w:t xml:space="preserve"> that it intends to </w:t>
      </w:r>
      <w:r w:rsidR="0022296C" w:rsidRPr="0063657F">
        <w:t>revoke the exemption declaration</w:t>
      </w:r>
      <w:r w:rsidRPr="0063657F">
        <w:t xml:space="preserve"> in relation to the f</w:t>
      </w:r>
      <w:r w:rsidR="0022296C" w:rsidRPr="0063657F">
        <w:t>acility under this section; and</w:t>
      </w:r>
    </w:p>
    <w:p w:rsidR="009E71E2" w:rsidRPr="0063657F" w:rsidRDefault="009E71E2" w:rsidP="009E71E2">
      <w:pPr>
        <w:pStyle w:val="tPara"/>
      </w:pPr>
      <w:r w:rsidRPr="0063657F">
        <w:tab/>
      </w:r>
      <w:r w:rsidR="00F773E9">
        <w:t>(b)</w:t>
      </w:r>
      <w:r w:rsidRPr="0063657F">
        <w:tab/>
      </w:r>
      <w:proofErr w:type="gramStart"/>
      <w:r w:rsidRPr="0063657F">
        <w:t>seeking</w:t>
      </w:r>
      <w:proofErr w:type="gramEnd"/>
      <w:r w:rsidRPr="0063657F">
        <w:t xml:space="preserve"> any comments by a date specified in the notice.</w:t>
      </w:r>
    </w:p>
    <w:p w:rsidR="009E71E2" w:rsidRPr="0063657F" w:rsidRDefault="009E71E2" w:rsidP="0022296C">
      <w:pPr>
        <w:pStyle w:val="tMain"/>
      </w:pPr>
      <w:r w:rsidRPr="0063657F">
        <w:tab/>
      </w:r>
      <w:r w:rsidR="00F773E9">
        <w:t>(3)</w:t>
      </w:r>
      <w:r w:rsidRPr="0063657F">
        <w:tab/>
        <w:t>The Regulator must consider any comments received by the date specified in the notice and use all reasonable endeavours to</w:t>
      </w:r>
      <w:r w:rsidR="003D2506" w:rsidRPr="0063657F">
        <w:t xml:space="preserve"> revoke</w:t>
      </w:r>
      <w:r w:rsidRPr="0063657F">
        <w:t xml:space="preserve"> </w:t>
      </w:r>
      <w:r w:rsidR="003D2506" w:rsidRPr="0063657F">
        <w:t>or decide not to revoke the exemption declaration</w:t>
      </w:r>
      <w:r w:rsidRPr="0063657F">
        <w:t xml:space="preserve"> </w:t>
      </w:r>
      <w:r w:rsidR="0022296C" w:rsidRPr="0063657F">
        <w:t xml:space="preserve">no later than </w:t>
      </w:r>
      <w:r w:rsidRPr="0063657F">
        <w:t xml:space="preserve">30 days after </w:t>
      </w:r>
      <w:r w:rsidR="003D2506" w:rsidRPr="0063657F">
        <w:t>the date specified in the notice.</w:t>
      </w:r>
    </w:p>
    <w:p w:rsidR="009E71E2" w:rsidRPr="0063657F" w:rsidRDefault="009E71E2" w:rsidP="009E71E2">
      <w:pPr>
        <w:pStyle w:val="tMain"/>
      </w:pPr>
      <w:r w:rsidRPr="0063657F">
        <w:tab/>
      </w:r>
      <w:r w:rsidR="00F773E9">
        <w:t>(4)</w:t>
      </w:r>
      <w:r w:rsidRPr="0063657F">
        <w:tab/>
      </w:r>
      <w:proofErr w:type="gramStart"/>
      <w:r w:rsidRPr="0063657F">
        <w:t>As</w:t>
      </w:r>
      <w:proofErr w:type="gramEnd"/>
      <w:r w:rsidRPr="0063657F">
        <w:t xml:space="preserve"> soon as practicable after </w:t>
      </w:r>
      <w:r w:rsidR="0022296C" w:rsidRPr="0063657F">
        <w:t>revoking an exemption declaration</w:t>
      </w:r>
      <w:r w:rsidRPr="0063657F">
        <w:t>, the Regulator must:</w:t>
      </w:r>
    </w:p>
    <w:p w:rsidR="009E71E2" w:rsidRPr="0063657F" w:rsidRDefault="009E71E2" w:rsidP="009E71E2">
      <w:pPr>
        <w:pStyle w:val="tPara"/>
      </w:pPr>
      <w:r w:rsidRPr="0063657F">
        <w:tab/>
      </w:r>
      <w:r w:rsidR="00F773E9">
        <w:t>(a)</w:t>
      </w:r>
      <w:r w:rsidRPr="0063657F">
        <w:tab/>
      </w:r>
      <w:proofErr w:type="gramStart"/>
      <w:r w:rsidRPr="0063657F">
        <w:t>provide</w:t>
      </w:r>
      <w:proofErr w:type="gramEnd"/>
      <w:r w:rsidRPr="0063657F">
        <w:t xml:space="preserve"> written notice of the decision to the responsible emitter for the facility </w:t>
      </w:r>
      <w:r w:rsidR="0022296C" w:rsidRPr="0063657F">
        <w:t xml:space="preserve">for the monitoring period </w:t>
      </w:r>
      <w:r w:rsidRPr="0063657F">
        <w:t xml:space="preserve">covered by the </w:t>
      </w:r>
      <w:r w:rsidR="0022296C" w:rsidRPr="0063657F">
        <w:t>exemption declaration</w:t>
      </w:r>
      <w:r w:rsidRPr="0063657F">
        <w:t>; and</w:t>
      </w:r>
    </w:p>
    <w:p w:rsidR="009E71E2" w:rsidRPr="0063657F" w:rsidRDefault="009E71E2" w:rsidP="009E71E2">
      <w:pPr>
        <w:pStyle w:val="tPara"/>
      </w:pPr>
      <w:r w:rsidRPr="0063657F">
        <w:tab/>
      </w:r>
      <w:r w:rsidR="00F773E9">
        <w:t>(b)</w:t>
      </w:r>
      <w:r w:rsidRPr="0063657F">
        <w:tab/>
      </w:r>
      <w:proofErr w:type="gramStart"/>
      <w:r w:rsidRPr="0063657F">
        <w:t>publish</w:t>
      </w:r>
      <w:proofErr w:type="gramEnd"/>
      <w:r w:rsidRPr="0063657F">
        <w:t xml:space="preserve"> the details of </w:t>
      </w:r>
      <w:r w:rsidR="0022296C" w:rsidRPr="0063657F">
        <w:t>the revocation</w:t>
      </w:r>
      <w:r w:rsidRPr="0063657F">
        <w:t xml:space="preserve"> </w:t>
      </w:r>
      <w:r w:rsidR="003D2506" w:rsidRPr="0063657F">
        <w:t xml:space="preserve">of the exemption declaration </w:t>
      </w:r>
      <w:r w:rsidRPr="0063657F">
        <w:t>on its website.</w:t>
      </w:r>
    </w:p>
    <w:p w:rsidR="009E71E2" w:rsidRPr="0063657F" w:rsidRDefault="009E71E2" w:rsidP="003D2506">
      <w:pPr>
        <w:pStyle w:val="tMain"/>
      </w:pPr>
      <w:r w:rsidRPr="0063657F">
        <w:tab/>
      </w:r>
      <w:r w:rsidR="00F773E9">
        <w:t>(5)</w:t>
      </w:r>
      <w:r w:rsidRPr="0063657F">
        <w:tab/>
        <w:t xml:space="preserve">To avoid doubt, a decision to </w:t>
      </w:r>
      <w:r w:rsidR="0022296C" w:rsidRPr="0063657F">
        <w:t>revoke</w:t>
      </w:r>
      <w:r w:rsidRPr="0063657F">
        <w:t xml:space="preserve"> a</w:t>
      </w:r>
      <w:r w:rsidR="0022296C" w:rsidRPr="0063657F">
        <w:t>n</w:t>
      </w:r>
      <w:r w:rsidRPr="0063657F">
        <w:t xml:space="preserve"> </w:t>
      </w:r>
      <w:r w:rsidR="0022296C" w:rsidRPr="0063657F">
        <w:t xml:space="preserve">exemption declaration </w:t>
      </w:r>
      <w:r w:rsidRPr="0063657F">
        <w:t>under this section is a reviewable decisi</w:t>
      </w:r>
      <w:r w:rsidR="003D2506" w:rsidRPr="0063657F">
        <w:t>on under section 56 of the Act.</w:t>
      </w:r>
    </w:p>
    <w:p w:rsidR="00F10732" w:rsidRPr="0063657F" w:rsidRDefault="00F773E9" w:rsidP="001127DE">
      <w:pPr>
        <w:pStyle w:val="h3Div"/>
      </w:pPr>
      <w:bookmarkStart w:id="94" w:name="_Toc431897018"/>
      <w:r>
        <w:t>Division 2</w:t>
      </w:r>
      <w:r w:rsidR="00F10732" w:rsidRPr="0063657F">
        <w:t>—</w:t>
      </w:r>
      <w:proofErr w:type="gramStart"/>
      <w:r w:rsidR="00F10732" w:rsidRPr="0063657F">
        <w:t>Declared</w:t>
      </w:r>
      <w:proofErr w:type="gramEnd"/>
      <w:r w:rsidR="00F10732" w:rsidRPr="0063657F">
        <w:t xml:space="preserve"> multi-year periods</w:t>
      </w:r>
      <w:bookmarkEnd w:id="94"/>
    </w:p>
    <w:p w:rsidR="00F10732" w:rsidRPr="0063657F" w:rsidRDefault="00F773E9" w:rsidP="00F10732">
      <w:pPr>
        <w:pStyle w:val="h5Section"/>
      </w:pPr>
      <w:bookmarkStart w:id="95" w:name="_Toc431897019"/>
      <w:r>
        <w:t>64</w:t>
      </w:r>
      <w:r w:rsidR="00F10732" w:rsidRPr="0063657F">
        <w:t xml:space="preserve"> Operation of this Division</w:t>
      </w:r>
      <w:bookmarkEnd w:id="95"/>
      <w:r w:rsidR="00F10732" w:rsidRPr="0063657F">
        <w:t xml:space="preserve"> </w:t>
      </w:r>
    </w:p>
    <w:p w:rsidR="00F10732" w:rsidRPr="0063657F" w:rsidRDefault="00F10732" w:rsidP="00F10732">
      <w:pPr>
        <w:pStyle w:val="tMain"/>
      </w:pPr>
      <w:r w:rsidRPr="0063657F">
        <w:tab/>
      </w:r>
      <w:r w:rsidRPr="0063657F">
        <w:tab/>
        <w:t xml:space="preserve">For subsection </w:t>
      </w:r>
      <w:proofErr w:type="gramStart"/>
      <w:r w:rsidRPr="0063657F">
        <w:t>22XG(</w:t>
      </w:r>
      <w:proofErr w:type="gramEnd"/>
      <w:r w:rsidRPr="0063657F">
        <w:t xml:space="preserve">5) of the Act, this Division provides for the declaration of a specified period as a declared multi-year period for a facility. </w:t>
      </w:r>
      <w:r w:rsidRPr="0063657F">
        <w:rPr>
          <w:rStyle w:val="CharDivNo"/>
        </w:rPr>
        <w:t xml:space="preserve"> </w:t>
      </w:r>
      <w:r w:rsidRPr="0063657F">
        <w:rPr>
          <w:rStyle w:val="CharDivText"/>
        </w:rPr>
        <w:t xml:space="preserve"> </w:t>
      </w:r>
    </w:p>
    <w:p w:rsidR="00F10732" w:rsidRPr="0063657F" w:rsidRDefault="00F773E9" w:rsidP="00F10732">
      <w:pPr>
        <w:pStyle w:val="h5Section"/>
      </w:pPr>
      <w:bookmarkStart w:id="96" w:name="_Toc431897020"/>
      <w:r>
        <w:t>65</w:t>
      </w:r>
      <w:r w:rsidR="00F10732" w:rsidRPr="0063657F">
        <w:t xml:space="preserve"> </w:t>
      </w:r>
      <w:proofErr w:type="gramStart"/>
      <w:r w:rsidR="00F10732" w:rsidRPr="0063657F">
        <w:t>Application</w:t>
      </w:r>
      <w:bookmarkEnd w:id="96"/>
      <w:proofErr w:type="gramEnd"/>
    </w:p>
    <w:p w:rsidR="00F10732" w:rsidRPr="0063657F" w:rsidRDefault="00F10732" w:rsidP="00F10732">
      <w:pPr>
        <w:pStyle w:val="tMain"/>
      </w:pPr>
      <w:r w:rsidRPr="0063657F">
        <w:tab/>
      </w:r>
      <w:r w:rsidR="00F773E9">
        <w:t>(1)</w:t>
      </w:r>
      <w:r w:rsidRPr="0063657F">
        <w:tab/>
        <w:t xml:space="preserve">The responsible emitter for a facility may apply to the Regulator for declaration of a specified period as a declared multi-year period for a facility (a </w:t>
      </w:r>
      <w:r w:rsidR="005455BF" w:rsidRPr="0063657F">
        <w:rPr>
          <w:b/>
          <w:i/>
        </w:rPr>
        <w:t>multi-year</w:t>
      </w:r>
      <w:r w:rsidRPr="0063657F">
        <w:rPr>
          <w:b/>
          <w:i/>
        </w:rPr>
        <w:t xml:space="preserve"> period declaration</w:t>
      </w:r>
      <w:r w:rsidRPr="0063657F">
        <w:t>).</w:t>
      </w:r>
    </w:p>
    <w:p w:rsidR="00F10732" w:rsidRPr="0063657F" w:rsidRDefault="00F10732" w:rsidP="00F10732">
      <w:pPr>
        <w:pStyle w:val="tMain"/>
      </w:pPr>
      <w:r w:rsidRPr="0063657F">
        <w:tab/>
      </w:r>
      <w:r w:rsidR="00F773E9">
        <w:t>(2)</w:t>
      </w:r>
      <w:r w:rsidRPr="0063657F">
        <w:tab/>
        <w:t>However, an application may not be made if:</w:t>
      </w:r>
    </w:p>
    <w:p w:rsidR="00F10732" w:rsidRPr="0063657F" w:rsidRDefault="00F10732" w:rsidP="00F10732">
      <w:pPr>
        <w:pStyle w:val="tPara"/>
      </w:pPr>
      <w:r w:rsidRPr="0063657F">
        <w:tab/>
      </w:r>
      <w:r w:rsidR="00F773E9">
        <w:t>(</w:t>
      </w:r>
      <w:proofErr w:type="gramStart"/>
      <w:r w:rsidR="00F773E9">
        <w:t>a</w:t>
      </w:r>
      <w:proofErr w:type="gramEnd"/>
      <w:r w:rsidR="00F773E9">
        <w:t>)</w:t>
      </w:r>
      <w:r w:rsidRPr="0063657F">
        <w:tab/>
        <w:t>both:</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t>the responsible emitter has also applied for a variation of a baseline d</w:t>
      </w:r>
      <w:r w:rsidR="00B36BC8" w:rsidRPr="0063657F">
        <w:t>etermination under subsection 46</w:t>
      </w:r>
      <w:r w:rsidRPr="0063657F">
        <w:t xml:space="preserve">(1) in respect of the proposed first </w:t>
      </w:r>
      <w:r w:rsidR="00B72A67" w:rsidRPr="0063657F">
        <w:t xml:space="preserve">financial </w:t>
      </w:r>
      <w:r w:rsidRPr="0063657F">
        <w:t>year of a declared multi-year period; and</w:t>
      </w:r>
    </w:p>
    <w:p w:rsidR="00F10732" w:rsidRPr="0063657F" w:rsidRDefault="00F10732" w:rsidP="00F10732">
      <w:pPr>
        <w:pStyle w:val="tSubpara"/>
      </w:pPr>
      <w:r w:rsidRPr="0063657F">
        <w:tab/>
      </w:r>
      <w:r w:rsidR="00F773E9">
        <w:t>(ii)</w:t>
      </w:r>
      <w:r w:rsidRPr="0063657F">
        <w:tab/>
      </w:r>
      <w:proofErr w:type="gramStart"/>
      <w:r w:rsidRPr="0063657F">
        <w:t>the</w:t>
      </w:r>
      <w:proofErr w:type="gramEnd"/>
      <w:r w:rsidRPr="0063657F">
        <w:t xml:space="preserve"> Regulator has not refused to make the variation; or</w:t>
      </w:r>
    </w:p>
    <w:p w:rsidR="002E318A" w:rsidRPr="0063657F" w:rsidRDefault="00F10732" w:rsidP="00F10732">
      <w:pPr>
        <w:pStyle w:val="tPara"/>
      </w:pPr>
      <w:r w:rsidRPr="0063657F">
        <w:tab/>
      </w:r>
      <w:r w:rsidR="00F773E9">
        <w:t>(b)</w:t>
      </w:r>
      <w:r w:rsidRPr="0063657F">
        <w:tab/>
      </w:r>
      <w:proofErr w:type="gramStart"/>
      <w:r w:rsidRPr="0063657F">
        <w:t>the</w:t>
      </w:r>
      <w:proofErr w:type="gramEnd"/>
      <w:r w:rsidRPr="0063657F">
        <w:t xml:space="preserve"> Regulator has varied the baseline determination which applies for the proposed first year of the declared multi-year </w:t>
      </w:r>
      <w:r w:rsidR="00B36BC8" w:rsidRPr="0063657F">
        <w:t>period under subsection 51</w:t>
      </w:r>
      <w:r w:rsidR="002E318A" w:rsidRPr="0063657F">
        <w:t>(2); or</w:t>
      </w:r>
    </w:p>
    <w:p w:rsidR="00F10732" w:rsidRPr="0063657F" w:rsidRDefault="002E318A" w:rsidP="002E318A">
      <w:pPr>
        <w:pStyle w:val="tPara"/>
      </w:pPr>
      <w:r w:rsidRPr="0063657F">
        <w:tab/>
      </w:r>
      <w:r w:rsidR="00F773E9">
        <w:t>(c)</w:t>
      </w:r>
      <w:r w:rsidRPr="0063657F">
        <w:tab/>
      </w:r>
      <w:proofErr w:type="gramStart"/>
      <w:r w:rsidRPr="0063657F">
        <w:t>the</w:t>
      </w:r>
      <w:proofErr w:type="gramEnd"/>
      <w:r w:rsidRPr="0063657F">
        <w:t xml:space="preserve"> proposed declared multi-year period would overlap with an existing </w:t>
      </w:r>
      <w:r w:rsidR="00A44F74">
        <w:t>declared multi-year period</w:t>
      </w:r>
      <w:r w:rsidRPr="0063657F">
        <w:t xml:space="preserve"> for the facility.</w:t>
      </w:r>
    </w:p>
    <w:p w:rsidR="00F10732" w:rsidRPr="0063657F" w:rsidRDefault="00F10732" w:rsidP="00F10732">
      <w:pPr>
        <w:pStyle w:val="tMain"/>
      </w:pPr>
      <w:r w:rsidRPr="0063657F">
        <w:lastRenderedPageBreak/>
        <w:tab/>
      </w:r>
      <w:r w:rsidR="00F773E9">
        <w:t>(3)</w:t>
      </w:r>
      <w:r w:rsidR="00A44F74">
        <w:tab/>
        <w:t>The</w:t>
      </w:r>
      <w:r w:rsidRPr="0063657F">
        <w:t xml:space="preserve"> application must:</w:t>
      </w:r>
    </w:p>
    <w:p w:rsidR="00F10732" w:rsidRPr="0063657F" w:rsidRDefault="00F10732" w:rsidP="00F10732">
      <w:pPr>
        <w:pStyle w:val="tPara"/>
      </w:pPr>
      <w:r w:rsidRPr="0063657F">
        <w:tab/>
      </w:r>
      <w:r w:rsidR="00F773E9">
        <w:t>(a)</w:t>
      </w:r>
      <w:r w:rsidRPr="0063657F">
        <w:tab/>
      </w:r>
      <w:proofErr w:type="gramStart"/>
      <w:r w:rsidRPr="0063657F">
        <w:t>be</w:t>
      </w:r>
      <w:proofErr w:type="gramEnd"/>
      <w:r w:rsidRPr="0063657F">
        <w:t xml:space="preserve"> given in a manner and form approved, in writing, by the Regulator; and</w:t>
      </w:r>
    </w:p>
    <w:p w:rsidR="00F10732" w:rsidRPr="0063657F" w:rsidRDefault="00F10732" w:rsidP="00F10732">
      <w:pPr>
        <w:pStyle w:val="tPara"/>
      </w:pPr>
      <w:r w:rsidRPr="0063657F">
        <w:tab/>
      </w:r>
      <w:r w:rsidR="00F773E9">
        <w:t>(b)</w:t>
      </w:r>
      <w:r w:rsidRPr="0063657F">
        <w:tab/>
      </w:r>
      <w:proofErr w:type="gramStart"/>
      <w:r w:rsidRPr="0063657F">
        <w:t>specify</w:t>
      </w:r>
      <w:proofErr w:type="gramEnd"/>
      <w:r w:rsidRPr="0063657F">
        <w:t xml:space="preserve"> the facility and declared </w:t>
      </w:r>
      <w:r w:rsidR="005455BF" w:rsidRPr="0063657F">
        <w:t>multi-year</w:t>
      </w:r>
      <w:r w:rsidRPr="0063657F">
        <w:t xml:space="preserve"> period for which the declaration is sought;</w:t>
      </w:r>
      <w:r w:rsidR="00E4104E" w:rsidRPr="0063657F">
        <w:t xml:space="preserve"> and</w:t>
      </w:r>
    </w:p>
    <w:p w:rsidR="00F10732" w:rsidRPr="0063657F" w:rsidRDefault="00F10732" w:rsidP="00F10732">
      <w:pPr>
        <w:pStyle w:val="tPara"/>
      </w:pPr>
      <w:r w:rsidRPr="0063657F">
        <w:tab/>
      </w:r>
      <w:r w:rsidR="00F773E9">
        <w:t>(c)</w:t>
      </w:r>
      <w:r w:rsidRPr="0063657F">
        <w:tab/>
      </w:r>
      <w:proofErr w:type="gramStart"/>
      <w:r w:rsidRPr="0063657F">
        <w:t>specify</w:t>
      </w:r>
      <w:proofErr w:type="gramEnd"/>
      <w:r w:rsidRPr="0063657F">
        <w:t xml:space="preserve"> the amount of covered emissions (in t CO</w:t>
      </w:r>
      <w:r w:rsidRPr="0063657F">
        <w:rPr>
          <w:vertAlign w:val="subscript"/>
        </w:rPr>
        <w:t>2</w:t>
      </w:r>
      <w:r w:rsidR="007F7E20" w:rsidRPr="0063657F">
        <w:rPr>
          <w:rFonts w:ascii="Helvetica Neue" w:hAnsi="Helvetica Neue"/>
          <w:b/>
          <w:bCs/>
          <w:i/>
          <w:iCs/>
          <w:sz w:val="19"/>
          <w:szCs w:val="19"/>
        </w:rPr>
        <w:noBreakHyphen/>
      </w:r>
      <w:r w:rsidRPr="0063657F">
        <w:t>e)</w:t>
      </w:r>
      <w:r w:rsidR="004632DA" w:rsidRPr="0063657F">
        <w:t xml:space="preserve"> emitted, or reasonably likely to be emitted,</w:t>
      </w:r>
      <w:r w:rsidRPr="0063657F">
        <w:t xml:space="preserve"> </w:t>
      </w:r>
      <w:r w:rsidR="000C66B5" w:rsidRPr="0063657F">
        <w:t>for</w:t>
      </w:r>
      <w:r w:rsidRPr="0063657F">
        <w:t xml:space="preserve"> </w:t>
      </w:r>
      <w:r w:rsidR="00B72A67" w:rsidRPr="0063657F">
        <w:t>the proposed first financial year of the declared multi-year</w:t>
      </w:r>
      <w:r w:rsidRPr="0063657F">
        <w:t xml:space="preserve"> period;</w:t>
      </w:r>
      <w:r w:rsidR="00E4104E" w:rsidRPr="0063657F">
        <w:t xml:space="preserve"> and</w:t>
      </w:r>
    </w:p>
    <w:p w:rsidR="00F10732" w:rsidRPr="0063657F" w:rsidRDefault="00F10732" w:rsidP="00F10732">
      <w:pPr>
        <w:pStyle w:val="tPara"/>
      </w:pPr>
      <w:r w:rsidRPr="0063657F">
        <w:tab/>
      </w:r>
      <w:r w:rsidR="00F773E9">
        <w:t>(d)</w:t>
      </w:r>
      <w:r w:rsidRPr="0063657F">
        <w:tab/>
      </w:r>
      <w:proofErr w:type="gramStart"/>
      <w:r w:rsidRPr="0063657F">
        <w:t>include</w:t>
      </w:r>
      <w:proofErr w:type="gramEnd"/>
      <w:r w:rsidRPr="0063657F">
        <w:t xml:space="preserve"> information and documents substantiating: </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why</w:t>
      </w:r>
      <w:proofErr w:type="gramEnd"/>
      <w:r w:rsidRPr="0063657F">
        <w:t xml:space="preserve"> a </w:t>
      </w:r>
      <w:r w:rsidR="00B72A67" w:rsidRPr="0063657F">
        <w:t>multi-year</w:t>
      </w:r>
      <w:r w:rsidRPr="0063657F">
        <w:t xml:space="preserve"> period declaration should be made; and</w:t>
      </w:r>
    </w:p>
    <w:p w:rsidR="00F10732" w:rsidRPr="0063657F" w:rsidRDefault="00F10732" w:rsidP="00F10732">
      <w:pPr>
        <w:pStyle w:val="tSubpara"/>
      </w:pPr>
      <w:r w:rsidRPr="0063657F">
        <w:tab/>
      </w:r>
      <w:r w:rsidR="00F773E9">
        <w:t>(ii)</w:t>
      </w:r>
      <w:r w:rsidRPr="0063657F">
        <w:tab/>
      </w:r>
      <w:proofErr w:type="gramStart"/>
      <w:r w:rsidRPr="0063657F">
        <w:t>why</w:t>
      </w:r>
      <w:proofErr w:type="gramEnd"/>
      <w:r w:rsidRPr="0063657F">
        <w:t xml:space="preserve"> the net emissions number for the facility will be lower in subsequent financial years.</w:t>
      </w:r>
    </w:p>
    <w:p w:rsidR="00F10732" w:rsidRPr="0063657F" w:rsidRDefault="00F10732" w:rsidP="00F10732">
      <w:pPr>
        <w:pStyle w:val="tMain"/>
      </w:pPr>
      <w:r w:rsidRPr="0063657F">
        <w:tab/>
      </w:r>
      <w:r w:rsidR="00F773E9">
        <w:t>(4)</w:t>
      </w:r>
      <w:r w:rsidRPr="0063657F">
        <w:tab/>
      </w:r>
      <w:r w:rsidR="005A50C8" w:rsidRPr="0063657F">
        <w:t>Subject to subsection (6), a</w:t>
      </w:r>
      <w:r w:rsidRPr="0063657F">
        <w:t xml:space="preserve">n application under subsection (1) must be given to the Regulator no later than the first 31 October after the </w:t>
      </w:r>
      <w:r w:rsidR="00B72A67" w:rsidRPr="0063657F">
        <w:t>end of the proposed first financial year of the declared multi-year period</w:t>
      </w:r>
      <w:r w:rsidRPr="0063657F">
        <w:t>.</w:t>
      </w:r>
    </w:p>
    <w:p w:rsidR="005A50C8" w:rsidRPr="0063657F" w:rsidRDefault="00F10732" w:rsidP="00E21183">
      <w:pPr>
        <w:pStyle w:val="tMain"/>
      </w:pPr>
      <w:r w:rsidRPr="0063657F">
        <w:tab/>
      </w:r>
      <w:r w:rsidR="00F773E9">
        <w:t>(5)</w:t>
      </w:r>
      <w:r w:rsidRPr="0063657F">
        <w:tab/>
        <w:t>The responsible emitter for the facility may, by written notice to the Regulator, withdraw an application at any time before the Regulator makes a decision on the application.</w:t>
      </w:r>
    </w:p>
    <w:p w:rsidR="005A50C8" w:rsidRPr="0063657F" w:rsidRDefault="005A50C8" w:rsidP="00E21183">
      <w:pPr>
        <w:pStyle w:val="tMain"/>
      </w:pPr>
      <w:r w:rsidRPr="0063657F">
        <w:tab/>
      </w:r>
      <w:r w:rsidR="00F773E9">
        <w:t>(6)</w:t>
      </w:r>
      <w:r w:rsidRPr="0063657F">
        <w:tab/>
        <w:t>If the responsible emitter provides reasons why it was impractical to meet the 31 October deadline, the Regulator may accept an application made no later than 1 February after the en</w:t>
      </w:r>
      <w:r w:rsidR="00E21183" w:rsidRPr="0063657F">
        <w:t xml:space="preserve">d of the financial year. </w:t>
      </w:r>
    </w:p>
    <w:p w:rsidR="00F10732" w:rsidRPr="0063657F" w:rsidRDefault="00F773E9" w:rsidP="00F10732">
      <w:pPr>
        <w:pStyle w:val="h5Section"/>
      </w:pPr>
      <w:bookmarkStart w:id="97" w:name="_Toc431897021"/>
      <w:proofErr w:type="gramStart"/>
      <w:r>
        <w:t>66</w:t>
      </w:r>
      <w:r w:rsidR="00F10732" w:rsidRPr="0063657F">
        <w:t xml:space="preserve"> Further information</w:t>
      </w:r>
      <w:bookmarkEnd w:id="97"/>
      <w:proofErr w:type="gramEnd"/>
    </w:p>
    <w:p w:rsidR="00F10732" w:rsidRPr="0063657F" w:rsidRDefault="00F10732" w:rsidP="00F10732">
      <w:pPr>
        <w:pStyle w:val="tMain"/>
      </w:pPr>
      <w:r w:rsidRPr="0063657F">
        <w:tab/>
      </w:r>
      <w:r w:rsidR="00F773E9">
        <w:t>(1)</w:t>
      </w:r>
      <w:r w:rsidRPr="0063657F">
        <w:tab/>
        <w:t>The Regulator may, by written notice given to an applicant, require the applicant to give the Regulator, within the period specified in the notice, further information in connection with the application.</w:t>
      </w:r>
    </w:p>
    <w:p w:rsidR="00F10732" w:rsidRPr="0063657F" w:rsidRDefault="00F10732" w:rsidP="00F10732">
      <w:pPr>
        <w:pStyle w:val="tMain"/>
      </w:pPr>
      <w:r w:rsidRPr="0063657F">
        <w:tab/>
      </w:r>
      <w:r w:rsidR="00F773E9">
        <w:t>(2)</w:t>
      </w:r>
      <w:r w:rsidRPr="0063657F">
        <w:tab/>
        <w:t>If the applicant breaches the requirement, the Regulator may, by written notice given to the applicant:</w:t>
      </w:r>
    </w:p>
    <w:p w:rsidR="00F10732" w:rsidRPr="0063657F" w:rsidRDefault="00F10732" w:rsidP="00F10732">
      <w:pPr>
        <w:pStyle w:val="tPara"/>
      </w:pPr>
      <w:r w:rsidRPr="0063657F">
        <w:tab/>
      </w:r>
      <w:r w:rsidR="00F773E9">
        <w:t>(a)</w:t>
      </w:r>
      <w:r w:rsidRPr="0063657F">
        <w:tab/>
      </w:r>
      <w:proofErr w:type="gramStart"/>
      <w:r w:rsidRPr="0063657F">
        <w:t>refuse</w:t>
      </w:r>
      <w:proofErr w:type="gramEnd"/>
      <w:r w:rsidRPr="0063657F">
        <w:t xml:space="preserve"> to consider the application; or</w:t>
      </w:r>
    </w:p>
    <w:p w:rsidR="00F10732" w:rsidRPr="0063657F" w:rsidRDefault="00F10732" w:rsidP="00F10732">
      <w:pPr>
        <w:pStyle w:val="tPara"/>
        <w:rPr>
          <w:b/>
          <w:sz w:val="28"/>
          <w:szCs w:val="28"/>
        </w:rPr>
      </w:pPr>
      <w:r w:rsidRPr="0063657F">
        <w:tab/>
      </w:r>
      <w:r w:rsidR="00F773E9">
        <w:t>(b)</w:t>
      </w:r>
      <w:r w:rsidRPr="0063657F">
        <w:tab/>
      </w:r>
      <w:proofErr w:type="gramStart"/>
      <w:r w:rsidRPr="0063657F">
        <w:t>refuse</w:t>
      </w:r>
      <w:proofErr w:type="gramEnd"/>
      <w:r w:rsidRPr="0063657F">
        <w:t xml:space="preserve"> to take any action, or any further action, in relation to the application.</w:t>
      </w:r>
    </w:p>
    <w:p w:rsidR="00F10732" w:rsidRPr="0063657F" w:rsidRDefault="00F773E9" w:rsidP="00F10732">
      <w:pPr>
        <w:pStyle w:val="h5Section"/>
      </w:pPr>
      <w:bookmarkStart w:id="98" w:name="_Toc431897022"/>
      <w:r>
        <w:t>67</w:t>
      </w:r>
      <w:r w:rsidR="00F10732" w:rsidRPr="0063657F">
        <w:t xml:space="preserve"> Making of </w:t>
      </w:r>
      <w:r w:rsidR="000C66B5" w:rsidRPr="0063657F">
        <w:t>multi-year</w:t>
      </w:r>
      <w:r w:rsidR="00F10732" w:rsidRPr="0063657F">
        <w:t xml:space="preserve"> period declaration</w:t>
      </w:r>
      <w:bookmarkEnd w:id="98"/>
    </w:p>
    <w:p w:rsidR="00F10732" w:rsidRPr="0063657F" w:rsidRDefault="00F10732" w:rsidP="00F10732">
      <w:pPr>
        <w:pStyle w:val="h6Subsec"/>
      </w:pPr>
      <w:r w:rsidRPr="0063657F">
        <w:t>Scope</w:t>
      </w:r>
    </w:p>
    <w:p w:rsidR="00F10732" w:rsidRPr="0063657F" w:rsidRDefault="00F10732" w:rsidP="00F10732">
      <w:pPr>
        <w:pStyle w:val="tMain"/>
      </w:pPr>
      <w:r w:rsidRPr="0063657F">
        <w:tab/>
      </w:r>
      <w:r w:rsidR="00F773E9">
        <w:t>(1)</w:t>
      </w:r>
      <w:r w:rsidRPr="0063657F">
        <w:tab/>
        <w:t>This section applies if an application under section </w:t>
      </w:r>
      <w:r w:rsidR="00B36BC8" w:rsidRPr="0063657F">
        <w:t>64</w:t>
      </w:r>
      <w:r w:rsidRPr="0063657F">
        <w:t xml:space="preserve"> has been made for a </w:t>
      </w:r>
      <w:r w:rsidR="00B72A67" w:rsidRPr="0063657F">
        <w:t>multi-year</w:t>
      </w:r>
      <w:r w:rsidRPr="0063657F">
        <w:t xml:space="preserve"> period declaration for a facility.</w:t>
      </w:r>
    </w:p>
    <w:p w:rsidR="00F10732" w:rsidRPr="0063657F" w:rsidRDefault="00F10732" w:rsidP="00F10732">
      <w:pPr>
        <w:pStyle w:val="h6Subsec"/>
      </w:pPr>
      <w:r w:rsidRPr="0063657F">
        <w:t xml:space="preserve">Making of </w:t>
      </w:r>
      <w:r w:rsidR="000C66B5" w:rsidRPr="0063657F">
        <w:t>multi-year</w:t>
      </w:r>
      <w:r w:rsidRPr="0063657F">
        <w:t xml:space="preserve"> period declaration</w:t>
      </w:r>
    </w:p>
    <w:p w:rsidR="00F10732" w:rsidRPr="0063657F" w:rsidRDefault="00F10732" w:rsidP="00F10732">
      <w:pPr>
        <w:pStyle w:val="tMain"/>
      </w:pPr>
      <w:r w:rsidRPr="0063657F">
        <w:tab/>
      </w:r>
      <w:r w:rsidR="00F773E9">
        <w:t>(2)</w:t>
      </w:r>
      <w:r w:rsidRPr="0063657F">
        <w:tab/>
        <w:t xml:space="preserve">If the Regulator is satisfied the </w:t>
      </w:r>
      <w:r w:rsidR="000C66B5" w:rsidRPr="0063657F">
        <w:t xml:space="preserve">facility’s </w:t>
      </w:r>
      <w:r w:rsidRPr="0063657F">
        <w:t>covered emissions (in t CO</w:t>
      </w:r>
      <w:r w:rsidRPr="0063657F">
        <w:rPr>
          <w:vertAlign w:val="subscript"/>
        </w:rPr>
        <w:t>2</w:t>
      </w:r>
      <w:r w:rsidR="007F7E20" w:rsidRPr="0063657F">
        <w:rPr>
          <w:rFonts w:ascii="Helvetica Neue" w:hAnsi="Helvetica Neue"/>
          <w:b/>
          <w:bCs/>
          <w:i/>
          <w:iCs/>
          <w:sz w:val="19"/>
          <w:szCs w:val="19"/>
        </w:rPr>
        <w:noBreakHyphen/>
      </w:r>
      <w:r w:rsidRPr="0063657F">
        <w:t xml:space="preserve">e) for </w:t>
      </w:r>
      <w:r w:rsidR="000C66B5" w:rsidRPr="0063657F">
        <w:t xml:space="preserve">the proposed first financial year of the declared multi-year period </w:t>
      </w:r>
      <w:r w:rsidRPr="0063657F">
        <w:t xml:space="preserve">are </w:t>
      </w:r>
      <w:r w:rsidR="004632DA" w:rsidRPr="0063657F">
        <w:t xml:space="preserve">reasonably </w:t>
      </w:r>
      <w:r w:rsidRPr="0063657F">
        <w:t xml:space="preserve">likely to be greater than the baseline emissions number with respect to that facility, it may make a </w:t>
      </w:r>
      <w:r w:rsidR="000C66B5" w:rsidRPr="0063657F">
        <w:t>multi-year</w:t>
      </w:r>
      <w:r w:rsidRPr="0063657F">
        <w:t xml:space="preserve"> period declaration for the facility having regard to:</w:t>
      </w:r>
    </w:p>
    <w:p w:rsidR="00F10732" w:rsidRPr="0063657F" w:rsidRDefault="00F10732" w:rsidP="00F10732">
      <w:pPr>
        <w:pStyle w:val="tPara"/>
      </w:pPr>
      <w:r w:rsidRPr="0063657F">
        <w:tab/>
      </w:r>
      <w:r w:rsidR="00F773E9">
        <w:t>(a)</w:t>
      </w:r>
      <w:r w:rsidRPr="0063657F">
        <w:tab/>
      </w:r>
      <w:proofErr w:type="gramStart"/>
      <w:r w:rsidRPr="0063657F">
        <w:t>whether</w:t>
      </w:r>
      <w:proofErr w:type="gramEnd"/>
      <w:r w:rsidRPr="0063657F">
        <w:t xml:space="preserve"> the responsible emitter has previously had an excess emissions situation; and</w:t>
      </w:r>
    </w:p>
    <w:p w:rsidR="00F10732" w:rsidRPr="0063657F" w:rsidRDefault="00F10732" w:rsidP="00F10732">
      <w:pPr>
        <w:pStyle w:val="tPara"/>
      </w:pPr>
      <w:r w:rsidRPr="0063657F">
        <w:tab/>
      </w:r>
      <w:r w:rsidR="00F773E9">
        <w:t>(b)</w:t>
      </w:r>
      <w:r w:rsidRPr="0063657F">
        <w:tab/>
      </w:r>
      <w:proofErr w:type="gramStart"/>
      <w:r w:rsidRPr="0063657F">
        <w:t>whether</w:t>
      </w:r>
      <w:proofErr w:type="gramEnd"/>
      <w:r w:rsidRPr="0063657F">
        <w:t xml:space="preserve"> reasonable evidence has been provided that the </w:t>
      </w:r>
      <w:r w:rsidR="000C66B5" w:rsidRPr="0063657F">
        <w:t>proposed</w:t>
      </w:r>
      <w:r w:rsidRPr="0063657F">
        <w:t xml:space="preserve"> </w:t>
      </w:r>
      <w:r w:rsidR="000C66B5" w:rsidRPr="0063657F">
        <w:t xml:space="preserve">declared </w:t>
      </w:r>
      <w:r w:rsidRPr="0063657F">
        <w:t>multi-year period would enable the responsible emitter to avoid an excess emissions situation; and</w:t>
      </w:r>
    </w:p>
    <w:p w:rsidR="00F10732" w:rsidRPr="0063657F" w:rsidRDefault="00F10732" w:rsidP="00F10732">
      <w:pPr>
        <w:pStyle w:val="tPara"/>
      </w:pPr>
      <w:r w:rsidRPr="0063657F">
        <w:tab/>
      </w:r>
      <w:r w:rsidR="00F773E9">
        <w:t>(c)</w:t>
      </w:r>
      <w:r w:rsidRPr="0063657F">
        <w:tab/>
        <w:t xml:space="preserve">whether the responsible emitter has proposed to enter into an enforceable undertaking under section 45 of the Act with respect to measures aimed at ensuring </w:t>
      </w:r>
      <w:r w:rsidRPr="0063657F">
        <w:lastRenderedPageBreak/>
        <w:t>an excess emissions situation does not exist in respect of the declared multi-year period; and</w:t>
      </w:r>
    </w:p>
    <w:p w:rsidR="00F10732" w:rsidRPr="0063657F" w:rsidRDefault="00F10732" w:rsidP="00F10732">
      <w:pPr>
        <w:pStyle w:val="tPara"/>
      </w:pPr>
      <w:r w:rsidRPr="0063657F">
        <w:tab/>
      </w:r>
      <w:r w:rsidR="00F773E9">
        <w:t>(d)</w:t>
      </w:r>
      <w:r w:rsidRPr="0063657F">
        <w:tab/>
      </w:r>
      <w:proofErr w:type="gramStart"/>
      <w:r w:rsidRPr="0063657F">
        <w:t>such</w:t>
      </w:r>
      <w:proofErr w:type="gramEnd"/>
      <w:r w:rsidRPr="0063657F">
        <w:t xml:space="preserve"> other matters (if any) as the Regulator considers relevant.</w:t>
      </w:r>
    </w:p>
    <w:p w:rsidR="00F10732" w:rsidRPr="0063657F" w:rsidRDefault="00F10732" w:rsidP="00F10732">
      <w:pPr>
        <w:pStyle w:val="tMain"/>
      </w:pPr>
      <w:r w:rsidRPr="0063657F">
        <w:tab/>
      </w:r>
      <w:r w:rsidR="00F773E9">
        <w:t>(3)</w:t>
      </w:r>
      <w:r w:rsidRPr="0063657F">
        <w:tab/>
        <w:t xml:space="preserve">If the Regulator decides to make a </w:t>
      </w:r>
      <w:r w:rsidR="000C66B5" w:rsidRPr="0063657F">
        <w:t>multi-year</w:t>
      </w:r>
      <w:r w:rsidRPr="0063657F">
        <w:t xml:space="preserve"> period declaration, it must specify </w:t>
      </w:r>
      <w:r w:rsidR="00C54CA1" w:rsidRPr="0063657F">
        <w:t xml:space="preserve">a </w:t>
      </w:r>
      <w:r w:rsidRPr="0063657F">
        <w:t xml:space="preserve">declared multi-year period for the facility </w:t>
      </w:r>
      <w:r w:rsidR="00C54CA1" w:rsidRPr="0063657F">
        <w:t>that is</w:t>
      </w:r>
      <w:r w:rsidRPr="0063657F">
        <w:t xml:space="preserve"> either:</w:t>
      </w:r>
    </w:p>
    <w:p w:rsidR="00F10732" w:rsidRPr="0063657F" w:rsidRDefault="00F10732" w:rsidP="00F10732">
      <w:pPr>
        <w:pStyle w:val="tPara"/>
      </w:pPr>
      <w:r w:rsidRPr="0063657F">
        <w:tab/>
      </w:r>
      <w:r w:rsidR="00F773E9">
        <w:t>(a)</w:t>
      </w:r>
      <w:r w:rsidRPr="0063657F">
        <w:tab/>
      </w:r>
      <w:r w:rsidR="00C54CA1" w:rsidRPr="0063657F">
        <w:t xml:space="preserve">2 </w:t>
      </w:r>
      <w:r w:rsidRPr="0063657F">
        <w:t>financial years; or</w:t>
      </w:r>
    </w:p>
    <w:p w:rsidR="00F10732" w:rsidRPr="0063657F" w:rsidRDefault="00F10732" w:rsidP="00F10732">
      <w:pPr>
        <w:pStyle w:val="tPara"/>
      </w:pPr>
      <w:r w:rsidRPr="0063657F">
        <w:tab/>
      </w:r>
      <w:r w:rsidR="00F773E9">
        <w:t>(b)</w:t>
      </w:r>
      <w:r w:rsidRPr="0063657F">
        <w:tab/>
      </w:r>
      <w:r w:rsidR="00C54CA1" w:rsidRPr="0063657F">
        <w:t xml:space="preserve">3 </w:t>
      </w:r>
      <w:r w:rsidRPr="0063657F">
        <w:t>financial years.</w:t>
      </w:r>
    </w:p>
    <w:p w:rsidR="00F10732" w:rsidRPr="0063657F" w:rsidRDefault="00F10732" w:rsidP="00F10732">
      <w:pPr>
        <w:pStyle w:val="h6Subsec"/>
      </w:pPr>
      <w:r w:rsidRPr="0063657F">
        <w:t>Timing</w:t>
      </w:r>
    </w:p>
    <w:p w:rsidR="00F10732" w:rsidRPr="0063657F" w:rsidRDefault="00F10732" w:rsidP="00F10732">
      <w:pPr>
        <w:pStyle w:val="tMain"/>
      </w:pPr>
      <w:r w:rsidRPr="0063657F">
        <w:tab/>
      </w:r>
      <w:r w:rsidR="00F773E9">
        <w:t>(4)</w:t>
      </w:r>
      <w:r w:rsidRPr="0063657F">
        <w:tab/>
        <w:t>The Regulator must take all reasonable steps to ensure that a decision is made on the application:</w:t>
      </w:r>
    </w:p>
    <w:p w:rsidR="00F10732" w:rsidRPr="0063657F" w:rsidRDefault="00F10732" w:rsidP="00F10732">
      <w:pPr>
        <w:pStyle w:val="tPara"/>
      </w:pPr>
      <w:r w:rsidRPr="0063657F">
        <w:tab/>
      </w:r>
      <w:r w:rsidR="00F773E9">
        <w:t>(a)</w:t>
      </w:r>
      <w:r w:rsidRPr="0063657F">
        <w:tab/>
        <w:t>if the Regulator requires the applicant to give further</w:t>
      </w:r>
      <w:r w:rsidR="00B36BC8" w:rsidRPr="0063657F">
        <w:t xml:space="preserve"> information under subsection 65</w:t>
      </w:r>
      <w:r w:rsidRPr="0063657F">
        <w:t>(1) in relation to the application—within 60 days after the applicant gave the Regulator the information; or</w:t>
      </w:r>
    </w:p>
    <w:p w:rsidR="00F10732" w:rsidRPr="0063657F" w:rsidRDefault="00F10732" w:rsidP="00F10732">
      <w:pPr>
        <w:pStyle w:val="tPara"/>
      </w:pPr>
      <w:r w:rsidRPr="0063657F">
        <w:tab/>
      </w:r>
      <w:r w:rsidR="00F773E9">
        <w:t>(b)</w:t>
      </w:r>
      <w:r w:rsidRPr="0063657F">
        <w:tab/>
      </w:r>
      <w:proofErr w:type="gramStart"/>
      <w:r w:rsidRPr="0063657F">
        <w:t>otherwise—</w:t>
      </w:r>
      <w:proofErr w:type="gramEnd"/>
      <w:r w:rsidRPr="0063657F">
        <w:t>within 60 days after the application was made.</w:t>
      </w:r>
    </w:p>
    <w:p w:rsidR="00A40F3F" w:rsidRPr="0063657F" w:rsidRDefault="00A40F3F" w:rsidP="00A40F3F">
      <w:pPr>
        <w:pStyle w:val="h6Subsec"/>
      </w:pPr>
      <w:r w:rsidRPr="0063657F">
        <w:t xml:space="preserve">Notification </w:t>
      </w:r>
    </w:p>
    <w:p w:rsidR="00A40F3F" w:rsidRPr="0063657F" w:rsidRDefault="00A40F3F" w:rsidP="00A40F3F">
      <w:pPr>
        <w:pStyle w:val="tMain"/>
      </w:pPr>
      <w:r w:rsidRPr="0063657F">
        <w:tab/>
      </w:r>
      <w:r w:rsidR="00F773E9">
        <w:t>(5)</w:t>
      </w:r>
      <w:r w:rsidRPr="0063657F">
        <w:tab/>
      </w:r>
      <w:proofErr w:type="gramStart"/>
      <w:r w:rsidRPr="0063657F">
        <w:t>As</w:t>
      </w:r>
      <w:proofErr w:type="gramEnd"/>
      <w:r w:rsidRPr="0063657F">
        <w:t xml:space="preserve"> soon as practicable after making a multi-year period declaration, the Regulator must:</w:t>
      </w:r>
    </w:p>
    <w:p w:rsidR="00A40F3F" w:rsidRPr="0063657F" w:rsidRDefault="00A40F3F" w:rsidP="00A40F3F">
      <w:pPr>
        <w:pStyle w:val="tPara"/>
      </w:pPr>
      <w:r w:rsidRPr="0063657F">
        <w:tab/>
      </w:r>
      <w:r w:rsidR="00F773E9">
        <w:t>(a)</w:t>
      </w:r>
      <w:r w:rsidRPr="0063657F">
        <w:tab/>
      </w:r>
      <w:proofErr w:type="gramStart"/>
      <w:r w:rsidRPr="0063657F">
        <w:t>provide</w:t>
      </w:r>
      <w:proofErr w:type="gramEnd"/>
      <w:r w:rsidRPr="0063657F">
        <w:t xml:space="preserve"> written notice of the declaration to each responsible emitter for the facility in the period covered by the declaration; and</w:t>
      </w:r>
    </w:p>
    <w:p w:rsidR="00A40F3F" w:rsidRPr="0063657F" w:rsidRDefault="00A40F3F" w:rsidP="00B6402E">
      <w:pPr>
        <w:pStyle w:val="tPara"/>
      </w:pPr>
      <w:r w:rsidRPr="0063657F">
        <w:tab/>
      </w:r>
      <w:r w:rsidR="00F773E9">
        <w:t>(b)</w:t>
      </w:r>
      <w:r w:rsidRPr="0063657F">
        <w:tab/>
      </w:r>
      <w:proofErr w:type="gramStart"/>
      <w:r w:rsidRPr="0063657F">
        <w:t>publish</w:t>
      </w:r>
      <w:proofErr w:type="gramEnd"/>
      <w:r w:rsidRPr="0063657F">
        <w:t xml:space="preserve"> the details of the declaration</w:t>
      </w:r>
      <w:r w:rsidR="00B6402E" w:rsidRPr="0063657F">
        <w:t xml:space="preserve"> on its website.</w:t>
      </w:r>
    </w:p>
    <w:p w:rsidR="00F10732" w:rsidRPr="0063657F" w:rsidRDefault="00F10732" w:rsidP="00F10732">
      <w:pPr>
        <w:pStyle w:val="h6Subsec"/>
      </w:pPr>
      <w:r w:rsidRPr="0063657F">
        <w:t>Refusal</w:t>
      </w:r>
    </w:p>
    <w:p w:rsidR="00F10732" w:rsidRPr="0063657F" w:rsidRDefault="00F10732" w:rsidP="00F10732">
      <w:pPr>
        <w:pStyle w:val="tMain"/>
      </w:pPr>
      <w:r w:rsidRPr="0063657F">
        <w:tab/>
      </w:r>
      <w:r w:rsidR="00F773E9">
        <w:t>(6)</w:t>
      </w:r>
      <w:r w:rsidRPr="0063657F">
        <w:tab/>
        <w:t xml:space="preserve">If the Regulator decides not to make a </w:t>
      </w:r>
      <w:r w:rsidR="000C66B5" w:rsidRPr="0063657F">
        <w:t>multi-year</w:t>
      </w:r>
      <w:r w:rsidRPr="0063657F">
        <w:t xml:space="preserve"> period declaration, the Regulator must give written notice of the decision to the applicant.</w:t>
      </w:r>
    </w:p>
    <w:p w:rsidR="00B6402E" w:rsidRPr="0063657F" w:rsidRDefault="00F773E9" w:rsidP="00B6402E">
      <w:pPr>
        <w:pStyle w:val="h5Section"/>
      </w:pPr>
      <w:bookmarkStart w:id="99" w:name="_Toc431897023"/>
      <w:r>
        <w:t>68</w:t>
      </w:r>
      <w:r w:rsidR="00B6402E" w:rsidRPr="0063657F">
        <w:t xml:space="preserve"> Variation or revocation of multi-year period </w:t>
      </w:r>
      <w:r w:rsidR="00A02EB2" w:rsidRPr="0063657F">
        <w:t xml:space="preserve">declaration </w:t>
      </w:r>
      <w:r w:rsidR="00B6402E" w:rsidRPr="0063657F">
        <w:t>on request</w:t>
      </w:r>
      <w:bookmarkEnd w:id="99"/>
    </w:p>
    <w:p w:rsidR="00B6402E" w:rsidRPr="0063657F" w:rsidRDefault="00B6402E" w:rsidP="00B6402E">
      <w:pPr>
        <w:pStyle w:val="tMain"/>
      </w:pPr>
      <w:r w:rsidRPr="0063657F">
        <w:tab/>
      </w:r>
      <w:r w:rsidR="00F773E9">
        <w:t>(1)</w:t>
      </w:r>
      <w:r w:rsidRPr="0063657F">
        <w:tab/>
        <w:t xml:space="preserve">The responsible emitter for a facility may apply to the Regulator: </w:t>
      </w:r>
    </w:p>
    <w:p w:rsidR="00B6402E" w:rsidRPr="0063657F" w:rsidRDefault="00B6402E" w:rsidP="00B6402E">
      <w:pPr>
        <w:pStyle w:val="tPara"/>
      </w:pPr>
      <w:r w:rsidRPr="0063657F">
        <w:tab/>
      </w:r>
      <w:r w:rsidR="00F773E9">
        <w:t>(a)</w:t>
      </w:r>
      <w:r w:rsidRPr="0063657F">
        <w:tab/>
      </w:r>
      <w:proofErr w:type="gramStart"/>
      <w:r w:rsidR="00A44F74">
        <w:t>to</w:t>
      </w:r>
      <w:proofErr w:type="gramEnd"/>
      <w:r w:rsidR="00A44F74">
        <w:t xml:space="preserve"> </w:t>
      </w:r>
      <w:r w:rsidRPr="0063657F">
        <w:t>vary the length of the declared multi-year period</w:t>
      </w:r>
      <w:r w:rsidR="00040118" w:rsidRPr="0063657F">
        <w:t xml:space="preserve"> in a multi-year period declaration</w:t>
      </w:r>
      <w:r w:rsidRPr="0063657F">
        <w:t>:</w:t>
      </w:r>
    </w:p>
    <w:p w:rsidR="00B6402E" w:rsidRPr="0063657F" w:rsidRDefault="00B6402E" w:rsidP="00B6402E">
      <w:pPr>
        <w:pStyle w:val="tSubpara"/>
      </w:pPr>
      <w:r w:rsidRPr="0063657F">
        <w:tab/>
      </w:r>
      <w:r w:rsidR="00F773E9">
        <w:t>(</w:t>
      </w:r>
      <w:proofErr w:type="spellStart"/>
      <w:r w:rsidR="00F773E9">
        <w:t>i</w:t>
      </w:r>
      <w:proofErr w:type="spellEnd"/>
      <w:r w:rsidR="00F773E9">
        <w:t>)</w:t>
      </w:r>
      <w:r w:rsidRPr="0063657F">
        <w:tab/>
      </w:r>
      <w:proofErr w:type="gramStart"/>
      <w:r w:rsidRPr="0063657F">
        <w:t>from</w:t>
      </w:r>
      <w:proofErr w:type="gramEnd"/>
      <w:r w:rsidRPr="0063657F">
        <w:t xml:space="preserve"> 3 year to 2 years; or</w:t>
      </w:r>
    </w:p>
    <w:p w:rsidR="00B6402E" w:rsidRPr="0063657F" w:rsidRDefault="00B6402E" w:rsidP="00B6402E">
      <w:pPr>
        <w:pStyle w:val="tSubpara"/>
      </w:pPr>
      <w:r w:rsidRPr="0063657F">
        <w:tab/>
      </w:r>
      <w:r w:rsidR="00F773E9">
        <w:t>(ii)</w:t>
      </w:r>
      <w:r w:rsidRPr="0063657F">
        <w:tab/>
      </w:r>
      <w:proofErr w:type="gramStart"/>
      <w:r w:rsidRPr="0063657F">
        <w:t>from</w:t>
      </w:r>
      <w:proofErr w:type="gramEnd"/>
      <w:r w:rsidRPr="0063657F">
        <w:t xml:space="preserve"> 2 years to 3 years; or</w:t>
      </w:r>
    </w:p>
    <w:p w:rsidR="00B6402E" w:rsidRPr="0063657F" w:rsidRDefault="00B6402E" w:rsidP="00B6402E">
      <w:pPr>
        <w:pStyle w:val="tPara"/>
      </w:pPr>
      <w:r w:rsidRPr="0063657F">
        <w:tab/>
      </w:r>
      <w:r w:rsidR="00F773E9">
        <w:t>(b)</w:t>
      </w:r>
      <w:r w:rsidRPr="0063657F">
        <w:tab/>
      </w:r>
      <w:proofErr w:type="gramStart"/>
      <w:r w:rsidR="00A44F74">
        <w:t>to</w:t>
      </w:r>
      <w:proofErr w:type="gramEnd"/>
      <w:r w:rsidR="00A44F74">
        <w:t xml:space="preserve"> </w:t>
      </w:r>
      <w:r w:rsidRPr="0063657F">
        <w:t xml:space="preserve">revoke the multi-year period declaration. </w:t>
      </w:r>
    </w:p>
    <w:p w:rsidR="00B6402E" w:rsidRPr="0063657F" w:rsidRDefault="00B6402E" w:rsidP="00B6402E">
      <w:pPr>
        <w:pStyle w:val="tMain"/>
      </w:pPr>
      <w:r w:rsidRPr="0063657F">
        <w:tab/>
      </w:r>
      <w:r w:rsidR="00F773E9">
        <w:t>(2)</w:t>
      </w:r>
      <w:r w:rsidRPr="0063657F">
        <w:tab/>
      </w:r>
      <w:r w:rsidR="00A44F74">
        <w:t>The</w:t>
      </w:r>
      <w:r w:rsidRPr="0063657F">
        <w:t xml:space="preserve"> application must:</w:t>
      </w:r>
    </w:p>
    <w:p w:rsidR="00B6402E" w:rsidRPr="0063657F" w:rsidRDefault="00B6402E" w:rsidP="00B6402E">
      <w:pPr>
        <w:pStyle w:val="tPara"/>
      </w:pPr>
      <w:r w:rsidRPr="0063657F">
        <w:tab/>
      </w:r>
      <w:r w:rsidR="00F773E9">
        <w:t>(a)</w:t>
      </w:r>
      <w:r w:rsidRPr="0063657F">
        <w:tab/>
      </w:r>
      <w:proofErr w:type="gramStart"/>
      <w:r w:rsidRPr="0063657F">
        <w:t>be</w:t>
      </w:r>
      <w:proofErr w:type="gramEnd"/>
      <w:r w:rsidRPr="0063657F">
        <w:t xml:space="preserve"> given in a manner and form approved, in writing, by the Regulator; and</w:t>
      </w:r>
    </w:p>
    <w:p w:rsidR="00B6402E" w:rsidRPr="0063657F" w:rsidRDefault="00B6402E" w:rsidP="00B6402E">
      <w:pPr>
        <w:pStyle w:val="tPara"/>
      </w:pPr>
      <w:r w:rsidRPr="0063657F">
        <w:tab/>
      </w:r>
      <w:r w:rsidR="00F773E9">
        <w:t>(b)</w:t>
      </w:r>
      <w:r w:rsidRPr="0063657F">
        <w:tab/>
      </w:r>
      <w:proofErr w:type="gramStart"/>
      <w:r w:rsidRPr="0063657F">
        <w:t>specify</w:t>
      </w:r>
      <w:proofErr w:type="gramEnd"/>
      <w:r w:rsidRPr="0063657F">
        <w:t xml:space="preserve"> the facility and multi-year period</w:t>
      </w:r>
      <w:r w:rsidR="008B475C" w:rsidRPr="0063657F">
        <w:t xml:space="preserve"> declaration to be varied or revoked</w:t>
      </w:r>
      <w:r w:rsidRPr="0063657F">
        <w:t>; and</w:t>
      </w:r>
    </w:p>
    <w:p w:rsidR="00B6402E" w:rsidRPr="0063657F" w:rsidRDefault="00B6402E" w:rsidP="00B6402E">
      <w:pPr>
        <w:pStyle w:val="tPara"/>
      </w:pPr>
      <w:r w:rsidRPr="0063657F">
        <w:tab/>
      </w:r>
      <w:r w:rsidR="00F773E9">
        <w:t>(c)</w:t>
      </w:r>
      <w:r w:rsidRPr="0063657F">
        <w:tab/>
      </w:r>
      <w:proofErr w:type="gramStart"/>
      <w:r w:rsidR="00040118" w:rsidRPr="0063657F">
        <w:t>include</w:t>
      </w:r>
      <w:proofErr w:type="gramEnd"/>
      <w:r w:rsidRPr="0063657F">
        <w:t xml:space="preserve"> </w:t>
      </w:r>
      <w:r w:rsidR="00BF7A8B" w:rsidRPr="0063657F">
        <w:t xml:space="preserve">the </w:t>
      </w:r>
      <w:r w:rsidR="008B475C" w:rsidRPr="0063657F">
        <w:t>reasons for the proposed variation or revocation</w:t>
      </w:r>
      <w:r w:rsidRPr="0063657F">
        <w:t>; and</w:t>
      </w:r>
    </w:p>
    <w:p w:rsidR="00B6402E" w:rsidRPr="0063657F" w:rsidRDefault="00B6402E" w:rsidP="00040118">
      <w:pPr>
        <w:pStyle w:val="tPara"/>
      </w:pPr>
      <w:r w:rsidRPr="0063657F">
        <w:tab/>
      </w:r>
      <w:r w:rsidR="00F773E9">
        <w:t>(d)</w:t>
      </w:r>
      <w:r w:rsidRPr="0063657F">
        <w:tab/>
      </w:r>
      <w:proofErr w:type="gramStart"/>
      <w:r w:rsidRPr="0063657F">
        <w:t>i</w:t>
      </w:r>
      <w:r w:rsidR="008B475C" w:rsidRPr="0063657F">
        <w:t>f</w:t>
      </w:r>
      <w:proofErr w:type="gramEnd"/>
      <w:r w:rsidR="008B475C" w:rsidRPr="0063657F">
        <w:t xml:space="preserve"> the variation or revocation would impact the length of a monitoring period for a person other than the applicant—include the written consent of that person to the making of the application.</w:t>
      </w:r>
    </w:p>
    <w:p w:rsidR="00B6402E" w:rsidRPr="0063657F" w:rsidRDefault="00B6402E" w:rsidP="008B475C">
      <w:pPr>
        <w:pStyle w:val="tMain"/>
      </w:pPr>
      <w:r w:rsidRPr="0063657F">
        <w:tab/>
      </w:r>
      <w:r w:rsidR="00F773E9">
        <w:t>(3)</w:t>
      </w:r>
      <w:r w:rsidRPr="0063657F">
        <w:tab/>
      </w:r>
      <w:r w:rsidR="008B475C" w:rsidRPr="0063657F">
        <w:t>After considering an application which complies with subsection</w:t>
      </w:r>
      <w:r w:rsidR="00040118" w:rsidRPr="0063657F">
        <w:t xml:space="preserve"> (1) and (2), the Regulator may vary or revoke the multi-year period declaration as requested by the applicant.</w:t>
      </w:r>
    </w:p>
    <w:p w:rsidR="00040118" w:rsidRPr="0063657F" w:rsidRDefault="00040118" w:rsidP="00040118">
      <w:pPr>
        <w:pStyle w:val="h6Subsec"/>
      </w:pPr>
      <w:r w:rsidRPr="0063657F">
        <w:lastRenderedPageBreak/>
        <w:t xml:space="preserve">Notification </w:t>
      </w:r>
    </w:p>
    <w:p w:rsidR="00B6402E" w:rsidRPr="0063657F" w:rsidRDefault="00B6402E" w:rsidP="00B6402E">
      <w:pPr>
        <w:pStyle w:val="tMain"/>
      </w:pPr>
      <w:r w:rsidRPr="0063657F">
        <w:tab/>
      </w:r>
      <w:r w:rsidR="00F773E9">
        <w:t>(4)</w:t>
      </w:r>
      <w:r w:rsidRPr="0063657F">
        <w:tab/>
      </w:r>
      <w:proofErr w:type="gramStart"/>
      <w:r w:rsidRPr="0063657F">
        <w:t>As</w:t>
      </w:r>
      <w:proofErr w:type="gramEnd"/>
      <w:r w:rsidRPr="0063657F">
        <w:t xml:space="preserve"> soon as practicable after </w:t>
      </w:r>
      <w:r w:rsidR="008B475C" w:rsidRPr="0063657F">
        <w:t xml:space="preserve">varying or </w:t>
      </w:r>
      <w:r w:rsidRPr="0063657F">
        <w:t xml:space="preserve">revoking </w:t>
      </w:r>
      <w:r w:rsidR="008B475C" w:rsidRPr="0063657F">
        <w:t>a multi-year period</w:t>
      </w:r>
      <w:r w:rsidRPr="0063657F">
        <w:t xml:space="preserve"> declaration, the Regulator must:</w:t>
      </w:r>
    </w:p>
    <w:p w:rsidR="00B6402E" w:rsidRPr="0063657F" w:rsidRDefault="00B6402E" w:rsidP="00B6402E">
      <w:pPr>
        <w:pStyle w:val="tPara"/>
      </w:pPr>
      <w:r w:rsidRPr="0063657F">
        <w:tab/>
      </w:r>
      <w:r w:rsidR="00F773E9">
        <w:t>(a)</w:t>
      </w:r>
      <w:r w:rsidRPr="0063657F">
        <w:tab/>
      </w:r>
      <w:proofErr w:type="gramStart"/>
      <w:r w:rsidRPr="0063657F">
        <w:t>provide</w:t>
      </w:r>
      <w:proofErr w:type="gramEnd"/>
      <w:r w:rsidRPr="0063657F">
        <w:t xml:space="preserve"> written notice of the decision to the responsible emitter for the facility for the </w:t>
      </w:r>
      <w:r w:rsidR="008B475C" w:rsidRPr="0063657F">
        <w:t>declared multi-year</w:t>
      </w:r>
      <w:r w:rsidRPr="0063657F">
        <w:t xml:space="preserve"> period covered by the </w:t>
      </w:r>
      <w:r w:rsidR="008B475C" w:rsidRPr="0063657F">
        <w:t>multi-year period</w:t>
      </w:r>
      <w:r w:rsidRPr="0063657F">
        <w:t xml:space="preserve"> declaration; and</w:t>
      </w:r>
    </w:p>
    <w:p w:rsidR="00B6402E" w:rsidRPr="0063657F" w:rsidRDefault="00B6402E" w:rsidP="00B6402E">
      <w:pPr>
        <w:pStyle w:val="tPara"/>
      </w:pPr>
      <w:r w:rsidRPr="0063657F">
        <w:tab/>
      </w:r>
      <w:r w:rsidR="00F773E9">
        <w:t>(b)</w:t>
      </w:r>
      <w:r w:rsidRPr="0063657F">
        <w:tab/>
      </w:r>
      <w:proofErr w:type="gramStart"/>
      <w:r w:rsidRPr="0063657F">
        <w:t>publish</w:t>
      </w:r>
      <w:proofErr w:type="gramEnd"/>
      <w:r w:rsidRPr="0063657F">
        <w:t xml:space="preserve"> the details of the</w:t>
      </w:r>
      <w:r w:rsidR="008B475C" w:rsidRPr="0063657F">
        <w:t xml:space="preserve"> variation or</w:t>
      </w:r>
      <w:r w:rsidRPr="0063657F">
        <w:t xml:space="preserve"> revocation of the </w:t>
      </w:r>
      <w:r w:rsidR="008B475C" w:rsidRPr="0063657F">
        <w:t>multi-year period</w:t>
      </w:r>
      <w:r w:rsidRPr="0063657F">
        <w:t xml:space="preserve"> declaration on its website.</w:t>
      </w:r>
    </w:p>
    <w:p w:rsidR="00040118" w:rsidRPr="0063657F" w:rsidRDefault="00040118" w:rsidP="00040118">
      <w:pPr>
        <w:pStyle w:val="h6Subsec"/>
      </w:pPr>
      <w:r w:rsidRPr="0063657F">
        <w:t>Refusal</w:t>
      </w:r>
    </w:p>
    <w:p w:rsidR="00040118" w:rsidRPr="0063657F" w:rsidRDefault="00040118" w:rsidP="00040118">
      <w:pPr>
        <w:pStyle w:val="tMain"/>
      </w:pPr>
      <w:r w:rsidRPr="0063657F">
        <w:tab/>
      </w:r>
      <w:r w:rsidR="00F773E9">
        <w:t>(5)</w:t>
      </w:r>
      <w:r w:rsidRPr="0063657F">
        <w:tab/>
        <w:t>If the Regulator decides not to vary or revoke a multi-year period declaration, the Regulator must give written notice of the decision to the applicant.</w:t>
      </w:r>
    </w:p>
    <w:p w:rsidR="00B6402E" w:rsidRPr="0063657F" w:rsidRDefault="00B6402E" w:rsidP="00040118">
      <w:pPr>
        <w:pStyle w:val="tMain"/>
      </w:pPr>
      <w:r w:rsidRPr="0063657F">
        <w:tab/>
      </w:r>
      <w:r w:rsidR="00F773E9">
        <w:t>(6)</w:t>
      </w:r>
      <w:r w:rsidRPr="0063657F">
        <w:tab/>
        <w:t xml:space="preserve">To avoid doubt, a decision to </w:t>
      </w:r>
      <w:r w:rsidR="00040118" w:rsidRPr="0063657F">
        <w:t xml:space="preserve">decide to vary or </w:t>
      </w:r>
      <w:r w:rsidRPr="0063657F">
        <w:t>revoke</w:t>
      </w:r>
      <w:r w:rsidR="00040118" w:rsidRPr="0063657F">
        <w:t>, or decide not to vary or revoke,</w:t>
      </w:r>
      <w:r w:rsidRPr="0063657F">
        <w:t xml:space="preserve"> a</w:t>
      </w:r>
      <w:r w:rsidR="00040118" w:rsidRPr="0063657F">
        <w:t xml:space="preserve"> multi-year period </w:t>
      </w:r>
      <w:r w:rsidRPr="0063657F">
        <w:t>declaration under this section is a reviewable decision under section 56 of the Act.</w:t>
      </w:r>
    </w:p>
    <w:p w:rsidR="003D2506" w:rsidRPr="0063657F" w:rsidRDefault="00F773E9" w:rsidP="003D2506">
      <w:pPr>
        <w:pStyle w:val="h5Section"/>
      </w:pPr>
      <w:bookmarkStart w:id="100" w:name="_Toc431897024"/>
      <w:r>
        <w:t>69</w:t>
      </w:r>
      <w:r w:rsidR="003D2506" w:rsidRPr="0063657F">
        <w:t xml:space="preserve"> </w:t>
      </w:r>
      <w:r w:rsidR="001217E6" w:rsidRPr="0063657F">
        <w:t>R</w:t>
      </w:r>
      <w:r w:rsidR="003D2506" w:rsidRPr="0063657F">
        <w:t xml:space="preserve">evocation of </w:t>
      </w:r>
      <w:r w:rsidR="001217E6" w:rsidRPr="0063657F">
        <w:t>multi-year period</w:t>
      </w:r>
      <w:r w:rsidR="003D2506" w:rsidRPr="0063657F">
        <w:t xml:space="preserve"> declaration because of false or misleading information</w:t>
      </w:r>
      <w:bookmarkEnd w:id="100"/>
    </w:p>
    <w:p w:rsidR="003D2506" w:rsidRPr="0063657F" w:rsidRDefault="003D2506" w:rsidP="003D2506">
      <w:pPr>
        <w:pStyle w:val="tMain"/>
      </w:pPr>
      <w:r w:rsidRPr="0063657F">
        <w:tab/>
      </w:r>
      <w:r w:rsidR="00F773E9">
        <w:t>(1)</w:t>
      </w:r>
      <w:r w:rsidRPr="0063657F">
        <w:tab/>
        <w:t>If</w:t>
      </w:r>
      <w:r w:rsidR="000D22A0" w:rsidRPr="0063657F">
        <w:t>, during a declared multi-year period,</w:t>
      </w:r>
      <w:r w:rsidR="00A44F74">
        <w:t xml:space="preserve"> the Regulator becomes</w:t>
      </w:r>
      <w:r w:rsidRPr="0063657F">
        <w:t xml:space="preserve"> satisfied that:</w:t>
      </w:r>
    </w:p>
    <w:p w:rsidR="003D2506" w:rsidRPr="0063657F" w:rsidRDefault="003D2506" w:rsidP="003D2506">
      <w:pPr>
        <w:pStyle w:val="tPara"/>
      </w:pPr>
      <w:r w:rsidRPr="0063657F">
        <w:tab/>
      </w:r>
      <w:r w:rsidR="00F773E9">
        <w:t>(a)</w:t>
      </w:r>
      <w:r w:rsidRPr="0063657F">
        <w:tab/>
        <w:t xml:space="preserve">information provided to the Regulator by the responsible emitter in connection with the making of </w:t>
      </w:r>
      <w:r w:rsidR="000D22A0" w:rsidRPr="0063657F">
        <w:t>the</w:t>
      </w:r>
      <w:r w:rsidRPr="0063657F">
        <w:t xml:space="preserve"> </w:t>
      </w:r>
      <w:r w:rsidR="00040118" w:rsidRPr="0063657F">
        <w:t>multi-year period</w:t>
      </w:r>
      <w:r w:rsidRPr="0063657F">
        <w:t xml:space="preserve"> declaration</w:t>
      </w:r>
      <w:r w:rsidR="000D22A0" w:rsidRPr="0063657F">
        <w:t xml:space="preserve"> for the declared multi-year period</w:t>
      </w:r>
      <w:r w:rsidRPr="0063657F">
        <w:t xml:space="preserve"> was false or misleading in a material particular;</w:t>
      </w:r>
      <w:r w:rsidR="000D22A0" w:rsidRPr="0063657F">
        <w:t xml:space="preserve"> and</w:t>
      </w:r>
    </w:p>
    <w:p w:rsidR="003D2506" w:rsidRPr="0063657F" w:rsidRDefault="003D2506" w:rsidP="003D2506">
      <w:pPr>
        <w:pStyle w:val="tPara"/>
      </w:pPr>
      <w:r w:rsidRPr="0063657F">
        <w:tab/>
      </w:r>
      <w:r w:rsidR="00F773E9">
        <w:t>(b)</w:t>
      </w:r>
      <w:r w:rsidRPr="0063657F">
        <w:tab/>
      </w:r>
      <w:proofErr w:type="gramStart"/>
      <w:r w:rsidRPr="0063657F">
        <w:t>the</w:t>
      </w:r>
      <w:proofErr w:type="gramEnd"/>
      <w:r w:rsidRPr="0063657F">
        <w:t xml:space="preserve"> Regulator would not have </w:t>
      </w:r>
      <w:r w:rsidR="000D22A0" w:rsidRPr="0063657F">
        <w:t>made</w:t>
      </w:r>
      <w:r w:rsidR="00040118" w:rsidRPr="0063657F">
        <w:t xml:space="preserve"> the multi-year period declaration </w:t>
      </w:r>
      <w:r w:rsidRPr="0063657F">
        <w:t xml:space="preserve">if the false or misleading information </w:t>
      </w:r>
      <w:r w:rsidR="00A44F74">
        <w:t>had not been</w:t>
      </w:r>
      <w:r w:rsidRPr="0063657F">
        <w:t xml:space="preserve"> provided;</w:t>
      </w:r>
    </w:p>
    <w:p w:rsidR="003D2506" w:rsidRPr="0063657F" w:rsidRDefault="003D2506" w:rsidP="003D2506">
      <w:pPr>
        <w:pStyle w:val="tMain"/>
        <w:spacing w:before="40"/>
      </w:pPr>
      <w:r w:rsidRPr="0063657F">
        <w:tab/>
      </w:r>
      <w:r w:rsidRPr="0063657F">
        <w:tab/>
      </w:r>
      <w:proofErr w:type="gramStart"/>
      <w:r w:rsidRPr="0063657F">
        <w:t>the</w:t>
      </w:r>
      <w:proofErr w:type="gramEnd"/>
      <w:r w:rsidRPr="0063657F">
        <w:t xml:space="preserve"> Regulator may revoke the </w:t>
      </w:r>
      <w:r w:rsidR="000D22A0" w:rsidRPr="0063657F">
        <w:t>multi-year period</w:t>
      </w:r>
      <w:r w:rsidRPr="0063657F">
        <w:t xml:space="preserve"> declaration with effect from at least 30 </w:t>
      </w:r>
      <w:r w:rsidR="00A44F74">
        <w:t>days after the notification of the</w:t>
      </w:r>
      <w:r w:rsidRPr="0063657F">
        <w:t xml:space="preserve"> decision under this section.</w:t>
      </w:r>
    </w:p>
    <w:p w:rsidR="003D2506" w:rsidRPr="0063657F" w:rsidRDefault="003D2506" w:rsidP="003D2506">
      <w:pPr>
        <w:pStyle w:val="tMain"/>
      </w:pPr>
      <w:r w:rsidRPr="0063657F">
        <w:tab/>
      </w:r>
      <w:r w:rsidR="00F773E9">
        <w:t>(2)</w:t>
      </w:r>
      <w:r w:rsidRPr="0063657F">
        <w:tab/>
        <w:t xml:space="preserve">Before the Regulator revokes </w:t>
      </w:r>
      <w:r w:rsidR="000D22A0" w:rsidRPr="0063657F">
        <w:t>the multi-year period</w:t>
      </w:r>
      <w:r w:rsidRPr="0063657F">
        <w:t xml:space="preserve"> declaration, the Regulator must provide a written notice to </w:t>
      </w:r>
      <w:r w:rsidR="000D22A0" w:rsidRPr="0063657F">
        <w:t>each</w:t>
      </w:r>
      <w:r w:rsidRPr="0063657F">
        <w:t xml:space="preserve"> responsible emitter for the facility for the </w:t>
      </w:r>
      <w:r w:rsidR="000D22A0" w:rsidRPr="0063657F">
        <w:t>declared multi-year period</w:t>
      </w:r>
      <w:r w:rsidRPr="0063657F">
        <w:t>:</w:t>
      </w:r>
    </w:p>
    <w:p w:rsidR="003D2506" w:rsidRPr="0063657F" w:rsidRDefault="003D2506" w:rsidP="003D2506">
      <w:pPr>
        <w:pStyle w:val="tPara"/>
      </w:pPr>
      <w:r w:rsidRPr="0063657F">
        <w:tab/>
      </w:r>
      <w:r w:rsidR="00F773E9">
        <w:t>(a)</w:t>
      </w:r>
      <w:r w:rsidRPr="0063657F">
        <w:tab/>
      </w:r>
      <w:proofErr w:type="gramStart"/>
      <w:r w:rsidRPr="0063657F">
        <w:t>stating</w:t>
      </w:r>
      <w:proofErr w:type="gramEnd"/>
      <w:r w:rsidRPr="0063657F">
        <w:t xml:space="preserve"> that it intends to revoke the </w:t>
      </w:r>
      <w:r w:rsidR="000D22A0" w:rsidRPr="0063657F">
        <w:t>multi-year period</w:t>
      </w:r>
      <w:r w:rsidRPr="0063657F">
        <w:t xml:space="preserve"> declaration in relation to the facility under this section; and</w:t>
      </w:r>
    </w:p>
    <w:p w:rsidR="003D2506" w:rsidRPr="0063657F" w:rsidRDefault="003D2506" w:rsidP="003D2506">
      <w:pPr>
        <w:pStyle w:val="tPara"/>
      </w:pPr>
      <w:r w:rsidRPr="0063657F">
        <w:tab/>
      </w:r>
      <w:r w:rsidR="00F773E9">
        <w:t>(b)</w:t>
      </w:r>
      <w:r w:rsidRPr="0063657F">
        <w:tab/>
      </w:r>
      <w:proofErr w:type="gramStart"/>
      <w:r w:rsidRPr="0063657F">
        <w:t>seeking</w:t>
      </w:r>
      <w:proofErr w:type="gramEnd"/>
      <w:r w:rsidRPr="0063657F">
        <w:t xml:space="preserve"> any comments by a date specified in the notice.</w:t>
      </w:r>
    </w:p>
    <w:p w:rsidR="003D2506" w:rsidRPr="0063657F" w:rsidRDefault="003D2506" w:rsidP="003D2506">
      <w:pPr>
        <w:pStyle w:val="tMain"/>
      </w:pPr>
      <w:r w:rsidRPr="0063657F">
        <w:tab/>
      </w:r>
      <w:r w:rsidR="00F773E9">
        <w:t>(3)</w:t>
      </w:r>
      <w:r w:rsidRPr="0063657F">
        <w:tab/>
        <w:t xml:space="preserve">The Regulator must consider any comments received by the date specified in the notice and use all reasonable endeavours to revoke or decide not to revoke the </w:t>
      </w:r>
      <w:r w:rsidR="000D22A0" w:rsidRPr="0063657F">
        <w:t xml:space="preserve">multi-year period </w:t>
      </w:r>
      <w:r w:rsidRPr="0063657F">
        <w:t>declaration no later than 30 days after the date specified in the notice.</w:t>
      </w:r>
    </w:p>
    <w:p w:rsidR="003D2506" w:rsidRPr="0063657F" w:rsidRDefault="003D2506" w:rsidP="003D2506">
      <w:pPr>
        <w:pStyle w:val="tMain"/>
      </w:pPr>
      <w:r w:rsidRPr="0063657F">
        <w:tab/>
      </w:r>
      <w:r w:rsidR="00F773E9">
        <w:t>(4)</w:t>
      </w:r>
      <w:r w:rsidRPr="0063657F">
        <w:tab/>
      </w:r>
      <w:proofErr w:type="gramStart"/>
      <w:r w:rsidRPr="0063657F">
        <w:t>As</w:t>
      </w:r>
      <w:proofErr w:type="gramEnd"/>
      <w:r w:rsidRPr="0063657F">
        <w:t xml:space="preserve"> soon as practicable after revoking </w:t>
      </w:r>
      <w:r w:rsidR="000D22A0" w:rsidRPr="0063657F">
        <w:t>a multi-year period</w:t>
      </w:r>
      <w:r w:rsidRPr="0063657F">
        <w:t xml:space="preserve"> declaration, the Regulator must:</w:t>
      </w:r>
    </w:p>
    <w:p w:rsidR="003D2506" w:rsidRPr="0063657F" w:rsidRDefault="003D2506" w:rsidP="003D2506">
      <w:pPr>
        <w:pStyle w:val="tPara"/>
      </w:pPr>
      <w:r w:rsidRPr="0063657F">
        <w:tab/>
      </w:r>
      <w:r w:rsidR="00F773E9">
        <w:t>(a)</w:t>
      </w:r>
      <w:r w:rsidRPr="0063657F">
        <w:tab/>
      </w:r>
      <w:proofErr w:type="gramStart"/>
      <w:r w:rsidRPr="0063657F">
        <w:t>provide</w:t>
      </w:r>
      <w:proofErr w:type="gramEnd"/>
      <w:r w:rsidRPr="0063657F">
        <w:t xml:space="preserve"> written notice of the decision to </w:t>
      </w:r>
      <w:r w:rsidR="000D22A0" w:rsidRPr="0063657F">
        <w:t>each</w:t>
      </w:r>
      <w:r w:rsidRPr="0063657F">
        <w:t xml:space="preserve"> responsible emitter for the facility for the </w:t>
      </w:r>
      <w:r w:rsidR="000D22A0" w:rsidRPr="0063657F">
        <w:t>declared multi-year period</w:t>
      </w:r>
      <w:r w:rsidRPr="0063657F">
        <w:t>; and</w:t>
      </w:r>
    </w:p>
    <w:p w:rsidR="003D2506" w:rsidRPr="0063657F" w:rsidRDefault="003D2506" w:rsidP="003D2506">
      <w:pPr>
        <w:pStyle w:val="tPara"/>
      </w:pPr>
      <w:r w:rsidRPr="0063657F">
        <w:tab/>
      </w:r>
      <w:r w:rsidR="00F773E9">
        <w:t>(b)</w:t>
      </w:r>
      <w:r w:rsidRPr="0063657F">
        <w:tab/>
      </w:r>
      <w:proofErr w:type="gramStart"/>
      <w:r w:rsidRPr="0063657F">
        <w:t>publish</w:t>
      </w:r>
      <w:proofErr w:type="gramEnd"/>
      <w:r w:rsidRPr="0063657F">
        <w:t xml:space="preserve"> the d</w:t>
      </w:r>
      <w:r w:rsidR="00A27AC6">
        <w:t>etails of the revocation of the</w:t>
      </w:r>
      <w:r w:rsidR="000D22A0" w:rsidRPr="0063657F">
        <w:t xml:space="preserve"> multi-year period </w:t>
      </w:r>
      <w:r w:rsidRPr="0063657F">
        <w:t>declaration on its website.</w:t>
      </w:r>
    </w:p>
    <w:p w:rsidR="003D2506" w:rsidRPr="0063657F" w:rsidRDefault="003D2506" w:rsidP="000D22A0">
      <w:pPr>
        <w:pStyle w:val="tMain"/>
      </w:pPr>
      <w:r w:rsidRPr="0063657F">
        <w:tab/>
      </w:r>
      <w:r w:rsidR="00F773E9">
        <w:t>(5)</w:t>
      </w:r>
      <w:r w:rsidRPr="0063657F">
        <w:tab/>
        <w:t xml:space="preserve">To avoid doubt, a decision to revoke </w:t>
      </w:r>
      <w:r w:rsidR="00A27AC6">
        <w:t xml:space="preserve">a </w:t>
      </w:r>
      <w:r w:rsidR="000D22A0" w:rsidRPr="0063657F">
        <w:t>multi-year period</w:t>
      </w:r>
      <w:r w:rsidRPr="0063657F">
        <w:t xml:space="preserve"> declaration under this section is a reviewable decision under section 56 of the Act.</w:t>
      </w:r>
    </w:p>
    <w:p w:rsidR="00F10732" w:rsidRPr="0063657F" w:rsidRDefault="00F773E9" w:rsidP="00F10732">
      <w:pPr>
        <w:pStyle w:val="h3Div"/>
      </w:pPr>
      <w:bookmarkStart w:id="101" w:name="_Toc431897025"/>
      <w:r>
        <w:lastRenderedPageBreak/>
        <w:t>Division 3</w:t>
      </w:r>
      <w:r w:rsidR="00F10732" w:rsidRPr="0063657F">
        <w:t>—Notification and publication requirements</w:t>
      </w:r>
      <w:bookmarkEnd w:id="101"/>
    </w:p>
    <w:p w:rsidR="00F10732" w:rsidRPr="0063657F" w:rsidRDefault="00F773E9" w:rsidP="00F10732">
      <w:pPr>
        <w:pStyle w:val="h5Section"/>
      </w:pPr>
      <w:bookmarkStart w:id="102" w:name="_Toc431897026"/>
      <w:r>
        <w:t>70</w:t>
      </w:r>
      <w:r w:rsidR="00F10732" w:rsidRPr="0063657F">
        <w:t xml:space="preserve"> Operation of this Division</w:t>
      </w:r>
      <w:bookmarkEnd w:id="102"/>
      <w:r w:rsidR="00F10732" w:rsidRPr="0063657F">
        <w:t xml:space="preserve"> </w:t>
      </w:r>
    </w:p>
    <w:p w:rsidR="00F10732" w:rsidRPr="0063657F" w:rsidRDefault="00F10732" w:rsidP="00F10732">
      <w:pPr>
        <w:pStyle w:val="tMain"/>
        <w:rPr>
          <w:rStyle w:val="CharDivText"/>
        </w:rPr>
      </w:pPr>
      <w:r w:rsidRPr="0063657F">
        <w:tab/>
      </w:r>
      <w:r w:rsidRPr="0063657F">
        <w:tab/>
        <w:t xml:space="preserve">For subsection </w:t>
      </w:r>
      <w:proofErr w:type="gramStart"/>
      <w:r w:rsidRPr="0063657F">
        <w:t>22XP(</w:t>
      </w:r>
      <w:proofErr w:type="gramEnd"/>
      <w:r w:rsidRPr="0063657F">
        <w:t xml:space="preserve">2) and paragraph 22XS(1)(b) of the Act, this Division provides for the issue of advisory notices and other information publication requirements. </w:t>
      </w:r>
      <w:r w:rsidRPr="0063657F">
        <w:rPr>
          <w:rStyle w:val="CharDivNo"/>
        </w:rPr>
        <w:t xml:space="preserve"> </w:t>
      </w:r>
      <w:r w:rsidRPr="0063657F">
        <w:rPr>
          <w:rStyle w:val="CharDivText"/>
        </w:rPr>
        <w:t xml:space="preserve"> </w:t>
      </w:r>
    </w:p>
    <w:p w:rsidR="00F10732" w:rsidRPr="0063657F" w:rsidRDefault="00F773E9" w:rsidP="00F10732">
      <w:pPr>
        <w:pStyle w:val="h5Section"/>
      </w:pPr>
      <w:bookmarkStart w:id="103" w:name="_Toc431897027"/>
      <w:r>
        <w:t>71</w:t>
      </w:r>
      <w:r w:rsidR="00F10732" w:rsidRPr="0063657F">
        <w:t xml:space="preserve"> Advisory notices</w:t>
      </w:r>
      <w:bookmarkEnd w:id="103"/>
    </w:p>
    <w:p w:rsidR="00F10732" w:rsidRPr="0063657F" w:rsidRDefault="00F10732" w:rsidP="00F10732">
      <w:pPr>
        <w:pStyle w:val="tMain"/>
      </w:pPr>
      <w:r w:rsidRPr="0063657F">
        <w:tab/>
      </w:r>
      <w:r w:rsidR="00F773E9">
        <w:t>(1)</w:t>
      </w:r>
      <w:r w:rsidRPr="0063657F">
        <w:tab/>
        <w:t xml:space="preserve">The Regulator must notify </w:t>
      </w:r>
      <w:r w:rsidR="00430FC3" w:rsidRPr="0063657F">
        <w:t>the</w:t>
      </w:r>
      <w:r w:rsidRPr="0063657F">
        <w:t xml:space="preserve"> responsible emitter </w:t>
      </w:r>
      <w:r w:rsidR="00430FC3" w:rsidRPr="0063657F">
        <w:t xml:space="preserve">for a facility </w:t>
      </w:r>
      <w:r w:rsidRPr="0063657F">
        <w:t>as soon as practicable after:</w:t>
      </w:r>
    </w:p>
    <w:p w:rsidR="00F10732" w:rsidRPr="0063657F" w:rsidRDefault="00F10732" w:rsidP="00F10732">
      <w:pPr>
        <w:pStyle w:val="tPara"/>
      </w:pPr>
      <w:r w:rsidRPr="0063657F">
        <w:tab/>
      </w:r>
      <w:r w:rsidR="00F773E9">
        <w:t>(a)</w:t>
      </w:r>
      <w:r w:rsidRPr="0063657F">
        <w:tab/>
      </w:r>
      <w:proofErr w:type="gramStart"/>
      <w:r w:rsidRPr="0063657F">
        <w:t>the</w:t>
      </w:r>
      <w:proofErr w:type="gramEnd"/>
      <w:r w:rsidRPr="0063657F">
        <w:t xml:space="preserve"> net emissions number for </w:t>
      </w:r>
      <w:r w:rsidR="00430FC3" w:rsidRPr="0063657F">
        <w:t>the</w:t>
      </w:r>
      <w:r w:rsidRPr="0063657F">
        <w:t xml:space="preserve"> facility is increased under subsection 22XK(4)</w:t>
      </w:r>
      <w:r w:rsidR="00E7179A">
        <w:t xml:space="preserve"> of the Act</w:t>
      </w:r>
      <w:r w:rsidRPr="0063657F">
        <w:t>;</w:t>
      </w:r>
      <w:r w:rsidR="00064B76" w:rsidRPr="0063657F">
        <w:t xml:space="preserve"> or</w:t>
      </w:r>
    </w:p>
    <w:p w:rsidR="00F10732" w:rsidRPr="0063657F" w:rsidRDefault="00F10732" w:rsidP="00F10732">
      <w:pPr>
        <w:pStyle w:val="tPara"/>
      </w:pPr>
      <w:r w:rsidRPr="0063657F">
        <w:tab/>
      </w:r>
      <w:r w:rsidR="00F773E9">
        <w:t>(b)</w:t>
      </w:r>
      <w:r w:rsidRPr="0063657F">
        <w:tab/>
      </w:r>
      <w:proofErr w:type="gramStart"/>
      <w:r w:rsidRPr="0063657F">
        <w:t>deemed</w:t>
      </w:r>
      <w:proofErr w:type="gramEnd"/>
      <w:r w:rsidRPr="0063657F">
        <w:t xml:space="preserve"> surrender occurs</w:t>
      </w:r>
      <w:r w:rsidR="00430FC3" w:rsidRPr="0063657F">
        <w:t xml:space="preserve"> under subsection 22XN(6)</w:t>
      </w:r>
      <w:r w:rsidR="00E7179A">
        <w:t xml:space="preserve"> of the Act</w:t>
      </w:r>
      <w:r w:rsidRPr="0063657F">
        <w:t xml:space="preserve"> in relation to </w:t>
      </w:r>
      <w:r w:rsidR="00430FC3" w:rsidRPr="0063657F">
        <w:t>the</w:t>
      </w:r>
      <w:r w:rsidRPr="0063657F">
        <w:t xml:space="preserve"> facility</w:t>
      </w:r>
      <w:r w:rsidR="00430FC3" w:rsidRPr="0063657F">
        <w:t>.</w:t>
      </w:r>
    </w:p>
    <w:p w:rsidR="00F10732" w:rsidRPr="0063657F" w:rsidRDefault="00F10732" w:rsidP="00F10732">
      <w:pPr>
        <w:pStyle w:val="tMain"/>
      </w:pPr>
      <w:r w:rsidRPr="0063657F">
        <w:tab/>
      </w:r>
      <w:r w:rsidR="00F773E9">
        <w:t>(2)</w:t>
      </w:r>
      <w:r w:rsidRPr="0063657F">
        <w:tab/>
        <w:t>A notification under paragraph (1</w:t>
      </w:r>
      <w:proofErr w:type="gramStart"/>
      <w:r w:rsidRPr="0063657F">
        <w:t>)(</w:t>
      </w:r>
      <w:proofErr w:type="gramEnd"/>
      <w:r w:rsidRPr="0063657F">
        <w:t>a) must include the unique identification numbers for each Australian carbon credit unit that has resulted in the increase in the net emissions number for the facility.</w:t>
      </w:r>
    </w:p>
    <w:p w:rsidR="00F10732" w:rsidRPr="0063657F" w:rsidRDefault="00F10732" w:rsidP="00F10732">
      <w:pPr>
        <w:pStyle w:val="tMain"/>
      </w:pPr>
      <w:r w:rsidRPr="0063657F">
        <w:tab/>
      </w:r>
      <w:r w:rsidR="00F773E9">
        <w:t>(3)</w:t>
      </w:r>
      <w:r w:rsidRPr="0063657F">
        <w:tab/>
        <w:t xml:space="preserve">The Regulator may notify </w:t>
      </w:r>
      <w:r w:rsidR="00430FC3" w:rsidRPr="0063657F">
        <w:t>the</w:t>
      </w:r>
      <w:r w:rsidRPr="0063657F">
        <w:t xml:space="preserve"> responsible emitter</w:t>
      </w:r>
      <w:r w:rsidR="00430FC3" w:rsidRPr="0063657F">
        <w:t xml:space="preserve"> for a facility</w:t>
      </w:r>
      <w:r w:rsidRPr="0063657F">
        <w:t xml:space="preserve"> of any of the following:</w:t>
      </w:r>
    </w:p>
    <w:p w:rsidR="00F10732" w:rsidRPr="0063657F" w:rsidRDefault="00F10732" w:rsidP="00430FC3">
      <w:pPr>
        <w:pStyle w:val="tPara"/>
      </w:pPr>
      <w:r w:rsidRPr="0063657F">
        <w:tab/>
      </w:r>
      <w:r w:rsidR="00F773E9">
        <w:t>(a)</w:t>
      </w:r>
      <w:r w:rsidRPr="0063657F">
        <w:tab/>
      </w:r>
      <w:proofErr w:type="gramStart"/>
      <w:r w:rsidRPr="0063657F">
        <w:t>the</w:t>
      </w:r>
      <w:proofErr w:type="gramEnd"/>
      <w:r w:rsidRPr="0063657F">
        <w:t xml:space="preserve"> number that the Regulator considers is the net emissions number of </w:t>
      </w:r>
      <w:r w:rsidR="00430FC3" w:rsidRPr="0063657F">
        <w:t>the facility</w:t>
      </w:r>
      <w:r w:rsidRPr="0063657F">
        <w:t>;</w:t>
      </w:r>
    </w:p>
    <w:p w:rsidR="00F10732" w:rsidRPr="0063657F" w:rsidRDefault="00430FC3" w:rsidP="00430FC3">
      <w:pPr>
        <w:pStyle w:val="tPara"/>
      </w:pPr>
      <w:r w:rsidRPr="0063657F">
        <w:tab/>
      </w:r>
      <w:r w:rsidR="00F773E9">
        <w:t>(b)</w:t>
      </w:r>
      <w:r w:rsidRPr="0063657F">
        <w:tab/>
      </w:r>
      <w:proofErr w:type="gramStart"/>
      <w:r w:rsidR="00F10732" w:rsidRPr="0063657F">
        <w:t>that</w:t>
      </w:r>
      <w:proofErr w:type="gramEnd"/>
      <w:r w:rsidR="00F10732" w:rsidRPr="0063657F">
        <w:t xml:space="preserve"> an offsets report has been submitted which attributes abatement to </w:t>
      </w:r>
      <w:r w:rsidRPr="0063657F">
        <w:t>the facility</w:t>
      </w:r>
      <w:r w:rsidR="00F10732" w:rsidRPr="0063657F">
        <w:t>;</w:t>
      </w:r>
    </w:p>
    <w:p w:rsidR="00F10732" w:rsidRPr="0063657F" w:rsidRDefault="00F10732" w:rsidP="00F10732">
      <w:pPr>
        <w:pStyle w:val="tPara"/>
      </w:pPr>
      <w:r w:rsidRPr="0063657F">
        <w:tab/>
      </w:r>
      <w:r w:rsidR="00F773E9">
        <w:t>(c)</w:t>
      </w:r>
      <w:r w:rsidRPr="0063657F">
        <w:tab/>
      </w:r>
      <w:proofErr w:type="gramStart"/>
      <w:r w:rsidRPr="0063657F">
        <w:t>that</w:t>
      </w:r>
      <w:proofErr w:type="gramEnd"/>
      <w:r w:rsidRPr="0063657F">
        <w:t xml:space="preserve"> a baseline emissions number applies to </w:t>
      </w:r>
      <w:r w:rsidR="00430FC3" w:rsidRPr="0063657F">
        <w:t>the</w:t>
      </w:r>
      <w:r w:rsidRPr="0063657F">
        <w:t xml:space="preserve"> facility:</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because</w:t>
      </w:r>
      <w:proofErr w:type="gramEnd"/>
      <w:r w:rsidRPr="0063657F">
        <w:t xml:space="preserve"> of paragraph 10(b); or</w:t>
      </w:r>
    </w:p>
    <w:p w:rsidR="00F10732" w:rsidRPr="0063657F" w:rsidRDefault="00F10732" w:rsidP="00F10732">
      <w:pPr>
        <w:pStyle w:val="tSubpara"/>
      </w:pPr>
      <w:r w:rsidRPr="0063657F">
        <w:tab/>
      </w:r>
      <w:r w:rsidR="00F773E9">
        <w:t>(ii)</w:t>
      </w:r>
      <w:r w:rsidRPr="0063657F">
        <w:tab/>
      </w:r>
      <w:proofErr w:type="gramStart"/>
      <w:r w:rsidRPr="0063657F">
        <w:t>because</w:t>
      </w:r>
      <w:proofErr w:type="gramEnd"/>
      <w:r w:rsidRPr="0063657F">
        <w:t xml:space="preserve"> of a landfill baseline emissions formula in a landfill-benchmark baseline determination;</w:t>
      </w:r>
    </w:p>
    <w:p w:rsidR="00F10732" w:rsidRPr="0063657F" w:rsidRDefault="00F10732" w:rsidP="00F10732">
      <w:pPr>
        <w:pStyle w:val="tPara"/>
      </w:pPr>
      <w:r w:rsidRPr="0063657F">
        <w:tab/>
      </w:r>
      <w:r w:rsidR="00F773E9">
        <w:t>(d)</w:t>
      </w:r>
      <w:r w:rsidRPr="0063657F">
        <w:tab/>
      </w:r>
      <w:proofErr w:type="gramStart"/>
      <w:r w:rsidRPr="0063657F">
        <w:t>any</w:t>
      </w:r>
      <w:proofErr w:type="gramEnd"/>
      <w:r w:rsidRPr="0063657F">
        <w:t xml:space="preserve"> other matters relating to the safeguard provisions that the Regulator considers appropriate to provide notification.</w:t>
      </w:r>
    </w:p>
    <w:p w:rsidR="00D97E20" w:rsidRPr="0063657F" w:rsidRDefault="00D97E20" w:rsidP="00D97E20">
      <w:pPr>
        <w:pStyle w:val="tMain"/>
      </w:pPr>
      <w:r w:rsidRPr="0063657F">
        <w:tab/>
      </w:r>
      <w:r w:rsidR="00F773E9">
        <w:t>(4)</w:t>
      </w:r>
      <w:r w:rsidRPr="0063657F">
        <w:tab/>
        <w:t>At the request of the responsible emitter for a facility, the Regulator may provide the responsible emitter with any reports relating to the facility under the Act relevant to the making or variation of a baseline determination under this instrument.</w:t>
      </w:r>
    </w:p>
    <w:p w:rsidR="00F10732" w:rsidRPr="0063657F" w:rsidRDefault="00F773E9" w:rsidP="00F10732">
      <w:pPr>
        <w:pStyle w:val="h5Section"/>
      </w:pPr>
      <w:bookmarkStart w:id="104" w:name="_Toc431897028"/>
      <w:r>
        <w:t>72</w:t>
      </w:r>
      <w:r w:rsidR="00F10732" w:rsidRPr="0063657F">
        <w:t xml:space="preserve"> </w:t>
      </w:r>
      <w:proofErr w:type="gramStart"/>
      <w:r w:rsidR="00F10732" w:rsidRPr="0063657F">
        <w:t>Publication</w:t>
      </w:r>
      <w:bookmarkEnd w:id="104"/>
      <w:proofErr w:type="gramEnd"/>
    </w:p>
    <w:p w:rsidR="00F10732" w:rsidRPr="0063657F" w:rsidRDefault="00F10732" w:rsidP="00F10732">
      <w:pPr>
        <w:pStyle w:val="tMain"/>
      </w:pPr>
      <w:r w:rsidRPr="0063657F">
        <w:tab/>
      </w:r>
      <w:r w:rsidR="00F773E9">
        <w:t>(1)</w:t>
      </w:r>
      <w:r w:rsidRPr="0063657F">
        <w:tab/>
        <w:t xml:space="preserve">The Regulator must publish </w:t>
      </w:r>
      <w:r w:rsidR="00C54CA1" w:rsidRPr="0063657F">
        <w:t xml:space="preserve">on its website </w:t>
      </w:r>
      <w:r w:rsidRPr="0063657F">
        <w:t>and keep up</w:t>
      </w:r>
      <w:r w:rsidR="00C54CA1" w:rsidRPr="0063657F">
        <w:t>-</w:t>
      </w:r>
      <w:r w:rsidRPr="0063657F">
        <w:t>to</w:t>
      </w:r>
      <w:r w:rsidR="00C54CA1" w:rsidRPr="0063657F">
        <w:t>-</w:t>
      </w:r>
      <w:r w:rsidRPr="0063657F">
        <w:t>date the following information relating to the safeguard mechanism:</w:t>
      </w:r>
    </w:p>
    <w:p w:rsidR="00F10732" w:rsidRPr="0063657F" w:rsidRDefault="00F10732" w:rsidP="00F10732">
      <w:pPr>
        <w:pStyle w:val="tPara"/>
      </w:pPr>
      <w:r w:rsidRPr="0063657F">
        <w:tab/>
      </w:r>
      <w:r w:rsidR="00F773E9">
        <w:t>(a)</w:t>
      </w:r>
      <w:r w:rsidRPr="0063657F">
        <w:tab/>
      </w:r>
      <w:proofErr w:type="gramStart"/>
      <w:r w:rsidRPr="0063657F">
        <w:t>in</w:t>
      </w:r>
      <w:proofErr w:type="gramEnd"/>
      <w:r w:rsidRPr="0063657F">
        <w:t xml:space="preserve"> respect of each facility </w:t>
      </w:r>
      <w:r w:rsidR="00FD29D0" w:rsidRPr="0063657F">
        <w:t xml:space="preserve">that </w:t>
      </w:r>
      <w:r w:rsidRPr="0063657F">
        <w:t xml:space="preserve">is a designated large facility: </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the</w:t>
      </w:r>
      <w:proofErr w:type="gramEnd"/>
      <w:r w:rsidRPr="0063657F">
        <w:t xml:space="preserve"> responsible emitter for the facility;</w:t>
      </w:r>
      <w:r w:rsidR="00C54CA1" w:rsidRPr="0063657F">
        <w:t xml:space="preserve"> and</w:t>
      </w:r>
    </w:p>
    <w:p w:rsidR="00946290" w:rsidRPr="0063657F" w:rsidRDefault="00946290" w:rsidP="00946290">
      <w:pPr>
        <w:pStyle w:val="tSubpara"/>
      </w:pPr>
      <w:r w:rsidRPr="0063657F">
        <w:tab/>
      </w:r>
      <w:r w:rsidR="00F773E9">
        <w:t>(ii)</w:t>
      </w:r>
      <w:r w:rsidRPr="0063657F">
        <w:tab/>
      </w:r>
      <w:proofErr w:type="gramStart"/>
      <w:r w:rsidRPr="0063657F">
        <w:t>whether</w:t>
      </w:r>
      <w:proofErr w:type="gramEnd"/>
      <w:r w:rsidRPr="0063657F">
        <w:t xml:space="preserve"> </w:t>
      </w:r>
      <w:r w:rsidR="003F4530" w:rsidRPr="0063657F">
        <w:t xml:space="preserve">or not </w:t>
      </w:r>
      <w:r w:rsidRPr="0063657F">
        <w:t>the facility is a grid-connected electricity generator;</w:t>
      </w:r>
      <w:r w:rsidR="00C54CA1" w:rsidRPr="0063657F">
        <w:t xml:space="preserve"> and</w:t>
      </w:r>
    </w:p>
    <w:p w:rsidR="00F10732" w:rsidRPr="0063657F" w:rsidRDefault="00F10732" w:rsidP="00F10732">
      <w:pPr>
        <w:pStyle w:val="tSubpara"/>
      </w:pPr>
      <w:r w:rsidRPr="0063657F">
        <w:tab/>
      </w:r>
      <w:r w:rsidR="00F773E9">
        <w:t>(iii)</w:t>
      </w:r>
      <w:r w:rsidRPr="0063657F">
        <w:tab/>
      </w:r>
      <w:proofErr w:type="gramStart"/>
      <w:r w:rsidRPr="0063657F">
        <w:t>the</w:t>
      </w:r>
      <w:proofErr w:type="gramEnd"/>
      <w:r w:rsidRPr="0063657F">
        <w:t xml:space="preserve"> current baseline emissions number for the facility;</w:t>
      </w:r>
      <w:r w:rsidR="00C54CA1" w:rsidRPr="0063657F">
        <w:t xml:space="preserve"> and</w:t>
      </w:r>
    </w:p>
    <w:p w:rsidR="00F10732" w:rsidRPr="0063657F" w:rsidRDefault="00F10732" w:rsidP="00F10732">
      <w:pPr>
        <w:pStyle w:val="tSubpara"/>
      </w:pPr>
      <w:r w:rsidRPr="0063657F">
        <w:tab/>
      </w:r>
      <w:r w:rsidR="00F773E9">
        <w:t>(iv)</w:t>
      </w:r>
      <w:r w:rsidRPr="0063657F">
        <w:tab/>
      </w:r>
      <w:proofErr w:type="gramStart"/>
      <w:r w:rsidRPr="0063657F">
        <w:t>the</w:t>
      </w:r>
      <w:proofErr w:type="gramEnd"/>
      <w:r w:rsidRPr="0063657F">
        <w:t xml:space="preserve"> baseline emissions number for each financial year that the facility is a designated large facility;</w:t>
      </w:r>
      <w:r w:rsidR="00C54CA1" w:rsidRPr="0063657F">
        <w:t xml:space="preserve"> and</w:t>
      </w:r>
    </w:p>
    <w:p w:rsidR="00F10732" w:rsidRPr="0063657F" w:rsidRDefault="00F10732" w:rsidP="00F10732">
      <w:pPr>
        <w:pStyle w:val="tSubpara"/>
      </w:pPr>
      <w:r w:rsidRPr="0063657F">
        <w:tab/>
      </w:r>
      <w:r w:rsidR="00F773E9">
        <w:t>(v)</w:t>
      </w:r>
      <w:r w:rsidRPr="0063657F">
        <w:tab/>
      </w:r>
      <w:proofErr w:type="gramStart"/>
      <w:r w:rsidRPr="0063657F">
        <w:t>the</w:t>
      </w:r>
      <w:proofErr w:type="gramEnd"/>
      <w:r w:rsidRPr="0063657F">
        <w:t xml:space="preserve"> covered emissions of the facility for each financial year that the facility is a designated large facility;</w:t>
      </w:r>
      <w:r w:rsidR="00FD29D0" w:rsidRPr="0063657F">
        <w:t xml:space="preserve"> </w:t>
      </w:r>
      <w:r w:rsidR="00C54CA1" w:rsidRPr="0063657F">
        <w:t>and</w:t>
      </w:r>
    </w:p>
    <w:p w:rsidR="003F4530" w:rsidRPr="0063657F" w:rsidRDefault="003F4530" w:rsidP="003F4530">
      <w:pPr>
        <w:pStyle w:val="tSubpara"/>
      </w:pPr>
      <w:r w:rsidRPr="0063657F">
        <w:tab/>
      </w:r>
      <w:r w:rsidR="00F773E9">
        <w:t>(vi)</w:t>
      </w:r>
      <w:r w:rsidRPr="0063657F">
        <w:tab/>
        <w:t xml:space="preserve">if the facility is a grid-connected electricity generator—the covered emissions for each financial year after 1 July 2016 </w:t>
      </w:r>
      <w:r w:rsidR="00B656A4" w:rsidRPr="0063657F">
        <w:t>calculated on the basis</w:t>
      </w:r>
      <w:r w:rsidRPr="0063657F">
        <w:t xml:space="preserve"> that </w:t>
      </w:r>
      <w:r w:rsidR="00B656A4" w:rsidRPr="0063657F">
        <w:t>no financial year is a sectoral-baseline financial year;</w:t>
      </w:r>
      <w:r w:rsidR="00C54CA1" w:rsidRPr="0063657F">
        <w:t xml:space="preserve"> and</w:t>
      </w:r>
    </w:p>
    <w:p w:rsidR="00F10732" w:rsidRPr="0063657F" w:rsidRDefault="00F10732" w:rsidP="00F10732">
      <w:pPr>
        <w:pStyle w:val="tSubpara"/>
      </w:pPr>
      <w:r w:rsidRPr="0063657F">
        <w:tab/>
      </w:r>
      <w:r w:rsidR="00F773E9">
        <w:t>(vii)</w:t>
      </w:r>
      <w:r w:rsidRPr="0063657F">
        <w:tab/>
      </w:r>
      <w:proofErr w:type="gramStart"/>
      <w:r w:rsidRPr="0063657F">
        <w:t>the</w:t>
      </w:r>
      <w:proofErr w:type="gramEnd"/>
      <w:r w:rsidRPr="0063657F">
        <w:t xml:space="preserve"> net emissions number for each </w:t>
      </w:r>
      <w:r w:rsidR="00DF5867" w:rsidRPr="0063657F">
        <w:t xml:space="preserve">monitoring period </w:t>
      </w:r>
      <w:r w:rsidRPr="0063657F">
        <w:t xml:space="preserve">that </w:t>
      </w:r>
      <w:r w:rsidR="00DF5867" w:rsidRPr="0063657F">
        <w:t xml:space="preserve">applies to </w:t>
      </w:r>
      <w:r w:rsidRPr="0063657F">
        <w:t>the facility;</w:t>
      </w:r>
      <w:r w:rsidR="00C54CA1" w:rsidRPr="0063657F">
        <w:t xml:space="preserve"> and</w:t>
      </w:r>
    </w:p>
    <w:p w:rsidR="000C66B5" w:rsidRPr="0063657F" w:rsidRDefault="00F10732" w:rsidP="000C66B5">
      <w:pPr>
        <w:pStyle w:val="tSubpara"/>
      </w:pPr>
      <w:r w:rsidRPr="0063657F">
        <w:tab/>
      </w:r>
      <w:r w:rsidR="00F773E9">
        <w:t>(viii)</w:t>
      </w:r>
      <w:r w:rsidRPr="0063657F">
        <w:tab/>
      </w:r>
      <w:proofErr w:type="gramStart"/>
      <w:r w:rsidRPr="0063657F">
        <w:t>the</w:t>
      </w:r>
      <w:proofErr w:type="gramEnd"/>
      <w:r w:rsidRPr="0063657F">
        <w:t xml:space="preserve"> </w:t>
      </w:r>
      <w:r w:rsidR="00203E1A" w:rsidRPr="0063657F">
        <w:t xml:space="preserve">number </w:t>
      </w:r>
      <w:r w:rsidRPr="0063657F">
        <w:t xml:space="preserve">of </w:t>
      </w:r>
      <w:r w:rsidR="00F55D75" w:rsidRPr="0063657F">
        <w:t>prescribed carbon units</w:t>
      </w:r>
      <w:r w:rsidRPr="0063657F">
        <w:t xml:space="preserve"> surrendered under section 22XN(1)</w:t>
      </w:r>
      <w:r w:rsidR="00E7179A">
        <w:t xml:space="preserve"> of the Act</w:t>
      </w:r>
      <w:r w:rsidRPr="0063657F">
        <w:t xml:space="preserve"> for each </w:t>
      </w:r>
      <w:r w:rsidR="00DF5867" w:rsidRPr="0063657F">
        <w:t>monitoring period that applies to the facility</w:t>
      </w:r>
      <w:r w:rsidRPr="0063657F">
        <w:t>;</w:t>
      </w:r>
      <w:r w:rsidR="00C54CA1" w:rsidRPr="0063657F">
        <w:t xml:space="preserve"> and</w:t>
      </w:r>
    </w:p>
    <w:p w:rsidR="00F10732" w:rsidRPr="0063657F" w:rsidRDefault="00F10732" w:rsidP="00F10732">
      <w:pPr>
        <w:pStyle w:val="tSubpara"/>
      </w:pPr>
      <w:r w:rsidRPr="0063657F">
        <w:lastRenderedPageBreak/>
        <w:tab/>
      </w:r>
      <w:r w:rsidR="00F773E9">
        <w:t>(ix)</w:t>
      </w:r>
      <w:r w:rsidRPr="0063657F">
        <w:tab/>
      </w:r>
      <w:proofErr w:type="gramStart"/>
      <w:r w:rsidRPr="0063657F">
        <w:t>if</w:t>
      </w:r>
      <w:proofErr w:type="gramEnd"/>
      <w:r w:rsidRPr="0063657F">
        <w:t xml:space="preserve"> a </w:t>
      </w:r>
      <w:r w:rsidR="000C66B5" w:rsidRPr="0063657F">
        <w:t>multi-year</w:t>
      </w:r>
      <w:r w:rsidRPr="0063657F">
        <w:t xml:space="preserve"> period declaration applies to the facility—the start </w:t>
      </w:r>
      <w:r w:rsidR="00203E1A" w:rsidRPr="0063657F">
        <w:t xml:space="preserve">date </w:t>
      </w:r>
      <w:r w:rsidRPr="0063657F">
        <w:t xml:space="preserve">and end date of the </w:t>
      </w:r>
      <w:r w:rsidR="000C66B5" w:rsidRPr="0063657F">
        <w:t>declared multi-year</w:t>
      </w:r>
      <w:r w:rsidRPr="0063657F">
        <w:t xml:space="preserve"> period for the facility;</w:t>
      </w:r>
      <w:r w:rsidR="00C54CA1" w:rsidRPr="0063657F">
        <w:t xml:space="preserve"> and</w:t>
      </w:r>
    </w:p>
    <w:p w:rsidR="00F10732" w:rsidRPr="0063657F" w:rsidRDefault="00F10732" w:rsidP="00F10732">
      <w:pPr>
        <w:pStyle w:val="tSubpara"/>
      </w:pPr>
      <w:r w:rsidRPr="0063657F">
        <w:tab/>
      </w:r>
      <w:r w:rsidR="00F773E9">
        <w:t>(x)</w:t>
      </w:r>
      <w:r w:rsidRPr="0063657F">
        <w:tab/>
      </w:r>
      <w:proofErr w:type="gramStart"/>
      <w:r w:rsidRPr="0063657F">
        <w:t>the</w:t>
      </w:r>
      <w:proofErr w:type="gramEnd"/>
      <w:r w:rsidR="00203E1A" w:rsidRPr="0063657F">
        <w:t xml:space="preserve"> start date and end</w:t>
      </w:r>
      <w:r w:rsidRPr="0063657F">
        <w:t xml:space="preserve"> date of any monitoring period for which an exemption declaration has been m</w:t>
      </w:r>
      <w:r w:rsidR="00B656A4" w:rsidRPr="0063657F">
        <w:t>ade in relation to the facility;</w:t>
      </w:r>
    </w:p>
    <w:p w:rsidR="00F10732" w:rsidRPr="0063657F" w:rsidRDefault="00F10732" w:rsidP="00F10732">
      <w:pPr>
        <w:pStyle w:val="tPara"/>
      </w:pPr>
      <w:r w:rsidRPr="0063657F">
        <w:tab/>
      </w:r>
      <w:r w:rsidR="00F773E9">
        <w:t>(b)</w:t>
      </w:r>
      <w:r w:rsidRPr="0063657F">
        <w:tab/>
      </w:r>
      <w:proofErr w:type="gramStart"/>
      <w:r w:rsidRPr="0063657F">
        <w:t>in</w:t>
      </w:r>
      <w:proofErr w:type="gramEnd"/>
      <w:r w:rsidRPr="0063657F">
        <w:t xml:space="preserve"> respect of any excess emission</w:t>
      </w:r>
      <w:r w:rsidR="004A58CC" w:rsidRPr="0063657F">
        <w:t>s</w:t>
      </w:r>
      <w:r w:rsidRPr="0063657F">
        <w:t xml:space="preserve"> situations:</w:t>
      </w:r>
    </w:p>
    <w:p w:rsidR="00F10732" w:rsidRPr="0063657F" w:rsidRDefault="00F10732" w:rsidP="00F10732">
      <w:pPr>
        <w:pStyle w:val="tSubpara"/>
      </w:pPr>
      <w:r w:rsidRPr="0063657F">
        <w:tab/>
      </w:r>
      <w:r w:rsidR="00F773E9">
        <w:t>(</w:t>
      </w:r>
      <w:proofErr w:type="spellStart"/>
      <w:r w:rsidR="00F773E9">
        <w:t>i</w:t>
      </w:r>
      <w:proofErr w:type="spellEnd"/>
      <w:r w:rsidR="00F773E9">
        <w:t>)</w:t>
      </w:r>
      <w:r w:rsidRPr="0063657F">
        <w:tab/>
      </w:r>
      <w:proofErr w:type="gramStart"/>
      <w:r w:rsidRPr="0063657F">
        <w:t>the</w:t>
      </w:r>
      <w:proofErr w:type="gramEnd"/>
      <w:r w:rsidRPr="0063657F">
        <w:t xml:space="preserve"> responsible emitter for the excess emissions situation; and</w:t>
      </w:r>
    </w:p>
    <w:p w:rsidR="00F10732" w:rsidRPr="0063657F" w:rsidRDefault="00F10732" w:rsidP="00F10732">
      <w:pPr>
        <w:pStyle w:val="tSubpara"/>
      </w:pPr>
      <w:r w:rsidRPr="0063657F">
        <w:tab/>
      </w:r>
      <w:r w:rsidR="00F773E9">
        <w:t>(ii)</w:t>
      </w:r>
      <w:r w:rsidRPr="0063657F">
        <w:tab/>
      </w:r>
      <w:proofErr w:type="gramStart"/>
      <w:r w:rsidRPr="0063657F">
        <w:t>when</w:t>
      </w:r>
      <w:proofErr w:type="gramEnd"/>
      <w:r w:rsidRPr="0063657F">
        <w:t xml:space="preserve"> the excess emission</w:t>
      </w:r>
      <w:r w:rsidR="004A58CC" w:rsidRPr="0063657F">
        <w:t>s</w:t>
      </w:r>
      <w:r w:rsidRPr="0063657F">
        <w:t xml:space="preserve"> situation started; and</w:t>
      </w:r>
    </w:p>
    <w:p w:rsidR="00F10732" w:rsidRPr="0063657F" w:rsidRDefault="00F10732" w:rsidP="00F10732">
      <w:pPr>
        <w:pStyle w:val="tSubpara"/>
      </w:pPr>
      <w:r w:rsidRPr="0063657F">
        <w:tab/>
      </w:r>
      <w:r w:rsidR="00F773E9">
        <w:t>(iii)</w:t>
      </w:r>
      <w:r w:rsidRPr="0063657F">
        <w:tab/>
      </w:r>
      <w:proofErr w:type="gramStart"/>
      <w:r w:rsidRPr="0063657F">
        <w:t>if</w:t>
      </w:r>
      <w:proofErr w:type="gramEnd"/>
      <w:r w:rsidRPr="0063657F">
        <w:t xml:space="preserve"> the excess emissions situation no longer exists—the date when the e</w:t>
      </w:r>
      <w:r w:rsidR="00B656A4" w:rsidRPr="0063657F">
        <w:t>xcess emissions situation ended;</w:t>
      </w:r>
    </w:p>
    <w:p w:rsidR="00DF5867" w:rsidRPr="0063657F" w:rsidRDefault="00B656A4" w:rsidP="00DF5867">
      <w:pPr>
        <w:pStyle w:val="tPara"/>
      </w:pPr>
      <w:r w:rsidRPr="0063657F">
        <w:tab/>
      </w:r>
      <w:r w:rsidR="00F773E9">
        <w:t>(c)</w:t>
      </w:r>
      <w:r w:rsidRPr="0063657F">
        <w:tab/>
      </w:r>
      <w:proofErr w:type="gramStart"/>
      <w:r w:rsidRPr="0063657F">
        <w:t>the</w:t>
      </w:r>
      <w:proofErr w:type="gramEnd"/>
      <w:r w:rsidRPr="0063657F">
        <w:t xml:space="preserve"> covered emissions of each grid-connected electricity generator for each financial year after 1 July 2016 calculated on the basis that no financial year is a sectoral-baseline financial year.</w:t>
      </w:r>
    </w:p>
    <w:p w:rsidR="00D97E20" w:rsidRPr="0063657F" w:rsidRDefault="00D97E20" w:rsidP="00D97E20">
      <w:pPr>
        <w:pStyle w:val="nMain"/>
      </w:pPr>
      <w:r w:rsidRPr="0063657F">
        <w:tab/>
        <w:t>Note:</w:t>
      </w:r>
      <w:r w:rsidRPr="0063657F">
        <w:tab/>
        <w:t xml:space="preserve">The publication </w:t>
      </w:r>
      <w:r w:rsidR="00624515" w:rsidRPr="0063657F">
        <w:t>of certain types of information is</w:t>
      </w:r>
      <w:r w:rsidR="00751C13" w:rsidRPr="0063657F">
        <w:t xml:space="preserve"> subject to section 25 of the Act.</w:t>
      </w:r>
    </w:p>
    <w:p w:rsidR="008562C6" w:rsidRPr="0063657F" w:rsidRDefault="00DF5867" w:rsidP="008562C6">
      <w:pPr>
        <w:pStyle w:val="tMain"/>
      </w:pPr>
      <w:r w:rsidRPr="0063657F">
        <w:tab/>
      </w:r>
      <w:r w:rsidR="00F773E9">
        <w:t>(2)</w:t>
      </w:r>
      <w:r w:rsidRPr="0063657F">
        <w:tab/>
        <w:t>The information required to be published under paragraph (1</w:t>
      </w:r>
      <w:proofErr w:type="gramStart"/>
      <w:r w:rsidRPr="0063657F">
        <w:t>)(</w:t>
      </w:r>
      <w:proofErr w:type="gramEnd"/>
      <w:r w:rsidRPr="0063657F">
        <w:t xml:space="preserve">c) </w:t>
      </w:r>
      <w:r w:rsidR="003A5085" w:rsidRPr="0063657F">
        <w:t>and</w:t>
      </w:r>
      <w:r w:rsidRPr="0063657F">
        <w:t xml:space="preserve"> s</w:t>
      </w:r>
      <w:r w:rsidR="003A5085" w:rsidRPr="0063657F">
        <w:t>ubparagraphs (1)(a)(v) and (vi)</w:t>
      </w:r>
      <w:r w:rsidRPr="0063657F">
        <w:t xml:space="preserve"> need not be published until </w:t>
      </w:r>
      <w:r w:rsidR="008562C6" w:rsidRPr="0063657F">
        <w:t>information is published in respect of the relevant financial year under section 24 of the Act</w:t>
      </w:r>
      <w:r w:rsidRPr="0063657F">
        <w:t>.</w:t>
      </w:r>
    </w:p>
    <w:p w:rsidR="008562C6" w:rsidRPr="0063657F" w:rsidRDefault="008562C6" w:rsidP="008562C6">
      <w:pPr>
        <w:pStyle w:val="tMain"/>
      </w:pPr>
      <w:r w:rsidRPr="0063657F">
        <w:tab/>
      </w:r>
      <w:r w:rsidR="00F773E9">
        <w:t>(3)</w:t>
      </w:r>
      <w:r w:rsidRPr="0063657F">
        <w:tab/>
        <w:t>The information required to be published under subparagraph</w:t>
      </w:r>
      <w:r w:rsidR="003A5085" w:rsidRPr="0063657F">
        <w:t>s</w:t>
      </w:r>
      <w:r w:rsidRPr="0063657F">
        <w:t xml:space="preserve"> </w:t>
      </w:r>
      <w:r w:rsidR="003A5085" w:rsidRPr="0063657F">
        <w:t>(1</w:t>
      </w:r>
      <w:proofErr w:type="gramStart"/>
      <w:r w:rsidR="003A5085" w:rsidRPr="0063657F">
        <w:t>)(</w:t>
      </w:r>
      <w:proofErr w:type="gramEnd"/>
      <w:r w:rsidR="003A5085" w:rsidRPr="0063657F">
        <w:t>a)</w:t>
      </w:r>
      <w:r w:rsidRPr="0063657F">
        <w:t>(v</w:t>
      </w:r>
      <w:r w:rsidR="003A5085" w:rsidRPr="0063657F">
        <w:t>ii</w:t>
      </w:r>
      <w:r w:rsidRPr="0063657F">
        <w:t>)</w:t>
      </w:r>
      <w:r w:rsidR="00F55D75" w:rsidRPr="0063657F">
        <w:t xml:space="preserve"> and</w:t>
      </w:r>
      <w:r w:rsidRPr="0063657F">
        <w:t xml:space="preserve"> (viii)</w:t>
      </w:r>
      <w:r w:rsidR="005F7DD7" w:rsidRPr="0063657F">
        <w:t xml:space="preserve"> </w:t>
      </w:r>
      <w:r w:rsidRPr="0063657F">
        <w:t>need not be published until after the first 1 March following the end of the relevant monitoring period.</w:t>
      </w:r>
    </w:p>
    <w:p w:rsidR="008562C6" w:rsidRPr="0063657F" w:rsidRDefault="008562C6" w:rsidP="00DF5867">
      <w:pPr>
        <w:pStyle w:val="tMain"/>
      </w:pPr>
    </w:p>
    <w:p w:rsidR="00B656A4" w:rsidRPr="0063657F" w:rsidRDefault="00B656A4" w:rsidP="00F10732">
      <w:pPr>
        <w:pStyle w:val="tSubpara"/>
      </w:pPr>
    </w:p>
    <w:p w:rsidR="00203E1A" w:rsidRPr="0063657F" w:rsidRDefault="00203E1A">
      <w:pPr>
        <w:spacing w:line="240" w:lineRule="auto"/>
        <w:rPr>
          <w:rFonts w:eastAsia="Times New Roman"/>
          <w:b/>
          <w:kern w:val="28"/>
          <w:sz w:val="32"/>
          <w:lang w:eastAsia="en-AU"/>
        </w:rPr>
      </w:pPr>
      <w:r w:rsidRPr="0063657F">
        <w:br w:type="page"/>
      </w:r>
    </w:p>
    <w:p w:rsidR="00F10732" w:rsidRPr="0063657F" w:rsidRDefault="00F773E9" w:rsidP="00F10732">
      <w:pPr>
        <w:pStyle w:val="h2Part"/>
      </w:pPr>
      <w:bookmarkStart w:id="105" w:name="_Toc431897029"/>
      <w:r>
        <w:lastRenderedPageBreak/>
        <w:t>Part 5</w:t>
      </w:r>
      <w:r w:rsidR="00F10732" w:rsidRPr="0063657F">
        <w:t xml:space="preserve">—Registration, </w:t>
      </w:r>
      <w:r w:rsidR="00630B9E" w:rsidRPr="0063657F">
        <w:t>r</w:t>
      </w:r>
      <w:r w:rsidR="00F10732" w:rsidRPr="0063657F">
        <w:t xml:space="preserve">eporting and </w:t>
      </w:r>
      <w:r w:rsidR="00630B9E" w:rsidRPr="0063657F">
        <w:t>r</w:t>
      </w:r>
      <w:r w:rsidR="00F10732" w:rsidRPr="0063657F">
        <w:t>ecord</w:t>
      </w:r>
      <w:r w:rsidR="00630B9E" w:rsidRPr="0063657F">
        <w:t>-</w:t>
      </w:r>
      <w:r w:rsidR="00F10732" w:rsidRPr="0063657F">
        <w:t>keeping</w:t>
      </w:r>
      <w:bookmarkEnd w:id="105"/>
    </w:p>
    <w:p w:rsidR="00F10732" w:rsidRPr="0063657F" w:rsidRDefault="00F773E9" w:rsidP="00F10732">
      <w:pPr>
        <w:pStyle w:val="h3Div"/>
      </w:pPr>
      <w:bookmarkStart w:id="106" w:name="_Toc431897030"/>
      <w:r>
        <w:t>Division 1</w:t>
      </w:r>
      <w:r w:rsidR="00F10732" w:rsidRPr="0063657F">
        <w:t>—Registration</w:t>
      </w:r>
      <w:bookmarkEnd w:id="106"/>
    </w:p>
    <w:p w:rsidR="00F10732" w:rsidRPr="0063657F" w:rsidRDefault="00F773E9" w:rsidP="00F10732">
      <w:pPr>
        <w:pStyle w:val="h5Section"/>
      </w:pPr>
      <w:bookmarkStart w:id="107" w:name="_Toc431897031"/>
      <w:r>
        <w:t>73</w:t>
      </w:r>
      <w:r w:rsidR="00F10732" w:rsidRPr="0063657F">
        <w:t xml:space="preserve"> Operation of this Division</w:t>
      </w:r>
      <w:bookmarkEnd w:id="107"/>
      <w:r w:rsidR="00F10732" w:rsidRPr="0063657F">
        <w:t xml:space="preserve"> </w:t>
      </w:r>
    </w:p>
    <w:p w:rsidR="00F10732" w:rsidRPr="0063657F" w:rsidRDefault="00F10732" w:rsidP="00F10732">
      <w:pPr>
        <w:pStyle w:val="tMain"/>
        <w:rPr>
          <w:rStyle w:val="CharDivText"/>
        </w:rPr>
      </w:pPr>
      <w:r w:rsidRPr="0063657F">
        <w:tab/>
      </w:r>
      <w:r w:rsidRPr="0063657F">
        <w:tab/>
        <w:t xml:space="preserve">For paragraph </w:t>
      </w:r>
      <w:proofErr w:type="gramStart"/>
      <w:r w:rsidRPr="0063657F">
        <w:t>15B(</w:t>
      </w:r>
      <w:proofErr w:type="gramEnd"/>
      <w:r w:rsidRPr="0063657F">
        <w:t>4)(c) of the Act, this Division provides for information to accompan</w:t>
      </w:r>
      <w:r w:rsidR="004E76AE" w:rsidRPr="0063657F">
        <w:t>y an application to register</w:t>
      </w:r>
      <w:r w:rsidRPr="0063657F">
        <w:t xml:space="preserve"> under section 15B of the Act. </w:t>
      </w:r>
      <w:r w:rsidRPr="0063657F">
        <w:rPr>
          <w:rStyle w:val="CharDivNo"/>
        </w:rPr>
        <w:t xml:space="preserve"> </w:t>
      </w:r>
      <w:r w:rsidRPr="0063657F">
        <w:rPr>
          <w:rStyle w:val="CharDivText"/>
        </w:rPr>
        <w:t xml:space="preserve"> </w:t>
      </w:r>
    </w:p>
    <w:p w:rsidR="00F10732" w:rsidRPr="0063657F" w:rsidRDefault="00F773E9" w:rsidP="00F10732">
      <w:pPr>
        <w:pStyle w:val="h5Section"/>
      </w:pPr>
      <w:bookmarkStart w:id="108" w:name="_Toc431897032"/>
      <w:r>
        <w:t>74</w:t>
      </w:r>
      <w:r w:rsidR="00F10732" w:rsidRPr="0063657F">
        <w:t xml:space="preserve"> Application requirements</w:t>
      </w:r>
      <w:bookmarkEnd w:id="108"/>
    </w:p>
    <w:p w:rsidR="00F10732" w:rsidRPr="0063657F" w:rsidRDefault="00F10732" w:rsidP="00F10732">
      <w:pPr>
        <w:pStyle w:val="tMain"/>
      </w:pPr>
      <w:r w:rsidRPr="0063657F">
        <w:tab/>
      </w:r>
      <w:r w:rsidR="00F773E9">
        <w:t>(1)</w:t>
      </w:r>
      <w:r w:rsidRPr="0063657F">
        <w:tab/>
        <w:t>An application under section 15B of the Act must set out the following information:</w:t>
      </w:r>
    </w:p>
    <w:p w:rsidR="00F10732" w:rsidRPr="0063657F" w:rsidRDefault="00F10732" w:rsidP="00F10732">
      <w:pPr>
        <w:pStyle w:val="tPara"/>
      </w:pPr>
      <w:r w:rsidRPr="0063657F">
        <w:tab/>
      </w:r>
      <w:r w:rsidR="00F773E9">
        <w:t>(a)</w:t>
      </w:r>
      <w:r w:rsidRPr="0063657F">
        <w:tab/>
      </w:r>
      <w:proofErr w:type="gramStart"/>
      <w:r w:rsidRPr="0063657F">
        <w:t>the</w:t>
      </w:r>
      <w:proofErr w:type="gramEnd"/>
      <w:r w:rsidRPr="0063657F">
        <w:t xml:space="preserve"> applicant’s name and trading name (if any);</w:t>
      </w:r>
    </w:p>
    <w:p w:rsidR="00F10732" w:rsidRPr="0063657F" w:rsidRDefault="00F10732" w:rsidP="00F10732">
      <w:pPr>
        <w:pStyle w:val="tPara"/>
      </w:pPr>
      <w:r w:rsidRPr="0063657F">
        <w:tab/>
      </w:r>
      <w:r w:rsidR="00F773E9">
        <w:t>(b)</w:t>
      </w:r>
      <w:r w:rsidRPr="0063657F">
        <w:tab/>
      </w:r>
      <w:proofErr w:type="gramStart"/>
      <w:r w:rsidRPr="0063657F">
        <w:t>which</w:t>
      </w:r>
      <w:proofErr w:type="gramEnd"/>
      <w:r w:rsidRPr="0063657F">
        <w:t xml:space="preserve"> section of the Act the applicant is applying under;</w:t>
      </w:r>
    </w:p>
    <w:p w:rsidR="00F10732" w:rsidRPr="0063657F" w:rsidRDefault="00F10732" w:rsidP="00F10732">
      <w:pPr>
        <w:pStyle w:val="tPara"/>
      </w:pPr>
      <w:r w:rsidRPr="0063657F">
        <w:tab/>
      </w:r>
      <w:r w:rsidR="00F773E9">
        <w:t>(c)</w:t>
      </w:r>
      <w:r w:rsidRPr="0063657F">
        <w:tab/>
      </w:r>
      <w:proofErr w:type="gramStart"/>
      <w:r w:rsidRPr="0063657F">
        <w:t>the</w:t>
      </w:r>
      <w:proofErr w:type="gramEnd"/>
      <w:r w:rsidRPr="0063657F">
        <w:t xml:space="preserve"> year for which the applicant is first required to register;</w:t>
      </w:r>
    </w:p>
    <w:p w:rsidR="00F10732" w:rsidRPr="0063657F" w:rsidRDefault="00F10732" w:rsidP="00F10732">
      <w:pPr>
        <w:pStyle w:val="tPara"/>
      </w:pPr>
      <w:r w:rsidRPr="0063657F">
        <w:tab/>
      </w:r>
      <w:r w:rsidR="00F773E9">
        <w:t>(d)</w:t>
      </w:r>
      <w:r w:rsidRPr="0063657F">
        <w:tab/>
      </w:r>
      <w:proofErr w:type="gramStart"/>
      <w:r w:rsidRPr="0063657F">
        <w:t>if</w:t>
      </w:r>
      <w:proofErr w:type="gramEnd"/>
      <w:r w:rsidRPr="0063657F">
        <w:t xml:space="preserve"> a personal identification number has been issued by the Regulator to the applicant—the applicant’s personal identification number;</w:t>
      </w:r>
    </w:p>
    <w:p w:rsidR="00F10732" w:rsidRPr="0063657F" w:rsidRDefault="00F10732" w:rsidP="00F10732">
      <w:pPr>
        <w:pStyle w:val="tPara"/>
      </w:pPr>
      <w:r w:rsidRPr="0063657F">
        <w:tab/>
      </w:r>
      <w:r w:rsidR="00F773E9">
        <w:t>(e)</w:t>
      </w:r>
      <w:r w:rsidRPr="0063657F">
        <w:tab/>
      </w:r>
      <w:proofErr w:type="gramStart"/>
      <w:r w:rsidRPr="0063657F">
        <w:t>if</w:t>
      </w:r>
      <w:proofErr w:type="gramEnd"/>
      <w:r w:rsidRPr="0063657F">
        <w:t xml:space="preserve"> the applicant is a subsidiary of a controlling corporation registered under the Act—a statement to that effect, and the identifying details of the controlling corporation.</w:t>
      </w:r>
    </w:p>
    <w:p w:rsidR="00F10732" w:rsidRPr="0063657F" w:rsidRDefault="00F10732" w:rsidP="00F10732">
      <w:pPr>
        <w:pStyle w:val="tMain"/>
      </w:pPr>
      <w:r w:rsidRPr="0063657F">
        <w:tab/>
      </w:r>
      <w:r w:rsidR="00F773E9">
        <w:t>(2)</w:t>
      </w:r>
      <w:r w:rsidRPr="0063657F">
        <w:tab/>
        <w:t>The application must also set out the identifying information for the applicant if that information has not previously been given to the Regulator.</w:t>
      </w:r>
    </w:p>
    <w:p w:rsidR="00F10732" w:rsidRPr="0063657F" w:rsidRDefault="00F773E9" w:rsidP="005445C9">
      <w:pPr>
        <w:pStyle w:val="h3Div"/>
      </w:pPr>
      <w:bookmarkStart w:id="109" w:name="_Toc431897033"/>
      <w:r>
        <w:t>Division 2</w:t>
      </w:r>
      <w:r w:rsidR="005445C9" w:rsidRPr="0063657F">
        <w:t>—</w:t>
      </w:r>
      <w:r w:rsidR="00F10732" w:rsidRPr="0063657F">
        <w:t>Reporting</w:t>
      </w:r>
      <w:bookmarkEnd w:id="109"/>
    </w:p>
    <w:p w:rsidR="00F10732" w:rsidRPr="0063657F" w:rsidRDefault="00F773E9" w:rsidP="00F10732">
      <w:pPr>
        <w:pStyle w:val="h5Section"/>
      </w:pPr>
      <w:bookmarkStart w:id="110" w:name="_Toc431897034"/>
      <w:r>
        <w:t>75</w:t>
      </w:r>
      <w:r w:rsidR="00F10732" w:rsidRPr="0063657F">
        <w:t xml:space="preserve"> Operation of this Division</w:t>
      </w:r>
      <w:bookmarkEnd w:id="110"/>
      <w:r w:rsidR="00F10732" w:rsidRPr="0063657F">
        <w:t xml:space="preserve"> </w:t>
      </w:r>
    </w:p>
    <w:p w:rsidR="00F10732" w:rsidRPr="0063657F" w:rsidRDefault="00F10732" w:rsidP="00F10732">
      <w:pPr>
        <w:pStyle w:val="tMain"/>
        <w:rPr>
          <w:rStyle w:val="CharDivText"/>
        </w:rPr>
      </w:pPr>
      <w:r w:rsidRPr="0063657F">
        <w:tab/>
      </w:r>
      <w:r w:rsidRPr="0063657F">
        <w:tab/>
        <w:t xml:space="preserve">For paragraph </w:t>
      </w:r>
      <w:proofErr w:type="gramStart"/>
      <w:r w:rsidRPr="0063657F">
        <w:t>22XB(</w:t>
      </w:r>
      <w:proofErr w:type="gramEnd"/>
      <w:r w:rsidRPr="0063657F">
        <w:t xml:space="preserve">2)(b) of the Act, this Division provides for information to be set out in a report under section 22XB of the Act. </w:t>
      </w:r>
      <w:r w:rsidRPr="0063657F">
        <w:rPr>
          <w:rStyle w:val="CharDivNo"/>
        </w:rPr>
        <w:t xml:space="preserve"> </w:t>
      </w:r>
      <w:r w:rsidRPr="0063657F">
        <w:rPr>
          <w:rStyle w:val="CharDivText"/>
        </w:rPr>
        <w:t xml:space="preserve"> </w:t>
      </w:r>
    </w:p>
    <w:p w:rsidR="00F10732" w:rsidRPr="0063657F" w:rsidRDefault="00F773E9" w:rsidP="00F10732">
      <w:pPr>
        <w:pStyle w:val="h5Section"/>
      </w:pPr>
      <w:bookmarkStart w:id="111" w:name="_Toc431897035"/>
      <w:r>
        <w:t>76</w:t>
      </w:r>
      <w:r w:rsidR="00F10732" w:rsidRPr="0063657F">
        <w:t xml:space="preserve"> Required information</w:t>
      </w:r>
      <w:bookmarkEnd w:id="111"/>
      <w:r w:rsidR="00F10732" w:rsidRPr="0063657F">
        <w:t xml:space="preserve"> </w:t>
      </w:r>
    </w:p>
    <w:p w:rsidR="00F10732" w:rsidRPr="0063657F" w:rsidRDefault="005445C9" w:rsidP="005445C9">
      <w:pPr>
        <w:pStyle w:val="tMain"/>
      </w:pPr>
      <w:r w:rsidRPr="0063657F">
        <w:tab/>
      </w:r>
      <w:r w:rsidRPr="0063657F">
        <w:tab/>
      </w:r>
      <w:r w:rsidR="00F10732" w:rsidRPr="0063657F">
        <w:t>A report under section 22XB of the Act must set out:</w:t>
      </w:r>
    </w:p>
    <w:p w:rsidR="00FA2A6A" w:rsidRPr="0063657F" w:rsidRDefault="00FA2A6A" w:rsidP="00FA2A6A">
      <w:pPr>
        <w:pStyle w:val="tPara"/>
      </w:pPr>
      <w:r w:rsidRPr="0063657F">
        <w:tab/>
      </w:r>
      <w:r w:rsidR="00F773E9">
        <w:t>(a)</w:t>
      </w:r>
      <w:r w:rsidRPr="0063657F">
        <w:tab/>
      </w:r>
      <w:proofErr w:type="gramStart"/>
      <w:r w:rsidRPr="0063657F">
        <w:t>the</w:t>
      </w:r>
      <w:proofErr w:type="gramEnd"/>
      <w:r w:rsidRPr="0063657F">
        <w:t xml:space="preserve"> identifying information </w:t>
      </w:r>
      <w:r w:rsidR="00636199" w:rsidRPr="0063657F">
        <w:t>for</w:t>
      </w:r>
      <w:r w:rsidRPr="0063657F">
        <w:t xml:space="preserve"> the responsible emitter </w:t>
      </w:r>
      <w:r w:rsidR="00636199" w:rsidRPr="0063657F">
        <w:t>providing the report</w:t>
      </w:r>
      <w:r w:rsidRPr="0063657F">
        <w:t>; and</w:t>
      </w:r>
    </w:p>
    <w:p w:rsidR="00F10732" w:rsidRPr="0063657F" w:rsidRDefault="00F10732" w:rsidP="00F10732">
      <w:pPr>
        <w:pStyle w:val="tPara"/>
      </w:pPr>
      <w:r w:rsidRPr="0063657F">
        <w:tab/>
      </w:r>
      <w:r w:rsidR="00F773E9">
        <w:t>(b)</w:t>
      </w:r>
      <w:r w:rsidRPr="0063657F">
        <w:tab/>
        <w:t>the information required by Subdivision</w:t>
      </w:r>
      <w:r w:rsidR="00DF4EB2" w:rsidRPr="0063657F">
        <w:t>s</w:t>
      </w:r>
      <w:r w:rsidRPr="0063657F">
        <w:t xml:space="preserve"> 4.4.2 and 4.4.3 and regulations 4.04A and 4.27 of the </w:t>
      </w:r>
      <w:r w:rsidR="007540C5" w:rsidRPr="0063657F">
        <w:t>NGER Regulations</w:t>
      </w:r>
      <w:r w:rsidRPr="0063657F">
        <w:rPr>
          <w:i/>
        </w:rPr>
        <w:t xml:space="preserve"> </w:t>
      </w:r>
      <w:r w:rsidR="00380FF8" w:rsidRPr="0063657F">
        <w:t>as i</w:t>
      </w:r>
      <w:r w:rsidRPr="0063657F">
        <w:t>f the person was a corporation to which those subdivisions and regulations 4.04A and 4.27 applied; and</w:t>
      </w:r>
    </w:p>
    <w:p w:rsidR="00F10732" w:rsidRPr="0063657F" w:rsidRDefault="00F10732" w:rsidP="00F10732">
      <w:pPr>
        <w:pStyle w:val="tPara"/>
      </w:pPr>
      <w:r w:rsidRPr="0063657F">
        <w:tab/>
      </w:r>
      <w:r w:rsidR="00F773E9">
        <w:t>(c)</w:t>
      </w:r>
      <w:r w:rsidRPr="0063657F">
        <w:tab/>
      </w:r>
      <w:proofErr w:type="gramStart"/>
      <w:r w:rsidRPr="0063657F">
        <w:t>the</w:t>
      </w:r>
      <w:proofErr w:type="gramEnd"/>
      <w:r w:rsidRPr="0063657F">
        <w:t xml:space="preserve"> covered emissions from the operation of the facility, in t CO</w:t>
      </w:r>
      <w:r w:rsidRPr="0063657F">
        <w:rPr>
          <w:vertAlign w:val="subscript"/>
        </w:rPr>
        <w:t>2</w:t>
      </w:r>
      <w:r w:rsidR="007F7E20" w:rsidRPr="0063657F">
        <w:rPr>
          <w:rFonts w:ascii="Helvetica Neue" w:hAnsi="Helvetica Neue"/>
          <w:b/>
          <w:bCs/>
          <w:i/>
          <w:iCs/>
          <w:sz w:val="19"/>
          <w:szCs w:val="19"/>
        </w:rPr>
        <w:noBreakHyphen/>
      </w:r>
      <w:r w:rsidRPr="0063657F">
        <w:t>e; and</w:t>
      </w:r>
    </w:p>
    <w:p w:rsidR="00F10732" w:rsidRPr="0063657F" w:rsidRDefault="00F10732" w:rsidP="00F10732">
      <w:pPr>
        <w:pStyle w:val="tPara"/>
      </w:pPr>
      <w:r w:rsidRPr="0063657F">
        <w:tab/>
      </w:r>
      <w:r w:rsidR="00F773E9">
        <w:t>(d)</w:t>
      </w:r>
      <w:r w:rsidRPr="0063657F">
        <w:tab/>
      </w:r>
      <w:proofErr w:type="gramStart"/>
      <w:r w:rsidRPr="0063657F">
        <w:t>any</w:t>
      </w:r>
      <w:proofErr w:type="gramEnd"/>
      <w:r w:rsidRPr="0063657F">
        <w:t xml:space="preserve"> infor</w:t>
      </w:r>
      <w:r w:rsidR="00B36BC8" w:rsidRPr="0063657F">
        <w:t>mation required under section</w:t>
      </w:r>
      <w:r w:rsidR="00D047E8" w:rsidRPr="0063657F">
        <w:t xml:space="preserve"> </w:t>
      </w:r>
      <w:r w:rsidR="000D22A0" w:rsidRPr="0063657F">
        <w:t>77</w:t>
      </w:r>
      <w:r w:rsidRPr="0063657F">
        <w:t>.</w:t>
      </w:r>
    </w:p>
    <w:p w:rsidR="00F10732" w:rsidRPr="0063657F" w:rsidRDefault="00F773E9" w:rsidP="00F10732">
      <w:pPr>
        <w:pStyle w:val="h5Section"/>
      </w:pPr>
      <w:bookmarkStart w:id="112" w:name="_Toc431897036"/>
      <w:r>
        <w:t>77</w:t>
      </w:r>
      <w:r w:rsidR="00F10732" w:rsidRPr="0063657F">
        <w:t xml:space="preserve"> Reporting a change in principal activity for facility</w:t>
      </w:r>
      <w:bookmarkEnd w:id="112"/>
    </w:p>
    <w:p w:rsidR="00F10732" w:rsidRPr="0063657F" w:rsidRDefault="00F10732" w:rsidP="00F10732">
      <w:pPr>
        <w:pStyle w:val="tMain"/>
      </w:pPr>
      <w:r w:rsidRPr="0063657F">
        <w:tab/>
      </w:r>
      <w:r w:rsidR="00F773E9">
        <w:t>(1)</w:t>
      </w:r>
      <w:r w:rsidRPr="0063657F">
        <w:tab/>
        <w:t xml:space="preserve">This </w:t>
      </w:r>
      <w:r w:rsidR="000C5D0D" w:rsidRPr="0063657F">
        <w:t xml:space="preserve">section </w:t>
      </w:r>
      <w:r w:rsidRPr="0063657F">
        <w:t>applies in relation to a report provided to the Regulator under section 22XB of the Act if the principal activity for a facility that has been included in a report under the Act stops being the principal activity for the facility for a period of at least 24 months.</w:t>
      </w:r>
    </w:p>
    <w:p w:rsidR="00F10732" w:rsidRPr="0063657F" w:rsidRDefault="00F10732" w:rsidP="00F10732">
      <w:pPr>
        <w:pStyle w:val="tMain"/>
      </w:pPr>
      <w:r w:rsidRPr="0063657F">
        <w:tab/>
      </w:r>
      <w:r w:rsidR="00F773E9">
        <w:t>(2)</w:t>
      </w:r>
      <w:r w:rsidRPr="0063657F">
        <w:tab/>
        <w:t xml:space="preserve">The </w:t>
      </w:r>
      <w:r w:rsidR="000C5D0D" w:rsidRPr="0063657F">
        <w:t xml:space="preserve">responsible emitter for the facility </w:t>
      </w:r>
      <w:r w:rsidRPr="0063657F">
        <w:t xml:space="preserve">must identify a new principal activity for the facility and the industry sector to which the principal activity is attributable in </w:t>
      </w:r>
      <w:r w:rsidRPr="0063657F">
        <w:rPr>
          <w:szCs w:val="22"/>
        </w:rPr>
        <w:t xml:space="preserve">accordance with </w:t>
      </w:r>
      <w:r w:rsidRPr="0063657F">
        <w:rPr>
          <w:rFonts w:ascii="Helvetica Neue" w:hAnsi="Helvetica Neue"/>
          <w:szCs w:val="22"/>
        </w:rPr>
        <w:t>Subdivisions 2.4.2 and 2.4.3 of the</w:t>
      </w:r>
      <w:r w:rsidR="007540C5" w:rsidRPr="0063657F">
        <w:rPr>
          <w:rFonts w:ascii="Helvetica Neue" w:hAnsi="Helvetica Neue"/>
          <w:i/>
          <w:sz w:val="19"/>
          <w:szCs w:val="19"/>
        </w:rPr>
        <w:t xml:space="preserve"> </w:t>
      </w:r>
      <w:r w:rsidR="007540C5" w:rsidRPr="0063657F">
        <w:rPr>
          <w:rFonts w:ascii="Helvetica Neue" w:hAnsi="Helvetica Neue"/>
          <w:szCs w:val="22"/>
        </w:rPr>
        <w:t>NGER Regulations</w:t>
      </w:r>
      <w:r w:rsidRPr="0063657F">
        <w:t>.</w:t>
      </w:r>
    </w:p>
    <w:p w:rsidR="00F10732" w:rsidRPr="0063657F" w:rsidRDefault="00F10732" w:rsidP="00F10732">
      <w:pPr>
        <w:pStyle w:val="tMain"/>
      </w:pPr>
      <w:r w:rsidRPr="0063657F">
        <w:lastRenderedPageBreak/>
        <w:tab/>
      </w:r>
      <w:r w:rsidR="00F773E9">
        <w:t>(3)</w:t>
      </w:r>
      <w:r w:rsidRPr="0063657F">
        <w:tab/>
        <w:t>The report for the reporting year that includes the last day of the period mentioned in sub</w:t>
      </w:r>
      <w:r w:rsidR="005445C9" w:rsidRPr="0063657F">
        <w:t>sec</w:t>
      </w:r>
      <w:r w:rsidRPr="0063657F">
        <w:t>tion (1) must include the industry sector to which the new principal activity is attributable.</w:t>
      </w:r>
    </w:p>
    <w:p w:rsidR="00F10732" w:rsidRPr="0063657F" w:rsidRDefault="00F10732" w:rsidP="00F10732">
      <w:pPr>
        <w:pStyle w:val="tMain"/>
      </w:pPr>
      <w:r w:rsidRPr="0063657F">
        <w:tab/>
      </w:r>
      <w:r w:rsidR="00F773E9">
        <w:t>(4)</w:t>
      </w:r>
      <w:r w:rsidRPr="0063657F">
        <w:tab/>
        <w:t xml:space="preserve">The </w:t>
      </w:r>
      <w:r w:rsidR="000C5D0D" w:rsidRPr="0063657F">
        <w:t xml:space="preserve">responsible emitter </w:t>
      </w:r>
      <w:r w:rsidRPr="0063657F">
        <w:t>must record the new principal activity and the date that the principal activity changed.</w:t>
      </w:r>
    </w:p>
    <w:p w:rsidR="00F10732" w:rsidRPr="0063657F" w:rsidRDefault="00F10732" w:rsidP="00F10732">
      <w:pPr>
        <w:pStyle w:val="tMain"/>
      </w:pPr>
      <w:r w:rsidRPr="0063657F">
        <w:tab/>
      </w:r>
      <w:r w:rsidR="00F773E9">
        <w:t>(5)</w:t>
      </w:r>
      <w:r w:rsidRPr="0063657F">
        <w:tab/>
        <w:t xml:space="preserve">In this regulation, </w:t>
      </w:r>
      <w:r w:rsidRPr="0063657F">
        <w:rPr>
          <w:b/>
          <w:bCs/>
          <w:i/>
          <w:iCs/>
        </w:rPr>
        <w:t>principal activity</w:t>
      </w:r>
      <w:r w:rsidRPr="0063657F">
        <w:t>, in relation to a facility, means the activity that:</w:t>
      </w:r>
    </w:p>
    <w:p w:rsidR="00F10732" w:rsidRPr="0063657F" w:rsidRDefault="00F10732" w:rsidP="00F10732">
      <w:pPr>
        <w:pStyle w:val="tPara"/>
      </w:pPr>
      <w:r w:rsidRPr="0063657F">
        <w:tab/>
      </w:r>
      <w:r w:rsidR="00F773E9">
        <w:t>(a)</w:t>
      </w:r>
      <w:r w:rsidRPr="0063657F">
        <w:tab/>
      </w:r>
      <w:proofErr w:type="gramStart"/>
      <w:r w:rsidRPr="0063657F">
        <w:t>results</w:t>
      </w:r>
      <w:proofErr w:type="gramEnd"/>
      <w:r w:rsidRPr="0063657F">
        <w:t xml:space="preserve"> in the production of a product or service that is produced for sale on the market; and</w:t>
      </w:r>
    </w:p>
    <w:p w:rsidR="00F10732" w:rsidRPr="0063657F" w:rsidRDefault="00F10732" w:rsidP="00FA2A6A">
      <w:pPr>
        <w:pStyle w:val="tPara"/>
      </w:pPr>
      <w:r w:rsidRPr="0063657F">
        <w:tab/>
      </w:r>
      <w:r w:rsidR="00F773E9">
        <w:t>(b)</w:t>
      </w:r>
      <w:r w:rsidRPr="0063657F">
        <w:tab/>
      </w:r>
      <w:proofErr w:type="gramStart"/>
      <w:r w:rsidRPr="0063657F">
        <w:t>produces</w:t>
      </w:r>
      <w:proofErr w:type="gramEnd"/>
      <w:r w:rsidRPr="0063657F">
        <w:t xml:space="preserve"> the most value for the facility out of any of the activities forming part of the facility.</w:t>
      </w:r>
    </w:p>
    <w:p w:rsidR="00F10732" w:rsidRPr="0063657F" w:rsidRDefault="00F773E9" w:rsidP="00F10732">
      <w:pPr>
        <w:pStyle w:val="h3Div"/>
      </w:pPr>
      <w:bookmarkStart w:id="113" w:name="_Toc431897037"/>
      <w:r>
        <w:t>Division 3</w:t>
      </w:r>
      <w:r w:rsidR="00F10732" w:rsidRPr="0063657F">
        <w:t>—Record</w:t>
      </w:r>
      <w:r w:rsidR="00630B9E" w:rsidRPr="0063657F">
        <w:t>-</w:t>
      </w:r>
      <w:r w:rsidR="00F10732" w:rsidRPr="0063657F">
        <w:t>keeping</w:t>
      </w:r>
      <w:bookmarkEnd w:id="113"/>
    </w:p>
    <w:p w:rsidR="00F10732" w:rsidRPr="0063657F" w:rsidRDefault="00F773E9" w:rsidP="00F10732">
      <w:pPr>
        <w:pStyle w:val="h5Section"/>
      </w:pPr>
      <w:bookmarkStart w:id="114" w:name="_Toc398043518"/>
      <w:bookmarkStart w:id="115" w:name="_Toc431897038"/>
      <w:r>
        <w:t>78</w:t>
      </w:r>
      <w:r w:rsidR="00F10732" w:rsidRPr="0063657F">
        <w:t xml:space="preserve"> Form of records</w:t>
      </w:r>
      <w:bookmarkEnd w:id="114"/>
      <w:bookmarkEnd w:id="115"/>
    </w:p>
    <w:p w:rsidR="00F10732" w:rsidRPr="0063657F" w:rsidRDefault="00F10732" w:rsidP="00F10732">
      <w:pPr>
        <w:pStyle w:val="tMain"/>
      </w:pPr>
      <w:r w:rsidRPr="0063657F">
        <w:tab/>
      </w:r>
      <w:r w:rsidR="00F773E9">
        <w:t>(1)</w:t>
      </w:r>
      <w:r w:rsidRPr="0063657F">
        <w:tab/>
        <w:t xml:space="preserve">This </w:t>
      </w:r>
      <w:r w:rsidR="000C5D0D" w:rsidRPr="0063657F">
        <w:t xml:space="preserve">section </w:t>
      </w:r>
      <w:r w:rsidRPr="0063657F">
        <w:t>applies to records mentioned in subsection </w:t>
      </w:r>
      <w:proofErr w:type="gramStart"/>
      <w:r w:rsidRPr="0063657F">
        <w:t>22XC(</w:t>
      </w:r>
      <w:proofErr w:type="gramEnd"/>
      <w:r w:rsidRPr="0063657F">
        <w:t>1) of the Act.</w:t>
      </w:r>
    </w:p>
    <w:p w:rsidR="005445C9" w:rsidRPr="0063657F" w:rsidRDefault="00F10732" w:rsidP="005445C9">
      <w:pPr>
        <w:pStyle w:val="tMain"/>
      </w:pPr>
      <w:r w:rsidRPr="0063657F">
        <w:tab/>
      </w:r>
      <w:r w:rsidR="00F773E9">
        <w:t>(2)</w:t>
      </w:r>
      <w:r w:rsidRPr="0063657F">
        <w:tab/>
        <w:t xml:space="preserve">For paragraph </w:t>
      </w:r>
      <w:proofErr w:type="gramStart"/>
      <w:r w:rsidRPr="0063657F">
        <w:t>22XC(</w:t>
      </w:r>
      <w:proofErr w:type="gramEnd"/>
      <w:r w:rsidRPr="0063657F">
        <w:t>3)(b) of the Act, the records must be kept in a form that is easily and quickly accessible for inspection and audit.</w:t>
      </w:r>
    </w:p>
    <w:p w:rsidR="005445C9" w:rsidRPr="0063657F" w:rsidRDefault="00C07262" w:rsidP="00C07262">
      <w:pPr>
        <w:pStyle w:val="nMain"/>
      </w:pPr>
      <w:r w:rsidRPr="0063657F">
        <w:tab/>
      </w:r>
      <w:r w:rsidR="002F279D" w:rsidRPr="0063657F">
        <w:t>Note:</w:t>
      </w:r>
      <w:r w:rsidR="002F279D" w:rsidRPr="0063657F">
        <w:tab/>
        <w:t xml:space="preserve"> </w:t>
      </w:r>
      <w:r w:rsidRPr="0063657F">
        <w:tab/>
      </w:r>
      <w:r w:rsidR="005445C9" w:rsidRPr="0063657F">
        <w:t xml:space="preserve">This </w:t>
      </w:r>
      <w:r w:rsidR="00F10732" w:rsidRPr="0063657F">
        <w:t>may be in an electronic or hard copy format.</w:t>
      </w:r>
    </w:p>
    <w:p w:rsidR="002F279D" w:rsidRPr="0063657F" w:rsidRDefault="002F279D" w:rsidP="00C07262">
      <w:pPr>
        <w:pStyle w:val="nMain"/>
      </w:pPr>
    </w:p>
    <w:p w:rsidR="00F10732" w:rsidRPr="0063657F" w:rsidRDefault="00F10732" w:rsidP="005445C9">
      <w:pPr>
        <w:pStyle w:val="nMain"/>
      </w:pPr>
      <w:r w:rsidRPr="0063657F">
        <w:br w:type="page"/>
      </w:r>
    </w:p>
    <w:p w:rsidR="00F10732" w:rsidRPr="0063657F" w:rsidRDefault="00F10732" w:rsidP="00F10732">
      <w:pPr>
        <w:pStyle w:val="nDrafterComment"/>
        <w:rPr>
          <w:color w:val="auto"/>
        </w:rPr>
      </w:pPr>
    </w:p>
    <w:p w:rsidR="00F10732" w:rsidRPr="0063657F" w:rsidRDefault="00F773E9" w:rsidP="00F10732">
      <w:pPr>
        <w:pStyle w:val="h1Chap"/>
      </w:pPr>
      <w:bookmarkStart w:id="116" w:name="_Toc431897039"/>
      <w:r>
        <w:t>Schedule 1</w:t>
      </w:r>
      <w:r w:rsidR="00F10732" w:rsidRPr="0063657F">
        <w:t>—Benchmark Emissions-Intensity Index</w:t>
      </w:r>
      <w:bookmarkEnd w:id="116"/>
    </w:p>
    <w:p w:rsidR="00F10732" w:rsidRPr="0063657F" w:rsidRDefault="00F10732" w:rsidP="00F10732">
      <w:pPr>
        <w:pStyle w:val="nMain"/>
        <w:rPr>
          <w:lang w:val="en-US"/>
        </w:rPr>
      </w:pPr>
      <w:r w:rsidRPr="0063657F">
        <w:tab/>
        <w:t>Note:</w:t>
      </w:r>
      <w:r w:rsidRPr="0063657F">
        <w:tab/>
      </w:r>
      <w:r w:rsidRPr="0063657F">
        <w:tab/>
        <w:t xml:space="preserve">See the definition of </w:t>
      </w:r>
      <w:r w:rsidRPr="0063657F">
        <w:rPr>
          <w:b/>
          <w:bCs/>
          <w:i/>
        </w:rPr>
        <w:t>Benchmark Emissions-Intensity Index</w:t>
      </w:r>
      <w:r w:rsidR="00DF4EB2" w:rsidRPr="0063657F">
        <w:t xml:space="preserve"> in section 4</w:t>
      </w:r>
      <w:r w:rsidRPr="0063657F">
        <w:t>.</w:t>
      </w:r>
    </w:p>
    <w:p w:rsidR="00F10732" w:rsidRPr="0063657F" w:rsidRDefault="00F773E9" w:rsidP="00A02EB2">
      <w:pPr>
        <w:pStyle w:val="h5Section"/>
        <w:rPr>
          <w:lang w:val="en-US"/>
        </w:rPr>
      </w:pPr>
      <w:bookmarkStart w:id="117" w:name="_Toc431897040"/>
      <w:proofErr w:type="gramStart"/>
      <w:r>
        <w:t>1</w:t>
      </w:r>
      <w:r w:rsidR="00A02EB2" w:rsidRPr="0063657F">
        <w:t xml:space="preserve">  </w:t>
      </w:r>
      <w:r w:rsidR="00F10732" w:rsidRPr="0063657F">
        <w:t>Benchmark</w:t>
      </w:r>
      <w:proofErr w:type="gramEnd"/>
      <w:r w:rsidR="00F10732" w:rsidRPr="0063657F">
        <w:t xml:space="preserve"> Emissions-Intensity Index</w:t>
      </w:r>
      <w:bookmarkEnd w:id="117"/>
    </w:p>
    <w:p w:rsidR="00F10732" w:rsidRPr="0063657F" w:rsidRDefault="00F10732" w:rsidP="00F10732">
      <w:pPr>
        <w:pStyle w:val="tMain"/>
      </w:pPr>
      <w:r w:rsidRPr="0063657F">
        <w:tab/>
      </w:r>
      <w:r w:rsidRPr="0063657F">
        <w:tab/>
        <w:t xml:space="preserve">This Schedule will set out benchmark levels of </w:t>
      </w:r>
      <w:r w:rsidR="001033B1" w:rsidRPr="0063657F">
        <w:t>emissions intensity</w:t>
      </w:r>
      <w:r w:rsidRPr="0063657F">
        <w:t xml:space="preserve"> per unit of a production variable for certain kinds of facilities and the benchmark capture efficiency rate for non-legacy greenhouse gas emissions.</w:t>
      </w:r>
      <w:r w:rsidR="00E7171A">
        <w:t xml:space="preserve"> </w:t>
      </w:r>
    </w:p>
    <w:p w:rsidR="00F10732" w:rsidRPr="0063657F" w:rsidRDefault="00F10732" w:rsidP="00F10732">
      <w:pPr>
        <w:rPr>
          <w:lang w:eastAsia="en-AU"/>
        </w:rPr>
      </w:pPr>
    </w:p>
    <w:p w:rsidR="00F10732" w:rsidRPr="0063657F" w:rsidRDefault="00F10732" w:rsidP="00F10732">
      <w:pPr>
        <w:rPr>
          <w:lang w:eastAsia="en-AU"/>
        </w:rPr>
      </w:pPr>
    </w:p>
    <w:p w:rsidR="00F10732" w:rsidRPr="0063657F" w:rsidRDefault="00F10732" w:rsidP="00F10732"/>
    <w:p w:rsidR="004F7026" w:rsidRPr="0063657F" w:rsidRDefault="004F7026" w:rsidP="00F10732"/>
    <w:sectPr w:rsidR="004F7026" w:rsidRPr="0063657F" w:rsidSect="00B13564">
      <w:footerReference w:type="default" r:id="rId13"/>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54F" w:rsidRDefault="00D5154F">
      <w:r>
        <w:separator/>
      </w:r>
    </w:p>
  </w:endnote>
  <w:endnote w:type="continuationSeparator" w:id="0">
    <w:p w:rsidR="00D5154F" w:rsidRDefault="00D515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7939"/>
      <w:docPartObj>
        <w:docPartGallery w:val="Page Numbers (Bottom of Page)"/>
        <w:docPartUnique/>
      </w:docPartObj>
    </w:sdtPr>
    <w:sdtContent>
      <w:p w:rsidR="00E7171A" w:rsidRDefault="000F0E74" w:rsidP="009818F6">
        <w:pPr>
          <w:pStyle w:val="Footer"/>
          <w:pBdr>
            <w:top w:val="single" w:sz="4" w:space="1" w:color="auto"/>
          </w:pBdr>
          <w:jc w:val="right"/>
        </w:pPr>
        <w:r>
          <w:fldChar w:fldCharType="begin"/>
        </w:r>
        <w:r w:rsidR="00E7171A">
          <w:instrText xml:space="preserve"> PAGE   \* MERGEFORMAT </w:instrText>
        </w:r>
        <w:r>
          <w:fldChar w:fldCharType="separate"/>
        </w:r>
        <w:r w:rsidR="00FF5B94">
          <w:rPr>
            <w:noProof/>
          </w:rPr>
          <w:t>3</w:t>
        </w:r>
        <w:r>
          <w:rPr>
            <w:noProof/>
          </w:rPr>
          <w:fldChar w:fldCharType="end"/>
        </w:r>
      </w:p>
    </w:sdtContent>
  </w:sdt>
  <w:p w:rsidR="00E7171A" w:rsidRDefault="000F0E74" w:rsidP="0063657F">
    <w:pPr>
      <w:pStyle w:val="Header"/>
    </w:pPr>
    <w:fldSimple w:instr=" STYLEREF  ShortT  \* MERGEFORMAT ">
      <w:r w:rsidR="00FF5B94">
        <w:rPr>
          <w:noProof/>
        </w:rPr>
        <w:t>National Greenhouse and Energy Reporting (Safeguard Mechanism) Rule 2015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54F" w:rsidRDefault="00D5154F">
      <w:r>
        <w:separator/>
      </w:r>
    </w:p>
  </w:footnote>
  <w:footnote w:type="continuationSeparator" w:id="0">
    <w:p w:rsidR="00D5154F" w:rsidRDefault="00D515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8FA819C"/>
    <w:lvl w:ilvl="0">
      <w:start w:val="1"/>
      <w:numFmt w:val="decimal"/>
      <w:lvlText w:val="%1."/>
      <w:lvlJc w:val="left"/>
      <w:pPr>
        <w:tabs>
          <w:tab w:val="num" w:pos="1492"/>
        </w:tabs>
        <w:ind w:left="1492" w:hanging="360"/>
      </w:pPr>
    </w:lvl>
  </w:abstractNum>
  <w:abstractNum w:abstractNumId="1">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nsid w:val="FFFFFF7F"/>
    <w:multiLevelType w:val="singleLevel"/>
    <w:tmpl w:val="FDA2FC86"/>
    <w:lvl w:ilvl="0">
      <w:start w:val="1"/>
      <w:numFmt w:val="decimal"/>
      <w:lvlText w:val="%1."/>
      <w:lvlJc w:val="left"/>
      <w:pPr>
        <w:tabs>
          <w:tab w:val="num" w:pos="643"/>
        </w:tabs>
        <w:ind w:left="643" w:hanging="360"/>
      </w:pPr>
    </w:lvl>
  </w:abstractNum>
  <w:abstractNum w:abstractNumId="4">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70055E"/>
    <w:lvl w:ilvl="0">
      <w:start w:val="1"/>
      <w:numFmt w:val="decimal"/>
      <w:lvlText w:val="%1."/>
      <w:lvlJc w:val="left"/>
      <w:pPr>
        <w:tabs>
          <w:tab w:val="num" w:pos="360"/>
        </w:tabs>
        <w:ind w:left="360" w:hanging="360"/>
      </w:pPr>
    </w:lvl>
  </w:abstractNum>
  <w:abstractNum w:abstractNumId="9">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nsid w:val="0537400B"/>
    <w:multiLevelType w:val="hybridMultilevel"/>
    <w:tmpl w:val="5030A74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0E6B49FB"/>
    <w:multiLevelType w:val="hybridMultilevel"/>
    <w:tmpl w:val="40708E0C"/>
    <w:lvl w:ilvl="0" w:tplc="0C090017">
      <w:start w:val="1"/>
      <w:numFmt w:val="lowerLetter"/>
      <w:lvlText w:val="%1)"/>
      <w:lvlJc w:val="left"/>
      <w:pPr>
        <w:ind w:left="1004" w:hanging="360"/>
      </w:pPr>
    </w:lvl>
    <w:lvl w:ilvl="1" w:tplc="0C09001B">
      <w:start w:val="1"/>
      <w:numFmt w:val="lowerRoman"/>
      <w:lvlText w:val="%2."/>
      <w:lvlJc w:val="right"/>
      <w:pPr>
        <w:ind w:left="1724" w:hanging="360"/>
      </w:pPr>
    </w:lvl>
    <w:lvl w:ilvl="2" w:tplc="0C09001B">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rPr>
    </w:lvl>
    <w:lvl w:ilvl="8">
      <w:start w:val="1"/>
      <w:numFmt w:val="upperLetter"/>
      <w:lvlText w:val="(%9)"/>
      <w:lvlJc w:val="left"/>
      <w:pPr>
        <w:ind w:left="0" w:firstLine="0"/>
      </w:pPr>
      <w:rPr>
        <w:rFonts w:hint="default"/>
      </w:rPr>
    </w:lvl>
  </w:abstractNum>
  <w:abstractNum w:abstractNumId="1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695C5E"/>
    <w:multiLevelType w:val="hybridMultilevel"/>
    <w:tmpl w:val="94B8C90E"/>
    <w:lvl w:ilvl="0" w:tplc="77B2499C">
      <w:start w:val="1"/>
      <w:numFmt w:val="upperLetter"/>
      <w:lvlText w:val="%1)"/>
      <w:lvlJc w:val="left"/>
      <w:pPr>
        <w:ind w:left="2084" w:hanging="360"/>
      </w:pPr>
      <w:rPr>
        <w:rFonts w:hint="default"/>
      </w:rPr>
    </w:lvl>
    <w:lvl w:ilvl="1" w:tplc="0C09001B">
      <w:start w:val="1"/>
      <w:numFmt w:val="lowerRoman"/>
      <w:lvlText w:val="%2."/>
      <w:lvlJc w:val="right"/>
      <w:pPr>
        <w:ind w:left="2804" w:hanging="360"/>
      </w:pPr>
    </w:lvl>
    <w:lvl w:ilvl="2" w:tplc="0C09001B" w:tentative="1">
      <w:start w:val="1"/>
      <w:numFmt w:val="lowerRoman"/>
      <w:lvlText w:val="%3."/>
      <w:lvlJc w:val="right"/>
      <w:pPr>
        <w:ind w:left="3524" w:hanging="180"/>
      </w:pPr>
    </w:lvl>
    <w:lvl w:ilvl="3" w:tplc="0C09000F" w:tentative="1">
      <w:start w:val="1"/>
      <w:numFmt w:val="decimal"/>
      <w:lvlText w:val="%4."/>
      <w:lvlJc w:val="left"/>
      <w:pPr>
        <w:ind w:left="4244" w:hanging="360"/>
      </w:pPr>
    </w:lvl>
    <w:lvl w:ilvl="4" w:tplc="0C090019" w:tentative="1">
      <w:start w:val="1"/>
      <w:numFmt w:val="lowerLetter"/>
      <w:lvlText w:val="%5."/>
      <w:lvlJc w:val="left"/>
      <w:pPr>
        <w:ind w:left="4964" w:hanging="360"/>
      </w:pPr>
    </w:lvl>
    <w:lvl w:ilvl="5" w:tplc="0C09001B" w:tentative="1">
      <w:start w:val="1"/>
      <w:numFmt w:val="lowerRoman"/>
      <w:lvlText w:val="%6."/>
      <w:lvlJc w:val="right"/>
      <w:pPr>
        <w:ind w:left="5684" w:hanging="180"/>
      </w:pPr>
    </w:lvl>
    <w:lvl w:ilvl="6" w:tplc="0C09000F" w:tentative="1">
      <w:start w:val="1"/>
      <w:numFmt w:val="decimal"/>
      <w:lvlText w:val="%7."/>
      <w:lvlJc w:val="left"/>
      <w:pPr>
        <w:ind w:left="6404" w:hanging="360"/>
      </w:pPr>
    </w:lvl>
    <w:lvl w:ilvl="7" w:tplc="0C090019" w:tentative="1">
      <w:start w:val="1"/>
      <w:numFmt w:val="lowerLetter"/>
      <w:lvlText w:val="%8."/>
      <w:lvlJc w:val="left"/>
      <w:pPr>
        <w:ind w:left="7124" w:hanging="360"/>
      </w:pPr>
    </w:lvl>
    <w:lvl w:ilvl="8" w:tplc="0C09001B" w:tentative="1">
      <w:start w:val="1"/>
      <w:numFmt w:val="lowerRoman"/>
      <w:lvlText w:val="%9."/>
      <w:lvlJc w:val="right"/>
      <w:pPr>
        <w:ind w:left="7844" w:hanging="180"/>
      </w:pPr>
    </w:lvl>
  </w:abstractNum>
  <w:abstractNum w:abstractNumId="17">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1A40C6A"/>
    <w:multiLevelType w:val="hybridMultilevel"/>
    <w:tmpl w:val="5030A74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1">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2">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D9B2EF3"/>
    <w:multiLevelType w:val="hybridMultilevel"/>
    <w:tmpl w:val="CCC425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411B61EA"/>
    <w:multiLevelType w:val="hybridMultilevel"/>
    <w:tmpl w:val="AB14897C"/>
    <w:lvl w:ilvl="0" w:tplc="6EA65286">
      <w:start w:val="1"/>
      <w:numFmt w:val="decimal"/>
      <w:lvlText w:val="(%1)"/>
      <w:lvlJc w:val="left"/>
      <w:pPr>
        <w:ind w:left="360" w:hanging="360"/>
      </w:pPr>
      <w:rPr>
        <w:rFonts w:hint="default"/>
      </w:rPr>
    </w:lvl>
    <w:lvl w:ilvl="1" w:tplc="0C090019">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EC233CA"/>
    <w:multiLevelType w:val="hybridMultilevel"/>
    <w:tmpl w:val="0E9AA3B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6595830"/>
    <w:multiLevelType w:val="hybridMultilevel"/>
    <w:tmpl w:val="94B8C90E"/>
    <w:lvl w:ilvl="0" w:tplc="77B2499C">
      <w:start w:val="1"/>
      <w:numFmt w:val="upperLetter"/>
      <w:lvlText w:val="%1)"/>
      <w:lvlJc w:val="left"/>
      <w:pPr>
        <w:ind w:left="2084" w:hanging="360"/>
      </w:pPr>
      <w:rPr>
        <w:rFonts w:hint="default"/>
      </w:rPr>
    </w:lvl>
    <w:lvl w:ilvl="1" w:tplc="0C09001B">
      <w:start w:val="1"/>
      <w:numFmt w:val="lowerRoman"/>
      <w:lvlText w:val="%2."/>
      <w:lvlJc w:val="right"/>
      <w:pPr>
        <w:ind w:left="2804" w:hanging="360"/>
      </w:pPr>
    </w:lvl>
    <w:lvl w:ilvl="2" w:tplc="0C09001B" w:tentative="1">
      <w:start w:val="1"/>
      <w:numFmt w:val="lowerRoman"/>
      <w:lvlText w:val="%3."/>
      <w:lvlJc w:val="right"/>
      <w:pPr>
        <w:ind w:left="3524" w:hanging="180"/>
      </w:pPr>
    </w:lvl>
    <w:lvl w:ilvl="3" w:tplc="0C09000F" w:tentative="1">
      <w:start w:val="1"/>
      <w:numFmt w:val="decimal"/>
      <w:lvlText w:val="%4."/>
      <w:lvlJc w:val="left"/>
      <w:pPr>
        <w:ind w:left="4244" w:hanging="360"/>
      </w:pPr>
    </w:lvl>
    <w:lvl w:ilvl="4" w:tplc="0C090019" w:tentative="1">
      <w:start w:val="1"/>
      <w:numFmt w:val="lowerLetter"/>
      <w:lvlText w:val="%5."/>
      <w:lvlJc w:val="left"/>
      <w:pPr>
        <w:ind w:left="4964" w:hanging="360"/>
      </w:pPr>
    </w:lvl>
    <w:lvl w:ilvl="5" w:tplc="0C09001B" w:tentative="1">
      <w:start w:val="1"/>
      <w:numFmt w:val="lowerRoman"/>
      <w:lvlText w:val="%6."/>
      <w:lvlJc w:val="right"/>
      <w:pPr>
        <w:ind w:left="5684" w:hanging="180"/>
      </w:pPr>
    </w:lvl>
    <w:lvl w:ilvl="6" w:tplc="0C09000F" w:tentative="1">
      <w:start w:val="1"/>
      <w:numFmt w:val="decimal"/>
      <w:lvlText w:val="%7."/>
      <w:lvlJc w:val="left"/>
      <w:pPr>
        <w:ind w:left="6404" w:hanging="360"/>
      </w:pPr>
    </w:lvl>
    <w:lvl w:ilvl="7" w:tplc="0C090019" w:tentative="1">
      <w:start w:val="1"/>
      <w:numFmt w:val="lowerLetter"/>
      <w:lvlText w:val="%8."/>
      <w:lvlJc w:val="left"/>
      <w:pPr>
        <w:ind w:left="7124" w:hanging="360"/>
      </w:pPr>
    </w:lvl>
    <w:lvl w:ilvl="8" w:tplc="0C09001B" w:tentative="1">
      <w:start w:val="1"/>
      <w:numFmt w:val="lowerRoman"/>
      <w:lvlText w:val="%9."/>
      <w:lvlJc w:val="right"/>
      <w:pPr>
        <w:ind w:left="7844" w:hanging="180"/>
      </w:pPr>
    </w:lvl>
  </w:abstractNum>
  <w:abstractNum w:abstractNumId="32">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5">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0D33755"/>
    <w:multiLevelType w:val="hybridMultilevel"/>
    <w:tmpl w:val="5F8E4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5410A2F"/>
    <w:multiLevelType w:val="hybridMultilevel"/>
    <w:tmpl w:val="A348783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3"/>
  </w:num>
  <w:num w:numId="4">
    <w:abstractNumId w:val="41"/>
  </w:num>
  <w:num w:numId="5">
    <w:abstractNumId w:val="34"/>
  </w:num>
  <w:num w:numId="6">
    <w:abstractNumId w:val="25"/>
  </w:num>
  <w:num w:numId="7">
    <w:abstractNumId w:val="15"/>
  </w:num>
  <w:num w:numId="8">
    <w:abstractNumId w:val="24"/>
  </w:num>
  <w:num w:numId="9">
    <w:abstractNumId w:val="42"/>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0"/>
  </w:num>
  <w:num w:numId="20">
    <w:abstractNumId w:val="14"/>
  </w:num>
  <w:num w:numId="21">
    <w:abstractNumId w:val="21"/>
  </w:num>
  <w:num w:numId="22">
    <w:abstractNumId w:val="12"/>
  </w:num>
  <w:num w:numId="23">
    <w:abstractNumId w:val="16"/>
  </w:num>
  <w:num w:numId="24">
    <w:abstractNumId w:val="31"/>
  </w:num>
  <w:num w:numId="25">
    <w:abstractNumId w:val="23"/>
  </w:num>
  <w:num w:numId="26">
    <w:abstractNumId w:val="28"/>
  </w:num>
  <w:num w:numId="27">
    <w:abstractNumId w:val="18"/>
  </w:num>
  <w:num w:numId="28">
    <w:abstractNumId w:val="40"/>
  </w:num>
  <w:num w:numId="29">
    <w:abstractNumId w:val="26"/>
  </w:num>
  <w:num w:numId="30">
    <w:abstractNumId w:val="11"/>
  </w:num>
  <w:num w:numId="31">
    <w:abstractNumId w:val="3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removePersonalInformation/>
  <w:embedSystemFonts/>
  <w:proofState w:spelling="clean" w:grammar="clean"/>
  <w:stylePaneFormatFilter w:val="7804"/>
  <w:stylePaneSortMethod w:val="0000"/>
  <w:defaultTabStop w:val="425"/>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8678EB"/>
    <w:rsid w:val="00000348"/>
    <w:rsid w:val="00000CB3"/>
    <w:rsid w:val="00001C84"/>
    <w:rsid w:val="00002024"/>
    <w:rsid w:val="000039D7"/>
    <w:rsid w:val="00005F59"/>
    <w:rsid w:val="0000613B"/>
    <w:rsid w:val="00006149"/>
    <w:rsid w:val="00007D19"/>
    <w:rsid w:val="00007F24"/>
    <w:rsid w:val="000110FE"/>
    <w:rsid w:val="00012088"/>
    <w:rsid w:val="00012B72"/>
    <w:rsid w:val="000135B3"/>
    <w:rsid w:val="000143B6"/>
    <w:rsid w:val="00015289"/>
    <w:rsid w:val="00016484"/>
    <w:rsid w:val="00017672"/>
    <w:rsid w:val="0002226E"/>
    <w:rsid w:val="00023D89"/>
    <w:rsid w:val="000248C7"/>
    <w:rsid w:val="000258A0"/>
    <w:rsid w:val="0002647C"/>
    <w:rsid w:val="00027E8D"/>
    <w:rsid w:val="0003074B"/>
    <w:rsid w:val="00031189"/>
    <w:rsid w:val="00032472"/>
    <w:rsid w:val="00032F8E"/>
    <w:rsid w:val="00033F8F"/>
    <w:rsid w:val="00034726"/>
    <w:rsid w:val="00036984"/>
    <w:rsid w:val="0003740B"/>
    <w:rsid w:val="0003757F"/>
    <w:rsid w:val="0003764D"/>
    <w:rsid w:val="00037CDA"/>
    <w:rsid w:val="00040118"/>
    <w:rsid w:val="00041037"/>
    <w:rsid w:val="000411C9"/>
    <w:rsid w:val="00041E62"/>
    <w:rsid w:val="00042675"/>
    <w:rsid w:val="00042822"/>
    <w:rsid w:val="0004373B"/>
    <w:rsid w:val="00043BFE"/>
    <w:rsid w:val="0004479F"/>
    <w:rsid w:val="00044D8C"/>
    <w:rsid w:val="000453D0"/>
    <w:rsid w:val="00046216"/>
    <w:rsid w:val="00050664"/>
    <w:rsid w:val="00051826"/>
    <w:rsid w:val="00051EA8"/>
    <w:rsid w:val="00052B1D"/>
    <w:rsid w:val="0005423E"/>
    <w:rsid w:val="000544AC"/>
    <w:rsid w:val="000552DD"/>
    <w:rsid w:val="00056020"/>
    <w:rsid w:val="00056CDB"/>
    <w:rsid w:val="000579EE"/>
    <w:rsid w:val="00057DAD"/>
    <w:rsid w:val="00060287"/>
    <w:rsid w:val="000622A2"/>
    <w:rsid w:val="00062BBA"/>
    <w:rsid w:val="00063C97"/>
    <w:rsid w:val="000643E5"/>
    <w:rsid w:val="00064B76"/>
    <w:rsid w:val="00064F51"/>
    <w:rsid w:val="00065A57"/>
    <w:rsid w:val="00066332"/>
    <w:rsid w:val="00066A91"/>
    <w:rsid w:val="00066EF9"/>
    <w:rsid w:val="00067142"/>
    <w:rsid w:val="00067A31"/>
    <w:rsid w:val="000731B2"/>
    <w:rsid w:val="00073488"/>
    <w:rsid w:val="00073E5D"/>
    <w:rsid w:val="000747CF"/>
    <w:rsid w:val="00074AB4"/>
    <w:rsid w:val="00077DA1"/>
    <w:rsid w:val="00080572"/>
    <w:rsid w:val="000805C9"/>
    <w:rsid w:val="00080762"/>
    <w:rsid w:val="000813F8"/>
    <w:rsid w:val="000817AA"/>
    <w:rsid w:val="00082BCD"/>
    <w:rsid w:val="00083EA0"/>
    <w:rsid w:val="00084200"/>
    <w:rsid w:val="00084969"/>
    <w:rsid w:val="00086316"/>
    <w:rsid w:val="00090D8B"/>
    <w:rsid w:val="00092372"/>
    <w:rsid w:val="00095677"/>
    <w:rsid w:val="000967FA"/>
    <w:rsid w:val="00097167"/>
    <w:rsid w:val="00097203"/>
    <w:rsid w:val="000974E1"/>
    <w:rsid w:val="000978C5"/>
    <w:rsid w:val="000A25C2"/>
    <w:rsid w:val="000A2ED3"/>
    <w:rsid w:val="000A3BC9"/>
    <w:rsid w:val="000A4314"/>
    <w:rsid w:val="000A5113"/>
    <w:rsid w:val="000A71D4"/>
    <w:rsid w:val="000A7903"/>
    <w:rsid w:val="000B0064"/>
    <w:rsid w:val="000B042A"/>
    <w:rsid w:val="000B0D60"/>
    <w:rsid w:val="000B177D"/>
    <w:rsid w:val="000B2B15"/>
    <w:rsid w:val="000B4DA5"/>
    <w:rsid w:val="000B5B0B"/>
    <w:rsid w:val="000B5DCB"/>
    <w:rsid w:val="000C2287"/>
    <w:rsid w:val="000C252C"/>
    <w:rsid w:val="000C563E"/>
    <w:rsid w:val="000C5D0D"/>
    <w:rsid w:val="000C61CF"/>
    <w:rsid w:val="000C66B5"/>
    <w:rsid w:val="000D06DE"/>
    <w:rsid w:val="000D22A0"/>
    <w:rsid w:val="000D294C"/>
    <w:rsid w:val="000D2BE6"/>
    <w:rsid w:val="000D2D22"/>
    <w:rsid w:val="000D2FFA"/>
    <w:rsid w:val="000D3064"/>
    <w:rsid w:val="000D354C"/>
    <w:rsid w:val="000D3A45"/>
    <w:rsid w:val="000D40E2"/>
    <w:rsid w:val="000D5605"/>
    <w:rsid w:val="000D5F02"/>
    <w:rsid w:val="000D628D"/>
    <w:rsid w:val="000D698B"/>
    <w:rsid w:val="000D7205"/>
    <w:rsid w:val="000E1100"/>
    <w:rsid w:val="000E13DE"/>
    <w:rsid w:val="000E1476"/>
    <w:rsid w:val="000E2406"/>
    <w:rsid w:val="000E2AF3"/>
    <w:rsid w:val="000E2E9E"/>
    <w:rsid w:val="000E2FCF"/>
    <w:rsid w:val="000E4D39"/>
    <w:rsid w:val="000E4D6C"/>
    <w:rsid w:val="000E502F"/>
    <w:rsid w:val="000E64D8"/>
    <w:rsid w:val="000E6BD8"/>
    <w:rsid w:val="000E750C"/>
    <w:rsid w:val="000F0319"/>
    <w:rsid w:val="000F081D"/>
    <w:rsid w:val="000F0E74"/>
    <w:rsid w:val="000F27F3"/>
    <w:rsid w:val="000F2EBE"/>
    <w:rsid w:val="000F31F8"/>
    <w:rsid w:val="000F39FE"/>
    <w:rsid w:val="000F63D8"/>
    <w:rsid w:val="000F674F"/>
    <w:rsid w:val="000F6F6B"/>
    <w:rsid w:val="000F7841"/>
    <w:rsid w:val="00102896"/>
    <w:rsid w:val="00103111"/>
    <w:rsid w:val="001033B1"/>
    <w:rsid w:val="001058CA"/>
    <w:rsid w:val="00105911"/>
    <w:rsid w:val="00106174"/>
    <w:rsid w:val="00107E81"/>
    <w:rsid w:val="00110067"/>
    <w:rsid w:val="001104D5"/>
    <w:rsid w:val="001127DE"/>
    <w:rsid w:val="0011343D"/>
    <w:rsid w:val="0011414A"/>
    <w:rsid w:val="00117459"/>
    <w:rsid w:val="00120B49"/>
    <w:rsid w:val="001217E6"/>
    <w:rsid w:val="00121A23"/>
    <w:rsid w:val="00122351"/>
    <w:rsid w:val="00123118"/>
    <w:rsid w:val="00124559"/>
    <w:rsid w:val="001245D0"/>
    <w:rsid w:val="00124D51"/>
    <w:rsid w:val="00126AEF"/>
    <w:rsid w:val="0012715B"/>
    <w:rsid w:val="001300B0"/>
    <w:rsid w:val="0013628E"/>
    <w:rsid w:val="001369B9"/>
    <w:rsid w:val="00136DCF"/>
    <w:rsid w:val="00137A06"/>
    <w:rsid w:val="00140179"/>
    <w:rsid w:val="0014053E"/>
    <w:rsid w:val="00140EBC"/>
    <w:rsid w:val="00142EC4"/>
    <w:rsid w:val="001434C6"/>
    <w:rsid w:val="001435CC"/>
    <w:rsid w:val="0014387D"/>
    <w:rsid w:val="001439C7"/>
    <w:rsid w:val="00143B3B"/>
    <w:rsid w:val="00143C7B"/>
    <w:rsid w:val="00143D59"/>
    <w:rsid w:val="001443B4"/>
    <w:rsid w:val="00144E82"/>
    <w:rsid w:val="00145A70"/>
    <w:rsid w:val="001476F6"/>
    <w:rsid w:val="00147926"/>
    <w:rsid w:val="00147FD5"/>
    <w:rsid w:val="00151783"/>
    <w:rsid w:val="00151A3C"/>
    <w:rsid w:val="0015270A"/>
    <w:rsid w:val="001532D6"/>
    <w:rsid w:val="00153900"/>
    <w:rsid w:val="00154AA1"/>
    <w:rsid w:val="00156236"/>
    <w:rsid w:val="00157F9E"/>
    <w:rsid w:val="0016083E"/>
    <w:rsid w:val="00170675"/>
    <w:rsid w:val="00171366"/>
    <w:rsid w:val="0017255A"/>
    <w:rsid w:val="00172839"/>
    <w:rsid w:val="00173154"/>
    <w:rsid w:val="00174847"/>
    <w:rsid w:val="0017505D"/>
    <w:rsid w:val="001760A6"/>
    <w:rsid w:val="00176D25"/>
    <w:rsid w:val="001776B2"/>
    <w:rsid w:val="00177A77"/>
    <w:rsid w:val="00180ABD"/>
    <w:rsid w:val="00182E3C"/>
    <w:rsid w:val="00182E6C"/>
    <w:rsid w:val="00183531"/>
    <w:rsid w:val="00184268"/>
    <w:rsid w:val="001842A4"/>
    <w:rsid w:val="00184406"/>
    <w:rsid w:val="00184B5E"/>
    <w:rsid w:val="00190AB5"/>
    <w:rsid w:val="00194039"/>
    <w:rsid w:val="00195069"/>
    <w:rsid w:val="00196087"/>
    <w:rsid w:val="00196110"/>
    <w:rsid w:val="00196826"/>
    <w:rsid w:val="00196DA5"/>
    <w:rsid w:val="001979DC"/>
    <w:rsid w:val="001A088A"/>
    <w:rsid w:val="001A15AC"/>
    <w:rsid w:val="001A17CE"/>
    <w:rsid w:val="001A2297"/>
    <w:rsid w:val="001A29CA"/>
    <w:rsid w:val="001A4F28"/>
    <w:rsid w:val="001A5591"/>
    <w:rsid w:val="001A562A"/>
    <w:rsid w:val="001B00CC"/>
    <w:rsid w:val="001B0571"/>
    <w:rsid w:val="001B0B41"/>
    <w:rsid w:val="001B129B"/>
    <w:rsid w:val="001B202A"/>
    <w:rsid w:val="001B23AE"/>
    <w:rsid w:val="001B26A5"/>
    <w:rsid w:val="001B2D72"/>
    <w:rsid w:val="001B3CAD"/>
    <w:rsid w:val="001B4173"/>
    <w:rsid w:val="001B5C2A"/>
    <w:rsid w:val="001B642F"/>
    <w:rsid w:val="001B644D"/>
    <w:rsid w:val="001B7250"/>
    <w:rsid w:val="001B7C15"/>
    <w:rsid w:val="001C0768"/>
    <w:rsid w:val="001C1A73"/>
    <w:rsid w:val="001C1C3E"/>
    <w:rsid w:val="001C3392"/>
    <w:rsid w:val="001C36F6"/>
    <w:rsid w:val="001C3788"/>
    <w:rsid w:val="001C3849"/>
    <w:rsid w:val="001C6AD2"/>
    <w:rsid w:val="001D02DA"/>
    <w:rsid w:val="001D1A5D"/>
    <w:rsid w:val="001D1ACB"/>
    <w:rsid w:val="001D4B47"/>
    <w:rsid w:val="001D5C5A"/>
    <w:rsid w:val="001D635C"/>
    <w:rsid w:val="001E0960"/>
    <w:rsid w:val="001E0B11"/>
    <w:rsid w:val="001E1B02"/>
    <w:rsid w:val="001E2ADB"/>
    <w:rsid w:val="001E40E4"/>
    <w:rsid w:val="001E4824"/>
    <w:rsid w:val="001E49E7"/>
    <w:rsid w:val="001E4C9A"/>
    <w:rsid w:val="001E647F"/>
    <w:rsid w:val="001F0A39"/>
    <w:rsid w:val="001F2588"/>
    <w:rsid w:val="001F373E"/>
    <w:rsid w:val="001F3F4C"/>
    <w:rsid w:val="001F43D4"/>
    <w:rsid w:val="001F50EC"/>
    <w:rsid w:val="001F5942"/>
    <w:rsid w:val="001F6743"/>
    <w:rsid w:val="001F7E30"/>
    <w:rsid w:val="00200310"/>
    <w:rsid w:val="002009A6"/>
    <w:rsid w:val="00200BD0"/>
    <w:rsid w:val="00201A33"/>
    <w:rsid w:val="00203E1A"/>
    <w:rsid w:val="0020552E"/>
    <w:rsid w:val="00207997"/>
    <w:rsid w:val="00210328"/>
    <w:rsid w:val="002108E5"/>
    <w:rsid w:val="00210C28"/>
    <w:rsid w:val="0021145F"/>
    <w:rsid w:val="00213788"/>
    <w:rsid w:val="002146BA"/>
    <w:rsid w:val="0021764C"/>
    <w:rsid w:val="00217A90"/>
    <w:rsid w:val="00217C89"/>
    <w:rsid w:val="00220F1C"/>
    <w:rsid w:val="002221BC"/>
    <w:rsid w:val="0022296C"/>
    <w:rsid w:val="00223A01"/>
    <w:rsid w:val="00225930"/>
    <w:rsid w:val="00225D68"/>
    <w:rsid w:val="0022621E"/>
    <w:rsid w:val="00227324"/>
    <w:rsid w:val="002274CF"/>
    <w:rsid w:val="00227F10"/>
    <w:rsid w:val="00227F25"/>
    <w:rsid w:val="00231608"/>
    <w:rsid w:val="00232329"/>
    <w:rsid w:val="002326D7"/>
    <w:rsid w:val="00233BC0"/>
    <w:rsid w:val="00234173"/>
    <w:rsid w:val="00234489"/>
    <w:rsid w:val="00235A07"/>
    <w:rsid w:val="00235E1E"/>
    <w:rsid w:val="00240C57"/>
    <w:rsid w:val="00240E9E"/>
    <w:rsid w:val="002416D8"/>
    <w:rsid w:val="00241798"/>
    <w:rsid w:val="002417CF"/>
    <w:rsid w:val="002432A9"/>
    <w:rsid w:val="0024342D"/>
    <w:rsid w:val="00243924"/>
    <w:rsid w:val="00244EE6"/>
    <w:rsid w:val="00246170"/>
    <w:rsid w:val="00246A83"/>
    <w:rsid w:val="00246C4C"/>
    <w:rsid w:val="002472BC"/>
    <w:rsid w:val="002511B2"/>
    <w:rsid w:val="00254817"/>
    <w:rsid w:val="00255070"/>
    <w:rsid w:val="00255695"/>
    <w:rsid w:val="00255D3A"/>
    <w:rsid w:val="00257896"/>
    <w:rsid w:val="00261133"/>
    <w:rsid w:val="00265027"/>
    <w:rsid w:val="00265192"/>
    <w:rsid w:val="00265BAE"/>
    <w:rsid w:val="00265F90"/>
    <w:rsid w:val="002665A8"/>
    <w:rsid w:val="00266DC8"/>
    <w:rsid w:val="00266EA7"/>
    <w:rsid w:val="00272CF9"/>
    <w:rsid w:val="00273E83"/>
    <w:rsid w:val="00273F94"/>
    <w:rsid w:val="00274717"/>
    <w:rsid w:val="002747D6"/>
    <w:rsid w:val="00274E2B"/>
    <w:rsid w:val="00277608"/>
    <w:rsid w:val="00280B8E"/>
    <w:rsid w:val="00281486"/>
    <w:rsid w:val="0028207A"/>
    <w:rsid w:val="002832F4"/>
    <w:rsid w:val="002838A9"/>
    <w:rsid w:val="0028502C"/>
    <w:rsid w:val="002866AD"/>
    <w:rsid w:val="00290184"/>
    <w:rsid w:val="00292852"/>
    <w:rsid w:val="00293143"/>
    <w:rsid w:val="00293320"/>
    <w:rsid w:val="002936C9"/>
    <w:rsid w:val="00294058"/>
    <w:rsid w:val="00294245"/>
    <w:rsid w:val="002946AC"/>
    <w:rsid w:val="00297D4C"/>
    <w:rsid w:val="002A04D7"/>
    <w:rsid w:val="002A0596"/>
    <w:rsid w:val="002A0FD9"/>
    <w:rsid w:val="002A18C9"/>
    <w:rsid w:val="002A3283"/>
    <w:rsid w:val="002A5322"/>
    <w:rsid w:val="002A627D"/>
    <w:rsid w:val="002A6992"/>
    <w:rsid w:val="002A7E6F"/>
    <w:rsid w:val="002B0EAC"/>
    <w:rsid w:val="002B1950"/>
    <w:rsid w:val="002B24AF"/>
    <w:rsid w:val="002B3384"/>
    <w:rsid w:val="002B3521"/>
    <w:rsid w:val="002B6CB3"/>
    <w:rsid w:val="002C150E"/>
    <w:rsid w:val="002C3465"/>
    <w:rsid w:val="002C361A"/>
    <w:rsid w:val="002C4D3F"/>
    <w:rsid w:val="002C7118"/>
    <w:rsid w:val="002C7DCC"/>
    <w:rsid w:val="002D0A8D"/>
    <w:rsid w:val="002D1989"/>
    <w:rsid w:val="002D21EF"/>
    <w:rsid w:val="002D33F7"/>
    <w:rsid w:val="002D3457"/>
    <w:rsid w:val="002D3F8E"/>
    <w:rsid w:val="002E167D"/>
    <w:rsid w:val="002E2E64"/>
    <w:rsid w:val="002E318A"/>
    <w:rsid w:val="002E39E0"/>
    <w:rsid w:val="002E4149"/>
    <w:rsid w:val="002E62E4"/>
    <w:rsid w:val="002E6C98"/>
    <w:rsid w:val="002E716E"/>
    <w:rsid w:val="002E7EE0"/>
    <w:rsid w:val="002F0949"/>
    <w:rsid w:val="002F0C47"/>
    <w:rsid w:val="002F1381"/>
    <w:rsid w:val="002F242B"/>
    <w:rsid w:val="002F279D"/>
    <w:rsid w:val="002F32CF"/>
    <w:rsid w:val="002F365F"/>
    <w:rsid w:val="002F3F9B"/>
    <w:rsid w:val="002F4A68"/>
    <w:rsid w:val="002F664A"/>
    <w:rsid w:val="00301367"/>
    <w:rsid w:val="003017D9"/>
    <w:rsid w:val="003017DC"/>
    <w:rsid w:val="00301A58"/>
    <w:rsid w:val="00301C22"/>
    <w:rsid w:val="0030471D"/>
    <w:rsid w:val="00304763"/>
    <w:rsid w:val="00304B79"/>
    <w:rsid w:val="00305E0E"/>
    <w:rsid w:val="00305FE4"/>
    <w:rsid w:val="00306B45"/>
    <w:rsid w:val="00306EFA"/>
    <w:rsid w:val="003109FB"/>
    <w:rsid w:val="0031117B"/>
    <w:rsid w:val="0031173E"/>
    <w:rsid w:val="003127F8"/>
    <w:rsid w:val="00317146"/>
    <w:rsid w:val="003177B1"/>
    <w:rsid w:val="0032132B"/>
    <w:rsid w:val="00321884"/>
    <w:rsid w:val="00322A07"/>
    <w:rsid w:val="00322CCD"/>
    <w:rsid w:val="00323299"/>
    <w:rsid w:val="0032493D"/>
    <w:rsid w:val="00325732"/>
    <w:rsid w:val="003257CA"/>
    <w:rsid w:val="0032598E"/>
    <w:rsid w:val="00326D51"/>
    <w:rsid w:val="00326F65"/>
    <w:rsid w:val="00327822"/>
    <w:rsid w:val="00327871"/>
    <w:rsid w:val="00330A3B"/>
    <w:rsid w:val="00331757"/>
    <w:rsid w:val="00331991"/>
    <w:rsid w:val="00332096"/>
    <w:rsid w:val="00332292"/>
    <w:rsid w:val="0033258A"/>
    <w:rsid w:val="00332C68"/>
    <w:rsid w:val="0033313B"/>
    <w:rsid w:val="00333A4F"/>
    <w:rsid w:val="003351CD"/>
    <w:rsid w:val="00335540"/>
    <w:rsid w:val="00335878"/>
    <w:rsid w:val="00340AA4"/>
    <w:rsid w:val="00345056"/>
    <w:rsid w:val="003456E8"/>
    <w:rsid w:val="00345B34"/>
    <w:rsid w:val="0034760F"/>
    <w:rsid w:val="00347CDE"/>
    <w:rsid w:val="00350078"/>
    <w:rsid w:val="0035186D"/>
    <w:rsid w:val="00351C4E"/>
    <w:rsid w:val="00352431"/>
    <w:rsid w:val="00352B83"/>
    <w:rsid w:val="00354158"/>
    <w:rsid w:val="00354E4F"/>
    <w:rsid w:val="00355B0B"/>
    <w:rsid w:val="00355D55"/>
    <w:rsid w:val="003568B6"/>
    <w:rsid w:val="00357571"/>
    <w:rsid w:val="003613CA"/>
    <w:rsid w:val="00364190"/>
    <w:rsid w:val="00364922"/>
    <w:rsid w:val="00366DC1"/>
    <w:rsid w:val="00367ED0"/>
    <w:rsid w:val="00371935"/>
    <w:rsid w:val="00371E2D"/>
    <w:rsid w:val="00373A91"/>
    <w:rsid w:val="00374378"/>
    <w:rsid w:val="0037459E"/>
    <w:rsid w:val="00375119"/>
    <w:rsid w:val="00377DAC"/>
    <w:rsid w:val="00380FB2"/>
    <w:rsid w:val="00380FF8"/>
    <w:rsid w:val="003815DA"/>
    <w:rsid w:val="00381C39"/>
    <w:rsid w:val="003820E5"/>
    <w:rsid w:val="00382276"/>
    <w:rsid w:val="00382557"/>
    <w:rsid w:val="00383E33"/>
    <w:rsid w:val="00384D1D"/>
    <w:rsid w:val="0039016F"/>
    <w:rsid w:val="00390A97"/>
    <w:rsid w:val="00392C99"/>
    <w:rsid w:val="003939A2"/>
    <w:rsid w:val="0039403C"/>
    <w:rsid w:val="00396A0F"/>
    <w:rsid w:val="00396C50"/>
    <w:rsid w:val="0039749E"/>
    <w:rsid w:val="003A080E"/>
    <w:rsid w:val="003A34AE"/>
    <w:rsid w:val="003A4290"/>
    <w:rsid w:val="003A4CFF"/>
    <w:rsid w:val="003A4F97"/>
    <w:rsid w:val="003A5085"/>
    <w:rsid w:val="003A60D2"/>
    <w:rsid w:val="003A6158"/>
    <w:rsid w:val="003A641D"/>
    <w:rsid w:val="003A644D"/>
    <w:rsid w:val="003A72A8"/>
    <w:rsid w:val="003B114C"/>
    <w:rsid w:val="003B1650"/>
    <w:rsid w:val="003B1B8C"/>
    <w:rsid w:val="003B4E23"/>
    <w:rsid w:val="003B64F6"/>
    <w:rsid w:val="003B6AAD"/>
    <w:rsid w:val="003B7386"/>
    <w:rsid w:val="003B777A"/>
    <w:rsid w:val="003C0285"/>
    <w:rsid w:val="003C1E61"/>
    <w:rsid w:val="003C32EE"/>
    <w:rsid w:val="003C3DD9"/>
    <w:rsid w:val="003C452F"/>
    <w:rsid w:val="003C6853"/>
    <w:rsid w:val="003C6F94"/>
    <w:rsid w:val="003C7BBB"/>
    <w:rsid w:val="003D1FE2"/>
    <w:rsid w:val="003D2506"/>
    <w:rsid w:val="003D2E8E"/>
    <w:rsid w:val="003D5AFA"/>
    <w:rsid w:val="003D66D2"/>
    <w:rsid w:val="003D6780"/>
    <w:rsid w:val="003D7C75"/>
    <w:rsid w:val="003E0AF3"/>
    <w:rsid w:val="003E1765"/>
    <w:rsid w:val="003E1BFC"/>
    <w:rsid w:val="003E2DCB"/>
    <w:rsid w:val="003E3106"/>
    <w:rsid w:val="003E3108"/>
    <w:rsid w:val="003E3187"/>
    <w:rsid w:val="003E352A"/>
    <w:rsid w:val="003E3A1B"/>
    <w:rsid w:val="003E4310"/>
    <w:rsid w:val="003E49CC"/>
    <w:rsid w:val="003E6641"/>
    <w:rsid w:val="003E7325"/>
    <w:rsid w:val="003E7BF9"/>
    <w:rsid w:val="003F11FC"/>
    <w:rsid w:val="003F258F"/>
    <w:rsid w:val="003F2B25"/>
    <w:rsid w:val="003F2FF2"/>
    <w:rsid w:val="003F4530"/>
    <w:rsid w:val="003F58A1"/>
    <w:rsid w:val="003F61C0"/>
    <w:rsid w:val="003F6B10"/>
    <w:rsid w:val="003F7EF1"/>
    <w:rsid w:val="004004A5"/>
    <w:rsid w:val="00400C6D"/>
    <w:rsid w:val="0040186F"/>
    <w:rsid w:val="00401BF7"/>
    <w:rsid w:val="00402812"/>
    <w:rsid w:val="00402D89"/>
    <w:rsid w:val="004040B2"/>
    <w:rsid w:val="00404E41"/>
    <w:rsid w:val="00404ED5"/>
    <w:rsid w:val="00405808"/>
    <w:rsid w:val="00405C48"/>
    <w:rsid w:val="00405D66"/>
    <w:rsid w:val="00405DBC"/>
    <w:rsid w:val="0040665C"/>
    <w:rsid w:val="004073FF"/>
    <w:rsid w:val="004077A2"/>
    <w:rsid w:val="00407A73"/>
    <w:rsid w:val="00410493"/>
    <w:rsid w:val="00412EE5"/>
    <w:rsid w:val="004143FC"/>
    <w:rsid w:val="0041465D"/>
    <w:rsid w:val="00415A27"/>
    <w:rsid w:val="00415A3E"/>
    <w:rsid w:val="00415BE7"/>
    <w:rsid w:val="00416302"/>
    <w:rsid w:val="00416635"/>
    <w:rsid w:val="004209C0"/>
    <w:rsid w:val="00421861"/>
    <w:rsid w:val="00422F21"/>
    <w:rsid w:val="0042345B"/>
    <w:rsid w:val="00423DA5"/>
    <w:rsid w:val="00424E36"/>
    <w:rsid w:val="00425BDD"/>
    <w:rsid w:val="00425DB3"/>
    <w:rsid w:val="00430D5F"/>
    <w:rsid w:val="00430FC3"/>
    <w:rsid w:val="004327A6"/>
    <w:rsid w:val="00433AE2"/>
    <w:rsid w:val="00433C3F"/>
    <w:rsid w:val="00435726"/>
    <w:rsid w:val="00436098"/>
    <w:rsid w:val="00436219"/>
    <w:rsid w:val="00436C5C"/>
    <w:rsid w:val="00436F89"/>
    <w:rsid w:val="00437B80"/>
    <w:rsid w:val="00441379"/>
    <w:rsid w:val="00442227"/>
    <w:rsid w:val="00442A33"/>
    <w:rsid w:val="00442D45"/>
    <w:rsid w:val="00442DE9"/>
    <w:rsid w:val="00443EC5"/>
    <w:rsid w:val="00444507"/>
    <w:rsid w:val="00444584"/>
    <w:rsid w:val="0044653F"/>
    <w:rsid w:val="004502BB"/>
    <w:rsid w:val="004503EC"/>
    <w:rsid w:val="00451CFA"/>
    <w:rsid w:val="00452C13"/>
    <w:rsid w:val="00453C96"/>
    <w:rsid w:val="0046192A"/>
    <w:rsid w:val="00461EF2"/>
    <w:rsid w:val="004626B8"/>
    <w:rsid w:val="00462E32"/>
    <w:rsid w:val="004632DA"/>
    <w:rsid w:val="004632EF"/>
    <w:rsid w:val="00463E97"/>
    <w:rsid w:val="0046401B"/>
    <w:rsid w:val="00465568"/>
    <w:rsid w:val="00465BC3"/>
    <w:rsid w:val="00467DB4"/>
    <w:rsid w:val="004726FC"/>
    <w:rsid w:val="00475CF2"/>
    <w:rsid w:val="00476141"/>
    <w:rsid w:val="00476C74"/>
    <w:rsid w:val="00477BB5"/>
    <w:rsid w:val="00480037"/>
    <w:rsid w:val="004803D4"/>
    <w:rsid w:val="00482899"/>
    <w:rsid w:val="0048389C"/>
    <w:rsid w:val="00483FFA"/>
    <w:rsid w:val="0048429E"/>
    <w:rsid w:val="0048479B"/>
    <w:rsid w:val="00487B34"/>
    <w:rsid w:val="00487EF6"/>
    <w:rsid w:val="0049064A"/>
    <w:rsid w:val="00491433"/>
    <w:rsid w:val="00491D4B"/>
    <w:rsid w:val="00491F86"/>
    <w:rsid w:val="00492223"/>
    <w:rsid w:val="00492475"/>
    <w:rsid w:val="0049259E"/>
    <w:rsid w:val="004938A3"/>
    <w:rsid w:val="00493992"/>
    <w:rsid w:val="00494B55"/>
    <w:rsid w:val="00495524"/>
    <w:rsid w:val="004971E4"/>
    <w:rsid w:val="004A0544"/>
    <w:rsid w:val="004A1EEA"/>
    <w:rsid w:val="004A3428"/>
    <w:rsid w:val="004A37E5"/>
    <w:rsid w:val="004A58CC"/>
    <w:rsid w:val="004A60E6"/>
    <w:rsid w:val="004A7AE5"/>
    <w:rsid w:val="004B02A7"/>
    <w:rsid w:val="004B1C03"/>
    <w:rsid w:val="004B4183"/>
    <w:rsid w:val="004B4BEB"/>
    <w:rsid w:val="004B4EA7"/>
    <w:rsid w:val="004B5B4A"/>
    <w:rsid w:val="004B644E"/>
    <w:rsid w:val="004B6BF9"/>
    <w:rsid w:val="004B7C84"/>
    <w:rsid w:val="004C0838"/>
    <w:rsid w:val="004C1309"/>
    <w:rsid w:val="004C144E"/>
    <w:rsid w:val="004C1836"/>
    <w:rsid w:val="004C1A87"/>
    <w:rsid w:val="004C3251"/>
    <w:rsid w:val="004C5AFE"/>
    <w:rsid w:val="004C5E04"/>
    <w:rsid w:val="004C627D"/>
    <w:rsid w:val="004C6902"/>
    <w:rsid w:val="004C799E"/>
    <w:rsid w:val="004C7E88"/>
    <w:rsid w:val="004D256F"/>
    <w:rsid w:val="004D2930"/>
    <w:rsid w:val="004D2BCF"/>
    <w:rsid w:val="004D6894"/>
    <w:rsid w:val="004E1067"/>
    <w:rsid w:val="004E1AB1"/>
    <w:rsid w:val="004E214A"/>
    <w:rsid w:val="004E241E"/>
    <w:rsid w:val="004E667C"/>
    <w:rsid w:val="004E6A10"/>
    <w:rsid w:val="004E76AE"/>
    <w:rsid w:val="004E7A61"/>
    <w:rsid w:val="004F0122"/>
    <w:rsid w:val="004F0AA0"/>
    <w:rsid w:val="004F1247"/>
    <w:rsid w:val="004F17F7"/>
    <w:rsid w:val="004F1C5A"/>
    <w:rsid w:val="004F2184"/>
    <w:rsid w:val="004F2FAE"/>
    <w:rsid w:val="004F44AB"/>
    <w:rsid w:val="004F5362"/>
    <w:rsid w:val="004F7026"/>
    <w:rsid w:val="00500012"/>
    <w:rsid w:val="00502DD0"/>
    <w:rsid w:val="00505FCA"/>
    <w:rsid w:val="00505FCF"/>
    <w:rsid w:val="00507791"/>
    <w:rsid w:val="00511EAF"/>
    <w:rsid w:val="00512342"/>
    <w:rsid w:val="005155DC"/>
    <w:rsid w:val="005170E0"/>
    <w:rsid w:val="00517E97"/>
    <w:rsid w:val="00517FAE"/>
    <w:rsid w:val="00521933"/>
    <w:rsid w:val="00521EC4"/>
    <w:rsid w:val="0052240C"/>
    <w:rsid w:val="00522C6C"/>
    <w:rsid w:val="00522F5C"/>
    <w:rsid w:val="00525AF0"/>
    <w:rsid w:val="00525F0E"/>
    <w:rsid w:val="005276E4"/>
    <w:rsid w:val="00531333"/>
    <w:rsid w:val="00531C0C"/>
    <w:rsid w:val="00531DD9"/>
    <w:rsid w:val="00532D74"/>
    <w:rsid w:val="00533F0F"/>
    <w:rsid w:val="005340F1"/>
    <w:rsid w:val="005352DD"/>
    <w:rsid w:val="0053545A"/>
    <w:rsid w:val="00536929"/>
    <w:rsid w:val="00537193"/>
    <w:rsid w:val="00537A1E"/>
    <w:rsid w:val="00537B4E"/>
    <w:rsid w:val="00540465"/>
    <w:rsid w:val="00541890"/>
    <w:rsid w:val="005419B5"/>
    <w:rsid w:val="00543ADB"/>
    <w:rsid w:val="005441DF"/>
    <w:rsid w:val="005445C9"/>
    <w:rsid w:val="005455BF"/>
    <w:rsid w:val="00547E30"/>
    <w:rsid w:val="00550260"/>
    <w:rsid w:val="005507B8"/>
    <w:rsid w:val="00550B63"/>
    <w:rsid w:val="005521DD"/>
    <w:rsid w:val="0055370A"/>
    <w:rsid w:val="00553B8A"/>
    <w:rsid w:val="00554B06"/>
    <w:rsid w:val="005556A2"/>
    <w:rsid w:val="00555D8F"/>
    <w:rsid w:val="0056049F"/>
    <w:rsid w:val="0056240B"/>
    <w:rsid w:val="00562634"/>
    <w:rsid w:val="005630E2"/>
    <w:rsid w:val="00563844"/>
    <w:rsid w:val="00564BE6"/>
    <w:rsid w:val="005678AC"/>
    <w:rsid w:val="00571ACA"/>
    <w:rsid w:val="00574D2B"/>
    <w:rsid w:val="00574E8A"/>
    <w:rsid w:val="005758EF"/>
    <w:rsid w:val="00575A35"/>
    <w:rsid w:val="00582C28"/>
    <w:rsid w:val="00583629"/>
    <w:rsid w:val="00584F3F"/>
    <w:rsid w:val="0058500D"/>
    <w:rsid w:val="005859A2"/>
    <w:rsid w:val="0058653A"/>
    <w:rsid w:val="00586C23"/>
    <w:rsid w:val="005875C3"/>
    <w:rsid w:val="00587FCC"/>
    <w:rsid w:val="00590163"/>
    <w:rsid w:val="005915D0"/>
    <w:rsid w:val="00592607"/>
    <w:rsid w:val="00593496"/>
    <w:rsid w:val="005936A9"/>
    <w:rsid w:val="00594537"/>
    <w:rsid w:val="00595849"/>
    <w:rsid w:val="005A0240"/>
    <w:rsid w:val="005A04BC"/>
    <w:rsid w:val="005A0814"/>
    <w:rsid w:val="005A2FA1"/>
    <w:rsid w:val="005A323A"/>
    <w:rsid w:val="005A4766"/>
    <w:rsid w:val="005A4CE2"/>
    <w:rsid w:val="005A50C8"/>
    <w:rsid w:val="005A6EA9"/>
    <w:rsid w:val="005B16F0"/>
    <w:rsid w:val="005B1ECE"/>
    <w:rsid w:val="005B249C"/>
    <w:rsid w:val="005B29AD"/>
    <w:rsid w:val="005B29E0"/>
    <w:rsid w:val="005B360A"/>
    <w:rsid w:val="005B42FE"/>
    <w:rsid w:val="005B5048"/>
    <w:rsid w:val="005B52E3"/>
    <w:rsid w:val="005B5536"/>
    <w:rsid w:val="005B63B2"/>
    <w:rsid w:val="005B7033"/>
    <w:rsid w:val="005B7FBA"/>
    <w:rsid w:val="005C3371"/>
    <w:rsid w:val="005C4372"/>
    <w:rsid w:val="005D1FCA"/>
    <w:rsid w:val="005D24E5"/>
    <w:rsid w:val="005D4CA5"/>
    <w:rsid w:val="005D7C25"/>
    <w:rsid w:val="005E017E"/>
    <w:rsid w:val="005E05A0"/>
    <w:rsid w:val="005E0910"/>
    <w:rsid w:val="005E2288"/>
    <w:rsid w:val="005E4033"/>
    <w:rsid w:val="005E4601"/>
    <w:rsid w:val="005E6B39"/>
    <w:rsid w:val="005E6E4E"/>
    <w:rsid w:val="005E736A"/>
    <w:rsid w:val="005F1D59"/>
    <w:rsid w:val="005F1DF4"/>
    <w:rsid w:val="005F253E"/>
    <w:rsid w:val="005F27EF"/>
    <w:rsid w:val="005F60DB"/>
    <w:rsid w:val="005F6682"/>
    <w:rsid w:val="005F7DD7"/>
    <w:rsid w:val="006006CF"/>
    <w:rsid w:val="00600FB4"/>
    <w:rsid w:val="00602E88"/>
    <w:rsid w:val="00603F7B"/>
    <w:rsid w:val="00604125"/>
    <w:rsid w:val="006043E0"/>
    <w:rsid w:val="00604800"/>
    <w:rsid w:val="00605ADC"/>
    <w:rsid w:val="00606ADD"/>
    <w:rsid w:val="00610441"/>
    <w:rsid w:val="00610DA3"/>
    <w:rsid w:val="006122E1"/>
    <w:rsid w:val="00612C3D"/>
    <w:rsid w:val="00613268"/>
    <w:rsid w:val="006147BE"/>
    <w:rsid w:val="00614DD6"/>
    <w:rsid w:val="006155C4"/>
    <w:rsid w:val="006161F8"/>
    <w:rsid w:val="00616491"/>
    <w:rsid w:val="00617196"/>
    <w:rsid w:val="00620844"/>
    <w:rsid w:val="00623FA5"/>
    <w:rsid w:val="006241D9"/>
    <w:rsid w:val="0062440A"/>
    <w:rsid w:val="00624515"/>
    <w:rsid w:val="0062512C"/>
    <w:rsid w:val="00625181"/>
    <w:rsid w:val="00626A8E"/>
    <w:rsid w:val="00626BD3"/>
    <w:rsid w:val="00626D6A"/>
    <w:rsid w:val="006303D7"/>
    <w:rsid w:val="00630B9E"/>
    <w:rsid w:val="00630E49"/>
    <w:rsid w:val="006337BB"/>
    <w:rsid w:val="00635062"/>
    <w:rsid w:val="006359F9"/>
    <w:rsid w:val="00636199"/>
    <w:rsid w:val="0063657F"/>
    <w:rsid w:val="00636C21"/>
    <w:rsid w:val="006376CC"/>
    <w:rsid w:val="00637C40"/>
    <w:rsid w:val="00641007"/>
    <w:rsid w:val="00642C1E"/>
    <w:rsid w:val="00642DE1"/>
    <w:rsid w:val="00644832"/>
    <w:rsid w:val="006448E4"/>
    <w:rsid w:val="0064647A"/>
    <w:rsid w:val="0064667D"/>
    <w:rsid w:val="00646B02"/>
    <w:rsid w:val="00646D73"/>
    <w:rsid w:val="00647EC6"/>
    <w:rsid w:val="0065130D"/>
    <w:rsid w:val="00652BBE"/>
    <w:rsid w:val="00653449"/>
    <w:rsid w:val="0065413D"/>
    <w:rsid w:val="00654DAF"/>
    <w:rsid w:val="00656087"/>
    <w:rsid w:val="00656C28"/>
    <w:rsid w:val="006574AB"/>
    <w:rsid w:val="00660B87"/>
    <w:rsid w:val="00662B72"/>
    <w:rsid w:val="00662F05"/>
    <w:rsid w:val="00662F86"/>
    <w:rsid w:val="00663178"/>
    <w:rsid w:val="00663ADA"/>
    <w:rsid w:val="0066445F"/>
    <w:rsid w:val="00665284"/>
    <w:rsid w:val="00665AEC"/>
    <w:rsid w:val="00666AB2"/>
    <w:rsid w:val="0066733F"/>
    <w:rsid w:val="00667570"/>
    <w:rsid w:val="006738A8"/>
    <w:rsid w:val="00674E64"/>
    <w:rsid w:val="00675E9D"/>
    <w:rsid w:val="00677317"/>
    <w:rsid w:val="006775C7"/>
    <w:rsid w:val="0068239C"/>
    <w:rsid w:val="006829B7"/>
    <w:rsid w:val="00683E42"/>
    <w:rsid w:val="006843E1"/>
    <w:rsid w:val="0068442B"/>
    <w:rsid w:val="006848CF"/>
    <w:rsid w:val="00685DC9"/>
    <w:rsid w:val="00687F6F"/>
    <w:rsid w:val="00692892"/>
    <w:rsid w:val="00692ED7"/>
    <w:rsid w:val="006948D4"/>
    <w:rsid w:val="00695BC1"/>
    <w:rsid w:val="006961BC"/>
    <w:rsid w:val="00697863"/>
    <w:rsid w:val="006A0E83"/>
    <w:rsid w:val="006A1924"/>
    <w:rsid w:val="006A37A5"/>
    <w:rsid w:val="006A44B5"/>
    <w:rsid w:val="006A45E8"/>
    <w:rsid w:val="006A45FF"/>
    <w:rsid w:val="006B17DB"/>
    <w:rsid w:val="006B404D"/>
    <w:rsid w:val="006C030F"/>
    <w:rsid w:val="006C0C9E"/>
    <w:rsid w:val="006C1EA8"/>
    <w:rsid w:val="006C2838"/>
    <w:rsid w:val="006C4A30"/>
    <w:rsid w:val="006C53EC"/>
    <w:rsid w:val="006C7992"/>
    <w:rsid w:val="006C7EEA"/>
    <w:rsid w:val="006D0A68"/>
    <w:rsid w:val="006D264C"/>
    <w:rsid w:val="006D315F"/>
    <w:rsid w:val="006D3535"/>
    <w:rsid w:val="006D6000"/>
    <w:rsid w:val="006D6513"/>
    <w:rsid w:val="006D7611"/>
    <w:rsid w:val="006E0105"/>
    <w:rsid w:val="006E0B97"/>
    <w:rsid w:val="006E12A9"/>
    <w:rsid w:val="006E18C8"/>
    <w:rsid w:val="006E2F48"/>
    <w:rsid w:val="006E3019"/>
    <w:rsid w:val="006E421C"/>
    <w:rsid w:val="006E44D7"/>
    <w:rsid w:val="006E4BF3"/>
    <w:rsid w:val="006E5855"/>
    <w:rsid w:val="006E6098"/>
    <w:rsid w:val="006E6347"/>
    <w:rsid w:val="006F05FC"/>
    <w:rsid w:val="006F0FA3"/>
    <w:rsid w:val="006F166C"/>
    <w:rsid w:val="006F16C2"/>
    <w:rsid w:val="006F1BB4"/>
    <w:rsid w:val="006F224A"/>
    <w:rsid w:val="006F335D"/>
    <w:rsid w:val="006F39FC"/>
    <w:rsid w:val="006F3F95"/>
    <w:rsid w:val="006F44FD"/>
    <w:rsid w:val="006F59B9"/>
    <w:rsid w:val="006F5E31"/>
    <w:rsid w:val="006F6CBF"/>
    <w:rsid w:val="006F7EF6"/>
    <w:rsid w:val="00700043"/>
    <w:rsid w:val="0070129C"/>
    <w:rsid w:val="00701FD7"/>
    <w:rsid w:val="00702F2F"/>
    <w:rsid w:val="0070323A"/>
    <w:rsid w:val="007042B4"/>
    <w:rsid w:val="00704884"/>
    <w:rsid w:val="00705B50"/>
    <w:rsid w:val="00706DE4"/>
    <w:rsid w:val="00710779"/>
    <w:rsid w:val="00711DAC"/>
    <w:rsid w:val="00713C3A"/>
    <w:rsid w:val="007152E8"/>
    <w:rsid w:val="0071562D"/>
    <w:rsid w:val="00720B8F"/>
    <w:rsid w:val="00722E06"/>
    <w:rsid w:val="007237DC"/>
    <w:rsid w:val="0072459D"/>
    <w:rsid w:val="007249E6"/>
    <w:rsid w:val="00724D6E"/>
    <w:rsid w:val="00724EA5"/>
    <w:rsid w:val="00726307"/>
    <w:rsid w:val="0072656B"/>
    <w:rsid w:val="00726D21"/>
    <w:rsid w:val="007273CE"/>
    <w:rsid w:val="007275FE"/>
    <w:rsid w:val="007276D7"/>
    <w:rsid w:val="00730625"/>
    <w:rsid w:val="0073065D"/>
    <w:rsid w:val="00730DC0"/>
    <w:rsid w:val="0073113A"/>
    <w:rsid w:val="00732058"/>
    <w:rsid w:val="007330A3"/>
    <w:rsid w:val="0073436C"/>
    <w:rsid w:val="00734FB2"/>
    <w:rsid w:val="007351F3"/>
    <w:rsid w:val="00736618"/>
    <w:rsid w:val="00736F58"/>
    <w:rsid w:val="0074074E"/>
    <w:rsid w:val="00740E76"/>
    <w:rsid w:val="007410DA"/>
    <w:rsid w:val="00741738"/>
    <w:rsid w:val="00743654"/>
    <w:rsid w:val="00744D78"/>
    <w:rsid w:val="00745D17"/>
    <w:rsid w:val="00746DC8"/>
    <w:rsid w:val="00747AD3"/>
    <w:rsid w:val="00750EB7"/>
    <w:rsid w:val="00751C13"/>
    <w:rsid w:val="00753257"/>
    <w:rsid w:val="0075346D"/>
    <w:rsid w:val="007540C5"/>
    <w:rsid w:val="00754E6A"/>
    <w:rsid w:val="007551B7"/>
    <w:rsid w:val="007557A9"/>
    <w:rsid w:val="007577B8"/>
    <w:rsid w:val="00757BFF"/>
    <w:rsid w:val="00761AE2"/>
    <w:rsid w:val="0076218F"/>
    <w:rsid w:val="007622FB"/>
    <w:rsid w:val="0076470C"/>
    <w:rsid w:val="007661CD"/>
    <w:rsid w:val="00767F90"/>
    <w:rsid w:val="007701BF"/>
    <w:rsid w:val="0077116C"/>
    <w:rsid w:val="00771E91"/>
    <w:rsid w:val="0077308C"/>
    <w:rsid w:val="00774A9C"/>
    <w:rsid w:val="00775C14"/>
    <w:rsid w:val="007760FD"/>
    <w:rsid w:val="007769F6"/>
    <w:rsid w:val="007770CC"/>
    <w:rsid w:val="00777BB6"/>
    <w:rsid w:val="00777CED"/>
    <w:rsid w:val="0078099D"/>
    <w:rsid w:val="0078237F"/>
    <w:rsid w:val="00783808"/>
    <w:rsid w:val="0078458A"/>
    <w:rsid w:val="00784846"/>
    <w:rsid w:val="00785341"/>
    <w:rsid w:val="007856B2"/>
    <w:rsid w:val="007922FD"/>
    <w:rsid w:val="00792781"/>
    <w:rsid w:val="007934F1"/>
    <w:rsid w:val="00794D93"/>
    <w:rsid w:val="007963EC"/>
    <w:rsid w:val="00796563"/>
    <w:rsid w:val="00797355"/>
    <w:rsid w:val="007A023F"/>
    <w:rsid w:val="007A15D9"/>
    <w:rsid w:val="007A2B63"/>
    <w:rsid w:val="007A337B"/>
    <w:rsid w:val="007A4C5E"/>
    <w:rsid w:val="007A50B5"/>
    <w:rsid w:val="007A5A4C"/>
    <w:rsid w:val="007A6FD4"/>
    <w:rsid w:val="007A75BB"/>
    <w:rsid w:val="007A7DFF"/>
    <w:rsid w:val="007B0407"/>
    <w:rsid w:val="007B0C45"/>
    <w:rsid w:val="007B1945"/>
    <w:rsid w:val="007B2868"/>
    <w:rsid w:val="007B3D8A"/>
    <w:rsid w:val="007B5D87"/>
    <w:rsid w:val="007C00E2"/>
    <w:rsid w:val="007C0491"/>
    <w:rsid w:val="007C0F57"/>
    <w:rsid w:val="007C1C1D"/>
    <w:rsid w:val="007C3228"/>
    <w:rsid w:val="007C4CCE"/>
    <w:rsid w:val="007C5D14"/>
    <w:rsid w:val="007C5D94"/>
    <w:rsid w:val="007C6401"/>
    <w:rsid w:val="007C6E3D"/>
    <w:rsid w:val="007D0091"/>
    <w:rsid w:val="007D1674"/>
    <w:rsid w:val="007D2425"/>
    <w:rsid w:val="007D244C"/>
    <w:rsid w:val="007D3FBE"/>
    <w:rsid w:val="007D7001"/>
    <w:rsid w:val="007D7127"/>
    <w:rsid w:val="007D729A"/>
    <w:rsid w:val="007D7974"/>
    <w:rsid w:val="007E238A"/>
    <w:rsid w:val="007E6966"/>
    <w:rsid w:val="007E753F"/>
    <w:rsid w:val="007E7716"/>
    <w:rsid w:val="007F096A"/>
    <w:rsid w:val="007F0FED"/>
    <w:rsid w:val="007F11B3"/>
    <w:rsid w:val="007F422B"/>
    <w:rsid w:val="007F434A"/>
    <w:rsid w:val="007F5E46"/>
    <w:rsid w:val="007F7E20"/>
    <w:rsid w:val="0080020C"/>
    <w:rsid w:val="0080055B"/>
    <w:rsid w:val="00805150"/>
    <w:rsid w:val="0080541C"/>
    <w:rsid w:val="00805FA7"/>
    <w:rsid w:val="00806905"/>
    <w:rsid w:val="008077BA"/>
    <w:rsid w:val="00810255"/>
    <w:rsid w:val="00810544"/>
    <w:rsid w:val="008105A9"/>
    <w:rsid w:val="0081060E"/>
    <w:rsid w:val="0081210E"/>
    <w:rsid w:val="008125C4"/>
    <w:rsid w:val="00812F65"/>
    <w:rsid w:val="008133B2"/>
    <w:rsid w:val="00813CD1"/>
    <w:rsid w:val="008144AC"/>
    <w:rsid w:val="00814503"/>
    <w:rsid w:val="008145A8"/>
    <w:rsid w:val="0081483E"/>
    <w:rsid w:val="00814DB1"/>
    <w:rsid w:val="0081775E"/>
    <w:rsid w:val="0081779B"/>
    <w:rsid w:val="00817CC9"/>
    <w:rsid w:val="008205BA"/>
    <w:rsid w:val="008212A5"/>
    <w:rsid w:val="00821543"/>
    <w:rsid w:val="0082171E"/>
    <w:rsid w:val="00822056"/>
    <w:rsid w:val="008251A3"/>
    <w:rsid w:val="008251FD"/>
    <w:rsid w:val="00825A8E"/>
    <w:rsid w:val="00825CE6"/>
    <w:rsid w:val="00826154"/>
    <w:rsid w:val="008275A5"/>
    <w:rsid w:val="00831BAE"/>
    <w:rsid w:val="0083235A"/>
    <w:rsid w:val="00832401"/>
    <w:rsid w:val="00832BF7"/>
    <w:rsid w:val="008366C3"/>
    <w:rsid w:val="00836981"/>
    <w:rsid w:val="008408D5"/>
    <w:rsid w:val="00840B12"/>
    <w:rsid w:val="00843261"/>
    <w:rsid w:val="00843861"/>
    <w:rsid w:val="0084440A"/>
    <w:rsid w:val="008454D7"/>
    <w:rsid w:val="00846426"/>
    <w:rsid w:val="00850313"/>
    <w:rsid w:val="00851769"/>
    <w:rsid w:val="00851E2D"/>
    <w:rsid w:val="00852794"/>
    <w:rsid w:val="0085313E"/>
    <w:rsid w:val="00853BBD"/>
    <w:rsid w:val="00855DE5"/>
    <w:rsid w:val="00855E67"/>
    <w:rsid w:val="008562C6"/>
    <w:rsid w:val="00856E2A"/>
    <w:rsid w:val="00857B4E"/>
    <w:rsid w:val="0086028F"/>
    <w:rsid w:val="008604E6"/>
    <w:rsid w:val="00862F94"/>
    <w:rsid w:val="00863220"/>
    <w:rsid w:val="00863979"/>
    <w:rsid w:val="00863F3C"/>
    <w:rsid w:val="00866271"/>
    <w:rsid w:val="00866CEE"/>
    <w:rsid w:val="008671B1"/>
    <w:rsid w:val="00867633"/>
    <w:rsid w:val="008678EB"/>
    <w:rsid w:val="00867DC4"/>
    <w:rsid w:val="00870824"/>
    <w:rsid w:val="008719A8"/>
    <w:rsid w:val="00872A40"/>
    <w:rsid w:val="00872ADA"/>
    <w:rsid w:val="00873E84"/>
    <w:rsid w:val="0087432F"/>
    <w:rsid w:val="00876AE2"/>
    <w:rsid w:val="00876D33"/>
    <w:rsid w:val="00880A3B"/>
    <w:rsid w:val="00880AB9"/>
    <w:rsid w:val="00880AC4"/>
    <w:rsid w:val="00880C59"/>
    <w:rsid w:val="00881271"/>
    <w:rsid w:val="00881933"/>
    <w:rsid w:val="00882E6E"/>
    <w:rsid w:val="00885693"/>
    <w:rsid w:val="008858BF"/>
    <w:rsid w:val="00885E0A"/>
    <w:rsid w:val="00886D9E"/>
    <w:rsid w:val="0088786A"/>
    <w:rsid w:val="00892C63"/>
    <w:rsid w:val="00893354"/>
    <w:rsid w:val="00893D13"/>
    <w:rsid w:val="00895A75"/>
    <w:rsid w:val="008A04DB"/>
    <w:rsid w:val="008A1585"/>
    <w:rsid w:val="008A17E3"/>
    <w:rsid w:val="008A226C"/>
    <w:rsid w:val="008A28B4"/>
    <w:rsid w:val="008A322A"/>
    <w:rsid w:val="008A4262"/>
    <w:rsid w:val="008A4B24"/>
    <w:rsid w:val="008A6E26"/>
    <w:rsid w:val="008B1AB6"/>
    <w:rsid w:val="008B23EF"/>
    <w:rsid w:val="008B253C"/>
    <w:rsid w:val="008B29B2"/>
    <w:rsid w:val="008B3176"/>
    <w:rsid w:val="008B3541"/>
    <w:rsid w:val="008B3830"/>
    <w:rsid w:val="008B3BA5"/>
    <w:rsid w:val="008B475C"/>
    <w:rsid w:val="008B584E"/>
    <w:rsid w:val="008B5D95"/>
    <w:rsid w:val="008B7754"/>
    <w:rsid w:val="008B7CAF"/>
    <w:rsid w:val="008C5886"/>
    <w:rsid w:val="008C6C78"/>
    <w:rsid w:val="008C7668"/>
    <w:rsid w:val="008C77F1"/>
    <w:rsid w:val="008C7CAA"/>
    <w:rsid w:val="008D022D"/>
    <w:rsid w:val="008D13EE"/>
    <w:rsid w:val="008D1BE1"/>
    <w:rsid w:val="008D1E78"/>
    <w:rsid w:val="008D371C"/>
    <w:rsid w:val="008D3B2B"/>
    <w:rsid w:val="008D6654"/>
    <w:rsid w:val="008D6A9D"/>
    <w:rsid w:val="008E0ED1"/>
    <w:rsid w:val="008E1C73"/>
    <w:rsid w:val="008E1D66"/>
    <w:rsid w:val="008E24DA"/>
    <w:rsid w:val="008E3254"/>
    <w:rsid w:val="008E34F9"/>
    <w:rsid w:val="008E3582"/>
    <w:rsid w:val="008E38D7"/>
    <w:rsid w:val="008E5900"/>
    <w:rsid w:val="008E6757"/>
    <w:rsid w:val="008E6878"/>
    <w:rsid w:val="008F01A5"/>
    <w:rsid w:val="008F1AA8"/>
    <w:rsid w:val="008F382C"/>
    <w:rsid w:val="008F3A94"/>
    <w:rsid w:val="008F433E"/>
    <w:rsid w:val="008F4D7C"/>
    <w:rsid w:val="008F4DB1"/>
    <w:rsid w:val="008F535C"/>
    <w:rsid w:val="008F58D2"/>
    <w:rsid w:val="008F76B4"/>
    <w:rsid w:val="00902A2B"/>
    <w:rsid w:val="00903370"/>
    <w:rsid w:val="00904115"/>
    <w:rsid w:val="0090466A"/>
    <w:rsid w:val="00904CD7"/>
    <w:rsid w:val="00905441"/>
    <w:rsid w:val="0090745B"/>
    <w:rsid w:val="00910CDE"/>
    <w:rsid w:val="009121A5"/>
    <w:rsid w:val="0091268B"/>
    <w:rsid w:val="00912F84"/>
    <w:rsid w:val="00913D7D"/>
    <w:rsid w:val="00915D39"/>
    <w:rsid w:val="0091668E"/>
    <w:rsid w:val="0091674D"/>
    <w:rsid w:val="00917469"/>
    <w:rsid w:val="00920D76"/>
    <w:rsid w:val="009218BA"/>
    <w:rsid w:val="009249F0"/>
    <w:rsid w:val="0092678B"/>
    <w:rsid w:val="00930902"/>
    <w:rsid w:val="00931772"/>
    <w:rsid w:val="009317A2"/>
    <w:rsid w:val="00931869"/>
    <w:rsid w:val="0093199E"/>
    <w:rsid w:val="009319D5"/>
    <w:rsid w:val="00933869"/>
    <w:rsid w:val="00933E6F"/>
    <w:rsid w:val="0093449B"/>
    <w:rsid w:val="0093569B"/>
    <w:rsid w:val="009359F9"/>
    <w:rsid w:val="009362C5"/>
    <w:rsid w:val="00940E09"/>
    <w:rsid w:val="009425F5"/>
    <w:rsid w:val="0094342B"/>
    <w:rsid w:val="009434B3"/>
    <w:rsid w:val="009434E4"/>
    <w:rsid w:val="00945645"/>
    <w:rsid w:val="009457F8"/>
    <w:rsid w:val="00945A0B"/>
    <w:rsid w:val="00946290"/>
    <w:rsid w:val="00947BFF"/>
    <w:rsid w:val="00947FB2"/>
    <w:rsid w:val="00951ED3"/>
    <w:rsid w:val="00952109"/>
    <w:rsid w:val="0095384A"/>
    <w:rsid w:val="00953ABB"/>
    <w:rsid w:val="00954EAE"/>
    <w:rsid w:val="009568CD"/>
    <w:rsid w:val="00957FDE"/>
    <w:rsid w:val="009603D7"/>
    <w:rsid w:val="009605F2"/>
    <w:rsid w:val="0096084B"/>
    <w:rsid w:val="00962A76"/>
    <w:rsid w:val="00963EB1"/>
    <w:rsid w:val="009646BA"/>
    <w:rsid w:val="00964948"/>
    <w:rsid w:val="009679CE"/>
    <w:rsid w:val="0097439E"/>
    <w:rsid w:val="0097453D"/>
    <w:rsid w:val="00974EE4"/>
    <w:rsid w:val="009768DD"/>
    <w:rsid w:val="0097758B"/>
    <w:rsid w:val="00977733"/>
    <w:rsid w:val="009778BB"/>
    <w:rsid w:val="009817E2"/>
    <w:rsid w:val="009818F6"/>
    <w:rsid w:val="00981B44"/>
    <w:rsid w:val="00982D68"/>
    <w:rsid w:val="009832EB"/>
    <w:rsid w:val="009845D1"/>
    <w:rsid w:val="00986345"/>
    <w:rsid w:val="00987D9E"/>
    <w:rsid w:val="00990535"/>
    <w:rsid w:val="009917F3"/>
    <w:rsid w:val="00993854"/>
    <w:rsid w:val="00993C2F"/>
    <w:rsid w:val="0099538D"/>
    <w:rsid w:val="00995546"/>
    <w:rsid w:val="00996158"/>
    <w:rsid w:val="0099725E"/>
    <w:rsid w:val="009A0F10"/>
    <w:rsid w:val="009A0F89"/>
    <w:rsid w:val="009A13FF"/>
    <w:rsid w:val="009A274B"/>
    <w:rsid w:val="009A446D"/>
    <w:rsid w:val="009A60D5"/>
    <w:rsid w:val="009A6D01"/>
    <w:rsid w:val="009A7312"/>
    <w:rsid w:val="009A77CF"/>
    <w:rsid w:val="009A7BA8"/>
    <w:rsid w:val="009B0BA1"/>
    <w:rsid w:val="009B19A9"/>
    <w:rsid w:val="009B2AE2"/>
    <w:rsid w:val="009B301E"/>
    <w:rsid w:val="009B34D2"/>
    <w:rsid w:val="009B36F4"/>
    <w:rsid w:val="009B38AE"/>
    <w:rsid w:val="009B3B15"/>
    <w:rsid w:val="009B4188"/>
    <w:rsid w:val="009C0C2A"/>
    <w:rsid w:val="009C2745"/>
    <w:rsid w:val="009C306D"/>
    <w:rsid w:val="009C3AD4"/>
    <w:rsid w:val="009C42A8"/>
    <w:rsid w:val="009C5BFA"/>
    <w:rsid w:val="009C5EAC"/>
    <w:rsid w:val="009C6F1A"/>
    <w:rsid w:val="009D0428"/>
    <w:rsid w:val="009D1214"/>
    <w:rsid w:val="009D26CD"/>
    <w:rsid w:val="009D2CAB"/>
    <w:rsid w:val="009D717D"/>
    <w:rsid w:val="009D7DF2"/>
    <w:rsid w:val="009D7F1F"/>
    <w:rsid w:val="009E012E"/>
    <w:rsid w:val="009E068D"/>
    <w:rsid w:val="009E1396"/>
    <w:rsid w:val="009E3E8E"/>
    <w:rsid w:val="009E4E39"/>
    <w:rsid w:val="009E5AE6"/>
    <w:rsid w:val="009E5F58"/>
    <w:rsid w:val="009E690F"/>
    <w:rsid w:val="009E71E2"/>
    <w:rsid w:val="009E75A8"/>
    <w:rsid w:val="009E7EF5"/>
    <w:rsid w:val="009F02DE"/>
    <w:rsid w:val="009F3A92"/>
    <w:rsid w:val="009F4C2F"/>
    <w:rsid w:val="009F4D78"/>
    <w:rsid w:val="009F5361"/>
    <w:rsid w:val="009F6BF2"/>
    <w:rsid w:val="009F73A7"/>
    <w:rsid w:val="009F75F7"/>
    <w:rsid w:val="009F7F04"/>
    <w:rsid w:val="00A0120A"/>
    <w:rsid w:val="00A01313"/>
    <w:rsid w:val="00A01845"/>
    <w:rsid w:val="00A02EB2"/>
    <w:rsid w:val="00A03558"/>
    <w:rsid w:val="00A03D2A"/>
    <w:rsid w:val="00A043F3"/>
    <w:rsid w:val="00A05F5B"/>
    <w:rsid w:val="00A1077C"/>
    <w:rsid w:val="00A10C92"/>
    <w:rsid w:val="00A11EA3"/>
    <w:rsid w:val="00A13E69"/>
    <w:rsid w:val="00A1429C"/>
    <w:rsid w:val="00A14C78"/>
    <w:rsid w:val="00A1662E"/>
    <w:rsid w:val="00A17091"/>
    <w:rsid w:val="00A170DC"/>
    <w:rsid w:val="00A175B0"/>
    <w:rsid w:val="00A17B3D"/>
    <w:rsid w:val="00A201B9"/>
    <w:rsid w:val="00A208D4"/>
    <w:rsid w:val="00A20C49"/>
    <w:rsid w:val="00A22771"/>
    <w:rsid w:val="00A2339F"/>
    <w:rsid w:val="00A2382C"/>
    <w:rsid w:val="00A23B5E"/>
    <w:rsid w:val="00A24756"/>
    <w:rsid w:val="00A252F3"/>
    <w:rsid w:val="00A255E7"/>
    <w:rsid w:val="00A265A4"/>
    <w:rsid w:val="00A27AC6"/>
    <w:rsid w:val="00A27EBA"/>
    <w:rsid w:val="00A306BF"/>
    <w:rsid w:val="00A33DC9"/>
    <w:rsid w:val="00A35BFC"/>
    <w:rsid w:val="00A36247"/>
    <w:rsid w:val="00A362C4"/>
    <w:rsid w:val="00A3639A"/>
    <w:rsid w:val="00A36983"/>
    <w:rsid w:val="00A36AB0"/>
    <w:rsid w:val="00A36AE5"/>
    <w:rsid w:val="00A40F3F"/>
    <w:rsid w:val="00A41939"/>
    <w:rsid w:val="00A41BB2"/>
    <w:rsid w:val="00A41D37"/>
    <w:rsid w:val="00A42666"/>
    <w:rsid w:val="00A42F93"/>
    <w:rsid w:val="00A43B91"/>
    <w:rsid w:val="00A44801"/>
    <w:rsid w:val="00A44F49"/>
    <w:rsid w:val="00A44F74"/>
    <w:rsid w:val="00A46D59"/>
    <w:rsid w:val="00A46E3A"/>
    <w:rsid w:val="00A5301D"/>
    <w:rsid w:val="00A53B28"/>
    <w:rsid w:val="00A5470D"/>
    <w:rsid w:val="00A548D7"/>
    <w:rsid w:val="00A5656D"/>
    <w:rsid w:val="00A56A0B"/>
    <w:rsid w:val="00A56B83"/>
    <w:rsid w:val="00A607E1"/>
    <w:rsid w:val="00A60A98"/>
    <w:rsid w:val="00A62B85"/>
    <w:rsid w:val="00A62C4D"/>
    <w:rsid w:val="00A656B5"/>
    <w:rsid w:val="00A66511"/>
    <w:rsid w:val="00A666E9"/>
    <w:rsid w:val="00A67E8E"/>
    <w:rsid w:val="00A67FE0"/>
    <w:rsid w:val="00A72BB5"/>
    <w:rsid w:val="00A72E85"/>
    <w:rsid w:val="00A72FF5"/>
    <w:rsid w:val="00A74CBA"/>
    <w:rsid w:val="00A7572D"/>
    <w:rsid w:val="00A7630B"/>
    <w:rsid w:val="00A772EC"/>
    <w:rsid w:val="00A77A5B"/>
    <w:rsid w:val="00A77F43"/>
    <w:rsid w:val="00A80659"/>
    <w:rsid w:val="00A81153"/>
    <w:rsid w:val="00A81445"/>
    <w:rsid w:val="00A818C4"/>
    <w:rsid w:val="00A81C2C"/>
    <w:rsid w:val="00A82DA0"/>
    <w:rsid w:val="00A8320B"/>
    <w:rsid w:val="00A84BBB"/>
    <w:rsid w:val="00A853AC"/>
    <w:rsid w:val="00A8563B"/>
    <w:rsid w:val="00A86183"/>
    <w:rsid w:val="00A873EF"/>
    <w:rsid w:val="00A87458"/>
    <w:rsid w:val="00A9029D"/>
    <w:rsid w:val="00A907EA"/>
    <w:rsid w:val="00A913E7"/>
    <w:rsid w:val="00A91486"/>
    <w:rsid w:val="00A94285"/>
    <w:rsid w:val="00A97217"/>
    <w:rsid w:val="00A974A2"/>
    <w:rsid w:val="00AA1056"/>
    <w:rsid w:val="00AA1B9A"/>
    <w:rsid w:val="00AA1CCD"/>
    <w:rsid w:val="00AA27E9"/>
    <w:rsid w:val="00AA3E49"/>
    <w:rsid w:val="00AA60F3"/>
    <w:rsid w:val="00AA71D2"/>
    <w:rsid w:val="00AA7863"/>
    <w:rsid w:val="00AA795C"/>
    <w:rsid w:val="00AB0C2F"/>
    <w:rsid w:val="00AB20E2"/>
    <w:rsid w:val="00AB24D7"/>
    <w:rsid w:val="00AB2E5A"/>
    <w:rsid w:val="00AB3A76"/>
    <w:rsid w:val="00AB40C3"/>
    <w:rsid w:val="00AB40EC"/>
    <w:rsid w:val="00AB4439"/>
    <w:rsid w:val="00AB4EF7"/>
    <w:rsid w:val="00AB55B1"/>
    <w:rsid w:val="00AB6123"/>
    <w:rsid w:val="00AB6453"/>
    <w:rsid w:val="00AB66B2"/>
    <w:rsid w:val="00AC170C"/>
    <w:rsid w:val="00AC2BFF"/>
    <w:rsid w:val="00AC3101"/>
    <w:rsid w:val="00AC386C"/>
    <w:rsid w:val="00AC4663"/>
    <w:rsid w:val="00AC553C"/>
    <w:rsid w:val="00AC5CAF"/>
    <w:rsid w:val="00AC5CE2"/>
    <w:rsid w:val="00AC6F20"/>
    <w:rsid w:val="00AC7BFF"/>
    <w:rsid w:val="00AD012D"/>
    <w:rsid w:val="00AD17FB"/>
    <w:rsid w:val="00AD2D6F"/>
    <w:rsid w:val="00AD2F36"/>
    <w:rsid w:val="00AD3994"/>
    <w:rsid w:val="00AD43B7"/>
    <w:rsid w:val="00AD6604"/>
    <w:rsid w:val="00AD69C3"/>
    <w:rsid w:val="00AD6B86"/>
    <w:rsid w:val="00AD7B43"/>
    <w:rsid w:val="00AD7BE4"/>
    <w:rsid w:val="00AD7C65"/>
    <w:rsid w:val="00AE0327"/>
    <w:rsid w:val="00AE0494"/>
    <w:rsid w:val="00AE0499"/>
    <w:rsid w:val="00AE0E41"/>
    <w:rsid w:val="00AE175B"/>
    <w:rsid w:val="00AE4555"/>
    <w:rsid w:val="00AE5361"/>
    <w:rsid w:val="00AF0943"/>
    <w:rsid w:val="00AF128F"/>
    <w:rsid w:val="00AF1FE5"/>
    <w:rsid w:val="00AF2EE9"/>
    <w:rsid w:val="00AF3B3D"/>
    <w:rsid w:val="00AF50E8"/>
    <w:rsid w:val="00AF61A3"/>
    <w:rsid w:val="00AF77DB"/>
    <w:rsid w:val="00B00765"/>
    <w:rsid w:val="00B0207B"/>
    <w:rsid w:val="00B0289B"/>
    <w:rsid w:val="00B02D6A"/>
    <w:rsid w:val="00B02E6B"/>
    <w:rsid w:val="00B035DD"/>
    <w:rsid w:val="00B03609"/>
    <w:rsid w:val="00B0410E"/>
    <w:rsid w:val="00B041FA"/>
    <w:rsid w:val="00B044DC"/>
    <w:rsid w:val="00B0477A"/>
    <w:rsid w:val="00B06C51"/>
    <w:rsid w:val="00B06D47"/>
    <w:rsid w:val="00B07066"/>
    <w:rsid w:val="00B07DF5"/>
    <w:rsid w:val="00B11161"/>
    <w:rsid w:val="00B11DFD"/>
    <w:rsid w:val="00B1217F"/>
    <w:rsid w:val="00B12B69"/>
    <w:rsid w:val="00B131A2"/>
    <w:rsid w:val="00B13564"/>
    <w:rsid w:val="00B14C0F"/>
    <w:rsid w:val="00B15102"/>
    <w:rsid w:val="00B15809"/>
    <w:rsid w:val="00B16DDC"/>
    <w:rsid w:val="00B1764A"/>
    <w:rsid w:val="00B20132"/>
    <w:rsid w:val="00B213B0"/>
    <w:rsid w:val="00B2189A"/>
    <w:rsid w:val="00B21DEB"/>
    <w:rsid w:val="00B21F94"/>
    <w:rsid w:val="00B242D8"/>
    <w:rsid w:val="00B256B9"/>
    <w:rsid w:val="00B26513"/>
    <w:rsid w:val="00B267AE"/>
    <w:rsid w:val="00B3047C"/>
    <w:rsid w:val="00B34972"/>
    <w:rsid w:val="00B34B31"/>
    <w:rsid w:val="00B360C6"/>
    <w:rsid w:val="00B367DB"/>
    <w:rsid w:val="00B36BC8"/>
    <w:rsid w:val="00B37261"/>
    <w:rsid w:val="00B3769C"/>
    <w:rsid w:val="00B37FBC"/>
    <w:rsid w:val="00B41D44"/>
    <w:rsid w:val="00B427F4"/>
    <w:rsid w:val="00B429AE"/>
    <w:rsid w:val="00B435E8"/>
    <w:rsid w:val="00B43829"/>
    <w:rsid w:val="00B4428A"/>
    <w:rsid w:val="00B4554B"/>
    <w:rsid w:val="00B45F3B"/>
    <w:rsid w:val="00B46FFA"/>
    <w:rsid w:val="00B478FC"/>
    <w:rsid w:val="00B47E72"/>
    <w:rsid w:val="00B50554"/>
    <w:rsid w:val="00B515EC"/>
    <w:rsid w:val="00B51E21"/>
    <w:rsid w:val="00B52136"/>
    <w:rsid w:val="00B57BDA"/>
    <w:rsid w:val="00B61079"/>
    <w:rsid w:val="00B628CD"/>
    <w:rsid w:val="00B6338C"/>
    <w:rsid w:val="00B63CFC"/>
    <w:rsid w:val="00B6402E"/>
    <w:rsid w:val="00B65044"/>
    <w:rsid w:val="00B656A4"/>
    <w:rsid w:val="00B65732"/>
    <w:rsid w:val="00B6696F"/>
    <w:rsid w:val="00B67AB5"/>
    <w:rsid w:val="00B67F74"/>
    <w:rsid w:val="00B72643"/>
    <w:rsid w:val="00B72A67"/>
    <w:rsid w:val="00B72AA3"/>
    <w:rsid w:val="00B7325C"/>
    <w:rsid w:val="00B736CA"/>
    <w:rsid w:val="00B74C48"/>
    <w:rsid w:val="00B76057"/>
    <w:rsid w:val="00B80E19"/>
    <w:rsid w:val="00B81F73"/>
    <w:rsid w:val="00B820C9"/>
    <w:rsid w:val="00B820FC"/>
    <w:rsid w:val="00B827E5"/>
    <w:rsid w:val="00B82F0D"/>
    <w:rsid w:val="00B83263"/>
    <w:rsid w:val="00B83BF0"/>
    <w:rsid w:val="00B83E51"/>
    <w:rsid w:val="00B84E25"/>
    <w:rsid w:val="00B858D3"/>
    <w:rsid w:val="00B85F75"/>
    <w:rsid w:val="00B87063"/>
    <w:rsid w:val="00B90669"/>
    <w:rsid w:val="00B92DE4"/>
    <w:rsid w:val="00B9319C"/>
    <w:rsid w:val="00B9367E"/>
    <w:rsid w:val="00B9396B"/>
    <w:rsid w:val="00B943AD"/>
    <w:rsid w:val="00B949E1"/>
    <w:rsid w:val="00B95097"/>
    <w:rsid w:val="00B9645B"/>
    <w:rsid w:val="00B9648D"/>
    <w:rsid w:val="00B96DD8"/>
    <w:rsid w:val="00B97EC5"/>
    <w:rsid w:val="00BA0D75"/>
    <w:rsid w:val="00BA2E69"/>
    <w:rsid w:val="00BA538F"/>
    <w:rsid w:val="00BA6C82"/>
    <w:rsid w:val="00BA710D"/>
    <w:rsid w:val="00BA7ADB"/>
    <w:rsid w:val="00BB0081"/>
    <w:rsid w:val="00BB66BB"/>
    <w:rsid w:val="00BB6C06"/>
    <w:rsid w:val="00BC08D8"/>
    <w:rsid w:val="00BC10D5"/>
    <w:rsid w:val="00BC1CEF"/>
    <w:rsid w:val="00BC25E8"/>
    <w:rsid w:val="00BC4601"/>
    <w:rsid w:val="00BC5541"/>
    <w:rsid w:val="00BC5BAD"/>
    <w:rsid w:val="00BC7012"/>
    <w:rsid w:val="00BD028E"/>
    <w:rsid w:val="00BD1DEF"/>
    <w:rsid w:val="00BD3EFC"/>
    <w:rsid w:val="00BD4771"/>
    <w:rsid w:val="00BD50A9"/>
    <w:rsid w:val="00BE08D8"/>
    <w:rsid w:val="00BE0C16"/>
    <w:rsid w:val="00BE2F59"/>
    <w:rsid w:val="00BE3866"/>
    <w:rsid w:val="00BE3BCA"/>
    <w:rsid w:val="00BE4B17"/>
    <w:rsid w:val="00BE4B54"/>
    <w:rsid w:val="00BE4D1D"/>
    <w:rsid w:val="00BE4DC2"/>
    <w:rsid w:val="00BE5C95"/>
    <w:rsid w:val="00BE5ECB"/>
    <w:rsid w:val="00BE636F"/>
    <w:rsid w:val="00BE64D2"/>
    <w:rsid w:val="00BE7DAA"/>
    <w:rsid w:val="00BF0B49"/>
    <w:rsid w:val="00BF0C6E"/>
    <w:rsid w:val="00BF267A"/>
    <w:rsid w:val="00BF2ED1"/>
    <w:rsid w:val="00BF3151"/>
    <w:rsid w:val="00BF48B3"/>
    <w:rsid w:val="00BF52A8"/>
    <w:rsid w:val="00BF539C"/>
    <w:rsid w:val="00BF5C8B"/>
    <w:rsid w:val="00BF70C1"/>
    <w:rsid w:val="00BF75B8"/>
    <w:rsid w:val="00BF77A4"/>
    <w:rsid w:val="00BF7803"/>
    <w:rsid w:val="00BF7A8B"/>
    <w:rsid w:val="00C0054D"/>
    <w:rsid w:val="00C00F94"/>
    <w:rsid w:val="00C015F9"/>
    <w:rsid w:val="00C016F3"/>
    <w:rsid w:val="00C0452A"/>
    <w:rsid w:val="00C049B7"/>
    <w:rsid w:val="00C04B5B"/>
    <w:rsid w:val="00C06BF8"/>
    <w:rsid w:val="00C07262"/>
    <w:rsid w:val="00C10D9D"/>
    <w:rsid w:val="00C12E48"/>
    <w:rsid w:val="00C1449E"/>
    <w:rsid w:val="00C15E51"/>
    <w:rsid w:val="00C20BBE"/>
    <w:rsid w:val="00C24192"/>
    <w:rsid w:val="00C24200"/>
    <w:rsid w:val="00C24437"/>
    <w:rsid w:val="00C30B6A"/>
    <w:rsid w:val="00C31783"/>
    <w:rsid w:val="00C32253"/>
    <w:rsid w:val="00C32737"/>
    <w:rsid w:val="00C3317E"/>
    <w:rsid w:val="00C354F5"/>
    <w:rsid w:val="00C36BE3"/>
    <w:rsid w:val="00C36D2E"/>
    <w:rsid w:val="00C36EAA"/>
    <w:rsid w:val="00C3746D"/>
    <w:rsid w:val="00C4189F"/>
    <w:rsid w:val="00C41B2B"/>
    <w:rsid w:val="00C428BF"/>
    <w:rsid w:val="00C4311A"/>
    <w:rsid w:val="00C4339C"/>
    <w:rsid w:val="00C448DB"/>
    <w:rsid w:val="00C45BE8"/>
    <w:rsid w:val="00C46149"/>
    <w:rsid w:val="00C4706E"/>
    <w:rsid w:val="00C4756B"/>
    <w:rsid w:val="00C50DD9"/>
    <w:rsid w:val="00C51861"/>
    <w:rsid w:val="00C5263F"/>
    <w:rsid w:val="00C53AF7"/>
    <w:rsid w:val="00C547C0"/>
    <w:rsid w:val="00C54CA1"/>
    <w:rsid w:val="00C557D7"/>
    <w:rsid w:val="00C55AEA"/>
    <w:rsid w:val="00C614F4"/>
    <w:rsid w:val="00C61C0D"/>
    <w:rsid w:val="00C61C18"/>
    <w:rsid w:val="00C654E5"/>
    <w:rsid w:val="00C65A78"/>
    <w:rsid w:val="00C70056"/>
    <w:rsid w:val="00C70BC3"/>
    <w:rsid w:val="00C70F97"/>
    <w:rsid w:val="00C746A5"/>
    <w:rsid w:val="00C75BDA"/>
    <w:rsid w:val="00C823F0"/>
    <w:rsid w:val="00C84071"/>
    <w:rsid w:val="00C84119"/>
    <w:rsid w:val="00C84CEA"/>
    <w:rsid w:val="00C857AB"/>
    <w:rsid w:val="00C86644"/>
    <w:rsid w:val="00C86DB8"/>
    <w:rsid w:val="00C9299D"/>
    <w:rsid w:val="00C92E94"/>
    <w:rsid w:val="00C93CE8"/>
    <w:rsid w:val="00C9544E"/>
    <w:rsid w:val="00C958CD"/>
    <w:rsid w:val="00C96BCC"/>
    <w:rsid w:val="00CA18FA"/>
    <w:rsid w:val="00CA1C50"/>
    <w:rsid w:val="00CA38F1"/>
    <w:rsid w:val="00CA49B5"/>
    <w:rsid w:val="00CA567F"/>
    <w:rsid w:val="00CA63C6"/>
    <w:rsid w:val="00CA6694"/>
    <w:rsid w:val="00CA7091"/>
    <w:rsid w:val="00CA72BF"/>
    <w:rsid w:val="00CB0DAA"/>
    <w:rsid w:val="00CB1905"/>
    <w:rsid w:val="00CB5128"/>
    <w:rsid w:val="00CB68A6"/>
    <w:rsid w:val="00CB6981"/>
    <w:rsid w:val="00CC0A47"/>
    <w:rsid w:val="00CC0F2E"/>
    <w:rsid w:val="00CC1713"/>
    <w:rsid w:val="00CC1C01"/>
    <w:rsid w:val="00CC3691"/>
    <w:rsid w:val="00CC4FB2"/>
    <w:rsid w:val="00CC525F"/>
    <w:rsid w:val="00CC56FB"/>
    <w:rsid w:val="00CC66AF"/>
    <w:rsid w:val="00CC7A76"/>
    <w:rsid w:val="00CC7AA4"/>
    <w:rsid w:val="00CC7D50"/>
    <w:rsid w:val="00CD046D"/>
    <w:rsid w:val="00CD16AF"/>
    <w:rsid w:val="00CD16C5"/>
    <w:rsid w:val="00CD41FC"/>
    <w:rsid w:val="00CD4AEA"/>
    <w:rsid w:val="00CD52AD"/>
    <w:rsid w:val="00CD718B"/>
    <w:rsid w:val="00CD7982"/>
    <w:rsid w:val="00CD7DD2"/>
    <w:rsid w:val="00CE0E1B"/>
    <w:rsid w:val="00CE14A6"/>
    <w:rsid w:val="00CE1EDF"/>
    <w:rsid w:val="00CE328F"/>
    <w:rsid w:val="00CE4770"/>
    <w:rsid w:val="00CE53C6"/>
    <w:rsid w:val="00CE798D"/>
    <w:rsid w:val="00CE7B24"/>
    <w:rsid w:val="00CF0278"/>
    <w:rsid w:val="00CF02FE"/>
    <w:rsid w:val="00CF0D0C"/>
    <w:rsid w:val="00CF1717"/>
    <w:rsid w:val="00CF55AA"/>
    <w:rsid w:val="00CF5F9D"/>
    <w:rsid w:val="00CF7CF9"/>
    <w:rsid w:val="00CF7FCD"/>
    <w:rsid w:val="00D01B50"/>
    <w:rsid w:val="00D037C8"/>
    <w:rsid w:val="00D047E8"/>
    <w:rsid w:val="00D05A0E"/>
    <w:rsid w:val="00D07184"/>
    <w:rsid w:val="00D10218"/>
    <w:rsid w:val="00D1034E"/>
    <w:rsid w:val="00D11105"/>
    <w:rsid w:val="00D11416"/>
    <w:rsid w:val="00D1186A"/>
    <w:rsid w:val="00D11A96"/>
    <w:rsid w:val="00D12597"/>
    <w:rsid w:val="00D130AB"/>
    <w:rsid w:val="00D14AB4"/>
    <w:rsid w:val="00D14D2D"/>
    <w:rsid w:val="00D15268"/>
    <w:rsid w:val="00D1660C"/>
    <w:rsid w:val="00D1781A"/>
    <w:rsid w:val="00D17C79"/>
    <w:rsid w:val="00D21951"/>
    <w:rsid w:val="00D22A70"/>
    <w:rsid w:val="00D25259"/>
    <w:rsid w:val="00D27761"/>
    <w:rsid w:val="00D27AE6"/>
    <w:rsid w:val="00D27F10"/>
    <w:rsid w:val="00D31102"/>
    <w:rsid w:val="00D3162C"/>
    <w:rsid w:val="00D316FF"/>
    <w:rsid w:val="00D34349"/>
    <w:rsid w:val="00D34516"/>
    <w:rsid w:val="00D3540F"/>
    <w:rsid w:val="00D362EC"/>
    <w:rsid w:val="00D36752"/>
    <w:rsid w:val="00D36C42"/>
    <w:rsid w:val="00D37D21"/>
    <w:rsid w:val="00D41AF2"/>
    <w:rsid w:val="00D4262D"/>
    <w:rsid w:val="00D42F78"/>
    <w:rsid w:val="00D43155"/>
    <w:rsid w:val="00D45207"/>
    <w:rsid w:val="00D4588A"/>
    <w:rsid w:val="00D45CD7"/>
    <w:rsid w:val="00D45D8A"/>
    <w:rsid w:val="00D46A45"/>
    <w:rsid w:val="00D5023C"/>
    <w:rsid w:val="00D51263"/>
    <w:rsid w:val="00D5154F"/>
    <w:rsid w:val="00D518B9"/>
    <w:rsid w:val="00D529AE"/>
    <w:rsid w:val="00D5358F"/>
    <w:rsid w:val="00D53941"/>
    <w:rsid w:val="00D56112"/>
    <w:rsid w:val="00D569FB"/>
    <w:rsid w:val="00D570F8"/>
    <w:rsid w:val="00D57132"/>
    <w:rsid w:val="00D572F6"/>
    <w:rsid w:val="00D613F8"/>
    <w:rsid w:val="00D62499"/>
    <w:rsid w:val="00D6460E"/>
    <w:rsid w:val="00D64A71"/>
    <w:rsid w:val="00D65D10"/>
    <w:rsid w:val="00D65D78"/>
    <w:rsid w:val="00D67B29"/>
    <w:rsid w:val="00D67BC6"/>
    <w:rsid w:val="00D67C96"/>
    <w:rsid w:val="00D70F5F"/>
    <w:rsid w:val="00D71798"/>
    <w:rsid w:val="00D7186C"/>
    <w:rsid w:val="00D7186D"/>
    <w:rsid w:val="00D72FDC"/>
    <w:rsid w:val="00D74CD2"/>
    <w:rsid w:val="00D768FA"/>
    <w:rsid w:val="00D76B53"/>
    <w:rsid w:val="00D77B2A"/>
    <w:rsid w:val="00D80172"/>
    <w:rsid w:val="00D805E8"/>
    <w:rsid w:val="00D836B4"/>
    <w:rsid w:val="00D84AA7"/>
    <w:rsid w:val="00D84C37"/>
    <w:rsid w:val="00D84F5B"/>
    <w:rsid w:val="00D868F7"/>
    <w:rsid w:val="00D876D9"/>
    <w:rsid w:val="00D87FA9"/>
    <w:rsid w:val="00D90D80"/>
    <w:rsid w:val="00D91AFB"/>
    <w:rsid w:val="00D94159"/>
    <w:rsid w:val="00D95B92"/>
    <w:rsid w:val="00D97E20"/>
    <w:rsid w:val="00DA084C"/>
    <w:rsid w:val="00DA0E12"/>
    <w:rsid w:val="00DA1771"/>
    <w:rsid w:val="00DA5737"/>
    <w:rsid w:val="00DA62E0"/>
    <w:rsid w:val="00DA741B"/>
    <w:rsid w:val="00DB053D"/>
    <w:rsid w:val="00DB329A"/>
    <w:rsid w:val="00DB33AC"/>
    <w:rsid w:val="00DB3683"/>
    <w:rsid w:val="00DB3A4F"/>
    <w:rsid w:val="00DB51E8"/>
    <w:rsid w:val="00DB6A32"/>
    <w:rsid w:val="00DB7400"/>
    <w:rsid w:val="00DB7C42"/>
    <w:rsid w:val="00DC1611"/>
    <w:rsid w:val="00DC1DD3"/>
    <w:rsid w:val="00DC26AB"/>
    <w:rsid w:val="00DC2A49"/>
    <w:rsid w:val="00DC3B85"/>
    <w:rsid w:val="00DC518B"/>
    <w:rsid w:val="00DC51B8"/>
    <w:rsid w:val="00DC5339"/>
    <w:rsid w:val="00DC5391"/>
    <w:rsid w:val="00DC7F39"/>
    <w:rsid w:val="00DD067B"/>
    <w:rsid w:val="00DD134C"/>
    <w:rsid w:val="00DD179D"/>
    <w:rsid w:val="00DD1855"/>
    <w:rsid w:val="00DD19B7"/>
    <w:rsid w:val="00DD1E8A"/>
    <w:rsid w:val="00DD2078"/>
    <w:rsid w:val="00DD2247"/>
    <w:rsid w:val="00DD28CA"/>
    <w:rsid w:val="00DD320E"/>
    <w:rsid w:val="00DD409F"/>
    <w:rsid w:val="00DD5A0E"/>
    <w:rsid w:val="00DD7FCE"/>
    <w:rsid w:val="00DE0439"/>
    <w:rsid w:val="00DE0AFD"/>
    <w:rsid w:val="00DE1193"/>
    <w:rsid w:val="00DE13B7"/>
    <w:rsid w:val="00DE2625"/>
    <w:rsid w:val="00DE2A48"/>
    <w:rsid w:val="00DE398E"/>
    <w:rsid w:val="00DE4D9D"/>
    <w:rsid w:val="00DE54F4"/>
    <w:rsid w:val="00DE6D67"/>
    <w:rsid w:val="00DE75CE"/>
    <w:rsid w:val="00DE781C"/>
    <w:rsid w:val="00DF0749"/>
    <w:rsid w:val="00DF12F8"/>
    <w:rsid w:val="00DF3BBF"/>
    <w:rsid w:val="00DF4626"/>
    <w:rsid w:val="00DF4B1F"/>
    <w:rsid w:val="00DF4EB2"/>
    <w:rsid w:val="00DF5867"/>
    <w:rsid w:val="00DF6B41"/>
    <w:rsid w:val="00DF6D02"/>
    <w:rsid w:val="00E017BD"/>
    <w:rsid w:val="00E03555"/>
    <w:rsid w:val="00E05CDC"/>
    <w:rsid w:val="00E062EC"/>
    <w:rsid w:val="00E064B7"/>
    <w:rsid w:val="00E06BF7"/>
    <w:rsid w:val="00E071E3"/>
    <w:rsid w:val="00E10D8A"/>
    <w:rsid w:val="00E1180C"/>
    <w:rsid w:val="00E11BEA"/>
    <w:rsid w:val="00E12157"/>
    <w:rsid w:val="00E123B7"/>
    <w:rsid w:val="00E126A8"/>
    <w:rsid w:val="00E12E82"/>
    <w:rsid w:val="00E1350C"/>
    <w:rsid w:val="00E13EF0"/>
    <w:rsid w:val="00E13FD0"/>
    <w:rsid w:val="00E14AF3"/>
    <w:rsid w:val="00E1642F"/>
    <w:rsid w:val="00E16719"/>
    <w:rsid w:val="00E1671F"/>
    <w:rsid w:val="00E20DD0"/>
    <w:rsid w:val="00E21183"/>
    <w:rsid w:val="00E21569"/>
    <w:rsid w:val="00E21728"/>
    <w:rsid w:val="00E223E4"/>
    <w:rsid w:val="00E24EB7"/>
    <w:rsid w:val="00E2756B"/>
    <w:rsid w:val="00E3004D"/>
    <w:rsid w:val="00E3018C"/>
    <w:rsid w:val="00E33846"/>
    <w:rsid w:val="00E362A2"/>
    <w:rsid w:val="00E4104E"/>
    <w:rsid w:val="00E42067"/>
    <w:rsid w:val="00E44490"/>
    <w:rsid w:val="00E445F7"/>
    <w:rsid w:val="00E44C29"/>
    <w:rsid w:val="00E456B7"/>
    <w:rsid w:val="00E4776F"/>
    <w:rsid w:val="00E47812"/>
    <w:rsid w:val="00E500A9"/>
    <w:rsid w:val="00E52454"/>
    <w:rsid w:val="00E53D30"/>
    <w:rsid w:val="00E56224"/>
    <w:rsid w:val="00E5676B"/>
    <w:rsid w:val="00E5756C"/>
    <w:rsid w:val="00E60B3E"/>
    <w:rsid w:val="00E61DB3"/>
    <w:rsid w:val="00E62A8B"/>
    <w:rsid w:val="00E63211"/>
    <w:rsid w:val="00E6362C"/>
    <w:rsid w:val="00E64EB3"/>
    <w:rsid w:val="00E6566E"/>
    <w:rsid w:val="00E6692D"/>
    <w:rsid w:val="00E66C13"/>
    <w:rsid w:val="00E67D4E"/>
    <w:rsid w:val="00E67D61"/>
    <w:rsid w:val="00E70D20"/>
    <w:rsid w:val="00E7119B"/>
    <w:rsid w:val="00E71606"/>
    <w:rsid w:val="00E7171A"/>
    <w:rsid w:val="00E7179A"/>
    <w:rsid w:val="00E721F7"/>
    <w:rsid w:val="00E722CA"/>
    <w:rsid w:val="00E73C1D"/>
    <w:rsid w:val="00E74748"/>
    <w:rsid w:val="00E74858"/>
    <w:rsid w:val="00E751CC"/>
    <w:rsid w:val="00E75C0C"/>
    <w:rsid w:val="00E76371"/>
    <w:rsid w:val="00E77916"/>
    <w:rsid w:val="00E77A18"/>
    <w:rsid w:val="00E8006B"/>
    <w:rsid w:val="00E80A4F"/>
    <w:rsid w:val="00E8283D"/>
    <w:rsid w:val="00E85790"/>
    <w:rsid w:val="00E86008"/>
    <w:rsid w:val="00E86BC7"/>
    <w:rsid w:val="00E86D84"/>
    <w:rsid w:val="00E86D86"/>
    <w:rsid w:val="00E91055"/>
    <w:rsid w:val="00E91CA9"/>
    <w:rsid w:val="00E924C0"/>
    <w:rsid w:val="00E92912"/>
    <w:rsid w:val="00E929A7"/>
    <w:rsid w:val="00E95340"/>
    <w:rsid w:val="00E95A42"/>
    <w:rsid w:val="00E95AD0"/>
    <w:rsid w:val="00E97EAB"/>
    <w:rsid w:val="00EA13B0"/>
    <w:rsid w:val="00EA1C89"/>
    <w:rsid w:val="00EA1CF7"/>
    <w:rsid w:val="00EA2681"/>
    <w:rsid w:val="00EA26A9"/>
    <w:rsid w:val="00EA5D08"/>
    <w:rsid w:val="00EB2E52"/>
    <w:rsid w:val="00EB5306"/>
    <w:rsid w:val="00EB580C"/>
    <w:rsid w:val="00EB6664"/>
    <w:rsid w:val="00EB6BA8"/>
    <w:rsid w:val="00EB788C"/>
    <w:rsid w:val="00EC1496"/>
    <w:rsid w:val="00EC1DDF"/>
    <w:rsid w:val="00EC3426"/>
    <w:rsid w:val="00EC4093"/>
    <w:rsid w:val="00EC4E1C"/>
    <w:rsid w:val="00EC5629"/>
    <w:rsid w:val="00EC571F"/>
    <w:rsid w:val="00EC62EC"/>
    <w:rsid w:val="00EC6367"/>
    <w:rsid w:val="00EC6964"/>
    <w:rsid w:val="00EC69E0"/>
    <w:rsid w:val="00EC7EF4"/>
    <w:rsid w:val="00ED045B"/>
    <w:rsid w:val="00ED17B6"/>
    <w:rsid w:val="00ED1980"/>
    <w:rsid w:val="00ED3356"/>
    <w:rsid w:val="00ED3F58"/>
    <w:rsid w:val="00ED502E"/>
    <w:rsid w:val="00ED7A59"/>
    <w:rsid w:val="00EE0535"/>
    <w:rsid w:val="00EE0D47"/>
    <w:rsid w:val="00EE21DA"/>
    <w:rsid w:val="00EE252D"/>
    <w:rsid w:val="00EE259A"/>
    <w:rsid w:val="00EE2A83"/>
    <w:rsid w:val="00EE3300"/>
    <w:rsid w:val="00EE4588"/>
    <w:rsid w:val="00EE57BF"/>
    <w:rsid w:val="00EE680B"/>
    <w:rsid w:val="00EE7457"/>
    <w:rsid w:val="00EF0B49"/>
    <w:rsid w:val="00EF158B"/>
    <w:rsid w:val="00EF2A64"/>
    <w:rsid w:val="00EF2A67"/>
    <w:rsid w:val="00EF3ED7"/>
    <w:rsid w:val="00EF534D"/>
    <w:rsid w:val="00EF56B9"/>
    <w:rsid w:val="00EF577F"/>
    <w:rsid w:val="00EF7160"/>
    <w:rsid w:val="00F00132"/>
    <w:rsid w:val="00F00AF4"/>
    <w:rsid w:val="00F00EC4"/>
    <w:rsid w:val="00F01308"/>
    <w:rsid w:val="00F01417"/>
    <w:rsid w:val="00F02887"/>
    <w:rsid w:val="00F032BF"/>
    <w:rsid w:val="00F036E7"/>
    <w:rsid w:val="00F04C39"/>
    <w:rsid w:val="00F05658"/>
    <w:rsid w:val="00F05AF8"/>
    <w:rsid w:val="00F06B0A"/>
    <w:rsid w:val="00F071AA"/>
    <w:rsid w:val="00F07A4E"/>
    <w:rsid w:val="00F07FCE"/>
    <w:rsid w:val="00F1019A"/>
    <w:rsid w:val="00F10732"/>
    <w:rsid w:val="00F10AF5"/>
    <w:rsid w:val="00F11994"/>
    <w:rsid w:val="00F11AA5"/>
    <w:rsid w:val="00F1258B"/>
    <w:rsid w:val="00F128DF"/>
    <w:rsid w:val="00F163CA"/>
    <w:rsid w:val="00F16FBB"/>
    <w:rsid w:val="00F21899"/>
    <w:rsid w:val="00F23209"/>
    <w:rsid w:val="00F236F4"/>
    <w:rsid w:val="00F23896"/>
    <w:rsid w:val="00F24565"/>
    <w:rsid w:val="00F258D4"/>
    <w:rsid w:val="00F266A1"/>
    <w:rsid w:val="00F26B5C"/>
    <w:rsid w:val="00F27A4B"/>
    <w:rsid w:val="00F32661"/>
    <w:rsid w:val="00F33903"/>
    <w:rsid w:val="00F352B3"/>
    <w:rsid w:val="00F363D1"/>
    <w:rsid w:val="00F36BF5"/>
    <w:rsid w:val="00F36BF7"/>
    <w:rsid w:val="00F408BD"/>
    <w:rsid w:val="00F42D7B"/>
    <w:rsid w:val="00F43BD9"/>
    <w:rsid w:val="00F44E19"/>
    <w:rsid w:val="00F44F07"/>
    <w:rsid w:val="00F45561"/>
    <w:rsid w:val="00F46630"/>
    <w:rsid w:val="00F46C9D"/>
    <w:rsid w:val="00F47AAB"/>
    <w:rsid w:val="00F50540"/>
    <w:rsid w:val="00F53F72"/>
    <w:rsid w:val="00F54777"/>
    <w:rsid w:val="00F55476"/>
    <w:rsid w:val="00F55D75"/>
    <w:rsid w:val="00F56B03"/>
    <w:rsid w:val="00F576BA"/>
    <w:rsid w:val="00F57A90"/>
    <w:rsid w:val="00F61A58"/>
    <w:rsid w:val="00F64303"/>
    <w:rsid w:val="00F700A6"/>
    <w:rsid w:val="00F70555"/>
    <w:rsid w:val="00F7166E"/>
    <w:rsid w:val="00F71C56"/>
    <w:rsid w:val="00F72871"/>
    <w:rsid w:val="00F72BBC"/>
    <w:rsid w:val="00F73757"/>
    <w:rsid w:val="00F74A75"/>
    <w:rsid w:val="00F75E3A"/>
    <w:rsid w:val="00F768D3"/>
    <w:rsid w:val="00F76C83"/>
    <w:rsid w:val="00F773E9"/>
    <w:rsid w:val="00F808EE"/>
    <w:rsid w:val="00F80D4C"/>
    <w:rsid w:val="00F81508"/>
    <w:rsid w:val="00F81A21"/>
    <w:rsid w:val="00F8292D"/>
    <w:rsid w:val="00F82AEF"/>
    <w:rsid w:val="00F83529"/>
    <w:rsid w:val="00F83A30"/>
    <w:rsid w:val="00F83E4B"/>
    <w:rsid w:val="00F856BE"/>
    <w:rsid w:val="00F863D8"/>
    <w:rsid w:val="00F86E27"/>
    <w:rsid w:val="00F874F7"/>
    <w:rsid w:val="00F87CFE"/>
    <w:rsid w:val="00F87E5A"/>
    <w:rsid w:val="00F9005A"/>
    <w:rsid w:val="00F91511"/>
    <w:rsid w:val="00F91E13"/>
    <w:rsid w:val="00F94FC6"/>
    <w:rsid w:val="00F96019"/>
    <w:rsid w:val="00F961F6"/>
    <w:rsid w:val="00F96CDC"/>
    <w:rsid w:val="00F9743A"/>
    <w:rsid w:val="00F9793D"/>
    <w:rsid w:val="00F97CFC"/>
    <w:rsid w:val="00FA07AA"/>
    <w:rsid w:val="00FA1DDA"/>
    <w:rsid w:val="00FA2A6A"/>
    <w:rsid w:val="00FA35BB"/>
    <w:rsid w:val="00FA4489"/>
    <w:rsid w:val="00FA482D"/>
    <w:rsid w:val="00FA4BCD"/>
    <w:rsid w:val="00FA59B5"/>
    <w:rsid w:val="00FA5BB2"/>
    <w:rsid w:val="00FA700A"/>
    <w:rsid w:val="00FA7228"/>
    <w:rsid w:val="00FB0845"/>
    <w:rsid w:val="00FB0858"/>
    <w:rsid w:val="00FB1834"/>
    <w:rsid w:val="00FB2137"/>
    <w:rsid w:val="00FB33E4"/>
    <w:rsid w:val="00FB50AD"/>
    <w:rsid w:val="00FB557B"/>
    <w:rsid w:val="00FB7694"/>
    <w:rsid w:val="00FC08C9"/>
    <w:rsid w:val="00FC08E7"/>
    <w:rsid w:val="00FC10AD"/>
    <w:rsid w:val="00FC2581"/>
    <w:rsid w:val="00FC3534"/>
    <w:rsid w:val="00FC51E1"/>
    <w:rsid w:val="00FC57C7"/>
    <w:rsid w:val="00FC5932"/>
    <w:rsid w:val="00FC6116"/>
    <w:rsid w:val="00FC692A"/>
    <w:rsid w:val="00FC7871"/>
    <w:rsid w:val="00FD1BA2"/>
    <w:rsid w:val="00FD279E"/>
    <w:rsid w:val="00FD29D0"/>
    <w:rsid w:val="00FD3444"/>
    <w:rsid w:val="00FD3A91"/>
    <w:rsid w:val="00FD3BD0"/>
    <w:rsid w:val="00FD3F90"/>
    <w:rsid w:val="00FD4E43"/>
    <w:rsid w:val="00FD5602"/>
    <w:rsid w:val="00FD6428"/>
    <w:rsid w:val="00FD6C39"/>
    <w:rsid w:val="00FD7512"/>
    <w:rsid w:val="00FE005B"/>
    <w:rsid w:val="00FE3301"/>
    <w:rsid w:val="00FE40AD"/>
    <w:rsid w:val="00FE522A"/>
    <w:rsid w:val="00FE537D"/>
    <w:rsid w:val="00FE63E0"/>
    <w:rsid w:val="00FF167D"/>
    <w:rsid w:val="00FF3BDA"/>
    <w:rsid w:val="00FF4999"/>
    <w:rsid w:val="00FF5B94"/>
    <w:rsid w:val="00FF677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rsid w:val="00D67B29"/>
    <w:pPr>
      <w:spacing w:line="260" w:lineRule="atLeast"/>
    </w:pPr>
    <w:rPr>
      <w:rFonts w:eastAsia="Calibri"/>
      <w:sz w:val="22"/>
      <w:lang w:eastAsia="en-US"/>
    </w:rPr>
  </w:style>
  <w:style w:type="paragraph" w:styleId="Heading1">
    <w:name w:val="heading 1"/>
    <w:basedOn w:val="Normal"/>
    <w:next w:val="Normal"/>
    <w:link w:val="Heading1Char"/>
    <w:uiPriority w:val="99"/>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iPriority w:val="99"/>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uiPriority w:val="99"/>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Main">
    <w:name w:val="n_Main"/>
    <w:basedOn w:val="Normal"/>
    <w:qFormat/>
    <w:rsid w:val="003D7C75"/>
    <w:pPr>
      <w:keepLines/>
      <w:tabs>
        <w:tab w:val="right" w:pos="1531"/>
      </w:tabs>
      <w:spacing w:after="100" w:line="220" w:lineRule="exact"/>
      <w:ind w:left="1701" w:hanging="1701"/>
    </w:pPr>
    <w:rPr>
      <w:rFonts w:cs="Arial"/>
      <w:iCs/>
      <w:sz w:val="20"/>
      <w:szCs w:val="22"/>
    </w:rPr>
  </w:style>
  <w:style w:type="paragraph" w:customStyle="1" w:styleId="nPara">
    <w:name w:val="n_Para"/>
    <w:basedOn w:val="Normal"/>
    <w:qFormat/>
    <w:rsid w:val="00F71C56"/>
    <w:pPr>
      <w:keepLines/>
      <w:tabs>
        <w:tab w:val="right" w:pos="2211"/>
      </w:tabs>
      <w:spacing w:after="100" w:line="220" w:lineRule="exact"/>
      <w:ind w:left="2410" w:hanging="2410"/>
    </w:pPr>
    <w:rPr>
      <w:sz w:val="20"/>
    </w:rPr>
  </w:style>
  <w:style w:type="paragraph" w:customStyle="1" w:styleId="nSubpara">
    <w:name w:val="n_Subpara"/>
    <w:basedOn w:val="Normal"/>
    <w:qFormat/>
    <w:rsid w:val="00F71C56"/>
    <w:pPr>
      <w:tabs>
        <w:tab w:val="right" w:pos="2948"/>
      </w:tabs>
      <w:spacing w:after="100" w:line="220" w:lineRule="exact"/>
      <w:ind w:left="3119" w:hanging="3119"/>
    </w:pPr>
    <w:rPr>
      <w:sz w:val="20"/>
    </w:rPr>
  </w:style>
  <w:style w:type="paragraph" w:customStyle="1" w:styleId="ntoHeading">
    <w:name w:val="n_to_Heading"/>
    <w:basedOn w:val="Normal"/>
    <w:qFormat/>
    <w:rsid w:val="007B5D87"/>
    <w:pPr>
      <w:tabs>
        <w:tab w:val="right" w:pos="851"/>
      </w:tabs>
      <w:spacing w:before="80" w:after="100" w:line="260" w:lineRule="exact"/>
      <w:ind w:left="964" w:hanging="964"/>
    </w:pPr>
    <w:rPr>
      <w:rFonts w:eastAsia="Times New Roman"/>
      <w:sz w:val="20"/>
      <w:szCs w:val="24"/>
      <w:lang w:eastAsia="en-AU"/>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D67B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7B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67B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67B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21A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67B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7B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67B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67B29"/>
    <w:pPr>
      <w:keepLines/>
      <w:tabs>
        <w:tab w:val="right" w:pos="8278"/>
      </w:tabs>
      <w:spacing w:before="80" w:line="240" w:lineRule="auto"/>
      <w:ind w:left="851" w:right="567"/>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link w:val="ListParagraphChar"/>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D67B29"/>
    <w:pPr>
      <w:keepNext/>
      <w:keepLines/>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uiPriority w:val="99"/>
    <w:qFormat/>
    <w:rsid w:val="00D67B29"/>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tblInd w:w="0" w:type="dxa"/>
      <w:tblCellMar>
        <w:top w:w="0" w:type="dxa"/>
        <w:left w:w="108" w:type="dxa"/>
        <w:bottom w:w="0" w:type="dxa"/>
        <w:right w:w="108" w:type="dxa"/>
      </w:tblCellMar>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uiPriority w:val="1"/>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otemargin">
    <w:name w:val="note(margin)"/>
    <w:aliases w:val="nm"/>
    <w:basedOn w:val="OPCParaBase"/>
    <w:rsid w:val="00D67B29"/>
    <w:pPr>
      <w:tabs>
        <w:tab w:val="left" w:pos="709"/>
      </w:tabs>
      <w:spacing w:before="122" w:line="198" w:lineRule="exact"/>
      <w:ind w:left="709" w:hanging="709"/>
    </w:pPr>
    <w:rPr>
      <w:sz w:val="18"/>
    </w:rPr>
  </w:style>
  <w:style w:type="paragraph" w:customStyle="1" w:styleId="notepara">
    <w:name w:val="note(para)"/>
    <w:aliases w:val="na"/>
    <w:basedOn w:val="OPCParaBase"/>
    <w:rsid w:val="00D67B29"/>
    <w:pPr>
      <w:spacing w:before="40" w:line="198" w:lineRule="exact"/>
      <w:ind w:left="2354" w:hanging="369"/>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otetext">
    <w:name w:val="note(text)"/>
    <w:aliases w:val="n"/>
    <w:basedOn w:val="OPCParaBase"/>
    <w:link w:val="notetextChar"/>
    <w:rsid w:val="00D67B29"/>
    <w:pPr>
      <w:spacing w:before="122"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rsid w:val="00D67B29"/>
    <w:pPr>
      <w:tabs>
        <w:tab w:val="right" w:pos="1985"/>
      </w:tabs>
      <w:spacing w:before="40" w:line="240" w:lineRule="auto"/>
      <w:ind w:left="2098" w:hanging="2098"/>
    </w:pPr>
  </w:style>
  <w:style w:type="paragraph" w:customStyle="1" w:styleId="tSubsub">
    <w:name w:val="t_Subsub"/>
    <w:aliases w:val="paragraph(sub-sub)"/>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ssh"/>
    <w:basedOn w:val="OPCParaBase"/>
    <w:next w:val="tMain"/>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semiHidden/>
    <w:unhideWhenUsed/>
    <w:rsid w:val="00DC518B"/>
    <w:pPr>
      <w:spacing w:line="240" w:lineRule="auto"/>
    </w:pPr>
    <w:rPr>
      <w:sz w:val="20"/>
    </w:rPr>
  </w:style>
  <w:style w:type="character" w:customStyle="1" w:styleId="CommentTextChar">
    <w:name w:val="Comment Text Char"/>
    <w:basedOn w:val="DefaultParagraphFont"/>
    <w:link w:val="CommentText"/>
    <w:uiPriority w:val="99"/>
    <w:semiHidden/>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acthead5">
    <w:name w:val="acthead5"/>
    <w:basedOn w:val="Normal"/>
    <w:rsid w:val="00367ED0"/>
    <w:pPr>
      <w:spacing w:before="100" w:beforeAutospacing="1" w:after="100" w:afterAutospacing="1" w:line="240" w:lineRule="auto"/>
    </w:pPr>
    <w:rPr>
      <w:rFonts w:eastAsia="Times New Roman"/>
      <w:sz w:val="24"/>
      <w:szCs w:val="24"/>
      <w:lang w:eastAsia="en-AU"/>
    </w:rPr>
  </w:style>
  <w:style w:type="character" w:customStyle="1" w:styleId="charsectno0">
    <w:name w:val="charsectno"/>
    <w:basedOn w:val="DefaultParagraphFont"/>
    <w:rsid w:val="00367ED0"/>
  </w:style>
  <w:style w:type="paragraph" w:customStyle="1" w:styleId="subsectionhead">
    <w:name w:val="subsectionhead"/>
    <w:basedOn w:val="Normal"/>
    <w:rsid w:val="00367ED0"/>
    <w:pPr>
      <w:spacing w:before="100" w:beforeAutospacing="1" w:after="100" w:afterAutospacing="1" w:line="240" w:lineRule="auto"/>
    </w:pPr>
    <w:rPr>
      <w:rFonts w:eastAsia="Times New Roman"/>
      <w:sz w:val="24"/>
      <w:szCs w:val="24"/>
      <w:lang w:eastAsia="en-AU"/>
    </w:rPr>
  </w:style>
  <w:style w:type="paragraph" w:customStyle="1" w:styleId="paragraphsub">
    <w:name w:val="paragraphsub"/>
    <w:basedOn w:val="Normal"/>
    <w:rsid w:val="00367ED0"/>
    <w:pPr>
      <w:spacing w:before="100" w:beforeAutospacing="1" w:after="100" w:afterAutospacing="1" w:line="240" w:lineRule="auto"/>
    </w:pPr>
    <w:rPr>
      <w:rFonts w:eastAsia="Times New Roman"/>
      <w:sz w:val="24"/>
      <w:szCs w:val="24"/>
      <w:lang w:eastAsia="en-AU"/>
    </w:rPr>
  </w:style>
  <w:style w:type="paragraph" w:customStyle="1" w:styleId="notetext0">
    <w:name w:val="notetext"/>
    <w:basedOn w:val="Normal"/>
    <w:rsid w:val="00367ED0"/>
    <w:pPr>
      <w:spacing w:before="100" w:beforeAutospacing="1" w:after="100" w:afterAutospacing="1" w:line="240" w:lineRule="auto"/>
    </w:pPr>
    <w:rPr>
      <w:rFonts w:eastAsia="Times New Roman"/>
      <w:sz w:val="24"/>
      <w:szCs w:val="24"/>
      <w:lang w:eastAsia="en-AU"/>
    </w:rPr>
  </w:style>
  <w:style w:type="character" w:customStyle="1" w:styleId="ListParagraphChar">
    <w:name w:val="List Paragraph Char"/>
    <w:link w:val="ListParagraph"/>
    <w:uiPriority w:val="34"/>
    <w:rsid w:val="00A74CBA"/>
    <w:rPr>
      <w:rFonts w:eastAsia="Calibri"/>
      <w:sz w:val="22"/>
      <w:lang w:eastAsia="en-US"/>
    </w:rPr>
  </w:style>
  <w:style w:type="character" w:customStyle="1" w:styleId="subsectionChar">
    <w:name w:val="subsection Char"/>
    <w:aliases w:val="ss Char"/>
    <w:link w:val="tMain"/>
    <w:locked/>
    <w:rsid w:val="00DE0AFD"/>
    <w:rPr>
      <w:sz w:val="22"/>
    </w:rPr>
  </w:style>
  <w:style w:type="character" w:customStyle="1" w:styleId="paragraphChar">
    <w:name w:val="paragraph Char"/>
    <w:aliases w:val="a Char"/>
    <w:link w:val="tPara"/>
    <w:rsid w:val="00A84BBB"/>
    <w:rPr>
      <w:sz w:val="22"/>
    </w:rPr>
  </w:style>
  <w:style w:type="paragraph" w:customStyle="1" w:styleId="definition">
    <w:name w:val="definition"/>
    <w:basedOn w:val="Normal"/>
    <w:rsid w:val="00E44490"/>
    <w:pPr>
      <w:spacing w:before="100" w:beforeAutospacing="1" w:after="100" w:afterAutospacing="1" w:line="240" w:lineRule="auto"/>
    </w:pPr>
    <w:rPr>
      <w:rFonts w:eastAsia="Times New Roman"/>
      <w:sz w:val="24"/>
      <w:szCs w:val="24"/>
      <w:lang w:eastAsia="en-AU"/>
    </w:rPr>
  </w:style>
  <w:style w:type="paragraph" w:customStyle="1" w:styleId="notemargin0">
    <w:name w:val="notemargin"/>
    <w:basedOn w:val="Normal"/>
    <w:rsid w:val="00E97EAB"/>
    <w:pPr>
      <w:spacing w:before="100" w:beforeAutospacing="1" w:after="100" w:afterAutospacing="1" w:line="240" w:lineRule="auto"/>
    </w:pPr>
    <w:rPr>
      <w:rFonts w:eastAsia="Times New Roman"/>
      <w:sz w:val="24"/>
      <w:szCs w:val="24"/>
      <w:lang w:eastAsia="en-AU"/>
    </w:rPr>
  </w:style>
  <w:style w:type="character" w:customStyle="1" w:styleId="charpartno0">
    <w:name w:val="charpartno"/>
    <w:basedOn w:val="DefaultParagraphFont"/>
    <w:rsid w:val="00E97EAB"/>
  </w:style>
  <w:style w:type="character" w:customStyle="1" w:styleId="charparttext0">
    <w:name w:val="charparttext"/>
    <w:basedOn w:val="DefaultParagraphFont"/>
    <w:rsid w:val="00E97EAB"/>
  </w:style>
  <w:style w:type="character" w:customStyle="1" w:styleId="chardivno0">
    <w:name w:val="chardivno"/>
    <w:basedOn w:val="DefaultParagraphFont"/>
    <w:rsid w:val="00E97EAB"/>
  </w:style>
  <w:style w:type="character" w:customStyle="1" w:styleId="chardivtext0">
    <w:name w:val="chardivtext"/>
    <w:basedOn w:val="DefaultParagraphFont"/>
    <w:rsid w:val="00E97EAB"/>
  </w:style>
  <w:style w:type="paragraph" w:customStyle="1" w:styleId="tFormula">
    <w:name w:val="t_Formula"/>
    <w:basedOn w:val="Normal"/>
    <w:qFormat/>
    <w:rsid w:val="00F10732"/>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F10732"/>
    <w:pPr>
      <w:tabs>
        <w:tab w:val="right" w:pos="1985"/>
      </w:tabs>
      <w:spacing w:before="40" w:line="240" w:lineRule="auto"/>
      <w:ind w:left="2098" w:hanging="454"/>
    </w:pPr>
    <w:rPr>
      <w:rFonts w:eastAsia="Times New Roman"/>
      <w:lang w:eastAsia="en-AU"/>
    </w:rPr>
  </w:style>
  <w:style w:type="character" w:customStyle="1" w:styleId="notetextChar">
    <w:name w:val="note(text) Char"/>
    <w:aliases w:val="n Char"/>
    <w:link w:val="notetext"/>
    <w:rsid w:val="00C4339C"/>
    <w:rPr>
      <w:sz w:val="18"/>
    </w:rPr>
  </w:style>
  <w:style w:type="character" w:styleId="CommentReference">
    <w:name w:val="annotation reference"/>
    <w:basedOn w:val="DefaultParagraphFont"/>
    <w:uiPriority w:val="99"/>
    <w:semiHidden/>
    <w:unhideWhenUsed/>
    <w:rsid w:val="004E667C"/>
    <w:rPr>
      <w:sz w:val="16"/>
      <w:szCs w:val="16"/>
    </w:rPr>
  </w:style>
  <w:style w:type="character" w:styleId="FollowedHyperlink">
    <w:name w:val="FollowedHyperlink"/>
    <w:basedOn w:val="DefaultParagraphFont"/>
    <w:uiPriority w:val="99"/>
    <w:semiHidden/>
    <w:unhideWhenUsed/>
    <w:rsid w:val="00F97CF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22156">
      <w:bodyDiv w:val="1"/>
      <w:marLeft w:val="0"/>
      <w:marRight w:val="0"/>
      <w:marTop w:val="0"/>
      <w:marBottom w:val="0"/>
      <w:divBdr>
        <w:top w:val="none" w:sz="0" w:space="0" w:color="auto"/>
        <w:left w:val="none" w:sz="0" w:space="0" w:color="auto"/>
        <w:bottom w:val="none" w:sz="0" w:space="0" w:color="auto"/>
        <w:right w:val="none" w:sz="0" w:space="0" w:color="auto"/>
      </w:divBdr>
    </w:div>
    <w:div w:id="262618576">
      <w:bodyDiv w:val="1"/>
      <w:marLeft w:val="0"/>
      <w:marRight w:val="0"/>
      <w:marTop w:val="0"/>
      <w:marBottom w:val="0"/>
      <w:divBdr>
        <w:top w:val="none" w:sz="0" w:space="0" w:color="auto"/>
        <w:left w:val="none" w:sz="0" w:space="0" w:color="auto"/>
        <w:bottom w:val="none" w:sz="0" w:space="0" w:color="auto"/>
        <w:right w:val="none" w:sz="0" w:space="0" w:color="auto"/>
      </w:divBdr>
      <w:divsChild>
        <w:div w:id="2091268167">
          <w:marLeft w:val="0"/>
          <w:marRight w:val="0"/>
          <w:marTop w:val="0"/>
          <w:marBottom w:val="0"/>
          <w:divBdr>
            <w:top w:val="none" w:sz="0" w:space="0" w:color="auto"/>
            <w:left w:val="none" w:sz="0" w:space="0" w:color="auto"/>
            <w:bottom w:val="none" w:sz="0" w:space="0" w:color="auto"/>
            <w:right w:val="none" w:sz="0" w:space="0" w:color="auto"/>
          </w:divBdr>
          <w:divsChild>
            <w:div w:id="730420640">
              <w:marLeft w:val="0"/>
              <w:marRight w:val="0"/>
              <w:marTop w:val="0"/>
              <w:marBottom w:val="0"/>
              <w:divBdr>
                <w:top w:val="none" w:sz="0" w:space="0" w:color="auto"/>
                <w:left w:val="none" w:sz="0" w:space="0" w:color="auto"/>
                <w:bottom w:val="none" w:sz="0" w:space="0" w:color="auto"/>
                <w:right w:val="none" w:sz="0" w:space="0" w:color="auto"/>
              </w:divBdr>
              <w:divsChild>
                <w:div w:id="1281767629">
                  <w:marLeft w:val="0"/>
                  <w:marRight w:val="0"/>
                  <w:marTop w:val="0"/>
                  <w:marBottom w:val="0"/>
                  <w:divBdr>
                    <w:top w:val="none" w:sz="0" w:space="0" w:color="auto"/>
                    <w:left w:val="none" w:sz="0" w:space="0" w:color="auto"/>
                    <w:bottom w:val="none" w:sz="0" w:space="0" w:color="auto"/>
                    <w:right w:val="none" w:sz="0" w:space="0" w:color="auto"/>
                  </w:divBdr>
                  <w:divsChild>
                    <w:div w:id="215430400">
                      <w:marLeft w:val="0"/>
                      <w:marRight w:val="0"/>
                      <w:marTop w:val="0"/>
                      <w:marBottom w:val="0"/>
                      <w:divBdr>
                        <w:top w:val="none" w:sz="0" w:space="0" w:color="auto"/>
                        <w:left w:val="none" w:sz="0" w:space="0" w:color="auto"/>
                        <w:bottom w:val="none" w:sz="0" w:space="0" w:color="auto"/>
                        <w:right w:val="none" w:sz="0" w:space="0" w:color="auto"/>
                      </w:divBdr>
                      <w:divsChild>
                        <w:div w:id="3242953">
                          <w:marLeft w:val="0"/>
                          <w:marRight w:val="0"/>
                          <w:marTop w:val="0"/>
                          <w:marBottom w:val="0"/>
                          <w:divBdr>
                            <w:top w:val="single" w:sz="6" w:space="0" w:color="828282"/>
                            <w:left w:val="single" w:sz="6" w:space="0" w:color="828282"/>
                            <w:bottom w:val="single" w:sz="6" w:space="0" w:color="828282"/>
                            <w:right w:val="single" w:sz="6" w:space="0" w:color="828282"/>
                          </w:divBdr>
                          <w:divsChild>
                            <w:div w:id="368844098">
                              <w:marLeft w:val="0"/>
                              <w:marRight w:val="0"/>
                              <w:marTop w:val="0"/>
                              <w:marBottom w:val="0"/>
                              <w:divBdr>
                                <w:top w:val="none" w:sz="0" w:space="0" w:color="auto"/>
                                <w:left w:val="none" w:sz="0" w:space="0" w:color="auto"/>
                                <w:bottom w:val="none" w:sz="0" w:space="0" w:color="auto"/>
                                <w:right w:val="none" w:sz="0" w:space="0" w:color="auto"/>
                              </w:divBdr>
                              <w:divsChild>
                                <w:div w:id="1265455517">
                                  <w:marLeft w:val="0"/>
                                  <w:marRight w:val="0"/>
                                  <w:marTop w:val="0"/>
                                  <w:marBottom w:val="0"/>
                                  <w:divBdr>
                                    <w:top w:val="none" w:sz="0" w:space="0" w:color="auto"/>
                                    <w:left w:val="none" w:sz="0" w:space="0" w:color="auto"/>
                                    <w:bottom w:val="none" w:sz="0" w:space="0" w:color="auto"/>
                                    <w:right w:val="none" w:sz="0" w:space="0" w:color="auto"/>
                                  </w:divBdr>
                                  <w:divsChild>
                                    <w:div w:id="664091100">
                                      <w:marLeft w:val="0"/>
                                      <w:marRight w:val="0"/>
                                      <w:marTop w:val="0"/>
                                      <w:marBottom w:val="0"/>
                                      <w:divBdr>
                                        <w:top w:val="none" w:sz="0" w:space="0" w:color="auto"/>
                                        <w:left w:val="none" w:sz="0" w:space="0" w:color="auto"/>
                                        <w:bottom w:val="none" w:sz="0" w:space="0" w:color="auto"/>
                                        <w:right w:val="none" w:sz="0" w:space="0" w:color="auto"/>
                                      </w:divBdr>
                                      <w:divsChild>
                                        <w:div w:id="1186793932">
                                          <w:marLeft w:val="0"/>
                                          <w:marRight w:val="0"/>
                                          <w:marTop w:val="0"/>
                                          <w:marBottom w:val="0"/>
                                          <w:divBdr>
                                            <w:top w:val="none" w:sz="0" w:space="0" w:color="auto"/>
                                            <w:left w:val="none" w:sz="0" w:space="0" w:color="auto"/>
                                            <w:bottom w:val="none" w:sz="0" w:space="0" w:color="auto"/>
                                            <w:right w:val="none" w:sz="0" w:space="0" w:color="auto"/>
                                          </w:divBdr>
                                          <w:divsChild>
                                            <w:div w:id="1517770119">
                                              <w:marLeft w:val="0"/>
                                              <w:marRight w:val="0"/>
                                              <w:marTop w:val="0"/>
                                              <w:marBottom w:val="0"/>
                                              <w:divBdr>
                                                <w:top w:val="none" w:sz="0" w:space="0" w:color="auto"/>
                                                <w:left w:val="none" w:sz="0" w:space="0" w:color="auto"/>
                                                <w:bottom w:val="none" w:sz="0" w:space="0" w:color="auto"/>
                                                <w:right w:val="none" w:sz="0" w:space="0" w:color="auto"/>
                                              </w:divBdr>
                                              <w:divsChild>
                                                <w:div w:id="1940410729">
                                                  <w:marLeft w:val="0"/>
                                                  <w:marRight w:val="0"/>
                                                  <w:marTop w:val="0"/>
                                                  <w:marBottom w:val="0"/>
                                                  <w:divBdr>
                                                    <w:top w:val="none" w:sz="0" w:space="0" w:color="auto"/>
                                                    <w:left w:val="none" w:sz="0" w:space="0" w:color="auto"/>
                                                    <w:bottom w:val="none" w:sz="0" w:space="0" w:color="auto"/>
                                                    <w:right w:val="none" w:sz="0" w:space="0" w:color="auto"/>
                                                  </w:divBdr>
                                                  <w:divsChild>
                                                    <w:div w:id="6036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922608">
      <w:bodyDiv w:val="1"/>
      <w:marLeft w:val="0"/>
      <w:marRight w:val="0"/>
      <w:marTop w:val="0"/>
      <w:marBottom w:val="0"/>
      <w:divBdr>
        <w:top w:val="none" w:sz="0" w:space="0" w:color="auto"/>
        <w:left w:val="none" w:sz="0" w:space="0" w:color="auto"/>
        <w:bottom w:val="none" w:sz="0" w:space="0" w:color="auto"/>
        <w:right w:val="none" w:sz="0" w:space="0" w:color="auto"/>
      </w:divBdr>
      <w:divsChild>
        <w:div w:id="1369449885">
          <w:marLeft w:val="0"/>
          <w:marRight w:val="0"/>
          <w:marTop w:val="0"/>
          <w:marBottom w:val="0"/>
          <w:divBdr>
            <w:top w:val="none" w:sz="0" w:space="0" w:color="auto"/>
            <w:left w:val="none" w:sz="0" w:space="0" w:color="auto"/>
            <w:bottom w:val="none" w:sz="0" w:space="0" w:color="auto"/>
            <w:right w:val="none" w:sz="0" w:space="0" w:color="auto"/>
          </w:divBdr>
          <w:divsChild>
            <w:div w:id="790906620">
              <w:marLeft w:val="0"/>
              <w:marRight w:val="0"/>
              <w:marTop w:val="0"/>
              <w:marBottom w:val="0"/>
              <w:divBdr>
                <w:top w:val="none" w:sz="0" w:space="0" w:color="auto"/>
                <w:left w:val="none" w:sz="0" w:space="0" w:color="auto"/>
                <w:bottom w:val="none" w:sz="0" w:space="0" w:color="auto"/>
                <w:right w:val="none" w:sz="0" w:space="0" w:color="auto"/>
              </w:divBdr>
              <w:divsChild>
                <w:div w:id="1818957346">
                  <w:marLeft w:val="0"/>
                  <w:marRight w:val="0"/>
                  <w:marTop w:val="0"/>
                  <w:marBottom w:val="0"/>
                  <w:divBdr>
                    <w:top w:val="none" w:sz="0" w:space="0" w:color="auto"/>
                    <w:left w:val="none" w:sz="0" w:space="0" w:color="auto"/>
                    <w:bottom w:val="none" w:sz="0" w:space="0" w:color="auto"/>
                    <w:right w:val="none" w:sz="0" w:space="0" w:color="auto"/>
                  </w:divBdr>
                  <w:divsChild>
                    <w:div w:id="995569747">
                      <w:marLeft w:val="0"/>
                      <w:marRight w:val="0"/>
                      <w:marTop w:val="0"/>
                      <w:marBottom w:val="0"/>
                      <w:divBdr>
                        <w:top w:val="none" w:sz="0" w:space="0" w:color="auto"/>
                        <w:left w:val="none" w:sz="0" w:space="0" w:color="auto"/>
                        <w:bottom w:val="none" w:sz="0" w:space="0" w:color="auto"/>
                        <w:right w:val="none" w:sz="0" w:space="0" w:color="auto"/>
                      </w:divBdr>
                      <w:divsChild>
                        <w:div w:id="1556742589">
                          <w:marLeft w:val="0"/>
                          <w:marRight w:val="0"/>
                          <w:marTop w:val="0"/>
                          <w:marBottom w:val="0"/>
                          <w:divBdr>
                            <w:top w:val="single" w:sz="6" w:space="0" w:color="828282"/>
                            <w:left w:val="single" w:sz="6" w:space="0" w:color="828282"/>
                            <w:bottom w:val="single" w:sz="6" w:space="0" w:color="828282"/>
                            <w:right w:val="single" w:sz="6" w:space="0" w:color="828282"/>
                          </w:divBdr>
                          <w:divsChild>
                            <w:div w:id="895240143">
                              <w:marLeft w:val="0"/>
                              <w:marRight w:val="0"/>
                              <w:marTop w:val="0"/>
                              <w:marBottom w:val="0"/>
                              <w:divBdr>
                                <w:top w:val="none" w:sz="0" w:space="0" w:color="auto"/>
                                <w:left w:val="none" w:sz="0" w:space="0" w:color="auto"/>
                                <w:bottom w:val="none" w:sz="0" w:space="0" w:color="auto"/>
                                <w:right w:val="none" w:sz="0" w:space="0" w:color="auto"/>
                              </w:divBdr>
                              <w:divsChild>
                                <w:div w:id="2122721351">
                                  <w:marLeft w:val="0"/>
                                  <w:marRight w:val="0"/>
                                  <w:marTop w:val="0"/>
                                  <w:marBottom w:val="0"/>
                                  <w:divBdr>
                                    <w:top w:val="none" w:sz="0" w:space="0" w:color="auto"/>
                                    <w:left w:val="none" w:sz="0" w:space="0" w:color="auto"/>
                                    <w:bottom w:val="none" w:sz="0" w:space="0" w:color="auto"/>
                                    <w:right w:val="none" w:sz="0" w:space="0" w:color="auto"/>
                                  </w:divBdr>
                                  <w:divsChild>
                                    <w:div w:id="728650247">
                                      <w:marLeft w:val="0"/>
                                      <w:marRight w:val="0"/>
                                      <w:marTop w:val="0"/>
                                      <w:marBottom w:val="0"/>
                                      <w:divBdr>
                                        <w:top w:val="none" w:sz="0" w:space="0" w:color="auto"/>
                                        <w:left w:val="none" w:sz="0" w:space="0" w:color="auto"/>
                                        <w:bottom w:val="none" w:sz="0" w:space="0" w:color="auto"/>
                                        <w:right w:val="none" w:sz="0" w:space="0" w:color="auto"/>
                                      </w:divBdr>
                                      <w:divsChild>
                                        <w:div w:id="1643729132">
                                          <w:marLeft w:val="0"/>
                                          <w:marRight w:val="0"/>
                                          <w:marTop w:val="0"/>
                                          <w:marBottom w:val="0"/>
                                          <w:divBdr>
                                            <w:top w:val="none" w:sz="0" w:space="0" w:color="auto"/>
                                            <w:left w:val="none" w:sz="0" w:space="0" w:color="auto"/>
                                            <w:bottom w:val="none" w:sz="0" w:space="0" w:color="auto"/>
                                            <w:right w:val="none" w:sz="0" w:space="0" w:color="auto"/>
                                          </w:divBdr>
                                          <w:divsChild>
                                            <w:div w:id="1618441637">
                                              <w:marLeft w:val="0"/>
                                              <w:marRight w:val="0"/>
                                              <w:marTop w:val="0"/>
                                              <w:marBottom w:val="0"/>
                                              <w:divBdr>
                                                <w:top w:val="none" w:sz="0" w:space="0" w:color="auto"/>
                                                <w:left w:val="none" w:sz="0" w:space="0" w:color="auto"/>
                                                <w:bottom w:val="none" w:sz="0" w:space="0" w:color="auto"/>
                                                <w:right w:val="none" w:sz="0" w:space="0" w:color="auto"/>
                                              </w:divBdr>
                                              <w:divsChild>
                                                <w:div w:id="1850870927">
                                                  <w:marLeft w:val="0"/>
                                                  <w:marRight w:val="0"/>
                                                  <w:marTop w:val="0"/>
                                                  <w:marBottom w:val="0"/>
                                                  <w:divBdr>
                                                    <w:top w:val="none" w:sz="0" w:space="0" w:color="auto"/>
                                                    <w:left w:val="none" w:sz="0" w:space="0" w:color="auto"/>
                                                    <w:bottom w:val="none" w:sz="0" w:space="0" w:color="auto"/>
                                                    <w:right w:val="none" w:sz="0" w:space="0" w:color="auto"/>
                                                  </w:divBdr>
                                                  <w:divsChild>
                                                    <w:div w:id="10069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8270982">
      <w:bodyDiv w:val="1"/>
      <w:marLeft w:val="0"/>
      <w:marRight w:val="0"/>
      <w:marTop w:val="0"/>
      <w:marBottom w:val="0"/>
      <w:divBdr>
        <w:top w:val="none" w:sz="0" w:space="0" w:color="auto"/>
        <w:left w:val="none" w:sz="0" w:space="0" w:color="auto"/>
        <w:bottom w:val="none" w:sz="0" w:space="0" w:color="auto"/>
        <w:right w:val="none" w:sz="0" w:space="0" w:color="auto"/>
      </w:divBdr>
      <w:divsChild>
        <w:div w:id="1770003768">
          <w:marLeft w:val="0"/>
          <w:marRight w:val="0"/>
          <w:marTop w:val="0"/>
          <w:marBottom w:val="0"/>
          <w:divBdr>
            <w:top w:val="none" w:sz="0" w:space="0" w:color="auto"/>
            <w:left w:val="none" w:sz="0" w:space="0" w:color="auto"/>
            <w:bottom w:val="none" w:sz="0" w:space="0" w:color="auto"/>
            <w:right w:val="none" w:sz="0" w:space="0" w:color="auto"/>
          </w:divBdr>
          <w:divsChild>
            <w:div w:id="641008096">
              <w:marLeft w:val="0"/>
              <w:marRight w:val="0"/>
              <w:marTop w:val="0"/>
              <w:marBottom w:val="0"/>
              <w:divBdr>
                <w:top w:val="none" w:sz="0" w:space="0" w:color="auto"/>
                <w:left w:val="none" w:sz="0" w:space="0" w:color="auto"/>
                <w:bottom w:val="none" w:sz="0" w:space="0" w:color="auto"/>
                <w:right w:val="none" w:sz="0" w:space="0" w:color="auto"/>
              </w:divBdr>
              <w:divsChild>
                <w:div w:id="454786985">
                  <w:marLeft w:val="0"/>
                  <w:marRight w:val="0"/>
                  <w:marTop w:val="0"/>
                  <w:marBottom w:val="0"/>
                  <w:divBdr>
                    <w:top w:val="none" w:sz="0" w:space="0" w:color="auto"/>
                    <w:left w:val="none" w:sz="0" w:space="0" w:color="auto"/>
                    <w:bottom w:val="none" w:sz="0" w:space="0" w:color="auto"/>
                    <w:right w:val="none" w:sz="0" w:space="0" w:color="auto"/>
                  </w:divBdr>
                  <w:divsChild>
                    <w:div w:id="1688364517">
                      <w:marLeft w:val="0"/>
                      <w:marRight w:val="0"/>
                      <w:marTop w:val="0"/>
                      <w:marBottom w:val="0"/>
                      <w:divBdr>
                        <w:top w:val="none" w:sz="0" w:space="0" w:color="auto"/>
                        <w:left w:val="none" w:sz="0" w:space="0" w:color="auto"/>
                        <w:bottom w:val="none" w:sz="0" w:space="0" w:color="auto"/>
                        <w:right w:val="none" w:sz="0" w:space="0" w:color="auto"/>
                      </w:divBdr>
                      <w:divsChild>
                        <w:div w:id="1622103008">
                          <w:marLeft w:val="0"/>
                          <w:marRight w:val="0"/>
                          <w:marTop w:val="0"/>
                          <w:marBottom w:val="0"/>
                          <w:divBdr>
                            <w:top w:val="single" w:sz="6" w:space="0" w:color="828282"/>
                            <w:left w:val="single" w:sz="6" w:space="0" w:color="828282"/>
                            <w:bottom w:val="single" w:sz="6" w:space="0" w:color="828282"/>
                            <w:right w:val="single" w:sz="6" w:space="0" w:color="828282"/>
                          </w:divBdr>
                          <w:divsChild>
                            <w:div w:id="490948312">
                              <w:marLeft w:val="0"/>
                              <w:marRight w:val="0"/>
                              <w:marTop w:val="0"/>
                              <w:marBottom w:val="0"/>
                              <w:divBdr>
                                <w:top w:val="none" w:sz="0" w:space="0" w:color="auto"/>
                                <w:left w:val="none" w:sz="0" w:space="0" w:color="auto"/>
                                <w:bottom w:val="none" w:sz="0" w:space="0" w:color="auto"/>
                                <w:right w:val="none" w:sz="0" w:space="0" w:color="auto"/>
                              </w:divBdr>
                              <w:divsChild>
                                <w:div w:id="669065659">
                                  <w:marLeft w:val="0"/>
                                  <w:marRight w:val="0"/>
                                  <w:marTop w:val="0"/>
                                  <w:marBottom w:val="0"/>
                                  <w:divBdr>
                                    <w:top w:val="none" w:sz="0" w:space="0" w:color="auto"/>
                                    <w:left w:val="none" w:sz="0" w:space="0" w:color="auto"/>
                                    <w:bottom w:val="none" w:sz="0" w:space="0" w:color="auto"/>
                                    <w:right w:val="none" w:sz="0" w:space="0" w:color="auto"/>
                                  </w:divBdr>
                                  <w:divsChild>
                                    <w:div w:id="1030379120">
                                      <w:marLeft w:val="0"/>
                                      <w:marRight w:val="0"/>
                                      <w:marTop w:val="0"/>
                                      <w:marBottom w:val="0"/>
                                      <w:divBdr>
                                        <w:top w:val="none" w:sz="0" w:space="0" w:color="auto"/>
                                        <w:left w:val="none" w:sz="0" w:space="0" w:color="auto"/>
                                        <w:bottom w:val="none" w:sz="0" w:space="0" w:color="auto"/>
                                        <w:right w:val="none" w:sz="0" w:space="0" w:color="auto"/>
                                      </w:divBdr>
                                      <w:divsChild>
                                        <w:div w:id="135491662">
                                          <w:marLeft w:val="0"/>
                                          <w:marRight w:val="0"/>
                                          <w:marTop w:val="0"/>
                                          <w:marBottom w:val="0"/>
                                          <w:divBdr>
                                            <w:top w:val="none" w:sz="0" w:space="0" w:color="auto"/>
                                            <w:left w:val="none" w:sz="0" w:space="0" w:color="auto"/>
                                            <w:bottom w:val="none" w:sz="0" w:space="0" w:color="auto"/>
                                            <w:right w:val="none" w:sz="0" w:space="0" w:color="auto"/>
                                          </w:divBdr>
                                          <w:divsChild>
                                            <w:div w:id="181088012">
                                              <w:marLeft w:val="0"/>
                                              <w:marRight w:val="0"/>
                                              <w:marTop w:val="0"/>
                                              <w:marBottom w:val="0"/>
                                              <w:divBdr>
                                                <w:top w:val="none" w:sz="0" w:space="0" w:color="auto"/>
                                                <w:left w:val="none" w:sz="0" w:space="0" w:color="auto"/>
                                                <w:bottom w:val="none" w:sz="0" w:space="0" w:color="auto"/>
                                                <w:right w:val="none" w:sz="0" w:space="0" w:color="auto"/>
                                              </w:divBdr>
                                              <w:divsChild>
                                                <w:div w:id="1905675907">
                                                  <w:marLeft w:val="0"/>
                                                  <w:marRight w:val="0"/>
                                                  <w:marTop w:val="0"/>
                                                  <w:marBottom w:val="0"/>
                                                  <w:divBdr>
                                                    <w:top w:val="none" w:sz="0" w:space="0" w:color="auto"/>
                                                    <w:left w:val="none" w:sz="0" w:space="0" w:color="auto"/>
                                                    <w:bottom w:val="none" w:sz="0" w:space="0" w:color="auto"/>
                                                    <w:right w:val="none" w:sz="0" w:space="0" w:color="auto"/>
                                                  </w:divBdr>
                                                  <w:divsChild>
                                                    <w:div w:id="13554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448744291">
      <w:bodyDiv w:val="1"/>
      <w:marLeft w:val="0"/>
      <w:marRight w:val="0"/>
      <w:marTop w:val="0"/>
      <w:marBottom w:val="0"/>
      <w:divBdr>
        <w:top w:val="none" w:sz="0" w:space="0" w:color="auto"/>
        <w:left w:val="none" w:sz="0" w:space="0" w:color="auto"/>
        <w:bottom w:val="none" w:sz="0" w:space="0" w:color="auto"/>
        <w:right w:val="none" w:sz="0" w:space="0" w:color="auto"/>
      </w:divBdr>
      <w:divsChild>
        <w:div w:id="196745602">
          <w:marLeft w:val="0"/>
          <w:marRight w:val="0"/>
          <w:marTop w:val="0"/>
          <w:marBottom w:val="0"/>
          <w:divBdr>
            <w:top w:val="none" w:sz="0" w:space="0" w:color="auto"/>
            <w:left w:val="none" w:sz="0" w:space="0" w:color="auto"/>
            <w:bottom w:val="none" w:sz="0" w:space="0" w:color="auto"/>
            <w:right w:val="none" w:sz="0" w:space="0" w:color="auto"/>
          </w:divBdr>
          <w:divsChild>
            <w:div w:id="955914602">
              <w:marLeft w:val="0"/>
              <w:marRight w:val="0"/>
              <w:marTop w:val="0"/>
              <w:marBottom w:val="0"/>
              <w:divBdr>
                <w:top w:val="none" w:sz="0" w:space="0" w:color="auto"/>
                <w:left w:val="none" w:sz="0" w:space="0" w:color="auto"/>
                <w:bottom w:val="none" w:sz="0" w:space="0" w:color="auto"/>
                <w:right w:val="none" w:sz="0" w:space="0" w:color="auto"/>
              </w:divBdr>
              <w:divsChild>
                <w:div w:id="1643346981">
                  <w:marLeft w:val="0"/>
                  <w:marRight w:val="0"/>
                  <w:marTop w:val="0"/>
                  <w:marBottom w:val="0"/>
                  <w:divBdr>
                    <w:top w:val="none" w:sz="0" w:space="0" w:color="auto"/>
                    <w:left w:val="none" w:sz="0" w:space="0" w:color="auto"/>
                    <w:bottom w:val="none" w:sz="0" w:space="0" w:color="auto"/>
                    <w:right w:val="none" w:sz="0" w:space="0" w:color="auto"/>
                  </w:divBdr>
                  <w:divsChild>
                    <w:div w:id="1959023571">
                      <w:marLeft w:val="0"/>
                      <w:marRight w:val="0"/>
                      <w:marTop w:val="0"/>
                      <w:marBottom w:val="0"/>
                      <w:divBdr>
                        <w:top w:val="none" w:sz="0" w:space="0" w:color="auto"/>
                        <w:left w:val="none" w:sz="0" w:space="0" w:color="auto"/>
                        <w:bottom w:val="none" w:sz="0" w:space="0" w:color="auto"/>
                        <w:right w:val="none" w:sz="0" w:space="0" w:color="auto"/>
                      </w:divBdr>
                      <w:divsChild>
                        <w:div w:id="1166557338">
                          <w:marLeft w:val="0"/>
                          <w:marRight w:val="0"/>
                          <w:marTop w:val="0"/>
                          <w:marBottom w:val="0"/>
                          <w:divBdr>
                            <w:top w:val="none" w:sz="0" w:space="0" w:color="auto"/>
                            <w:left w:val="none" w:sz="0" w:space="0" w:color="auto"/>
                            <w:bottom w:val="none" w:sz="0" w:space="0" w:color="auto"/>
                            <w:right w:val="none" w:sz="0" w:space="0" w:color="auto"/>
                          </w:divBdr>
                          <w:divsChild>
                            <w:div w:id="1383292696">
                              <w:marLeft w:val="0"/>
                              <w:marRight w:val="0"/>
                              <w:marTop w:val="0"/>
                              <w:marBottom w:val="0"/>
                              <w:divBdr>
                                <w:top w:val="single" w:sz="6" w:space="0" w:color="828282"/>
                                <w:left w:val="single" w:sz="6" w:space="0" w:color="828282"/>
                                <w:bottom w:val="single" w:sz="6" w:space="0" w:color="828282"/>
                                <w:right w:val="single" w:sz="6" w:space="0" w:color="828282"/>
                              </w:divBdr>
                              <w:divsChild>
                                <w:div w:id="1109084661">
                                  <w:marLeft w:val="0"/>
                                  <w:marRight w:val="0"/>
                                  <w:marTop w:val="0"/>
                                  <w:marBottom w:val="0"/>
                                  <w:divBdr>
                                    <w:top w:val="none" w:sz="0" w:space="0" w:color="auto"/>
                                    <w:left w:val="none" w:sz="0" w:space="0" w:color="auto"/>
                                    <w:bottom w:val="none" w:sz="0" w:space="0" w:color="auto"/>
                                    <w:right w:val="none" w:sz="0" w:space="0" w:color="auto"/>
                                  </w:divBdr>
                                  <w:divsChild>
                                    <w:div w:id="1191337228">
                                      <w:marLeft w:val="0"/>
                                      <w:marRight w:val="0"/>
                                      <w:marTop w:val="0"/>
                                      <w:marBottom w:val="0"/>
                                      <w:divBdr>
                                        <w:top w:val="none" w:sz="0" w:space="0" w:color="auto"/>
                                        <w:left w:val="none" w:sz="0" w:space="0" w:color="auto"/>
                                        <w:bottom w:val="none" w:sz="0" w:space="0" w:color="auto"/>
                                        <w:right w:val="none" w:sz="0" w:space="0" w:color="auto"/>
                                      </w:divBdr>
                                      <w:divsChild>
                                        <w:div w:id="85076">
                                          <w:marLeft w:val="0"/>
                                          <w:marRight w:val="0"/>
                                          <w:marTop w:val="0"/>
                                          <w:marBottom w:val="0"/>
                                          <w:divBdr>
                                            <w:top w:val="none" w:sz="0" w:space="0" w:color="auto"/>
                                            <w:left w:val="none" w:sz="0" w:space="0" w:color="auto"/>
                                            <w:bottom w:val="none" w:sz="0" w:space="0" w:color="auto"/>
                                            <w:right w:val="none" w:sz="0" w:space="0" w:color="auto"/>
                                          </w:divBdr>
                                          <w:divsChild>
                                            <w:div w:id="1682078400">
                                              <w:marLeft w:val="0"/>
                                              <w:marRight w:val="0"/>
                                              <w:marTop w:val="0"/>
                                              <w:marBottom w:val="0"/>
                                              <w:divBdr>
                                                <w:top w:val="none" w:sz="0" w:space="0" w:color="auto"/>
                                                <w:left w:val="none" w:sz="0" w:space="0" w:color="auto"/>
                                                <w:bottom w:val="none" w:sz="0" w:space="0" w:color="auto"/>
                                                <w:right w:val="none" w:sz="0" w:space="0" w:color="auto"/>
                                              </w:divBdr>
                                              <w:divsChild>
                                                <w:div w:id="466707839">
                                                  <w:marLeft w:val="0"/>
                                                  <w:marRight w:val="0"/>
                                                  <w:marTop w:val="0"/>
                                                  <w:marBottom w:val="0"/>
                                                  <w:divBdr>
                                                    <w:top w:val="none" w:sz="0" w:space="0" w:color="auto"/>
                                                    <w:left w:val="none" w:sz="0" w:space="0" w:color="auto"/>
                                                    <w:bottom w:val="none" w:sz="0" w:space="0" w:color="auto"/>
                                                    <w:right w:val="none" w:sz="0" w:space="0" w:color="auto"/>
                                                  </w:divBdr>
                                                  <w:divsChild>
                                                    <w:div w:id="1586527171">
                                                      <w:marLeft w:val="0"/>
                                                      <w:marRight w:val="0"/>
                                                      <w:marTop w:val="0"/>
                                                      <w:marBottom w:val="0"/>
                                                      <w:divBdr>
                                                        <w:top w:val="none" w:sz="0" w:space="0" w:color="auto"/>
                                                        <w:left w:val="none" w:sz="0" w:space="0" w:color="auto"/>
                                                        <w:bottom w:val="none" w:sz="0" w:space="0" w:color="auto"/>
                                                        <w:right w:val="none" w:sz="0" w:space="0" w:color="auto"/>
                                                      </w:divBdr>
                                                      <w:divsChild>
                                                        <w:div w:id="18390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9732448">
      <w:bodyDiv w:val="1"/>
      <w:marLeft w:val="0"/>
      <w:marRight w:val="0"/>
      <w:marTop w:val="0"/>
      <w:marBottom w:val="0"/>
      <w:divBdr>
        <w:top w:val="none" w:sz="0" w:space="0" w:color="auto"/>
        <w:left w:val="none" w:sz="0" w:space="0" w:color="auto"/>
        <w:bottom w:val="none" w:sz="0" w:space="0" w:color="auto"/>
        <w:right w:val="none" w:sz="0" w:space="0" w:color="auto"/>
      </w:divBdr>
      <w:divsChild>
        <w:div w:id="1644506910">
          <w:marLeft w:val="0"/>
          <w:marRight w:val="0"/>
          <w:marTop w:val="0"/>
          <w:marBottom w:val="0"/>
          <w:divBdr>
            <w:top w:val="none" w:sz="0" w:space="0" w:color="auto"/>
            <w:left w:val="none" w:sz="0" w:space="0" w:color="auto"/>
            <w:bottom w:val="none" w:sz="0" w:space="0" w:color="auto"/>
            <w:right w:val="none" w:sz="0" w:space="0" w:color="auto"/>
          </w:divBdr>
          <w:divsChild>
            <w:div w:id="115492194">
              <w:marLeft w:val="0"/>
              <w:marRight w:val="0"/>
              <w:marTop w:val="0"/>
              <w:marBottom w:val="0"/>
              <w:divBdr>
                <w:top w:val="none" w:sz="0" w:space="0" w:color="auto"/>
                <w:left w:val="none" w:sz="0" w:space="0" w:color="auto"/>
                <w:bottom w:val="none" w:sz="0" w:space="0" w:color="auto"/>
                <w:right w:val="none" w:sz="0" w:space="0" w:color="auto"/>
              </w:divBdr>
              <w:divsChild>
                <w:div w:id="1796211102">
                  <w:marLeft w:val="0"/>
                  <w:marRight w:val="0"/>
                  <w:marTop w:val="0"/>
                  <w:marBottom w:val="0"/>
                  <w:divBdr>
                    <w:top w:val="none" w:sz="0" w:space="0" w:color="auto"/>
                    <w:left w:val="none" w:sz="0" w:space="0" w:color="auto"/>
                    <w:bottom w:val="none" w:sz="0" w:space="0" w:color="auto"/>
                    <w:right w:val="none" w:sz="0" w:space="0" w:color="auto"/>
                  </w:divBdr>
                  <w:divsChild>
                    <w:div w:id="866334640">
                      <w:marLeft w:val="0"/>
                      <w:marRight w:val="0"/>
                      <w:marTop w:val="0"/>
                      <w:marBottom w:val="0"/>
                      <w:divBdr>
                        <w:top w:val="none" w:sz="0" w:space="0" w:color="auto"/>
                        <w:left w:val="none" w:sz="0" w:space="0" w:color="auto"/>
                        <w:bottom w:val="none" w:sz="0" w:space="0" w:color="auto"/>
                        <w:right w:val="none" w:sz="0" w:space="0" w:color="auto"/>
                      </w:divBdr>
                      <w:divsChild>
                        <w:div w:id="1323315738">
                          <w:marLeft w:val="0"/>
                          <w:marRight w:val="0"/>
                          <w:marTop w:val="0"/>
                          <w:marBottom w:val="0"/>
                          <w:divBdr>
                            <w:top w:val="single" w:sz="6" w:space="0" w:color="828282"/>
                            <w:left w:val="single" w:sz="6" w:space="0" w:color="828282"/>
                            <w:bottom w:val="single" w:sz="6" w:space="0" w:color="828282"/>
                            <w:right w:val="single" w:sz="6" w:space="0" w:color="828282"/>
                          </w:divBdr>
                          <w:divsChild>
                            <w:div w:id="2091072515">
                              <w:marLeft w:val="0"/>
                              <w:marRight w:val="0"/>
                              <w:marTop w:val="0"/>
                              <w:marBottom w:val="0"/>
                              <w:divBdr>
                                <w:top w:val="none" w:sz="0" w:space="0" w:color="auto"/>
                                <w:left w:val="none" w:sz="0" w:space="0" w:color="auto"/>
                                <w:bottom w:val="none" w:sz="0" w:space="0" w:color="auto"/>
                                <w:right w:val="none" w:sz="0" w:space="0" w:color="auto"/>
                              </w:divBdr>
                              <w:divsChild>
                                <w:div w:id="1922173779">
                                  <w:marLeft w:val="0"/>
                                  <w:marRight w:val="0"/>
                                  <w:marTop w:val="0"/>
                                  <w:marBottom w:val="0"/>
                                  <w:divBdr>
                                    <w:top w:val="none" w:sz="0" w:space="0" w:color="auto"/>
                                    <w:left w:val="none" w:sz="0" w:space="0" w:color="auto"/>
                                    <w:bottom w:val="none" w:sz="0" w:space="0" w:color="auto"/>
                                    <w:right w:val="none" w:sz="0" w:space="0" w:color="auto"/>
                                  </w:divBdr>
                                  <w:divsChild>
                                    <w:div w:id="93668833">
                                      <w:marLeft w:val="0"/>
                                      <w:marRight w:val="0"/>
                                      <w:marTop w:val="0"/>
                                      <w:marBottom w:val="0"/>
                                      <w:divBdr>
                                        <w:top w:val="none" w:sz="0" w:space="0" w:color="auto"/>
                                        <w:left w:val="none" w:sz="0" w:space="0" w:color="auto"/>
                                        <w:bottom w:val="none" w:sz="0" w:space="0" w:color="auto"/>
                                        <w:right w:val="none" w:sz="0" w:space="0" w:color="auto"/>
                                      </w:divBdr>
                                      <w:divsChild>
                                        <w:div w:id="1710178969">
                                          <w:marLeft w:val="0"/>
                                          <w:marRight w:val="0"/>
                                          <w:marTop w:val="0"/>
                                          <w:marBottom w:val="0"/>
                                          <w:divBdr>
                                            <w:top w:val="none" w:sz="0" w:space="0" w:color="auto"/>
                                            <w:left w:val="none" w:sz="0" w:space="0" w:color="auto"/>
                                            <w:bottom w:val="none" w:sz="0" w:space="0" w:color="auto"/>
                                            <w:right w:val="none" w:sz="0" w:space="0" w:color="auto"/>
                                          </w:divBdr>
                                          <w:divsChild>
                                            <w:div w:id="373232510">
                                              <w:marLeft w:val="0"/>
                                              <w:marRight w:val="0"/>
                                              <w:marTop w:val="0"/>
                                              <w:marBottom w:val="0"/>
                                              <w:divBdr>
                                                <w:top w:val="none" w:sz="0" w:space="0" w:color="auto"/>
                                                <w:left w:val="none" w:sz="0" w:space="0" w:color="auto"/>
                                                <w:bottom w:val="none" w:sz="0" w:space="0" w:color="auto"/>
                                                <w:right w:val="none" w:sz="0" w:space="0" w:color="auto"/>
                                              </w:divBdr>
                                              <w:divsChild>
                                                <w:div w:id="1114784233">
                                                  <w:marLeft w:val="0"/>
                                                  <w:marRight w:val="0"/>
                                                  <w:marTop w:val="0"/>
                                                  <w:marBottom w:val="0"/>
                                                  <w:divBdr>
                                                    <w:top w:val="none" w:sz="0" w:space="0" w:color="auto"/>
                                                    <w:left w:val="none" w:sz="0" w:space="0" w:color="auto"/>
                                                    <w:bottom w:val="none" w:sz="0" w:space="0" w:color="auto"/>
                                                    <w:right w:val="none" w:sz="0" w:space="0" w:color="auto"/>
                                                  </w:divBdr>
                                                  <w:divsChild>
                                                    <w:div w:id="16095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6261441">
      <w:bodyDiv w:val="1"/>
      <w:marLeft w:val="0"/>
      <w:marRight w:val="0"/>
      <w:marTop w:val="0"/>
      <w:marBottom w:val="0"/>
      <w:divBdr>
        <w:top w:val="none" w:sz="0" w:space="0" w:color="auto"/>
        <w:left w:val="none" w:sz="0" w:space="0" w:color="auto"/>
        <w:bottom w:val="none" w:sz="0" w:space="0" w:color="auto"/>
        <w:right w:val="none" w:sz="0" w:space="0" w:color="auto"/>
      </w:divBdr>
      <w:divsChild>
        <w:div w:id="28266322">
          <w:marLeft w:val="0"/>
          <w:marRight w:val="0"/>
          <w:marTop w:val="0"/>
          <w:marBottom w:val="0"/>
          <w:divBdr>
            <w:top w:val="none" w:sz="0" w:space="0" w:color="auto"/>
            <w:left w:val="none" w:sz="0" w:space="0" w:color="auto"/>
            <w:bottom w:val="none" w:sz="0" w:space="0" w:color="auto"/>
            <w:right w:val="none" w:sz="0" w:space="0" w:color="auto"/>
          </w:divBdr>
          <w:divsChild>
            <w:div w:id="313029453">
              <w:marLeft w:val="0"/>
              <w:marRight w:val="0"/>
              <w:marTop w:val="0"/>
              <w:marBottom w:val="0"/>
              <w:divBdr>
                <w:top w:val="none" w:sz="0" w:space="0" w:color="auto"/>
                <w:left w:val="none" w:sz="0" w:space="0" w:color="auto"/>
                <w:bottom w:val="none" w:sz="0" w:space="0" w:color="auto"/>
                <w:right w:val="none" w:sz="0" w:space="0" w:color="auto"/>
              </w:divBdr>
              <w:divsChild>
                <w:div w:id="734864220">
                  <w:marLeft w:val="0"/>
                  <w:marRight w:val="0"/>
                  <w:marTop w:val="0"/>
                  <w:marBottom w:val="0"/>
                  <w:divBdr>
                    <w:top w:val="none" w:sz="0" w:space="0" w:color="auto"/>
                    <w:left w:val="none" w:sz="0" w:space="0" w:color="auto"/>
                    <w:bottom w:val="none" w:sz="0" w:space="0" w:color="auto"/>
                    <w:right w:val="none" w:sz="0" w:space="0" w:color="auto"/>
                  </w:divBdr>
                  <w:divsChild>
                    <w:div w:id="849224888">
                      <w:marLeft w:val="0"/>
                      <w:marRight w:val="0"/>
                      <w:marTop w:val="0"/>
                      <w:marBottom w:val="0"/>
                      <w:divBdr>
                        <w:top w:val="none" w:sz="0" w:space="0" w:color="auto"/>
                        <w:left w:val="none" w:sz="0" w:space="0" w:color="auto"/>
                        <w:bottom w:val="none" w:sz="0" w:space="0" w:color="auto"/>
                        <w:right w:val="none" w:sz="0" w:space="0" w:color="auto"/>
                      </w:divBdr>
                      <w:divsChild>
                        <w:div w:id="1696036390">
                          <w:marLeft w:val="0"/>
                          <w:marRight w:val="0"/>
                          <w:marTop w:val="0"/>
                          <w:marBottom w:val="0"/>
                          <w:divBdr>
                            <w:top w:val="none" w:sz="0" w:space="0" w:color="auto"/>
                            <w:left w:val="none" w:sz="0" w:space="0" w:color="auto"/>
                            <w:bottom w:val="none" w:sz="0" w:space="0" w:color="auto"/>
                            <w:right w:val="none" w:sz="0" w:space="0" w:color="auto"/>
                          </w:divBdr>
                          <w:divsChild>
                            <w:div w:id="356929891">
                              <w:marLeft w:val="0"/>
                              <w:marRight w:val="0"/>
                              <w:marTop w:val="0"/>
                              <w:marBottom w:val="0"/>
                              <w:divBdr>
                                <w:top w:val="single" w:sz="6" w:space="0" w:color="828282"/>
                                <w:left w:val="single" w:sz="6" w:space="0" w:color="828282"/>
                                <w:bottom w:val="single" w:sz="6" w:space="0" w:color="828282"/>
                                <w:right w:val="single" w:sz="6" w:space="0" w:color="828282"/>
                              </w:divBdr>
                              <w:divsChild>
                                <w:div w:id="902253190">
                                  <w:marLeft w:val="0"/>
                                  <w:marRight w:val="0"/>
                                  <w:marTop w:val="0"/>
                                  <w:marBottom w:val="0"/>
                                  <w:divBdr>
                                    <w:top w:val="none" w:sz="0" w:space="0" w:color="auto"/>
                                    <w:left w:val="none" w:sz="0" w:space="0" w:color="auto"/>
                                    <w:bottom w:val="none" w:sz="0" w:space="0" w:color="auto"/>
                                    <w:right w:val="none" w:sz="0" w:space="0" w:color="auto"/>
                                  </w:divBdr>
                                  <w:divsChild>
                                    <w:div w:id="1446538579">
                                      <w:marLeft w:val="0"/>
                                      <w:marRight w:val="0"/>
                                      <w:marTop w:val="0"/>
                                      <w:marBottom w:val="0"/>
                                      <w:divBdr>
                                        <w:top w:val="none" w:sz="0" w:space="0" w:color="auto"/>
                                        <w:left w:val="none" w:sz="0" w:space="0" w:color="auto"/>
                                        <w:bottom w:val="none" w:sz="0" w:space="0" w:color="auto"/>
                                        <w:right w:val="none" w:sz="0" w:space="0" w:color="auto"/>
                                      </w:divBdr>
                                      <w:divsChild>
                                        <w:div w:id="689332236">
                                          <w:marLeft w:val="0"/>
                                          <w:marRight w:val="0"/>
                                          <w:marTop w:val="0"/>
                                          <w:marBottom w:val="0"/>
                                          <w:divBdr>
                                            <w:top w:val="none" w:sz="0" w:space="0" w:color="auto"/>
                                            <w:left w:val="none" w:sz="0" w:space="0" w:color="auto"/>
                                            <w:bottom w:val="none" w:sz="0" w:space="0" w:color="auto"/>
                                            <w:right w:val="none" w:sz="0" w:space="0" w:color="auto"/>
                                          </w:divBdr>
                                          <w:divsChild>
                                            <w:div w:id="1623927116">
                                              <w:marLeft w:val="0"/>
                                              <w:marRight w:val="0"/>
                                              <w:marTop w:val="0"/>
                                              <w:marBottom w:val="0"/>
                                              <w:divBdr>
                                                <w:top w:val="none" w:sz="0" w:space="0" w:color="auto"/>
                                                <w:left w:val="none" w:sz="0" w:space="0" w:color="auto"/>
                                                <w:bottom w:val="none" w:sz="0" w:space="0" w:color="auto"/>
                                                <w:right w:val="none" w:sz="0" w:space="0" w:color="auto"/>
                                              </w:divBdr>
                                              <w:divsChild>
                                                <w:div w:id="1306349192">
                                                  <w:marLeft w:val="0"/>
                                                  <w:marRight w:val="0"/>
                                                  <w:marTop w:val="0"/>
                                                  <w:marBottom w:val="0"/>
                                                  <w:divBdr>
                                                    <w:top w:val="none" w:sz="0" w:space="0" w:color="auto"/>
                                                    <w:left w:val="none" w:sz="0" w:space="0" w:color="auto"/>
                                                    <w:bottom w:val="none" w:sz="0" w:space="0" w:color="auto"/>
                                                    <w:right w:val="none" w:sz="0" w:space="0" w:color="auto"/>
                                                  </w:divBdr>
                                                  <w:divsChild>
                                                    <w:div w:id="1125540886">
                                                      <w:marLeft w:val="0"/>
                                                      <w:marRight w:val="0"/>
                                                      <w:marTop w:val="0"/>
                                                      <w:marBottom w:val="0"/>
                                                      <w:divBdr>
                                                        <w:top w:val="none" w:sz="0" w:space="0" w:color="auto"/>
                                                        <w:left w:val="none" w:sz="0" w:space="0" w:color="auto"/>
                                                        <w:bottom w:val="none" w:sz="0" w:space="0" w:color="auto"/>
                                                        <w:right w:val="none" w:sz="0" w:space="0" w:color="auto"/>
                                                      </w:divBdr>
                                                      <w:divsChild>
                                                        <w:div w:id="1972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3157180">
      <w:bodyDiv w:val="1"/>
      <w:marLeft w:val="0"/>
      <w:marRight w:val="0"/>
      <w:marTop w:val="0"/>
      <w:marBottom w:val="0"/>
      <w:divBdr>
        <w:top w:val="none" w:sz="0" w:space="0" w:color="auto"/>
        <w:left w:val="none" w:sz="0" w:space="0" w:color="auto"/>
        <w:bottom w:val="none" w:sz="0" w:space="0" w:color="auto"/>
        <w:right w:val="none" w:sz="0" w:space="0" w:color="auto"/>
      </w:divBdr>
      <w:divsChild>
        <w:div w:id="2043702368">
          <w:marLeft w:val="0"/>
          <w:marRight w:val="0"/>
          <w:marTop w:val="0"/>
          <w:marBottom w:val="0"/>
          <w:divBdr>
            <w:top w:val="none" w:sz="0" w:space="0" w:color="auto"/>
            <w:left w:val="none" w:sz="0" w:space="0" w:color="auto"/>
            <w:bottom w:val="none" w:sz="0" w:space="0" w:color="auto"/>
            <w:right w:val="none" w:sz="0" w:space="0" w:color="auto"/>
          </w:divBdr>
          <w:divsChild>
            <w:div w:id="1758013829">
              <w:marLeft w:val="0"/>
              <w:marRight w:val="0"/>
              <w:marTop w:val="0"/>
              <w:marBottom w:val="0"/>
              <w:divBdr>
                <w:top w:val="none" w:sz="0" w:space="0" w:color="auto"/>
                <w:left w:val="none" w:sz="0" w:space="0" w:color="auto"/>
                <w:bottom w:val="none" w:sz="0" w:space="0" w:color="auto"/>
                <w:right w:val="none" w:sz="0" w:space="0" w:color="auto"/>
              </w:divBdr>
              <w:divsChild>
                <w:div w:id="901604101">
                  <w:marLeft w:val="0"/>
                  <w:marRight w:val="0"/>
                  <w:marTop w:val="0"/>
                  <w:marBottom w:val="0"/>
                  <w:divBdr>
                    <w:top w:val="none" w:sz="0" w:space="0" w:color="auto"/>
                    <w:left w:val="none" w:sz="0" w:space="0" w:color="auto"/>
                    <w:bottom w:val="none" w:sz="0" w:space="0" w:color="auto"/>
                    <w:right w:val="none" w:sz="0" w:space="0" w:color="auto"/>
                  </w:divBdr>
                  <w:divsChild>
                    <w:div w:id="395321514">
                      <w:marLeft w:val="0"/>
                      <w:marRight w:val="0"/>
                      <w:marTop w:val="0"/>
                      <w:marBottom w:val="0"/>
                      <w:divBdr>
                        <w:top w:val="none" w:sz="0" w:space="0" w:color="auto"/>
                        <w:left w:val="none" w:sz="0" w:space="0" w:color="auto"/>
                        <w:bottom w:val="none" w:sz="0" w:space="0" w:color="auto"/>
                        <w:right w:val="none" w:sz="0" w:space="0" w:color="auto"/>
                      </w:divBdr>
                      <w:divsChild>
                        <w:div w:id="1738241079">
                          <w:marLeft w:val="0"/>
                          <w:marRight w:val="0"/>
                          <w:marTop w:val="0"/>
                          <w:marBottom w:val="0"/>
                          <w:divBdr>
                            <w:top w:val="single" w:sz="6" w:space="0" w:color="828282"/>
                            <w:left w:val="single" w:sz="6" w:space="0" w:color="828282"/>
                            <w:bottom w:val="single" w:sz="6" w:space="0" w:color="828282"/>
                            <w:right w:val="single" w:sz="6" w:space="0" w:color="828282"/>
                          </w:divBdr>
                          <w:divsChild>
                            <w:div w:id="1686595010">
                              <w:marLeft w:val="0"/>
                              <w:marRight w:val="0"/>
                              <w:marTop w:val="0"/>
                              <w:marBottom w:val="0"/>
                              <w:divBdr>
                                <w:top w:val="none" w:sz="0" w:space="0" w:color="auto"/>
                                <w:left w:val="none" w:sz="0" w:space="0" w:color="auto"/>
                                <w:bottom w:val="none" w:sz="0" w:space="0" w:color="auto"/>
                                <w:right w:val="none" w:sz="0" w:space="0" w:color="auto"/>
                              </w:divBdr>
                              <w:divsChild>
                                <w:div w:id="1414930513">
                                  <w:marLeft w:val="0"/>
                                  <w:marRight w:val="0"/>
                                  <w:marTop w:val="0"/>
                                  <w:marBottom w:val="0"/>
                                  <w:divBdr>
                                    <w:top w:val="none" w:sz="0" w:space="0" w:color="auto"/>
                                    <w:left w:val="none" w:sz="0" w:space="0" w:color="auto"/>
                                    <w:bottom w:val="none" w:sz="0" w:space="0" w:color="auto"/>
                                    <w:right w:val="none" w:sz="0" w:space="0" w:color="auto"/>
                                  </w:divBdr>
                                  <w:divsChild>
                                    <w:div w:id="1080951357">
                                      <w:marLeft w:val="0"/>
                                      <w:marRight w:val="0"/>
                                      <w:marTop w:val="0"/>
                                      <w:marBottom w:val="0"/>
                                      <w:divBdr>
                                        <w:top w:val="none" w:sz="0" w:space="0" w:color="auto"/>
                                        <w:left w:val="none" w:sz="0" w:space="0" w:color="auto"/>
                                        <w:bottom w:val="none" w:sz="0" w:space="0" w:color="auto"/>
                                        <w:right w:val="none" w:sz="0" w:space="0" w:color="auto"/>
                                      </w:divBdr>
                                      <w:divsChild>
                                        <w:div w:id="568469093">
                                          <w:marLeft w:val="0"/>
                                          <w:marRight w:val="0"/>
                                          <w:marTop w:val="0"/>
                                          <w:marBottom w:val="0"/>
                                          <w:divBdr>
                                            <w:top w:val="none" w:sz="0" w:space="0" w:color="auto"/>
                                            <w:left w:val="none" w:sz="0" w:space="0" w:color="auto"/>
                                            <w:bottom w:val="none" w:sz="0" w:space="0" w:color="auto"/>
                                            <w:right w:val="none" w:sz="0" w:space="0" w:color="auto"/>
                                          </w:divBdr>
                                          <w:divsChild>
                                            <w:div w:id="1439251861">
                                              <w:marLeft w:val="0"/>
                                              <w:marRight w:val="0"/>
                                              <w:marTop w:val="0"/>
                                              <w:marBottom w:val="0"/>
                                              <w:divBdr>
                                                <w:top w:val="none" w:sz="0" w:space="0" w:color="auto"/>
                                                <w:left w:val="none" w:sz="0" w:space="0" w:color="auto"/>
                                                <w:bottom w:val="none" w:sz="0" w:space="0" w:color="auto"/>
                                                <w:right w:val="none" w:sz="0" w:space="0" w:color="auto"/>
                                              </w:divBdr>
                                              <w:divsChild>
                                                <w:div w:id="664821742">
                                                  <w:marLeft w:val="0"/>
                                                  <w:marRight w:val="0"/>
                                                  <w:marTop w:val="0"/>
                                                  <w:marBottom w:val="0"/>
                                                  <w:divBdr>
                                                    <w:top w:val="none" w:sz="0" w:space="0" w:color="auto"/>
                                                    <w:left w:val="none" w:sz="0" w:space="0" w:color="auto"/>
                                                    <w:bottom w:val="none" w:sz="0" w:space="0" w:color="auto"/>
                                                    <w:right w:val="none" w:sz="0" w:space="0" w:color="auto"/>
                                                  </w:divBdr>
                                                  <w:divsChild>
                                                    <w:div w:id="11148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259608">
      <w:bodyDiv w:val="1"/>
      <w:marLeft w:val="0"/>
      <w:marRight w:val="0"/>
      <w:marTop w:val="0"/>
      <w:marBottom w:val="0"/>
      <w:divBdr>
        <w:top w:val="none" w:sz="0" w:space="0" w:color="auto"/>
        <w:left w:val="none" w:sz="0" w:space="0" w:color="auto"/>
        <w:bottom w:val="none" w:sz="0" w:space="0" w:color="auto"/>
        <w:right w:val="none" w:sz="0" w:space="0" w:color="auto"/>
      </w:divBdr>
      <w:divsChild>
        <w:div w:id="1054278087">
          <w:marLeft w:val="0"/>
          <w:marRight w:val="0"/>
          <w:marTop w:val="0"/>
          <w:marBottom w:val="0"/>
          <w:divBdr>
            <w:top w:val="none" w:sz="0" w:space="0" w:color="auto"/>
            <w:left w:val="none" w:sz="0" w:space="0" w:color="auto"/>
            <w:bottom w:val="none" w:sz="0" w:space="0" w:color="auto"/>
            <w:right w:val="none" w:sz="0" w:space="0" w:color="auto"/>
          </w:divBdr>
          <w:divsChild>
            <w:div w:id="744687878">
              <w:marLeft w:val="0"/>
              <w:marRight w:val="0"/>
              <w:marTop w:val="0"/>
              <w:marBottom w:val="0"/>
              <w:divBdr>
                <w:top w:val="none" w:sz="0" w:space="0" w:color="auto"/>
                <w:left w:val="none" w:sz="0" w:space="0" w:color="auto"/>
                <w:bottom w:val="none" w:sz="0" w:space="0" w:color="auto"/>
                <w:right w:val="none" w:sz="0" w:space="0" w:color="auto"/>
              </w:divBdr>
              <w:divsChild>
                <w:div w:id="933712706">
                  <w:marLeft w:val="0"/>
                  <w:marRight w:val="0"/>
                  <w:marTop w:val="0"/>
                  <w:marBottom w:val="0"/>
                  <w:divBdr>
                    <w:top w:val="none" w:sz="0" w:space="0" w:color="auto"/>
                    <w:left w:val="none" w:sz="0" w:space="0" w:color="auto"/>
                    <w:bottom w:val="none" w:sz="0" w:space="0" w:color="auto"/>
                    <w:right w:val="none" w:sz="0" w:space="0" w:color="auto"/>
                  </w:divBdr>
                  <w:divsChild>
                    <w:div w:id="370809739">
                      <w:marLeft w:val="0"/>
                      <w:marRight w:val="0"/>
                      <w:marTop w:val="0"/>
                      <w:marBottom w:val="0"/>
                      <w:divBdr>
                        <w:top w:val="none" w:sz="0" w:space="0" w:color="auto"/>
                        <w:left w:val="none" w:sz="0" w:space="0" w:color="auto"/>
                        <w:bottom w:val="none" w:sz="0" w:space="0" w:color="auto"/>
                        <w:right w:val="none" w:sz="0" w:space="0" w:color="auto"/>
                      </w:divBdr>
                      <w:divsChild>
                        <w:div w:id="506024779">
                          <w:marLeft w:val="0"/>
                          <w:marRight w:val="0"/>
                          <w:marTop w:val="0"/>
                          <w:marBottom w:val="0"/>
                          <w:divBdr>
                            <w:top w:val="single" w:sz="6" w:space="0" w:color="828282"/>
                            <w:left w:val="single" w:sz="6" w:space="0" w:color="828282"/>
                            <w:bottom w:val="single" w:sz="6" w:space="0" w:color="828282"/>
                            <w:right w:val="single" w:sz="6" w:space="0" w:color="828282"/>
                          </w:divBdr>
                          <w:divsChild>
                            <w:div w:id="1907452863">
                              <w:marLeft w:val="0"/>
                              <w:marRight w:val="0"/>
                              <w:marTop w:val="0"/>
                              <w:marBottom w:val="0"/>
                              <w:divBdr>
                                <w:top w:val="none" w:sz="0" w:space="0" w:color="auto"/>
                                <w:left w:val="none" w:sz="0" w:space="0" w:color="auto"/>
                                <w:bottom w:val="none" w:sz="0" w:space="0" w:color="auto"/>
                                <w:right w:val="none" w:sz="0" w:space="0" w:color="auto"/>
                              </w:divBdr>
                              <w:divsChild>
                                <w:div w:id="1415513969">
                                  <w:marLeft w:val="0"/>
                                  <w:marRight w:val="0"/>
                                  <w:marTop w:val="0"/>
                                  <w:marBottom w:val="0"/>
                                  <w:divBdr>
                                    <w:top w:val="none" w:sz="0" w:space="0" w:color="auto"/>
                                    <w:left w:val="none" w:sz="0" w:space="0" w:color="auto"/>
                                    <w:bottom w:val="none" w:sz="0" w:space="0" w:color="auto"/>
                                    <w:right w:val="none" w:sz="0" w:space="0" w:color="auto"/>
                                  </w:divBdr>
                                  <w:divsChild>
                                    <w:div w:id="1677029046">
                                      <w:marLeft w:val="0"/>
                                      <w:marRight w:val="0"/>
                                      <w:marTop w:val="0"/>
                                      <w:marBottom w:val="0"/>
                                      <w:divBdr>
                                        <w:top w:val="none" w:sz="0" w:space="0" w:color="auto"/>
                                        <w:left w:val="none" w:sz="0" w:space="0" w:color="auto"/>
                                        <w:bottom w:val="none" w:sz="0" w:space="0" w:color="auto"/>
                                        <w:right w:val="none" w:sz="0" w:space="0" w:color="auto"/>
                                      </w:divBdr>
                                      <w:divsChild>
                                        <w:div w:id="1859345230">
                                          <w:marLeft w:val="0"/>
                                          <w:marRight w:val="0"/>
                                          <w:marTop w:val="0"/>
                                          <w:marBottom w:val="0"/>
                                          <w:divBdr>
                                            <w:top w:val="none" w:sz="0" w:space="0" w:color="auto"/>
                                            <w:left w:val="none" w:sz="0" w:space="0" w:color="auto"/>
                                            <w:bottom w:val="none" w:sz="0" w:space="0" w:color="auto"/>
                                            <w:right w:val="none" w:sz="0" w:space="0" w:color="auto"/>
                                          </w:divBdr>
                                          <w:divsChild>
                                            <w:div w:id="1185559929">
                                              <w:marLeft w:val="0"/>
                                              <w:marRight w:val="0"/>
                                              <w:marTop w:val="0"/>
                                              <w:marBottom w:val="0"/>
                                              <w:divBdr>
                                                <w:top w:val="none" w:sz="0" w:space="0" w:color="auto"/>
                                                <w:left w:val="none" w:sz="0" w:space="0" w:color="auto"/>
                                                <w:bottom w:val="none" w:sz="0" w:space="0" w:color="auto"/>
                                                <w:right w:val="none" w:sz="0" w:space="0" w:color="auto"/>
                                              </w:divBdr>
                                              <w:divsChild>
                                                <w:div w:id="1189835883">
                                                  <w:marLeft w:val="0"/>
                                                  <w:marRight w:val="0"/>
                                                  <w:marTop w:val="0"/>
                                                  <w:marBottom w:val="0"/>
                                                  <w:divBdr>
                                                    <w:top w:val="none" w:sz="0" w:space="0" w:color="auto"/>
                                                    <w:left w:val="none" w:sz="0" w:space="0" w:color="auto"/>
                                                    <w:bottom w:val="none" w:sz="0" w:space="0" w:color="auto"/>
                                                    <w:right w:val="none" w:sz="0" w:space="0" w:color="auto"/>
                                                  </w:divBdr>
                                                  <w:divsChild>
                                                    <w:div w:id="13086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705443">
      <w:bodyDiv w:val="1"/>
      <w:marLeft w:val="0"/>
      <w:marRight w:val="0"/>
      <w:marTop w:val="0"/>
      <w:marBottom w:val="0"/>
      <w:divBdr>
        <w:top w:val="none" w:sz="0" w:space="0" w:color="auto"/>
        <w:left w:val="none" w:sz="0" w:space="0" w:color="auto"/>
        <w:bottom w:val="none" w:sz="0" w:space="0" w:color="auto"/>
        <w:right w:val="none" w:sz="0" w:space="0" w:color="auto"/>
      </w:divBdr>
    </w:div>
    <w:div w:id="1224684013">
      <w:bodyDiv w:val="1"/>
      <w:marLeft w:val="0"/>
      <w:marRight w:val="0"/>
      <w:marTop w:val="0"/>
      <w:marBottom w:val="0"/>
      <w:divBdr>
        <w:top w:val="none" w:sz="0" w:space="0" w:color="auto"/>
        <w:left w:val="none" w:sz="0" w:space="0" w:color="auto"/>
        <w:bottom w:val="none" w:sz="0" w:space="0" w:color="auto"/>
        <w:right w:val="none" w:sz="0" w:space="0" w:color="auto"/>
      </w:divBdr>
      <w:divsChild>
        <w:div w:id="251355114">
          <w:marLeft w:val="0"/>
          <w:marRight w:val="0"/>
          <w:marTop w:val="0"/>
          <w:marBottom w:val="0"/>
          <w:divBdr>
            <w:top w:val="none" w:sz="0" w:space="0" w:color="auto"/>
            <w:left w:val="none" w:sz="0" w:space="0" w:color="auto"/>
            <w:bottom w:val="none" w:sz="0" w:space="0" w:color="auto"/>
            <w:right w:val="none" w:sz="0" w:space="0" w:color="auto"/>
          </w:divBdr>
          <w:divsChild>
            <w:div w:id="12077969">
              <w:marLeft w:val="0"/>
              <w:marRight w:val="0"/>
              <w:marTop w:val="0"/>
              <w:marBottom w:val="0"/>
              <w:divBdr>
                <w:top w:val="none" w:sz="0" w:space="0" w:color="auto"/>
                <w:left w:val="none" w:sz="0" w:space="0" w:color="auto"/>
                <w:bottom w:val="none" w:sz="0" w:space="0" w:color="auto"/>
                <w:right w:val="none" w:sz="0" w:space="0" w:color="auto"/>
              </w:divBdr>
              <w:divsChild>
                <w:div w:id="491797835">
                  <w:marLeft w:val="0"/>
                  <w:marRight w:val="0"/>
                  <w:marTop w:val="0"/>
                  <w:marBottom w:val="0"/>
                  <w:divBdr>
                    <w:top w:val="none" w:sz="0" w:space="0" w:color="auto"/>
                    <w:left w:val="none" w:sz="0" w:space="0" w:color="auto"/>
                    <w:bottom w:val="none" w:sz="0" w:space="0" w:color="auto"/>
                    <w:right w:val="none" w:sz="0" w:space="0" w:color="auto"/>
                  </w:divBdr>
                  <w:divsChild>
                    <w:div w:id="866452090">
                      <w:marLeft w:val="0"/>
                      <w:marRight w:val="0"/>
                      <w:marTop w:val="0"/>
                      <w:marBottom w:val="0"/>
                      <w:divBdr>
                        <w:top w:val="none" w:sz="0" w:space="0" w:color="auto"/>
                        <w:left w:val="none" w:sz="0" w:space="0" w:color="auto"/>
                        <w:bottom w:val="none" w:sz="0" w:space="0" w:color="auto"/>
                        <w:right w:val="none" w:sz="0" w:space="0" w:color="auto"/>
                      </w:divBdr>
                      <w:divsChild>
                        <w:div w:id="865411663">
                          <w:marLeft w:val="0"/>
                          <w:marRight w:val="0"/>
                          <w:marTop w:val="0"/>
                          <w:marBottom w:val="0"/>
                          <w:divBdr>
                            <w:top w:val="single" w:sz="6" w:space="0" w:color="828282"/>
                            <w:left w:val="single" w:sz="6" w:space="0" w:color="828282"/>
                            <w:bottom w:val="single" w:sz="6" w:space="0" w:color="828282"/>
                            <w:right w:val="single" w:sz="6" w:space="0" w:color="828282"/>
                          </w:divBdr>
                          <w:divsChild>
                            <w:div w:id="93021609">
                              <w:marLeft w:val="0"/>
                              <w:marRight w:val="0"/>
                              <w:marTop w:val="0"/>
                              <w:marBottom w:val="0"/>
                              <w:divBdr>
                                <w:top w:val="none" w:sz="0" w:space="0" w:color="auto"/>
                                <w:left w:val="none" w:sz="0" w:space="0" w:color="auto"/>
                                <w:bottom w:val="none" w:sz="0" w:space="0" w:color="auto"/>
                                <w:right w:val="none" w:sz="0" w:space="0" w:color="auto"/>
                              </w:divBdr>
                              <w:divsChild>
                                <w:div w:id="482239405">
                                  <w:marLeft w:val="0"/>
                                  <w:marRight w:val="0"/>
                                  <w:marTop w:val="0"/>
                                  <w:marBottom w:val="0"/>
                                  <w:divBdr>
                                    <w:top w:val="none" w:sz="0" w:space="0" w:color="auto"/>
                                    <w:left w:val="none" w:sz="0" w:space="0" w:color="auto"/>
                                    <w:bottom w:val="none" w:sz="0" w:space="0" w:color="auto"/>
                                    <w:right w:val="none" w:sz="0" w:space="0" w:color="auto"/>
                                  </w:divBdr>
                                  <w:divsChild>
                                    <w:div w:id="227083305">
                                      <w:marLeft w:val="0"/>
                                      <w:marRight w:val="0"/>
                                      <w:marTop w:val="0"/>
                                      <w:marBottom w:val="0"/>
                                      <w:divBdr>
                                        <w:top w:val="none" w:sz="0" w:space="0" w:color="auto"/>
                                        <w:left w:val="none" w:sz="0" w:space="0" w:color="auto"/>
                                        <w:bottom w:val="none" w:sz="0" w:space="0" w:color="auto"/>
                                        <w:right w:val="none" w:sz="0" w:space="0" w:color="auto"/>
                                      </w:divBdr>
                                      <w:divsChild>
                                        <w:div w:id="294680490">
                                          <w:marLeft w:val="0"/>
                                          <w:marRight w:val="0"/>
                                          <w:marTop w:val="0"/>
                                          <w:marBottom w:val="0"/>
                                          <w:divBdr>
                                            <w:top w:val="none" w:sz="0" w:space="0" w:color="auto"/>
                                            <w:left w:val="none" w:sz="0" w:space="0" w:color="auto"/>
                                            <w:bottom w:val="none" w:sz="0" w:space="0" w:color="auto"/>
                                            <w:right w:val="none" w:sz="0" w:space="0" w:color="auto"/>
                                          </w:divBdr>
                                          <w:divsChild>
                                            <w:div w:id="460222128">
                                              <w:marLeft w:val="0"/>
                                              <w:marRight w:val="0"/>
                                              <w:marTop w:val="0"/>
                                              <w:marBottom w:val="0"/>
                                              <w:divBdr>
                                                <w:top w:val="none" w:sz="0" w:space="0" w:color="auto"/>
                                                <w:left w:val="none" w:sz="0" w:space="0" w:color="auto"/>
                                                <w:bottom w:val="none" w:sz="0" w:space="0" w:color="auto"/>
                                                <w:right w:val="none" w:sz="0" w:space="0" w:color="auto"/>
                                              </w:divBdr>
                                              <w:divsChild>
                                                <w:div w:id="1494908290">
                                                  <w:marLeft w:val="0"/>
                                                  <w:marRight w:val="0"/>
                                                  <w:marTop w:val="0"/>
                                                  <w:marBottom w:val="0"/>
                                                  <w:divBdr>
                                                    <w:top w:val="none" w:sz="0" w:space="0" w:color="auto"/>
                                                    <w:left w:val="none" w:sz="0" w:space="0" w:color="auto"/>
                                                    <w:bottom w:val="none" w:sz="0" w:space="0" w:color="auto"/>
                                                    <w:right w:val="none" w:sz="0" w:space="0" w:color="auto"/>
                                                  </w:divBdr>
                                                  <w:divsChild>
                                                    <w:div w:id="6444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5747502">
      <w:bodyDiv w:val="1"/>
      <w:marLeft w:val="0"/>
      <w:marRight w:val="0"/>
      <w:marTop w:val="0"/>
      <w:marBottom w:val="0"/>
      <w:divBdr>
        <w:top w:val="none" w:sz="0" w:space="0" w:color="auto"/>
        <w:left w:val="none" w:sz="0" w:space="0" w:color="auto"/>
        <w:bottom w:val="none" w:sz="0" w:space="0" w:color="auto"/>
        <w:right w:val="none" w:sz="0" w:space="0" w:color="auto"/>
      </w:divBdr>
      <w:divsChild>
        <w:div w:id="561989827">
          <w:marLeft w:val="0"/>
          <w:marRight w:val="0"/>
          <w:marTop w:val="0"/>
          <w:marBottom w:val="0"/>
          <w:divBdr>
            <w:top w:val="none" w:sz="0" w:space="0" w:color="auto"/>
            <w:left w:val="none" w:sz="0" w:space="0" w:color="auto"/>
            <w:bottom w:val="none" w:sz="0" w:space="0" w:color="auto"/>
            <w:right w:val="none" w:sz="0" w:space="0" w:color="auto"/>
          </w:divBdr>
          <w:divsChild>
            <w:div w:id="421922474">
              <w:marLeft w:val="0"/>
              <w:marRight w:val="0"/>
              <w:marTop w:val="0"/>
              <w:marBottom w:val="0"/>
              <w:divBdr>
                <w:top w:val="none" w:sz="0" w:space="0" w:color="auto"/>
                <w:left w:val="none" w:sz="0" w:space="0" w:color="auto"/>
                <w:bottom w:val="none" w:sz="0" w:space="0" w:color="auto"/>
                <w:right w:val="none" w:sz="0" w:space="0" w:color="auto"/>
              </w:divBdr>
              <w:divsChild>
                <w:div w:id="1599173190">
                  <w:marLeft w:val="0"/>
                  <w:marRight w:val="0"/>
                  <w:marTop w:val="0"/>
                  <w:marBottom w:val="0"/>
                  <w:divBdr>
                    <w:top w:val="none" w:sz="0" w:space="0" w:color="auto"/>
                    <w:left w:val="none" w:sz="0" w:space="0" w:color="auto"/>
                    <w:bottom w:val="none" w:sz="0" w:space="0" w:color="auto"/>
                    <w:right w:val="none" w:sz="0" w:space="0" w:color="auto"/>
                  </w:divBdr>
                  <w:divsChild>
                    <w:div w:id="1745489390">
                      <w:marLeft w:val="0"/>
                      <w:marRight w:val="0"/>
                      <w:marTop w:val="0"/>
                      <w:marBottom w:val="0"/>
                      <w:divBdr>
                        <w:top w:val="none" w:sz="0" w:space="0" w:color="auto"/>
                        <w:left w:val="none" w:sz="0" w:space="0" w:color="auto"/>
                        <w:bottom w:val="none" w:sz="0" w:space="0" w:color="auto"/>
                        <w:right w:val="none" w:sz="0" w:space="0" w:color="auto"/>
                      </w:divBdr>
                      <w:divsChild>
                        <w:div w:id="1186167659">
                          <w:marLeft w:val="0"/>
                          <w:marRight w:val="0"/>
                          <w:marTop w:val="0"/>
                          <w:marBottom w:val="0"/>
                          <w:divBdr>
                            <w:top w:val="single" w:sz="6" w:space="0" w:color="828282"/>
                            <w:left w:val="single" w:sz="6" w:space="0" w:color="828282"/>
                            <w:bottom w:val="single" w:sz="6" w:space="0" w:color="828282"/>
                            <w:right w:val="single" w:sz="6" w:space="0" w:color="828282"/>
                          </w:divBdr>
                          <w:divsChild>
                            <w:div w:id="2014451195">
                              <w:marLeft w:val="0"/>
                              <w:marRight w:val="0"/>
                              <w:marTop w:val="0"/>
                              <w:marBottom w:val="0"/>
                              <w:divBdr>
                                <w:top w:val="none" w:sz="0" w:space="0" w:color="auto"/>
                                <w:left w:val="none" w:sz="0" w:space="0" w:color="auto"/>
                                <w:bottom w:val="none" w:sz="0" w:space="0" w:color="auto"/>
                                <w:right w:val="none" w:sz="0" w:space="0" w:color="auto"/>
                              </w:divBdr>
                              <w:divsChild>
                                <w:div w:id="1931967800">
                                  <w:marLeft w:val="0"/>
                                  <w:marRight w:val="0"/>
                                  <w:marTop w:val="0"/>
                                  <w:marBottom w:val="0"/>
                                  <w:divBdr>
                                    <w:top w:val="none" w:sz="0" w:space="0" w:color="auto"/>
                                    <w:left w:val="none" w:sz="0" w:space="0" w:color="auto"/>
                                    <w:bottom w:val="none" w:sz="0" w:space="0" w:color="auto"/>
                                    <w:right w:val="none" w:sz="0" w:space="0" w:color="auto"/>
                                  </w:divBdr>
                                  <w:divsChild>
                                    <w:div w:id="1684673587">
                                      <w:marLeft w:val="0"/>
                                      <w:marRight w:val="0"/>
                                      <w:marTop w:val="0"/>
                                      <w:marBottom w:val="0"/>
                                      <w:divBdr>
                                        <w:top w:val="none" w:sz="0" w:space="0" w:color="auto"/>
                                        <w:left w:val="none" w:sz="0" w:space="0" w:color="auto"/>
                                        <w:bottom w:val="none" w:sz="0" w:space="0" w:color="auto"/>
                                        <w:right w:val="none" w:sz="0" w:space="0" w:color="auto"/>
                                      </w:divBdr>
                                      <w:divsChild>
                                        <w:div w:id="244002473">
                                          <w:marLeft w:val="0"/>
                                          <w:marRight w:val="0"/>
                                          <w:marTop w:val="0"/>
                                          <w:marBottom w:val="0"/>
                                          <w:divBdr>
                                            <w:top w:val="none" w:sz="0" w:space="0" w:color="auto"/>
                                            <w:left w:val="none" w:sz="0" w:space="0" w:color="auto"/>
                                            <w:bottom w:val="none" w:sz="0" w:space="0" w:color="auto"/>
                                            <w:right w:val="none" w:sz="0" w:space="0" w:color="auto"/>
                                          </w:divBdr>
                                          <w:divsChild>
                                            <w:div w:id="1240169631">
                                              <w:marLeft w:val="0"/>
                                              <w:marRight w:val="0"/>
                                              <w:marTop w:val="0"/>
                                              <w:marBottom w:val="0"/>
                                              <w:divBdr>
                                                <w:top w:val="none" w:sz="0" w:space="0" w:color="auto"/>
                                                <w:left w:val="none" w:sz="0" w:space="0" w:color="auto"/>
                                                <w:bottom w:val="none" w:sz="0" w:space="0" w:color="auto"/>
                                                <w:right w:val="none" w:sz="0" w:space="0" w:color="auto"/>
                                              </w:divBdr>
                                              <w:divsChild>
                                                <w:div w:id="1712608033">
                                                  <w:marLeft w:val="0"/>
                                                  <w:marRight w:val="0"/>
                                                  <w:marTop w:val="0"/>
                                                  <w:marBottom w:val="0"/>
                                                  <w:divBdr>
                                                    <w:top w:val="none" w:sz="0" w:space="0" w:color="auto"/>
                                                    <w:left w:val="none" w:sz="0" w:space="0" w:color="auto"/>
                                                    <w:bottom w:val="none" w:sz="0" w:space="0" w:color="auto"/>
                                                    <w:right w:val="none" w:sz="0" w:space="0" w:color="auto"/>
                                                  </w:divBdr>
                                                  <w:divsChild>
                                                    <w:div w:id="16281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074101">
      <w:bodyDiv w:val="1"/>
      <w:marLeft w:val="0"/>
      <w:marRight w:val="0"/>
      <w:marTop w:val="0"/>
      <w:marBottom w:val="0"/>
      <w:divBdr>
        <w:top w:val="none" w:sz="0" w:space="0" w:color="auto"/>
        <w:left w:val="none" w:sz="0" w:space="0" w:color="auto"/>
        <w:bottom w:val="none" w:sz="0" w:space="0" w:color="auto"/>
        <w:right w:val="none" w:sz="0" w:space="0" w:color="auto"/>
      </w:divBdr>
      <w:divsChild>
        <w:div w:id="1284851643">
          <w:marLeft w:val="0"/>
          <w:marRight w:val="0"/>
          <w:marTop w:val="0"/>
          <w:marBottom w:val="0"/>
          <w:divBdr>
            <w:top w:val="none" w:sz="0" w:space="0" w:color="auto"/>
            <w:left w:val="none" w:sz="0" w:space="0" w:color="auto"/>
            <w:bottom w:val="none" w:sz="0" w:space="0" w:color="auto"/>
            <w:right w:val="none" w:sz="0" w:space="0" w:color="auto"/>
          </w:divBdr>
          <w:divsChild>
            <w:div w:id="1589730626">
              <w:marLeft w:val="0"/>
              <w:marRight w:val="0"/>
              <w:marTop w:val="0"/>
              <w:marBottom w:val="0"/>
              <w:divBdr>
                <w:top w:val="none" w:sz="0" w:space="0" w:color="auto"/>
                <w:left w:val="none" w:sz="0" w:space="0" w:color="auto"/>
                <w:bottom w:val="none" w:sz="0" w:space="0" w:color="auto"/>
                <w:right w:val="none" w:sz="0" w:space="0" w:color="auto"/>
              </w:divBdr>
              <w:divsChild>
                <w:div w:id="982461892">
                  <w:marLeft w:val="0"/>
                  <w:marRight w:val="0"/>
                  <w:marTop w:val="0"/>
                  <w:marBottom w:val="0"/>
                  <w:divBdr>
                    <w:top w:val="none" w:sz="0" w:space="0" w:color="auto"/>
                    <w:left w:val="none" w:sz="0" w:space="0" w:color="auto"/>
                    <w:bottom w:val="none" w:sz="0" w:space="0" w:color="auto"/>
                    <w:right w:val="none" w:sz="0" w:space="0" w:color="auto"/>
                  </w:divBdr>
                  <w:divsChild>
                    <w:div w:id="311296832">
                      <w:marLeft w:val="0"/>
                      <w:marRight w:val="0"/>
                      <w:marTop w:val="0"/>
                      <w:marBottom w:val="0"/>
                      <w:divBdr>
                        <w:top w:val="none" w:sz="0" w:space="0" w:color="auto"/>
                        <w:left w:val="none" w:sz="0" w:space="0" w:color="auto"/>
                        <w:bottom w:val="none" w:sz="0" w:space="0" w:color="auto"/>
                        <w:right w:val="none" w:sz="0" w:space="0" w:color="auto"/>
                      </w:divBdr>
                      <w:divsChild>
                        <w:div w:id="1708599970">
                          <w:marLeft w:val="0"/>
                          <w:marRight w:val="0"/>
                          <w:marTop w:val="0"/>
                          <w:marBottom w:val="0"/>
                          <w:divBdr>
                            <w:top w:val="single" w:sz="6" w:space="0" w:color="828282"/>
                            <w:left w:val="single" w:sz="6" w:space="0" w:color="828282"/>
                            <w:bottom w:val="single" w:sz="6" w:space="0" w:color="828282"/>
                            <w:right w:val="single" w:sz="6" w:space="0" w:color="828282"/>
                          </w:divBdr>
                          <w:divsChild>
                            <w:div w:id="1428503395">
                              <w:marLeft w:val="0"/>
                              <w:marRight w:val="0"/>
                              <w:marTop w:val="0"/>
                              <w:marBottom w:val="0"/>
                              <w:divBdr>
                                <w:top w:val="none" w:sz="0" w:space="0" w:color="auto"/>
                                <w:left w:val="none" w:sz="0" w:space="0" w:color="auto"/>
                                <w:bottom w:val="none" w:sz="0" w:space="0" w:color="auto"/>
                                <w:right w:val="none" w:sz="0" w:space="0" w:color="auto"/>
                              </w:divBdr>
                              <w:divsChild>
                                <w:div w:id="1887334160">
                                  <w:marLeft w:val="0"/>
                                  <w:marRight w:val="0"/>
                                  <w:marTop w:val="0"/>
                                  <w:marBottom w:val="0"/>
                                  <w:divBdr>
                                    <w:top w:val="none" w:sz="0" w:space="0" w:color="auto"/>
                                    <w:left w:val="none" w:sz="0" w:space="0" w:color="auto"/>
                                    <w:bottom w:val="none" w:sz="0" w:space="0" w:color="auto"/>
                                    <w:right w:val="none" w:sz="0" w:space="0" w:color="auto"/>
                                  </w:divBdr>
                                  <w:divsChild>
                                    <w:div w:id="1462530539">
                                      <w:marLeft w:val="0"/>
                                      <w:marRight w:val="0"/>
                                      <w:marTop w:val="0"/>
                                      <w:marBottom w:val="0"/>
                                      <w:divBdr>
                                        <w:top w:val="none" w:sz="0" w:space="0" w:color="auto"/>
                                        <w:left w:val="none" w:sz="0" w:space="0" w:color="auto"/>
                                        <w:bottom w:val="none" w:sz="0" w:space="0" w:color="auto"/>
                                        <w:right w:val="none" w:sz="0" w:space="0" w:color="auto"/>
                                      </w:divBdr>
                                      <w:divsChild>
                                        <w:div w:id="1635207851">
                                          <w:marLeft w:val="0"/>
                                          <w:marRight w:val="0"/>
                                          <w:marTop w:val="0"/>
                                          <w:marBottom w:val="0"/>
                                          <w:divBdr>
                                            <w:top w:val="none" w:sz="0" w:space="0" w:color="auto"/>
                                            <w:left w:val="none" w:sz="0" w:space="0" w:color="auto"/>
                                            <w:bottom w:val="none" w:sz="0" w:space="0" w:color="auto"/>
                                            <w:right w:val="none" w:sz="0" w:space="0" w:color="auto"/>
                                          </w:divBdr>
                                          <w:divsChild>
                                            <w:div w:id="978876817">
                                              <w:marLeft w:val="0"/>
                                              <w:marRight w:val="0"/>
                                              <w:marTop w:val="0"/>
                                              <w:marBottom w:val="0"/>
                                              <w:divBdr>
                                                <w:top w:val="none" w:sz="0" w:space="0" w:color="auto"/>
                                                <w:left w:val="none" w:sz="0" w:space="0" w:color="auto"/>
                                                <w:bottom w:val="none" w:sz="0" w:space="0" w:color="auto"/>
                                                <w:right w:val="none" w:sz="0" w:space="0" w:color="auto"/>
                                              </w:divBdr>
                                              <w:divsChild>
                                                <w:div w:id="1207181029">
                                                  <w:marLeft w:val="0"/>
                                                  <w:marRight w:val="0"/>
                                                  <w:marTop w:val="0"/>
                                                  <w:marBottom w:val="0"/>
                                                  <w:divBdr>
                                                    <w:top w:val="none" w:sz="0" w:space="0" w:color="auto"/>
                                                    <w:left w:val="none" w:sz="0" w:space="0" w:color="auto"/>
                                                    <w:bottom w:val="none" w:sz="0" w:space="0" w:color="auto"/>
                                                    <w:right w:val="none" w:sz="0" w:space="0" w:color="auto"/>
                                                  </w:divBdr>
                                                  <w:divsChild>
                                                    <w:div w:id="20898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3942336">
      <w:bodyDiv w:val="1"/>
      <w:marLeft w:val="0"/>
      <w:marRight w:val="0"/>
      <w:marTop w:val="0"/>
      <w:marBottom w:val="0"/>
      <w:divBdr>
        <w:top w:val="none" w:sz="0" w:space="0" w:color="auto"/>
        <w:left w:val="none" w:sz="0" w:space="0" w:color="auto"/>
        <w:bottom w:val="none" w:sz="0" w:space="0" w:color="auto"/>
        <w:right w:val="none" w:sz="0" w:space="0" w:color="auto"/>
      </w:divBdr>
      <w:divsChild>
        <w:div w:id="75832515">
          <w:marLeft w:val="0"/>
          <w:marRight w:val="0"/>
          <w:marTop w:val="0"/>
          <w:marBottom w:val="0"/>
          <w:divBdr>
            <w:top w:val="none" w:sz="0" w:space="0" w:color="auto"/>
            <w:left w:val="none" w:sz="0" w:space="0" w:color="auto"/>
            <w:bottom w:val="none" w:sz="0" w:space="0" w:color="auto"/>
            <w:right w:val="none" w:sz="0" w:space="0" w:color="auto"/>
          </w:divBdr>
          <w:divsChild>
            <w:div w:id="1194345964">
              <w:marLeft w:val="0"/>
              <w:marRight w:val="0"/>
              <w:marTop w:val="0"/>
              <w:marBottom w:val="0"/>
              <w:divBdr>
                <w:top w:val="none" w:sz="0" w:space="0" w:color="auto"/>
                <w:left w:val="none" w:sz="0" w:space="0" w:color="auto"/>
                <w:bottom w:val="none" w:sz="0" w:space="0" w:color="auto"/>
                <w:right w:val="none" w:sz="0" w:space="0" w:color="auto"/>
              </w:divBdr>
              <w:divsChild>
                <w:div w:id="1389844401">
                  <w:marLeft w:val="0"/>
                  <w:marRight w:val="0"/>
                  <w:marTop w:val="0"/>
                  <w:marBottom w:val="0"/>
                  <w:divBdr>
                    <w:top w:val="none" w:sz="0" w:space="0" w:color="auto"/>
                    <w:left w:val="none" w:sz="0" w:space="0" w:color="auto"/>
                    <w:bottom w:val="none" w:sz="0" w:space="0" w:color="auto"/>
                    <w:right w:val="none" w:sz="0" w:space="0" w:color="auto"/>
                  </w:divBdr>
                  <w:divsChild>
                    <w:div w:id="1607997854">
                      <w:marLeft w:val="0"/>
                      <w:marRight w:val="0"/>
                      <w:marTop w:val="0"/>
                      <w:marBottom w:val="0"/>
                      <w:divBdr>
                        <w:top w:val="none" w:sz="0" w:space="0" w:color="auto"/>
                        <w:left w:val="none" w:sz="0" w:space="0" w:color="auto"/>
                        <w:bottom w:val="none" w:sz="0" w:space="0" w:color="auto"/>
                        <w:right w:val="none" w:sz="0" w:space="0" w:color="auto"/>
                      </w:divBdr>
                      <w:divsChild>
                        <w:div w:id="1836409265">
                          <w:marLeft w:val="0"/>
                          <w:marRight w:val="0"/>
                          <w:marTop w:val="0"/>
                          <w:marBottom w:val="0"/>
                          <w:divBdr>
                            <w:top w:val="single" w:sz="6" w:space="0" w:color="828282"/>
                            <w:left w:val="single" w:sz="6" w:space="0" w:color="828282"/>
                            <w:bottom w:val="single" w:sz="6" w:space="0" w:color="828282"/>
                            <w:right w:val="single" w:sz="6" w:space="0" w:color="828282"/>
                          </w:divBdr>
                          <w:divsChild>
                            <w:div w:id="946277393">
                              <w:marLeft w:val="0"/>
                              <w:marRight w:val="0"/>
                              <w:marTop w:val="0"/>
                              <w:marBottom w:val="0"/>
                              <w:divBdr>
                                <w:top w:val="none" w:sz="0" w:space="0" w:color="auto"/>
                                <w:left w:val="none" w:sz="0" w:space="0" w:color="auto"/>
                                <w:bottom w:val="none" w:sz="0" w:space="0" w:color="auto"/>
                                <w:right w:val="none" w:sz="0" w:space="0" w:color="auto"/>
                              </w:divBdr>
                              <w:divsChild>
                                <w:div w:id="538513761">
                                  <w:marLeft w:val="0"/>
                                  <w:marRight w:val="0"/>
                                  <w:marTop w:val="0"/>
                                  <w:marBottom w:val="0"/>
                                  <w:divBdr>
                                    <w:top w:val="none" w:sz="0" w:space="0" w:color="auto"/>
                                    <w:left w:val="none" w:sz="0" w:space="0" w:color="auto"/>
                                    <w:bottom w:val="none" w:sz="0" w:space="0" w:color="auto"/>
                                    <w:right w:val="none" w:sz="0" w:space="0" w:color="auto"/>
                                  </w:divBdr>
                                  <w:divsChild>
                                    <w:div w:id="1219436867">
                                      <w:marLeft w:val="0"/>
                                      <w:marRight w:val="0"/>
                                      <w:marTop w:val="0"/>
                                      <w:marBottom w:val="0"/>
                                      <w:divBdr>
                                        <w:top w:val="none" w:sz="0" w:space="0" w:color="auto"/>
                                        <w:left w:val="none" w:sz="0" w:space="0" w:color="auto"/>
                                        <w:bottom w:val="none" w:sz="0" w:space="0" w:color="auto"/>
                                        <w:right w:val="none" w:sz="0" w:space="0" w:color="auto"/>
                                      </w:divBdr>
                                      <w:divsChild>
                                        <w:div w:id="475146755">
                                          <w:marLeft w:val="0"/>
                                          <w:marRight w:val="0"/>
                                          <w:marTop w:val="0"/>
                                          <w:marBottom w:val="0"/>
                                          <w:divBdr>
                                            <w:top w:val="none" w:sz="0" w:space="0" w:color="auto"/>
                                            <w:left w:val="none" w:sz="0" w:space="0" w:color="auto"/>
                                            <w:bottom w:val="none" w:sz="0" w:space="0" w:color="auto"/>
                                            <w:right w:val="none" w:sz="0" w:space="0" w:color="auto"/>
                                          </w:divBdr>
                                          <w:divsChild>
                                            <w:div w:id="1926109009">
                                              <w:marLeft w:val="0"/>
                                              <w:marRight w:val="0"/>
                                              <w:marTop w:val="0"/>
                                              <w:marBottom w:val="0"/>
                                              <w:divBdr>
                                                <w:top w:val="none" w:sz="0" w:space="0" w:color="auto"/>
                                                <w:left w:val="none" w:sz="0" w:space="0" w:color="auto"/>
                                                <w:bottom w:val="none" w:sz="0" w:space="0" w:color="auto"/>
                                                <w:right w:val="none" w:sz="0" w:space="0" w:color="auto"/>
                                              </w:divBdr>
                                              <w:divsChild>
                                                <w:div w:id="565457189">
                                                  <w:marLeft w:val="0"/>
                                                  <w:marRight w:val="0"/>
                                                  <w:marTop w:val="0"/>
                                                  <w:marBottom w:val="0"/>
                                                  <w:divBdr>
                                                    <w:top w:val="none" w:sz="0" w:space="0" w:color="auto"/>
                                                    <w:left w:val="none" w:sz="0" w:space="0" w:color="auto"/>
                                                    <w:bottom w:val="none" w:sz="0" w:space="0" w:color="auto"/>
                                                    <w:right w:val="none" w:sz="0" w:space="0" w:color="auto"/>
                                                  </w:divBdr>
                                                  <w:divsChild>
                                                    <w:div w:id="8545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PIRE Document" ma:contentTypeID="0x01010053158623521E02459344FD72CDD99ED600A2D584079BA05F4D9A356B4AB3380BE2" ma:contentTypeVersion="5" ma:contentTypeDescription="SPIRE Document" ma:contentTypeScope="" ma:versionID="af84dedaa935f91c922229985d57632e">
  <xsd:schema xmlns:xsd="http://www.w3.org/2001/XMLSchema" xmlns:xs="http://www.w3.org/2001/XMLSchema" xmlns:p="http://schemas.microsoft.com/office/2006/metadata/properties" xmlns:ns2="d8430d0f-47e2-4fb7-b3bb-dd4f7c79b414" xmlns:ns3="http://schemas.microsoft.com/sharepoint/v4" targetNamespace="http://schemas.microsoft.com/office/2006/metadata/properties" ma:root="true" ma:fieldsID="41facc1ace94bf4d9ca5cd5b93ac8379" ns2:_="" ns3:_="">
    <xsd:import namespace="d8430d0f-47e2-4fb7-b3bb-dd4f7c79b41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30d0f-47e2-4fb7-b3bb-dd4f7c79b41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Description xmlns="d8430d0f-47e2-4fb7-b3bb-dd4f7c79b414" xsi:nil="true"/>
    <RecordNumber xmlns="d8430d0f-47e2-4fb7-b3bb-dd4f7c79b414">000762284</RecordNumber>
    <Approval xmlns="d8430d0f-47e2-4fb7-b3bb-dd4f7c79b414" xsi:nil="true"/>
    <Function xmlns="d8430d0f-47e2-4fb7-b3bb-dd4f7c79b414" xsi:nil="true"/>
    <IconOverlay xmlns="http://schemas.microsoft.com/sharepoint/v4" xsi:nil="true"/>
  </documentManagement>
</p:properties>
</file>

<file path=customXml/itemProps1.xml><?xml version="1.0" encoding="utf-8"?>
<ds:datastoreItem xmlns:ds="http://schemas.openxmlformats.org/officeDocument/2006/customXml" ds:itemID="{D5312259-B0B1-4F5A-AC02-CE2C22831DFF}">
  <ds:schemaRefs>
    <ds:schemaRef ds:uri="http://schemas.microsoft.com/sharepoint/events"/>
  </ds:schemaRefs>
</ds:datastoreItem>
</file>

<file path=customXml/itemProps2.xml><?xml version="1.0" encoding="utf-8"?>
<ds:datastoreItem xmlns:ds="http://schemas.openxmlformats.org/officeDocument/2006/customXml" ds:itemID="{4DCC384B-0CBF-43C4-9B4A-AEB4B41DB683}">
  <ds:schemaRefs>
    <ds:schemaRef ds:uri="http://schemas.microsoft.com/office/2006/metadata/customXsn"/>
  </ds:schemaRefs>
</ds:datastoreItem>
</file>

<file path=customXml/itemProps3.xml><?xml version="1.0" encoding="utf-8"?>
<ds:datastoreItem xmlns:ds="http://schemas.openxmlformats.org/officeDocument/2006/customXml" ds:itemID="{DF4FB4ED-4229-4D09-955F-BC466D624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30d0f-47e2-4fb7-b3bb-dd4f7c79b41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90810-7142-401C-8599-51753ADA4FE8}">
  <ds:schemaRefs>
    <ds:schemaRef ds:uri="http://schemas.microsoft.com/sharepoint/v3/contenttype/forms"/>
  </ds:schemaRefs>
</ds:datastoreItem>
</file>

<file path=customXml/itemProps5.xml><?xml version="1.0" encoding="utf-8"?>
<ds:datastoreItem xmlns:ds="http://schemas.openxmlformats.org/officeDocument/2006/customXml" ds:itemID="{FD857290-1D55-4C9A-ADE7-AED6C81B6657}">
  <ds:schemaRefs>
    <ds:schemaRef ds:uri="http://schemas.microsoft.com/office/2006/metadata/properties"/>
    <ds:schemaRef ds:uri="http://schemas.microsoft.com/office/infopath/2007/PartnerControls"/>
    <ds:schemaRef ds:uri="d8430d0f-47e2-4fb7-b3bb-dd4f7c79b414"/>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23929</Words>
  <Characters>132495</Characters>
  <Application>Microsoft Office Word</Application>
  <DocSecurity>4</DocSecurity>
  <Lines>1104</Lines>
  <Paragraphs>312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2015-09-01T02:07:00Z</cp:lastPrinted>
  <dcterms:created xsi:type="dcterms:W3CDTF">2015-10-07T06:23:00Z</dcterms:created>
  <dcterms:modified xsi:type="dcterms:W3CDTF">2015-10-07T06:23:00Z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RecordPoint_RecordNumberSubmitted">
    <vt:lpwstr>000762284</vt:lpwstr>
  </property>
  <property fmtid="{D5CDD505-2E9C-101B-9397-08002B2CF9AE}" pid="7" name="RecordPoint_ActiveItemListId">
    <vt:lpwstr>{e9b5567f-32ab-441a-8cf3-eadbae10a51f}</vt:lpwstr>
  </property>
  <property fmtid="{D5CDD505-2E9C-101B-9397-08002B2CF9AE}" pid="8" name="ContentTypeId">
    <vt:lpwstr>0x01010053158623521E02459344FD72CDD99ED600A2D584079BA05F4D9A356B4AB3380BE2</vt:lpwstr>
  </property>
  <property fmtid="{D5CDD505-2E9C-101B-9397-08002B2CF9AE}" pid="9" name="RecordPoint_ActiveItemUniqueId">
    <vt:lpwstr>{3832ddde-6432-470f-8ad3-cbf72a8126f5}</vt:lpwstr>
  </property>
  <property fmtid="{D5CDD505-2E9C-101B-9397-08002B2CF9AE}" pid="10" name="RecordPoint_SubmissionCompleted">
    <vt:lpwstr>2015-10-07T03:53:11.3230748+11:00</vt:lpwstr>
  </property>
  <property fmtid="{D5CDD505-2E9C-101B-9397-08002B2CF9AE}" pid="11" name="RecordPoint_ActiveItemWebId">
    <vt:lpwstr>{95896362-88ff-4a5a-baa5-b7ccbdc85523}</vt:lpwstr>
  </property>
  <property fmtid="{D5CDD505-2E9C-101B-9397-08002B2CF9AE}" pid="12" name="RecordPoint_WorkflowType">
    <vt:lpwstr>ActiveSubmitStub</vt:lpwstr>
  </property>
  <property fmtid="{D5CDD505-2E9C-101B-9397-08002B2CF9AE}" pid="13" name="RecordPoint_ActiveItemSiteId">
    <vt:lpwstr>{65a9c67d-8621-4daf-8c18-51b91f4b20f6}</vt:lpwstr>
  </property>
</Properties>
</file>