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6D" w:rsidRPr="00D62FE7" w:rsidRDefault="001E166D" w:rsidP="00D62FE7">
      <w:pPr>
        <w:pStyle w:val="Heading1"/>
        <w:spacing w:before="120" w:after="120"/>
        <w:jc w:val="center"/>
        <w:rPr>
          <w:sz w:val="24"/>
          <w:szCs w:val="24"/>
          <w:u w:val="single"/>
        </w:rPr>
      </w:pPr>
      <w:r w:rsidRPr="00D62FE7">
        <w:rPr>
          <w:sz w:val="24"/>
          <w:szCs w:val="24"/>
          <w:u w:val="single"/>
        </w:rPr>
        <w:t>EXPLANATORY STATEMENT</w:t>
      </w:r>
    </w:p>
    <w:p w:rsidR="00CC54A5" w:rsidRPr="00D62FE7" w:rsidRDefault="00CC54A5" w:rsidP="00D62FE7">
      <w:pPr>
        <w:pStyle w:val="Heading1"/>
        <w:spacing w:before="120" w:after="120"/>
        <w:jc w:val="center"/>
        <w:rPr>
          <w:sz w:val="24"/>
          <w:szCs w:val="24"/>
          <w:u w:val="single"/>
        </w:rPr>
      </w:pPr>
      <w:r w:rsidRPr="00D62FE7">
        <w:rPr>
          <w:sz w:val="24"/>
          <w:szCs w:val="24"/>
          <w:u w:val="single"/>
        </w:rPr>
        <w:t>SELECT LEGISLATIVE INSTRUMENT NO.</w:t>
      </w:r>
      <w:r w:rsidR="0047721B" w:rsidRPr="00D62FE7">
        <w:rPr>
          <w:sz w:val="24"/>
          <w:szCs w:val="24"/>
        </w:rPr>
        <w:tab/>
      </w:r>
      <w:r w:rsidR="0047721B" w:rsidRPr="00D62FE7">
        <w:rPr>
          <w:sz w:val="24"/>
          <w:szCs w:val="24"/>
        </w:rPr>
        <w:tab/>
      </w:r>
      <w:r w:rsidR="0047721B" w:rsidRPr="00D62FE7">
        <w:rPr>
          <w:sz w:val="24"/>
          <w:szCs w:val="24"/>
          <w:u w:val="single"/>
        </w:rPr>
        <w:t>, 2015</w:t>
      </w:r>
    </w:p>
    <w:p w:rsidR="001E166D" w:rsidRPr="00D62FE7" w:rsidRDefault="001E166D" w:rsidP="00D62FE7">
      <w:pPr>
        <w:pStyle w:val="Heading2"/>
        <w:spacing w:before="120" w:after="120"/>
        <w:jc w:val="center"/>
        <w:rPr>
          <w:u w:val="single"/>
        </w:rPr>
      </w:pPr>
      <w:r w:rsidRPr="00D62FE7">
        <w:rPr>
          <w:u w:val="single"/>
        </w:rPr>
        <w:t>Issued by the Authority of the Minister for the Environment</w:t>
      </w:r>
    </w:p>
    <w:p w:rsidR="001E166D" w:rsidRPr="00D62FE7" w:rsidRDefault="00940251" w:rsidP="00D62FE7">
      <w:pPr>
        <w:spacing w:before="120" w:after="120" w:line="240" w:lineRule="auto"/>
        <w:ind w:right="91"/>
        <w:jc w:val="center"/>
        <w:rPr>
          <w:rFonts w:ascii="Times New Roman" w:hAnsi="Times New Roman" w:cs="Times New Roman"/>
          <w:i/>
          <w:iCs/>
          <w:sz w:val="24"/>
          <w:szCs w:val="24"/>
        </w:rPr>
      </w:pPr>
      <w:r>
        <w:rPr>
          <w:rFonts w:ascii="Times New Roman" w:hAnsi="Times New Roman" w:cs="Times New Roman"/>
          <w:i/>
          <w:iCs/>
          <w:sz w:val="24"/>
          <w:szCs w:val="24"/>
        </w:rPr>
        <w:t>National Greenhouse and Energy Reporting Act 2007</w:t>
      </w:r>
    </w:p>
    <w:p w:rsidR="00F83982" w:rsidRPr="00D62FE7" w:rsidRDefault="00F83982" w:rsidP="00D62FE7">
      <w:pPr>
        <w:spacing w:before="120" w:after="120" w:line="240" w:lineRule="auto"/>
        <w:ind w:right="91"/>
        <w:jc w:val="center"/>
        <w:rPr>
          <w:rFonts w:ascii="Times New Roman" w:hAnsi="Times New Roman" w:cs="Times New Roman"/>
          <w:i/>
          <w:iCs/>
          <w:sz w:val="24"/>
          <w:szCs w:val="24"/>
        </w:rPr>
      </w:pPr>
      <w:r w:rsidRPr="00F83982">
        <w:rPr>
          <w:rFonts w:ascii="Times New Roman" w:hAnsi="Times New Roman" w:cs="Times New Roman"/>
          <w:i/>
          <w:iCs/>
          <w:sz w:val="24"/>
          <w:szCs w:val="24"/>
        </w:rPr>
        <w:t>National Greenhouse and Energy Reporting (Audit) Amendment Determination 2015 (No. 1)</w:t>
      </w:r>
    </w:p>
    <w:p w:rsidR="00F83982" w:rsidRDefault="00F83982" w:rsidP="00D62FE7">
      <w:pPr>
        <w:spacing w:before="120" w:after="120" w:line="240" w:lineRule="auto"/>
        <w:ind w:right="91"/>
        <w:rPr>
          <w:rFonts w:ascii="Times New Roman" w:hAnsi="Times New Roman" w:cs="Times New Roman"/>
          <w:b/>
          <w:bCs/>
          <w:sz w:val="24"/>
          <w:szCs w:val="24"/>
        </w:rPr>
      </w:pPr>
    </w:p>
    <w:p w:rsidR="00B92488" w:rsidRPr="00D62FE7" w:rsidRDefault="00B92488" w:rsidP="00D62FE7">
      <w:pPr>
        <w:spacing w:before="120" w:after="120" w:line="240" w:lineRule="auto"/>
        <w:ind w:right="91"/>
        <w:rPr>
          <w:rFonts w:ascii="Times New Roman" w:hAnsi="Times New Roman" w:cs="Times New Roman"/>
          <w:b/>
          <w:bCs/>
          <w:sz w:val="24"/>
          <w:szCs w:val="24"/>
        </w:rPr>
      </w:pPr>
      <w:r w:rsidRPr="00D62FE7">
        <w:rPr>
          <w:rFonts w:ascii="Times New Roman" w:hAnsi="Times New Roman" w:cs="Times New Roman"/>
          <w:b/>
          <w:bCs/>
          <w:sz w:val="24"/>
          <w:szCs w:val="24"/>
        </w:rPr>
        <w:t>Purpose</w:t>
      </w:r>
    </w:p>
    <w:p w:rsidR="008C05B3" w:rsidRDefault="00C524C2">
      <w:pPr>
        <w:pStyle w:val="ListParagraph"/>
        <w:tabs>
          <w:tab w:val="left" w:pos="0"/>
        </w:tabs>
        <w:spacing w:after="240" w:line="240" w:lineRule="auto"/>
        <w:ind w:left="0"/>
        <w:rPr>
          <w:rFonts w:ascii="Times New Roman" w:hAnsi="Times New Roman" w:cs="Times New Roman"/>
          <w:sz w:val="24"/>
          <w:szCs w:val="24"/>
        </w:rPr>
      </w:pPr>
      <w:r w:rsidRPr="00817646">
        <w:rPr>
          <w:rFonts w:ascii="Times New Roman" w:hAnsi="Times New Roman" w:cs="Times New Roman"/>
          <w:sz w:val="24"/>
          <w:szCs w:val="24"/>
        </w:rPr>
        <w:t xml:space="preserve">The </w:t>
      </w:r>
      <w:r w:rsidRPr="00817646">
        <w:rPr>
          <w:rFonts w:ascii="Times New Roman" w:hAnsi="Times New Roman" w:cs="Times New Roman"/>
          <w:i/>
          <w:sz w:val="24"/>
          <w:szCs w:val="24"/>
        </w:rPr>
        <w:t>National Greenhouse and Energy Reporting Act 2007</w:t>
      </w:r>
      <w:r w:rsidR="003C5FBF">
        <w:rPr>
          <w:rFonts w:ascii="Times New Roman" w:hAnsi="Times New Roman" w:cs="Times New Roman"/>
          <w:sz w:val="24"/>
          <w:szCs w:val="24"/>
        </w:rPr>
        <w:t xml:space="preserve"> (NGER</w:t>
      </w:r>
      <w:r w:rsidRPr="00817646">
        <w:rPr>
          <w:rFonts w:ascii="Times New Roman" w:hAnsi="Times New Roman" w:cs="Times New Roman"/>
          <w:sz w:val="24"/>
          <w:szCs w:val="24"/>
        </w:rPr>
        <w:t xml:space="preserve"> Act) </w:t>
      </w:r>
      <w:r w:rsidRPr="00817646">
        <w:rPr>
          <w:rFonts w:ascii="Times New Roman" w:hAnsi="Times New Roman" w:cs="Times New Roman"/>
          <w:color w:val="000000"/>
          <w:sz w:val="24"/>
          <w:szCs w:val="24"/>
        </w:rPr>
        <w:t>establishes the National Greenhouse an</w:t>
      </w:r>
      <w:r w:rsidR="003C5FBF">
        <w:rPr>
          <w:rFonts w:ascii="Times New Roman" w:hAnsi="Times New Roman" w:cs="Times New Roman"/>
          <w:color w:val="000000"/>
          <w:sz w:val="24"/>
          <w:szCs w:val="24"/>
        </w:rPr>
        <w:t>d Energy Reporting (NGER) Scheme</w:t>
      </w:r>
      <w:r w:rsidRPr="00817646">
        <w:rPr>
          <w:rFonts w:ascii="Times New Roman" w:hAnsi="Times New Roman" w:cs="Times New Roman"/>
          <w:color w:val="000000"/>
          <w:sz w:val="24"/>
          <w:szCs w:val="24"/>
        </w:rPr>
        <w:t xml:space="preserve">, which is a national framework for reporting greenhouse gas emissions, and energy consumption and production by Australian corporations. Data reported under the </w:t>
      </w:r>
      <w:r w:rsidR="003C5FBF">
        <w:rPr>
          <w:rFonts w:ascii="Times New Roman" w:hAnsi="Times New Roman" w:cs="Times New Roman"/>
          <w:color w:val="000000"/>
          <w:sz w:val="24"/>
          <w:szCs w:val="24"/>
        </w:rPr>
        <w:t xml:space="preserve">NGER </w:t>
      </w:r>
      <w:r w:rsidRPr="00817646">
        <w:rPr>
          <w:rFonts w:ascii="Times New Roman" w:hAnsi="Times New Roman" w:cs="Times New Roman"/>
          <w:color w:val="000000"/>
          <w:sz w:val="24"/>
          <w:szCs w:val="24"/>
        </w:rPr>
        <w:t>Act assists Australia meet its international reporting obligations and informs government policy, programs and the Australian public.</w:t>
      </w:r>
    </w:p>
    <w:p w:rsidR="008C05B3" w:rsidRDefault="00C524C2">
      <w:pPr>
        <w:pStyle w:val="ListParagraph"/>
        <w:tabs>
          <w:tab w:val="left" w:pos="0"/>
        </w:tabs>
        <w:spacing w:after="240" w:line="240" w:lineRule="auto"/>
        <w:ind w:left="0"/>
        <w:rPr>
          <w:rFonts w:ascii="Times New Roman" w:hAnsi="Times New Roman" w:cs="Times New Roman"/>
          <w:sz w:val="24"/>
          <w:szCs w:val="24"/>
        </w:rPr>
      </w:pPr>
      <w:r w:rsidRPr="00817646">
        <w:rPr>
          <w:rFonts w:ascii="Times New Roman" w:hAnsi="Times New Roman" w:cs="Times New Roman"/>
          <w:sz w:val="24"/>
          <w:szCs w:val="24"/>
        </w:rPr>
        <w:t xml:space="preserve">The </w:t>
      </w:r>
      <w:r w:rsidRPr="00817646">
        <w:rPr>
          <w:rFonts w:ascii="Times New Roman" w:hAnsi="Times New Roman" w:cs="Times New Roman"/>
          <w:i/>
          <w:iCs/>
          <w:sz w:val="24"/>
          <w:szCs w:val="24"/>
        </w:rPr>
        <w:t>National Greenhouse and Energy Reporting</w:t>
      </w:r>
      <w:r w:rsidRPr="00817646">
        <w:rPr>
          <w:rFonts w:ascii="Times New Roman" w:hAnsi="Times New Roman" w:cs="Times New Roman"/>
          <w:sz w:val="24"/>
          <w:szCs w:val="24"/>
        </w:rPr>
        <w:t xml:space="preserve"> </w:t>
      </w:r>
      <w:r w:rsidRPr="00817646">
        <w:rPr>
          <w:rFonts w:ascii="Times New Roman" w:hAnsi="Times New Roman" w:cs="Times New Roman"/>
          <w:i/>
          <w:sz w:val="24"/>
          <w:szCs w:val="24"/>
        </w:rPr>
        <w:t xml:space="preserve">Regulations 2008 </w:t>
      </w:r>
      <w:r w:rsidRPr="00817646">
        <w:rPr>
          <w:rFonts w:ascii="Times New Roman" w:hAnsi="Times New Roman" w:cs="Times New Roman"/>
          <w:sz w:val="24"/>
          <w:szCs w:val="24"/>
        </w:rPr>
        <w:t>(the Principal Regulations)</w:t>
      </w:r>
      <w:r w:rsidRPr="00817646">
        <w:rPr>
          <w:rFonts w:ascii="Times New Roman" w:hAnsi="Times New Roman" w:cs="Times New Roman"/>
          <w:color w:val="000000"/>
          <w:sz w:val="24"/>
          <w:szCs w:val="24"/>
        </w:rPr>
        <w:t xml:space="preserve"> provide necessary details that allow compliance with, and administration of, the NGER Act. The </w:t>
      </w:r>
      <w:r w:rsidRPr="00817646">
        <w:rPr>
          <w:rFonts w:ascii="Times New Roman" w:hAnsi="Times New Roman" w:cs="Times New Roman"/>
          <w:i/>
          <w:color w:val="000000"/>
          <w:sz w:val="24"/>
          <w:szCs w:val="24"/>
        </w:rPr>
        <w:t>National Greenhouse and Energy Reporting Amendment (2015 Measures No.2)</w:t>
      </w:r>
      <w:r w:rsidR="004F07B5">
        <w:rPr>
          <w:rFonts w:ascii="Times New Roman" w:hAnsi="Times New Roman" w:cs="Times New Roman"/>
          <w:i/>
          <w:color w:val="000000"/>
          <w:sz w:val="24"/>
          <w:szCs w:val="24"/>
        </w:rPr>
        <w:t xml:space="preserve"> </w:t>
      </w:r>
      <w:r w:rsidRPr="00817646">
        <w:rPr>
          <w:rFonts w:ascii="Times New Roman" w:hAnsi="Times New Roman" w:cs="Times New Roman"/>
          <w:i/>
          <w:color w:val="000000"/>
          <w:sz w:val="24"/>
          <w:szCs w:val="24"/>
        </w:rPr>
        <w:t>Regulation 2015</w:t>
      </w:r>
      <w:r w:rsidRPr="00817646">
        <w:rPr>
          <w:rFonts w:ascii="Times New Roman" w:hAnsi="Times New Roman" w:cs="Times New Roman"/>
          <w:color w:val="000000"/>
          <w:sz w:val="24"/>
          <w:szCs w:val="24"/>
        </w:rPr>
        <w:t xml:space="preserve"> (the amendment Regulation) amends the Principal Regulations to support amendments made to the NGER Act by the </w:t>
      </w:r>
      <w:r w:rsidRPr="00817646">
        <w:rPr>
          <w:rFonts w:ascii="Times New Roman" w:hAnsi="Times New Roman" w:cs="Times New Roman"/>
          <w:i/>
          <w:sz w:val="24"/>
          <w:szCs w:val="24"/>
        </w:rPr>
        <w:t xml:space="preserve">Carbon Farming Initiative Amendment Act 2014 </w:t>
      </w:r>
      <w:r w:rsidR="003B3AD4" w:rsidRPr="003B3AD4">
        <w:rPr>
          <w:rFonts w:ascii="Times New Roman" w:hAnsi="Times New Roman" w:cs="Times New Roman"/>
          <w:sz w:val="24"/>
          <w:szCs w:val="24"/>
        </w:rPr>
        <w:t>(</w:t>
      </w:r>
      <w:r w:rsidRPr="00817646">
        <w:rPr>
          <w:rFonts w:ascii="Times New Roman" w:hAnsi="Times New Roman" w:cs="Times New Roman"/>
          <w:sz w:val="24"/>
          <w:szCs w:val="24"/>
        </w:rPr>
        <w:t xml:space="preserve">the </w:t>
      </w:r>
      <w:r w:rsidR="00F81827">
        <w:rPr>
          <w:rFonts w:ascii="Times New Roman" w:hAnsi="Times New Roman" w:cs="Times New Roman"/>
          <w:sz w:val="24"/>
          <w:szCs w:val="24"/>
        </w:rPr>
        <w:t>CFI Amendment Act</w:t>
      </w:r>
      <w:r w:rsidRPr="00817646">
        <w:rPr>
          <w:rFonts w:ascii="Times New Roman" w:hAnsi="Times New Roman" w:cs="Times New Roman"/>
          <w:sz w:val="24"/>
          <w:szCs w:val="24"/>
        </w:rPr>
        <w:t>)</w:t>
      </w:r>
      <w:r w:rsidRPr="00817646">
        <w:rPr>
          <w:rFonts w:ascii="Times New Roman" w:hAnsi="Times New Roman" w:cs="Times New Roman"/>
          <w:color w:val="000000"/>
          <w:sz w:val="24"/>
          <w:szCs w:val="24"/>
        </w:rPr>
        <w:t xml:space="preserve">. </w:t>
      </w:r>
    </w:p>
    <w:p w:rsidR="008C05B3" w:rsidRDefault="00C524C2">
      <w:pPr>
        <w:pStyle w:val="ListParagraph"/>
        <w:tabs>
          <w:tab w:val="left" w:pos="0"/>
        </w:tabs>
        <w:spacing w:after="240" w:line="240" w:lineRule="auto"/>
        <w:ind w:left="0"/>
        <w:rPr>
          <w:rFonts w:ascii="Times New Roman" w:hAnsi="Times New Roman" w:cs="Times New Roman"/>
          <w:sz w:val="24"/>
          <w:szCs w:val="24"/>
        </w:rPr>
      </w:pPr>
      <w:r w:rsidRPr="00817646">
        <w:rPr>
          <w:rFonts w:ascii="Times New Roman" w:hAnsi="Times New Roman" w:cs="Times New Roman"/>
          <w:sz w:val="24"/>
          <w:szCs w:val="24"/>
        </w:rPr>
        <w:t>These amendments, which were passed in December 2014 and which take effect from 1 July 2016, establish the framework for the safeguard mechanism, a core element of the Emissions Reduction Fund.</w:t>
      </w:r>
    </w:p>
    <w:p w:rsidR="008C05B3" w:rsidRDefault="00F61B43">
      <w:pPr>
        <w:pStyle w:val="ListParagraph"/>
        <w:tabs>
          <w:tab w:val="left" w:pos="0"/>
        </w:tabs>
        <w:spacing w:after="240" w:line="240" w:lineRule="auto"/>
        <w:ind w:left="0"/>
        <w:rPr>
          <w:rFonts w:ascii="Times New Roman" w:hAnsi="Times New Roman" w:cs="Times New Roman"/>
          <w:sz w:val="24"/>
          <w:szCs w:val="24"/>
        </w:rPr>
      </w:pPr>
      <w:r w:rsidRPr="003C5FBF">
        <w:rPr>
          <w:rFonts w:ascii="Times New Roman" w:eastAsia="Times New Roman" w:hAnsi="Times New Roman" w:cs="Times New Roman"/>
          <w:color w:val="000000"/>
          <w:sz w:val="24"/>
          <w:szCs w:val="24"/>
          <w:lang w:eastAsia="en-AU"/>
        </w:rPr>
        <w:t>Section 75(1) of the</w:t>
      </w:r>
      <w:r w:rsidR="00AB2CB6" w:rsidRPr="003C5FBF">
        <w:rPr>
          <w:rFonts w:ascii="Times New Roman" w:eastAsia="Times New Roman" w:hAnsi="Times New Roman" w:cs="Times New Roman"/>
          <w:color w:val="000000"/>
          <w:sz w:val="24"/>
          <w:szCs w:val="24"/>
          <w:lang w:eastAsia="en-AU"/>
        </w:rPr>
        <w:t xml:space="preserve"> NGER</w:t>
      </w:r>
      <w:r w:rsidRPr="003C5FBF">
        <w:rPr>
          <w:rFonts w:ascii="Times New Roman" w:eastAsia="Times New Roman" w:hAnsi="Times New Roman" w:cs="Times New Roman"/>
          <w:color w:val="000000"/>
          <w:sz w:val="24"/>
          <w:szCs w:val="24"/>
          <w:lang w:eastAsia="en-AU"/>
        </w:rPr>
        <w:t xml:space="preserve"> Act provides that the Minister may make a legislative instrument prescribing requirements to be met by audit team leaders in preparing for and carrying out greenhouse and energy audits and in preparing audit reports – the </w:t>
      </w:r>
      <w:r w:rsidRPr="003C5FBF">
        <w:rPr>
          <w:rFonts w:ascii="Times New Roman" w:eastAsia="Times New Roman" w:hAnsi="Times New Roman" w:cs="Times New Roman"/>
          <w:i/>
          <w:iCs/>
          <w:color w:val="000000"/>
          <w:sz w:val="24"/>
          <w:szCs w:val="24"/>
          <w:lang w:eastAsia="en-AU"/>
        </w:rPr>
        <w:t xml:space="preserve">National Greenhouse and Energy Reporting (Audit) Determination 2009 </w:t>
      </w:r>
      <w:r w:rsidR="000F04AF">
        <w:rPr>
          <w:rFonts w:ascii="Times New Roman" w:eastAsia="Times New Roman" w:hAnsi="Times New Roman" w:cs="Times New Roman"/>
          <w:color w:val="000000"/>
          <w:sz w:val="24"/>
          <w:szCs w:val="24"/>
          <w:lang w:eastAsia="en-AU"/>
        </w:rPr>
        <w:t>(</w:t>
      </w:r>
      <w:r w:rsidR="004F07B5">
        <w:rPr>
          <w:rFonts w:ascii="Times New Roman" w:eastAsia="Times New Roman" w:hAnsi="Times New Roman" w:cs="Times New Roman"/>
          <w:color w:val="000000"/>
          <w:sz w:val="24"/>
          <w:szCs w:val="24"/>
          <w:lang w:eastAsia="en-AU"/>
        </w:rPr>
        <w:t xml:space="preserve">the </w:t>
      </w:r>
      <w:r w:rsidR="000F04AF">
        <w:rPr>
          <w:rFonts w:ascii="Times New Roman" w:eastAsia="Times New Roman" w:hAnsi="Times New Roman" w:cs="Times New Roman"/>
          <w:color w:val="000000"/>
          <w:sz w:val="24"/>
          <w:szCs w:val="24"/>
          <w:lang w:eastAsia="en-AU"/>
        </w:rPr>
        <w:t>Audit</w:t>
      </w:r>
      <w:r w:rsidRPr="003C5FBF">
        <w:rPr>
          <w:rFonts w:ascii="Times New Roman" w:eastAsia="Times New Roman" w:hAnsi="Times New Roman" w:cs="Times New Roman"/>
          <w:color w:val="000000"/>
          <w:sz w:val="24"/>
          <w:szCs w:val="24"/>
          <w:lang w:eastAsia="en-AU"/>
        </w:rPr>
        <w:t xml:space="preserve"> Determination).</w:t>
      </w:r>
    </w:p>
    <w:p w:rsidR="008C05B3" w:rsidRDefault="00F61B43">
      <w:pPr>
        <w:pStyle w:val="ListParagraph"/>
        <w:tabs>
          <w:tab w:val="left" w:pos="0"/>
        </w:tabs>
        <w:spacing w:after="240" w:line="240" w:lineRule="auto"/>
        <w:ind w:left="0"/>
        <w:rPr>
          <w:rFonts w:ascii="Times New Roman" w:hAnsi="Times New Roman" w:cs="Times New Roman"/>
          <w:sz w:val="24"/>
          <w:szCs w:val="24"/>
        </w:rPr>
      </w:pPr>
      <w:r w:rsidRPr="00622E79">
        <w:rPr>
          <w:rFonts w:ascii="Times New Roman" w:hAnsi="Times New Roman" w:cs="Times New Roman"/>
          <w:sz w:val="24"/>
          <w:szCs w:val="24"/>
        </w:rPr>
        <w:t xml:space="preserve">Several of the administrative processes necessitated by the safeguard </w:t>
      </w:r>
      <w:r>
        <w:rPr>
          <w:rFonts w:ascii="Times New Roman" w:hAnsi="Times New Roman" w:cs="Times New Roman"/>
          <w:sz w:val="24"/>
          <w:szCs w:val="24"/>
        </w:rPr>
        <w:t>mechanism</w:t>
      </w:r>
      <w:r w:rsidRPr="00622E79">
        <w:rPr>
          <w:rFonts w:ascii="Times New Roman" w:hAnsi="Times New Roman" w:cs="Times New Roman"/>
          <w:sz w:val="24"/>
          <w:szCs w:val="24"/>
        </w:rPr>
        <w:t xml:space="preserve"> will require regulated entities to accompany applications with audit reports. When the relevant provisions commence on 1 July 2016, the </w:t>
      </w:r>
      <w:r w:rsidR="00F81827">
        <w:rPr>
          <w:rFonts w:ascii="Times New Roman" w:hAnsi="Times New Roman" w:cs="Times New Roman"/>
          <w:sz w:val="24"/>
          <w:szCs w:val="24"/>
        </w:rPr>
        <w:t>CFI Amendment Act</w:t>
      </w:r>
      <w:r w:rsidRPr="00622E79">
        <w:rPr>
          <w:rFonts w:ascii="Times New Roman" w:hAnsi="Times New Roman" w:cs="Times New Roman"/>
          <w:sz w:val="24"/>
          <w:szCs w:val="24"/>
        </w:rPr>
        <w:t xml:space="preserve"> will insert safeguard audits into</w:t>
      </w:r>
      <w:r>
        <w:rPr>
          <w:rFonts w:ascii="Times New Roman" w:hAnsi="Times New Roman" w:cs="Times New Roman"/>
          <w:sz w:val="24"/>
          <w:szCs w:val="24"/>
        </w:rPr>
        <w:t xml:space="preserve"> the current audit regime set out</w:t>
      </w:r>
      <w:r w:rsidRPr="00622E79">
        <w:rPr>
          <w:rFonts w:ascii="Times New Roman" w:hAnsi="Times New Roman" w:cs="Times New Roman"/>
          <w:sz w:val="24"/>
          <w:szCs w:val="24"/>
        </w:rPr>
        <w:t xml:space="preserve"> in the NGER Act. Until that point, the NGER Act will continue to govern ‘greenhouse and energy audits’ and audits</w:t>
      </w:r>
      <w:r w:rsidR="009D062E">
        <w:rPr>
          <w:rFonts w:ascii="Times New Roman" w:hAnsi="Times New Roman" w:cs="Times New Roman"/>
          <w:sz w:val="24"/>
          <w:szCs w:val="24"/>
        </w:rPr>
        <w:t xml:space="preserve"> under the </w:t>
      </w:r>
      <w:r w:rsidR="003B3AD4" w:rsidRPr="003B3AD4">
        <w:rPr>
          <w:rFonts w:ascii="Times New Roman" w:hAnsi="Times New Roman" w:cs="Times New Roman"/>
          <w:i/>
          <w:sz w:val="24"/>
          <w:szCs w:val="24"/>
        </w:rPr>
        <w:t>Carbon Credits (Carbon Farming Initiative) Act 2011</w:t>
      </w:r>
      <w:r w:rsidRPr="00622E79">
        <w:rPr>
          <w:rFonts w:ascii="Times New Roman" w:hAnsi="Times New Roman" w:cs="Times New Roman"/>
          <w:sz w:val="24"/>
          <w:szCs w:val="24"/>
        </w:rPr>
        <w:t>.</w:t>
      </w:r>
    </w:p>
    <w:p w:rsidR="008C05B3" w:rsidRDefault="00922545">
      <w:pPr>
        <w:pStyle w:val="ListParagraph"/>
        <w:tabs>
          <w:tab w:val="left" w:pos="0"/>
        </w:tabs>
        <w:spacing w:after="240" w:line="240" w:lineRule="auto"/>
        <w:ind w:left="0"/>
        <w:rPr>
          <w:rFonts w:ascii="Times New Roman" w:hAnsi="Times New Roman" w:cs="Times New Roman"/>
          <w:sz w:val="24"/>
          <w:szCs w:val="24"/>
        </w:rPr>
      </w:pPr>
      <w:r>
        <w:rPr>
          <w:rFonts w:ascii="Times New Roman" w:hAnsi="Times New Roman" w:cs="Times New Roman"/>
          <w:sz w:val="24"/>
          <w:szCs w:val="24"/>
        </w:rPr>
        <w:t xml:space="preserve">The </w:t>
      </w:r>
      <w:r w:rsidRPr="00922545">
        <w:rPr>
          <w:rFonts w:ascii="Times New Roman" w:hAnsi="Times New Roman" w:cs="Times New Roman"/>
          <w:i/>
          <w:sz w:val="24"/>
          <w:szCs w:val="24"/>
        </w:rPr>
        <w:t>National Greenhouse and Energy Reporting (Audit) Amendment Determination 2015 (No. 1)</w:t>
      </w:r>
      <w:r>
        <w:rPr>
          <w:rFonts w:ascii="Times New Roman" w:hAnsi="Times New Roman" w:cs="Times New Roman"/>
          <w:sz w:val="24"/>
          <w:szCs w:val="24"/>
        </w:rPr>
        <w:t xml:space="preserve">    (A</w:t>
      </w:r>
      <w:r w:rsidR="00F61B43" w:rsidRPr="003C5FBF">
        <w:rPr>
          <w:rFonts w:ascii="Times New Roman" w:hAnsi="Times New Roman" w:cs="Times New Roman"/>
          <w:sz w:val="24"/>
          <w:szCs w:val="24"/>
        </w:rPr>
        <w:t>mendment Determination</w:t>
      </w:r>
      <w:r>
        <w:rPr>
          <w:rFonts w:ascii="Times New Roman" w:hAnsi="Times New Roman" w:cs="Times New Roman"/>
          <w:sz w:val="24"/>
          <w:szCs w:val="24"/>
        </w:rPr>
        <w:t>)</w:t>
      </w:r>
      <w:r w:rsidR="00F61B43" w:rsidRPr="003C5FBF">
        <w:rPr>
          <w:rFonts w:ascii="Times New Roman" w:hAnsi="Times New Roman" w:cs="Times New Roman"/>
          <w:sz w:val="24"/>
          <w:szCs w:val="24"/>
        </w:rPr>
        <w:t xml:space="preserve"> will replace the legacy term ‘CFI audits’ with ‘ERF audits’ (Schedule 1); and will introduce  safeguard audits into the NGER audit regime (Schedule 2).</w:t>
      </w:r>
    </w:p>
    <w:p w:rsidR="008C05B3" w:rsidRDefault="004517EE">
      <w:pPr>
        <w:pStyle w:val="ListParagraph"/>
        <w:tabs>
          <w:tab w:val="left" w:pos="0"/>
        </w:tabs>
        <w:spacing w:after="240" w:line="240" w:lineRule="auto"/>
        <w:ind w:left="0"/>
        <w:rPr>
          <w:rFonts w:ascii="Times New Roman" w:hAnsi="Times New Roman" w:cs="Times New Roman"/>
          <w:sz w:val="24"/>
          <w:szCs w:val="24"/>
        </w:rPr>
      </w:pPr>
      <w:r>
        <w:rPr>
          <w:rFonts w:ascii="Times New Roman" w:eastAsia="Times New Roman" w:hAnsi="Times New Roman" w:cs="Times New Roman"/>
          <w:color w:val="000000"/>
          <w:sz w:val="24"/>
          <w:szCs w:val="24"/>
          <w:lang w:eastAsia="en-AU"/>
        </w:rPr>
        <w:t>Details of the changes to the</w:t>
      </w:r>
      <w:r w:rsidR="000F04AF">
        <w:rPr>
          <w:rFonts w:ascii="Times New Roman" w:eastAsia="Times New Roman" w:hAnsi="Times New Roman" w:cs="Times New Roman"/>
          <w:color w:val="000000"/>
          <w:sz w:val="24"/>
          <w:szCs w:val="24"/>
          <w:lang w:eastAsia="en-AU"/>
        </w:rPr>
        <w:t xml:space="preserve"> Audit</w:t>
      </w:r>
      <w:r w:rsidR="00F61B43" w:rsidRPr="003C5FBF">
        <w:rPr>
          <w:rFonts w:ascii="Times New Roman" w:eastAsia="Times New Roman" w:hAnsi="Times New Roman" w:cs="Times New Roman"/>
          <w:color w:val="000000"/>
          <w:sz w:val="24"/>
          <w:szCs w:val="24"/>
          <w:lang w:eastAsia="en-AU"/>
        </w:rPr>
        <w:t xml:space="preserve"> Determination</w:t>
      </w:r>
      <w:r w:rsidR="00922545">
        <w:rPr>
          <w:rFonts w:ascii="Times New Roman" w:eastAsia="Times New Roman" w:hAnsi="Times New Roman" w:cs="Times New Roman"/>
          <w:color w:val="000000"/>
          <w:sz w:val="24"/>
          <w:szCs w:val="24"/>
          <w:lang w:eastAsia="en-AU"/>
        </w:rPr>
        <w:t xml:space="preserve"> proposed by the A</w:t>
      </w:r>
      <w:r>
        <w:rPr>
          <w:rFonts w:ascii="Times New Roman" w:eastAsia="Times New Roman" w:hAnsi="Times New Roman" w:cs="Times New Roman"/>
          <w:color w:val="000000"/>
          <w:sz w:val="24"/>
          <w:szCs w:val="24"/>
          <w:lang w:eastAsia="en-AU"/>
        </w:rPr>
        <w:t>mendment Determination</w:t>
      </w:r>
      <w:r w:rsidR="00F61B43" w:rsidRPr="003C5FBF">
        <w:rPr>
          <w:rFonts w:ascii="Times New Roman" w:eastAsia="Times New Roman" w:hAnsi="Times New Roman" w:cs="Times New Roman"/>
          <w:color w:val="000000"/>
          <w:sz w:val="24"/>
          <w:szCs w:val="24"/>
          <w:lang w:eastAsia="en-AU"/>
        </w:rPr>
        <w:t xml:space="preserve"> are set out in </w:t>
      </w:r>
      <w:r w:rsidR="00F61B43" w:rsidRPr="003C5FBF">
        <w:rPr>
          <w:rFonts w:ascii="Times New Roman" w:eastAsia="Times New Roman" w:hAnsi="Times New Roman" w:cs="Times New Roman"/>
          <w:color w:val="000000"/>
          <w:sz w:val="24"/>
          <w:szCs w:val="24"/>
          <w:u w:val="single"/>
          <w:lang w:eastAsia="en-AU"/>
        </w:rPr>
        <w:t>Attachment A</w:t>
      </w:r>
      <w:r w:rsidR="00F61B43" w:rsidRPr="003C5FBF">
        <w:rPr>
          <w:rFonts w:ascii="Times New Roman" w:eastAsia="Times New Roman" w:hAnsi="Times New Roman" w:cs="Times New Roman"/>
          <w:color w:val="000000"/>
          <w:sz w:val="24"/>
          <w:szCs w:val="24"/>
          <w:lang w:eastAsia="en-AU"/>
        </w:rPr>
        <w:t>.</w:t>
      </w:r>
    </w:p>
    <w:p w:rsidR="008C05B3" w:rsidRDefault="00F61B43">
      <w:pPr>
        <w:pStyle w:val="ListParagraph"/>
        <w:keepNext/>
        <w:tabs>
          <w:tab w:val="left" w:pos="0"/>
        </w:tabs>
        <w:spacing w:after="240" w:line="240" w:lineRule="auto"/>
        <w:ind w:left="0" w:right="91"/>
        <w:rPr>
          <w:rFonts w:ascii="Times New Roman" w:eastAsia="Times New Roman" w:hAnsi="Times New Roman" w:cs="Times New Roman"/>
          <w:sz w:val="24"/>
          <w:szCs w:val="24"/>
          <w:lang w:eastAsia="en-AU"/>
        </w:rPr>
      </w:pPr>
      <w:r w:rsidRPr="003C5FBF">
        <w:rPr>
          <w:rFonts w:ascii="Times New Roman" w:eastAsia="Times New Roman" w:hAnsi="Times New Roman" w:cs="Times New Roman"/>
          <w:sz w:val="24"/>
          <w:szCs w:val="24"/>
          <w:lang w:eastAsia="en-AU"/>
        </w:rPr>
        <w:lastRenderedPageBreak/>
        <w:t>The</w:t>
      </w:r>
      <w:r w:rsidR="00922545">
        <w:rPr>
          <w:rFonts w:ascii="Times New Roman" w:eastAsia="Times New Roman" w:hAnsi="Times New Roman" w:cs="Times New Roman"/>
          <w:sz w:val="24"/>
          <w:szCs w:val="24"/>
          <w:lang w:eastAsia="en-AU"/>
        </w:rPr>
        <w:t xml:space="preserve"> A</w:t>
      </w:r>
      <w:r w:rsidR="004517EE">
        <w:rPr>
          <w:rFonts w:ascii="Times New Roman" w:eastAsia="Times New Roman" w:hAnsi="Times New Roman" w:cs="Times New Roman"/>
          <w:sz w:val="24"/>
          <w:szCs w:val="24"/>
          <w:lang w:eastAsia="en-AU"/>
        </w:rPr>
        <w:t>mendment</w:t>
      </w:r>
      <w:r w:rsidRPr="003C5FBF">
        <w:rPr>
          <w:rFonts w:ascii="Times New Roman" w:eastAsia="Times New Roman" w:hAnsi="Times New Roman" w:cs="Times New Roman"/>
          <w:sz w:val="24"/>
          <w:szCs w:val="24"/>
          <w:lang w:eastAsia="en-AU"/>
        </w:rPr>
        <w:t xml:space="preserve"> </w:t>
      </w:r>
      <w:r w:rsidRPr="003C5FBF">
        <w:rPr>
          <w:rFonts w:ascii="Times New Roman" w:eastAsia="Times New Roman" w:hAnsi="Times New Roman" w:cs="Times New Roman"/>
          <w:color w:val="000000"/>
          <w:sz w:val="24"/>
          <w:szCs w:val="24"/>
          <w:lang w:eastAsia="en-AU"/>
        </w:rPr>
        <w:t>Determination</w:t>
      </w:r>
      <w:r w:rsidR="00922545">
        <w:rPr>
          <w:rFonts w:ascii="Times New Roman" w:eastAsia="Times New Roman" w:hAnsi="Times New Roman" w:cs="Times New Roman"/>
          <w:sz w:val="24"/>
          <w:szCs w:val="24"/>
          <w:lang w:eastAsia="en-AU"/>
        </w:rPr>
        <w:t xml:space="preserve"> will</w:t>
      </w:r>
      <w:r w:rsidRPr="003C5FBF">
        <w:rPr>
          <w:rFonts w:ascii="Times New Roman" w:eastAsia="Times New Roman" w:hAnsi="Times New Roman" w:cs="Times New Roman"/>
          <w:sz w:val="24"/>
          <w:szCs w:val="24"/>
          <w:lang w:eastAsia="en-AU"/>
        </w:rPr>
        <w:t xml:space="preserve"> be a legislative instrument for the purposes of the </w:t>
      </w:r>
      <w:r w:rsidRPr="003C5FBF">
        <w:rPr>
          <w:rFonts w:ascii="Times New Roman" w:eastAsia="Times New Roman" w:hAnsi="Times New Roman" w:cs="Times New Roman"/>
          <w:i/>
          <w:iCs/>
          <w:sz w:val="24"/>
          <w:szCs w:val="24"/>
          <w:lang w:eastAsia="en-AU"/>
        </w:rPr>
        <w:t>Legislative Instruments Act 2003</w:t>
      </w:r>
      <w:r w:rsidRPr="003C5FBF">
        <w:rPr>
          <w:rFonts w:ascii="Times New Roman" w:eastAsia="Times New Roman" w:hAnsi="Times New Roman" w:cs="Times New Roman"/>
          <w:sz w:val="24"/>
          <w:szCs w:val="24"/>
          <w:lang w:eastAsia="en-AU"/>
        </w:rPr>
        <w:t>.</w:t>
      </w:r>
      <w:r w:rsidR="003C5FBF">
        <w:rPr>
          <w:rFonts w:ascii="Times New Roman" w:eastAsia="Times New Roman" w:hAnsi="Times New Roman" w:cs="Times New Roman"/>
          <w:sz w:val="24"/>
          <w:szCs w:val="24"/>
          <w:lang w:eastAsia="en-AU"/>
        </w:rPr>
        <w:t xml:space="preserve"> </w:t>
      </w:r>
    </w:p>
    <w:p w:rsidR="008C05B3" w:rsidRDefault="00922545">
      <w:pPr>
        <w:pStyle w:val="ListParagraph"/>
        <w:tabs>
          <w:tab w:val="left" w:pos="0"/>
        </w:tabs>
        <w:spacing w:after="240" w:line="240" w:lineRule="auto"/>
        <w:ind w:left="0"/>
        <w:rPr>
          <w:rFonts w:ascii="Times New Roman" w:hAnsi="Times New Roman" w:cs="Times New Roman"/>
          <w:sz w:val="24"/>
          <w:szCs w:val="24"/>
        </w:rPr>
      </w:pPr>
      <w:r w:rsidRPr="004500EB">
        <w:rPr>
          <w:rFonts w:ascii="Times New Roman" w:hAnsi="Times New Roman" w:cs="Times New Roman"/>
          <w:sz w:val="24"/>
          <w:szCs w:val="24"/>
        </w:rPr>
        <w:t>Schedule 1</w:t>
      </w:r>
      <w:r>
        <w:rPr>
          <w:rFonts w:ascii="Times New Roman" w:hAnsi="Times New Roman" w:cs="Times New Roman"/>
          <w:sz w:val="24"/>
          <w:szCs w:val="24"/>
        </w:rPr>
        <w:t xml:space="preserve"> of the Amendment Determination will</w:t>
      </w:r>
      <w:r w:rsidRPr="00D10490">
        <w:rPr>
          <w:rFonts w:ascii="Times New Roman" w:hAnsi="Times New Roman" w:cs="Times New Roman"/>
          <w:sz w:val="24"/>
          <w:szCs w:val="24"/>
        </w:rPr>
        <w:t xml:space="preserve"> commence</w:t>
      </w:r>
      <w:r>
        <w:rPr>
          <w:rFonts w:ascii="Times New Roman" w:hAnsi="Times New Roman" w:cs="Times New Roman"/>
          <w:sz w:val="24"/>
          <w:szCs w:val="24"/>
        </w:rPr>
        <w:t xml:space="preserve"> on the day after the Amendment Determination is registered on the Federal Register of Legislative Instruments.</w:t>
      </w:r>
      <w:r w:rsidRPr="00922545">
        <w:rPr>
          <w:rFonts w:ascii="Times New Roman" w:hAnsi="Times New Roman" w:cs="Times New Roman"/>
          <w:sz w:val="24"/>
          <w:szCs w:val="24"/>
        </w:rPr>
        <w:t xml:space="preserve"> </w:t>
      </w:r>
      <w:r>
        <w:rPr>
          <w:rFonts w:ascii="Times New Roman" w:hAnsi="Times New Roman" w:cs="Times New Roman"/>
          <w:sz w:val="24"/>
          <w:szCs w:val="24"/>
        </w:rPr>
        <w:t>Schedule 2 of the Amendment Determination will</w:t>
      </w:r>
      <w:r w:rsidRPr="00D10490">
        <w:rPr>
          <w:rFonts w:ascii="Times New Roman" w:hAnsi="Times New Roman" w:cs="Times New Roman"/>
          <w:sz w:val="24"/>
          <w:szCs w:val="24"/>
        </w:rPr>
        <w:t xml:space="preserve"> commence</w:t>
      </w:r>
      <w:r>
        <w:rPr>
          <w:rFonts w:ascii="Times New Roman" w:hAnsi="Times New Roman" w:cs="Times New Roman"/>
          <w:sz w:val="24"/>
          <w:szCs w:val="24"/>
        </w:rPr>
        <w:t xml:space="preserve"> on 1 July 2016, when the amendments to the NGER Act which give effect to the safeguard mechanism also commence.</w:t>
      </w:r>
    </w:p>
    <w:p w:rsidR="00B245D1" w:rsidRPr="00B245D1" w:rsidRDefault="007140E2" w:rsidP="00B245D1">
      <w:pPr>
        <w:pStyle w:val="ListParagraph"/>
        <w:tabs>
          <w:tab w:val="left" w:pos="0"/>
        </w:tabs>
        <w:spacing w:after="240" w:line="240" w:lineRule="auto"/>
        <w:ind w:left="0" w:right="91"/>
        <w:rPr>
          <w:rFonts w:ascii="Times New Roman" w:eastAsia="Times New Roman" w:hAnsi="Times New Roman" w:cs="Times New Roman"/>
          <w:sz w:val="24"/>
          <w:szCs w:val="24"/>
          <w:lang w:eastAsia="en-AU"/>
        </w:rPr>
      </w:pPr>
      <w:r w:rsidRPr="00B245D1">
        <w:rPr>
          <w:rFonts w:ascii="Times New Roman" w:hAnsi="Times New Roman" w:cs="Times New Roman"/>
          <w:b/>
          <w:sz w:val="24"/>
          <w:szCs w:val="24"/>
        </w:rPr>
        <w:t>Background to the Safeguard Mechanism</w:t>
      </w:r>
    </w:p>
    <w:p w:rsidR="008C05B3" w:rsidRDefault="00C47906">
      <w:pPr>
        <w:pStyle w:val="ListParagraph"/>
        <w:tabs>
          <w:tab w:val="left" w:pos="0"/>
        </w:tabs>
        <w:spacing w:after="240" w:line="240" w:lineRule="auto"/>
        <w:ind w:left="0" w:right="91"/>
        <w:rPr>
          <w:rFonts w:ascii="Times New Roman" w:hAnsi="Times New Roman" w:cs="Times New Roman"/>
          <w:sz w:val="24"/>
          <w:szCs w:val="24"/>
        </w:rPr>
      </w:pPr>
      <w:r w:rsidRPr="00B245D1">
        <w:rPr>
          <w:rFonts w:ascii="Times New Roman" w:hAnsi="Times New Roman" w:cs="Times New Roman"/>
          <w:sz w:val="24"/>
          <w:szCs w:val="24"/>
        </w:rPr>
        <w:t>The Emissions Reduction Fund is the centrepiece of the Australian Government’s efforts to reduce emissions. Its primary objective is to assist Australia to meet its emissions reduction target of five per cent below 2000 levels by 2020,</w:t>
      </w:r>
      <w:r w:rsidR="00491C4A" w:rsidRPr="00491C4A">
        <w:rPr>
          <w:sz w:val="24"/>
          <w:szCs w:val="24"/>
        </w:rPr>
        <w:t xml:space="preserve"> </w:t>
      </w:r>
      <w:r w:rsidR="003B3AD4" w:rsidRPr="003B3AD4">
        <w:rPr>
          <w:rFonts w:ascii="Times New Roman" w:hAnsi="Times New Roman" w:cs="Times New Roman"/>
          <w:sz w:val="24"/>
          <w:szCs w:val="24"/>
        </w:rPr>
        <w:t>and 26 to 28 per cent below 2005 levels by 2030</w:t>
      </w:r>
      <w:r w:rsidRPr="00B245D1">
        <w:rPr>
          <w:rFonts w:ascii="Times New Roman" w:hAnsi="Times New Roman" w:cs="Times New Roman"/>
          <w:sz w:val="24"/>
          <w:szCs w:val="24"/>
        </w:rPr>
        <w:t xml:space="preserve"> consistent with its international obligations under the United Nations Framework Convention on Climate Change and its Kyoto Protocol. </w:t>
      </w:r>
    </w:p>
    <w:p w:rsidR="008C05B3" w:rsidRDefault="00C47906">
      <w:pPr>
        <w:pStyle w:val="ListParagraph"/>
        <w:tabs>
          <w:tab w:val="left" w:pos="0"/>
        </w:tabs>
        <w:spacing w:after="240" w:line="240" w:lineRule="auto"/>
        <w:ind w:left="0" w:right="91"/>
        <w:rPr>
          <w:rFonts w:ascii="Times New Roman" w:hAnsi="Times New Roman" w:cs="Times New Roman"/>
          <w:sz w:val="24"/>
          <w:szCs w:val="24"/>
        </w:rPr>
      </w:pPr>
      <w:r w:rsidRPr="00642859">
        <w:rPr>
          <w:rFonts w:ascii="Times New Roman" w:hAnsi="Times New Roman" w:cs="Times New Roman"/>
          <w:sz w:val="24"/>
          <w:szCs w:val="24"/>
        </w:rPr>
        <w:t>The Emissions Reduction Fund purchases emissions reductions at lowest cost.</w:t>
      </w:r>
      <w:r w:rsidR="00B1796A">
        <w:rPr>
          <w:rFonts w:ascii="Times New Roman" w:hAnsi="Times New Roman" w:cs="Times New Roman"/>
          <w:sz w:val="24"/>
          <w:szCs w:val="24"/>
        </w:rPr>
        <w:t xml:space="preserve"> To </w:t>
      </w:r>
      <w:r w:rsidR="00592303">
        <w:rPr>
          <w:rFonts w:ascii="Times New Roman" w:hAnsi="Times New Roman" w:cs="Times New Roman"/>
          <w:sz w:val="24"/>
          <w:szCs w:val="24"/>
        </w:rPr>
        <w:t xml:space="preserve">protect taxpayer funds the Government will implement a safeguard mechanism to </w:t>
      </w:r>
      <w:r w:rsidR="00B1796A">
        <w:rPr>
          <w:rFonts w:ascii="Times New Roman" w:hAnsi="Times New Roman" w:cs="Times New Roman"/>
          <w:sz w:val="24"/>
          <w:szCs w:val="24"/>
        </w:rPr>
        <w:t xml:space="preserve">ensure that emissions reductions purchased through the Emissions Reduction Fund are not displaced by a significant rise in emissions above business-as-usual levels elsewhere in the economy. </w:t>
      </w:r>
      <w:r w:rsidR="00592303">
        <w:rPr>
          <w:rFonts w:ascii="Times New Roman" w:hAnsi="Times New Roman" w:cs="Times New Roman"/>
          <w:sz w:val="24"/>
          <w:szCs w:val="24"/>
        </w:rPr>
        <w:t>It will do this</w:t>
      </w:r>
      <w:r w:rsidR="00B1796A">
        <w:rPr>
          <w:rFonts w:ascii="Times New Roman" w:hAnsi="Times New Roman" w:cs="Times New Roman"/>
          <w:sz w:val="24"/>
          <w:szCs w:val="24"/>
        </w:rPr>
        <w:t xml:space="preserve"> by requiring large emitting facilities to keep their emissions within baseline levels.</w:t>
      </w:r>
      <w:r w:rsidRPr="00642859">
        <w:rPr>
          <w:rFonts w:ascii="Times New Roman" w:hAnsi="Times New Roman" w:cs="Times New Roman"/>
          <w:sz w:val="24"/>
          <w:szCs w:val="24"/>
        </w:rPr>
        <w:t xml:space="preserve"> </w:t>
      </w:r>
    </w:p>
    <w:p w:rsidR="00B245D1" w:rsidRPr="00642859" w:rsidRDefault="00DB5D56" w:rsidP="00642859">
      <w:pPr>
        <w:pStyle w:val="ListParagraph"/>
        <w:tabs>
          <w:tab w:val="left" w:pos="0"/>
        </w:tabs>
        <w:spacing w:after="240" w:line="240" w:lineRule="auto"/>
        <w:ind w:left="0" w:right="91"/>
        <w:rPr>
          <w:rFonts w:ascii="Times New Roman" w:hAnsi="Times New Roman" w:cs="Times New Roman"/>
          <w:sz w:val="24"/>
          <w:szCs w:val="24"/>
        </w:rPr>
      </w:pPr>
      <w:r w:rsidRPr="00642859">
        <w:rPr>
          <w:rFonts w:ascii="Times New Roman" w:hAnsi="Times New Roman" w:cs="Times New Roman"/>
          <w:b/>
          <w:sz w:val="24"/>
          <w:szCs w:val="24"/>
        </w:rPr>
        <w:t>Consultation</w:t>
      </w:r>
      <w:r w:rsidR="00B245D1" w:rsidRPr="00642859">
        <w:rPr>
          <w:rFonts w:ascii="Times New Roman" w:hAnsi="Times New Roman" w:cs="Times New Roman"/>
          <w:b/>
          <w:sz w:val="24"/>
          <w:szCs w:val="24"/>
        </w:rPr>
        <w:t xml:space="preserve"> </w:t>
      </w:r>
    </w:p>
    <w:p w:rsidR="008C05B3" w:rsidRDefault="00DB5D56">
      <w:pPr>
        <w:pStyle w:val="ListParagraph"/>
        <w:tabs>
          <w:tab w:val="left" w:pos="0"/>
        </w:tabs>
        <w:spacing w:after="240" w:line="240" w:lineRule="auto"/>
        <w:ind w:left="0" w:right="91"/>
        <w:rPr>
          <w:rFonts w:ascii="Times New Roman" w:hAnsi="Times New Roman" w:cs="Times New Roman"/>
          <w:sz w:val="24"/>
          <w:szCs w:val="24"/>
        </w:rPr>
      </w:pPr>
      <w:r w:rsidRPr="00B245D1">
        <w:rPr>
          <w:rFonts w:ascii="Times New Roman" w:hAnsi="Times New Roman" w:cs="Times New Roman"/>
          <w:sz w:val="24"/>
          <w:szCs w:val="24"/>
        </w:rPr>
        <w:t>The Government has consulted widely on the safeguard mechanism</w:t>
      </w:r>
      <w:r w:rsidR="004F07B5">
        <w:rPr>
          <w:rFonts w:ascii="Times New Roman" w:hAnsi="Times New Roman" w:cs="Times New Roman"/>
          <w:sz w:val="24"/>
          <w:szCs w:val="24"/>
        </w:rPr>
        <w:t>’</w:t>
      </w:r>
      <w:r w:rsidRPr="00B245D1">
        <w:rPr>
          <w:rFonts w:ascii="Times New Roman" w:hAnsi="Times New Roman" w:cs="Times New Roman"/>
          <w:sz w:val="24"/>
          <w:szCs w:val="24"/>
        </w:rPr>
        <w:t xml:space="preserve">s design. Terms of reference were consulted on in October 2013, followed by a Green Paper in December 2013 </w:t>
      </w:r>
      <w:r w:rsidR="004F07B5">
        <w:rPr>
          <w:rFonts w:ascii="Times New Roman" w:hAnsi="Times New Roman" w:cs="Times New Roman"/>
          <w:sz w:val="24"/>
          <w:szCs w:val="24"/>
        </w:rPr>
        <w:t xml:space="preserve">leading to release of </w:t>
      </w:r>
      <w:r w:rsidRPr="00B245D1">
        <w:rPr>
          <w:rFonts w:ascii="Times New Roman" w:hAnsi="Times New Roman" w:cs="Times New Roman"/>
          <w:sz w:val="24"/>
          <w:szCs w:val="24"/>
        </w:rPr>
        <w:t xml:space="preserve">a White Paper in April 2014. The Government announced a number of important policy decisions on the safeguard mechanism in the White Paper. During passage of the Carbon Farming Initiative Amendment Bill through Parliament, amendments were made to the </w:t>
      </w:r>
      <w:r w:rsidR="007140E2" w:rsidRPr="00B245D1">
        <w:rPr>
          <w:rFonts w:ascii="Times New Roman" w:hAnsi="Times New Roman" w:cs="Times New Roman"/>
          <w:sz w:val="24"/>
          <w:szCs w:val="24"/>
        </w:rPr>
        <w:t>NGER Act</w:t>
      </w:r>
      <w:r w:rsidR="003C7D5E">
        <w:rPr>
          <w:rFonts w:ascii="Times New Roman" w:hAnsi="Times New Roman" w:cs="Times New Roman"/>
          <w:sz w:val="24"/>
          <w:szCs w:val="24"/>
        </w:rPr>
        <w:t>.</w:t>
      </w:r>
      <w:r w:rsidRPr="00B245D1">
        <w:rPr>
          <w:rFonts w:ascii="Times New Roman" w:hAnsi="Times New Roman" w:cs="Times New Roman"/>
          <w:sz w:val="24"/>
          <w:szCs w:val="24"/>
        </w:rPr>
        <w:t xml:space="preserve"> These established a </w:t>
      </w:r>
      <w:r w:rsidR="002E01E1">
        <w:rPr>
          <w:rFonts w:ascii="Times New Roman" w:hAnsi="Times New Roman" w:cs="Times New Roman"/>
          <w:sz w:val="24"/>
          <w:szCs w:val="24"/>
        </w:rPr>
        <w:t>legislative framework</w:t>
      </w:r>
      <w:r w:rsidRPr="00B245D1">
        <w:rPr>
          <w:rFonts w:ascii="Times New Roman" w:hAnsi="Times New Roman" w:cs="Times New Roman"/>
          <w:sz w:val="24"/>
          <w:szCs w:val="24"/>
        </w:rPr>
        <w:t xml:space="preserve"> for the safeguard mechanism and enabled final design elements to be implemented through legislative rules.</w:t>
      </w:r>
    </w:p>
    <w:p w:rsidR="008C05B3" w:rsidRDefault="00DB5D56">
      <w:pPr>
        <w:pStyle w:val="ListParagraph"/>
        <w:tabs>
          <w:tab w:val="left" w:pos="0"/>
        </w:tabs>
        <w:spacing w:after="240" w:line="240" w:lineRule="auto"/>
        <w:ind w:left="0" w:right="91"/>
        <w:rPr>
          <w:rFonts w:ascii="Times New Roman" w:hAnsi="Times New Roman" w:cs="Times New Roman"/>
          <w:sz w:val="24"/>
          <w:szCs w:val="24"/>
        </w:rPr>
      </w:pPr>
      <w:r w:rsidRPr="00B245D1">
        <w:rPr>
          <w:rFonts w:ascii="Times New Roman" w:hAnsi="Times New Roman" w:cs="Times New Roman"/>
          <w:sz w:val="24"/>
          <w:szCs w:val="24"/>
        </w:rPr>
        <w:t xml:space="preserve">A Regulation Impact Statement was prepared that explores options for the remaining design decisions pertaining to the safeguard mechanism, that is those design elements not decided in either the Act or the White Paper. It also includes estimates of the regulatory burden arising from the introduction of the safeguard mechanism to inform the Government’s final decision on its design. </w:t>
      </w:r>
    </w:p>
    <w:p w:rsidR="008C05B3" w:rsidRDefault="00B47CB2">
      <w:pPr>
        <w:pStyle w:val="ListParagraph"/>
        <w:tabs>
          <w:tab w:val="left" w:pos="0"/>
        </w:tabs>
        <w:spacing w:after="240" w:line="240" w:lineRule="auto"/>
        <w:ind w:left="0" w:right="91"/>
        <w:rPr>
          <w:rFonts w:ascii="Times New Roman" w:hAnsi="Times New Roman" w:cs="Times New Roman"/>
          <w:sz w:val="24"/>
          <w:szCs w:val="24"/>
        </w:rPr>
      </w:pPr>
      <w:r>
        <w:rPr>
          <w:rFonts w:ascii="Times New Roman" w:hAnsi="Times New Roman" w:cs="Times New Roman"/>
          <w:sz w:val="24"/>
          <w:szCs w:val="24"/>
        </w:rPr>
        <w:t>Public consultation was</w:t>
      </w:r>
      <w:r w:rsidR="00DB5D56" w:rsidRPr="00B245D1">
        <w:rPr>
          <w:rFonts w:ascii="Times New Roman" w:hAnsi="Times New Roman" w:cs="Times New Roman"/>
          <w:sz w:val="24"/>
          <w:szCs w:val="24"/>
        </w:rPr>
        <w:t xml:space="preserve"> undertaken in September 2015 on the exp</w:t>
      </w:r>
      <w:r>
        <w:rPr>
          <w:rFonts w:ascii="Times New Roman" w:hAnsi="Times New Roman" w:cs="Times New Roman"/>
          <w:sz w:val="24"/>
          <w:szCs w:val="24"/>
        </w:rPr>
        <w:t>osure</w:t>
      </w:r>
      <w:r w:rsidR="000F04AF">
        <w:rPr>
          <w:rFonts w:ascii="Times New Roman" w:hAnsi="Times New Roman" w:cs="Times New Roman"/>
          <w:sz w:val="24"/>
          <w:szCs w:val="24"/>
        </w:rPr>
        <w:t xml:space="preserve"> Amendment Determination</w:t>
      </w:r>
      <w:r w:rsidR="003C7D5E">
        <w:rPr>
          <w:rFonts w:ascii="Times New Roman" w:hAnsi="Times New Roman" w:cs="Times New Roman"/>
          <w:sz w:val="24"/>
          <w:szCs w:val="24"/>
        </w:rPr>
        <w:t>. This</w:t>
      </w:r>
      <w:r>
        <w:rPr>
          <w:rFonts w:ascii="Times New Roman" w:hAnsi="Times New Roman" w:cs="Times New Roman"/>
          <w:sz w:val="24"/>
          <w:szCs w:val="24"/>
        </w:rPr>
        <w:t xml:space="preserve"> Explanatory Statement</w:t>
      </w:r>
      <w:r w:rsidR="00DB5D56" w:rsidRPr="00B245D1">
        <w:rPr>
          <w:rFonts w:ascii="Times New Roman" w:hAnsi="Times New Roman" w:cs="Times New Roman"/>
          <w:sz w:val="24"/>
          <w:szCs w:val="24"/>
        </w:rPr>
        <w:t xml:space="preserve"> inform</w:t>
      </w:r>
      <w:r>
        <w:rPr>
          <w:rFonts w:ascii="Times New Roman" w:hAnsi="Times New Roman" w:cs="Times New Roman"/>
          <w:sz w:val="24"/>
          <w:szCs w:val="24"/>
        </w:rPr>
        <w:t>ed that</w:t>
      </w:r>
      <w:r w:rsidR="00DB5D56" w:rsidRPr="00B245D1">
        <w:rPr>
          <w:rFonts w:ascii="Times New Roman" w:hAnsi="Times New Roman" w:cs="Times New Roman"/>
          <w:sz w:val="24"/>
          <w:szCs w:val="24"/>
        </w:rPr>
        <w:t xml:space="preserve"> consultation.</w:t>
      </w:r>
    </w:p>
    <w:p w:rsidR="003E5316" w:rsidRPr="00D62FE7" w:rsidRDefault="001E166D" w:rsidP="00D62FE7">
      <w:pPr>
        <w:spacing w:before="120" w:after="120" w:line="240" w:lineRule="auto"/>
        <w:jc w:val="right"/>
        <w:rPr>
          <w:rFonts w:ascii="Times New Roman" w:hAnsi="Times New Roman" w:cs="Times New Roman"/>
          <w:b/>
          <w:bCs/>
          <w:sz w:val="24"/>
          <w:szCs w:val="24"/>
          <w:u w:val="single"/>
        </w:rPr>
      </w:pPr>
      <w:r w:rsidRPr="00D62FE7">
        <w:rPr>
          <w:rFonts w:ascii="Times New Roman" w:hAnsi="Times New Roman" w:cs="Times New Roman"/>
          <w:b/>
          <w:bCs/>
          <w:i/>
          <w:iCs/>
          <w:sz w:val="24"/>
          <w:szCs w:val="24"/>
        </w:rPr>
        <w:br w:type="page"/>
      </w:r>
      <w:r w:rsidR="00901A8B" w:rsidRPr="00D62FE7">
        <w:rPr>
          <w:rFonts w:ascii="Times New Roman" w:hAnsi="Times New Roman" w:cs="Times New Roman"/>
          <w:b/>
          <w:bCs/>
          <w:sz w:val="24"/>
          <w:szCs w:val="24"/>
          <w:u w:val="single"/>
        </w:rPr>
        <w:lastRenderedPageBreak/>
        <w:t>ATTACHMENT A</w:t>
      </w:r>
    </w:p>
    <w:p w:rsidR="00D64750" w:rsidRPr="00D64750" w:rsidRDefault="00D62FE7" w:rsidP="00D64750">
      <w:pPr>
        <w:spacing w:before="120" w:after="120" w:line="240" w:lineRule="auto"/>
        <w:ind w:right="91"/>
        <w:rPr>
          <w:rFonts w:ascii="Times New Roman" w:hAnsi="Times New Roman" w:cs="Times New Roman"/>
          <w:b/>
          <w:i/>
          <w:iCs/>
          <w:sz w:val="24"/>
          <w:szCs w:val="24"/>
          <w:u w:val="single"/>
        </w:rPr>
      </w:pPr>
      <w:r w:rsidRPr="00D62FE7">
        <w:rPr>
          <w:rFonts w:ascii="Times New Roman" w:hAnsi="Times New Roman" w:cs="Times New Roman"/>
          <w:b/>
          <w:sz w:val="24"/>
          <w:szCs w:val="24"/>
          <w:u w:val="single"/>
        </w:rPr>
        <w:t xml:space="preserve">Details of the </w:t>
      </w:r>
      <w:r w:rsidR="003C5E95">
        <w:rPr>
          <w:rFonts w:ascii="Times New Roman" w:hAnsi="Times New Roman" w:cs="Times New Roman"/>
          <w:b/>
          <w:sz w:val="24"/>
          <w:szCs w:val="24"/>
          <w:u w:val="single"/>
        </w:rPr>
        <w:t xml:space="preserve">sections in the </w:t>
      </w:r>
      <w:r w:rsidR="00D64750" w:rsidRPr="00D64750">
        <w:rPr>
          <w:rFonts w:ascii="Times New Roman" w:hAnsi="Times New Roman" w:cs="Times New Roman"/>
          <w:b/>
          <w:i/>
          <w:iCs/>
          <w:sz w:val="24"/>
          <w:szCs w:val="24"/>
          <w:u w:val="single"/>
        </w:rPr>
        <w:t xml:space="preserve">National Greenhouse and Energy Reporting </w:t>
      </w:r>
      <w:r w:rsidR="00F83982">
        <w:rPr>
          <w:rFonts w:ascii="Times New Roman" w:hAnsi="Times New Roman" w:cs="Times New Roman"/>
          <w:b/>
          <w:i/>
          <w:iCs/>
          <w:sz w:val="24"/>
          <w:szCs w:val="24"/>
          <w:u w:val="single"/>
        </w:rPr>
        <w:t xml:space="preserve">(Audit) </w:t>
      </w:r>
      <w:r w:rsidR="00ED1886">
        <w:rPr>
          <w:rFonts w:ascii="Times New Roman" w:hAnsi="Times New Roman" w:cs="Times New Roman"/>
          <w:b/>
          <w:i/>
          <w:iCs/>
          <w:sz w:val="24"/>
          <w:szCs w:val="24"/>
          <w:u w:val="single"/>
        </w:rPr>
        <w:t xml:space="preserve">Amendment </w:t>
      </w:r>
      <w:r w:rsidR="00F83982">
        <w:rPr>
          <w:rFonts w:ascii="Times New Roman" w:hAnsi="Times New Roman" w:cs="Times New Roman"/>
          <w:b/>
          <w:i/>
          <w:iCs/>
          <w:sz w:val="24"/>
          <w:szCs w:val="24"/>
          <w:u w:val="single"/>
        </w:rPr>
        <w:t xml:space="preserve">Determination </w:t>
      </w:r>
      <w:r w:rsidR="00ED1886">
        <w:rPr>
          <w:rFonts w:ascii="Times New Roman" w:hAnsi="Times New Roman" w:cs="Times New Roman"/>
          <w:b/>
          <w:i/>
          <w:iCs/>
          <w:sz w:val="24"/>
          <w:szCs w:val="24"/>
          <w:u w:val="single"/>
        </w:rPr>
        <w:t>2015</w:t>
      </w:r>
      <w:r w:rsidR="00F83982">
        <w:rPr>
          <w:rFonts w:ascii="Times New Roman" w:hAnsi="Times New Roman" w:cs="Times New Roman"/>
          <w:b/>
          <w:i/>
          <w:iCs/>
          <w:sz w:val="24"/>
          <w:szCs w:val="24"/>
          <w:u w:val="single"/>
        </w:rPr>
        <w:t xml:space="preserve"> (No.1 )</w:t>
      </w:r>
    </w:p>
    <w:p w:rsidR="00D62FE7" w:rsidRPr="00D62FE7" w:rsidRDefault="00D62FE7" w:rsidP="00D62FE7">
      <w:pPr>
        <w:spacing w:before="120" w:after="120" w:line="240" w:lineRule="auto"/>
        <w:ind w:right="91"/>
        <w:rPr>
          <w:rFonts w:ascii="Times New Roman" w:hAnsi="Times New Roman" w:cs="Times New Roman"/>
          <w:sz w:val="24"/>
          <w:szCs w:val="24"/>
        </w:rPr>
      </w:pPr>
      <w:r w:rsidRPr="00D62FE7">
        <w:rPr>
          <w:rFonts w:ascii="Times New Roman" w:hAnsi="Times New Roman" w:cs="Times New Roman"/>
          <w:sz w:val="24"/>
          <w:szCs w:val="24"/>
          <w:u w:val="single"/>
        </w:rPr>
        <w:t xml:space="preserve">Section 1 – Name </w:t>
      </w:r>
    </w:p>
    <w:p w:rsidR="00D62FE7" w:rsidRPr="00D64750" w:rsidRDefault="003C5E95" w:rsidP="00676B54">
      <w:pPr>
        <w:pStyle w:val="ListParagraph"/>
        <w:numPr>
          <w:ilvl w:val="1"/>
          <w:numId w:val="24"/>
        </w:numPr>
        <w:tabs>
          <w:tab w:val="left" w:pos="0"/>
        </w:tabs>
        <w:spacing w:after="240" w:line="240" w:lineRule="auto"/>
        <w:ind w:left="0" w:firstLine="0"/>
        <w:rPr>
          <w:rFonts w:ascii="Times New Roman" w:hAnsi="Times New Roman" w:cs="Times New Roman"/>
          <w:i/>
          <w:iCs/>
          <w:sz w:val="24"/>
          <w:szCs w:val="24"/>
        </w:rPr>
      </w:pPr>
      <w:r>
        <w:rPr>
          <w:rFonts w:ascii="Times New Roman" w:hAnsi="Times New Roman" w:cs="Times New Roman"/>
          <w:sz w:val="24"/>
          <w:szCs w:val="24"/>
        </w:rPr>
        <w:t>Section 1</w:t>
      </w:r>
      <w:r w:rsidR="00D62FE7" w:rsidRPr="00D62FE7">
        <w:rPr>
          <w:rFonts w:ascii="Times New Roman" w:hAnsi="Times New Roman" w:cs="Times New Roman"/>
          <w:sz w:val="24"/>
          <w:szCs w:val="24"/>
        </w:rPr>
        <w:t xml:space="preserve"> provide</w:t>
      </w:r>
      <w:r>
        <w:rPr>
          <w:rFonts w:ascii="Times New Roman" w:hAnsi="Times New Roman" w:cs="Times New Roman"/>
          <w:sz w:val="24"/>
          <w:szCs w:val="24"/>
        </w:rPr>
        <w:t>s</w:t>
      </w:r>
      <w:r w:rsidR="00D62FE7" w:rsidRPr="00D62FE7">
        <w:rPr>
          <w:rFonts w:ascii="Times New Roman" w:hAnsi="Times New Roman" w:cs="Times New Roman"/>
          <w:sz w:val="24"/>
          <w:szCs w:val="24"/>
        </w:rPr>
        <w:t xml:space="preserve"> that the ti</w:t>
      </w:r>
      <w:r w:rsidR="00665C8B">
        <w:rPr>
          <w:rFonts w:ascii="Times New Roman" w:hAnsi="Times New Roman" w:cs="Times New Roman"/>
          <w:sz w:val="24"/>
          <w:szCs w:val="24"/>
        </w:rPr>
        <w:t>tle of the Amendment Determination</w:t>
      </w:r>
      <w:r w:rsidR="00D62FE7" w:rsidRPr="00D62FE7">
        <w:rPr>
          <w:rFonts w:ascii="Times New Roman" w:hAnsi="Times New Roman" w:cs="Times New Roman"/>
          <w:sz w:val="24"/>
          <w:szCs w:val="24"/>
        </w:rPr>
        <w:t xml:space="preserve"> is the </w:t>
      </w:r>
      <w:r w:rsidR="00EE0545" w:rsidRPr="00F83982">
        <w:rPr>
          <w:rFonts w:ascii="Times New Roman" w:hAnsi="Times New Roman" w:cs="Times New Roman"/>
          <w:i/>
          <w:iCs/>
          <w:sz w:val="24"/>
          <w:szCs w:val="24"/>
        </w:rPr>
        <w:t>National Greenhouse and Energy Reporting (Audit) Amendment Determination 2015 (No</w:t>
      </w:r>
      <w:r w:rsidR="00EE0545">
        <w:rPr>
          <w:rFonts w:ascii="Times New Roman" w:hAnsi="Times New Roman" w:cs="Times New Roman"/>
          <w:i/>
          <w:iCs/>
          <w:sz w:val="24"/>
          <w:szCs w:val="24"/>
        </w:rPr>
        <w:t>.  1)</w:t>
      </w:r>
      <w:r w:rsidR="00D62FE7" w:rsidRPr="00D62FE7">
        <w:rPr>
          <w:rFonts w:ascii="Times New Roman" w:hAnsi="Times New Roman" w:cs="Times New Roman"/>
          <w:i/>
          <w:sz w:val="24"/>
          <w:szCs w:val="24"/>
        </w:rPr>
        <w:t>.</w:t>
      </w:r>
    </w:p>
    <w:p w:rsidR="00D62FE7" w:rsidRPr="00531D39" w:rsidRDefault="00D62FE7" w:rsidP="00264714">
      <w:pPr>
        <w:spacing w:before="120" w:after="120" w:line="240" w:lineRule="auto"/>
        <w:ind w:right="91"/>
        <w:rPr>
          <w:rFonts w:ascii="Times New Roman" w:hAnsi="Times New Roman" w:cs="Times New Roman"/>
          <w:sz w:val="24"/>
          <w:szCs w:val="24"/>
          <w:u w:val="single"/>
        </w:rPr>
      </w:pPr>
      <w:r w:rsidRPr="00D62FE7">
        <w:rPr>
          <w:rFonts w:ascii="Times New Roman" w:hAnsi="Times New Roman" w:cs="Times New Roman"/>
          <w:sz w:val="24"/>
          <w:szCs w:val="24"/>
          <w:u w:val="single"/>
        </w:rPr>
        <w:t>Section 2 – Commencement</w:t>
      </w:r>
    </w:p>
    <w:p w:rsidR="005B47ED" w:rsidRDefault="003C5E95" w:rsidP="00676B54">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sidRPr="00D10490">
        <w:rPr>
          <w:rFonts w:ascii="Times New Roman" w:hAnsi="Times New Roman" w:cs="Times New Roman"/>
          <w:sz w:val="24"/>
          <w:szCs w:val="24"/>
        </w:rPr>
        <w:t>Section 2</w:t>
      </w:r>
      <w:r w:rsidR="00D62FE7" w:rsidRPr="00D10490">
        <w:rPr>
          <w:rFonts w:ascii="Times New Roman" w:hAnsi="Times New Roman" w:cs="Times New Roman"/>
          <w:sz w:val="24"/>
          <w:szCs w:val="24"/>
        </w:rPr>
        <w:t xml:space="preserve"> provide</w:t>
      </w:r>
      <w:r w:rsidRPr="00D10490">
        <w:rPr>
          <w:rFonts w:ascii="Times New Roman" w:hAnsi="Times New Roman" w:cs="Times New Roman"/>
          <w:sz w:val="24"/>
          <w:szCs w:val="24"/>
        </w:rPr>
        <w:t>s</w:t>
      </w:r>
      <w:r w:rsidR="00D62FE7" w:rsidRPr="00D10490">
        <w:rPr>
          <w:rFonts w:ascii="Times New Roman" w:hAnsi="Times New Roman" w:cs="Times New Roman"/>
          <w:sz w:val="24"/>
          <w:szCs w:val="24"/>
        </w:rPr>
        <w:t xml:space="preserve"> for </w:t>
      </w:r>
      <w:r w:rsidR="004500EB" w:rsidRPr="004500EB">
        <w:rPr>
          <w:rFonts w:ascii="Times New Roman" w:hAnsi="Times New Roman" w:cs="Times New Roman"/>
          <w:sz w:val="24"/>
          <w:szCs w:val="24"/>
        </w:rPr>
        <w:t>Schedule 1</w:t>
      </w:r>
      <w:r w:rsidR="00AA2D6A">
        <w:rPr>
          <w:rFonts w:ascii="Times New Roman" w:hAnsi="Times New Roman" w:cs="Times New Roman"/>
          <w:sz w:val="24"/>
          <w:szCs w:val="24"/>
        </w:rPr>
        <w:t xml:space="preserve"> of the A</w:t>
      </w:r>
      <w:r w:rsidR="007314F5">
        <w:rPr>
          <w:rFonts w:ascii="Times New Roman" w:hAnsi="Times New Roman" w:cs="Times New Roman"/>
          <w:sz w:val="24"/>
          <w:szCs w:val="24"/>
        </w:rPr>
        <w:t xml:space="preserve">mendment </w:t>
      </w:r>
      <w:r w:rsidR="009040A5">
        <w:rPr>
          <w:rFonts w:ascii="Times New Roman" w:hAnsi="Times New Roman" w:cs="Times New Roman"/>
          <w:sz w:val="24"/>
          <w:szCs w:val="24"/>
        </w:rPr>
        <w:t>Determination</w:t>
      </w:r>
      <w:r w:rsidR="00D62FE7" w:rsidRPr="00D10490">
        <w:rPr>
          <w:rFonts w:ascii="Times New Roman" w:hAnsi="Times New Roman" w:cs="Times New Roman"/>
          <w:sz w:val="24"/>
          <w:szCs w:val="24"/>
        </w:rPr>
        <w:t xml:space="preserve"> to commence</w:t>
      </w:r>
      <w:r w:rsidR="00AA2D6A">
        <w:rPr>
          <w:rFonts w:ascii="Times New Roman" w:hAnsi="Times New Roman" w:cs="Times New Roman"/>
          <w:sz w:val="24"/>
          <w:szCs w:val="24"/>
        </w:rPr>
        <w:t xml:space="preserve"> on the day after the A</w:t>
      </w:r>
      <w:r w:rsidR="005B47ED">
        <w:rPr>
          <w:rFonts w:ascii="Times New Roman" w:hAnsi="Times New Roman" w:cs="Times New Roman"/>
          <w:sz w:val="24"/>
          <w:szCs w:val="24"/>
        </w:rPr>
        <w:t xml:space="preserve">mendment </w:t>
      </w:r>
      <w:r w:rsidR="002B1CC6">
        <w:rPr>
          <w:rFonts w:ascii="Times New Roman" w:hAnsi="Times New Roman" w:cs="Times New Roman"/>
          <w:sz w:val="24"/>
          <w:szCs w:val="24"/>
        </w:rPr>
        <w:t xml:space="preserve">Determination </w:t>
      </w:r>
      <w:r w:rsidR="005B47ED">
        <w:rPr>
          <w:rFonts w:ascii="Times New Roman" w:hAnsi="Times New Roman" w:cs="Times New Roman"/>
          <w:sz w:val="24"/>
          <w:szCs w:val="24"/>
        </w:rPr>
        <w:t>is registered on the Federal Register of Legislative Instruments.</w:t>
      </w:r>
    </w:p>
    <w:p w:rsidR="00D62FE7" w:rsidRPr="00725197" w:rsidRDefault="00AA2D6A" w:rsidP="00676B54">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Schedule 2 of the A</w:t>
      </w:r>
      <w:r w:rsidR="005B47ED">
        <w:rPr>
          <w:rFonts w:ascii="Times New Roman" w:hAnsi="Times New Roman" w:cs="Times New Roman"/>
          <w:sz w:val="24"/>
          <w:szCs w:val="24"/>
        </w:rPr>
        <w:t xml:space="preserve">mendment </w:t>
      </w:r>
      <w:r w:rsidR="002B1CC6">
        <w:rPr>
          <w:rFonts w:ascii="Times New Roman" w:hAnsi="Times New Roman" w:cs="Times New Roman"/>
          <w:sz w:val="24"/>
          <w:szCs w:val="24"/>
        </w:rPr>
        <w:t xml:space="preserve">Determination </w:t>
      </w:r>
      <w:r w:rsidR="005B47ED">
        <w:rPr>
          <w:rFonts w:ascii="Times New Roman" w:hAnsi="Times New Roman" w:cs="Times New Roman"/>
          <w:sz w:val="24"/>
          <w:szCs w:val="24"/>
        </w:rPr>
        <w:t>will</w:t>
      </w:r>
      <w:r w:rsidR="005B47ED" w:rsidRPr="00D10490">
        <w:rPr>
          <w:rFonts w:ascii="Times New Roman" w:hAnsi="Times New Roman" w:cs="Times New Roman"/>
          <w:sz w:val="24"/>
          <w:szCs w:val="24"/>
        </w:rPr>
        <w:t xml:space="preserve"> commence</w:t>
      </w:r>
      <w:r w:rsidR="005B47ED">
        <w:rPr>
          <w:rFonts w:ascii="Times New Roman" w:hAnsi="Times New Roman" w:cs="Times New Roman"/>
          <w:sz w:val="24"/>
          <w:szCs w:val="24"/>
        </w:rPr>
        <w:t xml:space="preserve"> on 1 July 2016, when the amendments to the NGER Act which give effect to the safeguard mechanism also commence.</w:t>
      </w:r>
    </w:p>
    <w:p w:rsidR="00D62FE7" w:rsidRPr="00D62FE7" w:rsidRDefault="00D62FE7" w:rsidP="00264714">
      <w:pPr>
        <w:spacing w:before="120" w:after="120" w:line="240" w:lineRule="auto"/>
        <w:ind w:right="91"/>
        <w:rPr>
          <w:rFonts w:ascii="Times New Roman" w:hAnsi="Times New Roman" w:cs="Times New Roman"/>
          <w:sz w:val="24"/>
          <w:szCs w:val="24"/>
          <w:u w:val="single"/>
        </w:rPr>
      </w:pPr>
      <w:r w:rsidRPr="00D62FE7">
        <w:rPr>
          <w:rFonts w:ascii="Times New Roman" w:hAnsi="Times New Roman" w:cs="Times New Roman"/>
          <w:sz w:val="24"/>
          <w:szCs w:val="24"/>
          <w:u w:val="single"/>
        </w:rPr>
        <w:t>Section 3 – Authority</w:t>
      </w:r>
    </w:p>
    <w:p w:rsidR="00D62FE7" w:rsidRPr="005B47ED" w:rsidRDefault="003C5E95" w:rsidP="00676B54">
      <w:pPr>
        <w:pStyle w:val="ListParagraph"/>
        <w:numPr>
          <w:ilvl w:val="1"/>
          <w:numId w:val="24"/>
        </w:numPr>
        <w:tabs>
          <w:tab w:val="left" w:pos="0"/>
        </w:tabs>
        <w:spacing w:after="240" w:line="240" w:lineRule="auto"/>
        <w:ind w:left="0" w:firstLine="0"/>
        <w:rPr>
          <w:rFonts w:ascii="Times New Roman" w:hAnsi="Times New Roman" w:cs="Times New Roman"/>
          <w:i/>
          <w:iCs/>
          <w:sz w:val="24"/>
          <w:szCs w:val="24"/>
        </w:rPr>
      </w:pPr>
      <w:r>
        <w:rPr>
          <w:rFonts w:ascii="Times New Roman" w:hAnsi="Times New Roman" w:cs="Times New Roman"/>
          <w:sz w:val="24"/>
          <w:szCs w:val="24"/>
        </w:rPr>
        <w:t>Section 3</w:t>
      </w:r>
      <w:r w:rsidR="00D62FE7" w:rsidRPr="00D62FE7">
        <w:rPr>
          <w:rFonts w:ascii="Times New Roman" w:hAnsi="Times New Roman" w:cs="Times New Roman"/>
          <w:sz w:val="24"/>
          <w:szCs w:val="24"/>
        </w:rPr>
        <w:t xml:space="preserve"> provide</w:t>
      </w:r>
      <w:r>
        <w:rPr>
          <w:rFonts w:ascii="Times New Roman" w:hAnsi="Times New Roman" w:cs="Times New Roman"/>
          <w:sz w:val="24"/>
          <w:szCs w:val="24"/>
        </w:rPr>
        <w:t>s</w:t>
      </w:r>
      <w:r w:rsidR="00D62FE7" w:rsidRPr="00D62FE7">
        <w:rPr>
          <w:rFonts w:ascii="Times New Roman" w:hAnsi="Times New Roman" w:cs="Times New Roman"/>
          <w:sz w:val="24"/>
          <w:szCs w:val="24"/>
        </w:rPr>
        <w:t xml:space="preserve"> that the legislative authori</w:t>
      </w:r>
      <w:r w:rsidR="00AA2D6A">
        <w:rPr>
          <w:rFonts w:ascii="Times New Roman" w:hAnsi="Times New Roman" w:cs="Times New Roman"/>
          <w:sz w:val="24"/>
          <w:szCs w:val="24"/>
        </w:rPr>
        <w:t>ty for the A</w:t>
      </w:r>
      <w:r w:rsidR="007314F5">
        <w:rPr>
          <w:rFonts w:ascii="Times New Roman" w:hAnsi="Times New Roman" w:cs="Times New Roman"/>
          <w:sz w:val="24"/>
          <w:szCs w:val="24"/>
        </w:rPr>
        <w:t xml:space="preserve">mendment </w:t>
      </w:r>
      <w:r w:rsidR="002B1CC6">
        <w:rPr>
          <w:rFonts w:ascii="Times New Roman" w:hAnsi="Times New Roman" w:cs="Times New Roman"/>
          <w:sz w:val="24"/>
          <w:szCs w:val="24"/>
        </w:rPr>
        <w:t>Determination</w:t>
      </w:r>
      <w:r w:rsidR="00D62FE7" w:rsidRPr="00D62FE7">
        <w:rPr>
          <w:rFonts w:ascii="Times New Roman" w:hAnsi="Times New Roman" w:cs="Times New Roman"/>
          <w:sz w:val="24"/>
          <w:szCs w:val="24"/>
        </w:rPr>
        <w:t xml:space="preserve"> is the </w:t>
      </w:r>
      <w:r w:rsidR="005B47ED">
        <w:rPr>
          <w:rFonts w:ascii="Times New Roman" w:hAnsi="Times New Roman" w:cs="Times New Roman"/>
          <w:i/>
          <w:iCs/>
          <w:sz w:val="24"/>
          <w:szCs w:val="24"/>
        </w:rPr>
        <w:t>National Greenhouse and Energy Reporting Act 2007</w:t>
      </w:r>
      <w:r w:rsidR="00D62FE7" w:rsidRPr="00D62FE7">
        <w:rPr>
          <w:rFonts w:ascii="Times New Roman" w:hAnsi="Times New Roman" w:cs="Times New Roman"/>
          <w:i/>
          <w:sz w:val="24"/>
          <w:szCs w:val="24"/>
        </w:rPr>
        <w:t>.</w:t>
      </w:r>
    </w:p>
    <w:p w:rsidR="00D62FE7" w:rsidRPr="00D62FE7" w:rsidRDefault="00D62FE7" w:rsidP="00264714">
      <w:pPr>
        <w:spacing w:before="120" w:after="120" w:line="240" w:lineRule="auto"/>
        <w:ind w:right="91"/>
        <w:rPr>
          <w:rFonts w:ascii="Times New Roman" w:hAnsi="Times New Roman" w:cs="Times New Roman"/>
          <w:sz w:val="24"/>
          <w:szCs w:val="24"/>
        </w:rPr>
      </w:pPr>
      <w:r w:rsidRPr="00D62FE7">
        <w:rPr>
          <w:rFonts w:ascii="Times New Roman" w:hAnsi="Times New Roman" w:cs="Times New Roman"/>
          <w:sz w:val="24"/>
          <w:szCs w:val="24"/>
          <w:u w:val="single"/>
        </w:rPr>
        <w:t xml:space="preserve">Section 4 – </w:t>
      </w:r>
      <w:r w:rsidR="002B1CC6">
        <w:rPr>
          <w:rFonts w:ascii="Times New Roman" w:hAnsi="Times New Roman" w:cs="Times New Roman"/>
          <w:sz w:val="24"/>
          <w:szCs w:val="24"/>
          <w:u w:val="single"/>
        </w:rPr>
        <w:t>Amendment of the audit determination</w:t>
      </w:r>
    </w:p>
    <w:p w:rsidR="00D62FE7" w:rsidRPr="00D62FE7" w:rsidRDefault="003C5E95" w:rsidP="00676B54">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Section 4</w:t>
      </w:r>
      <w:r w:rsidR="00D62FE7" w:rsidRPr="00D62FE7">
        <w:rPr>
          <w:rFonts w:ascii="Times New Roman" w:hAnsi="Times New Roman" w:cs="Times New Roman"/>
          <w:sz w:val="24"/>
          <w:szCs w:val="24"/>
        </w:rPr>
        <w:t xml:space="preserve"> provide</w:t>
      </w:r>
      <w:r>
        <w:rPr>
          <w:rFonts w:ascii="Times New Roman" w:hAnsi="Times New Roman" w:cs="Times New Roman"/>
          <w:sz w:val="24"/>
          <w:szCs w:val="24"/>
        </w:rPr>
        <w:t>s</w:t>
      </w:r>
      <w:r w:rsidR="00D62FE7" w:rsidRPr="00D62FE7">
        <w:rPr>
          <w:rFonts w:ascii="Times New Roman" w:hAnsi="Times New Roman" w:cs="Times New Roman"/>
          <w:sz w:val="24"/>
          <w:szCs w:val="24"/>
        </w:rPr>
        <w:t xml:space="preserve"> that the </w:t>
      </w:r>
      <w:r w:rsidR="005B47ED">
        <w:rPr>
          <w:rFonts w:ascii="Times New Roman" w:hAnsi="Times New Roman" w:cs="Times New Roman"/>
          <w:i/>
          <w:iCs/>
          <w:sz w:val="24"/>
          <w:szCs w:val="24"/>
        </w:rPr>
        <w:t xml:space="preserve">National Greenhouse and Energy Reporting </w:t>
      </w:r>
      <w:r w:rsidR="00616B07">
        <w:rPr>
          <w:rFonts w:ascii="Times New Roman" w:hAnsi="Times New Roman" w:cs="Times New Roman"/>
          <w:i/>
          <w:iCs/>
          <w:sz w:val="24"/>
          <w:szCs w:val="24"/>
        </w:rPr>
        <w:t>(Audit) Determination 2009</w:t>
      </w:r>
      <w:r w:rsidR="009040A5">
        <w:rPr>
          <w:rFonts w:ascii="Times New Roman" w:hAnsi="Times New Roman" w:cs="Times New Roman"/>
          <w:sz w:val="24"/>
          <w:szCs w:val="24"/>
        </w:rPr>
        <w:t xml:space="preserve"> (the</w:t>
      </w:r>
      <w:r w:rsidR="00616B07">
        <w:rPr>
          <w:rFonts w:ascii="Times New Roman" w:hAnsi="Times New Roman" w:cs="Times New Roman"/>
          <w:sz w:val="24"/>
          <w:szCs w:val="24"/>
        </w:rPr>
        <w:t xml:space="preserve"> Determination</w:t>
      </w:r>
      <w:r w:rsidR="00D62FE7" w:rsidRPr="00D62FE7">
        <w:rPr>
          <w:rFonts w:ascii="Times New Roman" w:hAnsi="Times New Roman" w:cs="Times New Roman"/>
          <w:sz w:val="24"/>
          <w:szCs w:val="24"/>
        </w:rPr>
        <w:t>) is amended as set out in the Schedule.</w:t>
      </w:r>
    </w:p>
    <w:p w:rsidR="00273555" w:rsidRDefault="00273555" w:rsidP="00264714">
      <w:pPr>
        <w:spacing w:before="120" w:after="120" w:line="240" w:lineRule="auto"/>
        <w:rPr>
          <w:rFonts w:ascii="Times New Roman" w:hAnsi="Times New Roman" w:cs="Times New Roman"/>
          <w:b/>
          <w:sz w:val="24"/>
          <w:szCs w:val="24"/>
        </w:rPr>
      </w:pPr>
    </w:p>
    <w:p w:rsidR="00045971" w:rsidRPr="004D1DA5" w:rsidRDefault="00DC7213" w:rsidP="00616B07">
      <w:pPr>
        <w:spacing w:before="120" w:after="120" w:line="240" w:lineRule="auto"/>
        <w:rPr>
          <w:rFonts w:ascii="Times New Roman" w:hAnsi="Times New Roman" w:cs="Times New Roman"/>
          <w:b/>
          <w:sz w:val="28"/>
          <w:szCs w:val="28"/>
        </w:rPr>
      </w:pPr>
      <w:r w:rsidRPr="004D1DA5">
        <w:rPr>
          <w:rFonts w:ascii="Times New Roman" w:hAnsi="Times New Roman" w:cs="Times New Roman"/>
          <w:b/>
          <w:sz w:val="28"/>
          <w:szCs w:val="28"/>
        </w:rPr>
        <w:t>Schedule 1 —</w:t>
      </w:r>
      <w:r w:rsidR="00EE0545" w:rsidRPr="004D1DA5">
        <w:rPr>
          <w:rFonts w:ascii="Times New Roman" w:hAnsi="Times New Roman" w:cs="Times New Roman"/>
          <w:b/>
          <w:sz w:val="28"/>
          <w:szCs w:val="28"/>
        </w:rPr>
        <w:t xml:space="preserve"> ERF audit amendments</w:t>
      </w:r>
    </w:p>
    <w:p w:rsidR="00922D68" w:rsidRDefault="006469FE" w:rsidP="00622E79">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sidRPr="00922D68">
        <w:rPr>
          <w:rFonts w:ascii="Times New Roman" w:hAnsi="Times New Roman" w:cs="Times New Roman"/>
          <w:sz w:val="24"/>
          <w:szCs w:val="24"/>
        </w:rPr>
        <w:t xml:space="preserve">Schedule 1 </w:t>
      </w:r>
      <w:r w:rsidR="00922D68" w:rsidRPr="00922D68">
        <w:rPr>
          <w:rFonts w:ascii="Times New Roman" w:hAnsi="Times New Roman" w:cs="Times New Roman"/>
          <w:sz w:val="24"/>
          <w:szCs w:val="24"/>
        </w:rPr>
        <w:t xml:space="preserve">amends </w:t>
      </w:r>
      <w:r w:rsidR="00AA2D6A">
        <w:rPr>
          <w:rFonts w:ascii="Times New Roman" w:hAnsi="Times New Roman" w:cs="Times New Roman"/>
          <w:sz w:val="24"/>
          <w:szCs w:val="24"/>
        </w:rPr>
        <w:t>the</w:t>
      </w:r>
      <w:r w:rsidR="000F04AF">
        <w:rPr>
          <w:rFonts w:ascii="Times New Roman" w:hAnsi="Times New Roman" w:cs="Times New Roman"/>
          <w:sz w:val="24"/>
          <w:szCs w:val="24"/>
        </w:rPr>
        <w:t xml:space="preserve"> Audit</w:t>
      </w:r>
      <w:r w:rsidR="00AA2D6A">
        <w:rPr>
          <w:rFonts w:ascii="Times New Roman" w:hAnsi="Times New Roman" w:cs="Times New Roman"/>
          <w:sz w:val="24"/>
          <w:szCs w:val="24"/>
        </w:rPr>
        <w:t xml:space="preserve"> D</w:t>
      </w:r>
      <w:r w:rsidRPr="00922D68">
        <w:rPr>
          <w:rFonts w:ascii="Times New Roman" w:hAnsi="Times New Roman" w:cs="Times New Roman"/>
          <w:sz w:val="24"/>
          <w:szCs w:val="24"/>
        </w:rPr>
        <w:t>etermination to ensure that it is relevant to</w:t>
      </w:r>
      <w:r w:rsidR="004D1DA5">
        <w:rPr>
          <w:rFonts w:ascii="Times New Roman" w:hAnsi="Times New Roman" w:cs="Times New Roman"/>
          <w:sz w:val="24"/>
          <w:szCs w:val="24"/>
        </w:rPr>
        <w:t xml:space="preserve"> the</w:t>
      </w:r>
      <w:r w:rsidRPr="00922D68">
        <w:rPr>
          <w:rFonts w:ascii="Times New Roman" w:hAnsi="Times New Roman" w:cs="Times New Roman"/>
          <w:sz w:val="24"/>
          <w:szCs w:val="24"/>
        </w:rPr>
        <w:t xml:space="preserve"> E</w:t>
      </w:r>
      <w:r w:rsidR="004D1DA5">
        <w:rPr>
          <w:rFonts w:ascii="Times New Roman" w:hAnsi="Times New Roman" w:cs="Times New Roman"/>
          <w:sz w:val="24"/>
          <w:szCs w:val="24"/>
        </w:rPr>
        <w:t xml:space="preserve">missions </w:t>
      </w:r>
      <w:r w:rsidRPr="00922D68">
        <w:rPr>
          <w:rFonts w:ascii="Times New Roman" w:hAnsi="Times New Roman" w:cs="Times New Roman"/>
          <w:sz w:val="24"/>
          <w:szCs w:val="24"/>
        </w:rPr>
        <w:t>R</w:t>
      </w:r>
      <w:r w:rsidR="004D1DA5">
        <w:rPr>
          <w:rFonts w:ascii="Times New Roman" w:hAnsi="Times New Roman" w:cs="Times New Roman"/>
          <w:sz w:val="24"/>
          <w:szCs w:val="24"/>
        </w:rPr>
        <w:t xml:space="preserve">eduction </w:t>
      </w:r>
      <w:r w:rsidRPr="00922D68">
        <w:rPr>
          <w:rFonts w:ascii="Times New Roman" w:hAnsi="Times New Roman" w:cs="Times New Roman"/>
          <w:sz w:val="24"/>
          <w:szCs w:val="24"/>
        </w:rPr>
        <w:t>F</w:t>
      </w:r>
      <w:r w:rsidR="004D1DA5">
        <w:rPr>
          <w:rFonts w:ascii="Times New Roman" w:hAnsi="Times New Roman" w:cs="Times New Roman"/>
          <w:sz w:val="24"/>
          <w:szCs w:val="24"/>
        </w:rPr>
        <w:t>und (ERF)</w:t>
      </w:r>
      <w:r w:rsidRPr="00922D68">
        <w:rPr>
          <w:rFonts w:ascii="Times New Roman" w:hAnsi="Times New Roman" w:cs="Times New Roman"/>
          <w:sz w:val="24"/>
          <w:szCs w:val="24"/>
        </w:rPr>
        <w:t xml:space="preserve">. </w:t>
      </w:r>
      <w:r w:rsidR="00922D68" w:rsidRPr="00922D68">
        <w:rPr>
          <w:rFonts w:ascii="Times New Roman" w:hAnsi="Times New Roman" w:cs="Times New Roman"/>
          <w:sz w:val="24"/>
          <w:szCs w:val="24"/>
        </w:rPr>
        <w:t>There are t</w:t>
      </w:r>
      <w:r w:rsidRPr="00922D68">
        <w:rPr>
          <w:rFonts w:ascii="Times New Roman" w:hAnsi="Times New Roman" w:cs="Times New Roman"/>
          <w:sz w:val="24"/>
          <w:szCs w:val="24"/>
        </w:rPr>
        <w:t>hree</w:t>
      </w:r>
      <w:r w:rsidR="00922D68" w:rsidRPr="00922D68">
        <w:rPr>
          <w:rFonts w:ascii="Times New Roman" w:hAnsi="Times New Roman" w:cs="Times New Roman"/>
          <w:sz w:val="24"/>
          <w:szCs w:val="24"/>
        </w:rPr>
        <w:t xml:space="preserve"> categories of amendments included in Schedule 1</w:t>
      </w:r>
      <w:r w:rsidR="00922D68">
        <w:rPr>
          <w:rFonts w:ascii="Times New Roman" w:hAnsi="Times New Roman" w:cs="Times New Roman"/>
          <w:sz w:val="24"/>
          <w:szCs w:val="24"/>
        </w:rPr>
        <w:t>, as summarised below.</w:t>
      </w:r>
    </w:p>
    <w:p w:rsidR="00922D68" w:rsidRPr="00911687" w:rsidRDefault="00922D68" w:rsidP="00922D68">
      <w:pPr>
        <w:pStyle w:val="ListParagraph"/>
        <w:tabs>
          <w:tab w:val="left" w:pos="0"/>
        </w:tabs>
        <w:spacing w:after="240" w:line="240" w:lineRule="auto"/>
        <w:ind w:left="0"/>
        <w:rPr>
          <w:rFonts w:ascii="Times New Roman" w:hAnsi="Times New Roman" w:cs="Times New Roman"/>
          <w:i/>
          <w:sz w:val="24"/>
          <w:szCs w:val="24"/>
        </w:rPr>
      </w:pPr>
      <w:r w:rsidRPr="00B245D1">
        <w:rPr>
          <w:rFonts w:ascii="Times New Roman" w:hAnsi="Times New Roman" w:cs="Times New Roman"/>
          <w:i/>
          <w:sz w:val="24"/>
          <w:szCs w:val="24"/>
          <w:u w:val="single"/>
        </w:rPr>
        <w:t>Substitute ‘CFI Audit’ with ‘ERF Audit’</w:t>
      </w:r>
    </w:p>
    <w:p w:rsidR="00611A78" w:rsidRDefault="00922D68" w:rsidP="00611A78">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sidRPr="00611A78">
        <w:rPr>
          <w:rFonts w:ascii="Times New Roman" w:hAnsi="Times New Roman" w:cs="Times New Roman"/>
          <w:sz w:val="24"/>
          <w:szCs w:val="24"/>
        </w:rPr>
        <w:t>To</w:t>
      </w:r>
      <w:r w:rsidR="00AA47D2" w:rsidRPr="00611A78">
        <w:rPr>
          <w:rFonts w:ascii="Times New Roman" w:hAnsi="Times New Roman" w:cs="Times New Roman"/>
          <w:sz w:val="24"/>
          <w:szCs w:val="24"/>
        </w:rPr>
        <w:t xml:space="preserve"> reflect the changes made to the Act by the </w:t>
      </w:r>
      <w:r w:rsidR="00F81827">
        <w:rPr>
          <w:rFonts w:ascii="Times New Roman" w:hAnsi="Times New Roman" w:cs="Times New Roman"/>
          <w:sz w:val="24"/>
          <w:szCs w:val="24"/>
        </w:rPr>
        <w:t>CFI Amendment Act</w:t>
      </w:r>
      <w:r w:rsidR="00AA47D2" w:rsidRPr="00611A78">
        <w:rPr>
          <w:rFonts w:ascii="Times New Roman" w:hAnsi="Times New Roman" w:cs="Times New Roman"/>
          <w:sz w:val="24"/>
          <w:szCs w:val="24"/>
        </w:rPr>
        <w:t xml:space="preserve">, references to ‘CFI Audit’ will be </w:t>
      </w:r>
      <w:r w:rsidR="00611A78" w:rsidRPr="00611A78">
        <w:rPr>
          <w:rFonts w:ascii="Times New Roman" w:hAnsi="Times New Roman" w:cs="Times New Roman"/>
          <w:sz w:val="24"/>
          <w:szCs w:val="24"/>
        </w:rPr>
        <w:t>replaced with</w:t>
      </w:r>
      <w:r w:rsidR="00AA47D2" w:rsidRPr="00611A78">
        <w:rPr>
          <w:rFonts w:ascii="Times New Roman" w:hAnsi="Times New Roman" w:cs="Times New Roman"/>
          <w:sz w:val="24"/>
          <w:szCs w:val="24"/>
        </w:rPr>
        <w:t xml:space="preserve"> ‘ERF Audit</w:t>
      </w:r>
      <w:r w:rsidR="00B7518A">
        <w:rPr>
          <w:rFonts w:ascii="Times New Roman" w:hAnsi="Times New Roman" w:cs="Times New Roman"/>
          <w:sz w:val="24"/>
          <w:szCs w:val="24"/>
        </w:rPr>
        <w:t>s</w:t>
      </w:r>
      <w:r w:rsidR="00AA47D2" w:rsidRPr="00611A78">
        <w:rPr>
          <w:rFonts w:ascii="Times New Roman" w:hAnsi="Times New Roman" w:cs="Times New Roman"/>
          <w:sz w:val="24"/>
          <w:szCs w:val="24"/>
        </w:rPr>
        <w:t xml:space="preserve">’. </w:t>
      </w:r>
      <w:r w:rsidR="00CD38D8" w:rsidRPr="00611A78">
        <w:rPr>
          <w:rFonts w:ascii="Times New Roman" w:hAnsi="Times New Roman" w:cs="Times New Roman"/>
          <w:sz w:val="24"/>
          <w:szCs w:val="24"/>
        </w:rPr>
        <w:t>This change is reflected in other consequen</w:t>
      </w:r>
      <w:r w:rsidR="00803E36">
        <w:rPr>
          <w:rFonts w:ascii="Times New Roman" w:hAnsi="Times New Roman" w:cs="Times New Roman"/>
          <w:sz w:val="24"/>
          <w:szCs w:val="24"/>
        </w:rPr>
        <w:t>tial amendments throughout the A</w:t>
      </w:r>
      <w:r w:rsidR="00CD38D8" w:rsidRPr="00611A78">
        <w:rPr>
          <w:rFonts w:ascii="Times New Roman" w:hAnsi="Times New Roman" w:cs="Times New Roman"/>
          <w:sz w:val="24"/>
          <w:szCs w:val="24"/>
        </w:rPr>
        <w:t xml:space="preserve">mendment Determination </w:t>
      </w:r>
      <w:r w:rsidR="00AA47D2" w:rsidRPr="00611A78">
        <w:rPr>
          <w:rFonts w:ascii="Times New Roman" w:hAnsi="Times New Roman" w:cs="Times New Roman"/>
          <w:sz w:val="24"/>
          <w:szCs w:val="24"/>
        </w:rPr>
        <w:t xml:space="preserve">in all instances where </w:t>
      </w:r>
      <w:r w:rsidR="00B7518A">
        <w:rPr>
          <w:rFonts w:ascii="Times New Roman" w:hAnsi="Times New Roman" w:cs="Times New Roman"/>
          <w:sz w:val="24"/>
          <w:szCs w:val="24"/>
        </w:rPr>
        <w:t>the Audit D</w:t>
      </w:r>
      <w:r w:rsidR="00911687" w:rsidRPr="00611A78">
        <w:rPr>
          <w:rFonts w:ascii="Times New Roman" w:hAnsi="Times New Roman" w:cs="Times New Roman"/>
          <w:sz w:val="24"/>
          <w:szCs w:val="24"/>
        </w:rPr>
        <w:t>etermination specifically refers to the audits relevant to the ERF, which incorporates former ‘CFI Audits’</w:t>
      </w:r>
      <w:r w:rsidR="00AA47D2" w:rsidRPr="00611A78">
        <w:rPr>
          <w:rFonts w:ascii="Times New Roman" w:hAnsi="Times New Roman" w:cs="Times New Roman"/>
          <w:sz w:val="24"/>
          <w:szCs w:val="24"/>
        </w:rPr>
        <w:t xml:space="preserve">. </w:t>
      </w:r>
      <w:r w:rsidR="00911687" w:rsidRPr="00611A78">
        <w:rPr>
          <w:rFonts w:ascii="Times New Roman" w:hAnsi="Times New Roman" w:cs="Times New Roman"/>
          <w:sz w:val="24"/>
          <w:szCs w:val="24"/>
        </w:rPr>
        <w:t xml:space="preserve">This relates to </w:t>
      </w:r>
      <w:r w:rsidR="00611A78" w:rsidRPr="00611A78">
        <w:rPr>
          <w:rFonts w:ascii="Times New Roman" w:hAnsi="Times New Roman" w:cs="Times New Roman"/>
          <w:sz w:val="24"/>
          <w:szCs w:val="24"/>
        </w:rPr>
        <w:t xml:space="preserve">[Items </w:t>
      </w:r>
      <w:r w:rsidR="007825C8">
        <w:rPr>
          <w:rFonts w:ascii="Times New Roman" w:hAnsi="Times New Roman" w:cs="Times New Roman"/>
          <w:sz w:val="24"/>
          <w:szCs w:val="24"/>
        </w:rPr>
        <w:t>2</w:t>
      </w:r>
      <w:r w:rsidR="00F81827">
        <w:rPr>
          <w:rFonts w:ascii="Times New Roman" w:hAnsi="Times New Roman" w:cs="Times New Roman"/>
          <w:sz w:val="24"/>
          <w:szCs w:val="24"/>
        </w:rPr>
        <w:t>, 5</w:t>
      </w:r>
      <w:r w:rsidR="00611A78" w:rsidRPr="00611A78">
        <w:rPr>
          <w:rFonts w:ascii="Times New Roman" w:hAnsi="Times New Roman" w:cs="Times New Roman"/>
          <w:sz w:val="24"/>
          <w:szCs w:val="24"/>
        </w:rPr>
        <w:t>, 8</w:t>
      </w:r>
      <w:r w:rsidR="00B86BD0">
        <w:rPr>
          <w:rFonts w:ascii="Times New Roman" w:hAnsi="Times New Roman" w:cs="Times New Roman"/>
          <w:sz w:val="24"/>
          <w:szCs w:val="24"/>
        </w:rPr>
        <w:t xml:space="preserve"> and 15</w:t>
      </w:r>
      <w:r w:rsidR="00611A78" w:rsidRPr="00611A78">
        <w:rPr>
          <w:rFonts w:ascii="Times New Roman" w:hAnsi="Times New Roman" w:cs="Times New Roman"/>
          <w:sz w:val="24"/>
          <w:szCs w:val="24"/>
        </w:rPr>
        <w:t xml:space="preserve">]. </w:t>
      </w:r>
    </w:p>
    <w:p w:rsidR="00B86BD0" w:rsidRPr="00273555" w:rsidRDefault="00B86BD0" w:rsidP="00B86BD0">
      <w:pPr>
        <w:pStyle w:val="ListParagraph"/>
        <w:tabs>
          <w:tab w:val="left" w:pos="0"/>
        </w:tabs>
        <w:spacing w:after="240" w:line="240" w:lineRule="auto"/>
        <w:ind w:left="0"/>
        <w:rPr>
          <w:rFonts w:ascii="Times New Roman" w:hAnsi="Times New Roman" w:cs="Times New Roman"/>
          <w:i/>
          <w:sz w:val="24"/>
          <w:szCs w:val="24"/>
          <w:u w:val="single"/>
        </w:rPr>
      </w:pPr>
      <w:r w:rsidRPr="00273555">
        <w:rPr>
          <w:rFonts w:ascii="Times New Roman" w:hAnsi="Times New Roman" w:cs="Times New Roman"/>
          <w:i/>
          <w:sz w:val="24"/>
          <w:szCs w:val="24"/>
          <w:u w:val="single"/>
        </w:rPr>
        <w:t>Part 6 Audits</w:t>
      </w:r>
    </w:p>
    <w:p w:rsidR="00B86BD0" w:rsidRDefault="00B86BD0" w:rsidP="00B86BD0">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[Item 6] inserts at section 1.4 the concept of </w:t>
      </w:r>
      <w:r w:rsidRPr="00D43E64">
        <w:rPr>
          <w:rFonts w:ascii="Times New Roman" w:hAnsi="Times New Roman" w:cs="Times New Roman"/>
          <w:b/>
          <w:i/>
          <w:sz w:val="24"/>
          <w:szCs w:val="24"/>
        </w:rPr>
        <w:t>Part 6 audit</w:t>
      </w:r>
      <w:r>
        <w:rPr>
          <w:rFonts w:ascii="Times New Roman" w:hAnsi="Times New Roman" w:cs="Times New Roman"/>
          <w:sz w:val="24"/>
          <w:szCs w:val="24"/>
        </w:rPr>
        <w:t xml:space="preserve"> which reflects the changes made to the Act by the </w:t>
      </w:r>
      <w:r w:rsidR="00F81827">
        <w:rPr>
          <w:rFonts w:ascii="Times New Roman" w:hAnsi="Times New Roman" w:cs="Times New Roman"/>
          <w:sz w:val="24"/>
          <w:szCs w:val="24"/>
        </w:rPr>
        <w:t>CFI Amendment Act</w:t>
      </w:r>
      <w:r>
        <w:rPr>
          <w:rFonts w:ascii="Times New Roman" w:hAnsi="Times New Roman" w:cs="Times New Roman"/>
          <w:sz w:val="24"/>
          <w:szCs w:val="24"/>
        </w:rPr>
        <w:t xml:space="preserve"> to collectively refer to both greenhouse and energy audits and ERF audits as a </w:t>
      </w:r>
      <w:r w:rsidRPr="00326D33">
        <w:rPr>
          <w:rFonts w:ascii="Times New Roman" w:hAnsi="Times New Roman" w:cs="Times New Roman"/>
          <w:sz w:val="24"/>
          <w:szCs w:val="24"/>
        </w:rPr>
        <w:t>Part 6 audit.</w:t>
      </w:r>
      <w:r>
        <w:rPr>
          <w:rFonts w:ascii="Times New Roman" w:hAnsi="Times New Roman" w:cs="Times New Roman"/>
          <w:b/>
          <w:i/>
          <w:sz w:val="24"/>
          <w:szCs w:val="24"/>
        </w:rPr>
        <w:t xml:space="preserve"> </w:t>
      </w:r>
      <w:r>
        <w:rPr>
          <w:rFonts w:ascii="Times New Roman" w:hAnsi="Times New Roman" w:cs="Times New Roman"/>
          <w:sz w:val="24"/>
          <w:szCs w:val="24"/>
        </w:rPr>
        <w:t xml:space="preserve">   </w:t>
      </w:r>
    </w:p>
    <w:p w:rsidR="00650915" w:rsidRDefault="00650915" w:rsidP="00B86BD0">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This concept is reflected in </w:t>
      </w:r>
      <w:r w:rsidRPr="00611A78">
        <w:rPr>
          <w:rFonts w:ascii="Times New Roman" w:hAnsi="Times New Roman" w:cs="Times New Roman"/>
          <w:sz w:val="24"/>
          <w:szCs w:val="24"/>
        </w:rPr>
        <w:t>[Item 2</w:t>
      </w:r>
      <w:r w:rsidRPr="00650915">
        <w:rPr>
          <w:rFonts w:ascii="Times New Roman" w:hAnsi="Times New Roman" w:cs="Times New Roman"/>
          <w:sz w:val="24"/>
          <w:szCs w:val="24"/>
        </w:rPr>
        <w:t>], which</w:t>
      </w:r>
      <w:r w:rsidRPr="00611A78">
        <w:rPr>
          <w:rFonts w:ascii="Times New Roman" w:hAnsi="Times New Roman" w:cs="Times New Roman"/>
          <w:b/>
          <w:sz w:val="24"/>
          <w:szCs w:val="24"/>
        </w:rPr>
        <w:t xml:space="preserve"> </w:t>
      </w:r>
      <w:r w:rsidRPr="00611A78">
        <w:rPr>
          <w:rFonts w:ascii="Times New Roman" w:hAnsi="Times New Roman" w:cs="Times New Roman"/>
          <w:sz w:val="24"/>
          <w:szCs w:val="24"/>
        </w:rPr>
        <w:t>omits the term “a CFI audit” in subsection 1.3(4) and substitutes the term “ERF audits (collectively called Part 6 audits)”.</w:t>
      </w:r>
    </w:p>
    <w:p w:rsidR="00B86BD0" w:rsidRPr="00B86BD0" w:rsidRDefault="00B86BD0" w:rsidP="00B86BD0">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This change is reflected in other consequential amendments throughout </w:t>
      </w:r>
      <w:r w:rsidR="00803E36">
        <w:rPr>
          <w:rFonts w:ascii="Times New Roman" w:hAnsi="Times New Roman" w:cs="Times New Roman"/>
          <w:sz w:val="24"/>
          <w:szCs w:val="24"/>
        </w:rPr>
        <w:t>the A</w:t>
      </w:r>
      <w:r>
        <w:rPr>
          <w:rFonts w:ascii="Times New Roman" w:hAnsi="Times New Roman" w:cs="Times New Roman"/>
          <w:sz w:val="24"/>
          <w:szCs w:val="24"/>
        </w:rPr>
        <w:t>me</w:t>
      </w:r>
      <w:r w:rsidR="00665FB2">
        <w:rPr>
          <w:rFonts w:ascii="Times New Roman" w:hAnsi="Times New Roman" w:cs="Times New Roman"/>
          <w:sz w:val="24"/>
          <w:szCs w:val="24"/>
        </w:rPr>
        <w:t xml:space="preserve">ndment Determination to omit </w:t>
      </w:r>
      <w:r>
        <w:rPr>
          <w:rFonts w:ascii="Times New Roman" w:hAnsi="Times New Roman" w:cs="Times New Roman"/>
          <w:sz w:val="24"/>
          <w:szCs w:val="24"/>
        </w:rPr>
        <w:t xml:space="preserve"> the term “</w:t>
      </w:r>
      <w:r w:rsidRPr="0055064B">
        <w:rPr>
          <w:rFonts w:ascii="Times New Roman" w:hAnsi="Times New Roman" w:cs="Times New Roman"/>
          <w:sz w:val="24"/>
          <w:szCs w:val="24"/>
        </w:rPr>
        <w:t>greenhouse and energy audit or a CFI audit</w:t>
      </w:r>
      <w:r>
        <w:rPr>
          <w:rFonts w:ascii="Times New Roman" w:hAnsi="Times New Roman" w:cs="Times New Roman"/>
          <w:sz w:val="24"/>
          <w:szCs w:val="24"/>
        </w:rPr>
        <w:t>”  and replace it with “Part 6 audit” [items</w:t>
      </w:r>
      <w:r w:rsidR="007825C8">
        <w:rPr>
          <w:rFonts w:ascii="Times New Roman" w:hAnsi="Times New Roman" w:cs="Times New Roman"/>
          <w:sz w:val="24"/>
          <w:szCs w:val="24"/>
        </w:rPr>
        <w:t xml:space="preserve"> 4, </w:t>
      </w:r>
      <w:r>
        <w:rPr>
          <w:rFonts w:ascii="Times New Roman" w:hAnsi="Times New Roman" w:cs="Times New Roman"/>
          <w:sz w:val="24"/>
          <w:szCs w:val="24"/>
        </w:rPr>
        <w:t>7, 10, 11, 13, 14, 16, 17, 18, 19, 20 and 21]</w:t>
      </w:r>
    </w:p>
    <w:p w:rsidR="00B46169" w:rsidRPr="00273555" w:rsidRDefault="00B46169" w:rsidP="00B46169">
      <w:pPr>
        <w:pStyle w:val="ListParagraph"/>
        <w:tabs>
          <w:tab w:val="left" w:pos="0"/>
        </w:tabs>
        <w:spacing w:after="240" w:line="240" w:lineRule="auto"/>
        <w:ind w:left="0"/>
        <w:rPr>
          <w:rFonts w:ascii="Times New Roman" w:hAnsi="Times New Roman" w:cs="Times New Roman"/>
          <w:i/>
          <w:sz w:val="24"/>
          <w:szCs w:val="24"/>
          <w:u w:val="single"/>
        </w:rPr>
      </w:pPr>
      <w:r w:rsidRPr="00273555">
        <w:rPr>
          <w:rFonts w:ascii="Times New Roman" w:hAnsi="Times New Roman" w:cs="Times New Roman"/>
          <w:i/>
          <w:sz w:val="24"/>
          <w:szCs w:val="24"/>
          <w:u w:val="single"/>
        </w:rPr>
        <w:t>References to the CFI Act</w:t>
      </w:r>
    </w:p>
    <w:p w:rsidR="00CD38D8" w:rsidRDefault="00CD38D8" w:rsidP="00622E79">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To reflect the inclusion of additional provisions in the</w:t>
      </w:r>
      <w:r w:rsidR="00611A78">
        <w:rPr>
          <w:rFonts w:ascii="Times New Roman" w:hAnsi="Times New Roman" w:cs="Times New Roman"/>
          <w:sz w:val="24"/>
          <w:szCs w:val="24"/>
        </w:rPr>
        <w:t xml:space="preserve"> CFI Act as a result of</w:t>
      </w:r>
      <w:r>
        <w:rPr>
          <w:rFonts w:ascii="Times New Roman" w:hAnsi="Times New Roman" w:cs="Times New Roman"/>
          <w:sz w:val="24"/>
          <w:szCs w:val="24"/>
        </w:rPr>
        <w:t xml:space="preserve"> </w:t>
      </w:r>
      <w:r w:rsidR="00611A78">
        <w:rPr>
          <w:rFonts w:ascii="Times New Roman" w:hAnsi="Times New Roman" w:cs="Times New Roman"/>
          <w:sz w:val="24"/>
          <w:szCs w:val="24"/>
        </w:rPr>
        <w:t xml:space="preserve">the </w:t>
      </w:r>
      <w:r w:rsidR="00F81827">
        <w:rPr>
          <w:rFonts w:ascii="Times New Roman" w:hAnsi="Times New Roman" w:cs="Times New Roman"/>
          <w:sz w:val="24"/>
          <w:szCs w:val="24"/>
        </w:rPr>
        <w:t>CFI Amendment Act</w:t>
      </w:r>
      <w:r w:rsidR="00611A78">
        <w:rPr>
          <w:rFonts w:ascii="Times New Roman" w:hAnsi="Times New Roman" w:cs="Times New Roman"/>
          <w:sz w:val="24"/>
          <w:szCs w:val="24"/>
        </w:rPr>
        <w:t>, references</w:t>
      </w:r>
      <w:r w:rsidR="00F81827">
        <w:rPr>
          <w:rFonts w:ascii="Times New Roman" w:hAnsi="Times New Roman" w:cs="Times New Roman"/>
          <w:sz w:val="24"/>
          <w:szCs w:val="24"/>
        </w:rPr>
        <w:t xml:space="preserve"> to</w:t>
      </w:r>
      <w:r w:rsidR="00611A78">
        <w:rPr>
          <w:rFonts w:ascii="Times New Roman" w:hAnsi="Times New Roman" w:cs="Times New Roman"/>
          <w:sz w:val="24"/>
          <w:szCs w:val="24"/>
        </w:rPr>
        <w:t xml:space="preserve"> section 13 of the CFI Act</w:t>
      </w:r>
      <w:r w:rsidR="005E740A">
        <w:rPr>
          <w:rFonts w:ascii="Times New Roman" w:hAnsi="Times New Roman" w:cs="Times New Roman"/>
          <w:sz w:val="24"/>
          <w:szCs w:val="24"/>
        </w:rPr>
        <w:t xml:space="preserve"> must now include paragraphs</w:t>
      </w:r>
      <w:r w:rsidR="00611A78">
        <w:rPr>
          <w:rFonts w:ascii="Times New Roman" w:hAnsi="Times New Roman" w:cs="Times New Roman"/>
          <w:sz w:val="24"/>
          <w:szCs w:val="24"/>
        </w:rPr>
        <w:t xml:space="preserve"> </w:t>
      </w:r>
      <w:r w:rsidR="00B46169">
        <w:rPr>
          <w:rFonts w:ascii="Times New Roman" w:hAnsi="Times New Roman" w:cs="Times New Roman"/>
          <w:sz w:val="24"/>
          <w:szCs w:val="24"/>
        </w:rPr>
        <w:t>13</w:t>
      </w:r>
      <w:r w:rsidR="00B46169" w:rsidRPr="00B46169">
        <w:rPr>
          <w:rFonts w:ascii="Times New Roman" w:hAnsi="Times New Roman" w:cs="Times New Roman"/>
          <w:sz w:val="24"/>
          <w:szCs w:val="24"/>
        </w:rPr>
        <w:t>(1</w:t>
      </w:r>
      <w:r w:rsidR="00B46169">
        <w:rPr>
          <w:rFonts w:ascii="Times New Roman" w:hAnsi="Times New Roman" w:cs="Times New Roman"/>
          <w:sz w:val="24"/>
          <w:szCs w:val="24"/>
        </w:rPr>
        <w:t>)(ea) and 13</w:t>
      </w:r>
      <w:r w:rsidR="00B46169" w:rsidRPr="00B46169">
        <w:rPr>
          <w:rFonts w:ascii="Times New Roman" w:hAnsi="Times New Roman" w:cs="Times New Roman"/>
          <w:sz w:val="24"/>
          <w:szCs w:val="24"/>
        </w:rPr>
        <w:t>(1)</w:t>
      </w:r>
      <w:r w:rsidR="00B46169">
        <w:rPr>
          <w:rFonts w:ascii="Times New Roman" w:hAnsi="Times New Roman" w:cs="Times New Roman"/>
          <w:sz w:val="24"/>
          <w:szCs w:val="24"/>
        </w:rPr>
        <w:t>(eb) in addition to paragraph 13</w:t>
      </w:r>
      <w:r w:rsidR="00B46169" w:rsidRPr="00B46169">
        <w:rPr>
          <w:rFonts w:ascii="Times New Roman" w:hAnsi="Times New Roman" w:cs="Times New Roman"/>
          <w:sz w:val="24"/>
          <w:szCs w:val="24"/>
        </w:rPr>
        <w:t>(1)</w:t>
      </w:r>
      <w:r w:rsidR="00B46169">
        <w:rPr>
          <w:rFonts w:ascii="Times New Roman" w:hAnsi="Times New Roman" w:cs="Times New Roman"/>
          <w:sz w:val="24"/>
          <w:szCs w:val="24"/>
        </w:rPr>
        <w:t xml:space="preserve">(e). [Items </w:t>
      </w:r>
      <w:r w:rsidR="005E740A">
        <w:rPr>
          <w:rFonts w:ascii="Times New Roman" w:hAnsi="Times New Roman" w:cs="Times New Roman"/>
          <w:sz w:val="24"/>
          <w:szCs w:val="24"/>
        </w:rPr>
        <w:t xml:space="preserve">1, 3, </w:t>
      </w:r>
      <w:r w:rsidR="00B46169">
        <w:rPr>
          <w:rFonts w:ascii="Times New Roman" w:hAnsi="Times New Roman" w:cs="Times New Roman"/>
          <w:sz w:val="24"/>
          <w:szCs w:val="24"/>
        </w:rPr>
        <w:t>9</w:t>
      </w:r>
      <w:r w:rsidR="005E740A">
        <w:rPr>
          <w:rFonts w:ascii="Times New Roman" w:hAnsi="Times New Roman" w:cs="Times New Roman"/>
          <w:sz w:val="24"/>
          <w:szCs w:val="24"/>
        </w:rPr>
        <w:t xml:space="preserve"> and 12</w:t>
      </w:r>
      <w:r w:rsidR="00B46169">
        <w:rPr>
          <w:rFonts w:ascii="Times New Roman" w:hAnsi="Times New Roman" w:cs="Times New Roman"/>
          <w:sz w:val="24"/>
          <w:szCs w:val="24"/>
        </w:rPr>
        <w:t>]</w:t>
      </w:r>
    </w:p>
    <w:p w:rsidR="00F025A4" w:rsidRPr="00F025A4" w:rsidRDefault="00F025A4" w:rsidP="00F025A4">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Similarly, to reflect amendments to section 76 of the CFI Act as a result of the </w:t>
      </w:r>
      <w:r w:rsidR="00F81827">
        <w:rPr>
          <w:rFonts w:ascii="Times New Roman" w:hAnsi="Times New Roman" w:cs="Times New Roman"/>
          <w:sz w:val="24"/>
          <w:szCs w:val="24"/>
        </w:rPr>
        <w:t>CFI Amendment Act</w:t>
      </w:r>
      <w:r>
        <w:rPr>
          <w:rFonts w:ascii="Times New Roman" w:hAnsi="Times New Roman" w:cs="Times New Roman"/>
          <w:sz w:val="24"/>
          <w:szCs w:val="24"/>
        </w:rPr>
        <w:t>, references to section 76 of the CFI Act must be amended to refer to 76(4)(ca) and 76(4)</w:t>
      </w:r>
      <w:r w:rsidRPr="001415FA">
        <w:rPr>
          <w:rFonts w:ascii="Times New Roman" w:hAnsi="Times New Roman" w:cs="Times New Roman"/>
          <w:sz w:val="24"/>
          <w:szCs w:val="24"/>
        </w:rPr>
        <w:t xml:space="preserve">(cb) </w:t>
      </w:r>
      <w:r>
        <w:rPr>
          <w:rFonts w:ascii="Times New Roman" w:hAnsi="Times New Roman" w:cs="Times New Roman"/>
          <w:sz w:val="24"/>
          <w:szCs w:val="24"/>
        </w:rPr>
        <w:t>in addition to 76(4)(c). [Items 1, 3, 9 and 12]</w:t>
      </w:r>
    </w:p>
    <w:p w:rsidR="00864246" w:rsidRDefault="00864246" w:rsidP="00622E79">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sidRPr="001B2BD8">
        <w:rPr>
          <w:rFonts w:ascii="Times New Roman" w:hAnsi="Times New Roman" w:cs="Times New Roman"/>
          <w:sz w:val="24"/>
          <w:szCs w:val="24"/>
        </w:rPr>
        <w:t xml:space="preserve">This is a consequential amendment that reflects the changes made by the </w:t>
      </w:r>
      <w:r w:rsidR="00F81827">
        <w:rPr>
          <w:rFonts w:ascii="Times New Roman" w:hAnsi="Times New Roman" w:cs="Times New Roman"/>
          <w:sz w:val="24"/>
          <w:szCs w:val="24"/>
        </w:rPr>
        <w:t>CFI Amendment Act</w:t>
      </w:r>
      <w:r w:rsidRPr="001B2BD8">
        <w:rPr>
          <w:rFonts w:ascii="Times New Roman" w:hAnsi="Times New Roman" w:cs="Times New Roman"/>
          <w:sz w:val="24"/>
          <w:szCs w:val="24"/>
        </w:rPr>
        <w:t xml:space="preserve"> to omit the term “CFI audit” and substitutes the term “ERF audit” </w:t>
      </w:r>
    </w:p>
    <w:p w:rsidR="00273555" w:rsidRPr="002F01B5" w:rsidRDefault="00864246" w:rsidP="002F01B5">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This </w:t>
      </w:r>
      <w:r w:rsidR="005E740A">
        <w:rPr>
          <w:rFonts w:ascii="Times New Roman" w:hAnsi="Times New Roman" w:cs="Times New Roman"/>
          <w:sz w:val="24"/>
          <w:szCs w:val="24"/>
        </w:rPr>
        <w:t xml:space="preserve">amendment </w:t>
      </w:r>
      <w:r>
        <w:rPr>
          <w:rFonts w:ascii="Times New Roman" w:hAnsi="Times New Roman" w:cs="Times New Roman"/>
          <w:sz w:val="24"/>
          <w:szCs w:val="24"/>
        </w:rPr>
        <w:t xml:space="preserve">also </w:t>
      </w:r>
      <w:r w:rsidR="005E740A">
        <w:rPr>
          <w:rFonts w:ascii="Times New Roman" w:hAnsi="Times New Roman" w:cs="Times New Roman"/>
          <w:sz w:val="24"/>
          <w:szCs w:val="24"/>
        </w:rPr>
        <w:t>reflect</w:t>
      </w:r>
      <w:r>
        <w:rPr>
          <w:rFonts w:ascii="Times New Roman" w:hAnsi="Times New Roman" w:cs="Times New Roman"/>
          <w:sz w:val="24"/>
          <w:szCs w:val="24"/>
        </w:rPr>
        <w:t>s</w:t>
      </w:r>
      <w:r w:rsidR="005E740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025A4">
        <w:rPr>
          <w:rFonts w:ascii="Times New Roman" w:hAnsi="Times New Roman" w:cs="Times New Roman"/>
          <w:sz w:val="24"/>
          <w:szCs w:val="24"/>
        </w:rPr>
        <w:t xml:space="preserve">new </w:t>
      </w:r>
      <w:r>
        <w:rPr>
          <w:rFonts w:ascii="Times New Roman" w:hAnsi="Times New Roman" w:cs="Times New Roman"/>
          <w:sz w:val="24"/>
          <w:szCs w:val="24"/>
        </w:rPr>
        <w:t>reference</w:t>
      </w:r>
      <w:r w:rsidR="00F025A4">
        <w:rPr>
          <w:rFonts w:ascii="Times New Roman" w:hAnsi="Times New Roman" w:cs="Times New Roman"/>
          <w:sz w:val="24"/>
          <w:szCs w:val="24"/>
        </w:rPr>
        <w:t>s</w:t>
      </w:r>
      <w:r>
        <w:rPr>
          <w:rFonts w:ascii="Times New Roman" w:hAnsi="Times New Roman" w:cs="Times New Roman"/>
          <w:sz w:val="24"/>
          <w:szCs w:val="24"/>
        </w:rPr>
        <w:t xml:space="preserve"> to the requirement for an audit report to be submitted </w:t>
      </w:r>
      <w:r w:rsidR="00F025A4">
        <w:rPr>
          <w:rFonts w:ascii="Times New Roman" w:hAnsi="Times New Roman" w:cs="Times New Roman"/>
          <w:sz w:val="24"/>
          <w:szCs w:val="24"/>
        </w:rPr>
        <w:t xml:space="preserve">due to </w:t>
      </w:r>
      <w:r w:rsidR="005E740A">
        <w:rPr>
          <w:rFonts w:ascii="Times New Roman" w:hAnsi="Times New Roman" w:cs="Times New Roman"/>
          <w:sz w:val="24"/>
          <w:szCs w:val="24"/>
        </w:rPr>
        <w:t xml:space="preserve">provisions relating to </w:t>
      </w:r>
      <w:r w:rsidR="001B2BD8">
        <w:rPr>
          <w:rFonts w:ascii="Times New Roman" w:hAnsi="Times New Roman" w:cs="Times New Roman"/>
          <w:sz w:val="24"/>
          <w:szCs w:val="24"/>
        </w:rPr>
        <w:t xml:space="preserve">audit </w:t>
      </w:r>
      <w:r w:rsidR="005E740A">
        <w:rPr>
          <w:rFonts w:ascii="Times New Roman" w:hAnsi="Times New Roman" w:cs="Times New Roman"/>
          <w:sz w:val="24"/>
          <w:szCs w:val="24"/>
        </w:rPr>
        <w:t>for the purp</w:t>
      </w:r>
      <w:r w:rsidR="00B86BD0">
        <w:rPr>
          <w:rFonts w:ascii="Times New Roman" w:hAnsi="Times New Roman" w:cs="Times New Roman"/>
          <w:sz w:val="24"/>
          <w:szCs w:val="24"/>
        </w:rPr>
        <w:t>oses of the safeguard mechanism</w:t>
      </w:r>
      <w:r w:rsidR="00F025A4">
        <w:rPr>
          <w:rFonts w:ascii="Times New Roman" w:hAnsi="Times New Roman" w:cs="Times New Roman"/>
          <w:sz w:val="24"/>
          <w:szCs w:val="24"/>
        </w:rPr>
        <w:t>, including applications for Certificate</w:t>
      </w:r>
      <w:r w:rsidR="004F07B5">
        <w:rPr>
          <w:rFonts w:ascii="Times New Roman" w:hAnsi="Times New Roman" w:cs="Times New Roman"/>
          <w:sz w:val="24"/>
          <w:szCs w:val="24"/>
        </w:rPr>
        <w:t>s</w:t>
      </w:r>
      <w:r w:rsidR="00F025A4">
        <w:rPr>
          <w:rFonts w:ascii="Times New Roman" w:hAnsi="Times New Roman" w:cs="Times New Roman"/>
          <w:sz w:val="24"/>
          <w:szCs w:val="24"/>
        </w:rPr>
        <w:t xml:space="preserve"> </w:t>
      </w:r>
      <w:r w:rsidR="004F07B5">
        <w:rPr>
          <w:rFonts w:ascii="Times New Roman" w:hAnsi="Times New Roman" w:cs="Times New Roman"/>
          <w:sz w:val="24"/>
          <w:szCs w:val="24"/>
        </w:rPr>
        <w:t>of</w:t>
      </w:r>
      <w:r w:rsidR="00F025A4">
        <w:rPr>
          <w:rFonts w:ascii="Times New Roman" w:hAnsi="Times New Roman" w:cs="Times New Roman"/>
          <w:sz w:val="24"/>
          <w:szCs w:val="24"/>
        </w:rPr>
        <w:t xml:space="preserve"> </w:t>
      </w:r>
      <w:r w:rsidR="004F07B5">
        <w:rPr>
          <w:rFonts w:ascii="Times New Roman" w:hAnsi="Times New Roman" w:cs="Times New Roman"/>
          <w:sz w:val="24"/>
          <w:szCs w:val="24"/>
        </w:rPr>
        <w:t>E</w:t>
      </w:r>
      <w:r w:rsidR="00F025A4">
        <w:rPr>
          <w:rFonts w:ascii="Times New Roman" w:hAnsi="Times New Roman" w:cs="Times New Roman"/>
          <w:sz w:val="24"/>
          <w:szCs w:val="24"/>
        </w:rPr>
        <w:t xml:space="preserve">ntitlement and </w:t>
      </w:r>
      <w:r w:rsidR="009D062E">
        <w:rPr>
          <w:rFonts w:ascii="Times New Roman" w:hAnsi="Times New Roman" w:cs="Times New Roman"/>
          <w:sz w:val="24"/>
          <w:szCs w:val="24"/>
        </w:rPr>
        <w:t>o</w:t>
      </w:r>
      <w:r w:rsidR="00F025A4">
        <w:rPr>
          <w:rFonts w:ascii="Times New Roman" w:hAnsi="Times New Roman" w:cs="Times New Roman"/>
          <w:sz w:val="24"/>
          <w:szCs w:val="24"/>
        </w:rPr>
        <w:t>ffset reports under the CFI Act</w:t>
      </w:r>
      <w:r w:rsidR="005E740A">
        <w:rPr>
          <w:rFonts w:ascii="Times New Roman" w:hAnsi="Times New Roman" w:cs="Times New Roman"/>
          <w:sz w:val="24"/>
          <w:szCs w:val="24"/>
        </w:rPr>
        <w:t>.</w:t>
      </w:r>
    </w:p>
    <w:p w:rsidR="009A648D" w:rsidRPr="00070DA7" w:rsidRDefault="00B6209F" w:rsidP="00264714">
      <w:pPr>
        <w:spacing w:before="120" w:after="120" w:line="240" w:lineRule="auto"/>
        <w:rPr>
          <w:rFonts w:ascii="Times New Roman" w:hAnsi="Times New Roman" w:cs="Times New Roman"/>
          <w:b/>
          <w:sz w:val="28"/>
          <w:szCs w:val="28"/>
        </w:rPr>
      </w:pPr>
      <w:r w:rsidRPr="00070DA7">
        <w:rPr>
          <w:rFonts w:ascii="Times New Roman" w:hAnsi="Times New Roman" w:cs="Times New Roman"/>
          <w:b/>
          <w:sz w:val="28"/>
          <w:szCs w:val="28"/>
        </w:rPr>
        <w:t xml:space="preserve">Schedule 2 — </w:t>
      </w:r>
      <w:r w:rsidR="00EE0545" w:rsidRPr="00070DA7">
        <w:rPr>
          <w:rFonts w:ascii="Times New Roman" w:hAnsi="Times New Roman" w:cs="Times New Roman"/>
          <w:b/>
          <w:sz w:val="28"/>
          <w:szCs w:val="28"/>
        </w:rPr>
        <w:t>Safeguard audit amendments</w:t>
      </w:r>
    </w:p>
    <w:p w:rsidR="009A648D" w:rsidRPr="009A648D" w:rsidRDefault="009A648D" w:rsidP="00264714">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Schedule 2 contains a number of miscellaneous amendments to the</w:t>
      </w:r>
      <w:r w:rsidR="000F04AF">
        <w:rPr>
          <w:rFonts w:ascii="Times New Roman" w:hAnsi="Times New Roman" w:cs="Times New Roman"/>
          <w:sz w:val="24"/>
          <w:szCs w:val="24"/>
        </w:rPr>
        <w:t xml:space="preserve"> Audit</w:t>
      </w:r>
      <w:r>
        <w:rPr>
          <w:rFonts w:ascii="Times New Roman" w:hAnsi="Times New Roman" w:cs="Times New Roman"/>
          <w:sz w:val="24"/>
          <w:szCs w:val="24"/>
        </w:rPr>
        <w:t xml:space="preserve"> Det</w:t>
      </w:r>
      <w:r w:rsidR="002F01B5">
        <w:rPr>
          <w:rFonts w:ascii="Times New Roman" w:hAnsi="Times New Roman" w:cs="Times New Roman"/>
          <w:sz w:val="24"/>
          <w:szCs w:val="24"/>
        </w:rPr>
        <w:t>ermination that are designed to accommodate the safeguard mechanism audit provisions provided for</w:t>
      </w:r>
      <w:r w:rsidR="00240AC5">
        <w:rPr>
          <w:rFonts w:ascii="Times New Roman" w:hAnsi="Times New Roman" w:cs="Times New Roman"/>
          <w:sz w:val="24"/>
          <w:szCs w:val="24"/>
        </w:rPr>
        <w:t xml:space="preserve"> by virtue of the CFI Amendment</w:t>
      </w:r>
      <w:r w:rsidR="002F01B5">
        <w:rPr>
          <w:rFonts w:ascii="Times New Roman" w:hAnsi="Times New Roman" w:cs="Times New Roman"/>
          <w:sz w:val="24"/>
          <w:szCs w:val="24"/>
        </w:rPr>
        <w:t xml:space="preserve"> Act and the amendment Regulation.</w:t>
      </w:r>
    </w:p>
    <w:p w:rsidR="00B044A5" w:rsidRPr="00070DA7" w:rsidRDefault="00C835EB" w:rsidP="00264714">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sidRPr="00C835EB">
        <w:rPr>
          <w:rFonts w:ascii="Times New Roman" w:hAnsi="Times New Roman" w:cs="Times New Roman"/>
          <w:bCs/>
          <w:sz w:val="24"/>
          <w:szCs w:val="24"/>
        </w:rPr>
        <w:t>[</w:t>
      </w:r>
      <w:r w:rsidRPr="00070DA7">
        <w:rPr>
          <w:rFonts w:ascii="Times New Roman" w:hAnsi="Times New Roman" w:cs="Times New Roman"/>
          <w:sz w:val="24"/>
          <w:szCs w:val="24"/>
        </w:rPr>
        <w:t xml:space="preserve">Item </w:t>
      </w:r>
      <w:r w:rsidR="00CA08CC">
        <w:rPr>
          <w:rFonts w:ascii="Times New Roman" w:hAnsi="Times New Roman" w:cs="Times New Roman"/>
          <w:sz w:val="24"/>
          <w:szCs w:val="24"/>
        </w:rPr>
        <w:t>1</w:t>
      </w:r>
      <w:r w:rsidR="00B044A5" w:rsidRPr="00070DA7">
        <w:rPr>
          <w:rFonts w:ascii="Times New Roman" w:hAnsi="Times New Roman" w:cs="Times New Roman"/>
          <w:sz w:val="24"/>
          <w:szCs w:val="24"/>
        </w:rPr>
        <w:t xml:space="preserve">] </w:t>
      </w:r>
      <w:r w:rsidR="001C1240" w:rsidRPr="00070DA7">
        <w:rPr>
          <w:rFonts w:ascii="Times New Roman" w:hAnsi="Times New Roman" w:cs="Times New Roman"/>
          <w:sz w:val="24"/>
          <w:szCs w:val="24"/>
        </w:rPr>
        <w:t>inserts subsection</w:t>
      </w:r>
      <w:r w:rsidR="009C6044" w:rsidRPr="00070DA7">
        <w:rPr>
          <w:rFonts w:ascii="Times New Roman" w:hAnsi="Times New Roman" w:cs="Times New Roman"/>
          <w:sz w:val="24"/>
          <w:szCs w:val="24"/>
        </w:rPr>
        <w:t xml:space="preserve"> 1.</w:t>
      </w:r>
      <w:r w:rsidR="00B044A5" w:rsidRPr="00070DA7">
        <w:rPr>
          <w:rFonts w:ascii="Times New Roman" w:hAnsi="Times New Roman" w:cs="Times New Roman"/>
          <w:sz w:val="24"/>
          <w:szCs w:val="24"/>
        </w:rPr>
        <w:t>3</w:t>
      </w:r>
      <w:r w:rsidR="00F025A4" w:rsidRPr="00070DA7">
        <w:rPr>
          <w:rFonts w:ascii="Times New Roman" w:hAnsi="Times New Roman" w:cs="Times New Roman"/>
          <w:sz w:val="24"/>
          <w:szCs w:val="24"/>
        </w:rPr>
        <w:t>(3B</w:t>
      </w:r>
      <w:r w:rsidR="009C6044" w:rsidRPr="00070DA7">
        <w:rPr>
          <w:rFonts w:ascii="Times New Roman" w:hAnsi="Times New Roman" w:cs="Times New Roman"/>
          <w:sz w:val="24"/>
          <w:szCs w:val="24"/>
        </w:rPr>
        <w:t>)</w:t>
      </w:r>
      <w:r w:rsidR="00B044A5" w:rsidRPr="00070DA7">
        <w:rPr>
          <w:rFonts w:ascii="Times New Roman" w:hAnsi="Times New Roman" w:cs="Times New Roman"/>
          <w:sz w:val="24"/>
          <w:szCs w:val="24"/>
        </w:rPr>
        <w:t xml:space="preserve"> </w:t>
      </w:r>
      <w:r w:rsidR="00402C5A" w:rsidRPr="00070DA7">
        <w:rPr>
          <w:rFonts w:ascii="Times New Roman" w:hAnsi="Times New Roman" w:cs="Times New Roman"/>
          <w:sz w:val="24"/>
          <w:szCs w:val="24"/>
        </w:rPr>
        <w:t>into the overview of the Determination</w:t>
      </w:r>
      <w:r w:rsidR="00240AC5">
        <w:rPr>
          <w:rFonts w:ascii="Times New Roman" w:hAnsi="Times New Roman" w:cs="Times New Roman"/>
          <w:sz w:val="24"/>
          <w:szCs w:val="24"/>
        </w:rPr>
        <w:t>,</w:t>
      </w:r>
      <w:r w:rsidR="00402C5A" w:rsidRPr="00070DA7">
        <w:rPr>
          <w:rFonts w:ascii="Times New Roman" w:hAnsi="Times New Roman" w:cs="Times New Roman"/>
          <w:sz w:val="24"/>
          <w:szCs w:val="24"/>
        </w:rPr>
        <w:t xml:space="preserve"> </w:t>
      </w:r>
      <w:r w:rsidR="00B044A5" w:rsidRPr="00070DA7">
        <w:rPr>
          <w:rFonts w:ascii="Times New Roman" w:hAnsi="Times New Roman" w:cs="Times New Roman"/>
          <w:sz w:val="24"/>
          <w:szCs w:val="24"/>
        </w:rPr>
        <w:t xml:space="preserve">to </w:t>
      </w:r>
      <w:r w:rsidR="00402C5A" w:rsidRPr="00070DA7">
        <w:rPr>
          <w:rFonts w:ascii="Times New Roman" w:hAnsi="Times New Roman" w:cs="Times New Roman"/>
          <w:sz w:val="24"/>
          <w:szCs w:val="24"/>
        </w:rPr>
        <w:t xml:space="preserve">reflect the inclusion of a </w:t>
      </w:r>
      <w:r w:rsidR="00B044A5" w:rsidRPr="00070DA7">
        <w:rPr>
          <w:rFonts w:ascii="Times New Roman" w:hAnsi="Times New Roman" w:cs="Times New Roman"/>
          <w:sz w:val="24"/>
          <w:szCs w:val="24"/>
        </w:rPr>
        <w:t>“safeguard audit”</w:t>
      </w:r>
      <w:r w:rsidR="00402C5A" w:rsidRPr="00070DA7">
        <w:rPr>
          <w:rFonts w:ascii="Times New Roman" w:hAnsi="Times New Roman" w:cs="Times New Roman"/>
          <w:sz w:val="24"/>
          <w:szCs w:val="24"/>
        </w:rPr>
        <w:t xml:space="preserve"> in an application for a baseline determination</w:t>
      </w:r>
      <w:r w:rsidR="00E20E61" w:rsidRPr="00070DA7">
        <w:rPr>
          <w:rFonts w:ascii="Times New Roman" w:hAnsi="Times New Roman" w:cs="Times New Roman"/>
          <w:sz w:val="24"/>
          <w:szCs w:val="24"/>
        </w:rPr>
        <w:t xml:space="preserve">. </w:t>
      </w:r>
      <w:r w:rsidR="001C1240" w:rsidRPr="00070DA7">
        <w:rPr>
          <w:rFonts w:ascii="Times New Roman" w:hAnsi="Times New Roman" w:cs="Times New Roman"/>
          <w:sz w:val="24"/>
          <w:szCs w:val="24"/>
        </w:rPr>
        <w:t xml:space="preserve">The Act (as amended by the </w:t>
      </w:r>
      <w:r w:rsidR="00F81827">
        <w:rPr>
          <w:rFonts w:ascii="Times New Roman" w:hAnsi="Times New Roman" w:cs="Times New Roman"/>
          <w:sz w:val="24"/>
          <w:szCs w:val="24"/>
        </w:rPr>
        <w:t>CFI Amendment Act</w:t>
      </w:r>
      <w:r w:rsidR="001C1240" w:rsidRPr="00070DA7">
        <w:rPr>
          <w:rFonts w:ascii="Times New Roman" w:hAnsi="Times New Roman" w:cs="Times New Roman"/>
          <w:sz w:val="24"/>
          <w:szCs w:val="24"/>
        </w:rPr>
        <w:t xml:space="preserve">) defines a “safeguard audit”. </w:t>
      </w:r>
      <w:r w:rsidR="008A3DD2" w:rsidRPr="00070DA7">
        <w:rPr>
          <w:rFonts w:ascii="Times New Roman" w:hAnsi="Times New Roman" w:cs="Times New Roman"/>
          <w:sz w:val="24"/>
          <w:szCs w:val="24"/>
        </w:rPr>
        <w:t xml:space="preserve"> </w:t>
      </w:r>
    </w:p>
    <w:p w:rsidR="001C1240" w:rsidRPr="00070DA7" w:rsidRDefault="00CA08CC" w:rsidP="00264714">
      <w:pPr>
        <w:pStyle w:val="ListParagraph"/>
        <w:numPr>
          <w:ilvl w:val="1"/>
          <w:numId w:val="24"/>
        </w:numPr>
        <w:tabs>
          <w:tab w:val="left" w:pos="0"/>
        </w:tabs>
        <w:spacing w:after="240" w:line="240" w:lineRule="auto"/>
        <w:ind w:left="0" w:firstLine="0"/>
        <w:rPr>
          <w:rFonts w:ascii="Times New Roman" w:hAnsi="Times New Roman" w:cs="Times New Roman"/>
          <w:sz w:val="24"/>
          <w:szCs w:val="24"/>
        </w:rPr>
      </w:pPr>
      <w:r>
        <w:rPr>
          <w:rFonts w:ascii="Times New Roman" w:hAnsi="Times New Roman" w:cs="Times New Roman"/>
          <w:sz w:val="24"/>
          <w:szCs w:val="24"/>
        </w:rPr>
        <w:t>[Item 2</w:t>
      </w:r>
      <w:r w:rsidR="001C1240" w:rsidRPr="00070DA7">
        <w:rPr>
          <w:rFonts w:ascii="Times New Roman" w:hAnsi="Times New Roman" w:cs="Times New Roman"/>
          <w:sz w:val="24"/>
          <w:szCs w:val="24"/>
        </w:rPr>
        <w:t>] inserts the term ‘</w:t>
      </w:r>
      <w:r w:rsidR="0070247E" w:rsidRPr="00070DA7">
        <w:rPr>
          <w:rFonts w:ascii="Times New Roman" w:hAnsi="Times New Roman" w:cs="Times New Roman"/>
          <w:sz w:val="24"/>
          <w:szCs w:val="24"/>
        </w:rPr>
        <w:t>safeguard</w:t>
      </w:r>
      <w:r w:rsidR="001C1240" w:rsidRPr="00070DA7">
        <w:rPr>
          <w:rFonts w:ascii="Times New Roman" w:hAnsi="Times New Roman" w:cs="Times New Roman"/>
          <w:sz w:val="24"/>
          <w:szCs w:val="24"/>
        </w:rPr>
        <w:t xml:space="preserve"> audit</w:t>
      </w:r>
      <w:r w:rsidR="0070247E" w:rsidRPr="00070DA7">
        <w:rPr>
          <w:rFonts w:ascii="Times New Roman" w:hAnsi="Times New Roman" w:cs="Times New Roman"/>
          <w:sz w:val="24"/>
          <w:szCs w:val="24"/>
        </w:rPr>
        <w:t xml:space="preserve">’ </w:t>
      </w:r>
      <w:r w:rsidR="00402C5A" w:rsidRPr="00070DA7">
        <w:rPr>
          <w:rFonts w:ascii="Times New Roman" w:hAnsi="Times New Roman" w:cs="Times New Roman"/>
          <w:sz w:val="24"/>
          <w:szCs w:val="24"/>
        </w:rPr>
        <w:t>into the definition</w:t>
      </w:r>
      <w:r w:rsidR="008F0C74" w:rsidRPr="00070DA7">
        <w:rPr>
          <w:rFonts w:ascii="Times New Roman" w:hAnsi="Times New Roman" w:cs="Times New Roman"/>
          <w:sz w:val="24"/>
          <w:szCs w:val="24"/>
        </w:rPr>
        <w:t>s</w:t>
      </w:r>
      <w:r w:rsidR="00240AC5">
        <w:rPr>
          <w:rFonts w:ascii="Times New Roman" w:hAnsi="Times New Roman" w:cs="Times New Roman"/>
          <w:sz w:val="24"/>
          <w:szCs w:val="24"/>
        </w:rPr>
        <w:t xml:space="preserve"> section of the Audit Determination,</w:t>
      </w:r>
      <w:r w:rsidR="00402C5A" w:rsidRPr="00070DA7">
        <w:rPr>
          <w:rFonts w:ascii="Times New Roman" w:hAnsi="Times New Roman" w:cs="Times New Roman"/>
          <w:sz w:val="24"/>
          <w:szCs w:val="24"/>
        </w:rPr>
        <w:t xml:space="preserve"> </w:t>
      </w:r>
      <w:r w:rsidR="0070247E" w:rsidRPr="00070DA7">
        <w:rPr>
          <w:rFonts w:ascii="Times New Roman" w:hAnsi="Times New Roman" w:cs="Times New Roman"/>
          <w:sz w:val="24"/>
          <w:szCs w:val="24"/>
        </w:rPr>
        <w:t>and</w:t>
      </w:r>
      <w:r w:rsidR="001C1240" w:rsidRPr="00070DA7">
        <w:rPr>
          <w:rFonts w:ascii="Times New Roman" w:hAnsi="Times New Roman" w:cs="Times New Roman"/>
          <w:sz w:val="24"/>
          <w:szCs w:val="24"/>
        </w:rPr>
        <w:t xml:space="preserve"> </w:t>
      </w:r>
      <w:r w:rsidR="0070247E" w:rsidRPr="00070DA7">
        <w:rPr>
          <w:rFonts w:ascii="Times New Roman" w:hAnsi="Times New Roman" w:cs="Times New Roman"/>
          <w:sz w:val="24"/>
          <w:szCs w:val="24"/>
        </w:rPr>
        <w:t>is designed to include the c</w:t>
      </w:r>
      <w:r w:rsidR="008B36F1">
        <w:rPr>
          <w:rFonts w:ascii="Times New Roman" w:hAnsi="Times New Roman" w:cs="Times New Roman"/>
          <w:sz w:val="24"/>
          <w:szCs w:val="24"/>
        </w:rPr>
        <w:t>oncept of a safeguard audit in</w:t>
      </w:r>
      <w:r w:rsidR="0070247E" w:rsidRPr="00070DA7">
        <w:rPr>
          <w:rFonts w:ascii="Times New Roman" w:hAnsi="Times New Roman" w:cs="Times New Roman"/>
          <w:sz w:val="24"/>
          <w:szCs w:val="24"/>
        </w:rPr>
        <w:t xml:space="preserve"> the Audit Determination. </w:t>
      </w:r>
      <w:r w:rsidR="001C1240" w:rsidRPr="00070DA7">
        <w:rPr>
          <w:rFonts w:ascii="Times New Roman" w:hAnsi="Times New Roman" w:cs="Times New Roman"/>
          <w:sz w:val="24"/>
          <w:szCs w:val="24"/>
        </w:rPr>
        <w:t>This is also reflected in</w:t>
      </w:r>
      <w:r w:rsidR="008B36F1">
        <w:rPr>
          <w:rFonts w:ascii="Times New Roman" w:hAnsi="Times New Roman" w:cs="Times New Roman"/>
          <w:sz w:val="24"/>
          <w:szCs w:val="24"/>
        </w:rPr>
        <w:t xml:space="preserve"> definitions amended by</w:t>
      </w:r>
      <w:r>
        <w:rPr>
          <w:rFonts w:ascii="Times New Roman" w:hAnsi="Times New Roman" w:cs="Times New Roman"/>
          <w:sz w:val="24"/>
          <w:szCs w:val="24"/>
        </w:rPr>
        <w:t xml:space="preserve"> [items 3, 5, and 6</w:t>
      </w:r>
      <w:r w:rsidR="001C1240" w:rsidRPr="00070DA7">
        <w:rPr>
          <w:rFonts w:ascii="Times New Roman" w:hAnsi="Times New Roman" w:cs="Times New Roman"/>
          <w:sz w:val="24"/>
          <w:szCs w:val="24"/>
        </w:rPr>
        <w:t>]</w:t>
      </w:r>
      <w:r w:rsidR="008B36F1">
        <w:rPr>
          <w:rFonts w:ascii="Times New Roman" w:hAnsi="Times New Roman" w:cs="Times New Roman"/>
          <w:sz w:val="24"/>
          <w:szCs w:val="24"/>
        </w:rPr>
        <w:t>.</w:t>
      </w:r>
    </w:p>
    <w:p w:rsidR="0070247E" w:rsidRDefault="00CA08CC" w:rsidP="00264714">
      <w:pPr>
        <w:pStyle w:val="ListParagraph"/>
        <w:numPr>
          <w:ilvl w:val="1"/>
          <w:numId w:val="24"/>
        </w:numPr>
        <w:tabs>
          <w:tab w:val="left" w:pos="0"/>
        </w:tabs>
        <w:spacing w:after="240" w:line="240" w:lineRule="auto"/>
        <w:ind w:left="0" w:firstLine="0"/>
        <w:rPr>
          <w:rFonts w:ascii="Times New Roman" w:hAnsi="Times New Roman" w:cs="Times New Roman"/>
          <w:bCs/>
          <w:sz w:val="24"/>
          <w:szCs w:val="24"/>
        </w:rPr>
      </w:pPr>
      <w:r>
        <w:rPr>
          <w:rFonts w:ascii="Times New Roman" w:hAnsi="Times New Roman" w:cs="Times New Roman"/>
          <w:sz w:val="24"/>
          <w:szCs w:val="24"/>
        </w:rPr>
        <w:t>[Item 4</w:t>
      </w:r>
      <w:r w:rsidR="0070247E" w:rsidRPr="00070DA7">
        <w:rPr>
          <w:rFonts w:ascii="Times New Roman" w:hAnsi="Times New Roman" w:cs="Times New Roman"/>
          <w:sz w:val="24"/>
          <w:szCs w:val="24"/>
        </w:rPr>
        <w:t xml:space="preserve">] </w:t>
      </w:r>
      <w:r w:rsidR="00056463" w:rsidRPr="00070DA7">
        <w:rPr>
          <w:rFonts w:ascii="Times New Roman" w:hAnsi="Times New Roman" w:cs="Times New Roman"/>
          <w:sz w:val="24"/>
          <w:szCs w:val="24"/>
        </w:rPr>
        <w:t>insert</w:t>
      </w:r>
      <w:r w:rsidR="008B36F1">
        <w:rPr>
          <w:rFonts w:ascii="Times New Roman" w:hAnsi="Times New Roman" w:cs="Times New Roman"/>
          <w:sz w:val="24"/>
          <w:szCs w:val="24"/>
        </w:rPr>
        <w:t>s</w:t>
      </w:r>
      <w:r w:rsidR="00056463" w:rsidRPr="00070DA7">
        <w:rPr>
          <w:rFonts w:ascii="Times New Roman" w:hAnsi="Times New Roman" w:cs="Times New Roman"/>
          <w:sz w:val="24"/>
          <w:szCs w:val="24"/>
        </w:rPr>
        <w:t xml:space="preserve"> the </w:t>
      </w:r>
      <w:r w:rsidR="00F31CE7" w:rsidRPr="00070DA7">
        <w:rPr>
          <w:rFonts w:ascii="Times New Roman" w:hAnsi="Times New Roman" w:cs="Times New Roman"/>
          <w:sz w:val="24"/>
          <w:szCs w:val="24"/>
        </w:rPr>
        <w:t>term “</w:t>
      </w:r>
      <w:r w:rsidR="00056463" w:rsidRPr="00070DA7">
        <w:rPr>
          <w:rFonts w:ascii="Times New Roman" w:hAnsi="Times New Roman" w:cs="Times New Roman"/>
          <w:sz w:val="24"/>
          <w:szCs w:val="24"/>
        </w:rPr>
        <w:t>safeguard rules</w:t>
      </w:r>
      <w:r w:rsidR="00F31CE7" w:rsidRPr="00070DA7">
        <w:rPr>
          <w:rFonts w:ascii="Times New Roman" w:hAnsi="Times New Roman" w:cs="Times New Roman"/>
          <w:sz w:val="24"/>
          <w:szCs w:val="24"/>
        </w:rPr>
        <w:t>”</w:t>
      </w:r>
      <w:r w:rsidR="00056463" w:rsidRPr="00070DA7">
        <w:rPr>
          <w:rFonts w:ascii="Times New Roman" w:hAnsi="Times New Roman" w:cs="Times New Roman"/>
          <w:sz w:val="24"/>
          <w:szCs w:val="24"/>
        </w:rPr>
        <w:t xml:space="preserve"> into the definition of </w:t>
      </w:r>
      <w:r w:rsidR="008B36F1">
        <w:rPr>
          <w:rFonts w:ascii="Times New Roman" w:hAnsi="Times New Roman" w:cs="Times New Roman"/>
          <w:sz w:val="24"/>
          <w:szCs w:val="24"/>
        </w:rPr>
        <w:t>“</w:t>
      </w:r>
      <w:r w:rsidR="00056463" w:rsidRPr="00070DA7">
        <w:rPr>
          <w:rFonts w:ascii="Times New Roman" w:hAnsi="Times New Roman" w:cs="Times New Roman"/>
          <w:sz w:val="24"/>
          <w:szCs w:val="24"/>
        </w:rPr>
        <w:t>NGER</w:t>
      </w:r>
      <w:r w:rsidR="00056463">
        <w:rPr>
          <w:rFonts w:ascii="Times New Roman" w:hAnsi="Times New Roman" w:cs="Times New Roman"/>
          <w:bCs/>
          <w:sz w:val="24"/>
          <w:szCs w:val="24"/>
        </w:rPr>
        <w:t xml:space="preserve"> legislation</w:t>
      </w:r>
      <w:r w:rsidR="008B36F1">
        <w:rPr>
          <w:rFonts w:ascii="Times New Roman" w:hAnsi="Times New Roman" w:cs="Times New Roman"/>
          <w:bCs/>
          <w:sz w:val="24"/>
          <w:szCs w:val="24"/>
        </w:rPr>
        <w:t>” conta</w:t>
      </w:r>
      <w:r w:rsidR="008A30D6">
        <w:rPr>
          <w:rFonts w:ascii="Times New Roman" w:hAnsi="Times New Roman" w:cs="Times New Roman"/>
          <w:bCs/>
          <w:sz w:val="24"/>
          <w:szCs w:val="24"/>
        </w:rPr>
        <w:t xml:space="preserve">ined in the Audit Determination to include the safeguard rules under the umbrella of NGER legislation. </w:t>
      </w:r>
    </w:p>
    <w:p w:rsidR="00642E4A" w:rsidRPr="00A572FB" w:rsidRDefault="00CA08CC" w:rsidP="00E72A3E">
      <w:pPr>
        <w:pStyle w:val="ListParagraph"/>
        <w:numPr>
          <w:ilvl w:val="1"/>
          <w:numId w:val="24"/>
        </w:numPr>
        <w:tabs>
          <w:tab w:val="left" w:pos="0"/>
        </w:tabs>
        <w:spacing w:after="240" w:line="240" w:lineRule="auto"/>
        <w:ind w:left="0" w:firstLine="0"/>
        <w:rPr>
          <w:rFonts w:ascii="Times New Roman" w:hAnsi="Times New Roman" w:cs="Times New Roman"/>
          <w:bCs/>
          <w:sz w:val="24"/>
          <w:szCs w:val="24"/>
        </w:rPr>
      </w:pPr>
      <w:r>
        <w:rPr>
          <w:rFonts w:ascii="Times New Roman" w:hAnsi="Times New Roman" w:cs="Times New Roman"/>
          <w:bCs/>
          <w:sz w:val="24"/>
          <w:szCs w:val="24"/>
        </w:rPr>
        <w:t>[Item 7</w:t>
      </w:r>
      <w:r w:rsidR="00A572FB" w:rsidRPr="00A572FB">
        <w:rPr>
          <w:rFonts w:ascii="Times New Roman" w:hAnsi="Times New Roman" w:cs="Times New Roman"/>
          <w:bCs/>
          <w:sz w:val="24"/>
          <w:szCs w:val="24"/>
        </w:rPr>
        <w:t>] inserts a new subsection 1.5(1B) into the Audit Determination. This subsection is intended to clarify that a safeguard audit is designed to accompany an application for a baseline determination under the safeguard rules.</w:t>
      </w:r>
      <w:r w:rsidR="00F31CE7" w:rsidRPr="00A572FB">
        <w:rPr>
          <w:rFonts w:ascii="Times New Roman" w:hAnsi="Times New Roman" w:cs="Times New Roman"/>
          <w:bCs/>
          <w:sz w:val="24"/>
          <w:szCs w:val="24"/>
        </w:rPr>
        <w:t xml:space="preserve"> </w:t>
      </w:r>
    </w:p>
    <w:p w:rsidR="00056463" w:rsidRPr="00E72A3E" w:rsidRDefault="00CA08CC" w:rsidP="00E72A3E">
      <w:pPr>
        <w:pStyle w:val="ListParagraph"/>
        <w:numPr>
          <w:ilvl w:val="1"/>
          <w:numId w:val="24"/>
        </w:numPr>
        <w:tabs>
          <w:tab w:val="left" w:pos="0"/>
        </w:tabs>
        <w:spacing w:after="240" w:line="240" w:lineRule="auto"/>
        <w:ind w:left="0" w:firstLine="0"/>
        <w:rPr>
          <w:rFonts w:ascii="Times New Roman" w:hAnsi="Times New Roman" w:cs="Times New Roman"/>
          <w:bCs/>
          <w:sz w:val="24"/>
          <w:szCs w:val="24"/>
        </w:rPr>
      </w:pPr>
      <w:r>
        <w:rPr>
          <w:rFonts w:ascii="Times New Roman" w:hAnsi="Times New Roman" w:cs="Times New Roman"/>
          <w:bCs/>
          <w:sz w:val="24"/>
          <w:szCs w:val="24"/>
        </w:rPr>
        <w:t>[Item 8</w:t>
      </w:r>
      <w:r w:rsidR="00056463" w:rsidRPr="00A572FB">
        <w:rPr>
          <w:rFonts w:ascii="Times New Roman" w:hAnsi="Times New Roman" w:cs="Times New Roman"/>
          <w:bCs/>
          <w:sz w:val="24"/>
          <w:szCs w:val="24"/>
        </w:rPr>
        <w:t>]</w:t>
      </w:r>
      <w:r w:rsidR="009262A5" w:rsidRPr="00A572FB">
        <w:rPr>
          <w:rFonts w:ascii="Times New Roman" w:hAnsi="Times New Roman" w:cs="Times New Roman"/>
          <w:bCs/>
          <w:sz w:val="24"/>
          <w:szCs w:val="24"/>
        </w:rPr>
        <w:t xml:space="preserve"> </w:t>
      </w:r>
      <w:r w:rsidR="0024367D" w:rsidRPr="00A572FB">
        <w:rPr>
          <w:rFonts w:ascii="Times New Roman" w:hAnsi="Times New Roman" w:cs="Times New Roman"/>
          <w:bCs/>
          <w:sz w:val="24"/>
          <w:szCs w:val="24"/>
        </w:rPr>
        <w:t xml:space="preserve">inserts a </w:t>
      </w:r>
      <w:r w:rsidR="009262A5" w:rsidRPr="00A572FB">
        <w:rPr>
          <w:rFonts w:ascii="Times New Roman" w:hAnsi="Times New Roman" w:cs="Times New Roman"/>
          <w:bCs/>
          <w:sz w:val="24"/>
          <w:szCs w:val="24"/>
        </w:rPr>
        <w:t xml:space="preserve">requirement </w:t>
      </w:r>
      <w:r w:rsidR="003A28F3" w:rsidRPr="00A572FB">
        <w:rPr>
          <w:rFonts w:ascii="Times New Roman" w:hAnsi="Times New Roman" w:cs="Times New Roman"/>
          <w:bCs/>
          <w:sz w:val="24"/>
          <w:szCs w:val="24"/>
        </w:rPr>
        <w:t>that</w:t>
      </w:r>
      <w:r w:rsidR="00A769F0" w:rsidRPr="00A572FB">
        <w:rPr>
          <w:rFonts w:ascii="Times New Roman" w:hAnsi="Times New Roman" w:cs="Times New Roman"/>
          <w:bCs/>
          <w:sz w:val="24"/>
          <w:szCs w:val="24"/>
        </w:rPr>
        <w:t xml:space="preserve"> </w:t>
      </w:r>
      <w:r w:rsidR="00E72A3E" w:rsidRPr="00A572FB">
        <w:rPr>
          <w:rFonts w:ascii="Times New Roman" w:hAnsi="Times New Roman" w:cs="Times New Roman"/>
          <w:bCs/>
          <w:sz w:val="24"/>
          <w:szCs w:val="24"/>
        </w:rPr>
        <w:t>the auditor include in the</w:t>
      </w:r>
      <w:r w:rsidR="008D7829">
        <w:rPr>
          <w:rFonts w:ascii="Times New Roman" w:hAnsi="Times New Roman" w:cs="Times New Roman"/>
          <w:bCs/>
          <w:sz w:val="24"/>
          <w:szCs w:val="24"/>
        </w:rPr>
        <w:t>ir</w:t>
      </w:r>
      <w:r w:rsidR="00E72A3E" w:rsidRPr="00A572FB">
        <w:rPr>
          <w:rFonts w:ascii="Times New Roman" w:hAnsi="Times New Roman" w:cs="Times New Roman"/>
          <w:bCs/>
          <w:sz w:val="24"/>
          <w:szCs w:val="24"/>
        </w:rPr>
        <w:t xml:space="preserve"> </w:t>
      </w:r>
      <w:r w:rsidR="008D7829">
        <w:rPr>
          <w:rFonts w:ascii="Times New Roman" w:hAnsi="Times New Roman" w:cs="Times New Roman"/>
          <w:bCs/>
          <w:sz w:val="24"/>
          <w:szCs w:val="24"/>
        </w:rPr>
        <w:t xml:space="preserve">assurance engagement plan, </w:t>
      </w:r>
      <w:r w:rsidR="003E4E8A">
        <w:rPr>
          <w:rFonts w:ascii="Times New Roman" w:hAnsi="Times New Roman" w:cs="Times New Roman"/>
          <w:bCs/>
          <w:sz w:val="24"/>
          <w:szCs w:val="24"/>
        </w:rPr>
        <w:t>the auditor’s</w:t>
      </w:r>
      <w:r w:rsidR="00E72A3E" w:rsidRPr="00A572FB">
        <w:rPr>
          <w:rFonts w:ascii="Times New Roman" w:hAnsi="Times New Roman" w:cs="Times New Roman"/>
          <w:bCs/>
          <w:sz w:val="24"/>
          <w:szCs w:val="24"/>
        </w:rPr>
        <w:t xml:space="preserve"> understanding of the system and process the responsible emitter has in place to</w:t>
      </w:r>
      <w:r w:rsidR="006F71B9" w:rsidRPr="00A572FB">
        <w:rPr>
          <w:rFonts w:ascii="Times New Roman" w:hAnsi="Times New Roman" w:cs="Times New Roman"/>
          <w:bCs/>
          <w:sz w:val="24"/>
          <w:szCs w:val="24"/>
        </w:rPr>
        <w:t xml:space="preserve"> identify the risk of</w:t>
      </w:r>
      <w:r w:rsidR="00E72A3E" w:rsidRPr="00A572FB">
        <w:rPr>
          <w:rFonts w:ascii="Times New Roman" w:hAnsi="Times New Roman" w:cs="Times New Roman"/>
          <w:bCs/>
          <w:sz w:val="24"/>
          <w:szCs w:val="24"/>
        </w:rPr>
        <w:t xml:space="preserve"> misstatement</w:t>
      </w:r>
      <w:r w:rsidR="006F71B9" w:rsidRPr="00A572FB">
        <w:rPr>
          <w:rFonts w:ascii="Times New Roman" w:hAnsi="Times New Roman" w:cs="Times New Roman"/>
          <w:bCs/>
          <w:sz w:val="24"/>
          <w:szCs w:val="24"/>
        </w:rPr>
        <w:t xml:space="preserve">s that are material and </w:t>
      </w:r>
      <w:r w:rsidR="006F71B9" w:rsidRPr="00A572FB">
        <w:rPr>
          <w:rFonts w:ascii="Times New Roman" w:hAnsi="Times New Roman" w:cs="Times New Roman"/>
          <w:sz w:val="24"/>
          <w:szCs w:val="24"/>
        </w:rPr>
        <w:t>relevant to its application requirements under the safeguard rul</w:t>
      </w:r>
      <w:r w:rsidR="006F71B9" w:rsidRPr="00A572FB">
        <w:rPr>
          <w:rFonts w:ascii="Times New Roman" w:hAnsi="Times New Roman" w:cs="Times New Roman"/>
          <w:bCs/>
          <w:sz w:val="24"/>
          <w:szCs w:val="24"/>
        </w:rPr>
        <w:t>es</w:t>
      </w:r>
      <w:r w:rsidR="00E72A3E" w:rsidRPr="00A572FB">
        <w:rPr>
          <w:rFonts w:ascii="Times New Roman" w:hAnsi="Times New Roman" w:cs="Times New Roman"/>
          <w:bCs/>
          <w:sz w:val="24"/>
          <w:szCs w:val="24"/>
        </w:rPr>
        <w:t xml:space="preserve">. This amendment </w:t>
      </w:r>
      <w:r w:rsidR="00A769F0" w:rsidRPr="00A572FB">
        <w:rPr>
          <w:rFonts w:ascii="Times New Roman" w:hAnsi="Times New Roman" w:cs="Times New Roman"/>
          <w:bCs/>
          <w:sz w:val="24"/>
          <w:szCs w:val="24"/>
        </w:rPr>
        <w:t>align</w:t>
      </w:r>
      <w:r w:rsidR="003A28F3" w:rsidRPr="00A572FB">
        <w:rPr>
          <w:rFonts w:ascii="Times New Roman" w:hAnsi="Times New Roman" w:cs="Times New Roman"/>
          <w:bCs/>
          <w:sz w:val="24"/>
          <w:szCs w:val="24"/>
        </w:rPr>
        <w:t>s</w:t>
      </w:r>
      <w:r w:rsidR="00E72A3E" w:rsidRPr="00A572FB">
        <w:rPr>
          <w:rFonts w:ascii="Times New Roman" w:hAnsi="Times New Roman" w:cs="Times New Roman"/>
          <w:bCs/>
          <w:sz w:val="24"/>
          <w:szCs w:val="24"/>
        </w:rPr>
        <w:t xml:space="preserve"> the requirement of a safeguard audit </w:t>
      </w:r>
      <w:r w:rsidR="003A28F3" w:rsidRPr="00A572FB">
        <w:rPr>
          <w:rFonts w:ascii="Times New Roman" w:hAnsi="Times New Roman" w:cs="Times New Roman"/>
          <w:bCs/>
          <w:sz w:val="24"/>
          <w:szCs w:val="24"/>
        </w:rPr>
        <w:t xml:space="preserve">assurance engagement plan </w:t>
      </w:r>
      <w:r w:rsidR="00E72A3E" w:rsidRPr="00A572FB">
        <w:rPr>
          <w:rFonts w:ascii="Times New Roman" w:hAnsi="Times New Roman" w:cs="Times New Roman"/>
          <w:bCs/>
          <w:sz w:val="24"/>
          <w:szCs w:val="24"/>
        </w:rPr>
        <w:t xml:space="preserve">with the </w:t>
      </w:r>
      <w:r w:rsidR="003A28F3" w:rsidRPr="00A572FB">
        <w:rPr>
          <w:rFonts w:ascii="Times New Roman" w:hAnsi="Times New Roman" w:cs="Times New Roman"/>
          <w:bCs/>
          <w:sz w:val="24"/>
          <w:szCs w:val="24"/>
        </w:rPr>
        <w:t>assu</w:t>
      </w:r>
      <w:r w:rsidR="008D7829">
        <w:rPr>
          <w:rFonts w:ascii="Times New Roman" w:hAnsi="Times New Roman" w:cs="Times New Roman"/>
          <w:bCs/>
          <w:sz w:val="24"/>
          <w:szCs w:val="24"/>
        </w:rPr>
        <w:t>rance engagement plans for</w:t>
      </w:r>
      <w:r w:rsidR="003A28F3" w:rsidRPr="00A572FB">
        <w:rPr>
          <w:rFonts w:ascii="Times New Roman" w:hAnsi="Times New Roman" w:cs="Times New Roman"/>
          <w:bCs/>
          <w:sz w:val="24"/>
          <w:szCs w:val="24"/>
        </w:rPr>
        <w:t xml:space="preserve"> other type of audits</w:t>
      </w:r>
      <w:r w:rsidR="006F71B9" w:rsidRPr="00A572FB">
        <w:rPr>
          <w:rFonts w:ascii="Times New Roman" w:hAnsi="Times New Roman" w:cs="Times New Roman"/>
          <w:bCs/>
          <w:sz w:val="24"/>
          <w:szCs w:val="24"/>
        </w:rPr>
        <w:t xml:space="preserve"> that are described in paragraph 3.6(5)(h) of the Determination</w:t>
      </w:r>
      <w:r w:rsidR="003A28F3" w:rsidRPr="00A572FB">
        <w:rPr>
          <w:rFonts w:ascii="Times New Roman" w:hAnsi="Times New Roman" w:cs="Times New Roman"/>
          <w:bCs/>
          <w:sz w:val="24"/>
          <w:szCs w:val="24"/>
        </w:rPr>
        <w:t>.</w:t>
      </w:r>
      <w:r w:rsidR="00A769F0" w:rsidRPr="00E72A3E">
        <w:rPr>
          <w:rFonts w:ascii="Times New Roman" w:hAnsi="Times New Roman" w:cs="Times New Roman"/>
          <w:bCs/>
          <w:sz w:val="24"/>
          <w:szCs w:val="24"/>
        </w:rPr>
        <w:t xml:space="preserve"> </w:t>
      </w:r>
    </w:p>
    <w:p w:rsidR="00BC0084" w:rsidRDefault="00BC0084" w:rsidP="00264714">
      <w:pPr>
        <w:pStyle w:val="base-text-paragraphnonumbers"/>
        <w:spacing w:before="0"/>
        <w:ind w:left="0"/>
        <w:rPr>
          <w:b/>
          <w:bCs/>
          <w:sz w:val="24"/>
          <w:szCs w:val="24"/>
          <w:u w:val="single"/>
        </w:rPr>
        <w:sectPr w:rsidR="00BC0084" w:rsidSect="00B7659E">
          <w:headerReference w:type="default" r:id="rId13"/>
          <w:footerReference w:type="default" r:id="rId14"/>
          <w:pgSz w:w="11906" w:h="16838"/>
          <w:pgMar w:top="1440" w:right="1440" w:bottom="1440" w:left="1440" w:header="708" w:footer="708" w:gutter="0"/>
          <w:pgNumType w:start="0"/>
          <w:cols w:space="708"/>
          <w:titlePg/>
          <w:docGrid w:linePitch="360"/>
        </w:sectPr>
      </w:pPr>
    </w:p>
    <w:p w:rsidR="001E166D" w:rsidRDefault="00901A8B" w:rsidP="003F04F4">
      <w:pPr>
        <w:spacing w:before="120" w:after="120" w:line="240" w:lineRule="auto"/>
        <w:jc w:val="right"/>
        <w:rPr>
          <w:rFonts w:ascii="Times New Roman" w:hAnsi="Times New Roman" w:cs="Times New Roman"/>
          <w:b/>
          <w:bCs/>
          <w:sz w:val="24"/>
          <w:szCs w:val="24"/>
          <w:u w:val="single"/>
        </w:rPr>
      </w:pPr>
      <w:r w:rsidRPr="00D62FE7">
        <w:rPr>
          <w:rFonts w:ascii="Times New Roman" w:hAnsi="Times New Roman" w:cs="Times New Roman"/>
          <w:b/>
          <w:bCs/>
          <w:sz w:val="24"/>
          <w:szCs w:val="24"/>
          <w:u w:val="single"/>
        </w:rPr>
        <w:lastRenderedPageBreak/>
        <w:t>A</w:t>
      </w:r>
      <w:r w:rsidR="00712EEC">
        <w:rPr>
          <w:rFonts w:ascii="Times New Roman" w:hAnsi="Times New Roman" w:cs="Times New Roman"/>
          <w:b/>
          <w:bCs/>
          <w:sz w:val="24"/>
          <w:szCs w:val="24"/>
          <w:u w:val="single"/>
        </w:rPr>
        <w:t>TTACHMENT B</w:t>
      </w:r>
    </w:p>
    <w:p w:rsidR="00A769F0" w:rsidRPr="00D62FE7" w:rsidRDefault="00A769F0" w:rsidP="00A769F0">
      <w:pPr>
        <w:keepNext/>
        <w:spacing w:before="120" w:after="120" w:line="240" w:lineRule="auto"/>
        <w:jc w:val="center"/>
        <w:outlineLvl w:val="0"/>
        <w:rPr>
          <w:rFonts w:ascii="Times New Roman" w:eastAsia="Times New Roman" w:hAnsi="Times New Roman" w:cs="Times New Roman"/>
          <w:b/>
          <w:caps/>
          <w:sz w:val="24"/>
          <w:szCs w:val="24"/>
          <w:u w:val="single"/>
          <w:lang w:eastAsia="en-AU"/>
        </w:rPr>
      </w:pPr>
      <w:r w:rsidRPr="00D62FE7">
        <w:rPr>
          <w:rFonts w:ascii="Times New Roman" w:eastAsia="Times New Roman" w:hAnsi="Times New Roman" w:cs="Times New Roman"/>
          <w:b/>
          <w:sz w:val="24"/>
          <w:szCs w:val="24"/>
          <w:u w:val="single"/>
          <w:lang w:eastAsia="en-AU"/>
        </w:rPr>
        <w:t>Statement of Compatibility with Human Rights</w:t>
      </w:r>
    </w:p>
    <w:p w:rsidR="00A769F0" w:rsidRDefault="00A769F0" w:rsidP="00A769F0">
      <w:pPr>
        <w:spacing w:before="120" w:after="120" w:line="240" w:lineRule="auto"/>
        <w:jc w:val="center"/>
        <w:rPr>
          <w:rFonts w:ascii="Times New Roman" w:eastAsia="Times New Roman" w:hAnsi="Times New Roman" w:cs="Times New Roman"/>
          <w:i/>
          <w:iCs/>
          <w:sz w:val="24"/>
          <w:szCs w:val="24"/>
          <w:lang w:eastAsia="en-AU"/>
        </w:rPr>
      </w:pPr>
      <w:r w:rsidRPr="00D62FE7">
        <w:rPr>
          <w:rFonts w:ascii="Times New Roman" w:eastAsia="Times New Roman" w:hAnsi="Times New Roman" w:cs="Times New Roman"/>
          <w:i/>
          <w:iCs/>
          <w:sz w:val="24"/>
          <w:szCs w:val="24"/>
          <w:lang w:eastAsia="en-AU"/>
        </w:rPr>
        <w:t>Prepared in accordance with Part 3 of the Human Rights (Parliamentary Scrutiny) Act 2011</w:t>
      </w:r>
    </w:p>
    <w:p w:rsidR="005C4D60" w:rsidRDefault="005C4D60" w:rsidP="00BC0084">
      <w:pPr>
        <w:spacing w:before="120" w:after="120" w:line="240" w:lineRule="auto"/>
        <w:jc w:val="center"/>
        <w:rPr>
          <w:rFonts w:ascii="Times New Roman" w:hAnsi="Times New Roman" w:cs="Times New Roman"/>
          <w:i/>
          <w:iCs/>
          <w:sz w:val="24"/>
          <w:szCs w:val="24"/>
        </w:rPr>
      </w:pPr>
    </w:p>
    <w:p w:rsidR="00A769F0" w:rsidRPr="005C4D60" w:rsidRDefault="005C4D60" w:rsidP="00A769F0">
      <w:pPr>
        <w:spacing w:before="120" w:after="120" w:line="240" w:lineRule="auto"/>
        <w:jc w:val="center"/>
        <w:rPr>
          <w:rFonts w:ascii="Times New Roman" w:eastAsia="Times New Roman" w:hAnsi="Times New Roman" w:cs="Times New Roman"/>
          <w:b/>
          <w:sz w:val="24"/>
          <w:szCs w:val="24"/>
          <w:lang w:eastAsia="en-AU"/>
        </w:rPr>
      </w:pPr>
      <w:r w:rsidRPr="005C4D60">
        <w:rPr>
          <w:rFonts w:ascii="Times New Roman" w:hAnsi="Times New Roman" w:cs="Times New Roman"/>
          <w:b/>
          <w:i/>
          <w:iCs/>
          <w:sz w:val="24"/>
          <w:szCs w:val="24"/>
        </w:rPr>
        <w:t>National Greenhouse and Energy Reporting (Audit) A</w:t>
      </w:r>
      <w:r w:rsidR="00BC0084">
        <w:rPr>
          <w:rFonts w:ascii="Times New Roman" w:hAnsi="Times New Roman" w:cs="Times New Roman"/>
          <w:b/>
          <w:i/>
          <w:iCs/>
          <w:sz w:val="24"/>
          <w:szCs w:val="24"/>
        </w:rPr>
        <w:t>mendment Determination 2015 </w:t>
      </w:r>
      <w:r w:rsidRPr="005C4D60">
        <w:rPr>
          <w:rFonts w:ascii="Times New Roman" w:hAnsi="Times New Roman" w:cs="Times New Roman"/>
          <w:b/>
          <w:i/>
          <w:iCs/>
          <w:sz w:val="24"/>
          <w:szCs w:val="24"/>
        </w:rPr>
        <w:t>(No.</w:t>
      </w:r>
      <w:r w:rsidR="00BC0084">
        <w:rPr>
          <w:rFonts w:ascii="Times New Roman" w:hAnsi="Times New Roman" w:cs="Times New Roman"/>
          <w:b/>
          <w:i/>
          <w:iCs/>
          <w:sz w:val="24"/>
          <w:szCs w:val="24"/>
        </w:rPr>
        <w:t> </w:t>
      </w:r>
      <w:r w:rsidRPr="005C4D60">
        <w:rPr>
          <w:rFonts w:ascii="Times New Roman" w:hAnsi="Times New Roman" w:cs="Times New Roman"/>
          <w:b/>
          <w:i/>
          <w:iCs/>
          <w:sz w:val="24"/>
          <w:szCs w:val="24"/>
        </w:rPr>
        <w:t>1)</w:t>
      </w:r>
      <w:r w:rsidRPr="005C4D60">
        <w:rPr>
          <w:rFonts w:ascii="Times New Roman" w:hAnsi="Times New Roman" w:cs="Times New Roman"/>
          <w:b/>
          <w:i/>
          <w:sz w:val="24"/>
          <w:szCs w:val="24"/>
        </w:rPr>
        <w:t>.</w:t>
      </w:r>
    </w:p>
    <w:p w:rsidR="00A769F0" w:rsidRPr="00003FA0" w:rsidRDefault="00A769F0" w:rsidP="00003FA0">
      <w:pPr>
        <w:spacing w:before="120" w:after="120" w:line="240" w:lineRule="auto"/>
        <w:rPr>
          <w:rFonts w:ascii="Times New Roman" w:eastAsia="Times New Roman" w:hAnsi="Times New Roman" w:cs="Times New Roman"/>
          <w:b/>
          <w:sz w:val="24"/>
          <w:szCs w:val="24"/>
          <w:lang w:eastAsia="en-AU"/>
        </w:rPr>
      </w:pPr>
      <w:r w:rsidRPr="00897C9C">
        <w:rPr>
          <w:rFonts w:ascii="Times New Roman" w:eastAsia="Times New Roman" w:hAnsi="Times New Roman" w:cs="Times New Roman"/>
          <w:sz w:val="24"/>
          <w:szCs w:val="24"/>
          <w:lang w:eastAsia="en-AU"/>
        </w:rPr>
        <w:t>This</w:t>
      </w:r>
      <w:r w:rsidR="00B47CB2">
        <w:rPr>
          <w:rFonts w:ascii="Times New Roman" w:eastAsia="Times New Roman" w:hAnsi="Times New Roman" w:cs="Times New Roman"/>
          <w:sz w:val="24"/>
          <w:szCs w:val="24"/>
          <w:lang w:eastAsia="en-AU"/>
        </w:rPr>
        <w:t xml:space="preserve"> </w:t>
      </w:r>
      <w:r w:rsidR="00C16598">
        <w:rPr>
          <w:rFonts w:ascii="Times New Roman" w:eastAsia="Times New Roman" w:hAnsi="Times New Roman" w:cs="Times New Roman"/>
          <w:sz w:val="24"/>
          <w:szCs w:val="24"/>
          <w:lang w:eastAsia="en-AU"/>
        </w:rPr>
        <w:t>legislative</w:t>
      </w:r>
      <w:r w:rsidRPr="00897C9C">
        <w:rPr>
          <w:rFonts w:ascii="Times New Roman" w:eastAsia="Times New Roman" w:hAnsi="Times New Roman" w:cs="Times New Roman"/>
          <w:sz w:val="24"/>
          <w:szCs w:val="24"/>
          <w:lang w:eastAsia="en-AU"/>
        </w:rPr>
        <w:t xml:space="preserve"> instrument</w:t>
      </w:r>
      <w:r w:rsidR="00003FA0">
        <w:rPr>
          <w:rFonts w:ascii="Times New Roman" w:eastAsia="Times New Roman" w:hAnsi="Times New Roman" w:cs="Times New Roman"/>
          <w:sz w:val="24"/>
          <w:szCs w:val="24"/>
          <w:lang w:eastAsia="en-AU"/>
        </w:rPr>
        <w:t xml:space="preserve">, referred to as the </w:t>
      </w:r>
      <w:r w:rsidR="00003FA0" w:rsidRPr="005C4D60">
        <w:rPr>
          <w:rFonts w:ascii="Times New Roman" w:hAnsi="Times New Roman" w:cs="Times New Roman"/>
          <w:b/>
          <w:i/>
          <w:iCs/>
          <w:sz w:val="24"/>
          <w:szCs w:val="24"/>
        </w:rPr>
        <w:t>National Greenhouse and Energy Reporting (Audit) Amendment Determination 2015 (No.  1)</w:t>
      </w:r>
      <w:r w:rsidR="00003FA0" w:rsidRPr="005C4D60">
        <w:rPr>
          <w:rFonts w:ascii="Times New Roman" w:hAnsi="Times New Roman" w:cs="Times New Roman"/>
          <w:b/>
          <w:i/>
          <w:sz w:val="24"/>
          <w:szCs w:val="24"/>
        </w:rPr>
        <w:t>.</w:t>
      </w:r>
      <w:r w:rsidR="00003FA0">
        <w:rPr>
          <w:rFonts w:ascii="Times New Roman" w:eastAsia="Times New Roman" w:hAnsi="Times New Roman" w:cs="Times New Roman"/>
          <w:b/>
          <w:sz w:val="24"/>
          <w:szCs w:val="24"/>
          <w:lang w:eastAsia="en-AU"/>
        </w:rPr>
        <w:t xml:space="preserve"> </w:t>
      </w:r>
      <w:r w:rsidRPr="00897C9C">
        <w:rPr>
          <w:rFonts w:ascii="Times New Roman" w:eastAsia="Times New Roman" w:hAnsi="Times New Roman" w:cs="Times New Roman"/>
          <w:sz w:val="24"/>
          <w:szCs w:val="24"/>
          <w:lang w:eastAsia="en-AU"/>
        </w:rPr>
        <w:t xml:space="preserve">is compatible with the human rights and freedoms recognised or declared in the international instruments listed in section 3 of the </w:t>
      </w:r>
      <w:r w:rsidRPr="00897C9C">
        <w:rPr>
          <w:rFonts w:ascii="Times New Roman" w:eastAsia="Times New Roman" w:hAnsi="Times New Roman" w:cs="Times New Roman"/>
          <w:i/>
          <w:iCs/>
          <w:sz w:val="24"/>
          <w:szCs w:val="24"/>
          <w:lang w:eastAsia="en-AU"/>
        </w:rPr>
        <w:t>Human Rights (Parliamentary Scrutiny) Act 2011</w:t>
      </w:r>
      <w:r w:rsidRPr="00897C9C">
        <w:rPr>
          <w:rFonts w:ascii="Times New Roman" w:eastAsia="Times New Roman" w:hAnsi="Times New Roman" w:cs="Times New Roman"/>
          <w:sz w:val="24"/>
          <w:szCs w:val="24"/>
          <w:lang w:eastAsia="en-AU"/>
        </w:rPr>
        <w:t>.</w:t>
      </w:r>
    </w:p>
    <w:p w:rsidR="00897C9C" w:rsidRPr="00897C9C" w:rsidRDefault="00897C9C" w:rsidP="00897C9C">
      <w:pPr>
        <w:spacing w:before="100" w:beforeAutospacing="1" w:after="100" w:afterAutospacing="1" w:line="240" w:lineRule="auto"/>
        <w:rPr>
          <w:rFonts w:ascii="Times New Roman" w:eastAsia="Times New Roman" w:hAnsi="Times New Roman" w:cs="Times New Roman"/>
          <w:sz w:val="24"/>
          <w:szCs w:val="24"/>
          <w:lang w:eastAsia="en-AU"/>
        </w:rPr>
      </w:pPr>
      <w:r w:rsidRPr="00897C9C">
        <w:rPr>
          <w:rFonts w:ascii="Times New Roman" w:eastAsia="Times New Roman" w:hAnsi="Times New Roman" w:cs="Times New Roman"/>
          <w:b/>
          <w:bCs/>
          <w:sz w:val="24"/>
          <w:szCs w:val="24"/>
          <w:lang w:eastAsia="en-AU"/>
        </w:rPr>
        <w:t>Overview of the instrument</w:t>
      </w:r>
    </w:p>
    <w:p w:rsidR="00A769F0" w:rsidRPr="008D7829" w:rsidRDefault="00B47CB2" w:rsidP="008D782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003FA0" w:rsidRPr="00624EB5">
        <w:rPr>
          <w:rFonts w:ascii="Times New Roman" w:eastAsia="Times New Roman" w:hAnsi="Times New Roman" w:cs="Times New Roman"/>
          <w:sz w:val="24"/>
          <w:szCs w:val="24"/>
          <w:lang w:eastAsia="en-AU"/>
        </w:rPr>
        <w:t>legislative</w:t>
      </w:r>
      <w:r w:rsidR="00897C9C" w:rsidRPr="00624EB5">
        <w:rPr>
          <w:rFonts w:ascii="Times New Roman" w:eastAsia="Times New Roman" w:hAnsi="Times New Roman" w:cs="Times New Roman"/>
          <w:sz w:val="24"/>
          <w:szCs w:val="24"/>
          <w:lang w:eastAsia="en-AU"/>
        </w:rPr>
        <w:t xml:space="preserve"> instrument amends the </w:t>
      </w:r>
      <w:r w:rsidR="00897C9C" w:rsidRPr="00624EB5">
        <w:rPr>
          <w:rFonts w:ascii="Times New Roman" w:eastAsia="Times New Roman" w:hAnsi="Times New Roman" w:cs="Times New Roman"/>
          <w:i/>
          <w:iCs/>
          <w:sz w:val="24"/>
          <w:szCs w:val="24"/>
          <w:lang w:eastAsia="en-AU"/>
        </w:rPr>
        <w:t>National Greenhouse and Energy Reporting (Audit) Determination 2009</w:t>
      </w:r>
      <w:r w:rsidR="00CA3D65">
        <w:rPr>
          <w:rFonts w:ascii="Times New Roman" w:eastAsia="Times New Roman" w:hAnsi="Times New Roman" w:cs="Times New Roman"/>
          <w:sz w:val="24"/>
          <w:szCs w:val="24"/>
          <w:lang w:eastAsia="en-AU"/>
        </w:rPr>
        <w:t xml:space="preserve"> to accommodate changes to the NGER Act and the Principle Regulations to incorporate the ERF and the safeguard mechanism. This includes replacing legacy terms such as “greenhouse and energy audits” and “CFI audits” with the terms “ERF audit” or “Part 6 audit” and extending the conducting of audits and preparation of audit reports, </w:t>
      </w:r>
      <w:r w:rsidR="008D7829" w:rsidRPr="00624EB5">
        <w:rPr>
          <w:rFonts w:ascii="Times New Roman" w:eastAsia="Times New Roman" w:hAnsi="Times New Roman" w:cs="Times New Roman"/>
          <w:sz w:val="24"/>
          <w:szCs w:val="24"/>
          <w:lang w:eastAsia="en-AU"/>
        </w:rPr>
        <w:t>to</w:t>
      </w:r>
      <w:r w:rsidR="0065633A">
        <w:rPr>
          <w:rFonts w:ascii="Times New Roman" w:eastAsia="Times New Roman" w:hAnsi="Times New Roman" w:cs="Times New Roman"/>
          <w:sz w:val="24"/>
          <w:szCs w:val="24"/>
          <w:lang w:eastAsia="en-AU"/>
        </w:rPr>
        <w:t xml:space="preserve"> include</w:t>
      </w:r>
      <w:r w:rsidR="00897C9C" w:rsidRPr="00624EB5">
        <w:rPr>
          <w:rFonts w:ascii="Times New Roman" w:eastAsia="Times New Roman" w:hAnsi="Times New Roman" w:cs="Times New Roman"/>
          <w:sz w:val="24"/>
          <w:szCs w:val="24"/>
          <w:lang w:eastAsia="en-AU"/>
        </w:rPr>
        <w:t xml:space="preserve"> pr</w:t>
      </w:r>
      <w:r w:rsidR="00F3789B" w:rsidRPr="00624EB5">
        <w:rPr>
          <w:rFonts w:ascii="Times New Roman" w:eastAsia="Times New Roman" w:hAnsi="Times New Roman" w:cs="Times New Roman"/>
          <w:sz w:val="24"/>
          <w:szCs w:val="24"/>
          <w:lang w:eastAsia="en-AU"/>
        </w:rPr>
        <w:t>eparing for a</w:t>
      </w:r>
      <w:r w:rsidR="00CA3D65">
        <w:rPr>
          <w:rFonts w:ascii="Times New Roman" w:eastAsia="Times New Roman" w:hAnsi="Times New Roman" w:cs="Times New Roman"/>
          <w:sz w:val="24"/>
          <w:szCs w:val="24"/>
          <w:lang w:eastAsia="en-AU"/>
        </w:rPr>
        <w:t>nd carrying out ERF/safeguard audits</w:t>
      </w:r>
      <w:r w:rsidR="0065633A">
        <w:rPr>
          <w:rFonts w:ascii="Times New Roman" w:eastAsia="Times New Roman" w:hAnsi="Times New Roman" w:cs="Times New Roman"/>
          <w:sz w:val="24"/>
          <w:szCs w:val="24"/>
          <w:lang w:eastAsia="en-AU"/>
        </w:rPr>
        <w:t>, and preparing E</w:t>
      </w:r>
      <w:r w:rsidR="00F3789B" w:rsidRPr="00624EB5">
        <w:rPr>
          <w:rFonts w:ascii="Times New Roman" w:eastAsia="Times New Roman" w:hAnsi="Times New Roman" w:cs="Times New Roman"/>
          <w:sz w:val="24"/>
          <w:szCs w:val="24"/>
          <w:lang w:eastAsia="en-AU"/>
        </w:rPr>
        <w:t>R</w:t>
      </w:r>
      <w:r w:rsidR="0065633A">
        <w:rPr>
          <w:rFonts w:ascii="Times New Roman" w:eastAsia="Times New Roman" w:hAnsi="Times New Roman" w:cs="Times New Roman"/>
          <w:sz w:val="24"/>
          <w:szCs w:val="24"/>
          <w:lang w:eastAsia="en-AU"/>
        </w:rPr>
        <w:t>F</w:t>
      </w:r>
      <w:r w:rsidR="00CA3D65">
        <w:rPr>
          <w:rFonts w:ascii="Times New Roman" w:eastAsia="Times New Roman" w:hAnsi="Times New Roman" w:cs="Times New Roman"/>
          <w:sz w:val="24"/>
          <w:szCs w:val="24"/>
          <w:lang w:eastAsia="en-AU"/>
        </w:rPr>
        <w:t>/safeguard</w:t>
      </w:r>
      <w:r w:rsidR="00897C9C" w:rsidRPr="00624EB5">
        <w:rPr>
          <w:rFonts w:ascii="Times New Roman" w:eastAsia="Times New Roman" w:hAnsi="Times New Roman" w:cs="Times New Roman"/>
          <w:sz w:val="24"/>
          <w:szCs w:val="24"/>
          <w:lang w:eastAsia="en-AU"/>
        </w:rPr>
        <w:t xml:space="preserve"> audit reports.</w:t>
      </w:r>
    </w:p>
    <w:p w:rsidR="00901A8B" w:rsidRPr="00D62FE7" w:rsidRDefault="00901A8B" w:rsidP="00D62FE7">
      <w:pPr>
        <w:keepNext/>
        <w:spacing w:before="120" w:after="120" w:line="240" w:lineRule="auto"/>
        <w:ind w:left="855" w:hanging="855"/>
        <w:outlineLvl w:val="1"/>
        <w:rPr>
          <w:rFonts w:ascii="Times New Roman" w:eastAsia="Times New Roman" w:hAnsi="Times New Roman" w:cs="Times New Roman"/>
          <w:b/>
          <w:sz w:val="24"/>
          <w:szCs w:val="24"/>
          <w:lang w:eastAsia="en-AU"/>
        </w:rPr>
      </w:pPr>
      <w:r w:rsidRPr="00D62FE7">
        <w:rPr>
          <w:rFonts w:ascii="Times New Roman" w:eastAsia="Times New Roman" w:hAnsi="Times New Roman" w:cs="Times New Roman"/>
          <w:b/>
          <w:sz w:val="24"/>
          <w:szCs w:val="24"/>
          <w:lang w:eastAsia="en-AU"/>
        </w:rPr>
        <w:t>Human rights implications</w:t>
      </w:r>
    </w:p>
    <w:p w:rsidR="00175559" w:rsidRDefault="00CA3D65" w:rsidP="00D62FE7">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 Determination</w:t>
      </w:r>
      <w:r w:rsidR="00901A8B" w:rsidRPr="00960BE3">
        <w:rPr>
          <w:rFonts w:ascii="Times New Roman" w:eastAsia="Times New Roman" w:hAnsi="Times New Roman" w:cs="Times New Roman"/>
          <w:sz w:val="24"/>
          <w:szCs w:val="24"/>
          <w:lang w:eastAsia="en-AU"/>
        </w:rPr>
        <w:t xml:space="preserve"> do</w:t>
      </w:r>
      <w:r w:rsidR="00C03AE7">
        <w:rPr>
          <w:rFonts w:ascii="Times New Roman" w:eastAsia="Times New Roman" w:hAnsi="Times New Roman" w:cs="Times New Roman"/>
          <w:sz w:val="24"/>
          <w:szCs w:val="24"/>
          <w:lang w:eastAsia="en-AU"/>
        </w:rPr>
        <w:t>es</w:t>
      </w:r>
      <w:r w:rsidR="00901A8B" w:rsidRPr="00960BE3">
        <w:rPr>
          <w:rFonts w:ascii="Times New Roman" w:eastAsia="Times New Roman" w:hAnsi="Times New Roman" w:cs="Times New Roman"/>
          <w:sz w:val="24"/>
          <w:szCs w:val="24"/>
          <w:lang w:eastAsia="en-AU"/>
        </w:rPr>
        <w:t xml:space="preserve"> not engage any of the applicable rights or freedoms.</w:t>
      </w:r>
    </w:p>
    <w:p w:rsidR="00901A8B" w:rsidRPr="00D62FE7" w:rsidRDefault="00901A8B" w:rsidP="00C31A9F">
      <w:pPr>
        <w:spacing w:before="100" w:beforeAutospacing="1" w:after="100" w:afterAutospacing="1" w:line="240" w:lineRule="auto"/>
        <w:rPr>
          <w:rFonts w:ascii="Times New Roman" w:eastAsia="Times New Roman" w:hAnsi="Times New Roman" w:cs="Times New Roman"/>
          <w:b/>
          <w:sz w:val="24"/>
          <w:szCs w:val="24"/>
          <w:lang w:eastAsia="en-AU"/>
        </w:rPr>
      </w:pPr>
      <w:r w:rsidRPr="00C31A9F">
        <w:rPr>
          <w:rFonts w:ascii="Times New Roman" w:eastAsia="Times New Roman" w:hAnsi="Times New Roman" w:cs="Times New Roman"/>
          <w:b/>
          <w:bCs/>
          <w:sz w:val="24"/>
          <w:szCs w:val="24"/>
          <w:lang w:eastAsia="en-AU"/>
        </w:rPr>
        <w:t>Conclusion</w:t>
      </w:r>
      <w:r w:rsidRPr="00D62FE7">
        <w:rPr>
          <w:rFonts w:ascii="Times New Roman" w:eastAsia="Times New Roman" w:hAnsi="Times New Roman" w:cs="Times New Roman"/>
          <w:b/>
          <w:sz w:val="24"/>
          <w:szCs w:val="24"/>
          <w:lang w:eastAsia="en-AU"/>
        </w:rPr>
        <w:t xml:space="preserve"> </w:t>
      </w:r>
    </w:p>
    <w:p w:rsidR="004517EE" w:rsidRPr="00E4135E" w:rsidRDefault="00901A8B" w:rsidP="004517EE">
      <w:pPr>
        <w:pStyle w:val="CommentText"/>
        <w:rPr>
          <w:rFonts w:ascii="Times New Roman" w:eastAsia="Times New Roman" w:hAnsi="Times New Roman" w:cs="Times New Roman"/>
          <w:sz w:val="24"/>
          <w:szCs w:val="24"/>
        </w:rPr>
      </w:pPr>
      <w:r w:rsidRPr="00D62FE7">
        <w:rPr>
          <w:rFonts w:ascii="Times New Roman" w:eastAsia="Times New Roman" w:hAnsi="Times New Roman" w:cs="Times New Roman"/>
          <w:sz w:val="24"/>
          <w:szCs w:val="24"/>
          <w:lang w:eastAsia="en-AU"/>
        </w:rPr>
        <w:t xml:space="preserve">The </w:t>
      </w:r>
      <w:r w:rsidR="00803E36">
        <w:rPr>
          <w:rFonts w:ascii="Times New Roman" w:eastAsia="Times New Roman" w:hAnsi="Times New Roman" w:cs="Times New Roman"/>
          <w:sz w:val="24"/>
          <w:szCs w:val="24"/>
          <w:lang w:eastAsia="en-AU"/>
        </w:rPr>
        <w:t>A</w:t>
      </w:r>
      <w:r w:rsidR="004517EE">
        <w:rPr>
          <w:rFonts w:ascii="Times New Roman" w:eastAsia="Times New Roman" w:hAnsi="Times New Roman" w:cs="Times New Roman"/>
          <w:sz w:val="24"/>
          <w:szCs w:val="24"/>
          <w:lang w:eastAsia="en-AU"/>
        </w:rPr>
        <w:t>mendment Determination</w:t>
      </w:r>
      <w:r w:rsidR="004517EE" w:rsidRPr="00F50F2E">
        <w:rPr>
          <w:rFonts w:ascii="Times New Roman" w:hAnsi="Times New Roman"/>
          <w:sz w:val="24"/>
        </w:rPr>
        <w:t xml:space="preserve"> is compatible with the human rights and freedoms recognised or declared in the internation</w:t>
      </w:r>
      <w:r w:rsidR="004517EE">
        <w:rPr>
          <w:rFonts w:ascii="Times New Roman" w:hAnsi="Times New Roman"/>
          <w:sz w:val="24"/>
        </w:rPr>
        <w:t>al instruments listed in Part</w:t>
      </w:r>
      <w:r w:rsidR="004517EE" w:rsidRPr="00F50F2E">
        <w:rPr>
          <w:rFonts w:ascii="Times New Roman" w:hAnsi="Times New Roman"/>
          <w:sz w:val="24"/>
        </w:rPr>
        <w:t xml:space="preserve"> 3 of the </w:t>
      </w:r>
      <w:r w:rsidR="004517EE" w:rsidRPr="00F50F2E">
        <w:rPr>
          <w:rFonts w:ascii="Times New Roman" w:hAnsi="Times New Roman"/>
          <w:i/>
          <w:sz w:val="24"/>
        </w:rPr>
        <w:t>Human Rights (Parliamentary Scrutiny) Act 2011</w:t>
      </w:r>
      <w:r w:rsidR="004517EE" w:rsidRPr="00F50F2E">
        <w:rPr>
          <w:rFonts w:ascii="Times New Roman" w:hAnsi="Times New Roman"/>
          <w:sz w:val="24"/>
        </w:rPr>
        <w:t>.</w:t>
      </w:r>
    </w:p>
    <w:p w:rsidR="00901A8B" w:rsidRDefault="00901A8B" w:rsidP="00D62FE7">
      <w:pPr>
        <w:spacing w:before="120" w:after="120" w:line="240" w:lineRule="auto"/>
        <w:rPr>
          <w:rFonts w:ascii="Times New Roman" w:eastAsia="Times New Roman" w:hAnsi="Times New Roman" w:cs="Times New Roman"/>
          <w:sz w:val="24"/>
          <w:szCs w:val="24"/>
          <w:lang w:eastAsia="en-AU"/>
        </w:rPr>
      </w:pPr>
    </w:p>
    <w:p w:rsidR="00641878" w:rsidRDefault="00641878" w:rsidP="00D62FE7">
      <w:pPr>
        <w:spacing w:before="120" w:after="120" w:line="240" w:lineRule="auto"/>
        <w:rPr>
          <w:rFonts w:ascii="Times New Roman" w:eastAsia="Times New Roman" w:hAnsi="Times New Roman" w:cs="Times New Roman"/>
          <w:sz w:val="24"/>
          <w:szCs w:val="24"/>
          <w:lang w:eastAsia="en-AU"/>
        </w:rPr>
      </w:pPr>
    </w:p>
    <w:p w:rsidR="00641878" w:rsidRPr="00641878" w:rsidRDefault="00641878" w:rsidP="00D62FE7">
      <w:pPr>
        <w:spacing w:before="120" w:after="120" w:line="240" w:lineRule="auto"/>
        <w:rPr>
          <w:rFonts w:ascii="Times New Roman" w:eastAsia="Times New Roman" w:hAnsi="Times New Roman" w:cs="Times New Roman"/>
          <w:b/>
          <w:sz w:val="24"/>
          <w:szCs w:val="24"/>
          <w:lang w:eastAsia="en-AU"/>
        </w:rPr>
      </w:pPr>
      <w:r w:rsidRPr="00641878">
        <w:rPr>
          <w:rFonts w:ascii="Times New Roman" w:eastAsia="Times New Roman" w:hAnsi="Times New Roman" w:cs="Times New Roman"/>
          <w:b/>
          <w:sz w:val="24"/>
          <w:szCs w:val="24"/>
          <w:lang w:eastAsia="en-AU"/>
        </w:rPr>
        <w:t>Greg Hunt, Minister for the Environment</w:t>
      </w:r>
    </w:p>
    <w:p w:rsidR="00A769F0" w:rsidRPr="00BB151F" w:rsidRDefault="00A769F0" w:rsidP="00C315C4">
      <w:pPr>
        <w:jc w:val="right"/>
        <w:rPr>
          <w:rFonts w:ascii="Times New Roman" w:hAnsi="Times New Roman" w:cs="Times New Roman"/>
          <w:b/>
          <w:bCs/>
          <w:sz w:val="24"/>
          <w:szCs w:val="24"/>
          <w:u w:val="single"/>
        </w:rPr>
      </w:pPr>
    </w:p>
    <w:sectPr w:rsidR="00A769F0" w:rsidRPr="00BB151F" w:rsidSect="00BC0084">
      <w:pgSz w:w="11906" w:h="16838"/>
      <w:pgMar w:top="1440" w:right="1274" w:bottom="1440" w:left="1276"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62E" w:rsidRDefault="009D062E" w:rsidP="004958F6">
      <w:pPr>
        <w:spacing w:after="0" w:line="240" w:lineRule="auto"/>
      </w:pPr>
      <w:r>
        <w:separator/>
      </w:r>
    </w:p>
  </w:endnote>
  <w:endnote w:type="continuationSeparator" w:id="0">
    <w:p w:rsidR="009D062E" w:rsidRDefault="009D062E" w:rsidP="00495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2E" w:rsidRDefault="0075294B">
    <w:pPr>
      <w:pStyle w:val="Footer"/>
      <w:jc w:val="center"/>
    </w:pPr>
    <w:fldSimple w:instr=" PAGE   \* MERGEFORMAT ">
      <w:r w:rsidR="00954792">
        <w:rPr>
          <w:noProof/>
        </w:rPr>
        <w:t>3</w:t>
      </w:r>
    </w:fldSimple>
  </w:p>
  <w:p w:rsidR="009D062E" w:rsidRDefault="009D0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62E" w:rsidRDefault="009D062E" w:rsidP="004958F6">
      <w:pPr>
        <w:spacing w:after="0" w:line="240" w:lineRule="auto"/>
      </w:pPr>
      <w:r>
        <w:separator/>
      </w:r>
    </w:p>
  </w:footnote>
  <w:footnote w:type="continuationSeparator" w:id="0">
    <w:p w:rsidR="009D062E" w:rsidRDefault="009D062E" w:rsidP="00495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2E" w:rsidRDefault="009D062E">
    <w:pPr>
      <w:pStyle w:val="Header"/>
    </w:pPr>
  </w:p>
  <w:p w:rsidR="009D062E" w:rsidRDefault="009D0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2A6D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F3E2A"/>
    <w:multiLevelType w:val="hybridMultilevel"/>
    <w:tmpl w:val="0A7449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DC328B7"/>
    <w:multiLevelType w:val="hybridMultilevel"/>
    <w:tmpl w:val="0A7449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E56193E"/>
    <w:multiLevelType w:val="hybridMultilevel"/>
    <w:tmpl w:val="5FE8C1FE"/>
    <w:lvl w:ilvl="0" w:tplc="0C090019">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
    <w:nsid w:val="135F44C5"/>
    <w:multiLevelType w:val="hybridMultilevel"/>
    <w:tmpl w:val="5FE8C1FE"/>
    <w:lvl w:ilvl="0" w:tplc="0C090019">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nsid w:val="2879767A"/>
    <w:multiLevelType w:val="hybridMultilevel"/>
    <w:tmpl w:val="4D144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637"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6">
    <w:nsid w:val="292F3885"/>
    <w:multiLevelType w:val="hybridMultilevel"/>
    <w:tmpl w:val="EBA49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A35F90"/>
    <w:multiLevelType w:val="hybridMultilevel"/>
    <w:tmpl w:val="D506C8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E72448"/>
    <w:multiLevelType w:val="hybridMultilevel"/>
    <w:tmpl w:val="1AD0206C"/>
    <w:lvl w:ilvl="0" w:tplc="61F681E0">
      <w:start w:val="1"/>
      <w:numFmt w:val="bullet"/>
      <w:lvlText w:val=""/>
      <w:lvlJc w:val="left"/>
      <w:pPr>
        <w:ind w:left="720" w:hanging="360"/>
      </w:pPr>
      <w:rPr>
        <w:rFonts w:ascii="Symbol" w:hAnsi="Symbol" w:cs="Symbol" w:hint="default"/>
      </w:rPr>
    </w:lvl>
    <w:lvl w:ilvl="1" w:tplc="ED24037E">
      <w:start w:val="1"/>
      <w:numFmt w:val="bullet"/>
      <w:lvlText w:val="o"/>
      <w:lvlJc w:val="left"/>
      <w:pPr>
        <w:ind w:left="1440" w:hanging="360"/>
      </w:pPr>
      <w:rPr>
        <w:rFonts w:ascii="Courier New" w:hAnsi="Courier New" w:cs="Courier New" w:hint="default"/>
      </w:rPr>
    </w:lvl>
    <w:lvl w:ilvl="2" w:tplc="3FD8BEAC">
      <w:start w:val="1"/>
      <w:numFmt w:val="bullet"/>
      <w:lvlText w:val=""/>
      <w:lvlJc w:val="left"/>
      <w:pPr>
        <w:ind w:left="2160" w:hanging="360"/>
      </w:pPr>
      <w:rPr>
        <w:rFonts w:ascii="Wingdings" w:hAnsi="Wingdings" w:cs="Wingdings" w:hint="default"/>
      </w:rPr>
    </w:lvl>
    <w:lvl w:ilvl="3" w:tplc="81481284">
      <w:start w:val="1"/>
      <w:numFmt w:val="bullet"/>
      <w:lvlText w:val=""/>
      <w:lvlJc w:val="left"/>
      <w:pPr>
        <w:ind w:left="2880" w:hanging="360"/>
      </w:pPr>
      <w:rPr>
        <w:rFonts w:ascii="Symbol" w:hAnsi="Symbol" w:cs="Symbol" w:hint="default"/>
      </w:rPr>
    </w:lvl>
    <w:lvl w:ilvl="4" w:tplc="C73E1E94">
      <w:start w:val="1"/>
      <w:numFmt w:val="bullet"/>
      <w:lvlText w:val="o"/>
      <w:lvlJc w:val="left"/>
      <w:pPr>
        <w:ind w:left="3600" w:hanging="360"/>
      </w:pPr>
      <w:rPr>
        <w:rFonts w:ascii="Courier New" w:hAnsi="Courier New" w:cs="Courier New" w:hint="default"/>
      </w:rPr>
    </w:lvl>
    <w:lvl w:ilvl="5" w:tplc="71E261FA">
      <w:start w:val="1"/>
      <w:numFmt w:val="bullet"/>
      <w:lvlText w:val=""/>
      <w:lvlJc w:val="left"/>
      <w:pPr>
        <w:ind w:left="4320" w:hanging="360"/>
      </w:pPr>
      <w:rPr>
        <w:rFonts w:ascii="Wingdings" w:hAnsi="Wingdings" w:cs="Wingdings" w:hint="default"/>
      </w:rPr>
    </w:lvl>
    <w:lvl w:ilvl="6" w:tplc="354E82B8">
      <w:start w:val="1"/>
      <w:numFmt w:val="bullet"/>
      <w:lvlText w:val=""/>
      <w:lvlJc w:val="left"/>
      <w:pPr>
        <w:ind w:left="5040" w:hanging="360"/>
      </w:pPr>
      <w:rPr>
        <w:rFonts w:ascii="Symbol" w:hAnsi="Symbol" w:cs="Symbol" w:hint="default"/>
      </w:rPr>
    </w:lvl>
    <w:lvl w:ilvl="7" w:tplc="2D928CE2">
      <w:start w:val="1"/>
      <w:numFmt w:val="bullet"/>
      <w:lvlText w:val="o"/>
      <w:lvlJc w:val="left"/>
      <w:pPr>
        <w:ind w:left="5760" w:hanging="360"/>
      </w:pPr>
      <w:rPr>
        <w:rFonts w:ascii="Courier New" w:hAnsi="Courier New" w:cs="Courier New" w:hint="default"/>
      </w:rPr>
    </w:lvl>
    <w:lvl w:ilvl="8" w:tplc="2E68971C">
      <w:start w:val="1"/>
      <w:numFmt w:val="bullet"/>
      <w:lvlText w:val=""/>
      <w:lvlJc w:val="left"/>
      <w:pPr>
        <w:ind w:left="6480" w:hanging="360"/>
      </w:pPr>
      <w:rPr>
        <w:rFonts w:ascii="Wingdings" w:hAnsi="Wingdings" w:cs="Wingdings" w:hint="default"/>
      </w:rPr>
    </w:lvl>
  </w:abstractNum>
  <w:abstractNum w:abstractNumId="9">
    <w:nsid w:val="3D714D4B"/>
    <w:multiLevelType w:val="multilevel"/>
    <w:tmpl w:val="484032EC"/>
    <w:styleLink w:val="ChapterList"/>
    <w:lvl w:ilvl="0">
      <w:start w:val="1"/>
      <w:numFmt w:val="decimal"/>
      <w:pStyle w:val="ChapterHeading"/>
      <w:lvlText w:val="Chapter %1"/>
      <w:lvlJc w:val="left"/>
      <w:pPr>
        <w:tabs>
          <w:tab w:val="num" w:pos="1134"/>
        </w:tabs>
      </w:pPr>
      <w:rPr>
        <w:rFonts w:hint="default"/>
      </w:rPr>
    </w:lvl>
    <w:lvl w:ilvl="1">
      <w:start w:val="1"/>
      <w:numFmt w:val="decimal"/>
      <w:pStyle w:val="base-text-paragraph"/>
      <w:lvlText w:val="%1.%2"/>
      <w:lvlJc w:val="left"/>
      <w:pPr>
        <w:tabs>
          <w:tab w:val="num" w:pos="1985"/>
        </w:tabs>
        <w:ind w:left="1134"/>
      </w:pPr>
      <w:rPr>
        <w:rFonts w:hint="default"/>
      </w:rPr>
    </w:lvl>
    <w:lvl w:ilvl="2">
      <w:start w:val="1"/>
      <w:numFmt w:val="decimal"/>
      <w:pStyle w:val="Diagram"/>
      <w:suff w:val="space"/>
      <w:lvlText w:val="Diagram %1.%3"/>
      <w:lvlJc w:val="left"/>
      <w:pPr>
        <w:ind w:left="1134"/>
      </w:pPr>
      <w:rPr>
        <w:rFonts w:hint="default"/>
      </w:rPr>
    </w:lvl>
    <w:lvl w:ilvl="3">
      <w:start w:val="1"/>
      <w:numFmt w:val="decimal"/>
      <w:pStyle w:val="ExampleHeading"/>
      <w:suff w:val="space"/>
      <w:lvlText w:val="Example %1.%4"/>
      <w:lvlJc w:val="left"/>
      <w:pPr>
        <w:ind w:left="1134"/>
      </w:pPr>
      <w:rPr>
        <w:rFonts w:hint="default"/>
      </w:rPr>
    </w:lvl>
    <w:lvl w:ilvl="4">
      <w:start w:val="1"/>
      <w:numFmt w:val="decimal"/>
      <w:pStyle w:val="TableHeadingoutsidetable"/>
      <w:suff w:val="space"/>
      <w:lvlText w:val="Table %1.%5"/>
      <w:lvlJc w:val="left"/>
      <w:pPr>
        <w:ind w:left="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DBE5552"/>
    <w:multiLevelType w:val="hybridMultilevel"/>
    <w:tmpl w:val="07B05FF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3F362D90"/>
    <w:multiLevelType w:val="hybridMultilevel"/>
    <w:tmpl w:val="F16A1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4F0D4E"/>
    <w:multiLevelType w:val="hybridMultilevel"/>
    <w:tmpl w:val="2618CC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41587FAA"/>
    <w:multiLevelType w:val="hybridMultilevel"/>
    <w:tmpl w:val="FECC8B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44727F82"/>
    <w:multiLevelType w:val="hybridMultilevel"/>
    <w:tmpl w:val="3102998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5">
    <w:nsid w:val="46822EB2"/>
    <w:multiLevelType w:val="hybridMultilevel"/>
    <w:tmpl w:val="5FE8C1FE"/>
    <w:lvl w:ilvl="0" w:tplc="0C090019">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nsid w:val="47BF21F7"/>
    <w:multiLevelType w:val="hybridMultilevel"/>
    <w:tmpl w:val="83944E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DC968B1"/>
    <w:multiLevelType w:val="hybridMultilevel"/>
    <w:tmpl w:val="AB4E5BB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95" w:hanging="360"/>
      </w:pPr>
      <w:rPr>
        <w:rFonts w:cs="Times New Roman"/>
      </w:rPr>
    </w:lvl>
    <w:lvl w:ilvl="2" w:tplc="0C09001B">
      <w:start w:val="1"/>
      <w:numFmt w:val="lowerRoman"/>
      <w:lvlText w:val="%3."/>
      <w:lvlJc w:val="right"/>
      <w:pPr>
        <w:ind w:left="1457"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8">
    <w:nsid w:val="4E056B1D"/>
    <w:multiLevelType w:val="hybridMultilevel"/>
    <w:tmpl w:val="F9E42D7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9">
    <w:nsid w:val="549A59A1"/>
    <w:multiLevelType w:val="hybridMultilevel"/>
    <w:tmpl w:val="710C46B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5540458D"/>
    <w:multiLevelType w:val="hybridMultilevel"/>
    <w:tmpl w:val="E90291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BE401C6"/>
    <w:multiLevelType w:val="hybridMultilevel"/>
    <w:tmpl w:val="7124CA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134533A"/>
    <w:multiLevelType w:val="hybridMultilevel"/>
    <w:tmpl w:val="7D2ED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6A84174D"/>
    <w:multiLevelType w:val="multilevel"/>
    <w:tmpl w:val="E6F87B74"/>
    <w:lvl w:ilvl="0">
      <w:start w:val="1"/>
      <w:numFmt w:val="decimal"/>
      <w:lvlText w:val="%1."/>
      <w:lvlJc w:val="left"/>
      <w:pPr>
        <w:ind w:left="720" w:hanging="360"/>
      </w:pPr>
      <w:rPr>
        <w:b w:val="0"/>
        <w:bCs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74B91CD8"/>
    <w:multiLevelType w:val="hybridMultilevel"/>
    <w:tmpl w:val="76AE97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7CAC208D"/>
    <w:multiLevelType w:val="multilevel"/>
    <w:tmpl w:val="484032EC"/>
    <w:numStyleLink w:val="ChapterList"/>
  </w:abstractNum>
  <w:abstractNum w:abstractNumId="26">
    <w:nsid w:val="7F7F730D"/>
    <w:multiLevelType w:val="multilevel"/>
    <w:tmpl w:val="1B9C928E"/>
    <w:lvl w:ilvl="0">
      <w:start w:val="1"/>
      <w:numFmt w:val="decimal"/>
      <w:lvlText w:val="%1"/>
      <w:lvlJc w:val="left"/>
      <w:pPr>
        <w:ind w:left="720" w:hanging="720"/>
      </w:pPr>
      <w:rPr>
        <w:rFonts w:hint="default"/>
      </w:rPr>
    </w:lvl>
    <w:lvl w:ilvl="1">
      <w:start w:val="1"/>
      <w:numFmt w:val="decimal"/>
      <w:lvlText w:val="%1.%2"/>
      <w:lvlJc w:val="left"/>
      <w:pPr>
        <w:ind w:left="862"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FF52B33"/>
    <w:multiLevelType w:val="hybridMultilevel"/>
    <w:tmpl w:val="206A042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23"/>
  </w:num>
  <w:num w:numId="2">
    <w:abstractNumId w:val="12"/>
  </w:num>
  <w:num w:numId="3">
    <w:abstractNumId w:val="18"/>
  </w:num>
  <w:num w:numId="4">
    <w:abstractNumId w:val="2"/>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8"/>
  </w:num>
  <w:num w:numId="9">
    <w:abstractNumId w:val="14"/>
  </w:num>
  <w:num w:numId="10">
    <w:abstractNumId w:val="27"/>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5"/>
  </w:num>
  <w:num w:numId="14">
    <w:abstractNumId w:val="6"/>
  </w:num>
  <w:num w:numId="15">
    <w:abstractNumId w:val="21"/>
  </w:num>
  <w:num w:numId="16">
    <w:abstractNumId w:val="16"/>
  </w:num>
  <w:num w:numId="17">
    <w:abstractNumId w:val="0"/>
  </w:num>
  <w:num w:numId="18">
    <w:abstractNumId w:val="20"/>
  </w:num>
  <w:num w:numId="19">
    <w:abstractNumId w:val="24"/>
  </w:num>
  <w:num w:numId="20">
    <w:abstractNumId w:val="4"/>
  </w:num>
  <w:num w:numId="21">
    <w:abstractNumId w:val="3"/>
  </w:num>
  <w:num w:numId="22">
    <w:abstractNumId w:val="13"/>
  </w:num>
  <w:num w:numId="23">
    <w:abstractNumId w:val="1"/>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7"/>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rsids>
    <w:rsidRoot w:val="004958F6"/>
    <w:rsid w:val="000024E4"/>
    <w:rsid w:val="00003FA0"/>
    <w:rsid w:val="00007E2D"/>
    <w:rsid w:val="00015643"/>
    <w:rsid w:val="000159C8"/>
    <w:rsid w:val="00025181"/>
    <w:rsid w:val="00031E66"/>
    <w:rsid w:val="00035687"/>
    <w:rsid w:val="00042AE3"/>
    <w:rsid w:val="00042EBF"/>
    <w:rsid w:val="00043E11"/>
    <w:rsid w:val="00045971"/>
    <w:rsid w:val="00045A56"/>
    <w:rsid w:val="00045BC8"/>
    <w:rsid w:val="00052FDE"/>
    <w:rsid w:val="00056463"/>
    <w:rsid w:val="000567EE"/>
    <w:rsid w:val="000658C4"/>
    <w:rsid w:val="00070DA7"/>
    <w:rsid w:val="00086766"/>
    <w:rsid w:val="00090DB9"/>
    <w:rsid w:val="0009399B"/>
    <w:rsid w:val="000969D7"/>
    <w:rsid w:val="00096BD7"/>
    <w:rsid w:val="000A0A8C"/>
    <w:rsid w:val="000A1B0E"/>
    <w:rsid w:val="000A1E7A"/>
    <w:rsid w:val="000A4BFD"/>
    <w:rsid w:val="000A7EFB"/>
    <w:rsid w:val="000B032B"/>
    <w:rsid w:val="000B5C2A"/>
    <w:rsid w:val="000D5746"/>
    <w:rsid w:val="000D7860"/>
    <w:rsid w:val="000D7B93"/>
    <w:rsid w:val="000F04AF"/>
    <w:rsid w:val="000F1BB1"/>
    <w:rsid w:val="000F209D"/>
    <w:rsid w:val="000F2257"/>
    <w:rsid w:val="000F3217"/>
    <w:rsid w:val="00101FDC"/>
    <w:rsid w:val="00104A2D"/>
    <w:rsid w:val="00105969"/>
    <w:rsid w:val="00111552"/>
    <w:rsid w:val="00114929"/>
    <w:rsid w:val="001151C8"/>
    <w:rsid w:val="00121E5F"/>
    <w:rsid w:val="00133F1E"/>
    <w:rsid w:val="0013746A"/>
    <w:rsid w:val="001415FA"/>
    <w:rsid w:val="0014391A"/>
    <w:rsid w:val="00155B86"/>
    <w:rsid w:val="00161507"/>
    <w:rsid w:val="00167B01"/>
    <w:rsid w:val="00170355"/>
    <w:rsid w:val="001747E3"/>
    <w:rsid w:val="00175559"/>
    <w:rsid w:val="00181B02"/>
    <w:rsid w:val="00181D85"/>
    <w:rsid w:val="00185216"/>
    <w:rsid w:val="001A2097"/>
    <w:rsid w:val="001A27DA"/>
    <w:rsid w:val="001A766E"/>
    <w:rsid w:val="001B0BE4"/>
    <w:rsid w:val="001B2BD8"/>
    <w:rsid w:val="001B42D0"/>
    <w:rsid w:val="001B5155"/>
    <w:rsid w:val="001C1240"/>
    <w:rsid w:val="001C3797"/>
    <w:rsid w:val="001C50D2"/>
    <w:rsid w:val="001C6D53"/>
    <w:rsid w:val="001D0E36"/>
    <w:rsid w:val="001E0F63"/>
    <w:rsid w:val="001E0F95"/>
    <w:rsid w:val="001E166D"/>
    <w:rsid w:val="001E2C9A"/>
    <w:rsid w:val="001E4484"/>
    <w:rsid w:val="001E6A39"/>
    <w:rsid w:val="001F4E94"/>
    <w:rsid w:val="00200A64"/>
    <w:rsid w:val="00201D4E"/>
    <w:rsid w:val="002033C5"/>
    <w:rsid w:val="002045B4"/>
    <w:rsid w:val="00205FDB"/>
    <w:rsid w:val="00211605"/>
    <w:rsid w:val="00214AF9"/>
    <w:rsid w:val="00220F0B"/>
    <w:rsid w:val="002210A3"/>
    <w:rsid w:val="00221F1C"/>
    <w:rsid w:val="00222A04"/>
    <w:rsid w:val="00223928"/>
    <w:rsid w:val="00226087"/>
    <w:rsid w:val="00226C82"/>
    <w:rsid w:val="00226F86"/>
    <w:rsid w:val="002337ED"/>
    <w:rsid w:val="00237FED"/>
    <w:rsid w:val="00240AC5"/>
    <w:rsid w:val="0024103B"/>
    <w:rsid w:val="00241866"/>
    <w:rsid w:val="0024367D"/>
    <w:rsid w:val="00262C18"/>
    <w:rsid w:val="00264714"/>
    <w:rsid w:val="002662B2"/>
    <w:rsid w:val="002706A1"/>
    <w:rsid w:val="00271A7E"/>
    <w:rsid w:val="00273555"/>
    <w:rsid w:val="002741FC"/>
    <w:rsid w:val="00277338"/>
    <w:rsid w:val="002779C3"/>
    <w:rsid w:val="00282F3B"/>
    <w:rsid w:val="00284C3F"/>
    <w:rsid w:val="002920EE"/>
    <w:rsid w:val="002923E4"/>
    <w:rsid w:val="002A5CE2"/>
    <w:rsid w:val="002A5EC1"/>
    <w:rsid w:val="002B0D8D"/>
    <w:rsid w:val="002B1CC6"/>
    <w:rsid w:val="002B2E53"/>
    <w:rsid w:val="002B6FA1"/>
    <w:rsid w:val="002C1F80"/>
    <w:rsid w:val="002D00CC"/>
    <w:rsid w:val="002E01E1"/>
    <w:rsid w:val="002F01B5"/>
    <w:rsid w:val="002F48F8"/>
    <w:rsid w:val="002F5AD4"/>
    <w:rsid w:val="0030202E"/>
    <w:rsid w:val="00304051"/>
    <w:rsid w:val="00306712"/>
    <w:rsid w:val="00307E35"/>
    <w:rsid w:val="00312624"/>
    <w:rsid w:val="00312B7D"/>
    <w:rsid w:val="003150CC"/>
    <w:rsid w:val="003172B3"/>
    <w:rsid w:val="003214D9"/>
    <w:rsid w:val="003228FB"/>
    <w:rsid w:val="00326D33"/>
    <w:rsid w:val="003272A0"/>
    <w:rsid w:val="003331A8"/>
    <w:rsid w:val="00336442"/>
    <w:rsid w:val="003402BD"/>
    <w:rsid w:val="00341F0B"/>
    <w:rsid w:val="00352DE9"/>
    <w:rsid w:val="00353B22"/>
    <w:rsid w:val="00357537"/>
    <w:rsid w:val="00367C06"/>
    <w:rsid w:val="00374F1A"/>
    <w:rsid w:val="00375D74"/>
    <w:rsid w:val="00383C84"/>
    <w:rsid w:val="00386E5E"/>
    <w:rsid w:val="00390A75"/>
    <w:rsid w:val="00390D4D"/>
    <w:rsid w:val="00390E09"/>
    <w:rsid w:val="00391C4F"/>
    <w:rsid w:val="003930ED"/>
    <w:rsid w:val="003935F4"/>
    <w:rsid w:val="0039747E"/>
    <w:rsid w:val="003A23A4"/>
    <w:rsid w:val="003A28F3"/>
    <w:rsid w:val="003A7E26"/>
    <w:rsid w:val="003A7EBD"/>
    <w:rsid w:val="003B0A6A"/>
    <w:rsid w:val="003B29E5"/>
    <w:rsid w:val="003B3AD4"/>
    <w:rsid w:val="003B3E7D"/>
    <w:rsid w:val="003B427F"/>
    <w:rsid w:val="003C06D0"/>
    <w:rsid w:val="003C5E25"/>
    <w:rsid w:val="003C5E95"/>
    <w:rsid w:val="003C5FBF"/>
    <w:rsid w:val="003C71B7"/>
    <w:rsid w:val="003C7D5E"/>
    <w:rsid w:val="003D10AA"/>
    <w:rsid w:val="003D4384"/>
    <w:rsid w:val="003D489D"/>
    <w:rsid w:val="003D7A6C"/>
    <w:rsid w:val="003E141C"/>
    <w:rsid w:val="003E2C81"/>
    <w:rsid w:val="003E3795"/>
    <w:rsid w:val="003E4E8A"/>
    <w:rsid w:val="003E5316"/>
    <w:rsid w:val="003F04F4"/>
    <w:rsid w:val="003F5C99"/>
    <w:rsid w:val="004018AD"/>
    <w:rsid w:val="00402C5A"/>
    <w:rsid w:val="00402FFC"/>
    <w:rsid w:val="00403B36"/>
    <w:rsid w:val="004041C1"/>
    <w:rsid w:val="00405DF6"/>
    <w:rsid w:val="00405F9A"/>
    <w:rsid w:val="004102F5"/>
    <w:rsid w:val="00414FA2"/>
    <w:rsid w:val="004158D5"/>
    <w:rsid w:val="00420A8F"/>
    <w:rsid w:val="004227A6"/>
    <w:rsid w:val="0042388D"/>
    <w:rsid w:val="00425C04"/>
    <w:rsid w:val="00426223"/>
    <w:rsid w:val="00427215"/>
    <w:rsid w:val="00427F61"/>
    <w:rsid w:val="00436BA6"/>
    <w:rsid w:val="00444584"/>
    <w:rsid w:val="004500EB"/>
    <w:rsid w:val="004517EE"/>
    <w:rsid w:val="004535D6"/>
    <w:rsid w:val="0045391F"/>
    <w:rsid w:val="004548E9"/>
    <w:rsid w:val="0045536A"/>
    <w:rsid w:val="004605AA"/>
    <w:rsid w:val="00460FA3"/>
    <w:rsid w:val="004610A8"/>
    <w:rsid w:val="00462796"/>
    <w:rsid w:val="004719CC"/>
    <w:rsid w:val="00474413"/>
    <w:rsid w:val="00474671"/>
    <w:rsid w:val="0047521A"/>
    <w:rsid w:val="0047721B"/>
    <w:rsid w:val="00480428"/>
    <w:rsid w:val="0048104C"/>
    <w:rsid w:val="00483B64"/>
    <w:rsid w:val="004840D8"/>
    <w:rsid w:val="00487383"/>
    <w:rsid w:val="00487803"/>
    <w:rsid w:val="004907F6"/>
    <w:rsid w:val="00491598"/>
    <w:rsid w:val="00491C4A"/>
    <w:rsid w:val="004958F6"/>
    <w:rsid w:val="004A2818"/>
    <w:rsid w:val="004A3296"/>
    <w:rsid w:val="004B3D63"/>
    <w:rsid w:val="004B4D77"/>
    <w:rsid w:val="004B70B0"/>
    <w:rsid w:val="004C1BCD"/>
    <w:rsid w:val="004D1DA5"/>
    <w:rsid w:val="004E2DDA"/>
    <w:rsid w:val="004E4553"/>
    <w:rsid w:val="004E5423"/>
    <w:rsid w:val="004E5C6F"/>
    <w:rsid w:val="004F07B5"/>
    <w:rsid w:val="004F5FC8"/>
    <w:rsid w:val="004F7056"/>
    <w:rsid w:val="0050782E"/>
    <w:rsid w:val="00507D51"/>
    <w:rsid w:val="00511023"/>
    <w:rsid w:val="0051169B"/>
    <w:rsid w:val="005118A7"/>
    <w:rsid w:val="00522BB3"/>
    <w:rsid w:val="00523989"/>
    <w:rsid w:val="005249F0"/>
    <w:rsid w:val="00530831"/>
    <w:rsid w:val="00531D39"/>
    <w:rsid w:val="00546A14"/>
    <w:rsid w:val="0055064B"/>
    <w:rsid w:val="00553998"/>
    <w:rsid w:val="0055666E"/>
    <w:rsid w:val="00560CCA"/>
    <w:rsid w:val="00566905"/>
    <w:rsid w:val="0057049A"/>
    <w:rsid w:val="005728F6"/>
    <w:rsid w:val="00574679"/>
    <w:rsid w:val="00575DA4"/>
    <w:rsid w:val="00576584"/>
    <w:rsid w:val="00592303"/>
    <w:rsid w:val="00595F05"/>
    <w:rsid w:val="005A50C2"/>
    <w:rsid w:val="005B3F07"/>
    <w:rsid w:val="005B47ED"/>
    <w:rsid w:val="005B71F5"/>
    <w:rsid w:val="005C06FE"/>
    <w:rsid w:val="005C1E73"/>
    <w:rsid w:val="005C21F0"/>
    <w:rsid w:val="005C4D60"/>
    <w:rsid w:val="005C5858"/>
    <w:rsid w:val="005D104F"/>
    <w:rsid w:val="005D5936"/>
    <w:rsid w:val="005D5B8F"/>
    <w:rsid w:val="005E740A"/>
    <w:rsid w:val="005F07B6"/>
    <w:rsid w:val="005F6406"/>
    <w:rsid w:val="006012D7"/>
    <w:rsid w:val="00606725"/>
    <w:rsid w:val="00610302"/>
    <w:rsid w:val="00611A78"/>
    <w:rsid w:val="00612E56"/>
    <w:rsid w:val="006138BF"/>
    <w:rsid w:val="006143A9"/>
    <w:rsid w:val="006156E2"/>
    <w:rsid w:val="00616B07"/>
    <w:rsid w:val="00622562"/>
    <w:rsid w:val="00622E79"/>
    <w:rsid w:val="00624EB5"/>
    <w:rsid w:val="00627057"/>
    <w:rsid w:val="0063020C"/>
    <w:rsid w:val="00632BF0"/>
    <w:rsid w:val="00635E31"/>
    <w:rsid w:val="006374DF"/>
    <w:rsid w:val="006400A5"/>
    <w:rsid w:val="00641878"/>
    <w:rsid w:val="00642859"/>
    <w:rsid w:val="00642E4A"/>
    <w:rsid w:val="00645A6A"/>
    <w:rsid w:val="006469FE"/>
    <w:rsid w:val="00650126"/>
    <w:rsid w:val="00650915"/>
    <w:rsid w:val="00655A7C"/>
    <w:rsid w:val="0065633A"/>
    <w:rsid w:val="006639D1"/>
    <w:rsid w:val="00664903"/>
    <w:rsid w:val="00665C8B"/>
    <w:rsid w:val="00665FB2"/>
    <w:rsid w:val="00667C0F"/>
    <w:rsid w:val="00670239"/>
    <w:rsid w:val="00672D89"/>
    <w:rsid w:val="006731DA"/>
    <w:rsid w:val="00673779"/>
    <w:rsid w:val="006744D1"/>
    <w:rsid w:val="006759F5"/>
    <w:rsid w:val="00676B54"/>
    <w:rsid w:val="006831DB"/>
    <w:rsid w:val="00684531"/>
    <w:rsid w:val="006858B9"/>
    <w:rsid w:val="00692DA8"/>
    <w:rsid w:val="006958A2"/>
    <w:rsid w:val="006A34EA"/>
    <w:rsid w:val="006A44C7"/>
    <w:rsid w:val="006B29A4"/>
    <w:rsid w:val="006B7184"/>
    <w:rsid w:val="006B7361"/>
    <w:rsid w:val="006B7E81"/>
    <w:rsid w:val="006C59E8"/>
    <w:rsid w:val="006D26DF"/>
    <w:rsid w:val="006D3026"/>
    <w:rsid w:val="006D7245"/>
    <w:rsid w:val="006D7771"/>
    <w:rsid w:val="006E43ED"/>
    <w:rsid w:val="006E57DE"/>
    <w:rsid w:val="006F05A7"/>
    <w:rsid w:val="006F061A"/>
    <w:rsid w:val="006F6714"/>
    <w:rsid w:val="006F71B9"/>
    <w:rsid w:val="006F747E"/>
    <w:rsid w:val="0070247E"/>
    <w:rsid w:val="0070632E"/>
    <w:rsid w:val="00711662"/>
    <w:rsid w:val="00712EEC"/>
    <w:rsid w:val="007139C9"/>
    <w:rsid w:val="007140E2"/>
    <w:rsid w:val="00716E08"/>
    <w:rsid w:val="00725197"/>
    <w:rsid w:val="007314F5"/>
    <w:rsid w:val="00746014"/>
    <w:rsid w:val="00747E25"/>
    <w:rsid w:val="00750400"/>
    <w:rsid w:val="0075294B"/>
    <w:rsid w:val="00753699"/>
    <w:rsid w:val="00760A44"/>
    <w:rsid w:val="00762021"/>
    <w:rsid w:val="0077547B"/>
    <w:rsid w:val="0077611A"/>
    <w:rsid w:val="0078128C"/>
    <w:rsid w:val="007825C8"/>
    <w:rsid w:val="0078275B"/>
    <w:rsid w:val="00786800"/>
    <w:rsid w:val="00786DF0"/>
    <w:rsid w:val="00790E3E"/>
    <w:rsid w:val="00791807"/>
    <w:rsid w:val="007A17BB"/>
    <w:rsid w:val="007A37C0"/>
    <w:rsid w:val="007A390A"/>
    <w:rsid w:val="007A51BE"/>
    <w:rsid w:val="007A6B7E"/>
    <w:rsid w:val="007B1606"/>
    <w:rsid w:val="007B5A28"/>
    <w:rsid w:val="007C0C34"/>
    <w:rsid w:val="007C718F"/>
    <w:rsid w:val="007C774A"/>
    <w:rsid w:val="007C7FF3"/>
    <w:rsid w:val="007E085D"/>
    <w:rsid w:val="007E13D8"/>
    <w:rsid w:val="007E2BB3"/>
    <w:rsid w:val="007E3B3A"/>
    <w:rsid w:val="007E66AC"/>
    <w:rsid w:val="007F10EC"/>
    <w:rsid w:val="007F19AB"/>
    <w:rsid w:val="007F78E9"/>
    <w:rsid w:val="0080010B"/>
    <w:rsid w:val="008013EF"/>
    <w:rsid w:val="00802BEA"/>
    <w:rsid w:val="00803E36"/>
    <w:rsid w:val="00816F67"/>
    <w:rsid w:val="00817646"/>
    <w:rsid w:val="008213C3"/>
    <w:rsid w:val="0082596C"/>
    <w:rsid w:val="00825B8B"/>
    <w:rsid w:val="00826ACD"/>
    <w:rsid w:val="0083345E"/>
    <w:rsid w:val="0083456F"/>
    <w:rsid w:val="00841292"/>
    <w:rsid w:val="00842EAC"/>
    <w:rsid w:val="00843AB8"/>
    <w:rsid w:val="00851E50"/>
    <w:rsid w:val="0085259D"/>
    <w:rsid w:val="008543D1"/>
    <w:rsid w:val="008613B5"/>
    <w:rsid w:val="00862DB5"/>
    <w:rsid w:val="00864246"/>
    <w:rsid w:val="00866894"/>
    <w:rsid w:val="00875329"/>
    <w:rsid w:val="00876768"/>
    <w:rsid w:val="0088204D"/>
    <w:rsid w:val="00885219"/>
    <w:rsid w:val="0088571D"/>
    <w:rsid w:val="008944FC"/>
    <w:rsid w:val="0089553E"/>
    <w:rsid w:val="00897C9C"/>
    <w:rsid w:val="008A1CFE"/>
    <w:rsid w:val="008A30D6"/>
    <w:rsid w:val="008A3DD2"/>
    <w:rsid w:val="008B0EF9"/>
    <w:rsid w:val="008B36F1"/>
    <w:rsid w:val="008B41F4"/>
    <w:rsid w:val="008B423C"/>
    <w:rsid w:val="008B492F"/>
    <w:rsid w:val="008B5DEA"/>
    <w:rsid w:val="008C05B3"/>
    <w:rsid w:val="008C33B2"/>
    <w:rsid w:val="008C75AD"/>
    <w:rsid w:val="008D4A34"/>
    <w:rsid w:val="008D4B8A"/>
    <w:rsid w:val="008D555C"/>
    <w:rsid w:val="008D65DD"/>
    <w:rsid w:val="008D7829"/>
    <w:rsid w:val="008E398F"/>
    <w:rsid w:val="008E4866"/>
    <w:rsid w:val="008E48C0"/>
    <w:rsid w:val="008E557B"/>
    <w:rsid w:val="008E65D7"/>
    <w:rsid w:val="008E6DF7"/>
    <w:rsid w:val="008F0C74"/>
    <w:rsid w:val="008F36F3"/>
    <w:rsid w:val="008F4F41"/>
    <w:rsid w:val="00901A8B"/>
    <w:rsid w:val="009040A5"/>
    <w:rsid w:val="009042E2"/>
    <w:rsid w:val="009047A0"/>
    <w:rsid w:val="00904A60"/>
    <w:rsid w:val="009066DF"/>
    <w:rsid w:val="009108AE"/>
    <w:rsid w:val="00911687"/>
    <w:rsid w:val="00913432"/>
    <w:rsid w:val="00914ABA"/>
    <w:rsid w:val="00916B75"/>
    <w:rsid w:val="009172D1"/>
    <w:rsid w:val="00920A4A"/>
    <w:rsid w:val="00920F19"/>
    <w:rsid w:val="00922545"/>
    <w:rsid w:val="00922D68"/>
    <w:rsid w:val="009262A5"/>
    <w:rsid w:val="009317AD"/>
    <w:rsid w:val="00931BEB"/>
    <w:rsid w:val="0093498B"/>
    <w:rsid w:val="009375BF"/>
    <w:rsid w:val="00940251"/>
    <w:rsid w:val="00944297"/>
    <w:rsid w:val="009454BA"/>
    <w:rsid w:val="00945A6B"/>
    <w:rsid w:val="009475A5"/>
    <w:rsid w:val="00952810"/>
    <w:rsid w:val="00953F60"/>
    <w:rsid w:val="00954792"/>
    <w:rsid w:val="00955772"/>
    <w:rsid w:val="00956856"/>
    <w:rsid w:val="00960BBE"/>
    <w:rsid w:val="00960BE3"/>
    <w:rsid w:val="0096288B"/>
    <w:rsid w:val="00963455"/>
    <w:rsid w:val="00966208"/>
    <w:rsid w:val="00967C71"/>
    <w:rsid w:val="00970111"/>
    <w:rsid w:val="00975AAE"/>
    <w:rsid w:val="009763B3"/>
    <w:rsid w:val="00984226"/>
    <w:rsid w:val="00984B22"/>
    <w:rsid w:val="00987113"/>
    <w:rsid w:val="0099609E"/>
    <w:rsid w:val="009A1B64"/>
    <w:rsid w:val="009A2334"/>
    <w:rsid w:val="009A648D"/>
    <w:rsid w:val="009A760F"/>
    <w:rsid w:val="009B5E6E"/>
    <w:rsid w:val="009B67F9"/>
    <w:rsid w:val="009C4AAE"/>
    <w:rsid w:val="009C6044"/>
    <w:rsid w:val="009C7C02"/>
    <w:rsid w:val="009D062E"/>
    <w:rsid w:val="009D6124"/>
    <w:rsid w:val="009E7A5B"/>
    <w:rsid w:val="009F010E"/>
    <w:rsid w:val="009F143B"/>
    <w:rsid w:val="00A039F0"/>
    <w:rsid w:val="00A051F9"/>
    <w:rsid w:val="00A116C5"/>
    <w:rsid w:val="00A20C5C"/>
    <w:rsid w:val="00A213F5"/>
    <w:rsid w:val="00A2565A"/>
    <w:rsid w:val="00A3475F"/>
    <w:rsid w:val="00A40110"/>
    <w:rsid w:val="00A40679"/>
    <w:rsid w:val="00A4209B"/>
    <w:rsid w:val="00A44FAA"/>
    <w:rsid w:val="00A468EC"/>
    <w:rsid w:val="00A52DB0"/>
    <w:rsid w:val="00A53AD0"/>
    <w:rsid w:val="00A54937"/>
    <w:rsid w:val="00A572FB"/>
    <w:rsid w:val="00A6450A"/>
    <w:rsid w:val="00A65F31"/>
    <w:rsid w:val="00A66B13"/>
    <w:rsid w:val="00A715F3"/>
    <w:rsid w:val="00A72222"/>
    <w:rsid w:val="00A75787"/>
    <w:rsid w:val="00A769F0"/>
    <w:rsid w:val="00A82B24"/>
    <w:rsid w:val="00A92079"/>
    <w:rsid w:val="00A954D1"/>
    <w:rsid w:val="00A962B4"/>
    <w:rsid w:val="00AA0D05"/>
    <w:rsid w:val="00AA2906"/>
    <w:rsid w:val="00AA290E"/>
    <w:rsid w:val="00AA2D6A"/>
    <w:rsid w:val="00AA47D2"/>
    <w:rsid w:val="00AA600B"/>
    <w:rsid w:val="00AA7288"/>
    <w:rsid w:val="00AA7CF8"/>
    <w:rsid w:val="00AB2CB6"/>
    <w:rsid w:val="00AB366C"/>
    <w:rsid w:val="00AB3D35"/>
    <w:rsid w:val="00AB6BB9"/>
    <w:rsid w:val="00AC341C"/>
    <w:rsid w:val="00AC6799"/>
    <w:rsid w:val="00AD4060"/>
    <w:rsid w:val="00AD53CB"/>
    <w:rsid w:val="00AE2CB5"/>
    <w:rsid w:val="00AE42CF"/>
    <w:rsid w:val="00AE4C01"/>
    <w:rsid w:val="00AE580D"/>
    <w:rsid w:val="00AE70AB"/>
    <w:rsid w:val="00AE767E"/>
    <w:rsid w:val="00AF1445"/>
    <w:rsid w:val="00B023EF"/>
    <w:rsid w:val="00B03244"/>
    <w:rsid w:val="00B042ED"/>
    <w:rsid w:val="00B044A5"/>
    <w:rsid w:val="00B05754"/>
    <w:rsid w:val="00B136A4"/>
    <w:rsid w:val="00B1796A"/>
    <w:rsid w:val="00B209EB"/>
    <w:rsid w:val="00B20AFA"/>
    <w:rsid w:val="00B2395D"/>
    <w:rsid w:val="00B245D1"/>
    <w:rsid w:val="00B26ED0"/>
    <w:rsid w:val="00B30F41"/>
    <w:rsid w:val="00B31384"/>
    <w:rsid w:val="00B34220"/>
    <w:rsid w:val="00B442E6"/>
    <w:rsid w:val="00B46169"/>
    <w:rsid w:val="00B47CB2"/>
    <w:rsid w:val="00B53C92"/>
    <w:rsid w:val="00B56C87"/>
    <w:rsid w:val="00B56E68"/>
    <w:rsid w:val="00B57333"/>
    <w:rsid w:val="00B6209F"/>
    <w:rsid w:val="00B64AFB"/>
    <w:rsid w:val="00B70EE1"/>
    <w:rsid w:val="00B7245A"/>
    <w:rsid w:val="00B724F3"/>
    <w:rsid w:val="00B74309"/>
    <w:rsid w:val="00B7518A"/>
    <w:rsid w:val="00B75ABC"/>
    <w:rsid w:val="00B7659E"/>
    <w:rsid w:val="00B772F8"/>
    <w:rsid w:val="00B77644"/>
    <w:rsid w:val="00B80753"/>
    <w:rsid w:val="00B807E0"/>
    <w:rsid w:val="00B86957"/>
    <w:rsid w:val="00B86BD0"/>
    <w:rsid w:val="00B90762"/>
    <w:rsid w:val="00B92488"/>
    <w:rsid w:val="00B93630"/>
    <w:rsid w:val="00B94C19"/>
    <w:rsid w:val="00B96439"/>
    <w:rsid w:val="00BA1C50"/>
    <w:rsid w:val="00BA4ACA"/>
    <w:rsid w:val="00BB151F"/>
    <w:rsid w:val="00BB1A68"/>
    <w:rsid w:val="00BC0084"/>
    <w:rsid w:val="00BC0D2E"/>
    <w:rsid w:val="00BC0FD9"/>
    <w:rsid w:val="00BE2CEF"/>
    <w:rsid w:val="00BE5504"/>
    <w:rsid w:val="00BF158B"/>
    <w:rsid w:val="00BF3A81"/>
    <w:rsid w:val="00C00048"/>
    <w:rsid w:val="00C03AE7"/>
    <w:rsid w:val="00C05EB7"/>
    <w:rsid w:val="00C068D2"/>
    <w:rsid w:val="00C124B7"/>
    <w:rsid w:val="00C16598"/>
    <w:rsid w:val="00C20C37"/>
    <w:rsid w:val="00C315C4"/>
    <w:rsid w:val="00C31A9F"/>
    <w:rsid w:val="00C3302A"/>
    <w:rsid w:val="00C47906"/>
    <w:rsid w:val="00C524C2"/>
    <w:rsid w:val="00C52949"/>
    <w:rsid w:val="00C535E0"/>
    <w:rsid w:val="00C56392"/>
    <w:rsid w:val="00C56BA5"/>
    <w:rsid w:val="00C60408"/>
    <w:rsid w:val="00C710F0"/>
    <w:rsid w:val="00C72E75"/>
    <w:rsid w:val="00C80B8A"/>
    <w:rsid w:val="00C819C4"/>
    <w:rsid w:val="00C81A1A"/>
    <w:rsid w:val="00C82615"/>
    <w:rsid w:val="00C83439"/>
    <w:rsid w:val="00C835EB"/>
    <w:rsid w:val="00C84929"/>
    <w:rsid w:val="00C86B81"/>
    <w:rsid w:val="00C92442"/>
    <w:rsid w:val="00C9340D"/>
    <w:rsid w:val="00C95B23"/>
    <w:rsid w:val="00C9616C"/>
    <w:rsid w:val="00C968B8"/>
    <w:rsid w:val="00CA08CC"/>
    <w:rsid w:val="00CA3D65"/>
    <w:rsid w:val="00CA7BE4"/>
    <w:rsid w:val="00CB2B01"/>
    <w:rsid w:val="00CB63DC"/>
    <w:rsid w:val="00CC0E1F"/>
    <w:rsid w:val="00CC54A5"/>
    <w:rsid w:val="00CC558E"/>
    <w:rsid w:val="00CC642A"/>
    <w:rsid w:val="00CC6F26"/>
    <w:rsid w:val="00CD14AB"/>
    <w:rsid w:val="00CD35B7"/>
    <w:rsid w:val="00CD38D8"/>
    <w:rsid w:val="00CD4867"/>
    <w:rsid w:val="00CD6462"/>
    <w:rsid w:val="00CD6E0D"/>
    <w:rsid w:val="00CE3B44"/>
    <w:rsid w:val="00CE5468"/>
    <w:rsid w:val="00CF02DF"/>
    <w:rsid w:val="00CF0B30"/>
    <w:rsid w:val="00CF12B7"/>
    <w:rsid w:val="00D10490"/>
    <w:rsid w:val="00D22A04"/>
    <w:rsid w:val="00D243BB"/>
    <w:rsid w:val="00D30E3B"/>
    <w:rsid w:val="00D335E0"/>
    <w:rsid w:val="00D3434B"/>
    <w:rsid w:val="00D349E7"/>
    <w:rsid w:val="00D34D9F"/>
    <w:rsid w:val="00D356AA"/>
    <w:rsid w:val="00D37BCE"/>
    <w:rsid w:val="00D43E64"/>
    <w:rsid w:val="00D4405F"/>
    <w:rsid w:val="00D463CD"/>
    <w:rsid w:val="00D50B4B"/>
    <w:rsid w:val="00D50F38"/>
    <w:rsid w:val="00D54C3A"/>
    <w:rsid w:val="00D55583"/>
    <w:rsid w:val="00D564A2"/>
    <w:rsid w:val="00D57E05"/>
    <w:rsid w:val="00D61E33"/>
    <w:rsid w:val="00D62FE7"/>
    <w:rsid w:val="00D64750"/>
    <w:rsid w:val="00D665EA"/>
    <w:rsid w:val="00D67007"/>
    <w:rsid w:val="00D723C7"/>
    <w:rsid w:val="00D7297E"/>
    <w:rsid w:val="00D73A0B"/>
    <w:rsid w:val="00D75883"/>
    <w:rsid w:val="00D76394"/>
    <w:rsid w:val="00D76624"/>
    <w:rsid w:val="00D81902"/>
    <w:rsid w:val="00D852F4"/>
    <w:rsid w:val="00D87D6C"/>
    <w:rsid w:val="00D9225A"/>
    <w:rsid w:val="00D942E9"/>
    <w:rsid w:val="00DA0911"/>
    <w:rsid w:val="00DA1DA5"/>
    <w:rsid w:val="00DA22E2"/>
    <w:rsid w:val="00DA4C9D"/>
    <w:rsid w:val="00DA6016"/>
    <w:rsid w:val="00DA6FAC"/>
    <w:rsid w:val="00DA7FD5"/>
    <w:rsid w:val="00DB4710"/>
    <w:rsid w:val="00DB56D9"/>
    <w:rsid w:val="00DB5D56"/>
    <w:rsid w:val="00DB62BF"/>
    <w:rsid w:val="00DB7652"/>
    <w:rsid w:val="00DC0CA4"/>
    <w:rsid w:val="00DC55D5"/>
    <w:rsid w:val="00DC7213"/>
    <w:rsid w:val="00DD13FB"/>
    <w:rsid w:val="00DD2FC0"/>
    <w:rsid w:val="00DD5052"/>
    <w:rsid w:val="00DD5A55"/>
    <w:rsid w:val="00DE1CAF"/>
    <w:rsid w:val="00DE766B"/>
    <w:rsid w:val="00E011F3"/>
    <w:rsid w:val="00E034FD"/>
    <w:rsid w:val="00E209D8"/>
    <w:rsid w:val="00E20CB8"/>
    <w:rsid w:val="00E20E61"/>
    <w:rsid w:val="00E24AD5"/>
    <w:rsid w:val="00E24E26"/>
    <w:rsid w:val="00E26C41"/>
    <w:rsid w:val="00E33990"/>
    <w:rsid w:val="00E345EB"/>
    <w:rsid w:val="00E35BCF"/>
    <w:rsid w:val="00E35EFC"/>
    <w:rsid w:val="00E371F1"/>
    <w:rsid w:val="00E400F9"/>
    <w:rsid w:val="00E40185"/>
    <w:rsid w:val="00E40353"/>
    <w:rsid w:val="00E443CE"/>
    <w:rsid w:val="00E52E95"/>
    <w:rsid w:val="00E54C68"/>
    <w:rsid w:val="00E622A9"/>
    <w:rsid w:val="00E63F1A"/>
    <w:rsid w:val="00E65BCA"/>
    <w:rsid w:val="00E72840"/>
    <w:rsid w:val="00E729D7"/>
    <w:rsid w:val="00E72A3E"/>
    <w:rsid w:val="00E82C18"/>
    <w:rsid w:val="00E858DD"/>
    <w:rsid w:val="00E8756C"/>
    <w:rsid w:val="00E90A04"/>
    <w:rsid w:val="00E92AB7"/>
    <w:rsid w:val="00E95569"/>
    <w:rsid w:val="00E9566E"/>
    <w:rsid w:val="00EA1831"/>
    <w:rsid w:val="00EA19D3"/>
    <w:rsid w:val="00EB532C"/>
    <w:rsid w:val="00EC05EB"/>
    <w:rsid w:val="00EC07B6"/>
    <w:rsid w:val="00EC277D"/>
    <w:rsid w:val="00EC4585"/>
    <w:rsid w:val="00EC586D"/>
    <w:rsid w:val="00EC69C8"/>
    <w:rsid w:val="00EC6CA0"/>
    <w:rsid w:val="00ED1886"/>
    <w:rsid w:val="00ED2B6B"/>
    <w:rsid w:val="00ED34E5"/>
    <w:rsid w:val="00ED3572"/>
    <w:rsid w:val="00ED45EC"/>
    <w:rsid w:val="00ED4FE9"/>
    <w:rsid w:val="00ED5992"/>
    <w:rsid w:val="00EE0545"/>
    <w:rsid w:val="00EE5B79"/>
    <w:rsid w:val="00EE60CE"/>
    <w:rsid w:val="00EF014B"/>
    <w:rsid w:val="00EF0AD9"/>
    <w:rsid w:val="00EF179D"/>
    <w:rsid w:val="00F025A4"/>
    <w:rsid w:val="00F04545"/>
    <w:rsid w:val="00F07625"/>
    <w:rsid w:val="00F15BAD"/>
    <w:rsid w:val="00F164DC"/>
    <w:rsid w:val="00F227D7"/>
    <w:rsid w:val="00F237BD"/>
    <w:rsid w:val="00F262C0"/>
    <w:rsid w:val="00F31CE7"/>
    <w:rsid w:val="00F3788C"/>
    <w:rsid w:val="00F3789B"/>
    <w:rsid w:val="00F41E09"/>
    <w:rsid w:val="00F4309B"/>
    <w:rsid w:val="00F44E1A"/>
    <w:rsid w:val="00F50504"/>
    <w:rsid w:val="00F529D5"/>
    <w:rsid w:val="00F55519"/>
    <w:rsid w:val="00F55EBD"/>
    <w:rsid w:val="00F55F30"/>
    <w:rsid w:val="00F61B43"/>
    <w:rsid w:val="00F64163"/>
    <w:rsid w:val="00F6690F"/>
    <w:rsid w:val="00F67126"/>
    <w:rsid w:val="00F7348E"/>
    <w:rsid w:val="00F754D8"/>
    <w:rsid w:val="00F77101"/>
    <w:rsid w:val="00F81827"/>
    <w:rsid w:val="00F81BFC"/>
    <w:rsid w:val="00F83982"/>
    <w:rsid w:val="00F84B7F"/>
    <w:rsid w:val="00F914BA"/>
    <w:rsid w:val="00FA0006"/>
    <w:rsid w:val="00FA4A79"/>
    <w:rsid w:val="00FA7430"/>
    <w:rsid w:val="00FA7441"/>
    <w:rsid w:val="00FB0F87"/>
    <w:rsid w:val="00FB1777"/>
    <w:rsid w:val="00FB25C4"/>
    <w:rsid w:val="00FB32CE"/>
    <w:rsid w:val="00FB630F"/>
    <w:rsid w:val="00FB6DAC"/>
    <w:rsid w:val="00FC5181"/>
    <w:rsid w:val="00FC77AB"/>
    <w:rsid w:val="00FD4DED"/>
    <w:rsid w:val="00FE2D19"/>
    <w:rsid w:val="00FE39D8"/>
    <w:rsid w:val="00FE64E8"/>
    <w:rsid w:val="00FF01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9B"/>
    <w:pPr>
      <w:spacing w:after="200" w:line="276" w:lineRule="auto"/>
    </w:pPr>
    <w:rPr>
      <w:rFonts w:cs="Calibri"/>
      <w:lang w:val="en-AU"/>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eastAsia="Times New Roman" w:hAnsi="Times New Roman" w:cs="Times New Roman"/>
      <w:b/>
      <w:bCs/>
      <w:sz w:val="28"/>
      <w:szCs w:val="28"/>
      <w:lang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basedOn w:val="DefaultParagraphFont"/>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34"/>
    <w:qFormat/>
    <w:rsid w:val="0077547B"/>
    <w:pPr>
      <w:ind w:left="720"/>
    </w:pPr>
    <w:rPr>
      <w:sz w:val="20"/>
      <w:szCs w:val="20"/>
      <w:lang w:val="en-US"/>
    </w:rPr>
  </w:style>
  <w:style w:type="character" w:styleId="CommentReference">
    <w:name w:val="annotation reference"/>
    <w:basedOn w:val="DefaultParagraphFont"/>
    <w:uiPriority w:val="99"/>
    <w:rsid w:val="0077547B"/>
    <w:rPr>
      <w:sz w:val="16"/>
      <w:szCs w:val="16"/>
    </w:rPr>
  </w:style>
  <w:style w:type="paragraph" w:styleId="CommentText">
    <w:name w:val="annotation text"/>
    <w:basedOn w:val="Normal"/>
    <w:link w:val="CommentTextChar"/>
    <w:uiPriority w:val="99"/>
    <w:semiHidden/>
    <w:rsid w:val="0077547B"/>
    <w:pPr>
      <w:spacing w:line="240" w:lineRule="auto"/>
    </w:pPr>
    <w:rPr>
      <w:sz w:val="20"/>
      <w:szCs w:val="20"/>
    </w:rPr>
  </w:style>
  <w:style w:type="character" w:customStyle="1" w:styleId="CommentTextChar">
    <w:name w:val="Comment Text Char"/>
    <w:basedOn w:val="DefaultParagraphFont"/>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basedOn w:val="CommentTextChar"/>
    <w:link w:val="CommentSubject"/>
    <w:uiPriority w:val="99"/>
    <w:semiHidden/>
    <w:locked/>
    <w:rsid w:val="0077547B"/>
    <w:rPr>
      <w:b/>
      <w:bCs/>
      <w:sz w:val="20"/>
      <w:szCs w:val="20"/>
    </w:rPr>
  </w:style>
  <w:style w:type="character" w:styleId="Hyperlink">
    <w:name w:val="Hyperlink"/>
    <w:basedOn w:val="DefaultParagraphFont"/>
    <w:uiPriority w:val="99"/>
    <w:rsid w:val="00EB532C"/>
    <w:rPr>
      <w:color w:val="0000FF"/>
      <w:u w:val="single"/>
    </w:rPr>
  </w:style>
  <w:style w:type="character" w:styleId="FollowedHyperlink">
    <w:name w:val="FollowedHyperlink"/>
    <w:basedOn w:val="DefaultParagraphFont"/>
    <w:uiPriority w:val="99"/>
    <w:semiHidden/>
    <w:rsid w:val="006C59E8"/>
    <w:rPr>
      <w:color w:val="800080"/>
      <w:u w:val="single"/>
    </w:rPr>
  </w:style>
  <w:style w:type="paragraph" w:customStyle="1" w:styleId="Default">
    <w:name w:val="Default"/>
    <w:basedOn w:val="Normal"/>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34"/>
    <w:locked/>
    <w:rsid w:val="00B7245A"/>
    <w:rPr>
      <w:rFonts w:ascii="Calibri" w:eastAsia="Times New Roman" w:hAnsi="Calibri" w:cs="Calibri"/>
    </w:rPr>
  </w:style>
  <w:style w:type="table" w:styleId="TableGrid">
    <w:name w:val="Table Grid"/>
    <w:basedOn w:val="TableNormal"/>
    <w:uiPriority w:val="99"/>
    <w:rsid w:val="001B0BE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43AB8"/>
    <w:rPr>
      <w:rFonts w:cs="Calibri"/>
      <w:lang w:val="en-AU"/>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lang w:val="en-AU" w:eastAsia="en-AU"/>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cs="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eastAsia="Times New Roman" w:hAnsi="Times New Roman" w:cs="Times New Roman"/>
      <w:lang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basedOn w:val="DefaultParagraphFont"/>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 w:type="character" w:styleId="Strong">
    <w:name w:val="Strong"/>
    <w:basedOn w:val="DefaultParagraphFont"/>
    <w:uiPriority w:val="22"/>
    <w:qFormat/>
    <w:locked/>
    <w:rsid w:val="00015643"/>
    <w:rPr>
      <w:b/>
      <w:bCs/>
    </w:rPr>
  </w:style>
  <w:style w:type="paragraph" w:styleId="ListBullet">
    <w:name w:val="List Bullet"/>
    <w:basedOn w:val="Normal"/>
    <w:uiPriority w:val="99"/>
    <w:unhideWhenUsed/>
    <w:rsid w:val="00B64AFB"/>
    <w:pPr>
      <w:numPr>
        <w:numId w:val="17"/>
      </w:numPr>
      <w:contextualSpacing/>
    </w:pPr>
  </w:style>
  <w:style w:type="paragraph" w:customStyle="1" w:styleId="CABHeading1">
    <w:name w:val="CAB Heading 1"/>
    <w:basedOn w:val="Normal"/>
    <w:qFormat/>
    <w:rsid w:val="00CF12B7"/>
    <w:pPr>
      <w:spacing w:before="120" w:after="120" w:line="240" w:lineRule="auto"/>
    </w:pPr>
    <w:rPr>
      <w:rFonts w:eastAsia="Times New Roman" w:cs="Times New Roman"/>
      <w:b/>
      <w:sz w:val="24"/>
      <w:szCs w:val="24"/>
    </w:rPr>
  </w:style>
  <w:style w:type="paragraph" w:customStyle="1" w:styleId="notedraft">
    <w:name w:val="note(draft)"/>
    <w:aliases w:val="nd"/>
    <w:basedOn w:val="Normal"/>
    <w:rsid w:val="00AC341C"/>
    <w:pPr>
      <w:spacing w:before="240" w:after="0" w:line="240" w:lineRule="auto"/>
      <w:ind w:left="284" w:hanging="284"/>
    </w:pPr>
    <w:rPr>
      <w:rFonts w:ascii="Times New Roman" w:eastAsia="Times New Roman" w:hAnsi="Times New Roman" w:cs="Times New Roman"/>
      <w:i/>
      <w:sz w:val="24"/>
      <w:szCs w:val="20"/>
      <w:lang w:eastAsia="en-AU"/>
    </w:rPr>
  </w:style>
  <w:style w:type="paragraph" w:styleId="ListNumber">
    <w:name w:val="List Number"/>
    <w:basedOn w:val="Normal"/>
    <w:uiPriority w:val="99"/>
    <w:semiHidden/>
    <w:unhideWhenUsed/>
    <w:rsid w:val="00A954D1"/>
    <w:pPr>
      <w:spacing w:after="0" w:line="240" w:lineRule="auto"/>
      <w:ind w:left="360" w:hanging="360"/>
    </w:pPr>
    <w:rPr>
      <w:rFonts w:ascii="Times New Roman" w:eastAsia="Times New Roman" w:hAnsi="Times New Roman" w:cs="Times New Roman"/>
      <w:sz w:val="24"/>
      <w:szCs w:val="24"/>
      <w:lang w:eastAsia="en-AU"/>
    </w:rPr>
  </w:style>
  <w:style w:type="paragraph" w:customStyle="1" w:styleId="clausenotesparagraph">
    <w:name w:val="clausenotesparagraph"/>
    <w:basedOn w:val="Normal"/>
    <w:rsid w:val="00A954D1"/>
    <w:pPr>
      <w:spacing w:before="60" w:after="120" w:line="240" w:lineRule="auto"/>
      <w:ind w:left="360" w:hanging="360"/>
    </w:pPr>
    <w:rPr>
      <w:rFonts w:ascii="Times New Roman" w:eastAsia="Times New Roman" w:hAnsi="Times New Roman" w:cs="Times New Roman"/>
      <w:sz w:val="24"/>
      <w:szCs w:val="24"/>
      <w:lang w:eastAsia="en-AU"/>
    </w:rPr>
  </w:style>
  <w:style w:type="paragraph" w:customStyle="1" w:styleId="1BulletStyleList">
    <w:name w:val="1. Bullet Style List"/>
    <w:basedOn w:val="Normal"/>
    <w:rsid w:val="00403B36"/>
    <w:pPr>
      <w:spacing w:line="240" w:lineRule="auto"/>
    </w:pPr>
    <w:rPr>
      <w:rFonts w:ascii="Arial" w:eastAsia="Times New Roman" w:hAnsi="Arial"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9B"/>
    <w:pPr>
      <w:spacing w:after="200" w:line="276" w:lineRule="auto"/>
    </w:pPr>
    <w:rPr>
      <w:rFonts w:cs="Calibri"/>
      <w:lang w:val="en-AU"/>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eastAsia="Times New Roman" w:hAnsi="Times New Roman" w:cs="Times New Roman"/>
      <w:b/>
      <w:bCs/>
      <w:sz w:val="28"/>
      <w:szCs w:val="28"/>
      <w:lang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basedOn w:val="DefaultParagraphFont"/>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34"/>
    <w:qFormat/>
    <w:rsid w:val="0077547B"/>
    <w:pPr>
      <w:ind w:left="720"/>
    </w:pPr>
    <w:rPr>
      <w:sz w:val="20"/>
      <w:szCs w:val="20"/>
      <w:lang w:val="en-US"/>
    </w:rPr>
  </w:style>
  <w:style w:type="character" w:styleId="CommentReference">
    <w:name w:val="annotation reference"/>
    <w:basedOn w:val="DefaultParagraphFont"/>
    <w:uiPriority w:val="99"/>
    <w:rsid w:val="0077547B"/>
    <w:rPr>
      <w:sz w:val="16"/>
      <w:szCs w:val="16"/>
    </w:rPr>
  </w:style>
  <w:style w:type="paragraph" w:styleId="CommentText">
    <w:name w:val="annotation text"/>
    <w:basedOn w:val="Normal"/>
    <w:link w:val="CommentTextChar"/>
    <w:uiPriority w:val="99"/>
    <w:semiHidden/>
    <w:rsid w:val="0077547B"/>
    <w:pPr>
      <w:spacing w:line="240" w:lineRule="auto"/>
    </w:pPr>
    <w:rPr>
      <w:sz w:val="20"/>
      <w:szCs w:val="20"/>
    </w:rPr>
  </w:style>
  <w:style w:type="character" w:customStyle="1" w:styleId="CommentTextChar">
    <w:name w:val="Comment Text Char"/>
    <w:basedOn w:val="DefaultParagraphFont"/>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basedOn w:val="CommentTextChar"/>
    <w:link w:val="CommentSubject"/>
    <w:uiPriority w:val="99"/>
    <w:semiHidden/>
    <w:locked/>
    <w:rsid w:val="0077547B"/>
    <w:rPr>
      <w:b/>
      <w:bCs/>
      <w:sz w:val="20"/>
      <w:szCs w:val="20"/>
    </w:rPr>
  </w:style>
  <w:style w:type="character" w:styleId="Hyperlink">
    <w:name w:val="Hyperlink"/>
    <w:basedOn w:val="DefaultParagraphFont"/>
    <w:uiPriority w:val="99"/>
    <w:rsid w:val="00EB532C"/>
    <w:rPr>
      <w:color w:val="0000FF"/>
      <w:u w:val="single"/>
    </w:rPr>
  </w:style>
  <w:style w:type="character" w:styleId="FollowedHyperlink">
    <w:name w:val="FollowedHyperlink"/>
    <w:basedOn w:val="DefaultParagraphFont"/>
    <w:uiPriority w:val="99"/>
    <w:semiHidden/>
    <w:rsid w:val="006C59E8"/>
    <w:rPr>
      <w:color w:val="800080"/>
      <w:u w:val="single"/>
    </w:rPr>
  </w:style>
  <w:style w:type="paragraph" w:customStyle="1" w:styleId="Default">
    <w:name w:val="Default"/>
    <w:basedOn w:val="Normal"/>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34"/>
    <w:locked/>
    <w:rsid w:val="00B7245A"/>
    <w:rPr>
      <w:rFonts w:ascii="Calibri" w:eastAsia="Times New Roman" w:hAnsi="Calibri" w:cs="Calibri"/>
    </w:rPr>
  </w:style>
  <w:style w:type="table" w:styleId="TableGrid">
    <w:name w:val="Table Grid"/>
    <w:basedOn w:val="TableNormal"/>
    <w:uiPriority w:val="99"/>
    <w:rsid w:val="001B0BE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AB8"/>
    <w:rPr>
      <w:rFonts w:cs="Calibri"/>
      <w:lang w:val="en-AU"/>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lang w:val="en-AU" w:eastAsia="en-AU"/>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cs="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eastAsia="Times New Roman" w:hAnsi="Times New Roman" w:cs="Times New Roman"/>
      <w:lang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basedOn w:val="DefaultParagraphFont"/>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 w:type="character" w:styleId="Strong">
    <w:name w:val="Strong"/>
    <w:basedOn w:val="DefaultParagraphFont"/>
    <w:uiPriority w:val="22"/>
    <w:qFormat/>
    <w:locked/>
    <w:rsid w:val="00015643"/>
    <w:rPr>
      <w:b/>
      <w:bCs/>
    </w:rPr>
  </w:style>
  <w:style w:type="paragraph" w:styleId="ListBullet">
    <w:name w:val="List Bullet"/>
    <w:basedOn w:val="Normal"/>
    <w:uiPriority w:val="99"/>
    <w:unhideWhenUsed/>
    <w:rsid w:val="00B64AFB"/>
    <w:pPr>
      <w:numPr>
        <w:numId w:val="17"/>
      </w:numPr>
      <w:contextualSpacing/>
    </w:pPr>
  </w:style>
  <w:style w:type="paragraph" w:customStyle="1" w:styleId="CABHeading1">
    <w:name w:val="CAB Heading 1"/>
    <w:basedOn w:val="Normal"/>
    <w:qFormat/>
    <w:rsid w:val="00CF12B7"/>
    <w:pPr>
      <w:spacing w:before="120" w:after="120" w:line="240" w:lineRule="auto"/>
    </w:pPr>
    <w:rPr>
      <w:rFonts w:eastAsia="Times New Roman" w:cs="Times New Roman"/>
      <w:b/>
      <w:sz w:val="24"/>
      <w:szCs w:val="24"/>
    </w:rPr>
  </w:style>
  <w:style w:type="paragraph" w:customStyle="1" w:styleId="notedraft">
    <w:name w:val="note(draft)"/>
    <w:aliases w:val="nd"/>
    <w:basedOn w:val="Normal"/>
    <w:rsid w:val="00AC341C"/>
    <w:pPr>
      <w:spacing w:before="240" w:after="0" w:line="240" w:lineRule="auto"/>
      <w:ind w:left="284" w:hanging="284"/>
    </w:pPr>
    <w:rPr>
      <w:rFonts w:ascii="Times New Roman" w:eastAsia="Times New Roman" w:hAnsi="Times New Roman" w:cs="Times New Roman"/>
      <w:i/>
      <w:sz w:val="24"/>
      <w:szCs w:val="20"/>
      <w:lang w:eastAsia="en-AU"/>
    </w:rPr>
  </w:style>
  <w:style w:type="paragraph" w:styleId="ListNumber">
    <w:name w:val="List Number"/>
    <w:basedOn w:val="Normal"/>
    <w:uiPriority w:val="99"/>
    <w:semiHidden/>
    <w:unhideWhenUsed/>
    <w:rsid w:val="00A954D1"/>
    <w:pPr>
      <w:spacing w:after="0" w:line="240" w:lineRule="auto"/>
      <w:ind w:left="360" w:hanging="360"/>
    </w:pPr>
    <w:rPr>
      <w:rFonts w:ascii="Times New Roman" w:eastAsia="Times New Roman" w:hAnsi="Times New Roman" w:cs="Times New Roman"/>
      <w:sz w:val="24"/>
      <w:szCs w:val="24"/>
      <w:lang w:eastAsia="en-AU"/>
    </w:rPr>
  </w:style>
  <w:style w:type="paragraph" w:customStyle="1" w:styleId="clausenotesparagraph">
    <w:name w:val="clausenotesparagraph"/>
    <w:basedOn w:val="Normal"/>
    <w:rsid w:val="00A954D1"/>
    <w:pPr>
      <w:spacing w:before="60" w:after="120" w:line="240" w:lineRule="auto"/>
      <w:ind w:left="360" w:hanging="360"/>
    </w:pPr>
    <w:rPr>
      <w:rFonts w:ascii="Times New Roman" w:eastAsia="Times New Roman" w:hAnsi="Times New Roman" w:cs="Times New Roman"/>
      <w:sz w:val="24"/>
      <w:szCs w:val="24"/>
      <w:lang w:eastAsia="en-AU"/>
    </w:rPr>
  </w:style>
  <w:style w:type="paragraph" w:customStyle="1" w:styleId="1BulletStyleList">
    <w:name w:val="1. Bullet Style List"/>
    <w:basedOn w:val="Normal"/>
    <w:rsid w:val="00403B36"/>
    <w:pPr>
      <w:spacing w:line="240" w:lineRule="auto"/>
    </w:pPr>
    <w:rPr>
      <w:rFonts w:ascii="Arial" w:eastAsia="Times New Roman" w:hAnsi="Arial" w:cs="Times New Roman"/>
      <w:szCs w:val="20"/>
      <w:lang w:eastAsia="en-AU"/>
    </w:rPr>
  </w:style>
</w:styles>
</file>

<file path=word/webSettings.xml><?xml version="1.0" encoding="utf-8"?>
<w:webSettings xmlns:r="http://schemas.openxmlformats.org/officeDocument/2006/relationships" xmlns:w="http://schemas.openxmlformats.org/wordprocessingml/2006/main">
  <w:divs>
    <w:div w:id="277568725">
      <w:bodyDiv w:val="1"/>
      <w:marLeft w:val="0"/>
      <w:marRight w:val="0"/>
      <w:marTop w:val="0"/>
      <w:marBottom w:val="0"/>
      <w:divBdr>
        <w:top w:val="none" w:sz="0" w:space="0" w:color="auto"/>
        <w:left w:val="none" w:sz="0" w:space="0" w:color="auto"/>
        <w:bottom w:val="none" w:sz="0" w:space="0" w:color="auto"/>
        <w:right w:val="none" w:sz="0" w:space="0" w:color="auto"/>
      </w:divBdr>
      <w:divsChild>
        <w:div w:id="1147671627">
          <w:marLeft w:val="0"/>
          <w:marRight w:val="0"/>
          <w:marTop w:val="0"/>
          <w:marBottom w:val="0"/>
          <w:divBdr>
            <w:top w:val="none" w:sz="0" w:space="0" w:color="auto"/>
            <w:left w:val="none" w:sz="0" w:space="0" w:color="auto"/>
            <w:bottom w:val="none" w:sz="0" w:space="0" w:color="auto"/>
            <w:right w:val="none" w:sz="0" w:space="0" w:color="auto"/>
          </w:divBdr>
        </w:div>
      </w:divsChild>
    </w:div>
    <w:div w:id="377975101">
      <w:bodyDiv w:val="1"/>
      <w:marLeft w:val="0"/>
      <w:marRight w:val="0"/>
      <w:marTop w:val="0"/>
      <w:marBottom w:val="0"/>
      <w:divBdr>
        <w:top w:val="none" w:sz="0" w:space="0" w:color="auto"/>
        <w:left w:val="none" w:sz="0" w:space="0" w:color="auto"/>
        <w:bottom w:val="none" w:sz="0" w:space="0" w:color="auto"/>
        <w:right w:val="none" w:sz="0" w:space="0" w:color="auto"/>
      </w:divBdr>
    </w:div>
    <w:div w:id="449203888">
      <w:bodyDiv w:val="1"/>
      <w:marLeft w:val="0"/>
      <w:marRight w:val="0"/>
      <w:marTop w:val="0"/>
      <w:marBottom w:val="0"/>
      <w:divBdr>
        <w:top w:val="none" w:sz="0" w:space="0" w:color="auto"/>
        <w:left w:val="none" w:sz="0" w:space="0" w:color="auto"/>
        <w:bottom w:val="none" w:sz="0" w:space="0" w:color="auto"/>
        <w:right w:val="none" w:sz="0" w:space="0" w:color="auto"/>
      </w:divBdr>
    </w:div>
    <w:div w:id="536625125">
      <w:bodyDiv w:val="1"/>
      <w:marLeft w:val="0"/>
      <w:marRight w:val="0"/>
      <w:marTop w:val="0"/>
      <w:marBottom w:val="0"/>
      <w:divBdr>
        <w:top w:val="none" w:sz="0" w:space="0" w:color="auto"/>
        <w:left w:val="none" w:sz="0" w:space="0" w:color="auto"/>
        <w:bottom w:val="none" w:sz="0" w:space="0" w:color="auto"/>
        <w:right w:val="none" w:sz="0" w:space="0" w:color="auto"/>
      </w:divBdr>
    </w:div>
    <w:div w:id="846944157">
      <w:marLeft w:val="0"/>
      <w:marRight w:val="0"/>
      <w:marTop w:val="0"/>
      <w:marBottom w:val="0"/>
      <w:divBdr>
        <w:top w:val="none" w:sz="0" w:space="0" w:color="auto"/>
        <w:left w:val="none" w:sz="0" w:space="0" w:color="auto"/>
        <w:bottom w:val="none" w:sz="0" w:space="0" w:color="auto"/>
        <w:right w:val="none" w:sz="0" w:space="0" w:color="auto"/>
      </w:divBdr>
    </w:div>
    <w:div w:id="846944158">
      <w:marLeft w:val="0"/>
      <w:marRight w:val="0"/>
      <w:marTop w:val="0"/>
      <w:marBottom w:val="0"/>
      <w:divBdr>
        <w:top w:val="none" w:sz="0" w:space="0" w:color="auto"/>
        <w:left w:val="none" w:sz="0" w:space="0" w:color="auto"/>
        <w:bottom w:val="none" w:sz="0" w:space="0" w:color="auto"/>
        <w:right w:val="none" w:sz="0" w:space="0" w:color="auto"/>
      </w:divBdr>
    </w:div>
    <w:div w:id="921911469">
      <w:bodyDiv w:val="1"/>
      <w:marLeft w:val="0"/>
      <w:marRight w:val="0"/>
      <w:marTop w:val="0"/>
      <w:marBottom w:val="0"/>
      <w:divBdr>
        <w:top w:val="none" w:sz="0" w:space="0" w:color="auto"/>
        <w:left w:val="none" w:sz="0" w:space="0" w:color="auto"/>
        <w:bottom w:val="none" w:sz="0" w:space="0" w:color="auto"/>
        <w:right w:val="none" w:sz="0" w:space="0" w:color="auto"/>
      </w:divBdr>
    </w:div>
    <w:div w:id="952328465">
      <w:bodyDiv w:val="1"/>
      <w:marLeft w:val="0"/>
      <w:marRight w:val="0"/>
      <w:marTop w:val="0"/>
      <w:marBottom w:val="0"/>
      <w:divBdr>
        <w:top w:val="none" w:sz="0" w:space="0" w:color="auto"/>
        <w:left w:val="none" w:sz="0" w:space="0" w:color="auto"/>
        <w:bottom w:val="none" w:sz="0" w:space="0" w:color="auto"/>
        <w:right w:val="none" w:sz="0" w:space="0" w:color="auto"/>
      </w:divBdr>
    </w:div>
    <w:div w:id="1014572112">
      <w:bodyDiv w:val="1"/>
      <w:marLeft w:val="0"/>
      <w:marRight w:val="0"/>
      <w:marTop w:val="0"/>
      <w:marBottom w:val="0"/>
      <w:divBdr>
        <w:top w:val="none" w:sz="0" w:space="0" w:color="auto"/>
        <w:left w:val="none" w:sz="0" w:space="0" w:color="auto"/>
        <w:bottom w:val="none" w:sz="0" w:space="0" w:color="auto"/>
        <w:right w:val="none" w:sz="0" w:space="0" w:color="auto"/>
      </w:divBdr>
      <w:divsChild>
        <w:div w:id="924800534">
          <w:marLeft w:val="0"/>
          <w:marRight w:val="0"/>
          <w:marTop w:val="0"/>
          <w:marBottom w:val="0"/>
          <w:divBdr>
            <w:top w:val="none" w:sz="0" w:space="0" w:color="auto"/>
            <w:left w:val="none" w:sz="0" w:space="0" w:color="auto"/>
            <w:bottom w:val="none" w:sz="0" w:space="0" w:color="auto"/>
            <w:right w:val="none" w:sz="0" w:space="0" w:color="auto"/>
          </w:divBdr>
          <w:divsChild>
            <w:div w:id="2111317680">
              <w:marLeft w:val="0"/>
              <w:marRight w:val="0"/>
              <w:marTop w:val="0"/>
              <w:marBottom w:val="0"/>
              <w:divBdr>
                <w:top w:val="none" w:sz="0" w:space="0" w:color="auto"/>
                <w:left w:val="none" w:sz="0" w:space="0" w:color="auto"/>
                <w:bottom w:val="none" w:sz="0" w:space="0" w:color="auto"/>
                <w:right w:val="none" w:sz="0" w:space="0" w:color="auto"/>
              </w:divBdr>
              <w:divsChild>
                <w:div w:id="1663461517">
                  <w:marLeft w:val="0"/>
                  <w:marRight w:val="0"/>
                  <w:marTop w:val="0"/>
                  <w:marBottom w:val="0"/>
                  <w:divBdr>
                    <w:top w:val="none" w:sz="0" w:space="0" w:color="auto"/>
                    <w:left w:val="none" w:sz="0" w:space="0" w:color="auto"/>
                    <w:bottom w:val="none" w:sz="0" w:space="0" w:color="auto"/>
                    <w:right w:val="none" w:sz="0" w:space="0" w:color="auto"/>
                  </w:divBdr>
                  <w:divsChild>
                    <w:div w:id="1119370527">
                      <w:marLeft w:val="0"/>
                      <w:marRight w:val="0"/>
                      <w:marTop w:val="0"/>
                      <w:marBottom w:val="0"/>
                      <w:divBdr>
                        <w:top w:val="none" w:sz="0" w:space="0" w:color="auto"/>
                        <w:left w:val="none" w:sz="0" w:space="0" w:color="auto"/>
                        <w:bottom w:val="none" w:sz="0" w:space="0" w:color="auto"/>
                        <w:right w:val="none" w:sz="0" w:space="0" w:color="auto"/>
                      </w:divBdr>
                      <w:divsChild>
                        <w:div w:id="1425344404">
                          <w:marLeft w:val="0"/>
                          <w:marRight w:val="0"/>
                          <w:marTop w:val="0"/>
                          <w:marBottom w:val="0"/>
                          <w:divBdr>
                            <w:top w:val="none" w:sz="0" w:space="0" w:color="auto"/>
                            <w:left w:val="none" w:sz="0" w:space="0" w:color="auto"/>
                            <w:bottom w:val="none" w:sz="0" w:space="0" w:color="auto"/>
                            <w:right w:val="none" w:sz="0" w:space="0" w:color="auto"/>
                          </w:divBdr>
                          <w:divsChild>
                            <w:div w:id="402719549">
                              <w:marLeft w:val="0"/>
                              <w:marRight w:val="0"/>
                              <w:marTop w:val="0"/>
                              <w:marBottom w:val="0"/>
                              <w:divBdr>
                                <w:top w:val="single" w:sz="6" w:space="0" w:color="828282"/>
                                <w:left w:val="single" w:sz="6" w:space="0" w:color="828282"/>
                                <w:bottom w:val="single" w:sz="6" w:space="0" w:color="828282"/>
                                <w:right w:val="single" w:sz="6" w:space="0" w:color="828282"/>
                              </w:divBdr>
                              <w:divsChild>
                                <w:div w:id="650017357">
                                  <w:marLeft w:val="0"/>
                                  <w:marRight w:val="0"/>
                                  <w:marTop w:val="0"/>
                                  <w:marBottom w:val="0"/>
                                  <w:divBdr>
                                    <w:top w:val="none" w:sz="0" w:space="0" w:color="auto"/>
                                    <w:left w:val="none" w:sz="0" w:space="0" w:color="auto"/>
                                    <w:bottom w:val="none" w:sz="0" w:space="0" w:color="auto"/>
                                    <w:right w:val="none" w:sz="0" w:space="0" w:color="auto"/>
                                  </w:divBdr>
                                  <w:divsChild>
                                    <w:div w:id="216206294">
                                      <w:marLeft w:val="0"/>
                                      <w:marRight w:val="0"/>
                                      <w:marTop w:val="0"/>
                                      <w:marBottom w:val="0"/>
                                      <w:divBdr>
                                        <w:top w:val="none" w:sz="0" w:space="0" w:color="auto"/>
                                        <w:left w:val="none" w:sz="0" w:space="0" w:color="auto"/>
                                        <w:bottom w:val="none" w:sz="0" w:space="0" w:color="auto"/>
                                        <w:right w:val="none" w:sz="0" w:space="0" w:color="auto"/>
                                      </w:divBdr>
                                      <w:divsChild>
                                        <w:div w:id="1332485706">
                                          <w:marLeft w:val="0"/>
                                          <w:marRight w:val="0"/>
                                          <w:marTop w:val="0"/>
                                          <w:marBottom w:val="0"/>
                                          <w:divBdr>
                                            <w:top w:val="none" w:sz="0" w:space="0" w:color="auto"/>
                                            <w:left w:val="none" w:sz="0" w:space="0" w:color="auto"/>
                                            <w:bottom w:val="none" w:sz="0" w:space="0" w:color="auto"/>
                                            <w:right w:val="none" w:sz="0" w:space="0" w:color="auto"/>
                                          </w:divBdr>
                                          <w:divsChild>
                                            <w:div w:id="1150050666">
                                              <w:marLeft w:val="0"/>
                                              <w:marRight w:val="0"/>
                                              <w:marTop w:val="0"/>
                                              <w:marBottom w:val="0"/>
                                              <w:divBdr>
                                                <w:top w:val="none" w:sz="0" w:space="0" w:color="auto"/>
                                                <w:left w:val="none" w:sz="0" w:space="0" w:color="auto"/>
                                                <w:bottom w:val="none" w:sz="0" w:space="0" w:color="auto"/>
                                                <w:right w:val="none" w:sz="0" w:space="0" w:color="auto"/>
                                              </w:divBdr>
                                              <w:divsChild>
                                                <w:div w:id="1087534347">
                                                  <w:marLeft w:val="0"/>
                                                  <w:marRight w:val="0"/>
                                                  <w:marTop w:val="0"/>
                                                  <w:marBottom w:val="0"/>
                                                  <w:divBdr>
                                                    <w:top w:val="none" w:sz="0" w:space="0" w:color="auto"/>
                                                    <w:left w:val="none" w:sz="0" w:space="0" w:color="auto"/>
                                                    <w:bottom w:val="none" w:sz="0" w:space="0" w:color="auto"/>
                                                    <w:right w:val="none" w:sz="0" w:space="0" w:color="auto"/>
                                                  </w:divBdr>
                                                  <w:divsChild>
                                                    <w:div w:id="7584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504597">
      <w:bodyDiv w:val="1"/>
      <w:marLeft w:val="0"/>
      <w:marRight w:val="0"/>
      <w:marTop w:val="0"/>
      <w:marBottom w:val="0"/>
      <w:divBdr>
        <w:top w:val="none" w:sz="0" w:space="0" w:color="auto"/>
        <w:left w:val="none" w:sz="0" w:space="0" w:color="auto"/>
        <w:bottom w:val="none" w:sz="0" w:space="0" w:color="auto"/>
        <w:right w:val="none" w:sz="0" w:space="0" w:color="auto"/>
      </w:divBdr>
    </w:div>
    <w:div w:id="1131511610">
      <w:bodyDiv w:val="1"/>
      <w:marLeft w:val="0"/>
      <w:marRight w:val="0"/>
      <w:marTop w:val="0"/>
      <w:marBottom w:val="0"/>
      <w:divBdr>
        <w:top w:val="none" w:sz="0" w:space="0" w:color="auto"/>
        <w:left w:val="none" w:sz="0" w:space="0" w:color="auto"/>
        <w:bottom w:val="none" w:sz="0" w:space="0" w:color="auto"/>
        <w:right w:val="none" w:sz="0" w:space="0" w:color="auto"/>
      </w:divBdr>
    </w:div>
    <w:div w:id="1275093151">
      <w:bodyDiv w:val="1"/>
      <w:marLeft w:val="0"/>
      <w:marRight w:val="0"/>
      <w:marTop w:val="0"/>
      <w:marBottom w:val="0"/>
      <w:divBdr>
        <w:top w:val="none" w:sz="0" w:space="0" w:color="auto"/>
        <w:left w:val="none" w:sz="0" w:space="0" w:color="auto"/>
        <w:bottom w:val="none" w:sz="0" w:space="0" w:color="auto"/>
        <w:right w:val="none" w:sz="0" w:space="0" w:color="auto"/>
      </w:divBdr>
    </w:div>
    <w:div w:id="1873305393">
      <w:bodyDiv w:val="1"/>
      <w:marLeft w:val="0"/>
      <w:marRight w:val="0"/>
      <w:marTop w:val="0"/>
      <w:marBottom w:val="0"/>
      <w:divBdr>
        <w:top w:val="none" w:sz="0" w:space="0" w:color="auto"/>
        <w:left w:val="none" w:sz="0" w:space="0" w:color="auto"/>
        <w:bottom w:val="none" w:sz="0" w:space="0" w:color="auto"/>
        <w:right w:val="none" w:sz="0" w:space="0" w:color="auto"/>
      </w:divBdr>
      <w:divsChild>
        <w:div w:id="101387157">
          <w:marLeft w:val="0"/>
          <w:marRight w:val="0"/>
          <w:marTop w:val="0"/>
          <w:marBottom w:val="0"/>
          <w:divBdr>
            <w:top w:val="none" w:sz="0" w:space="0" w:color="auto"/>
            <w:left w:val="none" w:sz="0" w:space="0" w:color="auto"/>
            <w:bottom w:val="none" w:sz="0" w:space="0" w:color="auto"/>
            <w:right w:val="none" w:sz="0" w:space="0" w:color="auto"/>
          </w:divBdr>
          <w:divsChild>
            <w:div w:id="1930962376">
              <w:marLeft w:val="0"/>
              <w:marRight w:val="0"/>
              <w:marTop w:val="0"/>
              <w:marBottom w:val="0"/>
              <w:divBdr>
                <w:top w:val="none" w:sz="0" w:space="0" w:color="auto"/>
                <w:left w:val="none" w:sz="0" w:space="0" w:color="auto"/>
                <w:bottom w:val="none" w:sz="0" w:space="0" w:color="auto"/>
                <w:right w:val="none" w:sz="0" w:space="0" w:color="auto"/>
              </w:divBdr>
              <w:divsChild>
                <w:div w:id="956184980">
                  <w:marLeft w:val="0"/>
                  <w:marRight w:val="0"/>
                  <w:marTop w:val="0"/>
                  <w:marBottom w:val="0"/>
                  <w:divBdr>
                    <w:top w:val="none" w:sz="0" w:space="0" w:color="auto"/>
                    <w:left w:val="none" w:sz="0" w:space="0" w:color="auto"/>
                    <w:bottom w:val="none" w:sz="0" w:space="0" w:color="auto"/>
                    <w:right w:val="none" w:sz="0" w:space="0" w:color="auto"/>
                  </w:divBdr>
                  <w:divsChild>
                    <w:div w:id="1175726284">
                      <w:marLeft w:val="0"/>
                      <w:marRight w:val="0"/>
                      <w:marTop w:val="0"/>
                      <w:marBottom w:val="0"/>
                      <w:divBdr>
                        <w:top w:val="none" w:sz="0" w:space="0" w:color="auto"/>
                        <w:left w:val="none" w:sz="0" w:space="0" w:color="auto"/>
                        <w:bottom w:val="none" w:sz="0" w:space="0" w:color="auto"/>
                        <w:right w:val="none" w:sz="0" w:space="0" w:color="auto"/>
                      </w:divBdr>
                      <w:divsChild>
                        <w:div w:id="2145081799">
                          <w:marLeft w:val="0"/>
                          <w:marRight w:val="0"/>
                          <w:marTop w:val="0"/>
                          <w:marBottom w:val="0"/>
                          <w:divBdr>
                            <w:top w:val="none" w:sz="0" w:space="0" w:color="auto"/>
                            <w:left w:val="none" w:sz="0" w:space="0" w:color="auto"/>
                            <w:bottom w:val="none" w:sz="0" w:space="0" w:color="auto"/>
                            <w:right w:val="none" w:sz="0" w:space="0" w:color="auto"/>
                          </w:divBdr>
                          <w:divsChild>
                            <w:div w:id="723141230">
                              <w:marLeft w:val="0"/>
                              <w:marRight w:val="0"/>
                              <w:marTop w:val="0"/>
                              <w:marBottom w:val="0"/>
                              <w:divBdr>
                                <w:top w:val="single" w:sz="6" w:space="0" w:color="828282"/>
                                <w:left w:val="single" w:sz="6" w:space="0" w:color="828282"/>
                                <w:bottom w:val="single" w:sz="6" w:space="0" w:color="828282"/>
                                <w:right w:val="single" w:sz="6" w:space="0" w:color="828282"/>
                              </w:divBdr>
                              <w:divsChild>
                                <w:div w:id="1639336870">
                                  <w:marLeft w:val="0"/>
                                  <w:marRight w:val="0"/>
                                  <w:marTop w:val="0"/>
                                  <w:marBottom w:val="0"/>
                                  <w:divBdr>
                                    <w:top w:val="none" w:sz="0" w:space="0" w:color="auto"/>
                                    <w:left w:val="none" w:sz="0" w:space="0" w:color="auto"/>
                                    <w:bottom w:val="none" w:sz="0" w:space="0" w:color="auto"/>
                                    <w:right w:val="none" w:sz="0" w:space="0" w:color="auto"/>
                                  </w:divBdr>
                                  <w:divsChild>
                                    <w:div w:id="243732243">
                                      <w:marLeft w:val="0"/>
                                      <w:marRight w:val="0"/>
                                      <w:marTop w:val="0"/>
                                      <w:marBottom w:val="0"/>
                                      <w:divBdr>
                                        <w:top w:val="none" w:sz="0" w:space="0" w:color="auto"/>
                                        <w:left w:val="none" w:sz="0" w:space="0" w:color="auto"/>
                                        <w:bottom w:val="none" w:sz="0" w:space="0" w:color="auto"/>
                                        <w:right w:val="none" w:sz="0" w:space="0" w:color="auto"/>
                                      </w:divBdr>
                                      <w:divsChild>
                                        <w:div w:id="1617517251">
                                          <w:marLeft w:val="0"/>
                                          <w:marRight w:val="0"/>
                                          <w:marTop w:val="0"/>
                                          <w:marBottom w:val="0"/>
                                          <w:divBdr>
                                            <w:top w:val="none" w:sz="0" w:space="0" w:color="auto"/>
                                            <w:left w:val="none" w:sz="0" w:space="0" w:color="auto"/>
                                            <w:bottom w:val="none" w:sz="0" w:space="0" w:color="auto"/>
                                            <w:right w:val="none" w:sz="0" w:space="0" w:color="auto"/>
                                          </w:divBdr>
                                          <w:divsChild>
                                            <w:div w:id="479924511">
                                              <w:marLeft w:val="0"/>
                                              <w:marRight w:val="0"/>
                                              <w:marTop w:val="0"/>
                                              <w:marBottom w:val="0"/>
                                              <w:divBdr>
                                                <w:top w:val="none" w:sz="0" w:space="0" w:color="auto"/>
                                                <w:left w:val="none" w:sz="0" w:space="0" w:color="auto"/>
                                                <w:bottom w:val="none" w:sz="0" w:space="0" w:color="auto"/>
                                                <w:right w:val="none" w:sz="0" w:space="0" w:color="auto"/>
                                              </w:divBdr>
                                              <w:divsChild>
                                                <w:div w:id="1245452163">
                                                  <w:marLeft w:val="0"/>
                                                  <w:marRight w:val="0"/>
                                                  <w:marTop w:val="0"/>
                                                  <w:marBottom w:val="0"/>
                                                  <w:divBdr>
                                                    <w:top w:val="none" w:sz="0" w:space="0" w:color="auto"/>
                                                    <w:left w:val="none" w:sz="0" w:space="0" w:color="auto"/>
                                                    <w:bottom w:val="none" w:sz="0" w:space="0" w:color="auto"/>
                                                    <w:right w:val="none" w:sz="0" w:space="0" w:color="auto"/>
                                                  </w:divBdr>
                                                  <w:divsChild>
                                                    <w:div w:id="17969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A2D584079BA05F4D9A356B4AB3380BE2" ma:contentTypeVersion="5" ma:contentTypeDescription="SPIRE Document" ma:contentTypeScope="" ma:versionID="af84dedaa935f91c922229985d57632e">
  <xsd:schema xmlns:xsd="http://www.w3.org/2001/XMLSchema" xmlns:p="http://schemas.microsoft.com/office/2006/metadata/properties" xmlns:ns2="d8430d0f-47e2-4fb7-b3bb-dd4f7c79b414" xmlns:ns3="http://schemas.microsoft.com/sharepoint/v4" targetNamespace="http://schemas.microsoft.com/office/2006/metadata/properties" ma:root="true" ma:fieldsID="41facc1ace94bf4d9ca5cd5b93ac8379"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d8430d0f-47e2-4fb7-b3bb-dd4f7c79b41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RecordNumber xmlns="d8430d0f-47e2-4fb7-b3bb-dd4f7c79b414">000677537</RecordNumber>
    <IconOverlay xmlns="http://schemas.microsoft.com/sharepoint/v4" xsi:nil="true"/>
    <Approval xmlns="d8430d0f-47e2-4fb7-b3bb-dd4f7c79b414" xsi:nil="true"/>
    <Function xmlns="d8430d0f-47e2-4fb7-b3bb-dd4f7c79b414" xsi:nil="true"/>
    <DocumentDescription xmlns="d8430d0f-47e2-4fb7-b3bb-dd4f7c79b414">Current version in drafting process.</DocumentDescrip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50734-AD32-4EAE-94AF-735629D7D34E}">
  <ds:schemaRefs>
    <ds:schemaRef ds:uri="http://schemas.microsoft.com/sharepoint/events"/>
  </ds:schemaRefs>
</ds:datastoreItem>
</file>

<file path=customXml/itemProps2.xml><?xml version="1.0" encoding="utf-8"?>
<ds:datastoreItem xmlns:ds="http://schemas.openxmlformats.org/officeDocument/2006/customXml" ds:itemID="{06B446A8-B7C7-49BD-B63C-45E3EB84B9A6}">
  <ds:schemaRefs>
    <ds:schemaRef ds:uri="http://schemas.microsoft.com/office/2006/metadata/customXsn"/>
  </ds:schemaRefs>
</ds:datastoreItem>
</file>

<file path=customXml/itemProps3.xml><?xml version="1.0" encoding="utf-8"?>
<ds:datastoreItem xmlns:ds="http://schemas.openxmlformats.org/officeDocument/2006/customXml" ds:itemID="{AA334E8C-EEBF-4CB0-9A78-D6E401D6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C5F101-73B8-440B-9257-AF0B7CF9629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8430d0f-47e2-4fb7-b3bb-dd4f7c79b414"/>
    <ds:schemaRef ds:uri="http://schemas.microsoft.com/sharepoint/v4"/>
    <ds:schemaRef ds:uri="http://schemas.openxmlformats.org/package/2006/metadata/core-properties"/>
  </ds:schemaRefs>
</ds:datastoreItem>
</file>

<file path=customXml/itemProps5.xml><?xml version="1.0" encoding="utf-8"?>
<ds:datastoreItem xmlns:ds="http://schemas.openxmlformats.org/officeDocument/2006/customXml" ds:itemID="{2C663A2D-0C23-4397-8063-A1DC839BD262}">
  <ds:schemaRefs>
    <ds:schemaRef ds:uri="http://schemas.microsoft.com/sharepoint/v3/contenttype/forms"/>
  </ds:schemaRefs>
</ds:datastoreItem>
</file>

<file path=customXml/itemProps6.xml><?xml version="1.0" encoding="utf-8"?>
<ds:datastoreItem xmlns:ds="http://schemas.openxmlformats.org/officeDocument/2006/customXml" ds:itemID="{19AD60E2-309E-4642-98A1-9AFC42B9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1792</Words>
  <Characters>9867</Characters>
  <Application>Microsoft Office Word</Application>
  <DocSecurity>0</DocSecurity>
  <Lines>197</Lines>
  <Paragraphs>108</Paragraphs>
  <ScaleCrop>false</ScaleCrop>
  <HeadingPairs>
    <vt:vector size="2" baseType="variant">
      <vt:variant>
        <vt:lpstr>Title</vt:lpstr>
      </vt:variant>
      <vt:variant>
        <vt:i4>1</vt:i4>
      </vt:variant>
    </vt:vector>
  </HeadingPairs>
  <TitlesOfParts>
    <vt:vector size="1" baseType="lpstr">
      <vt:lpstr>ES - NGER Audit determination Amendment 2015</vt:lpstr>
    </vt:vector>
  </TitlesOfParts>
  <Company>DEWHA</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NGER Audit determination Amendment 2015</dc:title>
  <dc:creator>a14189</dc:creator>
  <cp:lastModifiedBy>A17864</cp:lastModifiedBy>
  <cp:revision>2</cp:revision>
  <cp:lastPrinted>2015-06-29T03:31:00Z</cp:lastPrinted>
  <dcterms:created xsi:type="dcterms:W3CDTF">2015-09-25T05:06:00Z</dcterms:created>
  <dcterms:modified xsi:type="dcterms:W3CDTF">2015-09-25T05:06:00Z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0x01010053158623521E02459344FD72CDD99ED600A2D584079BA05F4D9A356B4AB3380BE2</vt:lpwstr>
  </property>
  <property fmtid="{D5CDD505-2E9C-101B-9397-08002B2CF9AE}" pid="3" name="RecordPoint_ActiveItemUniqueId">
    <vt:lpwstr>{08d656ab-e121-448f-8df0-6eda435572bb}</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{e9b5567f-32ab-441a-8cf3-eadbae10a51f}</vt:lpwstr>
  </property>
  <property fmtid="{D5CDD505-2E9C-101B-9397-08002B2CF9AE}" pid="7" name="RecordPoint_ActiveItemWebId">
    <vt:lpwstr>{95896362-88ff-4a5a-baa5-b7ccbdc85523}</vt:lpwstr>
  </property>
  <property fmtid="{D5CDD505-2E9C-101B-9397-08002B2CF9AE}" pid="8" name="RecordPoint_RecordNumberSubmitted">
    <vt:lpwstr>000677537</vt:lpwstr>
  </property>
  <property fmtid="{D5CDD505-2E9C-101B-9397-08002B2CF9AE}" pid="9" name="RecordPoint_SubmissionCompleted">
    <vt:lpwstr>2015-08-29T00:31:22.3367311+10:00</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