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73AAC" w14:textId="77777777" w:rsidR="006D0B46" w:rsidRPr="0043112F" w:rsidRDefault="006D0B46" w:rsidP="006D0B46">
      <w:pPr>
        <w:contextualSpacing/>
        <w:jc w:val="center"/>
        <w:rPr>
          <w:rFonts w:cs="Arial"/>
          <w:b/>
        </w:rPr>
      </w:pPr>
      <w:bookmarkStart w:id="0" w:name="_GoBack"/>
      <w:bookmarkEnd w:id="0"/>
      <w:r w:rsidRPr="0043112F">
        <w:rPr>
          <w:rFonts w:cs="Arial"/>
          <w:b/>
        </w:rPr>
        <w:t>EXPLANATORY STATEMENT</w:t>
      </w:r>
    </w:p>
    <w:p w14:paraId="6C32A8E1" w14:textId="77777777" w:rsidR="006D0B46" w:rsidRPr="0043112F" w:rsidRDefault="006D0B46" w:rsidP="006D0B46">
      <w:pPr>
        <w:contextualSpacing/>
        <w:jc w:val="center"/>
        <w:rPr>
          <w:rFonts w:cs="Arial"/>
          <w:b/>
          <w:u w:val="single"/>
        </w:rPr>
      </w:pPr>
    </w:p>
    <w:p w14:paraId="6E85BC1E" w14:textId="77777777" w:rsidR="006D0B46" w:rsidRPr="0043112F" w:rsidRDefault="006D0B46" w:rsidP="006D0B46">
      <w:pPr>
        <w:contextualSpacing/>
        <w:jc w:val="center"/>
        <w:rPr>
          <w:rFonts w:cs="Arial"/>
          <w:b/>
          <w:i/>
        </w:rPr>
      </w:pPr>
      <w:r w:rsidRPr="0043112F">
        <w:rPr>
          <w:rFonts w:cs="Arial"/>
          <w:b/>
          <w:i/>
        </w:rPr>
        <w:t>Tertiary Education Quality and Standards Agency Act 2011</w:t>
      </w:r>
    </w:p>
    <w:p w14:paraId="1B8EB8D2" w14:textId="77777777" w:rsidR="006D0B46" w:rsidRPr="0043112F" w:rsidRDefault="006D0B46" w:rsidP="006D0B46">
      <w:pPr>
        <w:contextualSpacing/>
        <w:jc w:val="center"/>
        <w:rPr>
          <w:rFonts w:cs="Arial"/>
        </w:rPr>
      </w:pPr>
    </w:p>
    <w:p w14:paraId="4D5515BF" w14:textId="77777777" w:rsidR="006D0B46" w:rsidRPr="0043112F" w:rsidRDefault="006D0B46" w:rsidP="006D0B46">
      <w:pPr>
        <w:contextualSpacing/>
        <w:jc w:val="center"/>
        <w:rPr>
          <w:rFonts w:cs="Arial"/>
          <w:b/>
        </w:rPr>
      </w:pPr>
      <w:r w:rsidRPr="0043112F">
        <w:rPr>
          <w:rFonts w:cs="Arial"/>
          <w:b/>
        </w:rPr>
        <w:t>Higher Education Standards Framework (Threshold Standards)</w:t>
      </w:r>
      <w:r w:rsidR="007B593C" w:rsidRPr="0043112F">
        <w:rPr>
          <w:rFonts w:cs="Arial"/>
          <w:b/>
        </w:rPr>
        <w:t xml:space="preserve"> 2015</w:t>
      </w:r>
    </w:p>
    <w:p w14:paraId="543028D6" w14:textId="77777777" w:rsidR="006D0B46" w:rsidRPr="00BE62AD" w:rsidRDefault="006D0B46" w:rsidP="00BE62AD">
      <w:pPr>
        <w:contextualSpacing/>
        <w:jc w:val="left"/>
        <w:rPr>
          <w:rFonts w:cs="Arial"/>
        </w:rPr>
      </w:pPr>
    </w:p>
    <w:p w14:paraId="569B7B86" w14:textId="77777777" w:rsidR="006D0B46" w:rsidRPr="0043112F" w:rsidRDefault="006D0B46" w:rsidP="00BE62AD">
      <w:pPr>
        <w:contextualSpacing/>
        <w:jc w:val="left"/>
        <w:rPr>
          <w:rFonts w:cs="Arial"/>
        </w:rPr>
      </w:pPr>
    </w:p>
    <w:p w14:paraId="25DE9F18" w14:textId="77777777" w:rsidR="006D0B46" w:rsidRPr="0043112F" w:rsidRDefault="006D0B46" w:rsidP="004402BD">
      <w:pPr>
        <w:contextualSpacing/>
        <w:jc w:val="left"/>
        <w:rPr>
          <w:rFonts w:cs="Arial"/>
        </w:rPr>
      </w:pPr>
      <w:r w:rsidRPr="0043112F">
        <w:rPr>
          <w:rFonts w:cs="Arial"/>
        </w:rPr>
        <w:t>Issued by the authority of the Minister for Education</w:t>
      </w:r>
      <w:r w:rsidR="005B2B0E">
        <w:rPr>
          <w:rFonts w:cs="Arial"/>
        </w:rPr>
        <w:t xml:space="preserve"> and Training</w:t>
      </w:r>
      <w:r w:rsidRPr="0043112F">
        <w:rPr>
          <w:rFonts w:cs="Arial"/>
        </w:rPr>
        <w:t>.</w:t>
      </w:r>
    </w:p>
    <w:p w14:paraId="688A2645" w14:textId="77777777" w:rsidR="006D0B46" w:rsidRPr="0043112F" w:rsidRDefault="006D0B46" w:rsidP="004402BD">
      <w:pPr>
        <w:contextualSpacing/>
        <w:jc w:val="left"/>
        <w:rPr>
          <w:rFonts w:cs="Arial"/>
        </w:rPr>
      </w:pPr>
    </w:p>
    <w:p w14:paraId="5477CB74" w14:textId="7DE2130E" w:rsidR="006D0B46" w:rsidRPr="0043112F" w:rsidRDefault="006D0B46" w:rsidP="008C617C">
      <w:pPr>
        <w:contextualSpacing/>
        <w:jc w:val="left"/>
        <w:rPr>
          <w:rFonts w:cs="Arial"/>
        </w:rPr>
      </w:pPr>
      <w:r w:rsidRPr="0043112F">
        <w:rPr>
          <w:rFonts w:cs="Arial"/>
        </w:rPr>
        <w:t>Subject:</w:t>
      </w:r>
      <w:r w:rsidRPr="0043112F">
        <w:rPr>
          <w:rFonts w:cs="Arial"/>
        </w:rPr>
        <w:tab/>
      </w:r>
      <w:r w:rsidRPr="0043112F">
        <w:rPr>
          <w:rFonts w:cs="Arial"/>
          <w:i/>
        </w:rPr>
        <w:t>Tertiary Education Quality and Standards Agency Act 2011</w:t>
      </w:r>
      <w:r w:rsidR="00921104">
        <w:rPr>
          <w:rFonts w:cs="Arial"/>
          <w:i/>
        </w:rPr>
        <w:br/>
      </w:r>
      <w:r w:rsidR="008C617C">
        <w:rPr>
          <w:rFonts w:cs="Arial"/>
        </w:rPr>
        <w:tab/>
      </w:r>
      <w:r w:rsidRPr="008C617C">
        <w:rPr>
          <w:rFonts w:cs="Arial"/>
        </w:rPr>
        <w:t>Making the second Higher Education Standards</w:t>
      </w:r>
    </w:p>
    <w:p w14:paraId="12C51608" w14:textId="77777777" w:rsidR="006D0B46" w:rsidRPr="0043112F" w:rsidRDefault="006D0B46" w:rsidP="004402BD">
      <w:pPr>
        <w:contextualSpacing/>
        <w:jc w:val="left"/>
        <w:rPr>
          <w:rFonts w:cs="Arial"/>
        </w:rPr>
      </w:pPr>
    </w:p>
    <w:p w14:paraId="2DEAF22C" w14:textId="77777777" w:rsidR="006D0B46" w:rsidRPr="0043112F" w:rsidRDefault="006D0B46" w:rsidP="004402BD">
      <w:pPr>
        <w:contextualSpacing/>
        <w:jc w:val="left"/>
        <w:rPr>
          <w:rFonts w:cs="Arial"/>
          <w:b/>
        </w:rPr>
      </w:pPr>
      <w:r w:rsidRPr="0043112F">
        <w:rPr>
          <w:rFonts w:cs="Arial"/>
          <w:b/>
        </w:rPr>
        <w:t>Authority</w:t>
      </w:r>
    </w:p>
    <w:p w14:paraId="29593D7B" w14:textId="77777777" w:rsidR="006D0B46" w:rsidRPr="0043112F" w:rsidRDefault="006D0B46" w:rsidP="004402BD">
      <w:pPr>
        <w:contextualSpacing/>
        <w:jc w:val="left"/>
        <w:rPr>
          <w:rFonts w:cs="Arial"/>
        </w:rPr>
      </w:pPr>
    </w:p>
    <w:p w14:paraId="5F9853B3" w14:textId="77777777" w:rsidR="006D0B46" w:rsidRPr="0043112F" w:rsidRDefault="006D0B46" w:rsidP="004402BD">
      <w:pPr>
        <w:contextualSpacing/>
        <w:jc w:val="left"/>
        <w:rPr>
          <w:rFonts w:cs="Arial"/>
        </w:rPr>
      </w:pPr>
      <w:r w:rsidRPr="0043112F">
        <w:rPr>
          <w:rFonts w:cs="Arial"/>
        </w:rPr>
        <w:t>Subsection 58(1) of the</w:t>
      </w:r>
      <w:r w:rsidRPr="0043112F">
        <w:rPr>
          <w:rFonts w:cs="Arial"/>
          <w:i/>
        </w:rPr>
        <w:t xml:space="preserve"> Tertiary Education Quality and Standards Agency Act 2011</w:t>
      </w:r>
      <w:r w:rsidRPr="0043112F">
        <w:rPr>
          <w:rFonts w:cs="Arial"/>
        </w:rPr>
        <w:t xml:space="preserve"> (</w:t>
      </w:r>
      <w:r w:rsidR="000D7CC0" w:rsidRPr="0043112F">
        <w:rPr>
          <w:rFonts w:cs="Arial"/>
        </w:rPr>
        <w:t xml:space="preserve">TEQSA </w:t>
      </w:r>
      <w:r w:rsidRPr="0043112F">
        <w:rPr>
          <w:rFonts w:cs="Arial"/>
        </w:rPr>
        <w:t>Act) provides that the Minister may, by legislative instrument, make standards that, together with the Research Standards (made under subsection 58(2)), comprise the Higher Education Standards Framework.</w:t>
      </w:r>
    </w:p>
    <w:p w14:paraId="71CFE6D2" w14:textId="77777777" w:rsidR="00AF3D2D" w:rsidRPr="0043112F" w:rsidRDefault="00AF3D2D" w:rsidP="004402BD">
      <w:pPr>
        <w:contextualSpacing/>
        <w:jc w:val="left"/>
        <w:rPr>
          <w:rFonts w:cs="Arial"/>
        </w:rPr>
      </w:pPr>
    </w:p>
    <w:p w14:paraId="4FD6FC9A" w14:textId="77777777" w:rsidR="00FA588C" w:rsidRPr="0043112F" w:rsidRDefault="00321F8C" w:rsidP="00FA588C">
      <w:pPr>
        <w:contextualSpacing/>
        <w:jc w:val="left"/>
        <w:rPr>
          <w:rFonts w:cs="Arial"/>
        </w:rPr>
      </w:pPr>
      <w:r w:rsidRPr="0043112F">
        <w:rPr>
          <w:rFonts w:cs="Arial"/>
        </w:rPr>
        <w:t>Sub</w:t>
      </w:r>
      <w:r w:rsidR="00FA588C" w:rsidRPr="0043112F">
        <w:rPr>
          <w:rFonts w:cs="Arial"/>
        </w:rPr>
        <w:t>section</w:t>
      </w:r>
      <w:r w:rsidRPr="0043112F">
        <w:rPr>
          <w:rFonts w:cs="Arial"/>
        </w:rPr>
        <w:t xml:space="preserve"> </w:t>
      </w:r>
      <w:r w:rsidR="00FA588C" w:rsidRPr="0043112F">
        <w:rPr>
          <w:rFonts w:cs="Arial"/>
        </w:rPr>
        <w:t xml:space="preserve">58(3) of </w:t>
      </w:r>
      <w:r w:rsidRPr="0043112F">
        <w:rPr>
          <w:rFonts w:cs="Arial"/>
        </w:rPr>
        <w:t xml:space="preserve">the </w:t>
      </w:r>
      <w:r w:rsidR="000D7CC0" w:rsidRPr="0043112F">
        <w:rPr>
          <w:rFonts w:cs="Arial"/>
        </w:rPr>
        <w:t xml:space="preserve">TEQSA </w:t>
      </w:r>
      <w:r w:rsidRPr="0043112F">
        <w:rPr>
          <w:rFonts w:cs="Arial"/>
        </w:rPr>
        <w:t>Act</w:t>
      </w:r>
      <w:r w:rsidRPr="0043112F" w:rsidDel="00783D06">
        <w:rPr>
          <w:rFonts w:cs="Arial"/>
          <w:i/>
        </w:rPr>
        <w:t xml:space="preserve"> </w:t>
      </w:r>
      <w:r w:rsidRPr="0043112F">
        <w:rPr>
          <w:rFonts w:cs="Arial"/>
        </w:rPr>
        <w:t>requires</w:t>
      </w:r>
      <w:r w:rsidRPr="0043112F" w:rsidDel="009A447A">
        <w:rPr>
          <w:rFonts w:cs="Arial"/>
        </w:rPr>
        <w:t xml:space="preserve"> </w:t>
      </w:r>
      <w:r w:rsidR="00FA588C" w:rsidRPr="0043112F">
        <w:rPr>
          <w:rFonts w:cs="Arial"/>
        </w:rPr>
        <w:t xml:space="preserve">that </w:t>
      </w:r>
      <w:r w:rsidRPr="0043112F">
        <w:rPr>
          <w:rFonts w:cs="Arial"/>
        </w:rPr>
        <w:t xml:space="preserve">the Minister </w:t>
      </w:r>
      <w:r w:rsidR="00FA588C" w:rsidRPr="0043112F">
        <w:rPr>
          <w:rFonts w:cs="Arial"/>
        </w:rPr>
        <w:t>must not make a standard unless:</w:t>
      </w:r>
    </w:p>
    <w:p w14:paraId="05A57298" w14:textId="77777777" w:rsidR="00FA588C" w:rsidRPr="0043112F" w:rsidRDefault="00FA588C" w:rsidP="00FA588C">
      <w:pPr>
        <w:contextualSpacing/>
        <w:jc w:val="left"/>
        <w:rPr>
          <w:rFonts w:cs="Arial"/>
        </w:rPr>
      </w:pPr>
    </w:p>
    <w:p w14:paraId="3729F21C" w14:textId="77777777" w:rsidR="00FA588C" w:rsidRPr="00FF758F" w:rsidRDefault="00FA588C" w:rsidP="00FF758F">
      <w:pPr>
        <w:numPr>
          <w:ilvl w:val="0"/>
          <w:numId w:val="4"/>
        </w:numPr>
        <w:tabs>
          <w:tab w:val="clear" w:pos="1134"/>
        </w:tabs>
        <w:spacing w:before="120" w:after="120"/>
        <w:ind w:left="568" w:hanging="284"/>
        <w:jc w:val="left"/>
        <w:rPr>
          <w:rFonts w:cs="Arial"/>
          <w:lang w:val="en-AU"/>
        </w:rPr>
      </w:pPr>
      <w:r w:rsidRPr="00FF758F">
        <w:rPr>
          <w:rFonts w:cs="Arial"/>
          <w:lang w:val="en-AU"/>
        </w:rPr>
        <w:t>a draft of the standard has been developed by the Higher Education Standards Panel</w:t>
      </w:r>
      <w:r w:rsidR="005B2B0E">
        <w:rPr>
          <w:rFonts w:cs="Arial"/>
          <w:lang w:val="en-AU"/>
        </w:rPr>
        <w:t xml:space="preserve"> (the Panel)</w:t>
      </w:r>
      <w:r w:rsidR="00386B00" w:rsidRPr="0043112F">
        <w:rPr>
          <w:rFonts w:cs="Arial"/>
          <w:lang w:val="en-AU"/>
        </w:rPr>
        <w:t xml:space="preserve"> established under Part 9 of the TEQSA Act</w:t>
      </w:r>
      <w:r w:rsidRPr="00FF758F">
        <w:rPr>
          <w:rFonts w:cs="Arial"/>
          <w:lang w:val="en-AU"/>
        </w:rPr>
        <w:t>,</w:t>
      </w:r>
    </w:p>
    <w:p w14:paraId="5F39DB2F" w14:textId="77777777" w:rsidR="00321F8C" w:rsidRPr="00FF758F" w:rsidRDefault="00FA588C" w:rsidP="00FF758F">
      <w:pPr>
        <w:numPr>
          <w:ilvl w:val="0"/>
          <w:numId w:val="4"/>
        </w:numPr>
        <w:tabs>
          <w:tab w:val="clear" w:pos="1134"/>
        </w:tabs>
        <w:spacing w:before="120" w:after="120"/>
        <w:ind w:left="568" w:hanging="284"/>
        <w:jc w:val="left"/>
        <w:rPr>
          <w:rFonts w:cs="Arial"/>
          <w:lang w:val="en-AU"/>
        </w:rPr>
      </w:pPr>
      <w:r w:rsidRPr="00FF758F">
        <w:rPr>
          <w:rFonts w:cs="Arial"/>
          <w:lang w:val="en-AU"/>
        </w:rPr>
        <w:t xml:space="preserve">the Minister has </w:t>
      </w:r>
      <w:r w:rsidR="00321F8C" w:rsidRPr="00FF758F">
        <w:rPr>
          <w:rFonts w:cs="Arial"/>
          <w:lang w:val="en-AU"/>
        </w:rPr>
        <w:t>consult</w:t>
      </w:r>
      <w:r w:rsidR="00386B00" w:rsidRPr="0043112F">
        <w:rPr>
          <w:rFonts w:cs="Arial"/>
          <w:lang w:val="en-AU"/>
        </w:rPr>
        <w:t>ed</w:t>
      </w:r>
      <w:r w:rsidR="00321F8C" w:rsidRPr="00FF758F">
        <w:rPr>
          <w:rFonts w:cs="Arial"/>
          <w:lang w:val="en-AU"/>
        </w:rPr>
        <w:t xml:space="preserve"> with </w:t>
      </w:r>
      <w:r w:rsidRPr="00FF758F">
        <w:rPr>
          <w:rFonts w:cs="Arial"/>
          <w:lang w:val="en-AU"/>
        </w:rPr>
        <w:t xml:space="preserve">each of </w:t>
      </w:r>
      <w:r w:rsidR="00321F8C" w:rsidRPr="00FF758F">
        <w:rPr>
          <w:rFonts w:cs="Arial"/>
          <w:lang w:val="en-AU"/>
        </w:rPr>
        <w:t xml:space="preserve">the following </w:t>
      </w:r>
      <w:r w:rsidRPr="00FF758F">
        <w:rPr>
          <w:rFonts w:cs="Arial"/>
          <w:lang w:val="en-AU"/>
        </w:rPr>
        <w:t>about the draft</w:t>
      </w:r>
      <w:r w:rsidR="00321F8C" w:rsidRPr="00FF758F">
        <w:rPr>
          <w:rFonts w:cs="Arial"/>
          <w:lang w:val="en-AU"/>
        </w:rPr>
        <w:t>:</w:t>
      </w:r>
    </w:p>
    <w:p w14:paraId="499A910F" w14:textId="705E749F" w:rsidR="00321F8C" w:rsidRPr="00FF758F" w:rsidRDefault="00386B00" w:rsidP="00FF758F">
      <w:pPr>
        <w:numPr>
          <w:ilvl w:val="1"/>
          <w:numId w:val="4"/>
        </w:numPr>
        <w:tabs>
          <w:tab w:val="clear" w:pos="1134"/>
        </w:tabs>
        <w:spacing w:before="120" w:after="120"/>
        <w:jc w:val="left"/>
        <w:rPr>
          <w:rFonts w:cs="Arial"/>
          <w:lang w:val="en-AU"/>
        </w:rPr>
      </w:pPr>
      <w:r w:rsidRPr="0043112F">
        <w:rPr>
          <w:rFonts w:cs="Arial"/>
          <w:lang w:val="en-AU"/>
        </w:rPr>
        <w:t>t</w:t>
      </w:r>
      <w:r w:rsidR="00321F8C" w:rsidRPr="00FF758F">
        <w:rPr>
          <w:rFonts w:cs="Arial"/>
          <w:lang w:val="en-AU"/>
        </w:rPr>
        <w:t xml:space="preserve">he Council consisting of the Ministers for the Commonwealth and each State and Territory responsible for higher education (known </w:t>
      </w:r>
      <w:r w:rsidR="001A2B8E">
        <w:rPr>
          <w:rFonts w:cs="Arial"/>
          <w:lang w:val="en-AU"/>
        </w:rPr>
        <w:t xml:space="preserve">currently </w:t>
      </w:r>
      <w:r w:rsidR="00321F8C" w:rsidRPr="00FF758F">
        <w:rPr>
          <w:rFonts w:cs="Arial"/>
          <w:lang w:val="en-AU"/>
        </w:rPr>
        <w:t xml:space="preserve">as the </w:t>
      </w:r>
      <w:r w:rsidR="001A2B8E">
        <w:rPr>
          <w:rFonts w:cs="Arial"/>
          <w:lang w:val="en-AU"/>
        </w:rPr>
        <w:t xml:space="preserve">COAG Education </w:t>
      </w:r>
      <w:r w:rsidR="00321F8C" w:rsidRPr="00FF758F">
        <w:rPr>
          <w:rFonts w:cs="Arial"/>
          <w:lang w:val="en-AU"/>
        </w:rPr>
        <w:t>Council)</w:t>
      </w:r>
    </w:p>
    <w:p w14:paraId="49BBD75F" w14:textId="1D249C9D" w:rsidR="00321F8C" w:rsidRPr="00FF758F" w:rsidRDefault="00386B00" w:rsidP="00FF758F">
      <w:pPr>
        <w:numPr>
          <w:ilvl w:val="1"/>
          <w:numId w:val="4"/>
        </w:numPr>
        <w:tabs>
          <w:tab w:val="clear" w:pos="1134"/>
        </w:tabs>
        <w:spacing w:before="120" w:after="120"/>
        <w:jc w:val="left"/>
        <w:rPr>
          <w:rFonts w:cs="Arial"/>
          <w:lang w:val="en-AU"/>
        </w:rPr>
      </w:pPr>
      <w:r w:rsidRPr="0043112F">
        <w:rPr>
          <w:rFonts w:cs="Arial"/>
          <w:lang w:val="en-AU"/>
        </w:rPr>
        <w:t>t</w:t>
      </w:r>
      <w:r w:rsidR="00321F8C" w:rsidRPr="00FF758F">
        <w:rPr>
          <w:rFonts w:cs="Arial"/>
          <w:lang w:val="en-AU"/>
        </w:rPr>
        <w:t>he Research Minister</w:t>
      </w:r>
      <w:r w:rsidR="00327877">
        <w:rPr>
          <w:rFonts w:cs="Arial"/>
          <w:lang w:val="en-AU"/>
        </w:rPr>
        <w:t xml:space="preserve"> (the minister responsible for the </w:t>
      </w:r>
      <w:r w:rsidR="00327877" w:rsidRPr="00102B2D">
        <w:rPr>
          <w:rFonts w:cs="Arial"/>
          <w:i/>
          <w:lang w:val="en-AU"/>
        </w:rPr>
        <w:t>Australian Research Council Act 2001</w:t>
      </w:r>
      <w:r w:rsidR="00327877">
        <w:rPr>
          <w:rFonts w:cs="Arial"/>
          <w:lang w:val="en-AU"/>
        </w:rPr>
        <w:t>)</w:t>
      </w:r>
      <w:r w:rsidR="00D87272">
        <w:rPr>
          <w:rFonts w:cs="Arial"/>
          <w:lang w:val="en-AU"/>
        </w:rPr>
        <w:t>,</w:t>
      </w:r>
      <w:r w:rsidR="00327877">
        <w:rPr>
          <w:rFonts w:cs="Arial"/>
          <w:lang w:val="en-AU"/>
        </w:rPr>
        <w:t xml:space="preserve"> and</w:t>
      </w:r>
    </w:p>
    <w:p w14:paraId="46423911" w14:textId="209906CF" w:rsidR="00321F8C" w:rsidRPr="00FF758F" w:rsidRDefault="00321F8C" w:rsidP="00FF758F">
      <w:pPr>
        <w:numPr>
          <w:ilvl w:val="1"/>
          <w:numId w:val="4"/>
        </w:numPr>
        <w:tabs>
          <w:tab w:val="clear" w:pos="1134"/>
        </w:tabs>
        <w:spacing w:before="120" w:after="120"/>
        <w:jc w:val="left"/>
        <w:rPr>
          <w:rFonts w:cs="Arial"/>
          <w:lang w:val="en-AU"/>
        </w:rPr>
      </w:pPr>
      <w:r w:rsidRPr="00FF758F">
        <w:rPr>
          <w:rFonts w:cs="Arial"/>
          <w:lang w:val="en-AU"/>
        </w:rPr>
        <w:t>TEQSA</w:t>
      </w:r>
      <w:r w:rsidR="00522495">
        <w:rPr>
          <w:rFonts w:cs="Arial"/>
          <w:lang w:val="en-AU"/>
        </w:rPr>
        <w:t>,</w:t>
      </w:r>
      <w:r w:rsidRPr="00FF758F">
        <w:rPr>
          <w:rFonts w:cs="Arial"/>
          <w:lang w:val="en-AU"/>
        </w:rPr>
        <w:t xml:space="preserve"> and </w:t>
      </w:r>
    </w:p>
    <w:p w14:paraId="75942E0B" w14:textId="77777777" w:rsidR="00321F8C" w:rsidRPr="00FF758F" w:rsidRDefault="00321F8C" w:rsidP="00FF758F">
      <w:pPr>
        <w:numPr>
          <w:ilvl w:val="0"/>
          <w:numId w:val="4"/>
        </w:numPr>
        <w:tabs>
          <w:tab w:val="clear" w:pos="1134"/>
        </w:tabs>
        <w:spacing w:before="120" w:after="120"/>
        <w:ind w:left="568" w:hanging="284"/>
        <w:jc w:val="left"/>
        <w:rPr>
          <w:rFonts w:cs="Arial"/>
          <w:lang w:val="en-AU"/>
        </w:rPr>
      </w:pPr>
      <w:r w:rsidRPr="00FF758F">
        <w:rPr>
          <w:rFonts w:cs="Arial"/>
          <w:lang w:val="en-AU"/>
        </w:rPr>
        <w:t xml:space="preserve">the Minister has had regard to </w:t>
      </w:r>
      <w:r w:rsidR="00FA588C" w:rsidRPr="00FF758F">
        <w:rPr>
          <w:rFonts w:cs="Arial"/>
          <w:lang w:val="en-AU"/>
        </w:rPr>
        <w:t>the draft developed by the Panel, and any advice or recommendations re</w:t>
      </w:r>
      <w:r w:rsidR="00AF3D2D" w:rsidRPr="00FF758F">
        <w:rPr>
          <w:rFonts w:cs="Arial"/>
          <w:lang w:val="en-AU"/>
        </w:rPr>
        <w:t>ce</w:t>
      </w:r>
      <w:r w:rsidR="00FA588C" w:rsidRPr="00FF758F">
        <w:rPr>
          <w:rFonts w:cs="Arial"/>
          <w:lang w:val="en-AU"/>
        </w:rPr>
        <w:t xml:space="preserve">ived from the </w:t>
      </w:r>
      <w:r w:rsidR="005B2B0E">
        <w:rPr>
          <w:rFonts w:cs="Arial"/>
          <w:lang w:val="en-AU"/>
        </w:rPr>
        <w:t>P</w:t>
      </w:r>
      <w:r w:rsidR="00FA588C" w:rsidRPr="00FF758F">
        <w:rPr>
          <w:rFonts w:cs="Arial"/>
          <w:lang w:val="en-AU"/>
        </w:rPr>
        <w:t>anel</w:t>
      </w:r>
      <w:r w:rsidR="00AF3D2D" w:rsidRPr="00FF758F">
        <w:rPr>
          <w:rFonts w:cs="Arial"/>
          <w:lang w:val="en-AU"/>
        </w:rPr>
        <w:t xml:space="preserve"> or</w:t>
      </w:r>
      <w:r w:rsidRPr="00FF758F">
        <w:rPr>
          <w:rFonts w:cs="Arial"/>
          <w:lang w:val="en-AU"/>
        </w:rPr>
        <w:t xml:space="preserve"> those </w:t>
      </w:r>
      <w:r w:rsidR="00AF3D2D" w:rsidRPr="00FF758F">
        <w:rPr>
          <w:rFonts w:cs="Arial"/>
          <w:lang w:val="en-AU"/>
        </w:rPr>
        <w:t xml:space="preserve">other </w:t>
      </w:r>
      <w:r w:rsidRPr="00FF758F">
        <w:rPr>
          <w:rFonts w:cs="Arial"/>
          <w:lang w:val="en-AU"/>
        </w:rPr>
        <w:t>parties.</w:t>
      </w:r>
    </w:p>
    <w:p w14:paraId="50B75947" w14:textId="77777777" w:rsidR="007B593C" w:rsidRPr="0043112F" w:rsidRDefault="007B593C" w:rsidP="004402BD">
      <w:pPr>
        <w:contextualSpacing/>
        <w:jc w:val="left"/>
        <w:rPr>
          <w:rFonts w:cs="Arial"/>
        </w:rPr>
      </w:pPr>
    </w:p>
    <w:p w14:paraId="24E8C73F" w14:textId="77777777" w:rsidR="00F935E4" w:rsidRPr="0043112F" w:rsidRDefault="00F935E4" w:rsidP="00F935E4">
      <w:pPr>
        <w:contextualSpacing/>
        <w:jc w:val="left"/>
        <w:rPr>
          <w:rFonts w:cs="Arial"/>
        </w:rPr>
      </w:pPr>
      <w:r w:rsidRPr="0043112F">
        <w:rPr>
          <w:rFonts w:cs="Arial"/>
        </w:rPr>
        <w:t xml:space="preserve">The Threshold Standards are a subset of the Higher Education Standards Framework specified under subsection 58(1) of the </w:t>
      </w:r>
      <w:r w:rsidR="000D7CC0" w:rsidRPr="0043112F">
        <w:rPr>
          <w:rFonts w:cs="Arial"/>
        </w:rPr>
        <w:t xml:space="preserve">TEQSA </w:t>
      </w:r>
      <w:r w:rsidRPr="0043112F">
        <w:rPr>
          <w:rFonts w:cs="Arial"/>
        </w:rPr>
        <w:t>Act. The following Threshold Standards are made, respectively, under paragraphs 58(1)(a) to (d), inclusive:</w:t>
      </w:r>
    </w:p>
    <w:p w14:paraId="1130762F" w14:textId="29A6E986" w:rsidR="00F935E4" w:rsidRPr="00FF758F" w:rsidRDefault="00F935E4" w:rsidP="00FF758F">
      <w:pPr>
        <w:numPr>
          <w:ilvl w:val="0"/>
          <w:numId w:val="4"/>
        </w:numPr>
        <w:tabs>
          <w:tab w:val="clear" w:pos="1134"/>
        </w:tabs>
        <w:spacing w:before="120" w:after="120"/>
        <w:ind w:left="568" w:hanging="284"/>
        <w:jc w:val="left"/>
        <w:rPr>
          <w:rFonts w:cs="Arial"/>
          <w:lang w:val="en-AU"/>
        </w:rPr>
      </w:pPr>
      <w:r w:rsidRPr="00FF758F">
        <w:rPr>
          <w:rFonts w:cs="Arial"/>
          <w:lang w:val="en-AU"/>
        </w:rPr>
        <w:t>the Provider Registration Standards</w:t>
      </w:r>
    </w:p>
    <w:p w14:paraId="0B32A8B1" w14:textId="0359879C" w:rsidR="00F935E4" w:rsidRPr="00FF758F" w:rsidRDefault="00F935E4" w:rsidP="00FF758F">
      <w:pPr>
        <w:numPr>
          <w:ilvl w:val="0"/>
          <w:numId w:val="4"/>
        </w:numPr>
        <w:tabs>
          <w:tab w:val="clear" w:pos="1134"/>
        </w:tabs>
        <w:spacing w:before="120" w:after="120"/>
        <w:ind w:left="568" w:hanging="284"/>
        <w:jc w:val="left"/>
        <w:rPr>
          <w:rFonts w:cs="Arial"/>
          <w:lang w:val="en-AU"/>
        </w:rPr>
      </w:pPr>
      <w:r w:rsidRPr="00FF758F">
        <w:rPr>
          <w:rFonts w:cs="Arial"/>
          <w:lang w:val="en-AU"/>
        </w:rPr>
        <w:t>the Provider Category Standards</w:t>
      </w:r>
    </w:p>
    <w:p w14:paraId="317E49F2" w14:textId="1CB41B8E" w:rsidR="00F935E4" w:rsidRPr="00FF758F" w:rsidRDefault="00F935E4" w:rsidP="00FF758F">
      <w:pPr>
        <w:numPr>
          <w:ilvl w:val="0"/>
          <w:numId w:val="4"/>
        </w:numPr>
        <w:tabs>
          <w:tab w:val="clear" w:pos="1134"/>
        </w:tabs>
        <w:spacing w:before="120" w:after="120"/>
        <w:ind w:left="568" w:hanging="284"/>
        <w:jc w:val="left"/>
        <w:rPr>
          <w:rFonts w:cs="Arial"/>
          <w:lang w:val="en-AU"/>
        </w:rPr>
      </w:pPr>
      <w:r w:rsidRPr="00FF758F">
        <w:rPr>
          <w:rFonts w:cs="Arial"/>
          <w:lang w:val="en-AU"/>
        </w:rPr>
        <w:t>the Provider Course Accreditation Standards</w:t>
      </w:r>
      <w:r w:rsidR="00522495">
        <w:rPr>
          <w:rFonts w:cs="Arial"/>
          <w:lang w:val="en-AU"/>
        </w:rPr>
        <w:t>,</w:t>
      </w:r>
      <w:r w:rsidRPr="00FF758F">
        <w:rPr>
          <w:rFonts w:cs="Arial"/>
          <w:lang w:val="en-AU"/>
        </w:rPr>
        <w:t xml:space="preserve"> and</w:t>
      </w:r>
    </w:p>
    <w:p w14:paraId="54E792DE" w14:textId="77777777" w:rsidR="00F935E4" w:rsidRPr="00FF758F" w:rsidRDefault="00F935E4" w:rsidP="00FF758F">
      <w:pPr>
        <w:numPr>
          <w:ilvl w:val="0"/>
          <w:numId w:val="4"/>
        </w:numPr>
        <w:tabs>
          <w:tab w:val="clear" w:pos="1134"/>
        </w:tabs>
        <w:spacing w:before="120" w:after="120"/>
        <w:ind w:left="568" w:hanging="284"/>
        <w:jc w:val="left"/>
        <w:rPr>
          <w:rFonts w:cs="Arial"/>
          <w:lang w:val="en-AU"/>
        </w:rPr>
      </w:pPr>
      <w:r w:rsidRPr="00FF758F">
        <w:rPr>
          <w:rFonts w:cs="Arial"/>
          <w:lang w:val="en-AU"/>
        </w:rPr>
        <w:t>the Qualification Standards.</w:t>
      </w:r>
    </w:p>
    <w:p w14:paraId="52FA3334" w14:textId="77777777" w:rsidR="00F935E4" w:rsidRPr="0043112F" w:rsidRDefault="00F935E4" w:rsidP="00940B88">
      <w:pPr>
        <w:contextualSpacing/>
        <w:jc w:val="left"/>
        <w:rPr>
          <w:rFonts w:cs="Arial"/>
        </w:rPr>
      </w:pPr>
    </w:p>
    <w:p w14:paraId="638B2296" w14:textId="77777777" w:rsidR="007B593C" w:rsidRPr="0043112F" w:rsidRDefault="007B593C" w:rsidP="004402BD">
      <w:pPr>
        <w:contextualSpacing/>
        <w:jc w:val="left"/>
        <w:rPr>
          <w:rFonts w:cs="Arial"/>
        </w:rPr>
      </w:pPr>
      <w:r w:rsidRPr="0043112F">
        <w:rPr>
          <w:rFonts w:cs="Arial"/>
        </w:rPr>
        <w:t xml:space="preserve">For the purposes of defining the </w:t>
      </w:r>
      <w:r w:rsidR="00F935E4" w:rsidRPr="0043112F">
        <w:rPr>
          <w:rFonts w:cs="Arial"/>
        </w:rPr>
        <w:t xml:space="preserve">Threshold </w:t>
      </w:r>
      <w:r w:rsidRPr="0043112F">
        <w:rPr>
          <w:rFonts w:cs="Arial"/>
        </w:rPr>
        <w:t>Standards</w:t>
      </w:r>
      <w:r w:rsidR="0085680C">
        <w:rPr>
          <w:rFonts w:cs="Arial"/>
        </w:rPr>
        <w:t>,</w:t>
      </w:r>
      <w:r w:rsidRPr="0043112F">
        <w:rPr>
          <w:rFonts w:cs="Arial"/>
        </w:rPr>
        <w:t xml:space="preserve"> </w:t>
      </w:r>
      <w:r w:rsidR="0085680C">
        <w:rPr>
          <w:rFonts w:cs="Arial"/>
        </w:rPr>
        <w:t>i</w:t>
      </w:r>
      <w:r w:rsidR="0085680C" w:rsidRPr="005B2B0E">
        <w:t xml:space="preserve">ndividual standards statements in the revised framework are ‘mapped’ to the relevant Threshold Standard </w:t>
      </w:r>
      <w:r w:rsidR="0085680C">
        <w:t xml:space="preserve">in section 58 </w:t>
      </w:r>
      <w:r w:rsidR="0085680C" w:rsidRPr="005B2B0E">
        <w:t>by means</w:t>
      </w:r>
      <w:r w:rsidRPr="0043112F">
        <w:rPr>
          <w:rFonts w:cs="Arial"/>
        </w:rPr>
        <w:t xml:space="preserve"> of Table 1 </w:t>
      </w:r>
      <w:r w:rsidR="0085680C" w:rsidRPr="005B2B0E">
        <w:t xml:space="preserve">at Item 3 </w:t>
      </w:r>
      <w:r w:rsidRPr="0043112F">
        <w:rPr>
          <w:rFonts w:cs="Arial"/>
        </w:rPr>
        <w:t xml:space="preserve">of the </w:t>
      </w:r>
      <w:r w:rsidR="00CF4638" w:rsidRPr="0043112F">
        <w:rPr>
          <w:rFonts w:cs="Arial"/>
        </w:rPr>
        <w:t>l</w:t>
      </w:r>
      <w:r w:rsidRPr="0043112F">
        <w:rPr>
          <w:rFonts w:cs="Arial"/>
        </w:rPr>
        <w:t xml:space="preserve">egislative </w:t>
      </w:r>
      <w:r w:rsidR="00CF4638" w:rsidRPr="0043112F">
        <w:rPr>
          <w:rFonts w:cs="Arial"/>
        </w:rPr>
        <w:t>i</w:t>
      </w:r>
      <w:r w:rsidRPr="0043112F">
        <w:rPr>
          <w:rFonts w:cs="Arial"/>
        </w:rPr>
        <w:t>nstrument.</w:t>
      </w:r>
    </w:p>
    <w:p w14:paraId="6BBAC661" w14:textId="77777777" w:rsidR="006D0B46" w:rsidRPr="0043112F" w:rsidRDefault="006D0B46" w:rsidP="004402BD">
      <w:pPr>
        <w:contextualSpacing/>
        <w:jc w:val="left"/>
        <w:rPr>
          <w:rFonts w:cs="Arial"/>
        </w:rPr>
      </w:pPr>
    </w:p>
    <w:p w14:paraId="77597B09" w14:textId="77777777" w:rsidR="007B593C" w:rsidRDefault="000D7CC0" w:rsidP="00FF758F">
      <w:pPr>
        <w:contextualSpacing/>
        <w:jc w:val="left"/>
        <w:rPr>
          <w:rFonts w:cs="Arial"/>
          <w:b/>
        </w:rPr>
      </w:pPr>
      <w:r w:rsidRPr="00FF758F">
        <w:rPr>
          <w:rFonts w:cs="Arial"/>
        </w:rPr>
        <w:t xml:space="preserve">The </w:t>
      </w:r>
      <w:r w:rsidRPr="00FF758F">
        <w:rPr>
          <w:rFonts w:cs="Arial"/>
          <w:i/>
        </w:rPr>
        <w:t>Higher Education Standards Framework (Threshold Standards) 2015</w:t>
      </w:r>
      <w:r w:rsidRPr="0043112F">
        <w:rPr>
          <w:rFonts w:cs="Arial"/>
        </w:rPr>
        <w:t xml:space="preserve"> revokes and replaces the </w:t>
      </w:r>
      <w:r w:rsidRPr="00FF758F">
        <w:rPr>
          <w:rFonts w:cs="Arial"/>
          <w:i/>
        </w:rPr>
        <w:t>Higher Education Standards Framework (Threshold Standards) 2011</w:t>
      </w:r>
      <w:r w:rsidR="00FF758F">
        <w:rPr>
          <w:rFonts w:cs="Arial"/>
        </w:rPr>
        <w:t xml:space="preserve"> from 1</w:t>
      </w:r>
      <w:r w:rsidR="00917C8B">
        <w:rPr>
          <w:rFonts w:cs="Arial"/>
        </w:rPr>
        <w:t> </w:t>
      </w:r>
      <w:r w:rsidR="00FF758F">
        <w:rPr>
          <w:rFonts w:cs="Arial"/>
        </w:rPr>
        <w:t>January</w:t>
      </w:r>
      <w:r w:rsidR="00917C8B">
        <w:rPr>
          <w:rFonts w:cs="Arial"/>
        </w:rPr>
        <w:t> </w:t>
      </w:r>
      <w:r w:rsidR="00FF758F">
        <w:rPr>
          <w:rFonts w:cs="Arial"/>
        </w:rPr>
        <w:t>2017</w:t>
      </w:r>
      <w:r w:rsidRPr="0043112F">
        <w:rPr>
          <w:rFonts w:cs="Arial"/>
        </w:rPr>
        <w:t>.</w:t>
      </w:r>
    </w:p>
    <w:p w14:paraId="3ED1F597" w14:textId="77777777" w:rsidR="006D0B46" w:rsidRPr="0043112F" w:rsidRDefault="006D0B46" w:rsidP="004402BD">
      <w:pPr>
        <w:contextualSpacing/>
        <w:jc w:val="left"/>
        <w:rPr>
          <w:rFonts w:cs="Arial"/>
          <w:b/>
        </w:rPr>
      </w:pPr>
      <w:r w:rsidRPr="0043112F">
        <w:rPr>
          <w:rFonts w:cs="Arial"/>
          <w:b/>
        </w:rPr>
        <w:lastRenderedPageBreak/>
        <w:t>Purpose and Operation</w:t>
      </w:r>
    </w:p>
    <w:p w14:paraId="17C77C4C" w14:textId="77777777" w:rsidR="006D0B46" w:rsidRPr="0043112F" w:rsidRDefault="006D0B46" w:rsidP="004402BD">
      <w:pPr>
        <w:contextualSpacing/>
        <w:jc w:val="left"/>
        <w:rPr>
          <w:rFonts w:cs="Arial"/>
        </w:rPr>
      </w:pPr>
    </w:p>
    <w:p w14:paraId="5AF82C4D" w14:textId="4491CCAF" w:rsidR="00D433D8" w:rsidRPr="0043112F" w:rsidRDefault="006D0B46" w:rsidP="00D433D8">
      <w:pPr>
        <w:contextualSpacing/>
        <w:jc w:val="left"/>
        <w:rPr>
          <w:rFonts w:cs="Arial"/>
        </w:rPr>
      </w:pPr>
      <w:r w:rsidRPr="0043112F">
        <w:rPr>
          <w:rFonts w:cs="Arial"/>
        </w:rPr>
        <w:t xml:space="preserve">The purpose of the legislative instrument is </w:t>
      </w:r>
      <w:r w:rsidR="001E2BC4">
        <w:rPr>
          <w:rFonts w:cs="Arial"/>
        </w:rPr>
        <w:t>for the Minister to make</w:t>
      </w:r>
      <w:r w:rsidR="00F935E4" w:rsidRPr="0043112F">
        <w:rPr>
          <w:rFonts w:cs="Arial"/>
        </w:rPr>
        <w:t xml:space="preserve"> a revised Higher Education Standards Framework</w:t>
      </w:r>
      <w:r w:rsidR="00597A66">
        <w:rPr>
          <w:rFonts w:cs="Arial"/>
        </w:rPr>
        <w:t xml:space="preserve"> (the Standards)</w:t>
      </w:r>
      <w:r w:rsidRPr="0043112F">
        <w:rPr>
          <w:rFonts w:cs="Arial"/>
        </w:rPr>
        <w:t>.</w:t>
      </w:r>
      <w:r w:rsidR="00D433D8">
        <w:rPr>
          <w:rFonts w:cs="Arial"/>
        </w:rPr>
        <w:t xml:space="preserve"> </w:t>
      </w:r>
      <w:r w:rsidR="001E2BC4">
        <w:rPr>
          <w:rFonts w:cs="Arial"/>
        </w:rPr>
        <w:t xml:space="preserve">By this legislative instrument </w:t>
      </w:r>
      <w:r w:rsidR="001E2BC4">
        <w:rPr>
          <w:rFonts w:cs="Arial"/>
          <w:lang w:val="en-AU"/>
        </w:rPr>
        <w:t>t</w:t>
      </w:r>
      <w:r w:rsidR="004402BD" w:rsidRPr="0043112F">
        <w:rPr>
          <w:rFonts w:cs="Arial"/>
          <w:lang w:val="en-AU"/>
        </w:rPr>
        <w:t xml:space="preserve">he </w:t>
      </w:r>
      <w:r w:rsidR="001E2BC4">
        <w:rPr>
          <w:rFonts w:cs="Arial"/>
          <w:lang w:val="en-AU"/>
        </w:rPr>
        <w:t xml:space="preserve">Minister makes the </w:t>
      </w:r>
      <w:r w:rsidR="005B2B0E">
        <w:rPr>
          <w:rFonts w:cs="Arial"/>
          <w:lang w:val="en-AU"/>
        </w:rPr>
        <w:t>S</w:t>
      </w:r>
      <w:r w:rsidR="00F935E4" w:rsidRPr="0043112F">
        <w:rPr>
          <w:rFonts w:cs="Arial"/>
          <w:lang w:val="en-AU"/>
        </w:rPr>
        <w:t>tandards</w:t>
      </w:r>
      <w:r w:rsidR="004402BD" w:rsidRPr="0043112F">
        <w:rPr>
          <w:rFonts w:cs="Arial"/>
          <w:lang w:val="en-AU"/>
        </w:rPr>
        <w:t xml:space="preserve"> </w:t>
      </w:r>
      <w:r w:rsidR="001E2BC4">
        <w:rPr>
          <w:rFonts w:cs="Arial"/>
          <w:lang w:val="en-AU"/>
        </w:rPr>
        <w:t xml:space="preserve">under </w:t>
      </w:r>
      <w:r w:rsidR="005B2693" w:rsidRPr="0043112F">
        <w:rPr>
          <w:rFonts w:cs="Arial"/>
          <w:lang w:val="en-AU"/>
        </w:rPr>
        <w:t xml:space="preserve">subsections 58(1)(a) to (d) inclusive of the </w:t>
      </w:r>
      <w:r w:rsidR="002F2A3A">
        <w:rPr>
          <w:rFonts w:cs="Arial"/>
          <w:lang w:val="en-AU"/>
        </w:rPr>
        <w:t xml:space="preserve">TEQSA </w:t>
      </w:r>
      <w:r w:rsidR="005B2693" w:rsidRPr="0043112F">
        <w:rPr>
          <w:rFonts w:cs="Arial"/>
          <w:lang w:val="en-AU"/>
        </w:rPr>
        <w:t xml:space="preserve">Act </w:t>
      </w:r>
      <w:r w:rsidR="007440E4">
        <w:rPr>
          <w:rFonts w:cs="Arial"/>
          <w:lang w:val="en-AU"/>
        </w:rPr>
        <w:t xml:space="preserve">that </w:t>
      </w:r>
      <w:r w:rsidR="004402BD" w:rsidRPr="0043112F">
        <w:rPr>
          <w:rFonts w:cs="Arial"/>
          <w:lang w:val="en-AU"/>
        </w:rPr>
        <w:t xml:space="preserve">set the requirements </w:t>
      </w:r>
      <w:r w:rsidR="005B2693" w:rsidRPr="0043112F">
        <w:rPr>
          <w:rFonts w:cs="Arial"/>
          <w:lang w:val="en-AU"/>
        </w:rPr>
        <w:t xml:space="preserve">a </w:t>
      </w:r>
      <w:r w:rsidR="004402BD" w:rsidRPr="0043112F">
        <w:rPr>
          <w:rFonts w:cs="Arial"/>
          <w:lang w:val="en-AU"/>
        </w:rPr>
        <w:t xml:space="preserve">higher education provider must meet </w:t>
      </w:r>
      <w:r w:rsidR="007440E4">
        <w:rPr>
          <w:rFonts w:cs="Arial"/>
          <w:lang w:val="en-AU"/>
        </w:rPr>
        <w:t xml:space="preserve">– </w:t>
      </w:r>
      <w:r w:rsidR="00917C8B">
        <w:rPr>
          <w:rFonts w:cs="Arial"/>
          <w:lang w:val="en-AU"/>
        </w:rPr>
        <w:t xml:space="preserve">and continue to meet </w:t>
      </w:r>
      <w:r w:rsidR="007440E4">
        <w:rPr>
          <w:rFonts w:cs="Arial"/>
          <w:lang w:val="en-AU"/>
        </w:rPr>
        <w:t xml:space="preserve">– </w:t>
      </w:r>
      <w:r w:rsidR="004402BD" w:rsidRPr="0043112F">
        <w:rPr>
          <w:rFonts w:cs="Arial"/>
          <w:lang w:val="en-AU"/>
        </w:rPr>
        <w:t xml:space="preserve">in order to be registered by </w:t>
      </w:r>
      <w:r w:rsidR="002F2A3A">
        <w:rPr>
          <w:rFonts w:cs="Arial"/>
          <w:lang w:val="en-AU"/>
        </w:rPr>
        <w:t>the Tertiary Education Quality and Standards Agency (</w:t>
      </w:r>
      <w:r w:rsidR="004402BD" w:rsidRPr="0043112F">
        <w:rPr>
          <w:rFonts w:cs="Arial"/>
          <w:lang w:val="en-AU"/>
        </w:rPr>
        <w:t>TEQSA</w:t>
      </w:r>
      <w:r w:rsidR="002F2A3A">
        <w:rPr>
          <w:rFonts w:cs="Arial"/>
          <w:lang w:val="en-AU"/>
        </w:rPr>
        <w:t>)</w:t>
      </w:r>
      <w:r w:rsidR="004402BD" w:rsidRPr="0043112F">
        <w:rPr>
          <w:rFonts w:cs="Arial"/>
          <w:lang w:val="en-AU"/>
        </w:rPr>
        <w:t xml:space="preserve"> to operate in Australia</w:t>
      </w:r>
      <w:r w:rsidR="005B2693" w:rsidRPr="0043112F">
        <w:rPr>
          <w:rFonts w:cs="Arial"/>
          <w:lang w:val="en-AU"/>
        </w:rPr>
        <w:t>. T</w:t>
      </w:r>
      <w:r w:rsidR="004402BD" w:rsidRPr="0043112F">
        <w:rPr>
          <w:rFonts w:cs="Arial"/>
          <w:lang w:val="en-AU"/>
        </w:rPr>
        <w:t xml:space="preserve">hey </w:t>
      </w:r>
      <w:r w:rsidR="005B2693" w:rsidRPr="0043112F">
        <w:rPr>
          <w:rFonts w:cs="Arial"/>
          <w:lang w:val="en-AU"/>
        </w:rPr>
        <w:t xml:space="preserve">provide the basis for </w:t>
      </w:r>
      <w:r w:rsidR="004402BD" w:rsidRPr="0043112F">
        <w:rPr>
          <w:rFonts w:cs="Arial"/>
          <w:lang w:val="en-AU"/>
        </w:rPr>
        <w:t xml:space="preserve">the regulation of </w:t>
      </w:r>
      <w:r w:rsidR="000E06C6">
        <w:rPr>
          <w:rFonts w:cs="Arial"/>
          <w:lang w:val="en-AU"/>
        </w:rPr>
        <w:t xml:space="preserve">registered </w:t>
      </w:r>
      <w:r w:rsidR="004402BD" w:rsidRPr="0043112F">
        <w:rPr>
          <w:rFonts w:cs="Arial"/>
          <w:lang w:val="en-AU"/>
        </w:rPr>
        <w:t>higher education providers by TEQSA.</w:t>
      </w:r>
      <w:r w:rsidR="00D433D8">
        <w:rPr>
          <w:rFonts w:cs="Arial"/>
          <w:lang w:val="en-AU"/>
        </w:rPr>
        <w:t xml:space="preserve"> </w:t>
      </w:r>
      <w:r w:rsidR="00D433D8" w:rsidRPr="0043112F">
        <w:rPr>
          <w:rFonts w:cs="Arial"/>
        </w:rPr>
        <w:t>The Standards ensure that the barrier to entry into the higher education sector is set sufficiently high to underpin and protect the quality and reputation of the sector as a whole. They also establish a bas</w:t>
      </w:r>
      <w:r w:rsidR="00F43C51">
        <w:rPr>
          <w:rFonts w:cs="Arial"/>
        </w:rPr>
        <w:t xml:space="preserve">eline for </w:t>
      </w:r>
      <w:r w:rsidR="00D433D8" w:rsidRPr="0043112F">
        <w:rPr>
          <w:rFonts w:cs="Arial"/>
        </w:rPr>
        <w:t>operational quality and integrity from which all providers can continue to build excellence and diversity.</w:t>
      </w:r>
    </w:p>
    <w:p w14:paraId="7DC864C1" w14:textId="77777777" w:rsidR="004402BD" w:rsidRDefault="004402BD" w:rsidP="004402BD">
      <w:pPr>
        <w:autoSpaceDE w:val="0"/>
        <w:autoSpaceDN w:val="0"/>
        <w:adjustRightInd w:val="0"/>
        <w:jc w:val="left"/>
        <w:rPr>
          <w:rFonts w:cs="Arial"/>
          <w:lang w:val="en-AU"/>
        </w:rPr>
      </w:pPr>
    </w:p>
    <w:p w14:paraId="0BCE37B4" w14:textId="77777777" w:rsidR="004402BD" w:rsidRPr="0043112F" w:rsidRDefault="004402BD" w:rsidP="004402BD">
      <w:pPr>
        <w:jc w:val="left"/>
        <w:rPr>
          <w:rFonts w:cs="Arial"/>
          <w:lang w:val="en-AU"/>
        </w:rPr>
      </w:pPr>
      <w:r w:rsidRPr="0043112F">
        <w:rPr>
          <w:rFonts w:cs="Arial"/>
          <w:lang w:val="en-AU"/>
        </w:rPr>
        <w:t xml:space="preserve">The </w:t>
      </w:r>
      <w:r w:rsidR="00D433D8">
        <w:rPr>
          <w:rFonts w:cs="Arial"/>
        </w:rPr>
        <w:t>S</w:t>
      </w:r>
      <w:r w:rsidR="000064F4" w:rsidRPr="0043112F">
        <w:rPr>
          <w:rFonts w:cs="Arial"/>
        </w:rPr>
        <w:t xml:space="preserve">tandards </w:t>
      </w:r>
      <w:r w:rsidRPr="0043112F">
        <w:rPr>
          <w:rFonts w:cs="Arial"/>
          <w:lang w:val="en-AU"/>
        </w:rPr>
        <w:t>also serve other broader purposes in Australian higher education including:</w:t>
      </w:r>
    </w:p>
    <w:p w14:paraId="013BA3F9" w14:textId="77777777" w:rsidR="004402BD" w:rsidRPr="0043112F" w:rsidRDefault="004402BD" w:rsidP="004402BD">
      <w:pPr>
        <w:pStyle w:val="ListParagraph"/>
        <w:numPr>
          <w:ilvl w:val="0"/>
          <w:numId w:val="5"/>
        </w:numPr>
        <w:spacing w:before="60" w:after="60"/>
        <w:ind w:left="568" w:hanging="284"/>
        <w:contextualSpacing w:val="0"/>
        <w:jc w:val="left"/>
        <w:rPr>
          <w:rFonts w:cs="Arial"/>
          <w:lang w:val="en-AU"/>
        </w:rPr>
      </w:pPr>
      <w:r w:rsidRPr="0043112F">
        <w:rPr>
          <w:rFonts w:cs="Arial"/>
          <w:lang w:val="en-AU"/>
        </w:rPr>
        <w:t>an articulation of the expectations for provision of higher education in Australia as:</w:t>
      </w:r>
    </w:p>
    <w:p w14:paraId="680E480B" w14:textId="286634F6" w:rsidR="004402BD" w:rsidRPr="0043112F" w:rsidRDefault="004402BD" w:rsidP="004402BD">
      <w:pPr>
        <w:pStyle w:val="ListParagraph"/>
        <w:numPr>
          <w:ilvl w:val="0"/>
          <w:numId w:val="6"/>
        </w:numPr>
        <w:spacing w:before="60" w:after="60"/>
        <w:ind w:left="851" w:hanging="284"/>
        <w:contextualSpacing w:val="0"/>
        <w:jc w:val="left"/>
        <w:rPr>
          <w:rFonts w:cs="Arial"/>
          <w:lang w:val="en-AU"/>
        </w:rPr>
      </w:pPr>
      <w:r w:rsidRPr="0043112F">
        <w:rPr>
          <w:rFonts w:cs="Arial"/>
          <w:lang w:val="en-AU"/>
        </w:rPr>
        <w:t xml:space="preserve">a guide to the quality of educational experiences that students </w:t>
      </w:r>
      <w:r w:rsidR="005B2693" w:rsidRPr="0043112F">
        <w:rPr>
          <w:rFonts w:cs="Arial"/>
          <w:lang w:val="en-AU"/>
        </w:rPr>
        <w:t xml:space="preserve">should </w:t>
      </w:r>
      <w:r w:rsidRPr="0043112F">
        <w:rPr>
          <w:rFonts w:cs="Arial"/>
          <w:lang w:val="en-AU"/>
        </w:rPr>
        <w:t>expect</w:t>
      </w:r>
    </w:p>
    <w:p w14:paraId="06EEBDDE" w14:textId="740A7D9B" w:rsidR="004402BD" w:rsidRPr="0043112F" w:rsidRDefault="004402BD" w:rsidP="004402BD">
      <w:pPr>
        <w:pStyle w:val="ListParagraph"/>
        <w:numPr>
          <w:ilvl w:val="0"/>
          <w:numId w:val="6"/>
        </w:numPr>
        <w:spacing w:before="60" w:after="60"/>
        <w:ind w:left="851" w:hanging="284"/>
        <w:contextualSpacing w:val="0"/>
        <w:jc w:val="left"/>
        <w:rPr>
          <w:rFonts w:cs="Arial"/>
          <w:lang w:val="en-AU"/>
        </w:rPr>
      </w:pPr>
      <w:r w:rsidRPr="0043112F">
        <w:rPr>
          <w:rFonts w:cs="Arial"/>
          <w:lang w:val="en-AU"/>
        </w:rPr>
        <w:t>a reference for international comparisons of</w:t>
      </w:r>
      <w:r w:rsidR="005B2693" w:rsidRPr="0043112F">
        <w:rPr>
          <w:rFonts w:cs="Arial"/>
          <w:lang w:val="en-AU"/>
        </w:rPr>
        <w:t xml:space="preserve"> the provision of</w:t>
      </w:r>
      <w:r w:rsidRPr="0043112F">
        <w:rPr>
          <w:rFonts w:cs="Arial"/>
          <w:lang w:val="en-AU"/>
        </w:rPr>
        <w:t xml:space="preserve"> higher education</w:t>
      </w:r>
    </w:p>
    <w:p w14:paraId="0FF6B3DC" w14:textId="5181A502" w:rsidR="004402BD" w:rsidRPr="0043112F" w:rsidRDefault="004402BD" w:rsidP="004402BD">
      <w:pPr>
        <w:pStyle w:val="ListParagraph"/>
        <w:numPr>
          <w:ilvl w:val="0"/>
          <w:numId w:val="6"/>
        </w:numPr>
        <w:spacing w:before="60" w:after="60"/>
        <w:ind w:left="851" w:hanging="284"/>
        <w:contextualSpacing w:val="0"/>
        <w:jc w:val="left"/>
        <w:rPr>
          <w:rFonts w:cs="Arial"/>
          <w:lang w:val="en-AU"/>
        </w:rPr>
      </w:pPr>
      <w:r w:rsidRPr="0043112F">
        <w:rPr>
          <w:rFonts w:cs="Arial"/>
          <w:lang w:val="en-AU"/>
        </w:rPr>
        <w:t>a reference for other interested parties, and</w:t>
      </w:r>
    </w:p>
    <w:p w14:paraId="065EB9F8" w14:textId="77777777" w:rsidR="004402BD" w:rsidRPr="0043112F" w:rsidRDefault="004402BD">
      <w:pPr>
        <w:pStyle w:val="ListParagraph"/>
        <w:numPr>
          <w:ilvl w:val="0"/>
          <w:numId w:val="5"/>
        </w:numPr>
        <w:spacing w:before="60" w:after="60"/>
        <w:ind w:left="568" w:hanging="284"/>
        <w:contextualSpacing w:val="0"/>
        <w:jc w:val="left"/>
        <w:rPr>
          <w:rFonts w:cs="Arial"/>
          <w:lang w:val="en-AU"/>
        </w:rPr>
      </w:pPr>
      <w:r w:rsidRPr="0043112F">
        <w:rPr>
          <w:rFonts w:cs="Arial"/>
          <w:lang w:val="en-AU"/>
        </w:rPr>
        <w:t xml:space="preserve">a </w:t>
      </w:r>
      <w:r w:rsidR="00E92CC8" w:rsidRPr="0043112F">
        <w:rPr>
          <w:rFonts w:cs="Arial"/>
          <w:lang w:val="en-AU"/>
        </w:rPr>
        <w:t>model</w:t>
      </w:r>
      <w:r w:rsidR="005B2693" w:rsidRPr="0043112F">
        <w:rPr>
          <w:rFonts w:cs="Arial"/>
          <w:lang w:val="en-AU"/>
        </w:rPr>
        <w:t xml:space="preserve"> </w:t>
      </w:r>
      <w:r w:rsidRPr="0043112F">
        <w:rPr>
          <w:rFonts w:cs="Arial"/>
          <w:lang w:val="en-AU"/>
        </w:rPr>
        <w:t xml:space="preserve">framework </w:t>
      </w:r>
      <w:r w:rsidR="00D204F6" w:rsidRPr="0043112F">
        <w:rPr>
          <w:rFonts w:cs="Arial"/>
          <w:lang w:val="en-AU"/>
        </w:rPr>
        <w:t xml:space="preserve">which </w:t>
      </w:r>
      <w:r w:rsidR="00D204F6" w:rsidRPr="00D204F6">
        <w:rPr>
          <w:rFonts w:cs="Arial"/>
          <w:lang w:val="en-AU"/>
        </w:rPr>
        <w:t>higher education providers</w:t>
      </w:r>
      <w:r w:rsidR="00D204F6" w:rsidRPr="00D204F6">
        <w:t xml:space="preserve"> can themselves apply</w:t>
      </w:r>
      <w:r w:rsidR="00D204F6" w:rsidRPr="0043112F">
        <w:rPr>
          <w:rFonts w:cs="Arial"/>
          <w:lang w:val="en-AU"/>
        </w:rPr>
        <w:t xml:space="preserve"> </w:t>
      </w:r>
      <w:r w:rsidR="00E92CC8" w:rsidRPr="0043112F">
        <w:rPr>
          <w:rFonts w:cs="Arial"/>
          <w:lang w:val="en-AU"/>
        </w:rPr>
        <w:t xml:space="preserve">for </w:t>
      </w:r>
      <w:r w:rsidR="005B2693" w:rsidRPr="0043112F">
        <w:rPr>
          <w:rFonts w:cs="Arial"/>
          <w:lang w:val="en-AU"/>
        </w:rPr>
        <w:t xml:space="preserve">the </w:t>
      </w:r>
      <w:r w:rsidRPr="0043112F">
        <w:rPr>
          <w:rFonts w:cs="Arial"/>
          <w:lang w:val="en-AU"/>
        </w:rPr>
        <w:t xml:space="preserve">internal monitoring, quality assurance and quality improvement of </w:t>
      </w:r>
      <w:r w:rsidR="00E92CC8" w:rsidRPr="0043112F">
        <w:rPr>
          <w:rFonts w:cs="Arial"/>
          <w:lang w:val="en-AU"/>
        </w:rPr>
        <w:t xml:space="preserve">their </w:t>
      </w:r>
      <w:r w:rsidRPr="0043112F">
        <w:rPr>
          <w:rFonts w:cs="Arial"/>
          <w:lang w:val="en-AU"/>
        </w:rPr>
        <w:t>higher education activities.</w:t>
      </w:r>
    </w:p>
    <w:p w14:paraId="7B1117A9" w14:textId="77777777" w:rsidR="004402BD" w:rsidRPr="0043112F" w:rsidRDefault="004402BD" w:rsidP="000D7CC0">
      <w:pPr>
        <w:jc w:val="left"/>
        <w:rPr>
          <w:rFonts w:cs="Arial"/>
          <w:lang w:val="en-AU"/>
        </w:rPr>
      </w:pPr>
    </w:p>
    <w:p w14:paraId="59C5B3EA" w14:textId="77777777" w:rsidR="004402BD" w:rsidRPr="0043112F" w:rsidRDefault="004402BD" w:rsidP="004402BD">
      <w:pPr>
        <w:pStyle w:val="Subheading"/>
        <w:jc w:val="left"/>
        <w:rPr>
          <w:sz w:val="22"/>
          <w:szCs w:val="22"/>
          <w:lang w:val="en-AU"/>
        </w:rPr>
      </w:pPr>
      <w:r w:rsidRPr="0043112F">
        <w:rPr>
          <w:sz w:val="22"/>
          <w:szCs w:val="22"/>
          <w:lang w:val="en-AU"/>
        </w:rPr>
        <w:t xml:space="preserve">Role of the </w:t>
      </w:r>
      <w:r w:rsidR="00E92CC8" w:rsidRPr="00FF758F">
        <w:rPr>
          <w:sz w:val="22"/>
          <w:szCs w:val="22"/>
        </w:rPr>
        <w:t>Higher Education Standards Framework</w:t>
      </w:r>
      <w:r w:rsidR="0038454B">
        <w:rPr>
          <w:sz w:val="22"/>
          <w:szCs w:val="22"/>
        </w:rPr>
        <w:t xml:space="preserve"> </w:t>
      </w:r>
      <w:r w:rsidRPr="0043112F">
        <w:rPr>
          <w:sz w:val="22"/>
          <w:szCs w:val="22"/>
          <w:lang w:val="en-AU"/>
        </w:rPr>
        <w:t>for Students</w:t>
      </w:r>
    </w:p>
    <w:p w14:paraId="10940C3A" w14:textId="77777777" w:rsidR="004402BD" w:rsidRPr="0043112F" w:rsidRDefault="004402BD" w:rsidP="004402BD">
      <w:pPr>
        <w:jc w:val="left"/>
        <w:rPr>
          <w:rFonts w:cs="Arial"/>
        </w:rPr>
      </w:pPr>
    </w:p>
    <w:p w14:paraId="1AA5B5FC" w14:textId="77777777" w:rsidR="004402BD" w:rsidRPr="0043112F" w:rsidRDefault="004402BD" w:rsidP="004402BD">
      <w:pPr>
        <w:jc w:val="left"/>
        <w:rPr>
          <w:rFonts w:cs="Arial"/>
        </w:rPr>
      </w:pPr>
      <w:r w:rsidRPr="0043112F">
        <w:rPr>
          <w:rFonts w:cs="Arial"/>
        </w:rPr>
        <w:t xml:space="preserve">Protection of the quality of the educational experience of students is of prime importance among the objects of the TEQSA Act and is central to the </w:t>
      </w:r>
      <w:r w:rsidR="00D433D8">
        <w:rPr>
          <w:rFonts w:cs="Arial"/>
        </w:rPr>
        <w:t>S</w:t>
      </w:r>
      <w:r w:rsidR="000064F4" w:rsidRPr="0043112F">
        <w:rPr>
          <w:rFonts w:cs="Arial"/>
        </w:rPr>
        <w:t>tandards</w:t>
      </w:r>
      <w:r w:rsidRPr="0043112F">
        <w:rPr>
          <w:rFonts w:cs="Arial"/>
        </w:rPr>
        <w:t>. The</w:t>
      </w:r>
      <w:r w:rsidR="000064F4" w:rsidRPr="0043112F">
        <w:rPr>
          <w:rFonts w:cs="Arial"/>
        </w:rPr>
        <w:t xml:space="preserve"> </w:t>
      </w:r>
      <w:r w:rsidR="00D433D8">
        <w:rPr>
          <w:rFonts w:cs="Arial"/>
        </w:rPr>
        <w:t>S</w:t>
      </w:r>
      <w:r w:rsidR="000064F4" w:rsidRPr="0043112F">
        <w:rPr>
          <w:rFonts w:cs="Arial"/>
        </w:rPr>
        <w:t xml:space="preserve">tandards </w:t>
      </w:r>
      <w:r w:rsidRPr="0043112F">
        <w:rPr>
          <w:rFonts w:cs="Arial"/>
        </w:rPr>
        <w:t>inform students and other interested parties of the expectations o</w:t>
      </w:r>
      <w:r w:rsidR="00E450A1" w:rsidRPr="0043112F">
        <w:rPr>
          <w:rFonts w:cs="Arial"/>
        </w:rPr>
        <w:t>n</w:t>
      </w:r>
      <w:r w:rsidRPr="0043112F">
        <w:rPr>
          <w:rFonts w:cs="Arial"/>
        </w:rPr>
        <w:t xml:space="preserve"> higher education providers </w:t>
      </w:r>
      <w:r w:rsidR="00E450A1" w:rsidRPr="0043112F">
        <w:rPr>
          <w:rFonts w:cs="Arial"/>
        </w:rPr>
        <w:t>regarding</w:t>
      </w:r>
      <w:r w:rsidRPr="0043112F">
        <w:rPr>
          <w:rFonts w:cs="Arial"/>
        </w:rPr>
        <w:t xml:space="preserve"> the delivery of higher education in or from Australia. The </w:t>
      </w:r>
      <w:r w:rsidR="00D433D8">
        <w:rPr>
          <w:rFonts w:cs="Arial"/>
        </w:rPr>
        <w:t>S</w:t>
      </w:r>
      <w:r w:rsidR="000064F4" w:rsidRPr="0043112F">
        <w:rPr>
          <w:rFonts w:cs="Arial"/>
        </w:rPr>
        <w:t xml:space="preserve">tandards </w:t>
      </w:r>
      <w:r w:rsidRPr="0043112F">
        <w:rPr>
          <w:rFonts w:cs="Arial"/>
        </w:rPr>
        <w:t xml:space="preserve">also enable and support prospective and enrolled students to make informed choices through specific </w:t>
      </w:r>
      <w:r w:rsidR="00D204F6">
        <w:rPr>
          <w:rFonts w:cs="Arial"/>
        </w:rPr>
        <w:t>requirements</w:t>
      </w:r>
      <w:r w:rsidR="00D204F6" w:rsidRPr="0043112F">
        <w:rPr>
          <w:rFonts w:cs="Arial"/>
        </w:rPr>
        <w:t xml:space="preserve"> </w:t>
      </w:r>
      <w:r w:rsidRPr="0043112F">
        <w:rPr>
          <w:rFonts w:cs="Arial"/>
        </w:rPr>
        <w:t xml:space="preserve">for </w:t>
      </w:r>
      <w:r w:rsidR="000064F4" w:rsidRPr="0043112F">
        <w:rPr>
          <w:rFonts w:cs="Arial"/>
        </w:rPr>
        <w:t xml:space="preserve">the </w:t>
      </w:r>
      <w:r w:rsidRPr="0043112F">
        <w:rPr>
          <w:rFonts w:cs="Arial"/>
        </w:rPr>
        <w:t>provision of comprehensive, timely, accurate and publicly-available information about a higher education provider’s offerings and operations.</w:t>
      </w:r>
    </w:p>
    <w:p w14:paraId="62433EC4" w14:textId="77777777" w:rsidR="004402BD" w:rsidRPr="0043112F" w:rsidRDefault="004402BD" w:rsidP="00FF758F">
      <w:pPr>
        <w:jc w:val="left"/>
      </w:pPr>
    </w:p>
    <w:p w14:paraId="48CBC436" w14:textId="77777777" w:rsidR="00CB1DBB" w:rsidRPr="00FF758F" w:rsidRDefault="0043112F" w:rsidP="004402BD">
      <w:pPr>
        <w:pStyle w:val="Subheading"/>
        <w:jc w:val="left"/>
        <w:rPr>
          <w:sz w:val="22"/>
          <w:szCs w:val="22"/>
          <w:lang w:val="en-AU"/>
        </w:rPr>
      </w:pPr>
      <w:r w:rsidRPr="00FF758F">
        <w:rPr>
          <w:sz w:val="22"/>
          <w:szCs w:val="22"/>
          <w:lang w:val="en-AU"/>
        </w:rPr>
        <w:t xml:space="preserve">Consultation </w:t>
      </w:r>
      <w:r w:rsidR="005F54EC" w:rsidRPr="00B53420">
        <w:rPr>
          <w:sz w:val="22"/>
          <w:szCs w:val="22"/>
          <w:lang w:val="en-AU"/>
        </w:rPr>
        <w:t>and Development of Revised Standards</w:t>
      </w:r>
      <w:r w:rsidR="005F54EC" w:rsidRPr="005F54EC">
        <w:rPr>
          <w:sz w:val="22"/>
          <w:szCs w:val="22"/>
          <w:lang w:val="en-AU"/>
        </w:rPr>
        <w:t xml:space="preserve"> </w:t>
      </w:r>
      <w:r w:rsidRPr="00FF758F">
        <w:rPr>
          <w:sz w:val="22"/>
          <w:szCs w:val="22"/>
          <w:lang w:val="en-AU"/>
        </w:rPr>
        <w:t xml:space="preserve">by the </w:t>
      </w:r>
      <w:r w:rsidR="00CB1DBB" w:rsidRPr="00FF758F">
        <w:rPr>
          <w:sz w:val="22"/>
          <w:szCs w:val="22"/>
          <w:lang w:val="en-AU"/>
        </w:rPr>
        <w:t>Higher Education Standards Panel</w:t>
      </w:r>
    </w:p>
    <w:p w14:paraId="4C3331BE" w14:textId="77777777" w:rsidR="00CB1DBB" w:rsidRPr="0043112F" w:rsidRDefault="00CB1DBB" w:rsidP="00FF758F">
      <w:pPr>
        <w:jc w:val="left"/>
      </w:pPr>
    </w:p>
    <w:p w14:paraId="630835F7" w14:textId="6E326D06" w:rsidR="00CB1DBB" w:rsidRPr="0043112F" w:rsidRDefault="00CB1DBB" w:rsidP="00CB1DBB">
      <w:pPr>
        <w:jc w:val="left"/>
        <w:rPr>
          <w:rFonts w:cs="Arial"/>
          <w:color w:val="000000"/>
        </w:rPr>
      </w:pPr>
      <w:r w:rsidRPr="0043112F">
        <w:rPr>
          <w:rFonts w:cs="Arial"/>
          <w:color w:val="000000"/>
        </w:rPr>
        <w:t xml:space="preserve">The Panel was established at the end of 2011 and began to review the initial higher education standards in early 2012, as required by the </w:t>
      </w:r>
      <w:r w:rsidRPr="0043112F">
        <w:rPr>
          <w:rFonts w:cs="Arial"/>
          <w:i/>
          <w:color w:val="000000"/>
        </w:rPr>
        <w:t xml:space="preserve">Tertiary Education Quality and Standards Agency </w:t>
      </w:r>
      <w:r w:rsidR="00B070A0">
        <w:rPr>
          <w:rFonts w:cs="Arial"/>
          <w:i/>
          <w:color w:val="000000"/>
        </w:rPr>
        <w:t>(</w:t>
      </w:r>
      <w:r w:rsidRPr="0043112F">
        <w:rPr>
          <w:rFonts w:cs="Arial"/>
          <w:i/>
          <w:color w:val="000000"/>
        </w:rPr>
        <w:t>Consequential Amendments and Transitional Provisions</w:t>
      </w:r>
      <w:r w:rsidR="00B070A0">
        <w:rPr>
          <w:rFonts w:cs="Arial"/>
          <w:i/>
          <w:color w:val="000000"/>
        </w:rPr>
        <w:t>)</w:t>
      </w:r>
      <w:r w:rsidRPr="0043112F">
        <w:rPr>
          <w:rFonts w:cs="Arial"/>
          <w:i/>
          <w:color w:val="000000"/>
        </w:rPr>
        <w:t xml:space="preserve"> Act 2011</w:t>
      </w:r>
      <w:r w:rsidR="00FD7890" w:rsidRPr="00FD7890">
        <w:rPr>
          <w:rFonts w:cs="Arial"/>
          <w:color w:val="000000"/>
        </w:rPr>
        <w:t xml:space="preserve"> </w:t>
      </w:r>
      <w:r w:rsidR="00FD7890">
        <w:rPr>
          <w:rFonts w:cs="Arial"/>
          <w:color w:val="000000"/>
        </w:rPr>
        <w:t>(section 29)</w:t>
      </w:r>
      <w:r w:rsidRPr="0043112F">
        <w:rPr>
          <w:rFonts w:cs="Arial"/>
          <w:color w:val="000000"/>
        </w:rPr>
        <w:t>.</w:t>
      </w:r>
    </w:p>
    <w:p w14:paraId="4D0B2CCE" w14:textId="77777777" w:rsidR="00CB1DBB" w:rsidRPr="0043112F" w:rsidRDefault="00CB1DBB" w:rsidP="00CB1DBB">
      <w:pPr>
        <w:jc w:val="left"/>
        <w:rPr>
          <w:rFonts w:cs="Arial"/>
          <w:color w:val="000000"/>
        </w:rPr>
      </w:pPr>
    </w:p>
    <w:p w14:paraId="40C2C024" w14:textId="75A427BF" w:rsidR="00CB1DBB" w:rsidRPr="00D204F6" w:rsidRDefault="00CB1DBB" w:rsidP="00CB1DBB">
      <w:pPr>
        <w:contextualSpacing/>
        <w:jc w:val="left"/>
        <w:rPr>
          <w:rFonts w:cs="Arial"/>
        </w:rPr>
      </w:pPr>
      <w:r w:rsidRPr="00D204F6">
        <w:rPr>
          <w:rFonts w:cs="Arial"/>
        </w:rPr>
        <w:t xml:space="preserve">In reviewing the </w:t>
      </w:r>
      <w:r w:rsidR="003B6E91">
        <w:rPr>
          <w:rFonts w:cs="Arial"/>
        </w:rPr>
        <w:t>in</w:t>
      </w:r>
      <w:r w:rsidR="00E54F88">
        <w:rPr>
          <w:rFonts w:cs="Arial"/>
        </w:rPr>
        <w:t>itial</w:t>
      </w:r>
      <w:r w:rsidR="003B6E91">
        <w:rPr>
          <w:rFonts w:cs="Arial"/>
        </w:rPr>
        <w:t xml:space="preserve"> </w:t>
      </w:r>
      <w:r w:rsidRPr="00D204F6">
        <w:rPr>
          <w:rFonts w:cs="Arial"/>
        </w:rPr>
        <w:t>standards, the Panel consulted widely over almost three years – a transparent, iterative consultation process with the higher education sector and other stakeholders, including</w:t>
      </w:r>
      <w:r w:rsidR="00E54F88">
        <w:rPr>
          <w:rFonts w:cs="Arial"/>
        </w:rPr>
        <w:t xml:space="preserve"> state and territory governments and</w:t>
      </w:r>
      <w:r w:rsidRPr="00D204F6">
        <w:rPr>
          <w:rFonts w:cs="Arial"/>
        </w:rPr>
        <w:t xml:space="preserve"> the Commonwealth Department of Education and Training. This included over 100 meetings with and presentations to </w:t>
      </w:r>
      <w:r w:rsidR="00D204F6">
        <w:rPr>
          <w:rFonts w:cs="Arial"/>
        </w:rPr>
        <w:t>interested higher education providers and other stakeholders</w:t>
      </w:r>
      <w:r w:rsidRPr="00D204F6">
        <w:rPr>
          <w:rFonts w:cs="Arial"/>
        </w:rPr>
        <w:t xml:space="preserve">, 15 Panel Communiques </w:t>
      </w:r>
      <w:r w:rsidR="00D204F6">
        <w:rPr>
          <w:rFonts w:cs="Arial"/>
        </w:rPr>
        <w:t xml:space="preserve">distributed </w:t>
      </w:r>
      <w:r w:rsidRPr="00D204F6">
        <w:rPr>
          <w:rFonts w:cs="Arial"/>
        </w:rPr>
        <w:t>to a mailing list numbering approximately 1200</w:t>
      </w:r>
      <w:r w:rsidR="00D433D8" w:rsidRPr="00D204F6">
        <w:rPr>
          <w:rFonts w:cs="Arial"/>
        </w:rPr>
        <w:t xml:space="preserve">, </w:t>
      </w:r>
      <w:r w:rsidRPr="00D204F6">
        <w:rPr>
          <w:rFonts w:cs="Arial"/>
        </w:rPr>
        <w:t>three formal Calls for Comment that received a total of 230 written submissions</w:t>
      </w:r>
      <w:r w:rsidR="00D433D8" w:rsidRPr="00D204F6">
        <w:rPr>
          <w:rFonts w:cs="Arial"/>
        </w:rPr>
        <w:t xml:space="preserve"> and</w:t>
      </w:r>
      <w:r w:rsidR="00D204F6">
        <w:rPr>
          <w:rFonts w:cs="Arial"/>
        </w:rPr>
        <w:t>,</w:t>
      </w:r>
      <w:r w:rsidR="00D433D8" w:rsidRPr="00D204F6">
        <w:rPr>
          <w:rFonts w:cs="Arial"/>
        </w:rPr>
        <w:t xml:space="preserve"> finally</w:t>
      </w:r>
      <w:r w:rsidR="00D204F6">
        <w:rPr>
          <w:rFonts w:cs="Arial"/>
        </w:rPr>
        <w:t>,</w:t>
      </w:r>
      <w:r w:rsidR="00D433D8" w:rsidRPr="00D204F6">
        <w:rPr>
          <w:rFonts w:cs="Arial"/>
        </w:rPr>
        <w:t xml:space="preserve"> a public information session on the full proposed revised Standards</w:t>
      </w:r>
      <w:r w:rsidRPr="00D204F6">
        <w:rPr>
          <w:rFonts w:cs="Arial"/>
        </w:rPr>
        <w:t>.</w:t>
      </w:r>
    </w:p>
    <w:p w14:paraId="0A51EEBC" w14:textId="77777777" w:rsidR="00CB1DBB" w:rsidRPr="006A0A5D" w:rsidRDefault="00CB1DBB" w:rsidP="00CB1DBB">
      <w:pPr>
        <w:jc w:val="left"/>
        <w:rPr>
          <w:rFonts w:cs="Arial"/>
          <w:color w:val="000000"/>
        </w:rPr>
      </w:pPr>
    </w:p>
    <w:p w14:paraId="04406AFB" w14:textId="77777777" w:rsidR="00CB1DBB" w:rsidRPr="0043112F" w:rsidRDefault="00CB1DBB" w:rsidP="00CB1DBB">
      <w:pPr>
        <w:jc w:val="left"/>
        <w:rPr>
          <w:rFonts w:cs="Arial"/>
          <w:color w:val="000000"/>
        </w:rPr>
      </w:pPr>
      <w:r w:rsidRPr="0043112F">
        <w:rPr>
          <w:rFonts w:cs="Arial"/>
          <w:color w:val="000000"/>
        </w:rPr>
        <w:t xml:space="preserve">The Panel concluded that while the initial standards cover issues of corporate and academic governance, course accreditation and qualifications, they </w:t>
      </w:r>
      <w:r w:rsidR="00D204F6">
        <w:rPr>
          <w:rFonts w:cs="Arial"/>
          <w:color w:val="000000"/>
        </w:rPr>
        <w:t>do</w:t>
      </w:r>
      <w:r w:rsidR="00D204F6" w:rsidRPr="0043112F">
        <w:rPr>
          <w:rFonts w:cs="Arial"/>
          <w:color w:val="000000"/>
        </w:rPr>
        <w:t xml:space="preserve"> </w:t>
      </w:r>
      <w:r w:rsidRPr="0043112F">
        <w:rPr>
          <w:rFonts w:cs="Arial"/>
          <w:color w:val="000000"/>
        </w:rPr>
        <w:t xml:space="preserve">not provide </w:t>
      </w:r>
      <w:r w:rsidR="003F63A2">
        <w:rPr>
          <w:rFonts w:cs="Arial"/>
          <w:color w:val="000000"/>
        </w:rPr>
        <w:t xml:space="preserve">adequate </w:t>
      </w:r>
      <w:r w:rsidRPr="0043112F">
        <w:rPr>
          <w:rFonts w:cs="Arial"/>
          <w:color w:val="000000"/>
        </w:rPr>
        <w:t>assurance of the quality of higher education learning, teaching and research.</w:t>
      </w:r>
    </w:p>
    <w:p w14:paraId="3654DA01" w14:textId="77777777" w:rsidR="00CB1DBB" w:rsidRPr="0043112F" w:rsidRDefault="00CB1DBB" w:rsidP="00CB1DBB">
      <w:pPr>
        <w:jc w:val="left"/>
        <w:rPr>
          <w:rFonts w:cs="Arial"/>
          <w:color w:val="000000"/>
        </w:rPr>
      </w:pPr>
    </w:p>
    <w:p w14:paraId="703C2264" w14:textId="77777777" w:rsidR="00CB1DBB" w:rsidRPr="0043112F" w:rsidRDefault="00CB1DBB" w:rsidP="00CB1DBB">
      <w:pPr>
        <w:jc w:val="left"/>
        <w:rPr>
          <w:rFonts w:cs="Arial"/>
          <w:color w:val="000000"/>
        </w:rPr>
      </w:pPr>
      <w:r w:rsidRPr="0043112F">
        <w:rPr>
          <w:rFonts w:cs="Arial"/>
          <w:color w:val="000000"/>
        </w:rPr>
        <w:lastRenderedPageBreak/>
        <w:t xml:space="preserve">The Panel delivered advice on a revised </w:t>
      </w:r>
      <w:r w:rsidRPr="0043112F">
        <w:rPr>
          <w:rFonts w:cs="Arial"/>
        </w:rPr>
        <w:t>standards framework</w:t>
      </w:r>
      <w:r w:rsidRPr="0043112F" w:rsidDel="000064F4">
        <w:rPr>
          <w:rFonts w:cs="Arial"/>
          <w:color w:val="000000"/>
        </w:rPr>
        <w:t xml:space="preserve"> </w:t>
      </w:r>
      <w:r w:rsidRPr="0043112F">
        <w:rPr>
          <w:rFonts w:cs="Arial"/>
          <w:color w:val="000000"/>
        </w:rPr>
        <w:t>to the Minister for Education and Training on 19 December 2014. The Panel’s advice included revisions to almost all of the standards statements in the initial standards, along with additional standards on teaching and learning, research and information that had not been made in the initial standards.</w:t>
      </w:r>
    </w:p>
    <w:p w14:paraId="4E0041DA" w14:textId="77777777" w:rsidR="00CB1DBB" w:rsidRPr="0043112F" w:rsidRDefault="00CB1DBB" w:rsidP="00CB1DBB">
      <w:pPr>
        <w:tabs>
          <w:tab w:val="clear" w:pos="1134"/>
        </w:tabs>
        <w:jc w:val="left"/>
        <w:rPr>
          <w:rFonts w:cs="Arial"/>
        </w:rPr>
      </w:pPr>
    </w:p>
    <w:p w14:paraId="7AEB14D8" w14:textId="75D2975E" w:rsidR="00CB1DBB" w:rsidRPr="0043112F" w:rsidRDefault="00CB1DBB" w:rsidP="00CB1DBB">
      <w:pPr>
        <w:tabs>
          <w:tab w:val="clear" w:pos="1134"/>
        </w:tabs>
        <w:jc w:val="left"/>
        <w:rPr>
          <w:rFonts w:cs="Arial"/>
        </w:rPr>
      </w:pPr>
      <w:r w:rsidRPr="0043112F">
        <w:rPr>
          <w:rFonts w:cs="Arial"/>
        </w:rPr>
        <w:t xml:space="preserve">The revised standards framework </w:t>
      </w:r>
      <w:r w:rsidR="0059369D">
        <w:rPr>
          <w:rFonts w:cs="Arial"/>
        </w:rPr>
        <w:t xml:space="preserve">has been developed in accordance with the principles set out in the Australian Government Guide to Regulation. It </w:t>
      </w:r>
      <w:r w:rsidRPr="0043112F">
        <w:rPr>
          <w:rFonts w:cs="Arial"/>
        </w:rPr>
        <w:t>takes account of the Objects of the TEQSA Act (</w:t>
      </w:r>
      <w:r w:rsidR="005B2B0E">
        <w:rPr>
          <w:rFonts w:cs="Arial"/>
        </w:rPr>
        <w:t>s</w:t>
      </w:r>
      <w:r w:rsidRPr="0043112F">
        <w:rPr>
          <w:rFonts w:cs="Arial"/>
        </w:rPr>
        <w:t xml:space="preserve">ection 3). It </w:t>
      </w:r>
      <w:r w:rsidR="0059369D">
        <w:rPr>
          <w:rFonts w:cs="Arial"/>
        </w:rPr>
        <w:t xml:space="preserve">has been designed to facilitate </w:t>
      </w:r>
      <w:r w:rsidR="0059369D" w:rsidRPr="0043112F">
        <w:rPr>
          <w:rFonts w:cs="Arial"/>
        </w:rPr>
        <w:t>TEQSA</w:t>
      </w:r>
      <w:r w:rsidR="0059369D">
        <w:rPr>
          <w:rFonts w:cs="Arial"/>
        </w:rPr>
        <w:t xml:space="preserve">’s compliance with </w:t>
      </w:r>
      <w:r w:rsidRPr="0043112F">
        <w:rPr>
          <w:rFonts w:cs="Arial"/>
        </w:rPr>
        <w:t>the three Basic Principles for Regulation articulated in the TEQSA Act (</w:t>
      </w:r>
      <w:r w:rsidR="002F2A3A">
        <w:rPr>
          <w:rFonts w:cs="Arial"/>
        </w:rPr>
        <w:t>s</w:t>
      </w:r>
      <w:r w:rsidRPr="0043112F">
        <w:rPr>
          <w:rFonts w:cs="Arial"/>
        </w:rPr>
        <w:t>ection 13):</w:t>
      </w:r>
    </w:p>
    <w:p w14:paraId="278B9BB4" w14:textId="3595CB6A" w:rsidR="00CB1DBB" w:rsidRPr="0043112F" w:rsidRDefault="00CB1DBB" w:rsidP="0043112F">
      <w:pPr>
        <w:numPr>
          <w:ilvl w:val="0"/>
          <w:numId w:val="4"/>
        </w:numPr>
        <w:tabs>
          <w:tab w:val="clear" w:pos="1134"/>
        </w:tabs>
        <w:spacing w:before="120" w:after="120"/>
        <w:ind w:left="568" w:hanging="284"/>
        <w:jc w:val="left"/>
        <w:rPr>
          <w:rFonts w:cs="Arial"/>
          <w:lang w:val="en-AU"/>
        </w:rPr>
      </w:pPr>
      <w:r w:rsidRPr="0043112F">
        <w:rPr>
          <w:rFonts w:cs="Arial"/>
          <w:lang w:val="en-AU"/>
        </w:rPr>
        <w:t>the principle of regulatory necessity</w:t>
      </w:r>
    </w:p>
    <w:p w14:paraId="31E11E56" w14:textId="4EA9731B" w:rsidR="00CB1DBB" w:rsidRPr="0043112F" w:rsidRDefault="00CB1DBB" w:rsidP="0043112F">
      <w:pPr>
        <w:numPr>
          <w:ilvl w:val="0"/>
          <w:numId w:val="4"/>
        </w:numPr>
        <w:tabs>
          <w:tab w:val="clear" w:pos="1134"/>
        </w:tabs>
        <w:spacing w:before="120" w:after="120"/>
        <w:ind w:left="568" w:hanging="284"/>
        <w:jc w:val="left"/>
        <w:rPr>
          <w:rFonts w:cs="Arial"/>
          <w:lang w:val="en-AU"/>
        </w:rPr>
      </w:pPr>
      <w:r w:rsidRPr="0043112F">
        <w:rPr>
          <w:rFonts w:cs="Arial"/>
          <w:lang w:val="en-AU"/>
        </w:rPr>
        <w:t>the principle of reflecting risk, and</w:t>
      </w:r>
    </w:p>
    <w:p w14:paraId="245589D5" w14:textId="77777777" w:rsidR="00CB1DBB" w:rsidRPr="0043112F" w:rsidRDefault="00CB1DBB" w:rsidP="00FF758F">
      <w:pPr>
        <w:numPr>
          <w:ilvl w:val="0"/>
          <w:numId w:val="4"/>
        </w:numPr>
        <w:tabs>
          <w:tab w:val="clear" w:pos="1134"/>
        </w:tabs>
        <w:spacing w:before="120" w:after="120"/>
        <w:ind w:left="568" w:hanging="284"/>
        <w:jc w:val="left"/>
        <w:rPr>
          <w:rFonts w:cs="Arial"/>
          <w:lang w:val="en-AU"/>
        </w:rPr>
      </w:pPr>
      <w:r w:rsidRPr="0043112F">
        <w:rPr>
          <w:rFonts w:cs="Arial"/>
          <w:lang w:val="en-AU"/>
        </w:rPr>
        <w:t>the principle of proportionate regulation.</w:t>
      </w:r>
    </w:p>
    <w:p w14:paraId="0167077F" w14:textId="2B05E2AB" w:rsidR="00B15B41" w:rsidRPr="00C42CF9" w:rsidRDefault="00D020D1" w:rsidP="0019366A">
      <w:pPr>
        <w:tabs>
          <w:tab w:val="clear" w:pos="1134"/>
        </w:tabs>
        <w:jc w:val="left"/>
      </w:pPr>
      <w:r>
        <w:t>T</w:t>
      </w:r>
      <w:r w:rsidR="006A0A5D">
        <w:t xml:space="preserve">he revised framework has been structured to better align with the operational characteristics of a typical higher education provider. This is expected to make the </w:t>
      </w:r>
      <w:r w:rsidR="003B6E91">
        <w:t xml:space="preserve">various </w:t>
      </w:r>
      <w:r w:rsidR="006A0A5D">
        <w:t xml:space="preserve">standards easier to apply for the purposes of providers’ own internal monitoring, reporting and governance activities, as well as </w:t>
      </w:r>
      <w:r w:rsidR="002F2A3A">
        <w:t>for</w:t>
      </w:r>
      <w:r w:rsidR="006A0A5D">
        <w:t xml:space="preserve"> TEQSA’s regulatory processes. For example, some issues that may have been dealt with more than once in the initial framework – e.g. in both the </w:t>
      </w:r>
      <w:r w:rsidR="006A0A5D" w:rsidRPr="00C42CF9">
        <w:rPr>
          <w:i/>
        </w:rPr>
        <w:t>Provider Registration Standards</w:t>
      </w:r>
      <w:r w:rsidR="006A0A5D">
        <w:t xml:space="preserve"> and the </w:t>
      </w:r>
      <w:r w:rsidR="006A0A5D" w:rsidRPr="00C42CF9">
        <w:rPr>
          <w:i/>
        </w:rPr>
        <w:t>Provider Course Accreditation Standards</w:t>
      </w:r>
      <w:r w:rsidR="006A0A5D">
        <w:t xml:space="preserve"> – are covered only once in the revised framework.</w:t>
      </w:r>
    </w:p>
    <w:p w14:paraId="4C37C6DB" w14:textId="77777777" w:rsidR="0019366A" w:rsidRDefault="0019366A" w:rsidP="0019366A">
      <w:pPr>
        <w:tabs>
          <w:tab w:val="clear" w:pos="1134"/>
        </w:tabs>
        <w:jc w:val="left"/>
      </w:pPr>
    </w:p>
    <w:p w14:paraId="6A7399EF" w14:textId="77777777" w:rsidR="0019366A" w:rsidRDefault="0019366A" w:rsidP="0019366A">
      <w:pPr>
        <w:tabs>
          <w:tab w:val="clear" w:pos="1134"/>
        </w:tabs>
        <w:jc w:val="left"/>
      </w:pPr>
      <w:r>
        <w:t>As a result, it is expected that TEQSA will more readily be able to use internal reports and information produced during the normal course of providers’ business, or published on provider websites, as evidence when assessing compliance with the Standards. In turn, this will see a reduction, over time, in the red tape burden on higher education providers that is attributable to TEQSA’s administration of the Standards.</w:t>
      </w:r>
    </w:p>
    <w:p w14:paraId="542B3CEE" w14:textId="77777777" w:rsidR="00FD7890" w:rsidRDefault="00FD7890" w:rsidP="0019366A">
      <w:pPr>
        <w:tabs>
          <w:tab w:val="clear" w:pos="1134"/>
        </w:tabs>
        <w:jc w:val="left"/>
      </w:pPr>
    </w:p>
    <w:p w14:paraId="19CD5BFE" w14:textId="0A1DA373" w:rsidR="00FD7890" w:rsidRDefault="00FD7890" w:rsidP="0019366A">
      <w:pPr>
        <w:tabs>
          <w:tab w:val="clear" w:pos="1134"/>
        </w:tabs>
        <w:jc w:val="left"/>
      </w:pPr>
      <w:r>
        <w:t>As required</w:t>
      </w:r>
      <w:r w:rsidR="001A2B8E">
        <w:t xml:space="preserve">, </w:t>
      </w:r>
      <w:r>
        <w:t>the Minister has consulted with the COAG Education Council and with TEQSA about the draft Standards developed by the Panel. All state</w:t>
      </w:r>
      <w:r w:rsidR="00D4793C">
        <w:t>s</w:t>
      </w:r>
      <w:r>
        <w:t xml:space="preserve"> and territor</w:t>
      </w:r>
      <w:r w:rsidR="00D4793C">
        <w:t xml:space="preserve">ies </w:t>
      </w:r>
      <w:r>
        <w:t>and TEQSA endorsed the revised framework.</w:t>
      </w:r>
    </w:p>
    <w:p w14:paraId="0171B436" w14:textId="77777777" w:rsidR="006A0A5D" w:rsidRDefault="006A0A5D" w:rsidP="00FF758F">
      <w:pPr>
        <w:tabs>
          <w:tab w:val="clear" w:pos="1134"/>
        </w:tabs>
        <w:jc w:val="left"/>
      </w:pPr>
    </w:p>
    <w:p w14:paraId="021B3EAF" w14:textId="77777777" w:rsidR="0046331C" w:rsidRPr="0046331C" w:rsidRDefault="0046331C" w:rsidP="0046331C">
      <w:pPr>
        <w:pStyle w:val="Subheading"/>
        <w:jc w:val="left"/>
        <w:rPr>
          <w:sz w:val="22"/>
          <w:szCs w:val="22"/>
        </w:rPr>
      </w:pPr>
      <w:r w:rsidRPr="0046331C">
        <w:rPr>
          <w:sz w:val="22"/>
          <w:szCs w:val="22"/>
        </w:rPr>
        <w:t>Commencement</w:t>
      </w:r>
    </w:p>
    <w:p w14:paraId="6A406DFD" w14:textId="77777777" w:rsidR="0046331C" w:rsidRDefault="0046331C" w:rsidP="00FF758F">
      <w:pPr>
        <w:tabs>
          <w:tab w:val="clear" w:pos="1134"/>
        </w:tabs>
        <w:jc w:val="left"/>
      </w:pPr>
    </w:p>
    <w:p w14:paraId="44C86D21" w14:textId="77777777" w:rsidR="00345816" w:rsidRDefault="006A0A5D" w:rsidP="00FF758F">
      <w:pPr>
        <w:tabs>
          <w:tab w:val="clear" w:pos="1134"/>
        </w:tabs>
        <w:jc w:val="left"/>
      </w:pPr>
      <w:r>
        <w:t xml:space="preserve">Item 4 of the </w:t>
      </w:r>
      <w:r w:rsidR="00B30E7B">
        <w:t xml:space="preserve">legislative instrument </w:t>
      </w:r>
      <w:r>
        <w:t xml:space="preserve">specifies that the revised standards framework takes effect from </w:t>
      </w:r>
      <w:r w:rsidR="00B30E7B">
        <w:t xml:space="preserve">1 January 2017. </w:t>
      </w:r>
      <w:r>
        <w:t>A</w:t>
      </w:r>
      <w:r w:rsidR="00B30E7B">
        <w:t>ll applications for</w:t>
      </w:r>
      <w:r>
        <w:t xml:space="preserve"> higher education</w:t>
      </w:r>
      <w:r w:rsidR="00B30E7B">
        <w:t xml:space="preserve"> provider registration or reregistration and all applications for course accreditation or reaccreditation lodged on or after this date will be assessed against the revised standards framework. </w:t>
      </w:r>
    </w:p>
    <w:p w14:paraId="580F7323" w14:textId="77777777" w:rsidR="00345816" w:rsidRDefault="00345816" w:rsidP="00FF758F">
      <w:pPr>
        <w:tabs>
          <w:tab w:val="clear" w:pos="1134"/>
        </w:tabs>
        <w:jc w:val="left"/>
      </w:pPr>
    </w:p>
    <w:p w14:paraId="63C0F1FC" w14:textId="19250CDF" w:rsidR="003B6E91" w:rsidRDefault="003B6E91" w:rsidP="003B6E91">
      <w:pPr>
        <w:tabs>
          <w:tab w:val="clear" w:pos="1134"/>
        </w:tabs>
        <w:jc w:val="left"/>
      </w:pPr>
      <w:r>
        <w:t>The application and savings provision at Item 5 notes that TEQSA will continue to assess any registration</w:t>
      </w:r>
      <w:r w:rsidR="0085680C">
        <w:t>,</w:t>
      </w:r>
      <w:r>
        <w:t xml:space="preserve"> </w:t>
      </w:r>
      <w:r w:rsidR="00F12948">
        <w:t>reregistration</w:t>
      </w:r>
      <w:r w:rsidR="0085680C">
        <w:t>,</w:t>
      </w:r>
      <w:r>
        <w:t xml:space="preserve"> accreditation</w:t>
      </w:r>
      <w:r w:rsidR="00F12948">
        <w:t xml:space="preserve"> or reaccreditation</w:t>
      </w:r>
      <w:r>
        <w:t xml:space="preserve"> applications made before 1</w:t>
      </w:r>
      <w:r w:rsidR="0085680C">
        <w:t> </w:t>
      </w:r>
      <w:r>
        <w:t>January</w:t>
      </w:r>
      <w:r w:rsidR="0085680C">
        <w:t> </w:t>
      </w:r>
      <w:r>
        <w:t xml:space="preserve">2017 against the </w:t>
      </w:r>
      <w:r w:rsidR="001F4939">
        <w:t xml:space="preserve">requirements of </w:t>
      </w:r>
      <w:r>
        <w:t>the 2011 legislative instrument until a decision has been made.</w:t>
      </w:r>
    </w:p>
    <w:p w14:paraId="361D9D3F" w14:textId="77777777" w:rsidR="00D4793C" w:rsidRDefault="00D4793C" w:rsidP="001A2B8E">
      <w:pPr>
        <w:tabs>
          <w:tab w:val="clear" w:pos="1134"/>
        </w:tabs>
        <w:jc w:val="left"/>
      </w:pPr>
    </w:p>
    <w:p w14:paraId="29264DF5" w14:textId="77777777" w:rsidR="00D4793C" w:rsidRPr="0046331C" w:rsidRDefault="00D4793C" w:rsidP="001A2B8E">
      <w:pPr>
        <w:pStyle w:val="Subheading"/>
        <w:jc w:val="left"/>
        <w:rPr>
          <w:sz w:val="22"/>
          <w:szCs w:val="22"/>
        </w:rPr>
      </w:pPr>
      <w:r>
        <w:rPr>
          <w:sz w:val="22"/>
          <w:szCs w:val="22"/>
        </w:rPr>
        <w:t>Regulatory impact</w:t>
      </w:r>
    </w:p>
    <w:p w14:paraId="3D898233" w14:textId="77777777" w:rsidR="00D4793C" w:rsidRDefault="00D4793C" w:rsidP="001A2B8E">
      <w:pPr>
        <w:tabs>
          <w:tab w:val="clear" w:pos="1134"/>
        </w:tabs>
        <w:jc w:val="left"/>
      </w:pPr>
    </w:p>
    <w:p w14:paraId="5F54C255" w14:textId="61CCFEC6" w:rsidR="00D4793C" w:rsidRDefault="00D4793C" w:rsidP="001A2B8E">
      <w:pPr>
        <w:tabs>
          <w:tab w:val="clear" w:pos="1134"/>
        </w:tabs>
        <w:jc w:val="left"/>
      </w:pPr>
      <w:r>
        <w:t xml:space="preserve">The review of </w:t>
      </w:r>
      <w:r w:rsidRPr="0043112F">
        <w:rPr>
          <w:rFonts w:cs="Arial"/>
          <w:color w:val="000000"/>
        </w:rPr>
        <w:t xml:space="preserve">the initial higher education standards </w:t>
      </w:r>
      <w:r>
        <w:rPr>
          <w:rFonts w:cs="Arial"/>
          <w:color w:val="000000"/>
        </w:rPr>
        <w:t xml:space="preserve">undertaken </w:t>
      </w:r>
      <w:r>
        <w:t xml:space="preserve">by the Higher Education Standards Panel was certified as having followed a similar process to that required for a Regulation Impact Statement. The change in </w:t>
      </w:r>
      <w:r w:rsidRPr="00A942BA">
        <w:t xml:space="preserve">regulatory burden to business, community organisations </w:t>
      </w:r>
      <w:r>
        <w:t>and</w:t>
      </w:r>
      <w:r w:rsidRPr="00A942BA">
        <w:t xml:space="preserve"> individuals has been quantified using the Australian Government’s </w:t>
      </w:r>
      <w:r w:rsidRPr="00A942BA">
        <w:rPr>
          <w:i/>
        </w:rPr>
        <w:t>Regulatory Burden Measurement</w:t>
      </w:r>
      <w:r w:rsidRPr="00A942BA">
        <w:t xml:space="preserve"> framework.</w:t>
      </w:r>
    </w:p>
    <w:p w14:paraId="51B00E9F" w14:textId="77777777" w:rsidR="00D4793C" w:rsidRDefault="00D4793C" w:rsidP="001A2B8E">
      <w:pPr>
        <w:tabs>
          <w:tab w:val="clear" w:pos="1134"/>
        </w:tabs>
        <w:jc w:val="left"/>
      </w:pPr>
    </w:p>
    <w:p w14:paraId="15EBAA79" w14:textId="1056CCF9" w:rsidR="0095612A" w:rsidRPr="00EE584A" w:rsidRDefault="00D4793C" w:rsidP="00EE584A">
      <w:pPr>
        <w:tabs>
          <w:tab w:val="clear" w:pos="1134"/>
        </w:tabs>
        <w:jc w:val="left"/>
      </w:pPr>
      <w:r>
        <w:t xml:space="preserve">The Office of Best Practice Regulation has agreed that implementation of the </w:t>
      </w:r>
      <w:r w:rsidRPr="00FF758F">
        <w:rPr>
          <w:rFonts w:cs="Arial"/>
          <w:i/>
        </w:rPr>
        <w:t>Higher Education Standards Framework (Threshold Standards) 2015</w:t>
      </w:r>
      <w:r w:rsidRPr="0043112F">
        <w:rPr>
          <w:rFonts w:cs="Arial"/>
        </w:rPr>
        <w:t xml:space="preserve"> </w:t>
      </w:r>
      <w:r>
        <w:t>will deliver a net reduction in annual regulatory burden of $2.538 million (OBPR reference 17288).</w:t>
      </w:r>
      <w:r w:rsidR="0095612A">
        <w:br w:type="page"/>
      </w:r>
    </w:p>
    <w:p w14:paraId="0CF79B55" w14:textId="77777777" w:rsidR="00107CE2" w:rsidRPr="0043112F" w:rsidRDefault="00107CE2" w:rsidP="004402BD">
      <w:pPr>
        <w:pStyle w:val="Subheading"/>
        <w:jc w:val="left"/>
        <w:rPr>
          <w:sz w:val="22"/>
          <w:szCs w:val="22"/>
        </w:rPr>
      </w:pPr>
      <w:r w:rsidRPr="0043112F">
        <w:rPr>
          <w:sz w:val="22"/>
          <w:szCs w:val="22"/>
        </w:rPr>
        <w:lastRenderedPageBreak/>
        <w:t>Structure of the</w:t>
      </w:r>
      <w:r w:rsidR="004402BD" w:rsidRPr="0043112F">
        <w:rPr>
          <w:sz w:val="22"/>
          <w:szCs w:val="22"/>
        </w:rPr>
        <w:t xml:space="preserve"> revised </w:t>
      </w:r>
      <w:r w:rsidRPr="0043112F">
        <w:rPr>
          <w:i/>
          <w:sz w:val="22"/>
          <w:szCs w:val="22"/>
        </w:rPr>
        <w:t>Higher Education Standards Framework</w:t>
      </w:r>
    </w:p>
    <w:p w14:paraId="120EC846" w14:textId="77777777" w:rsidR="00107CE2" w:rsidRPr="0043112F" w:rsidRDefault="00107CE2" w:rsidP="0085533F">
      <w:pPr>
        <w:tabs>
          <w:tab w:val="clear" w:pos="1134"/>
        </w:tabs>
        <w:jc w:val="left"/>
      </w:pPr>
    </w:p>
    <w:p w14:paraId="5C25E857" w14:textId="77777777" w:rsidR="00107CE2" w:rsidRPr="0043112F" w:rsidRDefault="00107CE2" w:rsidP="004402BD">
      <w:pPr>
        <w:tabs>
          <w:tab w:val="clear" w:pos="1134"/>
        </w:tabs>
        <w:jc w:val="left"/>
        <w:rPr>
          <w:rFonts w:cs="Arial"/>
        </w:rPr>
      </w:pPr>
      <w:r w:rsidRPr="0043112F">
        <w:rPr>
          <w:rFonts w:cs="Arial"/>
        </w:rPr>
        <w:t xml:space="preserve">The </w:t>
      </w:r>
      <w:r w:rsidR="000064F4" w:rsidRPr="0043112F">
        <w:rPr>
          <w:rFonts w:cs="Arial"/>
        </w:rPr>
        <w:t>standards framework</w:t>
      </w:r>
      <w:r w:rsidR="000064F4" w:rsidRPr="0043112F" w:rsidDel="000064F4">
        <w:rPr>
          <w:rFonts w:cs="Arial"/>
        </w:rPr>
        <w:t xml:space="preserve"> </w:t>
      </w:r>
      <w:r w:rsidRPr="0043112F">
        <w:rPr>
          <w:rFonts w:cs="Arial"/>
        </w:rPr>
        <w:t>consists of t</w:t>
      </w:r>
      <w:r w:rsidR="00FE2667" w:rsidRPr="0043112F">
        <w:rPr>
          <w:rFonts w:cs="Arial"/>
        </w:rPr>
        <w:t>wo</w:t>
      </w:r>
      <w:r w:rsidRPr="0043112F">
        <w:rPr>
          <w:rFonts w:cs="Arial"/>
        </w:rPr>
        <w:t xml:space="preserve"> parts:</w:t>
      </w:r>
    </w:p>
    <w:p w14:paraId="354F3350" w14:textId="77777777" w:rsidR="00107CE2" w:rsidRPr="0043112F" w:rsidRDefault="00107CE2" w:rsidP="004402BD">
      <w:pPr>
        <w:tabs>
          <w:tab w:val="clear" w:pos="1134"/>
        </w:tabs>
        <w:jc w:val="left"/>
        <w:rPr>
          <w:rFonts w:cs="Arial"/>
        </w:rPr>
      </w:pPr>
    </w:p>
    <w:p w14:paraId="3A705882" w14:textId="77777777" w:rsidR="00107CE2" w:rsidRPr="0043112F" w:rsidRDefault="00107CE2" w:rsidP="004402BD">
      <w:pPr>
        <w:pStyle w:val="Subheading"/>
        <w:spacing w:after="120"/>
        <w:ind w:left="567"/>
        <w:jc w:val="left"/>
        <w:rPr>
          <w:sz w:val="22"/>
          <w:szCs w:val="22"/>
        </w:rPr>
      </w:pPr>
      <w:r w:rsidRPr="0043112F">
        <w:rPr>
          <w:sz w:val="22"/>
          <w:szCs w:val="22"/>
        </w:rPr>
        <w:t>Part A: Standards for Higher Education</w:t>
      </w:r>
    </w:p>
    <w:p w14:paraId="030041E8" w14:textId="66EE4BD6" w:rsidR="00107CE2" w:rsidRPr="0043112F" w:rsidRDefault="00D204F6" w:rsidP="004402BD">
      <w:pPr>
        <w:tabs>
          <w:tab w:val="clear" w:pos="1134"/>
        </w:tabs>
        <w:ind w:left="567"/>
        <w:jc w:val="left"/>
        <w:rPr>
          <w:rFonts w:cs="Arial"/>
          <w:lang w:val="en-AU"/>
        </w:rPr>
      </w:pPr>
      <w:r>
        <w:rPr>
          <w:rFonts w:cs="Arial"/>
        </w:rPr>
        <w:t xml:space="preserve">This </w:t>
      </w:r>
      <w:r w:rsidR="002F2A3A">
        <w:rPr>
          <w:rFonts w:cs="Arial"/>
        </w:rPr>
        <w:t>P</w:t>
      </w:r>
      <w:r>
        <w:rPr>
          <w:rFonts w:cs="Arial"/>
        </w:rPr>
        <w:t>art</w:t>
      </w:r>
      <w:r w:rsidR="00107CE2" w:rsidRPr="0043112F">
        <w:rPr>
          <w:rFonts w:cs="Arial"/>
        </w:rPr>
        <w:t xml:space="preserve"> </w:t>
      </w:r>
      <w:r>
        <w:rPr>
          <w:rFonts w:cs="Arial"/>
        </w:rPr>
        <w:t>sets out</w:t>
      </w:r>
      <w:r w:rsidR="00107CE2" w:rsidRPr="0043112F">
        <w:rPr>
          <w:rFonts w:cs="Arial"/>
          <w:lang w:val="en-AU"/>
        </w:rPr>
        <w:t xml:space="preserve"> the minimum acceptable requirements for the provision of higher education in or from Australia by higher education providers registered under the TEQSA Act.</w:t>
      </w:r>
    </w:p>
    <w:p w14:paraId="3BED0A1E" w14:textId="77777777" w:rsidR="004402BD" w:rsidRPr="0043112F" w:rsidRDefault="004402BD" w:rsidP="004402BD">
      <w:pPr>
        <w:tabs>
          <w:tab w:val="clear" w:pos="1134"/>
        </w:tabs>
        <w:ind w:left="567"/>
        <w:jc w:val="left"/>
        <w:rPr>
          <w:rFonts w:cs="Arial"/>
          <w:lang w:val="en-AU"/>
        </w:rPr>
      </w:pPr>
    </w:p>
    <w:p w14:paraId="0FA9FA85" w14:textId="77777777" w:rsidR="004402BD" w:rsidRPr="0043112F" w:rsidRDefault="000064F4" w:rsidP="00FF758F">
      <w:pPr>
        <w:tabs>
          <w:tab w:val="clear" w:pos="1134"/>
        </w:tabs>
        <w:ind w:left="567"/>
        <w:jc w:val="left"/>
        <w:rPr>
          <w:rFonts w:cs="Arial"/>
        </w:rPr>
      </w:pPr>
      <w:r w:rsidRPr="0043112F">
        <w:rPr>
          <w:rFonts w:cs="Arial"/>
        </w:rPr>
        <w:t>T</w:t>
      </w:r>
      <w:r w:rsidR="004402BD" w:rsidRPr="0043112F">
        <w:rPr>
          <w:rFonts w:cs="Arial"/>
        </w:rPr>
        <w:t>he Standards for Higher Education are organised into seven ‘Domains’:</w:t>
      </w:r>
    </w:p>
    <w:p w14:paraId="06FC6DBA" w14:textId="77777777" w:rsidR="000064F4" w:rsidRPr="0043112F" w:rsidRDefault="000064F4" w:rsidP="00FF758F">
      <w:pPr>
        <w:tabs>
          <w:tab w:val="clear" w:pos="1134"/>
        </w:tabs>
        <w:ind w:left="567"/>
        <w:jc w:val="left"/>
        <w:rPr>
          <w:rFonts w:cs="Arial"/>
        </w:rPr>
      </w:pPr>
    </w:p>
    <w:p w14:paraId="1D0A2EE5" w14:textId="77777777" w:rsidR="004402BD" w:rsidRPr="0043112F" w:rsidRDefault="005A2C03" w:rsidP="00FF758F">
      <w:pPr>
        <w:pStyle w:val="ListParagraph"/>
        <w:numPr>
          <w:ilvl w:val="0"/>
          <w:numId w:val="13"/>
        </w:numPr>
        <w:tabs>
          <w:tab w:val="clear" w:pos="1134"/>
        </w:tabs>
        <w:jc w:val="left"/>
        <w:rPr>
          <w:rFonts w:cs="Arial"/>
        </w:rPr>
      </w:pPr>
      <w:hyperlink w:anchor="Domain1" w:history="1">
        <w:r w:rsidR="004402BD" w:rsidRPr="0043112F">
          <w:rPr>
            <w:rFonts w:cs="Arial"/>
          </w:rPr>
          <w:t>Student Participation and Attainment</w:t>
        </w:r>
      </w:hyperlink>
      <w:r w:rsidR="004402BD" w:rsidRPr="0043112F">
        <w:rPr>
          <w:rFonts w:cs="Arial"/>
        </w:rPr>
        <w:t xml:space="preserve"> </w:t>
      </w:r>
    </w:p>
    <w:p w14:paraId="2AB5D51E" w14:textId="77777777" w:rsidR="004402BD" w:rsidRPr="0043112F" w:rsidRDefault="005A2C03" w:rsidP="00FF758F">
      <w:pPr>
        <w:pStyle w:val="ListParagraph"/>
        <w:numPr>
          <w:ilvl w:val="0"/>
          <w:numId w:val="13"/>
        </w:numPr>
        <w:tabs>
          <w:tab w:val="clear" w:pos="1134"/>
        </w:tabs>
        <w:jc w:val="left"/>
        <w:rPr>
          <w:rFonts w:cs="Arial"/>
        </w:rPr>
      </w:pPr>
      <w:hyperlink w:anchor="Domain2" w:history="1">
        <w:r w:rsidR="004402BD" w:rsidRPr="0043112F">
          <w:rPr>
            <w:rFonts w:cs="Arial"/>
          </w:rPr>
          <w:t>Learning Environment</w:t>
        </w:r>
      </w:hyperlink>
    </w:p>
    <w:p w14:paraId="1CBDB625" w14:textId="77777777" w:rsidR="004402BD" w:rsidRPr="0043112F" w:rsidRDefault="005A2C03" w:rsidP="00FF758F">
      <w:pPr>
        <w:pStyle w:val="ListParagraph"/>
        <w:numPr>
          <w:ilvl w:val="0"/>
          <w:numId w:val="13"/>
        </w:numPr>
        <w:tabs>
          <w:tab w:val="clear" w:pos="1134"/>
        </w:tabs>
        <w:jc w:val="left"/>
        <w:rPr>
          <w:rFonts w:cs="Arial"/>
        </w:rPr>
      </w:pPr>
      <w:hyperlink w:anchor="Domain3" w:history="1">
        <w:r w:rsidR="004402BD" w:rsidRPr="0043112F">
          <w:rPr>
            <w:rFonts w:cs="Arial"/>
          </w:rPr>
          <w:t>Teaching</w:t>
        </w:r>
      </w:hyperlink>
      <w:r w:rsidR="004402BD" w:rsidRPr="0043112F">
        <w:rPr>
          <w:rFonts w:cs="Arial"/>
        </w:rPr>
        <w:t xml:space="preserve"> </w:t>
      </w:r>
    </w:p>
    <w:p w14:paraId="35015F8A" w14:textId="77777777" w:rsidR="004402BD" w:rsidRPr="0043112F" w:rsidRDefault="005A2C03" w:rsidP="00FF758F">
      <w:pPr>
        <w:pStyle w:val="ListParagraph"/>
        <w:numPr>
          <w:ilvl w:val="0"/>
          <w:numId w:val="13"/>
        </w:numPr>
        <w:tabs>
          <w:tab w:val="clear" w:pos="1134"/>
        </w:tabs>
        <w:jc w:val="left"/>
        <w:rPr>
          <w:rFonts w:cs="Arial"/>
        </w:rPr>
      </w:pPr>
      <w:hyperlink w:anchor="Domain4" w:history="1">
        <w:r w:rsidR="004402BD" w:rsidRPr="0043112F">
          <w:rPr>
            <w:rFonts w:cs="Arial"/>
          </w:rPr>
          <w:t>Research and Research Training</w:t>
        </w:r>
      </w:hyperlink>
    </w:p>
    <w:p w14:paraId="10BB1085" w14:textId="77777777" w:rsidR="004402BD" w:rsidRPr="0043112F" w:rsidRDefault="005A2C03" w:rsidP="00FF758F">
      <w:pPr>
        <w:pStyle w:val="ListParagraph"/>
        <w:numPr>
          <w:ilvl w:val="0"/>
          <w:numId w:val="13"/>
        </w:numPr>
        <w:tabs>
          <w:tab w:val="clear" w:pos="1134"/>
        </w:tabs>
        <w:jc w:val="left"/>
        <w:rPr>
          <w:rFonts w:cs="Arial"/>
        </w:rPr>
      </w:pPr>
      <w:hyperlink w:anchor="Domain5" w:history="1">
        <w:r w:rsidR="004402BD" w:rsidRPr="0043112F">
          <w:rPr>
            <w:rFonts w:cs="Arial"/>
          </w:rPr>
          <w:t>Institutional Quality Assurance</w:t>
        </w:r>
      </w:hyperlink>
    </w:p>
    <w:p w14:paraId="73757A8E" w14:textId="77777777" w:rsidR="004402BD" w:rsidRPr="0043112F" w:rsidRDefault="005A2C03" w:rsidP="00FF758F">
      <w:pPr>
        <w:pStyle w:val="ListParagraph"/>
        <w:numPr>
          <w:ilvl w:val="0"/>
          <w:numId w:val="13"/>
        </w:numPr>
        <w:tabs>
          <w:tab w:val="clear" w:pos="1134"/>
        </w:tabs>
        <w:jc w:val="left"/>
        <w:rPr>
          <w:rFonts w:cs="Arial"/>
        </w:rPr>
      </w:pPr>
      <w:hyperlink w:anchor="Domain6" w:history="1">
        <w:r w:rsidR="004402BD" w:rsidRPr="0043112F">
          <w:rPr>
            <w:rFonts w:cs="Arial"/>
          </w:rPr>
          <w:t>Governance</w:t>
        </w:r>
      </w:hyperlink>
      <w:r w:rsidR="004402BD" w:rsidRPr="0043112F">
        <w:rPr>
          <w:rFonts w:cs="Arial"/>
        </w:rPr>
        <w:t xml:space="preserve"> and Accountability </w:t>
      </w:r>
    </w:p>
    <w:p w14:paraId="7CEB9B49" w14:textId="77777777" w:rsidR="004402BD" w:rsidRPr="0043112F" w:rsidRDefault="005A2C03" w:rsidP="00FF758F">
      <w:pPr>
        <w:pStyle w:val="ListParagraph"/>
        <w:numPr>
          <w:ilvl w:val="0"/>
          <w:numId w:val="13"/>
        </w:numPr>
        <w:tabs>
          <w:tab w:val="clear" w:pos="1134"/>
        </w:tabs>
        <w:jc w:val="left"/>
        <w:rPr>
          <w:rFonts w:cs="Arial"/>
        </w:rPr>
      </w:pPr>
      <w:hyperlink w:anchor="Domain7" w:history="1">
        <w:r w:rsidR="004402BD" w:rsidRPr="0043112F">
          <w:rPr>
            <w:rFonts w:cs="Arial"/>
          </w:rPr>
          <w:t>Representation, Information and Information Management</w:t>
        </w:r>
      </w:hyperlink>
    </w:p>
    <w:p w14:paraId="75B1298A" w14:textId="77777777" w:rsidR="00107CE2" w:rsidRPr="0043112F" w:rsidRDefault="00107CE2" w:rsidP="004402BD">
      <w:pPr>
        <w:tabs>
          <w:tab w:val="clear" w:pos="1134"/>
        </w:tabs>
        <w:ind w:left="567"/>
        <w:jc w:val="left"/>
        <w:rPr>
          <w:rFonts w:cs="Arial"/>
          <w:i/>
          <w:lang w:val="en-AU"/>
        </w:rPr>
      </w:pPr>
    </w:p>
    <w:p w14:paraId="2893943C" w14:textId="77777777" w:rsidR="00107CE2" w:rsidRPr="0043112F" w:rsidRDefault="00107CE2" w:rsidP="004402BD">
      <w:pPr>
        <w:pStyle w:val="Subheading"/>
        <w:spacing w:after="120"/>
        <w:ind w:left="567"/>
        <w:jc w:val="left"/>
        <w:rPr>
          <w:sz w:val="22"/>
          <w:szCs w:val="22"/>
        </w:rPr>
      </w:pPr>
      <w:r w:rsidRPr="0043112F">
        <w:rPr>
          <w:sz w:val="22"/>
          <w:szCs w:val="22"/>
        </w:rPr>
        <w:t>Part B: Criteria for Higher Education Providers</w:t>
      </w:r>
    </w:p>
    <w:p w14:paraId="6BF38FF4" w14:textId="21701A46" w:rsidR="00D5599E" w:rsidRPr="00D5599E" w:rsidRDefault="00D5599E" w:rsidP="0095612A">
      <w:pPr>
        <w:tabs>
          <w:tab w:val="clear" w:pos="1134"/>
        </w:tabs>
        <w:ind w:left="1316" w:hanging="364"/>
        <w:jc w:val="left"/>
      </w:pPr>
      <w:bookmarkStart w:id="1" w:name="_Toc418684298"/>
      <w:bookmarkStart w:id="2" w:name="_Toc418696597"/>
      <w:r w:rsidRPr="00D5599E">
        <w:rPr>
          <w:rFonts w:cs="Arial"/>
        </w:rPr>
        <w:t>B</w:t>
      </w:r>
      <w:r w:rsidR="003B266D">
        <w:rPr>
          <w:rFonts w:cs="Arial"/>
        </w:rPr>
        <w:t>1</w:t>
      </w:r>
      <w:r w:rsidRPr="00D5599E">
        <w:rPr>
          <w:rFonts w:cs="Arial"/>
        </w:rPr>
        <w:t>:</w:t>
      </w:r>
      <w:r w:rsidRPr="00D5599E">
        <w:rPr>
          <w:rFonts w:cs="Arial"/>
        </w:rPr>
        <w:tab/>
        <w:t>Classification of Higher Education Provider Categories</w:t>
      </w:r>
      <w:bookmarkEnd w:id="1"/>
      <w:bookmarkEnd w:id="2"/>
    </w:p>
    <w:p w14:paraId="79E6789A" w14:textId="64ACB1D0" w:rsidR="00D5599E" w:rsidRDefault="00D5599E" w:rsidP="0095612A">
      <w:pPr>
        <w:tabs>
          <w:tab w:val="clear" w:pos="1134"/>
        </w:tabs>
        <w:ind w:left="1316" w:hanging="364"/>
        <w:jc w:val="left"/>
        <w:rPr>
          <w:rFonts w:cs="Arial"/>
        </w:rPr>
      </w:pPr>
      <w:bookmarkStart w:id="3" w:name="_Toc418684299"/>
      <w:bookmarkStart w:id="4" w:name="_Toc418696598"/>
      <w:r w:rsidRPr="00D5599E">
        <w:rPr>
          <w:rFonts w:cs="Arial"/>
        </w:rPr>
        <w:t>B</w:t>
      </w:r>
      <w:r w:rsidR="003B266D">
        <w:rPr>
          <w:rFonts w:cs="Arial"/>
        </w:rPr>
        <w:t>2</w:t>
      </w:r>
      <w:r w:rsidRPr="00D5599E">
        <w:rPr>
          <w:rFonts w:cs="Arial"/>
        </w:rPr>
        <w:t>:</w:t>
      </w:r>
      <w:r w:rsidRPr="00D5599E">
        <w:rPr>
          <w:rFonts w:cs="Arial"/>
        </w:rPr>
        <w:tab/>
        <w:t>Seeking Authority for Self-Accreditation of Courses of Study</w:t>
      </w:r>
      <w:bookmarkEnd w:id="3"/>
      <w:bookmarkEnd w:id="4"/>
    </w:p>
    <w:p w14:paraId="19AD9A9E" w14:textId="77777777" w:rsidR="005B2B0E" w:rsidRDefault="005B2B0E" w:rsidP="004402BD">
      <w:pPr>
        <w:jc w:val="left"/>
        <w:rPr>
          <w:rFonts w:cs="Arial"/>
          <w:lang w:val="en-AU"/>
        </w:rPr>
      </w:pPr>
    </w:p>
    <w:p w14:paraId="012DE497" w14:textId="77777777" w:rsidR="001F4939" w:rsidRPr="0043112F" w:rsidRDefault="001F4939" w:rsidP="001F4939">
      <w:pPr>
        <w:jc w:val="left"/>
        <w:rPr>
          <w:rFonts w:cs="Arial"/>
          <w:lang w:val="en-AU"/>
        </w:rPr>
      </w:pPr>
      <w:r w:rsidRPr="0043112F">
        <w:rPr>
          <w:rFonts w:cs="Arial"/>
          <w:lang w:val="en-AU"/>
        </w:rPr>
        <w:t>Each ‘Domain’ of the Standards is segmented into ‘</w:t>
      </w:r>
      <w:r>
        <w:rPr>
          <w:rFonts w:cs="Arial"/>
          <w:lang w:val="en-AU"/>
        </w:rPr>
        <w:t>s</w:t>
      </w:r>
      <w:r w:rsidRPr="0043112F">
        <w:rPr>
          <w:rFonts w:cs="Arial"/>
          <w:lang w:val="en-AU"/>
        </w:rPr>
        <w:t xml:space="preserve">ections’ and these sections in turn contain a number of ‘Standards Statements’. These </w:t>
      </w:r>
      <w:r>
        <w:rPr>
          <w:rFonts w:cs="Arial"/>
          <w:lang w:val="en-AU"/>
        </w:rPr>
        <w:t>s</w:t>
      </w:r>
      <w:r w:rsidRPr="0043112F">
        <w:rPr>
          <w:rFonts w:cs="Arial"/>
          <w:lang w:val="en-AU"/>
        </w:rPr>
        <w:t>tatements are the actual ‘</w:t>
      </w:r>
      <w:r>
        <w:rPr>
          <w:rFonts w:cs="Arial"/>
          <w:lang w:val="en-AU"/>
        </w:rPr>
        <w:t>S</w:t>
      </w:r>
      <w:r w:rsidRPr="0043112F">
        <w:rPr>
          <w:rFonts w:cs="Arial"/>
          <w:lang w:val="en-AU"/>
        </w:rPr>
        <w:t>tandards’; the headings of the domains and sections are</w:t>
      </w:r>
      <w:r>
        <w:rPr>
          <w:rFonts w:cs="Arial"/>
          <w:lang w:val="en-AU"/>
        </w:rPr>
        <w:t xml:space="preserve"> to assist in navigating the document</w:t>
      </w:r>
      <w:r w:rsidRPr="0043112F">
        <w:rPr>
          <w:rFonts w:cs="Arial"/>
          <w:lang w:val="en-AU"/>
        </w:rPr>
        <w:t xml:space="preserve"> only.</w:t>
      </w:r>
    </w:p>
    <w:p w14:paraId="58A716F2" w14:textId="77777777" w:rsidR="001F4939" w:rsidRPr="00102B2D" w:rsidRDefault="001F4939" w:rsidP="001F4939">
      <w:pPr>
        <w:jc w:val="left"/>
        <w:rPr>
          <w:rFonts w:cs="Arial"/>
          <w:lang w:val="en-AU"/>
        </w:rPr>
      </w:pPr>
    </w:p>
    <w:p w14:paraId="34115DD1" w14:textId="77777777" w:rsidR="00763E1F" w:rsidRPr="0043112F" w:rsidRDefault="00107CE2" w:rsidP="004402BD">
      <w:pPr>
        <w:jc w:val="left"/>
        <w:rPr>
          <w:rFonts w:cs="Arial"/>
          <w:lang w:val="en-AU"/>
        </w:rPr>
      </w:pPr>
      <w:r w:rsidRPr="0043112F">
        <w:rPr>
          <w:rFonts w:cs="Arial"/>
          <w:lang w:val="en-AU"/>
        </w:rPr>
        <w:t xml:space="preserve">The first Domain </w:t>
      </w:r>
      <w:r w:rsidR="00201B90">
        <w:rPr>
          <w:rFonts w:cs="Arial"/>
          <w:lang w:val="en-AU"/>
        </w:rPr>
        <w:t xml:space="preserve">of Part A </w:t>
      </w:r>
      <w:r w:rsidRPr="0043112F">
        <w:rPr>
          <w:rFonts w:cs="Arial"/>
          <w:lang w:val="en-AU"/>
        </w:rPr>
        <w:t xml:space="preserve">(Student Participation and Attainment) covers the education-related experiences of students from admission through to attainment of a certified qualification(s) (or part thereof). </w:t>
      </w:r>
    </w:p>
    <w:p w14:paraId="1948DA2B" w14:textId="2A750D72" w:rsidR="00107CE2" w:rsidRPr="0043112F" w:rsidRDefault="00107CE2" w:rsidP="00FF758F">
      <w:pPr>
        <w:numPr>
          <w:ilvl w:val="0"/>
          <w:numId w:val="4"/>
        </w:numPr>
        <w:tabs>
          <w:tab w:val="clear" w:pos="1134"/>
        </w:tabs>
        <w:spacing w:before="120" w:after="120"/>
        <w:ind w:left="568" w:hanging="284"/>
        <w:jc w:val="left"/>
        <w:rPr>
          <w:rFonts w:cs="Arial"/>
          <w:lang w:val="en-AU"/>
        </w:rPr>
      </w:pPr>
      <w:r w:rsidRPr="0043112F">
        <w:rPr>
          <w:rFonts w:cs="Arial"/>
          <w:lang w:val="en-AU"/>
        </w:rPr>
        <w:t xml:space="preserve">The Standards </w:t>
      </w:r>
      <w:r w:rsidR="00763E1F" w:rsidRPr="0043112F">
        <w:rPr>
          <w:rFonts w:cs="Arial"/>
          <w:lang w:val="en-AU"/>
        </w:rPr>
        <w:t xml:space="preserve">in this </w:t>
      </w:r>
      <w:r w:rsidR="00CF1610" w:rsidRPr="0043112F">
        <w:rPr>
          <w:rFonts w:cs="Arial"/>
          <w:lang w:val="en-AU"/>
        </w:rPr>
        <w:t>D</w:t>
      </w:r>
      <w:r w:rsidR="00763E1F" w:rsidRPr="0043112F">
        <w:rPr>
          <w:rFonts w:cs="Arial"/>
          <w:lang w:val="en-AU"/>
        </w:rPr>
        <w:t xml:space="preserve">omain </w:t>
      </w:r>
      <w:r w:rsidRPr="0043112F">
        <w:rPr>
          <w:rFonts w:cs="Arial"/>
          <w:lang w:val="en-AU"/>
        </w:rPr>
        <w:t xml:space="preserve">focus primarily on a course of study, but they apply equally to the completion of </w:t>
      </w:r>
      <w:r w:rsidRPr="00FF758F">
        <w:rPr>
          <w:rFonts w:cs="Arial"/>
          <w:lang w:val="en-AU"/>
        </w:rPr>
        <w:t>units</w:t>
      </w:r>
      <w:r w:rsidRPr="0043112F">
        <w:rPr>
          <w:rFonts w:cs="Arial"/>
          <w:lang w:val="en-AU"/>
        </w:rPr>
        <w:t xml:space="preserve"> of study.</w:t>
      </w:r>
    </w:p>
    <w:p w14:paraId="13689795" w14:textId="77777777" w:rsidR="00763E1F" w:rsidRPr="0043112F" w:rsidRDefault="0038454B" w:rsidP="004402BD">
      <w:pPr>
        <w:jc w:val="left"/>
        <w:rPr>
          <w:rFonts w:cs="Arial"/>
          <w:lang w:val="en-AU"/>
        </w:rPr>
      </w:pPr>
      <w:r>
        <w:rPr>
          <w:rFonts w:cs="Arial"/>
          <w:lang w:val="en-AU"/>
        </w:rPr>
        <w:t xml:space="preserve">The </w:t>
      </w:r>
      <w:r w:rsidR="00D204F6">
        <w:rPr>
          <w:rFonts w:cs="Arial"/>
          <w:lang w:val="en-AU"/>
        </w:rPr>
        <w:t>remainder of the</w:t>
      </w:r>
      <w:r>
        <w:rPr>
          <w:rFonts w:cs="Arial"/>
          <w:lang w:val="en-AU"/>
        </w:rPr>
        <w:t xml:space="preserve"> </w:t>
      </w:r>
      <w:r w:rsidR="00107CE2" w:rsidRPr="0043112F">
        <w:rPr>
          <w:rFonts w:cs="Arial"/>
          <w:lang w:val="en-AU"/>
        </w:rPr>
        <w:t xml:space="preserve">Domains focus on the actions taken by the higher education provider to achieve the educational outcomes expected for students. </w:t>
      </w:r>
    </w:p>
    <w:p w14:paraId="2E8BEB73" w14:textId="77777777" w:rsidR="00763E1F" w:rsidRPr="0043112F" w:rsidRDefault="00107CE2" w:rsidP="00FF758F">
      <w:pPr>
        <w:numPr>
          <w:ilvl w:val="0"/>
          <w:numId w:val="4"/>
        </w:numPr>
        <w:tabs>
          <w:tab w:val="clear" w:pos="1134"/>
        </w:tabs>
        <w:spacing w:before="120" w:after="120"/>
        <w:ind w:left="568" w:hanging="284"/>
        <w:jc w:val="left"/>
        <w:rPr>
          <w:rFonts w:cs="Arial"/>
          <w:lang w:val="en-AU"/>
        </w:rPr>
      </w:pPr>
      <w:r w:rsidRPr="0043112F">
        <w:rPr>
          <w:rFonts w:cs="Arial"/>
          <w:lang w:val="en-AU"/>
        </w:rPr>
        <w:t>The second Domain (Learning Environment) focuses on the nature and quality of the learning environment provided, whether physical, on or off campus, virtual or blended.</w:t>
      </w:r>
    </w:p>
    <w:p w14:paraId="48D456B8" w14:textId="1D28348F" w:rsidR="00107CE2" w:rsidRPr="0043112F" w:rsidRDefault="00107CE2" w:rsidP="00FF758F">
      <w:pPr>
        <w:numPr>
          <w:ilvl w:val="0"/>
          <w:numId w:val="4"/>
        </w:numPr>
        <w:tabs>
          <w:tab w:val="clear" w:pos="1134"/>
        </w:tabs>
        <w:spacing w:before="120" w:after="120"/>
        <w:ind w:left="568" w:hanging="284"/>
        <w:jc w:val="left"/>
        <w:rPr>
          <w:rFonts w:cs="Arial"/>
          <w:lang w:val="en-AU"/>
        </w:rPr>
      </w:pPr>
      <w:r w:rsidRPr="0043112F">
        <w:rPr>
          <w:rFonts w:cs="Arial"/>
          <w:lang w:val="en-AU"/>
        </w:rPr>
        <w:t xml:space="preserve">The Standards for Teaching and for Research and Research Training (Domains 3 </w:t>
      </w:r>
      <w:r w:rsidR="005B2B0E">
        <w:rPr>
          <w:rFonts w:cs="Arial"/>
          <w:lang w:val="en-AU"/>
        </w:rPr>
        <w:t>and</w:t>
      </w:r>
      <w:r w:rsidRPr="0043112F">
        <w:rPr>
          <w:rFonts w:cs="Arial"/>
          <w:lang w:val="en-AU"/>
        </w:rPr>
        <w:t xml:space="preserve"> 4) focus on the academic activities of the higher education provider that guide and facilitate learning and, in the case of </w:t>
      </w:r>
      <w:r w:rsidR="00415AA8" w:rsidRPr="00FF758F">
        <w:t>research</w:t>
      </w:r>
      <w:r w:rsidRPr="0043112F">
        <w:rPr>
          <w:rFonts w:cs="Arial"/>
          <w:lang w:val="en-AU"/>
        </w:rPr>
        <w:t xml:space="preserve"> and </w:t>
      </w:r>
      <w:r w:rsidR="00415AA8" w:rsidRPr="00FF758F">
        <w:t>research training</w:t>
      </w:r>
      <w:r w:rsidRPr="0043112F">
        <w:rPr>
          <w:rFonts w:cs="Arial"/>
          <w:lang w:val="en-AU"/>
        </w:rPr>
        <w:t>, contribute to new knowledge.</w:t>
      </w:r>
    </w:p>
    <w:p w14:paraId="150FB6AD" w14:textId="17BD9182" w:rsidR="00763E1F" w:rsidRPr="0043112F" w:rsidRDefault="00107CE2" w:rsidP="00FF758F">
      <w:pPr>
        <w:numPr>
          <w:ilvl w:val="0"/>
          <w:numId w:val="4"/>
        </w:numPr>
        <w:tabs>
          <w:tab w:val="clear" w:pos="1134"/>
        </w:tabs>
        <w:spacing w:before="120" w:after="120"/>
        <w:ind w:left="568" w:hanging="284"/>
        <w:jc w:val="left"/>
        <w:rPr>
          <w:rFonts w:cs="Arial"/>
          <w:lang w:val="en-AU"/>
        </w:rPr>
      </w:pPr>
      <w:r w:rsidRPr="0043112F">
        <w:rPr>
          <w:rFonts w:cs="Arial"/>
          <w:lang w:val="en-AU"/>
        </w:rPr>
        <w:t xml:space="preserve">Domains 5 </w:t>
      </w:r>
      <w:r w:rsidR="00B46797">
        <w:rPr>
          <w:rFonts w:cs="Arial"/>
          <w:lang w:val="en-AU"/>
        </w:rPr>
        <w:t xml:space="preserve">(Institutional Quality Assurance) </w:t>
      </w:r>
      <w:r w:rsidRPr="0043112F">
        <w:rPr>
          <w:rFonts w:cs="Arial"/>
          <w:lang w:val="en-AU"/>
        </w:rPr>
        <w:t>and 6</w:t>
      </w:r>
      <w:r w:rsidR="00E54F88">
        <w:rPr>
          <w:rFonts w:cs="Arial"/>
          <w:lang w:val="en-AU"/>
        </w:rPr>
        <w:t>;</w:t>
      </w:r>
      <w:r w:rsidR="00B46797">
        <w:rPr>
          <w:rFonts w:cs="Arial"/>
          <w:lang w:val="en-AU"/>
        </w:rPr>
        <w:t>(</w:t>
      </w:r>
      <w:r w:rsidR="002F2A3A">
        <w:rPr>
          <w:rFonts w:cs="Arial"/>
          <w:lang w:val="en-AU"/>
        </w:rPr>
        <w:t xml:space="preserve">Governance and Accountability) </w:t>
      </w:r>
      <w:r w:rsidRPr="0043112F">
        <w:rPr>
          <w:rFonts w:cs="Arial"/>
          <w:lang w:val="en-AU"/>
        </w:rPr>
        <w:t xml:space="preserve">focus on the mechanisms that are established by the higher education provider to assure itself of the quality of the higher education it provides and maintain effective governance of its operations (both </w:t>
      </w:r>
      <w:r w:rsidR="00E54F88">
        <w:rPr>
          <w:rFonts w:cs="Arial"/>
          <w:lang w:val="en-AU"/>
        </w:rPr>
        <w:t>a</w:t>
      </w:r>
      <w:r w:rsidRPr="0043112F">
        <w:rPr>
          <w:rFonts w:cs="Arial"/>
          <w:lang w:val="en-AU"/>
        </w:rPr>
        <w:t xml:space="preserve">cademic and </w:t>
      </w:r>
      <w:r w:rsidR="00E54F88">
        <w:rPr>
          <w:rFonts w:cs="Arial"/>
          <w:lang w:val="en-AU"/>
        </w:rPr>
        <w:t>c</w:t>
      </w:r>
      <w:r w:rsidRPr="0043112F">
        <w:rPr>
          <w:rFonts w:cs="Arial"/>
          <w:lang w:val="en-AU"/>
        </w:rPr>
        <w:t xml:space="preserve">orporate </w:t>
      </w:r>
      <w:r w:rsidR="00E54F88">
        <w:rPr>
          <w:rFonts w:cs="Arial"/>
          <w:lang w:val="en-AU"/>
        </w:rPr>
        <w:t>g</w:t>
      </w:r>
      <w:r w:rsidRPr="0043112F">
        <w:rPr>
          <w:rFonts w:cs="Arial"/>
          <w:lang w:val="en-AU"/>
        </w:rPr>
        <w:t>overnance).</w:t>
      </w:r>
    </w:p>
    <w:p w14:paraId="16DFB88F" w14:textId="77777777" w:rsidR="00107CE2" w:rsidRPr="00E640EF" w:rsidRDefault="00107CE2" w:rsidP="00E640EF">
      <w:pPr>
        <w:numPr>
          <w:ilvl w:val="0"/>
          <w:numId w:val="4"/>
        </w:numPr>
        <w:tabs>
          <w:tab w:val="clear" w:pos="1134"/>
        </w:tabs>
        <w:spacing w:before="120" w:after="120"/>
        <w:ind w:left="568" w:hanging="284"/>
        <w:jc w:val="left"/>
        <w:rPr>
          <w:rFonts w:cs="Arial"/>
          <w:lang w:val="en-AU"/>
        </w:rPr>
      </w:pPr>
      <w:r w:rsidRPr="0043112F">
        <w:rPr>
          <w:rFonts w:cs="Arial"/>
          <w:lang w:val="en-AU"/>
        </w:rPr>
        <w:t xml:space="preserve">The final Domain (Representation, Information and Information Management) encompasses the higher education provider’s representation of itself to prospective </w:t>
      </w:r>
      <w:r w:rsidR="00E640EF">
        <w:rPr>
          <w:rFonts w:cs="Arial"/>
          <w:lang w:val="en-AU"/>
        </w:rPr>
        <w:t>studen</w:t>
      </w:r>
      <w:r w:rsidRPr="00E640EF">
        <w:rPr>
          <w:rFonts w:cs="Arial"/>
          <w:lang w:val="en-AU"/>
        </w:rPr>
        <w:t>ts and others, the provision of information to prospective and enrolled students to enable informed participation in their educational experience, and the information management systems that support the higher education provider’s higher education operations.</w:t>
      </w:r>
    </w:p>
    <w:p w14:paraId="1FB7F1C9" w14:textId="2C53F6CE" w:rsidR="00715F8F" w:rsidRPr="0043112F" w:rsidRDefault="00715F8F" w:rsidP="00715F8F">
      <w:pPr>
        <w:tabs>
          <w:tab w:val="clear" w:pos="1134"/>
        </w:tabs>
        <w:jc w:val="left"/>
        <w:rPr>
          <w:rFonts w:cs="Arial"/>
        </w:rPr>
      </w:pPr>
      <w:r w:rsidRPr="0043112F">
        <w:rPr>
          <w:rFonts w:cs="Arial"/>
        </w:rPr>
        <w:lastRenderedPageBreak/>
        <w:t xml:space="preserve">The criteria </w:t>
      </w:r>
      <w:r>
        <w:rPr>
          <w:rFonts w:cs="Arial"/>
        </w:rPr>
        <w:t xml:space="preserve">in Part B </w:t>
      </w:r>
      <w:r w:rsidR="001165F5">
        <w:rPr>
          <w:rFonts w:cs="Arial"/>
        </w:rPr>
        <w:t>are relevant to particular types of higher education providers</w:t>
      </w:r>
      <w:r w:rsidRPr="0043112F">
        <w:rPr>
          <w:rFonts w:cs="Arial"/>
        </w:rPr>
        <w:t xml:space="preserve">, including </w:t>
      </w:r>
      <w:r w:rsidR="00D61330">
        <w:rPr>
          <w:rFonts w:cs="Arial"/>
        </w:rPr>
        <w:t xml:space="preserve">classification as a “university” and </w:t>
      </w:r>
      <w:r w:rsidRPr="0043112F">
        <w:rPr>
          <w:rFonts w:cs="Arial"/>
        </w:rPr>
        <w:t xml:space="preserve">providers </w:t>
      </w:r>
      <w:r w:rsidR="00D61330">
        <w:rPr>
          <w:rFonts w:cs="Arial"/>
        </w:rPr>
        <w:t>seeking</w:t>
      </w:r>
      <w:r w:rsidR="001165F5">
        <w:rPr>
          <w:rFonts w:cs="Arial"/>
        </w:rPr>
        <w:t xml:space="preserve"> authority to</w:t>
      </w:r>
      <w:r w:rsidRPr="0043112F">
        <w:rPr>
          <w:rFonts w:cs="Arial"/>
        </w:rPr>
        <w:t xml:space="preserve"> </w:t>
      </w:r>
      <w:r w:rsidRPr="00FF758F">
        <w:t>self-accredit</w:t>
      </w:r>
      <w:r w:rsidRPr="0043112F">
        <w:rPr>
          <w:rFonts w:cs="Arial"/>
        </w:rPr>
        <w:t xml:space="preserve"> a </w:t>
      </w:r>
      <w:r w:rsidRPr="00FF758F">
        <w:t>course(s) of study</w:t>
      </w:r>
      <w:r w:rsidRPr="0043112F">
        <w:rPr>
          <w:rFonts w:cs="Arial"/>
        </w:rPr>
        <w:t xml:space="preserve"> </w:t>
      </w:r>
      <w:r w:rsidR="00D61330" w:rsidRPr="0043112F">
        <w:rPr>
          <w:rFonts w:cs="Arial"/>
        </w:rPr>
        <w:t xml:space="preserve">that </w:t>
      </w:r>
      <w:r w:rsidR="00C93B8A">
        <w:rPr>
          <w:rFonts w:cs="Arial"/>
        </w:rPr>
        <w:t>they</w:t>
      </w:r>
      <w:r w:rsidR="00C93B8A" w:rsidRPr="0043112F">
        <w:rPr>
          <w:rFonts w:cs="Arial"/>
        </w:rPr>
        <w:t xml:space="preserve"> </w:t>
      </w:r>
      <w:r w:rsidRPr="0043112F">
        <w:rPr>
          <w:rFonts w:cs="Arial"/>
        </w:rPr>
        <w:t>deliver.</w:t>
      </w:r>
    </w:p>
    <w:p w14:paraId="6EC36975" w14:textId="77777777" w:rsidR="00715F8F" w:rsidRPr="0043112F" w:rsidRDefault="00715F8F" w:rsidP="00715F8F">
      <w:pPr>
        <w:tabs>
          <w:tab w:val="clear" w:pos="1134"/>
        </w:tabs>
        <w:jc w:val="left"/>
        <w:rPr>
          <w:rFonts w:cs="Arial"/>
          <w:lang w:val="en-AU"/>
        </w:rPr>
      </w:pPr>
    </w:p>
    <w:p w14:paraId="59B1AB9B" w14:textId="77777777" w:rsidR="00715F8F" w:rsidRDefault="00715F8F" w:rsidP="00715F8F">
      <w:pPr>
        <w:tabs>
          <w:tab w:val="clear" w:pos="1134"/>
        </w:tabs>
        <w:jc w:val="left"/>
        <w:rPr>
          <w:rFonts w:cs="Arial"/>
        </w:rPr>
      </w:pPr>
      <w:r w:rsidRPr="00FF758F">
        <w:rPr>
          <w:rFonts w:cs="Arial"/>
        </w:rPr>
        <w:t xml:space="preserve">The </w:t>
      </w:r>
      <w:r w:rsidRPr="0043112F">
        <w:rPr>
          <w:rFonts w:cs="Arial"/>
        </w:rPr>
        <w:t>standards framework</w:t>
      </w:r>
      <w:r w:rsidRPr="0043112F" w:rsidDel="000064F4">
        <w:rPr>
          <w:rFonts w:cs="Arial"/>
        </w:rPr>
        <w:t xml:space="preserve"> </w:t>
      </w:r>
      <w:r w:rsidRPr="00FF758F">
        <w:rPr>
          <w:rFonts w:cs="Arial"/>
        </w:rPr>
        <w:t xml:space="preserve">incorporates the education-related elements of the </w:t>
      </w:r>
      <w:r w:rsidRPr="00FF758F">
        <w:rPr>
          <w:rFonts w:cs="Arial"/>
          <w:i/>
        </w:rPr>
        <w:t>National Code of Practice for Providers of Education and Training to Overseas Students 2007</w:t>
      </w:r>
      <w:r w:rsidRPr="00FF758F">
        <w:rPr>
          <w:rFonts w:cs="Arial"/>
        </w:rPr>
        <w:t xml:space="preserve"> (established under the </w:t>
      </w:r>
      <w:r w:rsidRPr="00FF758F">
        <w:rPr>
          <w:rFonts w:cs="Arial"/>
          <w:i/>
        </w:rPr>
        <w:t>Education Services for Overseas Students Act 2000</w:t>
      </w:r>
      <w:r w:rsidRPr="00FF758F">
        <w:rPr>
          <w:rFonts w:cs="Arial"/>
        </w:rPr>
        <w:t>).</w:t>
      </w:r>
    </w:p>
    <w:p w14:paraId="10114E20" w14:textId="77777777" w:rsidR="00715F8F" w:rsidRPr="00FF758F" w:rsidRDefault="00715F8F" w:rsidP="00715F8F">
      <w:pPr>
        <w:tabs>
          <w:tab w:val="clear" w:pos="1134"/>
        </w:tabs>
        <w:jc w:val="left"/>
        <w:rPr>
          <w:rFonts w:cs="Arial"/>
        </w:rPr>
      </w:pPr>
    </w:p>
    <w:p w14:paraId="02EEDBEC" w14:textId="77777777" w:rsidR="00107CE2" w:rsidRPr="0043112F" w:rsidRDefault="00107CE2" w:rsidP="004402BD">
      <w:pPr>
        <w:jc w:val="left"/>
        <w:rPr>
          <w:rFonts w:cs="Arial"/>
          <w:lang w:val="en-AU"/>
        </w:rPr>
      </w:pPr>
      <w:r w:rsidRPr="0043112F">
        <w:rPr>
          <w:rFonts w:cs="Arial"/>
          <w:lang w:val="en-AU"/>
        </w:rPr>
        <w:t xml:space="preserve">The Standards do not seek to encompass all areas of all providers’ activities, </w:t>
      </w:r>
      <w:r w:rsidR="00BB79EF">
        <w:t>such as a provider’s engagement with its alumni</w:t>
      </w:r>
      <w:r w:rsidRPr="0043112F">
        <w:rPr>
          <w:rFonts w:cs="Arial"/>
          <w:lang w:val="en-AU"/>
        </w:rPr>
        <w:t xml:space="preserve">. Nor do the Standards seek to directly </w:t>
      </w:r>
      <w:r w:rsidR="00715F8F" w:rsidRPr="0043112F">
        <w:rPr>
          <w:rFonts w:cs="Arial"/>
          <w:lang w:val="en-AU"/>
        </w:rPr>
        <w:t xml:space="preserve">address </w:t>
      </w:r>
      <w:r w:rsidRPr="0043112F">
        <w:rPr>
          <w:rFonts w:cs="Arial"/>
          <w:lang w:val="en-AU"/>
        </w:rPr>
        <w:t>some aspects of the experience of students that are not realistically under the control of the provider, such as long-term career outcomes.</w:t>
      </w:r>
    </w:p>
    <w:p w14:paraId="2077AC5A" w14:textId="77777777" w:rsidR="00107CE2" w:rsidRPr="00442624" w:rsidRDefault="00107CE2" w:rsidP="00442624">
      <w:pPr>
        <w:jc w:val="left"/>
        <w:rPr>
          <w:rFonts w:cs="Arial"/>
          <w:lang w:val="en-AU"/>
        </w:rPr>
      </w:pPr>
    </w:p>
    <w:p w14:paraId="1BECC5CD" w14:textId="181F06B5" w:rsidR="00DB79A1" w:rsidRPr="00102B2D" w:rsidRDefault="00DB79A1" w:rsidP="00102B2D">
      <w:pPr>
        <w:jc w:val="left"/>
        <w:rPr>
          <w:rFonts w:cs="Arial"/>
          <w:lang w:val="en-AU"/>
        </w:rPr>
      </w:pPr>
      <w:r w:rsidRPr="00102B2D">
        <w:rPr>
          <w:rFonts w:cs="Arial"/>
          <w:lang w:val="en-AU"/>
        </w:rPr>
        <w:t xml:space="preserve">The Panel estimated that around half of the revised </w:t>
      </w:r>
      <w:r w:rsidR="002F2A3A">
        <w:rPr>
          <w:rFonts w:cs="Arial"/>
          <w:lang w:val="en-AU"/>
        </w:rPr>
        <w:t>S</w:t>
      </w:r>
      <w:r w:rsidRPr="00102B2D">
        <w:rPr>
          <w:rFonts w:cs="Arial"/>
          <w:lang w:val="en-AU"/>
        </w:rPr>
        <w:t xml:space="preserve">tandards are the result of re-writing or editing the existing standards. Around a quarter result </w:t>
      </w:r>
      <w:r w:rsidR="00072E57">
        <w:rPr>
          <w:rFonts w:cs="Arial"/>
          <w:lang w:val="en-AU"/>
        </w:rPr>
        <w:t xml:space="preserve">from </w:t>
      </w:r>
      <w:r w:rsidRPr="00102B2D">
        <w:rPr>
          <w:rFonts w:cs="Arial"/>
          <w:lang w:val="en-AU"/>
        </w:rPr>
        <w:t xml:space="preserve">aligning the </w:t>
      </w:r>
      <w:r w:rsidR="002F2A3A">
        <w:rPr>
          <w:rFonts w:cs="Arial"/>
          <w:lang w:val="en-AU"/>
        </w:rPr>
        <w:t>S</w:t>
      </w:r>
      <w:r w:rsidRPr="00102B2D">
        <w:rPr>
          <w:rFonts w:cs="Arial"/>
          <w:lang w:val="en-AU"/>
        </w:rPr>
        <w:t xml:space="preserve">tandards with the requirements of the </w:t>
      </w:r>
      <w:r w:rsidRPr="00102B2D">
        <w:rPr>
          <w:rFonts w:cs="Arial"/>
          <w:i/>
          <w:lang w:val="en-AU"/>
        </w:rPr>
        <w:t>National Code of Practice for Providers of Education and Training to Overseas Students</w:t>
      </w:r>
      <w:r w:rsidRPr="00102B2D">
        <w:rPr>
          <w:rFonts w:cs="Arial"/>
          <w:lang w:val="en-AU"/>
        </w:rPr>
        <w:t xml:space="preserve">. </w:t>
      </w:r>
      <w:r w:rsidR="00072E57">
        <w:rPr>
          <w:rFonts w:cs="Arial"/>
          <w:lang w:val="en-AU"/>
        </w:rPr>
        <w:t xml:space="preserve">The remainder </w:t>
      </w:r>
      <w:r w:rsidRPr="00102B2D">
        <w:rPr>
          <w:rFonts w:cs="Arial"/>
          <w:lang w:val="en-AU"/>
        </w:rPr>
        <w:t xml:space="preserve">are new, covering the </w:t>
      </w:r>
      <w:r w:rsidR="00072E57">
        <w:rPr>
          <w:rFonts w:cs="Arial"/>
          <w:lang w:val="en-AU"/>
        </w:rPr>
        <w:t xml:space="preserve">previously </w:t>
      </w:r>
      <w:r w:rsidRPr="00102B2D">
        <w:rPr>
          <w:rFonts w:cs="Arial"/>
          <w:lang w:val="en-AU"/>
        </w:rPr>
        <w:t xml:space="preserve">mooted but </w:t>
      </w:r>
      <w:r w:rsidR="00072E57">
        <w:rPr>
          <w:rFonts w:cs="Arial"/>
          <w:lang w:val="en-AU"/>
        </w:rPr>
        <w:t>un</w:t>
      </w:r>
      <w:r w:rsidRPr="00102B2D">
        <w:rPr>
          <w:rFonts w:cs="Arial"/>
          <w:lang w:val="en-AU"/>
        </w:rPr>
        <w:t>defined standards relating to learning, teaching, research and information management.</w:t>
      </w:r>
    </w:p>
    <w:p w14:paraId="656D1AFE" w14:textId="77777777" w:rsidR="00715F8F" w:rsidRPr="00102B2D" w:rsidRDefault="00715F8F" w:rsidP="00102B2D">
      <w:pPr>
        <w:jc w:val="left"/>
        <w:rPr>
          <w:rFonts w:cs="Arial"/>
          <w:lang w:val="en-AU"/>
        </w:rPr>
      </w:pPr>
    </w:p>
    <w:p w14:paraId="06FC8985" w14:textId="73833DF7" w:rsidR="00D4793C" w:rsidRDefault="00D4793C" w:rsidP="006E2E78">
      <w:pPr>
        <w:pStyle w:val="Subheading"/>
        <w:jc w:val="left"/>
        <w:rPr>
          <w:sz w:val="22"/>
          <w:szCs w:val="22"/>
        </w:rPr>
      </w:pPr>
      <w:r>
        <w:rPr>
          <w:sz w:val="22"/>
          <w:szCs w:val="22"/>
        </w:rPr>
        <w:t>Definitions</w:t>
      </w:r>
    </w:p>
    <w:p w14:paraId="21346E96" w14:textId="77777777" w:rsidR="00D4793C" w:rsidRDefault="00D4793C" w:rsidP="00EE584A">
      <w:pPr>
        <w:jc w:val="left"/>
        <w:rPr>
          <w:lang w:val="en-AU"/>
        </w:rPr>
      </w:pPr>
    </w:p>
    <w:p w14:paraId="49B245AD" w14:textId="5D5F6B5D" w:rsidR="00D4793C" w:rsidRDefault="00D4793C" w:rsidP="00EE584A">
      <w:pPr>
        <w:jc w:val="left"/>
        <w:rPr>
          <w:lang w:val="en-AU"/>
        </w:rPr>
      </w:pPr>
      <w:r>
        <w:rPr>
          <w:rFonts w:cs="Arial"/>
          <w:lang w:val="en-AU"/>
        </w:rPr>
        <w:t xml:space="preserve">Definitions are provided for the term </w:t>
      </w:r>
      <w:r w:rsidR="00431940">
        <w:rPr>
          <w:rFonts w:cs="Arial"/>
          <w:lang w:val="en-AU"/>
        </w:rPr>
        <w:t>“</w:t>
      </w:r>
      <w:r>
        <w:rPr>
          <w:rFonts w:cs="Arial"/>
          <w:lang w:val="en-AU"/>
        </w:rPr>
        <w:t>Higher Education Qualification</w:t>
      </w:r>
      <w:r w:rsidR="00431940">
        <w:rPr>
          <w:rFonts w:cs="Arial"/>
          <w:lang w:val="en-AU"/>
        </w:rPr>
        <w:t>”</w:t>
      </w:r>
      <w:r>
        <w:rPr>
          <w:rFonts w:cs="Arial"/>
          <w:lang w:val="en-AU"/>
        </w:rPr>
        <w:t xml:space="preserve"> and the two related terms </w:t>
      </w:r>
      <w:r w:rsidR="00431940">
        <w:rPr>
          <w:rFonts w:cs="Arial"/>
          <w:lang w:val="en-AU"/>
        </w:rPr>
        <w:t>“</w:t>
      </w:r>
      <w:r>
        <w:rPr>
          <w:rFonts w:cs="Arial"/>
          <w:lang w:val="en-AU"/>
        </w:rPr>
        <w:t>Australian Higher Education Qualification</w:t>
      </w:r>
      <w:r w:rsidR="00431940">
        <w:rPr>
          <w:rFonts w:cs="Arial"/>
          <w:lang w:val="en-AU"/>
        </w:rPr>
        <w:t>”</w:t>
      </w:r>
      <w:r>
        <w:rPr>
          <w:rFonts w:cs="Arial"/>
          <w:lang w:val="en-AU"/>
        </w:rPr>
        <w:t xml:space="preserve"> and </w:t>
      </w:r>
      <w:r w:rsidR="00431940">
        <w:rPr>
          <w:rFonts w:cs="Arial"/>
          <w:lang w:val="en-AU"/>
        </w:rPr>
        <w:t>“</w:t>
      </w:r>
      <w:r>
        <w:rPr>
          <w:rFonts w:cs="Arial"/>
          <w:lang w:val="en-AU"/>
        </w:rPr>
        <w:t xml:space="preserve">Overseas </w:t>
      </w:r>
      <w:r w:rsidR="00431940">
        <w:rPr>
          <w:rFonts w:cs="Arial"/>
          <w:lang w:val="en-AU"/>
        </w:rPr>
        <w:t>H</w:t>
      </w:r>
      <w:r>
        <w:rPr>
          <w:rFonts w:cs="Arial"/>
          <w:lang w:val="en-AU"/>
        </w:rPr>
        <w:t>igher Education Qualification</w:t>
      </w:r>
      <w:r w:rsidR="00431940">
        <w:rPr>
          <w:rFonts w:cs="Arial"/>
          <w:lang w:val="en-AU"/>
        </w:rPr>
        <w:t>”</w:t>
      </w:r>
      <w:r>
        <w:rPr>
          <w:rFonts w:cs="Arial"/>
          <w:lang w:val="en-AU"/>
        </w:rPr>
        <w:t xml:space="preserve">. These draw on the definition of </w:t>
      </w:r>
      <w:r w:rsidR="00431940">
        <w:rPr>
          <w:rFonts w:cs="Arial"/>
          <w:lang w:val="en-AU"/>
        </w:rPr>
        <w:t>“</w:t>
      </w:r>
      <w:r>
        <w:rPr>
          <w:rFonts w:cs="Arial"/>
          <w:lang w:val="en-AU"/>
        </w:rPr>
        <w:t>Higher Education Award</w:t>
      </w:r>
      <w:r w:rsidR="00431940">
        <w:rPr>
          <w:rFonts w:cs="Arial"/>
          <w:lang w:val="en-AU"/>
        </w:rPr>
        <w:t>”</w:t>
      </w:r>
      <w:r>
        <w:rPr>
          <w:rFonts w:cs="Arial"/>
          <w:lang w:val="en-AU"/>
        </w:rPr>
        <w:t xml:space="preserve"> </w:t>
      </w:r>
      <w:r w:rsidR="00431940">
        <w:rPr>
          <w:rFonts w:cs="Arial"/>
          <w:lang w:val="en-AU"/>
        </w:rPr>
        <w:t xml:space="preserve">and its derivatives </w:t>
      </w:r>
      <w:r>
        <w:rPr>
          <w:rFonts w:cs="Arial"/>
          <w:lang w:val="en-AU"/>
        </w:rPr>
        <w:t xml:space="preserve">in </w:t>
      </w:r>
      <w:r w:rsidR="00431940">
        <w:rPr>
          <w:rFonts w:cs="Arial"/>
          <w:lang w:val="en-AU"/>
        </w:rPr>
        <w:t xml:space="preserve">section 5 of </w:t>
      </w:r>
      <w:r>
        <w:rPr>
          <w:rFonts w:cs="Arial"/>
          <w:lang w:val="en-AU"/>
        </w:rPr>
        <w:t>the TEQSA Act</w:t>
      </w:r>
      <w:r w:rsidR="00431940">
        <w:rPr>
          <w:rFonts w:cs="Arial"/>
          <w:lang w:val="en-AU"/>
        </w:rPr>
        <w:t xml:space="preserve">. The Standards, however, adopt the ‘qualification’ terminology of the </w:t>
      </w:r>
      <w:r w:rsidR="00431940" w:rsidRPr="00EE584A">
        <w:rPr>
          <w:rFonts w:cs="Arial"/>
          <w:i/>
          <w:lang w:val="en-AU"/>
        </w:rPr>
        <w:t>Australian Qualifications Framework</w:t>
      </w:r>
      <w:r w:rsidR="00431940">
        <w:rPr>
          <w:rFonts w:cs="Arial"/>
          <w:lang w:val="en-AU"/>
        </w:rPr>
        <w:t>. Table 2 is intended to make explicitly clear to the casual reader the types of qualifications encompassed within higher education, which the Standards relate to.</w:t>
      </w:r>
    </w:p>
    <w:p w14:paraId="5727CB19" w14:textId="77777777" w:rsidR="00D4793C" w:rsidRPr="00EE584A" w:rsidRDefault="00D4793C" w:rsidP="00EE584A">
      <w:pPr>
        <w:jc w:val="left"/>
        <w:rPr>
          <w:lang w:val="en-AU"/>
        </w:rPr>
      </w:pPr>
    </w:p>
    <w:p w14:paraId="25B17417" w14:textId="77777777" w:rsidR="006E2E78" w:rsidRPr="0043112F" w:rsidRDefault="006E2E78" w:rsidP="006E2E78">
      <w:pPr>
        <w:pStyle w:val="Subheading"/>
        <w:jc w:val="left"/>
        <w:rPr>
          <w:sz w:val="22"/>
          <w:szCs w:val="22"/>
        </w:rPr>
      </w:pPr>
      <w:r>
        <w:rPr>
          <w:sz w:val="22"/>
          <w:szCs w:val="22"/>
        </w:rPr>
        <w:t>Content</w:t>
      </w:r>
      <w:r w:rsidRPr="0043112F">
        <w:rPr>
          <w:sz w:val="22"/>
          <w:szCs w:val="22"/>
        </w:rPr>
        <w:t xml:space="preserve"> of the Standards</w:t>
      </w:r>
    </w:p>
    <w:p w14:paraId="23BF6CD3" w14:textId="77777777" w:rsidR="006E2E78" w:rsidRPr="00A8284D" w:rsidRDefault="006E2E78" w:rsidP="00A8284D">
      <w:pPr>
        <w:jc w:val="left"/>
        <w:rPr>
          <w:rFonts w:cs="Arial"/>
          <w:lang w:val="en-AU"/>
        </w:rPr>
      </w:pPr>
    </w:p>
    <w:p w14:paraId="01BEA5A9" w14:textId="77777777" w:rsidR="00DB79A1" w:rsidRPr="00102B2D" w:rsidRDefault="005A5307" w:rsidP="002E52E4">
      <w:pPr>
        <w:keepNext/>
        <w:jc w:val="left"/>
        <w:rPr>
          <w:rFonts w:cs="Arial"/>
          <w:lang w:val="en-AU"/>
        </w:rPr>
      </w:pPr>
      <w:r>
        <w:rPr>
          <w:rFonts w:cs="Arial"/>
          <w:lang w:val="en-AU"/>
        </w:rPr>
        <w:t xml:space="preserve">Domain </w:t>
      </w:r>
      <w:r w:rsidR="00DB79A1" w:rsidRPr="00102B2D">
        <w:rPr>
          <w:rFonts w:cs="Arial"/>
          <w:lang w:val="en-AU"/>
        </w:rPr>
        <w:t>1</w:t>
      </w:r>
      <w:r>
        <w:rPr>
          <w:rFonts w:cs="Arial"/>
          <w:lang w:val="en-AU"/>
        </w:rPr>
        <w:t xml:space="preserve">: </w:t>
      </w:r>
      <w:r w:rsidR="00DB79A1" w:rsidRPr="00102B2D">
        <w:rPr>
          <w:rFonts w:cs="Arial"/>
          <w:lang w:val="en-AU"/>
        </w:rPr>
        <w:t>Student Participation and Attainment</w:t>
      </w:r>
    </w:p>
    <w:p w14:paraId="09E5F10E" w14:textId="77777777" w:rsidR="005A5307" w:rsidRPr="005A5307" w:rsidRDefault="00AA262C" w:rsidP="00102B2D">
      <w:pPr>
        <w:numPr>
          <w:ilvl w:val="0"/>
          <w:numId w:val="4"/>
        </w:numPr>
        <w:tabs>
          <w:tab w:val="clear" w:pos="1134"/>
        </w:tabs>
        <w:spacing w:before="120" w:after="120"/>
        <w:ind w:left="568" w:hanging="284"/>
        <w:jc w:val="left"/>
        <w:rPr>
          <w:rFonts w:cs="Arial"/>
          <w:lang w:val="en-AU"/>
        </w:rPr>
      </w:pPr>
      <w:r>
        <w:rPr>
          <w:rFonts w:cs="Arial"/>
          <w:lang w:val="en-AU"/>
        </w:rPr>
        <w:t>Section</w:t>
      </w:r>
      <w:r w:rsidR="005A5307" w:rsidRPr="005A5307">
        <w:rPr>
          <w:rFonts w:cs="Arial"/>
          <w:lang w:val="en-AU"/>
        </w:rPr>
        <w:t xml:space="preserve"> 1.1 – Admission – </w:t>
      </w:r>
      <w:r w:rsidR="00DB79A1" w:rsidRPr="00102B2D">
        <w:rPr>
          <w:rFonts w:cs="Arial"/>
          <w:lang w:val="en-AU"/>
        </w:rPr>
        <w:t>covers</w:t>
      </w:r>
      <w:r w:rsidR="005A5307" w:rsidRPr="005A5307">
        <w:rPr>
          <w:rFonts w:cs="Arial"/>
          <w:lang w:val="en-AU"/>
        </w:rPr>
        <w:t xml:space="preserve"> </w:t>
      </w:r>
      <w:r w:rsidR="00DB79A1" w:rsidRPr="00102B2D">
        <w:rPr>
          <w:rFonts w:cs="Arial"/>
          <w:lang w:val="en-AU"/>
        </w:rPr>
        <w:t>the requirements that must be met by providers when admitting students, information that must be provided to students regarding a particular course of study before they enrol</w:t>
      </w:r>
      <w:r w:rsidR="005B4486">
        <w:rPr>
          <w:rFonts w:cs="Arial"/>
          <w:lang w:val="en-AU"/>
        </w:rPr>
        <w:t>,</w:t>
      </w:r>
      <w:r w:rsidR="00DB79A1" w:rsidRPr="00102B2D">
        <w:rPr>
          <w:rFonts w:cs="Arial"/>
          <w:lang w:val="en-AU"/>
        </w:rPr>
        <w:t xml:space="preserve"> ensuring </w:t>
      </w:r>
      <w:r w:rsidR="005B4486" w:rsidRPr="00102B2D">
        <w:rPr>
          <w:rFonts w:cs="Arial"/>
          <w:lang w:val="en-AU"/>
        </w:rPr>
        <w:t>admission policies</w:t>
      </w:r>
      <w:r w:rsidR="00DB79A1" w:rsidRPr="00102B2D">
        <w:rPr>
          <w:rFonts w:cs="Arial"/>
          <w:lang w:val="en-AU"/>
        </w:rPr>
        <w:t xml:space="preserve"> are fairly and consistently </w:t>
      </w:r>
      <w:r w:rsidR="005A5307" w:rsidRPr="005A5307">
        <w:rPr>
          <w:rFonts w:cs="Arial"/>
          <w:lang w:val="en-AU"/>
        </w:rPr>
        <w:t xml:space="preserve">applied </w:t>
      </w:r>
      <w:r w:rsidR="00DB79A1" w:rsidRPr="00102B2D">
        <w:rPr>
          <w:rFonts w:cs="Arial"/>
          <w:lang w:val="en-AU"/>
        </w:rPr>
        <w:t xml:space="preserve">and </w:t>
      </w:r>
      <w:r w:rsidR="005B4486">
        <w:rPr>
          <w:rFonts w:cs="Arial"/>
          <w:lang w:val="en-AU"/>
        </w:rPr>
        <w:t xml:space="preserve">that admission arrangements </w:t>
      </w:r>
      <w:r w:rsidR="00680683">
        <w:rPr>
          <w:rFonts w:cs="Arial"/>
          <w:lang w:val="en-AU"/>
        </w:rPr>
        <w:t>are</w:t>
      </w:r>
      <w:r w:rsidR="005B4486">
        <w:rPr>
          <w:rFonts w:cs="Arial"/>
          <w:lang w:val="en-AU"/>
        </w:rPr>
        <w:t xml:space="preserve"> in writing</w:t>
      </w:r>
      <w:r w:rsidR="00680683">
        <w:rPr>
          <w:rFonts w:cs="Arial"/>
          <w:lang w:val="en-AU"/>
        </w:rPr>
        <w:t xml:space="preserve">, including any requirements that are </w:t>
      </w:r>
      <w:r w:rsidR="00DB79A1" w:rsidRPr="00102B2D">
        <w:rPr>
          <w:rFonts w:cs="Arial"/>
          <w:lang w:val="en-AU"/>
        </w:rPr>
        <w:t xml:space="preserve">specific </w:t>
      </w:r>
      <w:r w:rsidR="00851980">
        <w:rPr>
          <w:rFonts w:cs="Arial"/>
          <w:lang w:val="en-AU"/>
        </w:rPr>
        <w:t xml:space="preserve">to the </w:t>
      </w:r>
      <w:r w:rsidR="00DB79A1" w:rsidRPr="00102B2D">
        <w:rPr>
          <w:rFonts w:cs="Arial"/>
          <w:lang w:val="en-AU"/>
        </w:rPr>
        <w:t>course.</w:t>
      </w:r>
    </w:p>
    <w:p w14:paraId="555D6374" w14:textId="77777777" w:rsidR="005A5307" w:rsidRDefault="00AA262C" w:rsidP="00102B2D">
      <w:pPr>
        <w:numPr>
          <w:ilvl w:val="0"/>
          <w:numId w:val="4"/>
        </w:numPr>
        <w:tabs>
          <w:tab w:val="clear" w:pos="1134"/>
        </w:tabs>
        <w:spacing w:before="120" w:after="120"/>
        <w:ind w:left="568" w:hanging="284"/>
        <w:jc w:val="left"/>
        <w:rPr>
          <w:rFonts w:cs="Arial"/>
          <w:lang w:val="en-AU"/>
        </w:rPr>
      </w:pPr>
      <w:r>
        <w:rPr>
          <w:rFonts w:cs="Arial"/>
          <w:lang w:val="en-AU"/>
        </w:rPr>
        <w:t>Section</w:t>
      </w:r>
      <w:r w:rsidRPr="005A5307">
        <w:rPr>
          <w:rFonts w:cs="Arial"/>
          <w:lang w:val="en-AU"/>
        </w:rPr>
        <w:t xml:space="preserve"> </w:t>
      </w:r>
      <w:r w:rsidR="005A5307">
        <w:rPr>
          <w:rFonts w:cs="Arial"/>
          <w:lang w:val="en-AU"/>
        </w:rPr>
        <w:t xml:space="preserve">1.2 – Credit and Recognition of Prior Learning – </w:t>
      </w:r>
      <w:r w:rsidR="00DB79A1" w:rsidRPr="00102B2D">
        <w:rPr>
          <w:rFonts w:cs="Arial"/>
          <w:lang w:val="en-AU"/>
        </w:rPr>
        <w:t>requires</w:t>
      </w:r>
      <w:r w:rsidR="005A5307">
        <w:rPr>
          <w:rFonts w:cs="Arial"/>
          <w:lang w:val="en-AU"/>
        </w:rPr>
        <w:t xml:space="preserve"> c</w:t>
      </w:r>
      <w:r w:rsidR="00DB79A1" w:rsidRPr="00102B2D">
        <w:rPr>
          <w:rFonts w:cs="Arial"/>
          <w:lang w:val="en-AU"/>
        </w:rPr>
        <w:t xml:space="preserve">redit </w:t>
      </w:r>
      <w:r w:rsidR="005A5307">
        <w:rPr>
          <w:rFonts w:cs="Arial"/>
          <w:lang w:val="en-AU"/>
        </w:rPr>
        <w:t>t</w:t>
      </w:r>
      <w:r w:rsidR="00DB79A1" w:rsidRPr="00102B2D">
        <w:rPr>
          <w:rFonts w:cs="Arial"/>
          <w:lang w:val="en-AU"/>
        </w:rPr>
        <w:t xml:space="preserve">ransfer (advanced standing) and </w:t>
      </w:r>
      <w:r w:rsidR="005A5307">
        <w:rPr>
          <w:rFonts w:cs="Arial"/>
          <w:lang w:val="en-AU"/>
        </w:rPr>
        <w:t>r</w:t>
      </w:r>
      <w:r w:rsidR="00DB79A1" w:rsidRPr="00102B2D">
        <w:rPr>
          <w:rFonts w:cs="Arial"/>
          <w:lang w:val="en-AU"/>
        </w:rPr>
        <w:t xml:space="preserve">ecognition of </w:t>
      </w:r>
      <w:r w:rsidR="00F37FF8">
        <w:rPr>
          <w:rFonts w:cs="Arial"/>
          <w:lang w:val="en-AU"/>
        </w:rPr>
        <w:t>p</w:t>
      </w:r>
      <w:r w:rsidR="00DB79A1" w:rsidRPr="00102B2D">
        <w:rPr>
          <w:rFonts w:cs="Arial"/>
          <w:lang w:val="en-AU"/>
        </w:rPr>
        <w:t xml:space="preserve">rior </w:t>
      </w:r>
      <w:r w:rsidR="00F37FF8">
        <w:rPr>
          <w:rFonts w:cs="Arial"/>
          <w:lang w:val="en-AU"/>
        </w:rPr>
        <w:t>l</w:t>
      </w:r>
      <w:r w:rsidR="00DB79A1" w:rsidRPr="00102B2D">
        <w:rPr>
          <w:rFonts w:cs="Arial"/>
          <w:lang w:val="en-AU"/>
        </w:rPr>
        <w:t>earning (RPL) to be policy based</w:t>
      </w:r>
      <w:r w:rsidR="00F37FF8">
        <w:rPr>
          <w:rFonts w:cs="Arial"/>
          <w:lang w:val="en-AU"/>
        </w:rPr>
        <w:t>,</w:t>
      </w:r>
      <w:r w:rsidR="00DB79A1" w:rsidRPr="00102B2D">
        <w:rPr>
          <w:rFonts w:cs="Arial"/>
          <w:lang w:val="en-AU"/>
        </w:rPr>
        <w:t xml:space="preserve"> to ensure the integrity of courses and qualifications.</w:t>
      </w:r>
    </w:p>
    <w:p w14:paraId="7ABD40E7" w14:textId="77777777" w:rsidR="005A5307" w:rsidRDefault="00AA262C" w:rsidP="00102B2D">
      <w:pPr>
        <w:numPr>
          <w:ilvl w:val="0"/>
          <w:numId w:val="4"/>
        </w:numPr>
        <w:tabs>
          <w:tab w:val="clear" w:pos="1134"/>
        </w:tabs>
        <w:spacing w:before="120" w:after="120"/>
        <w:ind w:left="568" w:hanging="284"/>
        <w:jc w:val="left"/>
        <w:rPr>
          <w:rFonts w:cs="Arial"/>
          <w:lang w:val="en-AU"/>
        </w:rPr>
      </w:pPr>
      <w:r>
        <w:rPr>
          <w:rFonts w:cs="Arial"/>
          <w:lang w:val="en-AU"/>
        </w:rPr>
        <w:t>Section</w:t>
      </w:r>
      <w:r w:rsidRPr="005A5307">
        <w:rPr>
          <w:rFonts w:cs="Arial"/>
          <w:lang w:val="en-AU"/>
        </w:rPr>
        <w:t xml:space="preserve"> </w:t>
      </w:r>
      <w:r w:rsidR="005A5307">
        <w:rPr>
          <w:rFonts w:cs="Arial"/>
          <w:lang w:val="en-AU"/>
        </w:rPr>
        <w:t xml:space="preserve">1.3 – Orientation and Progression – </w:t>
      </w:r>
      <w:r w:rsidR="00DB79A1" w:rsidRPr="00102B2D">
        <w:rPr>
          <w:rFonts w:cs="Arial"/>
          <w:lang w:val="en-AU"/>
        </w:rPr>
        <w:t>outlines the requirements for orientation and progression to ensure students are successfully transitioned into institutions and that special needs are met for individual students</w:t>
      </w:r>
      <w:r w:rsidR="005A5307">
        <w:rPr>
          <w:rFonts w:cs="Arial"/>
          <w:lang w:val="en-AU"/>
        </w:rPr>
        <w:t>.</w:t>
      </w:r>
    </w:p>
    <w:p w14:paraId="496FE4CA" w14:textId="77777777" w:rsidR="00F37FF8" w:rsidRDefault="00AA262C" w:rsidP="00102B2D">
      <w:pPr>
        <w:numPr>
          <w:ilvl w:val="0"/>
          <w:numId w:val="4"/>
        </w:numPr>
        <w:tabs>
          <w:tab w:val="clear" w:pos="1134"/>
        </w:tabs>
        <w:spacing w:before="120" w:after="120"/>
        <w:ind w:left="568" w:hanging="284"/>
        <w:jc w:val="left"/>
        <w:rPr>
          <w:rFonts w:cs="Arial"/>
          <w:lang w:val="en-AU"/>
        </w:rPr>
      </w:pPr>
      <w:r>
        <w:rPr>
          <w:rFonts w:cs="Arial"/>
          <w:lang w:val="en-AU"/>
        </w:rPr>
        <w:t>Section</w:t>
      </w:r>
      <w:r w:rsidRPr="005A5307">
        <w:rPr>
          <w:rFonts w:cs="Arial"/>
          <w:lang w:val="en-AU"/>
        </w:rPr>
        <w:t xml:space="preserve"> </w:t>
      </w:r>
      <w:r w:rsidR="005A5307">
        <w:rPr>
          <w:rFonts w:cs="Arial"/>
          <w:lang w:val="en-AU"/>
        </w:rPr>
        <w:t xml:space="preserve">1.4 – Learning Outcomes and Assessment – </w:t>
      </w:r>
      <w:r w:rsidR="00DB79A1" w:rsidRPr="00102B2D">
        <w:rPr>
          <w:rFonts w:cs="Arial"/>
          <w:lang w:val="en-AU"/>
        </w:rPr>
        <w:t>requires that learning outcomes are specified and assessment is consistent with the requirements of the learning outcomes.</w:t>
      </w:r>
    </w:p>
    <w:p w14:paraId="64A8F16C" w14:textId="5E83F4BA" w:rsidR="00DB79A1" w:rsidRPr="00102B2D" w:rsidRDefault="00AA262C" w:rsidP="00102B2D">
      <w:pPr>
        <w:numPr>
          <w:ilvl w:val="0"/>
          <w:numId w:val="4"/>
        </w:numPr>
        <w:tabs>
          <w:tab w:val="clear" w:pos="1134"/>
        </w:tabs>
        <w:spacing w:before="120" w:after="120"/>
        <w:ind w:left="568" w:hanging="284"/>
        <w:jc w:val="left"/>
        <w:rPr>
          <w:rFonts w:cs="Arial"/>
          <w:lang w:val="en-AU"/>
        </w:rPr>
      </w:pPr>
      <w:r>
        <w:rPr>
          <w:rFonts w:cs="Arial"/>
          <w:lang w:val="en-AU"/>
        </w:rPr>
        <w:t>Section</w:t>
      </w:r>
      <w:r w:rsidRPr="005A5307">
        <w:rPr>
          <w:rFonts w:cs="Arial"/>
          <w:lang w:val="en-AU"/>
        </w:rPr>
        <w:t xml:space="preserve"> </w:t>
      </w:r>
      <w:r w:rsidR="00F37FF8">
        <w:rPr>
          <w:rFonts w:cs="Arial"/>
          <w:lang w:val="en-AU"/>
        </w:rPr>
        <w:t xml:space="preserve">1.5 – Qualifications and Certification – </w:t>
      </w:r>
      <w:r w:rsidR="00DB79A1" w:rsidRPr="00102B2D">
        <w:rPr>
          <w:rFonts w:cs="Arial"/>
          <w:lang w:val="en-AU"/>
        </w:rPr>
        <w:t>list</w:t>
      </w:r>
      <w:r w:rsidR="00F37FF8">
        <w:rPr>
          <w:rFonts w:cs="Arial"/>
          <w:lang w:val="en-AU"/>
        </w:rPr>
        <w:t>s</w:t>
      </w:r>
      <w:r w:rsidR="00DB79A1" w:rsidRPr="00102B2D">
        <w:rPr>
          <w:rFonts w:cs="Arial"/>
          <w:lang w:val="en-AU"/>
        </w:rPr>
        <w:t xml:space="preserve"> the requirements for qualifications and certification which are fundamentally based on the Australian Qualification</w:t>
      </w:r>
      <w:r w:rsidR="00102B2D">
        <w:rPr>
          <w:rFonts w:cs="Arial"/>
          <w:lang w:val="en-AU"/>
        </w:rPr>
        <w:t>s</w:t>
      </w:r>
      <w:r w:rsidR="00DB79A1" w:rsidRPr="00102B2D">
        <w:rPr>
          <w:rFonts w:cs="Arial"/>
          <w:lang w:val="en-AU"/>
        </w:rPr>
        <w:t xml:space="preserve"> Framework (AQF).</w:t>
      </w:r>
    </w:p>
    <w:p w14:paraId="09AC2E55" w14:textId="77777777" w:rsidR="00431940" w:rsidRDefault="00431940">
      <w:pPr>
        <w:tabs>
          <w:tab w:val="clear" w:pos="1134"/>
        </w:tabs>
        <w:spacing w:after="200" w:line="276" w:lineRule="auto"/>
        <w:jc w:val="left"/>
        <w:rPr>
          <w:rFonts w:cs="Arial"/>
          <w:lang w:val="en-AU"/>
        </w:rPr>
      </w:pPr>
      <w:r>
        <w:rPr>
          <w:rFonts w:cs="Arial"/>
          <w:lang w:val="en-AU"/>
        </w:rPr>
        <w:br w:type="page"/>
      </w:r>
    </w:p>
    <w:p w14:paraId="57F9AC40" w14:textId="09291F8E" w:rsidR="00DB79A1" w:rsidRPr="00102B2D" w:rsidRDefault="00F37FF8" w:rsidP="002E52E4">
      <w:pPr>
        <w:keepNext/>
        <w:jc w:val="left"/>
        <w:rPr>
          <w:rFonts w:cs="Arial"/>
          <w:lang w:val="en-AU"/>
        </w:rPr>
      </w:pPr>
      <w:r>
        <w:rPr>
          <w:rFonts w:cs="Arial"/>
          <w:lang w:val="en-AU"/>
        </w:rPr>
        <w:lastRenderedPageBreak/>
        <w:t xml:space="preserve">Domain </w:t>
      </w:r>
      <w:r w:rsidR="00DB79A1" w:rsidRPr="00102B2D">
        <w:rPr>
          <w:rFonts w:cs="Arial"/>
          <w:lang w:val="en-AU"/>
        </w:rPr>
        <w:t>2</w:t>
      </w:r>
      <w:r>
        <w:rPr>
          <w:rFonts w:cs="Arial"/>
          <w:lang w:val="en-AU"/>
        </w:rPr>
        <w:t>:</w:t>
      </w:r>
      <w:r w:rsidR="00DB79A1" w:rsidRPr="00102B2D">
        <w:rPr>
          <w:rFonts w:cs="Arial"/>
          <w:lang w:val="en-AU"/>
        </w:rPr>
        <w:t xml:space="preserve"> Learning Environment</w:t>
      </w:r>
    </w:p>
    <w:p w14:paraId="2051FED9" w14:textId="07506EDF" w:rsidR="00FE488D" w:rsidRDefault="00AA262C" w:rsidP="00102B2D">
      <w:pPr>
        <w:numPr>
          <w:ilvl w:val="0"/>
          <w:numId w:val="4"/>
        </w:numPr>
        <w:tabs>
          <w:tab w:val="clear" w:pos="1134"/>
        </w:tabs>
        <w:spacing w:before="120" w:after="120"/>
        <w:ind w:left="568" w:hanging="284"/>
        <w:jc w:val="left"/>
        <w:rPr>
          <w:rFonts w:cs="Arial"/>
          <w:lang w:val="en-AU"/>
        </w:rPr>
      </w:pPr>
      <w:r>
        <w:rPr>
          <w:rFonts w:cs="Arial"/>
          <w:lang w:val="en-AU"/>
        </w:rPr>
        <w:t>Section</w:t>
      </w:r>
      <w:r w:rsidRPr="005A5307">
        <w:rPr>
          <w:rFonts w:cs="Arial"/>
          <w:lang w:val="en-AU"/>
        </w:rPr>
        <w:t xml:space="preserve"> </w:t>
      </w:r>
      <w:r w:rsidR="00FE488D">
        <w:rPr>
          <w:rFonts w:cs="Arial"/>
          <w:lang w:val="en-AU"/>
        </w:rPr>
        <w:t xml:space="preserve">2.1 – Facilities and Infrastructure – identifies </w:t>
      </w:r>
      <w:r w:rsidR="00DB79A1" w:rsidRPr="00102B2D">
        <w:rPr>
          <w:rFonts w:cs="Arial"/>
          <w:lang w:val="en-AU"/>
        </w:rPr>
        <w:t xml:space="preserve">the requirements for </w:t>
      </w:r>
      <w:r w:rsidR="00FE488D">
        <w:rPr>
          <w:rFonts w:cs="Arial"/>
          <w:lang w:val="en-AU"/>
        </w:rPr>
        <w:t xml:space="preserve">teaching and learning </w:t>
      </w:r>
      <w:r w:rsidR="00DB79A1" w:rsidRPr="00102B2D">
        <w:rPr>
          <w:rFonts w:cs="Arial"/>
          <w:lang w:val="en-AU"/>
        </w:rPr>
        <w:t>facilities and infrastructure</w:t>
      </w:r>
      <w:r w:rsidR="00FE488D">
        <w:rPr>
          <w:rFonts w:cs="Arial"/>
          <w:lang w:val="en-AU"/>
        </w:rPr>
        <w:t>, including information technology,</w:t>
      </w:r>
      <w:r w:rsidR="00DB79A1" w:rsidRPr="00102B2D">
        <w:rPr>
          <w:rFonts w:cs="Arial"/>
          <w:lang w:val="en-AU"/>
        </w:rPr>
        <w:t xml:space="preserve"> to ensure facilities are fit for purpose.</w:t>
      </w:r>
    </w:p>
    <w:p w14:paraId="04AA9E62" w14:textId="77777777" w:rsidR="00735F99" w:rsidRPr="00102B2D" w:rsidRDefault="00AA262C" w:rsidP="00102B2D">
      <w:pPr>
        <w:numPr>
          <w:ilvl w:val="0"/>
          <w:numId w:val="4"/>
        </w:numPr>
        <w:tabs>
          <w:tab w:val="clear" w:pos="1134"/>
        </w:tabs>
        <w:spacing w:before="120" w:after="120"/>
        <w:ind w:left="568" w:hanging="284"/>
        <w:jc w:val="left"/>
        <w:rPr>
          <w:rFonts w:cs="Arial"/>
          <w:lang w:val="en-AU"/>
        </w:rPr>
      </w:pPr>
      <w:r w:rsidRPr="00735F99">
        <w:rPr>
          <w:rFonts w:cs="Arial"/>
          <w:lang w:val="en-AU"/>
        </w:rPr>
        <w:t xml:space="preserve">Section </w:t>
      </w:r>
      <w:r w:rsidR="00FE488D" w:rsidRPr="00735F99">
        <w:rPr>
          <w:rFonts w:cs="Arial"/>
          <w:lang w:val="en-AU"/>
        </w:rPr>
        <w:t xml:space="preserve">2.2 – Diversity and Equity </w:t>
      </w:r>
      <w:r w:rsidRPr="00102B2D">
        <w:rPr>
          <w:rFonts w:cs="Arial"/>
          <w:lang w:val="en-AU"/>
        </w:rPr>
        <w:t xml:space="preserve">– requires </w:t>
      </w:r>
      <w:r w:rsidR="00DB79A1" w:rsidRPr="00102B2D">
        <w:rPr>
          <w:rFonts w:cs="Arial"/>
          <w:lang w:val="en-AU"/>
        </w:rPr>
        <w:t xml:space="preserve">policies and processes to </w:t>
      </w:r>
      <w:r w:rsidR="00735F99" w:rsidRPr="00102B2D">
        <w:rPr>
          <w:rFonts w:cs="Arial"/>
          <w:lang w:val="en-AU"/>
        </w:rPr>
        <w:t xml:space="preserve">accommodate and promote </w:t>
      </w:r>
      <w:r w:rsidR="00DB79A1" w:rsidRPr="00102B2D">
        <w:rPr>
          <w:rFonts w:cs="Arial"/>
          <w:lang w:val="en-AU"/>
        </w:rPr>
        <w:t>diversity and equity</w:t>
      </w:r>
      <w:r w:rsidRPr="00102B2D">
        <w:rPr>
          <w:rFonts w:cs="Arial"/>
          <w:lang w:val="en-AU"/>
        </w:rPr>
        <w:t xml:space="preserve"> </w:t>
      </w:r>
      <w:r w:rsidR="00735F99" w:rsidRPr="00102B2D">
        <w:rPr>
          <w:rFonts w:cs="Arial"/>
          <w:lang w:val="en-AU"/>
        </w:rPr>
        <w:t>among student populations, including  Aboriginal and Torres Strait Islander students</w:t>
      </w:r>
      <w:r w:rsidR="002F2A3A">
        <w:rPr>
          <w:rFonts w:cs="Arial"/>
          <w:lang w:val="en-AU"/>
        </w:rPr>
        <w:t>,</w:t>
      </w:r>
      <w:r w:rsidR="00735F99" w:rsidRPr="00102B2D">
        <w:rPr>
          <w:rFonts w:cs="Arial"/>
          <w:lang w:val="en-AU"/>
        </w:rPr>
        <w:t xml:space="preserve"> </w:t>
      </w:r>
      <w:r w:rsidRPr="00102B2D">
        <w:rPr>
          <w:rFonts w:cs="Arial"/>
          <w:lang w:val="en-AU"/>
        </w:rPr>
        <w:t xml:space="preserve">be in place and </w:t>
      </w:r>
      <w:r w:rsidR="00735F99" w:rsidRPr="00102B2D">
        <w:rPr>
          <w:rFonts w:cs="Arial"/>
          <w:lang w:val="en-AU"/>
        </w:rPr>
        <w:t xml:space="preserve">actively </w:t>
      </w:r>
      <w:r w:rsidRPr="00102B2D">
        <w:rPr>
          <w:rFonts w:cs="Arial"/>
          <w:lang w:val="en-AU"/>
        </w:rPr>
        <w:t>monitored</w:t>
      </w:r>
      <w:r w:rsidR="00735F99" w:rsidRPr="00102B2D">
        <w:rPr>
          <w:rFonts w:cs="Arial"/>
          <w:lang w:val="en-AU"/>
        </w:rPr>
        <w:t>.</w:t>
      </w:r>
    </w:p>
    <w:p w14:paraId="208AB706" w14:textId="77777777" w:rsidR="00735F99" w:rsidRPr="00102B2D" w:rsidRDefault="00AA262C" w:rsidP="00102B2D">
      <w:pPr>
        <w:numPr>
          <w:ilvl w:val="0"/>
          <w:numId w:val="4"/>
        </w:numPr>
        <w:tabs>
          <w:tab w:val="clear" w:pos="1134"/>
        </w:tabs>
        <w:spacing w:before="120" w:after="120"/>
        <w:ind w:left="568" w:hanging="284"/>
        <w:jc w:val="left"/>
        <w:rPr>
          <w:rFonts w:cs="Arial"/>
          <w:lang w:val="en-AU"/>
        </w:rPr>
      </w:pPr>
      <w:r w:rsidRPr="00102B2D">
        <w:rPr>
          <w:rFonts w:cs="Arial"/>
          <w:lang w:val="en-AU"/>
        </w:rPr>
        <w:t xml:space="preserve">Section 2.3 – Wellbeing and Safety </w:t>
      </w:r>
      <w:r w:rsidR="00735F99" w:rsidRPr="00102B2D">
        <w:rPr>
          <w:rFonts w:cs="Arial"/>
          <w:lang w:val="en-AU"/>
        </w:rPr>
        <w:t>–</w:t>
      </w:r>
      <w:r w:rsidR="00DB79A1" w:rsidRPr="00102B2D">
        <w:rPr>
          <w:rFonts w:cs="Arial"/>
          <w:lang w:val="en-AU"/>
        </w:rPr>
        <w:t xml:space="preserve"> </w:t>
      </w:r>
      <w:r w:rsidR="00735F99" w:rsidRPr="00102B2D">
        <w:rPr>
          <w:rFonts w:cs="Arial"/>
          <w:lang w:val="en-AU"/>
        </w:rPr>
        <w:t>identifies the need for</w:t>
      </w:r>
      <w:r w:rsidR="00614522">
        <w:rPr>
          <w:rFonts w:cs="Arial"/>
          <w:lang w:val="en-AU"/>
        </w:rPr>
        <w:t xml:space="preserve"> and imposes requirements in respect of</w:t>
      </w:r>
      <w:r w:rsidR="00735F99" w:rsidRPr="00102B2D">
        <w:rPr>
          <w:rFonts w:cs="Arial"/>
          <w:lang w:val="en-AU"/>
        </w:rPr>
        <w:t xml:space="preserve"> a safe environment </w:t>
      </w:r>
      <w:r w:rsidR="00DB79A1" w:rsidRPr="00102B2D">
        <w:rPr>
          <w:rFonts w:cs="Arial"/>
          <w:lang w:val="en-AU"/>
        </w:rPr>
        <w:t>and</w:t>
      </w:r>
      <w:r w:rsidR="00735F99" w:rsidRPr="00102B2D">
        <w:rPr>
          <w:rFonts w:cs="Arial"/>
          <w:lang w:val="en-AU"/>
        </w:rPr>
        <w:t xml:space="preserve"> the availability of appropriate support services to promote student </w:t>
      </w:r>
      <w:r w:rsidR="00DB79A1" w:rsidRPr="00102B2D">
        <w:rPr>
          <w:rFonts w:cs="Arial"/>
          <w:lang w:val="en-AU"/>
        </w:rPr>
        <w:t>wellbeing</w:t>
      </w:r>
      <w:r w:rsidR="00735F99" w:rsidRPr="00102B2D">
        <w:rPr>
          <w:rFonts w:cs="Arial"/>
          <w:lang w:val="en-AU"/>
        </w:rPr>
        <w:t>.</w:t>
      </w:r>
    </w:p>
    <w:p w14:paraId="049C151C" w14:textId="77777777" w:rsidR="00DB79A1" w:rsidRPr="00102B2D" w:rsidRDefault="00735F99" w:rsidP="00102B2D">
      <w:pPr>
        <w:numPr>
          <w:ilvl w:val="0"/>
          <w:numId w:val="4"/>
        </w:numPr>
        <w:tabs>
          <w:tab w:val="clear" w:pos="1134"/>
        </w:tabs>
        <w:spacing w:before="120" w:after="120"/>
        <w:ind w:left="568" w:hanging="284"/>
        <w:jc w:val="left"/>
        <w:rPr>
          <w:rFonts w:cs="Arial"/>
          <w:lang w:val="en-AU"/>
        </w:rPr>
      </w:pPr>
      <w:r w:rsidRPr="00102B2D">
        <w:rPr>
          <w:rFonts w:cs="Arial"/>
          <w:lang w:val="en-AU"/>
        </w:rPr>
        <w:t xml:space="preserve">Section 2.4 – Student Grievances and Complaints – </w:t>
      </w:r>
      <w:r w:rsidR="00DB79A1" w:rsidRPr="00102B2D">
        <w:rPr>
          <w:rFonts w:cs="Arial"/>
          <w:lang w:val="en-AU"/>
        </w:rPr>
        <w:t>lists the requirements for student grievance and complaints in the instance of dissatisfaction with institutional or learning experience</w:t>
      </w:r>
      <w:r w:rsidR="00B070A0">
        <w:rPr>
          <w:rFonts w:cs="Arial"/>
          <w:lang w:val="en-AU"/>
        </w:rPr>
        <w:t>s</w:t>
      </w:r>
      <w:r w:rsidR="00DB79A1" w:rsidRPr="00102B2D">
        <w:rPr>
          <w:rFonts w:cs="Arial"/>
          <w:lang w:val="en-AU"/>
        </w:rPr>
        <w:t>.</w:t>
      </w:r>
    </w:p>
    <w:p w14:paraId="72E281ED" w14:textId="77777777" w:rsidR="00E640EF" w:rsidRDefault="00E640EF" w:rsidP="001800C7">
      <w:pPr>
        <w:keepNext/>
        <w:jc w:val="left"/>
        <w:rPr>
          <w:rFonts w:cs="Arial"/>
          <w:lang w:val="en-AU"/>
        </w:rPr>
      </w:pPr>
    </w:p>
    <w:p w14:paraId="769F481F" w14:textId="77777777" w:rsidR="00DB79A1" w:rsidRPr="001800C7" w:rsidRDefault="00F37FF8" w:rsidP="001800C7">
      <w:pPr>
        <w:keepNext/>
        <w:jc w:val="left"/>
        <w:rPr>
          <w:rFonts w:cs="Arial"/>
          <w:lang w:val="en-AU"/>
        </w:rPr>
      </w:pPr>
      <w:r w:rsidRPr="00102B2D">
        <w:rPr>
          <w:rFonts w:cs="Arial"/>
          <w:lang w:val="en-AU"/>
        </w:rPr>
        <w:t xml:space="preserve">Domain </w:t>
      </w:r>
      <w:r w:rsidR="00102B2D">
        <w:rPr>
          <w:rFonts w:cs="Arial"/>
          <w:lang w:val="en-AU"/>
        </w:rPr>
        <w:t>3</w:t>
      </w:r>
      <w:r w:rsidRPr="00102B2D">
        <w:rPr>
          <w:rFonts w:cs="Arial"/>
          <w:lang w:val="en-AU"/>
        </w:rPr>
        <w:t>:</w:t>
      </w:r>
      <w:r w:rsidR="00DB79A1" w:rsidRPr="001800C7">
        <w:rPr>
          <w:rFonts w:cs="Arial"/>
          <w:lang w:val="en-AU"/>
        </w:rPr>
        <w:t xml:space="preserve"> Teaching</w:t>
      </w:r>
    </w:p>
    <w:p w14:paraId="579EC42C" w14:textId="77777777" w:rsidR="000B259F" w:rsidRPr="001800C7" w:rsidRDefault="000B259F" w:rsidP="001800C7">
      <w:pPr>
        <w:numPr>
          <w:ilvl w:val="0"/>
          <w:numId w:val="4"/>
        </w:numPr>
        <w:tabs>
          <w:tab w:val="clear" w:pos="1134"/>
        </w:tabs>
        <w:spacing w:before="120" w:after="120"/>
        <w:ind w:left="568" w:hanging="284"/>
        <w:jc w:val="left"/>
        <w:rPr>
          <w:rFonts w:cs="Arial"/>
          <w:lang w:val="en-AU"/>
        </w:rPr>
      </w:pPr>
      <w:r w:rsidRPr="001800C7">
        <w:rPr>
          <w:rFonts w:cs="Arial"/>
          <w:lang w:val="en-AU"/>
        </w:rPr>
        <w:t>Section 3.1 – Course Design – identifies course design specifications, learning activities</w:t>
      </w:r>
      <w:r w:rsidR="00B070A0" w:rsidRPr="001800C7">
        <w:rPr>
          <w:rFonts w:cs="Arial"/>
          <w:lang w:val="en-AU"/>
        </w:rPr>
        <w:t xml:space="preserve"> and</w:t>
      </w:r>
      <w:r w:rsidRPr="001800C7">
        <w:rPr>
          <w:rFonts w:cs="Arial"/>
          <w:lang w:val="en-AU"/>
        </w:rPr>
        <w:t xml:space="preserve"> learning resource requirements</w:t>
      </w:r>
      <w:r w:rsidR="00610D3B">
        <w:rPr>
          <w:rFonts w:cs="Arial"/>
          <w:lang w:val="en-AU"/>
        </w:rPr>
        <w:t>,</w:t>
      </w:r>
      <w:r w:rsidRPr="001800C7">
        <w:rPr>
          <w:rFonts w:cs="Arial"/>
          <w:lang w:val="en-AU"/>
        </w:rPr>
        <w:t xml:space="preserve"> consistent with the level of study</w:t>
      </w:r>
      <w:r w:rsidR="00102B2D">
        <w:rPr>
          <w:rFonts w:cs="Arial"/>
          <w:lang w:val="en-AU"/>
        </w:rPr>
        <w:t>;</w:t>
      </w:r>
      <w:r w:rsidR="000F686F" w:rsidRPr="001800C7">
        <w:rPr>
          <w:rFonts w:cs="Arial"/>
          <w:lang w:val="en-AU"/>
        </w:rPr>
        <w:t xml:space="preserve"> and</w:t>
      </w:r>
      <w:r w:rsidRPr="001800C7">
        <w:rPr>
          <w:rFonts w:cs="Arial"/>
          <w:lang w:val="en-AU"/>
        </w:rPr>
        <w:t xml:space="preserve"> </w:t>
      </w:r>
      <w:r w:rsidR="00102B2D">
        <w:rPr>
          <w:rFonts w:cs="Arial"/>
          <w:lang w:val="en-AU"/>
        </w:rPr>
        <w:t xml:space="preserve">the need for </w:t>
      </w:r>
      <w:r w:rsidRPr="001800C7">
        <w:rPr>
          <w:rFonts w:cs="Arial"/>
          <w:lang w:val="en-AU"/>
        </w:rPr>
        <w:t>professional accred</w:t>
      </w:r>
      <w:r w:rsidR="000F686F" w:rsidRPr="001800C7">
        <w:rPr>
          <w:rFonts w:cs="Arial"/>
          <w:lang w:val="en-AU"/>
        </w:rPr>
        <w:t xml:space="preserve">itation of courses </w:t>
      </w:r>
      <w:r w:rsidR="00102B2D">
        <w:rPr>
          <w:rFonts w:cs="Arial"/>
          <w:lang w:val="en-AU"/>
        </w:rPr>
        <w:t xml:space="preserve">where this is </w:t>
      </w:r>
      <w:r w:rsidR="000F686F" w:rsidRPr="001800C7">
        <w:rPr>
          <w:rFonts w:cs="Arial"/>
          <w:lang w:val="en-AU"/>
        </w:rPr>
        <w:t xml:space="preserve">required </w:t>
      </w:r>
      <w:r w:rsidR="00102B2D">
        <w:rPr>
          <w:rFonts w:cs="Arial"/>
          <w:lang w:val="en-AU"/>
        </w:rPr>
        <w:t>in order for graduates to be eligible to practise</w:t>
      </w:r>
      <w:r w:rsidR="00984F19">
        <w:rPr>
          <w:rFonts w:cs="Arial"/>
          <w:lang w:val="en-AU"/>
        </w:rPr>
        <w:t>.</w:t>
      </w:r>
    </w:p>
    <w:p w14:paraId="00D8B005" w14:textId="77777777" w:rsidR="000B259F" w:rsidRPr="001800C7" w:rsidRDefault="000B259F" w:rsidP="001800C7">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3.2 – </w:t>
      </w:r>
      <w:r w:rsidRPr="00102B2D">
        <w:rPr>
          <w:rFonts w:cs="Arial"/>
          <w:lang w:val="en-AU"/>
        </w:rPr>
        <w:t>Staffing –</w:t>
      </w:r>
      <w:r w:rsidR="005F7066" w:rsidRPr="001800C7">
        <w:rPr>
          <w:rFonts w:cs="Arial"/>
          <w:lang w:val="en-AU"/>
        </w:rPr>
        <w:t xml:space="preserve"> </w:t>
      </w:r>
      <w:r w:rsidR="00610D3B">
        <w:rPr>
          <w:rFonts w:cs="Arial"/>
          <w:lang w:val="en-AU"/>
        </w:rPr>
        <w:t xml:space="preserve">sets out requirements for </w:t>
      </w:r>
      <w:r w:rsidRPr="001800C7">
        <w:rPr>
          <w:rFonts w:cs="Arial"/>
          <w:lang w:val="en-AU"/>
        </w:rPr>
        <w:t>the availability, skills and knowledge of teaching staff</w:t>
      </w:r>
      <w:r w:rsidR="000F686F" w:rsidRPr="001800C7">
        <w:rPr>
          <w:rFonts w:cs="Arial"/>
          <w:lang w:val="en-AU"/>
        </w:rPr>
        <w:t>.</w:t>
      </w:r>
    </w:p>
    <w:p w14:paraId="13E54FBD" w14:textId="700BD58B" w:rsidR="00610D3B" w:rsidRPr="001800C7" w:rsidRDefault="000B259F" w:rsidP="001800C7">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3.3 – </w:t>
      </w:r>
      <w:r w:rsidRPr="00610D3B">
        <w:rPr>
          <w:rFonts w:cs="Arial"/>
          <w:lang w:val="en-AU"/>
        </w:rPr>
        <w:t xml:space="preserve">Learning Resources and Educational Support – </w:t>
      </w:r>
      <w:r w:rsidR="00610D3B" w:rsidRPr="00610D3B">
        <w:rPr>
          <w:rFonts w:cs="Arial"/>
          <w:lang w:val="en-AU"/>
        </w:rPr>
        <w:t xml:space="preserve">outlines the need for appropriate </w:t>
      </w:r>
      <w:r w:rsidRPr="00610D3B">
        <w:rPr>
          <w:rFonts w:cs="Arial"/>
          <w:lang w:val="en-AU"/>
        </w:rPr>
        <w:t>educational support mechanisms</w:t>
      </w:r>
      <w:r w:rsidRPr="001800C7">
        <w:rPr>
          <w:rFonts w:cs="Arial"/>
          <w:lang w:val="en-AU"/>
        </w:rPr>
        <w:t xml:space="preserve">, as well as adequate physical resources and infrastructure that </w:t>
      </w:r>
      <w:r w:rsidR="002F2A3A">
        <w:rPr>
          <w:rFonts w:cs="Arial"/>
          <w:lang w:val="en-AU"/>
        </w:rPr>
        <w:t>are</w:t>
      </w:r>
      <w:r w:rsidR="00610D3B" w:rsidRPr="00610D3B">
        <w:rPr>
          <w:rFonts w:cs="Arial"/>
          <w:lang w:val="en-AU"/>
        </w:rPr>
        <w:t xml:space="preserve"> </w:t>
      </w:r>
      <w:r w:rsidRPr="001800C7">
        <w:rPr>
          <w:rFonts w:cs="Arial"/>
          <w:lang w:val="en-AU"/>
        </w:rPr>
        <w:t>fit for purpose</w:t>
      </w:r>
      <w:r w:rsidR="000F686F" w:rsidRPr="001800C7">
        <w:rPr>
          <w:rFonts w:cs="Arial"/>
          <w:lang w:val="en-AU"/>
        </w:rPr>
        <w:t>.</w:t>
      </w:r>
    </w:p>
    <w:p w14:paraId="6D68F7CC" w14:textId="77777777" w:rsidR="00DB79A1" w:rsidRPr="001800C7" w:rsidRDefault="00F37FF8" w:rsidP="001625E9">
      <w:pPr>
        <w:tabs>
          <w:tab w:val="clear" w:pos="1134"/>
        </w:tabs>
        <w:spacing w:after="200" w:line="276" w:lineRule="auto"/>
        <w:jc w:val="left"/>
        <w:rPr>
          <w:rFonts w:cs="Arial"/>
          <w:lang w:val="en-AU"/>
        </w:rPr>
      </w:pPr>
      <w:r w:rsidRPr="00102B2D">
        <w:rPr>
          <w:rFonts w:cs="Arial"/>
          <w:lang w:val="en-AU"/>
        </w:rPr>
        <w:t xml:space="preserve">Domain </w:t>
      </w:r>
      <w:r w:rsidR="00DB79A1" w:rsidRPr="001800C7">
        <w:rPr>
          <w:rFonts w:cs="Arial"/>
          <w:lang w:val="en-AU"/>
        </w:rPr>
        <w:t>4</w:t>
      </w:r>
      <w:r w:rsidRPr="00102B2D">
        <w:rPr>
          <w:rFonts w:cs="Arial"/>
          <w:lang w:val="en-AU"/>
        </w:rPr>
        <w:t>:</w:t>
      </w:r>
      <w:r w:rsidR="00DB79A1" w:rsidRPr="001800C7">
        <w:rPr>
          <w:rFonts w:cs="Arial"/>
          <w:lang w:val="en-AU"/>
        </w:rPr>
        <w:t xml:space="preserve"> Research and Research Training</w:t>
      </w:r>
    </w:p>
    <w:p w14:paraId="6EF73B40" w14:textId="77777777" w:rsidR="000B259F" w:rsidRPr="00102B2D" w:rsidRDefault="000B259F" w:rsidP="001800C7">
      <w:pPr>
        <w:numPr>
          <w:ilvl w:val="0"/>
          <w:numId w:val="4"/>
        </w:numPr>
        <w:tabs>
          <w:tab w:val="clear" w:pos="1134"/>
        </w:tabs>
        <w:spacing w:before="120" w:after="120"/>
        <w:ind w:left="568" w:hanging="284"/>
        <w:jc w:val="left"/>
        <w:rPr>
          <w:rFonts w:cs="Arial"/>
          <w:lang w:val="en-AU"/>
        </w:rPr>
      </w:pPr>
      <w:r w:rsidRPr="00102B2D">
        <w:rPr>
          <w:rFonts w:cs="Arial"/>
          <w:lang w:val="en-AU"/>
        </w:rPr>
        <w:t xml:space="preserve">Section 4.1 – Research – </w:t>
      </w:r>
      <w:r w:rsidRPr="001800C7">
        <w:rPr>
          <w:rFonts w:cs="Arial"/>
          <w:lang w:val="en-AU"/>
        </w:rPr>
        <w:t xml:space="preserve">covers resources, ethics, supervision and admission policies </w:t>
      </w:r>
      <w:r w:rsidR="00610D3B">
        <w:rPr>
          <w:rFonts w:cs="Arial"/>
          <w:lang w:val="en-AU"/>
        </w:rPr>
        <w:t xml:space="preserve">needed </w:t>
      </w:r>
      <w:r w:rsidRPr="001800C7">
        <w:rPr>
          <w:rFonts w:cs="Arial"/>
          <w:lang w:val="en-AU"/>
        </w:rPr>
        <w:t xml:space="preserve">for </w:t>
      </w:r>
      <w:r w:rsidR="00610D3B">
        <w:rPr>
          <w:rFonts w:cs="Arial"/>
          <w:lang w:val="en-AU"/>
        </w:rPr>
        <w:t xml:space="preserve">the conduct of </w:t>
      </w:r>
      <w:r w:rsidRPr="001800C7">
        <w:rPr>
          <w:rFonts w:cs="Arial"/>
          <w:lang w:val="en-AU"/>
        </w:rPr>
        <w:t>research</w:t>
      </w:r>
      <w:r w:rsidR="00610D3B">
        <w:rPr>
          <w:rFonts w:cs="Arial"/>
          <w:lang w:val="en-AU"/>
        </w:rPr>
        <w:t xml:space="preserve"> activity</w:t>
      </w:r>
      <w:r w:rsidRPr="001800C7">
        <w:rPr>
          <w:rFonts w:cs="Arial"/>
          <w:lang w:val="en-AU"/>
        </w:rPr>
        <w:t>.</w:t>
      </w:r>
    </w:p>
    <w:p w14:paraId="1DA9070E" w14:textId="77777777" w:rsidR="00DB79A1" w:rsidRPr="001800C7" w:rsidRDefault="000B259F" w:rsidP="001800C7">
      <w:pPr>
        <w:numPr>
          <w:ilvl w:val="0"/>
          <w:numId w:val="4"/>
        </w:numPr>
        <w:tabs>
          <w:tab w:val="clear" w:pos="1134"/>
        </w:tabs>
        <w:spacing w:before="120" w:after="120"/>
        <w:ind w:left="568" w:hanging="284"/>
        <w:jc w:val="left"/>
        <w:rPr>
          <w:rFonts w:cs="Arial"/>
          <w:lang w:val="en-AU"/>
        </w:rPr>
      </w:pPr>
      <w:r w:rsidRPr="00102B2D">
        <w:rPr>
          <w:rFonts w:cs="Arial"/>
          <w:lang w:val="en-AU"/>
        </w:rPr>
        <w:t xml:space="preserve">Section 4.2 – </w:t>
      </w:r>
      <w:r w:rsidRPr="001800C7">
        <w:rPr>
          <w:rFonts w:cs="Arial"/>
          <w:lang w:val="en-AU"/>
        </w:rPr>
        <w:t xml:space="preserve">Research Training </w:t>
      </w:r>
      <w:r w:rsidRPr="00102B2D">
        <w:rPr>
          <w:rFonts w:cs="Arial"/>
          <w:lang w:val="en-AU"/>
        </w:rPr>
        <w:t>–</w:t>
      </w:r>
      <w:r w:rsidRPr="001800C7">
        <w:rPr>
          <w:rFonts w:cs="Arial"/>
          <w:lang w:val="en-AU"/>
        </w:rPr>
        <w:t xml:space="preserve"> </w:t>
      </w:r>
      <w:r w:rsidR="00610D3B">
        <w:rPr>
          <w:rFonts w:cs="Arial"/>
          <w:lang w:val="en-AU"/>
        </w:rPr>
        <w:t xml:space="preserve">specifies the need to appropriately support </w:t>
      </w:r>
      <w:r w:rsidR="00DB79A1" w:rsidRPr="001800C7">
        <w:rPr>
          <w:rFonts w:cs="Arial"/>
          <w:lang w:val="en-AU"/>
        </w:rPr>
        <w:t>research</w:t>
      </w:r>
      <w:r w:rsidR="00610D3B">
        <w:rPr>
          <w:rFonts w:cs="Arial"/>
          <w:lang w:val="en-AU"/>
        </w:rPr>
        <w:t xml:space="preserve"> students, including through induction and adequate supervision</w:t>
      </w:r>
      <w:r w:rsidR="00DB79A1" w:rsidRPr="001800C7">
        <w:rPr>
          <w:rFonts w:cs="Arial"/>
          <w:lang w:val="en-AU"/>
        </w:rPr>
        <w:t>.</w:t>
      </w:r>
    </w:p>
    <w:p w14:paraId="788060DA" w14:textId="77777777" w:rsidR="00E640EF" w:rsidRDefault="00E640EF" w:rsidP="001800C7">
      <w:pPr>
        <w:keepNext/>
        <w:jc w:val="left"/>
        <w:rPr>
          <w:rFonts w:cs="Arial"/>
          <w:lang w:val="en-AU"/>
        </w:rPr>
      </w:pPr>
    </w:p>
    <w:p w14:paraId="701070F2" w14:textId="77777777" w:rsidR="00DB79A1" w:rsidRPr="001800C7" w:rsidRDefault="00F37FF8" w:rsidP="001800C7">
      <w:pPr>
        <w:keepNext/>
        <w:jc w:val="left"/>
        <w:rPr>
          <w:rFonts w:cs="Arial"/>
          <w:lang w:val="en-AU"/>
        </w:rPr>
      </w:pPr>
      <w:r w:rsidRPr="00102B2D">
        <w:rPr>
          <w:rFonts w:cs="Arial"/>
          <w:lang w:val="en-AU"/>
        </w:rPr>
        <w:t xml:space="preserve">Domain </w:t>
      </w:r>
      <w:r w:rsidR="00DB79A1" w:rsidRPr="001800C7">
        <w:rPr>
          <w:rFonts w:cs="Arial"/>
          <w:lang w:val="en-AU"/>
        </w:rPr>
        <w:t>5</w:t>
      </w:r>
      <w:r w:rsidRPr="00102B2D">
        <w:rPr>
          <w:rFonts w:cs="Arial"/>
          <w:lang w:val="en-AU"/>
        </w:rPr>
        <w:t>:</w:t>
      </w:r>
      <w:r w:rsidR="00DB79A1" w:rsidRPr="001800C7">
        <w:rPr>
          <w:rFonts w:cs="Arial"/>
          <w:lang w:val="en-AU"/>
        </w:rPr>
        <w:t xml:space="preserve"> Institutional Quality Assurance </w:t>
      </w:r>
    </w:p>
    <w:p w14:paraId="41C9E787" w14:textId="77777777" w:rsidR="00DB7BB5" w:rsidRPr="001800C7" w:rsidRDefault="00DB7BB5" w:rsidP="001800C7">
      <w:pPr>
        <w:numPr>
          <w:ilvl w:val="0"/>
          <w:numId w:val="4"/>
        </w:numPr>
        <w:tabs>
          <w:tab w:val="clear" w:pos="1134"/>
        </w:tabs>
        <w:spacing w:before="120" w:after="120"/>
        <w:ind w:left="568" w:hanging="284"/>
        <w:jc w:val="left"/>
        <w:rPr>
          <w:rFonts w:cs="Arial"/>
          <w:lang w:val="en-AU"/>
        </w:rPr>
      </w:pPr>
      <w:r w:rsidRPr="001800C7">
        <w:rPr>
          <w:rFonts w:cs="Arial"/>
          <w:lang w:val="en-AU"/>
        </w:rPr>
        <w:t>Section 5.1 – Course Approval and Accreditation – cover</w:t>
      </w:r>
      <w:r w:rsidR="00166549" w:rsidRPr="001800C7">
        <w:rPr>
          <w:rFonts w:cs="Arial"/>
          <w:lang w:val="en-AU"/>
        </w:rPr>
        <w:t>s</w:t>
      </w:r>
      <w:r w:rsidRPr="001800C7">
        <w:rPr>
          <w:rFonts w:cs="Arial"/>
          <w:lang w:val="en-AU"/>
        </w:rPr>
        <w:t xml:space="preserve"> internal mechanisms to assure quality such as policies for course approv</w:t>
      </w:r>
      <w:r w:rsidR="000F686F" w:rsidRPr="001800C7">
        <w:rPr>
          <w:rFonts w:cs="Arial"/>
          <w:lang w:val="en-AU"/>
        </w:rPr>
        <w:t>als, accreditation and delivery.</w:t>
      </w:r>
    </w:p>
    <w:p w14:paraId="79C40A5E" w14:textId="77777777" w:rsidR="00166549" w:rsidRPr="001800C7" w:rsidRDefault="00DB7BB5" w:rsidP="001800C7">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5.2 – Academic and Research Integrity – </w:t>
      </w:r>
      <w:r w:rsidR="00984F19">
        <w:rPr>
          <w:rFonts w:cs="Arial"/>
          <w:lang w:val="en-AU"/>
        </w:rPr>
        <w:t xml:space="preserve">requires that </w:t>
      </w:r>
      <w:r w:rsidR="005F7066" w:rsidRPr="001800C7">
        <w:rPr>
          <w:rFonts w:cs="Arial"/>
          <w:lang w:val="en-AU"/>
        </w:rPr>
        <w:t xml:space="preserve"> </w:t>
      </w:r>
      <w:r w:rsidR="00166549" w:rsidRPr="001800C7">
        <w:rPr>
          <w:rFonts w:cs="Arial"/>
          <w:lang w:val="en-AU"/>
        </w:rPr>
        <w:t>policies are in place to deal with misconduct including cheating, plagiarism, misrepresentation and misuse of intellectual property</w:t>
      </w:r>
      <w:r w:rsidR="00984F19">
        <w:rPr>
          <w:rFonts w:cs="Arial"/>
          <w:lang w:val="en-AU"/>
        </w:rPr>
        <w:t xml:space="preserve"> and that these policies are actively administered to ensure the integrity of academic and research activity</w:t>
      </w:r>
      <w:r w:rsidR="00166549" w:rsidRPr="001800C7">
        <w:rPr>
          <w:rFonts w:cs="Arial"/>
          <w:lang w:val="en-AU"/>
        </w:rPr>
        <w:t>.</w:t>
      </w:r>
    </w:p>
    <w:p w14:paraId="70CEC0AA" w14:textId="77777777" w:rsidR="00166549" w:rsidRPr="001800C7" w:rsidRDefault="00166549" w:rsidP="00166549">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5.3 – Monitoring, Review and Improvement – </w:t>
      </w:r>
      <w:r w:rsidR="00984F19">
        <w:rPr>
          <w:rFonts w:cs="Arial"/>
          <w:lang w:val="en-AU"/>
        </w:rPr>
        <w:t xml:space="preserve">requires that the quality of </w:t>
      </w:r>
      <w:r w:rsidR="00984F19" w:rsidRPr="006A2237">
        <w:rPr>
          <w:rFonts w:cs="Arial"/>
          <w:lang w:val="en-AU"/>
        </w:rPr>
        <w:t>education offerings</w:t>
      </w:r>
      <w:r w:rsidR="00984F19" w:rsidRPr="00984F19">
        <w:rPr>
          <w:rFonts w:cs="Arial"/>
          <w:lang w:val="en-AU"/>
        </w:rPr>
        <w:t xml:space="preserve"> </w:t>
      </w:r>
      <w:r w:rsidR="00984F19">
        <w:rPr>
          <w:rFonts w:cs="Arial"/>
          <w:lang w:val="en-AU"/>
        </w:rPr>
        <w:t xml:space="preserve">be continuously </w:t>
      </w:r>
      <w:r w:rsidRPr="001800C7">
        <w:rPr>
          <w:rFonts w:cs="Arial"/>
          <w:lang w:val="en-AU"/>
        </w:rPr>
        <w:t>monitor</w:t>
      </w:r>
      <w:r w:rsidR="00984F19">
        <w:rPr>
          <w:rFonts w:cs="Arial"/>
          <w:lang w:val="en-AU"/>
        </w:rPr>
        <w:t xml:space="preserve">ed and </w:t>
      </w:r>
      <w:r w:rsidRPr="001800C7">
        <w:rPr>
          <w:rFonts w:cs="Arial"/>
          <w:lang w:val="en-AU"/>
        </w:rPr>
        <w:t>review</w:t>
      </w:r>
      <w:r w:rsidR="00984F19">
        <w:rPr>
          <w:rFonts w:cs="Arial"/>
          <w:lang w:val="en-AU"/>
        </w:rPr>
        <w:t>ed</w:t>
      </w:r>
      <w:r w:rsidRPr="001800C7">
        <w:rPr>
          <w:rFonts w:cs="Arial"/>
          <w:lang w:val="en-AU"/>
        </w:rPr>
        <w:t xml:space="preserve"> </w:t>
      </w:r>
      <w:r w:rsidR="00984F19">
        <w:rPr>
          <w:rFonts w:cs="Arial"/>
          <w:lang w:val="en-AU"/>
        </w:rPr>
        <w:t>to maintain and enhance their quality and effectiveness</w:t>
      </w:r>
      <w:r w:rsidR="002F0598">
        <w:rPr>
          <w:rFonts w:cs="Arial"/>
          <w:lang w:val="en-AU"/>
        </w:rPr>
        <w:t>, including a comprehensive review of each course of study at least every seven years</w:t>
      </w:r>
      <w:r w:rsidR="00984F19">
        <w:rPr>
          <w:rFonts w:cs="Arial"/>
          <w:lang w:val="en-AU"/>
        </w:rPr>
        <w:t>.</w:t>
      </w:r>
    </w:p>
    <w:p w14:paraId="46C23829" w14:textId="77777777" w:rsidR="00166549" w:rsidRPr="001800C7" w:rsidRDefault="00166549" w:rsidP="00166549">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5.4 – Delivery with Other Parties – </w:t>
      </w:r>
      <w:r w:rsidR="002F0598">
        <w:rPr>
          <w:rFonts w:cs="Arial"/>
          <w:lang w:val="en-AU"/>
        </w:rPr>
        <w:t xml:space="preserve">identifies that the delivery of education by a third party must be quality assured and that the higher education provider remains accountable for </w:t>
      </w:r>
      <w:r w:rsidRPr="001800C7">
        <w:rPr>
          <w:rFonts w:cs="Arial"/>
          <w:lang w:val="en-AU"/>
        </w:rPr>
        <w:t xml:space="preserve">the quality of </w:t>
      </w:r>
      <w:r w:rsidR="002F0598">
        <w:rPr>
          <w:rFonts w:cs="Arial"/>
          <w:lang w:val="en-AU"/>
        </w:rPr>
        <w:t xml:space="preserve">all </w:t>
      </w:r>
      <w:r w:rsidRPr="001800C7">
        <w:rPr>
          <w:rFonts w:cs="Arial"/>
          <w:lang w:val="en-AU"/>
        </w:rPr>
        <w:t xml:space="preserve">education </w:t>
      </w:r>
      <w:r w:rsidR="002F0598">
        <w:rPr>
          <w:rFonts w:cs="Arial"/>
          <w:lang w:val="en-AU"/>
        </w:rPr>
        <w:t xml:space="preserve">delivered </w:t>
      </w:r>
      <w:r w:rsidRPr="001800C7">
        <w:rPr>
          <w:rFonts w:cs="Arial"/>
          <w:lang w:val="en-AU"/>
        </w:rPr>
        <w:t>through third parties.</w:t>
      </w:r>
    </w:p>
    <w:p w14:paraId="499D2755" w14:textId="77777777" w:rsidR="00431940" w:rsidRDefault="00431940">
      <w:pPr>
        <w:tabs>
          <w:tab w:val="clear" w:pos="1134"/>
        </w:tabs>
        <w:spacing w:after="200" w:line="276" w:lineRule="auto"/>
        <w:jc w:val="left"/>
        <w:rPr>
          <w:rFonts w:cs="Arial"/>
          <w:lang w:val="en-AU"/>
        </w:rPr>
      </w:pPr>
      <w:r>
        <w:rPr>
          <w:rFonts w:cs="Arial"/>
          <w:lang w:val="en-AU"/>
        </w:rPr>
        <w:br w:type="page"/>
      </w:r>
    </w:p>
    <w:p w14:paraId="7F119F83" w14:textId="40103A66" w:rsidR="00DB79A1" w:rsidRPr="001800C7" w:rsidRDefault="00F37FF8" w:rsidP="001800C7">
      <w:pPr>
        <w:keepNext/>
        <w:jc w:val="left"/>
        <w:rPr>
          <w:rFonts w:cs="Arial"/>
          <w:lang w:val="en-AU"/>
        </w:rPr>
      </w:pPr>
      <w:r w:rsidRPr="00102B2D">
        <w:rPr>
          <w:rFonts w:cs="Arial"/>
          <w:lang w:val="en-AU"/>
        </w:rPr>
        <w:lastRenderedPageBreak/>
        <w:t xml:space="preserve">Domain </w:t>
      </w:r>
      <w:r w:rsidR="00DB79A1" w:rsidRPr="001800C7">
        <w:rPr>
          <w:rFonts w:cs="Arial"/>
          <w:lang w:val="en-AU"/>
        </w:rPr>
        <w:t>6</w:t>
      </w:r>
      <w:r w:rsidRPr="00102B2D">
        <w:rPr>
          <w:rFonts w:cs="Arial"/>
          <w:lang w:val="en-AU"/>
        </w:rPr>
        <w:t>:</w:t>
      </w:r>
      <w:r w:rsidR="00DB79A1" w:rsidRPr="001800C7">
        <w:rPr>
          <w:rFonts w:cs="Arial"/>
          <w:lang w:val="en-AU"/>
        </w:rPr>
        <w:t xml:space="preserve"> Governance and Accountability </w:t>
      </w:r>
    </w:p>
    <w:p w14:paraId="6221726D" w14:textId="77777777" w:rsidR="00166549" w:rsidRPr="001800C7" w:rsidRDefault="00166549" w:rsidP="00166549">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6.1 – Corporate Governance – </w:t>
      </w:r>
      <w:r w:rsidR="00864849" w:rsidRPr="001800C7">
        <w:rPr>
          <w:rFonts w:cs="Arial"/>
          <w:lang w:val="en-AU"/>
        </w:rPr>
        <w:t xml:space="preserve">requires </w:t>
      </w:r>
      <w:r w:rsidR="00B070A0" w:rsidRPr="001800C7">
        <w:rPr>
          <w:rFonts w:cs="Arial"/>
          <w:lang w:val="en-AU"/>
        </w:rPr>
        <w:t>the entity to have</w:t>
      </w:r>
      <w:r w:rsidR="00864849" w:rsidRPr="001800C7">
        <w:rPr>
          <w:rFonts w:cs="Arial"/>
          <w:lang w:val="en-AU"/>
        </w:rPr>
        <w:t xml:space="preserve"> a formally constituted governing body</w:t>
      </w:r>
      <w:r w:rsidR="003F0D99">
        <w:rPr>
          <w:rFonts w:cs="Arial"/>
          <w:lang w:val="en-AU"/>
        </w:rPr>
        <w:t xml:space="preserve"> that includes independent members</w:t>
      </w:r>
      <w:r w:rsidR="00E40C33">
        <w:rPr>
          <w:rFonts w:cs="Arial"/>
          <w:lang w:val="en-AU"/>
        </w:rPr>
        <w:t xml:space="preserve"> and sets out functions and obligations of the governing body</w:t>
      </w:r>
      <w:r w:rsidR="000F686F" w:rsidRPr="001800C7">
        <w:rPr>
          <w:rFonts w:cs="Arial"/>
          <w:lang w:val="en-AU"/>
        </w:rPr>
        <w:t>.</w:t>
      </w:r>
    </w:p>
    <w:p w14:paraId="382FB9F5" w14:textId="110C35A0" w:rsidR="00166549" w:rsidRPr="001800C7" w:rsidRDefault="00166549" w:rsidP="00166549">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6.2 – </w:t>
      </w:r>
      <w:r w:rsidR="00864849" w:rsidRPr="001800C7">
        <w:rPr>
          <w:rFonts w:cs="Arial"/>
          <w:lang w:val="en-AU"/>
        </w:rPr>
        <w:t>Corporate Monitoring and Accountability</w:t>
      </w:r>
      <w:r w:rsidRPr="001800C7">
        <w:rPr>
          <w:rFonts w:cs="Arial"/>
          <w:lang w:val="en-AU"/>
        </w:rPr>
        <w:t xml:space="preserve"> – </w:t>
      </w:r>
      <w:r w:rsidR="00CD132E">
        <w:rPr>
          <w:rFonts w:cs="Arial"/>
          <w:lang w:val="en-AU"/>
        </w:rPr>
        <w:t xml:space="preserve">requires the provider to demonstrate and the corporate governing body to assure </w:t>
      </w:r>
      <w:r w:rsidR="002F2A3A">
        <w:rPr>
          <w:rFonts w:cs="Arial"/>
          <w:lang w:val="en-AU"/>
        </w:rPr>
        <w:t>themselves</w:t>
      </w:r>
      <w:r w:rsidR="00CD132E">
        <w:rPr>
          <w:rFonts w:cs="Arial"/>
          <w:lang w:val="en-AU"/>
        </w:rPr>
        <w:t xml:space="preserve"> that the provider is operating effectively and sustainably, including in the areas of</w:t>
      </w:r>
      <w:r w:rsidR="003F0D99">
        <w:rPr>
          <w:rFonts w:cs="Arial"/>
          <w:lang w:val="en-AU"/>
        </w:rPr>
        <w:t xml:space="preserve"> ongoing </w:t>
      </w:r>
      <w:r w:rsidR="00864849" w:rsidRPr="001800C7">
        <w:rPr>
          <w:rFonts w:cs="Arial"/>
          <w:lang w:val="en-AU"/>
        </w:rPr>
        <w:t xml:space="preserve">financial viability </w:t>
      </w:r>
      <w:r w:rsidR="003F0D99">
        <w:rPr>
          <w:rFonts w:cs="Arial"/>
          <w:lang w:val="en-AU"/>
        </w:rPr>
        <w:t xml:space="preserve">and risk management, </w:t>
      </w:r>
      <w:r w:rsidR="00DD73C8">
        <w:rPr>
          <w:rFonts w:cs="Arial"/>
          <w:lang w:val="en-AU"/>
        </w:rPr>
        <w:t xml:space="preserve">having in place </w:t>
      </w:r>
      <w:r w:rsidR="000F686F" w:rsidRPr="001800C7">
        <w:rPr>
          <w:rFonts w:cs="Arial"/>
          <w:lang w:val="en-AU"/>
        </w:rPr>
        <w:t>credible business plans and a strong compliance regime.</w:t>
      </w:r>
    </w:p>
    <w:p w14:paraId="19FDB73C" w14:textId="77777777" w:rsidR="00166549" w:rsidRPr="001800C7" w:rsidRDefault="00166549" w:rsidP="00166549">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6.3 – </w:t>
      </w:r>
      <w:r w:rsidR="00864849" w:rsidRPr="001800C7">
        <w:rPr>
          <w:rFonts w:cs="Arial"/>
          <w:lang w:val="en-AU"/>
        </w:rPr>
        <w:t>Academic Governance</w:t>
      </w:r>
      <w:r w:rsidRPr="001800C7">
        <w:rPr>
          <w:rFonts w:cs="Arial"/>
          <w:lang w:val="en-AU"/>
        </w:rPr>
        <w:t xml:space="preserve"> – </w:t>
      </w:r>
      <w:r w:rsidR="000F686F" w:rsidRPr="001800C7">
        <w:rPr>
          <w:rFonts w:cs="Arial"/>
          <w:lang w:val="en-AU"/>
        </w:rPr>
        <w:t xml:space="preserve">requires the entity to have processes and structures established and responsibilities assigned </w:t>
      </w:r>
      <w:r w:rsidR="003F0D99">
        <w:rPr>
          <w:rFonts w:cs="Arial"/>
          <w:lang w:val="en-AU"/>
        </w:rPr>
        <w:t xml:space="preserve">in relation to </w:t>
      </w:r>
      <w:r w:rsidR="000F686F" w:rsidRPr="001800C7">
        <w:rPr>
          <w:rFonts w:cs="Arial"/>
          <w:lang w:val="en-AU"/>
        </w:rPr>
        <w:t xml:space="preserve">academic </w:t>
      </w:r>
      <w:r w:rsidR="003F0D99">
        <w:rPr>
          <w:rFonts w:cs="Arial"/>
          <w:lang w:val="en-AU"/>
        </w:rPr>
        <w:t xml:space="preserve">oversight </w:t>
      </w:r>
      <w:r w:rsidR="000F686F" w:rsidRPr="001800C7">
        <w:rPr>
          <w:rFonts w:cs="Arial"/>
          <w:lang w:val="en-AU"/>
        </w:rPr>
        <w:t>to assure the quality of teaching, learning, research and research training.</w:t>
      </w:r>
    </w:p>
    <w:p w14:paraId="356B3A5C" w14:textId="77777777" w:rsidR="00E640EF" w:rsidRDefault="00E640EF" w:rsidP="001800C7">
      <w:pPr>
        <w:keepNext/>
        <w:jc w:val="left"/>
        <w:rPr>
          <w:rFonts w:cs="Arial"/>
          <w:lang w:val="en-AU"/>
        </w:rPr>
      </w:pPr>
    </w:p>
    <w:p w14:paraId="6DAAB2C9" w14:textId="77777777" w:rsidR="00DB79A1" w:rsidRPr="001800C7" w:rsidRDefault="00F37FF8" w:rsidP="001800C7">
      <w:pPr>
        <w:keepNext/>
        <w:jc w:val="left"/>
        <w:rPr>
          <w:rFonts w:cs="Arial"/>
          <w:lang w:val="en-AU"/>
        </w:rPr>
      </w:pPr>
      <w:r w:rsidRPr="00102B2D">
        <w:rPr>
          <w:rFonts w:cs="Arial"/>
          <w:lang w:val="en-AU"/>
        </w:rPr>
        <w:t xml:space="preserve">Domain </w:t>
      </w:r>
      <w:r w:rsidR="00DB79A1" w:rsidRPr="001800C7">
        <w:rPr>
          <w:rFonts w:cs="Arial"/>
          <w:lang w:val="en-AU"/>
        </w:rPr>
        <w:t>7</w:t>
      </w:r>
      <w:r w:rsidRPr="00102B2D">
        <w:rPr>
          <w:rFonts w:cs="Arial"/>
          <w:lang w:val="en-AU"/>
        </w:rPr>
        <w:t>:</w:t>
      </w:r>
      <w:r w:rsidR="00DB79A1" w:rsidRPr="001800C7">
        <w:rPr>
          <w:rFonts w:cs="Arial"/>
          <w:lang w:val="en-AU"/>
        </w:rPr>
        <w:t xml:space="preserve"> Representation, Information and Information Management </w:t>
      </w:r>
    </w:p>
    <w:p w14:paraId="4899C147" w14:textId="77777777" w:rsidR="000F686F" w:rsidRPr="001800C7" w:rsidRDefault="000F686F" w:rsidP="000F686F">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7.1 – Representation – </w:t>
      </w:r>
      <w:r w:rsidR="006C1A4C">
        <w:rPr>
          <w:rFonts w:cs="Arial"/>
          <w:lang w:val="en-AU"/>
        </w:rPr>
        <w:t xml:space="preserve">obliges </w:t>
      </w:r>
      <w:r w:rsidRPr="001800C7">
        <w:rPr>
          <w:rFonts w:cs="Arial"/>
          <w:lang w:val="en-AU"/>
        </w:rPr>
        <w:t xml:space="preserve">a provider </w:t>
      </w:r>
      <w:r w:rsidR="006C1A4C">
        <w:rPr>
          <w:rFonts w:cs="Arial"/>
          <w:lang w:val="en-AU"/>
        </w:rPr>
        <w:t xml:space="preserve">to </w:t>
      </w:r>
      <w:r w:rsidRPr="001800C7">
        <w:rPr>
          <w:rFonts w:cs="Arial"/>
          <w:lang w:val="en-AU"/>
        </w:rPr>
        <w:t xml:space="preserve">represent itself </w:t>
      </w:r>
      <w:r w:rsidR="006C1A4C">
        <w:rPr>
          <w:rFonts w:cs="Arial"/>
          <w:lang w:val="en-AU"/>
        </w:rPr>
        <w:t xml:space="preserve">accurately </w:t>
      </w:r>
      <w:r w:rsidR="00CF157F">
        <w:rPr>
          <w:rFonts w:cs="Arial"/>
          <w:lang w:val="en-AU"/>
        </w:rPr>
        <w:t xml:space="preserve">and in a manner that is not misleading </w:t>
      </w:r>
      <w:r w:rsidR="006C1A4C">
        <w:rPr>
          <w:rFonts w:cs="Arial"/>
          <w:lang w:val="en-AU"/>
        </w:rPr>
        <w:t xml:space="preserve">and </w:t>
      </w:r>
      <w:r w:rsidR="002F2A3A">
        <w:rPr>
          <w:rFonts w:cs="Arial"/>
          <w:lang w:val="en-AU"/>
        </w:rPr>
        <w:t xml:space="preserve">to </w:t>
      </w:r>
      <w:r w:rsidR="006C1A4C">
        <w:rPr>
          <w:rFonts w:cs="Arial"/>
          <w:lang w:val="en-AU"/>
        </w:rPr>
        <w:t>assure all agency arrangements through the use of formal contracts</w:t>
      </w:r>
      <w:r w:rsidRPr="001800C7">
        <w:rPr>
          <w:rFonts w:cs="Arial"/>
          <w:lang w:val="en-AU"/>
        </w:rPr>
        <w:t>.</w:t>
      </w:r>
    </w:p>
    <w:p w14:paraId="4D98AF29" w14:textId="77777777" w:rsidR="000F686F" w:rsidRPr="001800C7" w:rsidRDefault="000F686F" w:rsidP="000F686F">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7.2 – Information for Prospective and Current Students – </w:t>
      </w:r>
      <w:r w:rsidR="00A102A2">
        <w:rPr>
          <w:rFonts w:cs="Arial"/>
          <w:lang w:val="en-AU"/>
        </w:rPr>
        <w:t xml:space="preserve">sets out the types </w:t>
      </w:r>
      <w:r w:rsidRPr="001800C7">
        <w:rPr>
          <w:rFonts w:cs="Arial"/>
          <w:lang w:val="en-AU"/>
        </w:rPr>
        <w:t xml:space="preserve">of information </w:t>
      </w:r>
      <w:r w:rsidR="00A102A2">
        <w:rPr>
          <w:rFonts w:cs="Arial"/>
          <w:lang w:val="en-AU"/>
        </w:rPr>
        <w:t xml:space="preserve">that must be available </w:t>
      </w:r>
      <w:r w:rsidRPr="001800C7">
        <w:rPr>
          <w:rFonts w:cs="Arial"/>
          <w:lang w:val="en-AU"/>
        </w:rPr>
        <w:t xml:space="preserve">to prospective and enrolled students to </w:t>
      </w:r>
      <w:r w:rsidR="00A102A2">
        <w:rPr>
          <w:rFonts w:cs="Arial"/>
          <w:lang w:val="en-AU"/>
        </w:rPr>
        <w:t>support informed</w:t>
      </w:r>
      <w:r w:rsidR="00A102A2" w:rsidRPr="001800C7">
        <w:rPr>
          <w:rFonts w:cs="Arial"/>
          <w:lang w:val="en-AU"/>
        </w:rPr>
        <w:t xml:space="preserve"> </w:t>
      </w:r>
      <w:r w:rsidRPr="001800C7">
        <w:rPr>
          <w:rFonts w:cs="Arial"/>
          <w:lang w:val="en-AU"/>
        </w:rPr>
        <w:t>decision</w:t>
      </w:r>
      <w:r w:rsidR="00A102A2">
        <w:rPr>
          <w:rFonts w:cs="Arial"/>
          <w:lang w:val="en-AU"/>
        </w:rPr>
        <w:t>-making about the provider’s higher education offerings</w:t>
      </w:r>
      <w:r w:rsidRPr="001800C7">
        <w:rPr>
          <w:rFonts w:cs="Arial"/>
          <w:lang w:val="en-AU"/>
        </w:rPr>
        <w:t>.</w:t>
      </w:r>
    </w:p>
    <w:p w14:paraId="7584A716" w14:textId="77777777" w:rsidR="000F686F" w:rsidRPr="001800C7" w:rsidRDefault="000F686F" w:rsidP="000F686F">
      <w:pPr>
        <w:numPr>
          <w:ilvl w:val="0"/>
          <w:numId w:val="4"/>
        </w:numPr>
        <w:tabs>
          <w:tab w:val="clear" w:pos="1134"/>
        </w:tabs>
        <w:spacing w:before="120" w:after="120"/>
        <w:ind w:left="568" w:hanging="284"/>
        <w:jc w:val="left"/>
        <w:rPr>
          <w:rFonts w:cs="Arial"/>
          <w:lang w:val="en-AU"/>
        </w:rPr>
      </w:pPr>
      <w:r w:rsidRPr="001800C7">
        <w:rPr>
          <w:rFonts w:cs="Arial"/>
          <w:lang w:val="en-AU"/>
        </w:rPr>
        <w:t xml:space="preserve">Section 7.3 – Information Management – </w:t>
      </w:r>
      <w:r w:rsidR="00A102A2">
        <w:rPr>
          <w:rFonts w:cs="Arial"/>
          <w:lang w:val="en-AU"/>
        </w:rPr>
        <w:t xml:space="preserve">specifies a range </w:t>
      </w:r>
      <w:r w:rsidR="00995FEA">
        <w:rPr>
          <w:rFonts w:cs="Arial"/>
          <w:lang w:val="en-AU"/>
        </w:rPr>
        <w:t>of</w:t>
      </w:r>
      <w:r w:rsidR="00A102A2">
        <w:rPr>
          <w:rFonts w:cs="Arial"/>
          <w:lang w:val="en-AU"/>
        </w:rPr>
        <w:t xml:space="preserve"> information</w:t>
      </w:r>
      <w:r w:rsidR="007B52F9">
        <w:rPr>
          <w:rFonts w:cs="Arial"/>
          <w:lang w:val="en-AU"/>
        </w:rPr>
        <w:t xml:space="preserve"> about the higher education provider</w:t>
      </w:r>
      <w:r w:rsidR="00A102A2">
        <w:rPr>
          <w:rFonts w:cs="Arial"/>
          <w:lang w:val="en-AU"/>
        </w:rPr>
        <w:t xml:space="preserve"> that must be available</w:t>
      </w:r>
      <w:r w:rsidR="00A102A2" w:rsidRPr="001800C7">
        <w:rPr>
          <w:rFonts w:cs="Arial"/>
          <w:lang w:val="en-AU"/>
        </w:rPr>
        <w:t xml:space="preserve"> </w:t>
      </w:r>
      <w:r w:rsidR="00A102A2">
        <w:rPr>
          <w:rFonts w:cs="Arial"/>
          <w:lang w:val="en-AU"/>
        </w:rPr>
        <w:t xml:space="preserve">to the general public and the need for accurate and up-to-date </w:t>
      </w:r>
      <w:r w:rsidRPr="001800C7">
        <w:rPr>
          <w:rFonts w:cs="Arial"/>
          <w:lang w:val="en-AU"/>
        </w:rPr>
        <w:t>record keeping.</w:t>
      </w:r>
    </w:p>
    <w:p w14:paraId="7D0AE61C" w14:textId="77777777" w:rsidR="00E640EF" w:rsidRDefault="00E640EF" w:rsidP="001800C7">
      <w:pPr>
        <w:keepNext/>
        <w:jc w:val="left"/>
        <w:rPr>
          <w:rFonts w:cs="Arial"/>
          <w:lang w:val="en-AU"/>
        </w:rPr>
      </w:pPr>
    </w:p>
    <w:p w14:paraId="5950267B" w14:textId="0F76C04C" w:rsidR="00F37FF8" w:rsidRPr="00102B2D" w:rsidRDefault="00F37FF8" w:rsidP="001800C7">
      <w:pPr>
        <w:keepNext/>
        <w:jc w:val="left"/>
        <w:rPr>
          <w:rFonts w:cs="Arial"/>
          <w:lang w:val="en-AU"/>
        </w:rPr>
      </w:pPr>
      <w:r w:rsidRPr="00102B2D">
        <w:rPr>
          <w:rFonts w:cs="Arial"/>
          <w:lang w:val="en-AU"/>
        </w:rPr>
        <w:t>Part B</w:t>
      </w:r>
      <w:r w:rsidR="003B266D">
        <w:rPr>
          <w:rFonts w:cs="Arial"/>
          <w:lang w:val="en-AU"/>
        </w:rPr>
        <w:t>1</w:t>
      </w:r>
      <w:r w:rsidRPr="00102B2D">
        <w:rPr>
          <w:rFonts w:cs="Arial"/>
          <w:lang w:val="en-AU"/>
        </w:rPr>
        <w:t>: Criteria for Classification of Higher Education Provider Categories</w:t>
      </w:r>
    </w:p>
    <w:p w14:paraId="72E11745" w14:textId="59BBEFF6" w:rsidR="00F37FF8" w:rsidRPr="00102B2D" w:rsidRDefault="005F7066" w:rsidP="001800C7">
      <w:pPr>
        <w:numPr>
          <w:ilvl w:val="0"/>
          <w:numId w:val="4"/>
        </w:numPr>
        <w:tabs>
          <w:tab w:val="clear" w:pos="1134"/>
        </w:tabs>
        <w:spacing w:before="120" w:after="120"/>
        <w:ind w:left="568" w:hanging="284"/>
        <w:jc w:val="left"/>
        <w:rPr>
          <w:rFonts w:cs="Arial"/>
          <w:lang w:val="en-AU"/>
        </w:rPr>
      </w:pPr>
      <w:r w:rsidRPr="001800C7">
        <w:rPr>
          <w:rFonts w:cs="Arial"/>
          <w:lang w:val="en-AU"/>
        </w:rPr>
        <w:t>Part B</w:t>
      </w:r>
      <w:r w:rsidR="003B266D">
        <w:rPr>
          <w:rFonts w:cs="Arial"/>
          <w:lang w:val="en-AU"/>
        </w:rPr>
        <w:t>1</w:t>
      </w:r>
      <w:r w:rsidRPr="001800C7">
        <w:rPr>
          <w:rFonts w:cs="Arial"/>
          <w:lang w:val="en-AU"/>
        </w:rPr>
        <w:t xml:space="preserve"> </w:t>
      </w:r>
      <w:r w:rsidR="00995FEA">
        <w:rPr>
          <w:rFonts w:cs="Arial"/>
          <w:lang w:val="en-AU"/>
        </w:rPr>
        <w:t xml:space="preserve">sets out </w:t>
      </w:r>
      <w:r w:rsidR="00994AE0">
        <w:rPr>
          <w:rFonts w:cs="Arial"/>
          <w:lang w:val="en-AU"/>
        </w:rPr>
        <w:t xml:space="preserve">the course offering, research and </w:t>
      </w:r>
      <w:r w:rsidR="00995FEA">
        <w:rPr>
          <w:rFonts w:cs="Arial"/>
          <w:lang w:val="en-AU"/>
        </w:rPr>
        <w:t xml:space="preserve">related </w:t>
      </w:r>
      <w:r w:rsidR="00994AE0">
        <w:rPr>
          <w:rFonts w:cs="Arial"/>
          <w:lang w:val="en-AU"/>
        </w:rPr>
        <w:t xml:space="preserve">characteristics a provider </w:t>
      </w:r>
      <w:r w:rsidR="00995FEA">
        <w:rPr>
          <w:rFonts w:cs="Arial"/>
          <w:lang w:val="en-AU"/>
        </w:rPr>
        <w:t xml:space="preserve">needs in order to be registered by TEQSA under the various provider categories available, </w:t>
      </w:r>
      <w:r w:rsidR="006C7919">
        <w:rPr>
          <w:rFonts w:cs="Arial"/>
          <w:lang w:val="en-AU"/>
        </w:rPr>
        <w:t xml:space="preserve">namely: </w:t>
      </w:r>
      <w:r w:rsidR="00994AE0">
        <w:rPr>
          <w:rFonts w:cs="Arial"/>
          <w:lang w:val="en-AU"/>
        </w:rPr>
        <w:t xml:space="preserve">Higher Education Provider (the basic </w:t>
      </w:r>
      <w:r w:rsidR="00995FEA">
        <w:rPr>
          <w:rFonts w:cs="Arial"/>
          <w:lang w:val="en-AU"/>
        </w:rPr>
        <w:t>classification</w:t>
      </w:r>
      <w:r w:rsidR="00994AE0">
        <w:rPr>
          <w:rFonts w:cs="Arial"/>
          <w:lang w:val="en-AU"/>
        </w:rPr>
        <w:t xml:space="preserve">), </w:t>
      </w:r>
      <w:r w:rsidRPr="001800C7">
        <w:rPr>
          <w:rFonts w:cs="Arial"/>
          <w:lang w:val="en-AU"/>
        </w:rPr>
        <w:t>Australian Universit</w:t>
      </w:r>
      <w:r w:rsidR="006C7919">
        <w:rPr>
          <w:rFonts w:cs="Arial"/>
          <w:lang w:val="en-AU"/>
        </w:rPr>
        <w:t>y</w:t>
      </w:r>
      <w:r w:rsidRPr="001800C7">
        <w:rPr>
          <w:rFonts w:cs="Arial"/>
          <w:lang w:val="en-AU"/>
        </w:rPr>
        <w:t>, Australian University College, Australian University of Specialisation, Overseas University and Overseas University of Specialisation.</w:t>
      </w:r>
    </w:p>
    <w:p w14:paraId="4046A30F" w14:textId="77777777" w:rsidR="00E640EF" w:rsidRDefault="00E640EF" w:rsidP="001800C7">
      <w:pPr>
        <w:keepNext/>
        <w:jc w:val="left"/>
        <w:rPr>
          <w:rFonts w:cs="Arial"/>
          <w:lang w:val="en-AU"/>
        </w:rPr>
      </w:pPr>
    </w:p>
    <w:p w14:paraId="70EA4CFD" w14:textId="19F18DBB" w:rsidR="00F37FF8" w:rsidRPr="00102B2D" w:rsidRDefault="00F37FF8" w:rsidP="001800C7">
      <w:pPr>
        <w:keepNext/>
        <w:jc w:val="left"/>
        <w:rPr>
          <w:rFonts w:cs="Arial"/>
          <w:lang w:val="en-AU"/>
        </w:rPr>
      </w:pPr>
      <w:r w:rsidRPr="00102B2D">
        <w:rPr>
          <w:rFonts w:cs="Arial"/>
          <w:lang w:val="en-AU"/>
        </w:rPr>
        <w:t>Part B</w:t>
      </w:r>
      <w:r w:rsidR="003B266D">
        <w:rPr>
          <w:rFonts w:cs="Arial"/>
          <w:lang w:val="en-AU"/>
        </w:rPr>
        <w:t>2</w:t>
      </w:r>
      <w:r w:rsidRPr="00102B2D">
        <w:rPr>
          <w:rFonts w:cs="Arial"/>
          <w:lang w:val="en-AU"/>
        </w:rPr>
        <w:t xml:space="preserve">: Criteria for </w:t>
      </w:r>
      <w:r w:rsidR="00FE488D" w:rsidRPr="00102B2D">
        <w:rPr>
          <w:rFonts w:cs="Arial"/>
          <w:lang w:val="en-AU"/>
        </w:rPr>
        <w:t>Seeking Authority for Self-Accreditation of Courses of Study</w:t>
      </w:r>
    </w:p>
    <w:p w14:paraId="67987E3E" w14:textId="62D6FED8" w:rsidR="00F37FF8" w:rsidRPr="00102B2D" w:rsidRDefault="005F7066" w:rsidP="001800C7">
      <w:pPr>
        <w:numPr>
          <w:ilvl w:val="0"/>
          <w:numId w:val="4"/>
        </w:numPr>
        <w:tabs>
          <w:tab w:val="clear" w:pos="1134"/>
        </w:tabs>
        <w:spacing w:before="120" w:after="120"/>
        <w:ind w:left="568" w:hanging="284"/>
        <w:jc w:val="left"/>
        <w:rPr>
          <w:rFonts w:cs="Arial"/>
          <w:lang w:val="en-AU"/>
        </w:rPr>
      </w:pPr>
      <w:r w:rsidRPr="001800C7">
        <w:rPr>
          <w:rFonts w:cs="Arial"/>
          <w:lang w:val="en-AU"/>
        </w:rPr>
        <w:t>Part B</w:t>
      </w:r>
      <w:r w:rsidR="003B266D">
        <w:rPr>
          <w:rFonts w:cs="Arial"/>
          <w:lang w:val="en-AU"/>
        </w:rPr>
        <w:t>2</w:t>
      </w:r>
      <w:r w:rsidRPr="001800C7">
        <w:rPr>
          <w:rFonts w:cs="Arial"/>
          <w:lang w:val="en-AU"/>
        </w:rPr>
        <w:t xml:space="preserve"> </w:t>
      </w:r>
      <w:r w:rsidR="008C7873">
        <w:rPr>
          <w:rFonts w:cs="Arial"/>
          <w:lang w:val="en-AU"/>
        </w:rPr>
        <w:t>identifies</w:t>
      </w:r>
      <w:r w:rsidR="008C7873" w:rsidRPr="001800C7">
        <w:rPr>
          <w:rFonts w:cs="Arial"/>
          <w:lang w:val="en-AU"/>
        </w:rPr>
        <w:t xml:space="preserve"> </w:t>
      </w:r>
      <w:r w:rsidRPr="001800C7">
        <w:rPr>
          <w:rFonts w:cs="Arial"/>
          <w:lang w:val="en-AU"/>
        </w:rPr>
        <w:t>the requirements a</w:t>
      </w:r>
      <w:r w:rsidR="008C7873">
        <w:rPr>
          <w:rFonts w:cs="Arial"/>
          <w:lang w:val="en-AU"/>
        </w:rPr>
        <w:t xml:space="preserve"> higher education provider </w:t>
      </w:r>
      <w:r w:rsidRPr="001800C7">
        <w:rPr>
          <w:rFonts w:cs="Arial"/>
          <w:lang w:val="en-AU"/>
        </w:rPr>
        <w:t xml:space="preserve">must meet </w:t>
      </w:r>
      <w:r w:rsidR="008C7873">
        <w:rPr>
          <w:rFonts w:cs="Arial"/>
          <w:lang w:val="en-AU"/>
        </w:rPr>
        <w:t xml:space="preserve">for TEQSA to </w:t>
      </w:r>
      <w:r w:rsidRPr="001800C7">
        <w:rPr>
          <w:rFonts w:cs="Arial"/>
          <w:lang w:val="en-AU"/>
        </w:rPr>
        <w:t>grant</w:t>
      </w:r>
      <w:r w:rsidR="008C7873">
        <w:rPr>
          <w:rFonts w:cs="Arial"/>
          <w:lang w:val="en-AU"/>
        </w:rPr>
        <w:t xml:space="preserve"> it the </w:t>
      </w:r>
      <w:r w:rsidR="00995FEA">
        <w:rPr>
          <w:rFonts w:cs="Arial"/>
          <w:lang w:val="en-AU"/>
        </w:rPr>
        <w:t xml:space="preserve">authority to </w:t>
      </w:r>
      <w:r w:rsidRPr="001800C7">
        <w:rPr>
          <w:rFonts w:cs="Arial"/>
          <w:lang w:val="en-AU"/>
        </w:rPr>
        <w:t>self-accredit</w:t>
      </w:r>
      <w:r w:rsidR="00995FEA">
        <w:rPr>
          <w:rFonts w:cs="Arial"/>
          <w:lang w:val="en-AU"/>
        </w:rPr>
        <w:t xml:space="preserve"> some or all of its courses of study</w:t>
      </w:r>
      <w:r w:rsidRPr="001800C7">
        <w:rPr>
          <w:rFonts w:cs="Arial"/>
          <w:lang w:val="en-AU"/>
        </w:rPr>
        <w:t>.</w:t>
      </w:r>
    </w:p>
    <w:p w14:paraId="603005EF" w14:textId="77777777" w:rsidR="00DB79A1" w:rsidRPr="0043112F" w:rsidRDefault="00DB79A1" w:rsidP="004402BD">
      <w:pPr>
        <w:jc w:val="left"/>
        <w:rPr>
          <w:rFonts w:cs="Arial"/>
          <w:lang w:val="en-AU"/>
        </w:rPr>
      </w:pPr>
    </w:p>
    <w:p w14:paraId="2D6093DE" w14:textId="77777777" w:rsidR="00107CE2" w:rsidRPr="0043112F" w:rsidRDefault="00107CE2" w:rsidP="004402BD">
      <w:pPr>
        <w:pStyle w:val="Subheading"/>
        <w:jc w:val="left"/>
        <w:rPr>
          <w:sz w:val="22"/>
          <w:szCs w:val="22"/>
        </w:rPr>
      </w:pPr>
      <w:r w:rsidRPr="0043112F">
        <w:rPr>
          <w:sz w:val="22"/>
          <w:szCs w:val="22"/>
        </w:rPr>
        <w:t>Application of the Standards for Internal Purposes by Higher Education Providers</w:t>
      </w:r>
    </w:p>
    <w:p w14:paraId="6D1570A8" w14:textId="77777777" w:rsidR="00107CE2" w:rsidRPr="00442624" w:rsidRDefault="00107CE2" w:rsidP="00442624">
      <w:pPr>
        <w:jc w:val="left"/>
        <w:rPr>
          <w:rFonts w:cs="Arial"/>
          <w:lang w:val="en-AU"/>
        </w:rPr>
      </w:pPr>
    </w:p>
    <w:p w14:paraId="6A8FC208" w14:textId="6CFBA259" w:rsidR="00107CE2" w:rsidRPr="0043112F" w:rsidRDefault="00107CE2" w:rsidP="004402BD">
      <w:pPr>
        <w:jc w:val="left"/>
        <w:rPr>
          <w:rFonts w:cs="Arial"/>
          <w:lang w:val="en-AU"/>
        </w:rPr>
      </w:pPr>
      <w:r w:rsidRPr="0043112F">
        <w:rPr>
          <w:rFonts w:cs="Arial"/>
          <w:lang w:val="en-AU"/>
        </w:rPr>
        <w:t xml:space="preserve">The Standards are grounded in the core characteristics of the provision of higher education. </w:t>
      </w:r>
      <w:r w:rsidR="00CF1610" w:rsidRPr="0043112F">
        <w:rPr>
          <w:rFonts w:cs="Arial"/>
          <w:lang w:val="en-AU"/>
        </w:rPr>
        <w:t xml:space="preserve">In </w:t>
      </w:r>
      <w:r w:rsidRPr="0043112F">
        <w:rPr>
          <w:rFonts w:cs="Arial"/>
          <w:lang w:val="en-AU"/>
        </w:rPr>
        <w:t xml:space="preserve">consequence, </w:t>
      </w:r>
      <w:r w:rsidR="00442624">
        <w:rPr>
          <w:rFonts w:cs="Arial"/>
          <w:lang w:val="en-AU"/>
        </w:rPr>
        <w:t>they</w:t>
      </w:r>
      <w:r w:rsidRPr="0043112F">
        <w:rPr>
          <w:rFonts w:cs="Arial"/>
          <w:lang w:val="en-AU"/>
        </w:rPr>
        <w:t xml:space="preserve"> are intended to be useful to higher education providers as a framework for internal monitoring of the quality of their higher education activities. The Standards encompass the matters that a higher education provider would ordinarily be expected to address in the course of understanding and monitoring its higher education activities and managing any associated risks. Each Standard represents an underlying area of risk(s) to be managed. This may </w:t>
      </w:r>
      <w:r w:rsidR="00442624">
        <w:rPr>
          <w:rFonts w:cs="Arial"/>
          <w:lang w:val="en-AU"/>
        </w:rPr>
        <w:t xml:space="preserve">entail </w:t>
      </w:r>
      <w:r w:rsidRPr="0043112F">
        <w:rPr>
          <w:rFonts w:cs="Arial"/>
          <w:lang w:val="en-AU"/>
        </w:rPr>
        <w:t xml:space="preserve">a risk to the quality of education </w:t>
      </w:r>
      <w:r w:rsidR="00D61330">
        <w:rPr>
          <w:rFonts w:cs="Arial"/>
          <w:lang w:val="en-AU"/>
        </w:rPr>
        <w:t>delivered</w:t>
      </w:r>
      <w:r w:rsidRPr="0043112F">
        <w:rPr>
          <w:rFonts w:cs="Arial"/>
          <w:lang w:val="en-AU"/>
        </w:rPr>
        <w:t xml:space="preserve">, to the experiences of students in relation to a higher education provider, to the quality of learning outcomes on graduation, to the reputation of higher education in Australia or a combination of </w:t>
      </w:r>
      <w:r w:rsidR="00442624">
        <w:rPr>
          <w:rFonts w:cs="Arial"/>
          <w:lang w:val="en-AU"/>
        </w:rPr>
        <w:t>different</w:t>
      </w:r>
      <w:r w:rsidR="00442624" w:rsidRPr="0043112F">
        <w:rPr>
          <w:rFonts w:cs="Arial"/>
          <w:lang w:val="en-AU"/>
        </w:rPr>
        <w:t xml:space="preserve"> </w:t>
      </w:r>
      <w:r w:rsidRPr="0043112F">
        <w:rPr>
          <w:rFonts w:cs="Arial"/>
          <w:lang w:val="en-AU"/>
        </w:rPr>
        <w:t>types of risks.</w:t>
      </w:r>
    </w:p>
    <w:p w14:paraId="2813A76A" w14:textId="77777777" w:rsidR="00107CE2" w:rsidRPr="0043112F" w:rsidRDefault="00107CE2" w:rsidP="004402BD">
      <w:pPr>
        <w:jc w:val="left"/>
        <w:rPr>
          <w:rFonts w:cs="Arial"/>
          <w:lang w:val="en-AU"/>
        </w:rPr>
      </w:pPr>
    </w:p>
    <w:p w14:paraId="150A66AD" w14:textId="77777777" w:rsidR="00107CE2" w:rsidRPr="0043112F" w:rsidRDefault="00107CE2" w:rsidP="004402BD">
      <w:pPr>
        <w:jc w:val="left"/>
        <w:rPr>
          <w:rFonts w:cs="Arial"/>
          <w:lang w:val="en-AU"/>
        </w:rPr>
      </w:pPr>
      <w:r w:rsidRPr="0043112F">
        <w:rPr>
          <w:rFonts w:cs="Arial"/>
          <w:lang w:val="en-AU"/>
        </w:rPr>
        <w:lastRenderedPageBreak/>
        <w:t xml:space="preserve">From the standpoint of internal use by higher education providers, the Standards focus on aspects of a higher education provider’s operations in different but inter-related ways. Domain 1 (Student Participation and Attainment) focuses primarily on the educational experience for students, while Domains 2-4 (Learning Environment, Teaching, </w:t>
      </w:r>
      <w:r w:rsidR="002F2A3A">
        <w:rPr>
          <w:rFonts w:cs="Arial"/>
          <w:lang w:val="en-AU"/>
        </w:rPr>
        <w:t xml:space="preserve">and </w:t>
      </w:r>
      <w:r w:rsidRPr="0043112F">
        <w:rPr>
          <w:rFonts w:cs="Arial"/>
          <w:lang w:val="en-AU"/>
        </w:rPr>
        <w:t xml:space="preserve">Research and Research Training) focus on the academic activities of the provider and the environments in which they occur. Together, Domains </w:t>
      </w:r>
      <w:r w:rsidR="00030345">
        <w:rPr>
          <w:rFonts w:cs="Arial"/>
          <w:lang w:val="en-AU"/>
        </w:rPr>
        <w:t>1</w:t>
      </w:r>
      <w:r w:rsidRPr="0043112F">
        <w:rPr>
          <w:rFonts w:cs="Arial"/>
          <w:lang w:val="en-AU"/>
        </w:rPr>
        <w:t>-4 address in specific ways a variety of risks to the quality of higher education and the experiences of students.</w:t>
      </w:r>
    </w:p>
    <w:p w14:paraId="4B11B42B" w14:textId="77777777" w:rsidR="00107CE2" w:rsidRPr="0043112F" w:rsidRDefault="00107CE2" w:rsidP="004402BD">
      <w:pPr>
        <w:jc w:val="left"/>
        <w:rPr>
          <w:rFonts w:cs="Arial"/>
          <w:lang w:val="en-AU"/>
        </w:rPr>
      </w:pPr>
    </w:p>
    <w:p w14:paraId="0139ADBE" w14:textId="6713EE6A" w:rsidR="00107CE2" w:rsidRDefault="00107CE2" w:rsidP="00442624">
      <w:pPr>
        <w:jc w:val="left"/>
        <w:rPr>
          <w:rFonts w:cs="Arial"/>
          <w:lang w:val="en-AU"/>
        </w:rPr>
      </w:pPr>
      <w:r w:rsidRPr="0043112F">
        <w:rPr>
          <w:rFonts w:cs="Arial"/>
          <w:lang w:val="en-AU"/>
        </w:rPr>
        <w:t xml:space="preserve">Domains </w:t>
      </w:r>
      <w:r w:rsidR="007959E6">
        <w:rPr>
          <w:rFonts w:cs="Arial"/>
          <w:lang w:val="en-AU"/>
        </w:rPr>
        <w:t>5 (</w:t>
      </w:r>
      <w:r w:rsidRPr="0043112F">
        <w:rPr>
          <w:rFonts w:cs="Arial"/>
          <w:lang w:val="en-AU"/>
        </w:rPr>
        <w:t>Institutional Quality Assurance</w:t>
      </w:r>
      <w:r w:rsidR="00CF1610" w:rsidRPr="0043112F">
        <w:rPr>
          <w:rFonts w:cs="Arial"/>
          <w:lang w:val="en-AU"/>
        </w:rPr>
        <w:t xml:space="preserve">) and </w:t>
      </w:r>
      <w:r w:rsidR="007959E6">
        <w:rPr>
          <w:rFonts w:cs="Arial"/>
          <w:lang w:val="en-AU"/>
        </w:rPr>
        <w:t>6 (</w:t>
      </w:r>
      <w:r w:rsidR="00CF1610" w:rsidRPr="0043112F">
        <w:rPr>
          <w:rFonts w:cs="Arial"/>
          <w:lang w:val="en-AU"/>
        </w:rPr>
        <w:t xml:space="preserve">Governance and Accountability) </w:t>
      </w:r>
      <w:r w:rsidRPr="0043112F">
        <w:rPr>
          <w:rFonts w:cs="Arial"/>
          <w:lang w:val="en-AU"/>
        </w:rPr>
        <w:t>are more overarching in nature. The</w:t>
      </w:r>
      <w:r w:rsidR="00442624">
        <w:rPr>
          <w:rFonts w:cs="Arial"/>
          <w:lang w:val="en-AU"/>
        </w:rPr>
        <w:t>y</w:t>
      </w:r>
      <w:r w:rsidRPr="0043112F">
        <w:rPr>
          <w:rFonts w:cs="Arial"/>
          <w:lang w:val="en-AU"/>
        </w:rPr>
        <w:t xml:space="preserve"> encompass the ways in which a higher education provider would ordinarily maintain oversight of its higher education operations and be able to assure itself, in the normal course of its business, that the requirements of the Standards are being met.</w:t>
      </w:r>
      <w:r w:rsidR="00442624">
        <w:rPr>
          <w:rFonts w:cs="Arial"/>
          <w:lang w:val="en-AU"/>
        </w:rPr>
        <w:t xml:space="preserve"> D</w:t>
      </w:r>
      <w:r w:rsidR="00CF1610" w:rsidRPr="0043112F">
        <w:rPr>
          <w:rFonts w:cs="Arial"/>
          <w:lang w:val="en-AU"/>
        </w:rPr>
        <w:t xml:space="preserve">eficiencies </w:t>
      </w:r>
      <w:r w:rsidRPr="0043112F">
        <w:rPr>
          <w:rFonts w:cs="Arial"/>
          <w:lang w:val="en-AU"/>
        </w:rPr>
        <w:t>identified by a higher education provider in meet</w:t>
      </w:r>
      <w:r w:rsidR="00CF1610" w:rsidRPr="0043112F">
        <w:rPr>
          <w:rFonts w:cs="Arial"/>
          <w:lang w:val="en-AU"/>
        </w:rPr>
        <w:t>ing</w:t>
      </w:r>
      <w:r w:rsidRPr="0043112F">
        <w:rPr>
          <w:rFonts w:cs="Arial"/>
          <w:lang w:val="en-AU"/>
        </w:rPr>
        <w:t xml:space="preserve"> the</w:t>
      </w:r>
      <w:r w:rsidR="00442624">
        <w:rPr>
          <w:rFonts w:cs="Arial"/>
          <w:lang w:val="en-AU"/>
        </w:rPr>
        <w:t>se</w:t>
      </w:r>
      <w:r w:rsidRPr="0043112F">
        <w:rPr>
          <w:rFonts w:cs="Arial"/>
          <w:lang w:val="en-AU"/>
        </w:rPr>
        <w:t xml:space="preserve"> Standards would be expected to cause deeper examination of the provider’s compliance with the Standards overall, guided by the risks that have been identified.</w:t>
      </w:r>
    </w:p>
    <w:p w14:paraId="1CCAF684" w14:textId="77777777" w:rsidR="007959E6" w:rsidRDefault="007959E6" w:rsidP="00442624">
      <w:pPr>
        <w:jc w:val="left"/>
        <w:rPr>
          <w:rFonts w:cs="Arial"/>
          <w:lang w:val="en-AU"/>
        </w:rPr>
      </w:pPr>
    </w:p>
    <w:p w14:paraId="315FEB0A" w14:textId="77777777" w:rsidR="007959E6" w:rsidRPr="0043112F" w:rsidRDefault="007959E6" w:rsidP="00442624">
      <w:pPr>
        <w:jc w:val="left"/>
        <w:rPr>
          <w:rFonts w:cs="Arial"/>
          <w:lang w:val="en-AU"/>
        </w:rPr>
      </w:pPr>
      <w:r>
        <w:rPr>
          <w:rFonts w:cs="Arial"/>
          <w:lang w:val="en-AU"/>
        </w:rPr>
        <w:t>The principles set out in Domain 7 (</w:t>
      </w:r>
      <w:r w:rsidRPr="001800C7">
        <w:rPr>
          <w:rFonts w:cs="Arial"/>
          <w:lang w:val="en-AU"/>
        </w:rPr>
        <w:t>Representation, Information and Information Management</w:t>
      </w:r>
      <w:r>
        <w:rPr>
          <w:rFonts w:cs="Arial"/>
          <w:lang w:val="en-AU"/>
        </w:rPr>
        <w:t>) underpin a provider’s effective engagement with all of its internal and external stakeholders</w:t>
      </w:r>
      <w:r w:rsidR="002F2A3A">
        <w:rPr>
          <w:rFonts w:cs="Arial"/>
          <w:lang w:val="en-AU"/>
        </w:rPr>
        <w:t>,</w:t>
      </w:r>
      <w:r>
        <w:rPr>
          <w:rFonts w:cs="Arial"/>
          <w:lang w:val="en-AU"/>
        </w:rPr>
        <w:t xml:space="preserve"> including students and the general public.</w:t>
      </w:r>
    </w:p>
    <w:p w14:paraId="47C8AFBE" w14:textId="77777777" w:rsidR="00107CE2" w:rsidRPr="0043112F" w:rsidRDefault="00107CE2" w:rsidP="004402BD">
      <w:pPr>
        <w:pStyle w:val="Subheading"/>
        <w:jc w:val="left"/>
        <w:rPr>
          <w:b w:val="0"/>
          <w:sz w:val="22"/>
          <w:szCs w:val="22"/>
          <w:lang w:val="en-AU"/>
        </w:rPr>
      </w:pPr>
    </w:p>
    <w:p w14:paraId="790AEAB1" w14:textId="77777777" w:rsidR="00107CE2" w:rsidRPr="0043112F" w:rsidRDefault="00107CE2" w:rsidP="004402BD">
      <w:pPr>
        <w:pStyle w:val="Subheading"/>
        <w:jc w:val="left"/>
        <w:rPr>
          <w:sz w:val="22"/>
          <w:szCs w:val="22"/>
        </w:rPr>
      </w:pPr>
      <w:r w:rsidRPr="0043112F">
        <w:rPr>
          <w:sz w:val="22"/>
          <w:szCs w:val="22"/>
        </w:rPr>
        <w:t xml:space="preserve">Applicability of the Standards to Particular Higher Education Providers or Categories of Higher Education Provider </w:t>
      </w:r>
    </w:p>
    <w:p w14:paraId="32DA8894" w14:textId="77777777" w:rsidR="00107CE2" w:rsidRPr="00AC3CDB" w:rsidRDefault="00107CE2" w:rsidP="00AC3CDB">
      <w:pPr>
        <w:jc w:val="left"/>
        <w:rPr>
          <w:rFonts w:cs="Arial"/>
          <w:lang w:val="en-AU"/>
        </w:rPr>
      </w:pPr>
    </w:p>
    <w:p w14:paraId="04B66E69" w14:textId="02AE4F7F" w:rsidR="00107CE2" w:rsidRPr="0043112F" w:rsidRDefault="00107CE2" w:rsidP="004402BD">
      <w:pPr>
        <w:jc w:val="left"/>
        <w:rPr>
          <w:rFonts w:cs="Arial"/>
        </w:rPr>
      </w:pPr>
      <w:r w:rsidRPr="0043112F">
        <w:rPr>
          <w:rFonts w:cs="Arial"/>
          <w:lang w:val="en-AU"/>
        </w:rPr>
        <w:t xml:space="preserve">Under the TEQSA Act, registered higher education providers </w:t>
      </w:r>
      <w:r w:rsidR="002F4406">
        <w:rPr>
          <w:rFonts w:cs="Arial"/>
          <w:lang w:val="en-AU"/>
        </w:rPr>
        <w:t xml:space="preserve">are </w:t>
      </w:r>
      <w:r w:rsidR="002F4406" w:rsidRPr="0043112F">
        <w:rPr>
          <w:rFonts w:cs="Arial"/>
          <w:lang w:val="en-AU"/>
        </w:rPr>
        <w:t>oblig</w:t>
      </w:r>
      <w:r w:rsidR="002F4406">
        <w:rPr>
          <w:rFonts w:cs="Arial"/>
          <w:lang w:val="en-AU"/>
        </w:rPr>
        <w:t xml:space="preserve">ed to </w:t>
      </w:r>
      <w:r w:rsidRPr="0043112F">
        <w:rPr>
          <w:rFonts w:cs="Arial"/>
          <w:lang w:val="en-AU"/>
        </w:rPr>
        <w:t xml:space="preserve">meet and continue to meet the </w:t>
      </w:r>
      <w:r w:rsidR="003B6E91">
        <w:rPr>
          <w:rFonts w:cs="Arial"/>
          <w:lang w:val="en-AU"/>
        </w:rPr>
        <w:t xml:space="preserve">Threshold </w:t>
      </w:r>
      <w:r w:rsidRPr="0043112F">
        <w:rPr>
          <w:rFonts w:cs="Arial"/>
          <w:lang w:val="en-AU"/>
        </w:rPr>
        <w:t>Standards. The Standards are applicable, irrespective of the category of provider. The Standards cover all modes of participation and delivery, and all categories of students</w:t>
      </w:r>
      <w:r w:rsidRPr="0043112F">
        <w:rPr>
          <w:rFonts w:cs="Arial"/>
        </w:rPr>
        <w:t>.</w:t>
      </w:r>
    </w:p>
    <w:p w14:paraId="65B6610C" w14:textId="77777777" w:rsidR="00107CE2" w:rsidRPr="0043112F" w:rsidRDefault="00107CE2" w:rsidP="004402BD">
      <w:pPr>
        <w:jc w:val="left"/>
        <w:rPr>
          <w:rFonts w:cs="Arial"/>
        </w:rPr>
      </w:pPr>
    </w:p>
    <w:p w14:paraId="20B5FE53" w14:textId="3089D566" w:rsidR="00107CE2" w:rsidRPr="0043112F" w:rsidRDefault="00107CE2" w:rsidP="004402BD">
      <w:pPr>
        <w:jc w:val="left"/>
        <w:rPr>
          <w:rFonts w:cs="Arial"/>
          <w:lang w:val="en-AU"/>
        </w:rPr>
      </w:pPr>
      <w:r w:rsidRPr="0043112F">
        <w:rPr>
          <w:rFonts w:cs="Arial"/>
          <w:lang w:val="en-AU"/>
        </w:rPr>
        <w:t xml:space="preserve">Some </w:t>
      </w:r>
      <w:r w:rsidR="00B46797">
        <w:rPr>
          <w:rFonts w:cs="Arial"/>
          <w:lang w:val="en-AU"/>
        </w:rPr>
        <w:t>elements</w:t>
      </w:r>
      <w:r w:rsidR="00B46797" w:rsidRPr="0043112F">
        <w:rPr>
          <w:rFonts w:cs="Arial"/>
          <w:lang w:val="en-AU"/>
        </w:rPr>
        <w:t xml:space="preserve"> </w:t>
      </w:r>
      <w:r w:rsidRPr="0043112F">
        <w:rPr>
          <w:rFonts w:cs="Arial"/>
          <w:lang w:val="en-AU"/>
        </w:rPr>
        <w:t xml:space="preserve">of </w:t>
      </w:r>
      <w:r w:rsidR="00B46797">
        <w:rPr>
          <w:rFonts w:cs="Arial"/>
          <w:lang w:val="en-AU"/>
        </w:rPr>
        <w:t xml:space="preserve">Part A </w:t>
      </w:r>
      <w:r w:rsidRPr="0043112F">
        <w:rPr>
          <w:rFonts w:cs="Arial"/>
          <w:lang w:val="en-AU"/>
        </w:rPr>
        <w:t xml:space="preserve">will not apply to particular higher education providers. For example, Standards related to delivery arrangements between a registered higher education provider and </w:t>
      </w:r>
      <w:r w:rsidR="002F4406">
        <w:rPr>
          <w:rFonts w:cs="Arial"/>
          <w:lang w:val="en-AU"/>
        </w:rPr>
        <w:t>third</w:t>
      </w:r>
      <w:r w:rsidR="002F4406" w:rsidRPr="0043112F">
        <w:rPr>
          <w:rFonts w:cs="Arial"/>
          <w:lang w:val="en-AU"/>
        </w:rPr>
        <w:t xml:space="preserve"> </w:t>
      </w:r>
      <w:r w:rsidRPr="0043112F">
        <w:rPr>
          <w:rFonts w:cs="Arial"/>
          <w:lang w:val="en-AU"/>
        </w:rPr>
        <w:t>parties will not appl</w:t>
      </w:r>
      <w:r w:rsidR="00DB79A1">
        <w:rPr>
          <w:rFonts w:cs="Arial"/>
          <w:lang w:val="en-AU"/>
        </w:rPr>
        <w:t>y</w:t>
      </w:r>
      <w:r w:rsidRPr="0043112F">
        <w:rPr>
          <w:rFonts w:cs="Arial"/>
          <w:lang w:val="en-AU"/>
        </w:rPr>
        <w:t xml:space="preserve"> where </w:t>
      </w:r>
      <w:r w:rsidR="00DB79A1">
        <w:rPr>
          <w:rFonts w:cs="Arial"/>
          <w:lang w:val="en-AU"/>
        </w:rPr>
        <w:t xml:space="preserve">no </w:t>
      </w:r>
      <w:r w:rsidRPr="0043112F">
        <w:rPr>
          <w:rFonts w:cs="Arial"/>
          <w:lang w:val="en-AU"/>
        </w:rPr>
        <w:t xml:space="preserve">such arrangements exist. Similarly, the Research Standards are not applicable to higher education providers that do not undertake research. However, if research training is conducted, the Standards </w:t>
      </w:r>
      <w:r w:rsidR="00B46797">
        <w:rPr>
          <w:rFonts w:cs="Arial"/>
          <w:lang w:val="en-AU"/>
        </w:rPr>
        <w:t>in sections 4.1 (r</w:t>
      </w:r>
      <w:r w:rsidRPr="0043112F">
        <w:rPr>
          <w:rFonts w:cs="Arial"/>
          <w:lang w:val="en-AU"/>
        </w:rPr>
        <w:t>esearch</w:t>
      </w:r>
      <w:r w:rsidR="00B46797">
        <w:rPr>
          <w:rFonts w:cs="Arial"/>
          <w:lang w:val="en-AU"/>
        </w:rPr>
        <w:t>)</w:t>
      </w:r>
      <w:r w:rsidRPr="0043112F">
        <w:rPr>
          <w:rFonts w:cs="Arial"/>
          <w:lang w:val="en-AU"/>
        </w:rPr>
        <w:t xml:space="preserve"> and </w:t>
      </w:r>
      <w:r w:rsidR="00B46797">
        <w:rPr>
          <w:rFonts w:cs="Arial"/>
          <w:lang w:val="en-AU"/>
        </w:rPr>
        <w:t>4.2 (r</w:t>
      </w:r>
      <w:r w:rsidRPr="0043112F">
        <w:rPr>
          <w:rFonts w:cs="Arial"/>
          <w:lang w:val="en-AU"/>
        </w:rPr>
        <w:t xml:space="preserve">esearch </w:t>
      </w:r>
      <w:r w:rsidR="00B46797">
        <w:rPr>
          <w:rFonts w:cs="Arial"/>
          <w:lang w:val="en-AU"/>
        </w:rPr>
        <w:t>t</w:t>
      </w:r>
      <w:r w:rsidRPr="0043112F">
        <w:rPr>
          <w:rFonts w:cs="Arial"/>
          <w:lang w:val="en-AU"/>
        </w:rPr>
        <w:t>raining</w:t>
      </w:r>
      <w:r w:rsidR="00B46797">
        <w:rPr>
          <w:rFonts w:cs="Arial"/>
          <w:lang w:val="en-AU"/>
        </w:rPr>
        <w:t>)</w:t>
      </w:r>
      <w:r w:rsidRPr="0043112F">
        <w:rPr>
          <w:rFonts w:cs="Arial"/>
          <w:lang w:val="en-AU"/>
        </w:rPr>
        <w:t xml:space="preserve"> both appl</w:t>
      </w:r>
      <w:r w:rsidR="00DB79A1">
        <w:rPr>
          <w:rFonts w:cs="Arial"/>
          <w:lang w:val="en-AU"/>
        </w:rPr>
        <w:t>y</w:t>
      </w:r>
      <w:r w:rsidRPr="0043112F">
        <w:rPr>
          <w:rFonts w:cs="Arial"/>
          <w:lang w:val="en-AU"/>
        </w:rPr>
        <w:t>.</w:t>
      </w:r>
    </w:p>
    <w:p w14:paraId="00EA7E63" w14:textId="77777777" w:rsidR="00107CE2" w:rsidRPr="0043112F" w:rsidRDefault="00107CE2" w:rsidP="004402BD">
      <w:pPr>
        <w:jc w:val="left"/>
        <w:rPr>
          <w:rFonts w:cs="Arial"/>
          <w:lang w:val="en-AU"/>
        </w:rPr>
      </w:pPr>
    </w:p>
    <w:p w14:paraId="3EFF5356" w14:textId="32CC706A" w:rsidR="004D56AB" w:rsidRPr="002E52E4" w:rsidRDefault="009B4C43" w:rsidP="009B4C43">
      <w:pPr>
        <w:jc w:val="left"/>
        <w:rPr>
          <w:rFonts w:cs="Arial"/>
          <w:lang w:val="en-AU"/>
        </w:rPr>
      </w:pPr>
      <w:r>
        <w:rPr>
          <w:lang w:val="en-AU"/>
        </w:rPr>
        <w:t xml:space="preserve">In accordance with </w:t>
      </w:r>
      <w:r w:rsidRPr="00990164">
        <w:rPr>
          <w:lang w:val="en-AU"/>
        </w:rPr>
        <w:t>the basic principles for regulation in the TEQSA Act</w:t>
      </w:r>
      <w:r>
        <w:rPr>
          <w:lang w:val="en-AU"/>
        </w:rPr>
        <w:t>, t</w:t>
      </w:r>
      <w:r w:rsidR="00C96A33" w:rsidRPr="00990164">
        <w:rPr>
          <w:rFonts w:cs="Arial"/>
          <w:lang w:val="en-AU"/>
        </w:rPr>
        <w:t>he revised</w:t>
      </w:r>
      <w:r w:rsidR="002F2A3A">
        <w:rPr>
          <w:rFonts w:cs="Arial"/>
          <w:lang w:val="en-AU"/>
        </w:rPr>
        <w:t xml:space="preserve"> Standards</w:t>
      </w:r>
      <w:r w:rsidR="00C96A33">
        <w:rPr>
          <w:rFonts w:cs="Arial"/>
          <w:lang w:val="en-AU"/>
        </w:rPr>
        <w:t xml:space="preserve"> support</w:t>
      </w:r>
      <w:r w:rsidR="00C96A33" w:rsidRPr="00990164">
        <w:rPr>
          <w:rFonts w:cs="Arial"/>
          <w:lang w:val="en-AU"/>
        </w:rPr>
        <w:t xml:space="preserve"> TEQSA</w:t>
      </w:r>
      <w:r w:rsidR="00C96A33">
        <w:rPr>
          <w:rFonts w:cs="Arial"/>
          <w:lang w:val="en-AU"/>
        </w:rPr>
        <w:t xml:space="preserve">’s continued use of a </w:t>
      </w:r>
      <w:r w:rsidR="004D56AB" w:rsidRPr="00466639">
        <w:rPr>
          <w:rFonts w:cs="Arial"/>
          <w:lang w:val="en-AU"/>
        </w:rPr>
        <w:t>risk-based</w:t>
      </w:r>
      <w:r>
        <w:rPr>
          <w:rFonts w:cs="Arial"/>
          <w:lang w:val="en-AU"/>
        </w:rPr>
        <w:t>,</w:t>
      </w:r>
      <w:r w:rsidR="004D56AB" w:rsidRPr="00466639">
        <w:rPr>
          <w:rFonts w:cs="Arial"/>
          <w:lang w:val="en-AU"/>
        </w:rPr>
        <w:t xml:space="preserve"> </w:t>
      </w:r>
      <w:r w:rsidRPr="00466639">
        <w:rPr>
          <w:rFonts w:cs="Arial"/>
          <w:lang w:val="en-AU"/>
        </w:rPr>
        <w:t xml:space="preserve">targeted </w:t>
      </w:r>
      <w:r w:rsidR="00C96A33">
        <w:rPr>
          <w:rFonts w:cs="Arial"/>
          <w:lang w:val="en-AU"/>
        </w:rPr>
        <w:t>approach to determining the scope of assessment</w:t>
      </w:r>
      <w:r>
        <w:rPr>
          <w:rFonts w:cs="Arial"/>
          <w:lang w:val="en-AU"/>
        </w:rPr>
        <w:t xml:space="preserve"> required. </w:t>
      </w:r>
      <w:r w:rsidR="00C96A33">
        <w:rPr>
          <w:rFonts w:cs="Arial"/>
          <w:lang w:val="en-AU"/>
        </w:rPr>
        <w:t>P</w:t>
      </w:r>
      <w:r w:rsidR="004D56AB" w:rsidRPr="00466639">
        <w:rPr>
          <w:rFonts w:cs="Arial"/>
          <w:lang w:val="en-AU"/>
        </w:rPr>
        <w:t xml:space="preserve">roviders with a sound history of higher education delivery and no significant compliance or risk concerns </w:t>
      </w:r>
      <w:r>
        <w:rPr>
          <w:rFonts w:cs="Arial"/>
          <w:lang w:val="en-AU"/>
        </w:rPr>
        <w:t xml:space="preserve">may </w:t>
      </w:r>
      <w:r w:rsidR="004D56AB" w:rsidRPr="00466639">
        <w:rPr>
          <w:rFonts w:cs="Arial"/>
          <w:lang w:val="en-AU"/>
        </w:rPr>
        <w:t xml:space="preserve">benefit from </w:t>
      </w:r>
      <w:r>
        <w:rPr>
          <w:rFonts w:cs="Arial"/>
          <w:lang w:val="en-AU"/>
        </w:rPr>
        <w:t xml:space="preserve">a more limited </w:t>
      </w:r>
      <w:r w:rsidR="004D56AB" w:rsidRPr="00466639">
        <w:rPr>
          <w:rFonts w:cs="Arial"/>
          <w:lang w:val="en-AU"/>
        </w:rPr>
        <w:t>assessment</w:t>
      </w:r>
      <w:r>
        <w:rPr>
          <w:rFonts w:cs="Arial"/>
          <w:lang w:val="en-AU"/>
        </w:rPr>
        <w:t>,</w:t>
      </w:r>
      <w:r w:rsidR="004D56AB" w:rsidRPr="00466639">
        <w:rPr>
          <w:rFonts w:cs="Arial"/>
          <w:lang w:val="en-AU"/>
        </w:rPr>
        <w:t xml:space="preserve"> requiring less evidence and information </w:t>
      </w:r>
      <w:r>
        <w:rPr>
          <w:rFonts w:cs="Arial"/>
          <w:lang w:val="en-AU"/>
        </w:rPr>
        <w:t xml:space="preserve">to be gathered </w:t>
      </w:r>
      <w:r w:rsidR="004D56AB" w:rsidRPr="00466639">
        <w:rPr>
          <w:rFonts w:cs="Arial"/>
          <w:lang w:val="en-AU"/>
        </w:rPr>
        <w:t>at the time of application</w:t>
      </w:r>
      <w:r>
        <w:rPr>
          <w:rFonts w:cs="Arial"/>
          <w:lang w:val="en-AU"/>
        </w:rPr>
        <w:t xml:space="preserve">. Newer providers and those </w:t>
      </w:r>
      <w:r w:rsidR="004D56AB" w:rsidRPr="00466639">
        <w:rPr>
          <w:rFonts w:cs="Arial"/>
          <w:lang w:val="en-AU"/>
        </w:rPr>
        <w:t>with compliance or risk concerns</w:t>
      </w:r>
      <w:r>
        <w:rPr>
          <w:rFonts w:cs="Arial"/>
          <w:lang w:val="en-AU"/>
        </w:rPr>
        <w:t xml:space="preserve"> may be required to provide evidence against the full range of Standards</w:t>
      </w:r>
      <w:r w:rsidR="004D56AB" w:rsidRPr="00466639">
        <w:rPr>
          <w:rFonts w:cs="Arial"/>
          <w:lang w:val="en-AU"/>
        </w:rPr>
        <w:t>.</w:t>
      </w:r>
    </w:p>
    <w:p w14:paraId="642CECFF" w14:textId="77777777" w:rsidR="00BA15D9" w:rsidRDefault="00BA15D9">
      <w:pPr>
        <w:tabs>
          <w:tab w:val="clear" w:pos="1134"/>
        </w:tabs>
        <w:spacing w:after="200" w:line="276" w:lineRule="auto"/>
        <w:jc w:val="left"/>
        <w:rPr>
          <w:rFonts w:cs="Arial"/>
          <w:lang w:val="en-AU"/>
        </w:rPr>
      </w:pPr>
    </w:p>
    <w:p w14:paraId="2A8CE760" w14:textId="77777777" w:rsidR="00AD5B3F" w:rsidRDefault="00AD5B3F">
      <w:pPr>
        <w:tabs>
          <w:tab w:val="clear" w:pos="1134"/>
        </w:tabs>
        <w:spacing w:after="200" w:line="276" w:lineRule="auto"/>
        <w:jc w:val="left"/>
        <w:rPr>
          <w:rFonts w:cs="Arial"/>
          <w:lang w:val="en-AU"/>
        </w:rPr>
      </w:pPr>
      <w:r>
        <w:rPr>
          <w:rFonts w:cs="Arial"/>
          <w:lang w:val="en-AU"/>
        </w:rPr>
        <w:br w:type="page"/>
      </w:r>
    </w:p>
    <w:p w14:paraId="7A952790" w14:textId="77777777" w:rsidR="00107CE2" w:rsidRPr="00EE1EB7" w:rsidRDefault="00332109" w:rsidP="00633001">
      <w:pPr>
        <w:jc w:val="center"/>
        <w:rPr>
          <w:rFonts w:cs="Arial"/>
          <w:b/>
          <w:lang w:val="en-AU"/>
        </w:rPr>
      </w:pPr>
      <w:r w:rsidRPr="00EE1EB7">
        <w:rPr>
          <w:rFonts w:cs="Arial"/>
          <w:b/>
          <w:lang w:val="en-AU"/>
        </w:rPr>
        <w:lastRenderedPageBreak/>
        <w:t>Statement of Compatibility with Human Rights</w:t>
      </w:r>
    </w:p>
    <w:p w14:paraId="471BA969" w14:textId="77777777" w:rsidR="00332109" w:rsidRDefault="00332109" w:rsidP="00633001">
      <w:pPr>
        <w:jc w:val="center"/>
        <w:rPr>
          <w:rFonts w:cs="Arial"/>
          <w:lang w:val="en-AU"/>
        </w:rPr>
      </w:pPr>
    </w:p>
    <w:p w14:paraId="0B3F02C8" w14:textId="77777777" w:rsidR="00332109" w:rsidRPr="00EE1EB7" w:rsidRDefault="00332109" w:rsidP="00633001">
      <w:pPr>
        <w:jc w:val="center"/>
        <w:rPr>
          <w:rFonts w:cs="Arial"/>
          <w:i/>
          <w:lang w:val="en-AU"/>
        </w:rPr>
      </w:pPr>
      <w:r w:rsidRPr="00633001">
        <w:rPr>
          <w:rFonts w:cs="Arial"/>
          <w:lang w:val="en-AU"/>
        </w:rPr>
        <w:t>Prepared in accordance with Part 3 of the</w:t>
      </w:r>
      <w:r w:rsidRPr="00EE1EB7">
        <w:rPr>
          <w:rFonts w:cs="Arial"/>
          <w:i/>
          <w:lang w:val="en-AU"/>
        </w:rPr>
        <w:t xml:space="preserve"> Human Rights (Parliamentary Scrutiny) Act 2011</w:t>
      </w:r>
    </w:p>
    <w:p w14:paraId="0B5A59C6" w14:textId="77777777" w:rsidR="00EE1EB7" w:rsidRDefault="00EE1EB7" w:rsidP="00633001">
      <w:pPr>
        <w:jc w:val="center"/>
        <w:rPr>
          <w:rFonts w:cs="Arial"/>
          <w:lang w:val="en-AU"/>
        </w:rPr>
      </w:pPr>
    </w:p>
    <w:p w14:paraId="2432AD5D" w14:textId="77777777" w:rsidR="00EE1EB7" w:rsidRPr="00EE1EB7" w:rsidRDefault="00EE1EB7" w:rsidP="00633001">
      <w:pPr>
        <w:jc w:val="center"/>
        <w:rPr>
          <w:rFonts w:cs="Arial"/>
          <w:b/>
          <w:lang w:val="en-AU"/>
        </w:rPr>
      </w:pPr>
      <w:r w:rsidRPr="00EE1EB7">
        <w:rPr>
          <w:rFonts w:cs="Arial"/>
          <w:b/>
          <w:lang w:val="en-AU"/>
        </w:rPr>
        <w:t>Higher Education Standards Framework (Threshold Standards) 2015</w:t>
      </w:r>
    </w:p>
    <w:p w14:paraId="4731979C" w14:textId="77777777" w:rsidR="00332109" w:rsidRDefault="00332109" w:rsidP="00633001">
      <w:pPr>
        <w:jc w:val="left"/>
        <w:rPr>
          <w:rFonts w:cs="Arial"/>
          <w:lang w:val="en-AU"/>
        </w:rPr>
      </w:pPr>
    </w:p>
    <w:p w14:paraId="549218CF" w14:textId="77777777" w:rsidR="00EE1EB7" w:rsidRPr="009A38B8" w:rsidRDefault="002658A5" w:rsidP="009A38B8">
      <w:pPr>
        <w:jc w:val="left"/>
        <w:rPr>
          <w:rFonts w:cs="Arial"/>
        </w:rPr>
      </w:pPr>
      <w:r w:rsidRPr="009A38B8">
        <w:rPr>
          <w:rFonts w:cs="Arial"/>
        </w:rPr>
        <w:t xml:space="preserve">This Legislative Instrument is compatible with the human rights and freedoms recognised or declared in the international instruments listed in section 3 of the </w:t>
      </w:r>
      <w:r w:rsidRPr="009A38B8">
        <w:rPr>
          <w:rFonts w:cs="Arial"/>
          <w:i/>
        </w:rPr>
        <w:t>Human Rights (Parliamentary Scrutiny) Act 2011</w:t>
      </w:r>
      <w:r w:rsidR="00F61A4E" w:rsidRPr="00F61A4E">
        <w:rPr>
          <w:rFonts w:cs="Arial"/>
        </w:rPr>
        <w:t>.</w:t>
      </w:r>
    </w:p>
    <w:p w14:paraId="03CE8E93" w14:textId="77777777" w:rsidR="002658A5" w:rsidRDefault="002658A5" w:rsidP="009A38B8">
      <w:pPr>
        <w:contextualSpacing/>
        <w:jc w:val="left"/>
        <w:rPr>
          <w:rFonts w:cs="Arial"/>
          <w:lang w:val="en-AU"/>
        </w:rPr>
      </w:pPr>
    </w:p>
    <w:p w14:paraId="26405AEC" w14:textId="77777777" w:rsidR="00EE1EB7" w:rsidRPr="00EE1EB7" w:rsidRDefault="00EE1EB7" w:rsidP="00EE1EB7">
      <w:pPr>
        <w:jc w:val="left"/>
        <w:rPr>
          <w:rFonts w:cs="Arial"/>
          <w:b/>
          <w:lang w:val="en-AU"/>
        </w:rPr>
      </w:pPr>
      <w:r w:rsidRPr="00EE1EB7">
        <w:rPr>
          <w:rFonts w:cs="Arial"/>
          <w:b/>
          <w:lang w:val="en-AU"/>
        </w:rPr>
        <w:t>Overview of the Legislati</w:t>
      </w:r>
      <w:r w:rsidR="00BA15D9">
        <w:rPr>
          <w:rFonts w:cs="Arial"/>
          <w:b/>
          <w:lang w:val="en-AU"/>
        </w:rPr>
        <w:t>ve</w:t>
      </w:r>
      <w:r w:rsidRPr="00EE1EB7">
        <w:rPr>
          <w:rFonts w:cs="Arial"/>
          <w:b/>
          <w:lang w:val="en-AU"/>
        </w:rPr>
        <w:t xml:space="preserve"> Instrument</w:t>
      </w:r>
    </w:p>
    <w:p w14:paraId="0DECC815" w14:textId="77777777" w:rsidR="00EE1EB7" w:rsidRPr="009A38B8" w:rsidRDefault="00EE1EB7" w:rsidP="00EE1EB7">
      <w:pPr>
        <w:jc w:val="left"/>
        <w:rPr>
          <w:rFonts w:cs="Arial"/>
        </w:rPr>
      </w:pPr>
    </w:p>
    <w:p w14:paraId="4FC497E2" w14:textId="77777777" w:rsidR="00353D73" w:rsidRDefault="002658A5" w:rsidP="002658A5">
      <w:pPr>
        <w:contextualSpacing/>
        <w:jc w:val="left"/>
        <w:rPr>
          <w:rFonts w:cs="Arial"/>
          <w:lang w:val="en-AU"/>
        </w:rPr>
      </w:pPr>
      <w:r>
        <w:rPr>
          <w:rFonts w:cs="Arial"/>
          <w:lang w:val="en-AU"/>
        </w:rPr>
        <w:t xml:space="preserve">The </w:t>
      </w:r>
      <w:r w:rsidRPr="009A38B8">
        <w:rPr>
          <w:rFonts w:cs="Arial"/>
          <w:i/>
          <w:lang w:val="en-AU"/>
        </w:rPr>
        <w:t>Higher Education Standards Framework (Threshold Standards) 2015</w:t>
      </w:r>
      <w:r>
        <w:rPr>
          <w:rFonts w:cs="Arial"/>
          <w:lang w:val="en-AU"/>
        </w:rPr>
        <w:t xml:space="preserve"> </w:t>
      </w:r>
      <w:r w:rsidR="00353D73">
        <w:rPr>
          <w:rFonts w:cs="Arial"/>
          <w:lang w:val="en-AU"/>
        </w:rPr>
        <w:t xml:space="preserve">(the Standards) </w:t>
      </w:r>
      <w:r>
        <w:rPr>
          <w:rFonts w:cs="Arial"/>
          <w:lang w:val="en-AU"/>
        </w:rPr>
        <w:t xml:space="preserve">sets out </w:t>
      </w:r>
      <w:r w:rsidRPr="0043112F">
        <w:rPr>
          <w:rFonts w:cs="Arial"/>
          <w:lang w:val="en-AU"/>
        </w:rPr>
        <w:t xml:space="preserve">the requirements </w:t>
      </w:r>
      <w:r w:rsidR="00353D73">
        <w:rPr>
          <w:rFonts w:cs="Arial"/>
          <w:lang w:val="en-AU"/>
        </w:rPr>
        <w:t xml:space="preserve">that </w:t>
      </w:r>
      <w:r w:rsidRPr="0043112F">
        <w:rPr>
          <w:rFonts w:cs="Arial"/>
          <w:lang w:val="en-AU"/>
        </w:rPr>
        <w:t xml:space="preserve">a higher education provider must meet </w:t>
      </w:r>
      <w:r>
        <w:rPr>
          <w:rFonts w:cs="Arial"/>
          <w:lang w:val="en-AU"/>
        </w:rPr>
        <w:t xml:space="preserve">– and continue to meet – </w:t>
      </w:r>
      <w:r w:rsidRPr="0043112F">
        <w:rPr>
          <w:rFonts w:cs="Arial"/>
          <w:lang w:val="en-AU"/>
        </w:rPr>
        <w:t xml:space="preserve">in order to be registered by </w:t>
      </w:r>
      <w:r w:rsidR="00353D73">
        <w:rPr>
          <w:rFonts w:cs="Arial"/>
          <w:lang w:val="en-AU"/>
        </w:rPr>
        <w:t>the Tertiary Education Quality and Standards Agency (</w:t>
      </w:r>
      <w:r w:rsidRPr="0043112F">
        <w:rPr>
          <w:rFonts w:cs="Arial"/>
          <w:lang w:val="en-AU"/>
        </w:rPr>
        <w:t>TEQSA</w:t>
      </w:r>
      <w:r w:rsidR="00353D73">
        <w:rPr>
          <w:rFonts w:cs="Arial"/>
          <w:lang w:val="en-AU"/>
        </w:rPr>
        <w:t>)</w:t>
      </w:r>
      <w:r w:rsidRPr="0043112F">
        <w:rPr>
          <w:rFonts w:cs="Arial"/>
          <w:lang w:val="en-AU"/>
        </w:rPr>
        <w:t xml:space="preserve"> to operate in Australia</w:t>
      </w:r>
      <w:r w:rsidR="00353D73">
        <w:rPr>
          <w:rFonts w:cs="Arial"/>
          <w:lang w:val="en-AU"/>
        </w:rPr>
        <w:t xml:space="preserve"> as a provider of higher education</w:t>
      </w:r>
      <w:r w:rsidRPr="0043112F">
        <w:rPr>
          <w:rFonts w:cs="Arial"/>
          <w:lang w:val="en-AU"/>
        </w:rPr>
        <w:t>.</w:t>
      </w:r>
    </w:p>
    <w:p w14:paraId="4403932A" w14:textId="77777777" w:rsidR="00353D73" w:rsidRDefault="00353D73" w:rsidP="002658A5">
      <w:pPr>
        <w:contextualSpacing/>
        <w:jc w:val="left"/>
        <w:rPr>
          <w:rFonts w:cs="Arial"/>
          <w:lang w:val="en-AU"/>
        </w:rPr>
      </w:pPr>
    </w:p>
    <w:p w14:paraId="583198D5" w14:textId="77777777" w:rsidR="00353D73" w:rsidRDefault="002658A5" w:rsidP="002658A5">
      <w:pPr>
        <w:contextualSpacing/>
        <w:jc w:val="left"/>
        <w:rPr>
          <w:rFonts w:cs="Arial"/>
        </w:rPr>
      </w:pPr>
      <w:r w:rsidRPr="0043112F">
        <w:rPr>
          <w:rFonts w:cs="Arial"/>
        </w:rPr>
        <w:t xml:space="preserve">The Standards </w:t>
      </w:r>
      <w:r w:rsidR="00353D73">
        <w:rPr>
          <w:rFonts w:cs="Arial"/>
        </w:rPr>
        <w:t>are the basis for TEQSA’s regulation of higher education providers in Australia. TEQSA assesses an organisation’s compliance with the Standards when considering:</w:t>
      </w:r>
    </w:p>
    <w:p w14:paraId="01C116C6" w14:textId="77777777" w:rsidR="00BA15D9" w:rsidRDefault="00BA15D9" w:rsidP="002658A5">
      <w:pPr>
        <w:contextualSpacing/>
        <w:jc w:val="left"/>
        <w:rPr>
          <w:rFonts w:cs="Arial"/>
        </w:rPr>
      </w:pPr>
    </w:p>
    <w:p w14:paraId="679352EA" w14:textId="77777777" w:rsidR="00353D73" w:rsidRPr="00353D73" w:rsidRDefault="002640FD" w:rsidP="009A38B8">
      <w:pPr>
        <w:pStyle w:val="ListParagraph"/>
        <w:numPr>
          <w:ilvl w:val="0"/>
          <w:numId w:val="4"/>
        </w:numPr>
        <w:jc w:val="left"/>
        <w:rPr>
          <w:rFonts w:cs="Arial"/>
        </w:rPr>
      </w:pPr>
      <w:r>
        <w:rPr>
          <w:rFonts w:cs="Arial"/>
        </w:rPr>
        <w:t>an application</w:t>
      </w:r>
      <w:r w:rsidRPr="00353D73">
        <w:rPr>
          <w:rFonts w:cs="Arial"/>
        </w:rPr>
        <w:t xml:space="preserve"> </w:t>
      </w:r>
      <w:r w:rsidR="00353D73" w:rsidRPr="00353D73">
        <w:rPr>
          <w:rFonts w:cs="Arial"/>
        </w:rPr>
        <w:t>to be registered as a new higher education provider</w:t>
      </w:r>
    </w:p>
    <w:p w14:paraId="19E0C290" w14:textId="77777777" w:rsidR="00353D73" w:rsidRDefault="002640FD" w:rsidP="009A38B8">
      <w:pPr>
        <w:pStyle w:val="ListParagraph"/>
        <w:numPr>
          <w:ilvl w:val="0"/>
          <w:numId w:val="4"/>
        </w:numPr>
        <w:jc w:val="left"/>
        <w:rPr>
          <w:rFonts w:cs="Arial"/>
        </w:rPr>
      </w:pPr>
      <w:r>
        <w:rPr>
          <w:rFonts w:cs="Arial"/>
        </w:rPr>
        <w:t>an application</w:t>
      </w:r>
      <w:r w:rsidRPr="00353D73">
        <w:rPr>
          <w:rFonts w:cs="Arial"/>
        </w:rPr>
        <w:t xml:space="preserve"> </w:t>
      </w:r>
      <w:r w:rsidR="00353D73" w:rsidRPr="00353D73">
        <w:rPr>
          <w:rFonts w:cs="Arial"/>
        </w:rPr>
        <w:t>from a</w:t>
      </w:r>
      <w:r w:rsidR="00353D73">
        <w:rPr>
          <w:rFonts w:cs="Arial"/>
        </w:rPr>
        <w:t xml:space="preserve">n existing </w:t>
      </w:r>
      <w:r w:rsidR="00353D73" w:rsidRPr="00353D73">
        <w:rPr>
          <w:rFonts w:cs="Arial"/>
        </w:rPr>
        <w:t>higher education provider to be re-registered</w:t>
      </w:r>
      <w:r w:rsidR="00633001">
        <w:rPr>
          <w:rFonts w:cs="Arial"/>
        </w:rPr>
        <w:t>,</w:t>
      </w:r>
      <w:r w:rsidR="00353D73" w:rsidRPr="00353D73">
        <w:rPr>
          <w:rFonts w:cs="Arial"/>
        </w:rPr>
        <w:t xml:space="preserve"> </w:t>
      </w:r>
      <w:r w:rsidR="00353D73">
        <w:rPr>
          <w:rFonts w:cs="Arial"/>
        </w:rPr>
        <w:t>in order to continue in this role (this is required at least every seven years)</w:t>
      </w:r>
    </w:p>
    <w:p w14:paraId="5E94D9D7" w14:textId="77777777" w:rsidR="00353D73" w:rsidRDefault="002640FD" w:rsidP="009A38B8">
      <w:pPr>
        <w:pStyle w:val="ListParagraph"/>
        <w:numPr>
          <w:ilvl w:val="0"/>
          <w:numId w:val="4"/>
        </w:numPr>
        <w:jc w:val="left"/>
        <w:rPr>
          <w:rFonts w:cs="Arial"/>
        </w:rPr>
      </w:pPr>
      <w:r>
        <w:rPr>
          <w:rFonts w:cs="Arial"/>
        </w:rPr>
        <w:t xml:space="preserve">an application </w:t>
      </w:r>
      <w:r w:rsidR="00353D73">
        <w:rPr>
          <w:rFonts w:cs="Arial"/>
        </w:rPr>
        <w:t xml:space="preserve">to accredit a new higher education course to be delivered by a </w:t>
      </w:r>
      <w:r w:rsidR="00BA15D9">
        <w:rPr>
          <w:rFonts w:cs="Arial"/>
        </w:rPr>
        <w:t xml:space="preserve">registered </w:t>
      </w:r>
      <w:r w:rsidR="00353D73">
        <w:rPr>
          <w:rFonts w:cs="Arial"/>
        </w:rPr>
        <w:t>higher education provider that does not have self-accrediting authority</w:t>
      </w:r>
    </w:p>
    <w:p w14:paraId="0F75EA8B" w14:textId="77777777" w:rsidR="00353D73" w:rsidRPr="00353D73" w:rsidRDefault="002640FD" w:rsidP="009A38B8">
      <w:pPr>
        <w:pStyle w:val="ListParagraph"/>
        <w:numPr>
          <w:ilvl w:val="0"/>
          <w:numId w:val="4"/>
        </w:numPr>
        <w:jc w:val="left"/>
        <w:rPr>
          <w:rFonts w:cs="Arial"/>
        </w:rPr>
      </w:pPr>
      <w:r>
        <w:rPr>
          <w:rFonts w:cs="Arial"/>
        </w:rPr>
        <w:t xml:space="preserve">an application </w:t>
      </w:r>
      <w:r w:rsidR="00353D73">
        <w:rPr>
          <w:rFonts w:cs="Arial"/>
        </w:rPr>
        <w:t xml:space="preserve">to re-accredit a higher education course </w:t>
      </w:r>
      <w:r w:rsidR="00633001">
        <w:rPr>
          <w:rFonts w:cs="Arial"/>
        </w:rPr>
        <w:t xml:space="preserve">that was </w:t>
      </w:r>
      <w:r>
        <w:rPr>
          <w:rFonts w:cs="Arial"/>
        </w:rPr>
        <w:t xml:space="preserve">previously </w:t>
      </w:r>
      <w:r w:rsidR="00633001">
        <w:rPr>
          <w:rFonts w:cs="Arial"/>
        </w:rPr>
        <w:t xml:space="preserve">accredited </w:t>
      </w:r>
      <w:r w:rsidR="00353D73">
        <w:rPr>
          <w:rFonts w:cs="Arial"/>
        </w:rPr>
        <w:t>(required at least every seven years)</w:t>
      </w:r>
      <w:r>
        <w:rPr>
          <w:rFonts w:cs="Arial"/>
        </w:rPr>
        <w:t>.</w:t>
      </w:r>
    </w:p>
    <w:p w14:paraId="39B39D61" w14:textId="77777777" w:rsidR="00353D73" w:rsidRDefault="00353D73" w:rsidP="002658A5">
      <w:pPr>
        <w:contextualSpacing/>
        <w:jc w:val="left"/>
        <w:rPr>
          <w:rFonts w:cs="Arial"/>
        </w:rPr>
      </w:pPr>
    </w:p>
    <w:p w14:paraId="3AA965A2" w14:textId="77777777" w:rsidR="002658A5" w:rsidRPr="0043112F" w:rsidRDefault="002658A5" w:rsidP="009A38B8">
      <w:pPr>
        <w:jc w:val="left"/>
        <w:rPr>
          <w:rFonts w:cs="Arial"/>
          <w:lang w:val="en-AU"/>
        </w:rPr>
      </w:pPr>
      <w:r w:rsidRPr="0043112F">
        <w:rPr>
          <w:rFonts w:cs="Arial"/>
          <w:lang w:val="en-AU"/>
        </w:rPr>
        <w:t xml:space="preserve">The </w:t>
      </w:r>
      <w:r>
        <w:rPr>
          <w:rFonts w:cs="Arial"/>
        </w:rPr>
        <w:t>S</w:t>
      </w:r>
      <w:r w:rsidRPr="0043112F">
        <w:rPr>
          <w:rFonts w:cs="Arial"/>
        </w:rPr>
        <w:t xml:space="preserve">tandards </w:t>
      </w:r>
      <w:r w:rsidR="00353D73">
        <w:rPr>
          <w:rFonts w:cs="Arial"/>
        </w:rPr>
        <w:t xml:space="preserve">are </w:t>
      </w:r>
      <w:r w:rsidRPr="0043112F">
        <w:rPr>
          <w:rFonts w:cs="Arial"/>
          <w:lang w:val="en-AU"/>
        </w:rPr>
        <w:t xml:space="preserve">also </w:t>
      </w:r>
      <w:r w:rsidR="00353D73">
        <w:rPr>
          <w:rFonts w:cs="Arial"/>
          <w:lang w:val="en-AU"/>
        </w:rPr>
        <w:t xml:space="preserve">intended to provide a model framework for higher education providers to use in managing their own </w:t>
      </w:r>
      <w:r w:rsidRPr="0043112F">
        <w:rPr>
          <w:rFonts w:cs="Arial"/>
          <w:lang w:val="en-AU"/>
        </w:rPr>
        <w:t>internal monitoring, quality assurance and quality improvement of their higher education activities.</w:t>
      </w:r>
    </w:p>
    <w:p w14:paraId="0FACD810" w14:textId="77777777" w:rsidR="002658A5" w:rsidRDefault="002658A5" w:rsidP="009A38B8">
      <w:pPr>
        <w:jc w:val="left"/>
        <w:rPr>
          <w:rFonts w:cs="Arial"/>
        </w:rPr>
      </w:pPr>
    </w:p>
    <w:p w14:paraId="74E999FA" w14:textId="77777777" w:rsidR="002658A5" w:rsidRDefault="002658A5" w:rsidP="009A38B8">
      <w:pPr>
        <w:jc w:val="left"/>
        <w:rPr>
          <w:rFonts w:cs="Arial"/>
        </w:rPr>
      </w:pPr>
      <w:r w:rsidRPr="002658A5">
        <w:rPr>
          <w:rFonts w:cs="Arial"/>
        </w:rPr>
        <w:t xml:space="preserve">The Standards </w:t>
      </w:r>
      <w:r w:rsidR="00926E2C">
        <w:rPr>
          <w:rFonts w:cs="Arial"/>
        </w:rPr>
        <w:t xml:space="preserve">are </w:t>
      </w:r>
      <w:r w:rsidRPr="002658A5">
        <w:rPr>
          <w:rFonts w:cs="Arial"/>
        </w:rPr>
        <w:t>structured in two parts</w:t>
      </w:r>
      <w:r w:rsidR="00353D73">
        <w:rPr>
          <w:rFonts w:cs="Arial"/>
        </w:rPr>
        <w:t>:</w:t>
      </w:r>
    </w:p>
    <w:p w14:paraId="40C5068E" w14:textId="77777777" w:rsidR="002658A5" w:rsidRDefault="002658A5" w:rsidP="009A38B8">
      <w:pPr>
        <w:jc w:val="left"/>
        <w:rPr>
          <w:rFonts w:cs="Arial"/>
        </w:rPr>
      </w:pPr>
    </w:p>
    <w:p w14:paraId="61993D71" w14:textId="77777777" w:rsidR="002658A5" w:rsidRDefault="002658A5" w:rsidP="009A38B8">
      <w:pPr>
        <w:ind w:left="360"/>
        <w:jc w:val="left"/>
        <w:rPr>
          <w:rFonts w:cs="Arial"/>
        </w:rPr>
      </w:pPr>
      <w:r w:rsidRPr="002658A5">
        <w:rPr>
          <w:rFonts w:cs="Arial"/>
        </w:rPr>
        <w:t xml:space="preserve">Part A – </w:t>
      </w:r>
      <w:r w:rsidRPr="002658A5">
        <w:rPr>
          <w:rFonts w:cs="Arial"/>
          <w:i/>
        </w:rPr>
        <w:t>Standards for Higher Education</w:t>
      </w:r>
      <w:r w:rsidRPr="002658A5">
        <w:rPr>
          <w:rFonts w:cs="Arial"/>
        </w:rPr>
        <w:t xml:space="preserve"> – sets out the baseline acceptable requirements for the provision of higher education in or from Australia. It is broken into seven domains:</w:t>
      </w:r>
    </w:p>
    <w:p w14:paraId="4ED6F94F" w14:textId="77777777" w:rsidR="00926E2C" w:rsidRPr="002658A5" w:rsidRDefault="00926E2C" w:rsidP="009A38B8">
      <w:pPr>
        <w:ind w:left="360"/>
        <w:jc w:val="left"/>
        <w:rPr>
          <w:rFonts w:cs="Arial"/>
        </w:rPr>
      </w:pPr>
    </w:p>
    <w:p w14:paraId="28271CB3" w14:textId="77777777" w:rsidR="002658A5" w:rsidRPr="009A38B8" w:rsidRDefault="002658A5" w:rsidP="009A38B8">
      <w:pPr>
        <w:pStyle w:val="ListParagraph"/>
        <w:numPr>
          <w:ilvl w:val="0"/>
          <w:numId w:val="19"/>
        </w:numPr>
        <w:ind w:left="1080"/>
        <w:jc w:val="left"/>
        <w:rPr>
          <w:rFonts w:cs="Arial"/>
        </w:rPr>
      </w:pPr>
      <w:r w:rsidRPr="009A38B8">
        <w:rPr>
          <w:rFonts w:cs="Arial"/>
        </w:rPr>
        <w:t xml:space="preserve">Student Participation and Attainment </w:t>
      </w:r>
    </w:p>
    <w:p w14:paraId="7F84C010" w14:textId="77777777" w:rsidR="002658A5" w:rsidRPr="009A38B8" w:rsidRDefault="002658A5" w:rsidP="009A38B8">
      <w:pPr>
        <w:pStyle w:val="ListParagraph"/>
        <w:numPr>
          <w:ilvl w:val="0"/>
          <w:numId w:val="19"/>
        </w:numPr>
        <w:ind w:left="1080"/>
        <w:jc w:val="left"/>
        <w:rPr>
          <w:rFonts w:cs="Arial"/>
        </w:rPr>
      </w:pPr>
      <w:r w:rsidRPr="009A38B8">
        <w:rPr>
          <w:rFonts w:cs="Arial"/>
        </w:rPr>
        <w:t xml:space="preserve">Learning Environment </w:t>
      </w:r>
    </w:p>
    <w:p w14:paraId="22C91921" w14:textId="77777777" w:rsidR="002658A5" w:rsidRPr="009A38B8" w:rsidRDefault="002658A5" w:rsidP="009A38B8">
      <w:pPr>
        <w:pStyle w:val="ListParagraph"/>
        <w:numPr>
          <w:ilvl w:val="0"/>
          <w:numId w:val="19"/>
        </w:numPr>
        <w:ind w:left="1080"/>
        <w:jc w:val="left"/>
        <w:rPr>
          <w:rFonts w:cs="Arial"/>
        </w:rPr>
      </w:pPr>
      <w:r w:rsidRPr="009A38B8">
        <w:rPr>
          <w:rFonts w:cs="Arial"/>
        </w:rPr>
        <w:t xml:space="preserve">Teaching </w:t>
      </w:r>
    </w:p>
    <w:p w14:paraId="17D5CF72" w14:textId="77777777" w:rsidR="002658A5" w:rsidRPr="009A38B8" w:rsidRDefault="002658A5" w:rsidP="009A38B8">
      <w:pPr>
        <w:pStyle w:val="ListParagraph"/>
        <w:numPr>
          <w:ilvl w:val="0"/>
          <w:numId w:val="19"/>
        </w:numPr>
        <w:ind w:left="1080"/>
        <w:jc w:val="left"/>
        <w:rPr>
          <w:rFonts w:cs="Arial"/>
        </w:rPr>
      </w:pPr>
      <w:r w:rsidRPr="009A38B8">
        <w:rPr>
          <w:rFonts w:cs="Arial"/>
        </w:rPr>
        <w:t xml:space="preserve">Research and Research Training </w:t>
      </w:r>
    </w:p>
    <w:p w14:paraId="008414B2" w14:textId="77777777" w:rsidR="002658A5" w:rsidRPr="009A38B8" w:rsidRDefault="002658A5" w:rsidP="009A38B8">
      <w:pPr>
        <w:pStyle w:val="ListParagraph"/>
        <w:numPr>
          <w:ilvl w:val="0"/>
          <w:numId w:val="19"/>
        </w:numPr>
        <w:ind w:left="1080"/>
        <w:jc w:val="left"/>
        <w:rPr>
          <w:rFonts w:cs="Arial"/>
        </w:rPr>
      </w:pPr>
      <w:r w:rsidRPr="009A38B8">
        <w:rPr>
          <w:rFonts w:cs="Arial"/>
        </w:rPr>
        <w:t xml:space="preserve">Institutional Quality Assurance </w:t>
      </w:r>
    </w:p>
    <w:p w14:paraId="661AA0B1" w14:textId="77777777" w:rsidR="002658A5" w:rsidRPr="009A38B8" w:rsidRDefault="002658A5" w:rsidP="009A38B8">
      <w:pPr>
        <w:pStyle w:val="ListParagraph"/>
        <w:numPr>
          <w:ilvl w:val="0"/>
          <w:numId w:val="19"/>
        </w:numPr>
        <w:ind w:left="1080"/>
        <w:jc w:val="left"/>
        <w:rPr>
          <w:rFonts w:cs="Arial"/>
        </w:rPr>
      </w:pPr>
      <w:r w:rsidRPr="009A38B8">
        <w:rPr>
          <w:rFonts w:cs="Arial"/>
        </w:rPr>
        <w:t xml:space="preserve">Governance and Accountability </w:t>
      </w:r>
    </w:p>
    <w:p w14:paraId="269390B4" w14:textId="77777777" w:rsidR="009A38B8" w:rsidRDefault="002658A5" w:rsidP="009A38B8">
      <w:pPr>
        <w:pStyle w:val="ListParagraph"/>
        <w:numPr>
          <w:ilvl w:val="0"/>
          <w:numId w:val="19"/>
        </w:numPr>
        <w:ind w:left="1080"/>
        <w:jc w:val="left"/>
        <w:rPr>
          <w:rFonts w:cs="Arial"/>
        </w:rPr>
      </w:pPr>
      <w:r w:rsidRPr="009A38B8">
        <w:rPr>
          <w:rFonts w:cs="Arial"/>
        </w:rPr>
        <w:t xml:space="preserve">Representation, Information and Information Management </w:t>
      </w:r>
    </w:p>
    <w:p w14:paraId="062305A3" w14:textId="77777777" w:rsidR="002658A5" w:rsidRPr="009A38B8" w:rsidRDefault="002658A5" w:rsidP="009A38B8">
      <w:pPr>
        <w:ind w:left="720"/>
        <w:jc w:val="left"/>
        <w:rPr>
          <w:rFonts w:cs="Arial"/>
        </w:rPr>
      </w:pPr>
    </w:p>
    <w:p w14:paraId="089BF331" w14:textId="77777777" w:rsidR="00926E2C" w:rsidRDefault="002658A5" w:rsidP="009A38B8">
      <w:pPr>
        <w:ind w:left="720"/>
        <w:jc w:val="left"/>
        <w:rPr>
          <w:rFonts w:cs="Arial"/>
        </w:rPr>
      </w:pPr>
      <w:r w:rsidRPr="002658A5">
        <w:rPr>
          <w:rFonts w:cs="Arial"/>
        </w:rPr>
        <w:t>The first domain covers the requirements that must be met by providers when admitting students, information that must be available to students regarding a particular course of study before they enrol, and elements relating to the student experience, academic assessment and graduation.</w:t>
      </w:r>
    </w:p>
    <w:p w14:paraId="61CD6262" w14:textId="77777777" w:rsidR="00926E2C" w:rsidRDefault="00926E2C" w:rsidP="009A38B8">
      <w:pPr>
        <w:ind w:left="720"/>
        <w:jc w:val="left"/>
        <w:rPr>
          <w:rFonts w:cs="Arial"/>
        </w:rPr>
      </w:pPr>
    </w:p>
    <w:p w14:paraId="1F4443A9" w14:textId="77777777" w:rsidR="00926E2C" w:rsidRDefault="002658A5" w:rsidP="009A38B8">
      <w:pPr>
        <w:ind w:left="720"/>
        <w:jc w:val="left"/>
        <w:rPr>
          <w:rFonts w:cs="Arial"/>
        </w:rPr>
      </w:pPr>
      <w:r w:rsidRPr="002658A5">
        <w:rPr>
          <w:rFonts w:cs="Arial"/>
        </w:rPr>
        <w:t>Domains two, three and four focus on the requirements that a provider must meet in order to achieve the educational outcomes expected for students.</w:t>
      </w:r>
    </w:p>
    <w:p w14:paraId="18E4801D" w14:textId="77777777" w:rsidR="00926E2C" w:rsidRDefault="00926E2C" w:rsidP="009A38B8">
      <w:pPr>
        <w:ind w:left="720"/>
        <w:jc w:val="left"/>
        <w:rPr>
          <w:rFonts w:cs="Arial"/>
        </w:rPr>
      </w:pPr>
    </w:p>
    <w:p w14:paraId="1113AA96" w14:textId="77777777" w:rsidR="00926E2C" w:rsidRDefault="002658A5" w:rsidP="00633001">
      <w:pPr>
        <w:widowControl w:val="0"/>
        <w:ind w:left="720"/>
        <w:jc w:val="left"/>
        <w:rPr>
          <w:rFonts w:cs="Arial"/>
        </w:rPr>
      </w:pPr>
      <w:r w:rsidRPr="002658A5">
        <w:rPr>
          <w:rFonts w:cs="Arial"/>
        </w:rPr>
        <w:t xml:space="preserve">Domains five and six set out the basic requirements that an institution needs to have met to assure itself of the quality of its education and to maintain financial viability and </w:t>
      </w:r>
      <w:r w:rsidRPr="002658A5">
        <w:rPr>
          <w:rFonts w:cs="Arial"/>
        </w:rPr>
        <w:lastRenderedPageBreak/>
        <w:t>effective governance of its operations.</w:t>
      </w:r>
    </w:p>
    <w:p w14:paraId="3A83EBFF" w14:textId="77777777" w:rsidR="00926E2C" w:rsidRDefault="00926E2C" w:rsidP="009A38B8">
      <w:pPr>
        <w:ind w:left="720"/>
        <w:jc w:val="left"/>
        <w:rPr>
          <w:rFonts w:cs="Arial"/>
        </w:rPr>
      </w:pPr>
    </w:p>
    <w:p w14:paraId="7201759E" w14:textId="77777777" w:rsidR="002658A5" w:rsidRDefault="002658A5" w:rsidP="009A38B8">
      <w:pPr>
        <w:ind w:left="720"/>
        <w:jc w:val="left"/>
        <w:rPr>
          <w:rFonts w:cs="Arial"/>
        </w:rPr>
      </w:pPr>
      <w:r w:rsidRPr="002658A5">
        <w:rPr>
          <w:rFonts w:cs="Arial"/>
        </w:rPr>
        <w:t>The final domain addresses how a provider represents itself to prospective students, and the provision of information to prospective and enrolled students.</w:t>
      </w:r>
    </w:p>
    <w:p w14:paraId="3D0A2263" w14:textId="77777777" w:rsidR="002658A5" w:rsidRPr="002658A5" w:rsidRDefault="002658A5" w:rsidP="009A38B8">
      <w:pPr>
        <w:ind w:left="360"/>
        <w:jc w:val="left"/>
        <w:rPr>
          <w:rFonts w:cs="Arial"/>
        </w:rPr>
      </w:pPr>
    </w:p>
    <w:p w14:paraId="48D610B2" w14:textId="0A53BD7A" w:rsidR="002658A5" w:rsidRPr="002658A5" w:rsidRDefault="002658A5" w:rsidP="009A38B8">
      <w:pPr>
        <w:ind w:left="360"/>
        <w:jc w:val="left"/>
        <w:rPr>
          <w:rFonts w:cs="Arial"/>
        </w:rPr>
      </w:pPr>
      <w:r w:rsidRPr="002658A5">
        <w:rPr>
          <w:rFonts w:cs="Arial"/>
        </w:rPr>
        <w:t xml:space="preserve">Part B – </w:t>
      </w:r>
      <w:r w:rsidRPr="002658A5">
        <w:rPr>
          <w:rFonts w:cs="Arial"/>
          <w:i/>
        </w:rPr>
        <w:t>Criteria for Higher Education Providers</w:t>
      </w:r>
      <w:r w:rsidRPr="002658A5">
        <w:rPr>
          <w:rFonts w:cs="Arial"/>
        </w:rPr>
        <w:t xml:space="preserve"> –</w:t>
      </w:r>
      <w:r w:rsidR="00C93B8A">
        <w:rPr>
          <w:rFonts w:cs="Arial"/>
        </w:rPr>
        <w:t xml:space="preserve"> </w:t>
      </w:r>
      <w:r w:rsidRPr="002658A5">
        <w:rPr>
          <w:rFonts w:cs="Arial"/>
        </w:rPr>
        <w:t>describes the different higher education provider categories, including requirements that must be met for a provider to use the word ‘university’ in its title</w:t>
      </w:r>
      <w:r w:rsidR="00C07840">
        <w:rPr>
          <w:rFonts w:cs="Arial"/>
        </w:rPr>
        <w:t>,</w:t>
      </w:r>
      <w:r w:rsidR="00C93B8A">
        <w:rPr>
          <w:rFonts w:cs="Arial"/>
        </w:rPr>
        <w:t xml:space="preserve"> or self-accredit a course or courses</w:t>
      </w:r>
      <w:r w:rsidR="002F4406">
        <w:rPr>
          <w:rFonts w:cs="Arial"/>
        </w:rPr>
        <w:t xml:space="preserve"> that</w:t>
      </w:r>
      <w:r w:rsidR="00C93B8A">
        <w:rPr>
          <w:rFonts w:cs="Arial"/>
        </w:rPr>
        <w:t xml:space="preserve"> it offers</w:t>
      </w:r>
      <w:r w:rsidRPr="002658A5">
        <w:rPr>
          <w:rFonts w:cs="Arial"/>
        </w:rPr>
        <w:t>.</w:t>
      </w:r>
    </w:p>
    <w:p w14:paraId="574B699C" w14:textId="77777777" w:rsidR="00332109" w:rsidRPr="009A38B8" w:rsidRDefault="00332109" w:rsidP="009A38B8">
      <w:pPr>
        <w:jc w:val="left"/>
        <w:rPr>
          <w:rFonts w:cs="Arial"/>
        </w:rPr>
      </w:pPr>
    </w:p>
    <w:p w14:paraId="031F6390" w14:textId="77777777" w:rsidR="004402BD" w:rsidRPr="0043112F" w:rsidRDefault="004402BD" w:rsidP="004402BD">
      <w:pPr>
        <w:jc w:val="left"/>
        <w:rPr>
          <w:rFonts w:cs="Arial"/>
          <w:b/>
        </w:rPr>
      </w:pPr>
      <w:r w:rsidRPr="0043112F">
        <w:rPr>
          <w:rFonts w:cs="Arial"/>
          <w:b/>
        </w:rPr>
        <w:t>Human Rights Implications</w:t>
      </w:r>
    </w:p>
    <w:p w14:paraId="663B2F47" w14:textId="77777777" w:rsidR="004402BD" w:rsidRDefault="004402BD" w:rsidP="004402BD">
      <w:pPr>
        <w:jc w:val="left"/>
        <w:rPr>
          <w:rFonts w:cs="Arial"/>
          <w:b/>
        </w:rPr>
      </w:pPr>
    </w:p>
    <w:p w14:paraId="079197D5" w14:textId="77777777" w:rsidR="00D34415" w:rsidRDefault="00D34415" w:rsidP="004402BD">
      <w:pPr>
        <w:jc w:val="left"/>
        <w:rPr>
          <w:rFonts w:cs="Arial"/>
        </w:rPr>
      </w:pPr>
      <w:r>
        <w:rPr>
          <w:rFonts w:cs="Arial"/>
        </w:rPr>
        <w:t>This legislative instrument engages the following human rights:</w:t>
      </w:r>
    </w:p>
    <w:p w14:paraId="777A731C" w14:textId="77777777" w:rsidR="00D34415" w:rsidRDefault="00D34415" w:rsidP="004402BD">
      <w:pPr>
        <w:jc w:val="left"/>
        <w:rPr>
          <w:rFonts w:cs="Arial"/>
        </w:rPr>
      </w:pPr>
    </w:p>
    <w:p w14:paraId="2F9EE3DF" w14:textId="77777777" w:rsidR="00D34415" w:rsidRDefault="00D34415" w:rsidP="00ED5DF8">
      <w:pPr>
        <w:pStyle w:val="ListParagraph"/>
        <w:numPr>
          <w:ilvl w:val="0"/>
          <w:numId w:val="20"/>
        </w:numPr>
        <w:jc w:val="left"/>
        <w:rPr>
          <w:rFonts w:cs="Arial"/>
        </w:rPr>
      </w:pPr>
      <w:r>
        <w:rPr>
          <w:rFonts w:cs="Arial"/>
        </w:rPr>
        <w:t>t</w:t>
      </w:r>
      <w:r w:rsidRPr="00D34415">
        <w:rPr>
          <w:rFonts w:cs="Arial"/>
        </w:rPr>
        <w:t xml:space="preserve">he right to education under Article 13 of the </w:t>
      </w:r>
      <w:r w:rsidRPr="00ED5DF8">
        <w:rPr>
          <w:rFonts w:cs="Arial"/>
          <w:i/>
        </w:rPr>
        <w:t xml:space="preserve">International Covenant on Economic, Social and Cultural Rights </w:t>
      </w:r>
      <w:r w:rsidRPr="00D34415">
        <w:rPr>
          <w:rFonts w:cs="Arial"/>
        </w:rPr>
        <w:t>(ICESCR)</w:t>
      </w:r>
    </w:p>
    <w:p w14:paraId="7D98AEA9" w14:textId="77777777" w:rsidR="00D34415" w:rsidRDefault="00D34415" w:rsidP="00ED5DF8">
      <w:pPr>
        <w:pStyle w:val="ListParagraph"/>
        <w:numPr>
          <w:ilvl w:val="0"/>
          <w:numId w:val="20"/>
        </w:numPr>
        <w:jc w:val="left"/>
        <w:rPr>
          <w:rFonts w:cs="Arial"/>
        </w:rPr>
      </w:pPr>
      <w:r>
        <w:rPr>
          <w:rFonts w:cs="Arial"/>
        </w:rPr>
        <w:t>the right to freedom from discrimination under Article 2(2) of the ICESCR</w:t>
      </w:r>
      <w:r w:rsidR="00766996">
        <w:rPr>
          <w:rFonts w:cs="Arial"/>
        </w:rPr>
        <w:t xml:space="preserve"> and Article 26 of the</w:t>
      </w:r>
      <w:r w:rsidR="00333201">
        <w:rPr>
          <w:rFonts w:cs="Arial"/>
          <w:i/>
        </w:rPr>
        <w:t xml:space="preserve"> International Covenant on Civil and Political Rights </w:t>
      </w:r>
      <w:r w:rsidR="00333201">
        <w:rPr>
          <w:rFonts w:cs="Arial"/>
        </w:rPr>
        <w:t>(ICCPR)</w:t>
      </w:r>
    </w:p>
    <w:p w14:paraId="657182A0" w14:textId="77777777" w:rsidR="00D34415" w:rsidRDefault="00D34415" w:rsidP="00ED5DF8">
      <w:pPr>
        <w:pStyle w:val="ListParagraph"/>
        <w:numPr>
          <w:ilvl w:val="0"/>
          <w:numId w:val="20"/>
        </w:numPr>
        <w:jc w:val="left"/>
        <w:rPr>
          <w:rFonts w:cs="Arial"/>
        </w:rPr>
      </w:pPr>
      <w:r>
        <w:rPr>
          <w:rFonts w:cs="Arial"/>
        </w:rPr>
        <w:t>the right to just and favourable conditions of work under Article 7 of the ICESCR</w:t>
      </w:r>
    </w:p>
    <w:p w14:paraId="4EAD306E" w14:textId="68015B7C" w:rsidR="00766996" w:rsidRDefault="00766996" w:rsidP="00ED5DF8">
      <w:pPr>
        <w:pStyle w:val="ListParagraph"/>
        <w:numPr>
          <w:ilvl w:val="0"/>
          <w:numId w:val="20"/>
        </w:numPr>
        <w:jc w:val="left"/>
        <w:rPr>
          <w:rFonts w:cs="Arial"/>
        </w:rPr>
      </w:pPr>
      <w:r>
        <w:rPr>
          <w:rFonts w:cs="Arial"/>
        </w:rPr>
        <w:t>the right to privacy under Article 17 of the ICCPR</w:t>
      </w:r>
      <w:r w:rsidR="00522495">
        <w:rPr>
          <w:rFonts w:cs="Arial"/>
        </w:rPr>
        <w:t xml:space="preserve">, </w:t>
      </w:r>
      <w:r w:rsidR="00CF09F1">
        <w:rPr>
          <w:rFonts w:cs="Arial"/>
        </w:rPr>
        <w:t>and</w:t>
      </w:r>
    </w:p>
    <w:p w14:paraId="6527D2E9" w14:textId="77777777" w:rsidR="00333201" w:rsidRPr="00ED5DF8" w:rsidRDefault="00333201" w:rsidP="00ED5DF8">
      <w:pPr>
        <w:pStyle w:val="ListParagraph"/>
        <w:numPr>
          <w:ilvl w:val="0"/>
          <w:numId w:val="20"/>
        </w:numPr>
        <w:jc w:val="left"/>
        <w:rPr>
          <w:rFonts w:cs="Arial"/>
        </w:rPr>
      </w:pPr>
      <w:r>
        <w:rPr>
          <w:rFonts w:cs="Arial"/>
        </w:rPr>
        <w:t>the rights of persons with disabilities</w:t>
      </w:r>
      <w:r w:rsidR="00B177FA">
        <w:rPr>
          <w:rFonts w:cs="Arial"/>
        </w:rPr>
        <w:t xml:space="preserve"> </w:t>
      </w:r>
      <w:r>
        <w:rPr>
          <w:rFonts w:cs="Arial"/>
        </w:rPr>
        <w:t xml:space="preserve">under Articles </w:t>
      </w:r>
      <w:r w:rsidR="002F6FDC">
        <w:rPr>
          <w:rFonts w:cs="Arial"/>
        </w:rPr>
        <w:t xml:space="preserve">24 </w:t>
      </w:r>
      <w:r w:rsidR="00B177FA">
        <w:rPr>
          <w:rFonts w:cs="Arial"/>
        </w:rPr>
        <w:t xml:space="preserve">and </w:t>
      </w:r>
      <w:r w:rsidR="002F6FDC">
        <w:rPr>
          <w:rFonts w:cs="Arial"/>
        </w:rPr>
        <w:t xml:space="preserve">9 </w:t>
      </w:r>
      <w:r>
        <w:rPr>
          <w:rFonts w:cs="Arial"/>
        </w:rPr>
        <w:t xml:space="preserve">of the </w:t>
      </w:r>
      <w:r>
        <w:rPr>
          <w:rFonts w:cs="Arial"/>
          <w:i/>
        </w:rPr>
        <w:t xml:space="preserve">Convention on the Rights of Persons with Disabilities </w:t>
      </w:r>
      <w:r>
        <w:rPr>
          <w:rFonts w:cs="Arial"/>
        </w:rPr>
        <w:t>(CRPD)</w:t>
      </w:r>
      <w:r w:rsidR="009B509C">
        <w:rPr>
          <w:rFonts w:cs="Arial"/>
        </w:rPr>
        <w:t>.</w:t>
      </w:r>
    </w:p>
    <w:p w14:paraId="43D32483" w14:textId="77777777" w:rsidR="00D34415" w:rsidRPr="0043112F" w:rsidRDefault="00D34415" w:rsidP="004402BD">
      <w:pPr>
        <w:jc w:val="left"/>
        <w:rPr>
          <w:rFonts w:cs="Arial"/>
          <w:b/>
        </w:rPr>
      </w:pPr>
    </w:p>
    <w:p w14:paraId="162C96B3" w14:textId="77777777" w:rsidR="00653BA1" w:rsidRPr="0043112F" w:rsidRDefault="00653BA1" w:rsidP="00653BA1">
      <w:pPr>
        <w:keepNext/>
        <w:jc w:val="left"/>
        <w:rPr>
          <w:rFonts w:cs="Arial"/>
          <w:i/>
        </w:rPr>
      </w:pPr>
      <w:r w:rsidRPr="0043112F">
        <w:rPr>
          <w:rFonts w:cs="Arial"/>
          <w:i/>
        </w:rPr>
        <w:t>Right to Education</w:t>
      </w:r>
    </w:p>
    <w:p w14:paraId="479E1417" w14:textId="77777777" w:rsidR="00653BA1" w:rsidRPr="00976ED9" w:rsidRDefault="00653BA1" w:rsidP="00653BA1">
      <w:pPr>
        <w:jc w:val="left"/>
      </w:pPr>
    </w:p>
    <w:p w14:paraId="16757FA3" w14:textId="77777777" w:rsidR="00653BA1" w:rsidRPr="00CC2539" w:rsidRDefault="00653BA1" w:rsidP="00653BA1">
      <w:pPr>
        <w:jc w:val="left"/>
      </w:pPr>
      <w:r w:rsidRPr="00BC0235">
        <w:t>The legislative instrument engages the right to education</w:t>
      </w:r>
      <w:r w:rsidRPr="00B177FA">
        <w:t xml:space="preserve">, which is set out in Article 13 of the </w:t>
      </w:r>
      <w:r w:rsidR="00D34415" w:rsidRPr="00B177FA">
        <w:t>ICESCR</w:t>
      </w:r>
      <w:r w:rsidRPr="00CC2539">
        <w:t xml:space="preserve">. </w:t>
      </w:r>
      <w:r w:rsidRPr="00BC0235">
        <w:t>Th</w:t>
      </w:r>
      <w:r w:rsidR="00E65509">
        <w:t xml:space="preserve">is </w:t>
      </w:r>
      <w:r w:rsidRPr="00BC0235">
        <w:t>right recognises the important personal, societal, economic and intellectual benefits of education. It requires education be avail</w:t>
      </w:r>
      <w:r w:rsidRPr="00CC2539">
        <w:t>able, safe, and appropriately resourced, dependent on the needs of the child.</w:t>
      </w:r>
      <w:r w:rsidR="00A250A8" w:rsidRPr="00CC2539">
        <w:t xml:space="preserve"> Article 13 specifically identifies that higher education shall be made equally accessible to all, on the basis of capacity, by every appropriate means.</w:t>
      </w:r>
    </w:p>
    <w:p w14:paraId="34AE5C6B" w14:textId="77777777" w:rsidR="00D34415" w:rsidRPr="00CC2539" w:rsidRDefault="00D34415" w:rsidP="00D34415">
      <w:pPr>
        <w:jc w:val="left"/>
      </w:pPr>
    </w:p>
    <w:p w14:paraId="201C444C" w14:textId="77777777" w:rsidR="00D34415" w:rsidRPr="00CC2539" w:rsidRDefault="00D34415" w:rsidP="00D34415">
      <w:pPr>
        <w:jc w:val="left"/>
      </w:pPr>
      <w:r w:rsidRPr="00BC0235">
        <w:t xml:space="preserve">Overall, the Standards will </w:t>
      </w:r>
      <w:r w:rsidRPr="00B177FA">
        <w:t>help to ensure the highest standards of quality will continue to be upheld</w:t>
      </w:r>
      <w:r w:rsidRPr="00CC2539">
        <w:t xml:space="preserve"> in the provision of higher education in Australia. They will enable more efficient and targeted activity by TEQSA which will ensure that higher education institutions have more time and resources to devote to doing what they do best – delivering the highest quality teaching, learning and research. This will benefit both Australian and international students, as well as the broader Australian community and economy.</w:t>
      </w:r>
    </w:p>
    <w:p w14:paraId="7774DFC3" w14:textId="77777777" w:rsidR="00D73406" w:rsidRPr="00CC2539" w:rsidRDefault="00D73406" w:rsidP="00D73406">
      <w:pPr>
        <w:jc w:val="left"/>
      </w:pPr>
    </w:p>
    <w:p w14:paraId="59B938F8" w14:textId="77777777" w:rsidR="00D34415" w:rsidRPr="00ED5DF8" w:rsidRDefault="00D34415" w:rsidP="00D73406">
      <w:pPr>
        <w:jc w:val="left"/>
        <w:rPr>
          <w:rFonts w:cs="Arial"/>
          <w:i/>
        </w:rPr>
      </w:pPr>
      <w:r>
        <w:rPr>
          <w:rFonts w:cs="Arial"/>
          <w:i/>
        </w:rPr>
        <w:t>Right to freedom from discrimination</w:t>
      </w:r>
    </w:p>
    <w:p w14:paraId="31CB691F" w14:textId="77777777" w:rsidR="00D34415" w:rsidRDefault="00D34415" w:rsidP="00D73406">
      <w:pPr>
        <w:jc w:val="left"/>
        <w:rPr>
          <w:rFonts w:cs="Arial"/>
        </w:rPr>
      </w:pPr>
    </w:p>
    <w:p w14:paraId="638C9ABC" w14:textId="77777777" w:rsidR="00D73406" w:rsidRPr="00CC2539" w:rsidRDefault="00D34415" w:rsidP="00D73406">
      <w:pPr>
        <w:jc w:val="left"/>
      </w:pPr>
      <w:r w:rsidRPr="00BC0235">
        <w:t xml:space="preserve">The legislative instrument engages the right to freedom from discrimination, set out in Article 2(2) of the ICESCR and Article 26 of the ICCPR. </w:t>
      </w:r>
      <w:r w:rsidR="00D73406" w:rsidRPr="00BC0235">
        <w:t>Sections 1.1 (Admission) and 2.2 (Diversity and Equity)</w:t>
      </w:r>
      <w:r w:rsidR="00D73406" w:rsidRPr="00CC2539">
        <w:t xml:space="preserve"> ensure that students from all backgrounds are admitted using policies that are fairly applied, with the academic preparation they need to participate in their intended study, with student diversity accommodated</w:t>
      </w:r>
      <w:r w:rsidR="00592BD3" w:rsidRPr="00CC2539">
        <w:t>, including the under-representation and/or disadvantage experienced by identified groups.</w:t>
      </w:r>
      <w:r w:rsidR="00D73406" w:rsidRPr="00CC2539">
        <w:t xml:space="preserve"> </w:t>
      </w:r>
      <w:r w:rsidR="00592BD3" w:rsidRPr="00CC2539">
        <w:t>S</w:t>
      </w:r>
      <w:r w:rsidR="00D73406" w:rsidRPr="00CC2539">
        <w:t>pecific consideration</w:t>
      </w:r>
      <w:r w:rsidR="00592BD3" w:rsidRPr="00CC2539">
        <w:t xml:space="preserve"> is given to</w:t>
      </w:r>
      <w:r w:rsidR="00D73406" w:rsidRPr="00CC2539">
        <w:t xml:space="preserve"> the needs of Aboriginal and Torres Strait Islander people</w:t>
      </w:r>
      <w:r w:rsidR="00592BD3" w:rsidRPr="00CC2539">
        <w:t xml:space="preserve"> in recruitment, admission, participation, and completion</w:t>
      </w:r>
      <w:r w:rsidR="00D73406" w:rsidRPr="00CC2539">
        <w:t>.</w:t>
      </w:r>
    </w:p>
    <w:p w14:paraId="2418FB49" w14:textId="77777777" w:rsidR="00D34415" w:rsidRPr="00CC2539" w:rsidRDefault="00D34415" w:rsidP="00D73406">
      <w:pPr>
        <w:jc w:val="left"/>
      </w:pPr>
    </w:p>
    <w:p w14:paraId="6D6CE2F4" w14:textId="34DECFEB" w:rsidR="00D34415" w:rsidRPr="00CC2539" w:rsidRDefault="00D34415" w:rsidP="00D73406">
      <w:pPr>
        <w:jc w:val="left"/>
      </w:pPr>
      <w:r w:rsidRPr="00CC2539">
        <w:t xml:space="preserve">The legislative instrument promotes the right to freedom from discrimination. </w:t>
      </w:r>
      <w:r w:rsidR="00EF1DF6" w:rsidRPr="00BC0235">
        <w:t>Students from</w:t>
      </w:r>
      <w:r w:rsidR="005A4241" w:rsidRPr="00BC0235">
        <w:t xml:space="preserve"> </w:t>
      </w:r>
      <w:r w:rsidR="005A4241" w:rsidRPr="00B177FA">
        <w:t xml:space="preserve">low socioeconomic status families, </w:t>
      </w:r>
      <w:r w:rsidR="00EF1DF6" w:rsidRPr="00B177FA">
        <w:t xml:space="preserve">students with disability </w:t>
      </w:r>
      <w:r w:rsidR="005A4241" w:rsidRPr="00B177FA">
        <w:t xml:space="preserve">and </w:t>
      </w:r>
      <w:r w:rsidR="00C07840">
        <w:t>A</w:t>
      </w:r>
      <w:r w:rsidR="005A4241" w:rsidRPr="00CC2539">
        <w:t xml:space="preserve">boriginal and Torres Strait Islander students </w:t>
      </w:r>
      <w:r w:rsidR="00EF1DF6" w:rsidRPr="00CC2539">
        <w:t>are historically underrepresented in higher education</w:t>
      </w:r>
      <w:r w:rsidR="005A4241" w:rsidRPr="00CC2539">
        <w:t xml:space="preserve"> and can face additional challenges in undertaking and completing courses as a result of disadvantage. </w:t>
      </w:r>
      <w:r w:rsidR="00A509E7" w:rsidRPr="00CC2539">
        <w:t xml:space="preserve">Ensuring they have ready </w:t>
      </w:r>
      <w:r w:rsidR="005A4241" w:rsidRPr="00CC2539">
        <w:t xml:space="preserve">access to </w:t>
      </w:r>
      <w:r w:rsidR="00A509E7" w:rsidRPr="00CC2539">
        <w:t xml:space="preserve">the </w:t>
      </w:r>
      <w:r w:rsidR="005A4241" w:rsidRPr="00CC2539">
        <w:t xml:space="preserve">range of additional supports </w:t>
      </w:r>
      <w:r w:rsidR="00A509E7" w:rsidRPr="00CC2539">
        <w:t xml:space="preserve">either </w:t>
      </w:r>
      <w:r w:rsidR="005A4241" w:rsidRPr="00CC2539">
        <w:t>available or able to be funded through government and institutional equity programmes</w:t>
      </w:r>
      <w:r w:rsidR="00A509E7" w:rsidRPr="00CC2539">
        <w:t xml:space="preserve"> will help to reduce any additional barriers to achievement for students facing disadvantage</w:t>
      </w:r>
      <w:r w:rsidR="005A4241" w:rsidRPr="00CC2539">
        <w:t>.</w:t>
      </w:r>
      <w:r w:rsidR="00E65509" w:rsidRPr="00E65509">
        <w:t xml:space="preserve"> </w:t>
      </w:r>
      <w:r w:rsidR="00E65509" w:rsidRPr="00CC2539">
        <w:t xml:space="preserve">To the extent that the </w:t>
      </w:r>
      <w:r w:rsidR="00E65509">
        <w:t>instrument</w:t>
      </w:r>
      <w:r w:rsidR="00E65509" w:rsidRPr="00CC2539">
        <w:t xml:space="preserve"> permits differential treatment, through addressing the under-representation and/or </w:t>
      </w:r>
      <w:r w:rsidR="00E65509" w:rsidRPr="00CC2539">
        <w:lastRenderedPageBreak/>
        <w:t>disadvantage experience by identified groups in section 2.2, this differential treatment is legitimate.</w:t>
      </w:r>
    </w:p>
    <w:p w14:paraId="054B96C4" w14:textId="77777777" w:rsidR="00653BA1" w:rsidRPr="0043112F" w:rsidRDefault="00653BA1" w:rsidP="00653BA1">
      <w:pPr>
        <w:jc w:val="left"/>
        <w:rPr>
          <w:rFonts w:cs="Arial"/>
        </w:rPr>
      </w:pPr>
    </w:p>
    <w:p w14:paraId="3FE394E0" w14:textId="77777777" w:rsidR="004402BD" w:rsidRPr="0043112F" w:rsidRDefault="004402BD" w:rsidP="00FF758F">
      <w:pPr>
        <w:keepNext/>
        <w:contextualSpacing/>
        <w:jc w:val="left"/>
        <w:rPr>
          <w:rFonts w:cs="Arial"/>
          <w:i/>
          <w:iCs/>
        </w:rPr>
      </w:pPr>
      <w:r w:rsidRPr="0043112F">
        <w:rPr>
          <w:rFonts w:cs="Arial"/>
          <w:i/>
          <w:iCs/>
        </w:rPr>
        <w:t xml:space="preserve">Right </w:t>
      </w:r>
      <w:r w:rsidR="00E972BD">
        <w:rPr>
          <w:rFonts w:cs="Arial"/>
          <w:i/>
          <w:iCs/>
        </w:rPr>
        <w:t xml:space="preserve">to </w:t>
      </w:r>
      <w:r w:rsidR="000D4E7C">
        <w:rPr>
          <w:rFonts w:cs="Arial"/>
          <w:i/>
          <w:iCs/>
        </w:rPr>
        <w:t xml:space="preserve">just and favourable conditions of </w:t>
      </w:r>
      <w:r w:rsidRPr="0043112F">
        <w:rPr>
          <w:rFonts w:cs="Arial"/>
          <w:i/>
          <w:iCs/>
        </w:rPr>
        <w:t>work</w:t>
      </w:r>
    </w:p>
    <w:p w14:paraId="18D32DA5" w14:textId="77777777" w:rsidR="004402BD" w:rsidRPr="00BC0235" w:rsidRDefault="004402BD" w:rsidP="00102B2D">
      <w:pPr>
        <w:jc w:val="left"/>
      </w:pPr>
    </w:p>
    <w:p w14:paraId="788AC55D" w14:textId="77777777" w:rsidR="004402BD" w:rsidRPr="00CC2539" w:rsidRDefault="004402BD" w:rsidP="004402BD">
      <w:pPr>
        <w:jc w:val="left"/>
      </w:pPr>
      <w:r w:rsidRPr="00CC2539">
        <w:t xml:space="preserve">The </w:t>
      </w:r>
      <w:r w:rsidR="00575366" w:rsidRPr="00CC2539">
        <w:t>legislative i</w:t>
      </w:r>
      <w:r w:rsidRPr="00CC2539">
        <w:t xml:space="preserve">nstrument </w:t>
      </w:r>
      <w:r w:rsidR="00653BA1" w:rsidRPr="00CC2539">
        <w:t xml:space="preserve">also </w:t>
      </w:r>
      <w:r w:rsidRPr="00CC2539">
        <w:t>engages the right to</w:t>
      </w:r>
      <w:r w:rsidR="001233CD" w:rsidRPr="00CC2539">
        <w:t xml:space="preserve"> just and favourable conditions of work</w:t>
      </w:r>
      <w:r w:rsidRPr="00CC2539">
        <w:t xml:space="preserve"> contained in article</w:t>
      </w:r>
      <w:r w:rsidR="00926E2C" w:rsidRPr="00CC2539">
        <w:t xml:space="preserve"> </w:t>
      </w:r>
      <w:r w:rsidRPr="00CC2539">
        <w:t xml:space="preserve">7 of the </w:t>
      </w:r>
      <w:r w:rsidR="00D34415" w:rsidRPr="00CC2539">
        <w:t>ICESCR</w:t>
      </w:r>
      <w:r w:rsidR="00653BA1" w:rsidRPr="00CC2539">
        <w:t xml:space="preserve">, </w:t>
      </w:r>
      <w:r w:rsidR="000D4E7C" w:rsidRPr="00CC2539">
        <w:t xml:space="preserve">including </w:t>
      </w:r>
      <w:r w:rsidR="00653BA1" w:rsidRPr="00CC2539">
        <w:t xml:space="preserve">rights to </w:t>
      </w:r>
      <w:r w:rsidR="000D4E7C" w:rsidRPr="00CC2539">
        <w:t>safe and healthy working conditions and equal opportunity for advancement</w:t>
      </w:r>
      <w:r w:rsidRPr="00CC2539">
        <w:t>.</w:t>
      </w:r>
    </w:p>
    <w:p w14:paraId="7EC28A5A" w14:textId="77777777" w:rsidR="00575366" w:rsidRPr="00CC2539" w:rsidRDefault="00575366" w:rsidP="00832F8E">
      <w:pPr>
        <w:jc w:val="left"/>
      </w:pPr>
    </w:p>
    <w:p w14:paraId="08428B6C" w14:textId="77777777" w:rsidR="00653BA1" w:rsidRDefault="00074DF8" w:rsidP="009A38B8">
      <w:pPr>
        <w:jc w:val="left"/>
      </w:pPr>
      <w:r w:rsidRPr="00CC2539">
        <w:t xml:space="preserve">The </w:t>
      </w:r>
      <w:r w:rsidR="00E65509">
        <w:t>l</w:t>
      </w:r>
      <w:r w:rsidR="00E972BD">
        <w:t xml:space="preserve">egislative </w:t>
      </w:r>
      <w:r w:rsidR="00E65509">
        <w:t>i</w:t>
      </w:r>
      <w:r w:rsidR="00E972BD">
        <w:t xml:space="preserve">nstrument promotes the right to </w:t>
      </w:r>
      <w:r w:rsidR="00E972BD" w:rsidRPr="0080777E">
        <w:t xml:space="preserve">just and favourable conditions of work </w:t>
      </w:r>
      <w:r w:rsidR="00E972BD">
        <w:t xml:space="preserve">by </w:t>
      </w:r>
      <w:r w:rsidRPr="00E972BD">
        <w:t>requir</w:t>
      </w:r>
      <w:r w:rsidR="00E972BD">
        <w:t>ing</w:t>
      </w:r>
      <w:r w:rsidRPr="00E972BD">
        <w:t xml:space="preserve"> higher education providers to offer learning and research environments that are safe, ethical and promote student wellbeing</w:t>
      </w:r>
      <w:r w:rsidR="00926E2C" w:rsidRPr="00E972BD">
        <w:t>;</w:t>
      </w:r>
      <w:r w:rsidRPr="00E972BD">
        <w:t xml:space="preserve"> </w:t>
      </w:r>
      <w:r w:rsidRPr="00BC0235">
        <w:t>and that corporate and academic governance structures and policies ensure the academic and operational integrity of its activities.</w:t>
      </w:r>
      <w:r w:rsidR="00832F8E" w:rsidRPr="00E972BD">
        <w:t xml:space="preserve"> The Standards require that </w:t>
      </w:r>
      <w:r w:rsidR="00832F8E">
        <w:t>facilities</w:t>
      </w:r>
      <w:r w:rsidR="00653BA1">
        <w:t xml:space="preserve"> –</w:t>
      </w:r>
      <w:r w:rsidR="00832F8E">
        <w:t xml:space="preserve"> including facilities where external placements are undertaken</w:t>
      </w:r>
      <w:r w:rsidR="00653BA1">
        <w:t xml:space="preserve"> –</w:t>
      </w:r>
      <w:r w:rsidR="00832F8E">
        <w:t xml:space="preserve"> are fit for their educational and research purposes and accommodate the numbers of students and staff </w:t>
      </w:r>
      <w:r w:rsidR="00926E2C">
        <w:t>that</w:t>
      </w:r>
      <w:r w:rsidR="00832F8E">
        <w:t xml:space="preserve"> use them</w:t>
      </w:r>
      <w:r w:rsidR="00E65509">
        <w:t>, as well as</w:t>
      </w:r>
      <w:r w:rsidR="00B51450">
        <w:t xml:space="preserve"> their educational and research activities</w:t>
      </w:r>
      <w:r w:rsidR="00CD2309">
        <w:t xml:space="preserve">. </w:t>
      </w:r>
      <w:r w:rsidR="000A1EE2" w:rsidRPr="00BC0235">
        <w:t xml:space="preserve">These are issues and protections that impact not just students undertaking learning and </w:t>
      </w:r>
      <w:r w:rsidR="000A1EE2" w:rsidRPr="00CC2539">
        <w:t xml:space="preserve">research training but also the teachers, research supervisors and other institutional staff that support the learning process. </w:t>
      </w:r>
      <w:r w:rsidR="00CD2309">
        <w:t xml:space="preserve">In addition, section 4.2 </w:t>
      </w:r>
      <w:r w:rsidR="00B177FA">
        <w:t xml:space="preserve">(Research Training) </w:t>
      </w:r>
      <w:r w:rsidR="00CD2309">
        <w:t xml:space="preserve">requires research students to undertake </w:t>
      </w:r>
      <w:r w:rsidR="00B177FA">
        <w:t xml:space="preserve">specific </w:t>
      </w:r>
      <w:r w:rsidR="00CD2309">
        <w:t>training on occupational health and safety as part of their induction, promoting the right to safe and healthy working conditions</w:t>
      </w:r>
      <w:r w:rsidR="00832F8E">
        <w:t>.</w:t>
      </w:r>
    </w:p>
    <w:p w14:paraId="7BEB50EC" w14:textId="77777777" w:rsidR="00653BA1" w:rsidRDefault="00653BA1" w:rsidP="009A38B8">
      <w:pPr>
        <w:jc w:val="left"/>
      </w:pPr>
    </w:p>
    <w:p w14:paraId="0D8C71C3" w14:textId="77777777" w:rsidR="00832F8E" w:rsidRDefault="00B51450" w:rsidP="009A38B8">
      <w:pPr>
        <w:jc w:val="left"/>
      </w:pPr>
      <w:r>
        <w:t>T</w:t>
      </w:r>
      <w:r w:rsidR="00832F8E">
        <w:t xml:space="preserve">eachers and supervisors </w:t>
      </w:r>
      <w:r w:rsidR="00653BA1">
        <w:t xml:space="preserve">must </w:t>
      </w:r>
      <w:r w:rsidR="00832F8E">
        <w:t xml:space="preserve">have opportunities to review feedback on their teaching and research supervision and </w:t>
      </w:r>
      <w:r w:rsidR="00653BA1">
        <w:t xml:space="preserve">be </w:t>
      </w:r>
      <w:r w:rsidR="00832F8E">
        <w:t xml:space="preserve">supported in enhancing these activities. A higher education provider’s governing body must develop and maintain an institutional environment in which freedom of intellectual inquiry is upheld and protected, </w:t>
      </w:r>
      <w:r w:rsidR="008849CA">
        <w:t xml:space="preserve">where </w:t>
      </w:r>
      <w:r w:rsidR="00832F8E">
        <w:t xml:space="preserve">students and staff are treated equitably, </w:t>
      </w:r>
      <w:r w:rsidR="008849CA">
        <w:t xml:space="preserve">and </w:t>
      </w:r>
      <w:r w:rsidR="00832F8E">
        <w:t>the wellbeing of students and staff is fostered</w:t>
      </w:r>
      <w:r w:rsidR="008849CA">
        <w:t>.</w:t>
      </w:r>
      <w:r w:rsidR="000A1EE2">
        <w:t xml:space="preserve"> Taken together, these requirements promote a work and study environment that welcomes inquiry, is respectful of difference and promotes equal opportunity for advancement in learning and work.</w:t>
      </w:r>
    </w:p>
    <w:p w14:paraId="5FF4FB69" w14:textId="77777777" w:rsidR="00766996" w:rsidRDefault="00766996" w:rsidP="009A38B8">
      <w:pPr>
        <w:jc w:val="left"/>
      </w:pPr>
    </w:p>
    <w:p w14:paraId="545DE67A" w14:textId="77777777" w:rsidR="00766996" w:rsidRPr="00ED5DF8" w:rsidRDefault="00766996" w:rsidP="009A38B8">
      <w:pPr>
        <w:jc w:val="left"/>
        <w:rPr>
          <w:i/>
        </w:rPr>
      </w:pPr>
      <w:r>
        <w:rPr>
          <w:i/>
        </w:rPr>
        <w:t>Right to privacy</w:t>
      </w:r>
    </w:p>
    <w:p w14:paraId="315FAF69" w14:textId="77777777" w:rsidR="00766996" w:rsidRPr="00BC0235" w:rsidRDefault="00766996" w:rsidP="009A38B8">
      <w:pPr>
        <w:jc w:val="left"/>
      </w:pPr>
    </w:p>
    <w:p w14:paraId="3ED927DC" w14:textId="77777777" w:rsidR="00BC0235" w:rsidRDefault="00766996" w:rsidP="00CC2539">
      <w:pPr>
        <w:jc w:val="left"/>
      </w:pPr>
      <w:r w:rsidRPr="00BC0235">
        <w:t>The legislative instrument engages the right to privacy.</w:t>
      </w:r>
      <w:r w:rsidRPr="00766996">
        <w:t xml:space="preserve"> </w:t>
      </w:r>
      <w:r w:rsidRPr="00BC0235">
        <w:t xml:space="preserve">Article 17 of the ICCPR prohibits unlawful or arbitrary interferences with a person's privacy, family, home and correspondence. Collecting, </w:t>
      </w:r>
      <w:r w:rsidRPr="00CC2539">
        <w:t xml:space="preserve">using, storing, disclosing or publishing personal information amounts to an interference with privacy. </w:t>
      </w:r>
      <w:r w:rsidR="00BC0235">
        <w:t xml:space="preserve">Institutions must </w:t>
      </w:r>
      <w:r w:rsidR="00C17F11">
        <w:t xml:space="preserve">necessarily </w:t>
      </w:r>
      <w:r w:rsidR="00BC0235">
        <w:t xml:space="preserve">collect information </w:t>
      </w:r>
      <w:r w:rsidR="00C17F11">
        <w:t xml:space="preserve">about </w:t>
      </w:r>
      <w:r w:rsidR="00BC0235">
        <w:t>their students for a range of reasons – e.g. to manage admission (section 1.1), monitor progress (section 1.3</w:t>
      </w:r>
      <w:r w:rsidR="00B177FA">
        <w:t xml:space="preserve"> – Orientation and Progression</w:t>
      </w:r>
      <w:r w:rsidR="00BC0235">
        <w:t>), academic assessment (</w:t>
      </w:r>
      <w:r w:rsidR="00C17F11">
        <w:t xml:space="preserve">section </w:t>
      </w:r>
      <w:r w:rsidR="00BC0235">
        <w:t>1.4</w:t>
      </w:r>
      <w:r w:rsidR="00B177FA">
        <w:t xml:space="preserve"> – Learning Outcomes and Assessment</w:t>
      </w:r>
      <w:r w:rsidR="00BC0235">
        <w:t xml:space="preserve">), monitor identified student subgroups to inform </w:t>
      </w:r>
      <w:r w:rsidR="00BC0235" w:rsidRPr="004C0320">
        <w:t>admission policies and improvement of teaching</w:t>
      </w:r>
      <w:r w:rsidR="00BC0235">
        <w:t xml:space="preserve"> </w:t>
      </w:r>
      <w:r w:rsidR="00BC0235" w:rsidRPr="004C0320">
        <w:t>and support strategies</w:t>
      </w:r>
      <w:r w:rsidR="00BC0235">
        <w:t xml:space="preserve"> (</w:t>
      </w:r>
      <w:r w:rsidR="00B177FA">
        <w:t xml:space="preserve">section </w:t>
      </w:r>
      <w:r w:rsidR="00BC0235">
        <w:t>2.2) and to monitor the higher education provider’s own performance (section 5.3</w:t>
      </w:r>
      <w:r w:rsidR="00B177FA">
        <w:t xml:space="preserve"> – Monitoring, Review and Improvement</w:t>
      </w:r>
      <w:r w:rsidR="00BC0235">
        <w:t>).</w:t>
      </w:r>
      <w:r w:rsidR="00C17F11">
        <w:t xml:space="preserve"> Higher education providers will also come into possession of </w:t>
      </w:r>
      <w:r w:rsidR="00B177FA">
        <w:t xml:space="preserve">a wide range of </w:t>
      </w:r>
      <w:r w:rsidR="00C17F11">
        <w:t xml:space="preserve">additional information </w:t>
      </w:r>
      <w:r w:rsidR="00B177FA">
        <w:t xml:space="preserve">through their </w:t>
      </w:r>
      <w:r w:rsidR="00C17F11">
        <w:t>deliver</w:t>
      </w:r>
      <w:r w:rsidR="00B177FA">
        <w:t xml:space="preserve">y and </w:t>
      </w:r>
      <w:r w:rsidR="00C17F11">
        <w:t>assess</w:t>
      </w:r>
      <w:r w:rsidR="00B177FA">
        <w:t xml:space="preserve">ment of </w:t>
      </w:r>
      <w:r w:rsidR="00C17F11">
        <w:t>higher education and research training.</w:t>
      </w:r>
    </w:p>
    <w:p w14:paraId="2BDAFF29" w14:textId="77777777" w:rsidR="00BC0235" w:rsidRDefault="00BC0235" w:rsidP="00CC2539">
      <w:pPr>
        <w:jc w:val="left"/>
      </w:pPr>
    </w:p>
    <w:p w14:paraId="0B7B9260" w14:textId="77777777" w:rsidR="00BC0235" w:rsidRDefault="00E972BD" w:rsidP="00CC2539">
      <w:pPr>
        <w:jc w:val="left"/>
      </w:pPr>
      <w:r w:rsidRPr="0080777E">
        <w:t xml:space="preserve">The </w:t>
      </w:r>
      <w:r w:rsidR="00E65509">
        <w:t>legislative i</w:t>
      </w:r>
      <w:r>
        <w:t xml:space="preserve">nstrument promotes the right to privacy through the protection of personal and sensitive information. </w:t>
      </w:r>
      <w:r w:rsidR="00B177FA">
        <w:t xml:space="preserve">Section 7.3 (Information Management) </w:t>
      </w:r>
      <w:r w:rsidR="00C17F11">
        <w:t>require</w:t>
      </w:r>
      <w:r w:rsidR="00B177FA">
        <w:t>s</w:t>
      </w:r>
      <w:r w:rsidR="00C17F11">
        <w:t xml:space="preserve"> providers to manage their information </w:t>
      </w:r>
      <w:r w:rsidR="00B177FA">
        <w:t xml:space="preserve">systems </w:t>
      </w:r>
      <w:r w:rsidR="00C17F11">
        <w:t xml:space="preserve">securely and confidentially as needed, in order to maintain accurate records and prevent unauthorised access to private or sensitive information. This includes information </w:t>
      </w:r>
      <w:r w:rsidR="00C17F11" w:rsidRPr="004C0320">
        <w:t>where unauthorised access may compromise academic or research integrity</w:t>
      </w:r>
      <w:r w:rsidR="00C17F11">
        <w:t>.</w:t>
      </w:r>
    </w:p>
    <w:p w14:paraId="1EAB357C" w14:textId="77777777" w:rsidR="00B177FA" w:rsidRDefault="00B177FA" w:rsidP="00CC2539">
      <w:pPr>
        <w:jc w:val="left"/>
      </w:pPr>
    </w:p>
    <w:p w14:paraId="292F89E6" w14:textId="77777777" w:rsidR="00B177FA" w:rsidRDefault="00B177FA" w:rsidP="00CC2539">
      <w:pPr>
        <w:keepNext/>
        <w:jc w:val="left"/>
        <w:rPr>
          <w:i/>
        </w:rPr>
      </w:pPr>
      <w:r>
        <w:rPr>
          <w:i/>
        </w:rPr>
        <w:t>R</w:t>
      </w:r>
      <w:r w:rsidRPr="00CC2539">
        <w:rPr>
          <w:i/>
        </w:rPr>
        <w:t>ights of persons with disabilities</w:t>
      </w:r>
    </w:p>
    <w:p w14:paraId="1FCA0AB5" w14:textId="77777777" w:rsidR="00E972BD" w:rsidRDefault="00E972BD" w:rsidP="00CC2539">
      <w:pPr>
        <w:keepNext/>
        <w:jc w:val="left"/>
      </w:pPr>
    </w:p>
    <w:p w14:paraId="2509868A" w14:textId="77777777" w:rsidR="002F6FDC" w:rsidRDefault="0001006C" w:rsidP="00CC2539">
      <w:pPr>
        <w:jc w:val="left"/>
      </w:pPr>
      <w:r>
        <w:t xml:space="preserve">The </w:t>
      </w:r>
      <w:r w:rsidR="00E65509">
        <w:t>l</w:t>
      </w:r>
      <w:r>
        <w:t xml:space="preserve">egislative </w:t>
      </w:r>
      <w:r w:rsidR="00E65509">
        <w:t>i</w:t>
      </w:r>
      <w:r>
        <w:t xml:space="preserve">nstrument engages the rights of people with disabilities to education and to access, on an equal basis with others, to the physical environment, </w:t>
      </w:r>
      <w:r w:rsidRPr="00CC2539">
        <w:t>transportation, information and communications</w:t>
      </w:r>
      <w:r>
        <w:t xml:space="preserve"> under Articles 24 and 9 of the </w:t>
      </w:r>
      <w:r w:rsidR="00A31F87">
        <w:t>CRPD</w:t>
      </w:r>
      <w:r>
        <w:t xml:space="preserve">. </w:t>
      </w:r>
      <w:r w:rsidR="002F6FDC">
        <w:t xml:space="preserve">States parties to the CRPD commit </w:t>
      </w:r>
      <w:r w:rsidR="002F6FDC">
        <w:lastRenderedPageBreak/>
        <w:t>to ensuring r</w:t>
      </w:r>
      <w:r w:rsidR="002F6FDC" w:rsidRPr="00CC2539">
        <w:t xml:space="preserve">easonable accommodation </w:t>
      </w:r>
      <w:r w:rsidR="002F6FDC">
        <w:t xml:space="preserve">of </w:t>
      </w:r>
      <w:r w:rsidR="002F6FDC" w:rsidRPr="00CC2539">
        <w:t>individuals</w:t>
      </w:r>
      <w:r w:rsidR="002F6FDC">
        <w:t>’</w:t>
      </w:r>
      <w:r w:rsidR="002F6FDC" w:rsidRPr="00CC2539">
        <w:t xml:space="preserve"> requirements is</w:t>
      </w:r>
      <w:r w:rsidR="002F6FDC">
        <w:t xml:space="preserve"> </w:t>
      </w:r>
      <w:r w:rsidR="002F6FDC" w:rsidRPr="00CC2539">
        <w:t>provided</w:t>
      </w:r>
      <w:r w:rsidR="002F6FDC">
        <w:t xml:space="preserve"> and that e</w:t>
      </w:r>
      <w:r w:rsidR="002F6FDC" w:rsidRPr="00CC2539">
        <w:t>ffective individuali</w:t>
      </w:r>
      <w:r w:rsidR="002F6FDC">
        <w:t>s</w:t>
      </w:r>
      <w:r w:rsidR="002F6FDC" w:rsidRPr="00CC2539">
        <w:t>ed support measures are provided in</w:t>
      </w:r>
      <w:r w:rsidR="002F6FDC">
        <w:t xml:space="preserve"> </w:t>
      </w:r>
      <w:r w:rsidR="002F6FDC" w:rsidRPr="00CC2539">
        <w:t>environments that maximize academic and social development, consistent with</w:t>
      </w:r>
      <w:r w:rsidR="002F6FDC">
        <w:t xml:space="preserve"> </w:t>
      </w:r>
      <w:r w:rsidR="002F6FDC" w:rsidRPr="00CC2539">
        <w:t>the goal of full inclusion</w:t>
      </w:r>
      <w:r w:rsidR="002F6FDC">
        <w:t>.</w:t>
      </w:r>
    </w:p>
    <w:p w14:paraId="797B2C3A" w14:textId="77777777" w:rsidR="002F6FDC" w:rsidRDefault="002F6FDC" w:rsidP="00CC2539">
      <w:pPr>
        <w:jc w:val="left"/>
      </w:pPr>
    </w:p>
    <w:p w14:paraId="055CB3F2" w14:textId="77777777" w:rsidR="002F6FDC" w:rsidRDefault="00E972BD" w:rsidP="00CC2539">
      <w:pPr>
        <w:jc w:val="left"/>
      </w:pPr>
      <w:r w:rsidRPr="0080777E">
        <w:t xml:space="preserve">The </w:t>
      </w:r>
      <w:r w:rsidR="00E65509">
        <w:t>l</w:t>
      </w:r>
      <w:r>
        <w:t xml:space="preserve">egislative </w:t>
      </w:r>
      <w:r w:rsidR="00E65509">
        <w:t>i</w:t>
      </w:r>
      <w:r>
        <w:t>nstrument promotes the rights of people with disabilities by ensuring that higher education providers ensure their policies and operations take account of the specific needs of people with disability from a range of perspectives</w:t>
      </w:r>
      <w:r w:rsidR="00E96B5D">
        <w:t>,</w:t>
      </w:r>
      <w:r>
        <w:t xml:space="preserve"> including the academic and physical environments and student support needs. </w:t>
      </w:r>
      <w:r w:rsidR="0001006C">
        <w:t>S</w:t>
      </w:r>
      <w:r w:rsidR="002F6FDC">
        <w:t>ection</w:t>
      </w:r>
      <w:r w:rsidR="0001006C">
        <w:t>s</w:t>
      </w:r>
      <w:r w:rsidR="002F6FDC">
        <w:t xml:space="preserve"> 2.2 </w:t>
      </w:r>
      <w:r w:rsidR="0001006C">
        <w:t xml:space="preserve">and 2.3 (Wellbeing and Safety) </w:t>
      </w:r>
      <w:r w:rsidR="002F6FDC">
        <w:t xml:space="preserve">require higher education providers to </w:t>
      </w:r>
      <w:r w:rsidR="0001006C">
        <w:t xml:space="preserve">ensure their policies and approaches to teaching and learning accommodate student diversity and that </w:t>
      </w:r>
      <w:r w:rsidR="002F6FDC">
        <w:t xml:space="preserve">the </w:t>
      </w:r>
      <w:r w:rsidR="0001006C">
        <w:t>nature and extent of support services available for students are informed by the needs of student cohorts, including mental health and disability. These requirements</w:t>
      </w:r>
      <w:r w:rsidR="00DE1EF5">
        <w:t xml:space="preserve">, along with existing requirements for education providers to comply with the Disability Standards for Education under the </w:t>
      </w:r>
      <w:r w:rsidR="00DE1EF5" w:rsidRPr="00D87272">
        <w:rPr>
          <w:i/>
        </w:rPr>
        <w:t xml:space="preserve">Disability Discrimination Act </w:t>
      </w:r>
      <w:r w:rsidR="000F76B0" w:rsidRPr="00D87272">
        <w:rPr>
          <w:i/>
        </w:rPr>
        <w:t>1992</w:t>
      </w:r>
      <w:r w:rsidR="000F76B0">
        <w:t>, will help</w:t>
      </w:r>
      <w:r w:rsidR="0001006C">
        <w:t xml:space="preserve"> ensure higher education providers will adequately support students with disability to develop their knowledge, skills and talents </w:t>
      </w:r>
      <w:r w:rsidR="005C0F18">
        <w:t xml:space="preserve">to their own </w:t>
      </w:r>
      <w:r w:rsidR="0001006C">
        <w:t xml:space="preserve">benefit </w:t>
      </w:r>
      <w:r w:rsidR="005C0F18">
        <w:t>and the benefit of the wider Australian community and economy on an equal basis with other students.</w:t>
      </w:r>
    </w:p>
    <w:p w14:paraId="506FFC97" w14:textId="77777777" w:rsidR="00327877" w:rsidRPr="0043112F" w:rsidRDefault="00327877" w:rsidP="004402BD">
      <w:pPr>
        <w:jc w:val="left"/>
        <w:rPr>
          <w:rFonts w:cs="Arial"/>
        </w:rPr>
      </w:pPr>
    </w:p>
    <w:p w14:paraId="733A171A" w14:textId="77777777" w:rsidR="002658A5" w:rsidRPr="009A38B8" w:rsidRDefault="002658A5" w:rsidP="009A38B8">
      <w:pPr>
        <w:jc w:val="left"/>
        <w:rPr>
          <w:rFonts w:cs="Arial"/>
          <w:b/>
        </w:rPr>
      </w:pPr>
      <w:r w:rsidRPr="009A38B8">
        <w:rPr>
          <w:rFonts w:cs="Arial"/>
          <w:b/>
        </w:rPr>
        <w:t>Conclusion</w:t>
      </w:r>
    </w:p>
    <w:p w14:paraId="16953004" w14:textId="77777777" w:rsidR="002658A5" w:rsidRDefault="002658A5" w:rsidP="009A38B8">
      <w:pPr>
        <w:jc w:val="left"/>
        <w:rPr>
          <w:rFonts w:cs="Arial"/>
        </w:rPr>
      </w:pPr>
    </w:p>
    <w:p w14:paraId="745FCEC2" w14:textId="77777777" w:rsidR="002658A5" w:rsidRPr="009A38B8" w:rsidRDefault="002658A5" w:rsidP="009A38B8">
      <w:pPr>
        <w:jc w:val="left"/>
        <w:rPr>
          <w:rFonts w:cs="Arial"/>
        </w:rPr>
      </w:pPr>
      <w:r w:rsidRPr="009A38B8">
        <w:rPr>
          <w:rFonts w:cs="Arial"/>
        </w:rPr>
        <w:t>The Legislative Instrument is compatible with human rights because it advances the protection of human rights</w:t>
      </w:r>
      <w:r w:rsidR="00926E2C" w:rsidRPr="009A38B8">
        <w:rPr>
          <w:rFonts w:cs="Arial"/>
        </w:rPr>
        <w:t xml:space="preserve"> in the delivery of higher education in </w:t>
      </w:r>
      <w:r w:rsidR="009A38B8" w:rsidRPr="009A38B8">
        <w:rPr>
          <w:rFonts w:cs="Arial"/>
        </w:rPr>
        <w:t>Australia</w:t>
      </w:r>
      <w:r w:rsidRPr="009A38B8">
        <w:rPr>
          <w:rFonts w:cs="Arial"/>
        </w:rPr>
        <w:t>.</w:t>
      </w:r>
      <w:r w:rsidR="00766996">
        <w:rPr>
          <w:rFonts w:cs="Arial"/>
        </w:rPr>
        <w:t xml:space="preserve"> To the extent that it may limit human rights, these limitations are reasonable, necessary, and proportionate.</w:t>
      </w:r>
    </w:p>
    <w:p w14:paraId="1A8BE95B" w14:textId="77777777" w:rsidR="002658A5" w:rsidRDefault="002658A5" w:rsidP="009A38B8">
      <w:pPr>
        <w:jc w:val="left"/>
        <w:rPr>
          <w:rFonts w:cs="Arial"/>
        </w:rPr>
      </w:pPr>
    </w:p>
    <w:p w14:paraId="04840BB9" w14:textId="77777777" w:rsidR="00844CCB" w:rsidRPr="009A38B8" w:rsidRDefault="00844CCB" w:rsidP="009A38B8">
      <w:pPr>
        <w:jc w:val="left"/>
        <w:rPr>
          <w:rFonts w:cs="Arial"/>
        </w:rPr>
      </w:pPr>
    </w:p>
    <w:p w14:paraId="58C26C81" w14:textId="224F78C1" w:rsidR="002658A5" w:rsidRPr="002640FD" w:rsidRDefault="00390AFF" w:rsidP="00102B2D">
      <w:pPr>
        <w:jc w:val="left"/>
        <w:rPr>
          <w:rFonts w:cs="Arial"/>
        </w:rPr>
      </w:pPr>
      <w:r>
        <w:rPr>
          <w:rFonts w:cs="Arial"/>
        </w:rPr>
        <w:t>SIMON BIRMINGHAM</w:t>
      </w:r>
      <w:r w:rsidR="002658A5" w:rsidRPr="002640FD">
        <w:rPr>
          <w:rFonts w:cs="Arial"/>
        </w:rPr>
        <w:t>, Minister for Education and Training</w:t>
      </w:r>
    </w:p>
    <w:sectPr w:rsidR="002658A5" w:rsidRPr="002640FD" w:rsidSect="002640FD">
      <w:footerReference w:type="default" r:id="rId12"/>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60766" w14:textId="77777777" w:rsidR="00EB57CD" w:rsidRDefault="00EB57CD" w:rsidP="00107CE2">
      <w:r>
        <w:separator/>
      </w:r>
    </w:p>
  </w:endnote>
  <w:endnote w:type="continuationSeparator" w:id="0">
    <w:p w14:paraId="76447C95" w14:textId="77777777" w:rsidR="00EB57CD" w:rsidRDefault="00EB57CD" w:rsidP="00107CE2">
      <w:r>
        <w:continuationSeparator/>
      </w:r>
    </w:p>
  </w:endnote>
  <w:endnote w:type="continuationNotice" w:id="1">
    <w:p w14:paraId="26257E47" w14:textId="77777777" w:rsidR="00EB57CD" w:rsidRDefault="00EB5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937885"/>
      <w:docPartObj>
        <w:docPartGallery w:val="Page Numbers (Bottom of Page)"/>
        <w:docPartUnique/>
      </w:docPartObj>
    </w:sdtPr>
    <w:sdtEndPr>
      <w:rPr>
        <w:noProof/>
      </w:rPr>
    </w:sdtEndPr>
    <w:sdtContent>
      <w:p w14:paraId="0F9E8040" w14:textId="77777777" w:rsidR="00136B75" w:rsidRDefault="00136B75">
        <w:pPr>
          <w:pStyle w:val="Footer"/>
          <w:jc w:val="right"/>
        </w:pPr>
        <w:r>
          <w:fldChar w:fldCharType="begin"/>
        </w:r>
        <w:r>
          <w:instrText xml:space="preserve"> PAGE   \* MERGEFORMAT </w:instrText>
        </w:r>
        <w:r>
          <w:fldChar w:fldCharType="separate"/>
        </w:r>
        <w:r w:rsidR="005A2C03">
          <w:rPr>
            <w:noProof/>
          </w:rPr>
          <w:t>2</w:t>
        </w:r>
        <w:r>
          <w:rPr>
            <w:noProof/>
          </w:rPr>
          <w:fldChar w:fldCharType="end"/>
        </w:r>
      </w:p>
    </w:sdtContent>
  </w:sdt>
  <w:p w14:paraId="4EAAE2A1" w14:textId="77777777" w:rsidR="00136B75" w:rsidRDefault="00136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C55B5" w14:textId="77777777" w:rsidR="00EB57CD" w:rsidRDefault="00EB57CD" w:rsidP="00107CE2">
      <w:r>
        <w:separator/>
      </w:r>
    </w:p>
  </w:footnote>
  <w:footnote w:type="continuationSeparator" w:id="0">
    <w:p w14:paraId="5C8553A0" w14:textId="77777777" w:rsidR="00EB57CD" w:rsidRDefault="00EB57CD" w:rsidP="00107CE2">
      <w:r>
        <w:continuationSeparator/>
      </w:r>
    </w:p>
  </w:footnote>
  <w:footnote w:type="continuationNotice" w:id="1">
    <w:p w14:paraId="739C7091" w14:textId="77777777" w:rsidR="00EB57CD" w:rsidRDefault="00EB57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F94"/>
    <w:multiLevelType w:val="hybridMultilevel"/>
    <w:tmpl w:val="001A429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nsid w:val="04794DBE"/>
    <w:multiLevelType w:val="hybridMultilevel"/>
    <w:tmpl w:val="BC186A2C"/>
    <w:lvl w:ilvl="0" w:tplc="70828D5C">
      <w:start w:val="1"/>
      <w:numFmt w:val="decimal"/>
      <w:lvlText w:val="D/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271832"/>
    <w:multiLevelType w:val="hybridMultilevel"/>
    <w:tmpl w:val="BAD2B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F61EDD"/>
    <w:multiLevelType w:val="hybridMultilevel"/>
    <w:tmpl w:val="A98E5C2C"/>
    <w:lvl w:ilvl="0" w:tplc="4E4291A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BE7B3A"/>
    <w:multiLevelType w:val="hybridMultilevel"/>
    <w:tmpl w:val="A54C0628"/>
    <w:lvl w:ilvl="0" w:tplc="365CE2B4">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B4842D7"/>
    <w:multiLevelType w:val="hybridMultilevel"/>
    <w:tmpl w:val="7136BFC4"/>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A644A0"/>
    <w:multiLevelType w:val="hybridMultilevel"/>
    <w:tmpl w:val="F502F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F77EBF"/>
    <w:multiLevelType w:val="hybridMultilevel"/>
    <w:tmpl w:val="0CC2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EF3BDD"/>
    <w:multiLevelType w:val="multilevel"/>
    <w:tmpl w:val="776A9FE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E277CFE"/>
    <w:multiLevelType w:val="hybridMultilevel"/>
    <w:tmpl w:val="E72E6A44"/>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77963DD"/>
    <w:multiLevelType w:val="hybridMultilevel"/>
    <w:tmpl w:val="303A8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DD55B29"/>
    <w:multiLevelType w:val="hybridMultilevel"/>
    <w:tmpl w:val="0C8C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1C2272"/>
    <w:multiLevelType w:val="hybridMultilevel"/>
    <w:tmpl w:val="468E1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792164"/>
    <w:multiLevelType w:val="hybridMultilevel"/>
    <w:tmpl w:val="40B0F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53D75AE"/>
    <w:multiLevelType w:val="hybridMultilevel"/>
    <w:tmpl w:val="84D68EE6"/>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15">
    <w:nsid w:val="779723CE"/>
    <w:multiLevelType w:val="hybridMultilevel"/>
    <w:tmpl w:val="AC605694"/>
    <w:lvl w:ilvl="0" w:tplc="9572AD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695E37"/>
    <w:multiLevelType w:val="multilevel"/>
    <w:tmpl w:val="3AE2769A"/>
    <w:styleLink w:val="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92" w:hanging="708"/>
      </w:pPr>
      <w:rPr>
        <w:rFonts w:hint="default"/>
      </w:rPr>
    </w:lvl>
    <w:lvl w:ilvl="2">
      <w:start w:val="1"/>
      <w:numFmt w:val="decimal"/>
      <w:pStyle w:val="Heading3"/>
      <w:lvlText w:val="%3."/>
      <w:lvlJc w:val="left"/>
      <w:pPr>
        <w:ind w:left="710" w:hanging="426"/>
      </w:pPr>
      <w:rPr>
        <w:rFonts w:hint="default"/>
      </w:rPr>
    </w:lvl>
    <w:lvl w:ilvl="3">
      <w:start w:val="1"/>
      <w:numFmt w:val="lowerLetter"/>
      <w:pStyle w:val="Heading4"/>
      <w:lvlText w:val="%4."/>
      <w:lvlJc w:val="left"/>
      <w:pPr>
        <w:tabs>
          <w:tab w:val="num" w:pos="1701"/>
        </w:tabs>
        <w:ind w:left="1701" w:hanging="283"/>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nsid w:val="7EB40147"/>
    <w:multiLevelType w:val="hybridMultilevel"/>
    <w:tmpl w:val="3EEE7FA8"/>
    <w:lvl w:ilvl="0" w:tplc="0C09000F">
      <w:start w:val="1"/>
      <w:numFmt w:val="decimal"/>
      <w:lvlText w:val="%1."/>
      <w:lvlJc w:val="left"/>
      <w:pPr>
        <w:ind w:left="144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6"/>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b/>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2">
    <w:abstractNumId w:val="16"/>
    <w:lvlOverride w:ilvl="2">
      <w:lvl w:ilvl="2">
        <w:start w:val="1"/>
        <w:numFmt w:val="decimal"/>
        <w:pStyle w:val="Heading3"/>
        <w:lvlText w:val="%3."/>
        <w:lvlJc w:val="left"/>
        <w:pPr>
          <w:ind w:left="710" w:hanging="426"/>
        </w:pPr>
        <w:rPr>
          <w:rFonts w:hint="default"/>
          <w:color w:val="auto"/>
        </w:rPr>
      </w:lvl>
    </w:lvlOverride>
  </w:num>
  <w:num w:numId="3">
    <w:abstractNumId w:val="8"/>
  </w:num>
  <w:num w:numId="4">
    <w:abstractNumId w:val="14"/>
  </w:num>
  <w:num w:numId="5">
    <w:abstractNumId w:val="7"/>
  </w:num>
  <w:num w:numId="6">
    <w:abstractNumId w:val="15"/>
  </w:num>
  <w:num w:numId="7">
    <w:abstractNumId w:val="6"/>
  </w:num>
  <w:num w:numId="8">
    <w:abstractNumId w:val="16"/>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9">
    <w:abstractNumId w:val="16"/>
  </w:num>
  <w:num w:numId="10">
    <w:abstractNumId w:val="1"/>
  </w:num>
  <w:num w:numId="11">
    <w:abstractNumId w:val="13"/>
  </w:num>
  <w:num w:numId="12">
    <w:abstractNumId w:val="9"/>
  </w:num>
  <w:num w:numId="13">
    <w:abstractNumId w:val="0"/>
  </w:num>
  <w:num w:numId="14">
    <w:abstractNumId w:val="10"/>
  </w:num>
  <w:num w:numId="15">
    <w:abstractNumId w:val="2"/>
  </w:num>
  <w:num w:numId="16">
    <w:abstractNumId w:val="4"/>
  </w:num>
  <w:num w:numId="17">
    <w:abstractNumId w:val="5"/>
  </w:num>
  <w:num w:numId="18">
    <w:abstractNumId w:val="17"/>
  </w:num>
  <w:num w:numId="19">
    <w:abstractNumId w:val="12"/>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E2"/>
    <w:rsid w:val="000064F4"/>
    <w:rsid w:val="0001006C"/>
    <w:rsid w:val="00030345"/>
    <w:rsid w:val="00041E84"/>
    <w:rsid w:val="00072E57"/>
    <w:rsid w:val="00074DF8"/>
    <w:rsid w:val="000A1EE2"/>
    <w:rsid w:val="000B259F"/>
    <w:rsid w:val="000B32F2"/>
    <w:rsid w:val="000D4E7C"/>
    <w:rsid w:val="000D7CC0"/>
    <w:rsid w:val="000E06C6"/>
    <w:rsid w:val="000F686F"/>
    <w:rsid w:val="000F76B0"/>
    <w:rsid w:val="00100B26"/>
    <w:rsid w:val="00102B2D"/>
    <w:rsid w:val="00107CE2"/>
    <w:rsid w:val="0011243A"/>
    <w:rsid w:val="001165F5"/>
    <w:rsid w:val="001233CD"/>
    <w:rsid w:val="00132F0C"/>
    <w:rsid w:val="00136B75"/>
    <w:rsid w:val="001536E6"/>
    <w:rsid w:val="001625E9"/>
    <w:rsid w:val="00166549"/>
    <w:rsid w:val="001800C7"/>
    <w:rsid w:val="0019366A"/>
    <w:rsid w:val="001A2B8E"/>
    <w:rsid w:val="001D2770"/>
    <w:rsid w:val="001E1448"/>
    <w:rsid w:val="001E2BC4"/>
    <w:rsid w:val="001F4939"/>
    <w:rsid w:val="00201B90"/>
    <w:rsid w:val="0021640F"/>
    <w:rsid w:val="00225D33"/>
    <w:rsid w:val="0025371C"/>
    <w:rsid w:val="00256E0E"/>
    <w:rsid w:val="002640FD"/>
    <w:rsid w:val="002658A5"/>
    <w:rsid w:val="002670BF"/>
    <w:rsid w:val="00271D0E"/>
    <w:rsid w:val="002765BF"/>
    <w:rsid w:val="00287CF5"/>
    <w:rsid w:val="002A1AD0"/>
    <w:rsid w:val="002C22E3"/>
    <w:rsid w:val="002E0CF8"/>
    <w:rsid w:val="002E52E4"/>
    <w:rsid w:val="002F0598"/>
    <w:rsid w:val="002F2A3A"/>
    <w:rsid w:val="002F4406"/>
    <w:rsid w:val="002F6FDC"/>
    <w:rsid w:val="002F79D2"/>
    <w:rsid w:val="003142C9"/>
    <w:rsid w:val="00321F8C"/>
    <w:rsid w:val="00327877"/>
    <w:rsid w:val="00332109"/>
    <w:rsid w:val="00333201"/>
    <w:rsid w:val="00342124"/>
    <w:rsid w:val="00345816"/>
    <w:rsid w:val="00353D73"/>
    <w:rsid w:val="0038454B"/>
    <w:rsid w:val="00386B00"/>
    <w:rsid w:val="00390AFF"/>
    <w:rsid w:val="003A3199"/>
    <w:rsid w:val="003B249D"/>
    <w:rsid w:val="003B266D"/>
    <w:rsid w:val="003B6E91"/>
    <w:rsid w:val="003F0D99"/>
    <w:rsid w:val="003F1B7B"/>
    <w:rsid w:val="003F63A2"/>
    <w:rsid w:val="0040793E"/>
    <w:rsid w:val="00415AA8"/>
    <w:rsid w:val="0043112F"/>
    <w:rsid w:val="00431940"/>
    <w:rsid w:val="004402BD"/>
    <w:rsid w:val="00442624"/>
    <w:rsid w:val="0046331C"/>
    <w:rsid w:val="00466639"/>
    <w:rsid w:val="00472AE7"/>
    <w:rsid w:val="00474EA9"/>
    <w:rsid w:val="00480322"/>
    <w:rsid w:val="004908A1"/>
    <w:rsid w:val="004A13F0"/>
    <w:rsid w:val="004A3718"/>
    <w:rsid w:val="004B529D"/>
    <w:rsid w:val="004D380D"/>
    <w:rsid w:val="004D56AB"/>
    <w:rsid w:val="004E3148"/>
    <w:rsid w:val="004F66BF"/>
    <w:rsid w:val="0050184D"/>
    <w:rsid w:val="00522495"/>
    <w:rsid w:val="00533132"/>
    <w:rsid w:val="00550B70"/>
    <w:rsid w:val="00575366"/>
    <w:rsid w:val="00592BD3"/>
    <w:rsid w:val="0059369D"/>
    <w:rsid w:val="00597A66"/>
    <w:rsid w:val="005A2C03"/>
    <w:rsid w:val="005A4241"/>
    <w:rsid w:val="005A5307"/>
    <w:rsid w:val="005A5D0E"/>
    <w:rsid w:val="005B2693"/>
    <w:rsid w:val="005B2B0E"/>
    <w:rsid w:val="005B4486"/>
    <w:rsid w:val="005C0F18"/>
    <w:rsid w:val="005C5294"/>
    <w:rsid w:val="005F54EC"/>
    <w:rsid w:val="005F7066"/>
    <w:rsid w:val="00610D3B"/>
    <w:rsid w:val="00614522"/>
    <w:rsid w:val="00614AF5"/>
    <w:rsid w:val="006250BB"/>
    <w:rsid w:val="00633001"/>
    <w:rsid w:val="00653BA1"/>
    <w:rsid w:val="00680683"/>
    <w:rsid w:val="0069660B"/>
    <w:rsid w:val="006A0A5D"/>
    <w:rsid w:val="006B41AD"/>
    <w:rsid w:val="006C188D"/>
    <w:rsid w:val="006C1A4C"/>
    <w:rsid w:val="006C7919"/>
    <w:rsid w:val="006D0B46"/>
    <w:rsid w:val="006E22BC"/>
    <w:rsid w:val="006E2E78"/>
    <w:rsid w:val="006E5851"/>
    <w:rsid w:val="0070459D"/>
    <w:rsid w:val="00715F8F"/>
    <w:rsid w:val="00735F99"/>
    <w:rsid w:val="007440E4"/>
    <w:rsid w:val="00760EE0"/>
    <w:rsid w:val="00763E1F"/>
    <w:rsid w:val="00766996"/>
    <w:rsid w:val="007959E6"/>
    <w:rsid w:val="007A46CB"/>
    <w:rsid w:val="007B52F9"/>
    <w:rsid w:val="007B593C"/>
    <w:rsid w:val="007D4FF5"/>
    <w:rsid w:val="007E5608"/>
    <w:rsid w:val="00832F8E"/>
    <w:rsid w:val="008351FC"/>
    <w:rsid w:val="0083745C"/>
    <w:rsid w:val="0084129D"/>
    <w:rsid w:val="008416BD"/>
    <w:rsid w:val="00844CCB"/>
    <w:rsid w:val="00851980"/>
    <w:rsid w:val="0085533F"/>
    <w:rsid w:val="0085680C"/>
    <w:rsid w:val="00864849"/>
    <w:rsid w:val="00883EFB"/>
    <w:rsid w:val="008849CA"/>
    <w:rsid w:val="008A281C"/>
    <w:rsid w:val="008B2117"/>
    <w:rsid w:val="008C617C"/>
    <w:rsid w:val="008C71AF"/>
    <w:rsid w:val="008C7873"/>
    <w:rsid w:val="00917C8B"/>
    <w:rsid w:val="00920F5E"/>
    <w:rsid w:val="00921104"/>
    <w:rsid w:val="00926E2C"/>
    <w:rsid w:val="00931088"/>
    <w:rsid w:val="00936A0A"/>
    <w:rsid w:val="00940B88"/>
    <w:rsid w:val="00951F11"/>
    <w:rsid w:val="0095612A"/>
    <w:rsid w:val="00966820"/>
    <w:rsid w:val="00976ED9"/>
    <w:rsid w:val="009840A8"/>
    <w:rsid w:val="00984F19"/>
    <w:rsid w:val="00990164"/>
    <w:rsid w:val="009906E7"/>
    <w:rsid w:val="00993ABF"/>
    <w:rsid w:val="00994AE0"/>
    <w:rsid w:val="00995FEA"/>
    <w:rsid w:val="009A38B8"/>
    <w:rsid w:val="009A3F40"/>
    <w:rsid w:val="009B4C43"/>
    <w:rsid w:val="009B509C"/>
    <w:rsid w:val="009B5480"/>
    <w:rsid w:val="009D74EB"/>
    <w:rsid w:val="009E07B5"/>
    <w:rsid w:val="00A102A2"/>
    <w:rsid w:val="00A150EE"/>
    <w:rsid w:val="00A250A8"/>
    <w:rsid w:val="00A2677A"/>
    <w:rsid w:val="00A31F87"/>
    <w:rsid w:val="00A456EE"/>
    <w:rsid w:val="00A509E7"/>
    <w:rsid w:val="00A701D9"/>
    <w:rsid w:val="00A710C9"/>
    <w:rsid w:val="00A8284D"/>
    <w:rsid w:val="00AA262C"/>
    <w:rsid w:val="00AC3CDB"/>
    <w:rsid w:val="00AC4DEF"/>
    <w:rsid w:val="00AD5B3F"/>
    <w:rsid w:val="00AD6C32"/>
    <w:rsid w:val="00AE69B4"/>
    <w:rsid w:val="00AF3D2D"/>
    <w:rsid w:val="00B06DEC"/>
    <w:rsid w:val="00B070A0"/>
    <w:rsid w:val="00B15B41"/>
    <w:rsid w:val="00B177FA"/>
    <w:rsid w:val="00B30E7B"/>
    <w:rsid w:val="00B44593"/>
    <w:rsid w:val="00B46797"/>
    <w:rsid w:val="00B47523"/>
    <w:rsid w:val="00B50099"/>
    <w:rsid w:val="00B51450"/>
    <w:rsid w:val="00B5256C"/>
    <w:rsid w:val="00B56E78"/>
    <w:rsid w:val="00B5748B"/>
    <w:rsid w:val="00B964E3"/>
    <w:rsid w:val="00BA15D9"/>
    <w:rsid w:val="00BA6B24"/>
    <w:rsid w:val="00BB79EF"/>
    <w:rsid w:val="00BC0235"/>
    <w:rsid w:val="00BC68CE"/>
    <w:rsid w:val="00BD73D5"/>
    <w:rsid w:val="00BE62AD"/>
    <w:rsid w:val="00C07840"/>
    <w:rsid w:val="00C17F11"/>
    <w:rsid w:val="00C42AC1"/>
    <w:rsid w:val="00C6443B"/>
    <w:rsid w:val="00C645B0"/>
    <w:rsid w:val="00C77523"/>
    <w:rsid w:val="00C77D9B"/>
    <w:rsid w:val="00C93B8A"/>
    <w:rsid w:val="00C96A33"/>
    <w:rsid w:val="00CB1DBB"/>
    <w:rsid w:val="00CC2539"/>
    <w:rsid w:val="00CD132E"/>
    <w:rsid w:val="00CD18DE"/>
    <w:rsid w:val="00CD2309"/>
    <w:rsid w:val="00CE3115"/>
    <w:rsid w:val="00CF09F1"/>
    <w:rsid w:val="00CF157F"/>
    <w:rsid w:val="00CF1610"/>
    <w:rsid w:val="00CF4638"/>
    <w:rsid w:val="00D020D1"/>
    <w:rsid w:val="00D02D30"/>
    <w:rsid w:val="00D118FC"/>
    <w:rsid w:val="00D153FA"/>
    <w:rsid w:val="00D204F6"/>
    <w:rsid w:val="00D2069E"/>
    <w:rsid w:val="00D34415"/>
    <w:rsid w:val="00D36A8D"/>
    <w:rsid w:val="00D433D8"/>
    <w:rsid w:val="00D45031"/>
    <w:rsid w:val="00D4793C"/>
    <w:rsid w:val="00D5599E"/>
    <w:rsid w:val="00D57C2A"/>
    <w:rsid w:val="00D61330"/>
    <w:rsid w:val="00D73406"/>
    <w:rsid w:val="00D77537"/>
    <w:rsid w:val="00D87272"/>
    <w:rsid w:val="00DB79A1"/>
    <w:rsid w:val="00DB7BB5"/>
    <w:rsid w:val="00DC65C5"/>
    <w:rsid w:val="00DD73C8"/>
    <w:rsid w:val="00DE1EF5"/>
    <w:rsid w:val="00E026C1"/>
    <w:rsid w:val="00E14331"/>
    <w:rsid w:val="00E31483"/>
    <w:rsid w:val="00E40C33"/>
    <w:rsid w:val="00E450A1"/>
    <w:rsid w:val="00E54F88"/>
    <w:rsid w:val="00E57C4C"/>
    <w:rsid w:val="00E640EF"/>
    <w:rsid w:val="00E65509"/>
    <w:rsid w:val="00E66385"/>
    <w:rsid w:val="00E92CC8"/>
    <w:rsid w:val="00E96B5D"/>
    <w:rsid w:val="00E972BD"/>
    <w:rsid w:val="00EB39C9"/>
    <w:rsid w:val="00EB57CD"/>
    <w:rsid w:val="00ED5DF8"/>
    <w:rsid w:val="00EE1EB7"/>
    <w:rsid w:val="00EE584A"/>
    <w:rsid w:val="00EF1DF6"/>
    <w:rsid w:val="00F12948"/>
    <w:rsid w:val="00F37FF8"/>
    <w:rsid w:val="00F43C51"/>
    <w:rsid w:val="00F61A4E"/>
    <w:rsid w:val="00F935E4"/>
    <w:rsid w:val="00FA355C"/>
    <w:rsid w:val="00FA588C"/>
    <w:rsid w:val="00FD7890"/>
    <w:rsid w:val="00FE1664"/>
    <w:rsid w:val="00FE2667"/>
    <w:rsid w:val="00FE488D"/>
    <w:rsid w:val="00FF7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E2"/>
    <w:pPr>
      <w:tabs>
        <w:tab w:val="left" w:pos="1134"/>
      </w:tabs>
      <w:spacing w:after="0" w:line="240" w:lineRule="auto"/>
      <w:jc w:val="both"/>
    </w:pPr>
    <w:rPr>
      <w:rFonts w:ascii="Arial" w:hAnsi="Arial"/>
      <w:lang w:val="en-GB"/>
    </w:rPr>
  </w:style>
  <w:style w:type="paragraph" w:styleId="Heading1">
    <w:name w:val="heading 1"/>
    <w:next w:val="Normal"/>
    <w:link w:val="Heading1Char"/>
    <w:uiPriority w:val="9"/>
    <w:qFormat/>
    <w:rsid w:val="00107CE2"/>
    <w:pPr>
      <w:keepNext/>
      <w:numPr>
        <w:numId w:val="1"/>
      </w:numPr>
      <w:spacing w:before="120" w:after="120"/>
      <w:outlineLvl w:val="0"/>
    </w:pPr>
    <w:rPr>
      <w:rFonts w:ascii="Arial" w:eastAsia="Batang" w:hAnsi="Arial" w:cs="Arial"/>
      <w:b/>
      <w:bCs/>
      <w:sz w:val="32"/>
      <w:szCs w:val="32"/>
      <w:lang w:val="en-GB"/>
    </w:rPr>
  </w:style>
  <w:style w:type="paragraph" w:styleId="Heading2">
    <w:name w:val="heading 2"/>
    <w:basedOn w:val="Heading1"/>
    <w:next w:val="Normal"/>
    <w:link w:val="Heading2Char"/>
    <w:autoRedefine/>
    <w:uiPriority w:val="9"/>
    <w:unhideWhenUsed/>
    <w:qFormat/>
    <w:rsid w:val="00107CE2"/>
    <w:pPr>
      <w:keepNext w:val="0"/>
      <w:widowControl w:val="0"/>
      <w:numPr>
        <w:ilvl w:val="1"/>
      </w:numPr>
      <w:jc w:val="both"/>
      <w:outlineLvl w:val="1"/>
    </w:pPr>
    <w:rPr>
      <w:rFonts w:eastAsiaTheme="majorEastAsia" w:cstheme="majorBidi"/>
      <w:sz w:val="28"/>
      <w:szCs w:val="28"/>
      <w:lang w:val="en-AU"/>
    </w:rPr>
  </w:style>
  <w:style w:type="paragraph" w:styleId="Heading3">
    <w:name w:val="heading 3"/>
    <w:basedOn w:val="Heading2"/>
    <w:next w:val="Normal"/>
    <w:link w:val="Heading3Char"/>
    <w:autoRedefine/>
    <w:uiPriority w:val="9"/>
    <w:unhideWhenUsed/>
    <w:qFormat/>
    <w:rsid w:val="00107CE2"/>
    <w:pPr>
      <w:numPr>
        <w:ilvl w:val="2"/>
      </w:numPr>
      <w:spacing w:line="240" w:lineRule="auto"/>
      <w:outlineLvl w:val="2"/>
    </w:pPr>
    <w:rPr>
      <w:b w:val="0"/>
      <w:sz w:val="22"/>
    </w:rPr>
  </w:style>
  <w:style w:type="paragraph" w:styleId="Heading4">
    <w:name w:val="heading 4"/>
    <w:basedOn w:val="Heading3"/>
    <w:next w:val="Normal"/>
    <w:link w:val="Heading4Char"/>
    <w:uiPriority w:val="9"/>
    <w:unhideWhenUsed/>
    <w:qFormat/>
    <w:rsid w:val="00107CE2"/>
    <w:pPr>
      <w:numPr>
        <w:ilvl w:val="3"/>
      </w:numPr>
      <w:tabs>
        <w:tab w:val="left" w:pos="284"/>
      </w:tabs>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CE2"/>
    <w:rPr>
      <w:rFonts w:ascii="Arial" w:eastAsia="Batang" w:hAnsi="Arial" w:cs="Arial"/>
      <w:b/>
      <w:bCs/>
      <w:sz w:val="32"/>
      <w:szCs w:val="32"/>
      <w:lang w:val="en-GB"/>
    </w:rPr>
  </w:style>
  <w:style w:type="character" w:customStyle="1" w:styleId="Heading2Char">
    <w:name w:val="Heading 2 Char"/>
    <w:basedOn w:val="DefaultParagraphFont"/>
    <w:link w:val="Heading2"/>
    <w:uiPriority w:val="9"/>
    <w:rsid w:val="00107CE2"/>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107CE2"/>
    <w:rPr>
      <w:rFonts w:ascii="Arial" w:eastAsiaTheme="majorEastAsia" w:hAnsi="Arial" w:cstheme="majorBidi"/>
      <w:bCs/>
      <w:szCs w:val="28"/>
    </w:rPr>
  </w:style>
  <w:style w:type="character" w:customStyle="1" w:styleId="Heading4Char">
    <w:name w:val="Heading 4 Char"/>
    <w:basedOn w:val="DefaultParagraphFont"/>
    <w:link w:val="Heading4"/>
    <w:uiPriority w:val="9"/>
    <w:rsid w:val="00107CE2"/>
    <w:rPr>
      <w:rFonts w:ascii="Arial" w:eastAsiaTheme="majorEastAsia" w:hAnsi="Arial" w:cstheme="majorBidi"/>
      <w:iCs/>
      <w:szCs w:val="28"/>
    </w:rPr>
  </w:style>
  <w:style w:type="paragraph" w:styleId="ListParagraph">
    <w:name w:val="List Paragraph"/>
    <w:aliases w:val="Recommendation,L"/>
    <w:basedOn w:val="Normal"/>
    <w:link w:val="ListParagraphChar"/>
    <w:uiPriority w:val="34"/>
    <w:qFormat/>
    <w:rsid w:val="00107CE2"/>
    <w:pPr>
      <w:ind w:left="720"/>
      <w:contextualSpacing/>
    </w:pPr>
  </w:style>
  <w:style w:type="character" w:styleId="Hyperlink">
    <w:name w:val="Hyperlink"/>
    <w:basedOn w:val="DefaultParagraphFont"/>
    <w:uiPriority w:val="99"/>
    <w:unhideWhenUsed/>
    <w:rsid w:val="00107CE2"/>
    <w:rPr>
      <w:color w:val="0000FF" w:themeColor="hyperlink"/>
      <w:u w:val="single"/>
    </w:rPr>
  </w:style>
  <w:style w:type="paragraph" w:styleId="FootnoteText">
    <w:name w:val="footnote text"/>
    <w:basedOn w:val="Normal"/>
    <w:link w:val="FootnoteTextChar"/>
    <w:uiPriority w:val="99"/>
    <w:unhideWhenUsed/>
    <w:rsid w:val="00107CE2"/>
    <w:rPr>
      <w:sz w:val="16"/>
      <w:szCs w:val="16"/>
      <w:lang w:val="en-US"/>
    </w:rPr>
  </w:style>
  <w:style w:type="character" w:customStyle="1" w:styleId="FootnoteTextChar">
    <w:name w:val="Footnote Text Char"/>
    <w:basedOn w:val="DefaultParagraphFont"/>
    <w:link w:val="FootnoteText"/>
    <w:uiPriority w:val="99"/>
    <w:rsid w:val="00107CE2"/>
    <w:rPr>
      <w:rFonts w:ascii="Arial" w:hAnsi="Arial"/>
      <w:sz w:val="16"/>
      <w:szCs w:val="16"/>
      <w:lang w:val="en-US"/>
    </w:rPr>
  </w:style>
  <w:style w:type="character" w:styleId="FootnoteReference">
    <w:name w:val="footnote reference"/>
    <w:basedOn w:val="DefaultParagraphFont"/>
    <w:uiPriority w:val="99"/>
    <w:semiHidden/>
    <w:unhideWhenUsed/>
    <w:rsid w:val="00107CE2"/>
    <w:rPr>
      <w:vertAlign w:val="superscript"/>
    </w:rPr>
  </w:style>
  <w:style w:type="table" w:styleId="TableGrid">
    <w:name w:val="Table Grid"/>
    <w:basedOn w:val="TableNormal"/>
    <w:uiPriority w:val="59"/>
    <w:rsid w:val="0010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107CE2"/>
    <w:pPr>
      <w:numPr>
        <w:numId w:val="9"/>
      </w:numPr>
    </w:pPr>
  </w:style>
  <w:style w:type="paragraph" w:customStyle="1" w:styleId="Heading1title">
    <w:name w:val="Heading 1 title"/>
    <w:basedOn w:val="Heading1"/>
    <w:link w:val="Heading1titleChar"/>
    <w:qFormat/>
    <w:rsid w:val="00107CE2"/>
    <w:pPr>
      <w:numPr>
        <w:numId w:val="0"/>
      </w:numPr>
      <w:spacing w:after="360" w:line="240" w:lineRule="auto"/>
      <w:jc w:val="both"/>
    </w:pPr>
  </w:style>
  <w:style w:type="character" w:customStyle="1" w:styleId="Heading1titleChar">
    <w:name w:val="Heading 1 title Char"/>
    <w:basedOn w:val="Heading1Char"/>
    <w:link w:val="Heading1title"/>
    <w:rsid w:val="00107CE2"/>
    <w:rPr>
      <w:rFonts w:ascii="Arial" w:eastAsia="Batang" w:hAnsi="Arial" w:cs="Arial"/>
      <w:b/>
      <w:bCs/>
      <w:sz w:val="32"/>
      <w:szCs w:val="32"/>
      <w:lang w:val="en-GB"/>
    </w:rPr>
  </w:style>
  <w:style w:type="character" w:customStyle="1" w:styleId="ListParagraphChar">
    <w:name w:val="List Paragraph Char"/>
    <w:aliases w:val="Recommendation Char,L Char"/>
    <w:basedOn w:val="DefaultParagraphFont"/>
    <w:link w:val="ListParagraph"/>
    <w:uiPriority w:val="34"/>
    <w:rsid w:val="00107CE2"/>
    <w:rPr>
      <w:rFonts w:ascii="Arial" w:hAnsi="Arial"/>
      <w:lang w:val="en-GB"/>
    </w:rPr>
  </w:style>
  <w:style w:type="paragraph" w:customStyle="1" w:styleId="Subheading">
    <w:name w:val="Subheading"/>
    <w:basedOn w:val="Normal"/>
    <w:link w:val="SubheadingChar"/>
    <w:qFormat/>
    <w:rsid w:val="00107CE2"/>
    <w:pPr>
      <w:tabs>
        <w:tab w:val="clear" w:pos="1134"/>
      </w:tabs>
    </w:pPr>
    <w:rPr>
      <w:rFonts w:cs="Arial"/>
      <w:b/>
      <w:sz w:val="24"/>
      <w:szCs w:val="24"/>
    </w:rPr>
  </w:style>
  <w:style w:type="character" w:customStyle="1" w:styleId="SubheadingChar">
    <w:name w:val="Subheading Char"/>
    <w:basedOn w:val="DefaultParagraphFont"/>
    <w:link w:val="Subheading"/>
    <w:rsid w:val="00107CE2"/>
    <w:rPr>
      <w:rFonts w:ascii="Arial" w:hAnsi="Arial" w:cs="Arial"/>
      <w:b/>
      <w:sz w:val="24"/>
      <w:szCs w:val="24"/>
      <w:lang w:val="en-GB"/>
    </w:rPr>
  </w:style>
  <w:style w:type="paragraph" w:styleId="BalloonText">
    <w:name w:val="Balloon Text"/>
    <w:basedOn w:val="Normal"/>
    <w:link w:val="BalloonTextChar"/>
    <w:uiPriority w:val="99"/>
    <w:semiHidden/>
    <w:unhideWhenUsed/>
    <w:rsid w:val="00107CE2"/>
    <w:rPr>
      <w:rFonts w:ascii="Tahoma" w:hAnsi="Tahoma" w:cs="Tahoma"/>
      <w:sz w:val="16"/>
      <w:szCs w:val="16"/>
    </w:rPr>
  </w:style>
  <w:style w:type="character" w:customStyle="1" w:styleId="BalloonTextChar">
    <w:name w:val="Balloon Text Char"/>
    <w:basedOn w:val="DefaultParagraphFont"/>
    <w:link w:val="BalloonText"/>
    <w:uiPriority w:val="99"/>
    <w:semiHidden/>
    <w:rsid w:val="00107CE2"/>
    <w:rPr>
      <w:rFonts w:ascii="Tahoma" w:hAnsi="Tahoma" w:cs="Tahoma"/>
      <w:sz w:val="16"/>
      <w:szCs w:val="16"/>
      <w:lang w:val="en-GB"/>
    </w:rPr>
  </w:style>
  <w:style w:type="character" w:styleId="Strong">
    <w:name w:val="Strong"/>
    <w:basedOn w:val="DefaultParagraphFont"/>
    <w:uiPriority w:val="22"/>
    <w:qFormat/>
    <w:rsid w:val="00107CE2"/>
    <w:rPr>
      <w:b/>
      <w:bCs/>
    </w:rPr>
  </w:style>
  <w:style w:type="paragraph" w:styleId="NoSpacing">
    <w:name w:val="No Spacing"/>
    <w:uiPriority w:val="1"/>
    <w:qFormat/>
    <w:rsid w:val="00107CE2"/>
    <w:pPr>
      <w:tabs>
        <w:tab w:val="left" w:pos="1134"/>
      </w:tabs>
      <w:spacing w:after="0" w:line="240" w:lineRule="auto"/>
      <w:jc w:val="both"/>
    </w:pPr>
    <w:rPr>
      <w:rFonts w:ascii="Arial" w:hAnsi="Arial"/>
      <w:lang w:val="en-GB"/>
    </w:rPr>
  </w:style>
  <w:style w:type="paragraph" w:customStyle="1" w:styleId="Default">
    <w:name w:val="Default"/>
    <w:rsid w:val="00FE2667"/>
    <w:pPr>
      <w:autoSpaceDE w:val="0"/>
      <w:autoSpaceDN w:val="0"/>
      <w:adjustRightInd w:val="0"/>
      <w:spacing w:after="0" w:line="240" w:lineRule="auto"/>
    </w:pPr>
    <w:rPr>
      <w:rFonts w:ascii="Calibri" w:hAnsi="Calibri" w:cs="Calibri"/>
      <w:color w:val="000000"/>
      <w:sz w:val="24"/>
      <w:szCs w:val="24"/>
    </w:rPr>
  </w:style>
  <w:style w:type="paragraph" w:customStyle="1" w:styleId="numberlist">
    <w:name w:val="number_list"/>
    <w:basedOn w:val="Normal"/>
    <w:rsid w:val="006D0B46"/>
    <w:pPr>
      <w:tabs>
        <w:tab w:val="clear" w:pos="1134"/>
      </w:tabs>
      <w:spacing w:after="120"/>
      <w:jc w:val="left"/>
    </w:pPr>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A710C9"/>
    <w:rPr>
      <w:sz w:val="16"/>
      <w:szCs w:val="16"/>
    </w:rPr>
  </w:style>
  <w:style w:type="paragraph" w:styleId="CommentText">
    <w:name w:val="annotation text"/>
    <w:basedOn w:val="Normal"/>
    <w:link w:val="CommentTextChar"/>
    <w:uiPriority w:val="99"/>
    <w:semiHidden/>
    <w:unhideWhenUsed/>
    <w:rsid w:val="00A710C9"/>
    <w:rPr>
      <w:sz w:val="20"/>
      <w:szCs w:val="20"/>
    </w:rPr>
  </w:style>
  <w:style w:type="character" w:customStyle="1" w:styleId="CommentTextChar">
    <w:name w:val="Comment Text Char"/>
    <w:basedOn w:val="DefaultParagraphFont"/>
    <w:link w:val="CommentText"/>
    <w:uiPriority w:val="99"/>
    <w:semiHidden/>
    <w:rsid w:val="00A710C9"/>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A710C9"/>
    <w:rPr>
      <w:b/>
      <w:bCs/>
    </w:rPr>
  </w:style>
  <w:style w:type="character" w:customStyle="1" w:styleId="CommentSubjectChar">
    <w:name w:val="Comment Subject Char"/>
    <w:basedOn w:val="CommentTextChar"/>
    <w:link w:val="CommentSubject"/>
    <w:uiPriority w:val="99"/>
    <w:semiHidden/>
    <w:rsid w:val="00A710C9"/>
    <w:rPr>
      <w:rFonts w:ascii="Arial" w:hAnsi="Arial"/>
      <w:b/>
      <w:bCs/>
      <w:sz w:val="20"/>
      <w:szCs w:val="20"/>
      <w:lang w:val="en-GB"/>
    </w:rPr>
  </w:style>
  <w:style w:type="character" w:styleId="FollowedHyperlink">
    <w:name w:val="FollowedHyperlink"/>
    <w:basedOn w:val="DefaultParagraphFont"/>
    <w:uiPriority w:val="99"/>
    <w:semiHidden/>
    <w:unhideWhenUsed/>
    <w:rsid w:val="00415AA8"/>
    <w:rPr>
      <w:color w:val="800080" w:themeColor="followedHyperlink"/>
      <w:u w:val="single"/>
    </w:rPr>
  </w:style>
  <w:style w:type="paragraph" w:styleId="Revision">
    <w:name w:val="Revision"/>
    <w:hidden/>
    <w:uiPriority w:val="99"/>
    <w:semiHidden/>
    <w:rsid w:val="00C77D9B"/>
    <w:pPr>
      <w:spacing w:after="0" w:line="240" w:lineRule="auto"/>
    </w:pPr>
    <w:rPr>
      <w:rFonts w:ascii="Arial" w:hAnsi="Arial"/>
      <w:lang w:val="en-GB"/>
    </w:rPr>
  </w:style>
  <w:style w:type="paragraph" w:styleId="Header">
    <w:name w:val="header"/>
    <w:basedOn w:val="Normal"/>
    <w:link w:val="HeaderChar"/>
    <w:uiPriority w:val="99"/>
    <w:unhideWhenUsed/>
    <w:rsid w:val="004D380D"/>
    <w:pPr>
      <w:tabs>
        <w:tab w:val="clear" w:pos="1134"/>
        <w:tab w:val="center" w:pos="4513"/>
        <w:tab w:val="right" w:pos="9026"/>
      </w:tabs>
    </w:pPr>
  </w:style>
  <w:style w:type="character" w:customStyle="1" w:styleId="HeaderChar">
    <w:name w:val="Header Char"/>
    <w:basedOn w:val="DefaultParagraphFont"/>
    <w:link w:val="Header"/>
    <w:uiPriority w:val="99"/>
    <w:rsid w:val="004D380D"/>
    <w:rPr>
      <w:rFonts w:ascii="Arial" w:hAnsi="Arial"/>
      <w:lang w:val="en-GB"/>
    </w:rPr>
  </w:style>
  <w:style w:type="paragraph" w:styleId="Footer">
    <w:name w:val="footer"/>
    <w:basedOn w:val="Normal"/>
    <w:link w:val="FooterChar"/>
    <w:uiPriority w:val="99"/>
    <w:unhideWhenUsed/>
    <w:rsid w:val="004D380D"/>
    <w:pPr>
      <w:tabs>
        <w:tab w:val="clear" w:pos="1134"/>
        <w:tab w:val="center" w:pos="4513"/>
        <w:tab w:val="right" w:pos="9026"/>
      </w:tabs>
    </w:pPr>
  </w:style>
  <w:style w:type="character" w:customStyle="1" w:styleId="FooterChar">
    <w:name w:val="Footer Char"/>
    <w:basedOn w:val="DefaultParagraphFont"/>
    <w:link w:val="Footer"/>
    <w:uiPriority w:val="99"/>
    <w:rsid w:val="004D380D"/>
    <w:rPr>
      <w:rFonts w:ascii="Arial" w:hAnsi="Arial"/>
      <w:lang w:val="en-GB"/>
    </w:rPr>
  </w:style>
  <w:style w:type="paragraph" w:styleId="NormalWeb">
    <w:name w:val="Normal (Web)"/>
    <w:basedOn w:val="Normal"/>
    <w:uiPriority w:val="99"/>
    <w:semiHidden/>
    <w:unhideWhenUsed/>
    <w:rsid w:val="008A281C"/>
    <w:pPr>
      <w:tabs>
        <w:tab w:val="clear" w:pos="1134"/>
      </w:tabs>
      <w:spacing w:before="100" w:beforeAutospacing="1" w:after="100" w:afterAutospacing="1"/>
      <w:jc w:val="left"/>
    </w:pPr>
    <w:rPr>
      <w:rFonts w:ascii="Times New Roman" w:eastAsia="Times New Roman" w:hAnsi="Times New Roman" w:cs="Times New Roman"/>
      <w:sz w:val="24"/>
      <w:szCs w:val="24"/>
      <w:lang w:val="en-AU" w:eastAsia="en-AU"/>
    </w:rPr>
  </w:style>
  <w:style w:type="paragraph" w:customStyle="1" w:styleId="Text">
    <w:name w:val="Text"/>
    <w:aliases w:val="t"/>
    <w:basedOn w:val="Normal"/>
    <w:qFormat/>
    <w:rsid w:val="002658A5"/>
    <w:pPr>
      <w:tabs>
        <w:tab w:val="clear" w:pos="1134"/>
      </w:tabs>
      <w:spacing w:after="200"/>
      <w:jc w:val="left"/>
    </w:pPr>
    <w:rPr>
      <w:rFonts w:ascii="Arial Narrow" w:eastAsia="Times New Roman" w:hAnsi="Arial Narrow"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E2"/>
    <w:pPr>
      <w:tabs>
        <w:tab w:val="left" w:pos="1134"/>
      </w:tabs>
      <w:spacing w:after="0" w:line="240" w:lineRule="auto"/>
      <w:jc w:val="both"/>
    </w:pPr>
    <w:rPr>
      <w:rFonts w:ascii="Arial" w:hAnsi="Arial"/>
      <w:lang w:val="en-GB"/>
    </w:rPr>
  </w:style>
  <w:style w:type="paragraph" w:styleId="Heading1">
    <w:name w:val="heading 1"/>
    <w:next w:val="Normal"/>
    <w:link w:val="Heading1Char"/>
    <w:uiPriority w:val="9"/>
    <w:qFormat/>
    <w:rsid w:val="00107CE2"/>
    <w:pPr>
      <w:keepNext/>
      <w:numPr>
        <w:numId w:val="1"/>
      </w:numPr>
      <w:spacing w:before="120" w:after="120"/>
      <w:outlineLvl w:val="0"/>
    </w:pPr>
    <w:rPr>
      <w:rFonts w:ascii="Arial" w:eastAsia="Batang" w:hAnsi="Arial" w:cs="Arial"/>
      <w:b/>
      <w:bCs/>
      <w:sz w:val="32"/>
      <w:szCs w:val="32"/>
      <w:lang w:val="en-GB"/>
    </w:rPr>
  </w:style>
  <w:style w:type="paragraph" w:styleId="Heading2">
    <w:name w:val="heading 2"/>
    <w:basedOn w:val="Heading1"/>
    <w:next w:val="Normal"/>
    <w:link w:val="Heading2Char"/>
    <w:autoRedefine/>
    <w:uiPriority w:val="9"/>
    <w:unhideWhenUsed/>
    <w:qFormat/>
    <w:rsid w:val="00107CE2"/>
    <w:pPr>
      <w:keepNext w:val="0"/>
      <w:widowControl w:val="0"/>
      <w:numPr>
        <w:ilvl w:val="1"/>
      </w:numPr>
      <w:jc w:val="both"/>
      <w:outlineLvl w:val="1"/>
    </w:pPr>
    <w:rPr>
      <w:rFonts w:eastAsiaTheme="majorEastAsia" w:cstheme="majorBidi"/>
      <w:sz w:val="28"/>
      <w:szCs w:val="28"/>
      <w:lang w:val="en-AU"/>
    </w:rPr>
  </w:style>
  <w:style w:type="paragraph" w:styleId="Heading3">
    <w:name w:val="heading 3"/>
    <w:basedOn w:val="Heading2"/>
    <w:next w:val="Normal"/>
    <w:link w:val="Heading3Char"/>
    <w:autoRedefine/>
    <w:uiPriority w:val="9"/>
    <w:unhideWhenUsed/>
    <w:qFormat/>
    <w:rsid w:val="00107CE2"/>
    <w:pPr>
      <w:numPr>
        <w:ilvl w:val="2"/>
      </w:numPr>
      <w:spacing w:line="240" w:lineRule="auto"/>
      <w:outlineLvl w:val="2"/>
    </w:pPr>
    <w:rPr>
      <w:b w:val="0"/>
      <w:sz w:val="22"/>
    </w:rPr>
  </w:style>
  <w:style w:type="paragraph" w:styleId="Heading4">
    <w:name w:val="heading 4"/>
    <w:basedOn w:val="Heading3"/>
    <w:next w:val="Normal"/>
    <w:link w:val="Heading4Char"/>
    <w:uiPriority w:val="9"/>
    <w:unhideWhenUsed/>
    <w:qFormat/>
    <w:rsid w:val="00107CE2"/>
    <w:pPr>
      <w:numPr>
        <w:ilvl w:val="3"/>
      </w:numPr>
      <w:tabs>
        <w:tab w:val="left" w:pos="284"/>
      </w:tabs>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CE2"/>
    <w:rPr>
      <w:rFonts w:ascii="Arial" w:eastAsia="Batang" w:hAnsi="Arial" w:cs="Arial"/>
      <w:b/>
      <w:bCs/>
      <w:sz w:val="32"/>
      <w:szCs w:val="32"/>
      <w:lang w:val="en-GB"/>
    </w:rPr>
  </w:style>
  <w:style w:type="character" w:customStyle="1" w:styleId="Heading2Char">
    <w:name w:val="Heading 2 Char"/>
    <w:basedOn w:val="DefaultParagraphFont"/>
    <w:link w:val="Heading2"/>
    <w:uiPriority w:val="9"/>
    <w:rsid w:val="00107CE2"/>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107CE2"/>
    <w:rPr>
      <w:rFonts w:ascii="Arial" w:eastAsiaTheme="majorEastAsia" w:hAnsi="Arial" w:cstheme="majorBidi"/>
      <w:bCs/>
      <w:szCs w:val="28"/>
    </w:rPr>
  </w:style>
  <w:style w:type="character" w:customStyle="1" w:styleId="Heading4Char">
    <w:name w:val="Heading 4 Char"/>
    <w:basedOn w:val="DefaultParagraphFont"/>
    <w:link w:val="Heading4"/>
    <w:uiPriority w:val="9"/>
    <w:rsid w:val="00107CE2"/>
    <w:rPr>
      <w:rFonts w:ascii="Arial" w:eastAsiaTheme="majorEastAsia" w:hAnsi="Arial" w:cstheme="majorBidi"/>
      <w:iCs/>
      <w:szCs w:val="28"/>
    </w:rPr>
  </w:style>
  <w:style w:type="paragraph" w:styleId="ListParagraph">
    <w:name w:val="List Paragraph"/>
    <w:aliases w:val="Recommendation,L"/>
    <w:basedOn w:val="Normal"/>
    <w:link w:val="ListParagraphChar"/>
    <w:uiPriority w:val="34"/>
    <w:qFormat/>
    <w:rsid w:val="00107CE2"/>
    <w:pPr>
      <w:ind w:left="720"/>
      <w:contextualSpacing/>
    </w:pPr>
  </w:style>
  <w:style w:type="character" w:styleId="Hyperlink">
    <w:name w:val="Hyperlink"/>
    <w:basedOn w:val="DefaultParagraphFont"/>
    <w:uiPriority w:val="99"/>
    <w:unhideWhenUsed/>
    <w:rsid w:val="00107CE2"/>
    <w:rPr>
      <w:color w:val="0000FF" w:themeColor="hyperlink"/>
      <w:u w:val="single"/>
    </w:rPr>
  </w:style>
  <w:style w:type="paragraph" w:styleId="FootnoteText">
    <w:name w:val="footnote text"/>
    <w:basedOn w:val="Normal"/>
    <w:link w:val="FootnoteTextChar"/>
    <w:uiPriority w:val="99"/>
    <w:unhideWhenUsed/>
    <w:rsid w:val="00107CE2"/>
    <w:rPr>
      <w:sz w:val="16"/>
      <w:szCs w:val="16"/>
      <w:lang w:val="en-US"/>
    </w:rPr>
  </w:style>
  <w:style w:type="character" w:customStyle="1" w:styleId="FootnoteTextChar">
    <w:name w:val="Footnote Text Char"/>
    <w:basedOn w:val="DefaultParagraphFont"/>
    <w:link w:val="FootnoteText"/>
    <w:uiPriority w:val="99"/>
    <w:rsid w:val="00107CE2"/>
    <w:rPr>
      <w:rFonts w:ascii="Arial" w:hAnsi="Arial"/>
      <w:sz w:val="16"/>
      <w:szCs w:val="16"/>
      <w:lang w:val="en-US"/>
    </w:rPr>
  </w:style>
  <w:style w:type="character" w:styleId="FootnoteReference">
    <w:name w:val="footnote reference"/>
    <w:basedOn w:val="DefaultParagraphFont"/>
    <w:uiPriority w:val="99"/>
    <w:semiHidden/>
    <w:unhideWhenUsed/>
    <w:rsid w:val="00107CE2"/>
    <w:rPr>
      <w:vertAlign w:val="superscript"/>
    </w:rPr>
  </w:style>
  <w:style w:type="table" w:styleId="TableGrid">
    <w:name w:val="Table Grid"/>
    <w:basedOn w:val="TableNormal"/>
    <w:uiPriority w:val="59"/>
    <w:rsid w:val="0010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107CE2"/>
    <w:pPr>
      <w:numPr>
        <w:numId w:val="9"/>
      </w:numPr>
    </w:pPr>
  </w:style>
  <w:style w:type="paragraph" w:customStyle="1" w:styleId="Heading1title">
    <w:name w:val="Heading 1 title"/>
    <w:basedOn w:val="Heading1"/>
    <w:link w:val="Heading1titleChar"/>
    <w:qFormat/>
    <w:rsid w:val="00107CE2"/>
    <w:pPr>
      <w:numPr>
        <w:numId w:val="0"/>
      </w:numPr>
      <w:spacing w:after="360" w:line="240" w:lineRule="auto"/>
      <w:jc w:val="both"/>
    </w:pPr>
  </w:style>
  <w:style w:type="character" w:customStyle="1" w:styleId="Heading1titleChar">
    <w:name w:val="Heading 1 title Char"/>
    <w:basedOn w:val="Heading1Char"/>
    <w:link w:val="Heading1title"/>
    <w:rsid w:val="00107CE2"/>
    <w:rPr>
      <w:rFonts w:ascii="Arial" w:eastAsia="Batang" w:hAnsi="Arial" w:cs="Arial"/>
      <w:b/>
      <w:bCs/>
      <w:sz w:val="32"/>
      <w:szCs w:val="32"/>
      <w:lang w:val="en-GB"/>
    </w:rPr>
  </w:style>
  <w:style w:type="character" w:customStyle="1" w:styleId="ListParagraphChar">
    <w:name w:val="List Paragraph Char"/>
    <w:aliases w:val="Recommendation Char,L Char"/>
    <w:basedOn w:val="DefaultParagraphFont"/>
    <w:link w:val="ListParagraph"/>
    <w:uiPriority w:val="34"/>
    <w:rsid w:val="00107CE2"/>
    <w:rPr>
      <w:rFonts w:ascii="Arial" w:hAnsi="Arial"/>
      <w:lang w:val="en-GB"/>
    </w:rPr>
  </w:style>
  <w:style w:type="paragraph" w:customStyle="1" w:styleId="Subheading">
    <w:name w:val="Subheading"/>
    <w:basedOn w:val="Normal"/>
    <w:link w:val="SubheadingChar"/>
    <w:qFormat/>
    <w:rsid w:val="00107CE2"/>
    <w:pPr>
      <w:tabs>
        <w:tab w:val="clear" w:pos="1134"/>
      </w:tabs>
    </w:pPr>
    <w:rPr>
      <w:rFonts w:cs="Arial"/>
      <w:b/>
      <w:sz w:val="24"/>
      <w:szCs w:val="24"/>
    </w:rPr>
  </w:style>
  <w:style w:type="character" w:customStyle="1" w:styleId="SubheadingChar">
    <w:name w:val="Subheading Char"/>
    <w:basedOn w:val="DefaultParagraphFont"/>
    <w:link w:val="Subheading"/>
    <w:rsid w:val="00107CE2"/>
    <w:rPr>
      <w:rFonts w:ascii="Arial" w:hAnsi="Arial" w:cs="Arial"/>
      <w:b/>
      <w:sz w:val="24"/>
      <w:szCs w:val="24"/>
      <w:lang w:val="en-GB"/>
    </w:rPr>
  </w:style>
  <w:style w:type="paragraph" w:styleId="BalloonText">
    <w:name w:val="Balloon Text"/>
    <w:basedOn w:val="Normal"/>
    <w:link w:val="BalloonTextChar"/>
    <w:uiPriority w:val="99"/>
    <w:semiHidden/>
    <w:unhideWhenUsed/>
    <w:rsid w:val="00107CE2"/>
    <w:rPr>
      <w:rFonts w:ascii="Tahoma" w:hAnsi="Tahoma" w:cs="Tahoma"/>
      <w:sz w:val="16"/>
      <w:szCs w:val="16"/>
    </w:rPr>
  </w:style>
  <w:style w:type="character" w:customStyle="1" w:styleId="BalloonTextChar">
    <w:name w:val="Balloon Text Char"/>
    <w:basedOn w:val="DefaultParagraphFont"/>
    <w:link w:val="BalloonText"/>
    <w:uiPriority w:val="99"/>
    <w:semiHidden/>
    <w:rsid w:val="00107CE2"/>
    <w:rPr>
      <w:rFonts w:ascii="Tahoma" w:hAnsi="Tahoma" w:cs="Tahoma"/>
      <w:sz w:val="16"/>
      <w:szCs w:val="16"/>
      <w:lang w:val="en-GB"/>
    </w:rPr>
  </w:style>
  <w:style w:type="character" w:styleId="Strong">
    <w:name w:val="Strong"/>
    <w:basedOn w:val="DefaultParagraphFont"/>
    <w:uiPriority w:val="22"/>
    <w:qFormat/>
    <w:rsid w:val="00107CE2"/>
    <w:rPr>
      <w:b/>
      <w:bCs/>
    </w:rPr>
  </w:style>
  <w:style w:type="paragraph" w:styleId="NoSpacing">
    <w:name w:val="No Spacing"/>
    <w:uiPriority w:val="1"/>
    <w:qFormat/>
    <w:rsid w:val="00107CE2"/>
    <w:pPr>
      <w:tabs>
        <w:tab w:val="left" w:pos="1134"/>
      </w:tabs>
      <w:spacing w:after="0" w:line="240" w:lineRule="auto"/>
      <w:jc w:val="both"/>
    </w:pPr>
    <w:rPr>
      <w:rFonts w:ascii="Arial" w:hAnsi="Arial"/>
      <w:lang w:val="en-GB"/>
    </w:rPr>
  </w:style>
  <w:style w:type="paragraph" w:customStyle="1" w:styleId="Default">
    <w:name w:val="Default"/>
    <w:rsid w:val="00FE2667"/>
    <w:pPr>
      <w:autoSpaceDE w:val="0"/>
      <w:autoSpaceDN w:val="0"/>
      <w:adjustRightInd w:val="0"/>
      <w:spacing w:after="0" w:line="240" w:lineRule="auto"/>
    </w:pPr>
    <w:rPr>
      <w:rFonts w:ascii="Calibri" w:hAnsi="Calibri" w:cs="Calibri"/>
      <w:color w:val="000000"/>
      <w:sz w:val="24"/>
      <w:szCs w:val="24"/>
    </w:rPr>
  </w:style>
  <w:style w:type="paragraph" w:customStyle="1" w:styleId="numberlist">
    <w:name w:val="number_list"/>
    <w:basedOn w:val="Normal"/>
    <w:rsid w:val="006D0B46"/>
    <w:pPr>
      <w:tabs>
        <w:tab w:val="clear" w:pos="1134"/>
      </w:tabs>
      <w:spacing w:after="120"/>
      <w:jc w:val="left"/>
    </w:pPr>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A710C9"/>
    <w:rPr>
      <w:sz w:val="16"/>
      <w:szCs w:val="16"/>
    </w:rPr>
  </w:style>
  <w:style w:type="paragraph" w:styleId="CommentText">
    <w:name w:val="annotation text"/>
    <w:basedOn w:val="Normal"/>
    <w:link w:val="CommentTextChar"/>
    <w:uiPriority w:val="99"/>
    <w:semiHidden/>
    <w:unhideWhenUsed/>
    <w:rsid w:val="00A710C9"/>
    <w:rPr>
      <w:sz w:val="20"/>
      <w:szCs w:val="20"/>
    </w:rPr>
  </w:style>
  <w:style w:type="character" w:customStyle="1" w:styleId="CommentTextChar">
    <w:name w:val="Comment Text Char"/>
    <w:basedOn w:val="DefaultParagraphFont"/>
    <w:link w:val="CommentText"/>
    <w:uiPriority w:val="99"/>
    <w:semiHidden/>
    <w:rsid w:val="00A710C9"/>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A710C9"/>
    <w:rPr>
      <w:b/>
      <w:bCs/>
    </w:rPr>
  </w:style>
  <w:style w:type="character" w:customStyle="1" w:styleId="CommentSubjectChar">
    <w:name w:val="Comment Subject Char"/>
    <w:basedOn w:val="CommentTextChar"/>
    <w:link w:val="CommentSubject"/>
    <w:uiPriority w:val="99"/>
    <w:semiHidden/>
    <w:rsid w:val="00A710C9"/>
    <w:rPr>
      <w:rFonts w:ascii="Arial" w:hAnsi="Arial"/>
      <w:b/>
      <w:bCs/>
      <w:sz w:val="20"/>
      <w:szCs w:val="20"/>
      <w:lang w:val="en-GB"/>
    </w:rPr>
  </w:style>
  <w:style w:type="character" w:styleId="FollowedHyperlink">
    <w:name w:val="FollowedHyperlink"/>
    <w:basedOn w:val="DefaultParagraphFont"/>
    <w:uiPriority w:val="99"/>
    <w:semiHidden/>
    <w:unhideWhenUsed/>
    <w:rsid w:val="00415AA8"/>
    <w:rPr>
      <w:color w:val="800080" w:themeColor="followedHyperlink"/>
      <w:u w:val="single"/>
    </w:rPr>
  </w:style>
  <w:style w:type="paragraph" w:styleId="Revision">
    <w:name w:val="Revision"/>
    <w:hidden/>
    <w:uiPriority w:val="99"/>
    <w:semiHidden/>
    <w:rsid w:val="00C77D9B"/>
    <w:pPr>
      <w:spacing w:after="0" w:line="240" w:lineRule="auto"/>
    </w:pPr>
    <w:rPr>
      <w:rFonts w:ascii="Arial" w:hAnsi="Arial"/>
      <w:lang w:val="en-GB"/>
    </w:rPr>
  </w:style>
  <w:style w:type="paragraph" w:styleId="Header">
    <w:name w:val="header"/>
    <w:basedOn w:val="Normal"/>
    <w:link w:val="HeaderChar"/>
    <w:uiPriority w:val="99"/>
    <w:unhideWhenUsed/>
    <w:rsid w:val="004D380D"/>
    <w:pPr>
      <w:tabs>
        <w:tab w:val="clear" w:pos="1134"/>
        <w:tab w:val="center" w:pos="4513"/>
        <w:tab w:val="right" w:pos="9026"/>
      </w:tabs>
    </w:pPr>
  </w:style>
  <w:style w:type="character" w:customStyle="1" w:styleId="HeaderChar">
    <w:name w:val="Header Char"/>
    <w:basedOn w:val="DefaultParagraphFont"/>
    <w:link w:val="Header"/>
    <w:uiPriority w:val="99"/>
    <w:rsid w:val="004D380D"/>
    <w:rPr>
      <w:rFonts w:ascii="Arial" w:hAnsi="Arial"/>
      <w:lang w:val="en-GB"/>
    </w:rPr>
  </w:style>
  <w:style w:type="paragraph" w:styleId="Footer">
    <w:name w:val="footer"/>
    <w:basedOn w:val="Normal"/>
    <w:link w:val="FooterChar"/>
    <w:uiPriority w:val="99"/>
    <w:unhideWhenUsed/>
    <w:rsid w:val="004D380D"/>
    <w:pPr>
      <w:tabs>
        <w:tab w:val="clear" w:pos="1134"/>
        <w:tab w:val="center" w:pos="4513"/>
        <w:tab w:val="right" w:pos="9026"/>
      </w:tabs>
    </w:pPr>
  </w:style>
  <w:style w:type="character" w:customStyle="1" w:styleId="FooterChar">
    <w:name w:val="Footer Char"/>
    <w:basedOn w:val="DefaultParagraphFont"/>
    <w:link w:val="Footer"/>
    <w:uiPriority w:val="99"/>
    <w:rsid w:val="004D380D"/>
    <w:rPr>
      <w:rFonts w:ascii="Arial" w:hAnsi="Arial"/>
      <w:lang w:val="en-GB"/>
    </w:rPr>
  </w:style>
  <w:style w:type="paragraph" w:styleId="NormalWeb">
    <w:name w:val="Normal (Web)"/>
    <w:basedOn w:val="Normal"/>
    <w:uiPriority w:val="99"/>
    <w:semiHidden/>
    <w:unhideWhenUsed/>
    <w:rsid w:val="008A281C"/>
    <w:pPr>
      <w:tabs>
        <w:tab w:val="clear" w:pos="1134"/>
      </w:tabs>
      <w:spacing w:before="100" w:beforeAutospacing="1" w:after="100" w:afterAutospacing="1"/>
      <w:jc w:val="left"/>
    </w:pPr>
    <w:rPr>
      <w:rFonts w:ascii="Times New Roman" w:eastAsia="Times New Roman" w:hAnsi="Times New Roman" w:cs="Times New Roman"/>
      <w:sz w:val="24"/>
      <w:szCs w:val="24"/>
      <w:lang w:val="en-AU" w:eastAsia="en-AU"/>
    </w:rPr>
  </w:style>
  <w:style w:type="paragraph" w:customStyle="1" w:styleId="Text">
    <w:name w:val="Text"/>
    <w:aliases w:val="t"/>
    <w:basedOn w:val="Normal"/>
    <w:qFormat/>
    <w:rsid w:val="002658A5"/>
    <w:pPr>
      <w:tabs>
        <w:tab w:val="clear" w:pos="1134"/>
      </w:tabs>
      <w:spacing w:after="200"/>
      <w:jc w:val="left"/>
    </w:pPr>
    <w:rPr>
      <w:rFonts w:ascii="Arial Narrow" w:eastAsia="Times New Roman" w:hAnsi="Arial Narrow"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5753">
      <w:bodyDiv w:val="1"/>
      <w:marLeft w:val="0"/>
      <w:marRight w:val="0"/>
      <w:marTop w:val="0"/>
      <w:marBottom w:val="0"/>
      <w:divBdr>
        <w:top w:val="none" w:sz="0" w:space="0" w:color="auto"/>
        <w:left w:val="none" w:sz="0" w:space="0" w:color="auto"/>
        <w:bottom w:val="none" w:sz="0" w:space="0" w:color="auto"/>
        <w:right w:val="none" w:sz="0" w:space="0" w:color="auto"/>
      </w:divBdr>
    </w:div>
    <w:div w:id="548345901">
      <w:bodyDiv w:val="1"/>
      <w:marLeft w:val="0"/>
      <w:marRight w:val="0"/>
      <w:marTop w:val="0"/>
      <w:marBottom w:val="0"/>
      <w:divBdr>
        <w:top w:val="none" w:sz="0" w:space="0" w:color="auto"/>
        <w:left w:val="none" w:sz="0" w:space="0" w:color="auto"/>
        <w:bottom w:val="none" w:sz="0" w:space="0" w:color="auto"/>
        <w:right w:val="none" w:sz="0" w:space="0" w:color="auto"/>
      </w:divBdr>
    </w:div>
    <w:div w:id="1214193146">
      <w:bodyDiv w:val="1"/>
      <w:marLeft w:val="0"/>
      <w:marRight w:val="0"/>
      <w:marTop w:val="0"/>
      <w:marBottom w:val="0"/>
      <w:divBdr>
        <w:top w:val="none" w:sz="0" w:space="0" w:color="auto"/>
        <w:left w:val="none" w:sz="0" w:space="0" w:color="auto"/>
        <w:bottom w:val="none" w:sz="0" w:space="0" w:color="auto"/>
        <w:right w:val="none" w:sz="0" w:space="0" w:color="auto"/>
      </w:divBdr>
    </w:div>
    <w:div w:id="1484201474">
      <w:bodyDiv w:val="1"/>
      <w:marLeft w:val="0"/>
      <w:marRight w:val="0"/>
      <w:marTop w:val="0"/>
      <w:marBottom w:val="0"/>
      <w:divBdr>
        <w:top w:val="none" w:sz="0" w:space="0" w:color="auto"/>
        <w:left w:val="none" w:sz="0" w:space="0" w:color="auto"/>
        <w:bottom w:val="none" w:sz="0" w:space="0" w:color="auto"/>
        <w:right w:val="none" w:sz="0" w:space="0" w:color="auto"/>
      </w:divBdr>
    </w:div>
    <w:div w:id="1747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B705-B947-4CD7-99A5-7D1E6C6E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E06A5-C608-4859-9495-BCEE43FFDC5A}">
  <ds:schemaRefs>
    <ds:schemaRef ds:uri="http://schemas.microsoft.com/sharepoint/v3/contenttype/forms"/>
  </ds:schemaRefs>
</ds:datastoreItem>
</file>

<file path=customXml/itemProps3.xml><?xml version="1.0" encoding="utf-8"?>
<ds:datastoreItem xmlns:ds="http://schemas.openxmlformats.org/officeDocument/2006/customXml" ds:itemID="{90328A39-605E-4230-BCAD-C2798E517CAE}">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2F7BD17D-B3B3-45D9-A69A-296CE5AB3680"/>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40FCEC-E94A-4E3B-B8B7-1479B9C0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7E6214F2.dotm</Template>
  <TotalTime>0</TotalTime>
  <Pages>12</Pages>
  <Words>5327</Words>
  <Characters>30364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Crawford</dc:creator>
  <cp:lastModifiedBy>Sarah dell'Aquila</cp:lastModifiedBy>
  <cp:revision>2</cp:revision>
  <cp:lastPrinted>2015-09-14T22:56:00Z</cp:lastPrinted>
  <dcterms:created xsi:type="dcterms:W3CDTF">2015-10-08T01:19:00Z</dcterms:created>
  <dcterms:modified xsi:type="dcterms:W3CDTF">2015-10-08T01:19:00Z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