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EEA71" w14:textId="77777777" w:rsidR="00EF4672" w:rsidRPr="00995AAE" w:rsidRDefault="00EF4672" w:rsidP="00EF4672">
      <w:pPr>
        <w:contextualSpacing/>
        <w:jc w:val="center"/>
        <w:rPr>
          <w:rFonts w:cs="Arial"/>
          <w:sz w:val="24"/>
          <w:szCs w:val="24"/>
        </w:rPr>
      </w:pPr>
      <w:r w:rsidRPr="00995AAE">
        <w:rPr>
          <w:rFonts w:cs="Arial"/>
          <w:b/>
          <w:sz w:val="24"/>
          <w:szCs w:val="24"/>
        </w:rPr>
        <w:t>Commonwealth of Australia</w:t>
      </w:r>
    </w:p>
    <w:p w14:paraId="1F54DDB3" w14:textId="77777777" w:rsidR="00EF4672" w:rsidRPr="00995AAE" w:rsidRDefault="00EF4672" w:rsidP="00EF4672">
      <w:pPr>
        <w:contextualSpacing/>
        <w:jc w:val="center"/>
        <w:rPr>
          <w:rFonts w:cs="Arial"/>
          <w:sz w:val="24"/>
          <w:szCs w:val="24"/>
        </w:rPr>
      </w:pPr>
    </w:p>
    <w:p w14:paraId="15C9DE0B" w14:textId="77777777" w:rsidR="00EF4672" w:rsidRPr="00995AAE" w:rsidRDefault="00EF4672" w:rsidP="00EF4672">
      <w:pPr>
        <w:contextualSpacing/>
        <w:jc w:val="center"/>
        <w:rPr>
          <w:rFonts w:cs="Arial"/>
          <w:b/>
          <w:i/>
          <w:sz w:val="24"/>
          <w:szCs w:val="24"/>
        </w:rPr>
      </w:pPr>
      <w:r w:rsidRPr="00995AAE">
        <w:rPr>
          <w:rFonts w:cs="Arial"/>
          <w:b/>
          <w:i/>
          <w:sz w:val="24"/>
          <w:szCs w:val="24"/>
        </w:rPr>
        <w:t>Tertiary Education Quality and Standards Agency Act 2011</w:t>
      </w:r>
    </w:p>
    <w:p w14:paraId="7C580071" w14:textId="77777777" w:rsidR="00EF4672" w:rsidRPr="00995AAE" w:rsidRDefault="00EF4672" w:rsidP="00EF4672">
      <w:pPr>
        <w:contextualSpacing/>
        <w:rPr>
          <w:rFonts w:cs="Arial"/>
          <w:sz w:val="24"/>
          <w:szCs w:val="24"/>
        </w:rPr>
      </w:pPr>
    </w:p>
    <w:p w14:paraId="5715F4F2" w14:textId="77777777" w:rsidR="00EF4672" w:rsidRPr="00995AAE" w:rsidRDefault="00EF4672" w:rsidP="00EF4672">
      <w:pPr>
        <w:contextualSpacing/>
        <w:rPr>
          <w:rFonts w:cs="Arial"/>
          <w:sz w:val="24"/>
          <w:szCs w:val="24"/>
        </w:rPr>
      </w:pPr>
    </w:p>
    <w:p w14:paraId="0062D889" w14:textId="77777777" w:rsidR="00EF4672" w:rsidRPr="00995AAE" w:rsidRDefault="00EF4672" w:rsidP="00EF4672">
      <w:pPr>
        <w:contextualSpacing/>
        <w:jc w:val="center"/>
        <w:rPr>
          <w:rFonts w:cs="Arial"/>
          <w:b/>
          <w:sz w:val="24"/>
          <w:szCs w:val="24"/>
          <w:u w:val="single"/>
        </w:rPr>
      </w:pPr>
      <w:r w:rsidRPr="00995AAE">
        <w:rPr>
          <w:rFonts w:cs="Arial"/>
          <w:b/>
          <w:sz w:val="24"/>
          <w:szCs w:val="24"/>
          <w:u w:val="single"/>
        </w:rPr>
        <w:t>Higher Education Standards Framework (Threshold Standards) 2015</w:t>
      </w:r>
    </w:p>
    <w:p w14:paraId="6B19B378" w14:textId="77777777" w:rsidR="00EF4672" w:rsidRPr="00995AAE" w:rsidRDefault="00EF4672" w:rsidP="00EF4672">
      <w:pPr>
        <w:contextualSpacing/>
        <w:rPr>
          <w:rFonts w:cs="Arial"/>
          <w:sz w:val="24"/>
          <w:szCs w:val="24"/>
          <w:u w:val="single"/>
        </w:rPr>
      </w:pPr>
    </w:p>
    <w:p w14:paraId="5406E92C" w14:textId="77777777" w:rsidR="00EF4672" w:rsidRPr="00995AAE" w:rsidRDefault="00EF4672" w:rsidP="00EF4672">
      <w:pPr>
        <w:contextualSpacing/>
        <w:rPr>
          <w:rFonts w:cs="Arial"/>
          <w:sz w:val="24"/>
          <w:szCs w:val="24"/>
        </w:rPr>
      </w:pPr>
    </w:p>
    <w:p w14:paraId="282C1853" w14:textId="5F110B1C" w:rsidR="00EF4672" w:rsidRPr="00995AAE" w:rsidRDefault="00EF4672" w:rsidP="00EF4672">
      <w:pPr>
        <w:contextualSpacing/>
        <w:rPr>
          <w:rFonts w:cs="Arial"/>
          <w:sz w:val="24"/>
          <w:szCs w:val="24"/>
        </w:rPr>
      </w:pPr>
      <w:r w:rsidRPr="00995AAE">
        <w:rPr>
          <w:rFonts w:cs="Arial"/>
          <w:sz w:val="24"/>
          <w:szCs w:val="24"/>
        </w:rPr>
        <w:t xml:space="preserve">I, </w:t>
      </w:r>
      <w:r w:rsidR="00B63AFA">
        <w:rPr>
          <w:rFonts w:cs="Arial"/>
          <w:sz w:val="24"/>
          <w:szCs w:val="24"/>
        </w:rPr>
        <w:t>SIMON BIRMINGHAM</w:t>
      </w:r>
      <w:r w:rsidRPr="00995AAE">
        <w:rPr>
          <w:rFonts w:cs="Arial"/>
          <w:sz w:val="24"/>
          <w:szCs w:val="24"/>
        </w:rPr>
        <w:t xml:space="preserve">, Minister for Education and Training, make the following standards under subsection 58(1) of the </w:t>
      </w:r>
      <w:r w:rsidRPr="00995AAE">
        <w:rPr>
          <w:rFonts w:cs="Arial"/>
          <w:i/>
          <w:sz w:val="24"/>
          <w:szCs w:val="24"/>
        </w:rPr>
        <w:t>Tertiary Education Quality and Standards Agency Act 2011</w:t>
      </w:r>
      <w:r w:rsidRPr="00995AAE">
        <w:rPr>
          <w:rFonts w:cs="Arial"/>
          <w:sz w:val="24"/>
          <w:szCs w:val="24"/>
        </w:rPr>
        <w:t>:</w:t>
      </w:r>
    </w:p>
    <w:p w14:paraId="3EADEBBD" w14:textId="77777777" w:rsidR="00EF4672" w:rsidRPr="00995AAE" w:rsidRDefault="00EF4672" w:rsidP="00EF4672">
      <w:pPr>
        <w:contextualSpacing/>
        <w:rPr>
          <w:rFonts w:cs="Arial"/>
          <w:sz w:val="24"/>
          <w:szCs w:val="24"/>
        </w:rPr>
      </w:pPr>
    </w:p>
    <w:p w14:paraId="3139855B" w14:textId="7458F739" w:rsidR="00EF4672" w:rsidRPr="00995AAE" w:rsidRDefault="00EF4672" w:rsidP="00B35A66">
      <w:pPr>
        <w:pStyle w:val="ListParagraph"/>
        <w:numPr>
          <w:ilvl w:val="0"/>
          <w:numId w:val="20"/>
        </w:numPr>
        <w:tabs>
          <w:tab w:val="clear" w:pos="1134"/>
        </w:tabs>
        <w:jc w:val="left"/>
        <w:rPr>
          <w:rFonts w:cs="Arial"/>
          <w:sz w:val="24"/>
          <w:szCs w:val="24"/>
        </w:rPr>
      </w:pPr>
      <w:r w:rsidRPr="00995AAE">
        <w:rPr>
          <w:rFonts w:cs="Arial"/>
          <w:sz w:val="24"/>
          <w:szCs w:val="24"/>
        </w:rPr>
        <w:t>the Provider Registration Standards</w:t>
      </w:r>
    </w:p>
    <w:p w14:paraId="06BDC9C8" w14:textId="14112BB0" w:rsidR="00EF4672" w:rsidRPr="00995AAE" w:rsidRDefault="00EF4672" w:rsidP="00B35A66">
      <w:pPr>
        <w:pStyle w:val="ListParagraph"/>
        <w:numPr>
          <w:ilvl w:val="0"/>
          <w:numId w:val="20"/>
        </w:numPr>
        <w:tabs>
          <w:tab w:val="clear" w:pos="1134"/>
        </w:tabs>
        <w:jc w:val="left"/>
        <w:rPr>
          <w:rFonts w:cs="Arial"/>
          <w:sz w:val="24"/>
          <w:szCs w:val="24"/>
        </w:rPr>
      </w:pPr>
      <w:r w:rsidRPr="00995AAE">
        <w:rPr>
          <w:rFonts w:cs="Arial"/>
          <w:sz w:val="24"/>
          <w:szCs w:val="24"/>
        </w:rPr>
        <w:t>the Provider Category Standards</w:t>
      </w:r>
    </w:p>
    <w:p w14:paraId="39F2A957" w14:textId="71C5BAA7" w:rsidR="00514595" w:rsidRPr="00995AAE" w:rsidRDefault="00EF4672" w:rsidP="00B35A66">
      <w:pPr>
        <w:pStyle w:val="ListParagraph"/>
        <w:numPr>
          <w:ilvl w:val="0"/>
          <w:numId w:val="20"/>
        </w:numPr>
        <w:tabs>
          <w:tab w:val="clear" w:pos="1134"/>
        </w:tabs>
        <w:jc w:val="left"/>
        <w:rPr>
          <w:rFonts w:cs="Arial"/>
          <w:sz w:val="24"/>
          <w:szCs w:val="24"/>
        </w:rPr>
      </w:pPr>
      <w:r w:rsidRPr="00995AAE">
        <w:rPr>
          <w:rFonts w:cs="Arial"/>
          <w:sz w:val="24"/>
          <w:szCs w:val="24"/>
        </w:rPr>
        <w:t>the Provider Course Accreditation Standards</w:t>
      </w:r>
      <w:r w:rsidR="00A866BE">
        <w:rPr>
          <w:rFonts w:cs="Arial"/>
          <w:sz w:val="24"/>
          <w:szCs w:val="24"/>
        </w:rPr>
        <w:t>,</w:t>
      </w:r>
      <w:r w:rsidR="00514595" w:rsidRPr="00995AAE">
        <w:rPr>
          <w:rFonts w:cs="Arial"/>
          <w:sz w:val="24"/>
          <w:szCs w:val="24"/>
        </w:rPr>
        <w:t xml:space="preserve"> and</w:t>
      </w:r>
    </w:p>
    <w:p w14:paraId="2D57447A" w14:textId="77777777" w:rsidR="00EF4672" w:rsidRPr="00995AAE" w:rsidRDefault="00514595" w:rsidP="00B35A66">
      <w:pPr>
        <w:pStyle w:val="ListParagraph"/>
        <w:numPr>
          <w:ilvl w:val="0"/>
          <w:numId w:val="20"/>
        </w:numPr>
        <w:tabs>
          <w:tab w:val="clear" w:pos="1134"/>
        </w:tabs>
        <w:jc w:val="left"/>
        <w:rPr>
          <w:rFonts w:cs="Arial"/>
          <w:sz w:val="24"/>
          <w:szCs w:val="24"/>
        </w:rPr>
      </w:pPr>
      <w:proofErr w:type="gramStart"/>
      <w:r w:rsidRPr="00995AAE">
        <w:rPr>
          <w:rFonts w:cs="Arial"/>
          <w:sz w:val="24"/>
          <w:szCs w:val="24"/>
        </w:rPr>
        <w:t>the</w:t>
      </w:r>
      <w:proofErr w:type="gramEnd"/>
      <w:r w:rsidRPr="00995AAE">
        <w:rPr>
          <w:rFonts w:cs="Arial"/>
          <w:sz w:val="24"/>
          <w:szCs w:val="24"/>
        </w:rPr>
        <w:t xml:space="preserve"> Qualification Standards</w:t>
      </w:r>
      <w:r w:rsidR="00EF4672" w:rsidRPr="00995AAE">
        <w:rPr>
          <w:rFonts w:cs="Arial"/>
          <w:sz w:val="24"/>
          <w:szCs w:val="24"/>
        </w:rPr>
        <w:t>.</w:t>
      </w:r>
    </w:p>
    <w:p w14:paraId="07EAB5F2" w14:textId="77777777" w:rsidR="00EF4672" w:rsidRPr="00995AAE" w:rsidRDefault="00EF4672" w:rsidP="00EF4672">
      <w:pPr>
        <w:contextualSpacing/>
        <w:rPr>
          <w:rFonts w:cs="Arial"/>
          <w:sz w:val="24"/>
          <w:szCs w:val="24"/>
        </w:rPr>
      </w:pPr>
    </w:p>
    <w:p w14:paraId="5252AC2D" w14:textId="77777777" w:rsidR="00EF4672" w:rsidRPr="00995AAE" w:rsidRDefault="00EF4672" w:rsidP="00EF4672">
      <w:pPr>
        <w:contextualSpacing/>
        <w:rPr>
          <w:rFonts w:cs="Arial"/>
          <w:sz w:val="24"/>
          <w:szCs w:val="24"/>
        </w:rPr>
      </w:pPr>
    </w:p>
    <w:p w14:paraId="48A41B14" w14:textId="77777777" w:rsidR="00EF4672" w:rsidRPr="00995AAE" w:rsidRDefault="00EF4672" w:rsidP="00EF4672">
      <w:pPr>
        <w:contextualSpacing/>
        <w:rPr>
          <w:rFonts w:cs="Arial"/>
          <w:sz w:val="24"/>
          <w:szCs w:val="24"/>
        </w:rPr>
      </w:pPr>
    </w:p>
    <w:p w14:paraId="5AAFBB36" w14:textId="2624954B" w:rsidR="00EF4672" w:rsidRPr="000C6F29" w:rsidRDefault="00EF4672" w:rsidP="00EF4672">
      <w:pPr>
        <w:tabs>
          <w:tab w:val="left" w:pos="3119"/>
        </w:tabs>
        <w:contextualSpacing/>
        <w:rPr>
          <w:rFonts w:cs="Arial"/>
          <w:sz w:val="24"/>
          <w:szCs w:val="24"/>
        </w:rPr>
      </w:pPr>
      <w:r w:rsidRPr="000C6F29">
        <w:rPr>
          <w:rFonts w:cs="Arial"/>
          <w:sz w:val="24"/>
          <w:szCs w:val="24"/>
        </w:rPr>
        <w:t xml:space="preserve">Dated: </w:t>
      </w:r>
      <w:bookmarkStart w:id="0" w:name="Year"/>
      <w:r w:rsidRPr="000C6F29">
        <w:rPr>
          <w:rFonts w:cs="Arial"/>
          <w:sz w:val="24"/>
          <w:szCs w:val="24"/>
        </w:rPr>
        <w:t xml:space="preserve"> </w:t>
      </w:r>
      <w:r w:rsidR="000E5ECA">
        <w:rPr>
          <w:rFonts w:cs="Arial"/>
          <w:sz w:val="24"/>
          <w:szCs w:val="24"/>
        </w:rPr>
        <w:t xml:space="preserve">7 October </w:t>
      </w:r>
      <w:bookmarkStart w:id="1" w:name="_GoBack"/>
      <w:bookmarkEnd w:id="1"/>
      <w:r w:rsidRPr="009A2DF0">
        <w:rPr>
          <w:sz w:val="24"/>
        </w:rPr>
        <w:t>20</w:t>
      </w:r>
      <w:bookmarkEnd w:id="0"/>
      <w:r w:rsidRPr="009A2DF0">
        <w:rPr>
          <w:sz w:val="24"/>
        </w:rPr>
        <w:t>15</w:t>
      </w:r>
    </w:p>
    <w:p w14:paraId="22ADE481" w14:textId="77777777" w:rsidR="00EF4672" w:rsidRPr="00995AAE" w:rsidRDefault="00EF4672" w:rsidP="00EF4672">
      <w:pPr>
        <w:contextualSpacing/>
        <w:rPr>
          <w:rFonts w:cs="Arial"/>
          <w:sz w:val="24"/>
          <w:szCs w:val="24"/>
        </w:rPr>
      </w:pPr>
    </w:p>
    <w:p w14:paraId="0423F332" w14:textId="77777777" w:rsidR="00EF4672" w:rsidRPr="00995AAE" w:rsidRDefault="00EF4672" w:rsidP="00EF4672">
      <w:pPr>
        <w:contextualSpacing/>
        <w:rPr>
          <w:rFonts w:cs="Arial"/>
          <w:sz w:val="24"/>
          <w:szCs w:val="24"/>
        </w:rPr>
      </w:pPr>
    </w:p>
    <w:p w14:paraId="72357FD5" w14:textId="77777777" w:rsidR="00EF4672" w:rsidRPr="00995AAE" w:rsidRDefault="00EF4672" w:rsidP="00EF4672">
      <w:pPr>
        <w:contextualSpacing/>
        <w:rPr>
          <w:rFonts w:cs="Arial"/>
          <w:sz w:val="24"/>
          <w:szCs w:val="24"/>
        </w:rPr>
      </w:pPr>
    </w:p>
    <w:p w14:paraId="0975F0D7" w14:textId="77777777" w:rsidR="00EF4672" w:rsidRPr="00995AAE" w:rsidRDefault="00EF4672" w:rsidP="00EF4672">
      <w:pPr>
        <w:contextualSpacing/>
        <w:rPr>
          <w:rFonts w:cs="Arial"/>
          <w:sz w:val="24"/>
          <w:szCs w:val="24"/>
        </w:rPr>
      </w:pPr>
    </w:p>
    <w:p w14:paraId="0CA50F26" w14:textId="77777777" w:rsidR="00EF4672" w:rsidRPr="00995AAE" w:rsidRDefault="00EF4672" w:rsidP="00EF4672">
      <w:pPr>
        <w:contextualSpacing/>
        <w:rPr>
          <w:rFonts w:cs="Arial"/>
          <w:sz w:val="24"/>
          <w:szCs w:val="24"/>
        </w:rPr>
      </w:pPr>
    </w:p>
    <w:p w14:paraId="3342CA45" w14:textId="21FA7721" w:rsidR="00EF4672" w:rsidRPr="002F3670" w:rsidRDefault="00EF4672" w:rsidP="002F3670">
      <w:pPr>
        <w:contextualSpacing/>
        <w:rPr>
          <w:rFonts w:cs="Arial"/>
          <w:sz w:val="24"/>
          <w:szCs w:val="24"/>
        </w:rPr>
      </w:pPr>
    </w:p>
    <w:p w14:paraId="24568C04" w14:textId="77777777" w:rsidR="00EF4672" w:rsidRPr="00995AAE" w:rsidRDefault="00EF4672" w:rsidP="00EF4672">
      <w:pPr>
        <w:contextualSpacing/>
        <w:rPr>
          <w:rFonts w:cs="Arial"/>
          <w:sz w:val="24"/>
          <w:szCs w:val="24"/>
        </w:rPr>
      </w:pPr>
      <w:r w:rsidRPr="00995AAE">
        <w:rPr>
          <w:rFonts w:cs="Arial"/>
          <w:sz w:val="24"/>
          <w:szCs w:val="24"/>
        </w:rPr>
        <w:t>___________________________________________</w:t>
      </w:r>
    </w:p>
    <w:p w14:paraId="27462BDA" w14:textId="2BE407F1" w:rsidR="00EF4672" w:rsidRPr="00995AAE" w:rsidRDefault="00B63AFA" w:rsidP="00EF4672">
      <w:pPr>
        <w:tabs>
          <w:tab w:val="left" w:pos="3119"/>
        </w:tabs>
        <w:contextualSpacing/>
        <w:rPr>
          <w:rFonts w:cs="Arial"/>
          <w:sz w:val="24"/>
          <w:szCs w:val="24"/>
        </w:rPr>
      </w:pPr>
      <w:r>
        <w:rPr>
          <w:rFonts w:cs="Arial"/>
          <w:sz w:val="24"/>
          <w:szCs w:val="24"/>
        </w:rPr>
        <w:t>SIMON BIRMINGHAM</w:t>
      </w:r>
    </w:p>
    <w:p w14:paraId="4A0D1F17" w14:textId="77777777" w:rsidR="00EF4672" w:rsidRPr="00995AAE" w:rsidRDefault="00EF4672" w:rsidP="00EF4672">
      <w:pPr>
        <w:tabs>
          <w:tab w:val="left" w:pos="3119"/>
        </w:tabs>
        <w:ind w:right="-143"/>
        <w:contextualSpacing/>
        <w:rPr>
          <w:rFonts w:cs="Arial"/>
          <w:sz w:val="24"/>
          <w:szCs w:val="24"/>
        </w:rPr>
      </w:pPr>
      <w:r w:rsidRPr="00995AAE">
        <w:rPr>
          <w:rFonts w:cs="Arial"/>
          <w:sz w:val="24"/>
          <w:szCs w:val="24"/>
        </w:rPr>
        <w:t>Minister for Education and Training</w:t>
      </w:r>
    </w:p>
    <w:p w14:paraId="746E8779" w14:textId="77777777" w:rsidR="00EF4672" w:rsidRPr="00995AAE" w:rsidRDefault="00EF4672" w:rsidP="00EF4672">
      <w:pPr>
        <w:tabs>
          <w:tab w:val="left" w:pos="3119"/>
        </w:tabs>
        <w:contextualSpacing/>
        <w:rPr>
          <w:rFonts w:cs="Arial"/>
          <w:sz w:val="24"/>
          <w:szCs w:val="24"/>
          <w:lang w:val="en-US"/>
        </w:rPr>
      </w:pPr>
    </w:p>
    <w:p w14:paraId="4F503028" w14:textId="77777777" w:rsidR="00EF4672" w:rsidRPr="00995AAE" w:rsidRDefault="00EF4672" w:rsidP="00EF4672">
      <w:pPr>
        <w:tabs>
          <w:tab w:val="left" w:pos="3119"/>
        </w:tabs>
        <w:contextualSpacing/>
        <w:rPr>
          <w:rFonts w:cs="Arial"/>
          <w:sz w:val="24"/>
          <w:szCs w:val="24"/>
          <w:lang w:val="en-US"/>
        </w:rPr>
      </w:pPr>
    </w:p>
    <w:p w14:paraId="52544A78" w14:textId="77777777" w:rsidR="00E256F6" w:rsidRPr="00995AAE" w:rsidRDefault="00E256F6" w:rsidP="00EF4672">
      <w:pPr>
        <w:tabs>
          <w:tab w:val="left" w:pos="3119"/>
        </w:tabs>
        <w:contextualSpacing/>
        <w:rPr>
          <w:rFonts w:cs="Arial"/>
          <w:sz w:val="24"/>
          <w:szCs w:val="24"/>
          <w:lang w:val="en-US"/>
        </w:rPr>
      </w:pPr>
    </w:p>
    <w:p w14:paraId="06B9B291" w14:textId="77777777" w:rsidR="00E256F6" w:rsidRPr="00995AAE" w:rsidRDefault="00E256F6" w:rsidP="00EF4672">
      <w:pPr>
        <w:tabs>
          <w:tab w:val="left" w:pos="3119"/>
        </w:tabs>
        <w:contextualSpacing/>
        <w:rPr>
          <w:rFonts w:cs="Arial"/>
          <w:sz w:val="24"/>
          <w:szCs w:val="24"/>
          <w:lang w:val="en-US"/>
        </w:rPr>
      </w:pPr>
    </w:p>
    <w:p w14:paraId="1D041768" w14:textId="77777777" w:rsidR="00E256F6" w:rsidRPr="00995AAE" w:rsidRDefault="00E256F6" w:rsidP="00EF4672">
      <w:pPr>
        <w:tabs>
          <w:tab w:val="left" w:pos="3119"/>
        </w:tabs>
        <w:contextualSpacing/>
        <w:rPr>
          <w:rFonts w:cs="Arial"/>
          <w:sz w:val="24"/>
          <w:szCs w:val="24"/>
          <w:lang w:val="en-US"/>
        </w:rPr>
      </w:pPr>
    </w:p>
    <w:p w14:paraId="4102A322" w14:textId="77777777" w:rsidR="00E256F6" w:rsidRPr="00995AAE" w:rsidRDefault="00E256F6" w:rsidP="00EF4672">
      <w:pPr>
        <w:tabs>
          <w:tab w:val="left" w:pos="3119"/>
        </w:tabs>
        <w:contextualSpacing/>
        <w:rPr>
          <w:rFonts w:cs="Arial"/>
          <w:sz w:val="24"/>
          <w:szCs w:val="24"/>
          <w:lang w:val="en-US"/>
        </w:rPr>
      </w:pPr>
    </w:p>
    <w:p w14:paraId="1D392B97" w14:textId="77777777" w:rsidR="00E256F6" w:rsidRPr="00995AAE" w:rsidRDefault="00E256F6" w:rsidP="00EF4672">
      <w:pPr>
        <w:tabs>
          <w:tab w:val="left" w:pos="3119"/>
        </w:tabs>
        <w:contextualSpacing/>
        <w:rPr>
          <w:rFonts w:cs="Arial"/>
          <w:sz w:val="24"/>
          <w:szCs w:val="24"/>
          <w:lang w:val="en-US"/>
        </w:rPr>
      </w:pPr>
    </w:p>
    <w:p w14:paraId="354A0A56" w14:textId="77777777" w:rsidR="00E256F6" w:rsidRPr="00995AAE" w:rsidRDefault="00E256F6" w:rsidP="00EF4672">
      <w:pPr>
        <w:tabs>
          <w:tab w:val="left" w:pos="3119"/>
        </w:tabs>
        <w:contextualSpacing/>
        <w:rPr>
          <w:rFonts w:cs="Arial"/>
          <w:sz w:val="24"/>
          <w:szCs w:val="24"/>
          <w:lang w:val="en-US"/>
        </w:rPr>
      </w:pPr>
    </w:p>
    <w:p w14:paraId="747B4DD8" w14:textId="77777777" w:rsidR="00EF4672" w:rsidRPr="00995AAE" w:rsidRDefault="00EF4672" w:rsidP="00EF4672">
      <w:pPr>
        <w:tabs>
          <w:tab w:val="left" w:pos="3119"/>
        </w:tabs>
        <w:contextualSpacing/>
        <w:rPr>
          <w:rFonts w:cs="Arial"/>
          <w:sz w:val="24"/>
          <w:szCs w:val="24"/>
          <w:lang w:val="en-US"/>
        </w:rPr>
      </w:pPr>
    </w:p>
    <w:p w14:paraId="3966580C" w14:textId="77777777" w:rsidR="00E256F6" w:rsidRPr="00995AAE" w:rsidRDefault="00E256F6" w:rsidP="00EF4672">
      <w:pPr>
        <w:tabs>
          <w:tab w:val="left" w:pos="3119"/>
        </w:tabs>
        <w:contextualSpacing/>
        <w:rPr>
          <w:rFonts w:cs="Arial"/>
          <w:sz w:val="24"/>
          <w:szCs w:val="24"/>
          <w:lang w:val="en-US"/>
        </w:rPr>
      </w:pPr>
    </w:p>
    <w:p w14:paraId="264C9283" w14:textId="77777777" w:rsidR="00E256F6" w:rsidRPr="00995AAE" w:rsidRDefault="00E256F6" w:rsidP="00EF4672">
      <w:pPr>
        <w:tabs>
          <w:tab w:val="left" w:pos="3119"/>
        </w:tabs>
        <w:contextualSpacing/>
        <w:rPr>
          <w:rFonts w:cs="Arial"/>
          <w:sz w:val="24"/>
          <w:szCs w:val="24"/>
          <w:lang w:val="en-US"/>
        </w:rPr>
      </w:pPr>
    </w:p>
    <w:p w14:paraId="629D705F" w14:textId="77777777" w:rsidR="00E256F6" w:rsidRPr="00995AAE" w:rsidRDefault="00E256F6" w:rsidP="00EF4672">
      <w:pPr>
        <w:tabs>
          <w:tab w:val="left" w:pos="3119"/>
        </w:tabs>
        <w:contextualSpacing/>
        <w:rPr>
          <w:rFonts w:cs="Arial"/>
          <w:sz w:val="24"/>
          <w:szCs w:val="24"/>
          <w:lang w:val="en-US"/>
        </w:rPr>
      </w:pPr>
    </w:p>
    <w:p w14:paraId="4CECE2F9" w14:textId="77777777" w:rsidR="00E256F6" w:rsidRPr="00995AAE" w:rsidRDefault="00E256F6" w:rsidP="00EF4672">
      <w:pPr>
        <w:tabs>
          <w:tab w:val="left" w:pos="3119"/>
        </w:tabs>
        <w:contextualSpacing/>
        <w:rPr>
          <w:rFonts w:cs="Arial"/>
          <w:sz w:val="24"/>
          <w:szCs w:val="24"/>
          <w:lang w:val="en-US"/>
        </w:rPr>
      </w:pPr>
    </w:p>
    <w:p w14:paraId="36CC4AF7" w14:textId="77777777" w:rsidR="00E256F6" w:rsidRPr="00995AAE" w:rsidRDefault="00E256F6" w:rsidP="00EF4672">
      <w:pPr>
        <w:tabs>
          <w:tab w:val="left" w:pos="3119"/>
        </w:tabs>
        <w:contextualSpacing/>
        <w:rPr>
          <w:rFonts w:cs="Arial"/>
          <w:sz w:val="24"/>
          <w:szCs w:val="24"/>
          <w:lang w:val="en-US"/>
        </w:rPr>
      </w:pPr>
    </w:p>
    <w:p w14:paraId="5664BDC5" w14:textId="77777777" w:rsidR="00E256F6" w:rsidRPr="00995AAE" w:rsidRDefault="00E256F6" w:rsidP="00EF4672">
      <w:pPr>
        <w:tabs>
          <w:tab w:val="left" w:pos="3119"/>
        </w:tabs>
        <w:contextualSpacing/>
        <w:rPr>
          <w:rFonts w:cs="Arial"/>
          <w:sz w:val="24"/>
          <w:szCs w:val="24"/>
          <w:lang w:val="en-US"/>
        </w:rPr>
      </w:pPr>
    </w:p>
    <w:p w14:paraId="71D118D0" w14:textId="77777777" w:rsidR="00E256F6" w:rsidRPr="00995AAE" w:rsidRDefault="00E256F6" w:rsidP="00EF4672">
      <w:pPr>
        <w:tabs>
          <w:tab w:val="left" w:pos="3119"/>
        </w:tabs>
        <w:contextualSpacing/>
        <w:rPr>
          <w:rFonts w:cs="Arial"/>
          <w:sz w:val="24"/>
          <w:szCs w:val="24"/>
          <w:lang w:val="en-US"/>
        </w:rPr>
      </w:pPr>
    </w:p>
    <w:p w14:paraId="7DB1D321" w14:textId="77777777" w:rsidR="00EF4672" w:rsidRPr="00995AAE" w:rsidRDefault="00EF4672" w:rsidP="00EF4672">
      <w:pPr>
        <w:contextualSpacing/>
        <w:rPr>
          <w:rFonts w:cs="Arial"/>
          <w:sz w:val="24"/>
          <w:szCs w:val="24"/>
        </w:rPr>
      </w:pPr>
      <w:r w:rsidRPr="00995AAE">
        <w:rPr>
          <w:rFonts w:cs="Arial"/>
          <w:sz w:val="24"/>
          <w:szCs w:val="24"/>
        </w:rPr>
        <w:br w:type="page"/>
      </w:r>
    </w:p>
    <w:p w14:paraId="29FD84A9" w14:textId="4D59B0FB" w:rsidR="00EF4672" w:rsidRPr="00995AAE" w:rsidRDefault="00EF4672" w:rsidP="00EF4672">
      <w:pPr>
        <w:contextualSpacing/>
        <w:rPr>
          <w:rFonts w:cs="Arial"/>
          <w:sz w:val="24"/>
          <w:szCs w:val="24"/>
        </w:rPr>
      </w:pPr>
    </w:p>
    <w:p w14:paraId="7DD721FB" w14:textId="77777777" w:rsidR="00EF4672" w:rsidRPr="00995AAE" w:rsidRDefault="00EF4672" w:rsidP="00EF4672">
      <w:pPr>
        <w:contextualSpacing/>
        <w:rPr>
          <w:rFonts w:cs="Arial"/>
          <w:sz w:val="24"/>
          <w:szCs w:val="24"/>
        </w:rPr>
      </w:pPr>
    </w:p>
    <w:p w14:paraId="413F8B2D" w14:textId="77777777" w:rsidR="00EF4672" w:rsidRPr="00995AAE" w:rsidRDefault="00EF4672" w:rsidP="00EF4672">
      <w:pPr>
        <w:contextualSpacing/>
        <w:rPr>
          <w:rFonts w:cs="Arial"/>
          <w:sz w:val="24"/>
          <w:szCs w:val="24"/>
        </w:rPr>
      </w:pPr>
    </w:p>
    <w:p w14:paraId="3DCB13E4" w14:textId="77777777" w:rsidR="00EF4672" w:rsidRPr="00995AAE" w:rsidRDefault="00EF4672" w:rsidP="00EF4672">
      <w:pPr>
        <w:contextualSpacing/>
        <w:rPr>
          <w:rFonts w:cs="Arial"/>
          <w:sz w:val="24"/>
          <w:szCs w:val="24"/>
        </w:rPr>
      </w:pPr>
    </w:p>
    <w:p w14:paraId="32C6E3CD" w14:textId="77777777" w:rsidR="00EF4672" w:rsidRPr="00995AAE" w:rsidRDefault="007D58C0" w:rsidP="007D58C0">
      <w:pPr>
        <w:ind w:left="284" w:hanging="284"/>
        <w:contextualSpacing/>
        <w:rPr>
          <w:rFonts w:cs="Arial"/>
          <w:b/>
          <w:sz w:val="24"/>
          <w:szCs w:val="24"/>
        </w:rPr>
      </w:pPr>
      <w:r w:rsidRPr="00995AAE">
        <w:rPr>
          <w:rFonts w:cs="Arial"/>
          <w:b/>
          <w:sz w:val="24"/>
          <w:szCs w:val="24"/>
        </w:rPr>
        <w:t xml:space="preserve">1. </w:t>
      </w:r>
      <w:r w:rsidR="00EF4672" w:rsidRPr="00995AAE">
        <w:rPr>
          <w:rFonts w:cs="Arial"/>
          <w:b/>
          <w:sz w:val="24"/>
          <w:szCs w:val="24"/>
        </w:rPr>
        <w:t>Name of Instrument</w:t>
      </w:r>
    </w:p>
    <w:p w14:paraId="131DFE60" w14:textId="77777777" w:rsidR="00EF4672" w:rsidRPr="00995AAE" w:rsidRDefault="00EF4672" w:rsidP="00EF4672">
      <w:pPr>
        <w:contextualSpacing/>
        <w:rPr>
          <w:rFonts w:cs="Arial"/>
          <w:sz w:val="24"/>
          <w:szCs w:val="24"/>
        </w:rPr>
      </w:pPr>
    </w:p>
    <w:p w14:paraId="00B4669F" w14:textId="08E9EF6E" w:rsidR="00EF4672" w:rsidRPr="00995AAE" w:rsidRDefault="009213AC" w:rsidP="00EF4672">
      <w:pPr>
        <w:rPr>
          <w:rFonts w:cs="Arial"/>
          <w:sz w:val="24"/>
          <w:szCs w:val="24"/>
        </w:rPr>
      </w:pPr>
      <w:r w:rsidRPr="00995AAE">
        <w:rPr>
          <w:rFonts w:cs="Arial"/>
          <w:sz w:val="24"/>
          <w:szCs w:val="24"/>
        </w:rPr>
        <w:t xml:space="preserve">This Legislative Instrument is the </w:t>
      </w:r>
      <w:r w:rsidRPr="00995AAE">
        <w:rPr>
          <w:rFonts w:cs="Arial"/>
          <w:i/>
          <w:sz w:val="24"/>
          <w:szCs w:val="24"/>
        </w:rPr>
        <w:t>Higher Education Standards Framework (Threshold Standards) 2015</w:t>
      </w:r>
      <w:r w:rsidRPr="00995AAE">
        <w:rPr>
          <w:rFonts w:cs="Arial"/>
          <w:sz w:val="24"/>
          <w:szCs w:val="24"/>
        </w:rPr>
        <w:t xml:space="preserve"> and revokes the </w:t>
      </w:r>
      <w:r w:rsidRPr="00995AAE">
        <w:rPr>
          <w:rFonts w:cs="Arial"/>
          <w:i/>
          <w:sz w:val="24"/>
          <w:szCs w:val="24"/>
        </w:rPr>
        <w:t>Higher Education Standards Framework (Threshold Standards) 2011</w:t>
      </w:r>
      <w:r w:rsidRPr="00995AAE">
        <w:rPr>
          <w:rFonts w:cs="Arial"/>
          <w:sz w:val="24"/>
          <w:szCs w:val="24"/>
        </w:rPr>
        <w:t xml:space="preserve"> (</w:t>
      </w:r>
      <w:proofErr w:type="spellStart"/>
      <w:r w:rsidR="004E15B9">
        <w:rPr>
          <w:rFonts w:cs="Arial"/>
          <w:sz w:val="24"/>
          <w:szCs w:val="24"/>
        </w:rPr>
        <w:t>F2013C00169</w:t>
      </w:r>
      <w:proofErr w:type="spellEnd"/>
      <w:r w:rsidRPr="00995AAE">
        <w:rPr>
          <w:rFonts w:cs="Arial"/>
          <w:sz w:val="24"/>
          <w:szCs w:val="24"/>
        </w:rPr>
        <w:t>)</w:t>
      </w:r>
      <w:r w:rsidR="005308D1" w:rsidRPr="00995AAE">
        <w:rPr>
          <w:rFonts w:cs="Arial"/>
          <w:sz w:val="24"/>
          <w:szCs w:val="24"/>
        </w:rPr>
        <w:t xml:space="preserve"> </w:t>
      </w:r>
      <w:r w:rsidRPr="00995AAE">
        <w:rPr>
          <w:rFonts w:cs="Arial"/>
          <w:sz w:val="24"/>
          <w:szCs w:val="24"/>
        </w:rPr>
        <w:t>and all subsequent amendments.</w:t>
      </w:r>
    </w:p>
    <w:p w14:paraId="23D188A7" w14:textId="77777777" w:rsidR="00EF4672" w:rsidRPr="00995AAE" w:rsidRDefault="00EF4672" w:rsidP="00EF4672">
      <w:pPr>
        <w:contextualSpacing/>
        <w:rPr>
          <w:rFonts w:cs="Arial"/>
          <w:sz w:val="24"/>
          <w:szCs w:val="24"/>
        </w:rPr>
      </w:pPr>
    </w:p>
    <w:p w14:paraId="38742C90" w14:textId="77777777" w:rsidR="00EF4672" w:rsidRPr="00995AAE" w:rsidRDefault="00EF4672" w:rsidP="007D58C0">
      <w:pPr>
        <w:ind w:left="284" w:hanging="284"/>
        <w:contextualSpacing/>
        <w:rPr>
          <w:rFonts w:cs="Arial"/>
          <w:b/>
          <w:sz w:val="24"/>
          <w:szCs w:val="24"/>
        </w:rPr>
      </w:pPr>
      <w:r w:rsidRPr="00995AAE">
        <w:rPr>
          <w:rFonts w:cs="Arial"/>
          <w:b/>
          <w:sz w:val="24"/>
          <w:szCs w:val="24"/>
        </w:rPr>
        <w:t>2</w:t>
      </w:r>
      <w:r w:rsidR="007D58C0" w:rsidRPr="00995AAE">
        <w:rPr>
          <w:rFonts w:cs="Arial"/>
          <w:b/>
          <w:sz w:val="24"/>
          <w:szCs w:val="24"/>
        </w:rPr>
        <w:t xml:space="preserve">. </w:t>
      </w:r>
      <w:r w:rsidRPr="00995AAE">
        <w:rPr>
          <w:rFonts w:cs="Arial"/>
          <w:b/>
          <w:sz w:val="24"/>
          <w:szCs w:val="24"/>
        </w:rPr>
        <w:t xml:space="preserve">Authority </w:t>
      </w:r>
    </w:p>
    <w:p w14:paraId="5BDE50A3" w14:textId="77777777" w:rsidR="00EF4672" w:rsidRPr="00995AAE" w:rsidRDefault="00EF4672" w:rsidP="00EF4672">
      <w:pPr>
        <w:rPr>
          <w:rFonts w:cs="Arial"/>
          <w:b/>
        </w:rPr>
      </w:pPr>
    </w:p>
    <w:p w14:paraId="7AC867E9" w14:textId="77777777" w:rsidR="00EF4672" w:rsidRPr="00995AAE" w:rsidRDefault="00EF4672" w:rsidP="00735FE9">
      <w:pPr>
        <w:rPr>
          <w:rFonts w:cs="Arial"/>
          <w:i/>
          <w:sz w:val="24"/>
          <w:szCs w:val="24"/>
        </w:rPr>
      </w:pPr>
      <w:r w:rsidRPr="00995AAE">
        <w:rPr>
          <w:rFonts w:cs="Arial"/>
          <w:sz w:val="24"/>
          <w:szCs w:val="24"/>
        </w:rPr>
        <w:t xml:space="preserve">This legislative instrument is made under subsection 58(1) of the </w:t>
      </w:r>
      <w:r w:rsidRPr="00995AAE">
        <w:rPr>
          <w:rFonts w:cs="Arial"/>
          <w:i/>
          <w:sz w:val="24"/>
          <w:szCs w:val="24"/>
        </w:rPr>
        <w:t>Tertiary Education Quality and Standards Agency Act 2011</w:t>
      </w:r>
      <w:r w:rsidR="00DD625E" w:rsidRPr="00995AAE">
        <w:rPr>
          <w:rFonts w:cs="Arial"/>
          <w:sz w:val="24"/>
          <w:szCs w:val="24"/>
        </w:rPr>
        <w:t xml:space="preserve"> (TEQSA A</w:t>
      </w:r>
      <w:r w:rsidR="00776327" w:rsidRPr="00995AAE">
        <w:rPr>
          <w:rFonts w:cs="Arial"/>
          <w:sz w:val="24"/>
          <w:szCs w:val="24"/>
        </w:rPr>
        <w:t>ct</w:t>
      </w:r>
      <w:r w:rsidR="00740A34" w:rsidRPr="00995AAE">
        <w:rPr>
          <w:rFonts w:cs="Arial"/>
          <w:sz w:val="24"/>
          <w:szCs w:val="24"/>
        </w:rPr>
        <w:t xml:space="preserve"> 2011</w:t>
      </w:r>
      <w:r w:rsidR="00DD625E" w:rsidRPr="00995AAE">
        <w:rPr>
          <w:rFonts w:cs="Arial"/>
          <w:sz w:val="24"/>
          <w:szCs w:val="24"/>
        </w:rPr>
        <w:t>)</w:t>
      </w:r>
      <w:r w:rsidR="004E15B9">
        <w:rPr>
          <w:rFonts w:cs="Arial"/>
          <w:sz w:val="24"/>
          <w:szCs w:val="24"/>
        </w:rPr>
        <w:t>.</w:t>
      </w:r>
    </w:p>
    <w:p w14:paraId="754748A8" w14:textId="77777777" w:rsidR="0052501F" w:rsidRPr="00995AAE" w:rsidRDefault="0052501F" w:rsidP="00735FE9">
      <w:pPr>
        <w:contextualSpacing/>
        <w:rPr>
          <w:rFonts w:cs="Arial"/>
          <w:sz w:val="24"/>
          <w:szCs w:val="24"/>
        </w:rPr>
      </w:pPr>
    </w:p>
    <w:p w14:paraId="4ABB4E57" w14:textId="77777777" w:rsidR="0052501F" w:rsidRPr="00995AAE" w:rsidRDefault="0052501F" w:rsidP="007D58C0">
      <w:pPr>
        <w:ind w:left="284" w:hanging="284"/>
        <w:contextualSpacing/>
        <w:rPr>
          <w:rFonts w:cs="Arial"/>
          <w:b/>
          <w:sz w:val="24"/>
          <w:szCs w:val="24"/>
        </w:rPr>
      </w:pPr>
      <w:r w:rsidRPr="00995AAE">
        <w:rPr>
          <w:rFonts w:cs="Arial"/>
          <w:b/>
          <w:sz w:val="24"/>
          <w:szCs w:val="24"/>
        </w:rPr>
        <w:t>3</w:t>
      </w:r>
      <w:r w:rsidR="007D58C0" w:rsidRPr="00995AAE">
        <w:rPr>
          <w:rFonts w:cs="Arial"/>
          <w:b/>
          <w:sz w:val="24"/>
          <w:szCs w:val="24"/>
        </w:rPr>
        <w:t xml:space="preserve">. </w:t>
      </w:r>
      <w:r w:rsidRPr="00995AAE">
        <w:rPr>
          <w:rFonts w:cs="Arial"/>
          <w:b/>
          <w:sz w:val="24"/>
          <w:szCs w:val="24"/>
        </w:rPr>
        <w:t>Threshold Standards</w:t>
      </w:r>
    </w:p>
    <w:p w14:paraId="0EB93C72" w14:textId="77777777" w:rsidR="0052501F" w:rsidRPr="00995AAE" w:rsidRDefault="0052501F" w:rsidP="0052501F">
      <w:pPr>
        <w:contextualSpacing/>
        <w:rPr>
          <w:rFonts w:cs="Arial"/>
          <w:sz w:val="24"/>
          <w:szCs w:val="24"/>
        </w:rPr>
      </w:pPr>
    </w:p>
    <w:p w14:paraId="735096E9" w14:textId="77777777" w:rsidR="0052501F" w:rsidRPr="00995AAE" w:rsidRDefault="0052501F" w:rsidP="00735FE9">
      <w:pPr>
        <w:rPr>
          <w:rFonts w:cs="Arial"/>
          <w:sz w:val="24"/>
          <w:szCs w:val="24"/>
        </w:rPr>
      </w:pPr>
      <w:r w:rsidRPr="00995AAE">
        <w:rPr>
          <w:rFonts w:cs="Arial"/>
          <w:sz w:val="24"/>
          <w:szCs w:val="24"/>
        </w:rPr>
        <w:t xml:space="preserve">For the purposes of </w:t>
      </w:r>
      <w:r w:rsidR="00982F2C" w:rsidRPr="00995AAE">
        <w:rPr>
          <w:rFonts w:cs="Arial"/>
          <w:sz w:val="24"/>
          <w:szCs w:val="24"/>
        </w:rPr>
        <w:t>defining the Threshold Standards under paragraphs</w:t>
      </w:r>
      <w:r w:rsidRPr="00995AAE">
        <w:rPr>
          <w:rFonts w:cs="Arial"/>
          <w:sz w:val="24"/>
          <w:szCs w:val="24"/>
        </w:rPr>
        <w:t xml:space="preserve"> 58(1) </w:t>
      </w:r>
      <w:r w:rsidR="00982F2C" w:rsidRPr="00995AAE">
        <w:rPr>
          <w:rFonts w:cs="Arial"/>
          <w:sz w:val="24"/>
          <w:szCs w:val="24"/>
        </w:rPr>
        <w:t>(a) to (</w:t>
      </w:r>
      <w:r w:rsidR="00A7485D" w:rsidRPr="00995AAE">
        <w:rPr>
          <w:rFonts w:cs="Arial"/>
          <w:sz w:val="24"/>
          <w:szCs w:val="24"/>
        </w:rPr>
        <w:t>d</w:t>
      </w:r>
      <w:r w:rsidR="00982F2C" w:rsidRPr="00995AAE">
        <w:rPr>
          <w:rFonts w:cs="Arial"/>
          <w:sz w:val="24"/>
          <w:szCs w:val="24"/>
        </w:rPr>
        <w:t xml:space="preserve">) inclusive </w:t>
      </w:r>
      <w:r w:rsidRPr="00995AAE">
        <w:rPr>
          <w:rFonts w:cs="Arial"/>
          <w:sz w:val="24"/>
          <w:szCs w:val="24"/>
        </w:rPr>
        <w:t xml:space="preserve">of the </w:t>
      </w:r>
      <w:r w:rsidR="00776327" w:rsidRPr="00995AAE">
        <w:rPr>
          <w:rFonts w:cs="Arial"/>
          <w:sz w:val="24"/>
          <w:szCs w:val="24"/>
        </w:rPr>
        <w:t>TEQSA Act</w:t>
      </w:r>
      <w:r w:rsidR="00740A34" w:rsidRPr="00995AAE">
        <w:rPr>
          <w:rFonts w:cs="Arial"/>
          <w:sz w:val="24"/>
          <w:szCs w:val="24"/>
        </w:rPr>
        <w:t xml:space="preserve"> 2011</w:t>
      </w:r>
      <w:r w:rsidRPr="00995AAE">
        <w:rPr>
          <w:rFonts w:cs="Arial"/>
          <w:sz w:val="24"/>
          <w:szCs w:val="24"/>
        </w:rPr>
        <w:t xml:space="preserve">, the </w:t>
      </w:r>
      <w:r w:rsidR="00DD625E" w:rsidRPr="00995AAE">
        <w:rPr>
          <w:rFonts w:cs="Arial"/>
          <w:sz w:val="24"/>
          <w:szCs w:val="24"/>
        </w:rPr>
        <w:t>applicable</w:t>
      </w:r>
      <w:r w:rsidR="00982F2C" w:rsidRPr="00995AAE">
        <w:rPr>
          <w:rFonts w:cs="Arial"/>
          <w:sz w:val="24"/>
          <w:szCs w:val="24"/>
        </w:rPr>
        <w:t xml:space="preserve"> standards in the </w:t>
      </w:r>
      <w:r w:rsidR="00DD625E" w:rsidRPr="00995AAE">
        <w:rPr>
          <w:rFonts w:cs="Arial"/>
          <w:i/>
          <w:sz w:val="24"/>
          <w:szCs w:val="24"/>
        </w:rPr>
        <w:t xml:space="preserve">Higher Education Standards Framework </w:t>
      </w:r>
      <w:r w:rsidRPr="00995AAE">
        <w:rPr>
          <w:rFonts w:cs="Arial"/>
          <w:sz w:val="24"/>
          <w:szCs w:val="24"/>
        </w:rPr>
        <w:t>are specified</w:t>
      </w:r>
      <w:r w:rsidR="00DD625E" w:rsidRPr="00995AAE">
        <w:rPr>
          <w:rFonts w:cs="Arial"/>
          <w:sz w:val="24"/>
          <w:szCs w:val="24"/>
        </w:rPr>
        <w:t xml:space="preserve"> in the relevant column of Table 1 below</w:t>
      </w:r>
      <w:r w:rsidRPr="00995AAE">
        <w:rPr>
          <w:rFonts w:cs="Arial"/>
          <w:sz w:val="24"/>
          <w:szCs w:val="24"/>
        </w:rPr>
        <w:t>:</w:t>
      </w:r>
    </w:p>
    <w:p w14:paraId="75BA5D01" w14:textId="77777777" w:rsidR="0052501F" w:rsidRPr="00995AAE" w:rsidRDefault="0052501F" w:rsidP="00735FE9">
      <w:pPr>
        <w:rPr>
          <w:rFonts w:cs="Arial"/>
          <w:sz w:val="24"/>
          <w:szCs w:val="24"/>
        </w:rPr>
      </w:pPr>
    </w:p>
    <w:p w14:paraId="098EF304" w14:textId="77777777" w:rsidR="0052501F" w:rsidRPr="00995AAE" w:rsidRDefault="0052501F" w:rsidP="003919F9">
      <w:pPr>
        <w:pStyle w:val="ListParagraph"/>
        <w:numPr>
          <w:ilvl w:val="0"/>
          <w:numId w:val="21"/>
        </w:numPr>
        <w:rPr>
          <w:rFonts w:cs="Arial"/>
          <w:sz w:val="24"/>
          <w:szCs w:val="24"/>
        </w:rPr>
      </w:pPr>
      <w:r w:rsidRPr="00995AAE">
        <w:rPr>
          <w:rFonts w:cs="Arial"/>
          <w:sz w:val="24"/>
          <w:szCs w:val="24"/>
        </w:rPr>
        <w:t>the Provider Registration Standards</w:t>
      </w:r>
      <w:r w:rsidR="00735FE9" w:rsidRPr="00995AAE">
        <w:rPr>
          <w:rFonts w:cs="Arial"/>
          <w:sz w:val="24"/>
          <w:szCs w:val="24"/>
        </w:rPr>
        <w:t>:</w:t>
      </w:r>
      <w:r w:rsidR="00735FE9" w:rsidRPr="00995AAE">
        <w:rPr>
          <w:rFonts w:cs="Arial"/>
          <w:sz w:val="24"/>
          <w:szCs w:val="24"/>
        </w:rPr>
        <w:tab/>
      </w:r>
      <w:r w:rsidR="00735FE9" w:rsidRPr="00995AAE">
        <w:rPr>
          <w:rFonts w:cs="Arial"/>
          <w:sz w:val="24"/>
          <w:szCs w:val="24"/>
        </w:rPr>
        <w:tab/>
      </w:r>
      <w:r w:rsidR="00735FE9" w:rsidRPr="00995AAE">
        <w:rPr>
          <w:rFonts w:cs="Arial"/>
          <w:sz w:val="24"/>
          <w:szCs w:val="24"/>
        </w:rPr>
        <w:tab/>
      </w:r>
      <w:r w:rsidR="00DD625E" w:rsidRPr="00995AAE">
        <w:rPr>
          <w:rFonts w:cs="Arial"/>
          <w:sz w:val="24"/>
          <w:szCs w:val="24"/>
        </w:rPr>
        <w:t>column 2</w:t>
      </w:r>
    </w:p>
    <w:p w14:paraId="4C0D9979" w14:textId="77777777" w:rsidR="0052501F" w:rsidRPr="00995AAE" w:rsidRDefault="0052501F" w:rsidP="003919F9">
      <w:pPr>
        <w:pStyle w:val="ListParagraph"/>
        <w:numPr>
          <w:ilvl w:val="0"/>
          <w:numId w:val="21"/>
        </w:numPr>
        <w:rPr>
          <w:rFonts w:cs="Arial"/>
          <w:sz w:val="24"/>
          <w:szCs w:val="24"/>
        </w:rPr>
      </w:pPr>
      <w:r w:rsidRPr="00995AAE">
        <w:rPr>
          <w:rFonts w:cs="Arial"/>
          <w:sz w:val="24"/>
          <w:szCs w:val="24"/>
        </w:rPr>
        <w:t>the Provider Category Standards</w:t>
      </w:r>
      <w:r w:rsidR="00735FE9" w:rsidRPr="00995AAE">
        <w:rPr>
          <w:rFonts w:cs="Arial"/>
          <w:sz w:val="24"/>
          <w:szCs w:val="24"/>
        </w:rPr>
        <w:t>:</w:t>
      </w:r>
      <w:r w:rsidR="00735FE9" w:rsidRPr="00995AAE">
        <w:rPr>
          <w:rFonts w:cs="Arial"/>
          <w:sz w:val="24"/>
          <w:szCs w:val="24"/>
        </w:rPr>
        <w:tab/>
      </w:r>
      <w:r w:rsidR="00735FE9" w:rsidRPr="00995AAE">
        <w:rPr>
          <w:rFonts w:cs="Arial"/>
          <w:sz w:val="24"/>
          <w:szCs w:val="24"/>
        </w:rPr>
        <w:tab/>
      </w:r>
      <w:r w:rsidR="00735FE9" w:rsidRPr="00995AAE">
        <w:rPr>
          <w:rFonts w:cs="Arial"/>
          <w:sz w:val="24"/>
          <w:szCs w:val="24"/>
        </w:rPr>
        <w:tab/>
      </w:r>
      <w:r w:rsidR="00DD625E" w:rsidRPr="00995AAE">
        <w:rPr>
          <w:rFonts w:cs="Arial"/>
          <w:sz w:val="24"/>
          <w:szCs w:val="24"/>
        </w:rPr>
        <w:t>column 3</w:t>
      </w:r>
    </w:p>
    <w:p w14:paraId="40C59990" w14:textId="77777777" w:rsidR="0052501F" w:rsidRPr="00995AAE" w:rsidRDefault="0052501F" w:rsidP="003919F9">
      <w:pPr>
        <w:pStyle w:val="ListParagraph"/>
        <w:numPr>
          <w:ilvl w:val="0"/>
          <w:numId w:val="21"/>
        </w:numPr>
        <w:rPr>
          <w:rFonts w:cs="Arial"/>
          <w:sz w:val="24"/>
          <w:szCs w:val="24"/>
        </w:rPr>
      </w:pPr>
      <w:r w:rsidRPr="00995AAE">
        <w:rPr>
          <w:rFonts w:cs="Arial"/>
          <w:sz w:val="24"/>
          <w:szCs w:val="24"/>
        </w:rPr>
        <w:t>the Provider Course Accreditation Standards</w:t>
      </w:r>
      <w:r w:rsidR="00735FE9" w:rsidRPr="00995AAE">
        <w:rPr>
          <w:rFonts w:cs="Arial"/>
          <w:sz w:val="24"/>
          <w:szCs w:val="24"/>
        </w:rPr>
        <w:t>:</w:t>
      </w:r>
      <w:r w:rsidR="00735FE9" w:rsidRPr="00995AAE">
        <w:rPr>
          <w:rFonts w:cs="Arial"/>
          <w:sz w:val="24"/>
          <w:szCs w:val="24"/>
        </w:rPr>
        <w:tab/>
      </w:r>
      <w:r w:rsidR="00DD625E" w:rsidRPr="00995AAE">
        <w:rPr>
          <w:rFonts w:cs="Arial"/>
          <w:sz w:val="24"/>
          <w:szCs w:val="24"/>
        </w:rPr>
        <w:t>column 4</w:t>
      </w:r>
    </w:p>
    <w:p w14:paraId="77A104A6" w14:textId="77777777" w:rsidR="00A7485D" w:rsidRPr="00995AAE" w:rsidRDefault="00A7485D" w:rsidP="003919F9">
      <w:pPr>
        <w:pStyle w:val="ListParagraph"/>
        <w:numPr>
          <w:ilvl w:val="0"/>
          <w:numId w:val="21"/>
        </w:numPr>
        <w:rPr>
          <w:rFonts w:cs="Arial"/>
          <w:sz w:val="24"/>
          <w:szCs w:val="24"/>
        </w:rPr>
      </w:pPr>
      <w:r w:rsidRPr="00995AAE">
        <w:rPr>
          <w:rFonts w:cs="Arial"/>
          <w:sz w:val="24"/>
          <w:szCs w:val="24"/>
        </w:rPr>
        <w:t>the Qualification Standards:</w:t>
      </w:r>
      <w:r w:rsidRPr="00995AAE">
        <w:rPr>
          <w:rFonts w:cs="Arial"/>
          <w:sz w:val="24"/>
          <w:szCs w:val="24"/>
        </w:rPr>
        <w:tab/>
      </w:r>
      <w:r w:rsidR="00AE2839" w:rsidRPr="00995AAE">
        <w:rPr>
          <w:rFonts w:cs="Arial"/>
          <w:sz w:val="24"/>
          <w:szCs w:val="24"/>
        </w:rPr>
        <w:tab/>
      </w:r>
      <w:r w:rsidR="00AE2839" w:rsidRPr="00995AAE">
        <w:rPr>
          <w:rFonts w:cs="Arial"/>
          <w:sz w:val="24"/>
          <w:szCs w:val="24"/>
        </w:rPr>
        <w:tab/>
      </w:r>
      <w:r w:rsidRPr="00995AAE">
        <w:rPr>
          <w:rFonts w:cs="Arial"/>
          <w:sz w:val="24"/>
          <w:szCs w:val="24"/>
        </w:rPr>
        <w:tab/>
        <w:t>column 5</w:t>
      </w:r>
    </w:p>
    <w:p w14:paraId="773C3E40" w14:textId="77777777" w:rsidR="00012BEF" w:rsidRPr="00995AAE" w:rsidRDefault="00012BEF" w:rsidP="0052501F">
      <w:pPr>
        <w:contextualSpacing/>
        <w:rPr>
          <w:rFonts w:cs="Arial"/>
          <w:sz w:val="24"/>
          <w:szCs w:val="24"/>
        </w:rPr>
      </w:pPr>
    </w:p>
    <w:p w14:paraId="5D2D174F" w14:textId="77777777" w:rsidR="00EF4672" w:rsidRPr="00995AAE" w:rsidRDefault="00982F2C" w:rsidP="00735FE9">
      <w:pPr>
        <w:jc w:val="center"/>
        <w:rPr>
          <w:rFonts w:cs="Arial"/>
          <w:b/>
        </w:rPr>
      </w:pPr>
      <w:r w:rsidRPr="00995AAE">
        <w:rPr>
          <w:rFonts w:cs="Arial"/>
          <w:b/>
        </w:rPr>
        <w:t>Table 1 – Threshold Standards</w:t>
      </w:r>
    </w:p>
    <w:tbl>
      <w:tblPr>
        <w:tblW w:w="10031" w:type="dxa"/>
        <w:jc w:val="center"/>
        <w:tblLayout w:type="fixed"/>
        <w:tblLook w:val="04A0" w:firstRow="1" w:lastRow="0" w:firstColumn="1" w:lastColumn="0" w:noHBand="0" w:noVBand="1"/>
      </w:tblPr>
      <w:tblGrid>
        <w:gridCol w:w="3559"/>
        <w:gridCol w:w="1458"/>
        <w:gridCol w:w="1152"/>
        <w:gridCol w:w="2551"/>
        <w:gridCol w:w="1311"/>
      </w:tblGrid>
      <w:tr w:rsidR="00A7485D" w:rsidRPr="00995AAE" w14:paraId="062DDED2" w14:textId="77777777" w:rsidTr="00A72857">
        <w:trPr>
          <w:trHeight w:val="402"/>
          <w:tblHeader/>
          <w:jc w:val="center"/>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4077E" w14:textId="77777777" w:rsidR="00A7485D" w:rsidRPr="00995AAE" w:rsidRDefault="00A7485D" w:rsidP="00735FE9">
            <w:pPr>
              <w:jc w:val="center"/>
              <w:rPr>
                <w:rFonts w:ascii="Arial Narrow" w:eastAsia="Times New Roman" w:hAnsi="Arial Narrow" w:cs="Calibri"/>
                <w:b/>
                <w:bCs/>
                <w:color w:val="000000"/>
                <w:sz w:val="20"/>
                <w:szCs w:val="20"/>
                <w:lang w:eastAsia="en-AU"/>
              </w:rPr>
            </w:pPr>
            <w:r w:rsidRPr="00995AAE">
              <w:rPr>
                <w:rFonts w:ascii="Arial Narrow" w:eastAsia="Times New Roman" w:hAnsi="Arial Narrow" w:cs="Calibri"/>
                <w:b/>
                <w:bCs/>
                <w:color w:val="000000"/>
                <w:sz w:val="20"/>
                <w:szCs w:val="20"/>
                <w:lang w:eastAsia="en-AU"/>
              </w:rPr>
              <w:t>Higher Education Standards Framework standard</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14:paraId="380045CA" w14:textId="77777777" w:rsidR="00A7485D" w:rsidRPr="00995AAE" w:rsidRDefault="00A7485D" w:rsidP="00735FE9">
            <w:pPr>
              <w:jc w:val="center"/>
              <w:rPr>
                <w:rFonts w:ascii="Calibri" w:eastAsia="Times New Roman" w:hAnsi="Calibri" w:cs="Calibri"/>
                <w:b/>
                <w:bCs/>
                <w:color w:val="000000"/>
                <w:sz w:val="20"/>
                <w:szCs w:val="20"/>
                <w:lang w:eastAsia="en-AU"/>
              </w:rPr>
            </w:pPr>
            <w:r w:rsidRPr="00995AAE">
              <w:rPr>
                <w:rFonts w:ascii="Calibri" w:eastAsia="Times New Roman" w:hAnsi="Calibri" w:cs="Calibri"/>
                <w:b/>
                <w:bCs/>
                <w:color w:val="000000"/>
                <w:sz w:val="20"/>
                <w:szCs w:val="20"/>
                <w:lang w:eastAsia="en-AU"/>
              </w:rPr>
              <w:t>Column 2</w:t>
            </w:r>
            <w:r w:rsidRPr="00995AAE">
              <w:rPr>
                <w:rFonts w:ascii="Calibri" w:eastAsia="Times New Roman" w:hAnsi="Calibri" w:cs="Calibri"/>
                <w:b/>
                <w:bCs/>
                <w:color w:val="000000"/>
                <w:sz w:val="20"/>
                <w:szCs w:val="20"/>
                <w:lang w:eastAsia="en-AU"/>
              </w:rPr>
              <w:br/>
              <w:t xml:space="preserve">Provider Registration </w:t>
            </w: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7D822820" w14:textId="77777777" w:rsidR="00A7485D" w:rsidRPr="00995AAE" w:rsidRDefault="00A7485D" w:rsidP="00AE2839">
            <w:pPr>
              <w:jc w:val="center"/>
              <w:rPr>
                <w:rFonts w:ascii="Calibri" w:eastAsia="Times New Roman" w:hAnsi="Calibri" w:cs="Calibri"/>
                <w:b/>
                <w:bCs/>
                <w:color w:val="000000"/>
                <w:sz w:val="20"/>
                <w:szCs w:val="20"/>
                <w:lang w:eastAsia="en-AU"/>
              </w:rPr>
            </w:pPr>
            <w:r w:rsidRPr="00995AAE">
              <w:rPr>
                <w:rFonts w:ascii="Calibri" w:eastAsia="Times New Roman" w:hAnsi="Calibri" w:cs="Calibri"/>
                <w:b/>
                <w:bCs/>
                <w:color w:val="000000"/>
                <w:sz w:val="20"/>
                <w:szCs w:val="20"/>
                <w:lang w:eastAsia="en-AU"/>
              </w:rPr>
              <w:t>Column 3</w:t>
            </w:r>
            <w:r w:rsidRPr="00995AAE">
              <w:rPr>
                <w:rFonts w:ascii="Calibri" w:eastAsia="Times New Roman" w:hAnsi="Calibri" w:cs="Calibri"/>
                <w:b/>
                <w:bCs/>
                <w:color w:val="000000"/>
                <w:sz w:val="20"/>
                <w:szCs w:val="20"/>
                <w:lang w:eastAsia="en-AU"/>
              </w:rPr>
              <w:br/>
              <w:t>Provider Category</w:t>
            </w:r>
          </w:p>
        </w:tc>
        <w:tc>
          <w:tcPr>
            <w:tcW w:w="2551" w:type="dxa"/>
            <w:tcBorders>
              <w:top w:val="single" w:sz="4" w:space="0" w:color="auto"/>
              <w:left w:val="nil"/>
              <w:bottom w:val="single" w:sz="4" w:space="0" w:color="auto"/>
              <w:right w:val="single" w:sz="4" w:space="0" w:color="auto"/>
            </w:tcBorders>
            <w:vAlign w:val="center"/>
          </w:tcPr>
          <w:p w14:paraId="054A5A5A" w14:textId="77777777" w:rsidR="00A7485D" w:rsidRPr="00995AAE" w:rsidRDefault="00A7485D" w:rsidP="00AE2839">
            <w:pPr>
              <w:jc w:val="center"/>
              <w:rPr>
                <w:rFonts w:ascii="Calibri" w:eastAsia="Times New Roman" w:hAnsi="Calibri" w:cs="Calibri"/>
                <w:b/>
                <w:bCs/>
                <w:color w:val="000000"/>
                <w:sz w:val="20"/>
                <w:szCs w:val="20"/>
                <w:lang w:eastAsia="en-AU"/>
              </w:rPr>
            </w:pPr>
            <w:r w:rsidRPr="00995AAE">
              <w:rPr>
                <w:rFonts w:ascii="Calibri" w:eastAsia="Times New Roman" w:hAnsi="Calibri" w:cs="Calibri"/>
                <w:b/>
                <w:bCs/>
                <w:color w:val="000000"/>
                <w:sz w:val="20"/>
                <w:szCs w:val="20"/>
                <w:lang w:eastAsia="en-AU"/>
              </w:rPr>
              <w:t>Column 4</w:t>
            </w:r>
            <w:r w:rsidRPr="00995AAE">
              <w:rPr>
                <w:rFonts w:ascii="Calibri" w:eastAsia="Times New Roman" w:hAnsi="Calibri" w:cs="Calibri"/>
                <w:b/>
                <w:bCs/>
                <w:color w:val="000000"/>
                <w:sz w:val="20"/>
                <w:szCs w:val="20"/>
                <w:lang w:eastAsia="en-AU"/>
              </w:rPr>
              <w:br/>
              <w:t xml:space="preserve">Course </w:t>
            </w:r>
            <w:r w:rsidR="003919F9" w:rsidRPr="00995AAE">
              <w:rPr>
                <w:rFonts w:ascii="Calibri" w:eastAsia="Times New Roman" w:hAnsi="Calibri" w:cs="Calibri"/>
                <w:b/>
                <w:bCs/>
                <w:color w:val="000000"/>
                <w:sz w:val="20"/>
                <w:szCs w:val="20"/>
                <w:lang w:eastAsia="en-AU"/>
              </w:rPr>
              <w:br/>
            </w:r>
            <w:r w:rsidRPr="00995AAE">
              <w:rPr>
                <w:rFonts w:ascii="Calibri" w:eastAsia="Times New Roman" w:hAnsi="Calibri" w:cs="Calibri"/>
                <w:b/>
                <w:bCs/>
                <w:color w:val="000000"/>
                <w:sz w:val="20"/>
                <w:szCs w:val="20"/>
                <w:lang w:eastAsia="en-AU"/>
              </w:rPr>
              <w:t>Accreditation</w:t>
            </w:r>
          </w:p>
        </w:tc>
        <w:tc>
          <w:tcPr>
            <w:tcW w:w="1311" w:type="dxa"/>
            <w:tcBorders>
              <w:top w:val="single" w:sz="4" w:space="0" w:color="auto"/>
              <w:left w:val="nil"/>
              <w:bottom w:val="single" w:sz="4" w:space="0" w:color="auto"/>
              <w:right w:val="single" w:sz="4" w:space="0" w:color="auto"/>
            </w:tcBorders>
          </w:tcPr>
          <w:p w14:paraId="1078D270" w14:textId="77777777" w:rsidR="00A7485D" w:rsidRPr="00995AAE" w:rsidRDefault="00A7485D" w:rsidP="00AE2839">
            <w:pPr>
              <w:jc w:val="center"/>
              <w:rPr>
                <w:rFonts w:ascii="Calibri" w:eastAsia="Times New Roman" w:hAnsi="Calibri" w:cs="Calibri"/>
                <w:b/>
                <w:bCs/>
                <w:color w:val="000000"/>
                <w:sz w:val="20"/>
                <w:szCs w:val="20"/>
                <w:lang w:eastAsia="en-AU"/>
              </w:rPr>
            </w:pPr>
            <w:r w:rsidRPr="00995AAE">
              <w:rPr>
                <w:rFonts w:ascii="Calibri" w:eastAsia="Times New Roman" w:hAnsi="Calibri" w:cs="Calibri"/>
                <w:b/>
                <w:bCs/>
                <w:color w:val="000000"/>
                <w:sz w:val="20"/>
                <w:szCs w:val="20"/>
                <w:lang w:eastAsia="en-AU"/>
              </w:rPr>
              <w:t>Column 5</w:t>
            </w:r>
            <w:r w:rsidRPr="00995AAE">
              <w:rPr>
                <w:rFonts w:ascii="Calibri" w:eastAsia="Times New Roman" w:hAnsi="Calibri" w:cs="Calibri"/>
                <w:b/>
                <w:bCs/>
                <w:color w:val="000000"/>
                <w:sz w:val="20"/>
                <w:szCs w:val="20"/>
                <w:lang w:eastAsia="en-AU"/>
              </w:rPr>
              <w:br/>
              <w:t>Qualification</w:t>
            </w:r>
          </w:p>
        </w:tc>
      </w:tr>
      <w:tr w:rsidR="00A72857" w:rsidRPr="00995AAE" w14:paraId="10CA752B" w14:textId="77777777" w:rsidTr="00A72857">
        <w:trPr>
          <w:trHeight w:val="402"/>
          <w:jc w:val="center"/>
        </w:trPr>
        <w:tc>
          <w:tcPr>
            <w:tcW w:w="3559" w:type="dxa"/>
            <w:tcBorders>
              <w:top w:val="single" w:sz="4" w:space="0" w:color="auto"/>
              <w:left w:val="single" w:sz="4" w:space="0" w:color="auto"/>
              <w:bottom w:val="single" w:sz="4" w:space="0" w:color="auto"/>
            </w:tcBorders>
            <w:shd w:val="clear" w:color="auto" w:fill="C4BC96" w:themeFill="background2" w:themeFillShade="BF"/>
            <w:vAlign w:val="center"/>
          </w:tcPr>
          <w:p w14:paraId="28C9C062" w14:textId="77777777" w:rsidR="00A7485D" w:rsidRPr="00995AAE" w:rsidRDefault="00A7485D" w:rsidP="00AE2839">
            <w:pPr>
              <w:rPr>
                <w:rFonts w:ascii="Arial Narrow" w:eastAsia="Times New Roman" w:hAnsi="Arial Narrow" w:cs="Calibri"/>
                <w:b/>
                <w:bCs/>
                <w:color w:val="000000"/>
                <w:sz w:val="20"/>
                <w:szCs w:val="20"/>
                <w:lang w:eastAsia="en-AU"/>
              </w:rPr>
            </w:pPr>
            <w:r w:rsidRPr="00995AAE">
              <w:rPr>
                <w:rFonts w:ascii="Arial Narrow" w:eastAsia="Times New Roman" w:hAnsi="Arial Narrow" w:cs="Calibri"/>
                <w:b/>
                <w:bCs/>
                <w:color w:val="000000"/>
                <w:sz w:val="20"/>
                <w:szCs w:val="20"/>
                <w:lang w:eastAsia="en-AU"/>
              </w:rPr>
              <w:t>Part A: Standards for Higher Education</w:t>
            </w:r>
          </w:p>
        </w:tc>
        <w:tc>
          <w:tcPr>
            <w:tcW w:w="1458" w:type="dxa"/>
            <w:tcBorders>
              <w:top w:val="single" w:sz="4" w:space="0" w:color="auto"/>
              <w:bottom w:val="single" w:sz="4" w:space="0" w:color="auto"/>
            </w:tcBorders>
            <w:shd w:val="clear" w:color="auto" w:fill="C4BC96" w:themeFill="background2" w:themeFillShade="BF"/>
            <w:noWrap/>
            <w:vAlign w:val="center"/>
          </w:tcPr>
          <w:p w14:paraId="5EE63BE1" w14:textId="77777777" w:rsidR="00A7485D" w:rsidRPr="00995AAE" w:rsidRDefault="00A7485D" w:rsidP="00012BEF">
            <w:pPr>
              <w:jc w:val="center"/>
              <w:rPr>
                <w:rFonts w:ascii="Calibri" w:eastAsia="Times New Roman" w:hAnsi="Calibri" w:cs="Calibri"/>
                <w:b/>
                <w:bCs/>
                <w:color w:val="000000"/>
                <w:sz w:val="20"/>
                <w:szCs w:val="20"/>
                <w:lang w:eastAsia="en-AU"/>
              </w:rPr>
            </w:pPr>
          </w:p>
        </w:tc>
        <w:tc>
          <w:tcPr>
            <w:tcW w:w="1152" w:type="dxa"/>
            <w:tcBorders>
              <w:top w:val="single" w:sz="4" w:space="0" w:color="auto"/>
              <w:bottom w:val="single" w:sz="4" w:space="0" w:color="auto"/>
            </w:tcBorders>
            <w:shd w:val="clear" w:color="auto" w:fill="C4BC96" w:themeFill="background2" w:themeFillShade="BF"/>
            <w:noWrap/>
            <w:vAlign w:val="center"/>
          </w:tcPr>
          <w:p w14:paraId="4193FD21" w14:textId="77777777" w:rsidR="00A7485D" w:rsidRPr="00995AAE" w:rsidRDefault="00A7485D" w:rsidP="00AE2839">
            <w:pPr>
              <w:jc w:val="center"/>
              <w:rPr>
                <w:rFonts w:ascii="Calibri" w:eastAsia="Times New Roman" w:hAnsi="Calibri" w:cs="Calibri"/>
                <w:b/>
                <w:bCs/>
                <w:color w:val="000000"/>
                <w:sz w:val="20"/>
                <w:szCs w:val="20"/>
                <w:lang w:eastAsia="en-AU"/>
              </w:rPr>
            </w:pPr>
          </w:p>
        </w:tc>
        <w:tc>
          <w:tcPr>
            <w:tcW w:w="2551" w:type="dxa"/>
            <w:tcBorders>
              <w:top w:val="single" w:sz="4" w:space="0" w:color="auto"/>
              <w:bottom w:val="single" w:sz="4" w:space="0" w:color="auto"/>
              <w:right w:val="single" w:sz="4" w:space="0" w:color="auto"/>
            </w:tcBorders>
            <w:shd w:val="clear" w:color="auto" w:fill="C4BC96" w:themeFill="background2" w:themeFillShade="BF"/>
            <w:vAlign w:val="center"/>
          </w:tcPr>
          <w:p w14:paraId="6562C562" w14:textId="77777777" w:rsidR="00A7485D" w:rsidRPr="00995AAE" w:rsidRDefault="00A7485D" w:rsidP="00AE2839">
            <w:pPr>
              <w:jc w:val="center"/>
              <w:rPr>
                <w:rFonts w:ascii="Calibri" w:eastAsia="Times New Roman" w:hAnsi="Calibri" w:cs="Calibri"/>
                <w:b/>
                <w:bCs/>
                <w:color w:val="000000"/>
                <w:sz w:val="20"/>
                <w:szCs w:val="20"/>
                <w:lang w:eastAsia="en-AU"/>
              </w:rPr>
            </w:pPr>
          </w:p>
        </w:tc>
        <w:tc>
          <w:tcPr>
            <w:tcW w:w="1311" w:type="dxa"/>
            <w:tcBorders>
              <w:top w:val="single" w:sz="4" w:space="0" w:color="auto"/>
              <w:bottom w:val="single" w:sz="4" w:space="0" w:color="auto"/>
              <w:right w:val="single" w:sz="4" w:space="0" w:color="auto"/>
            </w:tcBorders>
            <w:shd w:val="clear" w:color="auto" w:fill="C4BC96" w:themeFill="background2" w:themeFillShade="BF"/>
            <w:vAlign w:val="bottom"/>
          </w:tcPr>
          <w:p w14:paraId="193B3E1C" w14:textId="77777777" w:rsidR="00A7485D" w:rsidRPr="00995AAE" w:rsidRDefault="00A7485D" w:rsidP="00A7485D">
            <w:pPr>
              <w:jc w:val="center"/>
              <w:rPr>
                <w:rFonts w:ascii="Calibri" w:eastAsia="Times New Roman" w:hAnsi="Calibri" w:cs="Calibri"/>
                <w:b/>
                <w:bCs/>
                <w:color w:val="000000"/>
                <w:sz w:val="20"/>
                <w:szCs w:val="20"/>
                <w:lang w:eastAsia="en-AU"/>
              </w:rPr>
            </w:pPr>
          </w:p>
        </w:tc>
      </w:tr>
      <w:tr w:rsidR="00A72857" w:rsidRPr="00995AAE" w14:paraId="0B97BF13" w14:textId="77777777" w:rsidTr="00A72857">
        <w:trPr>
          <w:trHeight w:val="402"/>
          <w:jc w:val="center"/>
        </w:trPr>
        <w:tc>
          <w:tcPr>
            <w:tcW w:w="3559" w:type="dxa"/>
            <w:tcBorders>
              <w:top w:val="single" w:sz="4" w:space="0" w:color="auto"/>
              <w:left w:val="single" w:sz="4" w:space="0" w:color="auto"/>
              <w:bottom w:val="single" w:sz="4" w:space="0" w:color="auto"/>
              <w:right w:val="nil"/>
            </w:tcBorders>
            <w:shd w:val="clear" w:color="000000" w:fill="EEECE1"/>
            <w:vAlign w:val="center"/>
            <w:hideMark/>
          </w:tcPr>
          <w:p w14:paraId="41FDA08D" w14:textId="77777777" w:rsidR="00A7485D" w:rsidRPr="00995AAE" w:rsidRDefault="00A7485D" w:rsidP="00AE2839">
            <w:pPr>
              <w:rPr>
                <w:rFonts w:ascii="Arial Narrow" w:eastAsia="Times New Roman" w:hAnsi="Arial Narrow" w:cs="Calibri"/>
                <w:b/>
                <w:bCs/>
                <w:color w:val="000000"/>
                <w:sz w:val="20"/>
                <w:szCs w:val="20"/>
                <w:lang w:eastAsia="en-AU"/>
              </w:rPr>
            </w:pPr>
            <w:r w:rsidRPr="00995AAE">
              <w:rPr>
                <w:rFonts w:ascii="Arial Narrow" w:eastAsia="Times New Roman" w:hAnsi="Arial Narrow" w:cs="Calibri"/>
                <w:b/>
                <w:bCs/>
                <w:color w:val="000000"/>
                <w:sz w:val="20"/>
                <w:szCs w:val="20"/>
                <w:lang w:eastAsia="en-AU"/>
              </w:rPr>
              <w:t>1. Student Participation and Attainment</w:t>
            </w:r>
          </w:p>
        </w:tc>
        <w:tc>
          <w:tcPr>
            <w:tcW w:w="1458" w:type="dxa"/>
            <w:tcBorders>
              <w:top w:val="single" w:sz="4" w:space="0" w:color="auto"/>
              <w:left w:val="nil"/>
              <w:bottom w:val="single" w:sz="4" w:space="0" w:color="auto"/>
              <w:right w:val="nil"/>
            </w:tcBorders>
            <w:shd w:val="clear" w:color="000000" w:fill="EEECE1"/>
            <w:noWrap/>
            <w:vAlign w:val="bottom"/>
            <w:hideMark/>
          </w:tcPr>
          <w:p w14:paraId="3A052853" w14:textId="77777777" w:rsidR="00A7485D" w:rsidRPr="00995AAE" w:rsidRDefault="00A7485D" w:rsidP="00AE2839">
            <w:pPr>
              <w:rPr>
                <w:rFonts w:ascii="Calibri" w:eastAsia="Times New Roman" w:hAnsi="Calibri" w:cs="Calibri"/>
                <w:color w:val="000000"/>
                <w:sz w:val="20"/>
                <w:szCs w:val="20"/>
                <w:lang w:eastAsia="en-AU"/>
              </w:rPr>
            </w:pPr>
            <w:r w:rsidRPr="00995AAE">
              <w:rPr>
                <w:rFonts w:ascii="Calibri" w:eastAsia="Times New Roman" w:hAnsi="Calibri" w:cs="Calibri"/>
                <w:color w:val="000000"/>
                <w:sz w:val="20"/>
                <w:szCs w:val="20"/>
                <w:lang w:eastAsia="en-AU"/>
              </w:rPr>
              <w:t> </w:t>
            </w:r>
          </w:p>
        </w:tc>
        <w:tc>
          <w:tcPr>
            <w:tcW w:w="1152" w:type="dxa"/>
            <w:tcBorders>
              <w:top w:val="single" w:sz="4" w:space="0" w:color="auto"/>
              <w:left w:val="nil"/>
              <w:bottom w:val="single" w:sz="4" w:space="0" w:color="auto"/>
              <w:right w:val="single" w:sz="4" w:space="0" w:color="auto"/>
            </w:tcBorders>
            <w:shd w:val="clear" w:color="000000" w:fill="EEECE1"/>
            <w:noWrap/>
            <w:vAlign w:val="bottom"/>
          </w:tcPr>
          <w:p w14:paraId="72E8CF97" w14:textId="77777777" w:rsidR="00A7485D" w:rsidRPr="00995AAE" w:rsidRDefault="00A7485D" w:rsidP="00AE2839">
            <w:pPr>
              <w:rPr>
                <w:rFonts w:ascii="Calibri" w:eastAsia="Times New Roman" w:hAnsi="Calibri" w:cs="Calibri"/>
                <w:color w:val="000000"/>
                <w:sz w:val="20"/>
                <w:szCs w:val="20"/>
                <w:lang w:eastAsia="en-AU"/>
              </w:rPr>
            </w:pPr>
          </w:p>
        </w:tc>
        <w:tc>
          <w:tcPr>
            <w:tcW w:w="2551" w:type="dxa"/>
            <w:tcBorders>
              <w:top w:val="single" w:sz="4" w:space="0" w:color="auto"/>
              <w:left w:val="nil"/>
              <w:bottom w:val="single" w:sz="4" w:space="0" w:color="auto"/>
              <w:right w:val="single" w:sz="4" w:space="0" w:color="auto"/>
            </w:tcBorders>
            <w:shd w:val="clear" w:color="000000" w:fill="EEECE1"/>
            <w:vAlign w:val="bottom"/>
          </w:tcPr>
          <w:p w14:paraId="6870D315" w14:textId="77777777" w:rsidR="00A7485D" w:rsidRPr="00995AAE" w:rsidRDefault="00A7485D" w:rsidP="00AE2839">
            <w:pPr>
              <w:rPr>
                <w:rFonts w:ascii="Calibri" w:eastAsia="Times New Roman" w:hAnsi="Calibri" w:cs="Calibri"/>
                <w:color w:val="000000"/>
                <w:sz w:val="20"/>
                <w:szCs w:val="20"/>
                <w:lang w:eastAsia="en-AU"/>
              </w:rPr>
            </w:pPr>
            <w:r w:rsidRPr="00995AAE">
              <w:rPr>
                <w:rFonts w:ascii="Calibri" w:eastAsia="Times New Roman" w:hAnsi="Calibri" w:cs="Calibri"/>
                <w:color w:val="000000"/>
                <w:sz w:val="20"/>
                <w:szCs w:val="20"/>
                <w:lang w:eastAsia="en-AU"/>
              </w:rPr>
              <w:t> </w:t>
            </w:r>
          </w:p>
        </w:tc>
        <w:tc>
          <w:tcPr>
            <w:tcW w:w="1311" w:type="dxa"/>
            <w:tcBorders>
              <w:top w:val="single" w:sz="4" w:space="0" w:color="auto"/>
              <w:left w:val="nil"/>
              <w:bottom w:val="single" w:sz="4" w:space="0" w:color="auto"/>
              <w:right w:val="single" w:sz="4" w:space="0" w:color="auto"/>
            </w:tcBorders>
            <w:shd w:val="clear" w:color="000000" w:fill="EEECE1"/>
            <w:vAlign w:val="bottom"/>
          </w:tcPr>
          <w:p w14:paraId="4B5EB6CD" w14:textId="77777777" w:rsidR="00A7485D" w:rsidRPr="00995AAE" w:rsidRDefault="00A7485D" w:rsidP="00A7485D">
            <w:pPr>
              <w:jc w:val="center"/>
              <w:rPr>
                <w:rFonts w:ascii="Calibri" w:eastAsia="Times New Roman" w:hAnsi="Calibri" w:cs="Calibri"/>
                <w:color w:val="000000"/>
                <w:sz w:val="20"/>
                <w:szCs w:val="20"/>
                <w:lang w:eastAsia="en-AU"/>
              </w:rPr>
            </w:pPr>
          </w:p>
        </w:tc>
      </w:tr>
      <w:tr w:rsidR="00A72857" w:rsidRPr="00995AAE" w14:paraId="1D6C1E90"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578A0542" w14:textId="77777777" w:rsidR="006B45FE" w:rsidRPr="00995AAE" w:rsidRDefault="006B45FE"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1.1 Admission </w:t>
            </w:r>
          </w:p>
        </w:tc>
        <w:tc>
          <w:tcPr>
            <w:tcW w:w="1458" w:type="dxa"/>
            <w:tcBorders>
              <w:top w:val="nil"/>
              <w:left w:val="nil"/>
              <w:bottom w:val="single" w:sz="4" w:space="0" w:color="auto"/>
              <w:right w:val="single" w:sz="4" w:space="0" w:color="auto"/>
            </w:tcBorders>
            <w:shd w:val="clear" w:color="auto" w:fill="auto"/>
            <w:noWrap/>
            <w:vAlign w:val="center"/>
            <w:hideMark/>
          </w:tcPr>
          <w:p w14:paraId="64F88825" w14:textId="77777777" w:rsidR="006B45FE" w:rsidRPr="00995AAE" w:rsidRDefault="006B45FE" w:rsidP="00A72857">
            <w:pPr>
              <w:jc w:val="center"/>
              <w:rPr>
                <w:rFonts w:ascii="Calibri" w:eastAsia="Times New Roman" w:hAnsi="Calibri"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2D8BE51C" w14:textId="77777777" w:rsidR="006B45FE" w:rsidRPr="00995AAE" w:rsidRDefault="006B45FE"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6AE12BB3" w14:textId="77777777" w:rsidR="006B45FE" w:rsidRPr="00995AAE" w:rsidRDefault="006B45FE"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311" w:type="dxa"/>
            <w:tcBorders>
              <w:top w:val="nil"/>
              <w:left w:val="nil"/>
              <w:bottom w:val="single" w:sz="4" w:space="0" w:color="auto"/>
              <w:right w:val="single" w:sz="4" w:space="0" w:color="auto"/>
            </w:tcBorders>
            <w:vAlign w:val="center"/>
          </w:tcPr>
          <w:p w14:paraId="5B566BA2" w14:textId="77777777" w:rsidR="006B45FE" w:rsidRPr="00995AAE" w:rsidRDefault="006B45FE" w:rsidP="00DA48EA">
            <w:pPr>
              <w:jc w:val="center"/>
              <w:rPr>
                <w:rFonts w:ascii="Wingdings" w:eastAsia="Times New Roman" w:hAnsi="Wingdings" w:cs="Calibri"/>
                <w:color w:val="000000"/>
                <w:sz w:val="20"/>
                <w:szCs w:val="20"/>
                <w:lang w:eastAsia="en-AU"/>
              </w:rPr>
            </w:pPr>
          </w:p>
        </w:tc>
      </w:tr>
      <w:tr w:rsidR="00A72857" w:rsidRPr="00995AAE" w14:paraId="4379102B"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57DD45B0" w14:textId="77777777" w:rsidR="006B45FE" w:rsidRPr="00995AAE" w:rsidRDefault="006B45FE"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1.2 Credit and Recognition of Prior Learning </w:t>
            </w:r>
          </w:p>
        </w:tc>
        <w:tc>
          <w:tcPr>
            <w:tcW w:w="1458" w:type="dxa"/>
            <w:tcBorders>
              <w:top w:val="nil"/>
              <w:left w:val="nil"/>
              <w:bottom w:val="single" w:sz="4" w:space="0" w:color="auto"/>
              <w:right w:val="single" w:sz="4" w:space="0" w:color="auto"/>
            </w:tcBorders>
            <w:shd w:val="clear" w:color="auto" w:fill="auto"/>
            <w:noWrap/>
            <w:vAlign w:val="center"/>
            <w:hideMark/>
          </w:tcPr>
          <w:p w14:paraId="5EC766CC" w14:textId="77777777" w:rsidR="006B45FE" w:rsidRPr="00995AAE" w:rsidRDefault="006B45FE" w:rsidP="00A72857">
            <w:pPr>
              <w:jc w:val="center"/>
              <w:rPr>
                <w:rFonts w:ascii="Calibri" w:eastAsia="Times New Roman" w:hAnsi="Calibri"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22BF9599" w14:textId="77777777" w:rsidR="006B45FE" w:rsidRPr="00995AAE" w:rsidRDefault="006B45FE"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2ADAE13B" w14:textId="77777777" w:rsidR="006B45FE" w:rsidRPr="00995AAE" w:rsidRDefault="006B45FE"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311" w:type="dxa"/>
            <w:tcBorders>
              <w:top w:val="nil"/>
              <w:left w:val="nil"/>
              <w:bottom w:val="single" w:sz="4" w:space="0" w:color="auto"/>
              <w:right w:val="single" w:sz="4" w:space="0" w:color="auto"/>
            </w:tcBorders>
            <w:vAlign w:val="center"/>
          </w:tcPr>
          <w:p w14:paraId="29FF5553" w14:textId="77777777" w:rsidR="006B45FE" w:rsidRPr="00995AAE" w:rsidRDefault="006B45FE" w:rsidP="00DA48EA">
            <w:pPr>
              <w:jc w:val="center"/>
              <w:rPr>
                <w:rFonts w:ascii="Wingdings" w:eastAsia="Times New Roman" w:hAnsi="Wingdings" w:cs="Calibri"/>
                <w:color w:val="000000"/>
                <w:sz w:val="20"/>
                <w:szCs w:val="20"/>
                <w:lang w:eastAsia="en-AU"/>
              </w:rPr>
            </w:pPr>
          </w:p>
        </w:tc>
      </w:tr>
      <w:tr w:rsidR="00A72857" w:rsidRPr="00995AAE" w14:paraId="5487E3C1"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166E123F" w14:textId="77777777" w:rsidR="006B45FE" w:rsidRPr="00995AAE" w:rsidRDefault="006B45FE"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1.3 Orientation and Progression </w:t>
            </w:r>
          </w:p>
        </w:tc>
        <w:tc>
          <w:tcPr>
            <w:tcW w:w="1458" w:type="dxa"/>
            <w:tcBorders>
              <w:top w:val="nil"/>
              <w:left w:val="nil"/>
              <w:bottom w:val="single" w:sz="4" w:space="0" w:color="auto"/>
              <w:right w:val="single" w:sz="4" w:space="0" w:color="auto"/>
            </w:tcBorders>
            <w:shd w:val="clear" w:color="auto" w:fill="auto"/>
            <w:noWrap/>
            <w:vAlign w:val="center"/>
            <w:hideMark/>
          </w:tcPr>
          <w:p w14:paraId="17BEBF73" w14:textId="77777777" w:rsidR="006B45FE" w:rsidRPr="00995AAE" w:rsidRDefault="006B45FE" w:rsidP="00A72857">
            <w:pPr>
              <w:jc w:val="center"/>
              <w:rPr>
                <w:rFonts w:ascii="Calibri" w:eastAsia="Times New Roman" w:hAnsi="Calibri"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0BC359F9" w14:textId="77777777" w:rsidR="006B45FE" w:rsidRPr="00995AAE" w:rsidRDefault="006B45FE"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605F6BF7" w14:textId="77777777" w:rsidR="006B45FE" w:rsidRPr="00995AAE" w:rsidRDefault="006B45FE"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311" w:type="dxa"/>
            <w:tcBorders>
              <w:top w:val="nil"/>
              <w:left w:val="nil"/>
              <w:bottom w:val="single" w:sz="4" w:space="0" w:color="auto"/>
              <w:right w:val="single" w:sz="4" w:space="0" w:color="auto"/>
            </w:tcBorders>
            <w:vAlign w:val="center"/>
          </w:tcPr>
          <w:p w14:paraId="47BDB9A6" w14:textId="77777777" w:rsidR="006B45FE" w:rsidRPr="00995AAE" w:rsidRDefault="006B45FE" w:rsidP="00DA48EA">
            <w:pPr>
              <w:jc w:val="center"/>
              <w:rPr>
                <w:rFonts w:ascii="Wingdings" w:eastAsia="Times New Roman" w:hAnsi="Wingdings" w:cs="Calibri"/>
                <w:color w:val="000000"/>
                <w:sz w:val="20"/>
                <w:szCs w:val="20"/>
                <w:lang w:eastAsia="en-AU"/>
              </w:rPr>
            </w:pPr>
          </w:p>
        </w:tc>
      </w:tr>
      <w:tr w:rsidR="00A72857" w:rsidRPr="00995AAE" w14:paraId="089AAB96"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7C3943C4" w14:textId="77777777" w:rsidR="006B45FE" w:rsidRPr="00995AAE" w:rsidRDefault="006B45FE"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1.4 Learning Outcomes and Assessment </w:t>
            </w:r>
          </w:p>
        </w:tc>
        <w:tc>
          <w:tcPr>
            <w:tcW w:w="1458" w:type="dxa"/>
            <w:tcBorders>
              <w:top w:val="nil"/>
              <w:left w:val="nil"/>
              <w:bottom w:val="single" w:sz="4" w:space="0" w:color="auto"/>
              <w:right w:val="single" w:sz="4" w:space="0" w:color="auto"/>
            </w:tcBorders>
            <w:shd w:val="clear" w:color="auto" w:fill="auto"/>
            <w:noWrap/>
            <w:vAlign w:val="center"/>
          </w:tcPr>
          <w:p w14:paraId="3BE9C28B" w14:textId="77777777" w:rsidR="006B45FE" w:rsidRPr="00995AAE" w:rsidRDefault="006B45FE" w:rsidP="00A72857">
            <w:pPr>
              <w:jc w:val="center"/>
              <w:rPr>
                <w:rFonts w:ascii="Calibri" w:eastAsia="Times New Roman" w:hAnsi="Calibri" w:cs="Calibri"/>
                <w:color w:val="000000"/>
                <w:sz w:val="20"/>
                <w:szCs w:val="20"/>
                <w:lang w:eastAsia="en-AU"/>
              </w:rPr>
            </w:pPr>
          </w:p>
        </w:tc>
        <w:tc>
          <w:tcPr>
            <w:tcW w:w="1152" w:type="dxa"/>
            <w:tcBorders>
              <w:top w:val="nil"/>
              <w:left w:val="nil"/>
              <w:bottom w:val="single" w:sz="4" w:space="0" w:color="auto"/>
              <w:right w:val="single" w:sz="4" w:space="0" w:color="auto"/>
            </w:tcBorders>
            <w:shd w:val="clear" w:color="auto" w:fill="auto"/>
            <w:noWrap/>
            <w:vAlign w:val="center"/>
          </w:tcPr>
          <w:p w14:paraId="11D93095" w14:textId="77777777" w:rsidR="006B45FE" w:rsidRPr="00995AAE" w:rsidRDefault="006B45FE"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54296EB0" w14:textId="77777777" w:rsidR="006B45FE" w:rsidRPr="00995AAE" w:rsidRDefault="006B45FE"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311" w:type="dxa"/>
            <w:tcBorders>
              <w:top w:val="nil"/>
              <w:left w:val="nil"/>
              <w:bottom w:val="single" w:sz="4" w:space="0" w:color="auto"/>
              <w:right w:val="single" w:sz="4" w:space="0" w:color="auto"/>
            </w:tcBorders>
            <w:vAlign w:val="center"/>
          </w:tcPr>
          <w:p w14:paraId="5488365F" w14:textId="77777777" w:rsidR="006B45FE" w:rsidRPr="00995AAE" w:rsidRDefault="006B45FE" w:rsidP="00DA48EA">
            <w:pPr>
              <w:jc w:val="center"/>
              <w:rPr>
                <w:rFonts w:ascii="Wingdings" w:eastAsia="Times New Roman" w:hAnsi="Wingdings" w:cs="Calibri"/>
                <w:color w:val="000000"/>
                <w:sz w:val="20"/>
                <w:szCs w:val="20"/>
                <w:lang w:eastAsia="en-AU"/>
              </w:rPr>
            </w:pPr>
          </w:p>
        </w:tc>
      </w:tr>
      <w:tr w:rsidR="00A72857" w:rsidRPr="00995AAE" w14:paraId="5FBDF2F6"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30B56180" w14:textId="77777777" w:rsidR="006B45FE" w:rsidRPr="00995AAE" w:rsidRDefault="006B45FE"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1.5 Qualifications and Certification </w:t>
            </w:r>
          </w:p>
        </w:tc>
        <w:tc>
          <w:tcPr>
            <w:tcW w:w="1458" w:type="dxa"/>
            <w:tcBorders>
              <w:top w:val="nil"/>
              <w:left w:val="nil"/>
              <w:bottom w:val="single" w:sz="4" w:space="0" w:color="auto"/>
              <w:right w:val="single" w:sz="4" w:space="0" w:color="auto"/>
            </w:tcBorders>
            <w:shd w:val="clear" w:color="auto" w:fill="auto"/>
            <w:noWrap/>
            <w:vAlign w:val="center"/>
          </w:tcPr>
          <w:p w14:paraId="396A3455" w14:textId="77777777" w:rsidR="006B45FE" w:rsidRPr="00995AAE" w:rsidRDefault="006B45FE" w:rsidP="00A72857">
            <w:pPr>
              <w:jc w:val="center"/>
              <w:rPr>
                <w:rFonts w:ascii="Calibri" w:eastAsia="Times New Roman" w:hAnsi="Calibri" w:cs="Calibri"/>
                <w:color w:val="000000"/>
                <w:sz w:val="20"/>
                <w:szCs w:val="20"/>
                <w:lang w:eastAsia="en-AU"/>
              </w:rPr>
            </w:pPr>
          </w:p>
        </w:tc>
        <w:tc>
          <w:tcPr>
            <w:tcW w:w="1152" w:type="dxa"/>
            <w:tcBorders>
              <w:top w:val="nil"/>
              <w:left w:val="nil"/>
              <w:bottom w:val="single" w:sz="4" w:space="0" w:color="auto"/>
              <w:right w:val="single" w:sz="4" w:space="0" w:color="auto"/>
            </w:tcBorders>
            <w:shd w:val="clear" w:color="auto" w:fill="auto"/>
            <w:noWrap/>
            <w:vAlign w:val="center"/>
          </w:tcPr>
          <w:p w14:paraId="3A6669A3" w14:textId="77777777" w:rsidR="006B45FE" w:rsidRPr="00995AAE" w:rsidRDefault="006B45FE"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05EF5401" w14:textId="77777777" w:rsidR="006B45FE" w:rsidRPr="00995AAE" w:rsidRDefault="006B45FE"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311" w:type="dxa"/>
            <w:tcBorders>
              <w:top w:val="nil"/>
              <w:left w:val="nil"/>
              <w:bottom w:val="single" w:sz="4" w:space="0" w:color="auto"/>
              <w:right w:val="single" w:sz="4" w:space="0" w:color="auto"/>
            </w:tcBorders>
            <w:vAlign w:val="center"/>
          </w:tcPr>
          <w:p w14:paraId="49767045" w14:textId="77777777" w:rsidR="006B45FE" w:rsidRPr="00995AAE" w:rsidRDefault="006B45FE" w:rsidP="00DA48EA">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r>
      <w:tr w:rsidR="00A72857" w:rsidRPr="00995AAE" w14:paraId="632B6420" w14:textId="77777777" w:rsidTr="00A72857">
        <w:trPr>
          <w:trHeight w:val="402"/>
          <w:jc w:val="center"/>
        </w:trPr>
        <w:tc>
          <w:tcPr>
            <w:tcW w:w="3559" w:type="dxa"/>
            <w:tcBorders>
              <w:top w:val="nil"/>
              <w:left w:val="single" w:sz="4" w:space="0" w:color="auto"/>
              <w:bottom w:val="single" w:sz="4" w:space="0" w:color="auto"/>
              <w:right w:val="nil"/>
            </w:tcBorders>
            <w:shd w:val="clear" w:color="000000" w:fill="EEECE1"/>
            <w:vAlign w:val="center"/>
            <w:hideMark/>
          </w:tcPr>
          <w:p w14:paraId="151EB6CA" w14:textId="77777777" w:rsidR="00A7485D" w:rsidRPr="00995AAE" w:rsidRDefault="00A7485D" w:rsidP="00AE2839">
            <w:pPr>
              <w:rPr>
                <w:rFonts w:ascii="Arial Narrow" w:eastAsia="Times New Roman" w:hAnsi="Arial Narrow" w:cs="Calibri"/>
                <w:b/>
                <w:bCs/>
                <w:color w:val="000000"/>
                <w:sz w:val="20"/>
                <w:szCs w:val="20"/>
                <w:lang w:eastAsia="en-AU"/>
              </w:rPr>
            </w:pPr>
            <w:r w:rsidRPr="00995AAE">
              <w:rPr>
                <w:rFonts w:ascii="Arial Narrow" w:eastAsia="Times New Roman" w:hAnsi="Arial Narrow" w:cs="Calibri"/>
                <w:b/>
                <w:bCs/>
                <w:color w:val="000000"/>
                <w:sz w:val="20"/>
                <w:szCs w:val="20"/>
                <w:lang w:eastAsia="en-AU"/>
              </w:rPr>
              <w:t>2. Learning Environment</w:t>
            </w:r>
          </w:p>
        </w:tc>
        <w:tc>
          <w:tcPr>
            <w:tcW w:w="1458" w:type="dxa"/>
            <w:tcBorders>
              <w:top w:val="nil"/>
              <w:left w:val="nil"/>
              <w:bottom w:val="single" w:sz="4" w:space="0" w:color="auto"/>
              <w:right w:val="nil"/>
            </w:tcBorders>
            <w:shd w:val="clear" w:color="000000" w:fill="EEECE1"/>
            <w:noWrap/>
            <w:vAlign w:val="center"/>
            <w:hideMark/>
          </w:tcPr>
          <w:p w14:paraId="56571AAE"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1152" w:type="dxa"/>
            <w:tcBorders>
              <w:top w:val="nil"/>
              <w:left w:val="nil"/>
              <w:bottom w:val="single" w:sz="4" w:space="0" w:color="auto"/>
              <w:right w:val="single" w:sz="4" w:space="0" w:color="auto"/>
            </w:tcBorders>
            <w:shd w:val="clear" w:color="000000" w:fill="EEECE1"/>
            <w:noWrap/>
            <w:vAlign w:val="center"/>
          </w:tcPr>
          <w:p w14:paraId="66A760FF"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2551" w:type="dxa"/>
            <w:tcBorders>
              <w:top w:val="nil"/>
              <w:left w:val="nil"/>
              <w:bottom w:val="single" w:sz="4" w:space="0" w:color="auto"/>
              <w:right w:val="single" w:sz="4" w:space="0" w:color="auto"/>
            </w:tcBorders>
            <w:shd w:val="clear" w:color="000000" w:fill="EEECE1"/>
            <w:vAlign w:val="center"/>
          </w:tcPr>
          <w:p w14:paraId="3E410408"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1311" w:type="dxa"/>
            <w:tcBorders>
              <w:top w:val="nil"/>
              <w:left w:val="nil"/>
              <w:bottom w:val="single" w:sz="4" w:space="0" w:color="auto"/>
              <w:right w:val="single" w:sz="4" w:space="0" w:color="auto"/>
            </w:tcBorders>
            <w:shd w:val="clear" w:color="000000" w:fill="EEECE1"/>
            <w:vAlign w:val="center"/>
          </w:tcPr>
          <w:p w14:paraId="5F44883D" w14:textId="77777777" w:rsidR="00A7485D" w:rsidRPr="00995AAE" w:rsidRDefault="00A7485D" w:rsidP="00A72857">
            <w:pPr>
              <w:jc w:val="center"/>
              <w:rPr>
                <w:rFonts w:ascii="Calibri" w:eastAsia="Times New Roman" w:hAnsi="Calibri" w:cs="Calibri"/>
                <w:color w:val="000000"/>
                <w:sz w:val="20"/>
                <w:szCs w:val="20"/>
                <w:lang w:eastAsia="en-AU"/>
              </w:rPr>
            </w:pPr>
          </w:p>
        </w:tc>
      </w:tr>
      <w:tr w:rsidR="00A72857" w:rsidRPr="00995AAE" w14:paraId="16E93A63"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12AD02E8"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2.1 Facilities and Infrastructure  </w:t>
            </w:r>
          </w:p>
        </w:tc>
        <w:tc>
          <w:tcPr>
            <w:tcW w:w="1458" w:type="dxa"/>
            <w:tcBorders>
              <w:top w:val="nil"/>
              <w:left w:val="nil"/>
              <w:bottom w:val="single" w:sz="4" w:space="0" w:color="auto"/>
              <w:right w:val="single" w:sz="4" w:space="0" w:color="auto"/>
            </w:tcBorders>
            <w:shd w:val="clear" w:color="auto" w:fill="auto"/>
            <w:noWrap/>
            <w:vAlign w:val="center"/>
            <w:hideMark/>
          </w:tcPr>
          <w:p w14:paraId="12554B9C"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6D426487" w14:textId="77777777" w:rsidR="00A7485D" w:rsidRPr="00995AAE" w:rsidRDefault="00A7485D"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27178C7A"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311" w:type="dxa"/>
            <w:tcBorders>
              <w:top w:val="nil"/>
              <w:left w:val="nil"/>
              <w:bottom w:val="single" w:sz="4" w:space="0" w:color="auto"/>
              <w:right w:val="single" w:sz="4" w:space="0" w:color="auto"/>
            </w:tcBorders>
            <w:vAlign w:val="center"/>
          </w:tcPr>
          <w:p w14:paraId="4D74DA58" w14:textId="77777777" w:rsidR="00A7485D" w:rsidRPr="00995AAE" w:rsidRDefault="00A7485D" w:rsidP="00DA48EA">
            <w:pPr>
              <w:jc w:val="center"/>
              <w:rPr>
                <w:rFonts w:ascii="Wingdings" w:eastAsia="Times New Roman" w:hAnsi="Wingdings" w:cs="Calibri"/>
                <w:color w:val="000000"/>
                <w:sz w:val="20"/>
                <w:szCs w:val="20"/>
                <w:lang w:eastAsia="en-AU"/>
              </w:rPr>
            </w:pPr>
          </w:p>
        </w:tc>
      </w:tr>
      <w:tr w:rsidR="00A72857" w:rsidRPr="00995AAE" w14:paraId="3B79366B"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0C71A855"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2.2 Diversity and Equity  </w:t>
            </w:r>
          </w:p>
        </w:tc>
        <w:tc>
          <w:tcPr>
            <w:tcW w:w="1458" w:type="dxa"/>
            <w:tcBorders>
              <w:top w:val="nil"/>
              <w:left w:val="nil"/>
              <w:bottom w:val="single" w:sz="4" w:space="0" w:color="auto"/>
              <w:right w:val="single" w:sz="4" w:space="0" w:color="auto"/>
            </w:tcBorders>
            <w:shd w:val="clear" w:color="auto" w:fill="auto"/>
            <w:noWrap/>
            <w:vAlign w:val="center"/>
            <w:hideMark/>
          </w:tcPr>
          <w:p w14:paraId="7F53797A"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40682ACA" w14:textId="77777777" w:rsidR="00A7485D" w:rsidRPr="00995AAE" w:rsidRDefault="00A7485D"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773E6FC1"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311" w:type="dxa"/>
            <w:tcBorders>
              <w:top w:val="nil"/>
              <w:left w:val="nil"/>
              <w:bottom w:val="single" w:sz="4" w:space="0" w:color="auto"/>
              <w:right w:val="single" w:sz="4" w:space="0" w:color="auto"/>
            </w:tcBorders>
            <w:vAlign w:val="center"/>
          </w:tcPr>
          <w:p w14:paraId="3152404A" w14:textId="77777777" w:rsidR="00A7485D" w:rsidRPr="00995AAE" w:rsidRDefault="00A7485D" w:rsidP="00DA48EA">
            <w:pPr>
              <w:jc w:val="center"/>
              <w:rPr>
                <w:rFonts w:ascii="Wingdings" w:eastAsia="Times New Roman" w:hAnsi="Wingdings" w:cs="Calibri"/>
                <w:color w:val="000000"/>
                <w:sz w:val="20"/>
                <w:szCs w:val="20"/>
                <w:lang w:eastAsia="en-AU"/>
              </w:rPr>
            </w:pPr>
          </w:p>
        </w:tc>
      </w:tr>
      <w:tr w:rsidR="00A72857" w:rsidRPr="00995AAE" w14:paraId="388805EC"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3429710D"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2.3 Wellbeing and Safety  </w:t>
            </w:r>
          </w:p>
        </w:tc>
        <w:tc>
          <w:tcPr>
            <w:tcW w:w="1458" w:type="dxa"/>
            <w:tcBorders>
              <w:top w:val="nil"/>
              <w:left w:val="nil"/>
              <w:bottom w:val="single" w:sz="4" w:space="0" w:color="auto"/>
              <w:right w:val="single" w:sz="4" w:space="0" w:color="auto"/>
            </w:tcBorders>
            <w:shd w:val="clear" w:color="auto" w:fill="auto"/>
            <w:noWrap/>
            <w:vAlign w:val="center"/>
            <w:hideMark/>
          </w:tcPr>
          <w:p w14:paraId="34E2D2D2"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vAlign w:val="center"/>
          </w:tcPr>
          <w:p w14:paraId="7CBE869F"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343F74C7"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r w:rsidRPr="00995AAE">
              <w:rPr>
                <w:rFonts w:ascii="Wingdings" w:eastAsia="Times New Roman" w:hAnsi="Wingdings" w:cs="Calibri"/>
                <w:color w:val="000000"/>
                <w:sz w:val="20"/>
                <w:szCs w:val="20"/>
                <w:lang w:eastAsia="en-AU"/>
              </w:rPr>
              <w:t></w:t>
            </w:r>
            <w:r w:rsidRPr="00995AAE">
              <w:rPr>
                <w:rFonts w:ascii="Calibri" w:eastAsia="Times New Roman" w:hAnsi="Calibri" w:cs="Calibri"/>
                <w:color w:val="000000"/>
                <w:sz w:val="20"/>
                <w:szCs w:val="20"/>
                <w:lang w:eastAsia="en-AU"/>
              </w:rPr>
              <w:t xml:space="preserve">(only if </w:t>
            </w:r>
            <w:r w:rsidR="00A72857" w:rsidRPr="00995AAE">
              <w:rPr>
                <w:rFonts w:ascii="Calibri" w:eastAsia="Times New Roman" w:hAnsi="Calibri" w:cs="Calibri"/>
                <w:color w:val="000000"/>
                <w:sz w:val="20"/>
                <w:szCs w:val="20"/>
                <w:lang w:eastAsia="en-AU"/>
              </w:rPr>
              <w:t xml:space="preserve">regulation under the </w:t>
            </w:r>
            <w:r w:rsidR="00A72857" w:rsidRPr="00995AAE">
              <w:rPr>
                <w:rFonts w:ascii="Calibri" w:eastAsia="Times New Roman" w:hAnsi="Calibri" w:cs="Calibri"/>
                <w:i/>
                <w:color w:val="000000"/>
                <w:sz w:val="20"/>
                <w:szCs w:val="20"/>
                <w:lang w:eastAsia="en-AU"/>
              </w:rPr>
              <w:t>Education Services for Overseas Students (</w:t>
            </w:r>
            <w:proofErr w:type="spellStart"/>
            <w:r w:rsidRPr="00995AAE">
              <w:rPr>
                <w:rFonts w:ascii="Calibri" w:eastAsia="Times New Roman" w:hAnsi="Calibri" w:cs="Calibri"/>
                <w:i/>
                <w:color w:val="000000"/>
                <w:sz w:val="20"/>
                <w:szCs w:val="20"/>
                <w:lang w:eastAsia="en-AU"/>
              </w:rPr>
              <w:t>ESOS</w:t>
            </w:r>
            <w:proofErr w:type="spellEnd"/>
            <w:r w:rsidR="00A72857" w:rsidRPr="00995AAE">
              <w:rPr>
                <w:rFonts w:ascii="Calibri" w:eastAsia="Times New Roman" w:hAnsi="Calibri" w:cs="Calibri"/>
                <w:i/>
                <w:color w:val="000000"/>
                <w:sz w:val="20"/>
                <w:szCs w:val="20"/>
                <w:lang w:eastAsia="en-AU"/>
              </w:rPr>
              <w:t>) Act 2000</w:t>
            </w:r>
            <w:r w:rsidRPr="00995AAE">
              <w:rPr>
                <w:rFonts w:ascii="Calibri" w:eastAsia="Times New Roman" w:hAnsi="Calibri" w:cs="Calibri"/>
                <w:color w:val="000000"/>
                <w:sz w:val="20"/>
                <w:szCs w:val="20"/>
                <w:lang w:eastAsia="en-AU"/>
              </w:rPr>
              <w:t xml:space="preserve"> is required)</w:t>
            </w:r>
          </w:p>
        </w:tc>
        <w:tc>
          <w:tcPr>
            <w:tcW w:w="1311" w:type="dxa"/>
            <w:tcBorders>
              <w:top w:val="nil"/>
              <w:left w:val="nil"/>
              <w:bottom w:val="single" w:sz="4" w:space="0" w:color="auto"/>
              <w:right w:val="single" w:sz="4" w:space="0" w:color="auto"/>
            </w:tcBorders>
            <w:vAlign w:val="center"/>
          </w:tcPr>
          <w:p w14:paraId="016FC93E" w14:textId="77777777" w:rsidR="00A7485D" w:rsidRPr="00995AAE" w:rsidRDefault="00A7485D" w:rsidP="00A72857">
            <w:pPr>
              <w:jc w:val="center"/>
              <w:rPr>
                <w:rFonts w:ascii="Wingdings" w:eastAsia="Times New Roman" w:hAnsi="Wingdings" w:cs="Calibri"/>
                <w:color w:val="000000"/>
                <w:sz w:val="20"/>
                <w:szCs w:val="20"/>
                <w:lang w:eastAsia="en-AU"/>
              </w:rPr>
            </w:pPr>
          </w:p>
        </w:tc>
      </w:tr>
      <w:tr w:rsidR="00A72857" w:rsidRPr="00995AAE" w14:paraId="78D550B9"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555803A1"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2.4 Student Grievances and Complaints </w:t>
            </w:r>
          </w:p>
        </w:tc>
        <w:tc>
          <w:tcPr>
            <w:tcW w:w="1458" w:type="dxa"/>
            <w:tcBorders>
              <w:top w:val="nil"/>
              <w:left w:val="nil"/>
              <w:bottom w:val="single" w:sz="4" w:space="0" w:color="auto"/>
              <w:right w:val="single" w:sz="4" w:space="0" w:color="auto"/>
            </w:tcBorders>
            <w:shd w:val="clear" w:color="auto" w:fill="auto"/>
            <w:noWrap/>
            <w:vAlign w:val="center"/>
            <w:hideMark/>
          </w:tcPr>
          <w:p w14:paraId="2C901513"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2E854EB9"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4B29DA5C"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1311" w:type="dxa"/>
            <w:tcBorders>
              <w:top w:val="nil"/>
              <w:left w:val="nil"/>
              <w:bottom w:val="single" w:sz="4" w:space="0" w:color="auto"/>
              <w:right w:val="single" w:sz="4" w:space="0" w:color="auto"/>
            </w:tcBorders>
            <w:vAlign w:val="center"/>
          </w:tcPr>
          <w:p w14:paraId="1FAADC62" w14:textId="77777777" w:rsidR="00A7485D" w:rsidRPr="00995AAE" w:rsidRDefault="00A7485D" w:rsidP="00A72857">
            <w:pPr>
              <w:jc w:val="center"/>
              <w:rPr>
                <w:rFonts w:ascii="Calibri" w:eastAsia="Times New Roman" w:hAnsi="Calibri" w:cs="Calibri"/>
                <w:color w:val="000000"/>
                <w:sz w:val="20"/>
                <w:szCs w:val="20"/>
                <w:lang w:eastAsia="en-AU"/>
              </w:rPr>
            </w:pPr>
          </w:p>
        </w:tc>
      </w:tr>
      <w:tr w:rsidR="00A72857" w:rsidRPr="00995AAE" w14:paraId="62148498" w14:textId="77777777" w:rsidTr="00A72857">
        <w:trPr>
          <w:trHeight w:val="402"/>
          <w:jc w:val="center"/>
        </w:trPr>
        <w:tc>
          <w:tcPr>
            <w:tcW w:w="3559" w:type="dxa"/>
            <w:tcBorders>
              <w:top w:val="nil"/>
              <w:left w:val="single" w:sz="4" w:space="0" w:color="auto"/>
              <w:bottom w:val="single" w:sz="4" w:space="0" w:color="auto"/>
              <w:right w:val="nil"/>
            </w:tcBorders>
            <w:shd w:val="clear" w:color="000000" w:fill="EEECE1"/>
            <w:vAlign w:val="center"/>
            <w:hideMark/>
          </w:tcPr>
          <w:p w14:paraId="2A86C118" w14:textId="77777777" w:rsidR="00A7485D" w:rsidRPr="00995AAE" w:rsidRDefault="00A7485D" w:rsidP="00AE2839">
            <w:pPr>
              <w:rPr>
                <w:rFonts w:ascii="Arial Narrow" w:eastAsia="Times New Roman" w:hAnsi="Arial Narrow" w:cs="Calibri"/>
                <w:b/>
                <w:bCs/>
                <w:color w:val="000000"/>
                <w:sz w:val="20"/>
                <w:szCs w:val="20"/>
                <w:lang w:eastAsia="en-AU"/>
              </w:rPr>
            </w:pPr>
            <w:r w:rsidRPr="00995AAE">
              <w:rPr>
                <w:rFonts w:ascii="Arial Narrow" w:eastAsia="Times New Roman" w:hAnsi="Arial Narrow" w:cs="Calibri"/>
                <w:b/>
                <w:bCs/>
                <w:color w:val="000000"/>
                <w:sz w:val="20"/>
                <w:szCs w:val="20"/>
                <w:lang w:eastAsia="en-AU"/>
              </w:rPr>
              <w:lastRenderedPageBreak/>
              <w:t>3. Teaching</w:t>
            </w:r>
          </w:p>
        </w:tc>
        <w:tc>
          <w:tcPr>
            <w:tcW w:w="1458" w:type="dxa"/>
            <w:tcBorders>
              <w:top w:val="nil"/>
              <w:left w:val="nil"/>
              <w:bottom w:val="single" w:sz="4" w:space="0" w:color="auto"/>
              <w:right w:val="nil"/>
            </w:tcBorders>
            <w:shd w:val="clear" w:color="000000" w:fill="EEECE1"/>
            <w:noWrap/>
            <w:vAlign w:val="center"/>
            <w:hideMark/>
          </w:tcPr>
          <w:p w14:paraId="0EAA812D"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1152" w:type="dxa"/>
            <w:tcBorders>
              <w:top w:val="nil"/>
              <w:left w:val="nil"/>
              <w:bottom w:val="single" w:sz="4" w:space="0" w:color="auto"/>
              <w:right w:val="single" w:sz="4" w:space="0" w:color="auto"/>
            </w:tcBorders>
            <w:shd w:val="clear" w:color="000000" w:fill="EEECE1"/>
            <w:noWrap/>
            <w:vAlign w:val="center"/>
          </w:tcPr>
          <w:p w14:paraId="3E2A4B74"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2551" w:type="dxa"/>
            <w:tcBorders>
              <w:top w:val="nil"/>
              <w:left w:val="nil"/>
              <w:bottom w:val="single" w:sz="4" w:space="0" w:color="auto"/>
              <w:right w:val="single" w:sz="4" w:space="0" w:color="auto"/>
            </w:tcBorders>
            <w:shd w:val="clear" w:color="000000" w:fill="EEECE1"/>
            <w:vAlign w:val="center"/>
          </w:tcPr>
          <w:p w14:paraId="779D6C24"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1311" w:type="dxa"/>
            <w:tcBorders>
              <w:top w:val="nil"/>
              <w:left w:val="nil"/>
              <w:bottom w:val="single" w:sz="4" w:space="0" w:color="auto"/>
              <w:right w:val="single" w:sz="4" w:space="0" w:color="auto"/>
            </w:tcBorders>
            <w:shd w:val="clear" w:color="000000" w:fill="EEECE1"/>
            <w:vAlign w:val="center"/>
          </w:tcPr>
          <w:p w14:paraId="6D4A9A76" w14:textId="77777777" w:rsidR="00A7485D" w:rsidRPr="00995AAE" w:rsidRDefault="00A7485D" w:rsidP="00A72857">
            <w:pPr>
              <w:jc w:val="center"/>
              <w:rPr>
                <w:rFonts w:ascii="Calibri" w:eastAsia="Times New Roman" w:hAnsi="Calibri" w:cs="Calibri"/>
                <w:color w:val="000000"/>
                <w:sz w:val="20"/>
                <w:szCs w:val="20"/>
                <w:lang w:eastAsia="en-AU"/>
              </w:rPr>
            </w:pPr>
          </w:p>
        </w:tc>
      </w:tr>
      <w:tr w:rsidR="00A72857" w:rsidRPr="00995AAE" w14:paraId="1EA876B8"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482FB26E"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3.1 Course Design </w:t>
            </w:r>
          </w:p>
        </w:tc>
        <w:tc>
          <w:tcPr>
            <w:tcW w:w="1458" w:type="dxa"/>
            <w:tcBorders>
              <w:top w:val="nil"/>
              <w:left w:val="nil"/>
              <w:bottom w:val="single" w:sz="4" w:space="0" w:color="auto"/>
              <w:right w:val="single" w:sz="4" w:space="0" w:color="auto"/>
            </w:tcBorders>
            <w:shd w:val="clear" w:color="auto" w:fill="auto"/>
            <w:noWrap/>
            <w:vAlign w:val="center"/>
            <w:hideMark/>
          </w:tcPr>
          <w:p w14:paraId="68DCFF6C"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1152" w:type="dxa"/>
            <w:tcBorders>
              <w:top w:val="nil"/>
              <w:left w:val="nil"/>
              <w:bottom w:val="single" w:sz="4" w:space="0" w:color="auto"/>
              <w:right w:val="single" w:sz="4" w:space="0" w:color="auto"/>
            </w:tcBorders>
            <w:shd w:val="clear" w:color="auto" w:fill="auto"/>
            <w:noWrap/>
            <w:vAlign w:val="center"/>
          </w:tcPr>
          <w:p w14:paraId="013FCDCC" w14:textId="77777777" w:rsidR="00A7485D" w:rsidRPr="00995AAE" w:rsidRDefault="00A7485D"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07C6AC62"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311" w:type="dxa"/>
            <w:tcBorders>
              <w:top w:val="nil"/>
              <w:left w:val="nil"/>
              <w:bottom w:val="single" w:sz="4" w:space="0" w:color="auto"/>
              <w:right w:val="single" w:sz="4" w:space="0" w:color="auto"/>
            </w:tcBorders>
            <w:vAlign w:val="center"/>
          </w:tcPr>
          <w:p w14:paraId="6BCFD197" w14:textId="77777777" w:rsidR="00A7485D" w:rsidRPr="00995AAE" w:rsidRDefault="00A7485D" w:rsidP="00A72857">
            <w:pPr>
              <w:jc w:val="center"/>
              <w:rPr>
                <w:rFonts w:ascii="Wingdings" w:eastAsia="Times New Roman" w:hAnsi="Wingdings" w:cs="Calibri"/>
                <w:color w:val="000000"/>
                <w:sz w:val="20"/>
                <w:szCs w:val="20"/>
                <w:lang w:eastAsia="en-AU"/>
              </w:rPr>
            </w:pPr>
          </w:p>
        </w:tc>
      </w:tr>
      <w:tr w:rsidR="00A72857" w:rsidRPr="00995AAE" w14:paraId="2E39D2F1"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3FDF3F72"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3.2 Staffing  </w:t>
            </w:r>
          </w:p>
        </w:tc>
        <w:tc>
          <w:tcPr>
            <w:tcW w:w="1458" w:type="dxa"/>
            <w:tcBorders>
              <w:top w:val="nil"/>
              <w:left w:val="nil"/>
              <w:bottom w:val="single" w:sz="4" w:space="0" w:color="auto"/>
              <w:right w:val="single" w:sz="4" w:space="0" w:color="auto"/>
            </w:tcBorders>
            <w:shd w:val="clear" w:color="auto" w:fill="auto"/>
            <w:noWrap/>
            <w:vAlign w:val="center"/>
            <w:hideMark/>
          </w:tcPr>
          <w:p w14:paraId="7291C0A4" w14:textId="77777777" w:rsidR="00A7485D" w:rsidRPr="00995AAE" w:rsidRDefault="006B45FE" w:rsidP="00A72857">
            <w:pPr>
              <w:jc w:val="center"/>
              <w:rPr>
                <w:rFonts w:ascii="Calibri" w:eastAsia="Times New Roman" w:hAnsi="Calibri"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5C9857AD" w14:textId="77777777" w:rsidR="00A7485D" w:rsidRPr="00995AAE" w:rsidRDefault="00A7485D"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5B686AAD"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311" w:type="dxa"/>
            <w:tcBorders>
              <w:top w:val="nil"/>
              <w:left w:val="nil"/>
              <w:bottom w:val="single" w:sz="4" w:space="0" w:color="auto"/>
              <w:right w:val="single" w:sz="4" w:space="0" w:color="auto"/>
            </w:tcBorders>
            <w:vAlign w:val="center"/>
          </w:tcPr>
          <w:p w14:paraId="4FD15F17" w14:textId="77777777" w:rsidR="00A7485D" w:rsidRPr="00995AAE" w:rsidRDefault="00A7485D" w:rsidP="00DA48EA">
            <w:pPr>
              <w:jc w:val="center"/>
              <w:rPr>
                <w:rFonts w:ascii="Wingdings" w:eastAsia="Times New Roman" w:hAnsi="Wingdings" w:cs="Calibri"/>
                <w:color w:val="000000"/>
                <w:sz w:val="20"/>
                <w:szCs w:val="20"/>
                <w:lang w:eastAsia="en-AU"/>
              </w:rPr>
            </w:pPr>
          </w:p>
        </w:tc>
      </w:tr>
      <w:tr w:rsidR="00A72857" w:rsidRPr="00995AAE" w14:paraId="3224BC0E"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7B5E3C5E"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3.3 Learning Resources and Educational Support  </w:t>
            </w:r>
          </w:p>
        </w:tc>
        <w:tc>
          <w:tcPr>
            <w:tcW w:w="1458" w:type="dxa"/>
            <w:tcBorders>
              <w:top w:val="nil"/>
              <w:left w:val="nil"/>
              <w:bottom w:val="single" w:sz="4" w:space="0" w:color="auto"/>
              <w:right w:val="single" w:sz="4" w:space="0" w:color="auto"/>
            </w:tcBorders>
            <w:shd w:val="clear" w:color="auto" w:fill="auto"/>
            <w:noWrap/>
            <w:vAlign w:val="center"/>
            <w:hideMark/>
          </w:tcPr>
          <w:p w14:paraId="693ED3AA" w14:textId="77777777" w:rsidR="00A7485D" w:rsidRPr="00995AAE" w:rsidRDefault="00A7485D" w:rsidP="00A72857">
            <w:pPr>
              <w:jc w:val="center"/>
              <w:rPr>
                <w:rFonts w:ascii="Calibri" w:eastAsia="Times New Roman" w:hAnsi="Calibri"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2A4B01CB" w14:textId="77777777" w:rsidR="00A7485D" w:rsidRPr="00995AAE" w:rsidRDefault="00A7485D"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1A9084D7" w14:textId="77777777" w:rsidR="00A7485D" w:rsidRPr="00995AAE" w:rsidRDefault="00433534" w:rsidP="00A72857">
            <w:pPr>
              <w:jc w:val="center"/>
              <w:rPr>
                <w:rFonts w:ascii="Wingdings" w:eastAsia="Times New Roman" w:hAnsi="Times New Roman"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311" w:type="dxa"/>
            <w:tcBorders>
              <w:top w:val="nil"/>
              <w:left w:val="nil"/>
              <w:bottom w:val="single" w:sz="4" w:space="0" w:color="auto"/>
              <w:right w:val="single" w:sz="4" w:space="0" w:color="auto"/>
            </w:tcBorders>
            <w:vAlign w:val="center"/>
          </w:tcPr>
          <w:p w14:paraId="3544F982" w14:textId="77777777" w:rsidR="00A7485D" w:rsidRPr="00995AAE" w:rsidRDefault="00A7485D" w:rsidP="00DA48EA">
            <w:pPr>
              <w:jc w:val="center"/>
              <w:rPr>
                <w:rFonts w:ascii="Wingdings" w:eastAsia="Times New Roman" w:hAnsi="Times New Roman" w:cs="Calibri"/>
                <w:color w:val="000000"/>
                <w:sz w:val="20"/>
                <w:szCs w:val="20"/>
                <w:lang w:eastAsia="en-AU"/>
              </w:rPr>
            </w:pPr>
          </w:p>
        </w:tc>
      </w:tr>
      <w:tr w:rsidR="00A72857" w:rsidRPr="00995AAE" w14:paraId="14453706" w14:textId="77777777" w:rsidTr="00A72857">
        <w:trPr>
          <w:trHeight w:val="402"/>
          <w:jc w:val="center"/>
        </w:trPr>
        <w:tc>
          <w:tcPr>
            <w:tcW w:w="3559" w:type="dxa"/>
            <w:tcBorders>
              <w:top w:val="nil"/>
              <w:left w:val="single" w:sz="4" w:space="0" w:color="auto"/>
              <w:bottom w:val="single" w:sz="4" w:space="0" w:color="auto"/>
              <w:right w:val="nil"/>
            </w:tcBorders>
            <w:shd w:val="clear" w:color="000000" w:fill="EEECE1"/>
            <w:vAlign w:val="center"/>
            <w:hideMark/>
          </w:tcPr>
          <w:p w14:paraId="464F3808" w14:textId="77777777" w:rsidR="00A7485D" w:rsidRPr="00995AAE" w:rsidRDefault="00A7485D" w:rsidP="00AE2839">
            <w:pPr>
              <w:rPr>
                <w:rFonts w:ascii="Arial Narrow" w:eastAsia="Times New Roman" w:hAnsi="Arial Narrow" w:cs="Calibri"/>
                <w:b/>
                <w:bCs/>
                <w:color w:val="000000"/>
                <w:sz w:val="20"/>
                <w:szCs w:val="20"/>
                <w:lang w:eastAsia="en-AU"/>
              </w:rPr>
            </w:pPr>
            <w:r w:rsidRPr="00995AAE">
              <w:rPr>
                <w:rFonts w:ascii="Arial Narrow" w:eastAsia="Times New Roman" w:hAnsi="Arial Narrow" w:cs="Calibri"/>
                <w:b/>
                <w:bCs/>
                <w:color w:val="000000"/>
                <w:sz w:val="20"/>
                <w:szCs w:val="20"/>
                <w:lang w:eastAsia="en-AU"/>
              </w:rPr>
              <w:t>4. Research and Research Training</w:t>
            </w:r>
          </w:p>
        </w:tc>
        <w:tc>
          <w:tcPr>
            <w:tcW w:w="1458" w:type="dxa"/>
            <w:tcBorders>
              <w:top w:val="nil"/>
              <w:left w:val="nil"/>
              <w:bottom w:val="single" w:sz="4" w:space="0" w:color="auto"/>
              <w:right w:val="nil"/>
            </w:tcBorders>
            <w:shd w:val="clear" w:color="000000" w:fill="EEECE1"/>
            <w:noWrap/>
            <w:vAlign w:val="center"/>
            <w:hideMark/>
          </w:tcPr>
          <w:p w14:paraId="682567AA"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1152" w:type="dxa"/>
            <w:tcBorders>
              <w:top w:val="nil"/>
              <w:left w:val="nil"/>
              <w:bottom w:val="single" w:sz="4" w:space="0" w:color="auto"/>
              <w:right w:val="single" w:sz="4" w:space="0" w:color="auto"/>
            </w:tcBorders>
            <w:shd w:val="clear" w:color="000000" w:fill="EEECE1"/>
            <w:noWrap/>
            <w:vAlign w:val="center"/>
          </w:tcPr>
          <w:p w14:paraId="7E06E003"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2551" w:type="dxa"/>
            <w:tcBorders>
              <w:top w:val="nil"/>
              <w:left w:val="nil"/>
              <w:bottom w:val="single" w:sz="4" w:space="0" w:color="auto"/>
              <w:right w:val="single" w:sz="4" w:space="0" w:color="auto"/>
            </w:tcBorders>
            <w:shd w:val="clear" w:color="000000" w:fill="EEECE1"/>
            <w:vAlign w:val="center"/>
          </w:tcPr>
          <w:p w14:paraId="68CCCB93"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1311" w:type="dxa"/>
            <w:tcBorders>
              <w:top w:val="nil"/>
              <w:left w:val="nil"/>
              <w:bottom w:val="single" w:sz="4" w:space="0" w:color="auto"/>
              <w:right w:val="single" w:sz="4" w:space="0" w:color="auto"/>
            </w:tcBorders>
            <w:shd w:val="clear" w:color="000000" w:fill="EEECE1"/>
            <w:vAlign w:val="center"/>
          </w:tcPr>
          <w:p w14:paraId="13AAA33E" w14:textId="77777777" w:rsidR="00A7485D" w:rsidRPr="00995AAE" w:rsidRDefault="00A7485D" w:rsidP="00A72857">
            <w:pPr>
              <w:jc w:val="center"/>
              <w:rPr>
                <w:rFonts w:ascii="Calibri" w:eastAsia="Times New Roman" w:hAnsi="Calibri" w:cs="Calibri"/>
                <w:color w:val="000000"/>
                <w:sz w:val="20"/>
                <w:szCs w:val="20"/>
                <w:lang w:eastAsia="en-AU"/>
              </w:rPr>
            </w:pPr>
          </w:p>
        </w:tc>
      </w:tr>
      <w:tr w:rsidR="00A72857" w:rsidRPr="00995AAE" w14:paraId="65D5796A"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3E5CAF2E"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4.1 Research </w:t>
            </w:r>
          </w:p>
        </w:tc>
        <w:tc>
          <w:tcPr>
            <w:tcW w:w="1458" w:type="dxa"/>
            <w:tcBorders>
              <w:top w:val="nil"/>
              <w:left w:val="nil"/>
              <w:bottom w:val="single" w:sz="4" w:space="0" w:color="auto"/>
              <w:right w:val="single" w:sz="4" w:space="0" w:color="auto"/>
            </w:tcBorders>
            <w:shd w:val="clear" w:color="auto" w:fill="auto"/>
            <w:noWrap/>
            <w:vAlign w:val="center"/>
            <w:hideMark/>
          </w:tcPr>
          <w:p w14:paraId="04B954ED" w14:textId="77777777" w:rsidR="00A7485D" w:rsidRPr="00995AAE" w:rsidRDefault="00A7485D" w:rsidP="00A72857">
            <w:pPr>
              <w:jc w:val="center"/>
              <w:rPr>
                <w:rFonts w:ascii="Calibri" w:eastAsia="Times New Roman" w:hAnsi="Calibri" w:cs="Calibri"/>
                <w:color w:val="000000"/>
                <w:sz w:val="20"/>
                <w:szCs w:val="20"/>
                <w:lang w:eastAsia="en-AU"/>
              </w:rPr>
            </w:pPr>
            <w:r w:rsidRPr="00995AAE">
              <w:rPr>
                <w:rFonts w:ascii="Wingdings" w:eastAsia="Times New Roman" w:hAnsi="Wingdings" w:cs="Calibri"/>
                <w:color w:val="000000"/>
                <w:sz w:val="20"/>
                <w:szCs w:val="20"/>
                <w:lang w:eastAsia="en-AU"/>
              </w:rPr>
              <w:t></w:t>
            </w:r>
            <w:r w:rsidRPr="00995AAE">
              <w:rPr>
                <w:rFonts w:ascii="Calibri" w:eastAsia="Times New Roman" w:hAnsi="Calibri" w:cs="Calibri"/>
                <w:color w:val="000000"/>
                <w:sz w:val="20"/>
                <w:szCs w:val="20"/>
                <w:lang w:eastAsia="en-AU"/>
              </w:rPr>
              <w:t xml:space="preserve"> (according to provider’s circumstances)</w:t>
            </w:r>
          </w:p>
        </w:tc>
        <w:tc>
          <w:tcPr>
            <w:tcW w:w="1152" w:type="dxa"/>
            <w:tcBorders>
              <w:top w:val="nil"/>
              <w:left w:val="nil"/>
              <w:bottom w:val="single" w:sz="4" w:space="0" w:color="auto"/>
              <w:right w:val="single" w:sz="4" w:space="0" w:color="auto"/>
            </w:tcBorders>
            <w:shd w:val="clear" w:color="auto" w:fill="auto"/>
            <w:noWrap/>
            <w:vAlign w:val="center"/>
          </w:tcPr>
          <w:p w14:paraId="54FBBA13" w14:textId="77777777" w:rsidR="00A7485D" w:rsidRPr="00995AAE" w:rsidRDefault="00A7485D"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581E4AA9"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311" w:type="dxa"/>
            <w:tcBorders>
              <w:top w:val="nil"/>
              <w:left w:val="nil"/>
              <w:bottom w:val="single" w:sz="4" w:space="0" w:color="auto"/>
              <w:right w:val="single" w:sz="4" w:space="0" w:color="auto"/>
            </w:tcBorders>
            <w:vAlign w:val="center"/>
          </w:tcPr>
          <w:p w14:paraId="1D23147B" w14:textId="77777777" w:rsidR="00A7485D" w:rsidRPr="00995AAE" w:rsidRDefault="00A7485D" w:rsidP="00DA48EA">
            <w:pPr>
              <w:jc w:val="center"/>
              <w:rPr>
                <w:rFonts w:ascii="Wingdings" w:eastAsia="Times New Roman" w:hAnsi="Wingdings" w:cs="Calibri"/>
                <w:color w:val="000000"/>
                <w:sz w:val="20"/>
                <w:szCs w:val="20"/>
                <w:lang w:eastAsia="en-AU"/>
              </w:rPr>
            </w:pPr>
          </w:p>
        </w:tc>
      </w:tr>
      <w:tr w:rsidR="00A72857" w:rsidRPr="00995AAE" w14:paraId="4FCD3A05" w14:textId="77777777" w:rsidTr="00A72857">
        <w:trPr>
          <w:trHeight w:val="402"/>
          <w:jc w:val="center"/>
        </w:trPr>
        <w:tc>
          <w:tcPr>
            <w:tcW w:w="3559" w:type="dxa"/>
            <w:tcBorders>
              <w:top w:val="nil"/>
              <w:left w:val="single" w:sz="4" w:space="0" w:color="auto"/>
              <w:bottom w:val="nil"/>
              <w:right w:val="single" w:sz="4" w:space="0" w:color="auto"/>
            </w:tcBorders>
            <w:shd w:val="clear" w:color="auto" w:fill="auto"/>
            <w:vAlign w:val="bottom"/>
            <w:hideMark/>
          </w:tcPr>
          <w:p w14:paraId="499FC354"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4.2 Research Training</w:t>
            </w:r>
          </w:p>
        </w:tc>
        <w:tc>
          <w:tcPr>
            <w:tcW w:w="1458" w:type="dxa"/>
            <w:tcBorders>
              <w:top w:val="nil"/>
              <w:left w:val="nil"/>
              <w:bottom w:val="nil"/>
              <w:right w:val="single" w:sz="4" w:space="0" w:color="auto"/>
            </w:tcBorders>
            <w:shd w:val="clear" w:color="auto" w:fill="auto"/>
            <w:noWrap/>
            <w:vAlign w:val="center"/>
            <w:hideMark/>
          </w:tcPr>
          <w:p w14:paraId="111555F8"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1152" w:type="dxa"/>
            <w:tcBorders>
              <w:top w:val="nil"/>
              <w:left w:val="nil"/>
              <w:bottom w:val="nil"/>
              <w:right w:val="single" w:sz="4" w:space="0" w:color="auto"/>
            </w:tcBorders>
            <w:shd w:val="clear" w:color="auto" w:fill="auto"/>
            <w:noWrap/>
            <w:vAlign w:val="center"/>
          </w:tcPr>
          <w:p w14:paraId="7A8FC682"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2551" w:type="dxa"/>
            <w:tcBorders>
              <w:top w:val="nil"/>
              <w:left w:val="nil"/>
              <w:bottom w:val="nil"/>
              <w:right w:val="single" w:sz="4" w:space="0" w:color="auto"/>
            </w:tcBorders>
            <w:vAlign w:val="center"/>
          </w:tcPr>
          <w:p w14:paraId="78BF6B00" w14:textId="77777777" w:rsidR="00A7485D" w:rsidRPr="00995AAE" w:rsidRDefault="00A7485D" w:rsidP="00A72857">
            <w:pPr>
              <w:jc w:val="center"/>
              <w:rPr>
                <w:rFonts w:ascii="Calibri" w:eastAsia="Times New Roman" w:hAnsi="Calibri" w:cs="Calibri"/>
                <w:color w:val="000000"/>
                <w:sz w:val="20"/>
                <w:szCs w:val="20"/>
                <w:lang w:eastAsia="en-AU"/>
              </w:rPr>
            </w:pPr>
            <w:r w:rsidRPr="00995AAE">
              <w:rPr>
                <w:rFonts w:ascii="Wingdings" w:eastAsia="Times New Roman" w:hAnsi="Wingdings" w:cs="Calibri"/>
                <w:color w:val="000000"/>
                <w:sz w:val="20"/>
                <w:szCs w:val="20"/>
                <w:lang w:eastAsia="en-AU"/>
              </w:rPr>
              <w:t></w:t>
            </w:r>
            <w:r w:rsidRPr="00995AAE">
              <w:rPr>
                <w:rFonts w:ascii="Calibri" w:eastAsia="Times New Roman" w:hAnsi="Calibri" w:cs="Calibri"/>
                <w:color w:val="000000"/>
                <w:sz w:val="20"/>
                <w:szCs w:val="20"/>
                <w:lang w:eastAsia="en-AU"/>
              </w:rPr>
              <w:t xml:space="preserve"> (if applicable to the provider)</w:t>
            </w:r>
          </w:p>
        </w:tc>
        <w:tc>
          <w:tcPr>
            <w:tcW w:w="1311" w:type="dxa"/>
            <w:tcBorders>
              <w:top w:val="nil"/>
              <w:left w:val="nil"/>
              <w:bottom w:val="nil"/>
              <w:right w:val="single" w:sz="4" w:space="0" w:color="auto"/>
            </w:tcBorders>
            <w:vAlign w:val="center"/>
          </w:tcPr>
          <w:p w14:paraId="6278CFEA" w14:textId="77777777" w:rsidR="00A7485D" w:rsidRPr="00995AAE" w:rsidRDefault="00A7485D" w:rsidP="00A72857">
            <w:pPr>
              <w:jc w:val="center"/>
              <w:rPr>
                <w:rFonts w:ascii="Wingdings" w:eastAsia="Times New Roman" w:hAnsi="Wingdings" w:cs="Calibri"/>
                <w:color w:val="000000"/>
                <w:sz w:val="20"/>
                <w:szCs w:val="20"/>
                <w:lang w:eastAsia="en-AU"/>
              </w:rPr>
            </w:pPr>
          </w:p>
        </w:tc>
      </w:tr>
      <w:tr w:rsidR="00A72857" w:rsidRPr="00995AAE" w14:paraId="53527C83" w14:textId="77777777" w:rsidTr="00A72857">
        <w:trPr>
          <w:trHeight w:val="402"/>
          <w:jc w:val="center"/>
        </w:trPr>
        <w:tc>
          <w:tcPr>
            <w:tcW w:w="3559" w:type="dxa"/>
            <w:tcBorders>
              <w:top w:val="single" w:sz="4" w:space="0" w:color="auto"/>
              <w:left w:val="single" w:sz="4" w:space="0" w:color="auto"/>
              <w:bottom w:val="single" w:sz="4" w:space="0" w:color="auto"/>
              <w:right w:val="nil"/>
            </w:tcBorders>
            <w:shd w:val="clear" w:color="000000" w:fill="EEECE1"/>
            <w:vAlign w:val="center"/>
            <w:hideMark/>
          </w:tcPr>
          <w:p w14:paraId="0F37AEE1" w14:textId="77777777" w:rsidR="00A7485D" w:rsidRPr="00995AAE" w:rsidRDefault="00A7485D" w:rsidP="00AE2839">
            <w:pPr>
              <w:rPr>
                <w:rFonts w:ascii="Arial Narrow" w:eastAsia="Times New Roman" w:hAnsi="Arial Narrow" w:cs="Calibri"/>
                <w:b/>
                <w:bCs/>
                <w:color w:val="000000"/>
                <w:sz w:val="20"/>
                <w:szCs w:val="20"/>
                <w:lang w:eastAsia="en-AU"/>
              </w:rPr>
            </w:pPr>
            <w:r w:rsidRPr="00995AAE">
              <w:rPr>
                <w:rFonts w:ascii="Arial Narrow" w:eastAsia="Times New Roman" w:hAnsi="Arial Narrow" w:cs="Calibri"/>
                <w:b/>
                <w:bCs/>
                <w:color w:val="000000"/>
                <w:sz w:val="20"/>
                <w:szCs w:val="20"/>
                <w:lang w:eastAsia="en-AU"/>
              </w:rPr>
              <w:t>5. Institutional Quality Assurance</w:t>
            </w:r>
          </w:p>
        </w:tc>
        <w:tc>
          <w:tcPr>
            <w:tcW w:w="1458" w:type="dxa"/>
            <w:tcBorders>
              <w:top w:val="single" w:sz="4" w:space="0" w:color="auto"/>
              <w:left w:val="nil"/>
              <w:bottom w:val="single" w:sz="4" w:space="0" w:color="auto"/>
              <w:right w:val="nil"/>
            </w:tcBorders>
            <w:shd w:val="clear" w:color="000000" w:fill="EEECE1"/>
            <w:noWrap/>
            <w:vAlign w:val="center"/>
            <w:hideMark/>
          </w:tcPr>
          <w:p w14:paraId="663CB824"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1152" w:type="dxa"/>
            <w:tcBorders>
              <w:top w:val="single" w:sz="4" w:space="0" w:color="auto"/>
              <w:left w:val="nil"/>
              <w:bottom w:val="single" w:sz="4" w:space="0" w:color="auto"/>
              <w:right w:val="single" w:sz="4" w:space="0" w:color="auto"/>
            </w:tcBorders>
            <w:shd w:val="clear" w:color="000000" w:fill="EEECE1"/>
            <w:noWrap/>
            <w:vAlign w:val="center"/>
          </w:tcPr>
          <w:p w14:paraId="42712514"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2551" w:type="dxa"/>
            <w:tcBorders>
              <w:top w:val="single" w:sz="4" w:space="0" w:color="auto"/>
              <w:left w:val="nil"/>
              <w:bottom w:val="single" w:sz="4" w:space="0" w:color="auto"/>
              <w:right w:val="single" w:sz="4" w:space="0" w:color="auto"/>
            </w:tcBorders>
            <w:shd w:val="clear" w:color="000000" w:fill="EEECE1"/>
            <w:vAlign w:val="center"/>
          </w:tcPr>
          <w:p w14:paraId="09A84E9B"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1311" w:type="dxa"/>
            <w:tcBorders>
              <w:top w:val="single" w:sz="4" w:space="0" w:color="auto"/>
              <w:left w:val="nil"/>
              <w:bottom w:val="single" w:sz="4" w:space="0" w:color="auto"/>
              <w:right w:val="single" w:sz="4" w:space="0" w:color="auto"/>
            </w:tcBorders>
            <w:shd w:val="clear" w:color="000000" w:fill="EEECE1"/>
            <w:vAlign w:val="center"/>
          </w:tcPr>
          <w:p w14:paraId="18DC37B9" w14:textId="77777777" w:rsidR="00A7485D" w:rsidRPr="00995AAE" w:rsidRDefault="00A7485D" w:rsidP="00A72857">
            <w:pPr>
              <w:jc w:val="center"/>
              <w:rPr>
                <w:rFonts w:ascii="Calibri" w:eastAsia="Times New Roman" w:hAnsi="Calibri" w:cs="Calibri"/>
                <w:color w:val="000000"/>
                <w:sz w:val="20"/>
                <w:szCs w:val="20"/>
                <w:lang w:eastAsia="en-AU"/>
              </w:rPr>
            </w:pPr>
          </w:p>
        </w:tc>
      </w:tr>
      <w:tr w:rsidR="00A72857" w:rsidRPr="00995AAE" w14:paraId="3D910346"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1E7F924C"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5.1 Course Approval and Accreditation  </w:t>
            </w:r>
          </w:p>
        </w:tc>
        <w:tc>
          <w:tcPr>
            <w:tcW w:w="1458" w:type="dxa"/>
            <w:tcBorders>
              <w:top w:val="nil"/>
              <w:left w:val="nil"/>
              <w:bottom w:val="single" w:sz="4" w:space="0" w:color="auto"/>
              <w:right w:val="single" w:sz="4" w:space="0" w:color="auto"/>
            </w:tcBorders>
            <w:shd w:val="clear" w:color="auto" w:fill="auto"/>
            <w:noWrap/>
            <w:vAlign w:val="center"/>
            <w:hideMark/>
          </w:tcPr>
          <w:p w14:paraId="1F1C25E2"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15E61264" w14:textId="77777777" w:rsidR="00A7485D" w:rsidRPr="00995AAE" w:rsidRDefault="00A7485D"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365C3E27"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311" w:type="dxa"/>
            <w:tcBorders>
              <w:top w:val="nil"/>
              <w:left w:val="nil"/>
              <w:bottom w:val="single" w:sz="4" w:space="0" w:color="auto"/>
              <w:right w:val="single" w:sz="4" w:space="0" w:color="auto"/>
            </w:tcBorders>
            <w:vAlign w:val="center"/>
          </w:tcPr>
          <w:p w14:paraId="0BC91E03" w14:textId="77777777" w:rsidR="00A7485D" w:rsidRPr="00995AAE" w:rsidRDefault="00A7485D" w:rsidP="00DA48EA">
            <w:pPr>
              <w:jc w:val="center"/>
              <w:rPr>
                <w:rFonts w:ascii="Wingdings" w:eastAsia="Times New Roman" w:hAnsi="Wingdings" w:cs="Calibri"/>
                <w:color w:val="000000"/>
                <w:sz w:val="20"/>
                <w:szCs w:val="20"/>
                <w:lang w:eastAsia="en-AU"/>
              </w:rPr>
            </w:pPr>
          </w:p>
        </w:tc>
      </w:tr>
      <w:tr w:rsidR="00A72857" w:rsidRPr="00995AAE" w14:paraId="01C74F89"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7F377861"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5.2 Academic and Research Integrity </w:t>
            </w:r>
          </w:p>
        </w:tc>
        <w:tc>
          <w:tcPr>
            <w:tcW w:w="1458" w:type="dxa"/>
            <w:tcBorders>
              <w:top w:val="nil"/>
              <w:left w:val="nil"/>
              <w:bottom w:val="single" w:sz="4" w:space="0" w:color="auto"/>
              <w:right w:val="single" w:sz="4" w:space="0" w:color="auto"/>
            </w:tcBorders>
            <w:shd w:val="clear" w:color="auto" w:fill="auto"/>
            <w:noWrap/>
            <w:vAlign w:val="center"/>
            <w:hideMark/>
          </w:tcPr>
          <w:p w14:paraId="0E122D48"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6A5FE95D" w14:textId="77777777" w:rsidR="00A7485D" w:rsidRPr="00995AAE" w:rsidRDefault="00A7485D"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7C887630" w14:textId="77777777" w:rsidR="00A7485D" w:rsidRPr="00995AAE" w:rsidRDefault="00A7485D" w:rsidP="00A72857">
            <w:pPr>
              <w:jc w:val="center"/>
              <w:rPr>
                <w:rFonts w:ascii="Wingdings" w:eastAsia="Times New Roman" w:hAnsi="Times New Roman" w:cs="Calibri"/>
                <w:color w:val="000000"/>
                <w:sz w:val="20"/>
                <w:szCs w:val="20"/>
                <w:lang w:eastAsia="en-AU"/>
              </w:rPr>
            </w:pPr>
          </w:p>
        </w:tc>
        <w:tc>
          <w:tcPr>
            <w:tcW w:w="1311" w:type="dxa"/>
            <w:tcBorders>
              <w:top w:val="nil"/>
              <w:left w:val="nil"/>
              <w:bottom w:val="single" w:sz="4" w:space="0" w:color="auto"/>
              <w:right w:val="single" w:sz="4" w:space="0" w:color="auto"/>
            </w:tcBorders>
            <w:vAlign w:val="center"/>
          </w:tcPr>
          <w:p w14:paraId="1A2B14BD" w14:textId="77777777" w:rsidR="00A7485D" w:rsidRPr="00995AAE" w:rsidRDefault="00A7485D" w:rsidP="00DA48EA">
            <w:pPr>
              <w:jc w:val="center"/>
              <w:rPr>
                <w:rFonts w:ascii="Wingdings" w:eastAsia="Times New Roman" w:hAnsi="Times New Roman" w:cs="Calibri"/>
                <w:color w:val="000000"/>
                <w:sz w:val="20"/>
                <w:szCs w:val="20"/>
                <w:lang w:eastAsia="en-AU"/>
              </w:rPr>
            </w:pPr>
          </w:p>
        </w:tc>
      </w:tr>
      <w:tr w:rsidR="00A72857" w:rsidRPr="00995AAE" w14:paraId="3F0EEF09"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5642E913"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5.3 Monitoring, Review and Improvement  </w:t>
            </w:r>
          </w:p>
        </w:tc>
        <w:tc>
          <w:tcPr>
            <w:tcW w:w="1458" w:type="dxa"/>
            <w:tcBorders>
              <w:top w:val="nil"/>
              <w:left w:val="nil"/>
              <w:bottom w:val="single" w:sz="4" w:space="0" w:color="auto"/>
              <w:right w:val="single" w:sz="4" w:space="0" w:color="auto"/>
            </w:tcBorders>
            <w:shd w:val="clear" w:color="auto" w:fill="auto"/>
            <w:noWrap/>
            <w:vAlign w:val="center"/>
            <w:hideMark/>
          </w:tcPr>
          <w:p w14:paraId="5FF4617C"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3D4CABE3" w14:textId="77777777" w:rsidR="00A7485D" w:rsidRPr="00995AAE" w:rsidRDefault="00A7485D"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416AF523"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311" w:type="dxa"/>
            <w:tcBorders>
              <w:top w:val="nil"/>
              <w:left w:val="nil"/>
              <w:bottom w:val="single" w:sz="4" w:space="0" w:color="auto"/>
              <w:right w:val="single" w:sz="4" w:space="0" w:color="auto"/>
            </w:tcBorders>
            <w:vAlign w:val="center"/>
          </w:tcPr>
          <w:p w14:paraId="3F4B191B" w14:textId="77777777" w:rsidR="00A7485D" w:rsidRPr="00995AAE" w:rsidRDefault="00A7485D" w:rsidP="00DA48EA">
            <w:pPr>
              <w:jc w:val="center"/>
              <w:rPr>
                <w:rFonts w:ascii="Wingdings" w:eastAsia="Times New Roman" w:hAnsi="Wingdings" w:cs="Calibri"/>
                <w:color w:val="000000"/>
                <w:sz w:val="20"/>
                <w:szCs w:val="20"/>
                <w:lang w:eastAsia="en-AU"/>
              </w:rPr>
            </w:pPr>
          </w:p>
        </w:tc>
      </w:tr>
      <w:tr w:rsidR="00A72857" w:rsidRPr="00995AAE" w14:paraId="7A9E0A83" w14:textId="77777777" w:rsidTr="00A72857">
        <w:trPr>
          <w:trHeight w:val="402"/>
          <w:jc w:val="center"/>
        </w:trPr>
        <w:tc>
          <w:tcPr>
            <w:tcW w:w="3559" w:type="dxa"/>
            <w:tcBorders>
              <w:top w:val="nil"/>
              <w:left w:val="single" w:sz="4" w:space="0" w:color="auto"/>
              <w:bottom w:val="nil"/>
              <w:right w:val="single" w:sz="4" w:space="0" w:color="auto"/>
            </w:tcBorders>
            <w:shd w:val="clear" w:color="auto" w:fill="auto"/>
            <w:vAlign w:val="bottom"/>
            <w:hideMark/>
          </w:tcPr>
          <w:p w14:paraId="3AF4F806"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5.4 Delivery with Other Parties</w:t>
            </w:r>
          </w:p>
        </w:tc>
        <w:tc>
          <w:tcPr>
            <w:tcW w:w="1458" w:type="dxa"/>
            <w:tcBorders>
              <w:top w:val="nil"/>
              <w:left w:val="nil"/>
              <w:bottom w:val="nil"/>
              <w:right w:val="single" w:sz="4" w:space="0" w:color="auto"/>
            </w:tcBorders>
            <w:shd w:val="clear" w:color="auto" w:fill="auto"/>
            <w:noWrap/>
            <w:vAlign w:val="center"/>
            <w:hideMark/>
          </w:tcPr>
          <w:p w14:paraId="62DBCA28" w14:textId="77777777" w:rsidR="00A7485D" w:rsidRPr="00995AAE" w:rsidRDefault="00A7485D" w:rsidP="00A72857">
            <w:pPr>
              <w:jc w:val="center"/>
              <w:rPr>
                <w:rFonts w:ascii="Calibri" w:eastAsia="Times New Roman" w:hAnsi="Calibri" w:cs="Calibri"/>
                <w:color w:val="000000"/>
                <w:sz w:val="20"/>
                <w:szCs w:val="20"/>
                <w:lang w:eastAsia="en-AU"/>
              </w:rPr>
            </w:pPr>
            <w:r w:rsidRPr="00995AAE">
              <w:rPr>
                <w:rFonts w:ascii="Wingdings" w:eastAsia="Times New Roman" w:hAnsi="Wingdings" w:cs="Calibri"/>
                <w:color w:val="000000"/>
                <w:sz w:val="20"/>
                <w:szCs w:val="20"/>
                <w:lang w:eastAsia="en-AU"/>
              </w:rPr>
              <w:t></w:t>
            </w:r>
            <w:r w:rsidRPr="00995AAE">
              <w:rPr>
                <w:rFonts w:ascii="Calibri" w:eastAsia="Times New Roman" w:hAnsi="Calibri" w:cs="Calibri"/>
                <w:color w:val="000000"/>
                <w:sz w:val="20"/>
                <w:szCs w:val="20"/>
                <w:lang w:eastAsia="en-AU"/>
              </w:rPr>
              <w:t xml:space="preserve"> (if applicable to the provider)</w:t>
            </w:r>
          </w:p>
        </w:tc>
        <w:tc>
          <w:tcPr>
            <w:tcW w:w="1152" w:type="dxa"/>
            <w:tcBorders>
              <w:top w:val="nil"/>
              <w:left w:val="nil"/>
              <w:bottom w:val="nil"/>
              <w:right w:val="single" w:sz="4" w:space="0" w:color="auto"/>
            </w:tcBorders>
            <w:shd w:val="clear" w:color="auto" w:fill="auto"/>
            <w:noWrap/>
            <w:vAlign w:val="center"/>
          </w:tcPr>
          <w:p w14:paraId="24E7416A"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2551" w:type="dxa"/>
            <w:tcBorders>
              <w:top w:val="nil"/>
              <w:left w:val="nil"/>
              <w:bottom w:val="nil"/>
              <w:right w:val="single" w:sz="4" w:space="0" w:color="auto"/>
            </w:tcBorders>
            <w:vAlign w:val="center"/>
          </w:tcPr>
          <w:p w14:paraId="56C55407" w14:textId="77777777" w:rsidR="00A7485D" w:rsidRPr="00995AAE" w:rsidRDefault="00A7485D" w:rsidP="00A72857">
            <w:pPr>
              <w:jc w:val="center"/>
              <w:rPr>
                <w:rFonts w:ascii="Calibri" w:eastAsia="Times New Roman" w:hAnsi="Calibri" w:cs="Calibri"/>
                <w:color w:val="000000"/>
                <w:sz w:val="20"/>
                <w:szCs w:val="20"/>
                <w:lang w:eastAsia="en-AU"/>
              </w:rPr>
            </w:pPr>
            <w:r w:rsidRPr="00995AAE">
              <w:rPr>
                <w:rFonts w:ascii="Wingdings" w:eastAsia="Times New Roman" w:hAnsi="Wingdings" w:cs="Calibri"/>
                <w:color w:val="000000"/>
                <w:sz w:val="20"/>
                <w:szCs w:val="20"/>
                <w:lang w:eastAsia="en-AU"/>
              </w:rPr>
              <w:t></w:t>
            </w:r>
            <w:r w:rsidRPr="00995AAE">
              <w:rPr>
                <w:rFonts w:ascii="Calibri" w:eastAsia="Times New Roman" w:hAnsi="Calibri" w:cs="Calibri"/>
                <w:color w:val="000000"/>
                <w:sz w:val="20"/>
                <w:szCs w:val="20"/>
                <w:lang w:eastAsia="en-AU"/>
              </w:rPr>
              <w:t xml:space="preserve"> (if applicable to the provider)</w:t>
            </w:r>
          </w:p>
        </w:tc>
        <w:tc>
          <w:tcPr>
            <w:tcW w:w="1311" w:type="dxa"/>
            <w:tcBorders>
              <w:top w:val="nil"/>
              <w:left w:val="nil"/>
              <w:bottom w:val="nil"/>
              <w:right w:val="single" w:sz="4" w:space="0" w:color="auto"/>
            </w:tcBorders>
            <w:vAlign w:val="center"/>
          </w:tcPr>
          <w:p w14:paraId="6B35662F" w14:textId="77777777" w:rsidR="00A7485D" w:rsidRPr="00995AAE" w:rsidRDefault="00A7485D" w:rsidP="00A72857">
            <w:pPr>
              <w:jc w:val="center"/>
              <w:rPr>
                <w:rFonts w:ascii="Wingdings" w:eastAsia="Times New Roman" w:hAnsi="Wingdings" w:cs="Calibri"/>
                <w:color w:val="000000"/>
                <w:sz w:val="20"/>
                <w:szCs w:val="20"/>
                <w:lang w:eastAsia="en-AU"/>
              </w:rPr>
            </w:pPr>
          </w:p>
        </w:tc>
      </w:tr>
      <w:tr w:rsidR="00A72857" w:rsidRPr="00995AAE" w14:paraId="1F59291F" w14:textId="77777777" w:rsidTr="00A72857">
        <w:trPr>
          <w:trHeight w:val="402"/>
          <w:jc w:val="center"/>
        </w:trPr>
        <w:tc>
          <w:tcPr>
            <w:tcW w:w="3559" w:type="dxa"/>
            <w:tcBorders>
              <w:top w:val="single" w:sz="4" w:space="0" w:color="auto"/>
              <w:left w:val="single" w:sz="4" w:space="0" w:color="auto"/>
              <w:bottom w:val="single" w:sz="4" w:space="0" w:color="auto"/>
              <w:right w:val="nil"/>
            </w:tcBorders>
            <w:shd w:val="clear" w:color="000000" w:fill="EEECE1"/>
            <w:vAlign w:val="center"/>
            <w:hideMark/>
          </w:tcPr>
          <w:p w14:paraId="1C0643F2" w14:textId="77777777" w:rsidR="00A7485D" w:rsidRPr="00995AAE" w:rsidRDefault="00A7485D" w:rsidP="00AE2839">
            <w:pPr>
              <w:rPr>
                <w:rFonts w:ascii="Arial Narrow" w:eastAsia="Times New Roman" w:hAnsi="Arial Narrow" w:cs="Calibri"/>
                <w:b/>
                <w:bCs/>
                <w:color w:val="000000"/>
                <w:sz w:val="20"/>
                <w:szCs w:val="20"/>
                <w:lang w:eastAsia="en-AU"/>
              </w:rPr>
            </w:pPr>
            <w:r w:rsidRPr="00995AAE">
              <w:rPr>
                <w:rFonts w:ascii="Arial Narrow" w:eastAsia="Times New Roman" w:hAnsi="Arial Narrow" w:cs="Calibri"/>
                <w:b/>
                <w:bCs/>
                <w:color w:val="000000"/>
                <w:sz w:val="20"/>
                <w:szCs w:val="20"/>
                <w:lang w:eastAsia="en-AU"/>
              </w:rPr>
              <w:t>6. Governance and Accountability</w:t>
            </w:r>
          </w:p>
        </w:tc>
        <w:tc>
          <w:tcPr>
            <w:tcW w:w="1458" w:type="dxa"/>
            <w:tcBorders>
              <w:top w:val="single" w:sz="4" w:space="0" w:color="auto"/>
              <w:left w:val="nil"/>
              <w:bottom w:val="single" w:sz="4" w:space="0" w:color="auto"/>
              <w:right w:val="nil"/>
            </w:tcBorders>
            <w:shd w:val="clear" w:color="000000" w:fill="EEECE1"/>
            <w:noWrap/>
            <w:vAlign w:val="center"/>
            <w:hideMark/>
          </w:tcPr>
          <w:p w14:paraId="3769543C"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1152" w:type="dxa"/>
            <w:tcBorders>
              <w:top w:val="single" w:sz="4" w:space="0" w:color="auto"/>
              <w:left w:val="nil"/>
              <w:bottom w:val="single" w:sz="4" w:space="0" w:color="auto"/>
              <w:right w:val="single" w:sz="4" w:space="0" w:color="auto"/>
            </w:tcBorders>
            <w:shd w:val="clear" w:color="000000" w:fill="EEECE1"/>
            <w:noWrap/>
            <w:vAlign w:val="center"/>
          </w:tcPr>
          <w:p w14:paraId="5ED159E9"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2551" w:type="dxa"/>
            <w:tcBorders>
              <w:top w:val="single" w:sz="4" w:space="0" w:color="auto"/>
              <w:left w:val="nil"/>
              <w:bottom w:val="single" w:sz="4" w:space="0" w:color="auto"/>
              <w:right w:val="single" w:sz="4" w:space="0" w:color="auto"/>
            </w:tcBorders>
            <w:shd w:val="clear" w:color="000000" w:fill="EEECE1"/>
            <w:vAlign w:val="center"/>
          </w:tcPr>
          <w:p w14:paraId="207330DD"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1311" w:type="dxa"/>
            <w:tcBorders>
              <w:top w:val="single" w:sz="4" w:space="0" w:color="auto"/>
              <w:left w:val="nil"/>
              <w:bottom w:val="single" w:sz="4" w:space="0" w:color="auto"/>
              <w:right w:val="single" w:sz="4" w:space="0" w:color="auto"/>
            </w:tcBorders>
            <w:shd w:val="clear" w:color="000000" w:fill="EEECE1"/>
            <w:vAlign w:val="center"/>
          </w:tcPr>
          <w:p w14:paraId="7E26535E" w14:textId="77777777" w:rsidR="00A7485D" w:rsidRPr="00995AAE" w:rsidRDefault="00A7485D" w:rsidP="00A72857">
            <w:pPr>
              <w:jc w:val="center"/>
              <w:rPr>
                <w:rFonts w:ascii="Calibri" w:eastAsia="Times New Roman" w:hAnsi="Calibri" w:cs="Calibri"/>
                <w:color w:val="000000"/>
                <w:sz w:val="20"/>
                <w:szCs w:val="20"/>
                <w:lang w:eastAsia="en-AU"/>
              </w:rPr>
            </w:pPr>
          </w:p>
        </w:tc>
      </w:tr>
      <w:tr w:rsidR="00A72857" w:rsidRPr="00995AAE" w14:paraId="4DA8BF50"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3A8B5A5C"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6.1 Corporate Governance </w:t>
            </w:r>
          </w:p>
        </w:tc>
        <w:tc>
          <w:tcPr>
            <w:tcW w:w="1458" w:type="dxa"/>
            <w:tcBorders>
              <w:top w:val="nil"/>
              <w:left w:val="nil"/>
              <w:bottom w:val="single" w:sz="4" w:space="0" w:color="auto"/>
              <w:right w:val="single" w:sz="4" w:space="0" w:color="auto"/>
            </w:tcBorders>
            <w:shd w:val="clear" w:color="auto" w:fill="auto"/>
            <w:noWrap/>
            <w:vAlign w:val="center"/>
            <w:hideMark/>
          </w:tcPr>
          <w:p w14:paraId="0F165BEF"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67D19180"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6DC7C5BF"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1311" w:type="dxa"/>
            <w:tcBorders>
              <w:top w:val="nil"/>
              <w:left w:val="nil"/>
              <w:bottom w:val="single" w:sz="4" w:space="0" w:color="auto"/>
              <w:right w:val="single" w:sz="4" w:space="0" w:color="auto"/>
            </w:tcBorders>
            <w:vAlign w:val="center"/>
          </w:tcPr>
          <w:p w14:paraId="23FA1FF5" w14:textId="77777777" w:rsidR="00A7485D" w:rsidRPr="00995AAE" w:rsidRDefault="00A7485D" w:rsidP="00A72857">
            <w:pPr>
              <w:jc w:val="center"/>
              <w:rPr>
                <w:rFonts w:ascii="Calibri" w:eastAsia="Times New Roman" w:hAnsi="Calibri" w:cs="Calibri"/>
                <w:color w:val="000000"/>
                <w:sz w:val="20"/>
                <w:szCs w:val="20"/>
                <w:lang w:eastAsia="en-AU"/>
              </w:rPr>
            </w:pPr>
          </w:p>
        </w:tc>
      </w:tr>
      <w:tr w:rsidR="00A72857" w:rsidRPr="00995AAE" w14:paraId="60746DE4"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5DC03A93"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6.2 Corporate Monitoring and Accountability  </w:t>
            </w:r>
          </w:p>
        </w:tc>
        <w:tc>
          <w:tcPr>
            <w:tcW w:w="1458" w:type="dxa"/>
            <w:tcBorders>
              <w:top w:val="nil"/>
              <w:left w:val="nil"/>
              <w:bottom w:val="single" w:sz="4" w:space="0" w:color="auto"/>
              <w:right w:val="single" w:sz="4" w:space="0" w:color="auto"/>
            </w:tcBorders>
            <w:shd w:val="clear" w:color="auto" w:fill="auto"/>
            <w:noWrap/>
            <w:vAlign w:val="center"/>
            <w:hideMark/>
          </w:tcPr>
          <w:p w14:paraId="3294036D"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73544742"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033EA6F1"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r w:rsidRPr="00995AAE">
              <w:rPr>
                <w:rFonts w:ascii="Wingdings" w:eastAsia="Times New Roman" w:hAnsi="Wingdings" w:cs="Calibri"/>
                <w:color w:val="000000"/>
                <w:sz w:val="20"/>
                <w:szCs w:val="20"/>
                <w:lang w:eastAsia="en-AU"/>
              </w:rPr>
              <w:t></w:t>
            </w:r>
            <w:r w:rsidRPr="00995AAE">
              <w:rPr>
                <w:rFonts w:ascii="Calibri" w:eastAsia="Times New Roman" w:hAnsi="Calibri" w:cs="Calibri"/>
                <w:color w:val="000000"/>
                <w:sz w:val="20"/>
                <w:szCs w:val="20"/>
                <w:lang w:eastAsia="en-AU"/>
              </w:rPr>
              <w:t>(</w:t>
            </w:r>
            <w:proofErr w:type="spellStart"/>
            <w:r w:rsidRPr="00995AAE">
              <w:rPr>
                <w:rFonts w:ascii="Calibri" w:eastAsia="Times New Roman" w:hAnsi="Calibri" w:cs="Calibri"/>
                <w:color w:val="000000"/>
                <w:sz w:val="20"/>
                <w:szCs w:val="20"/>
                <w:lang w:eastAsia="en-AU"/>
              </w:rPr>
              <w:t>6.2.1i</w:t>
            </w:r>
            <w:proofErr w:type="spellEnd"/>
            <w:r w:rsidRPr="00995AAE">
              <w:rPr>
                <w:rFonts w:ascii="Calibri" w:eastAsia="Times New Roman" w:hAnsi="Calibri" w:cs="Calibri"/>
                <w:color w:val="000000"/>
                <w:sz w:val="20"/>
                <w:szCs w:val="20"/>
                <w:lang w:eastAsia="en-AU"/>
              </w:rPr>
              <w:t xml:space="preserve"> only)</w:t>
            </w:r>
          </w:p>
        </w:tc>
        <w:tc>
          <w:tcPr>
            <w:tcW w:w="1311" w:type="dxa"/>
            <w:tcBorders>
              <w:top w:val="nil"/>
              <w:left w:val="nil"/>
              <w:bottom w:val="single" w:sz="4" w:space="0" w:color="auto"/>
              <w:right w:val="single" w:sz="4" w:space="0" w:color="auto"/>
            </w:tcBorders>
            <w:vAlign w:val="center"/>
          </w:tcPr>
          <w:p w14:paraId="159717B0" w14:textId="77777777" w:rsidR="00A7485D" w:rsidRPr="00995AAE" w:rsidRDefault="00A7485D" w:rsidP="00DA48EA">
            <w:pPr>
              <w:jc w:val="center"/>
              <w:rPr>
                <w:rFonts w:ascii="Wingdings" w:eastAsia="Times New Roman" w:hAnsi="Wingdings" w:cs="Calibri"/>
                <w:color w:val="000000"/>
                <w:sz w:val="20"/>
                <w:szCs w:val="20"/>
                <w:lang w:eastAsia="en-AU"/>
              </w:rPr>
            </w:pPr>
          </w:p>
        </w:tc>
      </w:tr>
      <w:tr w:rsidR="00A72857" w:rsidRPr="00995AAE" w14:paraId="6C9DA5E2"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6DA8A216"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6.3 Academic Governance </w:t>
            </w:r>
          </w:p>
        </w:tc>
        <w:tc>
          <w:tcPr>
            <w:tcW w:w="1458" w:type="dxa"/>
            <w:tcBorders>
              <w:top w:val="nil"/>
              <w:left w:val="nil"/>
              <w:bottom w:val="nil"/>
              <w:right w:val="single" w:sz="4" w:space="0" w:color="auto"/>
            </w:tcBorders>
            <w:shd w:val="clear" w:color="auto" w:fill="auto"/>
            <w:noWrap/>
            <w:vAlign w:val="center"/>
            <w:hideMark/>
          </w:tcPr>
          <w:p w14:paraId="795F1329"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4F6EFEC2"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703043D9"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1311" w:type="dxa"/>
            <w:tcBorders>
              <w:top w:val="nil"/>
              <w:left w:val="nil"/>
              <w:bottom w:val="single" w:sz="4" w:space="0" w:color="auto"/>
              <w:right w:val="single" w:sz="4" w:space="0" w:color="auto"/>
            </w:tcBorders>
            <w:vAlign w:val="center"/>
          </w:tcPr>
          <w:p w14:paraId="06A7C0D7" w14:textId="77777777" w:rsidR="00A7485D" w:rsidRPr="00995AAE" w:rsidRDefault="00A7485D" w:rsidP="00A72857">
            <w:pPr>
              <w:jc w:val="center"/>
              <w:rPr>
                <w:rFonts w:ascii="Calibri" w:eastAsia="Times New Roman" w:hAnsi="Calibri" w:cs="Calibri"/>
                <w:color w:val="000000"/>
                <w:sz w:val="20"/>
                <w:szCs w:val="20"/>
                <w:lang w:eastAsia="en-AU"/>
              </w:rPr>
            </w:pPr>
          </w:p>
        </w:tc>
      </w:tr>
      <w:tr w:rsidR="00A72857" w:rsidRPr="00995AAE" w14:paraId="1985C6F3" w14:textId="77777777" w:rsidTr="00A72857">
        <w:trPr>
          <w:trHeight w:val="402"/>
          <w:jc w:val="center"/>
        </w:trPr>
        <w:tc>
          <w:tcPr>
            <w:tcW w:w="5017" w:type="dxa"/>
            <w:gridSpan w:val="2"/>
            <w:tcBorders>
              <w:top w:val="single" w:sz="4" w:space="0" w:color="auto"/>
              <w:left w:val="single" w:sz="4" w:space="0" w:color="auto"/>
              <w:bottom w:val="single" w:sz="4" w:space="0" w:color="auto"/>
              <w:right w:val="nil"/>
            </w:tcBorders>
            <w:shd w:val="clear" w:color="000000" w:fill="EEECE1"/>
            <w:noWrap/>
            <w:vAlign w:val="center"/>
            <w:hideMark/>
          </w:tcPr>
          <w:p w14:paraId="76F1CEA0" w14:textId="77777777" w:rsidR="00A7485D" w:rsidRPr="00995AAE" w:rsidRDefault="00A7485D" w:rsidP="00A72857">
            <w:pPr>
              <w:jc w:val="center"/>
              <w:rPr>
                <w:rFonts w:ascii="Arial Narrow" w:eastAsia="Times New Roman" w:hAnsi="Arial Narrow" w:cs="Calibri"/>
                <w:b/>
                <w:bCs/>
                <w:color w:val="000000"/>
                <w:sz w:val="20"/>
                <w:szCs w:val="20"/>
                <w:lang w:eastAsia="en-AU"/>
              </w:rPr>
            </w:pPr>
            <w:r w:rsidRPr="00995AAE">
              <w:rPr>
                <w:rFonts w:ascii="Arial Narrow" w:eastAsia="Times New Roman" w:hAnsi="Arial Narrow" w:cs="Calibri"/>
                <w:b/>
                <w:bCs/>
                <w:color w:val="000000"/>
                <w:sz w:val="20"/>
                <w:szCs w:val="20"/>
                <w:lang w:eastAsia="en-AU"/>
              </w:rPr>
              <w:t>7. Representation, Information and Information Management</w:t>
            </w:r>
          </w:p>
        </w:tc>
        <w:tc>
          <w:tcPr>
            <w:tcW w:w="1152" w:type="dxa"/>
            <w:tcBorders>
              <w:top w:val="nil"/>
              <w:left w:val="nil"/>
              <w:bottom w:val="single" w:sz="4" w:space="0" w:color="auto"/>
              <w:right w:val="single" w:sz="4" w:space="0" w:color="auto"/>
            </w:tcBorders>
            <w:shd w:val="clear" w:color="000000" w:fill="EEECE1"/>
            <w:noWrap/>
            <w:vAlign w:val="center"/>
          </w:tcPr>
          <w:p w14:paraId="3590D62C"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2551" w:type="dxa"/>
            <w:tcBorders>
              <w:top w:val="nil"/>
              <w:left w:val="nil"/>
              <w:bottom w:val="single" w:sz="4" w:space="0" w:color="auto"/>
              <w:right w:val="single" w:sz="4" w:space="0" w:color="auto"/>
            </w:tcBorders>
            <w:shd w:val="clear" w:color="000000" w:fill="EEECE1"/>
            <w:vAlign w:val="center"/>
          </w:tcPr>
          <w:p w14:paraId="10752E2E" w14:textId="77777777" w:rsidR="00A7485D" w:rsidRPr="00995AAE" w:rsidRDefault="00A7485D" w:rsidP="00A72857">
            <w:pPr>
              <w:jc w:val="center"/>
              <w:rPr>
                <w:rFonts w:ascii="Calibri" w:eastAsia="Times New Roman" w:hAnsi="Calibri" w:cs="Calibri"/>
                <w:color w:val="000000"/>
                <w:sz w:val="20"/>
                <w:szCs w:val="20"/>
                <w:lang w:eastAsia="en-AU"/>
              </w:rPr>
            </w:pPr>
          </w:p>
        </w:tc>
        <w:tc>
          <w:tcPr>
            <w:tcW w:w="1311" w:type="dxa"/>
            <w:tcBorders>
              <w:top w:val="nil"/>
              <w:left w:val="nil"/>
              <w:bottom w:val="single" w:sz="4" w:space="0" w:color="auto"/>
              <w:right w:val="single" w:sz="4" w:space="0" w:color="auto"/>
            </w:tcBorders>
            <w:shd w:val="clear" w:color="000000" w:fill="EEECE1"/>
            <w:vAlign w:val="center"/>
          </w:tcPr>
          <w:p w14:paraId="7A79462B" w14:textId="77777777" w:rsidR="00A7485D" w:rsidRPr="00995AAE" w:rsidRDefault="00A7485D" w:rsidP="00A72857">
            <w:pPr>
              <w:jc w:val="center"/>
              <w:rPr>
                <w:rFonts w:ascii="Calibri" w:eastAsia="Times New Roman" w:hAnsi="Calibri" w:cs="Calibri"/>
                <w:color w:val="000000"/>
                <w:sz w:val="20"/>
                <w:szCs w:val="20"/>
                <w:lang w:eastAsia="en-AU"/>
              </w:rPr>
            </w:pPr>
          </w:p>
        </w:tc>
      </w:tr>
      <w:tr w:rsidR="00A72857" w:rsidRPr="00995AAE" w14:paraId="05DD637B"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3C2E1E56"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7.1 Representation  </w:t>
            </w:r>
          </w:p>
        </w:tc>
        <w:tc>
          <w:tcPr>
            <w:tcW w:w="1458" w:type="dxa"/>
            <w:tcBorders>
              <w:top w:val="nil"/>
              <w:left w:val="nil"/>
              <w:bottom w:val="single" w:sz="4" w:space="0" w:color="auto"/>
              <w:right w:val="single" w:sz="4" w:space="0" w:color="auto"/>
            </w:tcBorders>
            <w:shd w:val="clear" w:color="auto" w:fill="auto"/>
            <w:noWrap/>
            <w:vAlign w:val="center"/>
            <w:hideMark/>
          </w:tcPr>
          <w:p w14:paraId="504E9CB6"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72DED94A" w14:textId="77777777" w:rsidR="00A7485D" w:rsidRPr="00995AAE" w:rsidRDefault="00A7485D"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6A42F0A7"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311" w:type="dxa"/>
            <w:tcBorders>
              <w:top w:val="nil"/>
              <w:left w:val="nil"/>
              <w:bottom w:val="single" w:sz="4" w:space="0" w:color="auto"/>
              <w:right w:val="single" w:sz="4" w:space="0" w:color="auto"/>
            </w:tcBorders>
            <w:vAlign w:val="center"/>
          </w:tcPr>
          <w:p w14:paraId="251731C7" w14:textId="77777777" w:rsidR="00A7485D" w:rsidRPr="00995AAE" w:rsidRDefault="00A7485D" w:rsidP="00DA48EA">
            <w:pPr>
              <w:jc w:val="center"/>
              <w:rPr>
                <w:rFonts w:ascii="Wingdings" w:eastAsia="Times New Roman" w:hAnsi="Wingdings" w:cs="Calibri"/>
                <w:color w:val="000000"/>
                <w:sz w:val="20"/>
                <w:szCs w:val="20"/>
                <w:lang w:eastAsia="en-AU"/>
              </w:rPr>
            </w:pPr>
          </w:p>
        </w:tc>
      </w:tr>
      <w:tr w:rsidR="00A72857" w:rsidRPr="00995AAE" w14:paraId="4727B877"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193E2467"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7.2 Information for Prospective and Current Students  </w:t>
            </w:r>
          </w:p>
        </w:tc>
        <w:tc>
          <w:tcPr>
            <w:tcW w:w="1458" w:type="dxa"/>
            <w:tcBorders>
              <w:top w:val="nil"/>
              <w:left w:val="nil"/>
              <w:bottom w:val="single" w:sz="4" w:space="0" w:color="auto"/>
              <w:right w:val="single" w:sz="4" w:space="0" w:color="auto"/>
            </w:tcBorders>
            <w:shd w:val="clear" w:color="auto" w:fill="auto"/>
            <w:noWrap/>
            <w:vAlign w:val="center"/>
            <w:hideMark/>
          </w:tcPr>
          <w:p w14:paraId="0007382C"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30029EAA" w14:textId="77777777" w:rsidR="00A7485D" w:rsidRPr="00995AAE" w:rsidRDefault="00A7485D"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6F8DBFD1"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311" w:type="dxa"/>
            <w:tcBorders>
              <w:top w:val="nil"/>
              <w:left w:val="nil"/>
              <w:bottom w:val="single" w:sz="4" w:space="0" w:color="auto"/>
              <w:right w:val="single" w:sz="4" w:space="0" w:color="auto"/>
            </w:tcBorders>
            <w:vAlign w:val="center"/>
          </w:tcPr>
          <w:p w14:paraId="2C049729" w14:textId="77777777" w:rsidR="00A7485D" w:rsidRPr="00995AAE" w:rsidRDefault="00A7485D" w:rsidP="00DA48EA">
            <w:pPr>
              <w:jc w:val="center"/>
              <w:rPr>
                <w:rFonts w:ascii="Wingdings" w:eastAsia="Times New Roman" w:hAnsi="Wingdings" w:cs="Calibri"/>
                <w:color w:val="000000"/>
                <w:sz w:val="20"/>
                <w:szCs w:val="20"/>
                <w:lang w:eastAsia="en-AU"/>
              </w:rPr>
            </w:pPr>
          </w:p>
        </w:tc>
      </w:tr>
      <w:tr w:rsidR="00A72857" w:rsidRPr="00995AAE" w14:paraId="764EC706" w14:textId="77777777" w:rsidTr="00A72857">
        <w:trPr>
          <w:trHeight w:val="402"/>
          <w:jc w:val="center"/>
        </w:trPr>
        <w:tc>
          <w:tcPr>
            <w:tcW w:w="3559" w:type="dxa"/>
            <w:tcBorders>
              <w:top w:val="nil"/>
              <w:left w:val="single" w:sz="4" w:space="0" w:color="auto"/>
              <w:bottom w:val="single" w:sz="4" w:space="0" w:color="auto"/>
              <w:right w:val="single" w:sz="4" w:space="0" w:color="auto"/>
            </w:tcBorders>
            <w:shd w:val="clear" w:color="auto" w:fill="auto"/>
            <w:vAlign w:val="bottom"/>
            <w:hideMark/>
          </w:tcPr>
          <w:p w14:paraId="59DC8C63" w14:textId="77777777" w:rsidR="00A7485D" w:rsidRPr="00995AAE" w:rsidRDefault="00A7485D" w:rsidP="00AE2839">
            <w:pPr>
              <w:rPr>
                <w:rFonts w:ascii="Arial Narrow" w:eastAsia="Times New Roman" w:hAnsi="Arial Narrow" w:cs="Calibri"/>
                <w:color w:val="000000"/>
                <w:sz w:val="20"/>
                <w:szCs w:val="20"/>
                <w:lang w:eastAsia="en-AU"/>
              </w:rPr>
            </w:pPr>
            <w:r w:rsidRPr="00995AAE">
              <w:rPr>
                <w:rFonts w:ascii="Arial Narrow" w:eastAsia="Times New Roman" w:hAnsi="Arial Narrow" w:cs="Calibri"/>
                <w:color w:val="000000"/>
                <w:sz w:val="20"/>
                <w:szCs w:val="20"/>
                <w:lang w:eastAsia="en-AU"/>
              </w:rPr>
              <w:t xml:space="preserve">7.3 Information Management  </w:t>
            </w:r>
          </w:p>
        </w:tc>
        <w:tc>
          <w:tcPr>
            <w:tcW w:w="1458" w:type="dxa"/>
            <w:tcBorders>
              <w:top w:val="nil"/>
              <w:left w:val="nil"/>
              <w:bottom w:val="single" w:sz="4" w:space="0" w:color="auto"/>
              <w:right w:val="single" w:sz="4" w:space="0" w:color="auto"/>
            </w:tcBorders>
            <w:shd w:val="clear" w:color="auto" w:fill="auto"/>
            <w:noWrap/>
            <w:vAlign w:val="center"/>
            <w:hideMark/>
          </w:tcPr>
          <w:p w14:paraId="7D02A606"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nil"/>
              <w:left w:val="nil"/>
              <w:bottom w:val="single" w:sz="4" w:space="0" w:color="auto"/>
              <w:right w:val="single" w:sz="4" w:space="0" w:color="auto"/>
            </w:tcBorders>
            <w:shd w:val="clear" w:color="auto" w:fill="auto"/>
            <w:noWrap/>
            <w:vAlign w:val="center"/>
          </w:tcPr>
          <w:p w14:paraId="69A8423E" w14:textId="77777777" w:rsidR="00A7485D" w:rsidRPr="00995AAE" w:rsidRDefault="00A7485D" w:rsidP="00A72857">
            <w:pPr>
              <w:jc w:val="center"/>
              <w:rPr>
                <w:rFonts w:ascii="Wingdings" w:eastAsia="Times New Roman" w:hAnsi="Wingdings" w:cs="Calibri"/>
                <w:color w:val="000000"/>
                <w:sz w:val="20"/>
                <w:szCs w:val="20"/>
                <w:lang w:eastAsia="en-AU"/>
              </w:rPr>
            </w:pPr>
          </w:p>
        </w:tc>
        <w:tc>
          <w:tcPr>
            <w:tcW w:w="2551" w:type="dxa"/>
            <w:tcBorders>
              <w:top w:val="nil"/>
              <w:left w:val="nil"/>
              <w:bottom w:val="single" w:sz="4" w:space="0" w:color="auto"/>
              <w:right w:val="single" w:sz="4" w:space="0" w:color="auto"/>
            </w:tcBorders>
            <w:vAlign w:val="center"/>
          </w:tcPr>
          <w:p w14:paraId="77022D58"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311" w:type="dxa"/>
            <w:tcBorders>
              <w:top w:val="nil"/>
              <w:left w:val="nil"/>
              <w:bottom w:val="single" w:sz="4" w:space="0" w:color="auto"/>
              <w:right w:val="single" w:sz="4" w:space="0" w:color="auto"/>
            </w:tcBorders>
            <w:vAlign w:val="center"/>
          </w:tcPr>
          <w:p w14:paraId="29928D98" w14:textId="77777777" w:rsidR="00A7485D" w:rsidRPr="00995AAE" w:rsidRDefault="00A7485D" w:rsidP="00DA48EA">
            <w:pPr>
              <w:jc w:val="center"/>
              <w:rPr>
                <w:rFonts w:ascii="Wingdings" w:eastAsia="Times New Roman" w:hAnsi="Wingdings" w:cs="Calibri"/>
                <w:color w:val="000000"/>
                <w:sz w:val="20"/>
                <w:szCs w:val="20"/>
                <w:lang w:eastAsia="en-AU"/>
              </w:rPr>
            </w:pPr>
          </w:p>
        </w:tc>
      </w:tr>
      <w:tr w:rsidR="00A7485D" w:rsidRPr="00995AAE" w14:paraId="68B8A263" w14:textId="77777777" w:rsidTr="00A72857">
        <w:trPr>
          <w:trHeight w:val="402"/>
          <w:jc w:val="center"/>
        </w:trPr>
        <w:tc>
          <w:tcPr>
            <w:tcW w:w="872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73623F8" w14:textId="77777777" w:rsidR="00A7485D" w:rsidRPr="00995AAE" w:rsidRDefault="00A7485D" w:rsidP="00A72857">
            <w:pPr>
              <w:jc w:val="center"/>
              <w:rPr>
                <w:rFonts w:ascii="Arial Narrow" w:eastAsia="Times New Roman" w:hAnsi="Arial Narrow" w:cs="Calibri"/>
                <w:b/>
                <w:bCs/>
                <w:color w:val="000000"/>
                <w:sz w:val="20"/>
                <w:szCs w:val="20"/>
                <w:lang w:eastAsia="en-AU"/>
              </w:rPr>
            </w:pPr>
            <w:r w:rsidRPr="00995AAE">
              <w:rPr>
                <w:rFonts w:ascii="Arial Narrow" w:eastAsia="Times New Roman" w:hAnsi="Arial Narrow" w:cs="Calibri"/>
                <w:b/>
                <w:bCs/>
                <w:color w:val="000000"/>
                <w:sz w:val="20"/>
                <w:szCs w:val="20"/>
                <w:lang w:eastAsia="en-AU"/>
              </w:rPr>
              <w:t>Part B: Criteria for Higher Education Providers</w:t>
            </w:r>
          </w:p>
        </w:tc>
        <w:tc>
          <w:tcPr>
            <w:tcW w:w="131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30EC56D" w14:textId="77777777" w:rsidR="00A7485D" w:rsidRPr="00995AAE" w:rsidRDefault="00A7485D" w:rsidP="00A72857">
            <w:pPr>
              <w:jc w:val="center"/>
              <w:rPr>
                <w:rFonts w:ascii="Arial Narrow" w:eastAsia="Times New Roman" w:hAnsi="Arial Narrow" w:cs="Calibri"/>
                <w:b/>
                <w:bCs/>
                <w:color w:val="000000"/>
                <w:sz w:val="20"/>
                <w:szCs w:val="20"/>
                <w:lang w:eastAsia="en-AU"/>
              </w:rPr>
            </w:pPr>
          </w:p>
        </w:tc>
      </w:tr>
      <w:tr w:rsidR="00A72857" w:rsidRPr="00995AAE" w14:paraId="63CCFB65" w14:textId="77777777" w:rsidTr="00A72857">
        <w:trPr>
          <w:trHeight w:val="402"/>
          <w:jc w:val="center"/>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14:paraId="0E3AAE3A" w14:textId="77777777" w:rsidR="00A7485D" w:rsidRPr="00995AAE" w:rsidRDefault="00A7485D" w:rsidP="002132E6">
            <w:pPr>
              <w:rPr>
                <w:rFonts w:ascii="Arial Narrow" w:eastAsia="Times New Roman" w:hAnsi="Arial Narrow" w:cs="Calibri"/>
                <w:color w:val="000000"/>
                <w:sz w:val="20"/>
                <w:szCs w:val="20"/>
                <w:lang w:eastAsia="en-AU"/>
              </w:rPr>
            </w:pPr>
            <w:proofErr w:type="spellStart"/>
            <w:r w:rsidRPr="00995AAE">
              <w:rPr>
                <w:rFonts w:ascii="Arial Narrow" w:eastAsia="Times New Roman" w:hAnsi="Arial Narrow" w:cs="Calibri"/>
                <w:color w:val="000000"/>
                <w:sz w:val="20"/>
                <w:szCs w:val="20"/>
                <w:lang w:eastAsia="en-AU"/>
              </w:rPr>
              <w:t>B</w:t>
            </w:r>
            <w:r w:rsidR="002132E6" w:rsidRPr="00995AAE">
              <w:rPr>
                <w:rFonts w:ascii="Arial Narrow" w:eastAsia="Times New Roman" w:hAnsi="Arial Narrow" w:cs="Calibri"/>
                <w:color w:val="000000"/>
                <w:sz w:val="20"/>
                <w:szCs w:val="20"/>
                <w:lang w:eastAsia="en-AU"/>
              </w:rPr>
              <w:t>1</w:t>
            </w:r>
            <w:proofErr w:type="spellEnd"/>
            <w:r w:rsidRPr="00995AAE">
              <w:rPr>
                <w:rFonts w:ascii="Arial Narrow" w:eastAsia="Times New Roman" w:hAnsi="Arial Narrow" w:cs="Calibri"/>
                <w:color w:val="000000"/>
                <w:sz w:val="20"/>
                <w:szCs w:val="20"/>
                <w:lang w:eastAsia="en-AU"/>
              </w:rPr>
              <w:t xml:space="preserve"> Classification of Higher Education Providers</w:t>
            </w:r>
          </w:p>
        </w:tc>
        <w:tc>
          <w:tcPr>
            <w:tcW w:w="1458" w:type="dxa"/>
            <w:tcBorders>
              <w:top w:val="single" w:sz="4" w:space="0" w:color="auto"/>
              <w:left w:val="nil"/>
              <w:bottom w:val="single" w:sz="4" w:space="0" w:color="auto"/>
              <w:right w:val="single" w:sz="4" w:space="0" w:color="auto"/>
            </w:tcBorders>
            <w:shd w:val="clear" w:color="auto" w:fill="auto"/>
            <w:noWrap/>
            <w:vAlign w:val="center"/>
          </w:tcPr>
          <w:p w14:paraId="7C3A8DA8" w14:textId="77777777" w:rsidR="00A7485D" w:rsidRPr="00995AA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6D5954C6" w14:textId="77777777" w:rsidR="00A7485D" w:rsidRPr="00995AAE" w:rsidDel="00DD625E" w:rsidRDefault="00A7485D" w:rsidP="00A72857">
            <w:pPr>
              <w:jc w:val="center"/>
              <w:rPr>
                <w:rFonts w:ascii="Wingdings" w:eastAsia="Times New Roman" w:hAnsi="Wingdings" w:cs="Calibri"/>
                <w:color w:val="000000"/>
                <w:sz w:val="20"/>
                <w:szCs w:val="20"/>
                <w:lang w:eastAsia="en-AU"/>
              </w:rPr>
            </w:pPr>
            <w:r w:rsidRPr="00995AAE">
              <w:rPr>
                <w:rFonts w:ascii="Wingdings" w:eastAsia="Times New Roman" w:hAnsi="Wingdings" w:cs="Calibri"/>
                <w:color w:val="000000"/>
                <w:sz w:val="20"/>
                <w:szCs w:val="20"/>
                <w:lang w:eastAsia="en-AU"/>
              </w:rPr>
              <w:t></w:t>
            </w:r>
          </w:p>
        </w:tc>
        <w:tc>
          <w:tcPr>
            <w:tcW w:w="2551" w:type="dxa"/>
            <w:tcBorders>
              <w:top w:val="single" w:sz="4" w:space="0" w:color="auto"/>
              <w:left w:val="nil"/>
              <w:bottom w:val="single" w:sz="4" w:space="0" w:color="auto"/>
              <w:right w:val="single" w:sz="4" w:space="0" w:color="auto"/>
            </w:tcBorders>
            <w:vAlign w:val="center"/>
          </w:tcPr>
          <w:p w14:paraId="17161B9B" w14:textId="77777777" w:rsidR="00A7485D" w:rsidRPr="00995AAE" w:rsidRDefault="00A7485D" w:rsidP="00A72857">
            <w:pPr>
              <w:jc w:val="center"/>
              <w:rPr>
                <w:rFonts w:ascii="Wingdings" w:eastAsia="Times New Roman" w:hAnsi="Wingdings" w:cs="Calibri"/>
                <w:color w:val="000000"/>
                <w:sz w:val="20"/>
                <w:szCs w:val="20"/>
                <w:lang w:eastAsia="en-AU"/>
              </w:rPr>
            </w:pPr>
          </w:p>
        </w:tc>
        <w:tc>
          <w:tcPr>
            <w:tcW w:w="1311" w:type="dxa"/>
            <w:tcBorders>
              <w:top w:val="single" w:sz="4" w:space="0" w:color="auto"/>
              <w:left w:val="nil"/>
              <w:bottom w:val="single" w:sz="4" w:space="0" w:color="auto"/>
              <w:right w:val="single" w:sz="4" w:space="0" w:color="auto"/>
            </w:tcBorders>
            <w:vAlign w:val="center"/>
          </w:tcPr>
          <w:p w14:paraId="462DBD89" w14:textId="77777777" w:rsidR="00A7485D" w:rsidRPr="00995AAE" w:rsidRDefault="00A7485D" w:rsidP="00DA48EA">
            <w:pPr>
              <w:jc w:val="center"/>
              <w:rPr>
                <w:rFonts w:ascii="Wingdings" w:eastAsia="Times New Roman" w:hAnsi="Wingdings" w:cs="Calibri"/>
                <w:color w:val="000000"/>
                <w:sz w:val="20"/>
                <w:szCs w:val="20"/>
                <w:lang w:eastAsia="en-AU"/>
              </w:rPr>
            </w:pPr>
          </w:p>
        </w:tc>
      </w:tr>
      <w:tr w:rsidR="00A72857" w:rsidRPr="00995AAE" w14:paraId="3D0F7220" w14:textId="77777777" w:rsidTr="00A72857">
        <w:trPr>
          <w:trHeight w:val="402"/>
          <w:jc w:val="center"/>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tcPr>
          <w:p w14:paraId="49D54E99" w14:textId="77777777" w:rsidR="00A7485D" w:rsidRPr="00995AAE" w:rsidRDefault="00A7485D" w:rsidP="002132E6">
            <w:pPr>
              <w:rPr>
                <w:rFonts w:ascii="Arial Narrow" w:eastAsia="Times New Roman" w:hAnsi="Arial Narrow" w:cs="Calibri"/>
                <w:color w:val="000000"/>
                <w:sz w:val="20"/>
                <w:szCs w:val="20"/>
                <w:lang w:eastAsia="en-AU"/>
              </w:rPr>
            </w:pPr>
            <w:proofErr w:type="spellStart"/>
            <w:r w:rsidRPr="00995AAE">
              <w:rPr>
                <w:rFonts w:ascii="Arial Narrow" w:eastAsia="Times New Roman" w:hAnsi="Arial Narrow" w:cs="Calibri"/>
                <w:color w:val="000000"/>
                <w:sz w:val="20"/>
                <w:szCs w:val="20"/>
                <w:lang w:eastAsia="en-AU"/>
              </w:rPr>
              <w:t>B</w:t>
            </w:r>
            <w:r w:rsidR="002132E6" w:rsidRPr="00995AAE">
              <w:rPr>
                <w:rFonts w:ascii="Arial Narrow" w:eastAsia="Times New Roman" w:hAnsi="Arial Narrow" w:cs="Calibri"/>
                <w:color w:val="000000"/>
                <w:sz w:val="20"/>
                <w:szCs w:val="20"/>
                <w:lang w:eastAsia="en-AU"/>
              </w:rPr>
              <w:t>2</w:t>
            </w:r>
            <w:proofErr w:type="spellEnd"/>
            <w:r w:rsidRPr="00995AAE">
              <w:rPr>
                <w:rFonts w:ascii="Arial Narrow" w:eastAsia="Times New Roman" w:hAnsi="Arial Narrow" w:cs="Calibri"/>
                <w:color w:val="000000"/>
                <w:sz w:val="20"/>
                <w:szCs w:val="20"/>
                <w:lang w:eastAsia="en-AU"/>
              </w:rPr>
              <w:t xml:space="preserve"> Authority for Self-Accreditation of Courses of Study</w:t>
            </w:r>
          </w:p>
        </w:tc>
        <w:tc>
          <w:tcPr>
            <w:tcW w:w="1458" w:type="dxa"/>
            <w:tcBorders>
              <w:top w:val="single" w:sz="4" w:space="0" w:color="auto"/>
              <w:left w:val="nil"/>
              <w:bottom w:val="single" w:sz="4" w:space="0" w:color="auto"/>
              <w:right w:val="single" w:sz="4" w:space="0" w:color="auto"/>
            </w:tcBorders>
            <w:shd w:val="clear" w:color="auto" w:fill="auto"/>
            <w:noWrap/>
            <w:vAlign w:val="center"/>
          </w:tcPr>
          <w:p w14:paraId="1735158E" w14:textId="77777777" w:rsidR="00A7485D" w:rsidRPr="00995AAE" w:rsidRDefault="00A7485D" w:rsidP="00A72857">
            <w:pPr>
              <w:jc w:val="center"/>
              <w:rPr>
                <w:rFonts w:ascii="Wingdings" w:eastAsia="Times New Roman" w:hAnsi="Wingdings" w:cs="Calibri"/>
                <w:color w:val="000000"/>
                <w:sz w:val="20"/>
                <w:szCs w:val="20"/>
                <w:lang w:eastAsia="en-AU"/>
              </w:rPr>
            </w:pPr>
          </w:p>
        </w:tc>
        <w:tc>
          <w:tcPr>
            <w:tcW w:w="1152" w:type="dxa"/>
            <w:tcBorders>
              <w:top w:val="single" w:sz="4" w:space="0" w:color="auto"/>
              <w:left w:val="nil"/>
              <w:bottom w:val="single" w:sz="4" w:space="0" w:color="auto"/>
              <w:right w:val="single" w:sz="4" w:space="0" w:color="auto"/>
            </w:tcBorders>
            <w:shd w:val="clear" w:color="auto" w:fill="auto"/>
            <w:noWrap/>
            <w:vAlign w:val="center"/>
          </w:tcPr>
          <w:p w14:paraId="6A88B77C" w14:textId="77777777" w:rsidR="00A7485D" w:rsidRPr="00995AAE" w:rsidDel="00DD625E" w:rsidRDefault="00A7485D" w:rsidP="00A72857">
            <w:pPr>
              <w:jc w:val="center"/>
              <w:rPr>
                <w:rFonts w:ascii="Wingdings" w:eastAsia="Times New Roman" w:hAnsi="Wingdings" w:cs="Calibri"/>
                <w:color w:val="000000"/>
                <w:sz w:val="20"/>
                <w:szCs w:val="20"/>
                <w:lang w:eastAsia="en-AU"/>
              </w:rPr>
            </w:pPr>
          </w:p>
        </w:tc>
        <w:tc>
          <w:tcPr>
            <w:tcW w:w="2551" w:type="dxa"/>
            <w:tcBorders>
              <w:top w:val="single" w:sz="4" w:space="0" w:color="auto"/>
              <w:left w:val="nil"/>
              <w:bottom w:val="single" w:sz="4" w:space="0" w:color="auto"/>
              <w:right w:val="single" w:sz="4" w:space="0" w:color="auto"/>
            </w:tcBorders>
            <w:vAlign w:val="center"/>
          </w:tcPr>
          <w:p w14:paraId="19F3F427" w14:textId="77777777" w:rsidR="00A7485D" w:rsidRPr="00995AAE" w:rsidRDefault="00A7485D" w:rsidP="00A72857">
            <w:pPr>
              <w:jc w:val="center"/>
              <w:rPr>
                <w:rFonts w:ascii="Calibri" w:eastAsia="Times New Roman" w:hAnsi="Calibri" w:cs="Calibri"/>
                <w:color w:val="000000"/>
                <w:sz w:val="20"/>
                <w:szCs w:val="20"/>
                <w:lang w:eastAsia="en-AU"/>
              </w:rPr>
            </w:pPr>
            <w:r w:rsidRPr="00995AAE">
              <w:rPr>
                <w:rFonts w:ascii="Wingdings" w:eastAsia="Times New Roman" w:hAnsi="Wingdings" w:cs="Calibri"/>
                <w:color w:val="000000"/>
                <w:sz w:val="20"/>
                <w:szCs w:val="20"/>
                <w:lang w:eastAsia="en-AU"/>
              </w:rPr>
              <w:t></w:t>
            </w:r>
            <w:r w:rsidRPr="00995AAE">
              <w:rPr>
                <w:rFonts w:ascii="Calibri" w:eastAsia="Times New Roman" w:hAnsi="Calibri" w:cs="Calibri"/>
                <w:color w:val="000000"/>
                <w:sz w:val="20"/>
                <w:szCs w:val="20"/>
                <w:lang w:eastAsia="en-AU"/>
              </w:rPr>
              <w:t xml:space="preserve"> (if applicable to the provider)</w:t>
            </w:r>
          </w:p>
        </w:tc>
        <w:tc>
          <w:tcPr>
            <w:tcW w:w="1311" w:type="dxa"/>
            <w:tcBorders>
              <w:top w:val="single" w:sz="4" w:space="0" w:color="auto"/>
              <w:left w:val="nil"/>
              <w:bottom w:val="single" w:sz="4" w:space="0" w:color="auto"/>
              <w:right w:val="single" w:sz="4" w:space="0" w:color="auto"/>
            </w:tcBorders>
            <w:vAlign w:val="center"/>
          </w:tcPr>
          <w:p w14:paraId="3EEA496B" w14:textId="77777777" w:rsidR="00A7485D" w:rsidRPr="00995AAE" w:rsidRDefault="00A7485D" w:rsidP="00DA48EA">
            <w:pPr>
              <w:jc w:val="center"/>
              <w:rPr>
                <w:rFonts w:ascii="Wingdings" w:eastAsia="Times New Roman" w:hAnsi="Wingdings" w:cs="Calibri"/>
                <w:color w:val="000000"/>
                <w:sz w:val="20"/>
                <w:szCs w:val="20"/>
                <w:lang w:eastAsia="en-AU"/>
              </w:rPr>
            </w:pPr>
          </w:p>
        </w:tc>
      </w:tr>
    </w:tbl>
    <w:p w14:paraId="149A10D1" w14:textId="77777777" w:rsidR="0052501F" w:rsidRPr="00995AAE" w:rsidRDefault="0052501F" w:rsidP="00EF4672">
      <w:pPr>
        <w:rPr>
          <w:rFonts w:cs="Arial"/>
          <w:sz w:val="24"/>
          <w:szCs w:val="24"/>
        </w:rPr>
      </w:pPr>
    </w:p>
    <w:p w14:paraId="7583D792" w14:textId="77777777" w:rsidR="009213AC" w:rsidRPr="00995AAE" w:rsidRDefault="009213AC" w:rsidP="00735FE9">
      <w:pPr>
        <w:rPr>
          <w:rFonts w:cs="Arial"/>
          <w:sz w:val="24"/>
          <w:szCs w:val="24"/>
        </w:rPr>
      </w:pPr>
    </w:p>
    <w:p w14:paraId="5DF1FE56" w14:textId="77777777" w:rsidR="009213AC" w:rsidRPr="00995AAE" w:rsidRDefault="009213AC" w:rsidP="007D58C0">
      <w:pPr>
        <w:ind w:left="284" w:hanging="284"/>
        <w:contextualSpacing/>
        <w:rPr>
          <w:rFonts w:cs="Arial"/>
          <w:b/>
          <w:sz w:val="24"/>
          <w:szCs w:val="24"/>
        </w:rPr>
      </w:pPr>
      <w:r w:rsidRPr="00995AAE">
        <w:rPr>
          <w:rFonts w:cs="Arial"/>
          <w:b/>
          <w:sz w:val="24"/>
          <w:szCs w:val="24"/>
        </w:rPr>
        <w:t>4. Commencement</w:t>
      </w:r>
    </w:p>
    <w:p w14:paraId="27B724A7" w14:textId="77777777" w:rsidR="009213AC" w:rsidRPr="00995AAE" w:rsidRDefault="009213AC" w:rsidP="009213AC">
      <w:pPr>
        <w:rPr>
          <w:rFonts w:cs="Arial"/>
          <w:sz w:val="24"/>
          <w:szCs w:val="24"/>
        </w:rPr>
      </w:pPr>
    </w:p>
    <w:p w14:paraId="3805D45D" w14:textId="77777777" w:rsidR="009213AC" w:rsidRPr="00995AAE" w:rsidRDefault="000321AD" w:rsidP="007D58C0">
      <w:pPr>
        <w:rPr>
          <w:rFonts w:cs="Arial"/>
          <w:sz w:val="24"/>
          <w:szCs w:val="24"/>
        </w:rPr>
      </w:pPr>
      <w:r w:rsidRPr="00995AAE">
        <w:rPr>
          <w:rFonts w:cs="Arial"/>
          <w:sz w:val="24"/>
          <w:szCs w:val="24"/>
        </w:rPr>
        <w:t>T</w:t>
      </w:r>
      <w:r w:rsidR="009213AC" w:rsidRPr="00995AAE">
        <w:rPr>
          <w:rFonts w:cs="Arial"/>
          <w:sz w:val="24"/>
          <w:szCs w:val="24"/>
        </w:rPr>
        <w:t xml:space="preserve">his legislative instrument commences on 1 </w:t>
      </w:r>
      <w:r w:rsidR="00396477" w:rsidRPr="00995AAE">
        <w:rPr>
          <w:rFonts w:cs="Arial"/>
          <w:sz w:val="24"/>
          <w:szCs w:val="24"/>
        </w:rPr>
        <w:t>January 2017</w:t>
      </w:r>
      <w:r w:rsidR="00D34BC4" w:rsidRPr="00995AAE">
        <w:rPr>
          <w:rFonts w:cs="Arial"/>
          <w:sz w:val="24"/>
          <w:szCs w:val="24"/>
        </w:rPr>
        <w:t xml:space="preserve"> (</w:t>
      </w:r>
      <w:r w:rsidR="00D34BC4" w:rsidRPr="00995AAE">
        <w:rPr>
          <w:rFonts w:cs="Arial"/>
          <w:b/>
          <w:i/>
          <w:sz w:val="24"/>
          <w:szCs w:val="24"/>
        </w:rPr>
        <w:t>commencement date</w:t>
      </w:r>
      <w:r w:rsidR="00D34BC4" w:rsidRPr="00995AAE">
        <w:rPr>
          <w:rFonts w:cs="Arial"/>
          <w:sz w:val="24"/>
          <w:szCs w:val="24"/>
        </w:rPr>
        <w:t>)</w:t>
      </w:r>
      <w:r w:rsidR="004E15B9">
        <w:rPr>
          <w:rFonts w:cs="Arial"/>
          <w:sz w:val="24"/>
          <w:szCs w:val="24"/>
        </w:rPr>
        <w:t>.</w:t>
      </w:r>
    </w:p>
    <w:p w14:paraId="52B0C861" w14:textId="77777777" w:rsidR="009213AC" w:rsidRPr="00995AAE" w:rsidRDefault="009213AC" w:rsidP="009213AC">
      <w:pPr>
        <w:rPr>
          <w:rFonts w:cs="Arial"/>
          <w:sz w:val="24"/>
          <w:szCs w:val="24"/>
        </w:rPr>
      </w:pPr>
    </w:p>
    <w:p w14:paraId="63040DD9" w14:textId="77777777" w:rsidR="000321AD" w:rsidRPr="00995AAE" w:rsidRDefault="000321AD">
      <w:pPr>
        <w:tabs>
          <w:tab w:val="clear" w:pos="1134"/>
        </w:tabs>
        <w:spacing w:after="200" w:line="276" w:lineRule="auto"/>
        <w:jc w:val="left"/>
        <w:rPr>
          <w:rFonts w:cs="Arial"/>
          <w:sz w:val="24"/>
          <w:szCs w:val="24"/>
        </w:rPr>
      </w:pPr>
      <w:r w:rsidRPr="00995AAE">
        <w:rPr>
          <w:rFonts w:cs="Arial"/>
          <w:sz w:val="24"/>
          <w:szCs w:val="24"/>
        </w:rPr>
        <w:br w:type="page"/>
      </w:r>
    </w:p>
    <w:p w14:paraId="2D942B27" w14:textId="77777777" w:rsidR="009213AC" w:rsidRPr="00995AAE" w:rsidRDefault="009213AC" w:rsidP="007D58C0">
      <w:pPr>
        <w:ind w:left="284" w:hanging="284"/>
        <w:contextualSpacing/>
        <w:rPr>
          <w:rFonts w:cs="Arial"/>
          <w:b/>
          <w:sz w:val="24"/>
          <w:szCs w:val="24"/>
        </w:rPr>
      </w:pPr>
      <w:r w:rsidRPr="00995AAE">
        <w:rPr>
          <w:rFonts w:cs="Arial"/>
          <w:b/>
          <w:sz w:val="24"/>
          <w:szCs w:val="24"/>
        </w:rPr>
        <w:lastRenderedPageBreak/>
        <w:t xml:space="preserve">5. </w:t>
      </w:r>
      <w:r w:rsidR="00D34BC4" w:rsidRPr="00995AAE">
        <w:rPr>
          <w:rFonts w:cs="Arial"/>
          <w:b/>
          <w:sz w:val="24"/>
          <w:szCs w:val="24"/>
        </w:rPr>
        <w:t xml:space="preserve">Application and savings </w:t>
      </w:r>
      <w:r w:rsidRPr="00995AAE">
        <w:rPr>
          <w:rFonts w:cs="Arial"/>
          <w:b/>
          <w:sz w:val="24"/>
          <w:szCs w:val="24"/>
        </w:rPr>
        <w:t xml:space="preserve">provision for </w:t>
      </w:r>
      <w:r w:rsidR="000321AD" w:rsidRPr="00995AAE">
        <w:rPr>
          <w:rFonts w:cs="Arial"/>
          <w:b/>
          <w:sz w:val="24"/>
          <w:szCs w:val="24"/>
        </w:rPr>
        <w:t xml:space="preserve">applications made before </w:t>
      </w:r>
      <w:r w:rsidR="00363778" w:rsidRPr="00995AAE">
        <w:rPr>
          <w:rFonts w:cs="Arial"/>
          <w:b/>
          <w:sz w:val="24"/>
          <w:szCs w:val="24"/>
        </w:rPr>
        <w:t>this instrument commences</w:t>
      </w:r>
    </w:p>
    <w:p w14:paraId="28485189" w14:textId="77777777" w:rsidR="009213AC" w:rsidRPr="00995AAE" w:rsidRDefault="009213AC" w:rsidP="009213AC">
      <w:pPr>
        <w:rPr>
          <w:rFonts w:cs="Arial"/>
          <w:sz w:val="24"/>
          <w:szCs w:val="24"/>
        </w:rPr>
      </w:pPr>
    </w:p>
    <w:p w14:paraId="796CAA7D" w14:textId="77777777" w:rsidR="00363778" w:rsidRPr="00995AAE" w:rsidRDefault="00363778" w:rsidP="00CA4B0F">
      <w:pPr>
        <w:pStyle w:val="ListParagraph"/>
        <w:numPr>
          <w:ilvl w:val="0"/>
          <w:numId w:val="33"/>
        </w:numPr>
        <w:rPr>
          <w:rFonts w:cs="Arial"/>
          <w:sz w:val="24"/>
          <w:szCs w:val="24"/>
        </w:rPr>
      </w:pPr>
      <w:r w:rsidRPr="00995AAE">
        <w:rPr>
          <w:rFonts w:cs="Arial"/>
          <w:sz w:val="24"/>
          <w:szCs w:val="24"/>
        </w:rPr>
        <w:t>This item applies in relation to</w:t>
      </w:r>
      <w:r w:rsidR="00D34BC4" w:rsidRPr="00995AAE">
        <w:rPr>
          <w:rFonts w:cs="Arial"/>
          <w:sz w:val="24"/>
          <w:szCs w:val="24"/>
        </w:rPr>
        <w:t xml:space="preserve"> an entity if, before the commencement date</w:t>
      </w:r>
      <w:r w:rsidRPr="00995AAE">
        <w:rPr>
          <w:rFonts w:cs="Arial"/>
          <w:sz w:val="24"/>
          <w:szCs w:val="24"/>
        </w:rPr>
        <w:t>:</w:t>
      </w:r>
    </w:p>
    <w:p w14:paraId="58D586AD" w14:textId="77777777" w:rsidR="00FB2D1B" w:rsidRPr="00995AAE" w:rsidRDefault="00FB2D1B" w:rsidP="00CA4B0F">
      <w:pPr>
        <w:rPr>
          <w:rFonts w:cs="Arial"/>
          <w:sz w:val="24"/>
          <w:szCs w:val="24"/>
        </w:rPr>
      </w:pPr>
    </w:p>
    <w:p w14:paraId="129C9210" w14:textId="716E5BED" w:rsidR="009213AC" w:rsidRPr="00995AAE" w:rsidRDefault="00D34BC4" w:rsidP="00363778">
      <w:pPr>
        <w:pStyle w:val="ListParagraph"/>
        <w:numPr>
          <w:ilvl w:val="0"/>
          <w:numId w:val="34"/>
        </w:numPr>
        <w:rPr>
          <w:rFonts w:cs="Arial"/>
          <w:sz w:val="24"/>
          <w:szCs w:val="24"/>
        </w:rPr>
      </w:pPr>
      <w:r w:rsidRPr="00995AAE">
        <w:rPr>
          <w:rFonts w:cs="Arial"/>
          <w:sz w:val="24"/>
          <w:szCs w:val="24"/>
        </w:rPr>
        <w:t xml:space="preserve">the entity makes </w:t>
      </w:r>
      <w:r w:rsidR="00363778" w:rsidRPr="00995AAE">
        <w:rPr>
          <w:rFonts w:cs="Arial"/>
          <w:sz w:val="24"/>
          <w:szCs w:val="24"/>
        </w:rPr>
        <w:t>a</w:t>
      </w:r>
      <w:r w:rsidR="009213AC" w:rsidRPr="00995AAE">
        <w:rPr>
          <w:rFonts w:cs="Arial"/>
          <w:sz w:val="24"/>
          <w:szCs w:val="24"/>
        </w:rPr>
        <w:t xml:space="preserve">n application to TEQSA under Part 3 (registration) </w:t>
      </w:r>
      <w:r w:rsidR="00836F13" w:rsidRPr="00995AAE">
        <w:rPr>
          <w:rFonts w:cs="Arial"/>
          <w:sz w:val="24"/>
          <w:szCs w:val="24"/>
        </w:rPr>
        <w:t xml:space="preserve">or Part 4 (accreditation) </w:t>
      </w:r>
      <w:r w:rsidR="009213AC" w:rsidRPr="00995AAE">
        <w:rPr>
          <w:rFonts w:cs="Arial"/>
          <w:sz w:val="24"/>
          <w:szCs w:val="24"/>
        </w:rPr>
        <w:t>of the TEQSA Act</w:t>
      </w:r>
      <w:r w:rsidR="00A866BE">
        <w:rPr>
          <w:rFonts w:cs="Arial"/>
          <w:sz w:val="24"/>
          <w:szCs w:val="24"/>
        </w:rPr>
        <w:t>,</w:t>
      </w:r>
      <w:r w:rsidR="00363778" w:rsidRPr="00995AAE">
        <w:rPr>
          <w:rFonts w:cs="Arial"/>
          <w:sz w:val="24"/>
          <w:szCs w:val="24"/>
        </w:rPr>
        <w:t xml:space="preserve"> </w:t>
      </w:r>
      <w:r w:rsidR="004E15B9">
        <w:rPr>
          <w:rFonts w:cs="Arial"/>
          <w:sz w:val="24"/>
          <w:szCs w:val="24"/>
        </w:rPr>
        <w:t>and</w:t>
      </w:r>
    </w:p>
    <w:p w14:paraId="1B9C22EB" w14:textId="77777777" w:rsidR="009213AC" w:rsidRPr="00995AAE" w:rsidRDefault="009213AC" w:rsidP="009213AC">
      <w:pPr>
        <w:rPr>
          <w:rFonts w:cs="Arial"/>
          <w:sz w:val="24"/>
          <w:szCs w:val="24"/>
        </w:rPr>
      </w:pPr>
    </w:p>
    <w:p w14:paraId="4FF44033" w14:textId="77777777" w:rsidR="00836F13" w:rsidRPr="00995AAE" w:rsidRDefault="00D34BC4" w:rsidP="00CA4B0F">
      <w:pPr>
        <w:pStyle w:val="ListParagraph"/>
        <w:numPr>
          <w:ilvl w:val="0"/>
          <w:numId w:val="34"/>
        </w:numPr>
        <w:rPr>
          <w:rFonts w:cs="Arial"/>
          <w:sz w:val="24"/>
          <w:szCs w:val="24"/>
        </w:rPr>
      </w:pPr>
      <w:r w:rsidRPr="00995AAE">
        <w:rPr>
          <w:rFonts w:cs="Arial"/>
          <w:sz w:val="24"/>
          <w:szCs w:val="24"/>
        </w:rPr>
        <w:t xml:space="preserve">TEQSA has not made </w:t>
      </w:r>
      <w:r w:rsidR="00193B3D" w:rsidRPr="00995AAE">
        <w:rPr>
          <w:rFonts w:cs="Arial"/>
          <w:sz w:val="24"/>
          <w:szCs w:val="24"/>
        </w:rPr>
        <w:t xml:space="preserve">a decision </w:t>
      </w:r>
      <w:r w:rsidRPr="00995AAE">
        <w:rPr>
          <w:rFonts w:cs="Arial"/>
          <w:sz w:val="24"/>
          <w:szCs w:val="24"/>
        </w:rPr>
        <w:t>in respect of the application</w:t>
      </w:r>
      <w:r w:rsidR="00836F13" w:rsidRPr="00995AAE">
        <w:rPr>
          <w:rFonts w:cs="Arial"/>
          <w:sz w:val="24"/>
          <w:szCs w:val="24"/>
        </w:rPr>
        <w:t>.</w:t>
      </w:r>
    </w:p>
    <w:p w14:paraId="684FD285" w14:textId="77777777" w:rsidR="00D34BC4" w:rsidRPr="00995AAE" w:rsidRDefault="00D34BC4" w:rsidP="00D34BC4">
      <w:pPr>
        <w:rPr>
          <w:rFonts w:cs="Arial"/>
          <w:sz w:val="24"/>
          <w:szCs w:val="24"/>
        </w:rPr>
      </w:pPr>
    </w:p>
    <w:p w14:paraId="594C2B08" w14:textId="77777777" w:rsidR="00D34BC4" w:rsidRPr="00995AAE" w:rsidRDefault="00D34BC4" w:rsidP="00D34BC4">
      <w:pPr>
        <w:pStyle w:val="ListParagraph"/>
        <w:numPr>
          <w:ilvl w:val="0"/>
          <w:numId w:val="33"/>
        </w:numPr>
        <w:rPr>
          <w:rFonts w:cs="Arial"/>
          <w:sz w:val="24"/>
          <w:szCs w:val="24"/>
        </w:rPr>
      </w:pPr>
      <w:r w:rsidRPr="00995AAE">
        <w:rPr>
          <w:rFonts w:cs="Arial"/>
          <w:sz w:val="24"/>
          <w:szCs w:val="24"/>
        </w:rPr>
        <w:t xml:space="preserve">TEQSA must make a decision in respect of an application to which sub-item 5(1) refers in accordance with the </w:t>
      </w:r>
      <w:r w:rsidRPr="00995AAE">
        <w:rPr>
          <w:rFonts w:cs="Arial"/>
          <w:i/>
          <w:sz w:val="24"/>
          <w:szCs w:val="24"/>
        </w:rPr>
        <w:t>Higher Education Standards Framework (Threshold Standards) 2011</w:t>
      </w:r>
      <w:r w:rsidRPr="00995AAE">
        <w:rPr>
          <w:rFonts w:cs="Arial"/>
          <w:sz w:val="24"/>
          <w:szCs w:val="24"/>
        </w:rPr>
        <w:t xml:space="preserve"> as in force immediately before the commencement date.</w:t>
      </w:r>
    </w:p>
    <w:p w14:paraId="5A1BAF44" w14:textId="77777777" w:rsidR="002573C4" w:rsidRPr="00995AAE" w:rsidRDefault="002573C4" w:rsidP="001326D5">
      <w:pPr>
        <w:rPr>
          <w:rFonts w:cs="Arial"/>
          <w:sz w:val="24"/>
          <w:szCs w:val="24"/>
        </w:rPr>
      </w:pPr>
    </w:p>
    <w:p w14:paraId="731FA9FA" w14:textId="77777777" w:rsidR="001326D5" w:rsidRPr="00995AAE" w:rsidRDefault="001326D5" w:rsidP="001326D5">
      <w:pPr>
        <w:rPr>
          <w:rFonts w:cs="Arial"/>
          <w:sz w:val="24"/>
          <w:szCs w:val="24"/>
        </w:rPr>
      </w:pPr>
    </w:p>
    <w:p w14:paraId="20C8D9B4" w14:textId="77777777" w:rsidR="003D096A" w:rsidRPr="00995AAE" w:rsidRDefault="003D096A" w:rsidP="00735FE9">
      <w:pPr>
        <w:rPr>
          <w:rFonts w:cs="Arial"/>
          <w:sz w:val="24"/>
          <w:szCs w:val="24"/>
        </w:rPr>
        <w:sectPr w:rsidR="003D096A" w:rsidRPr="00995AAE" w:rsidSect="00AE2839">
          <w:headerReference w:type="first" r:id="rId13"/>
          <w:pgSz w:w="11906" w:h="16838"/>
          <w:pgMar w:top="1701" w:right="1134" w:bottom="1440" w:left="1134" w:header="709" w:footer="709" w:gutter="0"/>
          <w:pgNumType w:fmt="lowerRoman" w:start="1"/>
          <w:cols w:space="708"/>
          <w:titlePg/>
          <w:docGrid w:linePitch="360"/>
        </w:sectPr>
      </w:pPr>
    </w:p>
    <w:p w14:paraId="545487DC" w14:textId="77777777" w:rsidR="00B23DED" w:rsidRPr="00995AAE" w:rsidRDefault="00B23DED" w:rsidP="00B23DED">
      <w:pPr>
        <w:contextualSpacing/>
        <w:rPr>
          <w:rFonts w:cs="Arial"/>
          <w:b/>
          <w:sz w:val="36"/>
          <w:szCs w:val="36"/>
        </w:rPr>
      </w:pPr>
    </w:p>
    <w:p w14:paraId="49ECE8F9" w14:textId="77777777" w:rsidR="00B23DED" w:rsidRPr="00995AAE" w:rsidRDefault="00B23DED" w:rsidP="00B23DED">
      <w:pPr>
        <w:contextualSpacing/>
        <w:rPr>
          <w:rFonts w:cs="Arial"/>
          <w:b/>
          <w:sz w:val="36"/>
          <w:szCs w:val="36"/>
        </w:rPr>
      </w:pPr>
    </w:p>
    <w:p w14:paraId="20B2816F" w14:textId="77777777" w:rsidR="00B23DED" w:rsidRPr="00995AAE" w:rsidRDefault="005D2502" w:rsidP="00B23DED">
      <w:pPr>
        <w:contextualSpacing/>
        <w:rPr>
          <w:rFonts w:cs="Arial"/>
          <w:b/>
          <w:sz w:val="36"/>
          <w:szCs w:val="36"/>
        </w:rPr>
      </w:pPr>
      <w:r w:rsidRPr="00995AAE">
        <w:rPr>
          <w:noProof/>
          <w:lang w:val="en-AU" w:eastAsia="en-AU"/>
        </w:rPr>
        <w:drawing>
          <wp:anchor distT="0" distB="0" distL="114300" distR="114300" simplePos="0" relativeHeight="251660288" behindDoc="0" locked="0" layoutInCell="1" allowOverlap="1" wp14:anchorId="0FA61886" wp14:editId="72077AC2">
            <wp:simplePos x="0" y="0"/>
            <wp:positionH relativeFrom="column">
              <wp:align>center</wp:align>
            </wp:positionH>
            <wp:positionV relativeFrom="paragraph">
              <wp:posOffset>411480</wp:posOffset>
            </wp:positionV>
            <wp:extent cx="3614400" cy="705600"/>
            <wp:effectExtent l="0" t="0" r="5715" b="0"/>
            <wp:wrapTopAndBottom/>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14400" cy="705600"/>
                    </a:xfrm>
                    <a:prstGeom prst="rect">
                      <a:avLst/>
                    </a:prstGeom>
                  </pic:spPr>
                </pic:pic>
              </a:graphicData>
            </a:graphic>
            <wp14:sizeRelH relativeFrom="page">
              <wp14:pctWidth>0</wp14:pctWidth>
            </wp14:sizeRelH>
            <wp14:sizeRelV relativeFrom="page">
              <wp14:pctHeight>0</wp14:pctHeight>
            </wp14:sizeRelV>
          </wp:anchor>
        </w:drawing>
      </w:r>
    </w:p>
    <w:p w14:paraId="7B1C4527" w14:textId="77777777" w:rsidR="00B23DED" w:rsidRPr="00995AAE" w:rsidRDefault="00B23DED" w:rsidP="00B23DED">
      <w:pPr>
        <w:contextualSpacing/>
        <w:jc w:val="center"/>
        <w:rPr>
          <w:rFonts w:cs="Arial"/>
          <w:b/>
          <w:sz w:val="36"/>
          <w:szCs w:val="36"/>
        </w:rPr>
      </w:pPr>
    </w:p>
    <w:p w14:paraId="0695F477" w14:textId="77777777" w:rsidR="00B23DED" w:rsidRPr="00995AAE" w:rsidRDefault="00B23DED" w:rsidP="00B23DED">
      <w:pPr>
        <w:contextualSpacing/>
        <w:jc w:val="center"/>
        <w:rPr>
          <w:rFonts w:cs="Arial"/>
          <w:b/>
          <w:sz w:val="36"/>
          <w:szCs w:val="36"/>
        </w:rPr>
      </w:pPr>
    </w:p>
    <w:p w14:paraId="41D0201E" w14:textId="77777777" w:rsidR="007A078E" w:rsidRPr="00995AAE" w:rsidRDefault="007A078E" w:rsidP="00B23DED">
      <w:pPr>
        <w:contextualSpacing/>
        <w:jc w:val="center"/>
        <w:rPr>
          <w:rFonts w:cs="Arial"/>
          <w:b/>
          <w:i/>
          <w:sz w:val="40"/>
          <w:szCs w:val="36"/>
        </w:rPr>
      </w:pPr>
    </w:p>
    <w:p w14:paraId="686D0326" w14:textId="77777777" w:rsidR="007A078E" w:rsidRPr="00995AAE" w:rsidRDefault="007A078E" w:rsidP="00B23DED">
      <w:pPr>
        <w:contextualSpacing/>
        <w:jc w:val="center"/>
        <w:rPr>
          <w:rFonts w:cs="Arial"/>
          <w:b/>
          <w:i/>
          <w:sz w:val="40"/>
          <w:szCs w:val="36"/>
        </w:rPr>
      </w:pPr>
    </w:p>
    <w:p w14:paraId="391ECA5B" w14:textId="77777777" w:rsidR="007A078E" w:rsidRPr="00995AAE" w:rsidRDefault="007A078E" w:rsidP="00B23DED">
      <w:pPr>
        <w:contextualSpacing/>
        <w:jc w:val="center"/>
        <w:rPr>
          <w:rFonts w:cs="Arial"/>
          <w:b/>
          <w:i/>
          <w:sz w:val="40"/>
          <w:szCs w:val="36"/>
        </w:rPr>
      </w:pPr>
    </w:p>
    <w:p w14:paraId="6D45E111" w14:textId="77777777" w:rsidR="007A078E" w:rsidRPr="00995AAE" w:rsidRDefault="007A078E" w:rsidP="00B23DED">
      <w:pPr>
        <w:contextualSpacing/>
        <w:jc w:val="center"/>
        <w:rPr>
          <w:rFonts w:cs="Arial"/>
          <w:b/>
          <w:i/>
          <w:sz w:val="40"/>
          <w:szCs w:val="36"/>
        </w:rPr>
      </w:pPr>
    </w:p>
    <w:p w14:paraId="2CD84B7A" w14:textId="77777777" w:rsidR="007A078E" w:rsidRPr="00995AAE" w:rsidRDefault="007A078E" w:rsidP="00B23DED">
      <w:pPr>
        <w:contextualSpacing/>
        <w:jc w:val="center"/>
        <w:rPr>
          <w:rFonts w:cs="Arial"/>
          <w:b/>
          <w:i/>
          <w:sz w:val="40"/>
          <w:szCs w:val="36"/>
        </w:rPr>
      </w:pPr>
    </w:p>
    <w:p w14:paraId="00D45C5E" w14:textId="77777777" w:rsidR="00B23DED" w:rsidRPr="00995AAE" w:rsidRDefault="00B23DED" w:rsidP="00B23DED">
      <w:pPr>
        <w:contextualSpacing/>
        <w:jc w:val="center"/>
        <w:rPr>
          <w:rFonts w:cs="Arial"/>
          <w:b/>
          <w:sz w:val="40"/>
          <w:szCs w:val="36"/>
        </w:rPr>
      </w:pPr>
      <w:r w:rsidRPr="00995AAE">
        <w:rPr>
          <w:rFonts w:cs="Arial"/>
          <w:b/>
          <w:sz w:val="40"/>
          <w:szCs w:val="36"/>
        </w:rPr>
        <w:t xml:space="preserve">HIGHER EDUCATION </w:t>
      </w:r>
    </w:p>
    <w:p w14:paraId="6DE83BD7" w14:textId="77777777" w:rsidR="00B23DED" w:rsidRPr="00995AAE" w:rsidRDefault="00B23DED" w:rsidP="00B23DED">
      <w:pPr>
        <w:contextualSpacing/>
        <w:jc w:val="center"/>
        <w:rPr>
          <w:rFonts w:cs="Arial"/>
          <w:b/>
          <w:sz w:val="40"/>
          <w:szCs w:val="36"/>
        </w:rPr>
      </w:pPr>
      <w:r w:rsidRPr="00995AAE">
        <w:rPr>
          <w:rFonts w:cs="Arial"/>
          <w:b/>
          <w:sz w:val="40"/>
          <w:szCs w:val="36"/>
        </w:rPr>
        <w:t>STANDARDS FRAMEWORK</w:t>
      </w:r>
    </w:p>
    <w:p w14:paraId="014CA211" w14:textId="77777777" w:rsidR="00BD63D0" w:rsidRPr="00995AAE" w:rsidRDefault="00BD63D0" w:rsidP="00BD63D0"/>
    <w:p w14:paraId="73F227E3" w14:textId="77777777" w:rsidR="00BD63D0" w:rsidRPr="00995AAE" w:rsidRDefault="00BD63D0" w:rsidP="00BD63D0"/>
    <w:p w14:paraId="2BF114C5" w14:textId="77777777" w:rsidR="00BD63D0" w:rsidRPr="00995AAE" w:rsidRDefault="00BD63D0" w:rsidP="00BD63D0">
      <w:pPr>
        <w:tabs>
          <w:tab w:val="clear" w:pos="1134"/>
        </w:tabs>
        <w:spacing w:after="200" w:line="276" w:lineRule="auto"/>
        <w:jc w:val="left"/>
        <w:rPr>
          <w:rFonts w:cs="Arial"/>
          <w:b/>
          <w:sz w:val="28"/>
          <w:szCs w:val="36"/>
        </w:rPr>
        <w:sectPr w:rsidR="00BD63D0" w:rsidRPr="00995AAE" w:rsidSect="00DE2BDE">
          <w:headerReference w:type="first" r:id="rId15"/>
          <w:pgSz w:w="11906" w:h="16838"/>
          <w:pgMar w:top="1701" w:right="1440" w:bottom="1440" w:left="1440" w:header="708" w:footer="708" w:gutter="0"/>
          <w:pgNumType w:fmt="lowerRoman" w:start="1"/>
          <w:cols w:space="708"/>
          <w:docGrid w:linePitch="360"/>
        </w:sectPr>
      </w:pPr>
    </w:p>
    <w:p w14:paraId="5AB69EC2" w14:textId="77777777" w:rsidR="003C0B4C" w:rsidRPr="00995AAE" w:rsidRDefault="00CE51E0" w:rsidP="002F71C0">
      <w:pPr>
        <w:pStyle w:val="TOC1"/>
      </w:pPr>
      <w:bookmarkStart w:id="2" w:name="_Toc330548928"/>
      <w:r w:rsidRPr="00995AAE">
        <w:lastRenderedPageBreak/>
        <w:t>TABLE OF CONTENTS</w:t>
      </w:r>
    </w:p>
    <w:p w14:paraId="2AF56679" w14:textId="77777777" w:rsidR="00B2262A" w:rsidRPr="00995AAE" w:rsidRDefault="002F71C0">
      <w:pPr>
        <w:pStyle w:val="TOC1"/>
        <w:rPr>
          <w:rFonts w:asciiTheme="minorHAnsi" w:eastAsiaTheme="minorEastAsia" w:hAnsiTheme="minorHAnsi"/>
          <w:b w:val="0"/>
          <w:sz w:val="22"/>
          <w:szCs w:val="22"/>
          <w:lang w:eastAsia="en-AU"/>
        </w:rPr>
      </w:pPr>
      <w:r w:rsidRPr="001C387D">
        <w:fldChar w:fldCharType="begin"/>
      </w:r>
      <w:r w:rsidRPr="00995AAE">
        <w:instrText xml:space="preserve"> TOC \o "1-2" \h \z \u </w:instrText>
      </w:r>
      <w:r w:rsidRPr="001C387D">
        <w:fldChar w:fldCharType="separate"/>
      </w:r>
      <w:hyperlink w:anchor="_Toc428368845" w:history="1">
        <w:r w:rsidR="00B2262A" w:rsidRPr="00995AAE">
          <w:rPr>
            <w:rStyle w:val="Hyperlink"/>
          </w:rPr>
          <w:t xml:space="preserve">The </w:t>
        </w:r>
        <w:r w:rsidR="00B2262A" w:rsidRPr="00995AAE">
          <w:rPr>
            <w:rStyle w:val="Hyperlink"/>
            <w:i/>
          </w:rPr>
          <w:t>Higher Education Standards Framework</w:t>
        </w:r>
        <w:r w:rsidR="00B2262A" w:rsidRPr="00995AAE">
          <w:rPr>
            <w:webHidden/>
          </w:rPr>
          <w:tab/>
        </w:r>
        <w:r w:rsidR="00B2262A" w:rsidRPr="00097BFB">
          <w:rPr>
            <w:webHidden/>
          </w:rPr>
          <w:fldChar w:fldCharType="begin"/>
        </w:r>
        <w:r w:rsidR="00B2262A" w:rsidRPr="00995AAE">
          <w:rPr>
            <w:webHidden/>
          </w:rPr>
          <w:instrText xml:space="preserve"> PAGEREF _Toc428368845 \h </w:instrText>
        </w:r>
        <w:r w:rsidR="00B2262A" w:rsidRPr="00097BFB">
          <w:rPr>
            <w:webHidden/>
          </w:rPr>
        </w:r>
        <w:r w:rsidR="00B2262A" w:rsidRPr="00097BFB">
          <w:rPr>
            <w:webHidden/>
          </w:rPr>
          <w:fldChar w:fldCharType="separate"/>
        </w:r>
        <w:r w:rsidR="009A2DF0">
          <w:rPr>
            <w:webHidden/>
          </w:rPr>
          <w:t>2</w:t>
        </w:r>
        <w:r w:rsidR="00B2262A" w:rsidRPr="00097BFB">
          <w:rPr>
            <w:webHidden/>
          </w:rPr>
          <w:fldChar w:fldCharType="end"/>
        </w:r>
      </w:hyperlink>
    </w:p>
    <w:p w14:paraId="2368FC50" w14:textId="77777777" w:rsidR="00B2262A" w:rsidRPr="00995AAE" w:rsidRDefault="000E5ECA">
      <w:pPr>
        <w:pStyle w:val="TOC1"/>
        <w:rPr>
          <w:rFonts w:asciiTheme="minorHAnsi" w:eastAsiaTheme="minorEastAsia" w:hAnsiTheme="minorHAnsi"/>
          <w:b w:val="0"/>
          <w:sz w:val="22"/>
          <w:szCs w:val="22"/>
          <w:lang w:eastAsia="en-AU"/>
        </w:rPr>
      </w:pPr>
      <w:hyperlink w:anchor="_Toc428368846" w:history="1">
        <w:r w:rsidR="00B2262A" w:rsidRPr="00995AAE">
          <w:rPr>
            <w:rStyle w:val="Hyperlink"/>
          </w:rPr>
          <w:t>PART A:</w:t>
        </w:r>
        <w:r w:rsidR="00B2262A" w:rsidRPr="00995AAE">
          <w:rPr>
            <w:rFonts w:asciiTheme="minorHAnsi" w:eastAsiaTheme="minorEastAsia" w:hAnsiTheme="minorHAnsi"/>
            <w:b w:val="0"/>
            <w:sz w:val="22"/>
            <w:szCs w:val="22"/>
            <w:lang w:eastAsia="en-AU"/>
          </w:rPr>
          <w:tab/>
        </w:r>
        <w:r w:rsidR="00B2262A" w:rsidRPr="00995AAE">
          <w:rPr>
            <w:rStyle w:val="Hyperlink"/>
          </w:rPr>
          <w:t>Standards for Higher Education</w:t>
        </w:r>
        <w:r w:rsidR="00B2262A" w:rsidRPr="00995AAE">
          <w:rPr>
            <w:webHidden/>
          </w:rPr>
          <w:tab/>
        </w:r>
        <w:r w:rsidR="00B2262A" w:rsidRPr="006C6D5B">
          <w:rPr>
            <w:webHidden/>
          </w:rPr>
          <w:fldChar w:fldCharType="begin"/>
        </w:r>
        <w:r w:rsidR="00B2262A" w:rsidRPr="00995AAE">
          <w:rPr>
            <w:webHidden/>
          </w:rPr>
          <w:instrText xml:space="preserve"> PAGEREF _Toc428368846 \h </w:instrText>
        </w:r>
        <w:r w:rsidR="00B2262A" w:rsidRPr="006C6D5B">
          <w:rPr>
            <w:webHidden/>
          </w:rPr>
        </w:r>
        <w:r w:rsidR="00B2262A" w:rsidRPr="006C6D5B">
          <w:rPr>
            <w:webHidden/>
          </w:rPr>
          <w:fldChar w:fldCharType="separate"/>
        </w:r>
        <w:r w:rsidR="009A2DF0">
          <w:rPr>
            <w:webHidden/>
          </w:rPr>
          <w:t>3</w:t>
        </w:r>
        <w:r w:rsidR="00B2262A" w:rsidRPr="006C6D5B">
          <w:rPr>
            <w:webHidden/>
          </w:rPr>
          <w:fldChar w:fldCharType="end"/>
        </w:r>
      </w:hyperlink>
    </w:p>
    <w:p w14:paraId="0DA44010" w14:textId="77777777" w:rsidR="00B2262A" w:rsidRPr="00995AAE" w:rsidRDefault="000E5ECA">
      <w:pPr>
        <w:pStyle w:val="TOC1"/>
        <w:rPr>
          <w:rFonts w:asciiTheme="minorHAnsi" w:eastAsiaTheme="minorEastAsia" w:hAnsiTheme="minorHAnsi"/>
          <w:b w:val="0"/>
          <w:sz w:val="22"/>
          <w:szCs w:val="22"/>
          <w:lang w:eastAsia="en-AU"/>
        </w:rPr>
      </w:pPr>
      <w:hyperlink w:anchor="_Toc428368847" w:history="1">
        <w:r w:rsidR="00B2262A" w:rsidRPr="00995AAE">
          <w:rPr>
            <w:rStyle w:val="Hyperlink"/>
          </w:rPr>
          <w:t>1</w:t>
        </w:r>
        <w:r w:rsidR="00B2262A" w:rsidRPr="00995AAE">
          <w:rPr>
            <w:rFonts w:asciiTheme="minorHAnsi" w:eastAsiaTheme="minorEastAsia" w:hAnsiTheme="minorHAnsi"/>
            <w:b w:val="0"/>
            <w:sz w:val="22"/>
            <w:szCs w:val="22"/>
            <w:lang w:eastAsia="en-AU"/>
          </w:rPr>
          <w:tab/>
        </w:r>
        <w:r w:rsidR="00B2262A" w:rsidRPr="00995AAE">
          <w:rPr>
            <w:rStyle w:val="Hyperlink"/>
          </w:rPr>
          <w:t>Student Participation and Attainment</w:t>
        </w:r>
        <w:r w:rsidR="00B2262A" w:rsidRPr="00995AAE">
          <w:rPr>
            <w:webHidden/>
          </w:rPr>
          <w:tab/>
        </w:r>
        <w:r w:rsidR="00B2262A" w:rsidRPr="006C6D5B">
          <w:rPr>
            <w:webHidden/>
          </w:rPr>
          <w:fldChar w:fldCharType="begin"/>
        </w:r>
        <w:r w:rsidR="00B2262A" w:rsidRPr="00995AAE">
          <w:rPr>
            <w:webHidden/>
          </w:rPr>
          <w:instrText xml:space="preserve"> PAGEREF _Toc428368847 \h </w:instrText>
        </w:r>
        <w:r w:rsidR="00B2262A" w:rsidRPr="006C6D5B">
          <w:rPr>
            <w:webHidden/>
          </w:rPr>
        </w:r>
        <w:r w:rsidR="00B2262A" w:rsidRPr="006C6D5B">
          <w:rPr>
            <w:webHidden/>
          </w:rPr>
          <w:fldChar w:fldCharType="separate"/>
        </w:r>
        <w:r w:rsidR="009A2DF0">
          <w:rPr>
            <w:webHidden/>
          </w:rPr>
          <w:t>3</w:t>
        </w:r>
        <w:r w:rsidR="00B2262A" w:rsidRPr="006C6D5B">
          <w:rPr>
            <w:webHidden/>
          </w:rPr>
          <w:fldChar w:fldCharType="end"/>
        </w:r>
      </w:hyperlink>
    </w:p>
    <w:p w14:paraId="713A65B9" w14:textId="77777777" w:rsidR="00B2262A" w:rsidRPr="00995AAE" w:rsidRDefault="000E5ECA">
      <w:pPr>
        <w:pStyle w:val="TOC2"/>
        <w:rPr>
          <w:rFonts w:asciiTheme="minorHAnsi" w:eastAsiaTheme="minorEastAsia" w:hAnsiTheme="minorHAnsi"/>
          <w:lang w:val="en-AU" w:eastAsia="en-AU"/>
        </w:rPr>
      </w:pPr>
      <w:hyperlink w:anchor="_Toc428368848" w:history="1">
        <w:r w:rsidR="00B2262A" w:rsidRPr="00995AAE">
          <w:rPr>
            <w:rStyle w:val="Hyperlink"/>
          </w:rPr>
          <w:t>1.1</w:t>
        </w:r>
        <w:r w:rsidR="00B2262A" w:rsidRPr="00995AAE">
          <w:rPr>
            <w:rFonts w:asciiTheme="minorHAnsi" w:eastAsiaTheme="minorEastAsia" w:hAnsiTheme="minorHAnsi"/>
            <w:lang w:val="en-AU" w:eastAsia="en-AU"/>
          </w:rPr>
          <w:tab/>
        </w:r>
        <w:r w:rsidR="00B2262A" w:rsidRPr="00995AAE">
          <w:rPr>
            <w:rStyle w:val="Hyperlink"/>
          </w:rPr>
          <w:t>Admission</w:t>
        </w:r>
        <w:r w:rsidR="00B2262A" w:rsidRPr="00995AAE">
          <w:rPr>
            <w:webHidden/>
          </w:rPr>
          <w:tab/>
        </w:r>
        <w:r w:rsidR="00B2262A" w:rsidRPr="006C6D5B">
          <w:rPr>
            <w:webHidden/>
          </w:rPr>
          <w:fldChar w:fldCharType="begin"/>
        </w:r>
        <w:r w:rsidR="00B2262A" w:rsidRPr="00995AAE">
          <w:rPr>
            <w:webHidden/>
          </w:rPr>
          <w:instrText xml:space="preserve"> PAGEREF _Toc428368848 \h </w:instrText>
        </w:r>
        <w:r w:rsidR="00B2262A" w:rsidRPr="006C6D5B">
          <w:rPr>
            <w:webHidden/>
          </w:rPr>
        </w:r>
        <w:r w:rsidR="00B2262A" w:rsidRPr="006C6D5B">
          <w:rPr>
            <w:webHidden/>
          </w:rPr>
          <w:fldChar w:fldCharType="separate"/>
        </w:r>
        <w:r w:rsidR="009A2DF0">
          <w:rPr>
            <w:webHidden/>
          </w:rPr>
          <w:t>3</w:t>
        </w:r>
        <w:r w:rsidR="00B2262A" w:rsidRPr="006C6D5B">
          <w:rPr>
            <w:webHidden/>
          </w:rPr>
          <w:fldChar w:fldCharType="end"/>
        </w:r>
      </w:hyperlink>
    </w:p>
    <w:p w14:paraId="685D6816" w14:textId="77777777" w:rsidR="00B2262A" w:rsidRPr="00995AAE" w:rsidRDefault="000E5ECA">
      <w:pPr>
        <w:pStyle w:val="TOC2"/>
        <w:rPr>
          <w:rFonts w:asciiTheme="minorHAnsi" w:eastAsiaTheme="minorEastAsia" w:hAnsiTheme="minorHAnsi"/>
          <w:lang w:val="en-AU" w:eastAsia="en-AU"/>
        </w:rPr>
      </w:pPr>
      <w:hyperlink w:anchor="_Toc428368849" w:history="1">
        <w:r w:rsidR="00B2262A" w:rsidRPr="00995AAE">
          <w:rPr>
            <w:rStyle w:val="Hyperlink"/>
          </w:rPr>
          <w:t>1.2</w:t>
        </w:r>
        <w:r w:rsidR="00B2262A" w:rsidRPr="00995AAE">
          <w:rPr>
            <w:rFonts w:asciiTheme="minorHAnsi" w:eastAsiaTheme="minorEastAsia" w:hAnsiTheme="minorHAnsi"/>
            <w:lang w:val="en-AU" w:eastAsia="en-AU"/>
          </w:rPr>
          <w:tab/>
        </w:r>
        <w:r w:rsidR="00B2262A" w:rsidRPr="00995AAE">
          <w:rPr>
            <w:rStyle w:val="Hyperlink"/>
          </w:rPr>
          <w:t>Credit and Recognition of Prior Learning</w:t>
        </w:r>
        <w:r w:rsidR="00B2262A" w:rsidRPr="00995AAE">
          <w:rPr>
            <w:webHidden/>
          </w:rPr>
          <w:tab/>
        </w:r>
        <w:r w:rsidR="00B2262A" w:rsidRPr="006C6D5B">
          <w:rPr>
            <w:webHidden/>
          </w:rPr>
          <w:fldChar w:fldCharType="begin"/>
        </w:r>
        <w:r w:rsidR="00B2262A" w:rsidRPr="00995AAE">
          <w:rPr>
            <w:webHidden/>
          </w:rPr>
          <w:instrText xml:space="preserve"> PAGEREF _Toc428368849 \h </w:instrText>
        </w:r>
        <w:r w:rsidR="00B2262A" w:rsidRPr="006C6D5B">
          <w:rPr>
            <w:webHidden/>
          </w:rPr>
        </w:r>
        <w:r w:rsidR="00B2262A" w:rsidRPr="006C6D5B">
          <w:rPr>
            <w:webHidden/>
          </w:rPr>
          <w:fldChar w:fldCharType="separate"/>
        </w:r>
        <w:r w:rsidR="009A2DF0">
          <w:rPr>
            <w:webHidden/>
          </w:rPr>
          <w:t>3</w:t>
        </w:r>
        <w:r w:rsidR="00B2262A" w:rsidRPr="006C6D5B">
          <w:rPr>
            <w:webHidden/>
          </w:rPr>
          <w:fldChar w:fldCharType="end"/>
        </w:r>
      </w:hyperlink>
    </w:p>
    <w:p w14:paraId="626EF3D3" w14:textId="77777777" w:rsidR="00B2262A" w:rsidRPr="00995AAE" w:rsidRDefault="000E5ECA">
      <w:pPr>
        <w:pStyle w:val="TOC2"/>
        <w:rPr>
          <w:rFonts w:asciiTheme="minorHAnsi" w:eastAsiaTheme="minorEastAsia" w:hAnsiTheme="minorHAnsi"/>
          <w:lang w:val="en-AU" w:eastAsia="en-AU"/>
        </w:rPr>
      </w:pPr>
      <w:hyperlink w:anchor="_Toc428368850" w:history="1">
        <w:r w:rsidR="00B2262A" w:rsidRPr="00995AAE">
          <w:rPr>
            <w:rStyle w:val="Hyperlink"/>
          </w:rPr>
          <w:t>1.3</w:t>
        </w:r>
        <w:r w:rsidR="00B2262A" w:rsidRPr="00995AAE">
          <w:rPr>
            <w:rFonts w:asciiTheme="minorHAnsi" w:eastAsiaTheme="minorEastAsia" w:hAnsiTheme="minorHAnsi"/>
            <w:lang w:val="en-AU" w:eastAsia="en-AU"/>
          </w:rPr>
          <w:tab/>
        </w:r>
        <w:r w:rsidR="00B2262A" w:rsidRPr="00995AAE">
          <w:rPr>
            <w:rStyle w:val="Hyperlink"/>
          </w:rPr>
          <w:t>Orientation and Progression</w:t>
        </w:r>
        <w:r w:rsidR="00B2262A" w:rsidRPr="00995AAE">
          <w:rPr>
            <w:webHidden/>
          </w:rPr>
          <w:tab/>
        </w:r>
        <w:r w:rsidR="00B2262A" w:rsidRPr="006C6D5B">
          <w:rPr>
            <w:webHidden/>
          </w:rPr>
          <w:fldChar w:fldCharType="begin"/>
        </w:r>
        <w:r w:rsidR="00B2262A" w:rsidRPr="00995AAE">
          <w:rPr>
            <w:webHidden/>
          </w:rPr>
          <w:instrText xml:space="preserve"> PAGEREF _Toc428368850 \h </w:instrText>
        </w:r>
        <w:r w:rsidR="00B2262A" w:rsidRPr="006C6D5B">
          <w:rPr>
            <w:webHidden/>
          </w:rPr>
        </w:r>
        <w:r w:rsidR="00B2262A" w:rsidRPr="006C6D5B">
          <w:rPr>
            <w:webHidden/>
          </w:rPr>
          <w:fldChar w:fldCharType="separate"/>
        </w:r>
        <w:r w:rsidR="009A2DF0">
          <w:rPr>
            <w:webHidden/>
          </w:rPr>
          <w:t>3</w:t>
        </w:r>
        <w:r w:rsidR="00B2262A" w:rsidRPr="006C6D5B">
          <w:rPr>
            <w:webHidden/>
          </w:rPr>
          <w:fldChar w:fldCharType="end"/>
        </w:r>
      </w:hyperlink>
    </w:p>
    <w:p w14:paraId="558CCBB4" w14:textId="77777777" w:rsidR="00B2262A" w:rsidRPr="00995AAE" w:rsidRDefault="000E5ECA">
      <w:pPr>
        <w:pStyle w:val="TOC2"/>
        <w:rPr>
          <w:rFonts w:asciiTheme="minorHAnsi" w:eastAsiaTheme="minorEastAsia" w:hAnsiTheme="minorHAnsi"/>
          <w:lang w:val="en-AU" w:eastAsia="en-AU"/>
        </w:rPr>
      </w:pPr>
      <w:hyperlink w:anchor="_Toc428368851" w:history="1">
        <w:r w:rsidR="00B2262A" w:rsidRPr="00995AAE">
          <w:rPr>
            <w:rStyle w:val="Hyperlink"/>
          </w:rPr>
          <w:t>1.4</w:t>
        </w:r>
        <w:r w:rsidR="00B2262A" w:rsidRPr="00995AAE">
          <w:rPr>
            <w:rFonts w:asciiTheme="minorHAnsi" w:eastAsiaTheme="minorEastAsia" w:hAnsiTheme="minorHAnsi"/>
            <w:lang w:val="en-AU" w:eastAsia="en-AU"/>
          </w:rPr>
          <w:tab/>
        </w:r>
        <w:r w:rsidR="00B2262A" w:rsidRPr="00995AAE">
          <w:rPr>
            <w:rStyle w:val="Hyperlink"/>
          </w:rPr>
          <w:t>Learning Outcomes and Assessment</w:t>
        </w:r>
        <w:r w:rsidR="00B2262A" w:rsidRPr="00995AAE">
          <w:rPr>
            <w:webHidden/>
          </w:rPr>
          <w:tab/>
        </w:r>
        <w:r w:rsidR="00B2262A" w:rsidRPr="006C6D5B">
          <w:rPr>
            <w:webHidden/>
          </w:rPr>
          <w:fldChar w:fldCharType="begin"/>
        </w:r>
        <w:r w:rsidR="00B2262A" w:rsidRPr="00995AAE">
          <w:rPr>
            <w:webHidden/>
          </w:rPr>
          <w:instrText xml:space="preserve"> PAGEREF _Toc428368851 \h </w:instrText>
        </w:r>
        <w:r w:rsidR="00B2262A" w:rsidRPr="006C6D5B">
          <w:rPr>
            <w:webHidden/>
          </w:rPr>
        </w:r>
        <w:r w:rsidR="00B2262A" w:rsidRPr="006C6D5B">
          <w:rPr>
            <w:webHidden/>
          </w:rPr>
          <w:fldChar w:fldCharType="separate"/>
        </w:r>
        <w:r w:rsidR="009A2DF0">
          <w:rPr>
            <w:webHidden/>
          </w:rPr>
          <w:t>4</w:t>
        </w:r>
        <w:r w:rsidR="00B2262A" w:rsidRPr="006C6D5B">
          <w:rPr>
            <w:webHidden/>
          </w:rPr>
          <w:fldChar w:fldCharType="end"/>
        </w:r>
      </w:hyperlink>
    </w:p>
    <w:p w14:paraId="156FA15E" w14:textId="77777777" w:rsidR="00B2262A" w:rsidRPr="00995AAE" w:rsidRDefault="000E5ECA">
      <w:pPr>
        <w:pStyle w:val="TOC2"/>
        <w:rPr>
          <w:rFonts w:asciiTheme="minorHAnsi" w:eastAsiaTheme="minorEastAsia" w:hAnsiTheme="minorHAnsi"/>
          <w:lang w:val="en-AU" w:eastAsia="en-AU"/>
        </w:rPr>
      </w:pPr>
      <w:hyperlink w:anchor="_Toc428368852" w:history="1">
        <w:r w:rsidR="00B2262A" w:rsidRPr="00995AAE">
          <w:rPr>
            <w:rStyle w:val="Hyperlink"/>
          </w:rPr>
          <w:t>1.5</w:t>
        </w:r>
        <w:r w:rsidR="00B2262A" w:rsidRPr="00995AAE">
          <w:rPr>
            <w:rFonts w:asciiTheme="minorHAnsi" w:eastAsiaTheme="minorEastAsia" w:hAnsiTheme="minorHAnsi"/>
            <w:lang w:val="en-AU" w:eastAsia="en-AU"/>
          </w:rPr>
          <w:tab/>
        </w:r>
        <w:r w:rsidR="00B2262A" w:rsidRPr="00995AAE">
          <w:rPr>
            <w:rStyle w:val="Hyperlink"/>
          </w:rPr>
          <w:t>Qualifications and Certification</w:t>
        </w:r>
        <w:r w:rsidR="00B2262A" w:rsidRPr="00995AAE">
          <w:rPr>
            <w:webHidden/>
          </w:rPr>
          <w:tab/>
        </w:r>
        <w:r w:rsidR="00B2262A" w:rsidRPr="006C6D5B">
          <w:rPr>
            <w:webHidden/>
          </w:rPr>
          <w:fldChar w:fldCharType="begin"/>
        </w:r>
        <w:r w:rsidR="00B2262A" w:rsidRPr="00995AAE">
          <w:rPr>
            <w:webHidden/>
          </w:rPr>
          <w:instrText xml:space="preserve"> PAGEREF _Toc428368852 \h </w:instrText>
        </w:r>
        <w:r w:rsidR="00B2262A" w:rsidRPr="006C6D5B">
          <w:rPr>
            <w:webHidden/>
          </w:rPr>
        </w:r>
        <w:r w:rsidR="00B2262A" w:rsidRPr="006C6D5B">
          <w:rPr>
            <w:webHidden/>
          </w:rPr>
          <w:fldChar w:fldCharType="separate"/>
        </w:r>
        <w:r w:rsidR="009A2DF0">
          <w:rPr>
            <w:webHidden/>
          </w:rPr>
          <w:t>5</w:t>
        </w:r>
        <w:r w:rsidR="00B2262A" w:rsidRPr="006C6D5B">
          <w:rPr>
            <w:webHidden/>
          </w:rPr>
          <w:fldChar w:fldCharType="end"/>
        </w:r>
      </w:hyperlink>
    </w:p>
    <w:p w14:paraId="768E58FB" w14:textId="77777777" w:rsidR="00B2262A" w:rsidRPr="00995AAE" w:rsidRDefault="000E5ECA">
      <w:pPr>
        <w:pStyle w:val="TOC1"/>
        <w:rPr>
          <w:rFonts w:asciiTheme="minorHAnsi" w:eastAsiaTheme="minorEastAsia" w:hAnsiTheme="minorHAnsi"/>
          <w:b w:val="0"/>
          <w:sz w:val="22"/>
          <w:szCs w:val="22"/>
          <w:lang w:eastAsia="en-AU"/>
        </w:rPr>
      </w:pPr>
      <w:hyperlink w:anchor="_Toc428368853" w:history="1">
        <w:r w:rsidR="00B2262A" w:rsidRPr="00995AAE">
          <w:rPr>
            <w:rStyle w:val="Hyperlink"/>
          </w:rPr>
          <w:t>2</w:t>
        </w:r>
        <w:r w:rsidR="00B2262A" w:rsidRPr="00995AAE">
          <w:rPr>
            <w:rFonts w:asciiTheme="minorHAnsi" w:eastAsiaTheme="minorEastAsia" w:hAnsiTheme="minorHAnsi"/>
            <w:b w:val="0"/>
            <w:sz w:val="22"/>
            <w:szCs w:val="22"/>
            <w:lang w:eastAsia="en-AU"/>
          </w:rPr>
          <w:tab/>
        </w:r>
        <w:r w:rsidR="00B2262A" w:rsidRPr="00995AAE">
          <w:rPr>
            <w:rStyle w:val="Hyperlink"/>
          </w:rPr>
          <w:t>Learning Environment</w:t>
        </w:r>
        <w:r w:rsidR="00B2262A" w:rsidRPr="00995AAE">
          <w:rPr>
            <w:webHidden/>
          </w:rPr>
          <w:tab/>
        </w:r>
        <w:r w:rsidR="00B2262A" w:rsidRPr="006C6D5B">
          <w:rPr>
            <w:webHidden/>
          </w:rPr>
          <w:fldChar w:fldCharType="begin"/>
        </w:r>
        <w:r w:rsidR="00B2262A" w:rsidRPr="00995AAE">
          <w:rPr>
            <w:webHidden/>
          </w:rPr>
          <w:instrText xml:space="preserve"> PAGEREF _Toc428368853 \h </w:instrText>
        </w:r>
        <w:r w:rsidR="00B2262A" w:rsidRPr="006C6D5B">
          <w:rPr>
            <w:webHidden/>
          </w:rPr>
        </w:r>
        <w:r w:rsidR="00B2262A" w:rsidRPr="006C6D5B">
          <w:rPr>
            <w:webHidden/>
          </w:rPr>
          <w:fldChar w:fldCharType="separate"/>
        </w:r>
        <w:r w:rsidR="009A2DF0">
          <w:rPr>
            <w:webHidden/>
          </w:rPr>
          <w:t>6</w:t>
        </w:r>
        <w:r w:rsidR="00B2262A" w:rsidRPr="006C6D5B">
          <w:rPr>
            <w:webHidden/>
          </w:rPr>
          <w:fldChar w:fldCharType="end"/>
        </w:r>
      </w:hyperlink>
    </w:p>
    <w:p w14:paraId="4DF87A1D" w14:textId="77777777" w:rsidR="00B2262A" w:rsidRPr="00995AAE" w:rsidRDefault="000E5ECA">
      <w:pPr>
        <w:pStyle w:val="TOC2"/>
        <w:rPr>
          <w:rFonts w:asciiTheme="minorHAnsi" w:eastAsiaTheme="minorEastAsia" w:hAnsiTheme="minorHAnsi"/>
          <w:lang w:val="en-AU" w:eastAsia="en-AU"/>
        </w:rPr>
      </w:pPr>
      <w:hyperlink w:anchor="_Toc428368854" w:history="1">
        <w:r w:rsidR="00B2262A" w:rsidRPr="00995AAE">
          <w:rPr>
            <w:rStyle w:val="Hyperlink"/>
          </w:rPr>
          <w:t>2.1</w:t>
        </w:r>
        <w:r w:rsidR="00B2262A" w:rsidRPr="00995AAE">
          <w:rPr>
            <w:rFonts w:asciiTheme="minorHAnsi" w:eastAsiaTheme="minorEastAsia" w:hAnsiTheme="minorHAnsi"/>
            <w:lang w:val="en-AU" w:eastAsia="en-AU"/>
          </w:rPr>
          <w:tab/>
        </w:r>
        <w:r w:rsidR="00B2262A" w:rsidRPr="00995AAE">
          <w:rPr>
            <w:rStyle w:val="Hyperlink"/>
          </w:rPr>
          <w:t>Facilities and Infrastructure</w:t>
        </w:r>
        <w:r w:rsidR="00B2262A" w:rsidRPr="00995AAE">
          <w:rPr>
            <w:webHidden/>
          </w:rPr>
          <w:tab/>
        </w:r>
        <w:r w:rsidR="00B2262A" w:rsidRPr="006C6D5B">
          <w:rPr>
            <w:webHidden/>
          </w:rPr>
          <w:fldChar w:fldCharType="begin"/>
        </w:r>
        <w:r w:rsidR="00B2262A" w:rsidRPr="00995AAE">
          <w:rPr>
            <w:webHidden/>
          </w:rPr>
          <w:instrText xml:space="preserve"> PAGEREF _Toc428368854 \h </w:instrText>
        </w:r>
        <w:r w:rsidR="00B2262A" w:rsidRPr="006C6D5B">
          <w:rPr>
            <w:webHidden/>
          </w:rPr>
        </w:r>
        <w:r w:rsidR="00B2262A" w:rsidRPr="006C6D5B">
          <w:rPr>
            <w:webHidden/>
          </w:rPr>
          <w:fldChar w:fldCharType="separate"/>
        </w:r>
        <w:r w:rsidR="009A2DF0">
          <w:rPr>
            <w:webHidden/>
          </w:rPr>
          <w:t>6</w:t>
        </w:r>
        <w:r w:rsidR="00B2262A" w:rsidRPr="006C6D5B">
          <w:rPr>
            <w:webHidden/>
          </w:rPr>
          <w:fldChar w:fldCharType="end"/>
        </w:r>
      </w:hyperlink>
    </w:p>
    <w:p w14:paraId="507177C9" w14:textId="77777777" w:rsidR="00B2262A" w:rsidRPr="00995AAE" w:rsidRDefault="000E5ECA">
      <w:pPr>
        <w:pStyle w:val="TOC2"/>
        <w:rPr>
          <w:rFonts w:asciiTheme="minorHAnsi" w:eastAsiaTheme="minorEastAsia" w:hAnsiTheme="minorHAnsi"/>
          <w:lang w:val="en-AU" w:eastAsia="en-AU"/>
        </w:rPr>
      </w:pPr>
      <w:hyperlink w:anchor="_Toc428368855" w:history="1">
        <w:r w:rsidR="00B2262A" w:rsidRPr="00995AAE">
          <w:rPr>
            <w:rStyle w:val="Hyperlink"/>
          </w:rPr>
          <w:t>2.2</w:t>
        </w:r>
        <w:r w:rsidR="00B2262A" w:rsidRPr="00995AAE">
          <w:rPr>
            <w:rFonts w:asciiTheme="minorHAnsi" w:eastAsiaTheme="minorEastAsia" w:hAnsiTheme="minorHAnsi"/>
            <w:lang w:val="en-AU" w:eastAsia="en-AU"/>
          </w:rPr>
          <w:tab/>
        </w:r>
        <w:r w:rsidR="00B2262A" w:rsidRPr="00995AAE">
          <w:rPr>
            <w:rStyle w:val="Hyperlink"/>
          </w:rPr>
          <w:t>Diversity and Equity</w:t>
        </w:r>
        <w:r w:rsidR="00B2262A" w:rsidRPr="00995AAE">
          <w:rPr>
            <w:webHidden/>
          </w:rPr>
          <w:tab/>
        </w:r>
        <w:r w:rsidR="00B2262A" w:rsidRPr="006C6D5B">
          <w:rPr>
            <w:webHidden/>
          </w:rPr>
          <w:fldChar w:fldCharType="begin"/>
        </w:r>
        <w:r w:rsidR="00B2262A" w:rsidRPr="00995AAE">
          <w:rPr>
            <w:webHidden/>
          </w:rPr>
          <w:instrText xml:space="preserve"> PAGEREF _Toc428368855 \h </w:instrText>
        </w:r>
        <w:r w:rsidR="00B2262A" w:rsidRPr="006C6D5B">
          <w:rPr>
            <w:webHidden/>
          </w:rPr>
        </w:r>
        <w:r w:rsidR="00B2262A" w:rsidRPr="006C6D5B">
          <w:rPr>
            <w:webHidden/>
          </w:rPr>
          <w:fldChar w:fldCharType="separate"/>
        </w:r>
        <w:r w:rsidR="009A2DF0">
          <w:rPr>
            <w:webHidden/>
          </w:rPr>
          <w:t>6</w:t>
        </w:r>
        <w:r w:rsidR="00B2262A" w:rsidRPr="006C6D5B">
          <w:rPr>
            <w:webHidden/>
          </w:rPr>
          <w:fldChar w:fldCharType="end"/>
        </w:r>
      </w:hyperlink>
    </w:p>
    <w:p w14:paraId="2C0D3E46" w14:textId="77777777" w:rsidR="00B2262A" w:rsidRPr="00995AAE" w:rsidRDefault="000E5ECA">
      <w:pPr>
        <w:pStyle w:val="TOC2"/>
        <w:rPr>
          <w:rFonts w:asciiTheme="minorHAnsi" w:eastAsiaTheme="minorEastAsia" w:hAnsiTheme="minorHAnsi"/>
          <w:lang w:val="en-AU" w:eastAsia="en-AU"/>
        </w:rPr>
      </w:pPr>
      <w:hyperlink w:anchor="_Toc428368856" w:history="1">
        <w:r w:rsidR="00B2262A" w:rsidRPr="00995AAE">
          <w:rPr>
            <w:rStyle w:val="Hyperlink"/>
          </w:rPr>
          <w:t>2.3</w:t>
        </w:r>
        <w:r w:rsidR="00B2262A" w:rsidRPr="00995AAE">
          <w:rPr>
            <w:rFonts w:asciiTheme="minorHAnsi" w:eastAsiaTheme="minorEastAsia" w:hAnsiTheme="minorHAnsi"/>
            <w:lang w:val="en-AU" w:eastAsia="en-AU"/>
          </w:rPr>
          <w:tab/>
        </w:r>
        <w:r w:rsidR="00B2262A" w:rsidRPr="00995AAE">
          <w:rPr>
            <w:rStyle w:val="Hyperlink"/>
          </w:rPr>
          <w:t>Wellbeing and Safety</w:t>
        </w:r>
        <w:r w:rsidR="00B2262A" w:rsidRPr="00995AAE">
          <w:rPr>
            <w:webHidden/>
          </w:rPr>
          <w:tab/>
        </w:r>
        <w:r w:rsidR="00B2262A" w:rsidRPr="006C6D5B">
          <w:rPr>
            <w:webHidden/>
          </w:rPr>
          <w:fldChar w:fldCharType="begin"/>
        </w:r>
        <w:r w:rsidR="00B2262A" w:rsidRPr="00995AAE">
          <w:rPr>
            <w:webHidden/>
          </w:rPr>
          <w:instrText xml:space="preserve"> PAGEREF _Toc428368856 \h </w:instrText>
        </w:r>
        <w:r w:rsidR="00B2262A" w:rsidRPr="006C6D5B">
          <w:rPr>
            <w:webHidden/>
          </w:rPr>
        </w:r>
        <w:r w:rsidR="00B2262A" w:rsidRPr="006C6D5B">
          <w:rPr>
            <w:webHidden/>
          </w:rPr>
          <w:fldChar w:fldCharType="separate"/>
        </w:r>
        <w:r w:rsidR="009A2DF0">
          <w:rPr>
            <w:webHidden/>
          </w:rPr>
          <w:t>7</w:t>
        </w:r>
        <w:r w:rsidR="00B2262A" w:rsidRPr="006C6D5B">
          <w:rPr>
            <w:webHidden/>
          </w:rPr>
          <w:fldChar w:fldCharType="end"/>
        </w:r>
      </w:hyperlink>
    </w:p>
    <w:p w14:paraId="131ADE9F" w14:textId="77777777" w:rsidR="00B2262A" w:rsidRPr="00995AAE" w:rsidRDefault="000E5ECA">
      <w:pPr>
        <w:pStyle w:val="TOC2"/>
        <w:rPr>
          <w:rFonts w:asciiTheme="minorHAnsi" w:eastAsiaTheme="minorEastAsia" w:hAnsiTheme="minorHAnsi"/>
          <w:lang w:val="en-AU" w:eastAsia="en-AU"/>
        </w:rPr>
      </w:pPr>
      <w:hyperlink w:anchor="_Toc428368857" w:history="1">
        <w:r w:rsidR="00B2262A" w:rsidRPr="00995AAE">
          <w:rPr>
            <w:rStyle w:val="Hyperlink"/>
          </w:rPr>
          <w:t>2.4</w:t>
        </w:r>
        <w:r w:rsidR="00B2262A" w:rsidRPr="00995AAE">
          <w:rPr>
            <w:rFonts w:asciiTheme="minorHAnsi" w:eastAsiaTheme="minorEastAsia" w:hAnsiTheme="minorHAnsi"/>
            <w:lang w:val="en-AU" w:eastAsia="en-AU"/>
          </w:rPr>
          <w:tab/>
        </w:r>
        <w:r w:rsidR="00B2262A" w:rsidRPr="00995AAE">
          <w:rPr>
            <w:rStyle w:val="Hyperlink"/>
          </w:rPr>
          <w:t>Student Grievances and Complaints</w:t>
        </w:r>
        <w:r w:rsidR="00B2262A" w:rsidRPr="00995AAE">
          <w:rPr>
            <w:webHidden/>
          </w:rPr>
          <w:tab/>
        </w:r>
        <w:r w:rsidR="00B2262A" w:rsidRPr="006C6D5B">
          <w:rPr>
            <w:webHidden/>
          </w:rPr>
          <w:fldChar w:fldCharType="begin"/>
        </w:r>
        <w:r w:rsidR="00B2262A" w:rsidRPr="00995AAE">
          <w:rPr>
            <w:webHidden/>
          </w:rPr>
          <w:instrText xml:space="preserve"> PAGEREF _Toc428368857 \h </w:instrText>
        </w:r>
        <w:r w:rsidR="00B2262A" w:rsidRPr="006C6D5B">
          <w:rPr>
            <w:webHidden/>
          </w:rPr>
        </w:r>
        <w:r w:rsidR="00B2262A" w:rsidRPr="006C6D5B">
          <w:rPr>
            <w:webHidden/>
          </w:rPr>
          <w:fldChar w:fldCharType="separate"/>
        </w:r>
        <w:r w:rsidR="009A2DF0">
          <w:rPr>
            <w:webHidden/>
          </w:rPr>
          <w:t>7</w:t>
        </w:r>
        <w:r w:rsidR="00B2262A" w:rsidRPr="006C6D5B">
          <w:rPr>
            <w:webHidden/>
          </w:rPr>
          <w:fldChar w:fldCharType="end"/>
        </w:r>
      </w:hyperlink>
    </w:p>
    <w:p w14:paraId="08DB2F6A" w14:textId="77777777" w:rsidR="00B2262A" w:rsidRPr="00995AAE" w:rsidRDefault="000E5ECA">
      <w:pPr>
        <w:pStyle w:val="TOC1"/>
        <w:rPr>
          <w:rFonts w:asciiTheme="minorHAnsi" w:eastAsiaTheme="minorEastAsia" w:hAnsiTheme="minorHAnsi"/>
          <w:b w:val="0"/>
          <w:sz w:val="22"/>
          <w:szCs w:val="22"/>
          <w:lang w:eastAsia="en-AU"/>
        </w:rPr>
      </w:pPr>
      <w:hyperlink w:anchor="_Toc428368858" w:history="1">
        <w:r w:rsidR="00B2262A" w:rsidRPr="00995AAE">
          <w:rPr>
            <w:rStyle w:val="Hyperlink"/>
          </w:rPr>
          <w:t>3</w:t>
        </w:r>
        <w:r w:rsidR="00B2262A" w:rsidRPr="00995AAE">
          <w:rPr>
            <w:rFonts w:asciiTheme="minorHAnsi" w:eastAsiaTheme="minorEastAsia" w:hAnsiTheme="minorHAnsi"/>
            <w:b w:val="0"/>
            <w:sz w:val="22"/>
            <w:szCs w:val="22"/>
            <w:lang w:eastAsia="en-AU"/>
          </w:rPr>
          <w:tab/>
        </w:r>
        <w:r w:rsidR="00B2262A" w:rsidRPr="00995AAE">
          <w:rPr>
            <w:rStyle w:val="Hyperlink"/>
          </w:rPr>
          <w:t>Teaching</w:t>
        </w:r>
        <w:r w:rsidR="00B2262A" w:rsidRPr="00995AAE">
          <w:rPr>
            <w:webHidden/>
          </w:rPr>
          <w:tab/>
        </w:r>
        <w:r w:rsidR="00B2262A" w:rsidRPr="006C6D5B">
          <w:rPr>
            <w:webHidden/>
          </w:rPr>
          <w:fldChar w:fldCharType="begin"/>
        </w:r>
        <w:r w:rsidR="00B2262A" w:rsidRPr="00995AAE">
          <w:rPr>
            <w:webHidden/>
          </w:rPr>
          <w:instrText xml:space="preserve"> PAGEREF _Toc428368858 \h </w:instrText>
        </w:r>
        <w:r w:rsidR="00B2262A" w:rsidRPr="006C6D5B">
          <w:rPr>
            <w:webHidden/>
          </w:rPr>
        </w:r>
        <w:r w:rsidR="00B2262A" w:rsidRPr="006C6D5B">
          <w:rPr>
            <w:webHidden/>
          </w:rPr>
          <w:fldChar w:fldCharType="separate"/>
        </w:r>
        <w:r w:rsidR="009A2DF0">
          <w:rPr>
            <w:webHidden/>
          </w:rPr>
          <w:t>7</w:t>
        </w:r>
        <w:r w:rsidR="00B2262A" w:rsidRPr="006C6D5B">
          <w:rPr>
            <w:webHidden/>
          </w:rPr>
          <w:fldChar w:fldCharType="end"/>
        </w:r>
      </w:hyperlink>
    </w:p>
    <w:p w14:paraId="5BB6AB15" w14:textId="77777777" w:rsidR="00B2262A" w:rsidRPr="00995AAE" w:rsidRDefault="000E5ECA">
      <w:pPr>
        <w:pStyle w:val="TOC2"/>
        <w:rPr>
          <w:rFonts w:asciiTheme="minorHAnsi" w:eastAsiaTheme="minorEastAsia" w:hAnsiTheme="minorHAnsi"/>
          <w:lang w:val="en-AU" w:eastAsia="en-AU"/>
        </w:rPr>
      </w:pPr>
      <w:hyperlink w:anchor="_Toc428368859" w:history="1">
        <w:r w:rsidR="00B2262A" w:rsidRPr="00995AAE">
          <w:rPr>
            <w:rStyle w:val="Hyperlink"/>
          </w:rPr>
          <w:t>3.1</w:t>
        </w:r>
        <w:r w:rsidR="00B2262A" w:rsidRPr="00995AAE">
          <w:rPr>
            <w:rFonts w:asciiTheme="minorHAnsi" w:eastAsiaTheme="minorEastAsia" w:hAnsiTheme="minorHAnsi"/>
            <w:lang w:val="en-AU" w:eastAsia="en-AU"/>
          </w:rPr>
          <w:tab/>
        </w:r>
        <w:r w:rsidR="00B2262A" w:rsidRPr="00995AAE">
          <w:rPr>
            <w:rStyle w:val="Hyperlink"/>
          </w:rPr>
          <w:t>Course Design</w:t>
        </w:r>
        <w:r w:rsidR="00B2262A" w:rsidRPr="00995AAE">
          <w:rPr>
            <w:webHidden/>
          </w:rPr>
          <w:tab/>
        </w:r>
        <w:r w:rsidR="00B2262A" w:rsidRPr="006C6D5B">
          <w:rPr>
            <w:webHidden/>
          </w:rPr>
          <w:fldChar w:fldCharType="begin"/>
        </w:r>
        <w:r w:rsidR="00B2262A" w:rsidRPr="00995AAE">
          <w:rPr>
            <w:webHidden/>
          </w:rPr>
          <w:instrText xml:space="preserve"> PAGEREF _Toc428368859 \h </w:instrText>
        </w:r>
        <w:r w:rsidR="00B2262A" w:rsidRPr="006C6D5B">
          <w:rPr>
            <w:webHidden/>
          </w:rPr>
        </w:r>
        <w:r w:rsidR="00B2262A" w:rsidRPr="006C6D5B">
          <w:rPr>
            <w:webHidden/>
          </w:rPr>
          <w:fldChar w:fldCharType="separate"/>
        </w:r>
        <w:r w:rsidR="009A2DF0">
          <w:rPr>
            <w:webHidden/>
          </w:rPr>
          <w:t>7</w:t>
        </w:r>
        <w:r w:rsidR="00B2262A" w:rsidRPr="006C6D5B">
          <w:rPr>
            <w:webHidden/>
          </w:rPr>
          <w:fldChar w:fldCharType="end"/>
        </w:r>
      </w:hyperlink>
    </w:p>
    <w:p w14:paraId="09CE199A" w14:textId="77777777" w:rsidR="00B2262A" w:rsidRPr="00995AAE" w:rsidRDefault="000E5ECA">
      <w:pPr>
        <w:pStyle w:val="TOC2"/>
        <w:rPr>
          <w:rFonts w:asciiTheme="minorHAnsi" w:eastAsiaTheme="minorEastAsia" w:hAnsiTheme="minorHAnsi"/>
          <w:lang w:val="en-AU" w:eastAsia="en-AU"/>
        </w:rPr>
      </w:pPr>
      <w:hyperlink w:anchor="_Toc428368860" w:history="1">
        <w:r w:rsidR="00B2262A" w:rsidRPr="00995AAE">
          <w:rPr>
            <w:rStyle w:val="Hyperlink"/>
          </w:rPr>
          <w:t>3.2</w:t>
        </w:r>
        <w:r w:rsidR="00B2262A" w:rsidRPr="00995AAE">
          <w:rPr>
            <w:rFonts w:asciiTheme="minorHAnsi" w:eastAsiaTheme="minorEastAsia" w:hAnsiTheme="minorHAnsi"/>
            <w:lang w:val="en-AU" w:eastAsia="en-AU"/>
          </w:rPr>
          <w:tab/>
        </w:r>
        <w:r w:rsidR="00B2262A" w:rsidRPr="00995AAE">
          <w:rPr>
            <w:rStyle w:val="Hyperlink"/>
          </w:rPr>
          <w:t>Staffing</w:t>
        </w:r>
        <w:r w:rsidR="00B2262A" w:rsidRPr="00995AAE">
          <w:rPr>
            <w:webHidden/>
          </w:rPr>
          <w:tab/>
        </w:r>
        <w:r w:rsidR="00B2262A" w:rsidRPr="006C6D5B">
          <w:rPr>
            <w:webHidden/>
          </w:rPr>
          <w:fldChar w:fldCharType="begin"/>
        </w:r>
        <w:r w:rsidR="00B2262A" w:rsidRPr="00995AAE">
          <w:rPr>
            <w:webHidden/>
          </w:rPr>
          <w:instrText xml:space="preserve"> PAGEREF _Toc428368860 \h </w:instrText>
        </w:r>
        <w:r w:rsidR="00B2262A" w:rsidRPr="006C6D5B">
          <w:rPr>
            <w:webHidden/>
          </w:rPr>
        </w:r>
        <w:r w:rsidR="00B2262A" w:rsidRPr="006C6D5B">
          <w:rPr>
            <w:webHidden/>
          </w:rPr>
          <w:fldChar w:fldCharType="separate"/>
        </w:r>
        <w:r w:rsidR="009A2DF0">
          <w:rPr>
            <w:webHidden/>
          </w:rPr>
          <w:t>8</w:t>
        </w:r>
        <w:r w:rsidR="00B2262A" w:rsidRPr="006C6D5B">
          <w:rPr>
            <w:webHidden/>
          </w:rPr>
          <w:fldChar w:fldCharType="end"/>
        </w:r>
      </w:hyperlink>
    </w:p>
    <w:p w14:paraId="42B8DBAC" w14:textId="77777777" w:rsidR="00B2262A" w:rsidRPr="00995AAE" w:rsidRDefault="000E5ECA">
      <w:pPr>
        <w:pStyle w:val="TOC2"/>
        <w:rPr>
          <w:rFonts w:asciiTheme="minorHAnsi" w:eastAsiaTheme="minorEastAsia" w:hAnsiTheme="minorHAnsi"/>
          <w:lang w:val="en-AU" w:eastAsia="en-AU"/>
        </w:rPr>
      </w:pPr>
      <w:hyperlink w:anchor="_Toc428368861" w:history="1">
        <w:r w:rsidR="00B2262A" w:rsidRPr="00995AAE">
          <w:rPr>
            <w:rStyle w:val="Hyperlink"/>
          </w:rPr>
          <w:t>3.3</w:t>
        </w:r>
        <w:r w:rsidR="00B2262A" w:rsidRPr="00995AAE">
          <w:rPr>
            <w:rFonts w:asciiTheme="minorHAnsi" w:eastAsiaTheme="minorEastAsia" w:hAnsiTheme="minorHAnsi"/>
            <w:lang w:val="en-AU" w:eastAsia="en-AU"/>
          </w:rPr>
          <w:tab/>
        </w:r>
        <w:r w:rsidR="00B2262A" w:rsidRPr="00995AAE">
          <w:rPr>
            <w:rStyle w:val="Hyperlink"/>
          </w:rPr>
          <w:t>Learning Resources and Educational Support</w:t>
        </w:r>
        <w:r w:rsidR="00B2262A" w:rsidRPr="00995AAE">
          <w:rPr>
            <w:webHidden/>
          </w:rPr>
          <w:tab/>
        </w:r>
        <w:r w:rsidR="00B2262A" w:rsidRPr="006C6D5B">
          <w:rPr>
            <w:webHidden/>
          </w:rPr>
          <w:fldChar w:fldCharType="begin"/>
        </w:r>
        <w:r w:rsidR="00B2262A" w:rsidRPr="00995AAE">
          <w:rPr>
            <w:webHidden/>
          </w:rPr>
          <w:instrText xml:space="preserve"> PAGEREF _Toc428368861 \h </w:instrText>
        </w:r>
        <w:r w:rsidR="00B2262A" w:rsidRPr="006C6D5B">
          <w:rPr>
            <w:webHidden/>
          </w:rPr>
        </w:r>
        <w:r w:rsidR="00B2262A" w:rsidRPr="006C6D5B">
          <w:rPr>
            <w:webHidden/>
          </w:rPr>
          <w:fldChar w:fldCharType="separate"/>
        </w:r>
        <w:r w:rsidR="009A2DF0">
          <w:rPr>
            <w:webHidden/>
          </w:rPr>
          <w:t>8</w:t>
        </w:r>
        <w:r w:rsidR="00B2262A" w:rsidRPr="006C6D5B">
          <w:rPr>
            <w:webHidden/>
          </w:rPr>
          <w:fldChar w:fldCharType="end"/>
        </w:r>
      </w:hyperlink>
    </w:p>
    <w:p w14:paraId="48D02E33" w14:textId="77777777" w:rsidR="00B2262A" w:rsidRPr="00995AAE" w:rsidRDefault="000E5ECA">
      <w:pPr>
        <w:pStyle w:val="TOC1"/>
        <w:rPr>
          <w:rFonts w:asciiTheme="minorHAnsi" w:eastAsiaTheme="minorEastAsia" w:hAnsiTheme="minorHAnsi"/>
          <w:b w:val="0"/>
          <w:sz w:val="22"/>
          <w:szCs w:val="22"/>
          <w:lang w:eastAsia="en-AU"/>
        </w:rPr>
      </w:pPr>
      <w:hyperlink w:anchor="_Toc428368862" w:history="1">
        <w:r w:rsidR="00B2262A" w:rsidRPr="00995AAE">
          <w:rPr>
            <w:rStyle w:val="Hyperlink"/>
          </w:rPr>
          <w:t>4</w:t>
        </w:r>
        <w:r w:rsidR="00B2262A" w:rsidRPr="00995AAE">
          <w:rPr>
            <w:rFonts w:asciiTheme="minorHAnsi" w:eastAsiaTheme="minorEastAsia" w:hAnsiTheme="minorHAnsi"/>
            <w:b w:val="0"/>
            <w:sz w:val="22"/>
            <w:szCs w:val="22"/>
            <w:lang w:eastAsia="en-AU"/>
          </w:rPr>
          <w:tab/>
        </w:r>
        <w:r w:rsidR="00B2262A" w:rsidRPr="00995AAE">
          <w:rPr>
            <w:rStyle w:val="Hyperlink"/>
          </w:rPr>
          <w:t>Research and Research Training</w:t>
        </w:r>
        <w:r w:rsidR="00B2262A" w:rsidRPr="00995AAE">
          <w:rPr>
            <w:webHidden/>
          </w:rPr>
          <w:tab/>
        </w:r>
        <w:r w:rsidR="00B2262A" w:rsidRPr="006C6D5B">
          <w:rPr>
            <w:webHidden/>
          </w:rPr>
          <w:fldChar w:fldCharType="begin"/>
        </w:r>
        <w:r w:rsidR="00B2262A" w:rsidRPr="00995AAE">
          <w:rPr>
            <w:webHidden/>
          </w:rPr>
          <w:instrText xml:space="preserve"> PAGEREF _Toc428368862 \h </w:instrText>
        </w:r>
        <w:r w:rsidR="00B2262A" w:rsidRPr="006C6D5B">
          <w:rPr>
            <w:webHidden/>
          </w:rPr>
        </w:r>
        <w:r w:rsidR="00B2262A" w:rsidRPr="006C6D5B">
          <w:rPr>
            <w:webHidden/>
          </w:rPr>
          <w:fldChar w:fldCharType="separate"/>
        </w:r>
        <w:r w:rsidR="009A2DF0">
          <w:rPr>
            <w:webHidden/>
          </w:rPr>
          <w:t>9</w:t>
        </w:r>
        <w:r w:rsidR="00B2262A" w:rsidRPr="006C6D5B">
          <w:rPr>
            <w:webHidden/>
          </w:rPr>
          <w:fldChar w:fldCharType="end"/>
        </w:r>
      </w:hyperlink>
    </w:p>
    <w:p w14:paraId="758936C3" w14:textId="77777777" w:rsidR="00B2262A" w:rsidRPr="00995AAE" w:rsidRDefault="000E5ECA">
      <w:pPr>
        <w:pStyle w:val="TOC2"/>
        <w:rPr>
          <w:rFonts w:asciiTheme="minorHAnsi" w:eastAsiaTheme="minorEastAsia" w:hAnsiTheme="minorHAnsi"/>
          <w:lang w:val="en-AU" w:eastAsia="en-AU"/>
        </w:rPr>
      </w:pPr>
      <w:hyperlink w:anchor="_Toc428368863" w:history="1">
        <w:r w:rsidR="00B2262A" w:rsidRPr="00995AAE">
          <w:rPr>
            <w:rStyle w:val="Hyperlink"/>
          </w:rPr>
          <w:t>4.1</w:t>
        </w:r>
        <w:r w:rsidR="00B2262A" w:rsidRPr="00995AAE">
          <w:rPr>
            <w:rFonts w:asciiTheme="minorHAnsi" w:eastAsiaTheme="minorEastAsia" w:hAnsiTheme="minorHAnsi"/>
            <w:lang w:val="en-AU" w:eastAsia="en-AU"/>
          </w:rPr>
          <w:tab/>
        </w:r>
        <w:r w:rsidR="00B2262A" w:rsidRPr="00995AAE">
          <w:rPr>
            <w:rStyle w:val="Hyperlink"/>
          </w:rPr>
          <w:t>Research</w:t>
        </w:r>
        <w:r w:rsidR="00B2262A" w:rsidRPr="00995AAE">
          <w:rPr>
            <w:webHidden/>
          </w:rPr>
          <w:tab/>
        </w:r>
        <w:r w:rsidR="00B2262A" w:rsidRPr="006C6D5B">
          <w:rPr>
            <w:webHidden/>
          </w:rPr>
          <w:fldChar w:fldCharType="begin"/>
        </w:r>
        <w:r w:rsidR="00B2262A" w:rsidRPr="00995AAE">
          <w:rPr>
            <w:webHidden/>
          </w:rPr>
          <w:instrText xml:space="preserve"> PAGEREF _Toc428368863 \h </w:instrText>
        </w:r>
        <w:r w:rsidR="00B2262A" w:rsidRPr="006C6D5B">
          <w:rPr>
            <w:webHidden/>
          </w:rPr>
        </w:r>
        <w:r w:rsidR="00B2262A" w:rsidRPr="006C6D5B">
          <w:rPr>
            <w:webHidden/>
          </w:rPr>
          <w:fldChar w:fldCharType="separate"/>
        </w:r>
        <w:r w:rsidR="009A2DF0">
          <w:rPr>
            <w:webHidden/>
          </w:rPr>
          <w:t>9</w:t>
        </w:r>
        <w:r w:rsidR="00B2262A" w:rsidRPr="006C6D5B">
          <w:rPr>
            <w:webHidden/>
          </w:rPr>
          <w:fldChar w:fldCharType="end"/>
        </w:r>
      </w:hyperlink>
    </w:p>
    <w:p w14:paraId="2C06C7AF" w14:textId="77777777" w:rsidR="00B2262A" w:rsidRPr="00995AAE" w:rsidRDefault="000E5ECA">
      <w:pPr>
        <w:pStyle w:val="TOC2"/>
        <w:rPr>
          <w:rFonts w:asciiTheme="minorHAnsi" w:eastAsiaTheme="minorEastAsia" w:hAnsiTheme="minorHAnsi"/>
          <w:lang w:val="en-AU" w:eastAsia="en-AU"/>
        </w:rPr>
      </w:pPr>
      <w:hyperlink w:anchor="_Toc428368864" w:history="1">
        <w:r w:rsidR="00B2262A" w:rsidRPr="00995AAE">
          <w:rPr>
            <w:rStyle w:val="Hyperlink"/>
          </w:rPr>
          <w:t>4.2</w:t>
        </w:r>
        <w:r w:rsidR="00B2262A" w:rsidRPr="00995AAE">
          <w:rPr>
            <w:rFonts w:asciiTheme="minorHAnsi" w:eastAsiaTheme="minorEastAsia" w:hAnsiTheme="minorHAnsi"/>
            <w:lang w:val="en-AU" w:eastAsia="en-AU"/>
          </w:rPr>
          <w:tab/>
        </w:r>
        <w:r w:rsidR="00B2262A" w:rsidRPr="00995AAE">
          <w:rPr>
            <w:rStyle w:val="Hyperlink"/>
          </w:rPr>
          <w:t>Research Training</w:t>
        </w:r>
        <w:r w:rsidR="00B2262A" w:rsidRPr="00995AAE">
          <w:rPr>
            <w:webHidden/>
          </w:rPr>
          <w:tab/>
        </w:r>
        <w:r w:rsidR="00B2262A" w:rsidRPr="006C6D5B">
          <w:rPr>
            <w:webHidden/>
          </w:rPr>
          <w:fldChar w:fldCharType="begin"/>
        </w:r>
        <w:r w:rsidR="00B2262A" w:rsidRPr="00995AAE">
          <w:rPr>
            <w:webHidden/>
          </w:rPr>
          <w:instrText xml:space="preserve"> PAGEREF _Toc428368864 \h </w:instrText>
        </w:r>
        <w:r w:rsidR="00B2262A" w:rsidRPr="006C6D5B">
          <w:rPr>
            <w:webHidden/>
          </w:rPr>
        </w:r>
        <w:r w:rsidR="00B2262A" w:rsidRPr="006C6D5B">
          <w:rPr>
            <w:webHidden/>
          </w:rPr>
          <w:fldChar w:fldCharType="separate"/>
        </w:r>
        <w:r w:rsidR="009A2DF0">
          <w:rPr>
            <w:webHidden/>
          </w:rPr>
          <w:t>9</w:t>
        </w:r>
        <w:r w:rsidR="00B2262A" w:rsidRPr="006C6D5B">
          <w:rPr>
            <w:webHidden/>
          </w:rPr>
          <w:fldChar w:fldCharType="end"/>
        </w:r>
      </w:hyperlink>
    </w:p>
    <w:p w14:paraId="1B274D2F" w14:textId="77777777" w:rsidR="00B2262A" w:rsidRPr="00995AAE" w:rsidRDefault="000E5ECA">
      <w:pPr>
        <w:pStyle w:val="TOC1"/>
        <w:rPr>
          <w:rFonts w:asciiTheme="minorHAnsi" w:eastAsiaTheme="minorEastAsia" w:hAnsiTheme="minorHAnsi"/>
          <w:b w:val="0"/>
          <w:sz w:val="22"/>
          <w:szCs w:val="22"/>
          <w:lang w:eastAsia="en-AU"/>
        </w:rPr>
      </w:pPr>
      <w:hyperlink w:anchor="_Toc428368865" w:history="1">
        <w:r w:rsidR="00B2262A" w:rsidRPr="00995AAE">
          <w:rPr>
            <w:rStyle w:val="Hyperlink"/>
          </w:rPr>
          <w:t>5</w:t>
        </w:r>
        <w:r w:rsidR="00B2262A" w:rsidRPr="00995AAE">
          <w:rPr>
            <w:rFonts w:asciiTheme="minorHAnsi" w:eastAsiaTheme="minorEastAsia" w:hAnsiTheme="minorHAnsi"/>
            <w:b w:val="0"/>
            <w:sz w:val="22"/>
            <w:szCs w:val="22"/>
            <w:lang w:eastAsia="en-AU"/>
          </w:rPr>
          <w:tab/>
        </w:r>
        <w:r w:rsidR="00B2262A" w:rsidRPr="00995AAE">
          <w:rPr>
            <w:rStyle w:val="Hyperlink"/>
          </w:rPr>
          <w:t>Institutional Quality Assurance</w:t>
        </w:r>
        <w:r w:rsidR="00B2262A" w:rsidRPr="00995AAE">
          <w:rPr>
            <w:webHidden/>
          </w:rPr>
          <w:tab/>
        </w:r>
        <w:r w:rsidR="00B2262A" w:rsidRPr="006C6D5B">
          <w:rPr>
            <w:webHidden/>
          </w:rPr>
          <w:fldChar w:fldCharType="begin"/>
        </w:r>
        <w:r w:rsidR="00B2262A" w:rsidRPr="00995AAE">
          <w:rPr>
            <w:webHidden/>
          </w:rPr>
          <w:instrText xml:space="preserve"> PAGEREF _Toc428368865 \h </w:instrText>
        </w:r>
        <w:r w:rsidR="00B2262A" w:rsidRPr="006C6D5B">
          <w:rPr>
            <w:webHidden/>
          </w:rPr>
        </w:r>
        <w:r w:rsidR="00B2262A" w:rsidRPr="006C6D5B">
          <w:rPr>
            <w:webHidden/>
          </w:rPr>
          <w:fldChar w:fldCharType="separate"/>
        </w:r>
        <w:r w:rsidR="009A2DF0">
          <w:rPr>
            <w:webHidden/>
          </w:rPr>
          <w:t>10</w:t>
        </w:r>
        <w:r w:rsidR="00B2262A" w:rsidRPr="006C6D5B">
          <w:rPr>
            <w:webHidden/>
          </w:rPr>
          <w:fldChar w:fldCharType="end"/>
        </w:r>
      </w:hyperlink>
    </w:p>
    <w:p w14:paraId="4DC8B7ED" w14:textId="77777777" w:rsidR="00B2262A" w:rsidRPr="00995AAE" w:rsidRDefault="000E5ECA">
      <w:pPr>
        <w:pStyle w:val="TOC2"/>
        <w:rPr>
          <w:rFonts w:asciiTheme="minorHAnsi" w:eastAsiaTheme="minorEastAsia" w:hAnsiTheme="minorHAnsi"/>
          <w:lang w:val="en-AU" w:eastAsia="en-AU"/>
        </w:rPr>
      </w:pPr>
      <w:hyperlink w:anchor="_Toc428368866" w:history="1">
        <w:r w:rsidR="00B2262A" w:rsidRPr="00995AAE">
          <w:rPr>
            <w:rStyle w:val="Hyperlink"/>
          </w:rPr>
          <w:t>5.1</w:t>
        </w:r>
        <w:r w:rsidR="00B2262A" w:rsidRPr="00995AAE">
          <w:rPr>
            <w:rFonts w:asciiTheme="minorHAnsi" w:eastAsiaTheme="minorEastAsia" w:hAnsiTheme="minorHAnsi"/>
            <w:lang w:val="en-AU" w:eastAsia="en-AU"/>
          </w:rPr>
          <w:tab/>
        </w:r>
        <w:r w:rsidR="00B2262A" w:rsidRPr="00995AAE">
          <w:rPr>
            <w:rStyle w:val="Hyperlink"/>
          </w:rPr>
          <w:t>Course Approval and Accreditation</w:t>
        </w:r>
        <w:r w:rsidR="00B2262A" w:rsidRPr="00995AAE">
          <w:rPr>
            <w:webHidden/>
          </w:rPr>
          <w:tab/>
        </w:r>
        <w:r w:rsidR="00B2262A" w:rsidRPr="006C6D5B">
          <w:rPr>
            <w:webHidden/>
          </w:rPr>
          <w:fldChar w:fldCharType="begin"/>
        </w:r>
        <w:r w:rsidR="00B2262A" w:rsidRPr="00995AAE">
          <w:rPr>
            <w:webHidden/>
          </w:rPr>
          <w:instrText xml:space="preserve"> PAGEREF _Toc428368866 \h </w:instrText>
        </w:r>
        <w:r w:rsidR="00B2262A" w:rsidRPr="006C6D5B">
          <w:rPr>
            <w:webHidden/>
          </w:rPr>
        </w:r>
        <w:r w:rsidR="00B2262A" w:rsidRPr="006C6D5B">
          <w:rPr>
            <w:webHidden/>
          </w:rPr>
          <w:fldChar w:fldCharType="separate"/>
        </w:r>
        <w:r w:rsidR="009A2DF0">
          <w:rPr>
            <w:webHidden/>
          </w:rPr>
          <w:t>10</w:t>
        </w:r>
        <w:r w:rsidR="00B2262A" w:rsidRPr="006C6D5B">
          <w:rPr>
            <w:webHidden/>
          </w:rPr>
          <w:fldChar w:fldCharType="end"/>
        </w:r>
      </w:hyperlink>
    </w:p>
    <w:p w14:paraId="2844CD40" w14:textId="77777777" w:rsidR="00B2262A" w:rsidRPr="00995AAE" w:rsidRDefault="000E5ECA">
      <w:pPr>
        <w:pStyle w:val="TOC2"/>
        <w:rPr>
          <w:rFonts w:asciiTheme="minorHAnsi" w:eastAsiaTheme="minorEastAsia" w:hAnsiTheme="minorHAnsi"/>
          <w:lang w:val="en-AU" w:eastAsia="en-AU"/>
        </w:rPr>
      </w:pPr>
      <w:hyperlink w:anchor="_Toc428368867" w:history="1">
        <w:r w:rsidR="00B2262A" w:rsidRPr="00995AAE">
          <w:rPr>
            <w:rStyle w:val="Hyperlink"/>
          </w:rPr>
          <w:t>5.2</w:t>
        </w:r>
        <w:r w:rsidR="00B2262A" w:rsidRPr="00995AAE">
          <w:rPr>
            <w:rFonts w:asciiTheme="minorHAnsi" w:eastAsiaTheme="minorEastAsia" w:hAnsiTheme="minorHAnsi"/>
            <w:lang w:val="en-AU" w:eastAsia="en-AU"/>
          </w:rPr>
          <w:tab/>
        </w:r>
        <w:r w:rsidR="00B2262A" w:rsidRPr="00995AAE">
          <w:rPr>
            <w:rStyle w:val="Hyperlink"/>
          </w:rPr>
          <w:t>Academic and Research Integrity</w:t>
        </w:r>
        <w:r w:rsidR="00B2262A" w:rsidRPr="00995AAE">
          <w:rPr>
            <w:webHidden/>
          </w:rPr>
          <w:tab/>
        </w:r>
        <w:r w:rsidR="00B2262A" w:rsidRPr="006C6D5B">
          <w:rPr>
            <w:webHidden/>
          </w:rPr>
          <w:fldChar w:fldCharType="begin"/>
        </w:r>
        <w:r w:rsidR="00B2262A" w:rsidRPr="00995AAE">
          <w:rPr>
            <w:webHidden/>
          </w:rPr>
          <w:instrText xml:space="preserve"> PAGEREF _Toc428368867 \h </w:instrText>
        </w:r>
        <w:r w:rsidR="00B2262A" w:rsidRPr="006C6D5B">
          <w:rPr>
            <w:webHidden/>
          </w:rPr>
        </w:r>
        <w:r w:rsidR="00B2262A" w:rsidRPr="006C6D5B">
          <w:rPr>
            <w:webHidden/>
          </w:rPr>
          <w:fldChar w:fldCharType="separate"/>
        </w:r>
        <w:r w:rsidR="009A2DF0">
          <w:rPr>
            <w:webHidden/>
          </w:rPr>
          <w:t>10</w:t>
        </w:r>
        <w:r w:rsidR="00B2262A" w:rsidRPr="006C6D5B">
          <w:rPr>
            <w:webHidden/>
          </w:rPr>
          <w:fldChar w:fldCharType="end"/>
        </w:r>
      </w:hyperlink>
    </w:p>
    <w:p w14:paraId="7282D508" w14:textId="77777777" w:rsidR="00B2262A" w:rsidRPr="00995AAE" w:rsidRDefault="000E5ECA">
      <w:pPr>
        <w:pStyle w:val="TOC2"/>
        <w:rPr>
          <w:rFonts w:asciiTheme="minorHAnsi" w:eastAsiaTheme="minorEastAsia" w:hAnsiTheme="minorHAnsi"/>
          <w:lang w:val="en-AU" w:eastAsia="en-AU"/>
        </w:rPr>
      </w:pPr>
      <w:hyperlink w:anchor="_Toc428368868" w:history="1">
        <w:r w:rsidR="00B2262A" w:rsidRPr="00995AAE">
          <w:rPr>
            <w:rStyle w:val="Hyperlink"/>
          </w:rPr>
          <w:t>5.3</w:t>
        </w:r>
        <w:r w:rsidR="00B2262A" w:rsidRPr="00995AAE">
          <w:rPr>
            <w:rFonts w:asciiTheme="minorHAnsi" w:eastAsiaTheme="minorEastAsia" w:hAnsiTheme="minorHAnsi"/>
            <w:lang w:val="en-AU" w:eastAsia="en-AU"/>
          </w:rPr>
          <w:tab/>
        </w:r>
        <w:r w:rsidR="00B2262A" w:rsidRPr="00995AAE">
          <w:rPr>
            <w:rStyle w:val="Hyperlink"/>
          </w:rPr>
          <w:t>Monitoring, Review and Improvement</w:t>
        </w:r>
        <w:r w:rsidR="00B2262A" w:rsidRPr="00995AAE">
          <w:rPr>
            <w:webHidden/>
          </w:rPr>
          <w:tab/>
        </w:r>
        <w:r w:rsidR="00B2262A" w:rsidRPr="006C6D5B">
          <w:rPr>
            <w:webHidden/>
          </w:rPr>
          <w:fldChar w:fldCharType="begin"/>
        </w:r>
        <w:r w:rsidR="00B2262A" w:rsidRPr="00995AAE">
          <w:rPr>
            <w:webHidden/>
          </w:rPr>
          <w:instrText xml:space="preserve"> PAGEREF _Toc428368868 \h </w:instrText>
        </w:r>
        <w:r w:rsidR="00B2262A" w:rsidRPr="006C6D5B">
          <w:rPr>
            <w:webHidden/>
          </w:rPr>
        </w:r>
        <w:r w:rsidR="00B2262A" w:rsidRPr="006C6D5B">
          <w:rPr>
            <w:webHidden/>
          </w:rPr>
          <w:fldChar w:fldCharType="separate"/>
        </w:r>
        <w:r w:rsidR="009A2DF0">
          <w:rPr>
            <w:webHidden/>
          </w:rPr>
          <w:t>10</w:t>
        </w:r>
        <w:r w:rsidR="00B2262A" w:rsidRPr="006C6D5B">
          <w:rPr>
            <w:webHidden/>
          </w:rPr>
          <w:fldChar w:fldCharType="end"/>
        </w:r>
      </w:hyperlink>
    </w:p>
    <w:p w14:paraId="20338A5F" w14:textId="77777777" w:rsidR="00B2262A" w:rsidRPr="00995AAE" w:rsidRDefault="000E5ECA">
      <w:pPr>
        <w:pStyle w:val="TOC2"/>
        <w:rPr>
          <w:rFonts w:asciiTheme="minorHAnsi" w:eastAsiaTheme="minorEastAsia" w:hAnsiTheme="minorHAnsi"/>
          <w:lang w:val="en-AU" w:eastAsia="en-AU"/>
        </w:rPr>
      </w:pPr>
      <w:hyperlink w:anchor="_Toc428368869" w:history="1">
        <w:r w:rsidR="00B2262A" w:rsidRPr="00995AAE">
          <w:rPr>
            <w:rStyle w:val="Hyperlink"/>
          </w:rPr>
          <w:t>5.4</w:t>
        </w:r>
        <w:r w:rsidR="00B2262A" w:rsidRPr="00995AAE">
          <w:rPr>
            <w:rFonts w:asciiTheme="minorHAnsi" w:eastAsiaTheme="minorEastAsia" w:hAnsiTheme="minorHAnsi"/>
            <w:lang w:val="en-AU" w:eastAsia="en-AU"/>
          </w:rPr>
          <w:tab/>
        </w:r>
        <w:r w:rsidR="00B2262A" w:rsidRPr="00995AAE">
          <w:rPr>
            <w:rStyle w:val="Hyperlink"/>
          </w:rPr>
          <w:t>Delivery with Other Parties</w:t>
        </w:r>
        <w:r w:rsidR="00B2262A" w:rsidRPr="00995AAE">
          <w:rPr>
            <w:webHidden/>
          </w:rPr>
          <w:tab/>
        </w:r>
        <w:r w:rsidR="00B2262A" w:rsidRPr="006C6D5B">
          <w:rPr>
            <w:webHidden/>
          </w:rPr>
          <w:fldChar w:fldCharType="begin"/>
        </w:r>
        <w:r w:rsidR="00B2262A" w:rsidRPr="00995AAE">
          <w:rPr>
            <w:webHidden/>
          </w:rPr>
          <w:instrText xml:space="preserve"> PAGEREF _Toc428368869 \h </w:instrText>
        </w:r>
        <w:r w:rsidR="00B2262A" w:rsidRPr="006C6D5B">
          <w:rPr>
            <w:webHidden/>
          </w:rPr>
        </w:r>
        <w:r w:rsidR="00B2262A" w:rsidRPr="006C6D5B">
          <w:rPr>
            <w:webHidden/>
          </w:rPr>
          <w:fldChar w:fldCharType="separate"/>
        </w:r>
        <w:r w:rsidR="009A2DF0">
          <w:rPr>
            <w:webHidden/>
          </w:rPr>
          <w:t>11</w:t>
        </w:r>
        <w:r w:rsidR="00B2262A" w:rsidRPr="006C6D5B">
          <w:rPr>
            <w:webHidden/>
          </w:rPr>
          <w:fldChar w:fldCharType="end"/>
        </w:r>
      </w:hyperlink>
    </w:p>
    <w:p w14:paraId="745018BA" w14:textId="77777777" w:rsidR="00B2262A" w:rsidRPr="00995AAE" w:rsidRDefault="000E5ECA">
      <w:pPr>
        <w:pStyle w:val="TOC1"/>
        <w:rPr>
          <w:rFonts w:asciiTheme="minorHAnsi" w:eastAsiaTheme="minorEastAsia" w:hAnsiTheme="minorHAnsi"/>
          <w:b w:val="0"/>
          <w:sz w:val="22"/>
          <w:szCs w:val="22"/>
          <w:lang w:eastAsia="en-AU"/>
        </w:rPr>
      </w:pPr>
      <w:hyperlink w:anchor="_Toc428368870" w:history="1">
        <w:r w:rsidR="00B2262A" w:rsidRPr="00995AAE">
          <w:rPr>
            <w:rStyle w:val="Hyperlink"/>
          </w:rPr>
          <w:t>6</w:t>
        </w:r>
        <w:r w:rsidR="00B2262A" w:rsidRPr="00995AAE">
          <w:rPr>
            <w:rFonts w:asciiTheme="minorHAnsi" w:eastAsiaTheme="minorEastAsia" w:hAnsiTheme="minorHAnsi"/>
            <w:b w:val="0"/>
            <w:sz w:val="22"/>
            <w:szCs w:val="22"/>
            <w:lang w:eastAsia="en-AU"/>
          </w:rPr>
          <w:tab/>
        </w:r>
        <w:r w:rsidR="00B2262A" w:rsidRPr="00995AAE">
          <w:rPr>
            <w:rStyle w:val="Hyperlink"/>
          </w:rPr>
          <w:t>Governance and Accountability</w:t>
        </w:r>
        <w:r w:rsidR="00B2262A" w:rsidRPr="00995AAE">
          <w:rPr>
            <w:webHidden/>
          </w:rPr>
          <w:tab/>
        </w:r>
        <w:r w:rsidR="00B2262A" w:rsidRPr="006C6D5B">
          <w:rPr>
            <w:webHidden/>
          </w:rPr>
          <w:fldChar w:fldCharType="begin"/>
        </w:r>
        <w:r w:rsidR="00B2262A" w:rsidRPr="00995AAE">
          <w:rPr>
            <w:webHidden/>
          </w:rPr>
          <w:instrText xml:space="preserve"> PAGEREF _Toc428368870 \h </w:instrText>
        </w:r>
        <w:r w:rsidR="00B2262A" w:rsidRPr="006C6D5B">
          <w:rPr>
            <w:webHidden/>
          </w:rPr>
        </w:r>
        <w:r w:rsidR="00B2262A" w:rsidRPr="006C6D5B">
          <w:rPr>
            <w:webHidden/>
          </w:rPr>
          <w:fldChar w:fldCharType="separate"/>
        </w:r>
        <w:r w:rsidR="009A2DF0">
          <w:rPr>
            <w:webHidden/>
          </w:rPr>
          <w:t>11</w:t>
        </w:r>
        <w:r w:rsidR="00B2262A" w:rsidRPr="006C6D5B">
          <w:rPr>
            <w:webHidden/>
          </w:rPr>
          <w:fldChar w:fldCharType="end"/>
        </w:r>
      </w:hyperlink>
    </w:p>
    <w:p w14:paraId="3FD19CF1" w14:textId="77777777" w:rsidR="00B2262A" w:rsidRPr="00995AAE" w:rsidRDefault="000E5ECA">
      <w:pPr>
        <w:pStyle w:val="TOC2"/>
        <w:rPr>
          <w:rFonts w:asciiTheme="minorHAnsi" w:eastAsiaTheme="minorEastAsia" w:hAnsiTheme="minorHAnsi"/>
          <w:lang w:val="en-AU" w:eastAsia="en-AU"/>
        </w:rPr>
      </w:pPr>
      <w:hyperlink w:anchor="_Toc428368871" w:history="1">
        <w:r w:rsidR="00B2262A" w:rsidRPr="00995AAE">
          <w:rPr>
            <w:rStyle w:val="Hyperlink"/>
          </w:rPr>
          <w:t>6.1</w:t>
        </w:r>
        <w:r w:rsidR="00B2262A" w:rsidRPr="00995AAE">
          <w:rPr>
            <w:rFonts w:asciiTheme="minorHAnsi" w:eastAsiaTheme="minorEastAsia" w:hAnsiTheme="minorHAnsi"/>
            <w:lang w:val="en-AU" w:eastAsia="en-AU"/>
          </w:rPr>
          <w:tab/>
        </w:r>
        <w:r w:rsidR="00B2262A" w:rsidRPr="00995AAE">
          <w:rPr>
            <w:rStyle w:val="Hyperlink"/>
          </w:rPr>
          <w:t>Corporate Governance</w:t>
        </w:r>
        <w:r w:rsidR="00B2262A" w:rsidRPr="00995AAE">
          <w:rPr>
            <w:webHidden/>
          </w:rPr>
          <w:tab/>
        </w:r>
        <w:r w:rsidR="00B2262A" w:rsidRPr="006C6D5B">
          <w:rPr>
            <w:webHidden/>
          </w:rPr>
          <w:fldChar w:fldCharType="begin"/>
        </w:r>
        <w:r w:rsidR="00B2262A" w:rsidRPr="00995AAE">
          <w:rPr>
            <w:webHidden/>
          </w:rPr>
          <w:instrText xml:space="preserve"> PAGEREF _Toc428368871 \h </w:instrText>
        </w:r>
        <w:r w:rsidR="00B2262A" w:rsidRPr="006C6D5B">
          <w:rPr>
            <w:webHidden/>
          </w:rPr>
        </w:r>
        <w:r w:rsidR="00B2262A" w:rsidRPr="006C6D5B">
          <w:rPr>
            <w:webHidden/>
          </w:rPr>
          <w:fldChar w:fldCharType="separate"/>
        </w:r>
        <w:r w:rsidR="009A2DF0">
          <w:rPr>
            <w:webHidden/>
          </w:rPr>
          <w:t>11</w:t>
        </w:r>
        <w:r w:rsidR="00B2262A" w:rsidRPr="006C6D5B">
          <w:rPr>
            <w:webHidden/>
          </w:rPr>
          <w:fldChar w:fldCharType="end"/>
        </w:r>
      </w:hyperlink>
    </w:p>
    <w:p w14:paraId="677EAFAD" w14:textId="77777777" w:rsidR="00B2262A" w:rsidRPr="00995AAE" w:rsidRDefault="000E5ECA">
      <w:pPr>
        <w:pStyle w:val="TOC2"/>
        <w:rPr>
          <w:rFonts w:asciiTheme="minorHAnsi" w:eastAsiaTheme="minorEastAsia" w:hAnsiTheme="minorHAnsi"/>
          <w:lang w:val="en-AU" w:eastAsia="en-AU"/>
        </w:rPr>
      </w:pPr>
      <w:hyperlink w:anchor="_Toc428368872" w:history="1">
        <w:r w:rsidR="00B2262A" w:rsidRPr="00995AAE">
          <w:rPr>
            <w:rStyle w:val="Hyperlink"/>
          </w:rPr>
          <w:t>6.2</w:t>
        </w:r>
        <w:r w:rsidR="00B2262A" w:rsidRPr="00995AAE">
          <w:rPr>
            <w:rFonts w:asciiTheme="minorHAnsi" w:eastAsiaTheme="minorEastAsia" w:hAnsiTheme="minorHAnsi"/>
            <w:lang w:val="en-AU" w:eastAsia="en-AU"/>
          </w:rPr>
          <w:tab/>
        </w:r>
        <w:r w:rsidR="00B2262A" w:rsidRPr="00995AAE">
          <w:rPr>
            <w:rStyle w:val="Hyperlink"/>
          </w:rPr>
          <w:t>Corporate Monitoring and Accountability</w:t>
        </w:r>
        <w:r w:rsidR="00B2262A" w:rsidRPr="00995AAE">
          <w:rPr>
            <w:webHidden/>
          </w:rPr>
          <w:tab/>
        </w:r>
        <w:r w:rsidR="00B2262A" w:rsidRPr="006C6D5B">
          <w:rPr>
            <w:webHidden/>
          </w:rPr>
          <w:fldChar w:fldCharType="begin"/>
        </w:r>
        <w:r w:rsidR="00B2262A" w:rsidRPr="00995AAE">
          <w:rPr>
            <w:webHidden/>
          </w:rPr>
          <w:instrText xml:space="preserve"> PAGEREF _Toc428368872 \h </w:instrText>
        </w:r>
        <w:r w:rsidR="00B2262A" w:rsidRPr="006C6D5B">
          <w:rPr>
            <w:webHidden/>
          </w:rPr>
        </w:r>
        <w:r w:rsidR="00B2262A" w:rsidRPr="006C6D5B">
          <w:rPr>
            <w:webHidden/>
          </w:rPr>
          <w:fldChar w:fldCharType="separate"/>
        </w:r>
        <w:r w:rsidR="009A2DF0">
          <w:rPr>
            <w:webHidden/>
          </w:rPr>
          <w:t>12</w:t>
        </w:r>
        <w:r w:rsidR="00B2262A" w:rsidRPr="006C6D5B">
          <w:rPr>
            <w:webHidden/>
          </w:rPr>
          <w:fldChar w:fldCharType="end"/>
        </w:r>
      </w:hyperlink>
    </w:p>
    <w:p w14:paraId="02266FCB" w14:textId="77777777" w:rsidR="00B2262A" w:rsidRPr="00995AAE" w:rsidRDefault="000E5ECA">
      <w:pPr>
        <w:pStyle w:val="TOC2"/>
        <w:rPr>
          <w:rFonts w:asciiTheme="minorHAnsi" w:eastAsiaTheme="minorEastAsia" w:hAnsiTheme="minorHAnsi"/>
          <w:lang w:val="en-AU" w:eastAsia="en-AU"/>
        </w:rPr>
      </w:pPr>
      <w:hyperlink w:anchor="_Toc428368873" w:history="1">
        <w:r w:rsidR="00B2262A" w:rsidRPr="00995AAE">
          <w:rPr>
            <w:rStyle w:val="Hyperlink"/>
          </w:rPr>
          <w:t>6.3</w:t>
        </w:r>
        <w:r w:rsidR="00B2262A" w:rsidRPr="00995AAE">
          <w:rPr>
            <w:rFonts w:asciiTheme="minorHAnsi" w:eastAsiaTheme="minorEastAsia" w:hAnsiTheme="minorHAnsi"/>
            <w:lang w:val="en-AU" w:eastAsia="en-AU"/>
          </w:rPr>
          <w:tab/>
        </w:r>
        <w:r w:rsidR="00B2262A" w:rsidRPr="00995AAE">
          <w:rPr>
            <w:rStyle w:val="Hyperlink"/>
          </w:rPr>
          <w:t>Academic Governance</w:t>
        </w:r>
        <w:r w:rsidR="00B2262A" w:rsidRPr="00995AAE">
          <w:rPr>
            <w:webHidden/>
          </w:rPr>
          <w:tab/>
        </w:r>
        <w:r w:rsidR="00B2262A" w:rsidRPr="006C6D5B">
          <w:rPr>
            <w:webHidden/>
          </w:rPr>
          <w:fldChar w:fldCharType="begin"/>
        </w:r>
        <w:r w:rsidR="00B2262A" w:rsidRPr="00995AAE">
          <w:rPr>
            <w:webHidden/>
          </w:rPr>
          <w:instrText xml:space="preserve"> PAGEREF _Toc428368873 \h </w:instrText>
        </w:r>
        <w:r w:rsidR="00B2262A" w:rsidRPr="006C6D5B">
          <w:rPr>
            <w:webHidden/>
          </w:rPr>
        </w:r>
        <w:r w:rsidR="00B2262A" w:rsidRPr="006C6D5B">
          <w:rPr>
            <w:webHidden/>
          </w:rPr>
          <w:fldChar w:fldCharType="separate"/>
        </w:r>
        <w:r w:rsidR="009A2DF0">
          <w:rPr>
            <w:webHidden/>
          </w:rPr>
          <w:t>13</w:t>
        </w:r>
        <w:r w:rsidR="00B2262A" w:rsidRPr="006C6D5B">
          <w:rPr>
            <w:webHidden/>
          </w:rPr>
          <w:fldChar w:fldCharType="end"/>
        </w:r>
      </w:hyperlink>
    </w:p>
    <w:p w14:paraId="179B8076" w14:textId="77777777" w:rsidR="00B2262A" w:rsidRPr="00995AAE" w:rsidRDefault="000E5ECA">
      <w:pPr>
        <w:pStyle w:val="TOC1"/>
        <w:rPr>
          <w:rFonts w:asciiTheme="minorHAnsi" w:eastAsiaTheme="minorEastAsia" w:hAnsiTheme="minorHAnsi"/>
          <w:b w:val="0"/>
          <w:sz w:val="22"/>
          <w:szCs w:val="22"/>
          <w:lang w:eastAsia="en-AU"/>
        </w:rPr>
      </w:pPr>
      <w:hyperlink w:anchor="_Toc428368874" w:history="1">
        <w:r w:rsidR="00B2262A" w:rsidRPr="00995AAE">
          <w:rPr>
            <w:rStyle w:val="Hyperlink"/>
          </w:rPr>
          <w:t>7</w:t>
        </w:r>
        <w:r w:rsidR="00B2262A" w:rsidRPr="00995AAE">
          <w:rPr>
            <w:rFonts w:asciiTheme="minorHAnsi" w:eastAsiaTheme="minorEastAsia" w:hAnsiTheme="minorHAnsi"/>
            <w:b w:val="0"/>
            <w:sz w:val="22"/>
            <w:szCs w:val="22"/>
            <w:lang w:eastAsia="en-AU"/>
          </w:rPr>
          <w:tab/>
        </w:r>
        <w:r w:rsidR="00B2262A" w:rsidRPr="00995AAE">
          <w:rPr>
            <w:rStyle w:val="Hyperlink"/>
          </w:rPr>
          <w:t>Representation, Information and Information Management</w:t>
        </w:r>
        <w:r w:rsidR="00B2262A" w:rsidRPr="00995AAE">
          <w:rPr>
            <w:webHidden/>
          </w:rPr>
          <w:tab/>
        </w:r>
        <w:r w:rsidR="00B2262A" w:rsidRPr="006C6D5B">
          <w:rPr>
            <w:webHidden/>
          </w:rPr>
          <w:fldChar w:fldCharType="begin"/>
        </w:r>
        <w:r w:rsidR="00B2262A" w:rsidRPr="00995AAE">
          <w:rPr>
            <w:webHidden/>
          </w:rPr>
          <w:instrText xml:space="preserve"> PAGEREF _Toc428368874 \h </w:instrText>
        </w:r>
        <w:r w:rsidR="00B2262A" w:rsidRPr="006C6D5B">
          <w:rPr>
            <w:webHidden/>
          </w:rPr>
        </w:r>
        <w:r w:rsidR="00B2262A" w:rsidRPr="006C6D5B">
          <w:rPr>
            <w:webHidden/>
          </w:rPr>
          <w:fldChar w:fldCharType="separate"/>
        </w:r>
        <w:r w:rsidR="009A2DF0">
          <w:rPr>
            <w:webHidden/>
          </w:rPr>
          <w:t>14</w:t>
        </w:r>
        <w:r w:rsidR="00B2262A" w:rsidRPr="006C6D5B">
          <w:rPr>
            <w:webHidden/>
          </w:rPr>
          <w:fldChar w:fldCharType="end"/>
        </w:r>
      </w:hyperlink>
    </w:p>
    <w:p w14:paraId="439BEDCF" w14:textId="77777777" w:rsidR="00B2262A" w:rsidRPr="00995AAE" w:rsidRDefault="000E5ECA">
      <w:pPr>
        <w:pStyle w:val="TOC2"/>
        <w:rPr>
          <w:rFonts w:asciiTheme="minorHAnsi" w:eastAsiaTheme="minorEastAsia" w:hAnsiTheme="minorHAnsi"/>
          <w:lang w:val="en-AU" w:eastAsia="en-AU"/>
        </w:rPr>
      </w:pPr>
      <w:hyperlink w:anchor="_Toc428368875" w:history="1">
        <w:r w:rsidR="00B2262A" w:rsidRPr="00995AAE">
          <w:rPr>
            <w:rStyle w:val="Hyperlink"/>
          </w:rPr>
          <w:t>7.1</w:t>
        </w:r>
        <w:r w:rsidR="00B2262A" w:rsidRPr="00995AAE">
          <w:rPr>
            <w:rFonts w:asciiTheme="minorHAnsi" w:eastAsiaTheme="minorEastAsia" w:hAnsiTheme="minorHAnsi"/>
            <w:lang w:val="en-AU" w:eastAsia="en-AU"/>
          </w:rPr>
          <w:tab/>
        </w:r>
        <w:r w:rsidR="00B2262A" w:rsidRPr="00995AAE">
          <w:rPr>
            <w:rStyle w:val="Hyperlink"/>
          </w:rPr>
          <w:t>Representation</w:t>
        </w:r>
        <w:r w:rsidR="00B2262A" w:rsidRPr="00995AAE">
          <w:rPr>
            <w:webHidden/>
          </w:rPr>
          <w:tab/>
        </w:r>
        <w:r w:rsidR="00B2262A" w:rsidRPr="006C6D5B">
          <w:rPr>
            <w:webHidden/>
          </w:rPr>
          <w:fldChar w:fldCharType="begin"/>
        </w:r>
        <w:r w:rsidR="00B2262A" w:rsidRPr="00995AAE">
          <w:rPr>
            <w:webHidden/>
          </w:rPr>
          <w:instrText xml:space="preserve"> PAGEREF _Toc428368875 \h </w:instrText>
        </w:r>
        <w:r w:rsidR="00B2262A" w:rsidRPr="006C6D5B">
          <w:rPr>
            <w:webHidden/>
          </w:rPr>
        </w:r>
        <w:r w:rsidR="00B2262A" w:rsidRPr="006C6D5B">
          <w:rPr>
            <w:webHidden/>
          </w:rPr>
          <w:fldChar w:fldCharType="separate"/>
        </w:r>
        <w:r w:rsidR="009A2DF0">
          <w:rPr>
            <w:webHidden/>
          </w:rPr>
          <w:t>14</w:t>
        </w:r>
        <w:r w:rsidR="00B2262A" w:rsidRPr="006C6D5B">
          <w:rPr>
            <w:webHidden/>
          </w:rPr>
          <w:fldChar w:fldCharType="end"/>
        </w:r>
      </w:hyperlink>
    </w:p>
    <w:p w14:paraId="4FFEFEDB" w14:textId="77777777" w:rsidR="00B2262A" w:rsidRPr="00995AAE" w:rsidRDefault="000E5ECA">
      <w:pPr>
        <w:pStyle w:val="TOC2"/>
        <w:rPr>
          <w:rFonts w:asciiTheme="minorHAnsi" w:eastAsiaTheme="minorEastAsia" w:hAnsiTheme="minorHAnsi"/>
          <w:lang w:val="en-AU" w:eastAsia="en-AU"/>
        </w:rPr>
      </w:pPr>
      <w:hyperlink w:anchor="_Toc428368876" w:history="1">
        <w:r w:rsidR="00B2262A" w:rsidRPr="00995AAE">
          <w:rPr>
            <w:rStyle w:val="Hyperlink"/>
          </w:rPr>
          <w:t>7.2</w:t>
        </w:r>
        <w:r w:rsidR="00B2262A" w:rsidRPr="00995AAE">
          <w:rPr>
            <w:rFonts w:asciiTheme="minorHAnsi" w:eastAsiaTheme="minorEastAsia" w:hAnsiTheme="minorHAnsi"/>
            <w:lang w:val="en-AU" w:eastAsia="en-AU"/>
          </w:rPr>
          <w:tab/>
        </w:r>
        <w:r w:rsidR="00B2262A" w:rsidRPr="00995AAE">
          <w:rPr>
            <w:rStyle w:val="Hyperlink"/>
          </w:rPr>
          <w:t>Information for Prospective and Current Students</w:t>
        </w:r>
        <w:r w:rsidR="00B2262A" w:rsidRPr="00995AAE">
          <w:rPr>
            <w:webHidden/>
          </w:rPr>
          <w:tab/>
        </w:r>
        <w:r w:rsidR="00B2262A" w:rsidRPr="006C6D5B">
          <w:rPr>
            <w:webHidden/>
          </w:rPr>
          <w:fldChar w:fldCharType="begin"/>
        </w:r>
        <w:r w:rsidR="00B2262A" w:rsidRPr="00995AAE">
          <w:rPr>
            <w:webHidden/>
          </w:rPr>
          <w:instrText xml:space="preserve"> PAGEREF _Toc428368876 \h </w:instrText>
        </w:r>
        <w:r w:rsidR="00B2262A" w:rsidRPr="006C6D5B">
          <w:rPr>
            <w:webHidden/>
          </w:rPr>
        </w:r>
        <w:r w:rsidR="00B2262A" w:rsidRPr="006C6D5B">
          <w:rPr>
            <w:webHidden/>
          </w:rPr>
          <w:fldChar w:fldCharType="separate"/>
        </w:r>
        <w:r w:rsidR="009A2DF0">
          <w:rPr>
            <w:webHidden/>
          </w:rPr>
          <w:t>14</w:t>
        </w:r>
        <w:r w:rsidR="00B2262A" w:rsidRPr="006C6D5B">
          <w:rPr>
            <w:webHidden/>
          </w:rPr>
          <w:fldChar w:fldCharType="end"/>
        </w:r>
      </w:hyperlink>
    </w:p>
    <w:p w14:paraId="0483FD8A" w14:textId="77777777" w:rsidR="00B2262A" w:rsidRPr="00995AAE" w:rsidRDefault="000E5ECA">
      <w:pPr>
        <w:pStyle w:val="TOC2"/>
        <w:rPr>
          <w:rFonts w:asciiTheme="minorHAnsi" w:eastAsiaTheme="minorEastAsia" w:hAnsiTheme="minorHAnsi"/>
          <w:lang w:val="en-AU" w:eastAsia="en-AU"/>
        </w:rPr>
      </w:pPr>
      <w:hyperlink w:anchor="_Toc428368877" w:history="1">
        <w:r w:rsidR="00B2262A" w:rsidRPr="00995AAE">
          <w:rPr>
            <w:rStyle w:val="Hyperlink"/>
          </w:rPr>
          <w:t>7.3</w:t>
        </w:r>
        <w:r w:rsidR="00B2262A" w:rsidRPr="00995AAE">
          <w:rPr>
            <w:rFonts w:asciiTheme="minorHAnsi" w:eastAsiaTheme="minorEastAsia" w:hAnsiTheme="minorHAnsi"/>
            <w:lang w:val="en-AU" w:eastAsia="en-AU"/>
          </w:rPr>
          <w:tab/>
        </w:r>
        <w:r w:rsidR="00B2262A" w:rsidRPr="00995AAE">
          <w:rPr>
            <w:rStyle w:val="Hyperlink"/>
          </w:rPr>
          <w:t>Information Management</w:t>
        </w:r>
        <w:r w:rsidR="00B2262A" w:rsidRPr="00995AAE">
          <w:rPr>
            <w:webHidden/>
          </w:rPr>
          <w:tab/>
        </w:r>
        <w:r w:rsidR="00B2262A" w:rsidRPr="006C6D5B">
          <w:rPr>
            <w:webHidden/>
          </w:rPr>
          <w:fldChar w:fldCharType="begin"/>
        </w:r>
        <w:r w:rsidR="00B2262A" w:rsidRPr="00995AAE">
          <w:rPr>
            <w:webHidden/>
          </w:rPr>
          <w:instrText xml:space="preserve"> PAGEREF _Toc428368877 \h </w:instrText>
        </w:r>
        <w:r w:rsidR="00B2262A" w:rsidRPr="006C6D5B">
          <w:rPr>
            <w:webHidden/>
          </w:rPr>
        </w:r>
        <w:r w:rsidR="00B2262A" w:rsidRPr="006C6D5B">
          <w:rPr>
            <w:webHidden/>
          </w:rPr>
          <w:fldChar w:fldCharType="separate"/>
        </w:r>
        <w:r w:rsidR="009A2DF0">
          <w:rPr>
            <w:webHidden/>
          </w:rPr>
          <w:t>15</w:t>
        </w:r>
        <w:r w:rsidR="00B2262A" w:rsidRPr="006C6D5B">
          <w:rPr>
            <w:webHidden/>
          </w:rPr>
          <w:fldChar w:fldCharType="end"/>
        </w:r>
      </w:hyperlink>
    </w:p>
    <w:p w14:paraId="56A252C6" w14:textId="77777777" w:rsidR="00B2262A" w:rsidRPr="00995AAE" w:rsidRDefault="000E5ECA">
      <w:pPr>
        <w:pStyle w:val="TOC1"/>
        <w:rPr>
          <w:rFonts w:asciiTheme="minorHAnsi" w:eastAsiaTheme="minorEastAsia" w:hAnsiTheme="minorHAnsi"/>
          <w:b w:val="0"/>
          <w:sz w:val="22"/>
          <w:szCs w:val="22"/>
          <w:lang w:eastAsia="en-AU"/>
        </w:rPr>
      </w:pPr>
      <w:hyperlink w:anchor="_Toc428368878" w:history="1">
        <w:r w:rsidR="00B2262A" w:rsidRPr="00995AAE">
          <w:rPr>
            <w:rStyle w:val="Hyperlink"/>
          </w:rPr>
          <w:t>PART B:</w:t>
        </w:r>
        <w:r w:rsidR="00B2262A" w:rsidRPr="00995AAE">
          <w:rPr>
            <w:rFonts w:asciiTheme="minorHAnsi" w:eastAsiaTheme="minorEastAsia" w:hAnsiTheme="minorHAnsi"/>
            <w:b w:val="0"/>
            <w:sz w:val="22"/>
            <w:szCs w:val="22"/>
            <w:lang w:eastAsia="en-AU"/>
          </w:rPr>
          <w:tab/>
        </w:r>
        <w:r w:rsidR="00B2262A" w:rsidRPr="00995AAE">
          <w:rPr>
            <w:rStyle w:val="Hyperlink"/>
          </w:rPr>
          <w:t>Criteria for Higher Education Providers</w:t>
        </w:r>
        <w:r w:rsidR="00B2262A" w:rsidRPr="00995AAE">
          <w:rPr>
            <w:webHidden/>
          </w:rPr>
          <w:tab/>
        </w:r>
        <w:r w:rsidR="00B2262A" w:rsidRPr="006C6D5B">
          <w:rPr>
            <w:webHidden/>
          </w:rPr>
          <w:fldChar w:fldCharType="begin"/>
        </w:r>
        <w:r w:rsidR="00B2262A" w:rsidRPr="00995AAE">
          <w:rPr>
            <w:webHidden/>
          </w:rPr>
          <w:instrText xml:space="preserve"> PAGEREF _Toc428368878 \h </w:instrText>
        </w:r>
        <w:r w:rsidR="00B2262A" w:rsidRPr="006C6D5B">
          <w:rPr>
            <w:webHidden/>
          </w:rPr>
        </w:r>
        <w:r w:rsidR="00B2262A" w:rsidRPr="006C6D5B">
          <w:rPr>
            <w:webHidden/>
          </w:rPr>
          <w:fldChar w:fldCharType="separate"/>
        </w:r>
        <w:r w:rsidR="009A2DF0">
          <w:rPr>
            <w:webHidden/>
          </w:rPr>
          <w:t>17</w:t>
        </w:r>
        <w:r w:rsidR="00B2262A" w:rsidRPr="006C6D5B">
          <w:rPr>
            <w:webHidden/>
          </w:rPr>
          <w:fldChar w:fldCharType="end"/>
        </w:r>
      </w:hyperlink>
    </w:p>
    <w:p w14:paraId="2C4E6640" w14:textId="77777777" w:rsidR="00B2262A" w:rsidRPr="00995AAE" w:rsidRDefault="000E5ECA" w:rsidP="00B2262A">
      <w:pPr>
        <w:pStyle w:val="TOC2"/>
        <w:rPr>
          <w:rFonts w:asciiTheme="minorHAnsi" w:eastAsiaTheme="minorEastAsia" w:hAnsiTheme="minorHAnsi"/>
          <w:b/>
          <w:lang w:eastAsia="en-AU"/>
        </w:rPr>
      </w:pPr>
      <w:hyperlink w:anchor="_Toc428368879" w:history="1">
        <w:r w:rsidR="00B2262A" w:rsidRPr="00995AAE">
          <w:rPr>
            <w:rStyle w:val="Hyperlink"/>
          </w:rPr>
          <w:t>B1:</w:t>
        </w:r>
        <w:r w:rsidR="00B2262A" w:rsidRPr="00995AAE">
          <w:rPr>
            <w:rFonts w:asciiTheme="minorHAnsi" w:eastAsiaTheme="minorEastAsia" w:hAnsiTheme="minorHAnsi"/>
            <w:b/>
            <w:lang w:eastAsia="en-AU"/>
          </w:rPr>
          <w:tab/>
        </w:r>
        <w:r w:rsidR="00B2262A" w:rsidRPr="00995AAE">
          <w:rPr>
            <w:rStyle w:val="Hyperlink"/>
          </w:rPr>
          <w:t>Criteria for Classification of Higher Education Provider Categories</w:t>
        </w:r>
        <w:r w:rsidR="00B2262A" w:rsidRPr="00995AAE">
          <w:rPr>
            <w:webHidden/>
          </w:rPr>
          <w:tab/>
        </w:r>
        <w:r w:rsidR="00B2262A" w:rsidRPr="006C6D5B">
          <w:rPr>
            <w:webHidden/>
          </w:rPr>
          <w:fldChar w:fldCharType="begin"/>
        </w:r>
        <w:r w:rsidR="00B2262A" w:rsidRPr="00995AAE">
          <w:rPr>
            <w:webHidden/>
          </w:rPr>
          <w:instrText xml:space="preserve"> PAGEREF _Toc428368879 \h </w:instrText>
        </w:r>
        <w:r w:rsidR="00B2262A" w:rsidRPr="006C6D5B">
          <w:rPr>
            <w:webHidden/>
          </w:rPr>
        </w:r>
        <w:r w:rsidR="00B2262A" w:rsidRPr="006C6D5B">
          <w:rPr>
            <w:webHidden/>
          </w:rPr>
          <w:fldChar w:fldCharType="separate"/>
        </w:r>
        <w:r w:rsidR="009A2DF0">
          <w:rPr>
            <w:webHidden/>
          </w:rPr>
          <w:t>17</w:t>
        </w:r>
        <w:r w:rsidR="00B2262A" w:rsidRPr="006C6D5B">
          <w:rPr>
            <w:webHidden/>
          </w:rPr>
          <w:fldChar w:fldCharType="end"/>
        </w:r>
      </w:hyperlink>
    </w:p>
    <w:p w14:paraId="56B56370" w14:textId="77777777" w:rsidR="00B2262A" w:rsidRPr="00995AAE" w:rsidRDefault="000E5ECA" w:rsidP="00B2262A">
      <w:pPr>
        <w:pStyle w:val="TOC2"/>
        <w:rPr>
          <w:rFonts w:asciiTheme="minorHAnsi" w:eastAsiaTheme="minorEastAsia" w:hAnsiTheme="minorHAnsi"/>
          <w:b/>
          <w:lang w:eastAsia="en-AU"/>
        </w:rPr>
      </w:pPr>
      <w:hyperlink w:anchor="_Toc428368880" w:history="1">
        <w:r w:rsidR="00B2262A" w:rsidRPr="00995AAE">
          <w:rPr>
            <w:rStyle w:val="Hyperlink"/>
          </w:rPr>
          <w:t>B2:</w:t>
        </w:r>
        <w:r w:rsidR="00B2262A" w:rsidRPr="00995AAE">
          <w:rPr>
            <w:rFonts w:asciiTheme="minorHAnsi" w:eastAsiaTheme="minorEastAsia" w:hAnsiTheme="minorHAnsi"/>
            <w:b/>
            <w:lang w:eastAsia="en-AU"/>
          </w:rPr>
          <w:tab/>
        </w:r>
        <w:r w:rsidR="00B2262A" w:rsidRPr="00995AAE">
          <w:rPr>
            <w:rStyle w:val="Hyperlink"/>
          </w:rPr>
          <w:t>Criteria for Seeking Authority for Self-Accreditation of Courses of Study</w:t>
        </w:r>
        <w:r w:rsidR="00B2262A" w:rsidRPr="00995AAE">
          <w:rPr>
            <w:webHidden/>
          </w:rPr>
          <w:tab/>
        </w:r>
        <w:r w:rsidR="00B2262A" w:rsidRPr="006C6D5B">
          <w:rPr>
            <w:webHidden/>
          </w:rPr>
          <w:fldChar w:fldCharType="begin"/>
        </w:r>
        <w:r w:rsidR="00B2262A" w:rsidRPr="00995AAE">
          <w:rPr>
            <w:webHidden/>
          </w:rPr>
          <w:instrText xml:space="preserve"> PAGEREF _Toc428368880 \h </w:instrText>
        </w:r>
        <w:r w:rsidR="00B2262A" w:rsidRPr="006C6D5B">
          <w:rPr>
            <w:webHidden/>
          </w:rPr>
        </w:r>
        <w:r w:rsidR="00B2262A" w:rsidRPr="006C6D5B">
          <w:rPr>
            <w:webHidden/>
          </w:rPr>
          <w:fldChar w:fldCharType="separate"/>
        </w:r>
        <w:r w:rsidR="009A2DF0">
          <w:rPr>
            <w:webHidden/>
          </w:rPr>
          <w:t>20</w:t>
        </w:r>
        <w:r w:rsidR="00B2262A" w:rsidRPr="006C6D5B">
          <w:rPr>
            <w:webHidden/>
          </w:rPr>
          <w:fldChar w:fldCharType="end"/>
        </w:r>
      </w:hyperlink>
    </w:p>
    <w:p w14:paraId="07B4B6C1" w14:textId="77777777" w:rsidR="008767FB" w:rsidRPr="00995AAE" w:rsidRDefault="002F71C0" w:rsidP="00B32654">
      <w:pPr>
        <w:rPr>
          <w:lang w:val="en-AU"/>
        </w:rPr>
      </w:pPr>
      <w:r w:rsidRPr="001C387D">
        <w:rPr>
          <w:rFonts w:eastAsiaTheme="majorEastAsia"/>
          <w:b/>
          <w:noProof/>
          <w:sz w:val="28"/>
          <w:szCs w:val="30"/>
          <w:lang w:val="en-AU"/>
        </w:rPr>
        <w:fldChar w:fldCharType="end"/>
      </w:r>
    </w:p>
    <w:p w14:paraId="3AD3AF47" w14:textId="77777777" w:rsidR="002F71C0" w:rsidRPr="00097BFB" w:rsidRDefault="002F71C0">
      <w:pPr>
        <w:tabs>
          <w:tab w:val="clear" w:pos="1134"/>
        </w:tabs>
        <w:spacing w:after="200" w:line="276" w:lineRule="auto"/>
        <w:jc w:val="left"/>
        <w:rPr>
          <w:rStyle w:val="Hyperlink"/>
          <w:rFonts w:eastAsia="Batang" w:cs="Arial"/>
          <w:b/>
          <w:bCs/>
          <w:color w:val="auto"/>
          <w:sz w:val="28"/>
          <w:szCs w:val="28"/>
          <w:u w:val="none"/>
          <w:lang w:val="en-AU"/>
        </w:rPr>
      </w:pPr>
      <w:r w:rsidRPr="00995AAE">
        <w:rPr>
          <w:rStyle w:val="Hyperlink"/>
          <w:color w:val="auto"/>
          <w:sz w:val="28"/>
          <w:szCs w:val="28"/>
          <w:u w:val="none"/>
        </w:rPr>
        <w:br w:type="page"/>
      </w:r>
    </w:p>
    <w:p w14:paraId="65F8143A" w14:textId="77777777" w:rsidR="00410D03" w:rsidRPr="00995AAE" w:rsidRDefault="00CC5610" w:rsidP="00790C06">
      <w:pPr>
        <w:pStyle w:val="Heading1title"/>
      </w:pPr>
      <w:bookmarkStart w:id="3" w:name="_Toc418684263"/>
      <w:bookmarkStart w:id="4" w:name="_Toc428368845"/>
      <w:bookmarkStart w:id="5" w:name="_Toc370205819"/>
      <w:r w:rsidRPr="00995AAE">
        <w:lastRenderedPageBreak/>
        <w:t>T</w:t>
      </w:r>
      <w:r w:rsidR="00410D03" w:rsidRPr="00995AAE">
        <w:t xml:space="preserve">he </w:t>
      </w:r>
      <w:r w:rsidR="00410D03" w:rsidRPr="00995AAE">
        <w:rPr>
          <w:i/>
        </w:rPr>
        <w:t>Higher Education Standards Framework</w:t>
      </w:r>
      <w:bookmarkEnd w:id="3"/>
      <w:bookmarkEnd w:id="4"/>
    </w:p>
    <w:p w14:paraId="792CE250" w14:textId="77777777" w:rsidR="00410D03" w:rsidRPr="00995AAE" w:rsidRDefault="00410D03" w:rsidP="00CC5610">
      <w:pPr>
        <w:tabs>
          <w:tab w:val="clear" w:pos="1134"/>
        </w:tabs>
        <w:rPr>
          <w:rFonts w:cs="Arial"/>
          <w:lang w:val="en-AU"/>
        </w:rPr>
      </w:pPr>
      <w:r w:rsidRPr="00995AAE">
        <w:rPr>
          <w:rFonts w:cs="Arial"/>
        </w:rPr>
        <w:t xml:space="preserve">The </w:t>
      </w:r>
      <w:r w:rsidRPr="00995AAE">
        <w:rPr>
          <w:rFonts w:cs="Arial"/>
          <w:i/>
        </w:rPr>
        <w:t>Higher Education Standards Framework</w:t>
      </w:r>
      <w:r w:rsidRPr="00995AAE">
        <w:rPr>
          <w:rFonts w:cs="Arial"/>
        </w:rPr>
        <w:t xml:space="preserve"> (the Framework) is established by </w:t>
      </w:r>
      <w:r w:rsidR="004E15B9">
        <w:rPr>
          <w:rFonts w:cs="Arial"/>
        </w:rPr>
        <w:t>s</w:t>
      </w:r>
      <w:r w:rsidR="00CC5610" w:rsidRPr="00995AAE">
        <w:rPr>
          <w:rFonts w:cs="Arial"/>
        </w:rPr>
        <w:t xml:space="preserve">ection 58 of the </w:t>
      </w:r>
      <w:r w:rsidRPr="00995AAE">
        <w:rPr>
          <w:rFonts w:cs="Arial"/>
          <w:i/>
        </w:rPr>
        <w:t xml:space="preserve">Tertiary Education Quality and Standards Agency Act 2011 </w:t>
      </w:r>
      <w:r w:rsidRPr="00995AAE">
        <w:rPr>
          <w:rFonts w:cs="Arial"/>
        </w:rPr>
        <w:t>(TEQSA Act</w:t>
      </w:r>
      <w:r w:rsidR="00CC5610" w:rsidRPr="00995AAE">
        <w:rPr>
          <w:rFonts w:cs="Arial"/>
        </w:rPr>
        <w:t xml:space="preserve"> 2011</w:t>
      </w:r>
      <w:r w:rsidRPr="00995AAE">
        <w:rPr>
          <w:rFonts w:cs="Arial"/>
        </w:rPr>
        <w:t>)</w:t>
      </w:r>
      <w:r w:rsidR="004E15B9">
        <w:rPr>
          <w:rFonts w:cs="Arial"/>
        </w:rPr>
        <w:t>.</w:t>
      </w:r>
      <w:r w:rsidRPr="00995AAE">
        <w:rPr>
          <w:rFonts w:cs="Arial"/>
          <w:lang w:val="en-AU"/>
        </w:rPr>
        <w:t xml:space="preserve"> </w:t>
      </w:r>
    </w:p>
    <w:p w14:paraId="49F310D2" w14:textId="77777777" w:rsidR="000650BF" w:rsidRPr="004E65EB" w:rsidRDefault="000650BF" w:rsidP="009A2DF0">
      <w:pPr>
        <w:tabs>
          <w:tab w:val="clear" w:pos="1134"/>
        </w:tabs>
      </w:pPr>
    </w:p>
    <w:p w14:paraId="0CD92893" w14:textId="77777777" w:rsidR="00410D03" w:rsidRPr="00995AAE" w:rsidRDefault="00410D03" w:rsidP="00410D03">
      <w:pPr>
        <w:tabs>
          <w:tab w:val="clear" w:pos="1134"/>
        </w:tabs>
        <w:rPr>
          <w:rFonts w:cs="Arial"/>
        </w:rPr>
      </w:pPr>
      <w:r w:rsidRPr="00995AAE">
        <w:rPr>
          <w:rFonts w:cs="Arial"/>
        </w:rPr>
        <w:t>The Framework co</w:t>
      </w:r>
      <w:r w:rsidR="00CC5610" w:rsidRPr="00995AAE">
        <w:rPr>
          <w:rFonts w:cs="Arial"/>
        </w:rPr>
        <w:t>mprises</w:t>
      </w:r>
      <w:r w:rsidRPr="00995AAE">
        <w:rPr>
          <w:rFonts w:cs="Arial"/>
        </w:rPr>
        <w:t>:</w:t>
      </w:r>
    </w:p>
    <w:p w14:paraId="01F6528B" w14:textId="77777777" w:rsidR="00410D03" w:rsidRPr="00995AAE" w:rsidRDefault="00410D03" w:rsidP="00410D03">
      <w:pPr>
        <w:tabs>
          <w:tab w:val="clear" w:pos="1134"/>
        </w:tabs>
        <w:rPr>
          <w:rFonts w:cs="Arial"/>
        </w:rPr>
      </w:pPr>
    </w:p>
    <w:p w14:paraId="61C94861" w14:textId="77777777" w:rsidR="00410D03" w:rsidRPr="00995AAE" w:rsidRDefault="00410D03" w:rsidP="003737C2">
      <w:pPr>
        <w:pStyle w:val="Subheading"/>
        <w:spacing w:after="120"/>
        <w:ind w:left="567"/>
      </w:pPr>
      <w:r w:rsidRPr="00995AAE">
        <w:t>Part A: Standards for Higher Education</w:t>
      </w:r>
    </w:p>
    <w:p w14:paraId="01EA9FB0" w14:textId="77777777" w:rsidR="00410D03" w:rsidRPr="00995AAE" w:rsidRDefault="00410D03" w:rsidP="00C67BA7">
      <w:pPr>
        <w:tabs>
          <w:tab w:val="clear" w:pos="1134"/>
        </w:tabs>
        <w:ind w:left="567"/>
        <w:rPr>
          <w:rFonts w:cs="Arial"/>
          <w:lang w:val="en-AU"/>
        </w:rPr>
      </w:pPr>
      <w:r w:rsidRPr="00995AAE">
        <w:rPr>
          <w:rFonts w:cs="Arial"/>
        </w:rPr>
        <w:t xml:space="preserve">These </w:t>
      </w:r>
      <w:r w:rsidR="005A39E0" w:rsidRPr="00995AAE">
        <w:rPr>
          <w:rFonts w:cs="Arial"/>
        </w:rPr>
        <w:t>S</w:t>
      </w:r>
      <w:r w:rsidRPr="00995AAE">
        <w:rPr>
          <w:rFonts w:cs="Arial"/>
        </w:rPr>
        <w:t xml:space="preserve">tandards </w:t>
      </w:r>
      <w:r w:rsidRPr="00995AAE">
        <w:rPr>
          <w:rFonts w:cs="Arial"/>
          <w:lang w:val="en-AU"/>
        </w:rPr>
        <w:t xml:space="preserve">represent the minimum acceptable requirements for the provision of higher education in or from Australia by </w:t>
      </w:r>
      <w:r w:rsidR="00B50CD3" w:rsidRPr="00995AAE">
        <w:rPr>
          <w:rFonts w:cs="Arial"/>
          <w:lang w:val="en-AU"/>
        </w:rPr>
        <w:t>higher education providers</w:t>
      </w:r>
      <w:r w:rsidRPr="00995AAE">
        <w:rPr>
          <w:rFonts w:cs="Arial"/>
          <w:lang w:val="en-AU"/>
        </w:rPr>
        <w:t xml:space="preserve"> registered under the TEQSA Act</w:t>
      </w:r>
      <w:r w:rsidR="002A50D5" w:rsidRPr="00995AAE">
        <w:rPr>
          <w:rFonts w:cs="Arial"/>
          <w:lang w:val="en-AU"/>
        </w:rPr>
        <w:t xml:space="preserve"> 2011</w:t>
      </w:r>
      <w:r w:rsidRPr="00995AAE">
        <w:rPr>
          <w:rFonts w:cs="Arial"/>
          <w:lang w:val="en-AU"/>
        </w:rPr>
        <w:t xml:space="preserve">. </w:t>
      </w:r>
    </w:p>
    <w:p w14:paraId="20FCE361" w14:textId="77777777" w:rsidR="00410D03" w:rsidRPr="00995AAE" w:rsidRDefault="00410D03" w:rsidP="00C67BA7">
      <w:pPr>
        <w:tabs>
          <w:tab w:val="clear" w:pos="1134"/>
        </w:tabs>
        <w:ind w:left="567"/>
        <w:rPr>
          <w:rFonts w:cs="Arial"/>
          <w:i/>
          <w:lang w:val="en-AU"/>
        </w:rPr>
      </w:pPr>
    </w:p>
    <w:p w14:paraId="20ABBBD0" w14:textId="77777777" w:rsidR="00410D03" w:rsidRPr="00995AAE" w:rsidRDefault="00410D03" w:rsidP="003737C2">
      <w:pPr>
        <w:pStyle w:val="Subheading"/>
        <w:spacing w:after="120"/>
        <w:ind w:left="567"/>
      </w:pPr>
      <w:r w:rsidRPr="00995AAE">
        <w:t>Part B: Criteria</w:t>
      </w:r>
      <w:r w:rsidR="003737C2" w:rsidRPr="00995AAE">
        <w:t xml:space="preserve"> for Higher Education Providers</w:t>
      </w:r>
    </w:p>
    <w:p w14:paraId="7750CE2F" w14:textId="77777777" w:rsidR="000A2268" w:rsidRPr="00995AAE" w:rsidRDefault="00410D03" w:rsidP="00C67BA7">
      <w:pPr>
        <w:tabs>
          <w:tab w:val="clear" w:pos="1134"/>
        </w:tabs>
        <w:ind w:left="567"/>
        <w:rPr>
          <w:rFonts w:cs="Arial"/>
        </w:rPr>
      </w:pPr>
      <w:r w:rsidRPr="00995AAE">
        <w:rPr>
          <w:rFonts w:cs="Arial"/>
        </w:rPr>
        <w:t xml:space="preserve">These criteria enable categorisation of different types of </w:t>
      </w:r>
      <w:r w:rsidR="00877239" w:rsidRPr="00995AAE">
        <w:rPr>
          <w:rFonts w:cs="Arial"/>
        </w:rPr>
        <w:t>higher education providers</w:t>
      </w:r>
      <w:r w:rsidRPr="00995AAE">
        <w:rPr>
          <w:rFonts w:cs="Arial"/>
        </w:rPr>
        <w:t xml:space="preserve"> according to certain characteristics</w:t>
      </w:r>
      <w:r w:rsidR="002132E6" w:rsidRPr="00995AAE">
        <w:rPr>
          <w:rFonts w:cs="Arial"/>
        </w:rPr>
        <w:t>;</w:t>
      </w:r>
      <w:r w:rsidRPr="00995AAE">
        <w:rPr>
          <w:rFonts w:cs="Arial"/>
        </w:rPr>
        <w:t xml:space="preserve"> and whether a provider is responsible for self-accreditation of </w:t>
      </w:r>
      <w:r w:rsidR="0029002B" w:rsidRPr="00995AAE">
        <w:rPr>
          <w:rFonts w:cs="Arial"/>
        </w:rPr>
        <w:t xml:space="preserve">a </w:t>
      </w:r>
      <w:r w:rsidRPr="00995AAE">
        <w:rPr>
          <w:rFonts w:cs="Arial"/>
        </w:rPr>
        <w:t>course(s) of study it delivers.</w:t>
      </w:r>
    </w:p>
    <w:p w14:paraId="7202E70B" w14:textId="77777777" w:rsidR="00410D03" w:rsidRPr="00995AAE" w:rsidRDefault="00410D03" w:rsidP="00184967">
      <w:pPr>
        <w:tabs>
          <w:tab w:val="clear" w:pos="1134"/>
        </w:tabs>
        <w:rPr>
          <w:rFonts w:cs="Arial"/>
        </w:rPr>
      </w:pPr>
    </w:p>
    <w:p w14:paraId="74668881" w14:textId="77777777" w:rsidR="00410D03" w:rsidRPr="00995AAE" w:rsidRDefault="00410D03" w:rsidP="0083735A">
      <w:pPr>
        <w:rPr>
          <w:b/>
        </w:rPr>
      </w:pPr>
      <w:r w:rsidRPr="00995AAE">
        <w:rPr>
          <w:b/>
        </w:rPr>
        <w:t>Definitions</w:t>
      </w:r>
    </w:p>
    <w:p w14:paraId="1C8FB247" w14:textId="30D99E63" w:rsidR="00670C70" w:rsidRPr="00995AAE" w:rsidRDefault="002932E2" w:rsidP="002003D0">
      <w:pPr>
        <w:tabs>
          <w:tab w:val="clear" w:pos="1134"/>
        </w:tabs>
        <w:jc w:val="left"/>
        <w:rPr>
          <w:rFonts w:cs="Arial"/>
        </w:rPr>
      </w:pPr>
      <w:r w:rsidRPr="00995AAE">
        <w:rPr>
          <w:rFonts w:cs="Arial"/>
        </w:rPr>
        <w:t>Unless the contrary intention appears, the terms and phrases used in the Framework have the same meaning as in the TEQSA Act 2011.</w:t>
      </w:r>
    </w:p>
    <w:p w14:paraId="4FB7198B" w14:textId="77777777" w:rsidR="00E24612" w:rsidRPr="00995AAE" w:rsidRDefault="00E24612" w:rsidP="002003D0">
      <w:pPr>
        <w:tabs>
          <w:tab w:val="clear" w:pos="1134"/>
        </w:tabs>
        <w:jc w:val="left"/>
        <w:rPr>
          <w:rFonts w:cs="Arial"/>
        </w:rPr>
      </w:pPr>
    </w:p>
    <w:p w14:paraId="3E5BDBD6" w14:textId="279E01A6" w:rsidR="00E24612" w:rsidRPr="00995AAE" w:rsidRDefault="00E24612" w:rsidP="00E24612">
      <w:pPr>
        <w:tabs>
          <w:tab w:val="left" w:pos="1701"/>
          <w:tab w:val="left" w:pos="1985"/>
        </w:tabs>
        <w:spacing w:before="120" w:after="120"/>
        <w:ind w:left="567"/>
        <w:rPr>
          <w:rStyle w:val="Strong"/>
        </w:rPr>
      </w:pPr>
      <w:r w:rsidRPr="00995AAE">
        <w:rPr>
          <w:rStyle w:val="Strong"/>
        </w:rPr>
        <w:t>Higher Education Qualification</w:t>
      </w:r>
    </w:p>
    <w:p w14:paraId="650D819F" w14:textId="11C17D08" w:rsidR="00E24612" w:rsidRPr="00995AAE" w:rsidRDefault="00E24612" w:rsidP="00E24612">
      <w:pPr>
        <w:tabs>
          <w:tab w:val="left" w:pos="1701"/>
          <w:tab w:val="left" w:pos="1985"/>
        </w:tabs>
        <w:spacing w:before="120" w:after="120"/>
        <w:ind w:left="567"/>
        <w:rPr>
          <w:rStyle w:val="Strong"/>
          <w:b w:val="0"/>
        </w:rPr>
      </w:pPr>
      <w:r w:rsidRPr="00995AAE">
        <w:rPr>
          <w:rStyle w:val="Strong"/>
          <w:b w:val="0"/>
        </w:rPr>
        <w:t xml:space="preserve">Higher Education Qualification has the same meaning as </w:t>
      </w:r>
      <w:r w:rsidR="004E65EB">
        <w:rPr>
          <w:rStyle w:val="Strong"/>
          <w:b w:val="0"/>
          <w:i/>
        </w:rPr>
        <w:t>H</w:t>
      </w:r>
      <w:r w:rsidRPr="00995AAE">
        <w:rPr>
          <w:rStyle w:val="Strong"/>
          <w:b w:val="0"/>
          <w:i/>
        </w:rPr>
        <w:t>igher education award</w:t>
      </w:r>
      <w:r w:rsidRPr="00995AAE">
        <w:rPr>
          <w:rStyle w:val="Strong"/>
          <w:b w:val="0"/>
        </w:rPr>
        <w:t xml:space="preserve"> in </w:t>
      </w:r>
      <w:r w:rsidR="004E65EB">
        <w:rPr>
          <w:rStyle w:val="Strong"/>
          <w:b w:val="0"/>
        </w:rPr>
        <w:br/>
      </w:r>
      <w:r w:rsidR="004E15B9">
        <w:rPr>
          <w:rStyle w:val="Strong"/>
          <w:b w:val="0"/>
        </w:rPr>
        <w:t>s</w:t>
      </w:r>
      <w:r w:rsidRPr="00995AAE">
        <w:rPr>
          <w:rStyle w:val="Strong"/>
          <w:b w:val="0"/>
        </w:rPr>
        <w:t xml:space="preserve">ection 5 of the TEQSA Act 2011 and includes the qualifications listed in Table 2 below, other than an award at an equivalent level in the </w:t>
      </w:r>
      <w:r w:rsidRPr="00995AAE">
        <w:rPr>
          <w:rStyle w:val="Strong"/>
          <w:b w:val="0"/>
          <w:i/>
        </w:rPr>
        <w:t>Australian Qualifications Framework</w:t>
      </w:r>
      <w:r w:rsidRPr="00995AAE">
        <w:rPr>
          <w:rStyle w:val="Strong"/>
          <w:b w:val="0"/>
        </w:rPr>
        <w:t xml:space="preserve"> (</w:t>
      </w:r>
      <w:proofErr w:type="spellStart"/>
      <w:r w:rsidRPr="00995AAE">
        <w:rPr>
          <w:rStyle w:val="Strong"/>
          <w:b w:val="0"/>
        </w:rPr>
        <w:t>AQF</w:t>
      </w:r>
      <w:proofErr w:type="spellEnd"/>
      <w:r w:rsidRPr="00995AAE">
        <w:rPr>
          <w:rStyle w:val="Strong"/>
          <w:b w:val="0"/>
        </w:rPr>
        <w:t>) that is offered or conferred for completion of a vocational education and training course:</w:t>
      </w:r>
    </w:p>
    <w:p w14:paraId="5232ABA5" w14:textId="77777777" w:rsidR="00E24612" w:rsidRPr="00995AAE" w:rsidRDefault="00E24612" w:rsidP="002003D0">
      <w:pPr>
        <w:spacing w:before="120" w:after="120"/>
        <w:jc w:val="center"/>
        <w:rPr>
          <w:b/>
        </w:rPr>
      </w:pPr>
      <w:r w:rsidRPr="00995AAE">
        <w:rPr>
          <w:b/>
        </w:rPr>
        <w:t>Table 2 – Australian Higher Education Qualifications</w:t>
      </w:r>
    </w:p>
    <w:tbl>
      <w:tblPr>
        <w:tblStyle w:val="TableGrid"/>
        <w:tblW w:w="7662" w:type="dxa"/>
        <w:jc w:val="center"/>
        <w:tblInd w:w="15" w:type="dxa"/>
        <w:tblLayout w:type="fixed"/>
        <w:tblLook w:val="04A0" w:firstRow="1" w:lastRow="0" w:firstColumn="1" w:lastColumn="0" w:noHBand="0" w:noVBand="1"/>
      </w:tblPr>
      <w:tblGrid>
        <w:gridCol w:w="1704"/>
        <w:gridCol w:w="5958"/>
      </w:tblGrid>
      <w:tr w:rsidR="00E24612" w:rsidRPr="00995AAE" w14:paraId="10D66A08" w14:textId="77777777" w:rsidTr="002132E6">
        <w:trPr>
          <w:jc w:val="center"/>
        </w:trPr>
        <w:tc>
          <w:tcPr>
            <w:tcW w:w="1704" w:type="dxa"/>
          </w:tcPr>
          <w:p w14:paraId="7CEFAE95" w14:textId="77777777" w:rsidR="00E24612" w:rsidRPr="00995AAE" w:rsidRDefault="00E24612" w:rsidP="002132E6">
            <w:pPr>
              <w:spacing w:after="60"/>
              <w:ind w:left="191"/>
              <w:jc w:val="left"/>
              <w:rPr>
                <w:rFonts w:cs="Arial"/>
                <w:b/>
                <w:lang w:val="en-US"/>
              </w:rPr>
            </w:pPr>
            <w:proofErr w:type="spellStart"/>
            <w:r w:rsidRPr="00295AD1">
              <w:rPr>
                <w:rFonts w:cs="Arial"/>
                <w:b/>
                <w:lang w:val="en-US"/>
              </w:rPr>
              <w:t>AQF</w:t>
            </w:r>
            <w:proofErr w:type="spellEnd"/>
            <w:r w:rsidRPr="00295AD1">
              <w:rPr>
                <w:rFonts w:cs="Arial"/>
                <w:b/>
                <w:lang w:val="en-US"/>
              </w:rPr>
              <w:t xml:space="preserve"> level</w:t>
            </w:r>
          </w:p>
        </w:tc>
        <w:tc>
          <w:tcPr>
            <w:tcW w:w="5958" w:type="dxa"/>
          </w:tcPr>
          <w:p w14:paraId="12097B93" w14:textId="77777777" w:rsidR="00E24612" w:rsidRPr="00995AAE" w:rsidRDefault="00E24612" w:rsidP="002132E6">
            <w:pPr>
              <w:spacing w:after="60"/>
              <w:ind w:left="173"/>
              <w:jc w:val="left"/>
              <w:rPr>
                <w:rFonts w:cs="Arial"/>
                <w:b/>
                <w:lang w:val="en-US"/>
              </w:rPr>
            </w:pPr>
            <w:r w:rsidRPr="00995AAE">
              <w:rPr>
                <w:rFonts w:cs="Arial"/>
                <w:b/>
                <w:lang w:val="en-US"/>
              </w:rPr>
              <w:t>Qualification</w:t>
            </w:r>
          </w:p>
        </w:tc>
      </w:tr>
      <w:tr w:rsidR="00E24612" w:rsidRPr="00995AAE" w14:paraId="0420B567" w14:textId="77777777" w:rsidTr="002132E6">
        <w:trPr>
          <w:jc w:val="center"/>
        </w:trPr>
        <w:tc>
          <w:tcPr>
            <w:tcW w:w="1704" w:type="dxa"/>
          </w:tcPr>
          <w:p w14:paraId="0CAE6E28" w14:textId="77777777" w:rsidR="00E24612" w:rsidRPr="00995AAE" w:rsidRDefault="00E24612" w:rsidP="002132E6">
            <w:pPr>
              <w:spacing w:after="60"/>
              <w:ind w:left="191"/>
              <w:rPr>
                <w:rFonts w:cs="Arial"/>
                <w:lang w:val="en-US"/>
              </w:rPr>
            </w:pPr>
            <w:r w:rsidRPr="00995AAE">
              <w:rPr>
                <w:rFonts w:cs="Arial"/>
                <w:lang w:val="en-US"/>
              </w:rPr>
              <w:t>10</w:t>
            </w:r>
          </w:p>
        </w:tc>
        <w:tc>
          <w:tcPr>
            <w:tcW w:w="5958" w:type="dxa"/>
          </w:tcPr>
          <w:p w14:paraId="1AC49F51" w14:textId="77777777" w:rsidR="00E24612" w:rsidRPr="00995AAE" w:rsidRDefault="00E24612" w:rsidP="002132E6">
            <w:pPr>
              <w:spacing w:after="60"/>
              <w:ind w:left="173"/>
              <w:rPr>
                <w:rFonts w:cs="Arial"/>
                <w:lang w:val="en-US"/>
              </w:rPr>
            </w:pPr>
            <w:r w:rsidRPr="00995AAE">
              <w:rPr>
                <w:rFonts w:cs="Arial"/>
                <w:lang w:val="en-US"/>
              </w:rPr>
              <w:t>Higher Doctoral Degree *</w:t>
            </w:r>
            <w:r w:rsidRPr="00995AAE">
              <w:rPr>
                <w:rFonts w:cs="Arial"/>
                <w:lang w:val="en-US"/>
              </w:rPr>
              <w:sym w:font="Wingdings 2" w:char="F085"/>
            </w:r>
          </w:p>
        </w:tc>
      </w:tr>
      <w:tr w:rsidR="00E24612" w:rsidRPr="00995AAE" w14:paraId="4AD8AF87" w14:textId="77777777" w:rsidTr="002132E6">
        <w:trPr>
          <w:jc w:val="center"/>
        </w:trPr>
        <w:tc>
          <w:tcPr>
            <w:tcW w:w="1704" w:type="dxa"/>
          </w:tcPr>
          <w:p w14:paraId="75DBF520" w14:textId="77777777" w:rsidR="00E24612" w:rsidRPr="00995AAE" w:rsidRDefault="00E24612" w:rsidP="002132E6">
            <w:pPr>
              <w:spacing w:after="60"/>
              <w:ind w:left="191"/>
              <w:rPr>
                <w:rFonts w:cs="Arial"/>
                <w:lang w:val="en-US"/>
              </w:rPr>
            </w:pPr>
            <w:r w:rsidRPr="00995AAE">
              <w:rPr>
                <w:rFonts w:cs="Arial"/>
                <w:lang w:val="en-US"/>
              </w:rPr>
              <w:t>10</w:t>
            </w:r>
          </w:p>
        </w:tc>
        <w:tc>
          <w:tcPr>
            <w:tcW w:w="5958" w:type="dxa"/>
          </w:tcPr>
          <w:p w14:paraId="1257BC1F" w14:textId="77777777" w:rsidR="00E24612" w:rsidRPr="00995AAE" w:rsidRDefault="00E24612" w:rsidP="002132E6">
            <w:pPr>
              <w:spacing w:after="60"/>
              <w:ind w:left="173"/>
              <w:rPr>
                <w:rFonts w:cs="Arial"/>
                <w:lang w:val="en-US"/>
              </w:rPr>
            </w:pPr>
            <w:r w:rsidRPr="00995AAE">
              <w:rPr>
                <w:rFonts w:cs="Arial"/>
                <w:lang w:val="en-US"/>
              </w:rPr>
              <w:t>Doctoral Degree *</w:t>
            </w:r>
            <w:r w:rsidRPr="00995AAE">
              <w:rPr>
                <w:rFonts w:cs="Arial"/>
                <w:lang w:val="en-US"/>
              </w:rPr>
              <w:sym w:font="Wingdings 2" w:char="F085"/>
            </w:r>
          </w:p>
        </w:tc>
      </w:tr>
      <w:tr w:rsidR="00E24612" w:rsidRPr="00995AAE" w14:paraId="0BD03891" w14:textId="77777777" w:rsidTr="002132E6">
        <w:trPr>
          <w:jc w:val="center"/>
        </w:trPr>
        <w:tc>
          <w:tcPr>
            <w:tcW w:w="1704" w:type="dxa"/>
          </w:tcPr>
          <w:p w14:paraId="75D2A5B5" w14:textId="77777777" w:rsidR="00E24612" w:rsidRPr="00995AAE" w:rsidRDefault="00E24612" w:rsidP="002132E6">
            <w:pPr>
              <w:spacing w:after="60"/>
              <w:ind w:left="191"/>
              <w:rPr>
                <w:rFonts w:cs="Arial"/>
                <w:lang w:val="en-US"/>
              </w:rPr>
            </w:pPr>
            <w:r w:rsidRPr="00995AAE">
              <w:rPr>
                <w:rFonts w:cs="Arial"/>
                <w:lang w:val="en-US"/>
              </w:rPr>
              <w:t>9</w:t>
            </w:r>
          </w:p>
        </w:tc>
        <w:tc>
          <w:tcPr>
            <w:tcW w:w="5958" w:type="dxa"/>
          </w:tcPr>
          <w:p w14:paraId="2D2BFE86" w14:textId="77777777" w:rsidR="00E24612" w:rsidRPr="00995AAE" w:rsidRDefault="00E24612" w:rsidP="002132E6">
            <w:pPr>
              <w:spacing w:after="60"/>
              <w:ind w:left="173"/>
              <w:rPr>
                <w:rFonts w:cs="Arial"/>
                <w:lang w:val="en-US"/>
              </w:rPr>
            </w:pPr>
            <w:proofErr w:type="spellStart"/>
            <w:r w:rsidRPr="00995AAE">
              <w:rPr>
                <w:rFonts w:cs="Arial"/>
                <w:lang w:val="en-US"/>
              </w:rPr>
              <w:t>Masters</w:t>
            </w:r>
            <w:proofErr w:type="spellEnd"/>
            <w:r w:rsidRPr="00995AAE">
              <w:rPr>
                <w:rFonts w:cs="Arial"/>
                <w:lang w:val="en-US"/>
              </w:rPr>
              <w:t xml:space="preserve"> Degree (Research) *</w:t>
            </w:r>
            <w:r w:rsidRPr="00995AAE">
              <w:rPr>
                <w:rFonts w:cs="Arial"/>
                <w:lang w:val="en-US"/>
              </w:rPr>
              <w:sym w:font="Wingdings 2" w:char="F085"/>
            </w:r>
          </w:p>
        </w:tc>
      </w:tr>
      <w:tr w:rsidR="00E24612" w:rsidRPr="00995AAE" w14:paraId="71FE1525" w14:textId="77777777" w:rsidTr="002132E6">
        <w:trPr>
          <w:jc w:val="center"/>
        </w:trPr>
        <w:tc>
          <w:tcPr>
            <w:tcW w:w="1704" w:type="dxa"/>
          </w:tcPr>
          <w:p w14:paraId="4E16DD01" w14:textId="77777777" w:rsidR="00E24612" w:rsidRPr="00995AAE" w:rsidRDefault="00E24612" w:rsidP="002132E6">
            <w:pPr>
              <w:spacing w:after="60"/>
              <w:ind w:left="191"/>
              <w:rPr>
                <w:rFonts w:cs="Arial"/>
                <w:lang w:val="en-US"/>
              </w:rPr>
            </w:pPr>
            <w:r w:rsidRPr="00995AAE">
              <w:rPr>
                <w:rFonts w:cs="Arial"/>
                <w:lang w:val="en-US"/>
              </w:rPr>
              <w:t>9</w:t>
            </w:r>
          </w:p>
        </w:tc>
        <w:tc>
          <w:tcPr>
            <w:tcW w:w="5958" w:type="dxa"/>
          </w:tcPr>
          <w:p w14:paraId="5E295065" w14:textId="77777777" w:rsidR="00E24612" w:rsidRPr="00995AAE" w:rsidRDefault="00E24612" w:rsidP="002132E6">
            <w:pPr>
              <w:spacing w:after="60"/>
              <w:ind w:left="173"/>
              <w:rPr>
                <w:rFonts w:cs="Arial"/>
                <w:lang w:val="en-US"/>
              </w:rPr>
            </w:pPr>
            <w:proofErr w:type="spellStart"/>
            <w:r w:rsidRPr="00995AAE">
              <w:rPr>
                <w:rFonts w:cs="Arial"/>
                <w:lang w:val="en-US"/>
              </w:rPr>
              <w:t>Masters</w:t>
            </w:r>
            <w:proofErr w:type="spellEnd"/>
            <w:r w:rsidRPr="00995AAE">
              <w:rPr>
                <w:rFonts w:cs="Arial"/>
                <w:lang w:val="en-US"/>
              </w:rPr>
              <w:t xml:space="preserve"> Degree (Coursework) *</w:t>
            </w:r>
          </w:p>
        </w:tc>
      </w:tr>
      <w:tr w:rsidR="00E24612" w:rsidRPr="00995AAE" w14:paraId="3950A172" w14:textId="77777777" w:rsidTr="002132E6">
        <w:trPr>
          <w:jc w:val="center"/>
        </w:trPr>
        <w:tc>
          <w:tcPr>
            <w:tcW w:w="1704" w:type="dxa"/>
          </w:tcPr>
          <w:p w14:paraId="3B7E2035" w14:textId="77777777" w:rsidR="00E24612" w:rsidRPr="00995AAE" w:rsidRDefault="00E24612" w:rsidP="002132E6">
            <w:pPr>
              <w:spacing w:after="60"/>
              <w:ind w:left="191"/>
              <w:rPr>
                <w:rFonts w:cs="Arial"/>
                <w:lang w:val="en-US"/>
              </w:rPr>
            </w:pPr>
            <w:r w:rsidRPr="00995AAE">
              <w:rPr>
                <w:rFonts w:cs="Arial"/>
                <w:lang w:val="en-US"/>
              </w:rPr>
              <w:t>9</w:t>
            </w:r>
          </w:p>
        </w:tc>
        <w:tc>
          <w:tcPr>
            <w:tcW w:w="5958" w:type="dxa"/>
          </w:tcPr>
          <w:p w14:paraId="70A65D27" w14:textId="77777777" w:rsidR="00E24612" w:rsidRPr="00995AAE" w:rsidRDefault="00E24612" w:rsidP="002132E6">
            <w:pPr>
              <w:spacing w:after="60"/>
              <w:ind w:left="173"/>
              <w:rPr>
                <w:rFonts w:cs="Arial"/>
                <w:lang w:val="en-US"/>
              </w:rPr>
            </w:pPr>
            <w:proofErr w:type="spellStart"/>
            <w:r w:rsidRPr="00995AAE">
              <w:rPr>
                <w:rFonts w:cs="Arial"/>
                <w:lang w:val="en-US"/>
              </w:rPr>
              <w:t>Masters</w:t>
            </w:r>
            <w:proofErr w:type="spellEnd"/>
            <w:r w:rsidRPr="00995AAE">
              <w:rPr>
                <w:rFonts w:cs="Arial"/>
                <w:lang w:val="en-US"/>
              </w:rPr>
              <w:t xml:space="preserve"> Degree (Extended) *</w:t>
            </w:r>
          </w:p>
        </w:tc>
      </w:tr>
      <w:tr w:rsidR="00E24612" w:rsidRPr="00995AAE" w14:paraId="6B6BEAA8" w14:textId="77777777" w:rsidTr="002132E6">
        <w:trPr>
          <w:jc w:val="center"/>
        </w:trPr>
        <w:tc>
          <w:tcPr>
            <w:tcW w:w="1704" w:type="dxa"/>
          </w:tcPr>
          <w:p w14:paraId="654E6B0D" w14:textId="77777777" w:rsidR="00E24612" w:rsidRPr="00995AAE" w:rsidRDefault="00E24612" w:rsidP="002132E6">
            <w:pPr>
              <w:spacing w:after="60"/>
              <w:ind w:left="191"/>
              <w:rPr>
                <w:rFonts w:cs="Arial"/>
                <w:lang w:val="en-US"/>
              </w:rPr>
            </w:pPr>
            <w:r w:rsidRPr="00995AAE">
              <w:rPr>
                <w:rFonts w:cs="Arial"/>
                <w:lang w:val="en-US"/>
              </w:rPr>
              <w:t>8</w:t>
            </w:r>
          </w:p>
        </w:tc>
        <w:tc>
          <w:tcPr>
            <w:tcW w:w="5958" w:type="dxa"/>
          </w:tcPr>
          <w:p w14:paraId="0C6DCD5C" w14:textId="77777777" w:rsidR="00E24612" w:rsidRPr="00995AAE" w:rsidRDefault="00E24612" w:rsidP="002132E6">
            <w:pPr>
              <w:spacing w:after="60"/>
              <w:ind w:left="173"/>
              <w:rPr>
                <w:rFonts w:cs="Arial"/>
                <w:lang w:val="en-US"/>
              </w:rPr>
            </w:pPr>
            <w:r w:rsidRPr="00995AAE">
              <w:rPr>
                <w:rFonts w:cs="Arial"/>
                <w:lang w:val="en-US"/>
              </w:rPr>
              <w:t>Graduate Diploma *</w:t>
            </w:r>
          </w:p>
        </w:tc>
      </w:tr>
      <w:tr w:rsidR="00E24612" w:rsidRPr="00995AAE" w14:paraId="4D3FBAAD" w14:textId="77777777" w:rsidTr="002132E6">
        <w:trPr>
          <w:jc w:val="center"/>
        </w:trPr>
        <w:tc>
          <w:tcPr>
            <w:tcW w:w="1704" w:type="dxa"/>
          </w:tcPr>
          <w:p w14:paraId="26161DA1" w14:textId="77777777" w:rsidR="00E24612" w:rsidRPr="00995AAE" w:rsidRDefault="00E24612" w:rsidP="002132E6">
            <w:pPr>
              <w:spacing w:after="60"/>
              <w:ind w:left="191"/>
              <w:rPr>
                <w:rFonts w:cs="Arial"/>
                <w:lang w:val="en-US"/>
              </w:rPr>
            </w:pPr>
            <w:r w:rsidRPr="00995AAE">
              <w:rPr>
                <w:rFonts w:cs="Arial"/>
                <w:lang w:val="en-US"/>
              </w:rPr>
              <w:t>8</w:t>
            </w:r>
          </w:p>
        </w:tc>
        <w:tc>
          <w:tcPr>
            <w:tcW w:w="5958" w:type="dxa"/>
          </w:tcPr>
          <w:p w14:paraId="397B60DC" w14:textId="77777777" w:rsidR="00E24612" w:rsidRPr="00995AAE" w:rsidRDefault="00E24612" w:rsidP="002132E6">
            <w:pPr>
              <w:spacing w:after="60"/>
              <w:ind w:left="173"/>
              <w:rPr>
                <w:rFonts w:cs="Arial"/>
                <w:lang w:val="en-US"/>
              </w:rPr>
            </w:pPr>
            <w:r w:rsidRPr="00995AAE">
              <w:rPr>
                <w:rFonts w:cs="Arial"/>
                <w:lang w:val="en-US"/>
              </w:rPr>
              <w:t>Graduate Certificate *</w:t>
            </w:r>
          </w:p>
        </w:tc>
      </w:tr>
      <w:tr w:rsidR="00E24612" w:rsidRPr="00995AAE" w14:paraId="4B7E548A" w14:textId="77777777" w:rsidTr="002132E6">
        <w:trPr>
          <w:jc w:val="center"/>
        </w:trPr>
        <w:tc>
          <w:tcPr>
            <w:tcW w:w="1704" w:type="dxa"/>
          </w:tcPr>
          <w:p w14:paraId="20E96820" w14:textId="77777777" w:rsidR="00E24612" w:rsidRPr="00995AAE" w:rsidRDefault="00E24612" w:rsidP="002132E6">
            <w:pPr>
              <w:spacing w:after="60"/>
              <w:ind w:left="191"/>
              <w:rPr>
                <w:rFonts w:cs="Arial"/>
                <w:lang w:val="en-US"/>
              </w:rPr>
            </w:pPr>
            <w:r w:rsidRPr="00995AAE">
              <w:rPr>
                <w:rFonts w:cs="Arial"/>
                <w:lang w:val="en-US"/>
              </w:rPr>
              <w:t>8</w:t>
            </w:r>
          </w:p>
        </w:tc>
        <w:tc>
          <w:tcPr>
            <w:tcW w:w="5958" w:type="dxa"/>
          </w:tcPr>
          <w:p w14:paraId="354C4EF8" w14:textId="77777777" w:rsidR="00E24612" w:rsidRPr="00995AAE" w:rsidRDefault="00E24612" w:rsidP="002132E6">
            <w:pPr>
              <w:spacing w:after="60"/>
              <w:ind w:left="173"/>
              <w:rPr>
                <w:rFonts w:cs="Arial"/>
                <w:lang w:val="en-US"/>
              </w:rPr>
            </w:pPr>
            <w:r w:rsidRPr="00995AAE">
              <w:rPr>
                <w:rFonts w:cs="Arial"/>
                <w:lang w:val="en-US"/>
              </w:rPr>
              <w:t xml:space="preserve">Bachelor </w:t>
            </w:r>
            <w:proofErr w:type="spellStart"/>
            <w:r w:rsidRPr="00995AAE">
              <w:rPr>
                <w:rFonts w:cs="Arial"/>
                <w:lang w:val="en-US"/>
              </w:rPr>
              <w:t>Honours</w:t>
            </w:r>
            <w:proofErr w:type="spellEnd"/>
            <w:r w:rsidRPr="00995AAE">
              <w:rPr>
                <w:rFonts w:cs="Arial"/>
                <w:lang w:val="en-US"/>
              </w:rPr>
              <w:t xml:space="preserve"> Degree </w:t>
            </w:r>
          </w:p>
        </w:tc>
      </w:tr>
      <w:tr w:rsidR="00E24612" w:rsidRPr="00995AAE" w14:paraId="6C6E26AB" w14:textId="77777777" w:rsidTr="002132E6">
        <w:trPr>
          <w:jc w:val="center"/>
        </w:trPr>
        <w:tc>
          <w:tcPr>
            <w:tcW w:w="1704" w:type="dxa"/>
          </w:tcPr>
          <w:p w14:paraId="487E00CF" w14:textId="77777777" w:rsidR="00E24612" w:rsidRPr="00995AAE" w:rsidRDefault="00E24612" w:rsidP="002132E6">
            <w:pPr>
              <w:spacing w:after="60"/>
              <w:ind w:left="191"/>
              <w:rPr>
                <w:rFonts w:cs="Arial"/>
                <w:lang w:val="en-US"/>
              </w:rPr>
            </w:pPr>
            <w:r w:rsidRPr="00995AAE">
              <w:rPr>
                <w:rFonts w:cs="Arial"/>
                <w:lang w:val="en-US"/>
              </w:rPr>
              <w:t>7</w:t>
            </w:r>
          </w:p>
        </w:tc>
        <w:tc>
          <w:tcPr>
            <w:tcW w:w="5958" w:type="dxa"/>
          </w:tcPr>
          <w:p w14:paraId="24F1D467" w14:textId="77777777" w:rsidR="00E24612" w:rsidRPr="00995AAE" w:rsidRDefault="00E24612" w:rsidP="002132E6">
            <w:pPr>
              <w:spacing w:after="60"/>
              <w:ind w:left="173"/>
              <w:rPr>
                <w:rFonts w:cs="Arial"/>
                <w:lang w:val="en-US"/>
              </w:rPr>
            </w:pPr>
            <w:r w:rsidRPr="00995AAE">
              <w:rPr>
                <w:rFonts w:cs="Arial"/>
                <w:lang w:val="en-US"/>
              </w:rPr>
              <w:t>Bachelor Degree</w:t>
            </w:r>
          </w:p>
        </w:tc>
      </w:tr>
      <w:tr w:rsidR="00E24612" w:rsidRPr="00995AAE" w14:paraId="4393D556" w14:textId="77777777" w:rsidTr="002132E6">
        <w:trPr>
          <w:jc w:val="center"/>
        </w:trPr>
        <w:tc>
          <w:tcPr>
            <w:tcW w:w="1704" w:type="dxa"/>
          </w:tcPr>
          <w:p w14:paraId="58CE5140" w14:textId="77777777" w:rsidR="00E24612" w:rsidRPr="00995AAE" w:rsidRDefault="00E24612" w:rsidP="002132E6">
            <w:pPr>
              <w:spacing w:after="60"/>
              <w:ind w:left="191"/>
              <w:rPr>
                <w:rFonts w:cs="Arial"/>
                <w:lang w:val="en-US"/>
              </w:rPr>
            </w:pPr>
            <w:r w:rsidRPr="00995AAE">
              <w:rPr>
                <w:rFonts w:cs="Arial"/>
                <w:lang w:val="en-US"/>
              </w:rPr>
              <w:t>6</w:t>
            </w:r>
          </w:p>
        </w:tc>
        <w:tc>
          <w:tcPr>
            <w:tcW w:w="5958" w:type="dxa"/>
          </w:tcPr>
          <w:p w14:paraId="7E0FEA13" w14:textId="77777777" w:rsidR="00E24612" w:rsidRPr="00995AAE" w:rsidRDefault="00E24612" w:rsidP="002132E6">
            <w:pPr>
              <w:spacing w:after="60"/>
              <w:ind w:left="173"/>
              <w:rPr>
                <w:rFonts w:cs="Arial"/>
                <w:lang w:val="en-US"/>
              </w:rPr>
            </w:pPr>
            <w:r w:rsidRPr="00995AAE">
              <w:rPr>
                <w:rFonts w:cs="Arial"/>
                <w:lang w:val="en-US"/>
              </w:rPr>
              <w:t>Associate Degree</w:t>
            </w:r>
          </w:p>
        </w:tc>
      </w:tr>
      <w:tr w:rsidR="00E24612" w:rsidRPr="00995AAE" w14:paraId="088A7B85" w14:textId="77777777" w:rsidTr="002132E6">
        <w:trPr>
          <w:jc w:val="center"/>
        </w:trPr>
        <w:tc>
          <w:tcPr>
            <w:tcW w:w="1704" w:type="dxa"/>
            <w:tcBorders>
              <w:bottom w:val="single" w:sz="4" w:space="0" w:color="auto"/>
            </w:tcBorders>
          </w:tcPr>
          <w:p w14:paraId="196C1671" w14:textId="77777777" w:rsidR="00E24612" w:rsidRPr="00995AAE" w:rsidRDefault="00E24612" w:rsidP="002132E6">
            <w:pPr>
              <w:spacing w:after="60"/>
              <w:ind w:left="191"/>
              <w:rPr>
                <w:rFonts w:cs="Arial"/>
                <w:lang w:val="en-US"/>
              </w:rPr>
            </w:pPr>
            <w:r w:rsidRPr="00995AAE">
              <w:rPr>
                <w:rFonts w:cs="Arial"/>
                <w:lang w:val="en-US"/>
              </w:rPr>
              <w:t>6</w:t>
            </w:r>
          </w:p>
        </w:tc>
        <w:tc>
          <w:tcPr>
            <w:tcW w:w="5958" w:type="dxa"/>
            <w:tcBorders>
              <w:bottom w:val="single" w:sz="4" w:space="0" w:color="auto"/>
            </w:tcBorders>
          </w:tcPr>
          <w:p w14:paraId="62A5AA7D" w14:textId="77777777" w:rsidR="00E24612" w:rsidRPr="00995AAE" w:rsidRDefault="00E24612" w:rsidP="002132E6">
            <w:pPr>
              <w:spacing w:after="60"/>
              <w:ind w:left="173"/>
              <w:rPr>
                <w:rFonts w:cs="Arial"/>
                <w:lang w:val="en-US"/>
              </w:rPr>
            </w:pPr>
            <w:r w:rsidRPr="00995AAE">
              <w:rPr>
                <w:rFonts w:cs="Arial"/>
                <w:lang w:val="en-US"/>
              </w:rPr>
              <w:t>Advanced Diploma</w:t>
            </w:r>
          </w:p>
        </w:tc>
      </w:tr>
      <w:tr w:rsidR="00E24612" w:rsidRPr="00995AAE" w14:paraId="3B1291FD" w14:textId="77777777" w:rsidTr="002132E6">
        <w:trPr>
          <w:jc w:val="center"/>
        </w:trPr>
        <w:tc>
          <w:tcPr>
            <w:tcW w:w="1704" w:type="dxa"/>
            <w:tcBorders>
              <w:bottom w:val="single" w:sz="4" w:space="0" w:color="auto"/>
            </w:tcBorders>
          </w:tcPr>
          <w:p w14:paraId="43B14554" w14:textId="77777777" w:rsidR="00E24612" w:rsidRPr="00995AAE" w:rsidRDefault="00E24612" w:rsidP="002132E6">
            <w:pPr>
              <w:spacing w:after="60"/>
              <w:ind w:left="191"/>
              <w:rPr>
                <w:rFonts w:cs="Arial"/>
                <w:lang w:val="en-US"/>
              </w:rPr>
            </w:pPr>
            <w:r w:rsidRPr="00995AAE">
              <w:rPr>
                <w:rFonts w:cs="Arial"/>
                <w:lang w:val="en-US"/>
              </w:rPr>
              <w:t>5</w:t>
            </w:r>
          </w:p>
        </w:tc>
        <w:tc>
          <w:tcPr>
            <w:tcW w:w="5958" w:type="dxa"/>
            <w:tcBorders>
              <w:bottom w:val="single" w:sz="4" w:space="0" w:color="auto"/>
            </w:tcBorders>
          </w:tcPr>
          <w:p w14:paraId="02BD8135" w14:textId="77777777" w:rsidR="00E24612" w:rsidRPr="00995AAE" w:rsidRDefault="00E24612" w:rsidP="002132E6">
            <w:pPr>
              <w:spacing w:after="60"/>
              <w:ind w:left="173"/>
              <w:rPr>
                <w:rFonts w:cs="Arial"/>
                <w:lang w:val="en-US"/>
              </w:rPr>
            </w:pPr>
            <w:r w:rsidRPr="00995AAE">
              <w:rPr>
                <w:rFonts w:cs="Arial"/>
                <w:lang w:val="en-US"/>
              </w:rPr>
              <w:t>Diploma</w:t>
            </w:r>
          </w:p>
        </w:tc>
      </w:tr>
      <w:tr w:rsidR="00E24612" w:rsidRPr="00995AAE" w14:paraId="4C5850F9" w14:textId="77777777" w:rsidTr="002132E6">
        <w:trPr>
          <w:jc w:val="center"/>
        </w:trPr>
        <w:tc>
          <w:tcPr>
            <w:tcW w:w="7662" w:type="dxa"/>
            <w:gridSpan w:val="2"/>
            <w:tcBorders>
              <w:top w:val="single" w:sz="4" w:space="0" w:color="auto"/>
              <w:left w:val="nil"/>
              <w:bottom w:val="nil"/>
              <w:right w:val="nil"/>
            </w:tcBorders>
            <w:vAlign w:val="center"/>
          </w:tcPr>
          <w:p w14:paraId="5277788B" w14:textId="77777777" w:rsidR="00E24612" w:rsidRPr="00995AAE" w:rsidRDefault="00E24612" w:rsidP="002132E6">
            <w:pPr>
              <w:spacing w:after="60"/>
              <w:ind w:left="191"/>
              <w:rPr>
                <w:rFonts w:cs="Arial"/>
                <w:lang w:val="en-US"/>
              </w:rPr>
            </w:pPr>
            <w:r w:rsidRPr="00995AAE">
              <w:rPr>
                <w:rFonts w:cs="Arial"/>
                <w:lang w:val="en-US"/>
              </w:rPr>
              <w:t>* = ‘Higher Degrees’, also known as ‘postgraduate degrees/qualifications’</w:t>
            </w:r>
          </w:p>
        </w:tc>
      </w:tr>
      <w:tr w:rsidR="00E24612" w:rsidRPr="00995AAE" w14:paraId="464A00DF" w14:textId="77777777" w:rsidTr="002132E6">
        <w:trPr>
          <w:trHeight w:val="357"/>
          <w:jc w:val="center"/>
        </w:trPr>
        <w:tc>
          <w:tcPr>
            <w:tcW w:w="7662" w:type="dxa"/>
            <w:gridSpan w:val="2"/>
            <w:tcBorders>
              <w:top w:val="nil"/>
              <w:left w:val="nil"/>
              <w:bottom w:val="nil"/>
              <w:right w:val="nil"/>
            </w:tcBorders>
            <w:vAlign w:val="center"/>
          </w:tcPr>
          <w:p w14:paraId="7327508C" w14:textId="77777777" w:rsidR="00E24612" w:rsidRPr="00995AAE" w:rsidRDefault="00E24612" w:rsidP="002132E6">
            <w:pPr>
              <w:spacing w:after="60"/>
              <w:ind w:left="191"/>
              <w:rPr>
                <w:rFonts w:cs="Arial"/>
                <w:lang w:val="en-US"/>
              </w:rPr>
            </w:pPr>
            <w:r w:rsidRPr="00995AAE">
              <w:rPr>
                <w:rFonts w:cs="Arial"/>
                <w:lang w:val="en-US"/>
              </w:rPr>
              <w:sym w:font="Wingdings 2" w:char="F085"/>
            </w:r>
            <w:r w:rsidRPr="00995AAE">
              <w:rPr>
                <w:rFonts w:cs="Arial"/>
                <w:lang w:val="en-US"/>
              </w:rPr>
              <w:t xml:space="preserve"> = ‘Higher Degrees by Research’</w:t>
            </w:r>
          </w:p>
        </w:tc>
      </w:tr>
    </w:tbl>
    <w:p w14:paraId="20104826" w14:textId="77777777" w:rsidR="004E65EB" w:rsidRPr="00F52A0E" w:rsidRDefault="004E65EB" w:rsidP="00F52A0E">
      <w:pPr>
        <w:tabs>
          <w:tab w:val="left" w:pos="1701"/>
          <w:tab w:val="left" w:pos="1985"/>
        </w:tabs>
        <w:spacing w:before="120" w:after="120"/>
        <w:ind w:left="567"/>
        <w:rPr>
          <w:rStyle w:val="Strong"/>
        </w:rPr>
      </w:pPr>
      <w:r w:rsidRPr="00F52A0E">
        <w:rPr>
          <w:rStyle w:val="Strong"/>
        </w:rPr>
        <w:t>Australian Higher Education Qualification</w:t>
      </w:r>
    </w:p>
    <w:p w14:paraId="2BACAB2E" w14:textId="77777777" w:rsidR="004E65EB" w:rsidRDefault="004E65EB" w:rsidP="004E65EB">
      <w:pPr>
        <w:tabs>
          <w:tab w:val="clear" w:pos="1134"/>
        </w:tabs>
        <w:ind w:left="567"/>
        <w:jc w:val="left"/>
        <w:rPr>
          <w:rStyle w:val="Strong"/>
          <w:b w:val="0"/>
        </w:rPr>
      </w:pPr>
      <w:r>
        <w:rPr>
          <w:rStyle w:val="Strong"/>
          <w:b w:val="0"/>
        </w:rPr>
        <w:t xml:space="preserve">Australian Higher Education Qualification has the same meaning as </w:t>
      </w:r>
      <w:r>
        <w:rPr>
          <w:rStyle w:val="Strong"/>
          <w:b w:val="0"/>
          <w:i/>
        </w:rPr>
        <w:t xml:space="preserve">Australian higher education award </w:t>
      </w:r>
      <w:r>
        <w:rPr>
          <w:rStyle w:val="Strong"/>
          <w:b w:val="0"/>
        </w:rPr>
        <w:t>in section 5 of the TEQSA Act 2011.</w:t>
      </w:r>
    </w:p>
    <w:p w14:paraId="1A2FC13B" w14:textId="77777777" w:rsidR="004E65EB" w:rsidRPr="009A2DF0" w:rsidRDefault="004E65EB" w:rsidP="009A2DF0">
      <w:pPr>
        <w:tabs>
          <w:tab w:val="clear" w:pos="1134"/>
        </w:tabs>
        <w:ind w:left="567"/>
        <w:jc w:val="left"/>
      </w:pPr>
    </w:p>
    <w:p w14:paraId="3514ACC8" w14:textId="77777777" w:rsidR="00432CF7" w:rsidRPr="00995AAE" w:rsidRDefault="00432CF7" w:rsidP="00432CF7">
      <w:pPr>
        <w:tabs>
          <w:tab w:val="left" w:pos="1701"/>
          <w:tab w:val="left" w:pos="1985"/>
        </w:tabs>
        <w:spacing w:before="120" w:after="120"/>
        <w:ind w:left="567"/>
        <w:rPr>
          <w:rStyle w:val="Strong"/>
        </w:rPr>
      </w:pPr>
      <w:r w:rsidRPr="00995AAE">
        <w:rPr>
          <w:rStyle w:val="Strong"/>
        </w:rPr>
        <w:t>Overseas Higher Education Qualification</w:t>
      </w:r>
    </w:p>
    <w:p w14:paraId="75353EE8" w14:textId="3A6D86D7" w:rsidR="00D5001C" w:rsidRPr="00995AAE" w:rsidRDefault="00432CF7" w:rsidP="00B2262A">
      <w:pPr>
        <w:tabs>
          <w:tab w:val="clear" w:pos="1134"/>
        </w:tabs>
        <w:ind w:left="567"/>
        <w:jc w:val="left"/>
        <w:rPr>
          <w:rStyle w:val="Strong"/>
        </w:rPr>
      </w:pPr>
      <w:r w:rsidRPr="00995AAE">
        <w:rPr>
          <w:rStyle w:val="Strong"/>
          <w:b w:val="0"/>
        </w:rPr>
        <w:t xml:space="preserve">Overseas Higher Education Qualification has the same meaning as </w:t>
      </w:r>
      <w:r w:rsidRPr="00995AAE">
        <w:rPr>
          <w:rStyle w:val="Strong"/>
          <w:b w:val="0"/>
          <w:i/>
        </w:rPr>
        <w:t>overseas higher education award</w:t>
      </w:r>
      <w:r w:rsidRPr="00995AAE">
        <w:rPr>
          <w:rStyle w:val="Strong"/>
          <w:b w:val="0"/>
        </w:rPr>
        <w:t xml:space="preserve"> in </w:t>
      </w:r>
      <w:r w:rsidR="004E15B9">
        <w:rPr>
          <w:rStyle w:val="Strong"/>
          <w:b w:val="0"/>
        </w:rPr>
        <w:t>s</w:t>
      </w:r>
      <w:r w:rsidRPr="00995AAE">
        <w:rPr>
          <w:rStyle w:val="Strong"/>
          <w:b w:val="0"/>
        </w:rPr>
        <w:t>ection 5 of the TEQSA Act 2011.</w:t>
      </w:r>
      <w:r w:rsidR="00D5001C" w:rsidRPr="00995AAE">
        <w:rPr>
          <w:rStyle w:val="Strong"/>
          <w:b w:val="0"/>
        </w:rPr>
        <w:br w:type="page"/>
      </w:r>
    </w:p>
    <w:p w14:paraId="16BB4AB6" w14:textId="77777777" w:rsidR="00790C06" w:rsidRPr="00995AAE" w:rsidRDefault="00251589" w:rsidP="005326C5">
      <w:pPr>
        <w:pStyle w:val="Heading1title"/>
        <w:ind w:left="1701" w:hanging="1701"/>
      </w:pPr>
      <w:bookmarkStart w:id="6" w:name="_Toc418684264"/>
      <w:bookmarkStart w:id="7" w:name="_Toc428368846"/>
      <w:bookmarkStart w:id="8" w:name="PARTA"/>
      <w:r w:rsidRPr="00995AAE">
        <w:lastRenderedPageBreak/>
        <w:t>PART A</w:t>
      </w:r>
      <w:r w:rsidR="00791D87" w:rsidRPr="00995AAE">
        <w:t>:</w:t>
      </w:r>
      <w:r w:rsidRPr="00995AAE">
        <w:tab/>
      </w:r>
      <w:bookmarkEnd w:id="2"/>
      <w:r w:rsidR="002552E6" w:rsidRPr="00995AAE">
        <w:t>Standards for Higher Education</w:t>
      </w:r>
      <w:bookmarkEnd w:id="5"/>
      <w:bookmarkEnd w:id="6"/>
      <w:bookmarkEnd w:id="7"/>
    </w:p>
    <w:p w14:paraId="2A2DE855" w14:textId="77777777" w:rsidR="00030946" w:rsidRPr="00995AAE" w:rsidRDefault="00E015EA" w:rsidP="00DA39ED">
      <w:pPr>
        <w:pStyle w:val="Heading1"/>
        <w:spacing w:before="0" w:after="360" w:line="240" w:lineRule="auto"/>
      </w:pPr>
      <w:bookmarkStart w:id="9" w:name="_Toc370205820"/>
      <w:bookmarkStart w:id="10" w:name="_Toc418684265"/>
      <w:bookmarkStart w:id="11" w:name="_Toc428368847"/>
      <w:bookmarkStart w:id="12" w:name="Domain1"/>
      <w:bookmarkEnd w:id="8"/>
      <w:r w:rsidRPr="00995AAE">
        <w:t xml:space="preserve">Student </w:t>
      </w:r>
      <w:r w:rsidR="0086408A" w:rsidRPr="00995AAE">
        <w:t>Participation and Attainment</w:t>
      </w:r>
      <w:bookmarkEnd w:id="9"/>
      <w:bookmarkEnd w:id="10"/>
      <w:bookmarkEnd w:id="11"/>
    </w:p>
    <w:p w14:paraId="3E36D1E8" w14:textId="77777777" w:rsidR="009002D0" w:rsidRPr="00995AAE" w:rsidRDefault="009002D0" w:rsidP="004F1AE6">
      <w:pPr>
        <w:pStyle w:val="Heading2"/>
      </w:pPr>
      <w:bookmarkStart w:id="13" w:name="_Toc383762179"/>
      <w:bookmarkStart w:id="14" w:name="_Toc370205821"/>
      <w:bookmarkStart w:id="15" w:name="_Toc418684266"/>
      <w:bookmarkStart w:id="16" w:name="_Toc428368848"/>
      <w:bookmarkEnd w:id="12"/>
      <w:bookmarkEnd w:id="13"/>
      <w:r w:rsidRPr="00995AAE">
        <w:t>Admission</w:t>
      </w:r>
      <w:bookmarkEnd w:id="14"/>
      <w:bookmarkEnd w:id="15"/>
      <w:bookmarkEnd w:id="16"/>
      <w:r w:rsidR="00297FA1" w:rsidRPr="00995AAE">
        <w:t xml:space="preserve"> </w:t>
      </w:r>
    </w:p>
    <w:p w14:paraId="581F80A1" w14:textId="77777777" w:rsidR="008715DA" w:rsidRPr="00995AAE" w:rsidRDefault="00832406" w:rsidP="00B136B6">
      <w:pPr>
        <w:pStyle w:val="Heading3"/>
      </w:pPr>
      <w:r w:rsidRPr="00995AAE">
        <w:t xml:space="preserve">Admissions policies, </w:t>
      </w:r>
      <w:r w:rsidR="00682BD2" w:rsidRPr="00995AAE">
        <w:t xml:space="preserve">requirements </w:t>
      </w:r>
      <w:r w:rsidRPr="00995AAE">
        <w:t>and procedures are documented</w:t>
      </w:r>
      <w:r w:rsidR="00651EDF" w:rsidRPr="00995AAE">
        <w:t>,</w:t>
      </w:r>
      <w:r w:rsidRPr="00995AAE">
        <w:t xml:space="preserve"> </w:t>
      </w:r>
      <w:r w:rsidR="00EF7B05" w:rsidRPr="00995AAE">
        <w:t xml:space="preserve">are </w:t>
      </w:r>
      <w:r w:rsidRPr="00995AAE">
        <w:t>applied fairly and consistently</w:t>
      </w:r>
      <w:r w:rsidR="00283283" w:rsidRPr="00995AAE">
        <w:t>,</w:t>
      </w:r>
      <w:r w:rsidR="00EF7B05" w:rsidRPr="00995AAE">
        <w:t xml:space="preserve"> </w:t>
      </w:r>
      <w:r w:rsidR="00651EDF" w:rsidRPr="00995AAE">
        <w:t xml:space="preserve">and </w:t>
      </w:r>
      <w:r w:rsidR="00BA0823" w:rsidRPr="00995AAE">
        <w:t xml:space="preserve">are designed to </w:t>
      </w:r>
      <w:r w:rsidR="00EF7B05" w:rsidRPr="00995AAE">
        <w:t>ensure that admitted students have the academic</w:t>
      </w:r>
      <w:r w:rsidR="006C6C60" w:rsidRPr="00995AAE">
        <w:t xml:space="preserve"> preparation</w:t>
      </w:r>
      <w:r w:rsidR="001F3698" w:rsidRPr="00995AAE">
        <w:t xml:space="preserve"> and proficiency in English</w:t>
      </w:r>
      <w:r w:rsidR="00EF7B05" w:rsidRPr="00995AAE">
        <w:t xml:space="preserve"> needed to participate in their intended study</w:t>
      </w:r>
      <w:r w:rsidR="00D931F3" w:rsidRPr="00995AAE">
        <w:t>,</w:t>
      </w:r>
      <w:r w:rsidR="00330AC8" w:rsidRPr="00995AAE">
        <w:t xml:space="preserve"> and no known limitations that </w:t>
      </w:r>
      <w:r w:rsidR="00AA42D7" w:rsidRPr="00995AAE">
        <w:t>would be expected to impede their</w:t>
      </w:r>
      <w:r w:rsidR="00EF7B05" w:rsidRPr="00995AAE">
        <w:t xml:space="preserve"> </w:t>
      </w:r>
      <w:r w:rsidR="008E7F2E" w:rsidRPr="00995AAE">
        <w:t xml:space="preserve">progression and completion. </w:t>
      </w:r>
    </w:p>
    <w:p w14:paraId="4B96880A" w14:textId="77777777" w:rsidR="00042B9E" w:rsidRPr="00995AAE" w:rsidRDefault="000305C6" w:rsidP="00B136B6">
      <w:pPr>
        <w:pStyle w:val="Heading3"/>
      </w:pPr>
      <w:r w:rsidRPr="00995AAE">
        <w:t>The</w:t>
      </w:r>
      <w:r w:rsidR="003506CB" w:rsidRPr="00995AAE">
        <w:t xml:space="preserve"> admissions process ensures that, prior </w:t>
      </w:r>
      <w:r w:rsidR="005B2E9C" w:rsidRPr="00995AAE">
        <w:t xml:space="preserve">to </w:t>
      </w:r>
      <w:r w:rsidR="00330AC8" w:rsidRPr="00995AAE">
        <w:t xml:space="preserve">enrolment </w:t>
      </w:r>
      <w:r w:rsidR="005B2E9C" w:rsidRPr="00995AAE">
        <w:t xml:space="preserve">and before </w:t>
      </w:r>
      <w:r w:rsidR="003506CB" w:rsidRPr="00995AAE">
        <w:t xml:space="preserve">fees </w:t>
      </w:r>
      <w:r w:rsidR="005B2E9C" w:rsidRPr="00995AAE">
        <w:t>are accepted</w:t>
      </w:r>
      <w:r w:rsidR="003506CB" w:rsidRPr="00995AAE">
        <w:t xml:space="preserve">, </w:t>
      </w:r>
      <w:r w:rsidRPr="00995AAE">
        <w:t>students</w:t>
      </w:r>
      <w:r w:rsidR="00042B9E" w:rsidRPr="00995AAE">
        <w:t xml:space="preserve"> are informed of their rights and obligations, including: </w:t>
      </w:r>
    </w:p>
    <w:p w14:paraId="68EDC285" w14:textId="77777777" w:rsidR="00F232C7" w:rsidRPr="00995AAE" w:rsidRDefault="00042B9E" w:rsidP="00B136B6">
      <w:pPr>
        <w:pStyle w:val="Heading4"/>
      </w:pPr>
      <w:proofErr w:type="gramStart"/>
      <w:r w:rsidRPr="00995AAE">
        <w:t>all</w:t>
      </w:r>
      <w:proofErr w:type="gramEnd"/>
      <w:r w:rsidRPr="00995AAE">
        <w:t xml:space="preserve"> charges associated with their proposed studies</w:t>
      </w:r>
      <w:r w:rsidR="0036070C" w:rsidRPr="00995AAE">
        <w:t xml:space="preserve"> as known at the time and advice on the potential for changes</w:t>
      </w:r>
      <w:r w:rsidRPr="00995AAE">
        <w:t xml:space="preserve"> </w:t>
      </w:r>
      <w:r w:rsidR="00E849F0" w:rsidRPr="00995AAE">
        <w:t xml:space="preserve">in charges </w:t>
      </w:r>
      <w:r w:rsidR="00F232C7" w:rsidRPr="00995AAE">
        <w:t xml:space="preserve">during </w:t>
      </w:r>
      <w:r w:rsidR="00AA42D7" w:rsidRPr="00995AAE">
        <w:t>their</w:t>
      </w:r>
      <w:r w:rsidR="00F232C7" w:rsidRPr="00995AAE">
        <w:t xml:space="preserve"> studies </w:t>
      </w:r>
    </w:p>
    <w:p w14:paraId="044C4ED3" w14:textId="77777777" w:rsidR="00042B9E" w:rsidRPr="00995AAE" w:rsidRDefault="00042B9E" w:rsidP="00B136B6">
      <w:pPr>
        <w:pStyle w:val="Heading4"/>
      </w:pPr>
      <w:proofErr w:type="gramStart"/>
      <w:r w:rsidRPr="00995AAE">
        <w:t>policies</w:t>
      </w:r>
      <w:proofErr w:type="gramEnd"/>
      <w:r w:rsidR="0077379B" w:rsidRPr="00995AAE">
        <w:t>,</w:t>
      </w:r>
      <w:r w:rsidRPr="00995AAE">
        <w:t xml:space="preserve"> arrangements </w:t>
      </w:r>
      <w:r w:rsidR="0077379B" w:rsidRPr="00995AAE">
        <w:t>and potential eligibility for</w:t>
      </w:r>
      <w:r w:rsidRPr="00995AAE">
        <w:t xml:space="preserve"> credit for prior learning</w:t>
      </w:r>
      <w:r w:rsidR="007D02CE" w:rsidRPr="00995AAE">
        <w:t>, and</w:t>
      </w:r>
    </w:p>
    <w:p w14:paraId="7E789458" w14:textId="77777777" w:rsidR="00EA4726" w:rsidRPr="00995AAE" w:rsidRDefault="00042B9E" w:rsidP="00B136B6">
      <w:pPr>
        <w:pStyle w:val="Heading4"/>
      </w:pPr>
      <w:proofErr w:type="gramStart"/>
      <w:r w:rsidRPr="00995AAE">
        <w:t>policies</w:t>
      </w:r>
      <w:proofErr w:type="gramEnd"/>
      <w:r w:rsidRPr="00995AAE">
        <w:t xml:space="preserve"> on </w:t>
      </w:r>
      <w:r w:rsidR="000404A8" w:rsidRPr="00995AAE">
        <w:t xml:space="preserve">changes to or </w:t>
      </w:r>
      <w:r w:rsidRPr="00995AAE">
        <w:t xml:space="preserve">withdrawal from </w:t>
      </w:r>
      <w:r w:rsidR="004B7D48" w:rsidRPr="00995AAE">
        <w:t>offers, acceptance and enrolment</w:t>
      </w:r>
      <w:r w:rsidR="00AA42D7" w:rsidRPr="00995AAE">
        <w:t>, tuition protection</w:t>
      </w:r>
      <w:r w:rsidR="004B7D48" w:rsidRPr="00995AAE">
        <w:t xml:space="preserve"> </w:t>
      </w:r>
      <w:r w:rsidRPr="00995AAE">
        <w:t>and refund</w:t>
      </w:r>
      <w:r w:rsidR="0077379B" w:rsidRPr="00995AAE">
        <w:t>s</w:t>
      </w:r>
      <w:r w:rsidRPr="00995AAE">
        <w:t xml:space="preserve"> of charges</w:t>
      </w:r>
      <w:r w:rsidR="002056B3" w:rsidRPr="00995AAE">
        <w:t>.</w:t>
      </w:r>
    </w:p>
    <w:p w14:paraId="72DFEDCD" w14:textId="77777777" w:rsidR="00B63E4D" w:rsidRPr="00995AAE" w:rsidRDefault="00726418" w:rsidP="00B136B6">
      <w:pPr>
        <w:pStyle w:val="Heading3"/>
      </w:pPr>
      <w:r w:rsidRPr="00995AAE">
        <w:t>Admission and other contractual arrangements with students</w:t>
      </w:r>
      <w:r w:rsidR="009D58DE" w:rsidRPr="00995AAE">
        <w:t xml:space="preserve">, or where legally required, </w:t>
      </w:r>
      <w:r w:rsidR="00AA42D7" w:rsidRPr="00995AAE">
        <w:t xml:space="preserve">with </w:t>
      </w:r>
      <w:r w:rsidR="009D58DE" w:rsidRPr="00995AAE">
        <w:t>their parent or guardian</w:t>
      </w:r>
      <w:r w:rsidR="00AA42D7" w:rsidRPr="00995AAE">
        <w:t>,</w:t>
      </w:r>
      <w:r w:rsidR="003E7EAD" w:rsidRPr="00995AAE">
        <w:t xml:space="preserve"> are in writing</w:t>
      </w:r>
      <w:r w:rsidR="0077379B" w:rsidRPr="00995AAE">
        <w:t xml:space="preserve"> and include any </w:t>
      </w:r>
      <w:r w:rsidR="001B0F6A" w:rsidRPr="00995AAE">
        <w:t>particular conditions</w:t>
      </w:r>
      <w:r w:rsidR="005B056C" w:rsidRPr="00995AAE">
        <w:t xml:space="preserve"> of enrolment and participation for undertaking particular courses of study that may not apply to other courses more generally, such as health requirements for students undertaking clinical work, requirements for security checks, particular language requirements and particular requirements of work placements</w:t>
      </w:r>
      <w:r w:rsidR="00295950" w:rsidRPr="00995AAE">
        <w:t>.</w:t>
      </w:r>
      <w:r w:rsidR="0077379B" w:rsidRPr="00995AAE">
        <w:t xml:space="preserve"> </w:t>
      </w:r>
    </w:p>
    <w:p w14:paraId="13B2B8A7" w14:textId="77777777" w:rsidR="00AE24DC" w:rsidRPr="00995AAE" w:rsidRDefault="00AE24DC" w:rsidP="00DA2102">
      <w:pPr>
        <w:pStyle w:val="ReferencePoints"/>
      </w:pPr>
    </w:p>
    <w:p w14:paraId="4A6296CA" w14:textId="77777777" w:rsidR="00F817BB" w:rsidRPr="00995AAE" w:rsidRDefault="00F817BB" w:rsidP="00B80613">
      <w:pPr>
        <w:pStyle w:val="Heading2"/>
      </w:pPr>
      <w:bookmarkStart w:id="17" w:name="_Toc370205822"/>
      <w:bookmarkStart w:id="18" w:name="_Toc418684267"/>
      <w:bookmarkStart w:id="19" w:name="_Toc428368849"/>
      <w:r w:rsidRPr="00995AAE">
        <w:t>Credit and Recognition of Prior Learning</w:t>
      </w:r>
      <w:bookmarkEnd w:id="17"/>
      <w:bookmarkEnd w:id="18"/>
      <w:bookmarkEnd w:id="19"/>
      <w:r w:rsidR="00297FA1" w:rsidRPr="00995AAE">
        <w:t xml:space="preserve"> </w:t>
      </w:r>
    </w:p>
    <w:p w14:paraId="433F9F18" w14:textId="77777777" w:rsidR="0036070C" w:rsidRPr="00995AAE" w:rsidRDefault="00D13E09" w:rsidP="00B136B6">
      <w:pPr>
        <w:pStyle w:val="Heading3"/>
      </w:pPr>
      <w:r w:rsidRPr="00995AAE">
        <w:t xml:space="preserve">Assessment of prior learning is undertaken for the purpose of granting credit for </w:t>
      </w:r>
      <w:r w:rsidR="00E544D6" w:rsidRPr="00995AAE">
        <w:t>units</w:t>
      </w:r>
      <w:r w:rsidRPr="00995AAE">
        <w:t xml:space="preserve"> </w:t>
      </w:r>
      <w:r w:rsidR="00CF32B9" w:rsidRPr="00995AAE">
        <w:t xml:space="preserve">of study </w:t>
      </w:r>
      <w:r w:rsidRPr="00995AAE">
        <w:t xml:space="preserve">within a </w:t>
      </w:r>
      <w:r w:rsidR="007D1F9D" w:rsidRPr="00995AAE">
        <w:t>course of study</w:t>
      </w:r>
      <w:r w:rsidRPr="00995AAE">
        <w:t xml:space="preserve"> or toward the completion of a </w:t>
      </w:r>
      <w:r w:rsidR="00D856DA" w:rsidRPr="00995AAE">
        <w:t>qualification</w:t>
      </w:r>
      <w:r w:rsidR="00252547" w:rsidRPr="00995AAE">
        <w:t>,</w:t>
      </w:r>
      <w:r w:rsidR="00483893" w:rsidRPr="00995AAE">
        <w:t xml:space="preserve"> </w:t>
      </w:r>
      <w:r w:rsidR="00EA4726" w:rsidRPr="00995AAE">
        <w:t xml:space="preserve">such </w:t>
      </w:r>
      <w:r w:rsidR="00143DA4" w:rsidRPr="00995AAE">
        <w:t>assessment is</w:t>
      </w:r>
      <w:r w:rsidR="00EA4726" w:rsidRPr="00995AAE">
        <w:t xml:space="preserve"> conducted</w:t>
      </w:r>
      <w:r w:rsidRPr="00995AAE">
        <w:t xml:space="preserve"> according to institutional policies</w:t>
      </w:r>
      <w:r w:rsidR="00CF32B9" w:rsidRPr="00995AAE">
        <w:t>, the result is recorded</w:t>
      </w:r>
      <w:r w:rsidRPr="00995AAE">
        <w:t xml:space="preserve"> and </w:t>
      </w:r>
      <w:r w:rsidR="0036070C" w:rsidRPr="00995AAE">
        <w:t xml:space="preserve">students receive timely written advice of the outcome. </w:t>
      </w:r>
    </w:p>
    <w:p w14:paraId="7AC74224" w14:textId="77777777" w:rsidR="00F817BB" w:rsidRPr="00995AAE" w:rsidRDefault="00F31DF4" w:rsidP="00B136B6">
      <w:pPr>
        <w:pStyle w:val="Heading3"/>
      </w:pPr>
      <w:r w:rsidRPr="00995AAE">
        <w:t>Credit through recognition of prior learning is granted only if:</w:t>
      </w:r>
    </w:p>
    <w:p w14:paraId="49416AE5" w14:textId="77777777" w:rsidR="00F817BB" w:rsidRPr="00995AAE" w:rsidRDefault="00F817BB" w:rsidP="00B136B6">
      <w:pPr>
        <w:pStyle w:val="Heading4"/>
      </w:pPr>
      <w:proofErr w:type="gramStart"/>
      <w:r w:rsidRPr="00995AAE">
        <w:t>students</w:t>
      </w:r>
      <w:proofErr w:type="gramEnd"/>
      <w:r w:rsidRPr="00995AAE">
        <w:t xml:space="preserve"> granted such credit </w:t>
      </w:r>
      <w:r w:rsidR="00014E76" w:rsidRPr="00995AAE">
        <w:t>are not</w:t>
      </w:r>
      <w:r w:rsidRPr="00995AAE">
        <w:t xml:space="preserve"> disadvantaged in achieving the </w:t>
      </w:r>
      <w:r w:rsidR="00261124" w:rsidRPr="00995AAE">
        <w:t xml:space="preserve">expected </w:t>
      </w:r>
      <w:r w:rsidRPr="00995AAE">
        <w:t xml:space="preserve">learning outcomes for the </w:t>
      </w:r>
      <w:r w:rsidR="007D1F9D" w:rsidRPr="00995AAE">
        <w:t>course of study</w:t>
      </w:r>
      <w:r w:rsidRPr="00995AAE">
        <w:t xml:space="preserve"> </w:t>
      </w:r>
      <w:r w:rsidR="00815DB6" w:rsidRPr="00995AAE">
        <w:t>or qualification</w:t>
      </w:r>
      <w:r w:rsidRPr="00995AAE">
        <w:t xml:space="preserve">, and </w:t>
      </w:r>
    </w:p>
    <w:p w14:paraId="6DAEAAC8" w14:textId="77777777" w:rsidR="004C22BB" w:rsidRPr="00995AAE" w:rsidRDefault="00F817BB" w:rsidP="00B136B6">
      <w:pPr>
        <w:pStyle w:val="Heading4"/>
      </w:pPr>
      <w:proofErr w:type="gramStart"/>
      <w:r w:rsidRPr="00995AAE">
        <w:t>the</w:t>
      </w:r>
      <w:proofErr w:type="gramEnd"/>
      <w:r w:rsidRPr="00995AAE">
        <w:t xml:space="preserve"> integrity of the </w:t>
      </w:r>
      <w:r w:rsidR="007D1F9D" w:rsidRPr="00995AAE">
        <w:t>course of study</w:t>
      </w:r>
      <w:r w:rsidRPr="00995AAE">
        <w:t xml:space="preserve"> and the qualification are </w:t>
      </w:r>
      <w:r w:rsidR="00BA0823" w:rsidRPr="00995AAE">
        <w:t>maintained</w:t>
      </w:r>
      <w:r w:rsidRPr="00995AAE">
        <w:t>.</w:t>
      </w:r>
    </w:p>
    <w:p w14:paraId="60DAA175" w14:textId="77777777" w:rsidR="00304EBF" w:rsidRPr="00995AAE" w:rsidRDefault="00304EBF" w:rsidP="00B136B6">
      <w:pPr>
        <w:pStyle w:val="Heading3"/>
        <w:numPr>
          <w:ilvl w:val="0"/>
          <w:numId w:val="0"/>
        </w:numPr>
        <w:ind w:left="1418"/>
      </w:pPr>
      <w:bookmarkStart w:id="20" w:name="_Toc370205823"/>
    </w:p>
    <w:p w14:paraId="3E70E770" w14:textId="77777777" w:rsidR="00F817BB" w:rsidRPr="00995AAE" w:rsidRDefault="00F817BB" w:rsidP="000B4E5D">
      <w:pPr>
        <w:pStyle w:val="Heading2"/>
      </w:pPr>
      <w:bookmarkStart w:id="21" w:name="_Toc383762182"/>
      <w:bookmarkStart w:id="22" w:name="_Toc418684268"/>
      <w:bookmarkStart w:id="23" w:name="_Toc428368850"/>
      <w:bookmarkEnd w:id="21"/>
      <w:r w:rsidRPr="00995AAE">
        <w:t xml:space="preserve">Orientation and </w:t>
      </w:r>
      <w:bookmarkEnd w:id="20"/>
      <w:r w:rsidR="00C33D12" w:rsidRPr="00995AAE">
        <w:t>Progression</w:t>
      </w:r>
      <w:bookmarkEnd w:id="22"/>
      <w:bookmarkEnd w:id="23"/>
      <w:r w:rsidR="00C33D12" w:rsidRPr="00995AAE">
        <w:t xml:space="preserve"> </w:t>
      </w:r>
    </w:p>
    <w:p w14:paraId="0C6B76AD" w14:textId="77777777" w:rsidR="009D58DE" w:rsidRPr="00995AAE" w:rsidRDefault="00C33D12" w:rsidP="00B136B6">
      <w:pPr>
        <w:pStyle w:val="Heading3"/>
        <w:rPr>
          <w:lang w:val="en-US"/>
        </w:rPr>
      </w:pPr>
      <w:r w:rsidRPr="00995AAE">
        <w:t>S</w:t>
      </w:r>
      <w:r w:rsidR="00F817BB" w:rsidRPr="00995AAE">
        <w:t>uccessful transition into</w:t>
      </w:r>
      <w:r w:rsidR="0099473E" w:rsidRPr="00995AAE">
        <w:t xml:space="preserve"> </w:t>
      </w:r>
      <w:r w:rsidR="0036070C" w:rsidRPr="00995AAE">
        <w:t>course</w:t>
      </w:r>
      <w:r w:rsidRPr="00995AAE">
        <w:t>s</w:t>
      </w:r>
      <w:r w:rsidR="0036070C" w:rsidRPr="00995AAE">
        <w:t xml:space="preserve"> of study </w:t>
      </w:r>
      <w:r w:rsidRPr="00995AAE">
        <w:t>is achieved</w:t>
      </w:r>
      <w:r w:rsidR="0099473E" w:rsidRPr="00995AAE">
        <w:t xml:space="preserve"> </w:t>
      </w:r>
      <w:r w:rsidR="00750C78" w:rsidRPr="00995AAE">
        <w:t xml:space="preserve">through </w:t>
      </w:r>
      <w:r w:rsidR="00AA15BF" w:rsidRPr="00995AAE">
        <w:t>orientation</w:t>
      </w:r>
      <w:r w:rsidRPr="00995AAE">
        <w:t xml:space="preserve"> </w:t>
      </w:r>
      <w:r w:rsidR="009D58DE" w:rsidRPr="00995AAE">
        <w:t xml:space="preserve">programs </w:t>
      </w:r>
      <w:r w:rsidR="00D931F3" w:rsidRPr="00995AAE">
        <w:t xml:space="preserve">that are </w:t>
      </w:r>
      <w:r w:rsidRPr="00995AAE">
        <w:t xml:space="preserve">tailored to the needs of student cohorts </w:t>
      </w:r>
      <w:r w:rsidR="00D931F3" w:rsidRPr="00995AAE">
        <w:t>and</w:t>
      </w:r>
      <w:r w:rsidR="009D58DE" w:rsidRPr="00995AAE">
        <w:t xml:space="preserve"> include </w:t>
      </w:r>
      <w:r w:rsidR="009D58DE" w:rsidRPr="00995AAE">
        <w:rPr>
          <w:lang w:val="en-US"/>
        </w:rPr>
        <w:t xml:space="preserve">specific consideration for </w:t>
      </w:r>
      <w:r w:rsidR="005F7BEE" w:rsidRPr="00995AAE">
        <w:rPr>
          <w:lang w:val="en-US"/>
        </w:rPr>
        <w:t>international</w:t>
      </w:r>
      <w:r w:rsidR="009D58DE" w:rsidRPr="00995AAE">
        <w:rPr>
          <w:lang w:val="en-US"/>
        </w:rPr>
        <w:t xml:space="preserve"> students adjusting to living and studying in Australia.</w:t>
      </w:r>
    </w:p>
    <w:p w14:paraId="11B48D2A" w14:textId="77777777" w:rsidR="00F817BB" w:rsidRPr="00995AAE" w:rsidRDefault="00EF7B05" w:rsidP="00B136B6">
      <w:pPr>
        <w:pStyle w:val="Heading3"/>
      </w:pPr>
      <w:r w:rsidRPr="00995AAE">
        <w:t>Specific strategies support transition, including</w:t>
      </w:r>
      <w:r w:rsidR="00F817BB" w:rsidRPr="00995AAE">
        <w:t xml:space="preserve">: </w:t>
      </w:r>
    </w:p>
    <w:p w14:paraId="56982E37" w14:textId="77777777" w:rsidR="005B685C" w:rsidRPr="00995AAE" w:rsidRDefault="005B685C" w:rsidP="00B136B6">
      <w:pPr>
        <w:pStyle w:val="Heading4"/>
      </w:pPr>
      <w:proofErr w:type="gramStart"/>
      <w:r w:rsidRPr="00995AAE">
        <w:t>assessing</w:t>
      </w:r>
      <w:proofErr w:type="gramEnd"/>
      <w:r w:rsidRPr="00995AAE">
        <w:t xml:space="preserve"> the </w:t>
      </w:r>
      <w:r w:rsidR="00BA0823" w:rsidRPr="00995AAE">
        <w:t>needs</w:t>
      </w:r>
      <w:r w:rsidR="00C321D8" w:rsidRPr="00995AAE">
        <w:t xml:space="preserve"> and </w:t>
      </w:r>
      <w:r w:rsidRPr="00995AAE">
        <w:t>preparedness</w:t>
      </w:r>
      <w:r w:rsidR="00536217" w:rsidRPr="00995AAE">
        <w:t xml:space="preserve"> of</w:t>
      </w:r>
      <w:r w:rsidR="00C321D8" w:rsidRPr="00995AAE">
        <w:t xml:space="preserve"> </w:t>
      </w:r>
      <w:r w:rsidRPr="00995AAE">
        <w:t>individual students and cohorts</w:t>
      </w:r>
      <w:r w:rsidRPr="00995AAE" w:rsidDel="00D30A94">
        <w:t xml:space="preserve"> </w:t>
      </w:r>
    </w:p>
    <w:p w14:paraId="2731E965" w14:textId="77777777" w:rsidR="00F817BB" w:rsidRPr="00995AAE" w:rsidRDefault="00DF5991" w:rsidP="00B136B6">
      <w:pPr>
        <w:pStyle w:val="Heading4"/>
      </w:pPr>
      <w:proofErr w:type="gramStart"/>
      <w:r w:rsidRPr="00995AAE">
        <w:t>undertaking</w:t>
      </w:r>
      <w:proofErr w:type="gramEnd"/>
      <w:r w:rsidRPr="00995AAE">
        <w:t xml:space="preserve"> </w:t>
      </w:r>
      <w:r w:rsidR="00183BC3" w:rsidRPr="00995AAE">
        <w:t>early assessment or review that provides formative feedback on academic progress and is able to identify need</w:t>
      </w:r>
      <w:r w:rsidR="00AA15BF" w:rsidRPr="00995AAE">
        <w:t>s</w:t>
      </w:r>
      <w:r w:rsidR="00183BC3" w:rsidRPr="00995AAE">
        <w:t xml:space="preserve"> for additional support</w:t>
      </w:r>
      <w:r w:rsidR="00C7513D" w:rsidRPr="00995AAE">
        <w:t>, and</w:t>
      </w:r>
    </w:p>
    <w:p w14:paraId="40D3935F" w14:textId="77777777" w:rsidR="00304EBF" w:rsidRPr="00995AAE" w:rsidRDefault="00DF74AA" w:rsidP="00B136B6">
      <w:pPr>
        <w:pStyle w:val="Heading4"/>
      </w:pPr>
      <w:proofErr w:type="gramStart"/>
      <w:r w:rsidRPr="00995AAE">
        <w:t>providing</w:t>
      </w:r>
      <w:proofErr w:type="gramEnd"/>
      <w:r w:rsidRPr="00995AAE">
        <w:t xml:space="preserve"> </w:t>
      </w:r>
      <w:r w:rsidR="00DF5991" w:rsidRPr="00995AAE">
        <w:t>access to informed advice and timely referral to academic or other support.</w:t>
      </w:r>
      <w:bookmarkStart w:id="24" w:name="_Toc370205824"/>
    </w:p>
    <w:p w14:paraId="0FC96886" w14:textId="77777777" w:rsidR="00C321D8" w:rsidRPr="00995AAE" w:rsidRDefault="00F931A8" w:rsidP="00B136B6">
      <w:pPr>
        <w:pStyle w:val="Heading3"/>
      </w:pPr>
      <w:bookmarkStart w:id="25" w:name="_Toc383762184"/>
      <w:bookmarkEnd w:id="24"/>
      <w:bookmarkEnd w:id="25"/>
      <w:r w:rsidRPr="00995AAE">
        <w:t xml:space="preserve">Methods of assessment </w:t>
      </w:r>
      <w:r w:rsidR="00C154D3" w:rsidRPr="00995AAE">
        <w:t xml:space="preserve">or </w:t>
      </w:r>
      <w:r w:rsidRPr="00995AAE">
        <w:t xml:space="preserve">monitoring that determine progress within or between </w:t>
      </w:r>
      <w:r w:rsidR="00E544D6" w:rsidRPr="00995AAE">
        <w:t>units</w:t>
      </w:r>
      <w:r w:rsidR="00E544D6" w:rsidRPr="00995AAE">
        <w:rPr>
          <w:rFonts w:cs="Arial"/>
        </w:rPr>
        <w:t xml:space="preserve"> of study</w:t>
      </w:r>
      <w:r w:rsidRPr="00995AAE">
        <w:t xml:space="preserve"> or in research training validly assess progress and, in the case of formative assessment, provide students with timely</w:t>
      </w:r>
      <w:r w:rsidR="00E6078A" w:rsidRPr="00995AAE">
        <w:t xml:space="preserve"> </w:t>
      </w:r>
      <w:r w:rsidRPr="00995AAE">
        <w:t xml:space="preserve">feedback that assists </w:t>
      </w:r>
      <w:r w:rsidR="00E6120C" w:rsidRPr="00995AAE">
        <w:t xml:space="preserve">in </w:t>
      </w:r>
      <w:r w:rsidRPr="00995AAE">
        <w:t xml:space="preserve">their achievement of </w:t>
      </w:r>
      <w:r w:rsidRPr="00995AAE">
        <w:lastRenderedPageBreak/>
        <w:t>learning outcomes.</w:t>
      </w:r>
      <w:r w:rsidR="00C321D8" w:rsidRPr="00995AAE">
        <w:t xml:space="preserve"> </w:t>
      </w:r>
    </w:p>
    <w:p w14:paraId="3CBB9B52" w14:textId="77777777" w:rsidR="00F64061" w:rsidRPr="00995AAE" w:rsidRDefault="00F931A8" w:rsidP="00F64061">
      <w:pPr>
        <w:pStyle w:val="Heading3"/>
      </w:pPr>
      <w:r w:rsidRPr="00995AAE">
        <w:t xml:space="preserve">Processes </w:t>
      </w:r>
      <w:r w:rsidR="00246437" w:rsidRPr="00995AAE">
        <w:t>that identify</w:t>
      </w:r>
      <w:r w:rsidR="00261124" w:rsidRPr="00995AAE">
        <w:t xml:space="preserve"> </w:t>
      </w:r>
      <w:r w:rsidRPr="00995AAE">
        <w:t xml:space="preserve">students at risk of </w:t>
      </w:r>
      <w:r w:rsidR="00E22A3F" w:rsidRPr="00995AAE">
        <w:t xml:space="preserve">unsatisfactory </w:t>
      </w:r>
      <w:r w:rsidRPr="00995AAE">
        <w:t xml:space="preserve">progress </w:t>
      </w:r>
      <w:r w:rsidR="006D23F5" w:rsidRPr="00995AAE">
        <w:t xml:space="preserve">and </w:t>
      </w:r>
      <w:r w:rsidR="00246437" w:rsidRPr="00995AAE">
        <w:t xml:space="preserve">provide </w:t>
      </w:r>
      <w:r w:rsidR="006D23F5" w:rsidRPr="00995AAE">
        <w:t xml:space="preserve">specific support </w:t>
      </w:r>
      <w:r w:rsidRPr="00995AAE">
        <w:t xml:space="preserve">are implemented across </w:t>
      </w:r>
      <w:r w:rsidR="00E22A3F" w:rsidRPr="00995AAE">
        <w:t>all</w:t>
      </w:r>
      <w:r w:rsidRPr="00995AAE">
        <w:t xml:space="preserve"> </w:t>
      </w:r>
      <w:r w:rsidR="007D1F9D" w:rsidRPr="00995AAE">
        <w:t>courses of study</w:t>
      </w:r>
      <w:r w:rsidRPr="00995AAE">
        <w:t>.</w:t>
      </w:r>
    </w:p>
    <w:p w14:paraId="04426CF0" w14:textId="77777777" w:rsidR="00164C89" w:rsidRPr="00995AAE" w:rsidRDefault="00F931A8" w:rsidP="00B136B6">
      <w:pPr>
        <w:pStyle w:val="Heading3"/>
      </w:pPr>
      <w:r w:rsidRPr="00995AAE">
        <w:t xml:space="preserve">Trends in </w:t>
      </w:r>
      <w:r w:rsidR="00230BC6" w:rsidRPr="00995AAE">
        <w:t xml:space="preserve">rates of retention, progression and completion of student cohorts through </w:t>
      </w:r>
      <w:r w:rsidR="007D1F9D" w:rsidRPr="00995AAE">
        <w:t>courses of study</w:t>
      </w:r>
      <w:r w:rsidR="00230BC6" w:rsidRPr="00995AAE">
        <w:t xml:space="preserve"> </w:t>
      </w:r>
      <w:r w:rsidRPr="00995AAE">
        <w:t xml:space="preserve">are </w:t>
      </w:r>
      <w:r w:rsidR="00AD0BE1" w:rsidRPr="00995AAE">
        <w:t>monitored</w:t>
      </w:r>
      <w:r w:rsidR="00DF1089" w:rsidRPr="00995AAE">
        <w:t xml:space="preserve"> to enable review and improvement</w:t>
      </w:r>
      <w:r w:rsidR="00AD0BE1" w:rsidRPr="00995AAE">
        <w:t xml:space="preserve">. </w:t>
      </w:r>
    </w:p>
    <w:p w14:paraId="0359E5FE" w14:textId="77777777" w:rsidR="0012122F" w:rsidRPr="00995AAE" w:rsidRDefault="0012122F" w:rsidP="00B136B6">
      <w:pPr>
        <w:pStyle w:val="Heading3"/>
      </w:pPr>
      <w:r w:rsidRPr="00995AAE">
        <w:t>Students have equivalent opportunities for successful transition into and progression through their course of study, irrespective of their educational background, entry pathway, mode or place of study.</w:t>
      </w:r>
    </w:p>
    <w:p w14:paraId="2AD8FA98" w14:textId="77777777" w:rsidR="00AE24DC" w:rsidRPr="00995AAE" w:rsidRDefault="00AE24DC" w:rsidP="00AE24DC">
      <w:pPr>
        <w:pStyle w:val="ReferencePoints"/>
      </w:pPr>
    </w:p>
    <w:p w14:paraId="61127155" w14:textId="77777777" w:rsidR="00F66B1D" w:rsidRPr="00995AAE" w:rsidRDefault="00F66B1D" w:rsidP="00164C89">
      <w:pPr>
        <w:pStyle w:val="Heading2"/>
        <w:rPr>
          <w:b w:val="0"/>
        </w:rPr>
      </w:pPr>
      <w:bookmarkStart w:id="26" w:name="_Toc397519531"/>
      <w:bookmarkStart w:id="27" w:name="_Toc397519532"/>
      <w:bookmarkStart w:id="28" w:name="_Toc383762186"/>
      <w:bookmarkStart w:id="29" w:name="_Toc370205825"/>
      <w:bookmarkStart w:id="30" w:name="_Toc418684269"/>
      <w:bookmarkStart w:id="31" w:name="_Toc428368851"/>
      <w:bookmarkEnd w:id="26"/>
      <w:bookmarkEnd w:id="27"/>
      <w:bookmarkEnd w:id="28"/>
      <w:r w:rsidRPr="00995AAE">
        <w:t>Learning Outcomes and Assessment</w:t>
      </w:r>
      <w:bookmarkEnd w:id="29"/>
      <w:bookmarkEnd w:id="30"/>
      <w:bookmarkEnd w:id="31"/>
      <w:r w:rsidR="00915809" w:rsidRPr="00995AAE">
        <w:t xml:space="preserve"> </w:t>
      </w:r>
    </w:p>
    <w:p w14:paraId="1B92BB19" w14:textId="77777777" w:rsidR="00F66B1D" w:rsidRPr="00995AAE" w:rsidRDefault="00F66B1D" w:rsidP="00B136B6">
      <w:pPr>
        <w:pStyle w:val="Heading3"/>
      </w:pPr>
      <w:r w:rsidRPr="00995AAE">
        <w:t xml:space="preserve">The </w:t>
      </w:r>
      <w:r w:rsidR="00FC2373" w:rsidRPr="00995AAE">
        <w:t xml:space="preserve">expected </w:t>
      </w:r>
      <w:r w:rsidRPr="00995AAE">
        <w:t xml:space="preserve">learning outcomes for each </w:t>
      </w:r>
      <w:r w:rsidR="007D1F9D" w:rsidRPr="00995AAE">
        <w:t>course of study</w:t>
      </w:r>
      <w:r w:rsidRPr="00995AAE">
        <w:t xml:space="preserve"> are </w:t>
      </w:r>
      <w:r w:rsidR="002362C3" w:rsidRPr="00995AAE">
        <w:t>specified</w:t>
      </w:r>
      <w:r w:rsidR="003E0331" w:rsidRPr="00995AAE">
        <w:t>,</w:t>
      </w:r>
      <w:r w:rsidR="002362C3" w:rsidRPr="00995AAE">
        <w:t xml:space="preserve"> </w:t>
      </w:r>
      <w:r w:rsidRPr="00995AAE">
        <w:t xml:space="preserve">consistent with the </w:t>
      </w:r>
      <w:r w:rsidR="00C2475D" w:rsidRPr="00995AAE">
        <w:t xml:space="preserve">level and field of </w:t>
      </w:r>
      <w:r w:rsidR="00ED54CE" w:rsidRPr="00995AAE">
        <w:t>education</w:t>
      </w:r>
      <w:r w:rsidR="00C2475D" w:rsidRPr="00995AAE">
        <w:t xml:space="preserve"> of the </w:t>
      </w:r>
      <w:r w:rsidRPr="00995AAE">
        <w:t>qualification awarded</w:t>
      </w:r>
      <w:r w:rsidR="00C46335" w:rsidRPr="00995AAE">
        <w:t>,</w:t>
      </w:r>
      <w:r w:rsidRPr="00995AAE">
        <w:t xml:space="preserve"> and informed by </w:t>
      </w:r>
      <w:r w:rsidR="00C2475D" w:rsidRPr="00995AAE">
        <w:t xml:space="preserve">national and </w:t>
      </w:r>
      <w:r w:rsidRPr="00995AAE">
        <w:t>international comparators.</w:t>
      </w:r>
    </w:p>
    <w:p w14:paraId="6720732A" w14:textId="77777777" w:rsidR="00F66B1D" w:rsidRPr="00995AAE" w:rsidRDefault="00F66B1D" w:rsidP="00B136B6">
      <w:pPr>
        <w:pStyle w:val="Heading3"/>
      </w:pPr>
      <w:r w:rsidRPr="00995AAE">
        <w:t xml:space="preserve">The </w:t>
      </w:r>
      <w:r w:rsidR="00C60EE9" w:rsidRPr="00995AAE">
        <w:t xml:space="preserve">specified </w:t>
      </w:r>
      <w:r w:rsidRPr="00995AAE">
        <w:t xml:space="preserve">learning outcomes for each </w:t>
      </w:r>
      <w:r w:rsidR="007D1F9D" w:rsidRPr="00995AAE">
        <w:t>course of study</w:t>
      </w:r>
      <w:r w:rsidRPr="00995AAE">
        <w:t xml:space="preserve"> encompass </w:t>
      </w:r>
      <w:r w:rsidR="00C60EE9" w:rsidRPr="00995AAE">
        <w:t>discipline-related</w:t>
      </w:r>
      <w:r w:rsidRPr="00995AAE">
        <w:t xml:space="preserve"> and generic outcomes, including:</w:t>
      </w:r>
    </w:p>
    <w:p w14:paraId="62EEFE3A" w14:textId="77777777" w:rsidR="00F66B1D" w:rsidRPr="00995AAE" w:rsidRDefault="000D6D99" w:rsidP="00B136B6">
      <w:pPr>
        <w:pStyle w:val="Heading4"/>
      </w:pPr>
      <w:proofErr w:type="gramStart"/>
      <w:r w:rsidRPr="00995AAE">
        <w:t>specific</w:t>
      </w:r>
      <w:proofErr w:type="gramEnd"/>
      <w:r w:rsidRPr="00995AAE">
        <w:t xml:space="preserve"> </w:t>
      </w:r>
      <w:r w:rsidR="00F66B1D" w:rsidRPr="00995AAE">
        <w:t>knowledge</w:t>
      </w:r>
      <w:r w:rsidR="00C021CD" w:rsidRPr="00995AAE">
        <w:t xml:space="preserve"> and</w:t>
      </w:r>
      <w:r w:rsidR="0030068F" w:rsidRPr="00995AAE">
        <w:t xml:space="preserve"> </w:t>
      </w:r>
      <w:r w:rsidR="00F66B1D" w:rsidRPr="00995AAE">
        <w:t xml:space="preserve">skills and </w:t>
      </w:r>
      <w:r w:rsidR="00C021CD" w:rsidRPr="00995AAE">
        <w:t xml:space="preserve">their </w:t>
      </w:r>
      <w:r w:rsidR="00F66B1D" w:rsidRPr="00995AAE">
        <w:t>application that characterise the field(s) of education</w:t>
      </w:r>
      <w:r w:rsidR="00D04BBC" w:rsidRPr="00995AAE">
        <w:t xml:space="preserve"> or disciplines</w:t>
      </w:r>
      <w:r w:rsidR="00F66B1D" w:rsidRPr="00995AAE">
        <w:t xml:space="preserve"> involved</w:t>
      </w:r>
    </w:p>
    <w:p w14:paraId="059BED76" w14:textId="77777777" w:rsidR="00F66B1D" w:rsidRPr="00995AAE" w:rsidRDefault="00F66B1D" w:rsidP="00B136B6">
      <w:pPr>
        <w:pStyle w:val="Heading4"/>
      </w:pPr>
      <w:proofErr w:type="gramStart"/>
      <w:r w:rsidRPr="00995AAE">
        <w:t>generic</w:t>
      </w:r>
      <w:proofErr w:type="gramEnd"/>
      <w:r w:rsidRPr="00995AAE">
        <w:t xml:space="preserve"> skills and their application in the context of the field(s) of education or disciplines involved</w:t>
      </w:r>
    </w:p>
    <w:p w14:paraId="49F17B0B" w14:textId="77777777" w:rsidR="001344E5" w:rsidRPr="00995AAE" w:rsidRDefault="00B56641" w:rsidP="00B136B6">
      <w:pPr>
        <w:pStyle w:val="Heading4"/>
      </w:pPr>
      <w:r w:rsidRPr="00995AAE">
        <w:t xml:space="preserve">knowledge and </w:t>
      </w:r>
      <w:r w:rsidR="00F66B1D" w:rsidRPr="00995AAE">
        <w:t>skills required for employment</w:t>
      </w:r>
      <w:r w:rsidR="00A26D93" w:rsidRPr="00995AAE">
        <w:t xml:space="preserve"> and further study </w:t>
      </w:r>
      <w:r w:rsidR="00F66B1D" w:rsidRPr="00995AAE">
        <w:t xml:space="preserve">related to </w:t>
      </w:r>
      <w:r w:rsidR="00A26D93" w:rsidRPr="00995AAE">
        <w:t>th</w:t>
      </w:r>
      <w:r w:rsidR="000D6D99" w:rsidRPr="00995AAE">
        <w:t>e</w:t>
      </w:r>
      <w:r w:rsidR="00A26D93" w:rsidRPr="00995AAE">
        <w:t xml:space="preserve"> </w:t>
      </w:r>
      <w:r w:rsidR="007D1F9D" w:rsidRPr="00995AAE">
        <w:t>course of study</w:t>
      </w:r>
      <w:r w:rsidR="00F66B1D" w:rsidRPr="00995AAE">
        <w:t xml:space="preserve">, including </w:t>
      </w:r>
      <w:r w:rsidRPr="00995AAE">
        <w:t xml:space="preserve">those </w:t>
      </w:r>
      <w:r w:rsidR="00F66B1D" w:rsidRPr="00995AAE">
        <w:t xml:space="preserve">required </w:t>
      </w:r>
      <w:r w:rsidR="00F35C9C" w:rsidRPr="00995AAE">
        <w:t xml:space="preserve">to be eligible to seek </w:t>
      </w:r>
      <w:r w:rsidR="00F66B1D" w:rsidRPr="00995AAE">
        <w:t xml:space="preserve">registration to practise </w:t>
      </w:r>
      <w:r w:rsidR="00C46335" w:rsidRPr="00995AAE">
        <w:t xml:space="preserve">where </w:t>
      </w:r>
      <w:r w:rsidR="00F66B1D" w:rsidRPr="00995AAE">
        <w:t>applicable</w:t>
      </w:r>
      <w:r w:rsidR="001344E5" w:rsidRPr="00995AAE">
        <w:t>, and</w:t>
      </w:r>
    </w:p>
    <w:p w14:paraId="500A3128" w14:textId="77777777" w:rsidR="00F66B1D" w:rsidRPr="00995AAE" w:rsidRDefault="00F35C9C" w:rsidP="00B136B6">
      <w:pPr>
        <w:pStyle w:val="Heading4"/>
      </w:pPr>
      <w:r w:rsidRPr="00995AAE">
        <w:t xml:space="preserve"> </w:t>
      </w:r>
      <w:proofErr w:type="gramStart"/>
      <w:r w:rsidRPr="00995AAE">
        <w:t>skills</w:t>
      </w:r>
      <w:proofErr w:type="gramEnd"/>
      <w:r w:rsidRPr="00995AAE">
        <w:t xml:space="preserve"> in independent and critical thinking suitable for life-long learning</w:t>
      </w:r>
      <w:r w:rsidR="00F66B1D" w:rsidRPr="00995AAE">
        <w:t xml:space="preserve">. </w:t>
      </w:r>
    </w:p>
    <w:p w14:paraId="320CB568" w14:textId="77777777" w:rsidR="00532509" w:rsidRPr="00995AAE" w:rsidRDefault="00BF20C3" w:rsidP="00B136B6">
      <w:pPr>
        <w:pStyle w:val="Heading3"/>
      </w:pPr>
      <w:r w:rsidRPr="00995AAE">
        <w:t>Methods of assessment are consistent with the learning outcomes being assessed</w:t>
      </w:r>
      <w:r w:rsidR="007A1AB7" w:rsidRPr="00995AAE">
        <w:t>,</w:t>
      </w:r>
      <w:r w:rsidRPr="00995AAE">
        <w:t xml:space="preserve"> are capable of confirming that </w:t>
      </w:r>
      <w:r w:rsidR="00DF46A2" w:rsidRPr="00995AAE">
        <w:t>all</w:t>
      </w:r>
      <w:r w:rsidRPr="00995AAE">
        <w:t xml:space="preserve"> </w:t>
      </w:r>
      <w:r w:rsidR="00E96DA9" w:rsidRPr="00995AAE">
        <w:t xml:space="preserve">specified </w:t>
      </w:r>
      <w:r w:rsidRPr="00995AAE">
        <w:t>learning outcomes are achieved</w:t>
      </w:r>
      <w:r w:rsidR="00DA1DA0" w:rsidRPr="00995AAE">
        <w:t xml:space="preserve"> and </w:t>
      </w:r>
      <w:r w:rsidR="00F35C9C" w:rsidRPr="00995AAE">
        <w:t xml:space="preserve">that </w:t>
      </w:r>
      <w:r w:rsidR="00DA1DA0" w:rsidRPr="00995AAE">
        <w:t>grades awarded reflect the level of student attainment</w:t>
      </w:r>
      <w:r w:rsidRPr="00995AAE">
        <w:t>.</w:t>
      </w:r>
    </w:p>
    <w:p w14:paraId="2C982382" w14:textId="77777777" w:rsidR="00BF20C3" w:rsidRPr="00995AAE" w:rsidRDefault="0091783D" w:rsidP="00B136B6">
      <w:pPr>
        <w:pStyle w:val="Heading3"/>
      </w:pPr>
      <w:r w:rsidRPr="00995AAE">
        <w:t>On completion of</w:t>
      </w:r>
      <w:r w:rsidR="00642178" w:rsidRPr="00995AAE">
        <w:t xml:space="preserve"> a</w:t>
      </w:r>
      <w:r w:rsidR="00AA0F7F" w:rsidRPr="00995AAE">
        <w:t xml:space="preserve"> </w:t>
      </w:r>
      <w:r w:rsidR="007D1F9D" w:rsidRPr="00995AAE">
        <w:t>course of study</w:t>
      </w:r>
      <w:r w:rsidR="00151070" w:rsidRPr="00995AAE">
        <w:t>, students</w:t>
      </w:r>
      <w:r w:rsidR="00BF20C3" w:rsidRPr="00995AAE">
        <w:t xml:space="preserve"> have demonstrated the learning outcomes specified for the </w:t>
      </w:r>
      <w:r w:rsidR="007D1F9D" w:rsidRPr="00995AAE">
        <w:t>course of study</w:t>
      </w:r>
      <w:r w:rsidR="00BF20C3" w:rsidRPr="00995AAE">
        <w:t>, whether assessed at unit level, course level, or in combination.</w:t>
      </w:r>
    </w:p>
    <w:p w14:paraId="63970C10" w14:textId="77777777" w:rsidR="00F66B1D" w:rsidRPr="00995AAE" w:rsidRDefault="007A1AB7" w:rsidP="00B136B6">
      <w:pPr>
        <w:pStyle w:val="Heading3"/>
      </w:pPr>
      <w:r w:rsidRPr="00995AAE">
        <w:t xml:space="preserve">On completion of </w:t>
      </w:r>
      <w:r w:rsidR="0040439A" w:rsidRPr="00995AAE">
        <w:t>research training</w:t>
      </w:r>
      <w:r w:rsidRPr="00995AAE">
        <w:t xml:space="preserve">, </w:t>
      </w:r>
      <w:r w:rsidR="003C76CA" w:rsidRPr="00995AAE">
        <w:t xml:space="preserve">students </w:t>
      </w:r>
      <w:r w:rsidR="00F66B1D" w:rsidRPr="00995AAE">
        <w:t>have demonstrated specific and generic learning outcomes related to research</w:t>
      </w:r>
      <w:r w:rsidR="00B7712A" w:rsidRPr="00995AAE">
        <w:t>,</w:t>
      </w:r>
      <w:r w:rsidR="00F66B1D" w:rsidRPr="00995AAE">
        <w:t xml:space="preserve"> including:</w:t>
      </w:r>
    </w:p>
    <w:p w14:paraId="34B6B9D9" w14:textId="77777777" w:rsidR="00F66B1D" w:rsidRPr="00995AAE" w:rsidRDefault="00F66B1D" w:rsidP="00B136B6">
      <w:pPr>
        <w:pStyle w:val="Heading4"/>
      </w:pPr>
      <w:proofErr w:type="gramStart"/>
      <w:r w:rsidRPr="00995AAE">
        <w:t>a</w:t>
      </w:r>
      <w:proofErr w:type="gramEnd"/>
      <w:r w:rsidRPr="00995AAE">
        <w:t xml:space="preserve"> detailed understanding of the specific topic of their research, within a broad understanding of the field of research</w:t>
      </w:r>
    </w:p>
    <w:p w14:paraId="61049338" w14:textId="77777777" w:rsidR="00F66B1D" w:rsidRPr="00995AAE" w:rsidRDefault="00F66B1D" w:rsidP="00B136B6">
      <w:pPr>
        <w:pStyle w:val="Heading4"/>
      </w:pPr>
      <w:proofErr w:type="gramStart"/>
      <w:r w:rsidRPr="00995AAE">
        <w:t>capacit</w:t>
      </w:r>
      <w:r w:rsidR="0087274D" w:rsidRPr="00995AAE">
        <w:t>y</w:t>
      </w:r>
      <w:proofErr w:type="gramEnd"/>
      <w:r w:rsidRPr="00995AAE">
        <w:t xml:space="preserve"> to scope, design and conduct research projects</w:t>
      </w:r>
      <w:r w:rsidR="0087274D" w:rsidRPr="00995AAE">
        <w:t xml:space="preserve"> independently</w:t>
      </w:r>
      <w:r w:rsidRPr="00995AAE">
        <w:t xml:space="preserve"> </w:t>
      </w:r>
    </w:p>
    <w:p w14:paraId="0790BFF0" w14:textId="77777777" w:rsidR="00E6643D" w:rsidRPr="00995AAE" w:rsidRDefault="00F66B1D" w:rsidP="00B136B6">
      <w:pPr>
        <w:pStyle w:val="Heading4"/>
      </w:pPr>
      <w:proofErr w:type="gramStart"/>
      <w:r w:rsidRPr="00995AAE">
        <w:t>technical</w:t>
      </w:r>
      <w:proofErr w:type="gramEnd"/>
      <w:r w:rsidRPr="00995AAE">
        <w:t xml:space="preserve"> research skills and </w:t>
      </w:r>
      <w:r w:rsidR="0087274D" w:rsidRPr="00995AAE">
        <w:t xml:space="preserve">competence </w:t>
      </w:r>
      <w:r w:rsidRPr="00995AAE">
        <w:t>in the application of research methods</w:t>
      </w:r>
      <w:r w:rsidR="00205150" w:rsidRPr="00995AAE">
        <w:t>, and</w:t>
      </w:r>
    </w:p>
    <w:p w14:paraId="571FFF93" w14:textId="77777777" w:rsidR="00E6643D" w:rsidRPr="00995AAE" w:rsidRDefault="00F66B1D" w:rsidP="00B136B6">
      <w:pPr>
        <w:pStyle w:val="Heading4"/>
      </w:pPr>
      <w:proofErr w:type="gramStart"/>
      <w:r w:rsidRPr="00995AAE">
        <w:t>skills</w:t>
      </w:r>
      <w:proofErr w:type="gramEnd"/>
      <w:r w:rsidRPr="00995AAE">
        <w:t xml:space="preserve"> in analysis, </w:t>
      </w:r>
      <w:r w:rsidR="004A4A20" w:rsidRPr="00995AAE">
        <w:t xml:space="preserve">critical evaluation </w:t>
      </w:r>
      <w:r w:rsidR="00880764" w:rsidRPr="00995AAE">
        <w:t>and</w:t>
      </w:r>
      <w:r w:rsidRPr="00995AAE">
        <w:t xml:space="preserve"> reporting</w:t>
      </w:r>
      <w:r w:rsidR="00880764" w:rsidRPr="00995AAE">
        <w:t xml:space="preserve"> of research</w:t>
      </w:r>
      <w:r w:rsidR="00F37975" w:rsidRPr="00995AAE">
        <w:t>,</w:t>
      </w:r>
      <w:r w:rsidR="00880764" w:rsidRPr="00995AAE">
        <w:t xml:space="preserve"> and </w:t>
      </w:r>
      <w:r w:rsidR="00F37975" w:rsidRPr="00995AAE">
        <w:t xml:space="preserve">in </w:t>
      </w:r>
      <w:r w:rsidR="00C60EE9" w:rsidRPr="00995AAE">
        <w:t>presentation</w:t>
      </w:r>
      <w:r w:rsidR="00C46335" w:rsidRPr="00995AAE">
        <w:t>,</w:t>
      </w:r>
      <w:r w:rsidR="00C60EE9" w:rsidRPr="00995AAE">
        <w:t xml:space="preserve"> </w:t>
      </w:r>
      <w:r w:rsidRPr="00995AAE">
        <w:t xml:space="preserve">publication </w:t>
      </w:r>
      <w:r w:rsidR="00C46335" w:rsidRPr="00995AAE">
        <w:t xml:space="preserve">and dissemination </w:t>
      </w:r>
      <w:r w:rsidR="00F17C8C" w:rsidRPr="00995AAE">
        <w:t xml:space="preserve">of their </w:t>
      </w:r>
      <w:r w:rsidRPr="00995AAE">
        <w:t>research</w:t>
      </w:r>
      <w:r w:rsidR="00205150" w:rsidRPr="00995AAE">
        <w:t>.</w:t>
      </w:r>
      <w:r w:rsidR="00B23890" w:rsidRPr="00995AAE">
        <w:t xml:space="preserve"> </w:t>
      </w:r>
    </w:p>
    <w:p w14:paraId="019C9CBF" w14:textId="77777777" w:rsidR="00F66B1D" w:rsidRPr="00995AAE" w:rsidRDefault="00F66B1D" w:rsidP="00B136B6">
      <w:pPr>
        <w:pStyle w:val="Heading3"/>
      </w:pPr>
      <w:r w:rsidRPr="00995AAE">
        <w:t xml:space="preserve">Assessment of major assessable </w:t>
      </w:r>
      <w:r w:rsidR="00DC4867" w:rsidRPr="00995AAE">
        <w:t>research</w:t>
      </w:r>
      <w:r w:rsidRPr="00995AAE">
        <w:t xml:space="preserve"> outputs </w:t>
      </w:r>
      <w:r w:rsidR="002223F7" w:rsidRPr="00995AAE">
        <w:t>for higher degrees by research</w:t>
      </w:r>
      <w:r w:rsidR="00710202" w:rsidRPr="00995AAE">
        <w:rPr>
          <w:rStyle w:val="Hyperlink"/>
        </w:rPr>
        <w:t xml:space="preserve">, </w:t>
      </w:r>
      <w:r w:rsidR="00710202" w:rsidRPr="00995AAE">
        <w:t xml:space="preserve">such as </w:t>
      </w:r>
      <w:proofErr w:type="spellStart"/>
      <w:r w:rsidR="00710202" w:rsidRPr="00995AAE">
        <w:t>theses</w:t>
      </w:r>
      <w:proofErr w:type="spellEnd"/>
      <w:r w:rsidR="00710202" w:rsidRPr="00995AAE">
        <w:t>, dissertations, exegeses, creative works or other major works arising from a candidate’s research</w:t>
      </w:r>
      <w:r w:rsidR="005D3802" w:rsidRPr="00995AAE">
        <w:t xml:space="preserve"> </w:t>
      </w:r>
      <w:r w:rsidR="002223F7" w:rsidRPr="00995AAE">
        <w:t xml:space="preserve">incorporates </w:t>
      </w:r>
      <w:r w:rsidR="003E0331" w:rsidRPr="00995AAE">
        <w:t xml:space="preserve">assessment </w:t>
      </w:r>
      <w:r w:rsidR="00131130" w:rsidRPr="00995AAE">
        <w:t>by</w:t>
      </w:r>
      <w:r w:rsidR="00A26D93" w:rsidRPr="00995AAE">
        <w:t xml:space="preserve"> </w:t>
      </w:r>
      <w:r w:rsidR="005D3802" w:rsidRPr="00995AAE">
        <w:t xml:space="preserve">at least two </w:t>
      </w:r>
      <w:r w:rsidR="005A5187" w:rsidRPr="00995AAE">
        <w:t>assessors</w:t>
      </w:r>
      <w:r w:rsidR="00A26D93" w:rsidRPr="00995AAE">
        <w:t xml:space="preserve"> </w:t>
      </w:r>
      <w:r w:rsidR="005A5187" w:rsidRPr="00995AAE">
        <w:t xml:space="preserve">with international standing in the field of research, </w:t>
      </w:r>
      <w:r w:rsidR="00A26D93" w:rsidRPr="00995AAE">
        <w:t xml:space="preserve">who are </w:t>
      </w:r>
      <w:r w:rsidR="00992197" w:rsidRPr="00995AAE">
        <w:t xml:space="preserve">independent of the conduct of the research, </w:t>
      </w:r>
      <w:r w:rsidR="00A26D93" w:rsidRPr="00995AAE">
        <w:t>competent to undertake the assessment and do not have a conflict of interest</w:t>
      </w:r>
      <w:r w:rsidR="005D3802" w:rsidRPr="00995AAE">
        <w:t>, and</w:t>
      </w:r>
      <w:r w:rsidR="00992197" w:rsidRPr="00995AAE">
        <w:t>:</w:t>
      </w:r>
    </w:p>
    <w:p w14:paraId="703605E7" w14:textId="77777777" w:rsidR="00F66B1D" w:rsidRPr="00995AAE" w:rsidRDefault="00F66B1D" w:rsidP="00B136B6">
      <w:pPr>
        <w:pStyle w:val="Heading4"/>
      </w:pPr>
      <w:proofErr w:type="gramStart"/>
      <w:r w:rsidRPr="00995AAE">
        <w:t>for</w:t>
      </w:r>
      <w:proofErr w:type="gramEnd"/>
      <w:r w:rsidRPr="00995AAE">
        <w:t xml:space="preserve"> doctoral </w:t>
      </w:r>
      <w:r w:rsidR="007B7C0D" w:rsidRPr="00995AAE">
        <w:t>degree</w:t>
      </w:r>
      <w:r w:rsidR="001C4E65" w:rsidRPr="00995AAE">
        <w:t>s</w:t>
      </w:r>
      <w:r w:rsidR="00C73076" w:rsidRPr="00995AAE">
        <w:t>,</w:t>
      </w:r>
      <w:r w:rsidRPr="00995AAE">
        <w:t xml:space="preserve"> are external to the </w:t>
      </w:r>
      <w:r w:rsidR="00F11C92" w:rsidRPr="00995AAE">
        <w:t xml:space="preserve">higher education </w:t>
      </w:r>
      <w:r w:rsidRPr="00995AAE">
        <w:t>provider, and</w:t>
      </w:r>
    </w:p>
    <w:p w14:paraId="638D69CD" w14:textId="77777777" w:rsidR="00F66B1D" w:rsidRPr="00995AAE" w:rsidRDefault="00F66B1D" w:rsidP="00B136B6">
      <w:pPr>
        <w:pStyle w:val="Heading4"/>
      </w:pPr>
      <w:proofErr w:type="gramStart"/>
      <w:r w:rsidRPr="00995AAE">
        <w:t>for</w:t>
      </w:r>
      <w:proofErr w:type="gramEnd"/>
      <w:r w:rsidRPr="00995AAE">
        <w:t xml:space="preserve"> masters </w:t>
      </w:r>
      <w:r w:rsidR="007B7C0D" w:rsidRPr="00995AAE">
        <w:t>degree</w:t>
      </w:r>
      <w:r w:rsidR="001C4E65" w:rsidRPr="00995AAE">
        <w:t>s</w:t>
      </w:r>
      <w:r w:rsidR="00F365D2" w:rsidRPr="00995AAE">
        <w:t xml:space="preserve"> by research</w:t>
      </w:r>
      <w:r w:rsidR="002A2DE6" w:rsidRPr="00995AAE">
        <w:t xml:space="preserve">, </w:t>
      </w:r>
      <w:r w:rsidRPr="00995AAE">
        <w:t>at least one of whom is external to the</w:t>
      </w:r>
      <w:r w:rsidR="00F11C92" w:rsidRPr="00995AAE">
        <w:t xml:space="preserve"> higher education</w:t>
      </w:r>
      <w:r w:rsidRPr="00995AAE">
        <w:t xml:space="preserve"> provider.</w:t>
      </w:r>
    </w:p>
    <w:p w14:paraId="4320BEA8" w14:textId="77777777" w:rsidR="00F66B1D" w:rsidRPr="00995AAE" w:rsidRDefault="00F66B1D" w:rsidP="00B136B6">
      <w:pPr>
        <w:pStyle w:val="Heading3"/>
      </w:pPr>
      <w:r w:rsidRPr="00995AAE">
        <w:t xml:space="preserve">The outputs arising from research training contribute to the development of the field of research, practice or creative </w:t>
      </w:r>
      <w:r w:rsidR="00131130" w:rsidRPr="00995AAE">
        <w:t xml:space="preserve">field </w:t>
      </w:r>
      <w:r w:rsidRPr="00995AAE">
        <w:t xml:space="preserve">and, in the case of doctoral </w:t>
      </w:r>
      <w:r w:rsidR="007B7C0D" w:rsidRPr="00995AAE">
        <w:t>degree</w:t>
      </w:r>
      <w:r w:rsidR="001C4E65" w:rsidRPr="00995AAE">
        <w:t>s</w:t>
      </w:r>
      <w:r w:rsidRPr="00995AAE">
        <w:t xml:space="preserve">, demonstrate a </w:t>
      </w:r>
      <w:r w:rsidRPr="00995AAE">
        <w:lastRenderedPageBreak/>
        <w:t xml:space="preserve">significant original contribution. </w:t>
      </w:r>
    </w:p>
    <w:p w14:paraId="5A3EFD0F" w14:textId="77777777" w:rsidR="00AE24DC" w:rsidRPr="00995AAE" w:rsidRDefault="00AE24DC" w:rsidP="00AE24DC">
      <w:pPr>
        <w:pStyle w:val="ReferencePoints"/>
      </w:pPr>
    </w:p>
    <w:p w14:paraId="3D7F13F9" w14:textId="77777777" w:rsidR="00740D2E" w:rsidRPr="00995AAE" w:rsidRDefault="00740D2E" w:rsidP="000B4E5D">
      <w:pPr>
        <w:pStyle w:val="Heading2"/>
      </w:pPr>
      <w:bookmarkStart w:id="32" w:name="_Toc370205826"/>
      <w:bookmarkStart w:id="33" w:name="_Toc418684270"/>
      <w:bookmarkStart w:id="34" w:name="_Toc428368852"/>
      <w:r w:rsidRPr="00995AAE">
        <w:t>Qualifications and Certification</w:t>
      </w:r>
      <w:bookmarkEnd w:id="32"/>
      <w:bookmarkEnd w:id="33"/>
      <w:bookmarkEnd w:id="34"/>
      <w:r w:rsidR="00F91331" w:rsidRPr="00995AAE">
        <w:t xml:space="preserve"> </w:t>
      </w:r>
    </w:p>
    <w:p w14:paraId="4F2E0408" w14:textId="77777777" w:rsidR="00740D2E" w:rsidRPr="00995AAE" w:rsidRDefault="00F365D2" w:rsidP="00B136B6">
      <w:pPr>
        <w:pStyle w:val="Heading3"/>
      </w:pPr>
      <w:r w:rsidRPr="00995AAE">
        <w:t>Q</w:t>
      </w:r>
      <w:r w:rsidR="00C5261D" w:rsidRPr="00995AAE">
        <w:t>ualification</w:t>
      </w:r>
      <w:r w:rsidRPr="00995AAE">
        <w:t>s</w:t>
      </w:r>
      <w:r w:rsidR="00AA4ABF" w:rsidRPr="00995AAE">
        <w:t xml:space="preserve">, other than higher doctoral </w:t>
      </w:r>
      <w:r w:rsidR="00F37975" w:rsidRPr="00995AAE">
        <w:t xml:space="preserve">or honorary </w:t>
      </w:r>
      <w:r w:rsidR="00AA4ABF" w:rsidRPr="00995AAE">
        <w:t>qualification</w:t>
      </w:r>
      <w:r w:rsidRPr="00995AAE">
        <w:t>s</w:t>
      </w:r>
      <w:r w:rsidR="00AA4ABF" w:rsidRPr="00995AAE">
        <w:t xml:space="preserve">, </w:t>
      </w:r>
      <w:r w:rsidRPr="00995AAE">
        <w:t xml:space="preserve">are </w:t>
      </w:r>
      <w:r w:rsidR="00740D2E" w:rsidRPr="00995AAE">
        <w:t xml:space="preserve">awarded only if a </w:t>
      </w:r>
      <w:r w:rsidR="007D1F9D" w:rsidRPr="00995AAE">
        <w:t>course of study</w:t>
      </w:r>
      <w:r w:rsidR="00740D2E" w:rsidRPr="00995AAE">
        <w:t xml:space="preserve"> leads to the </w:t>
      </w:r>
      <w:r w:rsidR="003E0331" w:rsidRPr="00995AAE">
        <w:t xml:space="preserve">award of </w:t>
      </w:r>
      <w:r w:rsidR="00236607" w:rsidRPr="00995AAE">
        <w:t xml:space="preserve">that </w:t>
      </w:r>
      <w:r w:rsidR="00C5261D" w:rsidRPr="00995AAE">
        <w:t>qualification</w:t>
      </w:r>
      <w:r w:rsidR="00740D2E" w:rsidRPr="00995AAE">
        <w:t xml:space="preserve"> and all of the requirements of th</w:t>
      </w:r>
      <w:r w:rsidR="00A96F57" w:rsidRPr="00995AAE">
        <w:t>e</w:t>
      </w:r>
      <w:r w:rsidR="00740D2E" w:rsidRPr="00995AAE">
        <w:t xml:space="preserve"> </w:t>
      </w:r>
      <w:r w:rsidR="007D1F9D" w:rsidRPr="00995AAE">
        <w:t>course of study</w:t>
      </w:r>
      <w:r w:rsidR="00740D2E" w:rsidRPr="00995AAE">
        <w:t xml:space="preserve"> have been fulfilled.</w:t>
      </w:r>
    </w:p>
    <w:p w14:paraId="335D992C" w14:textId="77777777" w:rsidR="00AA4ABF" w:rsidRPr="00995AAE" w:rsidRDefault="00F37975" w:rsidP="00B136B6">
      <w:pPr>
        <w:pStyle w:val="Heading3"/>
      </w:pPr>
      <w:r w:rsidRPr="00995AAE">
        <w:t>H</w:t>
      </w:r>
      <w:r w:rsidR="00AA4ABF" w:rsidRPr="00995AAE">
        <w:t>igher doctoral qualification</w:t>
      </w:r>
      <w:r w:rsidRPr="00995AAE">
        <w:t>s</w:t>
      </w:r>
      <w:r w:rsidR="00187245" w:rsidRPr="00995AAE">
        <w:t xml:space="preserve"> </w:t>
      </w:r>
      <w:r w:rsidR="004365DF" w:rsidRPr="00995AAE">
        <w:t>require</w:t>
      </w:r>
      <w:r w:rsidR="00187245" w:rsidRPr="00995AAE">
        <w:t xml:space="preserve"> significant, sustained original contributions to a field of research over and above the requirements of a doctoral degree and</w:t>
      </w:r>
      <w:r w:rsidRPr="00995AAE">
        <w:t xml:space="preserve"> are</w:t>
      </w:r>
      <w:r w:rsidR="00AA4ABF" w:rsidRPr="00995AAE">
        <w:t xml:space="preserve"> awarded in accordance with the higher education provider’s </w:t>
      </w:r>
      <w:r w:rsidR="00596E95" w:rsidRPr="00995AAE">
        <w:t xml:space="preserve">specific </w:t>
      </w:r>
      <w:r w:rsidR="00AA4ABF" w:rsidRPr="00995AAE">
        <w:t xml:space="preserve">policies and academic governance requirements </w:t>
      </w:r>
      <w:r w:rsidR="00596E95" w:rsidRPr="00995AAE">
        <w:t xml:space="preserve">for the award of </w:t>
      </w:r>
      <w:r w:rsidR="00AA4ABF" w:rsidRPr="00995AAE">
        <w:t>Higher Doctoral Degrees</w:t>
      </w:r>
      <w:r w:rsidR="0074615E" w:rsidRPr="00995AAE">
        <w:t>.</w:t>
      </w:r>
      <w:r w:rsidR="00AA4ABF" w:rsidRPr="00995AAE">
        <w:t xml:space="preserve"> </w:t>
      </w:r>
    </w:p>
    <w:p w14:paraId="28CA06E6" w14:textId="77777777" w:rsidR="00740D2E" w:rsidRPr="00995AAE" w:rsidRDefault="00740D2E" w:rsidP="00B136B6">
      <w:pPr>
        <w:pStyle w:val="Heading3"/>
      </w:pPr>
      <w:r w:rsidRPr="00995AAE">
        <w:t xml:space="preserve">When an </w:t>
      </w:r>
      <w:r w:rsidR="00FC6681" w:rsidRPr="00995AAE">
        <w:t>Australian Higher Education Q</w:t>
      </w:r>
      <w:r w:rsidR="00C5261D" w:rsidRPr="00995AAE">
        <w:t>ualification</w:t>
      </w:r>
      <w:r w:rsidRPr="00995AAE">
        <w:t xml:space="preserve"> is offered, the </w:t>
      </w:r>
      <w:r w:rsidR="007D1F9D" w:rsidRPr="00995AAE">
        <w:t>course of study</w:t>
      </w:r>
      <w:r w:rsidRPr="00995AAE">
        <w:t xml:space="preserve"> leading to the </w:t>
      </w:r>
      <w:r w:rsidR="00C5261D" w:rsidRPr="00995AAE">
        <w:t>qualification</w:t>
      </w:r>
      <w:r w:rsidRPr="00995AAE">
        <w:t xml:space="preserve"> is </w:t>
      </w:r>
      <w:r w:rsidR="005A5187" w:rsidRPr="00995AAE">
        <w:t xml:space="preserve">either </w:t>
      </w:r>
      <w:r w:rsidR="000C05E4" w:rsidRPr="00995AAE">
        <w:t>self</w:t>
      </w:r>
      <w:r w:rsidR="008715DA" w:rsidRPr="00995AAE">
        <w:t>-</w:t>
      </w:r>
      <w:r w:rsidR="000C05E4" w:rsidRPr="00995AAE">
        <w:t xml:space="preserve">accredited under authority to self-accredit or accredited by TEQSA </w:t>
      </w:r>
      <w:r w:rsidRPr="00995AAE">
        <w:t xml:space="preserve">and the learning outcomes for the </w:t>
      </w:r>
      <w:r w:rsidR="00C5261D" w:rsidRPr="00995AAE">
        <w:t>qualification</w:t>
      </w:r>
      <w:r w:rsidRPr="00995AAE">
        <w:t xml:space="preserve"> </w:t>
      </w:r>
      <w:r w:rsidR="006E4A80" w:rsidRPr="00995AAE">
        <w:t>are consistent</w:t>
      </w:r>
      <w:r w:rsidRPr="00995AAE">
        <w:t xml:space="preserve"> with the level classification for that </w:t>
      </w:r>
      <w:r w:rsidR="00C5261D" w:rsidRPr="00995AAE">
        <w:t>qualification</w:t>
      </w:r>
      <w:r w:rsidRPr="00995AAE">
        <w:t xml:space="preserve"> in the </w:t>
      </w:r>
      <w:r w:rsidRPr="00995AAE">
        <w:rPr>
          <w:i/>
        </w:rPr>
        <w:t>Australian Qualifications Framework</w:t>
      </w:r>
      <w:r w:rsidRPr="00995AAE">
        <w:t>.</w:t>
      </w:r>
    </w:p>
    <w:p w14:paraId="69777E31" w14:textId="77777777" w:rsidR="0074615E" w:rsidRPr="00995AAE" w:rsidRDefault="0074615E" w:rsidP="00B136B6">
      <w:pPr>
        <w:pStyle w:val="Heading3"/>
        <w:rPr>
          <w:iCs/>
        </w:rPr>
      </w:pPr>
      <w:r w:rsidRPr="00995AAE">
        <w:t>Awardees of qualification</w:t>
      </w:r>
      <w:r w:rsidR="00F365D2" w:rsidRPr="00995AAE">
        <w:t>s</w:t>
      </w:r>
      <w:r w:rsidRPr="00995AAE">
        <w:t xml:space="preserve"> are issued with authorised certification documentation including a testamur, and either a record of results or an Australian Higher Education Graduation Statement (</w:t>
      </w:r>
      <w:r w:rsidRPr="00995AAE">
        <w:rPr>
          <w:iCs/>
        </w:rPr>
        <w:t>graduation statement) that state correctly:</w:t>
      </w:r>
    </w:p>
    <w:p w14:paraId="2831196F" w14:textId="77777777" w:rsidR="0074615E" w:rsidRPr="00995AAE" w:rsidRDefault="0074615E" w:rsidP="00B136B6">
      <w:pPr>
        <w:pStyle w:val="Heading4"/>
      </w:pPr>
      <w:proofErr w:type="gramStart"/>
      <w:r w:rsidRPr="00995AAE">
        <w:t>the</w:t>
      </w:r>
      <w:proofErr w:type="gramEnd"/>
      <w:r w:rsidRPr="00995AAE">
        <w:t xml:space="preserve"> name of the registered higher education provider issuing the documentation</w:t>
      </w:r>
    </w:p>
    <w:p w14:paraId="7EA985EC" w14:textId="77777777" w:rsidR="0074615E" w:rsidRPr="00995AAE" w:rsidRDefault="0074615E" w:rsidP="00B136B6">
      <w:pPr>
        <w:pStyle w:val="Heading4"/>
      </w:pPr>
      <w:proofErr w:type="gramStart"/>
      <w:r w:rsidRPr="00995AAE">
        <w:t>the</w:t>
      </w:r>
      <w:proofErr w:type="gramEnd"/>
      <w:r w:rsidRPr="00995AAE">
        <w:t xml:space="preserve"> full name of the person to whom the documentation applies</w:t>
      </w:r>
    </w:p>
    <w:p w14:paraId="48839D54" w14:textId="77777777" w:rsidR="0074615E" w:rsidRPr="00995AAE" w:rsidRDefault="0074615E" w:rsidP="00B136B6">
      <w:pPr>
        <w:pStyle w:val="Heading4"/>
      </w:pPr>
      <w:proofErr w:type="gramStart"/>
      <w:r w:rsidRPr="00995AAE">
        <w:t>the</w:t>
      </w:r>
      <w:proofErr w:type="gramEnd"/>
      <w:r w:rsidRPr="00995AAE">
        <w:t xml:space="preserve"> date of issue</w:t>
      </w:r>
    </w:p>
    <w:p w14:paraId="7C377D3F" w14:textId="77777777" w:rsidR="00596E95" w:rsidRPr="00995AAE" w:rsidRDefault="0074615E" w:rsidP="00B136B6">
      <w:pPr>
        <w:pStyle w:val="Heading4"/>
      </w:pPr>
      <w:proofErr w:type="gramStart"/>
      <w:r w:rsidRPr="00995AAE">
        <w:t>the</w:t>
      </w:r>
      <w:proofErr w:type="gramEnd"/>
      <w:r w:rsidRPr="00995AAE">
        <w:t xml:space="preserve"> name and office of the person authorised by the higher education provider to issue the documentation</w:t>
      </w:r>
      <w:r w:rsidR="00596E95" w:rsidRPr="00995AAE">
        <w:t>, and</w:t>
      </w:r>
    </w:p>
    <w:p w14:paraId="77CCE301" w14:textId="77777777" w:rsidR="0074615E" w:rsidRPr="00995AAE" w:rsidRDefault="007A3E55" w:rsidP="00B136B6">
      <w:pPr>
        <w:pStyle w:val="Heading4"/>
      </w:pPr>
      <w:proofErr w:type="gramStart"/>
      <w:r w:rsidRPr="00995AAE">
        <w:t>if</w:t>
      </w:r>
      <w:proofErr w:type="gramEnd"/>
      <w:r w:rsidRPr="00995AAE">
        <w:t xml:space="preserve"> the qualification is </w:t>
      </w:r>
      <w:r w:rsidR="00596E95" w:rsidRPr="00995AAE">
        <w:t>recognised in the Australian Qualifications Framework</w:t>
      </w:r>
      <w:r w:rsidRPr="00995AAE">
        <w:t xml:space="preserve">, the testamur and/or the graduation statement is </w:t>
      </w:r>
      <w:r w:rsidR="00596E95" w:rsidRPr="00995AAE">
        <w:t xml:space="preserve">certified with either the logo of the Australian Qualifications Framework or the words, ‘This qualification is recognised within the Australian Qualifications Framework’. </w:t>
      </w:r>
    </w:p>
    <w:p w14:paraId="0A2D86A4" w14:textId="77777777" w:rsidR="0074615E" w:rsidRPr="00995AAE" w:rsidRDefault="00EF3B70" w:rsidP="00B136B6">
      <w:pPr>
        <w:pStyle w:val="Heading3"/>
      </w:pPr>
      <w:r w:rsidRPr="00995AAE">
        <w:t>All c</w:t>
      </w:r>
      <w:r w:rsidR="0074615E" w:rsidRPr="00995AAE">
        <w:t xml:space="preserve">ertification documentation </w:t>
      </w:r>
      <w:r w:rsidRPr="00995AAE">
        <w:t xml:space="preserve">issued by the higher education provider </w:t>
      </w:r>
      <w:r w:rsidR="0074615E" w:rsidRPr="00995AAE">
        <w:t>is:</w:t>
      </w:r>
    </w:p>
    <w:p w14:paraId="0F92FD00" w14:textId="77777777" w:rsidR="0074615E" w:rsidRPr="00995AAE" w:rsidRDefault="0074615E" w:rsidP="00B136B6">
      <w:pPr>
        <w:pStyle w:val="Heading4"/>
      </w:pPr>
      <w:proofErr w:type="gramStart"/>
      <w:r w:rsidRPr="00995AAE">
        <w:t>unambiguously</w:t>
      </w:r>
      <w:proofErr w:type="gramEnd"/>
      <w:r w:rsidRPr="00995AAE">
        <w:t xml:space="preserve"> issued by the registered higher education provider</w:t>
      </w:r>
    </w:p>
    <w:p w14:paraId="15009E0D" w14:textId="77777777" w:rsidR="0074615E" w:rsidRPr="00995AAE" w:rsidRDefault="0074615E" w:rsidP="00B136B6">
      <w:pPr>
        <w:pStyle w:val="Heading4"/>
      </w:pPr>
      <w:proofErr w:type="gramStart"/>
      <w:r w:rsidRPr="00995AAE">
        <w:t>readily</w:t>
      </w:r>
      <w:proofErr w:type="gramEnd"/>
      <w:r w:rsidRPr="00995AAE">
        <w:t xml:space="preserve"> distinguishable from other certification documents issued by the higher education provider</w:t>
      </w:r>
    </w:p>
    <w:p w14:paraId="53BC2347" w14:textId="77777777" w:rsidR="0074615E" w:rsidRPr="00995AAE" w:rsidRDefault="0074615E" w:rsidP="00B136B6">
      <w:pPr>
        <w:pStyle w:val="Heading4"/>
      </w:pPr>
      <w:proofErr w:type="gramStart"/>
      <w:r w:rsidRPr="00995AAE">
        <w:t>protected</w:t>
      </w:r>
      <w:proofErr w:type="gramEnd"/>
      <w:r w:rsidRPr="00995AAE">
        <w:t xml:space="preserve"> against fraudulent issue</w:t>
      </w:r>
    </w:p>
    <w:p w14:paraId="73A22A5D" w14:textId="77777777" w:rsidR="0074615E" w:rsidRPr="00995AAE" w:rsidRDefault="0074615E" w:rsidP="00B136B6">
      <w:pPr>
        <w:pStyle w:val="Heading4"/>
      </w:pPr>
      <w:proofErr w:type="gramStart"/>
      <w:r w:rsidRPr="00995AAE">
        <w:t>traceable</w:t>
      </w:r>
      <w:proofErr w:type="gramEnd"/>
      <w:r w:rsidRPr="00995AAE">
        <w:t xml:space="preserve"> and authenticable</w:t>
      </w:r>
    </w:p>
    <w:p w14:paraId="2F402E3E" w14:textId="77777777" w:rsidR="0074615E" w:rsidRPr="00995AAE" w:rsidRDefault="0074615E" w:rsidP="00B136B6">
      <w:pPr>
        <w:pStyle w:val="Heading4"/>
      </w:pPr>
      <w:proofErr w:type="gramStart"/>
      <w:r w:rsidRPr="00995AAE">
        <w:t>designed</w:t>
      </w:r>
      <w:proofErr w:type="gramEnd"/>
      <w:r w:rsidRPr="00995AAE">
        <w:t xml:space="preserve"> to prevent unauthorised reproduction, and</w:t>
      </w:r>
    </w:p>
    <w:p w14:paraId="4C3ACF1F" w14:textId="77777777" w:rsidR="0074615E" w:rsidRPr="00995AAE" w:rsidRDefault="0074615E" w:rsidP="00B136B6">
      <w:pPr>
        <w:pStyle w:val="Heading4"/>
      </w:pPr>
      <w:proofErr w:type="gramStart"/>
      <w:r w:rsidRPr="00995AAE">
        <w:t>replaceable</w:t>
      </w:r>
      <w:proofErr w:type="gramEnd"/>
      <w:r w:rsidRPr="00995AAE">
        <w:t xml:space="preserve"> by the higher education provider through an authorised and verifiable process. </w:t>
      </w:r>
    </w:p>
    <w:p w14:paraId="0728C6DC" w14:textId="77777777" w:rsidR="0074615E" w:rsidRPr="00995AAE" w:rsidRDefault="00F365D2" w:rsidP="00B136B6">
      <w:pPr>
        <w:pStyle w:val="Heading3"/>
      </w:pPr>
      <w:r w:rsidRPr="00995AAE">
        <w:t>T</w:t>
      </w:r>
      <w:r w:rsidR="0074615E" w:rsidRPr="00995AAE">
        <w:t>estamur</w:t>
      </w:r>
      <w:r w:rsidRPr="00995AAE">
        <w:t>s</w:t>
      </w:r>
      <w:r w:rsidR="0074615E" w:rsidRPr="00995AAE">
        <w:t xml:space="preserve"> state correctly, in addition to the requirements for all certification documentation:</w:t>
      </w:r>
    </w:p>
    <w:p w14:paraId="42619D4B" w14:textId="77777777" w:rsidR="0074615E" w:rsidRPr="00995AAE" w:rsidRDefault="0074615E" w:rsidP="00B136B6">
      <w:pPr>
        <w:pStyle w:val="Heading4"/>
      </w:pPr>
      <w:proofErr w:type="gramStart"/>
      <w:r w:rsidRPr="00995AAE">
        <w:t>the</w:t>
      </w:r>
      <w:proofErr w:type="gramEnd"/>
      <w:r w:rsidRPr="00995AAE">
        <w:t xml:space="preserve"> full title of the qualification awarded, including the field or discipline of study </w:t>
      </w:r>
    </w:p>
    <w:p w14:paraId="35DC2901" w14:textId="77777777" w:rsidR="0074615E" w:rsidRPr="00995AAE" w:rsidRDefault="0074615E" w:rsidP="00B136B6">
      <w:pPr>
        <w:pStyle w:val="Heading4"/>
      </w:pPr>
      <w:proofErr w:type="gramStart"/>
      <w:r w:rsidRPr="00995AAE">
        <w:t>any</w:t>
      </w:r>
      <w:proofErr w:type="gramEnd"/>
      <w:r w:rsidRPr="00995AAE">
        <w:t xml:space="preserve"> subsidiary component of the qualification (such as integrated honours, an area of specialisation or a major study), and  </w:t>
      </w:r>
    </w:p>
    <w:p w14:paraId="5A1DCE46" w14:textId="77777777" w:rsidR="0074615E" w:rsidRPr="00995AAE" w:rsidRDefault="0074615E" w:rsidP="00B136B6">
      <w:pPr>
        <w:pStyle w:val="Heading4"/>
      </w:pPr>
      <w:proofErr w:type="gramStart"/>
      <w:r w:rsidRPr="00995AAE">
        <w:t>if</w:t>
      </w:r>
      <w:proofErr w:type="gramEnd"/>
      <w:r w:rsidRPr="00995AAE">
        <w:t xml:space="preserve"> any parts of the course of study or assessment leading to the qualification were conducted in a language other than English, except for the use of another language to develop proficiency in that language</w:t>
      </w:r>
      <w:r w:rsidR="00BC28AB" w:rsidRPr="00995AAE">
        <w:t>.</w:t>
      </w:r>
    </w:p>
    <w:p w14:paraId="447F3523" w14:textId="77777777" w:rsidR="0074615E" w:rsidRPr="00995AAE" w:rsidRDefault="00F365D2" w:rsidP="00B136B6">
      <w:pPr>
        <w:pStyle w:val="Heading3"/>
      </w:pPr>
      <w:r w:rsidRPr="00995AAE">
        <w:t>R</w:t>
      </w:r>
      <w:r w:rsidR="0074615E" w:rsidRPr="00995AAE">
        <w:t>ecord</w:t>
      </w:r>
      <w:r w:rsidRPr="00995AAE">
        <w:t>s</w:t>
      </w:r>
      <w:r w:rsidR="0074615E" w:rsidRPr="00995AAE">
        <w:t xml:space="preserve"> of results state correctly, in addition to the requirements for all certification documentation: </w:t>
      </w:r>
    </w:p>
    <w:p w14:paraId="5F265428" w14:textId="77777777" w:rsidR="0074615E" w:rsidRPr="00995AAE" w:rsidRDefault="0074615E" w:rsidP="00B136B6">
      <w:pPr>
        <w:pStyle w:val="Heading4"/>
      </w:pPr>
      <w:proofErr w:type="gramStart"/>
      <w:r w:rsidRPr="00995AAE">
        <w:t>the</w:t>
      </w:r>
      <w:proofErr w:type="gramEnd"/>
      <w:r w:rsidRPr="00995AAE">
        <w:t xml:space="preserve"> full name of all courses and units of study undertaken and when they were undertaken and completed</w:t>
      </w:r>
    </w:p>
    <w:p w14:paraId="5C777791" w14:textId="77777777" w:rsidR="0074615E" w:rsidRPr="00995AAE" w:rsidRDefault="0074615E" w:rsidP="00B136B6">
      <w:pPr>
        <w:pStyle w:val="Heading4"/>
      </w:pPr>
      <w:proofErr w:type="gramStart"/>
      <w:r w:rsidRPr="00995AAE">
        <w:lastRenderedPageBreak/>
        <w:t>credit</w:t>
      </w:r>
      <w:proofErr w:type="gramEnd"/>
      <w:r w:rsidRPr="00995AAE">
        <w:t xml:space="preserve"> granted through recognition of prior learning</w:t>
      </w:r>
    </w:p>
    <w:p w14:paraId="6E32EB3C" w14:textId="77777777" w:rsidR="0074615E" w:rsidRPr="00995AAE" w:rsidRDefault="0074615E" w:rsidP="00B136B6">
      <w:pPr>
        <w:pStyle w:val="Heading4"/>
      </w:pPr>
      <w:proofErr w:type="gramStart"/>
      <w:r w:rsidRPr="00995AAE">
        <w:t>the</w:t>
      </w:r>
      <w:proofErr w:type="gramEnd"/>
      <w:r w:rsidRPr="00995AAE">
        <w:t xml:space="preserve"> weighting of units within courses of study </w:t>
      </w:r>
    </w:p>
    <w:p w14:paraId="32775CC7" w14:textId="77777777" w:rsidR="0074615E" w:rsidRPr="00995AAE" w:rsidRDefault="0074615E" w:rsidP="00B136B6">
      <w:pPr>
        <w:pStyle w:val="Heading4"/>
      </w:pPr>
      <w:proofErr w:type="gramStart"/>
      <w:r w:rsidRPr="00995AAE">
        <w:t>the</w:t>
      </w:r>
      <w:proofErr w:type="gramEnd"/>
      <w:r w:rsidRPr="00995AAE">
        <w:t xml:space="preserve"> grades and/or marks awarded for each unit of study undertaken and, if applicable, for the course overall </w:t>
      </w:r>
    </w:p>
    <w:p w14:paraId="282EFB10" w14:textId="77777777" w:rsidR="0074615E" w:rsidRPr="00995AAE" w:rsidRDefault="0074615E" w:rsidP="00B136B6">
      <w:pPr>
        <w:pStyle w:val="Heading4"/>
      </w:pPr>
      <w:proofErr w:type="gramStart"/>
      <w:r w:rsidRPr="00995AAE">
        <w:t>where</w:t>
      </w:r>
      <w:proofErr w:type="gramEnd"/>
      <w:r w:rsidRPr="00995AAE">
        <w:t xml:space="preserve"> grades are issued, an explanation of the grading system used</w:t>
      </w:r>
    </w:p>
    <w:p w14:paraId="2D625434" w14:textId="77777777" w:rsidR="0074615E" w:rsidRPr="00995AAE" w:rsidRDefault="0074615E" w:rsidP="00B136B6">
      <w:pPr>
        <w:pStyle w:val="Heading4"/>
      </w:pPr>
      <w:r w:rsidRPr="00995AAE">
        <w:t>where a course of study includes a significant particular focus of study such as honours, an area of specialisation or a major study, a definition of that component of significant focus, and</w:t>
      </w:r>
    </w:p>
    <w:p w14:paraId="30451BFE" w14:textId="77777777" w:rsidR="0074615E" w:rsidRPr="00995AAE" w:rsidRDefault="0074615E" w:rsidP="00B136B6">
      <w:pPr>
        <w:pStyle w:val="Heading4"/>
      </w:pPr>
      <w:proofErr w:type="gramStart"/>
      <w:r w:rsidRPr="00995AAE">
        <w:t>any</w:t>
      </w:r>
      <w:proofErr w:type="gramEnd"/>
      <w:r w:rsidRPr="00995AAE">
        <w:t xml:space="preserve"> parts of a course or units of study or assessment that were conducted in a language other than English, except for the use of another language to develop proficiency in that language.</w:t>
      </w:r>
    </w:p>
    <w:p w14:paraId="664FB597" w14:textId="77777777" w:rsidR="0074615E" w:rsidRPr="00995AAE" w:rsidRDefault="00F365D2" w:rsidP="00B136B6">
      <w:pPr>
        <w:pStyle w:val="Heading3"/>
      </w:pPr>
      <w:r w:rsidRPr="00995AAE">
        <w:t>G</w:t>
      </w:r>
      <w:r w:rsidR="0074615E" w:rsidRPr="00995AAE">
        <w:t>raduation statement</w:t>
      </w:r>
      <w:r w:rsidRPr="00995AAE">
        <w:t>s</w:t>
      </w:r>
      <w:r w:rsidR="0074615E" w:rsidRPr="00995AAE">
        <w:t xml:space="preserve"> contain, in relation to a particular course of study and the qualification awarded, the information contained in a record of results, presented in a form that conforms </w:t>
      </w:r>
      <w:proofErr w:type="gramStart"/>
      <w:r w:rsidR="0074615E" w:rsidRPr="00995AAE">
        <w:t>with</w:t>
      </w:r>
      <w:proofErr w:type="gramEnd"/>
      <w:r w:rsidR="0074615E" w:rsidRPr="00995AAE">
        <w:t xml:space="preserve"> the requirements</w:t>
      </w:r>
      <w:r w:rsidR="0074615E" w:rsidRPr="00995AAE">
        <w:rPr>
          <w:vertAlign w:val="superscript"/>
        </w:rPr>
        <w:t xml:space="preserve"> </w:t>
      </w:r>
      <w:r w:rsidR="0074615E" w:rsidRPr="00995AAE">
        <w:t>for an Australian Higher Education Graduation Statement.</w:t>
      </w:r>
    </w:p>
    <w:p w14:paraId="1AF6454A" w14:textId="77777777" w:rsidR="00A1513F" w:rsidRPr="00995AAE" w:rsidRDefault="007A3E55" w:rsidP="00B136B6">
      <w:pPr>
        <w:pStyle w:val="Heading3"/>
      </w:pPr>
      <w:r w:rsidRPr="00995AAE">
        <w:t>Q</w:t>
      </w:r>
      <w:r w:rsidR="00C5261D" w:rsidRPr="00995AAE">
        <w:t>ualification</w:t>
      </w:r>
      <w:r w:rsidRPr="00995AAE">
        <w:t>s</w:t>
      </w:r>
      <w:r w:rsidR="00A1513F" w:rsidRPr="00995AAE">
        <w:t xml:space="preserve"> that do not align with a </w:t>
      </w:r>
      <w:r w:rsidR="00C5261D" w:rsidRPr="00995AAE">
        <w:t>qualification</w:t>
      </w:r>
      <w:r w:rsidR="00A1513F" w:rsidRPr="00995AAE">
        <w:t xml:space="preserve"> that is recognised in the </w:t>
      </w:r>
      <w:r w:rsidR="00A1513F" w:rsidRPr="00995AAE">
        <w:rPr>
          <w:i/>
        </w:rPr>
        <w:t xml:space="preserve">Australian Qualifications Framework </w:t>
      </w:r>
      <w:r w:rsidRPr="00995AAE">
        <w:t xml:space="preserve">are </w:t>
      </w:r>
      <w:r w:rsidR="00A1513F" w:rsidRPr="00995AAE">
        <w:t xml:space="preserve">not described using the nomenclature </w:t>
      </w:r>
      <w:r w:rsidR="00DA1DA0" w:rsidRPr="00995AAE">
        <w:t xml:space="preserve">of the </w:t>
      </w:r>
      <w:r w:rsidR="00DA1DA0" w:rsidRPr="00995AAE">
        <w:rPr>
          <w:i/>
        </w:rPr>
        <w:t>Australian Qualifications Framework</w:t>
      </w:r>
      <w:r w:rsidR="00DA1DA0" w:rsidRPr="00995AAE">
        <w:t xml:space="preserve"> </w:t>
      </w:r>
      <w:r w:rsidR="00A1513F" w:rsidRPr="00995AAE">
        <w:t xml:space="preserve">or implied to be a </w:t>
      </w:r>
      <w:r w:rsidR="00D1593B" w:rsidRPr="00995AAE">
        <w:t>qualification</w:t>
      </w:r>
      <w:r w:rsidR="00A1513F" w:rsidRPr="00995AAE">
        <w:t xml:space="preserve"> recognised in the </w:t>
      </w:r>
      <w:r w:rsidR="00A1513F" w:rsidRPr="00995AAE">
        <w:rPr>
          <w:i/>
        </w:rPr>
        <w:t>Australian Qualifications Framework</w:t>
      </w:r>
      <w:r w:rsidR="00A1513F" w:rsidRPr="00995AAE">
        <w:t xml:space="preserve"> or an equivalent </w:t>
      </w:r>
      <w:r w:rsidR="00D1593B" w:rsidRPr="00995AAE">
        <w:t>qualification</w:t>
      </w:r>
      <w:r w:rsidR="00BD7913" w:rsidRPr="00995AAE">
        <w:t>.</w:t>
      </w:r>
    </w:p>
    <w:p w14:paraId="74CCDCC7" w14:textId="77777777" w:rsidR="00740D2E" w:rsidRPr="00995AAE" w:rsidRDefault="00740D2E" w:rsidP="00B136B6">
      <w:pPr>
        <w:pStyle w:val="Heading3"/>
      </w:pPr>
      <w:r w:rsidRPr="00995AAE">
        <w:t xml:space="preserve">Students who complete one or more </w:t>
      </w:r>
      <w:r w:rsidR="00E544D6" w:rsidRPr="00995AAE">
        <w:t>units</w:t>
      </w:r>
      <w:r w:rsidR="00E544D6" w:rsidRPr="00995AAE">
        <w:rPr>
          <w:rFonts w:cs="Arial"/>
        </w:rPr>
        <w:t xml:space="preserve"> of study</w:t>
      </w:r>
      <w:r w:rsidRPr="00995AAE">
        <w:t xml:space="preserve"> that do not lead to the award of a </w:t>
      </w:r>
      <w:r w:rsidR="00D1593B" w:rsidRPr="00995AAE">
        <w:t>qualification</w:t>
      </w:r>
      <w:r w:rsidRPr="00995AAE">
        <w:t xml:space="preserve"> have access to an authorised </w:t>
      </w:r>
      <w:r w:rsidR="00003AF3" w:rsidRPr="00995AAE">
        <w:t>record of results</w:t>
      </w:r>
      <w:r w:rsidRPr="00995AAE">
        <w:t xml:space="preserve"> for the </w:t>
      </w:r>
      <w:r w:rsidR="00E544D6" w:rsidRPr="00995AAE">
        <w:t>units</w:t>
      </w:r>
      <w:r w:rsidRPr="00995AAE">
        <w:t xml:space="preserve"> undertaken.</w:t>
      </w:r>
    </w:p>
    <w:p w14:paraId="723EC7A2" w14:textId="77777777" w:rsidR="00F91B96" w:rsidRPr="00995AAE" w:rsidRDefault="0025678E" w:rsidP="00B136B6">
      <w:pPr>
        <w:pStyle w:val="Heading3"/>
      </w:pPr>
      <w:r w:rsidRPr="00995AAE">
        <w:t>Any d</w:t>
      </w:r>
      <w:r w:rsidR="007346E1" w:rsidRPr="00995AAE">
        <w:t xml:space="preserve">ocumentation </w:t>
      </w:r>
      <w:r w:rsidR="00740D2E" w:rsidRPr="00995AAE">
        <w:t xml:space="preserve">issued with the award of an honorary </w:t>
      </w:r>
      <w:r w:rsidR="00D1593B" w:rsidRPr="00995AAE">
        <w:t>qualification</w:t>
      </w:r>
      <w:r w:rsidR="00740D2E" w:rsidRPr="00995AAE">
        <w:t xml:space="preserve"> unambiguously identifies the </w:t>
      </w:r>
      <w:r w:rsidR="00D1593B" w:rsidRPr="00995AAE">
        <w:t>qualification</w:t>
      </w:r>
      <w:r w:rsidR="00740D2E" w:rsidRPr="00995AAE">
        <w:t xml:space="preserve"> as an honorary </w:t>
      </w:r>
      <w:r w:rsidR="00D1593B" w:rsidRPr="00995AAE">
        <w:t>qualification</w:t>
      </w:r>
      <w:r w:rsidR="00740D2E" w:rsidRPr="00995AAE">
        <w:t>.</w:t>
      </w:r>
      <w:r w:rsidR="00F91B96" w:rsidRPr="00995AAE">
        <w:t xml:space="preserve"> </w:t>
      </w:r>
    </w:p>
    <w:p w14:paraId="6D7D901A" w14:textId="77777777" w:rsidR="00BC5134" w:rsidRPr="00995AAE" w:rsidRDefault="00BC5134">
      <w:pPr>
        <w:tabs>
          <w:tab w:val="clear" w:pos="1134"/>
        </w:tabs>
        <w:spacing w:after="200" w:line="276" w:lineRule="auto"/>
        <w:jc w:val="left"/>
        <w:rPr>
          <w:b/>
          <w:lang w:val="en-AU"/>
        </w:rPr>
      </w:pPr>
    </w:p>
    <w:p w14:paraId="050E3833" w14:textId="77777777" w:rsidR="000C22E9" w:rsidRPr="00995AAE" w:rsidRDefault="000C22E9" w:rsidP="000B4E5D">
      <w:pPr>
        <w:pStyle w:val="Heading1"/>
        <w:spacing w:before="0" w:after="360" w:line="240" w:lineRule="auto"/>
        <w:jc w:val="both"/>
      </w:pPr>
      <w:bookmarkStart w:id="35" w:name="_Toc370205827"/>
      <w:bookmarkStart w:id="36" w:name="_Toc418684271"/>
      <w:bookmarkStart w:id="37" w:name="_Toc428368853"/>
      <w:bookmarkStart w:id="38" w:name="Domain2"/>
      <w:r w:rsidRPr="00995AAE">
        <w:t>Learning Environment</w:t>
      </w:r>
      <w:bookmarkEnd w:id="35"/>
      <w:bookmarkEnd w:id="36"/>
      <w:bookmarkEnd w:id="37"/>
    </w:p>
    <w:p w14:paraId="0D8EAEA8" w14:textId="77777777" w:rsidR="0033522A" w:rsidRPr="00995AAE" w:rsidRDefault="0033522A">
      <w:pPr>
        <w:pStyle w:val="Heading2"/>
      </w:pPr>
      <w:bookmarkStart w:id="39" w:name="_Toc383762190"/>
      <w:bookmarkStart w:id="40" w:name="_Toc370205828"/>
      <w:bookmarkStart w:id="41" w:name="_Toc418684272"/>
      <w:bookmarkStart w:id="42" w:name="_Toc428368854"/>
      <w:bookmarkEnd w:id="38"/>
      <w:bookmarkEnd w:id="39"/>
      <w:r w:rsidRPr="00995AAE">
        <w:t>Facilities</w:t>
      </w:r>
      <w:bookmarkEnd w:id="40"/>
      <w:r w:rsidR="000755C5" w:rsidRPr="00995AAE">
        <w:t xml:space="preserve"> and Infrastructure</w:t>
      </w:r>
      <w:bookmarkEnd w:id="41"/>
      <w:bookmarkEnd w:id="42"/>
      <w:r w:rsidRPr="00995AAE">
        <w:t xml:space="preserve"> </w:t>
      </w:r>
    </w:p>
    <w:p w14:paraId="35CF2A5D" w14:textId="77777777" w:rsidR="000755C5" w:rsidRPr="00995AAE" w:rsidRDefault="000755C5" w:rsidP="00B136B6">
      <w:pPr>
        <w:pStyle w:val="Heading3"/>
      </w:pPr>
      <w:r w:rsidRPr="00995AAE">
        <w:t xml:space="preserve">Facilities, including facilities where external placements are undertaken, are fit for their educational and </w:t>
      </w:r>
      <w:r w:rsidR="00DC4867" w:rsidRPr="00995AAE">
        <w:t>research</w:t>
      </w:r>
      <w:r w:rsidRPr="00995AAE">
        <w:t xml:space="preserve"> purposes and accommodate the numbers and educational and research activities of the students and staff who use them.</w:t>
      </w:r>
    </w:p>
    <w:p w14:paraId="679908A0" w14:textId="77777777" w:rsidR="000755C5" w:rsidRPr="00995AAE" w:rsidRDefault="00FD40DC" w:rsidP="00B136B6">
      <w:pPr>
        <w:pStyle w:val="Heading3"/>
      </w:pPr>
      <w:r w:rsidRPr="00995AAE">
        <w:t>Secure access to electronic information and adequate electronic communication services is available continuously (allowing for reasonable outages for maintenance) to students and staff during periods of authorised access, e</w:t>
      </w:r>
      <w:r w:rsidR="000755C5" w:rsidRPr="00995AAE">
        <w:t>xcept for locations and circumstances that are not under the</w:t>
      </w:r>
      <w:r w:rsidRPr="00995AAE">
        <w:t xml:space="preserve"> direct control of the provider</w:t>
      </w:r>
      <w:r w:rsidR="000755C5" w:rsidRPr="00995AAE">
        <w:t>.</w:t>
      </w:r>
    </w:p>
    <w:p w14:paraId="74ECCFF8" w14:textId="77777777" w:rsidR="000755C5" w:rsidRPr="00995AAE" w:rsidRDefault="000755C5" w:rsidP="00B136B6">
      <w:pPr>
        <w:pStyle w:val="Heading3"/>
      </w:pPr>
      <w:r w:rsidRPr="00995AAE">
        <w:t xml:space="preserve">The learning environment, whether physical, virtual or blended, </w:t>
      </w:r>
      <w:r w:rsidR="00B11543" w:rsidRPr="00995AAE">
        <w:t xml:space="preserve">and </w:t>
      </w:r>
      <w:r w:rsidR="007A3E55" w:rsidRPr="00995AAE">
        <w:t xml:space="preserve">associated </w:t>
      </w:r>
      <w:r w:rsidR="00B11543" w:rsidRPr="00995AAE">
        <w:t xml:space="preserve">learning activities </w:t>
      </w:r>
      <w:r w:rsidRPr="00995AAE">
        <w:t>support academic interactions among students outside of formal teaching.</w:t>
      </w:r>
    </w:p>
    <w:p w14:paraId="3BF341DF" w14:textId="77777777" w:rsidR="00400C63" w:rsidRPr="00995AAE" w:rsidRDefault="00400C63" w:rsidP="000E6D76"/>
    <w:p w14:paraId="7E32EDB0" w14:textId="77777777" w:rsidR="0033522A" w:rsidRPr="00995AAE" w:rsidRDefault="0033522A" w:rsidP="000B4E5D">
      <w:pPr>
        <w:pStyle w:val="Heading2"/>
      </w:pPr>
      <w:bookmarkStart w:id="43" w:name="_Toc370205829"/>
      <w:bookmarkStart w:id="44" w:name="_Toc418684273"/>
      <w:bookmarkStart w:id="45" w:name="_Toc428368855"/>
      <w:r w:rsidRPr="00995AAE">
        <w:t>Diversity</w:t>
      </w:r>
      <w:r w:rsidR="00ED69AF" w:rsidRPr="00995AAE">
        <w:t xml:space="preserve"> and Equity</w:t>
      </w:r>
      <w:bookmarkEnd w:id="43"/>
      <w:bookmarkEnd w:id="44"/>
      <w:bookmarkEnd w:id="45"/>
      <w:r w:rsidR="00475D19" w:rsidRPr="00995AAE">
        <w:rPr>
          <w:rFonts w:asciiTheme="minorHAnsi" w:hAnsiTheme="minorHAnsi"/>
          <w:b w:val="0"/>
          <w:i/>
          <w:sz w:val="22"/>
          <w:szCs w:val="22"/>
        </w:rPr>
        <w:t xml:space="preserve"> </w:t>
      </w:r>
    </w:p>
    <w:p w14:paraId="02D56570" w14:textId="77777777" w:rsidR="0033522A" w:rsidRPr="00995AAE" w:rsidRDefault="0033522A" w:rsidP="00B136B6">
      <w:pPr>
        <w:pStyle w:val="Heading3"/>
      </w:pPr>
      <w:r w:rsidRPr="00995AAE">
        <w:t>Institutional policies</w:t>
      </w:r>
      <w:r w:rsidR="00AD0699" w:rsidRPr="00995AAE">
        <w:t>,</w:t>
      </w:r>
      <w:r w:rsidRPr="00995AAE">
        <w:t xml:space="preserve"> practices </w:t>
      </w:r>
      <w:r w:rsidR="00A1513F" w:rsidRPr="00995AAE">
        <w:t xml:space="preserve">and approaches to teaching and learning are designed to accommodate </w:t>
      </w:r>
      <w:r w:rsidR="00ED69AF" w:rsidRPr="00995AAE">
        <w:t xml:space="preserve">student diversity, including the </w:t>
      </w:r>
      <w:r w:rsidRPr="00995AAE">
        <w:t xml:space="preserve">under-representation and/or disadvantage </w:t>
      </w:r>
      <w:r w:rsidR="000755C5" w:rsidRPr="00995AAE">
        <w:rPr>
          <w:lang w:val="en-GB"/>
        </w:rPr>
        <w:t>experienced by</w:t>
      </w:r>
      <w:r w:rsidRPr="00995AAE">
        <w:t xml:space="preserve"> identified groups</w:t>
      </w:r>
      <w:r w:rsidR="00ED69AF" w:rsidRPr="00995AAE">
        <w:t>,</w:t>
      </w:r>
      <w:r w:rsidRPr="00995AAE">
        <w:t xml:space="preserve"> and create </w:t>
      </w:r>
      <w:r w:rsidR="0012122F" w:rsidRPr="00995AAE">
        <w:t xml:space="preserve">equivalent </w:t>
      </w:r>
      <w:r w:rsidRPr="00995AAE">
        <w:t xml:space="preserve">opportunities for academic success regardless of </w:t>
      </w:r>
      <w:r w:rsidR="00333A0B" w:rsidRPr="00995AAE">
        <w:t xml:space="preserve">students’ </w:t>
      </w:r>
      <w:r w:rsidRPr="00995AAE">
        <w:t>backgrounds.</w:t>
      </w:r>
    </w:p>
    <w:p w14:paraId="4FA12DC3" w14:textId="77777777" w:rsidR="0033522A" w:rsidRPr="00995AAE" w:rsidRDefault="0033522A" w:rsidP="00B136B6">
      <w:pPr>
        <w:pStyle w:val="Heading3"/>
      </w:pPr>
      <w:r w:rsidRPr="00995AAE">
        <w:t xml:space="preserve">Specific </w:t>
      </w:r>
      <w:r w:rsidR="00CC3DDE" w:rsidRPr="00995AAE">
        <w:t xml:space="preserve">consideration </w:t>
      </w:r>
      <w:r w:rsidRPr="00995AAE">
        <w:t xml:space="preserve">is given to the recruitment, admission, participation and completion of </w:t>
      </w:r>
      <w:r w:rsidR="003F5FEA" w:rsidRPr="00995AAE">
        <w:t>Aboriginal and Torres Strait Islander people</w:t>
      </w:r>
      <w:r w:rsidR="000755C5" w:rsidRPr="00995AAE">
        <w:t>s</w:t>
      </w:r>
      <w:r w:rsidRPr="00995AAE">
        <w:t>.</w:t>
      </w:r>
    </w:p>
    <w:p w14:paraId="756574E5" w14:textId="77777777" w:rsidR="0033522A" w:rsidRPr="00995AAE" w:rsidRDefault="006C7074" w:rsidP="00B136B6">
      <w:pPr>
        <w:pStyle w:val="Heading3"/>
      </w:pPr>
      <w:r w:rsidRPr="00995AAE">
        <w:t>Participation</w:t>
      </w:r>
      <w:r w:rsidR="00BF6BED" w:rsidRPr="00995AAE">
        <w:t>,</w:t>
      </w:r>
      <w:r w:rsidR="0033522A" w:rsidRPr="00995AAE">
        <w:t xml:space="preserve"> progress, and completion </w:t>
      </w:r>
      <w:r w:rsidR="00CC3DDE" w:rsidRPr="00995AAE">
        <w:t xml:space="preserve">by </w:t>
      </w:r>
      <w:r w:rsidR="0033522A" w:rsidRPr="00995AAE">
        <w:t xml:space="preserve">identified </w:t>
      </w:r>
      <w:r w:rsidR="00D20F6F" w:rsidRPr="00995AAE">
        <w:t>student sub</w:t>
      </w:r>
      <w:r w:rsidR="0055342E" w:rsidRPr="00995AAE">
        <w:t xml:space="preserve">groups </w:t>
      </w:r>
      <w:r w:rsidR="0033522A" w:rsidRPr="00995AAE">
        <w:t>are monitored and the findings</w:t>
      </w:r>
      <w:r w:rsidRPr="00995AAE">
        <w:t xml:space="preserve"> are</w:t>
      </w:r>
      <w:r w:rsidR="0033522A" w:rsidRPr="00995AAE">
        <w:t xml:space="preserve"> used to inform admission policies and improvement of teaching, learning and support strategies</w:t>
      </w:r>
      <w:r w:rsidRPr="00995AAE">
        <w:t xml:space="preserve"> for those </w:t>
      </w:r>
      <w:r w:rsidR="00D20F6F" w:rsidRPr="00995AAE">
        <w:t>sub</w:t>
      </w:r>
      <w:r w:rsidRPr="00995AAE">
        <w:t>groups</w:t>
      </w:r>
      <w:r w:rsidR="0033522A" w:rsidRPr="00995AAE">
        <w:t xml:space="preserve">. </w:t>
      </w:r>
    </w:p>
    <w:p w14:paraId="50426AFA" w14:textId="77777777" w:rsidR="00AE24DC" w:rsidRPr="00995AAE" w:rsidRDefault="00AE24DC" w:rsidP="00AE24DC">
      <w:pPr>
        <w:pStyle w:val="ReferencePoints"/>
      </w:pPr>
      <w:bookmarkStart w:id="46" w:name="_Toc370205830"/>
    </w:p>
    <w:p w14:paraId="1F0EE758" w14:textId="77777777" w:rsidR="005A4260" w:rsidRPr="00995AAE" w:rsidRDefault="005A4260" w:rsidP="000B4E5D">
      <w:pPr>
        <w:pStyle w:val="Heading2"/>
      </w:pPr>
      <w:bookmarkStart w:id="47" w:name="_Toc418684274"/>
      <w:bookmarkStart w:id="48" w:name="_Toc428368856"/>
      <w:r w:rsidRPr="00995AAE">
        <w:t>Wellbeing and Safety</w:t>
      </w:r>
      <w:bookmarkEnd w:id="46"/>
      <w:bookmarkEnd w:id="47"/>
      <w:bookmarkEnd w:id="48"/>
      <w:r w:rsidR="009C6740" w:rsidRPr="00995AAE">
        <w:t xml:space="preserve"> </w:t>
      </w:r>
    </w:p>
    <w:p w14:paraId="19CDCB60" w14:textId="77777777" w:rsidR="00A1513F" w:rsidRPr="00995AAE" w:rsidRDefault="00A1513F" w:rsidP="00B136B6">
      <w:pPr>
        <w:pStyle w:val="Heading3"/>
      </w:pPr>
      <w:r w:rsidRPr="00995AAE">
        <w:t>All students are advised of the actions they can take</w:t>
      </w:r>
      <w:r w:rsidR="00C66649" w:rsidRPr="00995AAE">
        <w:t xml:space="preserve">, </w:t>
      </w:r>
      <w:r w:rsidRPr="00995AAE">
        <w:t>the staff they may contact</w:t>
      </w:r>
      <w:r w:rsidR="00C66649" w:rsidRPr="00995AAE">
        <w:t xml:space="preserve"> and the support services </w:t>
      </w:r>
      <w:r w:rsidR="00B11543" w:rsidRPr="00995AAE">
        <w:t xml:space="preserve">that are accessible </w:t>
      </w:r>
      <w:r w:rsidRPr="00995AAE">
        <w:t>if their personal circumstances are having an adverse effect on their education</w:t>
      </w:r>
      <w:r w:rsidR="00C66649" w:rsidRPr="00995AAE">
        <w:t xml:space="preserve">. </w:t>
      </w:r>
    </w:p>
    <w:p w14:paraId="06FFE264" w14:textId="77777777" w:rsidR="007A3E55" w:rsidRPr="00995AAE" w:rsidRDefault="007A3E55" w:rsidP="00B136B6">
      <w:pPr>
        <w:pStyle w:val="Heading3"/>
      </w:pPr>
      <w:r w:rsidRPr="00995AAE">
        <w:t xml:space="preserve">Timely, accurate advice on access to personal support services is available, including for access to emergency services, health services, </w:t>
      </w:r>
      <w:proofErr w:type="gramStart"/>
      <w:r w:rsidRPr="00995AAE">
        <w:t>counselling</w:t>
      </w:r>
      <w:proofErr w:type="gramEnd"/>
      <w:r w:rsidRPr="00995AAE">
        <w:t>, legal advice, advocacy, and accommodation and welfare services.</w:t>
      </w:r>
    </w:p>
    <w:p w14:paraId="219CD8DE" w14:textId="77777777" w:rsidR="00D1430F" w:rsidRPr="00995AAE" w:rsidRDefault="00976104" w:rsidP="00B136B6">
      <w:pPr>
        <w:pStyle w:val="Heading3"/>
      </w:pPr>
      <w:r w:rsidRPr="00995AAE">
        <w:t>T</w:t>
      </w:r>
      <w:r w:rsidR="005A4260" w:rsidRPr="00995AAE">
        <w:t xml:space="preserve">he nature and extent of support services that are </w:t>
      </w:r>
      <w:r w:rsidR="00DB5C54" w:rsidRPr="00995AAE">
        <w:t xml:space="preserve">available </w:t>
      </w:r>
      <w:r w:rsidR="005A4260" w:rsidRPr="00995AAE">
        <w:t xml:space="preserve">for students are informed by the needs of student </w:t>
      </w:r>
      <w:r w:rsidR="00A1513F" w:rsidRPr="00995AAE">
        <w:t>cohort</w:t>
      </w:r>
      <w:r w:rsidR="00DA1DA0" w:rsidRPr="00995AAE">
        <w:t>s</w:t>
      </w:r>
      <w:r w:rsidR="002B5BC6" w:rsidRPr="00995AAE">
        <w:t>, including mental</w:t>
      </w:r>
      <w:r w:rsidR="001C4E65" w:rsidRPr="00995AAE">
        <w:t xml:space="preserve"> </w:t>
      </w:r>
      <w:r w:rsidR="002B5BC6" w:rsidRPr="00995AAE">
        <w:t>health</w:t>
      </w:r>
      <w:r w:rsidR="00B17DD1" w:rsidRPr="00995AAE">
        <w:t>, disability</w:t>
      </w:r>
      <w:r w:rsidR="002B5BC6" w:rsidRPr="00995AAE">
        <w:t xml:space="preserve"> and wellbeing</w:t>
      </w:r>
      <w:r w:rsidR="00DB5C54" w:rsidRPr="00995AAE">
        <w:t xml:space="preserve"> needs</w:t>
      </w:r>
      <w:r w:rsidR="005A4260" w:rsidRPr="00995AAE">
        <w:t>.</w:t>
      </w:r>
      <w:r w:rsidR="00F30CE0" w:rsidRPr="00995AAE">
        <w:t xml:space="preserve"> </w:t>
      </w:r>
    </w:p>
    <w:p w14:paraId="19387B84" w14:textId="77777777" w:rsidR="005A4260" w:rsidRPr="00995AAE" w:rsidRDefault="005A4260" w:rsidP="00B136B6">
      <w:pPr>
        <w:pStyle w:val="Heading3"/>
      </w:pPr>
      <w:r w:rsidRPr="00995AAE">
        <w:t xml:space="preserve">A safe environment is promoted and fostered, including </w:t>
      </w:r>
      <w:r w:rsidR="00E546EA" w:rsidRPr="00995AAE">
        <w:t xml:space="preserve">by </w:t>
      </w:r>
      <w:r w:rsidRPr="00995AAE">
        <w:t>advising students and staff on actions they can take to enhance safety and security on campus</w:t>
      </w:r>
      <w:r w:rsidR="00D352DF" w:rsidRPr="00995AAE">
        <w:t xml:space="preserve"> and online</w:t>
      </w:r>
      <w:r w:rsidRPr="00995AAE">
        <w:t>.</w:t>
      </w:r>
    </w:p>
    <w:p w14:paraId="26E739A4" w14:textId="77777777" w:rsidR="008177E9" w:rsidRPr="00995AAE" w:rsidRDefault="006C7074" w:rsidP="00B136B6">
      <w:pPr>
        <w:pStyle w:val="Heading3"/>
      </w:pPr>
      <w:r w:rsidRPr="00995AAE">
        <w:t xml:space="preserve">There is </w:t>
      </w:r>
      <w:r w:rsidR="00833249" w:rsidRPr="00995AAE">
        <w:t xml:space="preserve">a </w:t>
      </w:r>
      <w:r w:rsidRPr="00995AAE">
        <w:t>critical</w:t>
      </w:r>
      <w:r w:rsidR="000430CE" w:rsidRPr="00995AAE">
        <w:t>-</w:t>
      </w:r>
      <w:r w:rsidRPr="00995AAE">
        <w:t xml:space="preserve">incident policy together with </w:t>
      </w:r>
      <w:r w:rsidR="00976104" w:rsidRPr="00995AAE">
        <w:t xml:space="preserve">readily accessible </w:t>
      </w:r>
      <w:r w:rsidRPr="00995AAE">
        <w:t xml:space="preserve">procedures </w:t>
      </w:r>
      <w:r w:rsidR="006C675C" w:rsidRPr="00995AAE">
        <w:t xml:space="preserve">that </w:t>
      </w:r>
      <w:r w:rsidRPr="00995AAE">
        <w:t xml:space="preserve">cover the </w:t>
      </w:r>
      <w:r w:rsidR="00AD65C5" w:rsidRPr="00995AAE">
        <w:t xml:space="preserve">immediate </w:t>
      </w:r>
      <w:r w:rsidRPr="00995AAE">
        <w:t>action</w:t>
      </w:r>
      <w:r w:rsidR="006C675C" w:rsidRPr="00995AAE">
        <w:t>s</w:t>
      </w:r>
      <w:r w:rsidRPr="00995AAE">
        <w:t xml:space="preserve"> to be taken in the event of a critical incident</w:t>
      </w:r>
      <w:r w:rsidR="008177E9" w:rsidRPr="00995AAE">
        <w:t xml:space="preserve"> and</w:t>
      </w:r>
      <w:r w:rsidRPr="00995AAE">
        <w:t xml:space="preserve"> </w:t>
      </w:r>
      <w:r w:rsidR="00AD65C5" w:rsidRPr="00995AAE">
        <w:t xml:space="preserve">any </w:t>
      </w:r>
      <w:r w:rsidRPr="00995AAE">
        <w:t>follow up</w:t>
      </w:r>
      <w:r w:rsidR="000A58C3" w:rsidRPr="00995AAE">
        <w:t xml:space="preserve"> required</w:t>
      </w:r>
      <w:r w:rsidRPr="00995AAE">
        <w:t>.</w:t>
      </w:r>
    </w:p>
    <w:p w14:paraId="0F9B1562" w14:textId="77777777" w:rsidR="00EB6FB7" w:rsidRPr="00995AAE" w:rsidRDefault="00EB6FB7" w:rsidP="00B136B6">
      <w:pPr>
        <w:pStyle w:val="Heading3"/>
        <w:numPr>
          <w:ilvl w:val="0"/>
          <w:numId w:val="0"/>
        </w:numPr>
        <w:ind w:left="1418"/>
      </w:pPr>
    </w:p>
    <w:p w14:paraId="4B900B0C" w14:textId="77777777" w:rsidR="007E0649" w:rsidRPr="00995AAE" w:rsidRDefault="007E0649" w:rsidP="000B4E5D">
      <w:pPr>
        <w:pStyle w:val="Heading2"/>
      </w:pPr>
      <w:bookmarkStart w:id="49" w:name="_Toc370205831"/>
      <w:bookmarkStart w:id="50" w:name="_Toc418684275"/>
      <w:bookmarkStart w:id="51" w:name="_Toc428368857"/>
      <w:r w:rsidRPr="00995AAE">
        <w:t>Student Grievances and Complaints</w:t>
      </w:r>
      <w:bookmarkEnd w:id="49"/>
      <w:bookmarkEnd w:id="50"/>
      <w:bookmarkEnd w:id="51"/>
      <w:r w:rsidR="00307F1F" w:rsidRPr="00995AAE">
        <w:t xml:space="preserve"> </w:t>
      </w:r>
    </w:p>
    <w:p w14:paraId="700498E8" w14:textId="77777777" w:rsidR="007E0649" w:rsidRPr="00995AAE" w:rsidRDefault="004F51A4" w:rsidP="00B136B6">
      <w:pPr>
        <w:pStyle w:val="Heading3"/>
      </w:pPr>
      <w:r w:rsidRPr="00995AAE">
        <w:t>Current and prospective s</w:t>
      </w:r>
      <w:r w:rsidR="007E0649" w:rsidRPr="00995AAE">
        <w:t xml:space="preserve">tudents have access to mechanisms </w:t>
      </w:r>
      <w:r w:rsidR="00DC0EF9" w:rsidRPr="00995AAE">
        <w:t xml:space="preserve">that are capable of resolving </w:t>
      </w:r>
      <w:r w:rsidR="007E0649" w:rsidRPr="00995AAE">
        <w:t xml:space="preserve">grievances about any aspect of their experience with the </w:t>
      </w:r>
      <w:r w:rsidR="00F11C92" w:rsidRPr="00995AAE">
        <w:t xml:space="preserve">higher education </w:t>
      </w:r>
      <w:r w:rsidR="007E0649" w:rsidRPr="00995AAE">
        <w:t xml:space="preserve">provider, its agents or related parties. </w:t>
      </w:r>
    </w:p>
    <w:p w14:paraId="7B6AFC68" w14:textId="77777777" w:rsidR="007E0649" w:rsidRPr="00995AAE" w:rsidRDefault="007E0649" w:rsidP="00B136B6">
      <w:pPr>
        <w:pStyle w:val="Heading3"/>
      </w:pPr>
      <w:r w:rsidRPr="00995AAE">
        <w:t xml:space="preserve">There are policies and processes </w:t>
      </w:r>
      <w:r w:rsidR="001429BA" w:rsidRPr="00995AAE">
        <w:t xml:space="preserve">that deliver </w:t>
      </w:r>
      <w:r w:rsidR="001F359A" w:rsidRPr="00995AAE">
        <w:t xml:space="preserve">timely </w:t>
      </w:r>
      <w:r w:rsidR="0033423D" w:rsidRPr="00995AAE">
        <w:t>resolution</w:t>
      </w:r>
      <w:r w:rsidR="002056B3" w:rsidRPr="00995AAE">
        <w:t xml:space="preserve"> of</w:t>
      </w:r>
      <w:r w:rsidRPr="00995AAE">
        <w:t xml:space="preserve"> </w:t>
      </w:r>
      <w:r w:rsidR="004C5146" w:rsidRPr="00995AAE">
        <w:t>fo</w:t>
      </w:r>
      <w:r w:rsidR="00C57E9E" w:rsidRPr="00995AAE">
        <w:t>rmal complaints</w:t>
      </w:r>
      <w:r w:rsidRPr="00995AAE">
        <w:t xml:space="preserve"> and</w:t>
      </w:r>
      <w:r w:rsidR="002670A0" w:rsidRPr="00995AAE">
        <w:t xml:space="preserve"> appeals</w:t>
      </w:r>
      <w:r w:rsidR="00E91037" w:rsidRPr="00995AAE">
        <w:t xml:space="preserve"> against academic and administrative decisions</w:t>
      </w:r>
      <w:r w:rsidR="004F51A4" w:rsidRPr="00995AAE">
        <w:rPr>
          <w:color w:val="FF0000"/>
          <w:szCs w:val="22"/>
        </w:rPr>
        <w:t xml:space="preserve"> </w:t>
      </w:r>
      <w:r w:rsidR="004F51A4" w:rsidRPr="00995AAE">
        <w:rPr>
          <w:szCs w:val="22"/>
        </w:rPr>
        <w:t>without charge or at reasonable cost to students</w:t>
      </w:r>
      <w:r w:rsidR="002056B3" w:rsidRPr="00995AAE">
        <w:t>,</w:t>
      </w:r>
      <w:r w:rsidR="00E91037" w:rsidRPr="00995AAE">
        <w:t xml:space="preserve"> and</w:t>
      </w:r>
      <w:r w:rsidRPr="00995AAE">
        <w:t xml:space="preserve"> these are applied consistently, fairly and without reprisal. </w:t>
      </w:r>
    </w:p>
    <w:p w14:paraId="526212D9" w14:textId="77777777" w:rsidR="00E91037" w:rsidRPr="00995AAE" w:rsidRDefault="00E91037" w:rsidP="00B136B6">
      <w:pPr>
        <w:pStyle w:val="Heading3"/>
      </w:pPr>
      <w:r w:rsidRPr="00995AAE">
        <w:t xml:space="preserve">Institutional complaints-handling and appeals processes </w:t>
      </w:r>
      <w:r w:rsidR="000F2790" w:rsidRPr="00995AAE">
        <w:t xml:space="preserve">for formal complaints </w:t>
      </w:r>
      <w:r w:rsidRPr="00995AAE">
        <w:t xml:space="preserve">include provision for </w:t>
      </w:r>
      <w:r w:rsidR="00C275D3" w:rsidRPr="00995AAE">
        <w:t xml:space="preserve">confidentiality, independent professional advice, </w:t>
      </w:r>
      <w:r w:rsidRPr="00995AAE">
        <w:t xml:space="preserve">advocacy and </w:t>
      </w:r>
      <w:r w:rsidR="00C275D3" w:rsidRPr="00995AAE">
        <w:t xml:space="preserve">other </w:t>
      </w:r>
      <w:r w:rsidRPr="00995AAE">
        <w:t>support for the complainant or appellant</w:t>
      </w:r>
      <w:r w:rsidR="00F37975" w:rsidRPr="00995AAE">
        <w:t>,</w:t>
      </w:r>
      <w:r w:rsidR="003C094F" w:rsidRPr="00995AAE">
        <w:t xml:space="preserve"> and </w:t>
      </w:r>
      <w:r w:rsidR="003C094F" w:rsidRPr="00995AAE">
        <w:rPr>
          <w:szCs w:val="22"/>
        </w:rPr>
        <w:t xml:space="preserve">provision for review by an </w:t>
      </w:r>
      <w:r w:rsidR="0011135B" w:rsidRPr="00995AAE">
        <w:rPr>
          <w:szCs w:val="22"/>
        </w:rPr>
        <w:t xml:space="preserve">appropriate </w:t>
      </w:r>
      <w:r w:rsidR="003C094F" w:rsidRPr="00995AAE">
        <w:rPr>
          <w:szCs w:val="22"/>
        </w:rPr>
        <w:t>independent third party if internal processes fail to resolve a grievance</w:t>
      </w:r>
      <w:r w:rsidR="003C094F" w:rsidRPr="00995AAE">
        <w:rPr>
          <w:color w:val="FF0000"/>
          <w:szCs w:val="22"/>
        </w:rPr>
        <w:t>.</w:t>
      </w:r>
    </w:p>
    <w:p w14:paraId="1779EC6C" w14:textId="77777777" w:rsidR="007E0649" w:rsidRPr="00995AAE" w:rsidRDefault="007E0649" w:rsidP="00B136B6">
      <w:pPr>
        <w:pStyle w:val="Heading3"/>
      </w:pPr>
      <w:r w:rsidRPr="00995AAE">
        <w:t xml:space="preserve">Decisions about </w:t>
      </w:r>
      <w:r w:rsidR="000F2790" w:rsidRPr="00995AAE">
        <w:t xml:space="preserve">formal </w:t>
      </w:r>
      <w:r w:rsidRPr="00995AAE">
        <w:t>complaints and appeals are recorded and the student</w:t>
      </w:r>
      <w:r w:rsidR="003B39DA" w:rsidRPr="00995AAE">
        <w:t xml:space="preserve"> concerned</w:t>
      </w:r>
      <w:r w:rsidRPr="00995AAE">
        <w:t xml:space="preserve"> is informed in writing of the outcome and the reasons</w:t>
      </w:r>
      <w:r w:rsidR="003F73E7" w:rsidRPr="00995AAE">
        <w:t>,</w:t>
      </w:r>
      <w:r w:rsidR="00C275D3" w:rsidRPr="00995AAE">
        <w:t xml:space="preserve"> and of further avenues of appeal where they exist</w:t>
      </w:r>
      <w:r w:rsidR="00DC0EF9" w:rsidRPr="00995AAE">
        <w:t xml:space="preserve"> and</w:t>
      </w:r>
      <w:r w:rsidR="00C275D3" w:rsidRPr="00995AAE">
        <w:t xml:space="preserve"> where the student could benefit</w:t>
      </w:r>
      <w:r w:rsidR="0011135B" w:rsidRPr="00995AAE">
        <w:t>.</w:t>
      </w:r>
    </w:p>
    <w:p w14:paraId="3B6F99B1" w14:textId="77777777" w:rsidR="00FF71ED" w:rsidRPr="00995AAE" w:rsidRDefault="009E355C" w:rsidP="00B136B6">
      <w:pPr>
        <w:pStyle w:val="Heading3"/>
      </w:pPr>
      <w:r w:rsidRPr="00995AAE">
        <w:t xml:space="preserve">If a </w:t>
      </w:r>
      <w:r w:rsidR="000F2790" w:rsidRPr="00995AAE">
        <w:t xml:space="preserve">formal </w:t>
      </w:r>
      <w:r w:rsidRPr="00995AAE">
        <w:t xml:space="preserve">complaint or appeal is upheld, any action required is initiated </w:t>
      </w:r>
      <w:r w:rsidR="00337E15" w:rsidRPr="00995AAE">
        <w:t>promptly</w:t>
      </w:r>
      <w:r w:rsidRPr="00995AAE">
        <w:t>.</w:t>
      </w:r>
    </w:p>
    <w:p w14:paraId="4367E674" w14:textId="77777777" w:rsidR="00AE24DC" w:rsidRPr="00995AAE" w:rsidRDefault="00AE24DC" w:rsidP="00AE24DC">
      <w:pPr>
        <w:pStyle w:val="ReferencePoints"/>
      </w:pPr>
    </w:p>
    <w:p w14:paraId="0400D11A" w14:textId="77777777" w:rsidR="000C22E9" w:rsidRPr="00995AAE" w:rsidRDefault="000C22E9" w:rsidP="000B4E5D">
      <w:pPr>
        <w:pStyle w:val="Heading1"/>
        <w:spacing w:before="0" w:after="360" w:line="240" w:lineRule="auto"/>
        <w:jc w:val="both"/>
      </w:pPr>
      <w:bookmarkStart w:id="52" w:name="_Toc370205832"/>
      <w:bookmarkStart w:id="53" w:name="_Toc418684276"/>
      <w:bookmarkStart w:id="54" w:name="_Toc428368858"/>
      <w:bookmarkStart w:id="55" w:name="Domain3"/>
      <w:r w:rsidRPr="00995AAE">
        <w:t>Teaching</w:t>
      </w:r>
      <w:bookmarkEnd w:id="52"/>
      <w:bookmarkEnd w:id="53"/>
      <w:bookmarkEnd w:id="54"/>
    </w:p>
    <w:p w14:paraId="2E628792" w14:textId="77777777" w:rsidR="003A01CE" w:rsidRPr="00995AAE" w:rsidRDefault="003A01CE" w:rsidP="000B4E5D">
      <w:pPr>
        <w:pStyle w:val="Heading2"/>
      </w:pPr>
      <w:bookmarkStart w:id="56" w:name="_Toc383762196"/>
      <w:bookmarkStart w:id="57" w:name="_Toc370205833"/>
      <w:bookmarkStart w:id="58" w:name="_Toc418684277"/>
      <w:bookmarkStart w:id="59" w:name="_Toc428368859"/>
      <w:bookmarkEnd w:id="55"/>
      <w:bookmarkEnd w:id="56"/>
      <w:r w:rsidRPr="00995AAE">
        <w:t>Course Design</w:t>
      </w:r>
      <w:bookmarkEnd w:id="57"/>
      <w:bookmarkEnd w:id="58"/>
      <w:bookmarkEnd w:id="59"/>
      <w:r w:rsidR="00307F1F" w:rsidRPr="00995AAE">
        <w:t xml:space="preserve"> </w:t>
      </w:r>
    </w:p>
    <w:p w14:paraId="14F7BD90" w14:textId="77777777" w:rsidR="00C95731" w:rsidRPr="00995AAE" w:rsidRDefault="00AD0699" w:rsidP="00B136B6">
      <w:pPr>
        <w:pStyle w:val="Heading3"/>
      </w:pPr>
      <w:r w:rsidRPr="00995AAE">
        <w:t xml:space="preserve">The </w:t>
      </w:r>
      <w:bookmarkStart w:id="60" w:name="CourseDesign"/>
      <w:bookmarkEnd w:id="60"/>
      <w:r w:rsidR="00215DB8" w:rsidRPr="00995AAE">
        <w:t>design</w:t>
      </w:r>
      <w:r w:rsidR="003A01CE" w:rsidRPr="00995AAE">
        <w:t xml:space="preserve"> for each </w:t>
      </w:r>
      <w:r w:rsidR="007D1F9D" w:rsidRPr="00995AAE">
        <w:t>course of study</w:t>
      </w:r>
      <w:r w:rsidR="003A01CE" w:rsidRPr="00995AAE">
        <w:t xml:space="preserve"> </w:t>
      </w:r>
      <w:r w:rsidR="00A41000" w:rsidRPr="00995AAE">
        <w:t xml:space="preserve">is </w:t>
      </w:r>
      <w:r w:rsidR="003A01CE" w:rsidRPr="00995AAE">
        <w:t>specified</w:t>
      </w:r>
      <w:r w:rsidR="00C95731" w:rsidRPr="00995AAE">
        <w:t xml:space="preserve"> and the specification includes:</w:t>
      </w:r>
    </w:p>
    <w:p w14:paraId="7F3008C3" w14:textId="77777777" w:rsidR="00C95731" w:rsidRPr="00995AAE" w:rsidRDefault="00C95731" w:rsidP="00B136B6">
      <w:pPr>
        <w:pStyle w:val="Heading4"/>
      </w:pPr>
      <w:proofErr w:type="gramStart"/>
      <w:r w:rsidRPr="00995AAE">
        <w:t>the</w:t>
      </w:r>
      <w:proofErr w:type="gramEnd"/>
      <w:r w:rsidRPr="00995AAE">
        <w:t xml:space="preserve"> qualification(s) to be awarded on completion</w:t>
      </w:r>
    </w:p>
    <w:p w14:paraId="70CD1DAB" w14:textId="77777777" w:rsidR="00C95731" w:rsidRPr="00995AAE" w:rsidRDefault="00C95731" w:rsidP="00B136B6">
      <w:pPr>
        <w:pStyle w:val="Heading4"/>
      </w:pPr>
      <w:proofErr w:type="gramStart"/>
      <w:r w:rsidRPr="00995AAE">
        <w:t>structure</w:t>
      </w:r>
      <w:proofErr w:type="gramEnd"/>
      <w:r w:rsidRPr="00995AAE">
        <w:t>, duration and modes of delivery</w:t>
      </w:r>
    </w:p>
    <w:p w14:paraId="07F81A7E" w14:textId="77777777" w:rsidR="00C95731" w:rsidRPr="00995AAE" w:rsidRDefault="00C95731" w:rsidP="00B136B6">
      <w:pPr>
        <w:pStyle w:val="Heading4"/>
      </w:pPr>
      <w:proofErr w:type="gramStart"/>
      <w:r w:rsidRPr="00995AAE">
        <w:t>the</w:t>
      </w:r>
      <w:proofErr w:type="gramEnd"/>
      <w:r w:rsidRPr="00995AAE">
        <w:t xml:space="preserve"> units of study (or equivalent) that comprise the course of study </w:t>
      </w:r>
    </w:p>
    <w:p w14:paraId="541D0081" w14:textId="77777777" w:rsidR="00C95731" w:rsidRPr="00995AAE" w:rsidRDefault="00C95731" w:rsidP="00B136B6">
      <w:pPr>
        <w:pStyle w:val="Heading4"/>
      </w:pPr>
      <w:proofErr w:type="gramStart"/>
      <w:r w:rsidRPr="00995AAE">
        <w:t>entry</w:t>
      </w:r>
      <w:proofErr w:type="gramEnd"/>
      <w:r w:rsidRPr="00995AAE">
        <w:t xml:space="preserve"> requirements and pathways</w:t>
      </w:r>
    </w:p>
    <w:p w14:paraId="77A93F8F" w14:textId="77777777" w:rsidR="00C95731" w:rsidRPr="00995AAE" w:rsidRDefault="00C95731" w:rsidP="00B136B6">
      <w:pPr>
        <w:pStyle w:val="Heading4"/>
      </w:pPr>
      <w:proofErr w:type="gramStart"/>
      <w:r w:rsidRPr="00995AAE">
        <w:t>expected</w:t>
      </w:r>
      <w:proofErr w:type="gramEnd"/>
      <w:r w:rsidRPr="00995AAE">
        <w:t xml:space="preserve"> learning outcomes, methods of assessment and indicative student workload</w:t>
      </w:r>
    </w:p>
    <w:p w14:paraId="32F843F7" w14:textId="77777777" w:rsidR="00C95731" w:rsidRPr="00995AAE" w:rsidRDefault="00C95731" w:rsidP="00B136B6">
      <w:pPr>
        <w:pStyle w:val="Heading4"/>
      </w:pPr>
      <w:proofErr w:type="gramStart"/>
      <w:r w:rsidRPr="00995AAE">
        <w:t>compulsory</w:t>
      </w:r>
      <w:proofErr w:type="gramEnd"/>
      <w:r w:rsidRPr="00995AAE">
        <w:t xml:space="preserve"> requirements for completion</w:t>
      </w:r>
    </w:p>
    <w:p w14:paraId="79542DAC" w14:textId="77777777" w:rsidR="00C95731" w:rsidRPr="00995AAE" w:rsidRDefault="00C95731" w:rsidP="00B136B6">
      <w:pPr>
        <w:pStyle w:val="Heading4"/>
      </w:pPr>
      <w:proofErr w:type="gramStart"/>
      <w:r w:rsidRPr="00995AAE">
        <w:t>exit</w:t>
      </w:r>
      <w:proofErr w:type="gramEnd"/>
      <w:r w:rsidRPr="00995AAE">
        <w:t xml:space="preserve"> pathways, articulation arrangements, pathways to further learning, and</w:t>
      </w:r>
    </w:p>
    <w:p w14:paraId="2D69229C" w14:textId="77777777" w:rsidR="003A01CE" w:rsidRPr="00995AAE" w:rsidRDefault="00C95731" w:rsidP="00B136B6">
      <w:pPr>
        <w:pStyle w:val="Heading4"/>
      </w:pPr>
      <w:proofErr w:type="gramStart"/>
      <w:r w:rsidRPr="00995AAE">
        <w:t>for</w:t>
      </w:r>
      <w:proofErr w:type="gramEnd"/>
      <w:r w:rsidRPr="00995AAE">
        <w:t xml:space="preserve"> a course of study leading to a Bachelor Honours, Masters or Doctoral qualification, includes the proportion and nature of research or </w:t>
      </w:r>
      <w:r w:rsidR="00DC4867" w:rsidRPr="00995AAE">
        <w:t xml:space="preserve">research-related </w:t>
      </w:r>
      <w:r w:rsidR="00DC4867" w:rsidRPr="00995AAE">
        <w:lastRenderedPageBreak/>
        <w:t>study</w:t>
      </w:r>
      <w:r w:rsidRPr="00995AAE">
        <w:t xml:space="preserve"> in the course.</w:t>
      </w:r>
      <w:r w:rsidR="001160B3" w:rsidRPr="00995AAE">
        <w:t xml:space="preserve"> </w:t>
      </w:r>
      <w:r w:rsidR="003A01CE" w:rsidRPr="00995AAE">
        <w:t xml:space="preserve"> </w:t>
      </w:r>
    </w:p>
    <w:p w14:paraId="35618F91" w14:textId="77777777" w:rsidR="003A01CE" w:rsidRPr="00995AAE" w:rsidRDefault="003A01CE" w:rsidP="00B136B6">
      <w:pPr>
        <w:pStyle w:val="Heading3"/>
      </w:pPr>
      <w:r w:rsidRPr="00995AAE">
        <w:t xml:space="preserve">The content and learning activities of each </w:t>
      </w:r>
      <w:r w:rsidR="007D1F9D" w:rsidRPr="00995AAE">
        <w:t>course of study</w:t>
      </w:r>
      <w:r w:rsidRPr="00995AAE">
        <w:t xml:space="preserve"> engage with advanced knowledge and </w:t>
      </w:r>
      <w:r w:rsidR="00A62AC9" w:rsidRPr="00995AAE">
        <w:t>inquiry</w:t>
      </w:r>
      <w:r w:rsidRPr="00995AAE">
        <w:t xml:space="preserve"> consistent with the level of study and the expected learning outcomes, including:</w:t>
      </w:r>
    </w:p>
    <w:p w14:paraId="7ACD7FCB" w14:textId="77777777" w:rsidR="003A01CE" w:rsidRPr="00995AAE" w:rsidRDefault="003A01CE" w:rsidP="00B136B6">
      <w:pPr>
        <w:pStyle w:val="Heading4"/>
      </w:pPr>
      <w:proofErr w:type="gramStart"/>
      <w:r w:rsidRPr="00995AAE">
        <w:t>current</w:t>
      </w:r>
      <w:proofErr w:type="gramEnd"/>
      <w:r w:rsidRPr="00995AAE">
        <w:t xml:space="preserve"> knowledge and scholarship in relevant academic disciplines</w:t>
      </w:r>
    </w:p>
    <w:p w14:paraId="38AC91F2" w14:textId="77777777" w:rsidR="003A01CE" w:rsidRPr="00995AAE" w:rsidRDefault="003A01CE" w:rsidP="00B136B6">
      <w:pPr>
        <w:pStyle w:val="Heading4"/>
      </w:pPr>
      <w:proofErr w:type="gramStart"/>
      <w:r w:rsidRPr="00995AAE">
        <w:t>study</w:t>
      </w:r>
      <w:proofErr w:type="gramEnd"/>
      <w:r w:rsidRPr="00995AAE">
        <w:t xml:space="preserve"> of the underlying theoretical and conceptual frameworks of the academic disciplines or fields of education or research represented in the course</w:t>
      </w:r>
      <w:r w:rsidR="00817246" w:rsidRPr="00995AAE">
        <w:t>, and</w:t>
      </w:r>
    </w:p>
    <w:p w14:paraId="4F67CCDA" w14:textId="77777777" w:rsidR="003A01CE" w:rsidRPr="00995AAE" w:rsidRDefault="003A01CE" w:rsidP="00B136B6">
      <w:pPr>
        <w:pStyle w:val="Heading4"/>
      </w:pPr>
      <w:proofErr w:type="gramStart"/>
      <w:r w:rsidRPr="00995AAE">
        <w:t>emerging</w:t>
      </w:r>
      <w:proofErr w:type="gramEnd"/>
      <w:r w:rsidRPr="00995AAE">
        <w:t xml:space="preserve"> concepts that are informed by recent scholarship, current research findings and</w:t>
      </w:r>
      <w:r w:rsidR="000020C8" w:rsidRPr="00995AAE">
        <w:t>, where applicable,</w:t>
      </w:r>
      <w:r w:rsidRPr="00995AAE">
        <w:t xml:space="preserve"> advances in practice. </w:t>
      </w:r>
    </w:p>
    <w:p w14:paraId="5C2A9C2A" w14:textId="77777777" w:rsidR="003A01CE" w:rsidRPr="00995AAE" w:rsidRDefault="003A01CE" w:rsidP="00B136B6">
      <w:pPr>
        <w:pStyle w:val="Heading3"/>
      </w:pPr>
      <w:r w:rsidRPr="00995AAE">
        <w:t>Teaching and learning activities are arranged to foster progressive and coherent achievement of expected learning outcomes</w:t>
      </w:r>
      <w:r w:rsidR="00976104" w:rsidRPr="00995AAE">
        <w:t xml:space="preserve"> throughout each </w:t>
      </w:r>
      <w:r w:rsidR="007D1F9D" w:rsidRPr="00995AAE">
        <w:t>course of study</w:t>
      </w:r>
      <w:r w:rsidRPr="00995AAE">
        <w:t xml:space="preserve">. </w:t>
      </w:r>
    </w:p>
    <w:p w14:paraId="69B5D058" w14:textId="77777777" w:rsidR="007A1364" w:rsidRPr="00995AAE" w:rsidRDefault="003A01CE" w:rsidP="00B136B6">
      <w:pPr>
        <w:pStyle w:val="Heading3"/>
      </w:pPr>
      <w:r w:rsidRPr="00995AAE">
        <w:t xml:space="preserve">Each </w:t>
      </w:r>
      <w:r w:rsidR="007D1F9D" w:rsidRPr="00995AAE">
        <w:t>course of study</w:t>
      </w:r>
      <w:r w:rsidRPr="00995AAE">
        <w:t xml:space="preserve"> is designed to enable achievement of expected learning outcomes regardless of a student’s place of study or the mode of delivery</w:t>
      </w:r>
      <w:r w:rsidR="007A1364" w:rsidRPr="00995AAE">
        <w:t>.</w:t>
      </w:r>
    </w:p>
    <w:p w14:paraId="7F06BF0B" w14:textId="77777777" w:rsidR="007A1364" w:rsidRPr="00995AAE" w:rsidRDefault="007A1364" w:rsidP="00B136B6">
      <w:pPr>
        <w:pStyle w:val="Heading3"/>
      </w:pPr>
      <w:r w:rsidRPr="00995AAE">
        <w:t xml:space="preserve">Where professional accreditation of a </w:t>
      </w:r>
      <w:r w:rsidR="007D1F9D" w:rsidRPr="00995AAE">
        <w:t>course of study</w:t>
      </w:r>
      <w:r w:rsidRPr="00995AAE">
        <w:t xml:space="preserve"> is required for graduates to be eligible to practise, the </w:t>
      </w:r>
      <w:r w:rsidR="007D1F9D" w:rsidRPr="00995AAE">
        <w:t>course of study</w:t>
      </w:r>
      <w:r w:rsidRPr="00995AAE">
        <w:t xml:space="preserve"> is accredited </w:t>
      </w:r>
      <w:r w:rsidR="00EB0ED8" w:rsidRPr="00995AAE">
        <w:t xml:space="preserve">and continues to be accredited </w:t>
      </w:r>
      <w:r w:rsidRPr="00995AAE">
        <w:t xml:space="preserve">by the relevant professional body. </w:t>
      </w:r>
    </w:p>
    <w:p w14:paraId="40DC0B99" w14:textId="77777777" w:rsidR="00AE24DC" w:rsidRPr="00995AAE" w:rsidRDefault="00AE24DC" w:rsidP="00AE24DC">
      <w:pPr>
        <w:pStyle w:val="ReferencePoints"/>
      </w:pPr>
    </w:p>
    <w:p w14:paraId="54B5B722" w14:textId="77777777" w:rsidR="0038438F" w:rsidRPr="00995AAE" w:rsidRDefault="00747F7D" w:rsidP="000B4E5D">
      <w:pPr>
        <w:pStyle w:val="Heading2"/>
      </w:pPr>
      <w:bookmarkStart w:id="61" w:name="_Toc418684278"/>
      <w:bookmarkStart w:id="62" w:name="_Toc428368860"/>
      <w:r w:rsidRPr="00995AAE">
        <w:t>Staffing</w:t>
      </w:r>
      <w:bookmarkEnd w:id="61"/>
      <w:bookmarkEnd w:id="62"/>
      <w:r w:rsidR="002A7FF9" w:rsidRPr="00995AAE">
        <w:t xml:space="preserve"> </w:t>
      </w:r>
    </w:p>
    <w:p w14:paraId="5A3F894A" w14:textId="77777777" w:rsidR="00747F7D" w:rsidRPr="00995AAE" w:rsidRDefault="0038438F" w:rsidP="00B136B6">
      <w:pPr>
        <w:pStyle w:val="Heading3"/>
      </w:pPr>
      <w:r w:rsidRPr="00995AAE">
        <w:t xml:space="preserve">The staffing </w:t>
      </w:r>
      <w:r w:rsidR="00747F7D" w:rsidRPr="00995AAE">
        <w:t>complement for each</w:t>
      </w:r>
      <w:r w:rsidRPr="00995AAE">
        <w:t xml:space="preserve"> </w:t>
      </w:r>
      <w:r w:rsidR="007D1F9D" w:rsidRPr="00995AAE">
        <w:t>course of study</w:t>
      </w:r>
      <w:r w:rsidR="00AA0F7F" w:rsidRPr="00995AAE">
        <w:t xml:space="preserve"> </w:t>
      </w:r>
      <w:r w:rsidR="00747F7D" w:rsidRPr="00995AAE">
        <w:t xml:space="preserve">is sufficient to meet </w:t>
      </w:r>
      <w:r w:rsidR="005E1806" w:rsidRPr="00995AAE">
        <w:t>the</w:t>
      </w:r>
      <w:r w:rsidRPr="00995AAE">
        <w:t xml:space="preserve"> </w:t>
      </w:r>
      <w:r w:rsidR="00747F7D" w:rsidRPr="00995AAE">
        <w:t>educational, academic support and administrative needs of student cohorts undertaking the course</w:t>
      </w:r>
      <w:r w:rsidRPr="00995AAE">
        <w:t>.</w:t>
      </w:r>
    </w:p>
    <w:p w14:paraId="5282B1FA" w14:textId="77777777" w:rsidR="00747F7D" w:rsidRPr="00995AAE" w:rsidRDefault="00747F7D" w:rsidP="00B136B6">
      <w:pPr>
        <w:pStyle w:val="Heading3"/>
      </w:pPr>
      <w:r w:rsidRPr="00995AAE">
        <w:t xml:space="preserve">The academic staffing profile for each course of study provides the level </w:t>
      </w:r>
      <w:r w:rsidR="003F73E7" w:rsidRPr="00995AAE">
        <w:t xml:space="preserve">and extent </w:t>
      </w:r>
      <w:r w:rsidRPr="00995AAE">
        <w:t xml:space="preserve">of academic oversight and teaching capacity needed to lead students in intellectual inquiry suited to the nature and level of expected learning outcomes. </w:t>
      </w:r>
    </w:p>
    <w:p w14:paraId="7AF29258" w14:textId="77777777" w:rsidR="0038438F" w:rsidRPr="00995AAE" w:rsidRDefault="0038438F" w:rsidP="00B136B6">
      <w:pPr>
        <w:pStyle w:val="Heading3"/>
      </w:pPr>
      <w:r w:rsidRPr="00995AAE">
        <w:t xml:space="preserve">Staff </w:t>
      </w:r>
      <w:r w:rsidR="00747F7D" w:rsidRPr="00995AAE">
        <w:t xml:space="preserve">with responsibilities for </w:t>
      </w:r>
      <w:r w:rsidR="008E484C" w:rsidRPr="00995AAE">
        <w:t xml:space="preserve">academic oversight </w:t>
      </w:r>
      <w:r w:rsidR="00747F7D" w:rsidRPr="00995AAE">
        <w:t xml:space="preserve">and those with </w:t>
      </w:r>
      <w:r w:rsidRPr="00995AAE">
        <w:t>teach</w:t>
      </w:r>
      <w:r w:rsidR="00747F7D" w:rsidRPr="00995AAE">
        <w:t xml:space="preserve">ing and supervisory roles </w:t>
      </w:r>
      <w:r w:rsidR="00ED41C9" w:rsidRPr="00995AAE">
        <w:t>in courses or units of study</w:t>
      </w:r>
      <w:r w:rsidR="00DC13CB" w:rsidRPr="00995AAE">
        <w:t xml:space="preserve"> </w:t>
      </w:r>
      <w:r w:rsidRPr="00995AAE">
        <w:t>are equipped for their roles, including</w:t>
      </w:r>
      <w:r w:rsidR="00BF6BED" w:rsidRPr="00995AAE">
        <w:t xml:space="preserve"> having</w:t>
      </w:r>
      <w:r w:rsidRPr="00995AAE">
        <w:t>:</w:t>
      </w:r>
    </w:p>
    <w:p w14:paraId="46E52198" w14:textId="77777777" w:rsidR="0038438F" w:rsidRPr="00995AAE" w:rsidRDefault="002D7B16" w:rsidP="00B136B6">
      <w:pPr>
        <w:pStyle w:val="Heading4"/>
      </w:pPr>
      <w:proofErr w:type="gramStart"/>
      <w:r w:rsidRPr="00995AAE">
        <w:t>knowledge</w:t>
      </w:r>
      <w:proofErr w:type="gramEnd"/>
      <w:r w:rsidRPr="00995AAE">
        <w:t xml:space="preserve"> </w:t>
      </w:r>
      <w:r w:rsidR="0038438F" w:rsidRPr="00995AAE">
        <w:t>of contemporary developments in the discipline</w:t>
      </w:r>
      <w:r w:rsidR="00817246" w:rsidRPr="00995AAE">
        <w:t xml:space="preserve"> or field</w:t>
      </w:r>
      <w:r w:rsidR="00BF6BED" w:rsidRPr="00995AAE">
        <w:t>,</w:t>
      </w:r>
      <w:r w:rsidR="00747F7D" w:rsidRPr="00995AAE">
        <w:t xml:space="preserve"> which is</w:t>
      </w:r>
      <w:r w:rsidR="0038438F" w:rsidRPr="00995AAE">
        <w:t xml:space="preserve"> </w:t>
      </w:r>
      <w:r w:rsidR="005E1806" w:rsidRPr="00995AAE">
        <w:t>informed by continuing scholarship</w:t>
      </w:r>
      <w:r w:rsidR="00033605" w:rsidRPr="00995AAE">
        <w:t xml:space="preserve"> or research or advances in practice</w:t>
      </w:r>
    </w:p>
    <w:p w14:paraId="5F46A626" w14:textId="77777777" w:rsidR="00747F7D" w:rsidRPr="00995AAE" w:rsidRDefault="00033605" w:rsidP="00B136B6">
      <w:pPr>
        <w:pStyle w:val="Heading4"/>
      </w:pPr>
      <w:r w:rsidRPr="00995AAE">
        <w:t>skills in</w:t>
      </w:r>
      <w:r w:rsidR="0038438F" w:rsidRPr="00995AAE">
        <w:t xml:space="preserve"> contemporary teaching, learning and assessment principles relevant to the discipline</w:t>
      </w:r>
      <w:r w:rsidR="00FA2A08" w:rsidRPr="00995AAE">
        <w:t xml:space="preserve">, </w:t>
      </w:r>
      <w:r w:rsidR="00817246" w:rsidRPr="00995AAE">
        <w:t xml:space="preserve">their </w:t>
      </w:r>
      <w:r w:rsidR="00E643E7" w:rsidRPr="00995AAE">
        <w:t>role,</w:t>
      </w:r>
      <w:r w:rsidR="00FA2A08" w:rsidRPr="00995AAE">
        <w:t xml:space="preserve"> mode</w:t>
      </w:r>
      <w:r w:rsidR="00ED41C9" w:rsidRPr="00995AAE">
        <w:t>s</w:t>
      </w:r>
      <w:r w:rsidR="00FA2A08" w:rsidRPr="00995AAE">
        <w:t xml:space="preserve"> of delivery</w:t>
      </w:r>
      <w:r w:rsidR="0038438F" w:rsidRPr="00995AAE">
        <w:t xml:space="preserve"> and the needs of </w:t>
      </w:r>
      <w:r w:rsidRPr="00995AAE">
        <w:t xml:space="preserve">particular </w:t>
      </w:r>
      <w:r w:rsidR="0038438F" w:rsidRPr="00995AAE">
        <w:t>student cohort</w:t>
      </w:r>
      <w:r w:rsidRPr="00995AAE">
        <w:t>s</w:t>
      </w:r>
      <w:r w:rsidR="0038438F" w:rsidRPr="00995AAE">
        <w:t>, and</w:t>
      </w:r>
      <w:r w:rsidR="00747F7D" w:rsidRPr="00995AAE">
        <w:t xml:space="preserve"> </w:t>
      </w:r>
    </w:p>
    <w:p w14:paraId="3460E928" w14:textId="77777777" w:rsidR="007957C2" w:rsidRPr="00995AAE" w:rsidRDefault="007957C2" w:rsidP="00B136B6">
      <w:pPr>
        <w:pStyle w:val="Heading4"/>
      </w:pPr>
      <w:r w:rsidRPr="00995AAE">
        <w:t xml:space="preserve">a qualification in a relevant discipline at least one level higher than is awarded for the course of study, or equivalent relevant academic or professional or practice-based experience and expertise, except for staff supervising doctoral degrees having a doctoral degree or equivalent research experience.  </w:t>
      </w:r>
    </w:p>
    <w:p w14:paraId="04DD65D9" w14:textId="77777777" w:rsidR="000D6D99" w:rsidRPr="00995AAE" w:rsidRDefault="006D23F3" w:rsidP="00B136B6">
      <w:pPr>
        <w:pStyle w:val="Heading3"/>
      </w:pPr>
      <w:r w:rsidRPr="00995AAE">
        <w:t>T</w:t>
      </w:r>
      <w:r w:rsidR="000D6D99" w:rsidRPr="00995AAE">
        <w:t>eachers who teach</w:t>
      </w:r>
      <w:r w:rsidR="00CC445D" w:rsidRPr="00995AAE">
        <w:t xml:space="preserve"> </w:t>
      </w:r>
      <w:r w:rsidRPr="00995AAE">
        <w:t xml:space="preserve">specialised </w:t>
      </w:r>
      <w:r w:rsidR="000D6D99" w:rsidRPr="00995AAE">
        <w:t xml:space="preserve">components of a course of study, such as experienced practitioners and teachers undergoing training, who may not fully meet the standard for knowledge, skills and qualification or experience </w:t>
      </w:r>
      <w:r w:rsidR="001C44A4" w:rsidRPr="00995AAE">
        <w:t>required for teaching or supervision (</w:t>
      </w:r>
      <w:proofErr w:type="gramStart"/>
      <w:r w:rsidR="001C44A4" w:rsidRPr="00995AAE">
        <w:t>3.2.3)</w:t>
      </w:r>
      <w:proofErr w:type="gramEnd"/>
      <w:r w:rsidR="001C44A4" w:rsidRPr="00995AAE">
        <w:t xml:space="preserve"> </w:t>
      </w:r>
      <w:r w:rsidR="000D6D99" w:rsidRPr="00995AAE">
        <w:t>have their teaching guided and overseen by staff who meet the standard.</w:t>
      </w:r>
    </w:p>
    <w:p w14:paraId="3C98DFCB" w14:textId="77777777" w:rsidR="00C23A72" w:rsidRPr="00995AAE" w:rsidRDefault="00033605" w:rsidP="00B136B6">
      <w:pPr>
        <w:pStyle w:val="Heading3"/>
      </w:pPr>
      <w:r w:rsidRPr="00995AAE">
        <w:t>Teaching staff are accessible to students seeking individual assistance with their studies, at a level consistent with the learning needs of the student cohort.</w:t>
      </w:r>
    </w:p>
    <w:p w14:paraId="4FCE3DCB" w14:textId="77777777" w:rsidR="00400C63" w:rsidRPr="00995AAE" w:rsidRDefault="00400C63" w:rsidP="00400C63">
      <w:pPr>
        <w:rPr>
          <w:lang w:val="en-AU"/>
        </w:rPr>
      </w:pPr>
    </w:p>
    <w:p w14:paraId="362586CA" w14:textId="77777777" w:rsidR="00CF5463" w:rsidRPr="00995AAE" w:rsidRDefault="00CF5463" w:rsidP="000B4E5D">
      <w:pPr>
        <w:pStyle w:val="Heading2"/>
        <w:ind w:left="993" w:hanging="709"/>
      </w:pPr>
      <w:bookmarkStart w:id="63" w:name="_Toc397519543"/>
      <w:bookmarkStart w:id="64" w:name="_Toc398038569"/>
      <w:bookmarkStart w:id="65" w:name="_Toc397519544"/>
      <w:bookmarkStart w:id="66" w:name="_Toc398038570"/>
      <w:bookmarkStart w:id="67" w:name="_Toc397519546"/>
      <w:bookmarkStart w:id="68" w:name="_Toc398038572"/>
      <w:bookmarkStart w:id="69" w:name="_Toc397519547"/>
      <w:bookmarkStart w:id="70" w:name="_Toc398038573"/>
      <w:bookmarkStart w:id="71" w:name="_Toc370205835"/>
      <w:bookmarkStart w:id="72" w:name="_Toc418684279"/>
      <w:bookmarkStart w:id="73" w:name="_Toc428368861"/>
      <w:bookmarkEnd w:id="63"/>
      <w:bookmarkEnd w:id="64"/>
      <w:bookmarkEnd w:id="65"/>
      <w:bookmarkEnd w:id="66"/>
      <w:bookmarkEnd w:id="67"/>
      <w:bookmarkEnd w:id="68"/>
      <w:bookmarkEnd w:id="69"/>
      <w:bookmarkEnd w:id="70"/>
      <w:r w:rsidRPr="00995AAE">
        <w:t>Learning Resources</w:t>
      </w:r>
      <w:bookmarkEnd w:id="71"/>
      <w:r w:rsidR="002D7B16" w:rsidRPr="00995AAE">
        <w:t xml:space="preserve"> </w:t>
      </w:r>
      <w:r w:rsidR="00A20942" w:rsidRPr="00995AAE">
        <w:t>and</w:t>
      </w:r>
      <w:r w:rsidR="002D7B16" w:rsidRPr="00995AAE">
        <w:t xml:space="preserve"> </w:t>
      </w:r>
      <w:r w:rsidR="001160B3" w:rsidRPr="00995AAE">
        <w:t>E</w:t>
      </w:r>
      <w:r w:rsidR="002D7B16" w:rsidRPr="00995AAE">
        <w:t xml:space="preserve">ducational </w:t>
      </w:r>
      <w:r w:rsidR="001160B3" w:rsidRPr="00995AAE">
        <w:t>S</w:t>
      </w:r>
      <w:r w:rsidR="002D7B16" w:rsidRPr="00995AAE">
        <w:t>upport</w:t>
      </w:r>
      <w:bookmarkEnd w:id="72"/>
      <w:bookmarkEnd w:id="73"/>
      <w:r w:rsidR="002A7FF9" w:rsidRPr="00995AAE">
        <w:t xml:space="preserve"> </w:t>
      </w:r>
    </w:p>
    <w:p w14:paraId="58B0B864" w14:textId="77777777" w:rsidR="00CF5463" w:rsidRPr="00995AAE" w:rsidRDefault="00CF5463" w:rsidP="00B136B6">
      <w:pPr>
        <w:pStyle w:val="Heading3"/>
      </w:pPr>
      <w:r w:rsidRPr="00995AAE">
        <w:t>The learning resources</w:t>
      </w:r>
      <w:r w:rsidR="003F73E7" w:rsidRPr="00995AAE">
        <w:t>,</w:t>
      </w:r>
      <w:r w:rsidR="004F217F" w:rsidRPr="00995AAE">
        <w:t xml:space="preserve"> such as library collections and services, creative works, notes, laboratory facilities, studio sessions, simulations and software,</w:t>
      </w:r>
      <w:r w:rsidRPr="00995AAE">
        <w:t xml:space="preserve"> </w:t>
      </w:r>
      <w:r w:rsidR="001160B3" w:rsidRPr="00995AAE">
        <w:t xml:space="preserve">that are </w:t>
      </w:r>
      <w:r w:rsidR="002D7B16" w:rsidRPr="00995AAE">
        <w:t xml:space="preserve">specified or recommended </w:t>
      </w:r>
      <w:r w:rsidR="001160B3" w:rsidRPr="00995AAE">
        <w:t xml:space="preserve">for a </w:t>
      </w:r>
      <w:r w:rsidR="007D1F9D" w:rsidRPr="00995AAE">
        <w:t>course of study</w:t>
      </w:r>
      <w:r w:rsidR="00EE52A0" w:rsidRPr="00995AAE">
        <w:t>,</w:t>
      </w:r>
      <w:r w:rsidR="001160B3" w:rsidRPr="00995AAE">
        <w:t xml:space="preserve"> </w:t>
      </w:r>
      <w:r w:rsidR="002D7B16" w:rsidRPr="00995AAE">
        <w:t xml:space="preserve">relate directly to </w:t>
      </w:r>
      <w:r w:rsidR="0062606F" w:rsidRPr="00995AAE">
        <w:t xml:space="preserve">the learning outcomes, are up to date and, where supplied as part of a </w:t>
      </w:r>
      <w:r w:rsidR="007D1F9D" w:rsidRPr="00995AAE">
        <w:t>course of study</w:t>
      </w:r>
      <w:r w:rsidR="0062606F" w:rsidRPr="00995AAE">
        <w:t>, are accessible when needed by students</w:t>
      </w:r>
      <w:r w:rsidR="003777E3" w:rsidRPr="00995AAE">
        <w:t>.</w:t>
      </w:r>
    </w:p>
    <w:p w14:paraId="0E9EB956" w14:textId="77777777" w:rsidR="00CF5463" w:rsidRPr="00995AAE" w:rsidRDefault="00CF5463" w:rsidP="00B136B6">
      <w:pPr>
        <w:pStyle w:val="Heading3"/>
      </w:pPr>
      <w:r w:rsidRPr="00995AAE">
        <w:t>Where learning resources are part of a</w:t>
      </w:r>
      <w:r w:rsidR="00856A5A" w:rsidRPr="00995AAE">
        <w:t>n electronic</w:t>
      </w:r>
      <w:r w:rsidRPr="00995AAE">
        <w:t xml:space="preserve"> learning management system</w:t>
      </w:r>
      <w:r w:rsidR="00E73131" w:rsidRPr="00995AAE">
        <w:t>,</w:t>
      </w:r>
      <w:r w:rsidRPr="00995AAE">
        <w:t xml:space="preserve"> all users have </w:t>
      </w:r>
      <w:r w:rsidR="00B43F58" w:rsidRPr="00995AAE">
        <w:t xml:space="preserve">timely </w:t>
      </w:r>
      <w:r w:rsidRPr="00995AAE">
        <w:t xml:space="preserve">access to the system </w:t>
      </w:r>
      <w:r w:rsidR="00B43F58" w:rsidRPr="00995AAE">
        <w:t>and training is available in use of the system.</w:t>
      </w:r>
      <w:r w:rsidRPr="00995AAE">
        <w:t xml:space="preserve"> </w:t>
      </w:r>
    </w:p>
    <w:p w14:paraId="7A38C605" w14:textId="77777777" w:rsidR="00CF5463" w:rsidRPr="00995AAE" w:rsidRDefault="00CF5463" w:rsidP="00B136B6">
      <w:pPr>
        <w:pStyle w:val="Heading3"/>
      </w:pPr>
      <w:r w:rsidRPr="00995AAE">
        <w:lastRenderedPageBreak/>
        <w:t>Access to learning resources does not present unexpected barriers, costs or technology requirements for students, including for students with special needs</w:t>
      </w:r>
      <w:r w:rsidR="00302753" w:rsidRPr="00995AAE">
        <w:t xml:space="preserve"> and those who study off campus</w:t>
      </w:r>
      <w:r w:rsidRPr="00995AAE">
        <w:t xml:space="preserve">. </w:t>
      </w:r>
    </w:p>
    <w:p w14:paraId="6F11AD58" w14:textId="77777777" w:rsidR="00CF5463" w:rsidRPr="00995AAE" w:rsidRDefault="00CF5463" w:rsidP="00B136B6">
      <w:pPr>
        <w:pStyle w:val="Heading3"/>
      </w:pPr>
      <w:r w:rsidRPr="00995AAE">
        <w:t>Students have access to learning support services that are consistent with the requirements of the</w:t>
      </w:r>
      <w:r w:rsidR="003777E3" w:rsidRPr="00995AAE">
        <w:t>ir</w:t>
      </w:r>
      <w:r w:rsidR="00AA0F7F" w:rsidRPr="00995AAE">
        <w:t xml:space="preserve"> </w:t>
      </w:r>
      <w:r w:rsidR="007D1F9D" w:rsidRPr="00995AAE">
        <w:t>course of study</w:t>
      </w:r>
      <w:r w:rsidRPr="00995AAE">
        <w:t>, the</w:t>
      </w:r>
      <w:r w:rsidR="00817246" w:rsidRPr="00995AAE">
        <w:t>ir</w:t>
      </w:r>
      <w:r w:rsidRPr="00995AAE">
        <w:t xml:space="preserve"> mode of </w:t>
      </w:r>
      <w:r w:rsidR="00817246" w:rsidRPr="00995AAE">
        <w:t>study</w:t>
      </w:r>
      <w:r w:rsidRPr="00995AAE">
        <w:t xml:space="preserve"> and the </w:t>
      </w:r>
      <w:r w:rsidR="008870A2" w:rsidRPr="00995AAE">
        <w:t xml:space="preserve">learning </w:t>
      </w:r>
      <w:r w:rsidRPr="00995AAE">
        <w:t>needs of student cohorts</w:t>
      </w:r>
      <w:r w:rsidR="00817246" w:rsidRPr="00995AAE">
        <w:t>, including arrangements for supporting and maintaining contact with students who are off campus</w:t>
      </w:r>
      <w:r w:rsidRPr="00995AAE">
        <w:t xml:space="preserve">. </w:t>
      </w:r>
    </w:p>
    <w:p w14:paraId="1433E8A8" w14:textId="77777777" w:rsidR="00400C63" w:rsidRPr="00995AAE" w:rsidRDefault="00400C63" w:rsidP="00400C63">
      <w:pPr>
        <w:rPr>
          <w:lang w:val="en-AU"/>
        </w:rPr>
      </w:pPr>
      <w:bookmarkStart w:id="74" w:name="_Toc370205836"/>
    </w:p>
    <w:p w14:paraId="267126DC" w14:textId="77777777" w:rsidR="00EB6FB7" w:rsidRPr="00995AAE" w:rsidRDefault="000C22E9" w:rsidP="000B4E5D">
      <w:pPr>
        <w:pStyle w:val="Heading1"/>
        <w:spacing w:before="0" w:after="360" w:line="240" w:lineRule="auto"/>
        <w:jc w:val="both"/>
      </w:pPr>
      <w:bookmarkStart w:id="75" w:name="_Toc418684280"/>
      <w:bookmarkStart w:id="76" w:name="_Toc428368862"/>
      <w:bookmarkStart w:id="77" w:name="Domain4"/>
      <w:r w:rsidRPr="00995AAE">
        <w:t>Research and Research Training</w:t>
      </w:r>
      <w:bookmarkEnd w:id="74"/>
      <w:bookmarkEnd w:id="75"/>
      <w:bookmarkEnd w:id="76"/>
      <w:r w:rsidRPr="00995AAE">
        <w:t xml:space="preserve"> </w:t>
      </w:r>
      <w:bookmarkStart w:id="78" w:name="_Toc383762201"/>
      <w:bookmarkStart w:id="79" w:name="_Toc370205837"/>
      <w:bookmarkEnd w:id="77"/>
      <w:bookmarkEnd w:id="78"/>
    </w:p>
    <w:p w14:paraId="5DEC97BE" w14:textId="77777777" w:rsidR="009944D9" w:rsidRPr="00995AAE" w:rsidRDefault="009944D9" w:rsidP="000B4E5D">
      <w:pPr>
        <w:pStyle w:val="Heading2"/>
      </w:pPr>
      <w:bookmarkStart w:id="80" w:name="_Toc418684281"/>
      <w:bookmarkStart w:id="81" w:name="_Toc428368863"/>
      <w:r w:rsidRPr="00995AAE">
        <w:t>Research</w:t>
      </w:r>
      <w:bookmarkEnd w:id="79"/>
      <w:bookmarkEnd w:id="80"/>
      <w:bookmarkEnd w:id="81"/>
    </w:p>
    <w:p w14:paraId="58863B59" w14:textId="77777777" w:rsidR="009944D9" w:rsidRPr="00995AAE" w:rsidRDefault="00B50F8D" w:rsidP="00B136B6">
      <w:pPr>
        <w:pStyle w:val="Heading3"/>
      </w:pPr>
      <w:r w:rsidRPr="00995AAE">
        <w:t xml:space="preserve">Research </w:t>
      </w:r>
      <w:r w:rsidR="00D17EF2" w:rsidRPr="00995AAE">
        <w:t xml:space="preserve">and </w:t>
      </w:r>
      <w:r w:rsidR="00AA1ADD" w:rsidRPr="00995AAE">
        <w:t>its associated</w:t>
      </w:r>
      <w:r w:rsidR="00D17EF2" w:rsidRPr="00995AAE">
        <w:t xml:space="preserve"> activities are</w:t>
      </w:r>
      <w:r w:rsidR="00250927" w:rsidRPr="00995AAE">
        <w:t xml:space="preserve"> </w:t>
      </w:r>
      <w:r w:rsidRPr="00995AAE">
        <w:t xml:space="preserve">conducted in accordance with </w:t>
      </w:r>
      <w:r w:rsidR="00250927" w:rsidRPr="00995AAE">
        <w:t xml:space="preserve">a </w:t>
      </w:r>
      <w:r w:rsidR="002D7B16" w:rsidRPr="00995AAE">
        <w:t xml:space="preserve">research </w:t>
      </w:r>
      <w:r w:rsidR="00250927" w:rsidRPr="00995AAE">
        <w:t xml:space="preserve">policy framework </w:t>
      </w:r>
      <w:r w:rsidR="00817246" w:rsidRPr="00995AAE">
        <w:t xml:space="preserve">that </w:t>
      </w:r>
      <w:r w:rsidR="006C675C" w:rsidRPr="00995AAE">
        <w:t>is designed to achieve</w:t>
      </w:r>
      <w:r w:rsidR="009944D9" w:rsidRPr="00995AAE">
        <w:t xml:space="preserve">: </w:t>
      </w:r>
    </w:p>
    <w:p w14:paraId="309FB1AE" w14:textId="77777777" w:rsidR="009944D9" w:rsidRPr="00995AAE" w:rsidRDefault="009944D9" w:rsidP="00B136B6">
      <w:pPr>
        <w:pStyle w:val="Heading4"/>
      </w:pPr>
      <w:proofErr w:type="gramStart"/>
      <w:r w:rsidRPr="00995AAE">
        <w:t>ethical</w:t>
      </w:r>
      <w:proofErr w:type="gramEnd"/>
      <w:r w:rsidRPr="00995AAE">
        <w:t xml:space="preserve"> conduct of research and responsible research practice</w:t>
      </w:r>
    </w:p>
    <w:p w14:paraId="79702CB6" w14:textId="77777777" w:rsidR="009944D9" w:rsidRPr="00995AAE" w:rsidRDefault="006C675C" w:rsidP="00B136B6">
      <w:pPr>
        <w:pStyle w:val="Heading4"/>
      </w:pPr>
      <w:proofErr w:type="gramStart"/>
      <w:r w:rsidRPr="00995AAE">
        <w:t>clarification</w:t>
      </w:r>
      <w:proofErr w:type="gramEnd"/>
      <w:r w:rsidRPr="00995AAE">
        <w:t xml:space="preserve"> of </w:t>
      </w:r>
      <w:r w:rsidR="009944D9" w:rsidRPr="00995AAE">
        <w:t>ownership and management of intellectual property</w:t>
      </w:r>
    </w:p>
    <w:p w14:paraId="5F702D6A" w14:textId="77777777" w:rsidR="009944D9" w:rsidRPr="00995AAE" w:rsidRDefault="006C675C" w:rsidP="00B136B6">
      <w:pPr>
        <w:pStyle w:val="Heading4"/>
      </w:pPr>
      <w:proofErr w:type="gramStart"/>
      <w:r w:rsidRPr="00995AAE">
        <w:t>successful</w:t>
      </w:r>
      <w:proofErr w:type="gramEnd"/>
      <w:r w:rsidRPr="00995AAE">
        <w:t xml:space="preserve"> management of </w:t>
      </w:r>
      <w:r w:rsidR="009944D9" w:rsidRPr="00995AAE">
        <w:t xml:space="preserve">research partnerships </w:t>
      </w:r>
    </w:p>
    <w:p w14:paraId="6D8B198A" w14:textId="77777777" w:rsidR="009944D9" w:rsidRPr="00995AAE" w:rsidRDefault="006C675C" w:rsidP="00B136B6">
      <w:pPr>
        <w:pStyle w:val="Heading4"/>
      </w:pPr>
      <w:proofErr w:type="gramStart"/>
      <w:r w:rsidRPr="00995AAE">
        <w:t>clarification</w:t>
      </w:r>
      <w:proofErr w:type="gramEnd"/>
      <w:r w:rsidRPr="00995AAE">
        <w:t xml:space="preserve"> of requirements for </w:t>
      </w:r>
      <w:r w:rsidR="009944D9" w:rsidRPr="00995AAE">
        <w:t xml:space="preserve">publication and authorship, and </w:t>
      </w:r>
    </w:p>
    <w:p w14:paraId="0C5FC1C4" w14:textId="77777777" w:rsidR="009944D9" w:rsidRPr="00995AAE" w:rsidRDefault="009944D9" w:rsidP="00B136B6">
      <w:pPr>
        <w:pStyle w:val="Heading4"/>
      </w:pPr>
      <w:proofErr w:type="gramStart"/>
      <w:r w:rsidRPr="00995AAE">
        <w:t>resolution</w:t>
      </w:r>
      <w:proofErr w:type="gramEnd"/>
      <w:r w:rsidRPr="00995AAE">
        <w:t xml:space="preserve"> of allegations of misconduct in research. </w:t>
      </w:r>
    </w:p>
    <w:p w14:paraId="50992EA1" w14:textId="77777777" w:rsidR="009944D9" w:rsidRPr="00995AAE" w:rsidRDefault="009944D9" w:rsidP="00B136B6">
      <w:pPr>
        <w:pStyle w:val="Heading3"/>
      </w:pPr>
      <w:r w:rsidRPr="00995AAE">
        <w:t>Research is conducted</w:t>
      </w:r>
      <w:r w:rsidR="00D34483" w:rsidRPr="00995AAE">
        <w:t>,</w:t>
      </w:r>
      <w:r w:rsidRPr="00995AAE">
        <w:t xml:space="preserve"> or </w:t>
      </w:r>
      <w:r w:rsidR="00D34483" w:rsidRPr="00995AAE">
        <w:t>overseen</w:t>
      </w:r>
      <w:r w:rsidRPr="00995AAE">
        <w:t xml:space="preserve">, </w:t>
      </w:r>
      <w:r w:rsidR="00D34483" w:rsidRPr="00995AAE">
        <w:t xml:space="preserve">by </w:t>
      </w:r>
      <w:r w:rsidRPr="00995AAE">
        <w:t xml:space="preserve">staff with </w:t>
      </w:r>
      <w:r w:rsidR="00D1593B" w:rsidRPr="00995AAE">
        <w:t>qualifications</w:t>
      </w:r>
      <w:r w:rsidRPr="00995AAE">
        <w:t xml:space="preserve">, research experience and skills </w:t>
      </w:r>
      <w:r w:rsidR="00036728" w:rsidRPr="00995AAE">
        <w:t xml:space="preserve">relevant to </w:t>
      </w:r>
      <w:r w:rsidRPr="00995AAE">
        <w:t>the type of research undertaken</w:t>
      </w:r>
      <w:r w:rsidR="007D36D3" w:rsidRPr="00995AAE">
        <w:t xml:space="preserve"> and their role</w:t>
      </w:r>
      <w:r w:rsidRPr="00995AAE">
        <w:t>.</w:t>
      </w:r>
    </w:p>
    <w:p w14:paraId="1F9EB9B2" w14:textId="77777777" w:rsidR="009944D9" w:rsidRPr="00995AAE" w:rsidRDefault="009944D9" w:rsidP="00B136B6">
      <w:pPr>
        <w:pStyle w:val="Heading3"/>
      </w:pPr>
      <w:r w:rsidRPr="00995AAE">
        <w:t>A</w:t>
      </w:r>
      <w:r w:rsidR="002D7B16" w:rsidRPr="00995AAE">
        <w:t xml:space="preserve"> system for </w:t>
      </w:r>
      <w:r w:rsidRPr="00995AAE">
        <w:t>accurate and up-to-date record</w:t>
      </w:r>
      <w:r w:rsidR="002D7B16" w:rsidRPr="00995AAE">
        <w:t>ing</w:t>
      </w:r>
      <w:r w:rsidRPr="00995AAE">
        <w:t xml:space="preserve"> of the research outputs of staff and </w:t>
      </w:r>
      <w:r w:rsidR="00DC4867" w:rsidRPr="00995AAE">
        <w:t>research</w:t>
      </w:r>
      <w:r w:rsidRPr="00995AAE">
        <w:t xml:space="preserve"> students is maintained.</w:t>
      </w:r>
    </w:p>
    <w:p w14:paraId="2746A806" w14:textId="77777777" w:rsidR="00AE24DC" w:rsidRPr="00995AAE" w:rsidRDefault="00AE24DC" w:rsidP="00AE24DC">
      <w:pPr>
        <w:pStyle w:val="ReferencePoints"/>
      </w:pPr>
    </w:p>
    <w:p w14:paraId="5CA8B729" w14:textId="77777777" w:rsidR="00002CAB" w:rsidRPr="00995AAE" w:rsidRDefault="00002CAB" w:rsidP="000B4E5D">
      <w:pPr>
        <w:pStyle w:val="Heading2"/>
      </w:pPr>
      <w:bookmarkStart w:id="82" w:name="_Toc370205838"/>
      <w:bookmarkStart w:id="83" w:name="_Toc418684282"/>
      <w:bookmarkStart w:id="84" w:name="_Toc428368864"/>
      <w:r w:rsidRPr="00995AAE">
        <w:t>Research Training</w:t>
      </w:r>
      <w:bookmarkEnd w:id="82"/>
      <w:bookmarkEnd w:id="83"/>
      <w:bookmarkEnd w:id="84"/>
    </w:p>
    <w:p w14:paraId="4F877696" w14:textId="77777777" w:rsidR="004C5146" w:rsidRPr="00995AAE" w:rsidRDefault="002F1C3B" w:rsidP="00B136B6">
      <w:pPr>
        <w:pStyle w:val="Heading3"/>
        <w:rPr>
          <w:u w:val="single"/>
        </w:rPr>
      </w:pPr>
      <w:r w:rsidRPr="00995AAE">
        <w:t xml:space="preserve">Research training </w:t>
      </w:r>
      <w:r w:rsidR="00AD0699" w:rsidRPr="00995AAE">
        <w:t xml:space="preserve">is </w:t>
      </w:r>
      <w:r w:rsidR="008C737E" w:rsidRPr="00995AAE">
        <w:t xml:space="preserve">guided by an </w:t>
      </w:r>
      <w:r w:rsidR="004C5146" w:rsidRPr="00995AAE">
        <w:t>institutional research training policy framework</w:t>
      </w:r>
      <w:r w:rsidR="00B570EB" w:rsidRPr="00995AAE">
        <w:t xml:space="preserve"> that is designed to achieve:</w:t>
      </w:r>
      <w:r w:rsidR="004C5146" w:rsidRPr="00995AAE">
        <w:t xml:space="preserve"> </w:t>
      </w:r>
    </w:p>
    <w:p w14:paraId="1ADD3867" w14:textId="77777777" w:rsidR="004C5146" w:rsidRPr="00995AAE" w:rsidRDefault="008141CD" w:rsidP="00B136B6">
      <w:pPr>
        <w:pStyle w:val="Heading4"/>
      </w:pPr>
      <w:proofErr w:type="gramStart"/>
      <w:r w:rsidRPr="00995AAE">
        <w:t>definition</w:t>
      </w:r>
      <w:proofErr w:type="gramEnd"/>
      <w:r w:rsidRPr="00995AAE">
        <w:t xml:space="preserve"> and recognition of </w:t>
      </w:r>
      <w:r w:rsidR="004C5146" w:rsidRPr="00995AAE">
        <w:t>the rights and responsibilities of research students and supervisors</w:t>
      </w:r>
    </w:p>
    <w:p w14:paraId="33C98E14" w14:textId="77777777" w:rsidR="004C5146" w:rsidRPr="00995AAE" w:rsidRDefault="004C5146" w:rsidP="00B136B6">
      <w:pPr>
        <w:pStyle w:val="Heading4"/>
      </w:pPr>
      <w:proofErr w:type="gramStart"/>
      <w:r w:rsidRPr="00995AAE">
        <w:t>induction</w:t>
      </w:r>
      <w:proofErr w:type="gramEnd"/>
      <w:r w:rsidRPr="00995AAE">
        <w:t xml:space="preserve"> and orientation of research students and supervisors</w:t>
      </w:r>
      <w:r w:rsidR="008141CD" w:rsidRPr="00995AAE">
        <w:t xml:space="preserve"> to their roles</w:t>
      </w:r>
    </w:p>
    <w:p w14:paraId="565C53C1" w14:textId="77777777" w:rsidR="004C5146" w:rsidRPr="00995AAE" w:rsidRDefault="004C5146" w:rsidP="00B136B6">
      <w:pPr>
        <w:pStyle w:val="Heading4"/>
      </w:pPr>
      <w:proofErr w:type="gramStart"/>
      <w:r w:rsidRPr="00995AAE">
        <w:t>monitoring</w:t>
      </w:r>
      <w:proofErr w:type="gramEnd"/>
      <w:r w:rsidRPr="00995AAE">
        <w:t xml:space="preserve"> </w:t>
      </w:r>
      <w:r w:rsidR="008141CD" w:rsidRPr="00995AAE">
        <w:t xml:space="preserve">of the progress of </w:t>
      </w:r>
      <w:r w:rsidRPr="00995AAE">
        <w:t>research student</w:t>
      </w:r>
      <w:r w:rsidR="0056489B" w:rsidRPr="00995AAE">
        <w:t>s</w:t>
      </w:r>
    </w:p>
    <w:p w14:paraId="2F05FFB0" w14:textId="77777777" w:rsidR="004C5146" w:rsidRPr="00995AAE" w:rsidRDefault="004C5146" w:rsidP="00B136B6">
      <w:pPr>
        <w:pStyle w:val="Heading4"/>
      </w:pPr>
      <w:proofErr w:type="gramStart"/>
      <w:r w:rsidRPr="00995AAE">
        <w:t>assessment</w:t>
      </w:r>
      <w:proofErr w:type="gramEnd"/>
      <w:r w:rsidRPr="00995AAE">
        <w:t xml:space="preserve"> and examination of students’ work</w:t>
      </w:r>
    </w:p>
    <w:p w14:paraId="142EBDFC" w14:textId="77777777" w:rsidR="004C5146" w:rsidRPr="00995AAE" w:rsidRDefault="004C5146" w:rsidP="00B136B6">
      <w:pPr>
        <w:pStyle w:val="Heading4"/>
      </w:pPr>
      <w:proofErr w:type="gramStart"/>
      <w:r w:rsidRPr="00995AAE">
        <w:t>independence</w:t>
      </w:r>
      <w:proofErr w:type="gramEnd"/>
      <w:r w:rsidRPr="00995AAE">
        <w:t xml:space="preserve"> of examiners</w:t>
      </w:r>
    </w:p>
    <w:p w14:paraId="603B251E" w14:textId="77777777" w:rsidR="004C5146" w:rsidRPr="00995AAE" w:rsidRDefault="004C5146" w:rsidP="00B136B6">
      <w:pPr>
        <w:pStyle w:val="Heading4"/>
      </w:pPr>
      <w:proofErr w:type="gramStart"/>
      <w:r w:rsidRPr="00995AAE">
        <w:t>presentation</w:t>
      </w:r>
      <w:proofErr w:type="gramEnd"/>
      <w:r w:rsidRPr="00995AAE">
        <w:t xml:space="preserve"> and communication of research outputs</w:t>
      </w:r>
      <w:r w:rsidR="008141CD" w:rsidRPr="00995AAE">
        <w:t xml:space="preserve"> by students</w:t>
      </w:r>
      <w:r w:rsidRPr="00995AAE">
        <w:t>, and</w:t>
      </w:r>
    </w:p>
    <w:p w14:paraId="580BCF0E" w14:textId="77777777" w:rsidR="002F1C3B" w:rsidRPr="00995AAE" w:rsidRDefault="004C5146" w:rsidP="00B136B6">
      <w:pPr>
        <w:pStyle w:val="Heading4"/>
      </w:pPr>
      <w:proofErr w:type="gramStart"/>
      <w:r w:rsidRPr="00995AAE">
        <w:t>resolution</w:t>
      </w:r>
      <w:proofErr w:type="gramEnd"/>
      <w:r w:rsidRPr="00995AAE">
        <w:t xml:space="preserve"> of disputes.</w:t>
      </w:r>
      <w:r w:rsidR="002F1C3B" w:rsidRPr="00995AAE">
        <w:t xml:space="preserve">  </w:t>
      </w:r>
    </w:p>
    <w:p w14:paraId="58134026" w14:textId="77777777" w:rsidR="00FB5286" w:rsidRPr="00995AAE" w:rsidRDefault="00FB5286" w:rsidP="00B136B6">
      <w:pPr>
        <w:pStyle w:val="Heading3"/>
      </w:pPr>
      <w:r w:rsidRPr="00995AAE">
        <w:t xml:space="preserve">Students are admitted to research training only where </w:t>
      </w:r>
      <w:r w:rsidR="00A01F64" w:rsidRPr="00995AAE">
        <w:t xml:space="preserve">the training can be provided in a supervisory and study environment of </w:t>
      </w:r>
      <w:r w:rsidR="00DC4867" w:rsidRPr="00995AAE">
        <w:t>research</w:t>
      </w:r>
      <w:r w:rsidR="00A01F64" w:rsidRPr="00995AAE">
        <w:t xml:space="preserve"> activity or other creative endeavour, inquiry and scholarship</w:t>
      </w:r>
      <w:r w:rsidR="00A80C12" w:rsidRPr="00995AAE">
        <w:t>,</w:t>
      </w:r>
      <w:r w:rsidR="00A01F64" w:rsidRPr="00995AAE">
        <w:t xml:space="preserve"> and the </w:t>
      </w:r>
      <w:r w:rsidRPr="00995AAE">
        <w:t xml:space="preserve">supervision and resources required for their project are available.  </w:t>
      </w:r>
    </w:p>
    <w:p w14:paraId="7590D981" w14:textId="77777777" w:rsidR="00002CAB" w:rsidRPr="00995AAE" w:rsidRDefault="00002CAB" w:rsidP="00B136B6">
      <w:pPr>
        <w:pStyle w:val="Heading3"/>
      </w:pPr>
      <w:r w:rsidRPr="00995AAE">
        <w:t xml:space="preserve">Each </w:t>
      </w:r>
      <w:r w:rsidR="00DC4867" w:rsidRPr="00995AAE">
        <w:t>research</w:t>
      </w:r>
      <w:r w:rsidRPr="00995AAE">
        <w:t xml:space="preserve"> student is supported by </w:t>
      </w:r>
      <w:r w:rsidR="00764AD3" w:rsidRPr="00995AAE">
        <w:t xml:space="preserve">continuing </w:t>
      </w:r>
      <w:r w:rsidRPr="00995AAE">
        <w:t>supervisory arrangements</w:t>
      </w:r>
      <w:r w:rsidR="00301663" w:rsidRPr="00995AAE">
        <w:t>, including</w:t>
      </w:r>
      <w:r w:rsidRPr="00995AAE">
        <w:t>:</w:t>
      </w:r>
    </w:p>
    <w:p w14:paraId="50F512B0" w14:textId="77777777" w:rsidR="00002CAB" w:rsidRPr="00995AAE" w:rsidRDefault="00002CAB" w:rsidP="00B136B6">
      <w:pPr>
        <w:pStyle w:val="Heading4"/>
      </w:pPr>
      <w:proofErr w:type="gramStart"/>
      <w:r w:rsidRPr="00995AAE">
        <w:t>a</w:t>
      </w:r>
      <w:proofErr w:type="gramEnd"/>
      <w:r w:rsidRPr="00995AAE">
        <w:t xml:space="preserve"> principal supervisor </w:t>
      </w:r>
      <w:r w:rsidR="00817246" w:rsidRPr="00995AAE">
        <w:t xml:space="preserve">who </w:t>
      </w:r>
      <w:r w:rsidRPr="00995AAE">
        <w:t xml:space="preserve">holds a doctoral </w:t>
      </w:r>
      <w:r w:rsidR="007B7C0D" w:rsidRPr="00995AAE">
        <w:t>degree</w:t>
      </w:r>
      <w:r w:rsidR="00F76C35" w:rsidRPr="00995AAE">
        <w:t>,</w:t>
      </w:r>
      <w:r w:rsidR="001C4E65" w:rsidRPr="00995AAE">
        <w:t xml:space="preserve"> </w:t>
      </w:r>
      <w:r w:rsidRPr="00995AAE">
        <w:t>or has equivalent research experience</w:t>
      </w:r>
      <w:r w:rsidR="00817246" w:rsidRPr="00995AAE">
        <w:t>,</w:t>
      </w:r>
      <w:r w:rsidR="00F76C35" w:rsidRPr="00995AAE">
        <w:t xml:space="preserve"> and</w:t>
      </w:r>
      <w:r w:rsidRPr="00995AAE">
        <w:t xml:space="preserve"> </w:t>
      </w:r>
      <w:r w:rsidR="007D36D3" w:rsidRPr="00995AAE">
        <w:t xml:space="preserve">who </w:t>
      </w:r>
      <w:r w:rsidRPr="00995AAE">
        <w:t xml:space="preserve">is active </w:t>
      </w:r>
      <w:r w:rsidR="00817246" w:rsidRPr="00995AAE">
        <w:t xml:space="preserve">in </w:t>
      </w:r>
      <w:r w:rsidRPr="00995AAE">
        <w:t>research and publishing</w:t>
      </w:r>
      <w:r w:rsidR="005D3802" w:rsidRPr="00995AAE">
        <w:t xml:space="preserve"> in, or otherwise making original contributions to,</w:t>
      </w:r>
      <w:r w:rsidR="00A01F64" w:rsidRPr="00995AAE">
        <w:t xml:space="preserve"> </w:t>
      </w:r>
      <w:r w:rsidRPr="00995AAE">
        <w:t>a relevant field or discipline</w:t>
      </w:r>
    </w:p>
    <w:p w14:paraId="64DAC845" w14:textId="77777777" w:rsidR="00002CAB" w:rsidRPr="00995AAE" w:rsidRDefault="00002CAB" w:rsidP="00B136B6">
      <w:pPr>
        <w:pStyle w:val="Heading4"/>
      </w:pPr>
      <w:proofErr w:type="gramStart"/>
      <w:r w:rsidRPr="00995AAE">
        <w:t>at</w:t>
      </w:r>
      <w:proofErr w:type="gramEnd"/>
      <w:r w:rsidRPr="00995AAE">
        <w:t xml:space="preserve"> least one associate supervisor with relevant research expertise, and </w:t>
      </w:r>
    </w:p>
    <w:p w14:paraId="3841F335" w14:textId="77777777" w:rsidR="00002CAB" w:rsidRPr="00995AAE" w:rsidRDefault="007F4183" w:rsidP="00B136B6">
      <w:pPr>
        <w:pStyle w:val="Heading4"/>
      </w:pPr>
      <w:proofErr w:type="gramStart"/>
      <w:r w:rsidRPr="00995AAE">
        <w:t>the</w:t>
      </w:r>
      <w:proofErr w:type="gramEnd"/>
      <w:r w:rsidRPr="00995AAE">
        <w:t xml:space="preserve"> </w:t>
      </w:r>
      <w:r w:rsidR="007D36D3" w:rsidRPr="00995AAE">
        <w:t xml:space="preserve">principal </w:t>
      </w:r>
      <w:r w:rsidRPr="00995AAE">
        <w:t xml:space="preserve">supervisor </w:t>
      </w:r>
      <w:r w:rsidR="00002CAB" w:rsidRPr="00995AAE">
        <w:t xml:space="preserve">is a member of the staff of the </w:t>
      </w:r>
      <w:r w:rsidR="00C5761C" w:rsidRPr="00995AAE">
        <w:t xml:space="preserve">higher education </w:t>
      </w:r>
      <w:r w:rsidR="00002CAB" w:rsidRPr="00995AAE">
        <w:t>provider</w:t>
      </w:r>
      <w:r w:rsidR="007D36D3" w:rsidRPr="00995AAE">
        <w:t xml:space="preserve">, </w:t>
      </w:r>
      <w:r w:rsidR="0075553C" w:rsidRPr="00995AAE">
        <w:t xml:space="preserve">or </w:t>
      </w:r>
      <w:r w:rsidR="007D36D3" w:rsidRPr="00995AAE">
        <w:t>has a relevant adjunct appointment</w:t>
      </w:r>
      <w:r w:rsidR="00BF0D88" w:rsidRPr="00995AAE">
        <w:t>,</w:t>
      </w:r>
      <w:r w:rsidR="00002CAB" w:rsidRPr="00995AAE">
        <w:t xml:space="preserve"> or is otherwise formally contracted </w:t>
      </w:r>
      <w:r w:rsidR="00CB79EC" w:rsidRPr="00995AAE">
        <w:t xml:space="preserve">and accountable </w:t>
      </w:r>
      <w:r w:rsidR="00002CAB" w:rsidRPr="00995AAE">
        <w:t>to the provider for supervisory duties.</w:t>
      </w:r>
    </w:p>
    <w:p w14:paraId="551C008F" w14:textId="77777777" w:rsidR="00002CAB" w:rsidRPr="00995AAE" w:rsidRDefault="00DC4867" w:rsidP="00B136B6">
      <w:pPr>
        <w:pStyle w:val="Heading3"/>
      </w:pPr>
      <w:r w:rsidRPr="00995AAE">
        <w:lastRenderedPageBreak/>
        <w:t>Research</w:t>
      </w:r>
      <w:r w:rsidR="00002CAB" w:rsidRPr="00995AAE">
        <w:t xml:space="preserve"> students </w:t>
      </w:r>
      <w:r w:rsidR="00301663" w:rsidRPr="00995AAE">
        <w:t xml:space="preserve">participate in </w:t>
      </w:r>
      <w:r w:rsidR="00002CAB" w:rsidRPr="00995AAE">
        <w:t>an induction</w:t>
      </w:r>
      <w:r w:rsidR="00301663" w:rsidRPr="00995AAE">
        <w:t xml:space="preserve"> to research that includes</w:t>
      </w:r>
      <w:r w:rsidR="00002CAB" w:rsidRPr="00995AAE">
        <w:t xml:space="preserve"> codes of conduct, ethics, occupational health and safety, intellectual property and </w:t>
      </w:r>
      <w:r w:rsidR="00301663" w:rsidRPr="00995AAE">
        <w:t xml:space="preserve">any </w:t>
      </w:r>
      <w:r w:rsidR="00002CAB" w:rsidRPr="00995AAE">
        <w:t>additional matters that are necessary for the type of research to be undertaken.</w:t>
      </w:r>
    </w:p>
    <w:p w14:paraId="2E4E52A7" w14:textId="77777777" w:rsidR="00CD6018" w:rsidRPr="00995AAE" w:rsidRDefault="00002CAB" w:rsidP="00CD6018">
      <w:pPr>
        <w:pStyle w:val="Heading3"/>
      </w:pPr>
      <w:r w:rsidRPr="00995AAE">
        <w:t>Coursework that is included</w:t>
      </w:r>
      <w:r w:rsidR="002F1F07" w:rsidRPr="00995AAE">
        <w:t xml:space="preserve"> as </w:t>
      </w:r>
      <w:proofErr w:type="gramStart"/>
      <w:r w:rsidR="002F1F07" w:rsidRPr="00995AAE">
        <w:t xml:space="preserve">a </w:t>
      </w:r>
      <w:r w:rsidR="00D0199B" w:rsidRPr="00995AAE">
        <w:t xml:space="preserve">formal </w:t>
      </w:r>
      <w:r w:rsidR="007D36D3" w:rsidRPr="00995AAE">
        <w:t xml:space="preserve">assessable </w:t>
      </w:r>
      <w:r w:rsidR="002F1F07" w:rsidRPr="00995AAE">
        <w:t xml:space="preserve">requirement </w:t>
      </w:r>
      <w:r w:rsidR="007D36D3" w:rsidRPr="00995AAE">
        <w:t>in</w:t>
      </w:r>
      <w:r w:rsidRPr="00995AAE">
        <w:t xml:space="preserve"> a </w:t>
      </w:r>
      <w:r w:rsidR="007D1F9D" w:rsidRPr="00995AAE">
        <w:t>course of study</w:t>
      </w:r>
      <w:proofErr w:type="gramEnd"/>
      <w:r w:rsidRPr="00995AAE">
        <w:t xml:space="preserve"> that involves research training, whether as a component of or an adjunct to the research training, meets the academic governance and quality assurance requirements required of other coursework offered by the </w:t>
      </w:r>
      <w:r w:rsidR="004D6727" w:rsidRPr="00995AAE">
        <w:t>higher education provider</w:t>
      </w:r>
      <w:r w:rsidRPr="00995AAE">
        <w:t>.</w:t>
      </w:r>
    </w:p>
    <w:p w14:paraId="0DC5AF4E" w14:textId="77777777" w:rsidR="00AE24DC" w:rsidRPr="00995AAE" w:rsidRDefault="00AE24DC" w:rsidP="00AE24DC">
      <w:pPr>
        <w:pStyle w:val="ReferencePoints"/>
      </w:pPr>
    </w:p>
    <w:p w14:paraId="73E3069E" w14:textId="77777777" w:rsidR="000C22E9" w:rsidRPr="00995AAE" w:rsidRDefault="008E2DBF" w:rsidP="000B4E5D">
      <w:pPr>
        <w:pStyle w:val="Heading1"/>
        <w:spacing w:before="0" w:after="360" w:line="240" w:lineRule="auto"/>
        <w:jc w:val="both"/>
      </w:pPr>
      <w:bookmarkStart w:id="85" w:name="_Toc370205839"/>
      <w:bookmarkStart w:id="86" w:name="_Toc418684283"/>
      <w:bookmarkStart w:id="87" w:name="_Toc428368865"/>
      <w:bookmarkStart w:id="88" w:name="Domain5"/>
      <w:r w:rsidRPr="00995AAE">
        <w:t>Institutional</w:t>
      </w:r>
      <w:r w:rsidR="0058123B" w:rsidRPr="00995AAE">
        <w:t xml:space="preserve"> </w:t>
      </w:r>
      <w:r w:rsidR="000C22E9" w:rsidRPr="00995AAE">
        <w:t>Quality Assurance</w:t>
      </w:r>
      <w:bookmarkEnd w:id="85"/>
      <w:bookmarkEnd w:id="86"/>
      <w:bookmarkEnd w:id="87"/>
    </w:p>
    <w:p w14:paraId="6781DFF2" w14:textId="77777777" w:rsidR="004C57BA" w:rsidRPr="00995AAE" w:rsidRDefault="004C57BA" w:rsidP="000B4E5D">
      <w:pPr>
        <w:pStyle w:val="Heading2"/>
      </w:pPr>
      <w:bookmarkStart w:id="89" w:name="_Toc383762205"/>
      <w:bookmarkStart w:id="90" w:name="_Toc370205840"/>
      <w:bookmarkStart w:id="91" w:name="_Toc418684284"/>
      <w:bookmarkStart w:id="92" w:name="_Toc428368866"/>
      <w:bookmarkEnd w:id="88"/>
      <w:bookmarkEnd w:id="89"/>
      <w:r w:rsidRPr="00995AAE">
        <w:t>Course Approval and Accreditation</w:t>
      </w:r>
      <w:bookmarkEnd w:id="90"/>
      <w:bookmarkEnd w:id="91"/>
      <w:bookmarkEnd w:id="92"/>
      <w:r w:rsidR="00435F51" w:rsidRPr="00995AAE">
        <w:t xml:space="preserve"> </w:t>
      </w:r>
    </w:p>
    <w:p w14:paraId="7C792D30" w14:textId="77777777" w:rsidR="007479B6" w:rsidRPr="00097BFB" w:rsidRDefault="00D30CA9" w:rsidP="00B136B6">
      <w:pPr>
        <w:pStyle w:val="Heading3"/>
        <w:rPr>
          <w:rStyle w:val="Hyperlink"/>
          <w:color w:val="auto"/>
          <w:u w:val="none"/>
        </w:rPr>
      </w:pPr>
      <w:r w:rsidRPr="00097BFB">
        <w:t xml:space="preserve">There </w:t>
      </w:r>
      <w:r w:rsidR="006C5CF8" w:rsidRPr="00995AAE">
        <w:t>are</w:t>
      </w:r>
      <w:r w:rsidR="008B00F8" w:rsidRPr="00995AAE">
        <w:t xml:space="preserve"> </w:t>
      </w:r>
      <w:r w:rsidR="004C57BA" w:rsidRPr="00995AAE">
        <w:t>process</w:t>
      </w:r>
      <w:r w:rsidR="006C5CF8" w:rsidRPr="00995AAE">
        <w:t>es</w:t>
      </w:r>
      <w:r w:rsidR="004C57BA" w:rsidRPr="00995AAE">
        <w:t xml:space="preserve"> for </w:t>
      </w:r>
      <w:r w:rsidR="00E72653" w:rsidRPr="00995AAE">
        <w:t xml:space="preserve">internal </w:t>
      </w:r>
      <w:r w:rsidR="004C57BA" w:rsidRPr="00995AAE">
        <w:t>approval</w:t>
      </w:r>
      <w:r w:rsidR="001E0AC5" w:rsidRPr="00995AAE">
        <w:t xml:space="preserve"> of the delivery of a course of study,</w:t>
      </w:r>
      <w:r w:rsidR="00B43532" w:rsidRPr="00995AAE">
        <w:t xml:space="preserve"> </w:t>
      </w:r>
      <w:r w:rsidR="004C57BA" w:rsidRPr="00995AAE">
        <w:t>or</w:t>
      </w:r>
      <w:r w:rsidR="00E72653" w:rsidRPr="00995AAE">
        <w:t>, where a provider has authority to self-accredit,</w:t>
      </w:r>
      <w:r w:rsidR="004C57BA" w:rsidRPr="00995AAE">
        <w:t xml:space="preserve"> </w:t>
      </w:r>
      <w:r w:rsidR="009214A5" w:rsidRPr="00995AAE">
        <w:t xml:space="preserve">internal </w:t>
      </w:r>
      <w:r w:rsidR="004C57BA" w:rsidRPr="00995AAE">
        <w:t>accreditation</w:t>
      </w:r>
      <w:r w:rsidR="0075553C" w:rsidRPr="00995AAE">
        <w:t>,</w:t>
      </w:r>
      <w:r w:rsidR="008B00F8" w:rsidRPr="00995AAE">
        <w:t xml:space="preserve"> </w:t>
      </w:r>
      <w:r w:rsidR="004C57BA" w:rsidRPr="00995AAE">
        <w:t>of</w:t>
      </w:r>
      <w:r w:rsidR="00F73027" w:rsidRPr="00995AAE">
        <w:t xml:space="preserve"> </w:t>
      </w:r>
      <w:r w:rsidR="00615FB9" w:rsidRPr="00995AAE">
        <w:t xml:space="preserve">all </w:t>
      </w:r>
      <w:r w:rsidR="007D1F9D" w:rsidRPr="00995AAE">
        <w:t>courses of study</w:t>
      </w:r>
      <w:r w:rsidR="006C5CF8" w:rsidRPr="00995AAE">
        <w:t xml:space="preserve"> leading to a </w:t>
      </w:r>
      <w:r w:rsidR="00326E75" w:rsidRPr="00995AAE">
        <w:t>h</w:t>
      </w:r>
      <w:r w:rsidR="006C5CF8" w:rsidRPr="00995AAE">
        <w:t xml:space="preserve">igher </w:t>
      </w:r>
      <w:r w:rsidR="00326E75" w:rsidRPr="00995AAE">
        <w:t>e</w:t>
      </w:r>
      <w:r w:rsidR="006C5CF8" w:rsidRPr="00995AAE">
        <w:t xml:space="preserve">ducation </w:t>
      </w:r>
      <w:r w:rsidR="00326E75" w:rsidRPr="00995AAE">
        <w:t>q</w:t>
      </w:r>
      <w:r w:rsidR="006C5CF8" w:rsidRPr="00995AAE">
        <w:t>ualification</w:t>
      </w:r>
      <w:r w:rsidR="008B00F8" w:rsidRPr="00995AAE">
        <w:t>.</w:t>
      </w:r>
      <w:r w:rsidR="006C5CF8" w:rsidRPr="00995AAE">
        <w:rPr>
          <w:rStyle w:val="Hyperlink"/>
        </w:rPr>
        <w:t xml:space="preserve"> </w:t>
      </w:r>
    </w:p>
    <w:p w14:paraId="4FC78851" w14:textId="77777777" w:rsidR="004C57BA" w:rsidRPr="00995AAE" w:rsidRDefault="007479B6" w:rsidP="00B136B6">
      <w:pPr>
        <w:pStyle w:val="Heading3"/>
      </w:pPr>
      <w:r w:rsidRPr="00995AAE">
        <w:t>Course a</w:t>
      </w:r>
      <w:r w:rsidR="006C5CF8" w:rsidRPr="00995AAE">
        <w:t>p</w:t>
      </w:r>
      <w:r w:rsidR="00615FB9" w:rsidRPr="00995AAE">
        <w:t xml:space="preserve">proval and </w:t>
      </w:r>
      <w:r w:rsidR="009214A5" w:rsidRPr="00995AAE">
        <w:t>self-</w:t>
      </w:r>
      <w:r w:rsidR="00615FB9" w:rsidRPr="00995AAE">
        <w:t xml:space="preserve">accreditation </w:t>
      </w:r>
      <w:r w:rsidR="006C5CF8" w:rsidRPr="00995AAE">
        <w:t xml:space="preserve">processes </w:t>
      </w:r>
      <w:r w:rsidR="00615FB9" w:rsidRPr="00995AAE">
        <w:t>are</w:t>
      </w:r>
      <w:r w:rsidR="004C57BA" w:rsidRPr="00995AAE">
        <w:t xml:space="preserve"> overseen by peak </w:t>
      </w:r>
      <w:r w:rsidR="00F70D81" w:rsidRPr="00995AAE">
        <w:t xml:space="preserve">institutional </w:t>
      </w:r>
      <w:r w:rsidR="004C57BA" w:rsidRPr="00995AAE">
        <w:t xml:space="preserve">academic governance processes </w:t>
      </w:r>
      <w:r w:rsidR="006C5CF8" w:rsidRPr="00995AAE">
        <w:t xml:space="preserve">and </w:t>
      </w:r>
      <w:r w:rsidR="0075553C" w:rsidRPr="00995AAE">
        <w:t xml:space="preserve">they </w:t>
      </w:r>
      <w:r w:rsidR="00F52F54" w:rsidRPr="00995AAE">
        <w:t>are</w:t>
      </w:r>
      <w:r w:rsidR="006C675C" w:rsidRPr="00995AAE">
        <w:t xml:space="preserve"> </w:t>
      </w:r>
      <w:r w:rsidR="004C57BA" w:rsidRPr="00995AAE">
        <w:t xml:space="preserve">applied consistently to all </w:t>
      </w:r>
      <w:r w:rsidR="007D1F9D" w:rsidRPr="00995AAE">
        <w:t>courses of study</w:t>
      </w:r>
      <w:r w:rsidR="004C57BA" w:rsidRPr="00995AAE">
        <w:t>, before the courses are first offered and during re-approval or re-accreditation of the courses.</w:t>
      </w:r>
    </w:p>
    <w:p w14:paraId="34C56B43" w14:textId="77777777" w:rsidR="004C57BA" w:rsidRPr="00995AAE" w:rsidRDefault="004C57BA" w:rsidP="00B136B6">
      <w:pPr>
        <w:pStyle w:val="Heading3"/>
      </w:pPr>
      <w:r w:rsidRPr="00995AAE">
        <w:t xml:space="preserve">A </w:t>
      </w:r>
      <w:r w:rsidR="007D1F9D" w:rsidRPr="00995AAE">
        <w:t>course of study</w:t>
      </w:r>
      <w:r w:rsidRPr="00995AAE">
        <w:t xml:space="preserve"> is approved or accredited, or re</w:t>
      </w:r>
      <w:r w:rsidR="002122AC" w:rsidRPr="00995AAE">
        <w:t>-</w:t>
      </w:r>
      <w:r w:rsidRPr="00995AAE">
        <w:t>approved or re</w:t>
      </w:r>
      <w:r w:rsidR="002122AC" w:rsidRPr="00995AAE">
        <w:t>-</w:t>
      </w:r>
      <w:r w:rsidRPr="00995AAE">
        <w:t>accredited, only when:</w:t>
      </w:r>
    </w:p>
    <w:p w14:paraId="14B0A908" w14:textId="77777777" w:rsidR="00BF6BED" w:rsidRPr="00995AAE" w:rsidRDefault="004C57BA" w:rsidP="00B136B6">
      <w:pPr>
        <w:pStyle w:val="Heading4"/>
      </w:pPr>
      <w:proofErr w:type="gramStart"/>
      <w:r w:rsidRPr="00995AAE">
        <w:t>the</w:t>
      </w:r>
      <w:proofErr w:type="gramEnd"/>
      <w:r w:rsidRPr="00995AAE">
        <w:t xml:space="preserve"> </w:t>
      </w:r>
      <w:r w:rsidR="007D1F9D" w:rsidRPr="00995AAE">
        <w:t>course of study</w:t>
      </w:r>
      <w:r w:rsidRPr="00995AAE">
        <w:t xml:space="preserve"> meets, and continues to meet, </w:t>
      </w:r>
      <w:r w:rsidR="00B8400B" w:rsidRPr="00995AAE">
        <w:t xml:space="preserve">the </w:t>
      </w:r>
      <w:r w:rsidR="008C5ACE" w:rsidRPr="00995AAE">
        <w:t xml:space="preserve">applicable </w:t>
      </w:r>
      <w:r w:rsidR="00DB109D" w:rsidRPr="00995AAE">
        <w:t>Standards</w:t>
      </w:r>
      <w:r w:rsidRPr="00995AAE">
        <w:t xml:space="preserve"> of the </w:t>
      </w:r>
      <w:r w:rsidRPr="00995AAE">
        <w:rPr>
          <w:i/>
        </w:rPr>
        <w:t>Higher Education Standards Framework</w:t>
      </w:r>
      <w:r w:rsidRPr="00995AAE">
        <w:t xml:space="preserve"> </w:t>
      </w:r>
    </w:p>
    <w:p w14:paraId="58515A84" w14:textId="77777777" w:rsidR="004C57BA" w:rsidRPr="00995AAE" w:rsidRDefault="004C57BA" w:rsidP="00B136B6">
      <w:pPr>
        <w:pStyle w:val="Heading4"/>
      </w:pPr>
      <w:r w:rsidRPr="00995AAE">
        <w:t>the decision to (re</w:t>
      </w:r>
      <w:r w:rsidR="002122AC" w:rsidRPr="00995AAE">
        <w:t>-</w:t>
      </w:r>
      <w:r w:rsidRPr="00995AAE">
        <w:t>)approve or (re</w:t>
      </w:r>
      <w:r w:rsidR="002122AC" w:rsidRPr="00995AAE">
        <w:t>-</w:t>
      </w:r>
      <w:r w:rsidRPr="00995AAE">
        <w:t xml:space="preserve">)accredit </w:t>
      </w:r>
      <w:r w:rsidR="00EA65BF" w:rsidRPr="00995AAE">
        <w:t xml:space="preserve">a </w:t>
      </w:r>
      <w:r w:rsidR="007D1F9D" w:rsidRPr="00995AAE">
        <w:t>course of study</w:t>
      </w:r>
      <w:r w:rsidR="00EA65BF" w:rsidRPr="00995AAE">
        <w:t xml:space="preserve"> </w:t>
      </w:r>
      <w:r w:rsidRPr="00995AAE">
        <w:t xml:space="preserve">is informed by </w:t>
      </w:r>
      <w:r w:rsidR="00DE3B06" w:rsidRPr="00995AAE">
        <w:t xml:space="preserve">overarching </w:t>
      </w:r>
      <w:r w:rsidRPr="00995AAE">
        <w:t xml:space="preserve">academic </w:t>
      </w:r>
      <w:r w:rsidR="00213EB9" w:rsidRPr="00995AAE">
        <w:t xml:space="preserve">scrutiny </w:t>
      </w:r>
      <w:r w:rsidR="006C5CF8" w:rsidRPr="00995AAE">
        <w:t xml:space="preserve">of the course of study </w:t>
      </w:r>
      <w:r w:rsidRPr="00995AAE">
        <w:t xml:space="preserve">that </w:t>
      </w:r>
      <w:r w:rsidR="00213EB9" w:rsidRPr="00995AAE">
        <w:t>is</w:t>
      </w:r>
      <w:r w:rsidR="006C5CF8" w:rsidRPr="00995AAE">
        <w:t xml:space="preserve"> </w:t>
      </w:r>
      <w:r w:rsidR="00D30CA9" w:rsidRPr="00995AAE">
        <w:t>competent to assess</w:t>
      </w:r>
      <w:r w:rsidRPr="00995AAE">
        <w:t xml:space="preserve"> the design, delivery and assessment of the </w:t>
      </w:r>
      <w:r w:rsidR="007D1F9D" w:rsidRPr="00995AAE">
        <w:t>course of study</w:t>
      </w:r>
      <w:r w:rsidR="00D30CA9" w:rsidRPr="00995AAE">
        <w:t xml:space="preserve"> independent</w:t>
      </w:r>
      <w:r w:rsidR="009214A5" w:rsidRPr="00995AAE">
        <w:t>ly</w:t>
      </w:r>
      <w:r w:rsidR="00D30CA9" w:rsidRPr="00995AAE">
        <w:t xml:space="preserve"> of the staff directly involved in those aspects of the course</w:t>
      </w:r>
      <w:r w:rsidRPr="00995AAE">
        <w:t xml:space="preserve">, and </w:t>
      </w:r>
    </w:p>
    <w:p w14:paraId="440A6626" w14:textId="77777777" w:rsidR="004C57BA" w:rsidRPr="00995AAE" w:rsidRDefault="004C57BA" w:rsidP="00B136B6">
      <w:pPr>
        <w:pStyle w:val="Heading4"/>
      </w:pPr>
      <w:proofErr w:type="gramStart"/>
      <w:r w:rsidRPr="00995AAE">
        <w:t>the</w:t>
      </w:r>
      <w:proofErr w:type="gramEnd"/>
      <w:r w:rsidRPr="00995AAE">
        <w:t xml:space="preserve"> resources required to deliver the course as approved or accredited will be available when needed. </w:t>
      </w:r>
    </w:p>
    <w:p w14:paraId="5DFDA4BB" w14:textId="77777777" w:rsidR="00EB6FB7" w:rsidRPr="00995AAE" w:rsidRDefault="00EB6FB7" w:rsidP="00B136B6">
      <w:pPr>
        <w:pStyle w:val="Heading3"/>
        <w:numPr>
          <w:ilvl w:val="0"/>
          <w:numId w:val="0"/>
        </w:numPr>
        <w:ind w:left="1418"/>
      </w:pPr>
      <w:bookmarkStart w:id="93" w:name="_Toc370205841"/>
    </w:p>
    <w:p w14:paraId="66A58D79" w14:textId="77777777" w:rsidR="00F04807" w:rsidRPr="00995AAE" w:rsidRDefault="00F04807" w:rsidP="000B4E5D">
      <w:pPr>
        <w:pStyle w:val="Heading2"/>
      </w:pPr>
      <w:bookmarkStart w:id="94" w:name="_Toc418684285"/>
      <w:bookmarkStart w:id="95" w:name="_Toc428368867"/>
      <w:r w:rsidRPr="00995AAE">
        <w:t xml:space="preserve">Academic </w:t>
      </w:r>
      <w:r w:rsidR="00003215" w:rsidRPr="00995AAE">
        <w:t xml:space="preserve">and Research </w:t>
      </w:r>
      <w:r w:rsidRPr="00995AAE">
        <w:t>Integrity</w:t>
      </w:r>
      <w:bookmarkEnd w:id="93"/>
      <w:bookmarkEnd w:id="94"/>
      <w:bookmarkEnd w:id="95"/>
      <w:r w:rsidR="00435F51" w:rsidRPr="00995AAE">
        <w:t xml:space="preserve">    </w:t>
      </w:r>
    </w:p>
    <w:p w14:paraId="7831383D" w14:textId="77777777" w:rsidR="00F04807" w:rsidRPr="00995AAE" w:rsidRDefault="00F04807" w:rsidP="00B136B6">
      <w:pPr>
        <w:pStyle w:val="Heading3"/>
      </w:pPr>
      <w:r w:rsidRPr="00995AAE">
        <w:t>There are policies t</w:t>
      </w:r>
      <w:r w:rsidR="002F1F07" w:rsidRPr="00995AAE">
        <w:t>hat</w:t>
      </w:r>
      <w:r w:rsidRPr="00995AAE">
        <w:t xml:space="preserve"> promote and uphold the academic </w:t>
      </w:r>
      <w:r w:rsidR="0075553C" w:rsidRPr="00995AAE">
        <w:t xml:space="preserve">and research </w:t>
      </w:r>
      <w:r w:rsidRPr="00995AAE">
        <w:t xml:space="preserve">integrity of </w:t>
      </w:r>
      <w:r w:rsidR="00331040" w:rsidRPr="00995AAE">
        <w:t>courses and units of study</w:t>
      </w:r>
      <w:r w:rsidRPr="00995AAE">
        <w:t>, research and research training activities</w:t>
      </w:r>
      <w:r w:rsidR="008206A5" w:rsidRPr="00995AAE">
        <w:t>,</w:t>
      </w:r>
      <w:r w:rsidRPr="00995AAE">
        <w:t xml:space="preserve"> and</w:t>
      </w:r>
      <w:r w:rsidR="008206A5" w:rsidRPr="00995AAE">
        <w:t xml:space="preserve"> </w:t>
      </w:r>
      <w:r w:rsidR="0075553C" w:rsidRPr="00995AAE">
        <w:t xml:space="preserve">institutional </w:t>
      </w:r>
      <w:r w:rsidR="008206A5" w:rsidRPr="00995AAE">
        <w:t>policies and procedures</w:t>
      </w:r>
      <w:r w:rsidRPr="00995AAE">
        <w:t xml:space="preserve"> </w:t>
      </w:r>
      <w:r w:rsidR="005230B0" w:rsidRPr="00995AAE">
        <w:t xml:space="preserve">address </w:t>
      </w:r>
      <w:r w:rsidR="00EE2521" w:rsidRPr="00995AAE">
        <w:t>misconduct and allegations of</w:t>
      </w:r>
      <w:r w:rsidRPr="00995AAE">
        <w:t xml:space="preserve"> misconduct. </w:t>
      </w:r>
    </w:p>
    <w:p w14:paraId="134781D6" w14:textId="77777777" w:rsidR="002B699F" w:rsidRPr="00995AAE" w:rsidRDefault="002B699F" w:rsidP="00B136B6">
      <w:pPr>
        <w:pStyle w:val="Heading3"/>
      </w:pPr>
      <w:r w:rsidRPr="00995AAE">
        <w:t>Preven</w:t>
      </w:r>
      <w:r w:rsidR="00D776F3" w:rsidRPr="00995AAE">
        <w:t>ta</w:t>
      </w:r>
      <w:r w:rsidRPr="00995AAE">
        <w:t xml:space="preserve">tive action is taken to </w:t>
      </w:r>
      <w:r w:rsidR="0023254D" w:rsidRPr="00995AAE">
        <w:t xml:space="preserve">mitigate </w:t>
      </w:r>
      <w:r w:rsidRPr="00995AAE">
        <w:t xml:space="preserve">foreseeable risks to academic </w:t>
      </w:r>
      <w:r w:rsidR="007479B6" w:rsidRPr="00995AAE">
        <w:t xml:space="preserve">and research </w:t>
      </w:r>
      <w:r w:rsidRPr="00995AAE">
        <w:t>integrity including misrepresentation, fabrication, cheating, plagiarism and misuse of intellectual property</w:t>
      </w:r>
      <w:r w:rsidR="00A96864" w:rsidRPr="00995AAE">
        <w:t>,</w:t>
      </w:r>
      <w:r w:rsidR="00B8400B" w:rsidRPr="00995AAE">
        <w:t xml:space="preserve"> and to prevent recurrences</w:t>
      </w:r>
      <w:r w:rsidR="003243A6" w:rsidRPr="00995AAE">
        <w:t xml:space="preserve"> of breaches</w:t>
      </w:r>
      <w:r w:rsidRPr="00995AAE">
        <w:t>.</w:t>
      </w:r>
    </w:p>
    <w:p w14:paraId="394CA404" w14:textId="77777777" w:rsidR="002B699F" w:rsidRPr="00995AAE" w:rsidRDefault="002B699F" w:rsidP="00B136B6">
      <w:pPr>
        <w:pStyle w:val="Heading3"/>
      </w:pPr>
      <w:r w:rsidRPr="00995AAE">
        <w:t xml:space="preserve">Students are provided with guidance </w:t>
      </w:r>
      <w:r w:rsidR="00344A35" w:rsidRPr="00995AAE">
        <w:t>on</w:t>
      </w:r>
      <w:r w:rsidR="00BF631F" w:rsidRPr="00995AAE">
        <w:t xml:space="preserve"> what constitutes academic or research misconduct and </w:t>
      </w:r>
      <w:r w:rsidR="00331040" w:rsidRPr="00995AAE">
        <w:t xml:space="preserve">the </w:t>
      </w:r>
      <w:r w:rsidR="0023254D" w:rsidRPr="00995AAE">
        <w:t>development of</w:t>
      </w:r>
      <w:r w:rsidRPr="00995AAE">
        <w:t xml:space="preserve"> good practices in maintaining academic </w:t>
      </w:r>
      <w:r w:rsidR="00BF631F" w:rsidRPr="00995AAE">
        <w:t xml:space="preserve">and research </w:t>
      </w:r>
      <w:r w:rsidRPr="00995AAE">
        <w:t xml:space="preserve">integrity. </w:t>
      </w:r>
    </w:p>
    <w:p w14:paraId="4C3D0CE9" w14:textId="77777777" w:rsidR="00F04807" w:rsidRPr="00995AAE" w:rsidRDefault="004D6EB5" w:rsidP="00B136B6">
      <w:pPr>
        <w:pStyle w:val="Heading3"/>
      </w:pPr>
      <w:r w:rsidRPr="00995AAE">
        <w:t>A</w:t>
      </w:r>
      <w:r w:rsidR="00F04807" w:rsidRPr="00995AAE">
        <w:t xml:space="preserve">cademic </w:t>
      </w:r>
      <w:r w:rsidR="007479B6" w:rsidRPr="00995AAE">
        <w:t xml:space="preserve">and research </w:t>
      </w:r>
      <w:r w:rsidR="00F04807" w:rsidRPr="00995AAE">
        <w:t xml:space="preserve">integrity </w:t>
      </w:r>
      <w:r w:rsidRPr="00995AAE">
        <w:t xml:space="preserve">and accountability for academic </w:t>
      </w:r>
      <w:r w:rsidR="007479B6" w:rsidRPr="00995AAE">
        <w:t xml:space="preserve">and research </w:t>
      </w:r>
      <w:r w:rsidRPr="00995AAE">
        <w:t xml:space="preserve">integrity </w:t>
      </w:r>
      <w:r w:rsidR="00250927" w:rsidRPr="00995AAE">
        <w:t>are</w:t>
      </w:r>
      <w:r w:rsidRPr="00995AAE">
        <w:t xml:space="preserve"> maintained in</w:t>
      </w:r>
      <w:r w:rsidR="008206A5" w:rsidRPr="00995AAE">
        <w:t xml:space="preserve"> </w:t>
      </w:r>
      <w:r w:rsidR="00F04807" w:rsidRPr="00995AAE">
        <w:t xml:space="preserve">arrangements with any other party involved in the provision of higher education, including placements, collaborative research, research training and joint award of </w:t>
      </w:r>
      <w:r w:rsidR="00D1593B" w:rsidRPr="00995AAE">
        <w:t>qualifications</w:t>
      </w:r>
      <w:r w:rsidR="00F04807" w:rsidRPr="00995AAE">
        <w:t>.</w:t>
      </w:r>
    </w:p>
    <w:p w14:paraId="5D253038" w14:textId="77777777" w:rsidR="00AE24DC" w:rsidRPr="00995AAE" w:rsidRDefault="00AE24DC" w:rsidP="00AE24DC">
      <w:pPr>
        <w:pStyle w:val="ReferencePoints"/>
      </w:pPr>
    </w:p>
    <w:p w14:paraId="76B7AB8F" w14:textId="77777777" w:rsidR="00C1231E" w:rsidRPr="00995AAE" w:rsidRDefault="00C1231E" w:rsidP="000B4E5D">
      <w:pPr>
        <w:pStyle w:val="Heading2"/>
      </w:pPr>
      <w:bookmarkStart w:id="96" w:name="_Toc370205842"/>
      <w:bookmarkStart w:id="97" w:name="_Toc418684286"/>
      <w:bookmarkStart w:id="98" w:name="_Toc428368868"/>
      <w:r w:rsidRPr="00995AAE">
        <w:t>Monitoring, Review and Improvement</w:t>
      </w:r>
      <w:bookmarkEnd w:id="96"/>
      <w:bookmarkEnd w:id="97"/>
      <w:bookmarkEnd w:id="98"/>
    </w:p>
    <w:p w14:paraId="7F3D7745" w14:textId="77777777" w:rsidR="00C1231E" w:rsidRPr="00995AAE" w:rsidRDefault="00C1231E" w:rsidP="00B136B6">
      <w:pPr>
        <w:pStyle w:val="Heading3"/>
      </w:pPr>
      <w:r w:rsidRPr="00995AAE">
        <w:t xml:space="preserve">All </w:t>
      </w:r>
      <w:r w:rsidR="001D18F5" w:rsidRPr="00995AAE">
        <w:t xml:space="preserve">accredited </w:t>
      </w:r>
      <w:r w:rsidR="007D1F9D" w:rsidRPr="00995AAE">
        <w:t>courses of study</w:t>
      </w:r>
      <w:r w:rsidRPr="00995AAE">
        <w:t xml:space="preserve"> are subject to </w:t>
      </w:r>
      <w:r w:rsidR="004F51E8" w:rsidRPr="00995AAE">
        <w:t xml:space="preserve">periodic </w:t>
      </w:r>
      <w:r w:rsidR="00BF0D88" w:rsidRPr="00995AAE">
        <w:t xml:space="preserve">(at least every seven years) </w:t>
      </w:r>
      <w:r w:rsidR="00294C57" w:rsidRPr="00995AAE">
        <w:t xml:space="preserve">comprehensive </w:t>
      </w:r>
      <w:r w:rsidRPr="00995AAE">
        <w:t>review</w:t>
      </w:r>
      <w:r w:rsidR="004F51E8" w:rsidRPr="00995AAE">
        <w:t>s</w:t>
      </w:r>
      <w:r w:rsidR="000E0F56" w:rsidRPr="00995AAE">
        <w:t xml:space="preserve"> </w:t>
      </w:r>
      <w:r w:rsidR="0075553C" w:rsidRPr="00995AAE">
        <w:t xml:space="preserve">that </w:t>
      </w:r>
      <w:r w:rsidR="004F51E8" w:rsidRPr="00995AAE">
        <w:t>are</w:t>
      </w:r>
      <w:r w:rsidR="001D18F5" w:rsidRPr="00995AAE">
        <w:t xml:space="preserve"> </w:t>
      </w:r>
      <w:r w:rsidRPr="00995AAE">
        <w:t>overseen by peak academic governance processes and include external referencing or other benchmarking activities.</w:t>
      </w:r>
    </w:p>
    <w:p w14:paraId="741588AD" w14:textId="77777777" w:rsidR="00331040" w:rsidRPr="00995AAE" w:rsidRDefault="00331040" w:rsidP="00B136B6">
      <w:pPr>
        <w:pStyle w:val="Heading3"/>
      </w:pPr>
      <w:r w:rsidRPr="00995AAE">
        <w:t xml:space="preserve">A comprehensive review includes the design and content of each course of study, the </w:t>
      </w:r>
      <w:r w:rsidRPr="00995AAE">
        <w:lastRenderedPageBreak/>
        <w:t xml:space="preserve">expected learning outcomes, the methods for assessment of those outcomes, the extent of students’ achievement of learning outcomes, and </w:t>
      </w:r>
      <w:r w:rsidR="0075553C" w:rsidRPr="00995AAE">
        <w:t xml:space="preserve">also </w:t>
      </w:r>
      <w:r w:rsidRPr="00995AAE">
        <w:t>take</w:t>
      </w:r>
      <w:r w:rsidR="001D18F5" w:rsidRPr="00995AAE">
        <w:t>s</w:t>
      </w:r>
      <w:r w:rsidRPr="00995AAE">
        <w:t xml:space="preserve"> account of emerging developments in the field of education, modes of delivery</w:t>
      </w:r>
      <w:r w:rsidR="001D18F5" w:rsidRPr="00995AAE">
        <w:t xml:space="preserve">, </w:t>
      </w:r>
      <w:r w:rsidRPr="00995AAE">
        <w:t>the changing needs of students</w:t>
      </w:r>
      <w:r w:rsidR="001D18F5" w:rsidRPr="00995AAE">
        <w:t xml:space="preserve"> and identified risks to the quality of the course of study</w:t>
      </w:r>
      <w:r w:rsidRPr="00995AAE">
        <w:t>.</w:t>
      </w:r>
    </w:p>
    <w:p w14:paraId="7929435D" w14:textId="77777777" w:rsidR="00C1231E" w:rsidRPr="00995AAE" w:rsidRDefault="004E63A4" w:rsidP="00B136B6">
      <w:pPr>
        <w:pStyle w:val="Heading3"/>
      </w:pPr>
      <w:r w:rsidRPr="00995AAE">
        <w:t xml:space="preserve">Comprehensive </w:t>
      </w:r>
      <w:r w:rsidR="00C1231E" w:rsidRPr="00995AAE">
        <w:t xml:space="preserve">reviews of </w:t>
      </w:r>
      <w:r w:rsidR="007D1F9D" w:rsidRPr="00995AAE">
        <w:t>courses of study</w:t>
      </w:r>
      <w:r w:rsidR="00C1231E" w:rsidRPr="00995AAE">
        <w:t xml:space="preserve"> are informed</w:t>
      </w:r>
      <w:r w:rsidR="00294C57" w:rsidRPr="00995AAE">
        <w:t xml:space="preserve"> and supported</w:t>
      </w:r>
      <w:r w:rsidR="00C1231E" w:rsidRPr="00995AAE">
        <w:t xml:space="preserve"> by </w:t>
      </w:r>
      <w:r w:rsidR="009214A5" w:rsidRPr="00995AAE">
        <w:t xml:space="preserve">regular interim </w:t>
      </w:r>
      <w:r w:rsidR="00C1231E" w:rsidRPr="00995AAE">
        <w:t>monitoring</w:t>
      </w:r>
      <w:r w:rsidR="00331040" w:rsidRPr="00995AAE">
        <w:t xml:space="preserve">, </w:t>
      </w:r>
      <w:r w:rsidR="00C1231E" w:rsidRPr="00995AAE">
        <w:t>of the quality of teaching</w:t>
      </w:r>
      <w:r w:rsidR="001D18F5" w:rsidRPr="00995AAE">
        <w:t xml:space="preserve"> and</w:t>
      </w:r>
      <w:r w:rsidR="00C1231E" w:rsidRPr="00995AAE">
        <w:t xml:space="preserve"> supervision</w:t>
      </w:r>
      <w:r w:rsidR="00331040" w:rsidRPr="00995AAE">
        <w:t xml:space="preserve"> of </w:t>
      </w:r>
      <w:r w:rsidR="00DC4867" w:rsidRPr="00995AAE">
        <w:t>research</w:t>
      </w:r>
      <w:r w:rsidR="00331040" w:rsidRPr="00995AAE">
        <w:t xml:space="preserve"> students</w:t>
      </w:r>
      <w:r w:rsidR="0089190F" w:rsidRPr="00995AAE">
        <w:t>, student progress</w:t>
      </w:r>
      <w:r w:rsidR="00C1231E" w:rsidRPr="00995AAE">
        <w:t xml:space="preserve"> and</w:t>
      </w:r>
      <w:r w:rsidR="0089190F" w:rsidRPr="00995AAE">
        <w:t xml:space="preserve"> </w:t>
      </w:r>
      <w:r w:rsidR="00C1231E" w:rsidRPr="00995AAE">
        <w:t xml:space="preserve">the overall delivery of </w:t>
      </w:r>
      <w:r w:rsidR="00E544D6" w:rsidRPr="00995AAE">
        <w:t>units</w:t>
      </w:r>
      <w:r w:rsidR="00C1231E" w:rsidRPr="00995AAE">
        <w:t xml:space="preserve"> within</w:t>
      </w:r>
      <w:r w:rsidR="00CF2EEF" w:rsidRPr="00995AAE">
        <w:t xml:space="preserve"> each</w:t>
      </w:r>
      <w:r w:rsidR="00C1231E" w:rsidRPr="00995AAE">
        <w:t xml:space="preserve"> course of study. </w:t>
      </w:r>
    </w:p>
    <w:p w14:paraId="3F0A43FE" w14:textId="77777777" w:rsidR="00C1231E" w:rsidRPr="00995AAE" w:rsidRDefault="00C1231E" w:rsidP="00B136B6">
      <w:pPr>
        <w:pStyle w:val="Heading3"/>
      </w:pPr>
      <w:r w:rsidRPr="00995AAE">
        <w:t xml:space="preserve">Review and improvement activities </w:t>
      </w:r>
      <w:r w:rsidR="00AC7542" w:rsidRPr="00995AAE">
        <w:t>include</w:t>
      </w:r>
      <w:r w:rsidRPr="00995AAE">
        <w:t xml:space="preserve"> </w:t>
      </w:r>
      <w:r w:rsidR="00355B85" w:rsidRPr="00995AAE">
        <w:t>regular</w:t>
      </w:r>
      <w:r w:rsidRPr="00995AAE">
        <w:t xml:space="preserve"> external referencing </w:t>
      </w:r>
      <w:r w:rsidR="009214A5" w:rsidRPr="00995AAE">
        <w:t xml:space="preserve">of the </w:t>
      </w:r>
      <w:r w:rsidR="00122C18" w:rsidRPr="00995AAE">
        <w:t>success of student cohorts</w:t>
      </w:r>
      <w:r w:rsidR="009214A5" w:rsidRPr="00995AAE">
        <w:t xml:space="preserve"> </w:t>
      </w:r>
      <w:r w:rsidRPr="00995AAE">
        <w:t xml:space="preserve">against comparable </w:t>
      </w:r>
      <w:r w:rsidR="007D1F9D" w:rsidRPr="00995AAE">
        <w:t>courses of study</w:t>
      </w:r>
      <w:r w:rsidRPr="00995AAE">
        <w:t>, including:</w:t>
      </w:r>
    </w:p>
    <w:p w14:paraId="07DF2ED5" w14:textId="77777777" w:rsidR="005230B0" w:rsidRPr="00995AAE" w:rsidRDefault="00122C18" w:rsidP="00B136B6">
      <w:pPr>
        <w:pStyle w:val="Heading4"/>
      </w:pPr>
      <w:proofErr w:type="gramStart"/>
      <w:r w:rsidRPr="00995AAE">
        <w:t>analyses</w:t>
      </w:r>
      <w:proofErr w:type="gramEnd"/>
      <w:r w:rsidRPr="00995AAE">
        <w:t xml:space="preserve"> of </w:t>
      </w:r>
      <w:r w:rsidR="00C1231E" w:rsidRPr="00995AAE">
        <w:t>progress</w:t>
      </w:r>
      <w:r w:rsidRPr="00995AAE">
        <w:t>ion rates,</w:t>
      </w:r>
      <w:r w:rsidR="004D1B11" w:rsidRPr="00995AAE">
        <w:t xml:space="preserve"> </w:t>
      </w:r>
      <w:r w:rsidR="00C1231E" w:rsidRPr="00995AAE">
        <w:t>attrition rates</w:t>
      </w:r>
      <w:r w:rsidRPr="00995AAE">
        <w:t>,</w:t>
      </w:r>
      <w:r w:rsidR="00C1231E" w:rsidRPr="00995AAE">
        <w:t xml:space="preserve"> completion times and rates and</w:t>
      </w:r>
      <w:r w:rsidRPr="00995AAE">
        <w:t>, where applicable, comparing different locations of delivery</w:t>
      </w:r>
      <w:r w:rsidR="005230B0" w:rsidRPr="00995AAE">
        <w:t>, and</w:t>
      </w:r>
    </w:p>
    <w:p w14:paraId="181466C4" w14:textId="77777777" w:rsidR="004B4FAE" w:rsidRPr="00995AAE" w:rsidRDefault="004B4FAE" w:rsidP="00B136B6">
      <w:pPr>
        <w:pStyle w:val="Heading4"/>
      </w:pPr>
      <w:proofErr w:type="gramStart"/>
      <w:r w:rsidRPr="00995AAE">
        <w:t>the</w:t>
      </w:r>
      <w:proofErr w:type="gramEnd"/>
      <w:r w:rsidRPr="00995AAE">
        <w:t xml:space="preserve"> assessment methods and grading of students’ achievement of learning outcomes for selected </w:t>
      </w:r>
      <w:r w:rsidRPr="00995AAE">
        <w:rPr>
          <w:bCs/>
        </w:rPr>
        <w:t>units of study</w:t>
      </w:r>
      <w:r w:rsidRPr="00995AAE">
        <w:t xml:space="preserve"> within courses of study.</w:t>
      </w:r>
    </w:p>
    <w:p w14:paraId="61B72852" w14:textId="77777777" w:rsidR="00BE585E" w:rsidRPr="00995AAE" w:rsidRDefault="008C2143" w:rsidP="00B136B6">
      <w:pPr>
        <w:pStyle w:val="Heading3"/>
      </w:pPr>
      <w:r w:rsidRPr="00995AAE">
        <w:t xml:space="preserve">All students </w:t>
      </w:r>
      <w:r w:rsidR="00BE585E" w:rsidRPr="00995AAE">
        <w:t xml:space="preserve">have opportunities to provide feedback on their educational experiences and student feedback informs </w:t>
      </w:r>
      <w:r w:rsidR="003722A9" w:rsidRPr="00995AAE">
        <w:t xml:space="preserve">institutional </w:t>
      </w:r>
      <w:r w:rsidR="00BE585E" w:rsidRPr="00995AAE">
        <w:t xml:space="preserve">monitoring, review and improvement activities. </w:t>
      </w:r>
    </w:p>
    <w:p w14:paraId="4A92B7B1" w14:textId="77777777" w:rsidR="00C1231E" w:rsidRPr="00995AAE" w:rsidRDefault="00F6668C" w:rsidP="00B136B6">
      <w:pPr>
        <w:pStyle w:val="Heading3"/>
      </w:pPr>
      <w:r w:rsidRPr="00995AAE">
        <w:t>All t</w:t>
      </w:r>
      <w:r w:rsidR="004A4A20" w:rsidRPr="00995AAE">
        <w:t>eachers and supervisors</w:t>
      </w:r>
      <w:r w:rsidR="00C1231E" w:rsidRPr="00995AAE">
        <w:t xml:space="preserve"> have opportunities to review feedback on their teaching and </w:t>
      </w:r>
      <w:r w:rsidR="00DC4867" w:rsidRPr="00995AAE">
        <w:t>research</w:t>
      </w:r>
      <w:r w:rsidR="00294C57" w:rsidRPr="00995AAE">
        <w:t xml:space="preserve"> </w:t>
      </w:r>
      <w:r w:rsidR="00C1231E" w:rsidRPr="00995AAE">
        <w:t xml:space="preserve">supervision and are supported </w:t>
      </w:r>
      <w:r w:rsidR="00294C57" w:rsidRPr="00995AAE">
        <w:t>in enhancing these</w:t>
      </w:r>
      <w:r w:rsidR="00AC7542" w:rsidRPr="00995AAE">
        <w:t xml:space="preserve"> activities</w:t>
      </w:r>
      <w:r w:rsidR="00C1231E" w:rsidRPr="00995AAE">
        <w:t>.</w:t>
      </w:r>
    </w:p>
    <w:p w14:paraId="799DDC56" w14:textId="77777777" w:rsidR="003B67CB" w:rsidRPr="00995AAE" w:rsidRDefault="00C1231E" w:rsidP="00B136B6">
      <w:pPr>
        <w:pStyle w:val="Heading3"/>
      </w:pPr>
      <w:r w:rsidRPr="00995AAE">
        <w:t xml:space="preserve">The results of regular </w:t>
      </w:r>
      <w:r w:rsidR="00122C18" w:rsidRPr="00995AAE">
        <w:t xml:space="preserve">interim </w:t>
      </w:r>
      <w:r w:rsidRPr="00995AAE">
        <w:t xml:space="preserve">monitoring, </w:t>
      </w:r>
      <w:r w:rsidR="004E63A4" w:rsidRPr="00995AAE">
        <w:t xml:space="preserve">comprehensive </w:t>
      </w:r>
      <w:r w:rsidRPr="00995AAE">
        <w:t>reviews</w:t>
      </w:r>
      <w:r w:rsidR="00CD221B" w:rsidRPr="00995AAE">
        <w:t>,</w:t>
      </w:r>
      <w:r w:rsidRPr="00995AAE">
        <w:t xml:space="preserve"> external referencing </w:t>
      </w:r>
      <w:r w:rsidR="00CD221B" w:rsidRPr="00995AAE">
        <w:t xml:space="preserve">and student feedback </w:t>
      </w:r>
      <w:r w:rsidRPr="00995AAE">
        <w:t xml:space="preserve">are </w:t>
      </w:r>
      <w:r w:rsidR="00C1645F" w:rsidRPr="00995AAE">
        <w:t>used</w:t>
      </w:r>
      <w:r w:rsidRPr="00995AAE">
        <w:t xml:space="preserve"> to mitigate future risks to the quality of </w:t>
      </w:r>
      <w:r w:rsidR="003722A9" w:rsidRPr="00995AAE">
        <w:t xml:space="preserve">the </w:t>
      </w:r>
      <w:r w:rsidRPr="00995AAE">
        <w:t>education provided</w:t>
      </w:r>
      <w:r w:rsidR="00BE585E" w:rsidRPr="00995AAE">
        <w:t xml:space="preserve"> and to guide and evaluate improvements</w:t>
      </w:r>
      <w:r w:rsidR="003B67CB" w:rsidRPr="00995AAE">
        <w:t>, including the use of data on student progress and success to</w:t>
      </w:r>
      <w:r w:rsidR="002E2F0D" w:rsidRPr="00995AAE">
        <w:t xml:space="preserve"> </w:t>
      </w:r>
      <w:r w:rsidR="003B67CB" w:rsidRPr="00995AAE">
        <w:t xml:space="preserve">inform admission criteria and approaches to </w:t>
      </w:r>
      <w:r w:rsidR="00BF0D88" w:rsidRPr="00995AAE">
        <w:t xml:space="preserve">course design, </w:t>
      </w:r>
      <w:r w:rsidR="003B67CB" w:rsidRPr="00995AAE">
        <w:t>teaching, supervision, learning and academic support.</w:t>
      </w:r>
    </w:p>
    <w:p w14:paraId="381AC3AE" w14:textId="77777777" w:rsidR="00957857" w:rsidRPr="00995AAE" w:rsidRDefault="00957857" w:rsidP="00957857">
      <w:pPr>
        <w:rPr>
          <w:lang w:val="en-AU"/>
        </w:rPr>
      </w:pPr>
    </w:p>
    <w:p w14:paraId="75D1CE63" w14:textId="77777777" w:rsidR="00957857" w:rsidRPr="00995AAE" w:rsidRDefault="00957857" w:rsidP="00957857">
      <w:pPr>
        <w:pStyle w:val="Heading2"/>
        <w:ind w:left="993" w:hanging="709"/>
      </w:pPr>
      <w:bookmarkStart w:id="99" w:name="_Toc418684287"/>
      <w:bookmarkStart w:id="100" w:name="_Toc428368869"/>
      <w:bookmarkStart w:id="101" w:name="_Toc370205843"/>
      <w:r w:rsidRPr="00995AAE">
        <w:t>Delivery with Other Parties</w:t>
      </w:r>
      <w:bookmarkEnd w:id="99"/>
      <w:bookmarkEnd w:id="100"/>
      <w:r w:rsidRPr="00995AAE">
        <w:t xml:space="preserve"> </w:t>
      </w:r>
    </w:p>
    <w:p w14:paraId="0CE7A68D" w14:textId="77777777" w:rsidR="00957857" w:rsidRPr="00995AAE" w:rsidRDefault="00957857" w:rsidP="00B136B6">
      <w:pPr>
        <w:pStyle w:val="Heading3"/>
      </w:pPr>
      <w:r w:rsidRPr="00995AAE">
        <w:t>Work-integrated learning, placements, other community-based learning and collaborative research training arrangements are quality assured, including assurance of the quality of supervision of student experiences.</w:t>
      </w:r>
    </w:p>
    <w:p w14:paraId="2DED28FE" w14:textId="77777777" w:rsidR="00957857" w:rsidRPr="00995AAE" w:rsidRDefault="00957857" w:rsidP="00B136B6">
      <w:pPr>
        <w:pStyle w:val="Heading3"/>
      </w:pPr>
      <w:r w:rsidRPr="00995AAE">
        <w:t xml:space="preserve">When a course of study, any parts of a course of study, or research training are delivered through arrangements with another </w:t>
      </w:r>
      <w:proofErr w:type="gramStart"/>
      <w:r w:rsidRPr="00995AAE">
        <w:t>party(</w:t>
      </w:r>
      <w:proofErr w:type="spellStart"/>
      <w:proofErr w:type="gramEnd"/>
      <w:r w:rsidRPr="00995AAE">
        <w:t>ies</w:t>
      </w:r>
      <w:proofErr w:type="spellEnd"/>
      <w:r w:rsidRPr="00995AAE">
        <w:t xml:space="preserve">), whether in Australia or overseas, the registered higher education provider remains accountable for the course of study and verifies continuing compliance of the course of study with the standards in the </w:t>
      </w:r>
      <w:r w:rsidRPr="00995AAE">
        <w:rPr>
          <w:i/>
        </w:rPr>
        <w:t>Higher Education Standards Framework</w:t>
      </w:r>
      <w:r w:rsidRPr="00995AAE">
        <w:t xml:space="preserve"> that relate to the specific arrangement.</w:t>
      </w:r>
    </w:p>
    <w:p w14:paraId="7E4A73D5" w14:textId="77777777" w:rsidR="00BC5134" w:rsidRPr="00995AAE" w:rsidRDefault="00BC5134" w:rsidP="000B4E5D">
      <w:pPr>
        <w:tabs>
          <w:tab w:val="clear" w:pos="1134"/>
        </w:tabs>
        <w:spacing w:after="200" w:line="276" w:lineRule="auto"/>
        <w:rPr>
          <w:lang w:val="en-AU"/>
        </w:rPr>
      </w:pPr>
    </w:p>
    <w:p w14:paraId="094AB13C" w14:textId="77777777" w:rsidR="00FE6394" w:rsidRPr="00995AAE" w:rsidRDefault="002E00E0" w:rsidP="000B4E5D">
      <w:pPr>
        <w:pStyle w:val="Heading1"/>
        <w:spacing w:before="0" w:after="360" w:line="240" w:lineRule="auto"/>
        <w:jc w:val="both"/>
      </w:pPr>
      <w:bookmarkStart w:id="102" w:name="_Toc418684288"/>
      <w:bookmarkStart w:id="103" w:name="_Toc428368870"/>
      <w:bookmarkStart w:id="104" w:name="Domain6"/>
      <w:r w:rsidRPr="00995AAE">
        <w:t>Governance</w:t>
      </w:r>
      <w:bookmarkEnd w:id="101"/>
      <w:r w:rsidR="009D3E09" w:rsidRPr="00995AAE">
        <w:t xml:space="preserve"> and Accountability</w:t>
      </w:r>
      <w:bookmarkEnd w:id="102"/>
      <w:bookmarkEnd w:id="103"/>
    </w:p>
    <w:p w14:paraId="117E1235" w14:textId="77777777" w:rsidR="00567DDE" w:rsidRPr="00995AAE" w:rsidRDefault="00567DDE" w:rsidP="000B4E5D">
      <w:pPr>
        <w:pStyle w:val="Heading2"/>
      </w:pPr>
      <w:bookmarkStart w:id="105" w:name="_Toc383762210"/>
      <w:bookmarkStart w:id="106" w:name="_Toc418684289"/>
      <w:bookmarkStart w:id="107" w:name="_Toc428368871"/>
      <w:bookmarkEnd w:id="104"/>
      <w:bookmarkEnd w:id="105"/>
      <w:r w:rsidRPr="00995AAE">
        <w:t>Corporate Governance</w:t>
      </w:r>
      <w:bookmarkEnd w:id="106"/>
      <w:bookmarkEnd w:id="107"/>
      <w:r w:rsidR="00B615BA" w:rsidRPr="00995AAE">
        <w:t xml:space="preserve"> </w:t>
      </w:r>
    </w:p>
    <w:p w14:paraId="2C8D32B4" w14:textId="77777777" w:rsidR="00567DDE" w:rsidRPr="00995AAE" w:rsidRDefault="00567DDE" w:rsidP="00B136B6">
      <w:pPr>
        <w:pStyle w:val="Heading3"/>
      </w:pPr>
      <w:r w:rsidRPr="00995AAE">
        <w:t>There is a formally constituted governing body</w:t>
      </w:r>
      <w:r w:rsidR="003B52C9" w:rsidRPr="00995AAE">
        <w:t xml:space="preserve">, </w:t>
      </w:r>
      <w:r w:rsidR="00931ABF" w:rsidRPr="00995AAE">
        <w:t xml:space="preserve">which includes </w:t>
      </w:r>
      <w:r w:rsidR="003B52C9" w:rsidRPr="00995AAE">
        <w:t xml:space="preserve">independent members, </w:t>
      </w:r>
      <w:r w:rsidRPr="00995AAE">
        <w:t xml:space="preserve">that </w:t>
      </w:r>
      <w:r w:rsidR="00606D8B" w:rsidRPr="00995AAE">
        <w:t xml:space="preserve">exercises competent </w:t>
      </w:r>
      <w:r w:rsidRPr="00995AAE">
        <w:t xml:space="preserve">governance oversight of </w:t>
      </w:r>
      <w:r w:rsidR="00606D8B" w:rsidRPr="00995AAE">
        <w:t xml:space="preserve">and is accountable for </w:t>
      </w:r>
      <w:r w:rsidRPr="00995AAE">
        <w:t xml:space="preserve">all of the </w:t>
      </w:r>
      <w:r w:rsidR="004D6727" w:rsidRPr="00995AAE">
        <w:t>higher education provider</w:t>
      </w:r>
      <w:r w:rsidR="005A5C02" w:rsidRPr="00995AAE">
        <w:t>’s</w:t>
      </w:r>
      <w:r w:rsidRPr="00995AAE">
        <w:t xml:space="preserve"> operations</w:t>
      </w:r>
      <w:r w:rsidR="00326E75" w:rsidRPr="00995AAE">
        <w:t xml:space="preserve"> in or from Australia</w:t>
      </w:r>
      <w:r w:rsidRPr="00995AAE">
        <w:t xml:space="preserve">, including accountability for the award of higher education </w:t>
      </w:r>
      <w:r w:rsidR="00D1593B" w:rsidRPr="00995AAE">
        <w:t>qualifications</w:t>
      </w:r>
      <w:r w:rsidR="000D6696" w:rsidRPr="00995AAE">
        <w:rPr>
          <w:rStyle w:val="Hyperlink"/>
          <w:color w:val="auto"/>
          <w:u w:val="none"/>
        </w:rPr>
        <w:t xml:space="preserve">, for continuing to meet the requirements of the </w:t>
      </w:r>
      <w:r w:rsidR="000D6696" w:rsidRPr="00995AAE">
        <w:rPr>
          <w:rStyle w:val="Hyperlink"/>
          <w:i/>
          <w:color w:val="auto"/>
          <w:u w:val="none"/>
        </w:rPr>
        <w:t>Higher Education Standards Framework</w:t>
      </w:r>
      <w:r w:rsidR="00BB1A1F" w:rsidRPr="00995AAE">
        <w:t xml:space="preserve"> and </w:t>
      </w:r>
      <w:r w:rsidR="000D6696" w:rsidRPr="00995AAE">
        <w:t xml:space="preserve">for </w:t>
      </w:r>
      <w:r w:rsidR="00BB1A1F" w:rsidRPr="00995AAE">
        <w:t xml:space="preserve">the provider’s representation of </w:t>
      </w:r>
      <w:proofErr w:type="gramStart"/>
      <w:r w:rsidR="00BB1A1F" w:rsidRPr="00995AAE">
        <w:t>itself</w:t>
      </w:r>
      <w:proofErr w:type="gramEnd"/>
      <w:r w:rsidRPr="00995AAE">
        <w:t>.</w:t>
      </w:r>
    </w:p>
    <w:p w14:paraId="3FDEE6C0" w14:textId="77777777" w:rsidR="00432CF7" w:rsidRPr="00995AAE" w:rsidRDefault="00432CF7" w:rsidP="00432CF7">
      <w:pPr>
        <w:pStyle w:val="Heading3"/>
      </w:pPr>
      <w:r w:rsidRPr="00995AAE">
        <w:t>Members of the governing body:</w:t>
      </w:r>
    </w:p>
    <w:p w14:paraId="654738E7" w14:textId="77777777" w:rsidR="00432CF7" w:rsidRPr="00995AAE" w:rsidRDefault="00432CF7" w:rsidP="00432CF7">
      <w:pPr>
        <w:pStyle w:val="Heading4"/>
      </w:pPr>
      <w:proofErr w:type="gramStart"/>
      <w:r w:rsidRPr="00995AAE">
        <w:t>are</w:t>
      </w:r>
      <w:proofErr w:type="gramEnd"/>
      <w:r w:rsidRPr="00995AAE">
        <w:t xml:space="preserve"> fit and proper persons, and</w:t>
      </w:r>
    </w:p>
    <w:p w14:paraId="785ED7FF" w14:textId="77777777" w:rsidR="00432CF7" w:rsidRPr="00995AAE" w:rsidRDefault="00432CF7" w:rsidP="00432CF7">
      <w:pPr>
        <w:pStyle w:val="Heading4"/>
      </w:pPr>
      <w:proofErr w:type="gramStart"/>
      <w:r w:rsidRPr="00995AAE">
        <w:t>meet</w:t>
      </w:r>
      <w:proofErr w:type="gramEnd"/>
      <w:r w:rsidRPr="00995AAE">
        <w:t xml:space="preserve"> the Australian residency requirements, if any, of the instrument under which the provider is established or incorporated, or otherwise there are at least two members of the governing body who are ordinarily resident in Australia.</w:t>
      </w:r>
    </w:p>
    <w:p w14:paraId="699148EC" w14:textId="77777777" w:rsidR="00432CF7" w:rsidRPr="00995AAE" w:rsidRDefault="00432CF7">
      <w:pPr>
        <w:tabs>
          <w:tab w:val="clear" w:pos="1134"/>
        </w:tabs>
        <w:spacing w:after="200" w:line="276" w:lineRule="auto"/>
        <w:jc w:val="left"/>
        <w:rPr>
          <w:rFonts w:eastAsiaTheme="majorEastAsia" w:cstheme="majorBidi"/>
          <w:bCs/>
          <w:szCs w:val="28"/>
          <w:lang w:val="en-AU"/>
        </w:rPr>
      </w:pPr>
      <w:r w:rsidRPr="00995AAE">
        <w:br w:type="page"/>
      </w:r>
    </w:p>
    <w:p w14:paraId="05A7662C" w14:textId="77777777" w:rsidR="009D3E09" w:rsidRPr="00995AAE" w:rsidRDefault="009D3E09" w:rsidP="00B136B6">
      <w:pPr>
        <w:pStyle w:val="Heading3"/>
      </w:pPr>
      <w:r w:rsidRPr="00995AAE">
        <w:lastRenderedPageBreak/>
        <w:t>The governing body attends to governance functions and processes diligently</w:t>
      </w:r>
      <w:r w:rsidR="003B52C9" w:rsidRPr="00995AAE">
        <w:t xml:space="preserve"> and effectively</w:t>
      </w:r>
      <w:r w:rsidRPr="00995AAE">
        <w:t xml:space="preserve">, including: </w:t>
      </w:r>
    </w:p>
    <w:p w14:paraId="020750B3" w14:textId="77777777" w:rsidR="009D3E09" w:rsidRPr="00995AAE" w:rsidRDefault="009D3E09" w:rsidP="00B136B6">
      <w:pPr>
        <w:pStyle w:val="Heading4"/>
      </w:pPr>
      <w:proofErr w:type="gramStart"/>
      <w:r w:rsidRPr="00995AAE">
        <w:t>obtaining</w:t>
      </w:r>
      <w:proofErr w:type="gramEnd"/>
      <w:r w:rsidRPr="00995AAE">
        <w:t xml:space="preserve"> and using such information and advice, including independent advice and academic advice, as is necessary for informed and competent decision making</w:t>
      </w:r>
      <w:r w:rsidR="00F232C7" w:rsidRPr="00995AAE">
        <w:t xml:space="preserve"> and direction setting</w:t>
      </w:r>
    </w:p>
    <w:p w14:paraId="6DAF84AB" w14:textId="77777777" w:rsidR="003722A9" w:rsidRPr="00995AAE" w:rsidRDefault="0008789F" w:rsidP="00B136B6">
      <w:pPr>
        <w:pStyle w:val="Heading4"/>
      </w:pPr>
      <w:proofErr w:type="gramStart"/>
      <w:r w:rsidRPr="00995AAE">
        <w:t>defining</w:t>
      </w:r>
      <w:proofErr w:type="gramEnd"/>
      <w:r w:rsidRPr="00995AAE">
        <w:t xml:space="preserve"> roles and </w:t>
      </w:r>
      <w:r w:rsidR="003722A9" w:rsidRPr="00995AAE">
        <w:t>delegating authority as is necessary for effective governance, policy development</w:t>
      </w:r>
      <w:r w:rsidR="00C32B31" w:rsidRPr="00995AAE">
        <w:t xml:space="preserve"> and </w:t>
      </w:r>
      <w:r w:rsidR="003722A9" w:rsidRPr="00995AAE">
        <w:t>management</w:t>
      </w:r>
      <w:r w:rsidR="00C32B31" w:rsidRPr="00995AAE">
        <w:t>;</w:t>
      </w:r>
      <w:r w:rsidR="003722A9" w:rsidRPr="00995AAE">
        <w:t xml:space="preserve"> and monitoring the implementation of those delegations </w:t>
      </w:r>
    </w:p>
    <w:p w14:paraId="01818352" w14:textId="77777777" w:rsidR="0008789F" w:rsidRPr="00995AAE" w:rsidRDefault="0008789F" w:rsidP="00B136B6">
      <w:pPr>
        <w:pStyle w:val="Heading4"/>
      </w:pPr>
      <w:r w:rsidRPr="00995AAE">
        <w:t xml:space="preserve">confirming that the provision of higher education and research training and the conduct of </w:t>
      </w:r>
      <w:r w:rsidR="00DC4867" w:rsidRPr="00995AAE">
        <w:rPr>
          <w:bCs/>
        </w:rPr>
        <w:t>research</w:t>
      </w:r>
      <w:r w:rsidRPr="00995AAE">
        <w:t>, whether by the provider or through an arrangement with another party, are governed by the registered provider’s institutional policies, and the operations of the provider and any associated party(</w:t>
      </w:r>
      <w:proofErr w:type="spellStart"/>
      <w:r w:rsidRPr="00995AAE">
        <w:t>ies</w:t>
      </w:r>
      <w:proofErr w:type="spellEnd"/>
      <w:r w:rsidRPr="00995AAE">
        <w:t>) are consistent with those policies</w:t>
      </w:r>
    </w:p>
    <w:p w14:paraId="60979A1C" w14:textId="77777777" w:rsidR="003722A9" w:rsidRPr="00995AAE" w:rsidRDefault="003722A9" w:rsidP="00B136B6">
      <w:pPr>
        <w:pStyle w:val="Heading4"/>
      </w:pPr>
      <w:r w:rsidRPr="00995AAE">
        <w:t>undertaking</w:t>
      </w:r>
      <w:r w:rsidR="000A7471" w:rsidRPr="00995AAE">
        <w:t xml:space="preserve"> </w:t>
      </w:r>
      <w:r w:rsidRPr="00995AAE">
        <w:t>periodic</w:t>
      </w:r>
      <w:r w:rsidR="003B52C9" w:rsidRPr="00995AAE">
        <w:t xml:space="preserve"> </w:t>
      </w:r>
      <w:r w:rsidR="004137CF" w:rsidRPr="00995AAE">
        <w:t>(at least every seven years) independent</w:t>
      </w:r>
      <w:r w:rsidRPr="00995AAE">
        <w:t xml:space="preserve"> reviews of the effectiveness of the governing body and academic governance processes  and ensuring that the findings of such reviews are considered by a competent body or officer(s) and </w:t>
      </w:r>
      <w:r w:rsidR="00716F96" w:rsidRPr="00995AAE">
        <w:t xml:space="preserve">that </w:t>
      </w:r>
      <w:r w:rsidRPr="00995AAE">
        <w:t>agreed actions are implemented, and</w:t>
      </w:r>
    </w:p>
    <w:p w14:paraId="32FFFC4A" w14:textId="77777777" w:rsidR="009D3E09" w:rsidRPr="00995AAE" w:rsidRDefault="009D3E09" w:rsidP="00B136B6">
      <w:pPr>
        <w:pStyle w:val="Heading4"/>
      </w:pPr>
      <w:proofErr w:type="gramStart"/>
      <w:r w:rsidRPr="00995AAE">
        <w:t>maintaining</w:t>
      </w:r>
      <w:proofErr w:type="gramEnd"/>
      <w:r w:rsidRPr="00995AAE">
        <w:t xml:space="preserve"> a true record of the business of the governing body</w:t>
      </w:r>
      <w:r w:rsidR="003722A9" w:rsidRPr="00995AAE">
        <w:t>.</w:t>
      </w:r>
    </w:p>
    <w:p w14:paraId="217E7934" w14:textId="77777777" w:rsidR="00947B99" w:rsidRPr="00995AAE" w:rsidRDefault="004B4FAE" w:rsidP="00B136B6">
      <w:pPr>
        <w:pStyle w:val="Heading3"/>
      </w:pPr>
      <w:r w:rsidRPr="00995AAE">
        <w:t xml:space="preserve">The governing body takes steps to </w:t>
      </w:r>
      <w:r w:rsidR="00C97792" w:rsidRPr="00995AAE">
        <w:t xml:space="preserve">develop and </w:t>
      </w:r>
      <w:r w:rsidRPr="00995AAE">
        <w:t xml:space="preserve">maintain </w:t>
      </w:r>
      <w:r w:rsidR="00C97792" w:rsidRPr="00995AAE">
        <w:t xml:space="preserve">an </w:t>
      </w:r>
      <w:r w:rsidR="00030C7A" w:rsidRPr="00995AAE">
        <w:t xml:space="preserve">institutional environment in which </w:t>
      </w:r>
      <w:r w:rsidRPr="00995AAE">
        <w:t xml:space="preserve">freedom of intellectual inquiry is upheld and protected, students and staff are treated equitably, the wellbeing of students and staff is fostered, informed decision making by students is supported and students have opportunities to participate in the deliberative and decision making processes of the higher education provider. </w:t>
      </w:r>
    </w:p>
    <w:p w14:paraId="0BFC7CF6" w14:textId="77777777" w:rsidR="004C6349" w:rsidRPr="00995AAE" w:rsidRDefault="004C6349" w:rsidP="004C6349">
      <w:pPr>
        <w:rPr>
          <w:lang w:val="en-AU"/>
        </w:rPr>
      </w:pPr>
      <w:bookmarkStart w:id="108" w:name="_Toc370205845"/>
    </w:p>
    <w:p w14:paraId="70529E44" w14:textId="77777777" w:rsidR="00947B99" w:rsidRPr="00995AAE" w:rsidRDefault="00947B99" w:rsidP="000B4E5D">
      <w:pPr>
        <w:pStyle w:val="Heading2"/>
      </w:pPr>
      <w:bookmarkStart w:id="109" w:name="_Toc418684290"/>
      <w:bookmarkStart w:id="110" w:name="_Toc428368872"/>
      <w:r w:rsidRPr="00995AAE">
        <w:t>Corporate Monitoring and Accountability</w:t>
      </w:r>
      <w:bookmarkEnd w:id="109"/>
      <w:bookmarkEnd w:id="110"/>
    </w:p>
    <w:p w14:paraId="2C8E79AF" w14:textId="77777777" w:rsidR="00947B99" w:rsidRPr="00995AAE" w:rsidRDefault="00947B99" w:rsidP="00B136B6">
      <w:pPr>
        <w:pStyle w:val="Heading3"/>
      </w:pPr>
      <w:r w:rsidRPr="00995AAE">
        <w:t xml:space="preserve">The provider is able to demonstrate, and the </w:t>
      </w:r>
      <w:r w:rsidR="00F232C7" w:rsidRPr="00995AAE">
        <w:t xml:space="preserve">corporate </w:t>
      </w:r>
      <w:r w:rsidRPr="00995AAE">
        <w:t>governing body assures itself, that the provider is operating effectively and sustainably, including:</w:t>
      </w:r>
    </w:p>
    <w:p w14:paraId="70DF0676" w14:textId="77777777" w:rsidR="00947B99" w:rsidRPr="00995AAE" w:rsidRDefault="00947B99" w:rsidP="00B136B6">
      <w:pPr>
        <w:pStyle w:val="Heading4"/>
      </w:pPr>
      <w:proofErr w:type="gramStart"/>
      <w:r w:rsidRPr="00995AAE">
        <w:t>the</w:t>
      </w:r>
      <w:proofErr w:type="gramEnd"/>
      <w:r w:rsidRPr="00995AAE">
        <w:t xml:space="preserve"> governing body and the entity comply with the requirements of the legislation under which the provider is established, recognised or incorporated, any other legislative requirements and the entity’s constitution or equivalent</w:t>
      </w:r>
    </w:p>
    <w:p w14:paraId="3707DF8B" w14:textId="77777777" w:rsidR="00947B99" w:rsidRPr="00995AAE" w:rsidRDefault="00947B99" w:rsidP="00B136B6">
      <w:pPr>
        <w:pStyle w:val="Heading4"/>
      </w:pPr>
      <w:proofErr w:type="gramStart"/>
      <w:r w:rsidRPr="00995AAE">
        <w:t>the</w:t>
      </w:r>
      <w:proofErr w:type="gramEnd"/>
      <w:r w:rsidRPr="00995AAE">
        <w:t xml:space="preserve"> provider’s future directions in higher education have been determined, realistic performance targets have been established, progress against targets is monitored and action is taken to correct underperformance</w:t>
      </w:r>
    </w:p>
    <w:p w14:paraId="4417A8F1" w14:textId="77777777" w:rsidR="00947B99" w:rsidRPr="00995AAE" w:rsidRDefault="00947B99" w:rsidP="00B136B6">
      <w:pPr>
        <w:pStyle w:val="Heading4"/>
      </w:pPr>
      <w:r w:rsidRPr="00995AAE">
        <w:t xml:space="preserve">the provider is financially viable and applies, and has the capacity to continue to apply, sufficient financial and other resources to maintain the viability of the entity and its business model, to meet and continue to meet the requirements of the </w:t>
      </w:r>
      <w:r w:rsidRPr="00995AAE">
        <w:rPr>
          <w:i/>
        </w:rPr>
        <w:t>Higher Education Standards Framework</w:t>
      </w:r>
      <w:r w:rsidRPr="00995AAE">
        <w:t xml:space="preserve">, to achieve the provider’s higher education objectives and performance targets and to sustain the quality of higher education that is offered </w:t>
      </w:r>
    </w:p>
    <w:p w14:paraId="5AB91066" w14:textId="77777777" w:rsidR="00947B99" w:rsidRPr="00995AAE" w:rsidRDefault="00947B99" w:rsidP="00B136B6">
      <w:pPr>
        <w:pStyle w:val="Heading4"/>
      </w:pPr>
      <w:r w:rsidRPr="00995AAE">
        <w:t>the financial position</w:t>
      </w:r>
      <w:r w:rsidR="004137CF" w:rsidRPr="00995AAE">
        <w:t>,</w:t>
      </w:r>
      <w:r w:rsidRPr="00995AAE">
        <w:t xml:space="preserve"> </w:t>
      </w:r>
      <w:r w:rsidR="004F6CBD" w:rsidRPr="00995AAE">
        <w:t xml:space="preserve">financial </w:t>
      </w:r>
      <w:r w:rsidR="004137CF" w:rsidRPr="00995AAE">
        <w:t xml:space="preserve">performance and cash flows </w:t>
      </w:r>
      <w:r w:rsidRPr="00995AAE">
        <w:t xml:space="preserve">of the entity </w:t>
      </w:r>
      <w:r w:rsidR="004137CF" w:rsidRPr="00995AAE">
        <w:t xml:space="preserve">are </w:t>
      </w:r>
      <w:r w:rsidRPr="00995AAE">
        <w:t xml:space="preserve">monitored regularly and understood, financial reporting is materially accurate, financial management meets Australian accounting standards, effective financial safeguards and controls are operating and financial statements are audited independently by a qualified auditor against Australian accounting and auditing standards </w:t>
      </w:r>
    </w:p>
    <w:p w14:paraId="08B6F3A6" w14:textId="77777777" w:rsidR="00947B99" w:rsidRPr="00995AAE" w:rsidRDefault="00947B99" w:rsidP="00B136B6">
      <w:pPr>
        <w:pStyle w:val="Heading4"/>
      </w:pPr>
      <w:proofErr w:type="gramStart"/>
      <w:r w:rsidRPr="00995AAE">
        <w:t>risks</w:t>
      </w:r>
      <w:proofErr w:type="gramEnd"/>
      <w:r w:rsidRPr="00995AAE">
        <w:t xml:space="preserve"> to higher education operations have been identified and material risks are being managed and mitigated effectively</w:t>
      </w:r>
    </w:p>
    <w:p w14:paraId="6DADCB91" w14:textId="77777777" w:rsidR="00947B99" w:rsidRPr="00995AAE" w:rsidRDefault="00947B99" w:rsidP="00B136B6">
      <w:pPr>
        <w:pStyle w:val="Heading4"/>
      </w:pPr>
      <w:proofErr w:type="gramStart"/>
      <w:r w:rsidRPr="00995AAE">
        <w:t>mechanisms</w:t>
      </w:r>
      <w:proofErr w:type="gramEnd"/>
      <w:r w:rsidRPr="00995AAE">
        <w:t xml:space="preserve"> for competent academic governance and leadership of higher education provision and other academic activities have been implemented and these are operating according to an institutional academic governance policy framework</w:t>
      </w:r>
      <w:r w:rsidRPr="00995AAE">
        <w:rPr>
          <w:rFonts w:cs="Arial"/>
        </w:rPr>
        <w:t xml:space="preserve"> and are effective in maintaining the quality of higher education offered</w:t>
      </w:r>
    </w:p>
    <w:p w14:paraId="3F677695" w14:textId="77777777" w:rsidR="00947B99" w:rsidRPr="00995AAE" w:rsidRDefault="00947B99" w:rsidP="00B136B6">
      <w:pPr>
        <w:pStyle w:val="Heading4"/>
      </w:pPr>
      <w:proofErr w:type="gramStart"/>
      <w:r w:rsidRPr="00995AAE">
        <w:lastRenderedPageBreak/>
        <w:t>educational</w:t>
      </w:r>
      <w:proofErr w:type="gramEnd"/>
      <w:r w:rsidRPr="00995AAE">
        <w:t xml:space="preserve"> policies and practices support participation by Aboriginal and Torres Strait Islander people and are sensitive to Aboriginal and Torres Strait Islander knowledge and cultures</w:t>
      </w:r>
    </w:p>
    <w:p w14:paraId="7F3D042C" w14:textId="77777777" w:rsidR="00947B99" w:rsidRPr="00995AAE" w:rsidRDefault="00947B99" w:rsidP="00B136B6">
      <w:pPr>
        <w:pStyle w:val="Heading4"/>
      </w:pPr>
      <w:proofErr w:type="gramStart"/>
      <w:r w:rsidRPr="00995AAE">
        <w:t>qualifications</w:t>
      </w:r>
      <w:proofErr w:type="gramEnd"/>
      <w:r w:rsidRPr="00995AAE">
        <w:t xml:space="preserve"> are awarded legitimately</w:t>
      </w:r>
    </w:p>
    <w:p w14:paraId="62D60837" w14:textId="77777777" w:rsidR="00947B99" w:rsidRPr="00995AAE" w:rsidRDefault="00947B99" w:rsidP="00B136B6">
      <w:pPr>
        <w:pStyle w:val="Heading4"/>
      </w:pPr>
      <w:r w:rsidRPr="00995AAE">
        <w:t xml:space="preserve">there are credible business continuity plans and </w:t>
      </w:r>
      <w:r w:rsidR="00F232C7" w:rsidRPr="00995AAE">
        <w:t xml:space="preserve">adequately resourced </w:t>
      </w:r>
      <w:r w:rsidR="00E17E64" w:rsidRPr="00995AAE">
        <w:t xml:space="preserve">financial and tuition </w:t>
      </w:r>
      <w:r w:rsidRPr="00995AAE">
        <w:t xml:space="preserve">safeguards to mitigate disadvantage to students who are unable to progress in a course of study due to unexpected changes to the </w:t>
      </w:r>
      <w:r w:rsidRPr="00995AAE">
        <w:rPr>
          <w:rFonts w:cs="Arial"/>
        </w:rPr>
        <w:t xml:space="preserve">higher education </w:t>
      </w:r>
      <w:r w:rsidRPr="00995AAE">
        <w:t>provider’s operations</w:t>
      </w:r>
      <w:r w:rsidR="00F232C7" w:rsidRPr="00995AAE">
        <w:t>,</w:t>
      </w:r>
      <w:r w:rsidR="0000224A" w:rsidRPr="00995AAE">
        <w:t xml:space="preserve"> including </w:t>
      </w:r>
      <w:r w:rsidR="00F232C7" w:rsidRPr="00995AAE">
        <w:t xml:space="preserve">if </w:t>
      </w:r>
      <w:r w:rsidR="0000224A" w:rsidRPr="00995AAE">
        <w:t>the provider is unable to provide a course of study, ceases to operate as a provider, loses professional accreditation for a course of study or is otherwise not able to offer a course of study</w:t>
      </w:r>
      <w:r w:rsidR="0000224A" w:rsidRPr="00995AAE">
        <w:rPr>
          <w:rStyle w:val="Hyperlink"/>
        </w:rPr>
        <w:t xml:space="preserve"> </w:t>
      </w:r>
    </w:p>
    <w:p w14:paraId="480605F7" w14:textId="77777777" w:rsidR="00947B99" w:rsidRPr="00995AAE" w:rsidRDefault="00947B99" w:rsidP="00B136B6">
      <w:pPr>
        <w:pStyle w:val="Heading4"/>
      </w:pPr>
      <w:r w:rsidRPr="00995AAE">
        <w:t xml:space="preserve">the occurrence and nature of formal complaints, allegations of misconduct, breaches of academic </w:t>
      </w:r>
      <w:r w:rsidR="00C32B31" w:rsidRPr="00995AAE">
        <w:t xml:space="preserve">or research </w:t>
      </w:r>
      <w:r w:rsidRPr="00995AAE">
        <w:t>integrity and critical incidents are monitored and action is taken to address underlying causes, and</w:t>
      </w:r>
    </w:p>
    <w:p w14:paraId="2A1FA25C" w14:textId="77777777" w:rsidR="00947B99" w:rsidRPr="00995AAE" w:rsidRDefault="00947B99" w:rsidP="00B136B6">
      <w:pPr>
        <w:pStyle w:val="Heading4"/>
      </w:pPr>
      <w:proofErr w:type="gramStart"/>
      <w:r w:rsidRPr="00995AAE">
        <w:t>lapses</w:t>
      </w:r>
      <w:proofErr w:type="gramEnd"/>
      <w:r w:rsidRPr="00995AAE">
        <w:t xml:space="preserve"> in compliance with the </w:t>
      </w:r>
      <w:r w:rsidRPr="00995AAE">
        <w:rPr>
          <w:i/>
        </w:rPr>
        <w:t>Higher Education Standards Framework</w:t>
      </w:r>
      <w:r w:rsidRPr="00995AAE">
        <w:t xml:space="preserve"> are identified and monitored</w:t>
      </w:r>
      <w:r w:rsidR="00C84F06" w:rsidRPr="00995AAE">
        <w:t>,</w:t>
      </w:r>
      <w:r w:rsidRPr="00995AAE">
        <w:t xml:space="preserve"> and prompt corrective action is taken.</w:t>
      </w:r>
    </w:p>
    <w:p w14:paraId="1AA45DCB" w14:textId="77777777" w:rsidR="00AE24DC" w:rsidRPr="00995AAE" w:rsidRDefault="00AE24DC" w:rsidP="00AE24DC">
      <w:pPr>
        <w:pStyle w:val="ReferencePoints"/>
      </w:pPr>
    </w:p>
    <w:p w14:paraId="2EAEFB54" w14:textId="77777777" w:rsidR="001025AE" w:rsidRPr="00995AAE" w:rsidRDefault="001025AE" w:rsidP="000B4E5D">
      <w:pPr>
        <w:pStyle w:val="Heading2"/>
      </w:pPr>
      <w:bookmarkStart w:id="111" w:name="_Toc418684291"/>
      <w:bookmarkStart w:id="112" w:name="_Toc428368873"/>
      <w:r w:rsidRPr="00995AAE">
        <w:t>Academic Governance</w:t>
      </w:r>
      <w:bookmarkEnd w:id="108"/>
      <w:bookmarkEnd w:id="111"/>
      <w:bookmarkEnd w:id="112"/>
      <w:r w:rsidR="00650BFF" w:rsidRPr="00995AAE">
        <w:t xml:space="preserve"> </w:t>
      </w:r>
    </w:p>
    <w:p w14:paraId="09ECA368" w14:textId="77777777" w:rsidR="00D250A4" w:rsidRPr="00995AAE" w:rsidRDefault="003101EE" w:rsidP="00B136B6">
      <w:pPr>
        <w:pStyle w:val="Heading3"/>
      </w:pPr>
      <w:r w:rsidRPr="00995AAE">
        <w:t xml:space="preserve">Processes and structures are established and responsibilities are assigned </w:t>
      </w:r>
      <w:r w:rsidR="001649DE" w:rsidRPr="00995AAE">
        <w:t>that</w:t>
      </w:r>
      <w:r w:rsidR="00CD5329" w:rsidRPr="00995AAE">
        <w:t xml:space="preserve"> collectively</w:t>
      </w:r>
      <w:r w:rsidR="00D250A4" w:rsidRPr="00995AAE">
        <w:t>:</w:t>
      </w:r>
    </w:p>
    <w:p w14:paraId="564570BF" w14:textId="77777777" w:rsidR="00D250A4" w:rsidRPr="00995AAE" w:rsidRDefault="000C65B4" w:rsidP="00B136B6">
      <w:pPr>
        <w:pStyle w:val="Heading4"/>
      </w:pPr>
      <w:proofErr w:type="gramStart"/>
      <w:r w:rsidRPr="00995AAE">
        <w:t>achieve</w:t>
      </w:r>
      <w:proofErr w:type="gramEnd"/>
      <w:r w:rsidRPr="00995AAE">
        <w:t xml:space="preserve"> </w:t>
      </w:r>
      <w:r w:rsidR="00676DE8" w:rsidRPr="00995AAE">
        <w:t xml:space="preserve">effective </w:t>
      </w:r>
      <w:r w:rsidR="003101EE" w:rsidRPr="00995AAE">
        <w:t>academic oversight of the quality of teaching, learning, research and research training</w:t>
      </w:r>
    </w:p>
    <w:p w14:paraId="4103306B" w14:textId="77777777" w:rsidR="00D250A4" w:rsidRPr="00995AAE" w:rsidRDefault="00D250A4" w:rsidP="00B136B6">
      <w:pPr>
        <w:pStyle w:val="Heading4"/>
      </w:pPr>
      <w:proofErr w:type="gramStart"/>
      <w:r w:rsidRPr="00995AAE">
        <w:t>set</w:t>
      </w:r>
      <w:proofErr w:type="gramEnd"/>
      <w:r w:rsidRPr="00995AAE">
        <w:t xml:space="preserve"> and monitor institutional benchmarks for academic quality and outcomes</w:t>
      </w:r>
    </w:p>
    <w:p w14:paraId="32655B54" w14:textId="77777777" w:rsidR="00D250A4" w:rsidRPr="00995AAE" w:rsidRDefault="00D250A4" w:rsidP="00B136B6">
      <w:pPr>
        <w:pStyle w:val="Heading4"/>
      </w:pPr>
      <w:proofErr w:type="gramStart"/>
      <w:r w:rsidRPr="00995AAE">
        <w:t>establish</w:t>
      </w:r>
      <w:proofErr w:type="gramEnd"/>
      <w:r w:rsidRPr="00995AAE">
        <w:t xml:space="preserve"> and maintain academic leadership at an institutional level</w:t>
      </w:r>
      <w:r w:rsidR="00676DE8" w:rsidRPr="00995AAE">
        <w:t>,</w:t>
      </w:r>
      <w:r w:rsidRPr="00995AAE">
        <w:t xml:space="preserve"> consistent with the types and levels of higher education offered, </w:t>
      </w:r>
      <w:r w:rsidR="003101EE" w:rsidRPr="00995AAE">
        <w:t xml:space="preserve">and </w:t>
      </w:r>
    </w:p>
    <w:p w14:paraId="756D72EA" w14:textId="77777777" w:rsidR="003101EE" w:rsidRPr="00995AAE" w:rsidRDefault="003101EE" w:rsidP="00B136B6">
      <w:pPr>
        <w:pStyle w:val="Heading4"/>
      </w:pPr>
      <w:proofErr w:type="gramStart"/>
      <w:r w:rsidRPr="00995AAE">
        <w:t>provide</w:t>
      </w:r>
      <w:proofErr w:type="gramEnd"/>
      <w:r w:rsidRPr="00995AAE">
        <w:t xml:space="preserve"> </w:t>
      </w:r>
      <w:r w:rsidR="00676DE8" w:rsidRPr="00995AAE">
        <w:t xml:space="preserve">competent </w:t>
      </w:r>
      <w:r w:rsidRPr="00995AAE">
        <w:t xml:space="preserve">advice to the corporate governing body </w:t>
      </w:r>
      <w:r w:rsidR="00D250A4" w:rsidRPr="00995AAE">
        <w:t xml:space="preserve">and management </w:t>
      </w:r>
      <w:r w:rsidRPr="00995AAE">
        <w:t>on academic matters</w:t>
      </w:r>
      <w:r w:rsidR="00FB0A62" w:rsidRPr="00995AAE">
        <w:t xml:space="preserve">, including advice on academic </w:t>
      </w:r>
      <w:r w:rsidR="00D250A4" w:rsidRPr="00995AAE">
        <w:t>outcomes,</w:t>
      </w:r>
      <w:r w:rsidR="00D250A4" w:rsidRPr="00995AAE" w:rsidDel="00D250A4">
        <w:t xml:space="preserve"> </w:t>
      </w:r>
      <w:r w:rsidR="00FB0A62" w:rsidRPr="00995AAE">
        <w:t>policies</w:t>
      </w:r>
      <w:r w:rsidR="00D250A4" w:rsidRPr="00995AAE">
        <w:t xml:space="preserve"> and</w:t>
      </w:r>
      <w:r w:rsidR="00FB0A62" w:rsidRPr="00995AAE">
        <w:t xml:space="preserve"> practices</w:t>
      </w:r>
      <w:r w:rsidRPr="00995AAE">
        <w:t xml:space="preserve">. </w:t>
      </w:r>
    </w:p>
    <w:p w14:paraId="02DE6D34" w14:textId="77777777" w:rsidR="003101EE" w:rsidRPr="00995AAE" w:rsidRDefault="003101EE" w:rsidP="00B136B6">
      <w:pPr>
        <w:pStyle w:val="Heading3"/>
      </w:pPr>
      <w:r w:rsidRPr="00995AAE">
        <w:t xml:space="preserve">Academic oversight assures the quality of teaching, learning, research and research training </w:t>
      </w:r>
      <w:r w:rsidR="00D21D4C" w:rsidRPr="00995AAE">
        <w:t xml:space="preserve">effectively, including </w:t>
      </w:r>
      <w:r w:rsidRPr="00995AAE">
        <w:t xml:space="preserve">by: </w:t>
      </w:r>
    </w:p>
    <w:p w14:paraId="2A10107A" w14:textId="77777777" w:rsidR="003101EE" w:rsidRPr="00995AAE" w:rsidRDefault="00F2083F" w:rsidP="00B136B6">
      <w:pPr>
        <w:pStyle w:val="Heading4"/>
      </w:pPr>
      <w:proofErr w:type="gramStart"/>
      <w:r w:rsidRPr="00995AAE">
        <w:t>d</w:t>
      </w:r>
      <w:r w:rsidR="000C65B4" w:rsidRPr="00995AAE">
        <w:t>eveloping</w:t>
      </w:r>
      <w:proofErr w:type="gramEnd"/>
      <w:r w:rsidR="000C65B4" w:rsidRPr="00995AAE">
        <w:t xml:space="preserve">, </w:t>
      </w:r>
      <w:r w:rsidR="003101EE" w:rsidRPr="00995AAE">
        <w:t xml:space="preserve">monitoring </w:t>
      </w:r>
      <w:r w:rsidR="000C65B4" w:rsidRPr="00995AAE">
        <w:t xml:space="preserve">and reviewing </w:t>
      </w:r>
      <w:r w:rsidR="003101EE" w:rsidRPr="00995AAE">
        <w:t>academic policies</w:t>
      </w:r>
      <w:r w:rsidR="000C65B4" w:rsidRPr="00995AAE">
        <w:t xml:space="preserve"> and their </w:t>
      </w:r>
      <w:r w:rsidR="00D250A4" w:rsidRPr="00995AAE">
        <w:t>effectiveness</w:t>
      </w:r>
    </w:p>
    <w:p w14:paraId="4554CEB8" w14:textId="77777777" w:rsidR="003101EE" w:rsidRPr="00995AAE" w:rsidRDefault="003101EE" w:rsidP="00B136B6">
      <w:pPr>
        <w:pStyle w:val="Heading4"/>
      </w:pPr>
      <w:proofErr w:type="gramStart"/>
      <w:r w:rsidRPr="00995AAE">
        <w:t>confirming</w:t>
      </w:r>
      <w:proofErr w:type="gramEnd"/>
      <w:r w:rsidRPr="00995AAE">
        <w:t xml:space="preserve"> that delegations of academic </w:t>
      </w:r>
      <w:r w:rsidR="00D250A4" w:rsidRPr="00995AAE">
        <w:t>authority</w:t>
      </w:r>
      <w:r w:rsidRPr="00995AAE">
        <w:t xml:space="preserve"> are </w:t>
      </w:r>
      <w:r w:rsidR="00D250A4" w:rsidRPr="00995AAE">
        <w:t>implemented</w:t>
      </w:r>
    </w:p>
    <w:p w14:paraId="618B54BD" w14:textId="77777777" w:rsidR="003101EE" w:rsidRPr="00995AAE" w:rsidRDefault="00676DE8" w:rsidP="00B136B6">
      <w:pPr>
        <w:pStyle w:val="Heading4"/>
      </w:pPr>
      <w:proofErr w:type="gramStart"/>
      <w:r w:rsidRPr="00995AAE">
        <w:t>critically</w:t>
      </w:r>
      <w:proofErr w:type="gramEnd"/>
      <w:r w:rsidRPr="00995AAE">
        <w:t xml:space="preserve"> </w:t>
      </w:r>
      <w:r w:rsidR="00D21D4C" w:rsidRPr="00995AAE">
        <w:t xml:space="preserve">scrutinising, </w:t>
      </w:r>
      <w:r w:rsidR="003101EE" w:rsidRPr="00995AAE">
        <w:t>approving and</w:t>
      </w:r>
      <w:r w:rsidR="00D21D4C" w:rsidRPr="00995AAE">
        <w:t xml:space="preserve">, if authority to self-accredit </w:t>
      </w:r>
      <w:r w:rsidR="00446C44" w:rsidRPr="00995AAE">
        <w:t>is held</w:t>
      </w:r>
      <w:r w:rsidR="00D21D4C" w:rsidRPr="00995AAE">
        <w:t>,</w:t>
      </w:r>
      <w:r w:rsidR="003101EE" w:rsidRPr="00995AAE">
        <w:t xml:space="preserve"> accrediting or advising on approving and accrediting, </w:t>
      </w:r>
      <w:r w:rsidR="007D1F9D" w:rsidRPr="00995AAE">
        <w:t>courses of study</w:t>
      </w:r>
      <w:r w:rsidR="003101EE" w:rsidRPr="00995AAE">
        <w:t xml:space="preserve"> and their associated </w:t>
      </w:r>
      <w:r w:rsidR="00D1593B" w:rsidRPr="00995AAE">
        <w:t>qualifications</w:t>
      </w:r>
    </w:p>
    <w:p w14:paraId="393EC614" w14:textId="77777777" w:rsidR="003101EE" w:rsidRPr="00995AAE" w:rsidRDefault="003101EE" w:rsidP="00B136B6">
      <w:pPr>
        <w:pStyle w:val="Heading4"/>
      </w:pPr>
      <w:proofErr w:type="gramStart"/>
      <w:r w:rsidRPr="00995AAE">
        <w:t>maintaining</w:t>
      </w:r>
      <w:proofErr w:type="gramEnd"/>
      <w:r w:rsidRPr="00995AAE">
        <w:t xml:space="preserve"> oversight of academic </w:t>
      </w:r>
      <w:r w:rsidR="00557A54" w:rsidRPr="00995AAE">
        <w:t xml:space="preserve">and research </w:t>
      </w:r>
      <w:r w:rsidRPr="00995AAE">
        <w:t>integrity</w:t>
      </w:r>
      <w:r w:rsidR="00446C44" w:rsidRPr="00995AAE">
        <w:t>, including monitoring of potential risks</w:t>
      </w:r>
    </w:p>
    <w:p w14:paraId="3841CAED" w14:textId="77777777" w:rsidR="00D250A4" w:rsidRPr="00995AAE" w:rsidRDefault="00D250A4" w:rsidP="00B136B6">
      <w:pPr>
        <w:pStyle w:val="Heading4"/>
      </w:pPr>
      <w:proofErr w:type="gramStart"/>
      <w:r w:rsidRPr="00995AAE">
        <w:t>monitoring</w:t>
      </w:r>
      <w:proofErr w:type="gramEnd"/>
      <w:r w:rsidRPr="00995AAE">
        <w:t xml:space="preserve"> and initiating action to improve performance against institutional benchmarks</w:t>
      </w:r>
      <w:r w:rsidR="00676DE8" w:rsidRPr="00995AAE">
        <w:t xml:space="preserve"> for academic quality and outcomes</w:t>
      </w:r>
      <w:r w:rsidR="00D21D4C" w:rsidRPr="00995AAE">
        <w:t xml:space="preserve"> </w:t>
      </w:r>
    </w:p>
    <w:p w14:paraId="4F12C1E2" w14:textId="77777777" w:rsidR="003101EE" w:rsidRPr="00995AAE" w:rsidRDefault="00676DE8" w:rsidP="00B136B6">
      <w:pPr>
        <w:pStyle w:val="Heading4"/>
      </w:pPr>
      <w:proofErr w:type="gramStart"/>
      <w:r w:rsidRPr="00995AAE">
        <w:t>critically</w:t>
      </w:r>
      <w:proofErr w:type="gramEnd"/>
      <w:r w:rsidRPr="00995AAE">
        <w:t xml:space="preserve"> </w:t>
      </w:r>
      <w:r w:rsidR="003101EE" w:rsidRPr="00995AAE">
        <w:t>evaluating the quality and effectiveness of educational innovations or proposals for innovations</w:t>
      </w:r>
    </w:p>
    <w:p w14:paraId="1DA4E880" w14:textId="77777777" w:rsidR="003101EE" w:rsidRPr="00995AAE" w:rsidRDefault="003101EE" w:rsidP="00B136B6">
      <w:pPr>
        <w:pStyle w:val="Heading4"/>
      </w:pPr>
      <w:proofErr w:type="gramStart"/>
      <w:r w:rsidRPr="00995AAE">
        <w:t>evaluating</w:t>
      </w:r>
      <w:proofErr w:type="gramEnd"/>
      <w:r w:rsidRPr="00995AAE">
        <w:t xml:space="preserve"> the </w:t>
      </w:r>
      <w:r w:rsidR="00D250A4" w:rsidRPr="00995AAE">
        <w:t xml:space="preserve">effectiveness of institutional </w:t>
      </w:r>
      <w:r w:rsidRPr="00995AAE">
        <w:t>monitoring, review and improvement of academic activities, and</w:t>
      </w:r>
    </w:p>
    <w:p w14:paraId="5A783178" w14:textId="77777777" w:rsidR="003101EE" w:rsidRPr="00995AAE" w:rsidRDefault="00676DE8" w:rsidP="00B136B6">
      <w:pPr>
        <w:pStyle w:val="Heading4"/>
      </w:pPr>
      <w:proofErr w:type="gramStart"/>
      <w:r w:rsidRPr="00995AAE">
        <w:t>monitoring</w:t>
      </w:r>
      <w:proofErr w:type="gramEnd"/>
      <w:r w:rsidRPr="00995AAE">
        <w:t xml:space="preserve"> and </w:t>
      </w:r>
      <w:r w:rsidR="003101EE" w:rsidRPr="00995AAE">
        <w:t xml:space="preserve">reporting to the corporate governing body on the quality of teaching, learning, research and research training. </w:t>
      </w:r>
    </w:p>
    <w:p w14:paraId="500EA08F" w14:textId="77777777" w:rsidR="00EB6FB7" w:rsidRPr="00995AAE" w:rsidRDefault="003101EE" w:rsidP="00B136B6">
      <w:pPr>
        <w:pStyle w:val="Heading3"/>
      </w:pPr>
      <w:r w:rsidRPr="00995AAE">
        <w:t>Students have opportunities to participate in academic governance.</w:t>
      </w:r>
      <w:bookmarkStart w:id="113" w:name="_Toc370205846"/>
    </w:p>
    <w:p w14:paraId="5C32713A" w14:textId="77777777" w:rsidR="00BC5134" w:rsidRPr="00995AAE" w:rsidRDefault="00BC5134" w:rsidP="00BC5134">
      <w:pPr>
        <w:pStyle w:val="ReferencePoints"/>
        <w:ind w:left="0"/>
        <w:rPr>
          <w:b w:val="0"/>
        </w:rPr>
      </w:pPr>
    </w:p>
    <w:p w14:paraId="162EB1C3" w14:textId="77777777" w:rsidR="00005917" w:rsidRPr="00995AAE" w:rsidRDefault="00005917" w:rsidP="000B4E5D">
      <w:pPr>
        <w:pStyle w:val="Heading1"/>
        <w:spacing w:before="0" w:after="360" w:line="240" w:lineRule="auto"/>
        <w:jc w:val="both"/>
      </w:pPr>
      <w:bookmarkStart w:id="114" w:name="_Toc418684292"/>
      <w:bookmarkStart w:id="115" w:name="_Toc428368874"/>
      <w:bookmarkStart w:id="116" w:name="Domain7"/>
      <w:r w:rsidRPr="00995AAE">
        <w:lastRenderedPageBreak/>
        <w:t>Representation</w:t>
      </w:r>
      <w:r w:rsidR="00812A96" w:rsidRPr="00995AAE">
        <w:t>, Information</w:t>
      </w:r>
      <w:r w:rsidRPr="00995AAE">
        <w:t xml:space="preserve"> and Information</w:t>
      </w:r>
      <w:bookmarkEnd w:id="113"/>
      <w:r w:rsidR="00812A96" w:rsidRPr="00995AAE">
        <w:t xml:space="preserve"> Management</w:t>
      </w:r>
      <w:bookmarkEnd w:id="114"/>
      <w:bookmarkEnd w:id="115"/>
    </w:p>
    <w:p w14:paraId="18664AB4" w14:textId="77777777" w:rsidR="00094D48" w:rsidRPr="00995AAE" w:rsidRDefault="00094D48" w:rsidP="000B4E5D">
      <w:pPr>
        <w:pStyle w:val="Heading2"/>
      </w:pPr>
      <w:bookmarkStart w:id="117" w:name="_Toc383762214"/>
      <w:bookmarkStart w:id="118" w:name="_Toc370205847"/>
      <w:bookmarkStart w:id="119" w:name="_Toc418684293"/>
      <w:bookmarkStart w:id="120" w:name="_Toc428368875"/>
      <w:bookmarkEnd w:id="116"/>
      <w:bookmarkEnd w:id="117"/>
      <w:r w:rsidRPr="00995AAE">
        <w:t>Representation</w:t>
      </w:r>
      <w:bookmarkEnd w:id="118"/>
      <w:bookmarkEnd w:id="119"/>
      <w:bookmarkEnd w:id="120"/>
    </w:p>
    <w:p w14:paraId="274C8C19" w14:textId="77777777" w:rsidR="00094D48" w:rsidRPr="00995AAE" w:rsidRDefault="00EC2196" w:rsidP="00B136B6">
      <w:pPr>
        <w:pStyle w:val="Heading3"/>
      </w:pPr>
      <w:r w:rsidRPr="00995AAE">
        <w:t xml:space="preserve">Representation </w:t>
      </w:r>
      <w:r w:rsidR="00094D48" w:rsidRPr="00995AAE">
        <w:t xml:space="preserve">of </w:t>
      </w:r>
      <w:r w:rsidRPr="00995AAE">
        <w:t xml:space="preserve">the </w:t>
      </w:r>
      <w:r w:rsidR="006A037D" w:rsidRPr="00995AAE">
        <w:t>higher education provider</w:t>
      </w:r>
      <w:r w:rsidR="00094D48" w:rsidRPr="00995AAE">
        <w:t>, its educational offerings and charges, whether directly or through agents or other parties, is accurate and not misleading.</w:t>
      </w:r>
    </w:p>
    <w:p w14:paraId="3EA7511B" w14:textId="77777777" w:rsidR="00094D48" w:rsidRPr="00995AAE" w:rsidRDefault="00EC2196" w:rsidP="00B136B6">
      <w:pPr>
        <w:pStyle w:val="Heading3"/>
      </w:pPr>
      <w:r w:rsidRPr="00995AAE">
        <w:t xml:space="preserve">Courses </w:t>
      </w:r>
      <w:r w:rsidR="00094D48" w:rsidRPr="00995AAE">
        <w:t xml:space="preserve">or </w:t>
      </w:r>
      <w:r w:rsidR="00E544D6" w:rsidRPr="00995AAE">
        <w:t>units</w:t>
      </w:r>
      <w:r w:rsidR="00E544D6" w:rsidRPr="00995AAE">
        <w:rPr>
          <w:rFonts w:cs="Arial"/>
        </w:rPr>
        <w:t xml:space="preserve"> of study</w:t>
      </w:r>
      <w:r w:rsidR="00094D48" w:rsidRPr="00995AAE">
        <w:t xml:space="preserve"> that </w:t>
      </w:r>
      <w:r w:rsidRPr="00995AAE">
        <w:t>are</w:t>
      </w:r>
      <w:r w:rsidR="00094D48" w:rsidRPr="00995AAE">
        <w:t xml:space="preserve"> offer</w:t>
      </w:r>
      <w:r w:rsidRPr="00995AAE">
        <w:t>ed</w:t>
      </w:r>
      <w:r w:rsidR="00094D48" w:rsidRPr="00995AAE">
        <w:t xml:space="preserve"> or intend</w:t>
      </w:r>
      <w:r w:rsidRPr="00995AAE">
        <w:t>ed</w:t>
      </w:r>
      <w:r w:rsidR="00094D48" w:rsidRPr="00995AAE">
        <w:t xml:space="preserve"> to</w:t>
      </w:r>
      <w:r w:rsidRPr="00995AAE">
        <w:t xml:space="preserve"> be</w:t>
      </w:r>
      <w:r w:rsidR="00094D48" w:rsidRPr="00995AAE">
        <w:t xml:space="preserve"> offer</w:t>
      </w:r>
      <w:r w:rsidRPr="00995AAE">
        <w:t xml:space="preserve">ed are not described </w:t>
      </w:r>
      <w:r w:rsidR="00094D48" w:rsidRPr="00995AAE">
        <w:t>as accredited</w:t>
      </w:r>
      <w:r w:rsidR="00D21D4C" w:rsidRPr="00995AAE">
        <w:t xml:space="preserve">, whether by TEQSA or </w:t>
      </w:r>
      <w:r w:rsidR="00557A54" w:rsidRPr="00995AAE">
        <w:t xml:space="preserve">by </w:t>
      </w:r>
      <w:r w:rsidR="00D21D4C" w:rsidRPr="00995AAE">
        <w:t xml:space="preserve">a professional </w:t>
      </w:r>
      <w:r w:rsidR="006A769E" w:rsidRPr="00995AAE">
        <w:t xml:space="preserve">accreditation </w:t>
      </w:r>
      <w:r w:rsidR="00D21D4C" w:rsidRPr="00995AAE">
        <w:t>body</w:t>
      </w:r>
      <w:r w:rsidR="00557A54" w:rsidRPr="00995AAE">
        <w:t xml:space="preserve"> for the purposes of registration to practi</w:t>
      </w:r>
      <w:r w:rsidR="00C927FC" w:rsidRPr="00995AAE">
        <w:t>s</w:t>
      </w:r>
      <w:r w:rsidR="00557A54" w:rsidRPr="00995AAE">
        <w:t>e</w:t>
      </w:r>
      <w:r w:rsidR="00D21D4C" w:rsidRPr="00995AAE">
        <w:t>,</w:t>
      </w:r>
      <w:r w:rsidR="00094D48" w:rsidRPr="00995AAE">
        <w:t xml:space="preserve"> until such accreditation has been obtained.</w:t>
      </w:r>
    </w:p>
    <w:p w14:paraId="33DF513A" w14:textId="77777777" w:rsidR="00094D48" w:rsidRPr="00995AAE" w:rsidRDefault="00094D48" w:rsidP="00B136B6">
      <w:pPr>
        <w:pStyle w:val="Heading3"/>
      </w:pPr>
      <w:r w:rsidRPr="00995AAE">
        <w:t xml:space="preserve">Where </w:t>
      </w:r>
      <w:r w:rsidR="00E544D6" w:rsidRPr="00995AAE">
        <w:t>units</w:t>
      </w:r>
      <w:r w:rsidR="00E544D6" w:rsidRPr="00995AAE">
        <w:rPr>
          <w:rFonts w:cs="Arial"/>
        </w:rPr>
        <w:t xml:space="preserve"> of study</w:t>
      </w:r>
      <w:r w:rsidRPr="00995AAE">
        <w:t xml:space="preserve"> are offered </w:t>
      </w:r>
      <w:r w:rsidR="00E85016" w:rsidRPr="00995AAE">
        <w:t xml:space="preserve">separately from </w:t>
      </w:r>
      <w:r w:rsidRPr="00995AAE">
        <w:t xml:space="preserve">a </w:t>
      </w:r>
      <w:r w:rsidR="007D1F9D" w:rsidRPr="00995AAE">
        <w:t>course of study</w:t>
      </w:r>
      <w:r w:rsidRPr="00995AAE">
        <w:t xml:space="preserve"> </w:t>
      </w:r>
      <w:r w:rsidR="00E85016" w:rsidRPr="00995AAE">
        <w:t xml:space="preserve">and are </w:t>
      </w:r>
      <w:r w:rsidRPr="00995AAE">
        <w:t xml:space="preserve">represented as eligible for gaining credit towards a </w:t>
      </w:r>
      <w:r w:rsidR="007D1F9D" w:rsidRPr="00995AAE">
        <w:t>course of study</w:t>
      </w:r>
      <w:r w:rsidRPr="00995AAE">
        <w:t xml:space="preserve"> or a </w:t>
      </w:r>
      <w:r w:rsidR="00D1593B" w:rsidRPr="00995AAE">
        <w:t>qualification</w:t>
      </w:r>
      <w:r w:rsidRPr="00995AAE">
        <w:t>:</w:t>
      </w:r>
    </w:p>
    <w:p w14:paraId="193BDE70" w14:textId="77777777" w:rsidR="00094D48" w:rsidRPr="00995AAE" w:rsidRDefault="00094D48" w:rsidP="00B136B6">
      <w:pPr>
        <w:pStyle w:val="Heading4"/>
      </w:pPr>
      <w:proofErr w:type="gramStart"/>
      <w:r w:rsidRPr="00995AAE">
        <w:t>the</w:t>
      </w:r>
      <w:proofErr w:type="gramEnd"/>
      <w:r w:rsidRPr="00995AAE">
        <w:t xml:space="preserve"> course(s) of study and </w:t>
      </w:r>
      <w:r w:rsidR="00D1593B" w:rsidRPr="00995AAE">
        <w:t>qualification(s)</w:t>
      </w:r>
      <w:r w:rsidRPr="00995AAE">
        <w:t xml:space="preserve"> for which credit may be gained are specified, and</w:t>
      </w:r>
    </w:p>
    <w:p w14:paraId="28D1234A" w14:textId="77777777" w:rsidR="00094D48" w:rsidRPr="00995AAE" w:rsidRDefault="00094D48" w:rsidP="00B136B6">
      <w:pPr>
        <w:pStyle w:val="Heading4"/>
      </w:pPr>
      <w:proofErr w:type="gramStart"/>
      <w:r w:rsidRPr="00995AAE">
        <w:t>the</w:t>
      </w:r>
      <w:proofErr w:type="gramEnd"/>
      <w:r w:rsidRPr="00995AAE">
        <w:t xml:space="preserve"> terms on which credit may be granted are defined.  </w:t>
      </w:r>
    </w:p>
    <w:p w14:paraId="7A4394FD" w14:textId="77777777" w:rsidR="003506CB" w:rsidRPr="00995AAE" w:rsidRDefault="00094D48" w:rsidP="00B136B6">
      <w:pPr>
        <w:pStyle w:val="Heading3"/>
      </w:pPr>
      <w:r w:rsidRPr="00995AAE">
        <w:t xml:space="preserve">Agents and other parties that are involved in representing the </w:t>
      </w:r>
      <w:r w:rsidR="006A037D" w:rsidRPr="00995AAE">
        <w:t>higher education provider</w:t>
      </w:r>
      <w:r w:rsidRPr="00995AAE">
        <w:t xml:space="preserve"> are bound by formal contracts</w:t>
      </w:r>
      <w:r w:rsidR="00557A54" w:rsidRPr="00995AAE">
        <w:t xml:space="preserve"> with the provider</w:t>
      </w:r>
      <w:r w:rsidRPr="00995AAE">
        <w:t>, their performance is monitored and prompt corrective action is taken in the event or likelihood of misrepresentation or unethical conduct.</w:t>
      </w:r>
    </w:p>
    <w:p w14:paraId="0DB79637" w14:textId="77777777" w:rsidR="003506CB" w:rsidRPr="00995AAE" w:rsidRDefault="00F90E49" w:rsidP="00B136B6">
      <w:pPr>
        <w:pStyle w:val="Heading3"/>
      </w:pPr>
      <w:r w:rsidRPr="00995AAE">
        <w:t>Representations</w:t>
      </w:r>
      <w:r w:rsidR="00E85016" w:rsidRPr="00995AAE">
        <w:t>,</w:t>
      </w:r>
      <w:r w:rsidR="005A28F1" w:rsidRPr="00995AAE">
        <w:t xml:space="preserve"> </w:t>
      </w:r>
      <w:r w:rsidR="00E85016" w:rsidRPr="00995AAE">
        <w:t>whether express</w:t>
      </w:r>
      <w:r w:rsidR="000C49DB" w:rsidRPr="00995AAE">
        <w:t>ed</w:t>
      </w:r>
      <w:r w:rsidR="00E85016" w:rsidRPr="00995AAE">
        <w:t xml:space="preserve"> or implied, </w:t>
      </w:r>
      <w:r w:rsidRPr="00995AAE">
        <w:t>about the</w:t>
      </w:r>
      <w:r w:rsidR="00333A0B" w:rsidRPr="00995AAE">
        <w:t xml:space="preserve"> </w:t>
      </w:r>
      <w:r w:rsidR="003506CB" w:rsidRPr="00995AAE">
        <w:t>outcomes associated with</w:t>
      </w:r>
      <w:r w:rsidR="00384128" w:rsidRPr="00995AAE">
        <w:t xml:space="preserve"> undertaking</w:t>
      </w:r>
      <w:r w:rsidR="003506CB" w:rsidRPr="00995AAE">
        <w:t xml:space="preserve"> a </w:t>
      </w:r>
      <w:r w:rsidR="007D1F9D" w:rsidRPr="00995AAE">
        <w:t>course of study</w:t>
      </w:r>
      <w:r w:rsidR="003506CB" w:rsidRPr="00995AAE">
        <w:t xml:space="preserve">, </w:t>
      </w:r>
      <w:r w:rsidR="00E12029" w:rsidRPr="00995AAE">
        <w:t>eligibility for</w:t>
      </w:r>
      <w:r w:rsidR="003506CB" w:rsidRPr="00995AAE">
        <w:t xml:space="preserve"> acceptance into another </w:t>
      </w:r>
      <w:r w:rsidR="00BD11B9" w:rsidRPr="00995AAE">
        <w:t>course of study</w:t>
      </w:r>
      <w:r w:rsidR="00384128" w:rsidRPr="00995AAE">
        <w:t>, employment outcomes</w:t>
      </w:r>
      <w:r w:rsidR="00E12029" w:rsidRPr="00995AAE">
        <w:t xml:space="preserve"> </w:t>
      </w:r>
      <w:r w:rsidR="00E85016" w:rsidRPr="00995AAE">
        <w:t>or</w:t>
      </w:r>
      <w:r w:rsidR="003506CB" w:rsidRPr="00995AAE">
        <w:t xml:space="preserve"> possible migration outcomes</w:t>
      </w:r>
      <w:r w:rsidR="005A28F1" w:rsidRPr="00995AAE">
        <w:t xml:space="preserve"> </w:t>
      </w:r>
      <w:r w:rsidRPr="00995AAE">
        <w:t>are</w:t>
      </w:r>
      <w:r w:rsidR="003506CB" w:rsidRPr="00995AAE">
        <w:t xml:space="preserve"> not </w:t>
      </w:r>
      <w:r w:rsidR="00384128" w:rsidRPr="00995AAE">
        <w:t xml:space="preserve">false or </w:t>
      </w:r>
      <w:r w:rsidR="003506CB" w:rsidRPr="00995AAE">
        <w:t xml:space="preserve">misleading. </w:t>
      </w:r>
    </w:p>
    <w:p w14:paraId="570A6976" w14:textId="77777777" w:rsidR="00AE24DC" w:rsidRPr="00995AAE" w:rsidRDefault="00AE24DC" w:rsidP="00AE24DC">
      <w:pPr>
        <w:pStyle w:val="ReferencePoints"/>
      </w:pPr>
    </w:p>
    <w:p w14:paraId="457CB786" w14:textId="77777777" w:rsidR="00117F6C" w:rsidRPr="00995AAE" w:rsidRDefault="00117F6C" w:rsidP="000B4E5D">
      <w:pPr>
        <w:pStyle w:val="Heading2"/>
      </w:pPr>
      <w:bookmarkStart w:id="121" w:name="_Toc370205848"/>
      <w:bookmarkStart w:id="122" w:name="_Toc418684294"/>
      <w:bookmarkStart w:id="123" w:name="_Toc428368876"/>
      <w:r w:rsidRPr="00995AAE">
        <w:t xml:space="preserve">Information for </w:t>
      </w:r>
      <w:r w:rsidR="004A4A20" w:rsidRPr="00995AAE">
        <w:t xml:space="preserve">Prospective and Current </w:t>
      </w:r>
      <w:r w:rsidRPr="00995AAE">
        <w:t>Students</w:t>
      </w:r>
      <w:bookmarkEnd w:id="121"/>
      <w:bookmarkEnd w:id="122"/>
      <w:bookmarkEnd w:id="123"/>
      <w:r w:rsidR="00650BFF" w:rsidRPr="00995AAE">
        <w:t xml:space="preserve"> </w:t>
      </w:r>
    </w:p>
    <w:p w14:paraId="5C99597C" w14:textId="77777777" w:rsidR="00CE6A2C" w:rsidRPr="00995AAE" w:rsidRDefault="00CE6A2C" w:rsidP="00B136B6">
      <w:pPr>
        <w:pStyle w:val="Heading3"/>
      </w:pPr>
      <w:bookmarkStart w:id="124" w:name="_Information_is_available"/>
      <w:bookmarkEnd w:id="124"/>
      <w:r w:rsidRPr="00995AAE">
        <w:t xml:space="preserve">Accurate, </w:t>
      </w:r>
      <w:r w:rsidR="003101EE" w:rsidRPr="00995AAE">
        <w:t xml:space="preserve">relevant and </w:t>
      </w:r>
      <w:r w:rsidRPr="00995AAE">
        <w:t xml:space="preserve">timely </w:t>
      </w:r>
      <w:r w:rsidR="00215DB8" w:rsidRPr="00995AAE">
        <w:t>information for students</w:t>
      </w:r>
      <w:r w:rsidRPr="00995AAE">
        <w:t xml:space="preserve"> is publicly available and accessible</w:t>
      </w:r>
      <w:r w:rsidR="00FE1621" w:rsidRPr="00995AAE">
        <w:t>, including access for students with special needs</w:t>
      </w:r>
      <w:r w:rsidR="00EA5FAD" w:rsidRPr="00995AAE">
        <w:t>,</w:t>
      </w:r>
      <w:r w:rsidRPr="00995AAE">
        <w:t xml:space="preserve"> to </w:t>
      </w:r>
      <w:r w:rsidR="00FD384D" w:rsidRPr="00995AAE">
        <w:t>enable informed</w:t>
      </w:r>
      <w:r w:rsidRPr="00995AAE">
        <w:t xml:space="preserve"> decision making </w:t>
      </w:r>
      <w:r w:rsidR="0076244B" w:rsidRPr="00995AAE">
        <w:t xml:space="preserve">about educational offerings and experiences. </w:t>
      </w:r>
    </w:p>
    <w:p w14:paraId="020AC0AB" w14:textId="77777777" w:rsidR="008C1272" w:rsidRPr="00995AAE" w:rsidRDefault="008C1272" w:rsidP="00B136B6">
      <w:pPr>
        <w:pStyle w:val="Heading3"/>
      </w:pPr>
      <w:r w:rsidRPr="00995AAE">
        <w:t>Information for students</w:t>
      </w:r>
      <w:r w:rsidR="00EA5FAD" w:rsidRPr="00995AAE">
        <w:t xml:space="preserve"> is</w:t>
      </w:r>
      <w:r w:rsidRPr="00995AAE">
        <w:t xml:space="preserve"> </w:t>
      </w:r>
      <w:r w:rsidR="00E44BB7" w:rsidRPr="00995AAE">
        <w:t>available prior to acceptance</w:t>
      </w:r>
      <w:r w:rsidR="00931ABF" w:rsidRPr="00995AAE">
        <w:t xml:space="preserve"> of an offer</w:t>
      </w:r>
      <w:r w:rsidR="00E44BB7" w:rsidRPr="00995AAE">
        <w:t xml:space="preserve">, </w:t>
      </w:r>
      <w:r w:rsidRPr="00995AAE">
        <w:t>written in plain English where practicable, accompanied by an explanation of any technical or specialised terms</w:t>
      </w:r>
      <w:r w:rsidR="004C5146" w:rsidRPr="00995AAE">
        <w:t>,</w:t>
      </w:r>
      <w:r w:rsidR="00EA5FAD" w:rsidRPr="00995AAE">
        <w:t xml:space="preserve"> and</w:t>
      </w:r>
      <w:r w:rsidRPr="00995AAE">
        <w:t xml:space="preserve"> includes: </w:t>
      </w:r>
    </w:p>
    <w:p w14:paraId="718E12B2" w14:textId="77777777" w:rsidR="00321001" w:rsidRPr="00995AAE" w:rsidRDefault="00B56137" w:rsidP="00B136B6">
      <w:pPr>
        <w:pStyle w:val="Heading4"/>
      </w:pPr>
      <w:r w:rsidRPr="00995AAE">
        <w:rPr>
          <w:rStyle w:val="Strong"/>
          <w:b w:val="0"/>
          <w:bCs w:val="0"/>
        </w:rPr>
        <w:t>i</w:t>
      </w:r>
      <w:r w:rsidR="00321001" w:rsidRPr="00995AAE">
        <w:rPr>
          <w:rStyle w:val="Strong"/>
          <w:b w:val="0"/>
          <w:bCs w:val="0"/>
        </w:rPr>
        <w:t xml:space="preserve">nformation to assist in decisions about </w:t>
      </w:r>
      <w:r w:rsidR="00321001" w:rsidRPr="00995AAE">
        <w:t>courses</w:t>
      </w:r>
      <w:r w:rsidR="00321001" w:rsidRPr="00995AAE">
        <w:rPr>
          <w:rStyle w:val="Strong"/>
          <w:b w:val="0"/>
          <w:bCs w:val="0"/>
        </w:rPr>
        <w:t xml:space="preserve"> or </w:t>
      </w:r>
      <w:r w:rsidR="00321001" w:rsidRPr="00995AAE">
        <w:t>units of study</w:t>
      </w:r>
      <w:r w:rsidRPr="00995AAE">
        <w:rPr>
          <w:rStyle w:val="Hyperlink"/>
          <w:color w:val="auto"/>
          <w:u w:val="none"/>
        </w:rPr>
        <w:t>,</w:t>
      </w:r>
      <w:r w:rsidR="004C5146" w:rsidRPr="00995AAE">
        <w:t xml:space="preserve"> including </w:t>
      </w:r>
      <w:r w:rsidR="00155C81" w:rsidRPr="00995AAE">
        <w:t xml:space="preserve">the </w:t>
      </w:r>
      <w:r w:rsidR="00215DB8" w:rsidRPr="00995AAE">
        <w:t>course design</w:t>
      </w:r>
      <w:r w:rsidR="00321001" w:rsidRPr="00995AAE">
        <w:t xml:space="preserve">, </w:t>
      </w:r>
      <w:r w:rsidR="00D74BC6" w:rsidRPr="00995AAE">
        <w:t>prerequisites</w:t>
      </w:r>
      <w:r w:rsidR="00170075" w:rsidRPr="00995AAE">
        <w:t xml:space="preserve">, </w:t>
      </w:r>
      <w:r w:rsidR="00F90985" w:rsidRPr="00995AAE">
        <w:t xml:space="preserve">assumed knowledge, </w:t>
      </w:r>
      <w:r w:rsidR="00321001" w:rsidRPr="00995AAE">
        <w:t>when and where courses/units are offered, application dates, arrangements for recognition of prior learning, standing credit transfer arrangements, pathways to employment and eligibility for registration to practise where applicable</w:t>
      </w:r>
    </w:p>
    <w:p w14:paraId="727027CE" w14:textId="77777777" w:rsidR="00321001" w:rsidRPr="00995AAE" w:rsidRDefault="00B56137" w:rsidP="00B136B6">
      <w:pPr>
        <w:pStyle w:val="Heading4"/>
      </w:pPr>
      <w:r w:rsidRPr="00995AAE">
        <w:rPr>
          <w:rStyle w:val="Strong"/>
          <w:b w:val="0"/>
        </w:rPr>
        <w:t>i</w:t>
      </w:r>
      <w:r w:rsidR="00321001" w:rsidRPr="00995AAE">
        <w:rPr>
          <w:rStyle w:val="Strong"/>
          <w:b w:val="0"/>
        </w:rPr>
        <w:t>nformation to assist in planning for and participation in educational and other activities</w:t>
      </w:r>
      <w:r w:rsidRPr="00995AAE">
        <w:rPr>
          <w:rStyle w:val="Strong"/>
          <w:b w:val="0"/>
        </w:rPr>
        <w:t>,</w:t>
      </w:r>
      <w:r w:rsidRPr="00995AAE">
        <w:t xml:space="preserve"> including</w:t>
      </w:r>
      <w:r w:rsidR="00321001" w:rsidRPr="00995AAE">
        <w:t xml:space="preserve"> contact points</w:t>
      </w:r>
      <w:r w:rsidR="00170075" w:rsidRPr="00995AAE">
        <w:t>,</w:t>
      </w:r>
      <w:r w:rsidR="00321001" w:rsidRPr="00995AAE">
        <w:t xml:space="preserve"> advice about orientation and induction, delivery arrangements, technical requirements for access to IT systems for online activities, timetables, access to learning resources, avenues to participate in decision making and opportunities to participate in student representative bodies</w:t>
      </w:r>
    </w:p>
    <w:p w14:paraId="53B4053E" w14:textId="77777777" w:rsidR="0021073E" w:rsidRPr="00995AAE" w:rsidRDefault="00B56137" w:rsidP="0021073E">
      <w:pPr>
        <w:pStyle w:val="Heading4"/>
      </w:pPr>
      <w:proofErr w:type="gramStart"/>
      <w:r w:rsidRPr="00995AAE">
        <w:rPr>
          <w:rStyle w:val="Strong"/>
          <w:b w:val="0"/>
        </w:rPr>
        <w:t>i</w:t>
      </w:r>
      <w:r w:rsidR="00321001" w:rsidRPr="00995AAE">
        <w:rPr>
          <w:rStyle w:val="Strong"/>
          <w:b w:val="0"/>
        </w:rPr>
        <w:t>nformation</w:t>
      </w:r>
      <w:proofErr w:type="gramEnd"/>
      <w:r w:rsidR="00321001" w:rsidRPr="00995AAE">
        <w:rPr>
          <w:rStyle w:val="Strong"/>
          <w:b w:val="0"/>
        </w:rPr>
        <w:t xml:space="preserve"> to outline the obligations of students and their liabilities to the </w:t>
      </w:r>
      <w:r w:rsidR="00321001" w:rsidRPr="00995AAE">
        <w:t xml:space="preserve">higher education </w:t>
      </w:r>
      <w:r w:rsidR="00321001" w:rsidRPr="00995AAE">
        <w:rPr>
          <w:rFonts w:cs="Arial"/>
        </w:rPr>
        <w:t>provider</w:t>
      </w:r>
      <w:r w:rsidRPr="00995AAE">
        <w:t xml:space="preserve"> including </w:t>
      </w:r>
      <w:r w:rsidR="00321001" w:rsidRPr="00995AAE">
        <w:t xml:space="preserve">expected standards of behaviour, financial obligations to the higher education provider, critical deadlines, policies for deferral, change of preference/enrolment and leave of absence, particular obligations of </w:t>
      </w:r>
      <w:r w:rsidR="005F7BEE" w:rsidRPr="00995AAE">
        <w:t>international</w:t>
      </w:r>
      <w:r w:rsidR="00321001" w:rsidRPr="00995AAE">
        <w:t xml:space="preserve"> students, disciplinary procedures, misconduct and grounds for suspension or exclusion</w:t>
      </w:r>
    </w:p>
    <w:p w14:paraId="3C39FBA8" w14:textId="77777777" w:rsidR="00321001" w:rsidRPr="00995AAE" w:rsidRDefault="00344A35" w:rsidP="00B136B6">
      <w:pPr>
        <w:pStyle w:val="Heading4"/>
      </w:pPr>
      <w:proofErr w:type="gramStart"/>
      <w:r w:rsidRPr="00995AAE">
        <w:rPr>
          <w:rStyle w:val="Strong"/>
          <w:b w:val="0"/>
          <w:bCs w:val="0"/>
        </w:rPr>
        <w:t>i</w:t>
      </w:r>
      <w:r w:rsidR="00321001" w:rsidRPr="00995AAE">
        <w:rPr>
          <w:rStyle w:val="Strong"/>
          <w:b w:val="0"/>
          <w:bCs w:val="0"/>
        </w:rPr>
        <w:t>nformation</w:t>
      </w:r>
      <w:proofErr w:type="gramEnd"/>
      <w:r w:rsidR="00321001" w:rsidRPr="00995AAE">
        <w:rPr>
          <w:rStyle w:val="Strong"/>
          <w:b w:val="0"/>
          <w:bCs w:val="0"/>
        </w:rPr>
        <w:t xml:space="preserve"> to give access to current academic governance policies and requirements</w:t>
      </w:r>
      <w:r w:rsidR="00B56137" w:rsidRPr="00995AAE">
        <w:t xml:space="preserve"> including </w:t>
      </w:r>
      <w:r w:rsidR="00321001" w:rsidRPr="00995AAE">
        <w:t>admission, recognition of prior learning, transition, progression, assessment, grading, completion, qualifications, appeals, academic integrity, equity and diversity, intellectual property and withdrawal from or cancellation of enrolment</w:t>
      </w:r>
    </w:p>
    <w:p w14:paraId="17783799" w14:textId="77777777" w:rsidR="00321001" w:rsidRPr="00995AAE" w:rsidRDefault="00344A35" w:rsidP="00B136B6">
      <w:pPr>
        <w:pStyle w:val="Heading4"/>
      </w:pPr>
      <w:r w:rsidRPr="00995AAE">
        <w:rPr>
          <w:rStyle w:val="Strong"/>
          <w:b w:val="0"/>
        </w:rPr>
        <w:lastRenderedPageBreak/>
        <w:t>i</w:t>
      </w:r>
      <w:r w:rsidR="00321001" w:rsidRPr="00995AAE">
        <w:rPr>
          <w:rStyle w:val="Strong"/>
          <w:b w:val="0"/>
        </w:rPr>
        <w:t>nformation to facilitate access to services and support</w:t>
      </w:r>
      <w:r w:rsidR="00B56137" w:rsidRPr="00995AAE">
        <w:t xml:space="preserve"> including </w:t>
      </w:r>
      <w:r w:rsidR="00321001" w:rsidRPr="00995AAE">
        <w:t>the types of services available such as educational resources including English language support, personal support services, cultural support and ancillary services, hours of availability, how to access services and emergency contact details where applicable</w:t>
      </w:r>
    </w:p>
    <w:p w14:paraId="79F99AB5" w14:textId="77777777" w:rsidR="00321001" w:rsidRPr="00995AAE" w:rsidRDefault="00B56137" w:rsidP="00B136B6">
      <w:pPr>
        <w:pStyle w:val="Heading4"/>
      </w:pPr>
      <w:r w:rsidRPr="00995AAE">
        <w:rPr>
          <w:rStyle w:val="Strong"/>
          <w:b w:val="0"/>
        </w:rPr>
        <w:t>i</w:t>
      </w:r>
      <w:r w:rsidR="00321001" w:rsidRPr="00995AAE">
        <w:rPr>
          <w:rStyle w:val="Strong"/>
          <w:b w:val="0"/>
        </w:rPr>
        <w:t xml:space="preserve">nformation to assist in resolution of </w:t>
      </w:r>
      <w:r w:rsidR="00321001" w:rsidRPr="00995AAE">
        <w:t>grievances</w:t>
      </w:r>
      <w:r w:rsidRPr="00995AAE">
        <w:rPr>
          <w:rStyle w:val="Strong"/>
          <w:b w:val="0"/>
        </w:rPr>
        <w:t>,</w:t>
      </w:r>
      <w:r w:rsidR="00321001" w:rsidRPr="00995AAE">
        <w:rPr>
          <w:rStyle w:val="Strong"/>
          <w:b w:val="0"/>
        </w:rPr>
        <w:t xml:space="preserve"> </w:t>
      </w:r>
      <w:r w:rsidRPr="00995AAE">
        <w:t xml:space="preserve">including </w:t>
      </w:r>
      <w:r w:rsidR="00321001" w:rsidRPr="00995AAE">
        <w:t>an explanation of processes for resolution of grievances and complaints and internal and external appeals processes, guidance on how to participate in the processes and sources of assistance including advocacy</w:t>
      </w:r>
      <w:r w:rsidRPr="00995AAE">
        <w:t>, and</w:t>
      </w:r>
    </w:p>
    <w:p w14:paraId="77B0FF72" w14:textId="77777777" w:rsidR="00321001" w:rsidRPr="00995AAE" w:rsidRDefault="00344A35" w:rsidP="00B136B6">
      <w:pPr>
        <w:pStyle w:val="Heading4"/>
      </w:pPr>
      <w:r w:rsidRPr="00995AAE">
        <w:rPr>
          <w:rStyle w:val="Strong"/>
          <w:b w:val="0"/>
        </w:rPr>
        <w:t>i</w:t>
      </w:r>
      <w:r w:rsidR="00321001" w:rsidRPr="00995AAE">
        <w:rPr>
          <w:rStyle w:val="Strong"/>
          <w:b w:val="0"/>
        </w:rPr>
        <w:t xml:space="preserve">nformation to assist </w:t>
      </w:r>
      <w:r w:rsidR="005F7BEE" w:rsidRPr="00995AAE">
        <w:t>international</w:t>
      </w:r>
      <w:r w:rsidR="00321001" w:rsidRPr="00995AAE">
        <w:t xml:space="preserve"> students</w:t>
      </w:r>
      <w:r w:rsidR="00321001" w:rsidRPr="00995AAE">
        <w:rPr>
          <w:rStyle w:val="Strong"/>
          <w:b w:val="0"/>
        </w:rPr>
        <w:t xml:space="preserve"> studying in Australia if applicable</w:t>
      </w:r>
      <w:r w:rsidR="00B56137" w:rsidRPr="00995AAE">
        <w:rPr>
          <w:rStyle w:val="Strong"/>
          <w:b w:val="0"/>
        </w:rPr>
        <w:t>,</w:t>
      </w:r>
      <w:r w:rsidR="00321001" w:rsidRPr="00995AAE">
        <w:rPr>
          <w:rStyle w:val="Strong"/>
          <w:b w:val="0"/>
        </w:rPr>
        <w:t xml:space="preserve"> </w:t>
      </w:r>
      <w:r w:rsidR="00B56137" w:rsidRPr="00995AAE">
        <w:t xml:space="preserve">including </w:t>
      </w:r>
      <w:r w:rsidR="00321001" w:rsidRPr="00995AAE">
        <w:t>indicative costs of living and studying in Australia, accommodation options, arrangements for health care and, where applicable, schooling obligations related to school-aged dependants (including the possibility that school fees may be incurred).</w:t>
      </w:r>
    </w:p>
    <w:p w14:paraId="5C44B59E" w14:textId="77777777" w:rsidR="00815371" w:rsidRPr="00995AAE" w:rsidRDefault="00815371" w:rsidP="00B136B6">
      <w:pPr>
        <w:pStyle w:val="Heading3"/>
      </w:pPr>
      <w:r w:rsidRPr="00995AAE">
        <w:t>There are policies and processes t</w:t>
      </w:r>
      <w:r w:rsidR="006C4ED4" w:rsidRPr="00995AAE">
        <w:t>hat</w:t>
      </w:r>
      <w:r w:rsidRPr="00995AAE">
        <w:t xml:space="preserve"> ensure information and advice given </w:t>
      </w:r>
      <w:r w:rsidR="00222076" w:rsidRPr="00995AAE">
        <w:t xml:space="preserve">to </w:t>
      </w:r>
      <w:r w:rsidR="005F7BEE" w:rsidRPr="00995AAE">
        <w:t xml:space="preserve">international students holding or applying for </w:t>
      </w:r>
      <w:r w:rsidR="00C154CF" w:rsidRPr="00995AAE">
        <w:t xml:space="preserve">an </w:t>
      </w:r>
      <w:r w:rsidR="005F7BEE" w:rsidRPr="00995AAE">
        <w:t>Australian student visa</w:t>
      </w:r>
      <w:r w:rsidR="00707339" w:rsidRPr="00995AAE">
        <w:t xml:space="preserve"> </w:t>
      </w:r>
      <w:r w:rsidRPr="00995AAE">
        <w:t xml:space="preserve">and decisions taken in relation to </w:t>
      </w:r>
      <w:r w:rsidR="005F7BEE" w:rsidRPr="00995AAE">
        <w:t xml:space="preserve">such </w:t>
      </w:r>
      <w:r w:rsidRPr="00995AAE">
        <w:t>students meet statutory requirements</w:t>
      </w:r>
      <w:r w:rsidR="00082032" w:rsidRPr="00995AAE">
        <w:t>.</w:t>
      </w:r>
    </w:p>
    <w:p w14:paraId="52F85C51" w14:textId="77777777" w:rsidR="007F1CFE" w:rsidRPr="00995AAE" w:rsidRDefault="002D7CDB" w:rsidP="00EA7194">
      <w:pPr>
        <w:pStyle w:val="Heading3"/>
      </w:pPr>
      <w:r w:rsidRPr="00995AAE">
        <w:t>Students are given reasonable notice of</w:t>
      </w:r>
      <w:r w:rsidR="00A55624" w:rsidRPr="00995AAE">
        <w:t xml:space="preserve"> </w:t>
      </w:r>
      <w:r w:rsidRPr="00995AAE">
        <w:t>changes to a</w:t>
      </w:r>
      <w:r w:rsidR="00877239" w:rsidRPr="00995AAE">
        <w:t xml:space="preserve"> higher education</w:t>
      </w:r>
      <w:r w:rsidRPr="00995AAE">
        <w:t xml:space="preserve"> provider's operations </w:t>
      </w:r>
      <w:r w:rsidR="00AA42D7" w:rsidRPr="00995AAE">
        <w:rPr>
          <w:szCs w:val="22"/>
        </w:rPr>
        <w:t xml:space="preserve">including information about increases in fees and associated costs </w:t>
      </w:r>
      <w:r w:rsidRPr="00995AAE">
        <w:t xml:space="preserve">and any consequences that may affect </w:t>
      </w:r>
      <w:r w:rsidR="00FB054F" w:rsidRPr="00995AAE">
        <w:t>their</w:t>
      </w:r>
      <w:r w:rsidRPr="00995AAE">
        <w:t xml:space="preserve"> choice </w:t>
      </w:r>
      <w:proofErr w:type="gramStart"/>
      <w:r w:rsidRPr="00995AAE">
        <w:t>of,</w:t>
      </w:r>
      <w:proofErr w:type="gramEnd"/>
      <w:r w:rsidRPr="00995AAE">
        <w:t xml:space="preserve"> or ability to participate in, </w:t>
      </w:r>
      <w:r w:rsidR="00FB054F" w:rsidRPr="00995AAE">
        <w:t xml:space="preserve">an </w:t>
      </w:r>
      <w:r w:rsidRPr="00995AAE">
        <w:t xml:space="preserve">intended course(s) of study. </w:t>
      </w:r>
    </w:p>
    <w:p w14:paraId="1CFA7B2D" w14:textId="77777777" w:rsidR="00EB6FB7" w:rsidRPr="00995AAE" w:rsidRDefault="00EB6FB7" w:rsidP="00B136B6">
      <w:pPr>
        <w:pStyle w:val="Heading3"/>
        <w:numPr>
          <w:ilvl w:val="0"/>
          <w:numId w:val="0"/>
        </w:numPr>
        <w:ind w:left="1418"/>
      </w:pPr>
      <w:bookmarkStart w:id="125" w:name="_Toc370205849"/>
    </w:p>
    <w:p w14:paraId="50542877" w14:textId="77777777" w:rsidR="000D4654" w:rsidRPr="00995AAE" w:rsidRDefault="00992014" w:rsidP="000B4E5D">
      <w:pPr>
        <w:pStyle w:val="Heading2"/>
      </w:pPr>
      <w:bookmarkStart w:id="126" w:name="_Toc418684295"/>
      <w:bookmarkStart w:id="127" w:name="_Toc428368877"/>
      <w:bookmarkEnd w:id="125"/>
      <w:r w:rsidRPr="00995AAE">
        <w:t>I</w:t>
      </w:r>
      <w:r w:rsidR="004C3BDD" w:rsidRPr="00995AAE">
        <w:t>nformation</w:t>
      </w:r>
      <w:r w:rsidR="0040765C" w:rsidRPr="00995AAE">
        <w:t xml:space="preserve"> </w:t>
      </w:r>
      <w:r w:rsidRPr="00995AAE">
        <w:t>M</w:t>
      </w:r>
      <w:r w:rsidR="0040765C" w:rsidRPr="00995AAE">
        <w:t>anagement</w:t>
      </w:r>
      <w:bookmarkEnd w:id="126"/>
      <w:bookmarkEnd w:id="127"/>
      <w:r w:rsidR="00650BFF" w:rsidRPr="00995AAE">
        <w:t xml:space="preserve"> </w:t>
      </w:r>
    </w:p>
    <w:p w14:paraId="47A14322" w14:textId="77777777" w:rsidR="006B5A15" w:rsidRPr="00995AAE" w:rsidRDefault="003B39DA" w:rsidP="00B136B6">
      <w:pPr>
        <w:pStyle w:val="Heading3"/>
      </w:pPr>
      <w:r w:rsidRPr="00995AAE">
        <w:t>There is a</w:t>
      </w:r>
      <w:r w:rsidR="000D4654" w:rsidRPr="00995AAE">
        <w:t xml:space="preserve"> repository of </w:t>
      </w:r>
      <w:r w:rsidR="00D610CC" w:rsidRPr="00995AAE">
        <w:t>publicly-</w:t>
      </w:r>
      <w:r w:rsidR="000D4654" w:rsidRPr="00995AAE">
        <w:t>available</w:t>
      </w:r>
      <w:r w:rsidR="004B4BC2" w:rsidRPr="00995AAE">
        <w:t xml:space="preserve"> </w:t>
      </w:r>
      <w:r w:rsidR="00BC35CB" w:rsidRPr="00995AAE">
        <w:t xml:space="preserve">current </w:t>
      </w:r>
      <w:r w:rsidR="006B5A15" w:rsidRPr="00995AAE">
        <w:t xml:space="preserve">information about the </w:t>
      </w:r>
      <w:r w:rsidR="006B5A15" w:rsidRPr="00995AAE">
        <w:rPr>
          <w:rFonts w:cs="Arial"/>
        </w:rPr>
        <w:t xml:space="preserve">higher education </w:t>
      </w:r>
      <w:r w:rsidR="006B5A15" w:rsidRPr="00995AAE">
        <w:t xml:space="preserve">provider’s </w:t>
      </w:r>
      <w:r w:rsidR="00E15C55" w:rsidRPr="00995AAE">
        <w:t>operations that</w:t>
      </w:r>
      <w:r w:rsidR="006B5A15" w:rsidRPr="00995AAE">
        <w:t xml:space="preserve"> includes:</w:t>
      </w:r>
    </w:p>
    <w:p w14:paraId="10994A65" w14:textId="77777777" w:rsidR="006B5A15" w:rsidRPr="00995AAE" w:rsidRDefault="006B5A15" w:rsidP="00B136B6">
      <w:pPr>
        <w:pStyle w:val="Heading4"/>
      </w:pPr>
      <w:proofErr w:type="gramStart"/>
      <w:r w:rsidRPr="00995AAE">
        <w:t>the</w:t>
      </w:r>
      <w:proofErr w:type="gramEnd"/>
      <w:r w:rsidRPr="00995AAE">
        <w:t xml:space="preserve"> registered name of the higher education provider, trading name</w:t>
      </w:r>
      <w:r w:rsidR="00C97792" w:rsidRPr="00995AAE">
        <w:t>(s)</w:t>
      </w:r>
      <w:r w:rsidRPr="00995AAE">
        <w:t xml:space="preserve"> if different, regulatory status and authority to provide courses</w:t>
      </w:r>
      <w:r w:rsidR="00344A35" w:rsidRPr="00995AAE">
        <w:t xml:space="preserve"> of study</w:t>
      </w:r>
      <w:r w:rsidRPr="00995AAE">
        <w:t xml:space="preserve"> to </w:t>
      </w:r>
      <w:r w:rsidR="005F7BEE" w:rsidRPr="00995AAE">
        <w:t>international</w:t>
      </w:r>
      <w:r w:rsidRPr="00995AAE">
        <w:t xml:space="preserve"> students</w:t>
      </w:r>
      <w:r w:rsidR="005F7BEE" w:rsidRPr="00995AAE">
        <w:t xml:space="preserve"> studying on </w:t>
      </w:r>
      <w:r w:rsidR="00C154CF" w:rsidRPr="00995AAE">
        <w:t xml:space="preserve">an </w:t>
      </w:r>
      <w:r w:rsidR="005F7BEE" w:rsidRPr="00995AAE">
        <w:t>Australian student visa</w:t>
      </w:r>
    </w:p>
    <w:p w14:paraId="63C7AC67" w14:textId="77777777" w:rsidR="006B5A15" w:rsidRPr="00995AAE" w:rsidRDefault="006B5A15" w:rsidP="00B136B6">
      <w:pPr>
        <w:pStyle w:val="Heading4"/>
      </w:pPr>
      <w:proofErr w:type="gramStart"/>
      <w:r w:rsidRPr="00995AAE">
        <w:t>the</w:t>
      </w:r>
      <w:proofErr w:type="gramEnd"/>
      <w:r w:rsidRPr="00995AAE">
        <w:t xml:space="preserve"> instrument establishing the entity</w:t>
      </w:r>
    </w:p>
    <w:p w14:paraId="7E2DCF98" w14:textId="77777777" w:rsidR="006B5A15" w:rsidRPr="00995AAE" w:rsidRDefault="006B5A15" w:rsidP="00B136B6">
      <w:pPr>
        <w:pStyle w:val="Heading4"/>
      </w:pPr>
      <w:proofErr w:type="gramStart"/>
      <w:r w:rsidRPr="00995AAE">
        <w:t>the</w:t>
      </w:r>
      <w:proofErr w:type="gramEnd"/>
      <w:r w:rsidRPr="00995AAE">
        <w:t xml:space="preserve"> members of the governing body and senior executive</w:t>
      </w:r>
    </w:p>
    <w:p w14:paraId="3E81F4CD" w14:textId="77777777" w:rsidR="00BC35CB" w:rsidRPr="00995AAE" w:rsidRDefault="00BC35CB" w:rsidP="00B136B6">
      <w:pPr>
        <w:pStyle w:val="Heading4"/>
      </w:pPr>
      <w:proofErr w:type="gramStart"/>
      <w:r w:rsidRPr="00995AAE">
        <w:t>the</w:t>
      </w:r>
      <w:proofErr w:type="gramEnd"/>
      <w:r w:rsidRPr="00995AAE">
        <w:t xml:space="preserve"> financial standing of the provider</w:t>
      </w:r>
    </w:p>
    <w:p w14:paraId="1A993C9C" w14:textId="77777777" w:rsidR="000E53AB" w:rsidRPr="00995AAE" w:rsidRDefault="000E53AB" w:rsidP="00B136B6">
      <w:pPr>
        <w:pStyle w:val="Heading4"/>
      </w:pPr>
      <w:proofErr w:type="gramStart"/>
      <w:r w:rsidRPr="00995AAE">
        <w:t>indicative</w:t>
      </w:r>
      <w:proofErr w:type="gramEnd"/>
      <w:r w:rsidRPr="00995AAE">
        <w:t xml:space="preserve"> total student enrolments</w:t>
      </w:r>
    </w:p>
    <w:p w14:paraId="03B6E1E0" w14:textId="77777777" w:rsidR="006B5A15" w:rsidRPr="00995AAE" w:rsidRDefault="006B5A15" w:rsidP="00B136B6">
      <w:pPr>
        <w:pStyle w:val="Heading4"/>
      </w:pPr>
      <w:proofErr w:type="gramStart"/>
      <w:r w:rsidRPr="00995AAE">
        <w:t>a</w:t>
      </w:r>
      <w:proofErr w:type="gramEnd"/>
      <w:r w:rsidRPr="00995AAE">
        <w:t xml:space="preserve"> high-level organisational chart that includes the organisational units that deliver courses of study, such as schools or faculties   </w:t>
      </w:r>
    </w:p>
    <w:p w14:paraId="1A040081" w14:textId="77777777" w:rsidR="006B5A15" w:rsidRPr="00995AAE" w:rsidRDefault="006B5A15" w:rsidP="00B136B6">
      <w:pPr>
        <w:pStyle w:val="Heading4"/>
      </w:pPr>
      <w:proofErr w:type="gramStart"/>
      <w:r w:rsidRPr="00995AAE">
        <w:t>the</w:t>
      </w:r>
      <w:proofErr w:type="gramEnd"/>
      <w:r w:rsidRPr="00995AAE">
        <w:t xml:space="preserve"> locations at which higher education is offered, including overseas if applicable </w:t>
      </w:r>
    </w:p>
    <w:p w14:paraId="26941C32" w14:textId="77777777" w:rsidR="006B5A15" w:rsidRPr="00995AAE" w:rsidRDefault="006B5A15" w:rsidP="00B136B6">
      <w:pPr>
        <w:pStyle w:val="Heading4"/>
      </w:pPr>
      <w:proofErr w:type="gramStart"/>
      <w:r w:rsidRPr="00995AAE">
        <w:t>an</w:t>
      </w:r>
      <w:proofErr w:type="gramEnd"/>
      <w:r w:rsidRPr="00995AAE">
        <w:t xml:space="preserve"> overview of teaching campuses, facilities, learning resources and services provided for students</w:t>
      </w:r>
    </w:p>
    <w:p w14:paraId="1B0A8102" w14:textId="77777777" w:rsidR="006B5A15" w:rsidRPr="00995AAE" w:rsidRDefault="006B5A15" w:rsidP="00B136B6">
      <w:pPr>
        <w:pStyle w:val="Heading4"/>
      </w:pPr>
      <w:proofErr w:type="gramStart"/>
      <w:r w:rsidRPr="00995AAE">
        <w:t>a</w:t>
      </w:r>
      <w:proofErr w:type="gramEnd"/>
      <w:r w:rsidRPr="00995AAE">
        <w:t xml:space="preserve"> list of all higher education courses of study that are offered</w:t>
      </w:r>
      <w:r w:rsidR="000E53AB" w:rsidRPr="00995AAE">
        <w:t>, including indicative estimated annual enrolments</w:t>
      </w:r>
    </w:p>
    <w:p w14:paraId="7D03F134" w14:textId="77777777" w:rsidR="006B5A15" w:rsidRPr="00995AAE" w:rsidRDefault="006B5A15" w:rsidP="00B136B6">
      <w:pPr>
        <w:pStyle w:val="Heading4"/>
      </w:pPr>
      <w:proofErr w:type="gramStart"/>
      <w:r w:rsidRPr="00995AAE">
        <w:t>arrangements</w:t>
      </w:r>
      <w:proofErr w:type="gramEnd"/>
      <w:r w:rsidRPr="00995AAE">
        <w:t xml:space="preserve"> with other parties to deliver courses of study or to conduct research training</w:t>
      </w:r>
    </w:p>
    <w:p w14:paraId="1B496309" w14:textId="77777777" w:rsidR="006B5A15" w:rsidRPr="00995AAE" w:rsidRDefault="006B5A15" w:rsidP="00B136B6">
      <w:pPr>
        <w:pStyle w:val="Heading4"/>
      </w:pPr>
      <w:proofErr w:type="gramStart"/>
      <w:r w:rsidRPr="00995AAE">
        <w:t>where</w:t>
      </w:r>
      <w:proofErr w:type="gramEnd"/>
      <w:r w:rsidRPr="00995AAE">
        <w:t xml:space="preserve"> public annual reports are required of the provider, the three most recent annual reports</w:t>
      </w:r>
    </w:p>
    <w:p w14:paraId="69690F95" w14:textId="77777777" w:rsidR="006B5A15" w:rsidRPr="00995AAE" w:rsidRDefault="006B5A15" w:rsidP="00B136B6">
      <w:pPr>
        <w:pStyle w:val="Heading4"/>
      </w:pPr>
      <w:proofErr w:type="gramStart"/>
      <w:r w:rsidRPr="00995AAE">
        <w:t>how</w:t>
      </w:r>
      <w:proofErr w:type="gramEnd"/>
      <w:r w:rsidRPr="00995AAE">
        <w:t xml:space="preserve"> to lodge a complaint about the higher education provider, and</w:t>
      </w:r>
    </w:p>
    <w:p w14:paraId="7E87B39F" w14:textId="77777777" w:rsidR="008C1272" w:rsidRPr="00995AAE" w:rsidRDefault="006B5A15" w:rsidP="00B136B6">
      <w:pPr>
        <w:pStyle w:val="Heading4"/>
      </w:pPr>
      <w:proofErr w:type="gramStart"/>
      <w:r w:rsidRPr="00995AAE">
        <w:t>contact</w:t>
      </w:r>
      <w:proofErr w:type="gramEnd"/>
      <w:r w:rsidRPr="00995AAE">
        <w:t xml:space="preserve"> details</w:t>
      </w:r>
      <w:r w:rsidR="008C1272" w:rsidRPr="00995AAE">
        <w:t>.</w:t>
      </w:r>
    </w:p>
    <w:p w14:paraId="3702DB90" w14:textId="77777777" w:rsidR="00321001" w:rsidRPr="00995AAE" w:rsidRDefault="006B5A15" w:rsidP="00B136B6">
      <w:pPr>
        <w:pStyle w:val="Heading3"/>
        <w:rPr>
          <w:rStyle w:val="Strong"/>
          <w:b w:val="0"/>
          <w:bCs/>
          <w:iCs/>
        </w:rPr>
      </w:pPr>
      <w:r w:rsidRPr="00097BFB">
        <w:t>The list of all higher education courses of study</w:t>
      </w:r>
      <w:r w:rsidR="004C3BDD" w:rsidRPr="00995AAE">
        <w:t xml:space="preserve"> </w:t>
      </w:r>
      <w:r w:rsidR="007A22D9" w:rsidRPr="00995AAE">
        <w:t>within the repository of information</w:t>
      </w:r>
      <w:r w:rsidR="00321001" w:rsidRPr="00995AAE">
        <w:t xml:space="preserve"> includes:</w:t>
      </w:r>
      <w:r w:rsidR="00321001" w:rsidRPr="00995AAE">
        <w:rPr>
          <w:rStyle w:val="Strong"/>
          <w:b w:val="0"/>
        </w:rPr>
        <w:t xml:space="preserve"> </w:t>
      </w:r>
    </w:p>
    <w:p w14:paraId="03AE0672" w14:textId="77777777" w:rsidR="00321001" w:rsidRPr="00995AAE" w:rsidRDefault="00321001" w:rsidP="00B136B6">
      <w:pPr>
        <w:pStyle w:val="Heading4"/>
      </w:pPr>
      <w:proofErr w:type="gramStart"/>
      <w:r w:rsidRPr="00995AAE">
        <w:t>the</w:t>
      </w:r>
      <w:proofErr w:type="gramEnd"/>
      <w:r w:rsidRPr="00995AAE">
        <w:t xml:space="preserve"> accreditation status of each course of study</w:t>
      </w:r>
    </w:p>
    <w:p w14:paraId="463A02CE" w14:textId="77777777" w:rsidR="00321001" w:rsidRPr="00995AAE" w:rsidRDefault="00321001" w:rsidP="00B136B6">
      <w:pPr>
        <w:pStyle w:val="Heading4"/>
      </w:pPr>
      <w:proofErr w:type="gramStart"/>
      <w:r w:rsidRPr="00995AAE">
        <w:lastRenderedPageBreak/>
        <w:t>the</w:t>
      </w:r>
      <w:proofErr w:type="gramEnd"/>
      <w:r w:rsidRPr="00995AAE">
        <w:t xml:space="preserve"> qualification(s) offered</w:t>
      </w:r>
    </w:p>
    <w:p w14:paraId="3A8A65F0" w14:textId="77777777" w:rsidR="00321001" w:rsidRPr="00995AAE" w:rsidRDefault="00321001" w:rsidP="00B136B6">
      <w:pPr>
        <w:pStyle w:val="Heading4"/>
      </w:pPr>
      <w:proofErr w:type="gramStart"/>
      <w:r w:rsidRPr="00995AAE">
        <w:t>whether</w:t>
      </w:r>
      <w:proofErr w:type="gramEnd"/>
      <w:r w:rsidRPr="00995AAE">
        <w:t xml:space="preserve"> the qualification is recognised in the </w:t>
      </w:r>
      <w:r w:rsidRPr="00995AAE">
        <w:rPr>
          <w:i/>
        </w:rPr>
        <w:t>Australian Qualifications Framework</w:t>
      </w:r>
      <w:r w:rsidRPr="00995AAE">
        <w:t xml:space="preserve">   </w:t>
      </w:r>
    </w:p>
    <w:p w14:paraId="6A757E81" w14:textId="77777777" w:rsidR="00321001" w:rsidRPr="00995AAE" w:rsidRDefault="00321001" w:rsidP="00B136B6">
      <w:pPr>
        <w:pStyle w:val="Heading4"/>
      </w:pPr>
      <w:proofErr w:type="gramStart"/>
      <w:r w:rsidRPr="00995AAE">
        <w:t>confirmation</w:t>
      </w:r>
      <w:proofErr w:type="gramEnd"/>
      <w:r w:rsidRPr="00995AAE">
        <w:t xml:space="preserve"> of recognition of each course of study by the relevant professional body(</w:t>
      </w:r>
      <w:proofErr w:type="spellStart"/>
      <w:r w:rsidRPr="00995AAE">
        <w:t>ies</w:t>
      </w:r>
      <w:proofErr w:type="spellEnd"/>
      <w:r w:rsidRPr="00995AAE">
        <w:t>) if such recognition is required for registration of graduates to practise</w:t>
      </w:r>
    </w:p>
    <w:p w14:paraId="3882FE4B" w14:textId="77777777" w:rsidR="0063616A" w:rsidRPr="00995AAE" w:rsidRDefault="00321001" w:rsidP="00B136B6">
      <w:pPr>
        <w:pStyle w:val="Heading4"/>
      </w:pPr>
      <w:proofErr w:type="gramStart"/>
      <w:r w:rsidRPr="00995AAE">
        <w:t>whether</w:t>
      </w:r>
      <w:proofErr w:type="gramEnd"/>
      <w:r w:rsidRPr="00995AAE">
        <w:t xml:space="preserve"> each course of study is authorised to be offered to </w:t>
      </w:r>
      <w:r w:rsidR="005F7BEE" w:rsidRPr="00995AAE">
        <w:t>international</w:t>
      </w:r>
      <w:r w:rsidRPr="00995AAE">
        <w:t xml:space="preserve"> students</w:t>
      </w:r>
      <w:r w:rsidR="005F7BEE" w:rsidRPr="00995AAE">
        <w:rPr>
          <w:u w:val="single"/>
        </w:rPr>
        <w:t xml:space="preserve"> </w:t>
      </w:r>
      <w:r w:rsidR="005F7BEE" w:rsidRPr="00995AAE">
        <w:t xml:space="preserve">studying on </w:t>
      </w:r>
      <w:r w:rsidR="00C154CF" w:rsidRPr="00995AAE">
        <w:t xml:space="preserve">an </w:t>
      </w:r>
      <w:r w:rsidR="005F7BEE" w:rsidRPr="00995AAE">
        <w:t>Australian student visa</w:t>
      </w:r>
      <w:r w:rsidR="00170075" w:rsidRPr="00995AAE">
        <w:t>, and</w:t>
      </w:r>
      <w:r w:rsidR="0063616A" w:rsidRPr="00995AAE">
        <w:t xml:space="preserve"> </w:t>
      </w:r>
    </w:p>
    <w:p w14:paraId="14625E83" w14:textId="77777777" w:rsidR="00876F25" w:rsidRPr="00995AAE" w:rsidRDefault="0063616A" w:rsidP="00876F25">
      <w:pPr>
        <w:pStyle w:val="Heading4"/>
      </w:pPr>
      <w:proofErr w:type="gramStart"/>
      <w:r w:rsidRPr="00995AAE">
        <w:t>the</w:t>
      </w:r>
      <w:proofErr w:type="gramEnd"/>
      <w:r w:rsidRPr="00995AAE">
        <w:t xml:space="preserve"> duration of each course of study</w:t>
      </w:r>
    </w:p>
    <w:p w14:paraId="1CD08436" w14:textId="77777777" w:rsidR="00294345" w:rsidRPr="00995AAE" w:rsidRDefault="00294345" w:rsidP="00B136B6">
      <w:pPr>
        <w:pStyle w:val="Heading3"/>
      </w:pPr>
      <w:r w:rsidRPr="00995AAE">
        <w:t xml:space="preserve">Information systems and </w:t>
      </w:r>
      <w:r w:rsidR="003C2795" w:rsidRPr="00995AAE">
        <w:t xml:space="preserve">records </w:t>
      </w:r>
      <w:r w:rsidRPr="00995AAE">
        <w:t xml:space="preserve">are maintained, securely and confidentially as necessary to: </w:t>
      </w:r>
    </w:p>
    <w:p w14:paraId="066CBD13" w14:textId="77777777" w:rsidR="00294345" w:rsidRPr="00995AAE" w:rsidRDefault="00294345" w:rsidP="00B136B6">
      <w:pPr>
        <w:pStyle w:val="Heading4"/>
      </w:pPr>
      <w:proofErr w:type="gramStart"/>
      <w:r w:rsidRPr="00995AAE">
        <w:t>maintain</w:t>
      </w:r>
      <w:proofErr w:type="gramEnd"/>
      <w:r w:rsidRPr="00995AAE">
        <w:t xml:space="preserve"> accurate </w:t>
      </w:r>
      <w:r w:rsidR="007D106B" w:rsidRPr="00995AAE">
        <w:t xml:space="preserve">and up-to-date </w:t>
      </w:r>
      <w:r w:rsidR="003C2795" w:rsidRPr="00995AAE">
        <w:t xml:space="preserve">records of </w:t>
      </w:r>
      <w:r w:rsidRPr="00995AAE">
        <w:t>enrolment</w:t>
      </w:r>
      <w:r w:rsidR="003C2795" w:rsidRPr="00995AAE">
        <w:t>s</w:t>
      </w:r>
      <w:r w:rsidRPr="00995AAE">
        <w:t>, progression</w:t>
      </w:r>
      <w:r w:rsidR="003C2795" w:rsidRPr="00995AAE">
        <w:t>, completions</w:t>
      </w:r>
      <w:r w:rsidRPr="00995AAE">
        <w:t xml:space="preserve"> and </w:t>
      </w:r>
      <w:r w:rsidR="00C305F7" w:rsidRPr="00995AAE">
        <w:t xml:space="preserve">award </w:t>
      </w:r>
      <w:r w:rsidRPr="00995AAE">
        <w:t xml:space="preserve">of </w:t>
      </w:r>
      <w:r w:rsidR="00D1593B" w:rsidRPr="00995AAE">
        <w:t>qualifications</w:t>
      </w:r>
    </w:p>
    <w:p w14:paraId="149E30E3" w14:textId="77777777" w:rsidR="003C2795" w:rsidRPr="00995AAE" w:rsidRDefault="003C2795" w:rsidP="00B136B6">
      <w:pPr>
        <w:pStyle w:val="Heading4"/>
      </w:pPr>
      <w:proofErr w:type="gramStart"/>
      <w:r w:rsidRPr="00995AAE">
        <w:t>prevent</w:t>
      </w:r>
      <w:proofErr w:type="gramEnd"/>
      <w:r w:rsidRPr="00995AAE">
        <w:t xml:space="preserve"> unauthorised or fraudulent access to private or sensitive information, including information where unauthorised access may compromise academic</w:t>
      </w:r>
      <w:r w:rsidR="00CD654F" w:rsidRPr="00995AAE">
        <w:t xml:space="preserve"> or research</w:t>
      </w:r>
      <w:r w:rsidRPr="00995AAE">
        <w:t xml:space="preserve"> integrity</w:t>
      </w:r>
    </w:p>
    <w:p w14:paraId="13C623AC" w14:textId="77777777" w:rsidR="003C2795" w:rsidRPr="00995AAE" w:rsidRDefault="003C2795" w:rsidP="00B136B6">
      <w:pPr>
        <w:pStyle w:val="Heading4"/>
      </w:pPr>
      <w:proofErr w:type="gramStart"/>
      <w:r w:rsidRPr="00995AAE">
        <w:t>document</w:t>
      </w:r>
      <w:proofErr w:type="gramEnd"/>
      <w:r w:rsidRPr="00995AAE">
        <w:t xml:space="preserve"> and record responses to </w:t>
      </w:r>
      <w:r w:rsidR="000E6D76" w:rsidRPr="00995AAE">
        <w:t xml:space="preserve">formal </w:t>
      </w:r>
      <w:r w:rsidRPr="00995AAE">
        <w:t>complaints</w:t>
      </w:r>
      <w:r w:rsidR="009835BF" w:rsidRPr="00995AAE">
        <w:t xml:space="preserve">, </w:t>
      </w:r>
      <w:r w:rsidR="00FC2C79" w:rsidRPr="00995AAE">
        <w:t xml:space="preserve">allegations of misconduct, </w:t>
      </w:r>
      <w:r w:rsidR="009835BF" w:rsidRPr="00995AAE">
        <w:t xml:space="preserve">breaches of academic </w:t>
      </w:r>
      <w:r w:rsidR="00CD654F" w:rsidRPr="00995AAE">
        <w:t xml:space="preserve">or research </w:t>
      </w:r>
      <w:r w:rsidR="009835BF" w:rsidRPr="00995AAE">
        <w:t>integrity</w:t>
      </w:r>
      <w:r w:rsidRPr="00995AAE">
        <w:t xml:space="preserve"> and critical incidents</w:t>
      </w:r>
      <w:r w:rsidR="009469C9" w:rsidRPr="00995AAE">
        <w:t>, and</w:t>
      </w:r>
    </w:p>
    <w:p w14:paraId="33534198" w14:textId="77777777" w:rsidR="00832406" w:rsidRPr="00995AAE" w:rsidRDefault="00447344" w:rsidP="00B136B6">
      <w:pPr>
        <w:pStyle w:val="Heading4"/>
      </w:pPr>
      <w:proofErr w:type="gramStart"/>
      <w:r w:rsidRPr="00995AAE">
        <w:t>demonstrate</w:t>
      </w:r>
      <w:proofErr w:type="gramEnd"/>
      <w:r w:rsidRPr="00995AAE">
        <w:t xml:space="preserve"> </w:t>
      </w:r>
      <w:r w:rsidR="00344A35" w:rsidRPr="00995AAE">
        <w:t xml:space="preserve">compliance with </w:t>
      </w:r>
      <w:r w:rsidRPr="00995AAE">
        <w:t>the Higher Education Standards Framework.</w:t>
      </w:r>
    </w:p>
    <w:p w14:paraId="1C084255" w14:textId="77777777" w:rsidR="00B41B62" w:rsidRPr="00995AAE" w:rsidRDefault="00B41B62">
      <w:pPr>
        <w:tabs>
          <w:tab w:val="clear" w:pos="1134"/>
        </w:tabs>
        <w:spacing w:after="200" w:line="276" w:lineRule="auto"/>
        <w:jc w:val="left"/>
        <w:rPr>
          <w:rFonts w:eastAsia="Batang" w:cs="Arial"/>
          <w:bCs/>
          <w:sz w:val="32"/>
          <w:szCs w:val="32"/>
          <w:lang w:val="en-AU"/>
        </w:rPr>
      </w:pPr>
      <w:r w:rsidRPr="00995AAE">
        <w:rPr>
          <w:b/>
        </w:rPr>
        <w:br w:type="page"/>
      </w:r>
    </w:p>
    <w:p w14:paraId="03E56FC1" w14:textId="77777777" w:rsidR="00790C06" w:rsidRPr="00995AAE" w:rsidRDefault="00263020" w:rsidP="005326C5">
      <w:pPr>
        <w:pStyle w:val="Heading1title"/>
        <w:ind w:left="1701" w:hanging="1701"/>
      </w:pPr>
      <w:bookmarkStart w:id="128" w:name="_Toc418684296"/>
      <w:bookmarkStart w:id="129" w:name="_Toc428368878"/>
      <w:bookmarkStart w:id="130" w:name="_Toc370205850"/>
      <w:bookmarkStart w:id="131" w:name="PARTB"/>
      <w:r w:rsidRPr="00995AAE">
        <w:lastRenderedPageBreak/>
        <w:t>PART B</w:t>
      </w:r>
      <w:r w:rsidR="00791D87" w:rsidRPr="00995AAE">
        <w:t>:</w:t>
      </w:r>
      <w:r w:rsidRPr="00995AAE">
        <w:tab/>
      </w:r>
      <w:r w:rsidR="002552E6" w:rsidRPr="00995AAE">
        <w:t>Criteria for Higher Education Providers</w:t>
      </w:r>
      <w:bookmarkEnd w:id="128"/>
      <w:bookmarkEnd w:id="129"/>
      <w:r w:rsidR="002552E6" w:rsidRPr="00995AAE">
        <w:t xml:space="preserve"> </w:t>
      </w:r>
      <w:bookmarkEnd w:id="130"/>
    </w:p>
    <w:p w14:paraId="13FCED6C" w14:textId="77777777" w:rsidR="009C01B5" w:rsidRPr="00995AAE" w:rsidRDefault="0068761E" w:rsidP="003B7471">
      <w:pPr>
        <w:pStyle w:val="Heading1"/>
        <w:numPr>
          <w:ilvl w:val="0"/>
          <w:numId w:val="0"/>
        </w:numPr>
        <w:spacing w:before="0" w:after="360" w:line="240" w:lineRule="auto"/>
        <w:ind w:left="567" w:hanging="567"/>
        <w:jc w:val="both"/>
      </w:pPr>
      <w:bookmarkStart w:id="132" w:name="_Toc418684298"/>
      <w:bookmarkStart w:id="133" w:name="_Toc428368879"/>
      <w:bookmarkStart w:id="134" w:name="PARTB2"/>
      <w:bookmarkEnd w:id="131"/>
      <w:proofErr w:type="spellStart"/>
      <w:r w:rsidRPr="00995AAE">
        <w:t>B</w:t>
      </w:r>
      <w:r w:rsidR="00A43E7E" w:rsidRPr="00995AAE">
        <w:t>1</w:t>
      </w:r>
      <w:proofErr w:type="spellEnd"/>
      <w:r w:rsidR="009C01B5" w:rsidRPr="00995AAE">
        <w:t>:</w:t>
      </w:r>
      <w:r w:rsidR="009C01B5" w:rsidRPr="00995AAE">
        <w:tab/>
        <w:t xml:space="preserve">Criteria for </w:t>
      </w:r>
      <w:r w:rsidR="00931ABF" w:rsidRPr="00995AAE">
        <w:t xml:space="preserve">Classification of </w:t>
      </w:r>
      <w:r w:rsidR="009C01B5" w:rsidRPr="00995AAE">
        <w:t>Higher Education Provider Categories</w:t>
      </w:r>
      <w:bookmarkEnd w:id="132"/>
      <w:bookmarkEnd w:id="133"/>
      <w:r w:rsidR="009C01B5" w:rsidRPr="00995AAE">
        <w:t xml:space="preserve"> </w:t>
      </w:r>
    </w:p>
    <w:p w14:paraId="692D0573" w14:textId="77777777" w:rsidR="00BB62F1" w:rsidRPr="00995AAE" w:rsidRDefault="00BB62F1" w:rsidP="00BB62F1">
      <w:r w:rsidRPr="00995AAE">
        <w:t xml:space="preserve">All providers of higher education that gain registration by TEQSA through meeting the </w:t>
      </w:r>
      <w:r w:rsidR="00DD7D73" w:rsidRPr="00995AAE">
        <w:t>Higher Education Standards Framework</w:t>
      </w:r>
      <w:r w:rsidRPr="00995AAE">
        <w:t xml:space="preserve"> become ‘Higher Education Providers’. This title signals to the public that the provider is a bona fide provider of quality higher education in Australia. </w:t>
      </w:r>
    </w:p>
    <w:p w14:paraId="7F36F5F9" w14:textId="77777777" w:rsidR="00BB62F1" w:rsidRPr="00995AAE" w:rsidRDefault="00BB62F1" w:rsidP="00BB62F1"/>
    <w:p w14:paraId="7A87528E" w14:textId="77777777" w:rsidR="00BB62F1" w:rsidRPr="00995AAE" w:rsidRDefault="00BB62F1" w:rsidP="00BB62F1">
      <w:r w:rsidRPr="00995AAE">
        <w:t>Higher education providers are able to seek approval within a particular provider category under subsection 18(1) of the Tertiary Education Quality and Standards Agency Act 2011. There are several provider categories that use the word ‘university’:</w:t>
      </w:r>
    </w:p>
    <w:p w14:paraId="34771097" w14:textId="77777777" w:rsidR="00BB62F1" w:rsidRPr="00995AAE" w:rsidRDefault="00BB62F1" w:rsidP="00955F94">
      <w:pPr>
        <w:numPr>
          <w:ilvl w:val="0"/>
          <w:numId w:val="9"/>
        </w:numPr>
        <w:tabs>
          <w:tab w:val="clear" w:pos="1134"/>
        </w:tabs>
        <w:spacing w:before="120" w:after="120"/>
        <w:ind w:left="568" w:hanging="284"/>
        <w:rPr>
          <w:rFonts w:cs="Arial"/>
          <w:lang w:val="en-AU"/>
        </w:rPr>
      </w:pPr>
      <w:r w:rsidRPr="00995AAE">
        <w:rPr>
          <w:rFonts w:cs="Arial"/>
          <w:lang w:val="en-AU"/>
        </w:rPr>
        <w:t>Australian University</w:t>
      </w:r>
    </w:p>
    <w:p w14:paraId="56C44633" w14:textId="77777777" w:rsidR="00BB62F1" w:rsidRPr="00995AAE" w:rsidRDefault="00BB62F1" w:rsidP="00955F94">
      <w:pPr>
        <w:numPr>
          <w:ilvl w:val="0"/>
          <w:numId w:val="9"/>
        </w:numPr>
        <w:tabs>
          <w:tab w:val="clear" w:pos="1134"/>
        </w:tabs>
        <w:spacing w:before="120" w:after="120"/>
        <w:ind w:left="568" w:hanging="284"/>
        <w:rPr>
          <w:rFonts w:cs="Arial"/>
          <w:lang w:val="en-AU"/>
        </w:rPr>
      </w:pPr>
      <w:r w:rsidRPr="00995AAE">
        <w:rPr>
          <w:rFonts w:cs="Arial"/>
          <w:lang w:val="en-AU"/>
        </w:rPr>
        <w:t>Australian University College</w:t>
      </w:r>
    </w:p>
    <w:p w14:paraId="42C5E818" w14:textId="77777777" w:rsidR="00BB62F1" w:rsidRPr="00995AAE" w:rsidRDefault="00BB62F1" w:rsidP="00955F94">
      <w:pPr>
        <w:numPr>
          <w:ilvl w:val="0"/>
          <w:numId w:val="9"/>
        </w:numPr>
        <w:tabs>
          <w:tab w:val="clear" w:pos="1134"/>
        </w:tabs>
        <w:spacing w:before="120" w:after="120"/>
        <w:ind w:left="568" w:hanging="284"/>
        <w:rPr>
          <w:rFonts w:cs="Arial"/>
          <w:lang w:val="en-AU"/>
        </w:rPr>
      </w:pPr>
      <w:r w:rsidRPr="00995AAE">
        <w:rPr>
          <w:rFonts w:cs="Arial"/>
          <w:lang w:val="en-AU"/>
        </w:rPr>
        <w:t>Australian University of Specialisation</w:t>
      </w:r>
    </w:p>
    <w:p w14:paraId="3D65CB31" w14:textId="77777777" w:rsidR="00BB62F1" w:rsidRPr="00995AAE" w:rsidRDefault="00BB62F1" w:rsidP="00955F94">
      <w:pPr>
        <w:numPr>
          <w:ilvl w:val="0"/>
          <w:numId w:val="9"/>
        </w:numPr>
        <w:tabs>
          <w:tab w:val="clear" w:pos="1134"/>
        </w:tabs>
        <w:spacing w:before="120" w:after="120"/>
        <w:ind w:left="568" w:hanging="284"/>
        <w:rPr>
          <w:rFonts w:cs="Arial"/>
          <w:lang w:val="en-AU"/>
        </w:rPr>
      </w:pPr>
      <w:r w:rsidRPr="00995AAE">
        <w:rPr>
          <w:rFonts w:cs="Arial"/>
          <w:lang w:val="en-AU"/>
        </w:rPr>
        <w:t>Overseas University</w:t>
      </w:r>
    </w:p>
    <w:p w14:paraId="0530F4EA" w14:textId="77777777" w:rsidR="00BB62F1" w:rsidRPr="00995AAE" w:rsidRDefault="00BB62F1" w:rsidP="00955F94">
      <w:pPr>
        <w:numPr>
          <w:ilvl w:val="0"/>
          <w:numId w:val="9"/>
        </w:numPr>
        <w:tabs>
          <w:tab w:val="clear" w:pos="1134"/>
        </w:tabs>
        <w:spacing w:before="120" w:after="120"/>
        <w:ind w:left="568" w:hanging="284"/>
        <w:rPr>
          <w:rFonts w:cs="Arial"/>
          <w:lang w:val="en-AU"/>
        </w:rPr>
      </w:pPr>
      <w:r w:rsidRPr="00995AAE">
        <w:rPr>
          <w:rFonts w:cs="Arial"/>
          <w:lang w:val="en-AU"/>
        </w:rPr>
        <w:t>Overseas University of Specialisation.</w:t>
      </w:r>
    </w:p>
    <w:p w14:paraId="42306DE1" w14:textId="77777777" w:rsidR="00BB62F1" w:rsidRPr="00995AAE" w:rsidRDefault="00BB62F1" w:rsidP="00BB62F1"/>
    <w:p w14:paraId="56F42568" w14:textId="77777777" w:rsidR="00BB62F1" w:rsidRPr="00995AAE" w:rsidRDefault="00BB62F1" w:rsidP="00BB62F1">
      <w:r w:rsidRPr="00995AAE">
        <w:t xml:space="preserve">A higher education provider must meet the additional criteria for use of a provider category that uses the word ‘university’. </w:t>
      </w:r>
    </w:p>
    <w:p w14:paraId="6F4BEA5C" w14:textId="77777777" w:rsidR="00BB62F1" w:rsidRPr="00995AAE" w:rsidRDefault="00BB62F1" w:rsidP="00BB62F1"/>
    <w:p w14:paraId="4E6AB49F" w14:textId="77777777" w:rsidR="00BB62F1" w:rsidRPr="00995AAE" w:rsidRDefault="00CE39ED" w:rsidP="002003D0">
      <w:pPr>
        <w:spacing w:before="120" w:after="120"/>
        <w:jc w:val="left"/>
        <w:rPr>
          <w:rFonts w:eastAsiaTheme="majorEastAsia" w:cs="Arial"/>
          <w:b/>
          <w:bCs/>
          <w:sz w:val="24"/>
          <w:szCs w:val="24"/>
        </w:rPr>
      </w:pPr>
      <w:proofErr w:type="spellStart"/>
      <w:r w:rsidRPr="00995AAE">
        <w:rPr>
          <w:rFonts w:eastAsiaTheme="majorEastAsia" w:cs="Arial"/>
          <w:b/>
          <w:bCs/>
          <w:sz w:val="24"/>
          <w:szCs w:val="24"/>
        </w:rPr>
        <w:t>B</w:t>
      </w:r>
      <w:r w:rsidR="00A43E7E" w:rsidRPr="00995AAE">
        <w:rPr>
          <w:rFonts w:eastAsiaTheme="majorEastAsia" w:cs="Arial"/>
          <w:b/>
          <w:bCs/>
          <w:sz w:val="24"/>
          <w:szCs w:val="24"/>
        </w:rPr>
        <w:t>1</w:t>
      </w:r>
      <w:r w:rsidRPr="00995AAE">
        <w:rPr>
          <w:rFonts w:eastAsiaTheme="majorEastAsia" w:cs="Arial"/>
          <w:b/>
          <w:bCs/>
          <w:sz w:val="24"/>
          <w:szCs w:val="24"/>
        </w:rPr>
        <w:t>.1</w:t>
      </w:r>
      <w:proofErr w:type="spellEnd"/>
      <w:r w:rsidR="00BB62F1" w:rsidRPr="00995AAE">
        <w:rPr>
          <w:rFonts w:eastAsiaTheme="majorEastAsia" w:cs="Arial"/>
          <w:b/>
          <w:bCs/>
          <w:sz w:val="24"/>
          <w:szCs w:val="24"/>
        </w:rPr>
        <w:tab/>
        <w:t xml:space="preserve">“Higher Education Provider” Category </w:t>
      </w:r>
    </w:p>
    <w:p w14:paraId="6EA0127F" w14:textId="77777777" w:rsidR="00BB62F1" w:rsidRPr="00995AAE" w:rsidRDefault="00BB62F1" w:rsidP="00BB62F1">
      <w:pPr>
        <w:rPr>
          <w:b/>
        </w:rPr>
      </w:pPr>
    </w:p>
    <w:p w14:paraId="0DF29112" w14:textId="77777777" w:rsidR="00BB62F1" w:rsidRPr="00995AAE" w:rsidRDefault="00BB62F1" w:rsidP="00BB62F1">
      <w:r w:rsidRPr="00995AAE">
        <w:t xml:space="preserve">The higher education provider offers an Australian higher education </w:t>
      </w:r>
      <w:r w:rsidR="00DD7D73" w:rsidRPr="00995AAE">
        <w:t xml:space="preserve">qualification </w:t>
      </w:r>
      <w:r w:rsidRPr="00995AAE">
        <w:t xml:space="preserve">and/or an overseas higher education </w:t>
      </w:r>
      <w:r w:rsidR="00DD7D73" w:rsidRPr="00995AAE">
        <w:t>qualification</w:t>
      </w:r>
    </w:p>
    <w:p w14:paraId="2DB4077A" w14:textId="77777777" w:rsidR="00BB62F1" w:rsidRPr="00995AAE" w:rsidRDefault="00BB62F1" w:rsidP="00396477">
      <w:pPr>
        <w:numPr>
          <w:ilvl w:val="0"/>
          <w:numId w:val="23"/>
        </w:numPr>
        <w:tabs>
          <w:tab w:val="clear" w:pos="1134"/>
        </w:tabs>
        <w:spacing w:before="120" w:after="120"/>
        <w:rPr>
          <w:rFonts w:eastAsia="Calibri" w:cs="Arial"/>
        </w:rPr>
      </w:pPr>
      <w:r w:rsidRPr="00995AAE">
        <w:rPr>
          <w:rFonts w:eastAsia="Calibri" w:cs="Arial"/>
        </w:rPr>
        <w:t xml:space="preserve">The higher education provider meets the </w:t>
      </w:r>
      <w:r w:rsidR="00DD7D73" w:rsidRPr="00995AAE">
        <w:rPr>
          <w:rFonts w:eastAsia="Calibri" w:cs="Arial"/>
        </w:rPr>
        <w:t>Higher Education Standards Framework</w:t>
      </w:r>
      <w:r w:rsidRPr="00995AAE">
        <w:rPr>
          <w:rFonts w:eastAsia="Calibri" w:cs="Arial"/>
        </w:rPr>
        <w:t xml:space="preserve"> and offers at least one accredited course of study.</w:t>
      </w:r>
    </w:p>
    <w:p w14:paraId="6E8FA60A" w14:textId="77777777" w:rsidR="00BB62F1" w:rsidRPr="00995AAE" w:rsidRDefault="00BB62F1" w:rsidP="00396477">
      <w:pPr>
        <w:numPr>
          <w:ilvl w:val="0"/>
          <w:numId w:val="23"/>
        </w:numPr>
        <w:tabs>
          <w:tab w:val="clear" w:pos="1134"/>
        </w:tabs>
        <w:spacing w:before="120" w:after="120"/>
        <w:rPr>
          <w:rFonts w:eastAsia="Calibri" w:cs="Arial"/>
        </w:rPr>
      </w:pPr>
      <w:r w:rsidRPr="00995AAE">
        <w:rPr>
          <w:rFonts w:eastAsia="Calibri" w:cs="Arial"/>
        </w:rPr>
        <w:t>The higher education provider has a clearly articulated higher education purpose that includes a commitment to and support for free intellectual inquiry in its academic endeavours.</w:t>
      </w:r>
    </w:p>
    <w:p w14:paraId="17E1BBDB" w14:textId="77777777" w:rsidR="00BB62F1" w:rsidRPr="00995AAE" w:rsidRDefault="00BB62F1" w:rsidP="00396477">
      <w:pPr>
        <w:numPr>
          <w:ilvl w:val="0"/>
          <w:numId w:val="23"/>
        </w:numPr>
        <w:tabs>
          <w:tab w:val="clear" w:pos="1134"/>
        </w:tabs>
        <w:spacing w:before="120" w:after="120"/>
        <w:rPr>
          <w:rFonts w:eastAsia="Calibri" w:cs="Arial"/>
        </w:rPr>
      </w:pPr>
      <w:r w:rsidRPr="00995AAE">
        <w:rPr>
          <w:rFonts w:eastAsia="Calibri" w:cs="Arial"/>
        </w:rPr>
        <w:t>The higher education provider delivers teaching and learning that engage with advanced knowledge and inquiry.</w:t>
      </w:r>
    </w:p>
    <w:p w14:paraId="49F07B87" w14:textId="77777777" w:rsidR="00BB62F1" w:rsidRPr="00995AAE" w:rsidRDefault="00BB62F1" w:rsidP="00396477">
      <w:pPr>
        <w:numPr>
          <w:ilvl w:val="0"/>
          <w:numId w:val="23"/>
        </w:numPr>
        <w:tabs>
          <w:tab w:val="clear" w:pos="1134"/>
        </w:tabs>
        <w:spacing w:before="120" w:after="120"/>
        <w:rPr>
          <w:rFonts w:eastAsia="Calibri" w:cs="Arial"/>
        </w:rPr>
      </w:pPr>
      <w:r w:rsidRPr="00995AAE">
        <w:rPr>
          <w:rFonts w:eastAsia="Calibri" w:cs="Arial"/>
        </w:rPr>
        <w:t xml:space="preserve">The higher education provider’s academic </w:t>
      </w:r>
      <w:proofErr w:type="gramStart"/>
      <w:r w:rsidRPr="00995AAE">
        <w:rPr>
          <w:rFonts w:eastAsia="Calibri" w:cs="Arial"/>
        </w:rPr>
        <w:t>staff are</w:t>
      </w:r>
      <w:proofErr w:type="gramEnd"/>
      <w:r w:rsidRPr="00995AAE">
        <w:rPr>
          <w:rFonts w:eastAsia="Calibri" w:cs="Arial"/>
        </w:rPr>
        <w:t xml:space="preserve"> active in scholarship that informs their teaching, and are active in research when engaged in research student supervision.</w:t>
      </w:r>
    </w:p>
    <w:p w14:paraId="29BFC203" w14:textId="77777777" w:rsidR="00BB62F1" w:rsidRPr="00995AAE" w:rsidRDefault="00BB62F1" w:rsidP="00BB62F1"/>
    <w:p w14:paraId="3C82AA02" w14:textId="77777777" w:rsidR="00BB62F1" w:rsidRPr="00995AAE" w:rsidRDefault="00BC5134" w:rsidP="002003D0">
      <w:pPr>
        <w:spacing w:before="120" w:after="120"/>
        <w:jc w:val="left"/>
        <w:rPr>
          <w:rFonts w:eastAsiaTheme="majorEastAsia" w:cs="Arial"/>
          <w:b/>
          <w:bCs/>
          <w:sz w:val="24"/>
          <w:szCs w:val="24"/>
        </w:rPr>
      </w:pPr>
      <w:proofErr w:type="spellStart"/>
      <w:r w:rsidRPr="00995AAE">
        <w:rPr>
          <w:rFonts w:eastAsiaTheme="majorEastAsia" w:cs="Arial"/>
          <w:b/>
          <w:bCs/>
          <w:sz w:val="24"/>
          <w:szCs w:val="24"/>
        </w:rPr>
        <w:t>B</w:t>
      </w:r>
      <w:r w:rsidR="00A43E7E" w:rsidRPr="00995AAE">
        <w:rPr>
          <w:rFonts w:eastAsiaTheme="majorEastAsia" w:cs="Arial"/>
          <w:b/>
          <w:bCs/>
          <w:sz w:val="24"/>
          <w:szCs w:val="24"/>
        </w:rPr>
        <w:t>1</w:t>
      </w:r>
      <w:r w:rsidRPr="00995AAE">
        <w:rPr>
          <w:rFonts w:eastAsiaTheme="majorEastAsia" w:cs="Arial"/>
          <w:b/>
          <w:bCs/>
          <w:sz w:val="24"/>
          <w:szCs w:val="24"/>
        </w:rPr>
        <w:t>.</w:t>
      </w:r>
      <w:r w:rsidR="00BB62F1" w:rsidRPr="00995AAE">
        <w:rPr>
          <w:rFonts w:eastAsiaTheme="majorEastAsia" w:cs="Arial"/>
          <w:b/>
          <w:bCs/>
          <w:sz w:val="24"/>
          <w:szCs w:val="24"/>
        </w:rPr>
        <w:t>2</w:t>
      </w:r>
      <w:proofErr w:type="spellEnd"/>
      <w:r w:rsidR="00BB62F1" w:rsidRPr="00995AAE">
        <w:rPr>
          <w:rFonts w:eastAsiaTheme="majorEastAsia" w:cs="Arial"/>
          <w:b/>
          <w:bCs/>
          <w:sz w:val="24"/>
          <w:szCs w:val="24"/>
        </w:rPr>
        <w:tab/>
        <w:t xml:space="preserve">“Australian University” Category </w:t>
      </w:r>
    </w:p>
    <w:p w14:paraId="7BC0DC0D" w14:textId="77777777" w:rsidR="00BB62F1" w:rsidRPr="00995AAE" w:rsidRDefault="00BB62F1" w:rsidP="00BB62F1">
      <w:pPr>
        <w:rPr>
          <w:b/>
        </w:rPr>
      </w:pPr>
    </w:p>
    <w:p w14:paraId="30C6C9F2" w14:textId="77777777" w:rsidR="00BB62F1" w:rsidRPr="00995AAE" w:rsidRDefault="00BB62F1" w:rsidP="00BB62F1">
      <w:r w:rsidRPr="00995AAE">
        <w:t xml:space="preserve">The higher education provider offers an Australian higher education </w:t>
      </w:r>
      <w:r w:rsidR="00DD7D73" w:rsidRPr="00995AAE">
        <w:t>qualification</w:t>
      </w:r>
    </w:p>
    <w:p w14:paraId="553E200E" w14:textId="77777777" w:rsidR="00BB62F1" w:rsidRPr="00995AAE" w:rsidRDefault="00BB62F1" w:rsidP="00396477">
      <w:pPr>
        <w:numPr>
          <w:ilvl w:val="0"/>
          <w:numId w:val="29"/>
        </w:numPr>
        <w:tabs>
          <w:tab w:val="clear" w:pos="1134"/>
        </w:tabs>
        <w:spacing w:before="120" w:after="120"/>
        <w:rPr>
          <w:rFonts w:eastAsia="Calibri" w:cs="Arial"/>
        </w:rPr>
      </w:pPr>
      <w:r w:rsidRPr="00995AAE">
        <w:rPr>
          <w:rFonts w:eastAsia="Calibri" w:cs="Arial"/>
        </w:rPr>
        <w:t xml:space="preserve">The higher education provider self-accredits and delivers undergraduate and postgraduate courses of study that meet the </w:t>
      </w:r>
      <w:r w:rsidR="00DD7D73" w:rsidRPr="00995AAE">
        <w:rPr>
          <w:rFonts w:eastAsia="Calibri" w:cs="Arial"/>
        </w:rPr>
        <w:t>Higher Education Standards Framework</w:t>
      </w:r>
      <w:r w:rsidRPr="00995AAE">
        <w:rPr>
          <w:rFonts w:eastAsia="Calibri" w:cs="Arial"/>
        </w:rPr>
        <w:t xml:space="preserve"> across a range of broad fields of study (including Masters Degrees (Research) and Doctoral Degrees (Research) in at least three of the broad fields of study it offers).</w:t>
      </w:r>
    </w:p>
    <w:p w14:paraId="4B609C71" w14:textId="77777777" w:rsidR="00BB62F1" w:rsidRPr="00995AAE" w:rsidRDefault="00BB62F1" w:rsidP="00396477">
      <w:pPr>
        <w:numPr>
          <w:ilvl w:val="0"/>
          <w:numId w:val="29"/>
        </w:numPr>
        <w:tabs>
          <w:tab w:val="clear" w:pos="1134"/>
        </w:tabs>
        <w:spacing w:before="120" w:after="120"/>
        <w:ind w:left="993" w:hanging="567"/>
        <w:rPr>
          <w:rFonts w:eastAsia="Calibri" w:cs="Arial"/>
        </w:rPr>
      </w:pPr>
      <w:r w:rsidRPr="00995AAE">
        <w:rPr>
          <w:rFonts w:eastAsia="Calibri" w:cs="Arial"/>
        </w:rPr>
        <w:t>The higher education provider has been authorised for at least the last five years to self-accredit at least 85% of its total courses of study, including Masters Degrees (Research) and Doctoral Degrees (Research) in at least three of the broad fields of study.</w:t>
      </w:r>
    </w:p>
    <w:p w14:paraId="545E6F58" w14:textId="77777777" w:rsidR="00BB62F1" w:rsidRPr="00995AAE" w:rsidRDefault="00BB62F1" w:rsidP="00396477">
      <w:pPr>
        <w:numPr>
          <w:ilvl w:val="0"/>
          <w:numId w:val="29"/>
        </w:numPr>
        <w:tabs>
          <w:tab w:val="clear" w:pos="1134"/>
        </w:tabs>
        <w:spacing w:before="120" w:after="120"/>
        <w:ind w:left="993" w:hanging="567"/>
        <w:rPr>
          <w:rFonts w:eastAsia="Calibri" w:cs="Arial"/>
        </w:rPr>
      </w:pPr>
      <w:r w:rsidRPr="00995AAE">
        <w:rPr>
          <w:rFonts w:eastAsia="Calibri" w:cs="Arial"/>
        </w:rPr>
        <w:t>The higher education provider undertakes research that leads to the creation of new knowledge and original creative endeavour at least in those broad fields of study in which Masters Degrees (Research) and Doctoral Degrees (Research) are offered.</w:t>
      </w:r>
    </w:p>
    <w:p w14:paraId="45E26A12" w14:textId="77777777" w:rsidR="00BB62F1" w:rsidRPr="00995AAE" w:rsidRDefault="00BB62F1" w:rsidP="00396477">
      <w:pPr>
        <w:numPr>
          <w:ilvl w:val="0"/>
          <w:numId w:val="29"/>
        </w:numPr>
        <w:tabs>
          <w:tab w:val="clear" w:pos="1134"/>
        </w:tabs>
        <w:spacing w:before="120" w:after="120"/>
        <w:ind w:left="993" w:hanging="567"/>
        <w:rPr>
          <w:rFonts w:eastAsia="Calibri" w:cs="Arial"/>
        </w:rPr>
      </w:pPr>
      <w:r w:rsidRPr="00995AAE">
        <w:rPr>
          <w:rFonts w:eastAsia="Calibri" w:cs="Arial"/>
        </w:rPr>
        <w:lastRenderedPageBreak/>
        <w:t>The higher education provider demonstrates the commitment of teachers, researchers, course designers and assessors to the systematic advancement and dissemination of knowledge.</w:t>
      </w:r>
    </w:p>
    <w:p w14:paraId="1A0C0BFC" w14:textId="77777777" w:rsidR="00BB62F1" w:rsidRPr="00995AAE" w:rsidRDefault="00BB62F1" w:rsidP="00396477">
      <w:pPr>
        <w:numPr>
          <w:ilvl w:val="0"/>
          <w:numId w:val="29"/>
        </w:numPr>
        <w:tabs>
          <w:tab w:val="clear" w:pos="1134"/>
        </w:tabs>
        <w:spacing w:before="120" w:after="120"/>
        <w:ind w:left="993" w:hanging="567"/>
        <w:rPr>
          <w:rFonts w:eastAsia="Calibri" w:cs="Arial"/>
        </w:rPr>
      </w:pPr>
      <w:r w:rsidRPr="00995AAE">
        <w:rPr>
          <w:rFonts w:eastAsia="Calibri" w:cs="Arial"/>
        </w:rPr>
        <w:t xml:space="preserve">The higher education provider demonstrates sustained scholarship that informs teaching and learning in all fields in which courses of study are offered. </w:t>
      </w:r>
    </w:p>
    <w:p w14:paraId="5B34750C" w14:textId="77777777" w:rsidR="00BB62F1" w:rsidRPr="00995AAE" w:rsidRDefault="00BB62F1" w:rsidP="00396477">
      <w:pPr>
        <w:numPr>
          <w:ilvl w:val="0"/>
          <w:numId w:val="29"/>
        </w:numPr>
        <w:tabs>
          <w:tab w:val="clear" w:pos="1134"/>
        </w:tabs>
        <w:spacing w:before="120" w:after="120"/>
        <w:ind w:left="993" w:hanging="567"/>
        <w:rPr>
          <w:rFonts w:eastAsia="Calibri" w:cs="Arial"/>
        </w:rPr>
      </w:pPr>
      <w:r w:rsidRPr="00995AAE">
        <w:rPr>
          <w:rFonts w:eastAsia="Calibri" w:cs="Arial"/>
        </w:rPr>
        <w:t xml:space="preserve">The higher education provider identifies and implements good practices in student teaching and learning, including those that have the potential for wider dissemination nationally.  </w:t>
      </w:r>
    </w:p>
    <w:p w14:paraId="067B3789" w14:textId="77777777" w:rsidR="00BB62F1" w:rsidRPr="00995AAE" w:rsidRDefault="00BB62F1" w:rsidP="00396477">
      <w:pPr>
        <w:numPr>
          <w:ilvl w:val="0"/>
          <w:numId w:val="29"/>
        </w:numPr>
        <w:tabs>
          <w:tab w:val="clear" w:pos="1134"/>
        </w:tabs>
        <w:spacing w:before="120" w:after="120"/>
        <w:ind w:left="993" w:hanging="567"/>
        <w:rPr>
          <w:rFonts w:eastAsia="Calibri" w:cs="Arial"/>
        </w:rPr>
      </w:pPr>
      <w:r w:rsidRPr="00995AAE">
        <w:rPr>
          <w:rFonts w:eastAsia="Calibri" w:cs="Arial"/>
        </w:rPr>
        <w:t>The higher education provider offers an extensive range of student services, including student academic and learning support, and extensive resources for student learning in all disciplines offered.</w:t>
      </w:r>
    </w:p>
    <w:p w14:paraId="400E4502" w14:textId="77777777" w:rsidR="00BB62F1" w:rsidRPr="00995AAE" w:rsidRDefault="00BB62F1" w:rsidP="00396477">
      <w:pPr>
        <w:numPr>
          <w:ilvl w:val="0"/>
          <w:numId w:val="29"/>
        </w:numPr>
        <w:tabs>
          <w:tab w:val="clear" w:pos="1134"/>
        </w:tabs>
        <w:spacing w:before="120" w:after="120"/>
        <w:ind w:left="993" w:hanging="567"/>
        <w:rPr>
          <w:rFonts w:eastAsia="Calibri" w:cs="Arial"/>
        </w:rPr>
      </w:pPr>
      <w:r w:rsidRPr="00995AAE">
        <w:rPr>
          <w:rFonts w:eastAsia="Calibri" w:cs="Arial"/>
        </w:rPr>
        <w:t xml:space="preserve">The higher education provider demonstrates engagement with its local and regional communities and demonstrates a commitment to social responsibility in its activities. </w:t>
      </w:r>
    </w:p>
    <w:p w14:paraId="7E7A2714" w14:textId="77777777" w:rsidR="00BB62F1" w:rsidRPr="00995AAE" w:rsidRDefault="00BB62F1" w:rsidP="00396477">
      <w:pPr>
        <w:numPr>
          <w:ilvl w:val="0"/>
          <w:numId w:val="29"/>
        </w:numPr>
        <w:tabs>
          <w:tab w:val="clear" w:pos="1134"/>
        </w:tabs>
        <w:spacing w:before="120" w:after="120"/>
        <w:ind w:left="993" w:hanging="567"/>
        <w:rPr>
          <w:rFonts w:eastAsia="Calibri" w:cs="Arial"/>
        </w:rPr>
      </w:pPr>
      <w:r w:rsidRPr="00995AAE">
        <w:rPr>
          <w:rFonts w:eastAsia="Calibri" w:cs="Arial"/>
        </w:rPr>
        <w:t>The higher education provider has systematic, mature internal processes for quality assurance and the maintenance of academic standards and academic integrity.</w:t>
      </w:r>
    </w:p>
    <w:p w14:paraId="2F3A23CD" w14:textId="77777777" w:rsidR="00BB62F1" w:rsidRPr="00995AAE" w:rsidRDefault="00BB62F1" w:rsidP="00396477">
      <w:pPr>
        <w:numPr>
          <w:ilvl w:val="0"/>
          <w:numId w:val="29"/>
        </w:numPr>
        <w:tabs>
          <w:tab w:val="clear" w:pos="1134"/>
        </w:tabs>
        <w:spacing w:before="120" w:after="120"/>
        <w:ind w:left="993" w:hanging="567"/>
        <w:rPr>
          <w:rFonts w:eastAsia="Calibri" w:cs="Arial"/>
        </w:rPr>
      </w:pPr>
      <w:r w:rsidRPr="00995AAE">
        <w:rPr>
          <w:rFonts w:eastAsia="Calibri" w:cs="Arial"/>
        </w:rPr>
        <w:t>The higher education provider’s application for registration has the support of the relevant Commonwealth, State or Territory government.</w:t>
      </w:r>
    </w:p>
    <w:p w14:paraId="647C3AC6" w14:textId="77777777" w:rsidR="00BB62F1" w:rsidRPr="00995AAE" w:rsidRDefault="00BB62F1" w:rsidP="00BB62F1"/>
    <w:p w14:paraId="0CE7ACD4" w14:textId="77777777" w:rsidR="00BB62F1" w:rsidRPr="00995AAE" w:rsidRDefault="00BC5134" w:rsidP="002003D0">
      <w:pPr>
        <w:spacing w:before="120" w:after="120"/>
        <w:jc w:val="left"/>
        <w:rPr>
          <w:rFonts w:eastAsiaTheme="majorEastAsia" w:cs="Arial"/>
          <w:b/>
          <w:bCs/>
          <w:sz w:val="24"/>
          <w:szCs w:val="24"/>
        </w:rPr>
      </w:pPr>
      <w:proofErr w:type="spellStart"/>
      <w:r w:rsidRPr="00995AAE">
        <w:rPr>
          <w:rFonts w:eastAsiaTheme="majorEastAsia" w:cs="Arial"/>
          <w:b/>
          <w:bCs/>
          <w:sz w:val="24"/>
          <w:szCs w:val="24"/>
        </w:rPr>
        <w:t>B</w:t>
      </w:r>
      <w:r w:rsidR="00A43E7E" w:rsidRPr="00995AAE">
        <w:rPr>
          <w:rFonts w:eastAsiaTheme="majorEastAsia" w:cs="Arial"/>
          <w:b/>
          <w:bCs/>
          <w:sz w:val="24"/>
          <w:szCs w:val="24"/>
        </w:rPr>
        <w:t>1</w:t>
      </w:r>
      <w:r w:rsidRPr="00995AAE">
        <w:rPr>
          <w:rFonts w:eastAsiaTheme="majorEastAsia" w:cs="Arial"/>
          <w:b/>
          <w:bCs/>
          <w:sz w:val="24"/>
          <w:szCs w:val="24"/>
        </w:rPr>
        <w:t>.</w:t>
      </w:r>
      <w:r w:rsidR="00BB62F1" w:rsidRPr="00995AAE">
        <w:rPr>
          <w:rFonts w:eastAsiaTheme="majorEastAsia" w:cs="Arial"/>
          <w:b/>
          <w:bCs/>
          <w:sz w:val="24"/>
          <w:szCs w:val="24"/>
        </w:rPr>
        <w:t>3</w:t>
      </w:r>
      <w:proofErr w:type="spellEnd"/>
      <w:r w:rsidR="00BB62F1" w:rsidRPr="00995AAE">
        <w:rPr>
          <w:rFonts w:eastAsiaTheme="majorEastAsia" w:cs="Arial"/>
          <w:b/>
          <w:bCs/>
          <w:sz w:val="24"/>
          <w:szCs w:val="24"/>
        </w:rPr>
        <w:tab/>
        <w:t>“Australian University College” Category</w:t>
      </w:r>
    </w:p>
    <w:p w14:paraId="2EDDEDE6" w14:textId="77777777" w:rsidR="00BB62F1" w:rsidRPr="00995AAE" w:rsidRDefault="00BB62F1" w:rsidP="00BB62F1"/>
    <w:p w14:paraId="12FC62D4" w14:textId="77777777" w:rsidR="00BB62F1" w:rsidRPr="00995AAE" w:rsidRDefault="00BB62F1" w:rsidP="00BB62F1">
      <w:r w:rsidRPr="00995AAE">
        <w:t xml:space="preserve">The higher education provider offers an Australian higher education </w:t>
      </w:r>
      <w:r w:rsidR="00DD7D73" w:rsidRPr="00995AAE">
        <w:t>qualification</w:t>
      </w:r>
    </w:p>
    <w:p w14:paraId="7768236C" w14:textId="77777777" w:rsidR="00BB62F1" w:rsidRPr="00995AAE" w:rsidRDefault="00BB62F1" w:rsidP="00396477">
      <w:pPr>
        <w:numPr>
          <w:ilvl w:val="0"/>
          <w:numId w:val="24"/>
        </w:numPr>
        <w:tabs>
          <w:tab w:val="clear" w:pos="1134"/>
        </w:tabs>
        <w:spacing w:before="120" w:after="120"/>
        <w:ind w:left="993" w:hanging="567"/>
        <w:rPr>
          <w:rFonts w:eastAsia="Calibri" w:cs="Arial"/>
        </w:rPr>
      </w:pPr>
      <w:r w:rsidRPr="00995AAE">
        <w:rPr>
          <w:rFonts w:eastAsia="Calibri" w:cs="Arial"/>
        </w:rPr>
        <w:t>The higher education provider has realistic and achievable plans to meet all the criteria for an “Australian University” Category within five years of its approval to use the title “Australian University College”.</w:t>
      </w:r>
    </w:p>
    <w:p w14:paraId="7123E037" w14:textId="77777777" w:rsidR="00BB62F1" w:rsidRPr="00995AAE" w:rsidRDefault="00BB62F1" w:rsidP="00396477">
      <w:pPr>
        <w:numPr>
          <w:ilvl w:val="0"/>
          <w:numId w:val="24"/>
        </w:numPr>
        <w:tabs>
          <w:tab w:val="clear" w:pos="1134"/>
        </w:tabs>
        <w:spacing w:before="120" w:after="120"/>
        <w:ind w:left="993" w:hanging="567"/>
        <w:rPr>
          <w:rFonts w:eastAsia="Calibri" w:cs="Arial"/>
        </w:rPr>
      </w:pPr>
      <w:r w:rsidRPr="00995AAE">
        <w:rPr>
          <w:rFonts w:eastAsia="Calibri" w:cs="Arial"/>
        </w:rPr>
        <w:t xml:space="preserve">The higher education provider self-accredits and delivers undergraduate and postgraduate courses of study that meet the </w:t>
      </w:r>
      <w:r w:rsidR="00DD7D73" w:rsidRPr="00995AAE">
        <w:rPr>
          <w:rFonts w:eastAsia="Calibri" w:cs="Arial"/>
        </w:rPr>
        <w:t>Higher Education Standards Framework</w:t>
      </w:r>
      <w:r w:rsidRPr="00995AAE">
        <w:rPr>
          <w:rFonts w:eastAsia="Calibri" w:cs="Arial"/>
        </w:rPr>
        <w:t xml:space="preserve"> across a range of broad fields of study (including Masters Degrees (Coursework) in at least three broad fields of study and Masters Degrees (Research) and Doctoral Degrees (Research) in at least one of the broad fields of study it offers).</w:t>
      </w:r>
    </w:p>
    <w:p w14:paraId="085D9319" w14:textId="77777777" w:rsidR="00BB62F1" w:rsidRPr="00995AAE" w:rsidRDefault="00BB62F1" w:rsidP="00396477">
      <w:pPr>
        <w:numPr>
          <w:ilvl w:val="0"/>
          <w:numId w:val="24"/>
        </w:numPr>
        <w:tabs>
          <w:tab w:val="clear" w:pos="1134"/>
        </w:tabs>
        <w:spacing w:before="120" w:after="120"/>
        <w:ind w:left="993" w:hanging="567"/>
        <w:rPr>
          <w:rFonts w:eastAsia="Calibri" w:cs="Arial"/>
        </w:rPr>
      </w:pPr>
      <w:r w:rsidRPr="00995AAE">
        <w:rPr>
          <w:rFonts w:eastAsia="Calibri" w:cs="Arial"/>
        </w:rPr>
        <w:t>The higher education provider undertakes research that leads to the creation of new knowledge and original creative endeavour at least in those broad fields of study in which Masters Degrees (Research) and Doctoral Degrees (Research) are offered.</w:t>
      </w:r>
    </w:p>
    <w:p w14:paraId="08E0D5F7" w14:textId="77777777" w:rsidR="00BB62F1" w:rsidRPr="00995AAE" w:rsidRDefault="00BB62F1" w:rsidP="00396477">
      <w:pPr>
        <w:numPr>
          <w:ilvl w:val="0"/>
          <w:numId w:val="24"/>
        </w:numPr>
        <w:tabs>
          <w:tab w:val="clear" w:pos="1134"/>
        </w:tabs>
        <w:spacing w:before="120" w:after="120"/>
        <w:ind w:left="993" w:hanging="567"/>
        <w:rPr>
          <w:rFonts w:eastAsia="Calibri" w:cs="Arial"/>
        </w:rPr>
      </w:pPr>
      <w:r w:rsidRPr="00995AAE">
        <w:rPr>
          <w:rFonts w:eastAsia="Calibri" w:cs="Arial"/>
        </w:rPr>
        <w:t>The higher education provider demonstrates the commitment of teachers, researchers, course designers and assessors to the systematic advancement and dissemination of knowledge.</w:t>
      </w:r>
    </w:p>
    <w:p w14:paraId="347D1AD4" w14:textId="77777777" w:rsidR="00BB62F1" w:rsidRPr="00995AAE" w:rsidRDefault="00BB62F1" w:rsidP="00396477">
      <w:pPr>
        <w:numPr>
          <w:ilvl w:val="0"/>
          <w:numId w:val="24"/>
        </w:numPr>
        <w:tabs>
          <w:tab w:val="clear" w:pos="1134"/>
        </w:tabs>
        <w:spacing w:before="120" w:after="120"/>
        <w:ind w:left="993" w:hanging="567"/>
        <w:rPr>
          <w:rFonts w:eastAsia="Calibri" w:cs="Arial"/>
        </w:rPr>
      </w:pPr>
      <w:r w:rsidRPr="00995AAE">
        <w:rPr>
          <w:rFonts w:eastAsia="Calibri" w:cs="Arial"/>
        </w:rPr>
        <w:t xml:space="preserve">The higher education provider demonstrates sustained scholarship that informs teaching and learning in all fields in which courses of study are offered. </w:t>
      </w:r>
    </w:p>
    <w:p w14:paraId="3E7B1666" w14:textId="77777777" w:rsidR="00BB62F1" w:rsidRPr="00995AAE" w:rsidRDefault="00BB62F1" w:rsidP="00396477">
      <w:pPr>
        <w:numPr>
          <w:ilvl w:val="0"/>
          <w:numId w:val="24"/>
        </w:numPr>
        <w:tabs>
          <w:tab w:val="clear" w:pos="1134"/>
        </w:tabs>
        <w:spacing w:before="120" w:after="120"/>
        <w:ind w:left="993" w:hanging="567"/>
        <w:rPr>
          <w:rFonts w:eastAsia="Calibri" w:cs="Arial"/>
        </w:rPr>
      </w:pPr>
      <w:r w:rsidRPr="00995AAE">
        <w:rPr>
          <w:rFonts w:eastAsia="Calibri" w:cs="Arial"/>
        </w:rPr>
        <w:t xml:space="preserve">The higher education provider identifies and implements good practices in student teaching and learning, including those that have the potential for wider dissemination nationally.  </w:t>
      </w:r>
    </w:p>
    <w:p w14:paraId="131729AA" w14:textId="77777777" w:rsidR="00BB62F1" w:rsidRPr="00995AAE" w:rsidRDefault="00BB62F1" w:rsidP="00396477">
      <w:pPr>
        <w:numPr>
          <w:ilvl w:val="0"/>
          <w:numId w:val="24"/>
        </w:numPr>
        <w:tabs>
          <w:tab w:val="clear" w:pos="1134"/>
        </w:tabs>
        <w:spacing w:before="120" w:after="120"/>
        <w:ind w:left="993" w:hanging="567"/>
        <w:rPr>
          <w:rFonts w:eastAsia="Calibri" w:cs="Arial"/>
        </w:rPr>
      </w:pPr>
      <w:r w:rsidRPr="00995AAE">
        <w:rPr>
          <w:rFonts w:eastAsia="Calibri" w:cs="Arial"/>
        </w:rPr>
        <w:t>The higher education provider offers an extensive range of student services, including student academic and learning support, and extensive resources for student learning in all disciplines offered.</w:t>
      </w:r>
    </w:p>
    <w:p w14:paraId="7AA613BB" w14:textId="77777777" w:rsidR="00BB62F1" w:rsidRPr="00995AAE" w:rsidRDefault="00BB62F1" w:rsidP="00396477">
      <w:pPr>
        <w:numPr>
          <w:ilvl w:val="0"/>
          <w:numId w:val="24"/>
        </w:numPr>
        <w:tabs>
          <w:tab w:val="clear" w:pos="1134"/>
        </w:tabs>
        <w:spacing w:before="120" w:after="120"/>
        <w:ind w:left="993" w:hanging="567"/>
        <w:rPr>
          <w:rFonts w:eastAsia="Calibri" w:cs="Arial"/>
        </w:rPr>
      </w:pPr>
      <w:r w:rsidRPr="00995AAE">
        <w:rPr>
          <w:rFonts w:eastAsia="Calibri" w:cs="Arial"/>
        </w:rPr>
        <w:t xml:space="preserve">The higher education provider demonstrates engagement with its local and regional communities and demonstrates a commitment to social responsibility in its activities. </w:t>
      </w:r>
    </w:p>
    <w:p w14:paraId="504FD6E2" w14:textId="77777777" w:rsidR="00BB62F1" w:rsidRPr="00995AAE" w:rsidRDefault="00BB62F1" w:rsidP="00396477">
      <w:pPr>
        <w:numPr>
          <w:ilvl w:val="0"/>
          <w:numId w:val="24"/>
        </w:numPr>
        <w:tabs>
          <w:tab w:val="clear" w:pos="1134"/>
        </w:tabs>
        <w:spacing w:before="120" w:after="120"/>
        <w:ind w:left="993" w:hanging="567"/>
        <w:rPr>
          <w:rFonts w:eastAsia="Calibri" w:cs="Arial"/>
        </w:rPr>
      </w:pPr>
      <w:r w:rsidRPr="00995AAE">
        <w:rPr>
          <w:rFonts w:eastAsia="Calibri" w:cs="Arial"/>
        </w:rPr>
        <w:t>The higher education provider has systematic, well developed internal processes for quality assurance and the maintenance of academic standards and academic integrity.</w:t>
      </w:r>
    </w:p>
    <w:p w14:paraId="21F36FCC" w14:textId="77777777" w:rsidR="00BB62F1" w:rsidRPr="00995AAE" w:rsidRDefault="00BB62F1" w:rsidP="00396477">
      <w:pPr>
        <w:numPr>
          <w:ilvl w:val="0"/>
          <w:numId w:val="24"/>
        </w:numPr>
        <w:tabs>
          <w:tab w:val="clear" w:pos="1134"/>
        </w:tabs>
        <w:spacing w:before="120" w:after="120"/>
        <w:ind w:left="993" w:hanging="567"/>
        <w:rPr>
          <w:rFonts w:eastAsia="Calibri" w:cs="Arial"/>
        </w:rPr>
      </w:pPr>
      <w:r w:rsidRPr="00995AAE">
        <w:rPr>
          <w:rFonts w:eastAsia="Calibri" w:cs="Arial"/>
        </w:rPr>
        <w:t>The higher education provider’s application for registration has the support of the relevant Commonwealth, State or Territory government.</w:t>
      </w:r>
    </w:p>
    <w:p w14:paraId="1314BAD5" w14:textId="77777777" w:rsidR="00BB62F1" w:rsidRPr="00995AAE" w:rsidRDefault="00BC5134" w:rsidP="002003D0">
      <w:pPr>
        <w:spacing w:before="120" w:after="120"/>
        <w:jc w:val="left"/>
        <w:rPr>
          <w:rFonts w:eastAsiaTheme="majorEastAsia" w:cs="Arial"/>
          <w:b/>
          <w:bCs/>
          <w:sz w:val="24"/>
          <w:szCs w:val="24"/>
        </w:rPr>
      </w:pPr>
      <w:proofErr w:type="spellStart"/>
      <w:r w:rsidRPr="00995AAE">
        <w:rPr>
          <w:rFonts w:eastAsiaTheme="majorEastAsia" w:cs="Arial"/>
          <w:b/>
          <w:bCs/>
          <w:sz w:val="24"/>
          <w:szCs w:val="24"/>
        </w:rPr>
        <w:lastRenderedPageBreak/>
        <w:t>B</w:t>
      </w:r>
      <w:r w:rsidR="00A43E7E" w:rsidRPr="00995AAE">
        <w:rPr>
          <w:rFonts w:eastAsiaTheme="majorEastAsia" w:cs="Arial"/>
          <w:b/>
          <w:bCs/>
          <w:sz w:val="24"/>
          <w:szCs w:val="24"/>
        </w:rPr>
        <w:t>1</w:t>
      </w:r>
      <w:r w:rsidRPr="00995AAE">
        <w:rPr>
          <w:rFonts w:eastAsiaTheme="majorEastAsia" w:cs="Arial"/>
          <w:b/>
          <w:bCs/>
          <w:sz w:val="24"/>
          <w:szCs w:val="24"/>
        </w:rPr>
        <w:t>.</w:t>
      </w:r>
      <w:r w:rsidR="00BB62F1" w:rsidRPr="00995AAE">
        <w:rPr>
          <w:rFonts w:eastAsiaTheme="majorEastAsia" w:cs="Arial"/>
          <w:b/>
          <w:bCs/>
          <w:sz w:val="24"/>
          <w:szCs w:val="24"/>
        </w:rPr>
        <w:t>4</w:t>
      </w:r>
      <w:proofErr w:type="spellEnd"/>
      <w:r w:rsidR="00BB62F1" w:rsidRPr="00995AAE">
        <w:rPr>
          <w:rFonts w:eastAsiaTheme="majorEastAsia" w:cs="Arial"/>
          <w:b/>
          <w:bCs/>
          <w:sz w:val="24"/>
          <w:szCs w:val="24"/>
        </w:rPr>
        <w:tab/>
        <w:t xml:space="preserve">“Australian University of Specialisation” Category </w:t>
      </w:r>
    </w:p>
    <w:p w14:paraId="1D502911" w14:textId="77777777" w:rsidR="00BB62F1" w:rsidRPr="00995AAE" w:rsidRDefault="00BB62F1" w:rsidP="00BB62F1"/>
    <w:p w14:paraId="274420AF" w14:textId="77777777" w:rsidR="00BB62F1" w:rsidRPr="00995AAE" w:rsidRDefault="00BB62F1" w:rsidP="00BB62F1">
      <w:r w:rsidRPr="00995AAE">
        <w:t xml:space="preserve">The higher education provider offers an Australian higher education </w:t>
      </w:r>
      <w:r w:rsidR="00DD7D73" w:rsidRPr="00995AAE">
        <w:t>qualification</w:t>
      </w:r>
    </w:p>
    <w:p w14:paraId="7BA69331" w14:textId="77777777" w:rsidR="00BB62F1" w:rsidRPr="00995AAE" w:rsidRDefault="00BB62F1" w:rsidP="00396477">
      <w:pPr>
        <w:numPr>
          <w:ilvl w:val="0"/>
          <w:numId w:val="25"/>
        </w:numPr>
        <w:tabs>
          <w:tab w:val="clear" w:pos="1134"/>
        </w:tabs>
        <w:spacing w:before="120" w:after="120"/>
        <w:ind w:left="993" w:hanging="567"/>
        <w:rPr>
          <w:rFonts w:eastAsia="Calibri" w:cs="Arial"/>
        </w:rPr>
      </w:pPr>
      <w:r w:rsidRPr="00995AAE">
        <w:rPr>
          <w:rFonts w:eastAsia="Calibri" w:cs="Arial"/>
        </w:rPr>
        <w:t xml:space="preserve">The higher education provider self-accredits and delivers undergraduate and postgraduate courses of study that meet the </w:t>
      </w:r>
      <w:r w:rsidR="00DD7D73" w:rsidRPr="00995AAE">
        <w:rPr>
          <w:rFonts w:eastAsia="Calibri" w:cs="Arial"/>
        </w:rPr>
        <w:t>Higher Education Standards Framework</w:t>
      </w:r>
      <w:r w:rsidRPr="00995AAE">
        <w:rPr>
          <w:rFonts w:eastAsia="Calibri" w:cs="Arial"/>
        </w:rPr>
        <w:t xml:space="preserve"> in one or two broad fields of study only (including Masters Degrees (Research) and Doctoral Degrees (Research) in these one or two broad fields of study it offers).</w:t>
      </w:r>
    </w:p>
    <w:p w14:paraId="4069B2CA" w14:textId="77777777" w:rsidR="00BB62F1" w:rsidRPr="00995AAE" w:rsidRDefault="00BB62F1" w:rsidP="00396477">
      <w:pPr>
        <w:numPr>
          <w:ilvl w:val="0"/>
          <w:numId w:val="25"/>
        </w:numPr>
        <w:tabs>
          <w:tab w:val="clear" w:pos="1134"/>
        </w:tabs>
        <w:spacing w:before="120" w:after="120"/>
        <w:ind w:left="993" w:hanging="567"/>
        <w:rPr>
          <w:rFonts w:eastAsia="Calibri" w:cs="Arial"/>
        </w:rPr>
      </w:pPr>
      <w:r w:rsidRPr="00995AAE">
        <w:rPr>
          <w:rFonts w:eastAsia="Calibri" w:cs="Arial"/>
        </w:rPr>
        <w:t>The higher education provider has been authorised for at least the last five years to self-accredit at least 85% of its total courses of study in one or two broad fields of study only, including Masters Degrees (Research) and Doctoral Degrees (Research) in these broad field/s of study.</w:t>
      </w:r>
    </w:p>
    <w:p w14:paraId="31FCD01E" w14:textId="77777777" w:rsidR="00BB62F1" w:rsidRPr="00995AAE" w:rsidRDefault="00BB62F1" w:rsidP="00396477">
      <w:pPr>
        <w:numPr>
          <w:ilvl w:val="0"/>
          <w:numId w:val="25"/>
        </w:numPr>
        <w:tabs>
          <w:tab w:val="clear" w:pos="1134"/>
        </w:tabs>
        <w:spacing w:before="120" w:after="120"/>
        <w:ind w:left="993" w:hanging="567"/>
        <w:rPr>
          <w:rFonts w:eastAsia="Calibri" w:cs="Arial"/>
        </w:rPr>
      </w:pPr>
      <w:r w:rsidRPr="00995AAE">
        <w:rPr>
          <w:rFonts w:eastAsia="Calibri" w:cs="Arial"/>
        </w:rPr>
        <w:t>The higher education provider undertakes research that leads to the creation of new knowledge and original creative endeavour at least in those broad fields of study in which Masters Degrees (Research) and Doctoral Degrees (Research) are offered.</w:t>
      </w:r>
    </w:p>
    <w:p w14:paraId="4AC8D57B" w14:textId="77777777" w:rsidR="00BB62F1" w:rsidRPr="00995AAE" w:rsidRDefault="00BB62F1" w:rsidP="00396477">
      <w:pPr>
        <w:numPr>
          <w:ilvl w:val="0"/>
          <w:numId w:val="25"/>
        </w:numPr>
        <w:tabs>
          <w:tab w:val="clear" w:pos="1134"/>
        </w:tabs>
        <w:spacing w:before="120" w:after="120"/>
        <w:ind w:left="993" w:hanging="567"/>
        <w:rPr>
          <w:rFonts w:eastAsia="Calibri" w:cs="Arial"/>
        </w:rPr>
      </w:pPr>
      <w:r w:rsidRPr="00995AAE">
        <w:rPr>
          <w:rFonts w:eastAsia="Calibri" w:cs="Arial"/>
        </w:rPr>
        <w:t>The higher education provider demonstrates the commitment of teachers, researchers, course designers and assessors to the systematic advancement of knowledge.</w:t>
      </w:r>
    </w:p>
    <w:p w14:paraId="15B2AD92" w14:textId="77777777" w:rsidR="00BB62F1" w:rsidRPr="00995AAE" w:rsidRDefault="00BB62F1" w:rsidP="00396477">
      <w:pPr>
        <w:numPr>
          <w:ilvl w:val="0"/>
          <w:numId w:val="25"/>
        </w:numPr>
        <w:tabs>
          <w:tab w:val="clear" w:pos="1134"/>
        </w:tabs>
        <w:spacing w:before="120" w:after="120"/>
        <w:ind w:left="993" w:hanging="567"/>
        <w:rPr>
          <w:rFonts w:eastAsia="Calibri" w:cs="Arial"/>
        </w:rPr>
      </w:pPr>
      <w:r w:rsidRPr="00995AAE">
        <w:rPr>
          <w:rFonts w:eastAsia="Calibri" w:cs="Arial"/>
        </w:rPr>
        <w:t xml:space="preserve">The higher education provider demonstrates sustained scholarship that informs teaching and learning in all fields in which courses of study are offered. </w:t>
      </w:r>
    </w:p>
    <w:p w14:paraId="02B9845F" w14:textId="77777777" w:rsidR="00BB62F1" w:rsidRPr="00995AAE" w:rsidRDefault="00BB62F1" w:rsidP="00396477">
      <w:pPr>
        <w:numPr>
          <w:ilvl w:val="0"/>
          <w:numId w:val="25"/>
        </w:numPr>
        <w:tabs>
          <w:tab w:val="clear" w:pos="1134"/>
        </w:tabs>
        <w:spacing w:before="120" w:after="120"/>
        <w:ind w:left="993" w:hanging="567"/>
        <w:rPr>
          <w:rFonts w:eastAsia="Calibri" w:cs="Arial"/>
        </w:rPr>
      </w:pPr>
      <w:r w:rsidRPr="00995AAE">
        <w:rPr>
          <w:rFonts w:eastAsia="Calibri" w:cs="Arial"/>
        </w:rPr>
        <w:t xml:space="preserve">The higher education provider identifies and implements good practices in student teaching and learning, including those that have the potential for wider dissemination nationally.  </w:t>
      </w:r>
    </w:p>
    <w:p w14:paraId="2217EB2F" w14:textId="77777777" w:rsidR="00BB62F1" w:rsidRPr="00995AAE" w:rsidRDefault="00BB62F1" w:rsidP="00396477">
      <w:pPr>
        <w:numPr>
          <w:ilvl w:val="0"/>
          <w:numId w:val="25"/>
        </w:numPr>
        <w:tabs>
          <w:tab w:val="clear" w:pos="1134"/>
        </w:tabs>
        <w:spacing w:before="120" w:after="120"/>
        <w:ind w:left="993" w:hanging="567"/>
        <w:rPr>
          <w:rFonts w:eastAsia="Calibri" w:cs="Arial"/>
        </w:rPr>
      </w:pPr>
      <w:r w:rsidRPr="00995AAE">
        <w:rPr>
          <w:rFonts w:eastAsia="Calibri" w:cs="Arial"/>
        </w:rPr>
        <w:t>The higher education provider offers an extensive range of student services, including student academic and learning support, and extensive resources for student learning in all disciplines offered.</w:t>
      </w:r>
    </w:p>
    <w:p w14:paraId="0AA6262C" w14:textId="77777777" w:rsidR="00BB62F1" w:rsidRPr="00995AAE" w:rsidRDefault="00BB62F1" w:rsidP="00396477">
      <w:pPr>
        <w:numPr>
          <w:ilvl w:val="0"/>
          <w:numId w:val="25"/>
        </w:numPr>
        <w:tabs>
          <w:tab w:val="clear" w:pos="1134"/>
        </w:tabs>
        <w:spacing w:before="120" w:after="120"/>
        <w:ind w:left="993" w:hanging="567"/>
        <w:rPr>
          <w:rFonts w:eastAsia="Calibri" w:cs="Arial"/>
        </w:rPr>
      </w:pPr>
      <w:r w:rsidRPr="00995AAE">
        <w:rPr>
          <w:rFonts w:eastAsia="Calibri" w:cs="Arial"/>
        </w:rPr>
        <w:t xml:space="preserve">The higher education provider demonstrates engagement with its local and regional communities and demonstrates a commitment to social responsibility in its activities. </w:t>
      </w:r>
    </w:p>
    <w:p w14:paraId="23132407" w14:textId="77777777" w:rsidR="00BB62F1" w:rsidRPr="00995AAE" w:rsidRDefault="00BB62F1" w:rsidP="00396477">
      <w:pPr>
        <w:numPr>
          <w:ilvl w:val="0"/>
          <w:numId w:val="25"/>
        </w:numPr>
        <w:tabs>
          <w:tab w:val="clear" w:pos="1134"/>
        </w:tabs>
        <w:spacing w:before="120" w:after="120"/>
        <w:ind w:left="993" w:hanging="567"/>
        <w:rPr>
          <w:rFonts w:eastAsia="Calibri" w:cs="Arial"/>
        </w:rPr>
      </w:pPr>
      <w:r w:rsidRPr="00995AAE">
        <w:rPr>
          <w:rFonts w:eastAsia="Calibri" w:cs="Arial"/>
        </w:rPr>
        <w:t>The higher education provider has systematic, mature internal processes for quality assurance and the maintenance of academic standards and academic integrity.</w:t>
      </w:r>
    </w:p>
    <w:p w14:paraId="3059E34E" w14:textId="77777777" w:rsidR="00BB62F1" w:rsidRPr="00995AAE" w:rsidRDefault="00BB62F1" w:rsidP="00396477">
      <w:pPr>
        <w:numPr>
          <w:ilvl w:val="0"/>
          <w:numId w:val="25"/>
        </w:numPr>
        <w:tabs>
          <w:tab w:val="clear" w:pos="1134"/>
        </w:tabs>
        <w:spacing w:before="120" w:after="120"/>
        <w:ind w:left="993" w:hanging="567"/>
        <w:rPr>
          <w:rFonts w:eastAsia="Calibri" w:cs="Arial"/>
        </w:rPr>
      </w:pPr>
      <w:r w:rsidRPr="00995AAE">
        <w:rPr>
          <w:rFonts w:eastAsia="Calibri" w:cs="Arial"/>
        </w:rPr>
        <w:t>The higher education provider’s application for registration has the support of the relevant Commonwealth, State or Territory government.</w:t>
      </w:r>
    </w:p>
    <w:p w14:paraId="0371FB1C" w14:textId="77777777" w:rsidR="00BB62F1" w:rsidRPr="00995AAE" w:rsidRDefault="00BB62F1" w:rsidP="00BB62F1"/>
    <w:p w14:paraId="46BB177F" w14:textId="77777777" w:rsidR="00BB62F1" w:rsidRPr="00995AAE" w:rsidRDefault="00BC5134" w:rsidP="002003D0">
      <w:pPr>
        <w:spacing w:before="120" w:after="120"/>
        <w:jc w:val="left"/>
        <w:rPr>
          <w:rFonts w:eastAsiaTheme="majorEastAsia" w:cs="Arial"/>
          <w:b/>
          <w:bCs/>
          <w:sz w:val="24"/>
          <w:szCs w:val="24"/>
        </w:rPr>
      </w:pPr>
      <w:proofErr w:type="spellStart"/>
      <w:r w:rsidRPr="00995AAE">
        <w:rPr>
          <w:rFonts w:eastAsiaTheme="majorEastAsia" w:cs="Arial"/>
          <w:b/>
          <w:bCs/>
          <w:sz w:val="24"/>
          <w:szCs w:val="24"/>
        </w:rPr>
        <w:t>B</w:t>
      </w:r>
      <w:r w:rsidR="00A43E7E" w:rsidRPr="00995AAE">
        <w:rPr>
          <w:rFonts w:eastAsiaTheme="majorEastAsia" w:cs="Arial"/>
          <w:b/>
          <w:bCs/>
          <w:sz w:val="24"/>
          <w:szCs w:val="24"/>
        </w:rPr>
        <w:t>1</w:t>
      </w:r>
      <w:r w:rsidRPr="00995AAE">
        <w:rPr>
          <w:rFonts w:eastAsiaTheme="majorEastAsia" w:cs="Arial"/>
          <w:b/>
          <w:bCs/>
          <w:sz w:val="24"/>
          <w:szCs w:val="24"/>
        </w:rPr>
        <w:t>.</w:t>
      </w:r>
      <w:r w:rsidR="00BB62F1" w:rsidRPr="00995AAE">
        <w:rPr>
          <w:rFonts w:eastAsiaTheme="majorEastAsia" w:cs="Arial"/>
          <w:b/>
          <w:bCs/>
          <w:sz w:val="24"/>
          <w:szCs w:val="24"/>
        </w:rPr>
        <w:t>5</w:t>
      </w:r>
      <w:proofErr w:type="spellEnd"/>
      <w:r w:rsidR="00BB62F1" w:rsidRPr="00995AAE">
        <w:rPr>
          <w:rFonts w:eastAsiaTheme="majorEastAsia" w:cs="Arial"/>
          <w:b/>
          <w:bCs/>
          <w:sz w:val="24"/>
          <w:szCs w:val="24"/>
        </w:rPr>
        <w:tab/>
        <w:t xml:space="preserve">“Overseas University” Category </w:t>
      </w:r>
    </w:p>
    <w:p w14:paraId="12813111" w14:textId="77777777" w:rsidR="00BB62F1" w:rsidRPr="00995AAE" w:rsidRDefault="00BB62F1" w:rsidP="00BB62F1"/>
    <w:p w14:paraId="0144090F" w14:textId="77777777" w:rsidR="00BB62F1" w:rsidRPr="00995AAE" w:rsidRDefault="00BB62F1" w:rsidP="00BB62F1">
      <w:r w:rsidRPr="00995AAE">
        <w:t xml:space="preserve">The higher education provider offers an overseas higher education </w:t>
      </w:r>
      <w:r w:rsidR="00DD7D73" w:rsidRPr="00995AAE">
        <w:t>qualification</w:t>
      </w:r>
    </w:p>
    <w:p w14:paraId="2A1C3A8D" w14:textId="77777777" w:rsidR="00BB62F1" w:rsidRPr="00995AAE" w:rsidRDefault="00BB62F1" w:rsidP="00396477">
      <w:pPr>
        <w:numPr>
          <w:ilvl w:val="0"/>
          <w:numId w:val="26"/>
        </w:numPr>
        <w:tabs>
          <w:tab w:val="clear" w:pos="1134"/>
        </w:tabs>
        <w:spacing w:before="120" w:after="120"/>
        <w:ind w:left="993" w:hanging="567"/>
        <w:rPr>
          <w:rFonts w:eastAsia="Calibri" w:cs="Arial"/>
        </w:rPr>
      </w:pPr>
      <w:r w:rsidRPr="00995AAE">
        <w:rPr>
          <w:rFonts w:eastAsia="Calibri" w:cs="Arial"/>
        </w:rPr>
        <w:t xml:space="preserve">The higher education provider is recognised as a university by its home country registration or accreditation authority or equivalent governmental authority, the standing and standards of which are acceptable to TEQSA.  </w:t>
      </w:r>
    </w:p>
    <w:p w14:paraId="17FEEC3F" w14:textId="77777777" w:rsidR="00BB62F1" w:rsidRPr="00995AAE" w:rsidRDefault="00BB62F1" w:rsidP="00B136B6">
      <w:pPr>
        <w:tabs>
          <w:tab w:val="clear" w:pos="1134"/>
        </w:tabs>
        <w:spacing w:before="120" w:after="120"/>
        <w:ind w:left="993"/>
        <w:rPr>
          <w:rFonts w:eastAsia="Calibri" w:cs="Arial"/>
        </w:rPr>
      </w:pPr>
      <w:r w:rsidRPr="00995AAE">
        <w:rPr>
          <w:rFonts w:eastAsia="Calibri" w:cs="Arial"/>
        </w:rPr>
        <w:t>AND</w:t>
      </w:r>
    </w:p>
    <w:p w14:paraId="29B9F4A2" w14:textId="77777777" w:rsidR="00BB62F1" w:rsidRPr="00995AAE" w:rsidRDefault="00BB62F1" w:rsidP="00396477">
      <w:pPr>
        <w:numPr>
          <w:ilvl w:val="0"/>
          <w:numId w:val="26"/>
        </w:numPr>
        <w:tabs>
          <w:tab w:val="clear" w:pos="1134"/>
        </w:tabs>
        <w:spacing w:before="120" w:after="120"/>
        <w:ind w:left="993" w:hanging="567"/>
        <w:rPr>
          <w:rFonts w:eastAsia="Calibri" w:cs="Arial"/>
        </w:rPr>
      </w:pPr>
      <w:r w:rsidRPr="00995AAE">
        <w:rPr>
          <w:rFonts w:eastAsia="Calibri" w:cs="Arial"/>
        </w:rPr>
        <w:t>The higher education provider meets criteria equivalent to those for the “Australian University” Category.</w:t>
      </w:r>
    </w:p>
    <w:p w14:paraId="5DEAAE79" w14:textId="77777777" w:rsidR="00BB62F1" w:rsidRPr="00995AAE" w:rsidRDefault="00BB62F1" w:rsidP="00BB62F1"/>
    <w:p w14:paraId="0F344252" w14:textId="77777777" w:rsidR="00083E1E" w:rsidRPr="00995AAE" w:rsidRDefault="00083E1E">
      <w:pPr>
        <w:tabs>
          <w:tab w:val="clear" w:pos="1134"/>
        </w:tabs>
        <w:spacing w:after="200" w:line="276" w:lineRule="auto"/>
        <w:jc w:val="left"/>
        <w:rPr>
          <w:b/>
          <w:sz w:val="28"/>
          <w:szCs w:val="28"/>
        </w:rPr>
      </w:pPr>
      <w:r w:rsidRPr="00995AAE">
        <w:rPr>
          <w:b/>
          <w:sz w:val="28"/>
          <w:szCs w:val="28"/>
        </w:rPr>
        <w:br w:type="page"/>
      </w:r>
    </w:p>
    <w:p w14:paraId="62E1044D" w14:textId="77777777" w:rsidR="00BB62F1" w:rsidRPr="00995AAE" w:rsidRDefault="00BC5134" w:rsidP="002003D0">
      <w:pPr>
        <w:spacing w:before="120" w:after="120"/>
        <w:jc w:val="left"/>
        <w:rPr>
          <w:rFonts w:eastAsiaTheme="majorEastAsia" w:cs="Arial"/>
          <w:b/>
          <w:bCs/>
          <w:sz w:val="24"/>
          <w:szCs w:val="24"/>
        </w:rPr>
      </w:pPr>
      <w:proofErr w:type="spellStart"/>
      <w:r w:rsidRPr="00995AAE">
        <w:rPr>
          <w:rFonts w:eastAsiaTheme="majorEastAsia" w:cs="Arial"/>
          <w:b/>
          <w:bCs/>
          <w:sz w:val="24"/>
          <w:szCs w:val="24"/>
        </w:rPr>
        <w:lastRenderedPageBreak/>
        <w:t>B</w:t>
      </w:r>
      <w:r w:rsidR="00A43E7E" w:rsidRPr="00995AAE">
        <w:rPr>
          <w:rFonts w:eastAsiaTheme="majorEastAsia" w:cs="Arial"/>
          <w:b/>
          <w:bCs/>
          <w:sz w:val="24"/>
          <w:szCs w:val="24"/>
        </w:rPr>
        <w:t>1</w:t>
      </w:r>
      <w:r w:rsidRPr="00995AAE">
        <w:rPr>
          <w:rFonts w:eastAsiaTheme="majorEastAsia" w:cs="Arial"/>
          <w:b/>
          <w:bCs/>
          <w:sz w:val="24"/>
          <w:szCs w:val="24"/>
        </w:rPr>
        <w:t>.</w:t>
      </w:r>
      <w:r w:rsidR="00BB62F1" w:rsidRPr="00995AAE">
        <w:rPr>
          <w:rFonts w:eastAsiaTheme="majorEastAsia" w:cs="Arial"/>
          <w:b/>
          <w:bCs/>
          <w:sz w:val="24"/>
          <w:szCs w:val="24"/>
        </w:rPr>
        <w:t>6</w:t>
      </w:r>
      <w:proofErr w:type="spellEnd"/>
      <w:r w:rsidR="00BB62F1" w:rsidRPr="00995AAE">
        <w:rPr>
          <w:rFonts w:eastAsiaTheme="majorEastAsia" w:cs="Arial"/>
          <w:b/>
          <w:bCs/>
          <w:sz w:val="24"/>
          <w:szCs w:val="24"/>
        </w:rPr>
        <w:tab/>
        <w:t xml:space="preserve">“Overseas University of Specialisation” Category </w:t>
      </w:r>
    </w:p>
    <w:p w14:paraId="6D6EE6DF" w14:textId="77777777" w:rsidR="00BB62F1" w:rsidRPr="00995AAE" w:rsidRDefault="00BB62F1" w:rsidP="00BB62F1"/>
    <w:p w14:paraId="529BDE3D" w14:textId="77777777" w:rsidR="00BB62F1" w:rsidRPr="00995AAE" w:rsidRDefault="00BB62F1" w:rsidP="00BB62F1">
      <w:r w:rsidRPr="00995AAE">
        <w:t xml:space="preserve">The higher education provider offers an overseas higher education </w:t>
      </w:r>
      <w:r w:rsidR="00DD7D73" w:rsidRPr="00995AAE">
        <w:t>qualification</w:t>
      </w:r>
    </w:p>
    <w:p w14:paraId="40A9B349" w14:textId="77777777" w:rsidR="00BB62F1" w:rsidRPr="00995AAE" w:rsidRDefault="00BB62F1" w:rsidP="00396477">
      <w:pPr>
        <w:numPr>
          <w:ilvl w:val="0"/>
          <w:numId w:val="27"/>
        </w:numPr>
        <w:tabs>
          <w:tab w:val="clear" w:pos="1134"/>
        </w:tabs>
        <w:spacing w:before="120" w:after="120"/>
        <w:ind w:left="993" w:hanging="567"/>
        <w:rPr>
          <w:rFonts w:eastAsia="Calibri" w:cs="Arial"/>
        </w:rPr>
      </w:pPr>
      <w:r w:rsidRPr="00995AAE">
        <w:rPr>
          <w:rFonts w:eastAsia="Calibri" w:cs="Arial"/>
        </w:rPr>
        <w:t xml:space="preserve">The higher education provider is recognised as a university by its home country registration or accreditation authority or equivalent governmental authority, the standing and standards of which are acceptable to TEQSA.  </w:t>
      </w:r>
    </w:p>
    <w:p w14:paraId="494FCB4A" w14:textId="77777777" w:rsidR="00BB62F1" w:rsidRPr="00995AAE" w:rsidRDefault="00BB62F1" w:rsidP="00B136B6">
      <w:pPr>
        <w:tabs>
          <w:tab w:val="clear" w:pos="1134"/>
        </w:tabs>
        <w:spacing w:before="120" w:after="120"/>
        <w:ind w:left="993"/>
        <w:rPr>
          <w:rFonts w:eastAsia="Calibri" w:cs="Arial"/>
        </w:rPr>
      </w:pPr>
      <w:r w:rsidRPr="00995AAE">
        <w:rPr>
          <w:rFonts w:eastAsia="Calibri" w:cs="Arial"/>
        </w:rPr>
        <w:t>AND</w:t>
      </w:r>
    </w:p>
    <w:p w14:paraId="1536B292" w14:textId="77777777" w:rsidR="00BB62F1" w:rsidRPr="00995AAE" w:rsidRDefault="00BB62F1" w:rsidP="00396477">
      <w:pPr>
        <w:numPr>
          <w:ilvl w:val="0"/>
          <w:numId w:val="27"/>
        </w:numPr>
        <w:tabs>
          <w:tab w:val="clear" w:pos="1134"/>
        </w:tabs>
        <w:spacing w:before="120" w:after="120"/>
        <w:ind w:left="993" w:hanging="567"/>
        <w:rPr>
          <w:rFonts w:eastAsia="Calibri" w:cs="Arial"/>
        </w:rPr>
      </w:pPr>
      <w:r w:rsidRPr="00995AAE">
        <w:rPr>
          <w:rFonts w:eastAsia="Calibri" w:cs="Arial"/>
        </w:rPr>
        <w:t>The higher education provider meets criteria equivalent to those for the “Australian University of Specialisation” Category.</w:t>
      </w:r>
    </w:p>
    <w:p w14:paraId="6E6D58F6" w14:textId="77777777" w:rsidR="009C01B5" w:rsidRPr="00995AAE" w:rsidRDefault="009C01B5" w:rsidP="009C01B5">
      <w:pPr>
        <w:pStyle w:val="ListParagraph"/>
        <w:keepNext/>
        <w:spacing w:before="120" w:after="120"/>
        <w:ind w:left="1440"/>
        <w:outlineLvl w:val="0"/>
        <w:rPr>
          <w:rFonts w:eastAsia="Batang" w:cs="Arial"/>
          <w:b/>
          <w:bCs/>
        </w:rPr>
      </w:pPr>
    </w:p>
    <w:p w14:paraId="73FAD1F8" w14:textId="77777777" w:rsidR="000336EF" w:rsidRPr="00995AAE" w:rsidRDefault="009C01B5" w:rsidP="003B7471">
      <w:pPr>
        <w:pStyle w:val="Heading1"/>
        <w:numPr>
          <w:ilvl w:val="0"/>
          <w:numId w:val="0"/>
        </w:numPr>
        <w:spacing w:before="0" w:after="360" w:line="240" w:lineRule="auto"/>
        <w:ind w:left="567" w:hanging="567"/>
        <w:jc w:val="both"/>
      </w:pPr>
      <w:bookmarkStart w:id="135" w:name="_Toc418684299"/>
      <w:bookmarkStart w:id="136" w:name="_Toc428368880"/>
      <w:proofErr w:type="spellStart"/>
      <w:r w:rsidRPr="00995AAE">
        <w:t>B</w:t>
      </w:r>
      <w:r w:rsidR="00A43E7E" w:rsidRPr="00995AAE">
        <w:t>2</w:t>
      </w:r>
      <w:proofErr w:type="spellEnd"/>
      <w:r w:rsidR="000336EF" w:rsidRPr="00995AAE">
        <w:t>:</w:t>
      </w:r>
      <w:r w:rsidR="000336EF" w:rsidRPr="00995AAE">
        <w:tab/>
        <w:t>Criteria for Seeking Authority for Self-Accreditation of Courses of Study</w:t>
      </w:r>
      <w:bookmarkEnd w:id="135"/>
      <w:bookmarkEnd w:id="136"/>
    </w:p>
    <w:p w14:paraId="785619FE" w14:textId="77777777" w:rsidR="000336EF" w:rsidRPr="00995AAE" w:rsidRDefault="000336EF" w:rsidP="00B136B6">
      <w:pPr>
        <w:spacing w:before="120" w:after="120"/>
        <w:jc w:val="left"/>
        <w:rPr>
          <w:rFonts w:eastAsiaTheme="majorEastAsia" w:cs="Arial"/>
          <w:b/>
          <w:bCs/>
          <w:sz w:val="24"/>
          <w:szCs w:val="24"/>
        </w:rPr>
      </w:pPr>
      <w:r w:rsidRPr="00995AAE">
        <w:rPr>
          <w:rFonts w:eastAsiaTheme="majorEastAsia" w:cs="Arial"/>
          <w:b/>
          <w:bCs/>
          <w:sz w:val="24"/>
          <w:szCs w:val="24"/>
        </w:rPr>
        <w:t xml:space="preserve">Providers with Authority to </w:t>
      </w:r>
      <w:r w:rsidR="008C74CD" w:rsidRPr="00995AAE">
        <w:rPr>
          <w:rFonts w:eastAsiaTheme="majorEastAsia" w:cs="Arial"/>
          <w:b/>
          <w:bCs/>
          <w:sz w:val="24"/>
          <w:szCs w:val="24"/>
        </w:rPr>
        <w:t>Self-Accredit</w:t>
      </w:r>
      <w:r w:rsidRPr="00995AAE">
        <w:rPr>
          <w:rFonts w:eastAsiaTheme="majorEastAsia" w:cs="Arial"/>
          <w:b/>
          <w:bCs/>
          <w:sz w:val="24"/>
          <w:szCs w:val="24"/>
        </w:rPr>
        <w:t xml:space="preserve"> some or all Courses of Study </w:t>
      </w:r>
    </w:p>
    <w:p w14:paraId="1A300BB4" w14:textId="77777777" w:rsidR="000336EF" w:rsidRPr="00995AAE" w:rsidRDefault="000336EF" w:rsidP="000336EF">
      <w:pPr>
        <w:tabs>
          <w:tab w:val="clear" w:pos="1134"/>
        </w:tabs>
        <w:rPr>
          <w:rFonts w:eastAsia="Calibri" w:cs="Arial"/>
        </w:rPr>
      </w:pPr>
      <w:r w:rsidRPr="00995AAE">
        <w:rPr>
          <w:rFonts w:eastAsia="Calibri" w:cs="Arial"/>
        </w:rPr>
        <w:t>Registration of a higher education provider in certain categories of provider may confer self-accrediting authority on the provider. A higher education provider that is registered in the ‘Australian University’ provider category and meets the requirements under Section 45(1) of the TEQSA Act 2011 is authorised under the TEQSA Act 2011 to self-accredit each course of study that leads to a higher education qualification that it offers or confers. TEQSA will authorise a higher education provider that is registered in the ‘Australian University College’ provider category to self-accredit all of its courses of study. A higher education provider that is registered</w:t>
      </w:r>
      <w:r w:rsidRPr="00995AAE" w:rsidDel="00962741">
        <w:rPr>
          <w:rFonts w:eastAsia="Calibri" w:cs="Arial"/>
        </w:rPr>
        <w:t xml:space="preserve"> </w:t>
      </w:r>
      <w:r w:rsidRPr="00995AAE">
        <w:rPr>
          <w:rFonts w:eastAsia="Calibri" w:cs="Arial"/>
        </w:rPr>
        <w:t>in the ‘Australian University of Specialisation’ provider category self-accredits some of its courses of study and TEQSA may authorise the provider to self-accredit all of the courses of study it offers, in its one or two broad fields of education only.</w:t>
      </w:r>
    </w:p>
    <w:p w14:paraId="403DB78E" w14:textId="77777777" w:rsidR="000336EF" w:rsidRPr="00995AAE" w:rsidRDefault="000336EF" w:rsidP="000336EF">
      <w:pPr>
        <w:tabs>
          <w:tab w:val="clear" w:pos="1134"/>
        </w:tabs>
        <w:rPr>
          <w:rFonts w:eastAsia="Calibri" w:cs="Arial"/>
        </w:rPr>
      </w:pPr>
    </w:p>
    <w:p w14:paraId="1AB7A126" w14:textId="77777777" w:rsidR="00C97792" w:rsidRPr="00995AAE" w:rsidRDefault="00C97792" w:rsidP="00B136B6">
      <w:pPr>
        <w:spacing w:before="120" w:after="120"/>
        <w:jc w:val="left"/>
        <w:rPr>
          <w:rFonts w:eastAsiaTheme="majorEastAsia" w:cs="Arial"/>
          <w:b/>
          <w:bCs/>
          <w:sz w:val="24"/>
          <w:szCs w:val="24"/>
        </w:rPr>
      </w:pPr>
      <w:r w:rsidRPr="00995AAE">
        <w:rPr>
          <w:rFonts w:eastAsiaTheme="majorEastAsia" w:cs="Arial"/>
          <w:b/>
          <w:bCs/>
          <w:sz w:val="24"/>
          <w:szCs w:val="24"/>
        </w:rPr>
        <w:t xml:space="preserve">Types of Self-Accrediting Authority that may be </w:t>
      </w:r>
      <w:proofErr w:type="gramStart"/>
      <w:r w:rsidR="00126EAF" w:rsidRPr="00995AAE">
        <w:rPr>
          <w:rFonts w:eastAsiaTheme="majorEastAsia" w:cs="Arial"/>
          <w:b/>
          <w:bCs/>
          <w:sz w:val="24"/>
          <w:szCs w:val="24"/>
        </w:rPr>
        <w:t>Sought</w:t>
      </w:r>
      <w:proofErr w:type="gramEnd"/>
    </w:p>
    <w:p w14:paraId="11ADEB20" w14:textId="77777777" w:rsidR="00C97792" w:rsidRPr="00995AAE" w:rsidRDefault="00C97792" w:rsidP="00B35A66">
      <w:pPr>
        <w:numPr>
          <w:ilvl w:val="0"/>
          <w:numId w:val="18"/>
        </w:numPr>
        <w:tabs>
          <w:tab w:val="clear" w:pos="1134"/>
        </w:tabs>
        <w:spacing w:before="120" w:after="120"/>
        <w:ind w:left="993" w:hanging="567"/>
        <w:rPr>
          <w:rFonts w:eastAsia="Calibri" w:cs="Arial"/>
        </w:rPr>
      </w:pPr>
      <w:r w:rsidRPr="00995AAE">
        <w:rPr>
          <w:rFonts w:eastAsia="Calibri" w:cs="Arial"/>
        </w:rPr>
        <w:t xml:space="preserve">A </w:t>
      </w:r>
      <w:r w:rsidRPr="00995AAE">
        <w:rPr>
          <w:rFonts w:eastAsia="Calibri"/>
        </w:rPr>
        <w:t>higher</w:t>
      </w:r>
      <w:r w:rsidRPr="00995AAE">
        <w:rPr>
          <w:rFonts w:eastAsia="Calibri" w:cs="Arial"/>
        </w:rPr>
        <w:t xml:space="preserve"> education provider that is registered in the ‘Higher Education Provider’, ‘Overseas University’ or ‘Overseas University of Specialisation’ provider category, or any other registered provider that proposes to extend the scope of its self-accrediting authority, may seek authorisation from TEQSA to self-accredit:</w:t>
      </w:r>
    </w:p>
    <w:p w14:paraId="5821E691" w14:textId="77777777" w:rsidR="00C97792" w:rsidRPr="00995AAE" w:rsidRDefault="00C97792" w:rsidP="00396477">
      <w:pPr>
        <w:numPr>
          <w:ilvl w:val="1"/>
          <w:numId w:val="28"/>
        </w:numPr>
        <w:tabs>
          <w:tab w:val="clear" w:pos="1134"/>
        </w:tabs>
        <w:spacing w:before="120" w:after="120"/>
        <w:rPr>
          <w:rFonts w:eastAsia="Calibri" w:cs="Arial"/>
        </w:rPr>
      </w:pPr>
      <w:r w:rsidRPr="00995AAE">
        <w:rPr>
          <w:rFonts w:eastAsia="Calibri" w:cs="Arial"/>
        </w:rPr>
        <w:t>one or more existing courses of study</w:t>
      </w:r>
    </w:p>
    <w:p w14:paraId="27972E81" w14:textId="77777777" w:rsidR="00C97792" w:rsidRPr="00995AAE" w:rsidRDefault="00C97792" w:rsidP="00396477">
      <w:pPr>
        <w:numPr>
          <w:ilvl w:val="1"/>
          <w:numId w:val="28"/>
        </w:numPr>
        <w:tabs>
          <w:tab w:val="clear" w:pos="1134"/>
        </w:tabs>
        <w:spacing w:before="120" w:after="120"/>
        <w:rPr>
          <w:rFonts w:eastAsia="Calibri" w:cs="Arial"/>
        </w:rPr>
      </w:pPr>
      <w:r w:rsidRPr="00995AAE">
        <w:rPr>
          <w:rFonts w:eastAsia="Calibri" w:cs="Arial"/>
        </w:rPr>
        <w:t xml:space="preserve">one or more existing courses of study and new course(s) of study at the same qualification level in the same narrow or broad field of education </w:t>
      </w:r>
    </w:p>
    <w:p w14:paraId="6DDFDEEE" w14:textId="77777777" w:rsidR="00C97792" w:rsidRPr="00995AAE" w:rsidRDefault="00C97792" w:rsidP="00396477">
      <w:pPr>
        <w:numPr>
          <w:ilvl w:val="1"/>
          <w:numId w:val="28"/>
        </w:numPr>
        <w:tabs>
          <w:tab w:val="clear" w:pos="1134"/>
        </w:tabs>
        <w:spacing w:before="120" w:after="120"/>
        <w:rPr>
          <w:rFonts w:eastAsia="Calibri" w:cs="Arial"/>
        </w:rPr>
      </w:pPr>
      <w:r w:rsidRPr="00995AAE">
        <w:rPr>
          <w:rFonts w:eastAsia="Calibri" w:cs="Arial"/>
        </w:rPr>
        <w:t xml:space="preserve">one or more existing courses of study and new course(s) of study at the same qualification level in nominated new narrow or broad field(s) of education </w:t>
      </w:r>
    </w:p>
    <w:p w14:paraId="40784905" w14:textId="77777777" w:rsidR="00C97792" w:rsidRPr="00995AAE" w:rsidRDefault="00C97792" w:rsidP="00396477">
      <w:pPr>
        <w:numPr>
          <w:ilvl w:val="1"/>
          <w:numId w:val="28"/>
        </w:numPr>
        <w:tabs>
          <w:tab w:val="clear" w:pos="1134"/>
        </w:tabs>
        <w:spacing w:before="120" w:after="120"/>
        <w:rPr>
          <w:rFonts w:eastAsia="Calibri" w:cs="Arial"/>
        </w:rPr>
      </w:pPr>
      <w:r w:rsidRPr="00995AAE">
        <w:rPr>
          <w:rFonts w:eastAsia="Calibri" w:cs="Arial"/>
        </w:rPr>
        <w:t xml:space="preserve">one or more existing courses of study and new courses of study at one or more new qualification levels in the same narrow or broad field of education </w:t>
      </w:r>
    </w:p>
    <w:p w14:paraId="619628B2" w14:textId="77777777" w:rsidR="00C97792" w:rsidRPr="00995AAE" w:rsidRDefault="00C97792" w:rsidP="00396477">
      <w:pPr>
        <w:numPr>
          <w:ilvl w:val="1"/>
          <w:numId w:val="28"/>
        </w:numPr>
        <w:tabs>
          <w:tab w:val="clear" w:pos="1134"/>
        </w:tabs>
        <w:spacing w:before="120" w:after="120"/>
        <w:rPr>
          <w:rFonts w:eastAsia="Calibri" w:cs="Arial"/>
        </w:rPr>
      </w:pPr>
      <w:r w:rsidRPr="00995AAE">
        <w:rPr>
          <w:rFonts w:eastAsia="Calibri" w:cs="Arial"/>
        </w:rPr>
        <w:t>one or more existing courses of study and new courses of study at one or more qualification levels in nominated new narrow or broad fields of education</w:t>
      </w:r>
      <w:r w:rsidR="00EA4CF9" w:rsidRPr="00995AAE">
        <w:rPr>
          <w:rFonts w:eastAsia="Calibri" w:cs="Arial"/>
        </w:rPr>
        <w:t>, or</w:t>
      </w:r>
    </w:p>
    <w:p w14:paraId="58A4135F" w14:textId="77777777" w:rsidR="00C97792" w:rsidRPr="00995AAE" w:rsidRDefault="00C97792" w:rsidP="00396477">
      <w:pPr>
        <w:numPr>
          <w:ilvl w:val="1"/>
          <w:numId w:val="28"/>
        </w:numPr>
        <w:tabs>
          <w:tab w:val="clear" w:pos="1134"/>
        </w:tabs>
        <w:spacing w:before="120" w:after="120"/>
        <w:rPr>
          <w:rFonts w:eastAsia="Calibri" w:cs="Arial"/>
        </w:rPr>
      </w:pPr>
      <w:proofErr w:type="gramStart"/>
      <w:r w:rsidRPr="00995AAE">
        <w:rPr>
          <w:rFonts w:eastAsia="Calibri" w:cs="Arial"/>
        </w:rPr>
        <w:t>all</w:t>
      </w:r>
      <w:proofErr w:type="gramEnd"/>
      <w:r w:rsidRPr="00995AAE">
        <w:rPr>
          <w:rFonts w:eastAsia="Calibri" w:cs="Arial"/>
        </w:rPr>
        <w:t xml:space="preserve"> higher education courses of study that it offers</w:t>
      </w:r>
      <w:r w:rsidR="00126EAF" w:rsidRPr="00995AAE">
        <w:rPr>
          <w:rFonts w:eastAsia="Calibri" w:cs="Arial"/>
        </w:rPr>
        <w:t>,</w:t>
      </w:r>
      <w:r w:rsidRPr="00995AAE">
        <w:rPr>
          <w:rFonts w:eastAsia="Calibri" w:cs="Arial"/>
        </w:rPr>
        <w:t xml:space="preserve"> or may offer, irrespective of level of qualification or field of education.</w:t>
      </w:r>
    </w:p>
    <w:p w14:paraId="29881421" w14:textId="77777777" w:rsidR="00C55A86" w:rsidRPr="00995AAE" w:rsidRDefault="00C55A86" w:rsidP="00C55A86">
      <w:pPr>
        <w:tabs>
          <w:tab w:val="clear" w:pos="1134"/>
        </w:tabs>
        <w:rPr>
          <w:rFonts w:eastAsia="Calibri" w:cs="Arial"/>
        </w:rPr>
      </w:pPr>
    </w:p>
    <w:p w14:paraId="6479100D" w14:textId="77777777" w:rsidR="00083E1E" w:rsidRPr="00995AAE" w:rsidRDefault="00083E1E">
      <w:pPr>
        <w:tabs>
          <w:tab w:val="clear" w:pos="1134"/>
        </w:tabs>
        <w:spacing w:after="200" w:line="276" w:lineRule="auto"/>
        <w:jc w:val="left"/>
        <w:rPr>
          <w:rFonts w:eastAsiaTheme="majorEastAsia" w:cs="Arial"/>
          <w:b/>
          <w:bCs/>
          <w:sz w:val="24"/>
          <w:szCs w:val="24"/>
        </w:rPr>
      </w:pPr>
      <w:r w:rsidRPr="00995AAE">
        <w:rPr>
          <w:rFonts w:eastAsiaTheme="majorEastAsia" w:cs="Arial"/>
          <w:b/>
          <w:bCs/>
          <w:sz w:val="24"/>
          <w:szCs w:val="24"/>
        </w:rPr>
        <w:br w:type="page"/>
      </w:r>
    </w:p>
    <w:p w14:paraId="1369A94D" w14:textId="77777777" w:rsidR="000336EF" w:rsidRPr="00995AAE" w:rsidRDefault="000336EF" w:rsidP="00B136B6">
      <w:pPr>
        <w:spacing w:before="120" w:after="120"/>
        <w:jc w:val="left"/>
        <w:rPr>
          <w:rFonts w:eastAsiaTheme="majorEastAsia" w:cs="Arial"/>
          <w:b/>
          <w:bCs/>
          <w:sz w:val="24"/>
          <w:szCs w:val="24"/>
        </w:rPr>
      </w:pPr>
      <w:r w:rsidRPr="00995AAE">
        <w:rPr>
          <w:rFonts w:eastAsiaTheme="majorEastAsia" w:cs="Arial"/>
          <w:b/>
          <w:bCs/>
          <w:sz w:val="24"/>
          <w:szCs w:val="24"/>
        </w:rPr>
        <w:lastRenderedPageBreak/>
        <w:t xml:space="preserve">Providers Seeking Authority from TEQSA to Self-Accredit </w:t>
      </w:r>
      <w:r w:rsidR="00126EAF" w:rsidRPr="00995AAE">
        <w:rPr>
          <w:rFonts w:eastAsiaTheme="majorEastAsia" w:cs="Arial"/>
          <w:b/>
          <w:bCs/>
          <w:sz w:val="24"/>
          <w:szCs w:val="24"/>
        </w:rPr>
        <w:t xml:space="preserve">Nominated </w:t>
      </w:r>
      <w:r w:rsidRPr="00995AAE">
        <w:rPr>
          <w:rFonts w:eastAsiaTheme="majorEastAsia" w:cs="Arial"/>
          <w:b/>
          <w:bCs/>
          <w:sz w:val="24"/>
          <w:szCs w:val="24"/>
        </w:rPr>
        <w:t xml:space="preserve">Courses of Study </w:t>
      </w:r>
    </w:p>
    <w:p w14:paraId="5790BBFF" w14:textId="77777777" w:rsidR="000336EF" w:rsidRPr="00995AAE" w:rsidRDefault="000336EF" w:rsidP="00B35A66">
      <w:pPr>
        <w:numPr>
          <w:ilvl w:val="0"/>
          <w:numId w:val="18"/>
        </w:numPr>
        <w:tabs>
          <w:tab w:val="clear" w:pos="1134"/>
        </w:tabs>
        <w:spacing w:before="120" w:after="120"/>
        <w:ind w:left="993" w:hanging="567"/>
        <w:rPr>
          <w:rFonts w:eastAsia="Calibri"/>
        </w:rPr>
      </w:pPr>
      <w:r w:rsidRPr="00995AAE">
        <w:rPr>
          <w:rFonts w:eastAsia="Calibri"/>
        </w:rPr>
        <w:t xml:space="preserve">A provider that is seeking authorisation to self-accredit a </w:t>
      </w:r>
      <w:r w:rsidR="00126EAF" w:rsidRPr="00995AAE">
        <w:rPr>
          <w:rFonts w:eastAsia="Calibri"/>
        </w:rPr>
        <w:t xml:space="preserve">nominated </w:t>
      </w:r>
      <w:r w:rsidRPr="00995AAE">
        <w:rPr>
          <w:rFonts w:eastAsia="Calibri"/>
        </w:rPr>
        <w:t xml:space="preserve">course(s) of study as specified in </w:t>
      </w:r>
      <w:proofErr w:type="spellStart"/>
      <w:r w:rsidRPr="00995AAE">
        <w:rPr>
          <w:rFonts w:eastAsia="Calibri"/>
        </w:rPr>
        <w:t>1</w:t>
      </w:r>
      <w:r w:rsidR="00B136B6" w:rsidRPr="00995AAE">
        <w:rPr>
          <w:rFonts w:eastAsia="Calibri"/>
        </w:rPr>
        <w:t>a</w:t>
      </w:r>
      <w:proofErr w:type="spellEnd"/>
      <w:r w:rsidR="00B136B6" w:rsidRPr="00995AAE">
        <w:rPr>
          <w:rFonts w:eastAsia="Calibri"/>
        </w:rPr>
        <w:t xml:space="preserve"> – </w:t>
      </w:r>
      <w:proofErr w:type="spellStart"/>
      <w:r w:rsidR="00B136B6" w:rsidRPr="00995AAE">
        <w:rPr>
          <w:rFonts w:eastAsia="Calibri"/>
        </w:rPr>
        <w:t>1</w:t>
      </w:r>
      <w:r w:rsidR="007272E6" w:rsidRPr="00995AAE">
        <w:rPr>
          <w:rFonts w:eastAsia="Calibri"/>
        </w:rPr>
        <w:t>e</w:t>
      </w:r>
      <w:proofErr w:type="spellEnd"/>
      <w:r w:rsidR="00B136B6" w:rsidRPr="00995AAE">
        <w:rPr>
          <w:rFonts w:eastAsia="Calibri"/>
        </w:rPr>
        <w:t xml:space="preserve"> above </w:t>
      </w:r>
      <w:r w:rsidRPr="00995AAE">
        <w:rPr>
          <w:rFonts w:eastAsia="Calibri"/>
        </w:rPr>
        <w:t>is able to demonstrate:</w:t>
      </w:r>
    </w:p>
    <w:p w14:paraId="66891B59" w14:textId="77777777" w:rsidR="000336EF" w:rsidRPr="00995AAE" w:rsidRDefault="000336EF" w:rsidP="00396477">
      <w:pPr>
        <w:numPr>
          <w:ilvl w:val="0"/>
          <w:numId w:val="30"/>
        </w:numPr>
        <w:tabs>
          <w:tab w:val="clear" w:pos="1134"/>
        </w:tabs>
        <w:spacing w:before="120" w:after="120"/>
        <w:rPr>
          <w:rFonts w:eastAsia="Calibri" w:cs="Arial"/>
        </w:rPr>
      </w:pPr>
      <w:r w:rsidRPr="00995AAE">
        <w:rPr>
          <w:rFonts w:eastAsia="Calibri" w:cs="Arial"/>
        </w:rPr>
        <w:t xml:space="preserve">sustained and sustainable achievement of all of the Standards for Higher Education (Part A) that apply to the provider, including </w:t>
      </w:r>
      <w:r w:rsidR="0049698A" w:rsidRPr="00995AAE">
        <w:rPr>
          <w:rFonts w:eastAsia="Calibri" w:cs="Arial"/>
        </w:rPr>
        <w:t xml:space="preserve">for course approval processes in particular and </w:t>
      </w:r>
      <w:r w:rsidRPr="00995AAE">
        <w:rPr>
          <w:rFonts w:eastAsia="Calibri" w:cs="Arial"/>
        </w:rPr>
        <w:t>any delivery arrangements with other parties</w:t>
      </w:r>
    </w:p>
    <w:p w14:paraId="34EB0CE2" w14:textId="77777777" w:rsidR="000336EF" w:rsidRPr="00995AAE" w:rsidRDefault="000336EF" w:rsidP="00396477">
      <w:pPr>
        <w:numPr>
          <w:ilvl w:val="0"/>
          <w:numId w:val="30"/>
        </w:numPr>
        <w:tabs>
          <w:tab w:val="clear" w:pos="1134"/>
        </w:tabs>
        <w:spacing w:before="120" w:after="120"/>
        <w:rPr>
          <w:rFonts w:eastAsia="Calibri" w:cs="Arial"/>
        </w:rPr>
      </w:pPr>
      <w:r w:rsidRPr="00995AAE">
        <w:rPr>
          <w:rFonts w:eastAsia="Calibri" w:cs="Arial"/>
        </w:rPr>
        <w:t xml:space="preserve">there are no unresolved compliance matters with TEQSA, or conditions outstanding from the most recent registration and course accreditations by TEQSA or a recognised registration or accreditation authority, and there is no history of significant </w:t>
      </w:r>
      <w:r w:rsidR="000B037F" w:rsidRPr="00995AAE">
        <w:rPr>
          <w:rFonts w:eastAsia="Calibri" w:cs="Arial"/>
        </w:rPr>
        <w:t xml:space="preserve">continuing </w:t>
      </w:r>
      <w:r w:rsidRPr="00995AAE">
        <w:rPr>
          <w:rFonts w:eastAsia="Calibri" w:cs="Arial"/>
        </w:rPr>
        <w:t>compliance problems in any other assessments, audits or reviews of its higher education operations conducted by TEQSA, professional bodies or government agencies</w:t>
      </w:r>
    </w:p>
    <w:p w14:paraId="385A14FE" w14:textId="77777777" w:rsidR="000336EF" w:rsidRPr="00995AAE" w:rsidRDefault="000336EF" w:rsidP="00396477">
      <w:pPr>
        <w:numPr>
          <w:ilvl w:val="0"/>
          <w:numId w:val="30"/>
        </w:numPr>
        <w:tabs>
          <w:tab w:val="clear" w:pos="1134"/>
        </w:tabs>
        <w:spacing w:before="120" w:after="120"/>
        <w:rPr>
          <w:rFonts w:eastAsia="Calibri" w:cs="Arial"/>
        </w:rPr>
      </w:pPr>
      <w:r w:rsidRPr="00995AAE">
        <w:rPr>
          <w:rFonts w:eastAsia="Calibri" w:cs="Arial"/>
        </w:rPr>
        <w:t xml:space="preserve">a history over at least five years of successful delivery of the course(s) of study for which self-accrediting authority is sought, which is supported by evidence of student success based on analysis of trend data </w:t>
      </w:r>
      <w:r w:rsidR="004A4420" w:rsidRPr="00995AAE">
        <w:rPr>
          <w:rFonts w:eastAsia="Calibri" w:cs="Arial"/>
        </w:rPr>
        <w:t xml:space="preserve">including </w:t>
      </w:r>
      <w:r w:rsidRPr="00995AAE">
        <w:rPr>
          <w:rFonts w:eastAsia="Calibri" w:cs="Arial"/>
        </w:rPr>
        <w:t>completion rates and times, attrition rates and grades awarded that are referenced against credible national or international comparators and encompass at least three cohorts of graduates from each course of study</w:t>
      </w:r>
    </w:p>
    <w:p w14:paraId="72E41469" w14:textId="77777777" w:rsidR="000336EF" w:rsidRPr="00995AAE" w:rsidRDefault="000336EF" w:rsidP="00396477">
      <w:pPr>
        <w:numPr>
          <w:ilvl w:val="0"/>
          <w:numId w:val="30"/>
        </w:numPr>
        <w:tabs>
          <w:tab w:val="clear" w:pos="1134"/>
        </w:tabs>
        <w:spacing w:before="120" w:after="120"/>
        <w:rPr>
          <w:rFonts w:eastAsia="Calibri" w:cs="Arial"/>
        </w:rPr>
      </w:pPr>
      <w:r w:rsidRPr="00995AAE">
        <w:rPr>
          <w:rFonts w:eastAsia="Calibri" w:cs="Arial"/>
        </w:rPr>
        <w:t xml:space="preserve">where a cycle of review and improvement is required by the Standards for Higher Education (Part A) in relation to courses of study and their oversight (see Table </w:t>
      </w:r>
      <w:r w:rsidR="00BC5134" w:rsidRPr="00995AAE">
        <w:rPr>
          <w:rFonts w:eastAsia="Calibri" w:cs="Arial"/>
        </w:rPr>
        <w:t>3</w:t>
      </w:r>
      <w:r w:rsidRPr="00995AAE">
        <w:rPr>
          <w:rFonts w:eastAsia="Calibri" w:cs="Arial"/>
        </w:rPr>
        <w:t>), the provider has, in relation to all course(s) of study proposed for self-accreditation:</w:t>
      </w:r>
    </w:p>
    <w:p w14:paraId="32EFEC91" w14:textId="77777777" w:rsidR="000336EF" w:rsidRPr="00995AAE" w:rsidRDefault="000336EF" w:rsidP="00396477">
      <w:pPr>
        <w:numPr>
          <w:ilvl w:val="2"/>
          <w:numId w:val="28"/>
        </w:numPr>
        <w:tabs>
          <w:tab w:val="clear" w:pos="1134"/>
        </w:tabs>
        <w:spacing w:before="120" w:after="120"/>
        <w:rPr>
          <w:rFonts w:eastAsia="Calibri" w:cs="Arial"/>
        </w:rPr>
      </w:pPr>
      <w:r w:rsidRPr="00995AAE">
        <w:rPr>
          <w:rFonts w:eastAsia="Calibri" w:cs="Arial"/>
        </w:rPr>
        <w:t xml:space="preserve">completed at least one cycle of review and improvement in relation to all relevant standards </w:t>
      </w:r>
    </w:p>
    <w:p w14:paraId="39534A39" w14:textId="77777777" w:rsidR="000336EF" w:rsidRPr="00995AAE" w:rsidRDefault="000336EF" w:rsidP="00396477">
      <w:pPr>
        <w:numPr>
          <w:ilvl w:val="2"/>
          <w:numId w:val="28"/>
        </w:numPr>
        <w:tabs>
          <w:tab w:val="clear" w:pos="1134"/>
        </w:tabs>
        <w:spacing w:before="120" w:after="120"/>
        <w:rPr>
          <w:rFonts w:eastAsia="Calibri" w:cs="Arial"/>
        </w:rPr>
      </w:pPr>
      <w:r w:rsidRPr="00995AAE">
        <w:rPr>
          <w:rFonts w:eastAsia="Calibri" w:cs="Arial"/>
        </w:rPr>
        <w:t>demonstrated successful implementation of evidence-based improvements arising from the reviews, and</w:t>
      </w:r>
    </w:p>
    <w:p w14:paraId="4B53347D" w14:textId="77777777" w:rsidR="000336EF" w:rsidRPr="00995AAE" w:rsidRDefault="000336EF" w:rsidP="00396477">
      <w:pPr>
        <w:numPr>
          <w:ilvl w:val="2"/>
          <w:numId w:val="28"/>
        </w:numPr>
        <w:tabs>
          <w:tab w:val="clear" w:pos="1134"/>
        </w:tabs>
        <w:spacing w:before="120" w:after="120"/>
        <w:rPr>
          <w:rFonts w:eastAsia="Calibri" w:cs="Arial"/>
        </w:rPr>
      </w:pPr>
      <w:proofErr w:type="gramStart"/>
      <w:r w:rsidRPr="00995AAE">
        <w:rPr>
          <w:rFonts w:eastAsia="Calibri" w:cs="Arial"/>
        </w:rPr>
        <w:t>has</w:t>
      </w:r>
      <w:proofErr w:type="gramEnd"/>
      <w:r w:rsidRPr="00995AAE">
        <w:rPr>
          <w:rFonts w:eastAsia="Calibri" w:cs="Arial"/>
        </w:rPr>
        <w:t xml:space="preserve"> established these review and improvement activities as effective sustainable features of the provider’s operations across all courses of study. </w:t>
      </w:r>
    </w:p>
    <w:p w14:paraId="521179B3" w14:textId="77777777" w:rsidR="00BC5134" w:rsidRPr="00995AAE" w:rsidRDefault="00BC5134" w:rsidP="0083735A">
      <w:pPr>
        <w:tabs>
          <w:tab w:val="clear" w:pos="1134"/>
        </w:tabs>
        <w:spacing w:before="120" w:after="120"/>
        <w:rPr>
          <w:rFonts w:eastAsia="Calibri" w:cs="Arial"/>
          <w:b/>
          <w:sz w:val="24"/>
          <w:szCs w:val="24"/>
        </w:rPr>
      </w:pPr>
    </w:p>
    <w:p w14:paraId="03769D26" w14:textId="77777777" w:rsidR="00BC5134" w:rsidRPr="00995AAE" w:rsidRDefault="00BC5134" w:rsidP="00B136B6">
      <w:pPr>
        <w:spacing w:before="120" w:after="120"/>
        <w:jc w:val="center"/>
        <w:rPr>
          <w:b/>
        </w:rPr>
      </w:pPr>
      <w:r w:rsidRPr="00995AAE">
        <w:rPr>
          <w:b/>
        </w:rPr>
        <w:t>Table 3</w:t>
      </w:r>
      <w:r w:rsidR="00912303" w:rsidRPr="00995AAE">
        <w:rPr>
          <w:b/>
        </w:rPr>
        <w:t xml:space="preserve"> – </w:t>
      </w:r>
      <w:r w:rsidRPr="00995AAE">
        <w:rPr>
          <w:b/>
        </w:rPr>
        <w:t>Standards Referring to Review and Improvement Activities</w:t>
      </w:r>
    </w:p>
    <w:tbl>
      <w:tblPr>
        <w:tblStyle w:val="LightGrid-Accent1"/>
        <w:tblW w:w="9213" w:type="dxa"/>
        <w:tblInd w:w="534" w:type="dxa"/>
        <w:tblLayout w:type="fixed"/>
        <w:tblLook w:val="04A0" w:firstRow="1" w:lastRow="0" w:firstColumn="1" w:lastColumn="0" w:noHBand="0" w:noVBand="1"/>
      </w:tblPr>
      <w:tblGrid>
        <w:gridCol w:w="6095"/>
        <w:gridCol w:w="3118"/>
      </w:tblGrid>
      <w:tr w:rsidR="00BC5134" w:rsidRPr="00995AAE" w14:paraId="1826182A" w14:textId="77777777" w:rsidTr="005F155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95" w:type="dxa"/>
            <w:tcBorders>
              <w:left w:val="single" w:sz="12" w:space="0" w:color="4F81BD" w:themeColor="accent1"/>
              <w:bottom w:val="single" w:sz="12" w:space="0" w:color="4F81BD" w:themeColor="accent1"/>
              <w:right w:val="single" w:sz="12" w:space="0" w:color="4F81BD" w:themeColor="accent1"/>
            </w:tcBorders>
            <w:vAlign w:val="center"/>
          </w:tcPr>
          <w:p w14:paraId="78777B77" w14:textId="77777777" w:rsidR="00BC5134" w:rsidRPr="00995AAE" w:rsidRDefault="00BC5134" w:rsidP="005F1550">
            <w:pPr>
              <w:spacing w:before="120" w:after="120"/>
              <w:rPr>
                <w:rFonts w:eastAsiaTheme="minorHAnsi" w:cs="Arial"/>
                <w:b w:val="0"/>
                <w:bCs w:val="0"/>
                <w:sz w:val="24"/>
                <w:szCs w:val="24"/>
              </w:rPr>
            </w:pPr>
            <w:r w:rsidRPr="00995AAE">
              <w:rPr>
                <w:rFonts w:cs="Arial"/>
                <w:sz w:val="24"/>
                <w:szCs w:val="24"/>
              </w:rPr>
              <w:t>Higher Education Standards</w:t>
            </w:r>
          </w:p>
        </w:tc>
        <w:tc>
          <w:tcPr>
            <w:tcW w:w="3118" w:type="dxa"/>
            <w:tcBorders>
              <w:left w:val="single" w:sz="12" w:space="0" w:color="4F81BD" w:themeColor="accent1"/>
              <w:bottom w:val="single" w:sz="12" w:space="0" w:color="4F81BD" w:themeColor="accent1"/>
              <w:right w:val="single" w:sz="12" w:space="0" w:color="4F81BD" w:themeColor="accent1"/>
            </w:tcBorders>
            <w:vAlign w:val="center"/>
          </w:tcPr>
          <w:p w14:paraId="1AC87B12" w14:textId="77777777" w:rsidR="00BC5134" w:rsidRPr="00995AAE" w:rsidRDefault="00BC5134" w:rsidP="005F1550">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995AAE">
              <w:rPr>
                <w:rFonts w:cs="Arial"/>
                <w:sz w:val="24"/>
                <w:szCs w:val="24"/>
              </w:rPr>
              <w:t>Applicable Standards</w:t>
            </w:r>
          </w:p>
        </w:tc>
      </w:tr>
      <w:tr w:rsidR="00BC5134" w:rsidRPr="00995AAE" w14:paraId="42C8606C" w14:textId="77777777" w:rsidTr="005F15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1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548DD4" w:themeFill="text2" w:themeFillTint="99"/>
            <w:vAlign w:val="center"/>
          </w:tcPr>
          <w:p w14:paraId="0879C6B2" w14:textId="77777777" w:rsidR="00BC5134" w:rsidRPr="00995AAE" w:rsidRDefault="00BC5134" w:rsidP="00B35A66">
            <w:pPr>
              <w:pStyle w:val="ListParagraph"/>
              <w:numPr>
                <w:ilvl w:val="1"/>
                <w:numId w:val="10"/>
              </w:numPr>
              <w:ind w:hanging="326"/>
              <w:jc w:val="left"/>
              <w:rPr>
                <w:rFonts w:cs="Arial"/>
                <w:color w:val="FFFFFF" w:themeColor="background1"/>
                <w:sz w:val="20"/>
                <w:szCs w:val="20"/>
              </w:rPr>
            </w:pPr>
            <w:r w:rsidRPr="00995AAE">
              <w:rPr>
                <w:rFonts w:cs="Arial"/>
                <w:color w:val="FFFFFF" w:themeColor="background1"/>
                <w:sz w:val="20"/>
                <w:szCs w:val="20"/>
              </w:rPr>
              <w:t>Learning Environment</w:t>
            </w:r>
          </w:p>
        </w:tc>
      </w:tr>
      <w:tr w:rsidR="00BC5134" w:rsidRPr="00995AAE" w14:paraId="5D8B53C7" w14:textId="77777777" w:rsidTr="005F155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95" w:type="dxa"/>
            <w:tcBorders>
              <w:top w:val="single" w:sz="12" w:space="0" w:color="4F81BD" w:themeColor="accent1"/>
              <w:left w:val="single" w:sz="12" w:space="0" w:color="4F81BD" w:themeColor="accent1"/>
              <w:right w:val="single" w:sz="12" w:space="0" w:color="4F81BD" w:themeColor="accent1"/>
            </w:tcBorders>
            <w:vAlign w:val="center"/>
          </w:tcPr>
          <w:p w14:paraId="1C27ED32" w14:textId="77777777" w:rsidR="00BC5134" w:rsidRPr="00995AAE" w:rsidRDefault="00BC5134" w:rsidP="00B35A66">
            <w:pPr>
              <w:pStyle w:val="ListParagraph"/>
              <w:numPr>
                <w:ilvl w:val="0"/>
                <w:numId w:val="11"/>
              </w:numPr>
              <w:tabs>
                <w:tab w:val="clear" w:pos="1134"/>
              </w:tabs>
              <w:ind w:left="851" w:hanging="567"/>
              <w:jc w:val="left"/>
              <w:rPr>
                <w:rFonts w:cs="Arial"/>
                <w:b w:val="0"/>
                <w:sz w:val="18"/>
                <w:szCs w:val="18"/>
              </w:rPr>
            </w:pPr>
            <w:r w:rsidRPr="00995AAE">
              <w:rPr>
                <w:rFonts w:cs="Arial"/>
                <w:sz w:val="18"/>
                <w:szCs w:val="18"/>
              </w:rPr>
              <w:t>Diversity and Equity</w:t>
            </w:r>
          </w:p>
        </w:tc>
        <w:tc>
          <w:tcPr>
            <w:tcW w:w="3118" w:type="dxa"/>
            <w:tcBorders>
              <w:top w:val="single" w:sz="12" w:space="0" w:color="4F81BD" w:themeColor="accent1"/>
              <w:left w:val="single" w:sz="12" w:space="0" w:color="4F81BD" w:themeColor="accent1"/>
              <w:right w:val="single" w:sz="12" w:space="0" w:color="4F81BD" w:themeColor="accent1"/>
            </w:tcBorders>
            <w:vAlign w:val="center"/>
          </w:tcPr>
          <w:p w14:paraId="42C36876" w14:textId="77777777" w:rsidR="00BC5134" w:rsidRPr="00995AAE" w:rsidRDefault="00BC5134" w:rsidP="005F1550">
            <w:pPr>
              <w:contextualSpacing/>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995AAE">
              <w:rPr>
                <w:rFonts w:cs="Arial"/>
                <w:sz w:val="18"/>
                <w:szCs w:val="18"/>
              </w:rPr>
              <w:t>2.2.3</w:t>
            </w:r>
          </w:p>
        </w:tc>
      </w:tr>
      <w:tr w:rsidR="00BC5134" w:rsidRPr="00995AAE" w14:paraId="0C1E8182" w14:textId="77777777" w:rsidTr="005F15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1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548DD4" w:themeFill="text2" w:themeFillTint="99"/>
            <w:vAlign w:val="center"/>
          </w:tcPr>
          <w:p w14:paraId="4519DC20" w14:textId="77777777" w:rsidR="00BC5134" w:rsidRPr="00995AAE" w:rsidRDefault="00BC5134" w:rsidP="00B35A66">
            <w:pPr>
              <w:pStyle w:val="ListParagraph"/>
              <w:numPr>
                <w:ilvl w:val="1"/>
                <w:numId w:val="13"/>
              </w:numPr>
              <w:ind w:hanging="326"/>
              <w:jc w:val="left"/>
              <w:rPr>
                <w:rFonts w:cs="Arial"/>
                <w:color w:val="FFFFFF" w:themeColor="background1"/>
                <w:sz w:val="20"/>
                <w:szCs w:val="20"/>
              </w:rPr>
            </w:pPr>
            <w:r w:rsidRPr="00995AAE">
              <w:rPr>
                <w:rFonts w:cs="Arial"/>
                <w:color w:val="FFFFFF" w:themeColor="background1"/>
                <w:sz w:val="20"/>
                <w:szCs w:val="20"/>
              </w:rPr>
              <w:t>Institutional Quality Assurance</w:t>
            </w:r>
          </w:p>
        </w:tc>
      </w:tr>
      <w:tr w:rsidR="00BC5134" w:rsidRPr="00995AAE" w14:paraId="2F014FBD" w14:textId="77777777" w:rsidTr="005F155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95" w:type="dxa"/>
            <w:tcBorders>
              <w:left w:val="single" w:sz="12" w:space="0" w:color="4F81BD" w:themeColor="accent1"/>
              <w:bottom w:val="single" w:sz="12" w:space="0" w:color="4F81BD" w:themeColor="accent1"/>
              <w:right w:val="single" w:sz="12" w:space="0" w:color="4F81BD" w:themeColor="accent1"/>
            </w:tcBorders>
            <w:vAlign w:val="center"/>
          </w:tcPr>
          <w:p w14:paraId="095B0F74" w14:textId="77777777" w:rsidR="00BC5134" w:rsidRPr="00995AAE" w:rsidRDefault="00BC5134" w:rsidP="00B35A66">
            <w:pPr>
              <w:pStyle w:val="ListParagraph"/>
              <w:numPr>
                <w:ilvl w:val="0"/>
                <w:numId w:val="14"/>
              </w:numPr>
              <w:tabs>
                <w:tab w:val="clear" w:pos="1134"/>
              </w:tabs>
              <w:ind w:left="885" w:hanging="601"/>
              <w:jc w:val="left"/>
              <w:rPr>
                <w:rFonts w:cs="Arial"/>
                <w:b w:val="0"/>
                <w:sz w:val="18"/>
                <w:szCs w:val="18"/>
              </w:rPr>
            </w:pPr>
            <w:r w:rsidRPr="00995AAE">
              <w:rPr>
                <w:rFonts w:cs="Arial"/>
                <w:sz w:val="18"/>
                <w:szCs w:val="18"/>
              </w:rPr>
              <w:t>Monitoring, Review and Improvement</w:t>
            </w:r>
          </w:p>
        </w:tc>
        <w:tc>
          <w:tcPr>
            <w:tcW w:w="3118" w:type="dxa"/>
            <w:tcBorders>
              <w:left w:val="single" w:sz="12" w:space="0" w:color="4F81BD" w:themeColor="accent1"/>
              <w:bottom w:val="single" w:sz="12" w:space="0" w:color="4F81BD" w:themeColor="accent1"/>
              <w:right w:val="single" w:sz="12" w:space="0" w:color="4F81BD" w:themeColor="accent1"/>
            </w:tcBorders>
            <w:vAlign w:val="center"/>
          </w:tcPr>
          <w:p w14:paraId="056C839A" w14:textId="77777777" w:rsidR="00BC5134" w:rsidRPr="00995AAE" w:rsidRDefault="00FD7AC7" w:rsidP="00B136B6">
            <w:pPr>
              <w:pStyle w:val="ListParagraph"/>
              <w:tabs>
                <w:tab w:val="clear" w:pos="1134"/>
              </w:tabs>
              <w:ind w:left="885"/>
              <w:jc w:val="left"/>
              <w:cnfStyle w:val="000000010000" w:firstRow="0" w:lastRow="0" w:firstColumn="0" w:lastColumn="0" w:oddVBand="0" w:evenVBand="0" w:oddHBand="0" w:evenHBand="1" w:firstRowFirstColumn="0" w:firstRowLastColumn="0" w:lastRowFirstColumn="0" w:lastRowLastColumn="0"/>
              <w:rPr>
                <w:rFonts w:cs="Arial"/>
              </w:rPr>
            </w:pPr>
            <w:r w:rsidRPr="00995AAE">
              <w:rPr>
                <w:rFonts w:cs="Arial"/>
                <w:sz w:val="18"/>
                <w:szCs w:val="18"/>
              </w:rPr>
              <w:t>Entire section</w:t>
            </w:r>
          </w:p>
        </w:tc>
      </w:tr>
      <w:tr w:rsidR="00BC5134" w:rsidRPr="00995AAE" w14:paraId="61485919" w14:textId="77777777" w:rsidTr="005F15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1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548DD4" w:themeFill="text2" w:themeFillTint="99"/>
            <w:vAlign w:val="center"/>
          </w:tcPr>
          <w:p w14:paraId="605CC041" w14:textId="77777777" w:rsidR="00BC5134" w:rsidRPr="00995AAE" w:rsidRDefault="00BC5134" w:rsidP="00B35A66">
            <w:pPr>
              <w:pStyle w:val="ListParagraph"/>
              <w:numPr>
                <w:ilvl w:val="1"/>
                <w:numId w:val="12"/>
              </w:numPr>
              <w:ind w:left="368" w:hanging="308"/>
              <w:jc w:val="left"/>
              <w:rPr>
                <w:rFonts w:cs="Arial"/>
                <w:color w:val="FFFFFF" w:themeColor="background1"/>
                <w:sz w:val="20"/>
                <w:szCs w:val="20"/>
              </w:rPr>
            </w:pPr>
            <w:r w:rsidRPr="00995AAE">
              <w:rPr>
                <w:rFonts w:cs="Arial"/>
                <w:color w:val="FFFFFF" w:themeColor="background1"/>
                <w:sz w:val="20"/>
                <w:szCs w:val="20"/>
              </w:rPr>
              <w:t>Governance and Accountability</w:t>
            </w:r>
          </w:p>
        </w:tc>
      </w:tr>
      <w:tr w:rsidR="00BC5134" w:rsidRPr="00995AAE" w14:paraId="0E147554" w14:textId="77777777" w:rsidTr="005F155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95" w:type="dxa"/>
            <w:tcBorders>
              <w:left w:val="single" w:sz="12" w:space="0" w:color="4F81BD" w:themeColor="accent1"/>
              <w:bottom w:val="single" w:sz="12" w:space="0" w:color="4F81BD" w:themeColor="accent1"/>
              <w:right w:val="single" w:sz="12" w:space="0" w:color="4F81BD" w:themeColor="accent1"/>
            </w:tcBorders>
            <w:vAlign w:val="center"/>
          </w:tcPr>
          <w:p w14:paraId="2F8F0BF8" w14:textId="77777777" w:rsidR="00BC5134" w:rsidRPr="00995AAE" w:rsidRDefault="00BC5134" w:rsidP="00B35A66">
            <w:pPr>
              <w:pStyle w:val="ListParagraph"/>
              <w:numPr>
                <w:ilvl w:val="0"/>
                <w:numId w:val="15"/>
              </w:numPr>
              <w:tabs>
                <w:tab w:val="clear" w:pos="1134"/>
              </w:tabs>
              <w:ind w:left="885" w:hanging="567"/>
              <w:jc w:val="left"/>
              <w:rPr>
                <w:rFonts w:cs="Arial"/>
                <w:sz w:val="18"/>
                <w:szCs w:val="18"/>
              </w:rPr>
            </w:pPr>
            <w:r w:rsidRPr="00995AAE">
              <w:rPr>
                <w:rFonts w:cs="Arial"/>
                <w:sz w:val="18"/>
                <w:szCs w:val="18"/>
              </w:rPr>
              <w:t>Corporate Governance</w:t>
            </w:r>
          </w:p>
        </w:tc>
        <w:tc>
          <w:tcPr>
            <w:tcW w:w="3118" w:type="dxa"/>
            <w:tcBorders>
              <w:left w:val="single" w:sz="12" w:space="0" w:color="4F81BD" w:themeColor="accent1"/>
              <w:bottom w:val="single" w:sz="12" w:space="0" w:color="4F81BD" w:themeColor="accent1"/>
              <w:right w:val="single" w:sz="12" w:space="0" w:color="4F81BD" w:themeColor="accent1"/>
            </w:tcBorders>
            <w:vAlign w:val="center"/>
          </w:tcPr>
          <w:p w14:paraId="1DCAF48D" w14:textId="77777777" w:rsidR="00BC5134" w:rsidRPr="00995AAE" w:rsidRDefault="00BC5134" w:rsidP="005F1550">
            <w:pPr>
              <w:contextualSpacing/>
              <w:jc w:val="center"/>
              <w:cnfStyle w:val="000000010000" w:firstRow="0" w:lastRow="0" w:firstColumn="0" w:lastColumn="0" w:oddVBand="0" w:evenVBand="0" w:oddHBand="0" w:evenHBand="1" w:firstRowFirstColumn="0" w:firstRowLastColumn="0" w:lastRowFirstColumn="0" w:lastRowLastColumn="0"/>
              <w:rPr>
                <w:rFonts w:cs="Arial"/>
                <w:sz w:val="24"/>
                <w:szCs w:val="24"/>
              </w:rPr>
            </w:pPr>
            <w:proofErr w:type="spellStart"/>
            <w:r w:rsidRPr="00995AAE">
              <w:rPr>
                <w:rFonts w:cs="Arial"/>
                <w:sz w:val="18"/>
                <w:szCs w:val="18"/>
              </w:rPr>
              <w:t>6.1.2d</w:t>
            </w:r>
            <w:proofErr w:type="spellEnd"/>
          </w:p>
        </w:tc>
      </w:tr>
      <w:tr w:rsidR="00BC5134" w:rsidRPr="00995AAE" w14:paraId="65FE55F8" w14:textId="77777777" w:rsidTr="005F15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95" w:type="dxa"/>
            <w:tcBorders>
              <w:left w:val="single" w:sz="12" w:space="0" w:color="4F81BD" w:themeColor="accent1"/>
              <w:bottom w:val="single" w:sz="12" w:space="0" w:color="4F81BD" w:themeColor="accent1"/>
              <w:right w:val="single" w:sz="12" w:space="0" w:color="4F81BD" w:themeColor="accent1"/>
            </w:tcBorders>
            <w:vAlign w:val="center"/>
          </w:tcPr>
          <w:p w14:paraId="41E5E285" w14:textId="77777777" w:rsidR="00BC5134" w:rsidRPr="00995AAE" w:rsidRDefault="00BC5134" w:rsidP="00B35A66">
            <w:pPr>
              <w:pStyle w:val="ListParagraph"/>
              <w:numPr>
                <w:ilvl w:val="0"/>
                <w:numId w:val="15"/>
              </w:numPr>
              <w:tabs>
                <w:tab w:val="clear" w:pos="1134"/>
              </w:tabs>
              <w:ind w:left="885" w:hanging="567"/>
              <w:jc w:val="left"/>
              <w:rPr>
                <w:rFonts w:cs="Arial"/>
                <w:sz w:val="18"/>
                <w:szCs w:val="18"/>
              </w:rPr>
            </w:pPr>
            <w:r w:rsidRPr="00995AAE">
              <w:rPr>
                <w:rFonts w:cs="Arial"/>
                <w:sz w:val="18"/>
                <w:szCs w:val="18"/>
              </w:rPr>
              <w:t>Corporate Monitoring and Accountability</w:t>
            </w:r>
          </w:p>
        </w:tc>
        <w:tc>
          <w:tcPr>
            <w:tcW w:w="3118" w:type="dxa"/>
            <w:tcBorders>
              <w:left w:val="single" w:sz="12" w:space="0" w:color="4F81BD" w:themeColor="accent1"/>
              <w:bottom w:val="single" w:sz="12" w:space="0" w:color="4F81BD" w:themeColor="accent1"/>
              <w:right w:val="single" w:sz="12" w:space="0" w:color="4F81BD" w:themeColor="accent1"/>
            </w:tcBorders>
            <w:vAlign w:val="center"/>
          </w:tcPr>
          <w:p w14:paraId="2B2FDB57" w14:textId="77777777" w:rsidR="00BC5134" w:rsidRPr="00995AAE" w:rsidRDefault="00BC5134" w:rsidP="005F1550">
            <w:pPr>
              <w:contextualSpacing/>
              <w:jc w:val="center"/>
              <w:cnfStyle w:val="000000100000" w:firstRow="0" w:lastRow="0" w:firstColumn="0" w:lastColumn="0" w:oddVBand="0" w:evenVBand="0" w:oddHBand="1" w:evenHBand="0" w:firstRowFirstColumn="0" w:firstRowLastColumn="0" w:lastRowFirstColumn="0" w:lastRowLastColumn="0"/>
              <w:rPr>
                <w:rFonts w:cs="Arial"/>
                <w:sz w:val="18"/>
                <w:szCs w:val="18"/>
              </w:rPr>
            </w:pPr>
            <w:proofErr w:type="spellStart"/>
            <w:r w:rsidRPr="00995AAE">
              <w:rPr>
                <w:rFonts w:cs="Arial"/>
                <w:sz w:val="18"/>
                <w:szCs w:val="18"/>
              </w:rPr>
              <w:t>6.2.1f</w:t>
            </w:r>
            <w:proofErr w:type="spellEnd"/>
          </w:p>
        </w:tc>
      </w:tr>
      <w:tr w:rsidR="00BC5134" w:rsidRPr="00995AAE" w14:paraId="643D7AC6" w14:textId="77777777" w:rsidTr="005F155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95" w:type="dxa"/>
            <w:tcBorders>
              <w:left w:val="single" w:sz="12" w:space="0" w:color="4F81BD" w:themeColor="accent1"/>
              <w:bottom w:val="single" w:sz="12" w:space="0" w:color="4F81BD" w:themeColor="accent1"/>
              <w:right w:val="single" w:sz="12" w:space="0" w:color="4F81BD" w:themeColor="accent1"/>
            </w:tcBorders>
            <w:vAlign w:val="center"/>
          </w:tcPr>
          <w:p w14:paraId="6935023A" w14:textId="77777777" w:rsidR="00BC5134" w:rsidRPr="00995AAE" w:rsidRDefault="00BC5134" w:rsidP="00B35A66">
            <w:pPr>
              <w:pStyle w:val="ListParagraph"/>
              <w:numPr>
                <w:ilvl w:val="0"/>
                <w:numId w:val="19"/>
              </w:numPr>
              <w:tabs>
                <w:tab w:val="clear" w:pos="1134"/>
              </w:tabs>
              <w:ind w:left="884" w:hanging="567"/>
              <w:jc w:val="left"/>
              <w:rPr>
                <w:rFonts w:cs="Arial"/>
                <w:b w:val="0"/>
                <w:sz w:val="18"/>
                <w:szCs w:val="18"/>
              </w:rPr>
            </w:pPr>
            <w:r w:rsidRPr="00995AAE">
              <w:rPr>
                <w:rFonts w:cs="Arial"/>
                <w:sz w:val="18"/>
                <w:szCs w:val="18"/>
              </w:rPr>
              <w:t xml:space="preserve">Academic Governance </w:t>
            </w:r>
          </w:p>
        </w:tc>
        <w:tc>
          <w:tcPr>
            <w:tcW w:w="3118" w:type="dxa"/>
            <w:tcBorders>
              <w:left w:val="single" w:sz="12" w:space="0" w:color="4F81BD" w:themeColor="accent1"/>
              <w:bottom w:val="single" w:sz="12" w:space="0" w:color="4F81BD" w:themeColor="accent1"/>
              <w:right w:val="single" w:sz="12" w:space="0" w:color="4F81BD" w:themeColor="accent1"/>
            </w:tcBorders>
            <w:vAlign w:val="center"/>
          </w:tcPr>
          <w:p w14:paraId="31A363EE" w14:textId="77777777" w:rsidR="00BC5134" w:rsidRPr="00995AAE" w:rsidRDefault="00BC5134" w:rsidP="005F1550">
            <w:pPr>
              <w:contextualSpacing/>
              <w:jc w:val="center"/>
              <w:cnfStyle w:val="000000010000" w:firstRow="0" w:lastRow="0" w:firstColumn="0" w:lastColumn="0" w:oddVBand="0" w:evenVBand="0" w:oddHBand="0" w:evenHBand="1" w:firstRowFirstColumn="0" w:firstRowLastColumn="0" w:lastRowFirstColumn="0" w:lastRowLastColumn="0"/>
              <w:rPr>
                <w:rFonts w:cs="Arial"/>
                <w:sz w:val="20"/>
                <w:szCs w:val="20"/>
              </w:rPr>
            </w:pPr>
            <w:r w:rsidRPr="00995AAE">
              <w:rPr>
                <w:rFonts w:cs="Arial"/>
                <w:sz w:val="18"/>
                <w:szCs w:val="18"/>
              </w:rPr>
              <w:t>6.3.2</w:t>
            </w:r>
          </w:p>
        </w:tc>
      </w:tr>
    </w:tbl>
    <w:p w14:paraId="259BEB8D" w14:textId="77777777" w:rsidR="00CD654F" w:rsidRPr="00995AAE" w:rsidRDefault="00CD654F" w:rsidP="00B136B6">
      <w:pPr>
        <w:rPr>
          <w:rFonts w:eastAsia="Calibri" w:cs="Arial"/>
          <w:b/>
          <w:sz w:val="24"/>
          <w:szCs w:val="24"/>
        </w:rPr>
      </w:pPr>
    </w:p>
    <w:p w14:paraId="69A85018" w14:textId="77777777" w:rsidR="00083E1E" w:rsidRPr="00995AAE" w:rsidRDefault="00083E1E">
      <w:pPr>
        <w:tabs>
          <w:tab w:val="clear" w:pos="1134"/>
        </w:tabs>
        <w:spacing w:after="200" w:line="276" w:lineRule="auto"/>
        <w:jc w:val="left"/>
        <w:rPr>
          <w:rFonts w:eastAsiaTheme="majorEastAsia" w:cs="Arial"/>
          <w:b/>
          <w:bCs/>
          <w:sz w:val="24"/>
          <w:szCs w:val="24"/>
        </w:rPr>
      </w:pPr>
      <w:r w:rsidRPr="00995AAE">
        <w:rPr>
          <w:rFonts w:eastAsiaTheme="majorEastAsia" w:cs="Arial"/>
          <w:b/>
          <w:bCs/>
          <w:sz w:val="24"/>
          <w:szCs w:val="24"/>
        </w:rPr>
        <w:br w:type="page"/>
      </w:r>
    </w:p>
    <w:p w14:paraId="79159AAE" w14:textId="77777777" w:rsidR="00CD654F" w:rsidRPr="00995AAE" w:rsidRDefault="00CD654F" w:rsidP="00B136B6">
      <w:pPr>
        <w:spacing w:before="120" w:after="120"/>
        <w:jc w:val="left"/>
        <w:rPr>
          <w:rFonts w:eastAsiaTheme="majorEastAsia" w:cs="Arial"/>
          <w:b/>
          <w:bCs/>
          <w:sz w:val="24"/>
          <w:szCs w:val="24"/>
        </w:rPr>
      </w:pPr>
      <w:r w:rsidRPr="00995AAE">
        <w:rPr>
          <w:rFonts w:eastAsiaTheme="majorEastAsia" w:cs="Arial"/>
          <w:b/>
          <w:bCs/>
          <w:sz w:val="24"/>
          <w:szCs w:val="24"/>
        </w:rPr>
        <w:lastRenderedPageBreak/>
        <w:t xml:space="preserve">Providers Seeking Authority from TEQSA to Self-Accredit All Courses of Study </w:t>
      </w:r>
    </w:p>
    <w:p w14:paraId="4CDC0FFA" w14:textId="77777777" w:rsidR="000336EF" w:rsidRPr="00995AAE" w:rsidRDefault="000336EF" w:rsidP="00B35A66">
      <w:pPr>
        <w:numPr>
          <w:ilvl w:val="0"/>
          <w:numId w:val="18"/>
        </w:numPr>
        <w:tabs>
          <w:tab w:val="clear" w:pos="1134"/>
        </w:tabs>
        <w:spacing w:before="120" w:after="120"/>
        <w:ind w:left="993" w:hanging="567"/>
        <w:rPr>
          <w:rFonts w:eastAsia="Calibri" w:cs="Arial"/>
        </w:rPr>
      </w:pPr>
      <w:r w:rsidRPr="00995AAE">
        <w:rPr>
          <w:rFonts w:eastAsia="Calibri" w:cs="Arial"/>
        </w:rPr>
        <w:t xml:space="preserve">Where a provider is seeking self-accrediting authority under Criterion </w:t>
      </w:r>
      <w:proofErr w:type="spellStart"/>
      <w:r w:rsidRPr="00995AAE">
        <w:rPr>
          <w:rFonts w:eastAsia="Calibri" w:cs="Arial"/>
        </w:rPr>
        <w:t>1f</w:t>
      </w:r>
      <w:proofErr w:type="spellEnd"/>
      <w:r w:rsidRPr="00995AAE">
        <w:rPr>
          <w:rFonts w:eastAsia="Calibri" w:cs="Arial"/>
        </w:rPr>
        <w:t xml:space="preserve"> for all courses of study that it offers, or may offer, in addition to meeting Criteria </w:t>
      </w:r>
      <w:proofErr w:type="spellStart"/>
      <w:r w:rsidRPr="00995AAE">
        <w:rPr>
          <w:rFonts w:eastAsia="Calibri" w:cs="Arial"/>
        </w:rPr>
        <w:t>2</w:t>
      </w:r>
      <w:r w:rsidR="00FD7AC7" w:rsidRPr="00995AAE">
        <w:rPr>
          <w:rFonts w:eastAsia="Calibri" w:cs="Arial"/>
        </w:rPr>
        <w:t>a</w:t>
      </w:r>
      <w:proofErr w:type="spellEnd"/>
      <w:r w:rsidRPr="00995AAE">
        <w:rPr>
          <w:rFonts w:eastAsia="Calibri" w:cs="Arial"/>
        </w:rPr>
        <w:t xml:space="preserve"> </w:t>
      </w:r>
      <w:r w:rsidR="00FD7AC7" w:rsidRPr="00995AAE">
        <w:rPr>
          <w:rFonts w:eastAsia="Calibri" w:cs="Arial"/>
        </w:rPr>
        <w:t>–</w:t>
      </w:r>
      <w:r w:rsidRPr="00995AAE">
        <w:rPr>
          <w:rFonts w:eastAsia="Calibri" w:cs="Arial"/>
        </w:rPr>
        <w:t xml:space="preserve"> </w:t>
      </w:r>
      <w:proofErr w:type="spellStart"/>
      <w:r w:rsidRPr="00995AAE">
        <w:rPr>
          <w:rFonts w:eastAsia="Calibri" w:cs="Arial"/>
        </w:rPr>
        <w:t>2</w:t>
      </w:r>
      <w:r w:rsidR="00FD7AC7" w:rsidRPr="00995AAE">
        <w:rPr>
          <w:rFonts w:eastAsia="Calibri" w:cs="Arial"/>
        </w:rPr>
        <w:t>d</w:t>
      </w:r>
      <w:proofErr w:type="spellEnd"/>
      <w:r w:rsidRPr="00995AAE">
        <w:rPr>
          <w:rFonts w:eastAsia="Calibri" w:cs="Arial"/>
        </w:rPr>
        <w:t>, the provider is able to demonstrate the necessary capacity and capability to provide new courses leading to any level of higher education qualification in any field of education, including:</w:t>
      </w:r>
    </w:p>
    <w:p w14:paraId="315DD2F2" w14:textId="77777777" w:rsidR="000336EF" w:rsidRPr="00995AAE" w:rsidRDefault="000336EF" w:rsidP="00396477">
      <w:pPr>
        <w:numPr>
          <w:ilvl w:val="0"/>
          <w:numId w:val="31"/>
        </w:numPr>
        <w:tabs>
          <w:tab w:val="clear" w:pos="1134"/>
        </w:tabs>
        <w:spacing w:before="120" w:after="120"/>
        <w:rPr>
          <w:rFonts w:eastAsia="Calibri" w:cs="Arial"/>
        </w:rPr>
      </w:pPr>
      <w:r w:rsidRPr="00995AAE">
        <w:rPr>
          <w:rFonts w:eastAsia="Calibri" w:cs="Arial"/>
        </w:rPr>
        <w:t>processes for the design, delivery, accreditation, monitoring, quality assurance, review and improvement of existing courses of study that are transferrable to any new courses of study and any new level of qualification offered</w:t>
      </w:r>
    </w:p>
    <w:p w14:paraId="777261AE" w14:textId="77777777" w:rsidR="000336EF" w:rsidRPr="00995AAE" w:rsidRDefault="000336EF" w:rsidP="00396477">
      <w:pPr>
        <w:numPr>
          <w:ilvl w:val="0"/>
          <w:numId w:val="31"/>
        </w:numPr>
        <w:tabs>
          <w:tab w:val="clear" w:pos="1134"/>
        </w:tabs>
        <w:spacing w:before="120" w:after="120"/>
        <w:rPr>
          <w:rFonts w:eastAsia="Calibri" w:cs="Arial"/>
        </w:rPr>
      </w:pPr>
      <w:r w:rsidRPr="00995AAE">
        <w:rPr>
          <w:rFonts w:eastAsia="Calibri" w:cs="Arial"/>
        </w:rPr>
        <w:t>capability in planning and establishment of new courses of study in new broad fields of education</w:t>
      </w:r>
    </w:p>
    <w:p w14:paraId="7A1A5342" w14:textId="77777777" w:rsidR="000336EF" w:rsidRPr="00995AAE" w:rsidRDefault="003F0EE1" w:rsidP="00396477">
      <w:pPr>
        <w:numPr>
          <w:ilvl w:val="0"/>
          <w:numId w:val="31"/>
        </w:numPr>
        <w:tabs>
          <w:tab w:val="clear" w:pos="1134"/>
        </w:tabs>
        <w:spacing w:before="120" w:after="120"/>
        <w:rPr>
          <w:rFonts w:eastAsia="Calibri" w:cs="Arial"/>
        </w:rPr>
      </w:pPr>
      <w:r w:rsidRPr="00995AAE">
        <w:rPr>
          <w:rFonts w:eastAsia="Calibri" w:cs="Arial"/>
        </w:rPr>
        <w:t>capacity</w:t>
      </w:r>
      <w:r w:rsidR="000336EF" w:rsidRPr="00995AAE">
        <w:rPr>
          <w:rFonts w:eastAsia="Calibri" w:cs="Arial"/>
        </w:rPr>
        <w:t xml:space="preserve"> for competent academic governance, oversight and scrutiny of the accreditation of new courses in new broad fields of education</w:t>
      </w:r>
    </w:p>
    <w:p w14:paraId="5EF8FF57" w14:textId="77777777" w:rsidR="000336EF" w:rsidRPr="00995AAE" w:rsidRDefault="000336EF" w:rsidP="00396477">
      <w:pPr>
        <w:numPr>
          <w:ilvl w:val="0"/>
          <w:numId w:val="31"/>
        </w:numPr>
        <w:tabs>
          <w:tab w:val="clear" w:pos="1134"/>
        </w:tabs>
        <w:spacing w:before="120" w:after="120"/>
        <w:rPr>
          <w:rFonts w:eastAsia="Calibri" w:cs="Arial"/>
        </w:rPr>
      </w:pPr>
      <w:r w:rsidRPr="00995AAE">
        <w:rPr>
          <w:rFonts w:eastAsia="Calibri" w:cs="Arial"/>
        </w:rPr>
        <w:t>sufficient breadth and depth of academic leadership, scholarship and expertise in relevant disciplines to guide entry into and sustain new levels and broad fields of higher education, and</w:t>
      </w:r>
    </w:p>
    <w:p w14:paraId="116889E5" w14:textId="77777777" w:rsidR="000336EF" w:rsidRPr="00995AAE" w:rsidRDefault="000336EF" w:rsidP="00396477">
      <w:pPr>
        <w:numPr>
          <w:ilvl w:val="0"/>
          <w:numId w:val="31"/>
        </w:numPr>
        <w:tabs>
          <w:tab w:val="clear" w:pos="1134"/>
        </w:tabs>
        <w:spacing w:before="120" w:after="120"/>
        <w:rPr>
          <w:rFonts w:eastAsia="Calibri" w:cs="Arial"/>
        </w:rPr>
      </w:pPr>
      <w:proofErr w:type="gramStart"/>
      <w:r w:rsidRPr="00995AAE">
        <w:rPr>
          <w:rFonts w:eastAsia="Calibri" w:cs="Arial"/>
        </w:rPr>
        <w:t>where</w:t>
      </w:r>
      <w:proofErr w:type="gramEnd"/>
      <w:r w:rsidRPr="00995AAE">
        <w:rPr>
          <w:rFonts w:eastAsia="Calibri" w:cs="Arial"/>
        </w:rPr>
        <w:t xml:space="preserve"> professional accreditation is applicable to otherwise self-accredited courses, professional accreditation can reasonably be expected to be obtained and maintained. </w:t>
      </w:r>
    </w:p>
    <w:bookmarkEnd w:id="134"/>
    <w:p w14:paraId="727ECF22" w14:textId="77777777" w:rsidR="00617E01" w:rsidRDefault="00617E01" w:rsidP="0083735A">
      <w:pPr>
        <w:keepNext/>
        <w:tabs>
          <w:tab w:val="clear" w:pos="1134"/>
        </w:tabs>
        <w:spacing w:before="120" w:after="360"/>
        <w:ind w:left="1418" w:hanging="1418"/>
        <w:outlineLvl w:val="0"/>
        <w:rPr>
          <w:rFonts w:cs="Arial"/>
          <w:lang w:val="en-AU"/>
        </w:rPr>
      </w:pPr>
    </w:p>
    <w:sectPr w:rsidR="00617E01" w:rsidSect="00DA39ED">
      <w:footerReference w:type="default" r:id="rId16"/>
      <w:footerReference w:type="first" r:id="rId17"/>
      <w:pgSz w:w="11906" w:h="16838" w:code="9"/>
      <w:pgMar w:top="1134" w:right="1134" w:bottom="709" w:left="1134" w:header="454" w:footer="454"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69363" w14:textId="77777777" w:rsidR="00103F00" w:rsidRDefault="00103F00" w:rsidP="00635A01">
      <w:r>
        <w:separator/>
      </w:r>
    </w:p>
  </w:endnote>
  <w:endnote w:type="continuationSeparator" w:id="0">
    <w:p w14:paraId="75E8B2A5" w14:textId="77777777" w:rsidR="00103F00" w:rsidRDefault="00103F00" w:rsidP="00635A01">
      <w:r>
        <w:continuationSeparator/>
      </w:r>
    </w:p>
  </w:endnote>
  <w:endnote w:type="continuationNotice" w:id="1">
    <w:p w14:paraId="3B33A572" w14:textId="77777777" w:rsidR="00103F00" w:rsidRDefault="00103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EC878" w14:textId="77535B0D" w:rsidR="00444776" w:rsidRPr="005557B1" w:rsidRDefault="00444776" w:rsidP="008B1D79">
    <w:pPr>
      <w:pBdr>
        <w:top w:val="single" w:sz="4" w:space="1" w:color="auto"/>
      </w:pBdr>
      <w:tabs>
        <w:tab w:val="right" w:pos="9639"/>
      </w:tabs>
      <w:rPr>
        <w:rFonts w:asciiTheme="minorHAnsi" w:hAnsiTheme="minorHAnsi" w:cstheme="minorHAnsi"/>
        <w:i/>
      </w:rPr>
    </w:pPr>
    <w:r>
      <w:rPr>
        <w:rFonts w:asciiTheme="minorHAnsi" w:hAnsiTheme="minorHAnsi" w:cstheme="minorHAnsi"/>
        <w:i/>
        <w:sz w:val="18"/>
        <w:szCs w:val="18"/>
      </w:rPr>
      <w:t xml:space="preserve">Higher Education Standards Framework: </w:t>
    </w:r>
    <w:r w:rsidRPr="00E256F6">
      <w:rPr>
        <w:rFonts w:asciiTheme="minorHAnsi" w:hAnsiTheme="minorHAnsi" w:cstheme="minorHAnsi"/>
        <w:i/>
        <w:sz w:val="18"/>
        <w:szCs w:val="18"/>
      </w:rPr>
      <w:t>2015</w:t>
    </w:r>
    <w:r w:rsidRPr="00715FC3">
      <w:rPr>
        <w:rFonts w:asciiTheme="minorHAnsi" w:hAnsiTheme="minorHAnsi" w:cstheme="minorHAnsi"/>
        <w:i/>
        <w:sz w:val="18"/>
        <w:szCs w:val="18"/>
      </w:rPr>
      <w:tab/>
    </w:r>
    <w:sdt>
      <w:sdtPr>
        <w:rPr>
          <w:rFonts w:asciiTheme="minorHAnsi" w:hAnsiTheme="minorHAnsi" w:cstheme="minorHAnsi"/>
          <w:i/>
          <w:sz w:val="18"/>
          <w:szCs w:val="18"/>
        </w:rPr>
        <w:id w:val="-1653679555"/>
        <w:docPartObj>
          <w:docPartGallery w:val="Page Numbers (Top of Page)"/>
          <w:docPartUnique/>
        </w:docPartObj>
      </w:sdtPr>
      <w:sdtEndPr/>
      <w:sdtContent>
        <w:r w:rsidRPr="005557B1">
          <w:rPr>
            <w:rFonts w:asciiTheme="minorHAnsi" w:hAnsiTheme="minorHAnsi" w:cstheme="minorHAnsi"/>
            <w:i/>
            <w:sz w:val="18"/>
            <w:szCs w:val="18"/>
          </w:rPr>
          <w:t xml:space="preserve">Page </w:t>
        </w:r>
        <w:r w:rsidRPr="005557B1">
          <w:rPr>
            <w:rFonts w:asciiTheme="minorHAnsi" w:hAnsiTheme="minorHAnsi" w:cstheme="minorHAnsi"/>
            <w:i/>
            <w:sz w:val="18"/>
            <w:szCs w:val="18"/>
          </w:rPr>
          <w:fldChar w:fldCharType="begin"/>
        </w:r>
        <w:r w:rsidRPr="005557B1">
          <w:rPr>
            <w:rFonts w:asciiTheme="minorHAnsi" w:hAnsiTheme="minorHAnsi" w:cstheme="minorHAnsi"/>
            <w:i/>
            <w:sz w:val="18"/>
            <w:szCs w:val="18"/>
          </w:rPr>
          <w:instrText xml:space="preserve"> PAGE  \* Arabic  \* MERGEFORMAT </w:instrText>
        </w:r>
        <w:r w:rsidRPr="005557B1">
          <w:rPr>
            <w:rFonts w:asciiTheme="minorHAnsi" w:hAnsiTheme="minorHAnsi" w:cstheme="minorHAnsi"/>
            <w:i/>
            <w:sz w:val="18"/>
            <w:szCs w:val="18"/>
          </w:rPr>
          <w:fldChar w:fldCharType="separate"/>
        </w:r>
        <w:r w:rsidR="000E5ECA">
          <w:rPr>
            <w:rFonts w:asciiTheme="minorHAnsi" w:hAnsiTheme="minorHAnsi" w:cstheme="minorHAnsi"/>
            <w:i/>
            <w:noProof/>
            <w:sz w:val="18"/>
            <w:szCs w:val="18"/>
          </w:rPr>
          <w:t>21</w:t>
        </w:r>
        <w:r w:rsidRPr="005557B1">
          <w:rPr>
            <w:rFonts w:asciiTheme="minorHAnsi" w:hAnsiTheme="minorHAnsi" w:cstheme="minorHAnsi"/>
            <w:i/>
            <w:sz w:val="18"/>
            <w:szCs w:val="18"/>
          </w:rPr>
          <w:fldChar w:fldCharType="end"/>
        </w:r>
        <w:r w:rsidRPr="005557B1">
          <w:rPr>
            <w:rFonts w:asciiTheme="minorHAnsi" w:hAnsiTheme="minorHAnsi" w:cstheme="minorHAnsi"/>
            <w:i/>
            <w:sz w:val="18"/>
            <w:szCs w:val="18"/>
          </w:rPr>
          <w:t xml:space="preserve"> of </w:t>
        </w:r>
        <w:r>
          <w:rPr>
            <w:rFonts w:asciiTheme="minorHAnsi" w:hAnsiTheme="minorHAnsi" w:cstheme="minorHAnsi"/>
            <w:i/>
            <w:sz w:val="18"/>
            <w:szCs w:val="18"/>
          </w:rPr>
          <w:fldChar w:fldCharType="begin"/>
        </w:r>
        <w:r>
          <w:rPr>
            <w:rFonts w:asciiTheme="minorHAnsi" w:hAnsiTheme="minorHAnsi" w:cstheme="minorHAnsi"/>
            <w:i/>
            <w:sz w:val="18"/>
            <w:szCs w:val="18"/>
          </w:rPr>
          <w:instrText xml:space="preserve"> SECTIONPAGES   \* MERGEFORMAT </w:instrText>
        </w:r>
        <w:r>
          <w:rPr>
            <w:rFonts w:asciiTheme="minorHAnsi" w:hAnsiTheme="minorHAnsi" w:cstheme="minorHAnsi"/>
            <w:i/>
            <w:sz w:val="18"/>
            <w:szCs w:val="18"/>
          </w:rPr>
          <w:fldChar w:fldCharType="separate"/>
        </w:r>
        <w:r w:rsidR="000E5ECA">
          <w:rPr>
            <w:rFonts w:asciiTheme="minorHAnsi" w:hAnsiTheme="minorHAnsi" w:cstheme="minorHAnsi"/>
            <w:i/>
            <w:noProof/>
            <w:sz w:val="18"/>
            <w:szCs w:val="18"/>
          </w:rPr>
          <w:t>22</w:t>
        </w:r>
        <w:r>
          <w:rPr>
            <w:rFonts w:asciiTheme="minorHAnsi" w:hAnsiTheme="minorHAnsi" w:cstheme="minorHAnsi"/>
            <w:i/>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09DC6" w14:textId="53D8E779" w:rsidR="00444776" w:rsidRPr="002B376E" w:rsidRDefault="00444776" w:rsidP="008B1D79">
    <w:pPr>
      <w:pBdr>
        <w:top w:val="single" w:sz="4" w:space="1" w:color="auto"/>
      </w:pBdr>
      <w:tabs>
        <w:tab w:val="right" w:pos="9639"/>
      </w:tabs>
      <w:rPr>
        <w:rFonts w:asciiTheme="minorHAnsi" w:hAnsiTheme="minorHAnsi" w:cstheme="minorHAnsi"/>
        <w:i/>
      </w:rPr>
    </w:pPr>
    <w:r>
      <w:rPr>
        <w:rFonts w:asciiTheme="minorHAnsi" w:hAnsiTheme="minorHAnsi" w:cstheme="minorHAnsi"/>
        <w:i/>
        <w:sz w:val="18"/>
        <w:szCs w:val="18"/>
      </w:rPr>
      <w:t xml:space="preserve">Higher Education Standards Framework: </w:t>
    </w:r>
    <w:r w:rsidRPr="00E256F6">
      <w:rPr>
        <w:rFonts w:asciiTheme="minorHAnsi" w:hAnsiTheme="minorHAnsi" w:cstheme="minorHAnsi"/>
        <w:i/>
        <w:sz w:val="18"/>
        <w:szCs w:val="18"/>
      </w:rPr>
      <w:t>2015</w:t>
    </w:r>
    <w:r w:rsidRPr="00715FC3">
      <w:rPr>
        <w:rFonts w:asciiTheme="minorHAnsi" w:hAnsiTheme="minorHAnsi" w:cstheme="minorHAnsi"/>
        <w:i/>
        <w:sz w:val="18"/>
        <w:szCs w:val="18"/>
      </w:rPr>
      <w:tab/>
    </w:r>
    <w:sdt>
      <w:sdtPr>
        <w:rPr>
          <w:rFonts w:asciiTheme="minorHAnsi" w:hAnsiTheme="minorHAnsi" w:cstheme="minorHAnsi"/>
          <w:i/>
          <w:sz w:val="18"/>
          <w:szCs w:val="18"/>
        </w:rPr>
        <w:id w:val="512732950"/>
        <w:docPartObj>
          <w:docPartGallery w:val="Page Numbers (Top of Page)"/>
          <w:docPartUnique/>
        </w:docPartObj>
      </w:sdtPr>
      <w:sdtEndPr/>
      <w:sdtContent>
        <w:r w:rsidRPr="002B376E">
          <w:rPr>
            <w:rFonts w:asciiTheme="minorHAnsi" w:hAnsiTheme="minorHAnsi" w:cstheme="minorHAnsi"/>
            <w:i/>
            <w:sz w:val="18"/>
            <w:szCs w:val="18"/>
          </w:rPr>
          <w:t xml:space="preserve">Page </w:t>
        </w:r>
        <w:r w:rsidRPr="002B376E">
          <w:rPr>
            <w:rFonts w:asciiTheme="minorHAnsi" w:hAnsiTheme="minorHAnsi" w:cstheme="minorHAnsi"/>
            <w:i/>
            <w:sz w:val="18"/>
            <w:szCs w:val="18"/>
          </w:rPr>
          <w:fldChar w:fldCharType="begin"/>
        </w:r>
        <w:r w:rsidRPr="002B376E">
          <w:rPr>
            <w:rFonts w:asciiTheme="minorHAnsi" w:hAnsiTheme="minorHAnsi" w:cstheme="minorHAnsi"/>
            <w:i/>
            <w:sz w:val="18"/>
            <w:szCs w:val="18"/>
          </w:rPr>
          <w:instrText xml:space="preserve"> PAGE  \* Arabic  \* MERGEFORMAT </w:instrText>
        </w:r>
        <w:r w:rsidRPr="002B376E">
          <w:rPr>
            <w:rFonts w:asciiTheme="minorHAnsi" w:hAnsiTheme="minorHAnsi" w:cstheme="minorHAnsi"/>
            <w:i/>
            <w:sz w:val="18"/>
            <w:szCs w:val="18"/>
          </w:rPr>
          <w:fldChar w:fldCharType="separate"/>
        </w:r>
        <w:r w:rsidR="000B179B">
          <w:rPr>
            <w:rFonts w:asciiTheme="minorHAnsi" w:hAnsiTheme="minorHAnsi" w:cstheme="minorHAnsi"/>
            <w:i/>
            <w:noProof/>
            <w:sz w:val="18"/>
            <w:szCs w:val="18"/>
          </w:rPr>
          <w:t>1</w:t>
        </w:r>
        <w:r w:rsidRPr="002B376E">
          <w:rPr>
            <w:rFonts w:asciiTheme="minorHAnsi" w:hAnsiTheme="minorHAnsi" w:cstheme="minorHAnsi"/>
            <w:i/>
            <w:sz w:val="18"/>
            <w:szCs w:val="18"/>
          </w:rPr>
          <w:fldChar w:fldCharType="end"/>
        </w:r>
        <w:r w:rsidRPr="002B376E">
          <w:rPr>
            <w:rFonts w:asciiTheme="minorHAnsi" w:hAnsiTheme="minorHAnsi" w:cstheme="minorHAnsi"/>
            <w:i/>
            <w:sz w:val="18"/>
            <w:szCs w:val="18"/>
          </w:rPr>
          <w:t xml:space="preserve"> of </w:t>
        </w:r>
        <w:r>
          <w:rPr>
            <w:rFonts w:asciiTheme="minorHAnsi" w:hAnsiTheme="minorHAnsi" w:cstheme="minorHAnsi"/>
            <w:i/>
            <w:sz w:val="18"/>
            <w:szCs w:val="18"/>
          </w:rPr>
          <w:fldChar w:fldCharType="begin"/>
        </w:r>
        <w:r>
          <w:rPr>
            <w:rFonts w:asciiTheme="minorHAnsi" w:hAnsiTheme="minorHAnsi" w:cstheme="minorHAnsi"/>
            <w:i/>
            <w:sz w:val="18"/>
            <w:szCs w:val="18"/>
          </w:rPr>
          <w:instrText xml:space="preserve"> SECTIONPAGES   \* MERGEFORMAT </w:instrText>
        </w:r>
        <w:r>
          <w:rPr>
            <w:rFonts w:asciiTheme="minorHAnsi" w:hAnsiTheme="minorHAnsi" w:cstheme="minorHAnsi"/>
            <w:i/>
            <w:sz w:val="18"/>
            <w:szCs w:val="18"/>
          </w:rPr>
          <w:fldChar w:fldCharType="separate"/>
        </w:r>
        <w:r w:rsidR="000B179B">
          <w:rPr>
            <w:rFonts w:asciiTheme="minorHAnsi" w:hAnsiTheme="minorHAnsi" w:cstheme="minorHAnsi"/>
            <w:i/>
            <w:noProof/>
            <w:sz w:val="18"/>
            <w:szCs w:val="18"/>
          </w:rPr>
          <w:t>22</w:t>
        </w:r>
        <w:r>
          <w:rPr>
            <w:rFonts w:asciiTheme="minorHAnsi" w:hAnsiTheme="minorHAnsi" w:cstheme="minorHAnsi"/>
            <w:i/>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D2172" w14:textId="77777777" w:rsidR="00103F00" w:rsidRDefault="00103F00" w:rsidP="00635A01">
      <w:r>
        <w:separator/>
      </w:r>
    </w:p>
  </w:footnote>
  <w:footnote w:type="continuationSeparator" w:id="0">
    <w:p w14:paraId="60185373" w14:textId="77777777" w:rsidR="00103F00" w:rsidRDefault="00103F00" w:rsidP="00635A01">
      <w:r>
        <w:continuationSeparator/>
      </w:r>
    </w:p>
  </w:footnote>
  <w:footnote w:type="continuationNotice" w:id="1">
    <w:p w14:paraId="4128CFBA" w14:textId="77777777" w:rsidR="00103F00" w:rsidRDefault="00103F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5A0B0" w14:textId="77777777" w:rsidR="00444776" w:rsidRDefault="00444776" w:rsidP="00E256F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126BB" w14:textId="77777777" w:rsidR="00444776" w:rsidRPr="006D0A0B" w:rsidRDefault="00444776" w:rsidP="004E6060">
    <w:pPr>
      <w:pStyle w:val="Header"/>
      <w:jc w:val="right"/>
      <w:rPr>
        <w:rFonts w:asciiTheme="minorHAnsi" w:hAnsiTheme="minorHAnsi"/>
        <w:b/>
        <w:sz w:val="28"/>
        <w:szCs w:val="28"/>
      </w:rPr>
    </w:pPr>
  </w:p>
  <w:p w14:paraId="2C67A0A9" w14:textId="77777777" w:rsidR="00444776" w:rsidRDefault="00444776" w:rsidP="005B6D9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95B"/>
    <w:multiLevelType w:val="multilevel"/>
    <w:tmpl w:val="26E81F42"/>
    <w:lvl w:ilvl="0">
      <w:start w:val="1"/>
      <w:numFmt w:val="lowerLetter"/>
      <w:pStyle w:val="List2"/>
      <w:lvlText w:val="%1."/>
      <w:lvlJc w:val="left"/>
      <w:pPr>
        <w:ind w:left="720" w:hanging="360"/>
      </w:pPr>
      <w:rPr>
        <w:rFonts w:hint="default"/>
      </w:rPr>
    </w:lvl>
    <w:lvl w:ilvl="1">
      <w:start w:val="1"/>
      <w:numFmt w:val="decimal"/>
      <w:lvlText w:val="%1.%2."/>
      <w:lvlJc w:val="left"/>
      <w:pPr>
        <w:ind w:left="1152" w:hanging="47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04E32E38"/>
    <w:multiLevelType w:val="hybridMultilevel"/>
    <w:tmpl w:val="B6A8CE02"/>
    <w:lvl w:ilvl="0" w:tplc="B15CA4C8">
      <w:start w:val="1"/>
      <w:numFmt w:val="decimal"/>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7070A6"/>
    <w:multiLevelType w:val="hybridMultilevel"/>
    <w:tmpl w:val="CE30BC8E"/>
    <w:lvl w:ilvl="0" w:tplc="4C781F10">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D63B5E"/>
    <w:multiLevelType w:val="hybridMultilevel"/>
    <w:tmpl w:val="A79A3CA0"/>
    <w:lvl w:ilvl="0" w:tplc="5082FC9C">
      <w:start w:val="1"/>
      <w:numFmt w:val="decimal"/>
      <w:pStyle w:val="Standardsheadings"/>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
    <w:nsid w:val="0E2962F4"/>
    <w:multiLevelType w:val="multilevel"/>
    <w:tmpl w:val="1534E3F2"/>
    <w:lvl w:ilvl="0">
      <w:start w:val="1"/>
      <w:numFmt w:val="decimal"/>
      <w:lvlText w:val="%1"/>
      <w:lvlJc w:val="left"/>
      <w:pPr>
        <w:ind w:left="435" w:hanging="435"/>
      </w:pPr>
      <w:rPr>
        <w:rFonts w:hint="default"/>
      </w:rPr>
    </w:lvl>
    <w:lvl w:ilvl="1">
      <w:start w:val="1"/>
      <w:numFmt w:val="decimal"/>
      <w:pStyle w:val="Standardstitles"/>
      <w:lvlText w:val="%1.%2"/>
      <w:lvlJc w:val="left"/>
      <w:pPr>
        <w:ind w:left="1021" w:hanging="737"/>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0E2B34FD"/>
    <w:multiLevelType w:val="hybridMultilevel"/>
    <w:tmpl w:val="305CBFCA"/>
    <w:lvl w:ilvl="0" w:tplc="C5D652C8">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E25B9F"/>
    <w:multiLevelType w:val="hybridMultilevel"/>
    <w:tmpl w:val="639A68C8"/>
    <w:lvl w:ilvl="0" w:tplc="5AD882B6">
      <w:start w:val="3"/>
      <w:numFmt w:val="decimal"/>
      <w:lvlText w:val="5.%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6A104A"/>
    <w:multiLevelType w:val="hybridMultilevel"/>
    <w:tmpl w:val="2222CB8A"/>
    <w:lvl w:ilvl="0" w:tplc="B6207760">
      <w:start w:val="3"/>
      <w:numFmt w:val="decimal"/>
      <w:lvlText w:val="6.%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231A5F"/>
    <w:multiLevelType w:val="multilevel"/>
    <w:tmpl w:val="4808D586"/>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1160C5D"/>
    <w:multiLevelType w:val="hybridMultilevel"/>
    <w:tmpl w:val="3120FCE2"/>
    <w:lvl w:ilvl="0" w:tplc="FA5AFA20">
      <w:start w:val="1"/>
      <w:numFmt w:val="lowerRoman"/>
      <w:pStyle w:val="ReferencePointsText"/>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EE0F21"/>
    <w:multiLevelType w:val="hybridMultilevel"/>
    <w:tmpl w:val="47747960"/>
    <w:lvl w:ilvl="0" w:tplc="938AA304">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47C7065"/>
    <w:multiLevelType w:val="multilevel"/>
    <w:tmpl w:val="8AECE706"/>
    <w:lvl w:ilvl="0">
      <w:start w:val="1"/>
      <w:numFmt w:val="decimal"/>
      <w:pStyle w:val="List"/>
      <w:lvlText w:val="%1."/>
      <w:lvlJc w:val="left"/>
      <w:pPr>
        <w:ind w:left="720" w:hanging="360"/>
      </w:pPr>
      <w:rPr>
        <w:rFonts w:hint="default"/>
      </w:rPr>
    </w:lvl>
    <w:lvl w:ilvl="1">
      <w:start w:val="1"/>
      <w:numFmt w:val="decimal"/>
      <w:lvlText w:val="%1.%2."/>
      <w:lvlJc w:val="left"/>
      <w:pPr>
        <w:ind w:left="1152" w:hanging="47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nsid w:val="24E221C4"/>
    <w:multiLevelType w:val="hybridMultilevel"/>
    <w:tmpl w:val="1BF28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52954D6"/>
    <w:multiLevelType w:val="hybridMultilevel"/>
    <w:tmpl w:val="CB2A86C4"/>
    <w:lvl w:ilvl="0" w:tplc="D2EC3CC2">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C625E5D"/>
    <w:multiLevelType w:val="hybridMultilevel"/>
    <w:tmpl w:val="E670065A"/>
    <w:lvl w:ilvl="0" w:tplc="B04E3C5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0171D9E"/>
    <w:multiLevelType w:val="hybridMultilevel"/>
    <w:tmpl w:val="EB7E00C4"/>
    <w:lvl w:ilvl="0" w:tplc="E8F6BD22">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0912FF1"/>
    <w:multiLevelType w:val="hybridMultilevel"/>
    <w:tmpl w:val="B86CAD68"/>
    <w:lvl w:ilvl="0" w:tplc="075CA7F8">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3747C81"/>
    <w:multiLevelType w:val="hybridMultilevel"/>
    <w:tmpl w:val="637032D0"/>
    <w:lvl w:ilvl="0" w:tplc="89306B22">
      <w:start w:val="1"/>
      <w:numFmt w:val="decimal"/>
      <w:lvlText w:val="6.%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81B72A5"/>
    <w:multiLevelType w:val="multilevel"/>
    <w:tmpl w:val="7A22DE42"/>
    <w:lvl w:ilvl="0">
      <w:start w:val="2"/>
      <w:numFmt w:val="decimal"/>
      <w:lvlText w:val="%1"/>
      <w:lvlJc w:val="left"/>
      <w:pPr>
        <w:ind w:left="360" w:hanging="360"/>
      </w:pPr>
      <w:rPr>
        <w:rFonts w:hint="default"/>
      </w:rPr>
    </w:lvl>
    <w:lvl w:ilvl="1">
      <w:start w:val="6"/>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89653B1"/>
    <w:multiLevelType w:val="hybridMultilevel"/>
    <w:tmpl w:val="F202C9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5042FE"/>
    <w:multiLevelType w:val="hybridMultilevel"/>
    <w:tmpl w:val="24CCFA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AD508F4"/>
    <w:multiLevelType w:val="hybridMultilevel"/>
    <w:tmpl w:val="4716ADF4"/>
    <w:lvl w:ilvl="0" w:tplc="2E90C13A">
      <w:start w:val="1"/>
      <w:numFmt w:val="lowerLetter"/>
      <w:lvlText w:val="(%1)"/>
      <w:lvlJc w:val="left"/>
      <w:pPr>
        <w:ind w:left="1854" w:hanging="360"/>
      </w:pPr>
      <w:rPr>
        <w:rFonts w:ascii="Arial" w:hAnsi="Arial" w:cs="Arial" w:hint="default"/>
        <w:color w:val="auto"/>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2">
    <w:nsid w:val="514D3187"/>
    <w:multiLevelType w:val="hybridMultilevel"/>
    <w:tmpl w:val="0AB62CAA"/>
    <w:lvl w:ilvl="0" w:tplc="BB007DDA">
      <w:start w:val="1"/>
      <w:numFmt w:val="lowerRoman"/>
      <w:pStyle w:val="ReferencePointstext0"/>
      <w:lvlText w:val="%1."/>
      <w:lvlJc w:val="left"/>
      <w:pPr>
        <w:ind w:left="1070" w:hanging="360"/>
      </w:pPr>
      <w:rPr>
        <w:rFonts w:hint="default"/>
        <w:b w:val="0"/>
        <w:i w:val="0"/>
        <w:color w:val="auto"/>
        <w:sz w:val="22"/>
        <w:szCs w:val="22"/>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nsid w:val="596843D3"/>
    <w:multiLevelType w:val="hybridMultilevel"/>
    <w:tmpl w:val="653AB81E"/>
    <w:lvl w:ilvl="0" w:tplc="7144AD38">
      <w:start w:val="1"/>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B964A85"/>
    <w:multiLevelType w:val="multilevel"/>
    <w:tmpl w:val="6D722D2E"/>
    <w:lvl w:ilvl="0">
      <w:start w:val="2"/>
      <w:numFmt w:val="decimal"/>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CD40C6"/>
    <w:multiLevelType w:val="hybridMultilevel"/>
    <w:tmpl w:val="75325F2E"/>
    <w:lvl w:ilvl="0" w:tplc="0BAC3BC8">
      <w:start w:val="1"/>
      <w:numFmt w:val="lowerLetter"/>
      <w:lvlText w:val="(%1)"/>
      <w:lvlJc w:val="left"/>
      <w:pPr>
        <w:ind w:left="1854" w:hanging="360"/>
      </w:pPr>
      <w:rPr>
        <w:rFonts w:ascii="Arial" w:hAnsi="Arial"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3D47D50"/>
    <w:multiLevelType w:val="hybridMultilevel"/>
    <w:tmpl w:val="4F7CD6BA"/>
    <w:lvl w:ilvl="0" w:tplc="9592A202">
      <w:start w:val="2"/>
      <w:numFmt w:val="decimal"/>
      <w:lvlText w:val="2.%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A4F28A2"/>
    <w:multiLevelType w:val="hybridMultilevel"/>
    <w:tmpl w:val="531CF25E"/>
    <w:lvl w:ilvl="0" w:tplc="3F40DF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2950CD5"/>
    <w:multiLevelType w:val="hybridMultilevel"/>
    <w:tmpl w:val="CC90348C"/>
    <w:lvl w:ilvl="0" w:tplc="8F0AD68A">
      <w:start w:val="1"/>
      <w:numFmt w:val="decimal"/>
      <w:lvlText w:val="%1."/>
      <w:lvlJc w:val="left"/>
      <w:pPr>
        <w:ind w:left="720" w:hanging="360"/>
      </w:pPr>
      <w:rPr>
        <w:rFonts w:ascii="Arial" w:hAnsi="Arial" w:cs="Arial" w:hint="default"/>
      </w:rPr>
    </w:lvl>
    <w:lvl w:ilvl="1" w:tplc="7144AD3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53D75AE"/>
    <w:multiLevelType w:val="hybridMultilevel"/>
    <w:tmpl w:val="C78028A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0">
    <w:nsid w:val="77F07A1F"/>
    <w:multiLevelType w:val="multilevel"/>
    <w:tmpl w:val="B906CB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A695E37"/>
    <w:multiLevelType w:val="multilevel"/>
    <w:tmpl w:val="E5CA0532"/>
    <w:styleLink w:val="Headings"/>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992" w:hanging="708"/>
      </w:pPr>
      <w:rPr>
        <w:rFonts w:hint="default"/>
      </w:rPr>
    </w:lvl>
    <w:lvl w:ilvl="2">
      <w:start w:val="1"/>
      <w:numFmt w:val="decimal"/>
      <w:pStyle w:val="Heading3"/>
      <w:lvlText w:val="%3."/>
      <w:lvlJc w:val="left"/>
      <w:pPr>
        <w:ind w:left="710" w:hanging="426"/>
      </w:pPr>
      <w:rPr>
        <w:rFonts w:hint="default"/>
      </w:rPr>
    </w:lvl>
    <w:lvl w:ilvl="3">
      <w:start w:val="1"/>
      <w:numFmt w:val="lowerLetter"/>
      <w:pStyle w:val="Heading4"/>
      <w:lvlText w:val="%4."/>
      <w:lvlJc w:val="left"/>
      <w:pPr>
        <w:tabs>
          <w:tab w:val="num" w:pos="1701"/>
        </w:tabs>
        <w:ind w:left="1701" w:hanging="283"/>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nsid w:val="7E3F00F4"/>
    <w:multiLevelType w:val="hybridMultilevel"/>
    <w:tmpl w:val="2D882A84"/>
    <w:lvl w:ilvl="0" w:tplc="E1C02B80">
      <w:start w:val="1"/>
      <w:numFmt w:val="decimal"/>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0"/>
  </w:num>
  <w:num w:numId="2">
    <w:abstractNumId w:val="22"/>
  </w:num>
  <w:num w:numId="3">
    <w:abstractNumId w:val="11"/>
  </w:num>
  <w:num w:numId="4">
    <w:abstractNumId w:val="9"/>
  </w:num>
  <w:num w:numId="5">
    <w:abstractNumId w:val="3"/>
  </w:num>
  <w:num w:numId="6">
    <w:abstractNumId w:val="4"/>
    <w:lvlOverride w:ilvl="0">
      <w:lvl w:ilvl="0">
        <w:start w:val="1"/>
        <w:numFmt w:val="decimal"/>
        <w:lvlText w:val="%1"/>
        <w:lvlJc w:val="left"/>
        <w:pPr>
          <w:ind w:left="435" w:hanging="435"/>
        </w:pPr>
        <w:rPr>
          <w:rFonts w:hint="default"/>
        </w:rPr>
      </w:lvl>
    </w:lvlOverride>
    <w:lvlOverride w:ilvl="1">
      <w:lvl w:ilvl="1">
        <w:start w:val="1"/>
        <w:numFmt w:val="decimal"/>
        <w:pStyle w:val="Standardstitles"/>
        <w:lvlText w:val="%1.%2"/>
        <w:lvlJc w:val="left"/>
        <w:pPr>
          <w:ind w:left="1021" w:hanging="737"/>
        </w:pPr>
        <w:rPr>
          <w:rFonts w:hint="default"/>
        </w:rPr>
      </w:lvl>
    </w:lvlOverride>
    <w:lvlOverride w:ilvl="2">
      <w:lvl w:ilvl="2">
        <w:start w:val="1"/>
        <w:numFmt w:val="decimal"/>
        <w:lvlText w:val="%1.%2.%3"/>
        <w:lvlJc w:val="left"/>
        <w:pPr>
          <w:ind w:left="1288" w:hanging="720"/>
        </w:pPr>
        <w:rPr>
          <w:rFonts w:hint="default"/>
        </w:rPr>
      </w:lvl>
    </w:lvlOverride>
    <w:lvlOverride w:ilvl="3">
      <w:lvl w:ilvl="3">
        <w:start w:val="1"/>
        <w:numFmt w:val="decimal"/>
        <w:lvlText w:val="%1.%2.%3.%4"/>
        <w:lvlJc w:val="left"/>
        <w:pPr>
          <w:ind w:left="1932" w:hanging="1080"/>
        </w:pPr>
        <w:rPr>
          <w:rFonts w:hint="default"/>
        </w:rPr>
      </w:lvl>
    </w:lvlOverride>
    <w:lvlOverride w:ilvl="4">
      <w:lvl w:ilvl="4">
        <w:start w:val="1"/>
        <w:numFmt w:val="decimal"/>
        <w:lvlText w:val="%1.%2.%3.%4.%5"/>
        <w:lvlJc w:val="left"/>
        <w:pPr>
          <w:ind w:left="2576" w:hanging="1440"/>
        </w:pPr>
        <w:rPr>
          <w:rFonts w:hint="default"/>
        </w:rPr>
      </w:lvl>
    </w:lvlOverride>
    <w:lvlOverride w:ilvl="5">
      <w:lvl w:ilvl="5">
        <w:start w:val="1"/>
        <w:numFmt w:val="decimal"/>
        <w:lvlText w:val="%1.%2.%3.%4.%5.%6"/>
        <w:lvlJc w:val="left"/>
        <w:pPr>
          <w:ind w:left="2860" w:hanging="1440"/>
        </w:pPr>
        <w:rPr>
          <w:rFonts w:hint="default"/>
        </w:rPr>
      </w:lvl>
    </w:lvlOverride>
    <w:lvlOverride w:ilvl="6">
      <w:lvl w:ilvl="6">
        <w:start w:val="1"/>
        <w:numFmt w:val="decimal"/>
        <w:lvlText w:val="%1.%2.%3.%4.%5.%6.%7"/>
        <w:lvlJc w:val="left"/>
        <w:pPr>
          <w:ind w:left="3504" w:hanging="1800"/>
        </w:pPr>
        <w:rPr>
          <w:rFonts w:hint="default"/>
        </w:rPr>
      </w:lvl>
    </w:lvlOverride>
    <w:lvlOverride w:ilvl="7">
      <w:lvl w:ilvl="7">
        <w:start w:val="1"/>
        <w:numFmt w:val="decimal"/>
        <w:lvlText w:val="%1.%2.%3.%4.%5.%6.%7.%8"/>
        <w:lvlJc w:val="left"/>
        <w:pPr>
          <w:ind w:left="3788" w:hanging="1800"/>
        </w:pPr>
        <w:rPr>
          <w:rFonts w:hint="default"/>
        </w:rPr>
      </w:lvl>
    </w:lvlOverride>
    <w:lvlOverride w:ilvl="8">
      <w:lvl w:ilvl="8">
        <w:start w:val="1"/>
        <w:numFmt w:val="decimal"/>
        <w:lvlText w:val="%1.%2.%3.%4.%5.%6.%7.%8.%9"/>
        <w:lvlJc w:val="left"/>
        <w:pPr>
          <w:ind w:left="4432" w:hanging="2160"/>
        </w:pPr>
        <w:rPr>
          <w:rFonts w:hint="default"/>
        </w:rPr>
      </w:lvl>
    </w:lvlOverride>
  </w:num>
  <w:num w:numId="7">
    <w:abstractNumId w:val="31"/>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992" w:hanging="708"/>
        </w:pPr>
        <w:rPr>
          <w:rFonts w:hint="default"/>
          <w:b/>
        </w:rPr>
      </w:lvl>
    </w:lvlOverride>
    <w:lvlOverride w:ilvl="2">
      <w:lvl w:ilvl="2">
        <w:start w:val="1"/>
        <w:numFmt w:val="decimal"/>
        <w:pStyle w:val="Heading3"/>
        <w:lvlText w:val="%3."/>
        <w:lvlJc w:val="left"/>
        <w:pPr>
          <w:ind w:left="1418" w:hanging="426"/>
        </w:pPr>
        <w:rPr>
          <w:rFonts w:hint="default"/>
        </w:rPr>
      </w:lvl>
    </w:lvlOverride>
    <w:lvlOverride w:ilvl="3">
      <w:lvl w:ilvl="3">
        <w:start w:val="1"/>
        <w:numFmt w:val="lowerLetter"/>
        <w:pStyle w:val="Heading4"/>
        <w:lvlText w:val="%4."/>
        <w:lvlJc w:val="left"/>
        <w:pPr>
          <w:tabs>
            <w:tab w:val="num" w:pos="1701"/>
          </w:tabs>
          <w:ind w:left="1701" w:hanging="283"/>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8">
    <w:abstractNumId w:val="31"/>
    <w:lvlOverride w:ilvl="2">
      <w:lvl w:ilvl="2">
        <w:start w:val="1"/>
        <w:numFmt w:val="decimal"/>
        <w:pStyle w:val="Heading3"/>
        <w:lvlText w:val="%3."/>
        <w:lvlJc w:val="left"/>
        <w:pPr>
          <w:ind w:left="710" w:hanging="426"/>
        </w:pPr>
        <w:rPr>
          <w:rFonts w:hint="default"/>
          <w:color w:val="auto"/>
        </w:rPr>
      </w:lvl>
    </w:lvlOverride>
  </w:num>
  <w:num w:numId="9">
    <w:abstractNumId w:val="29"/>
  </w:num>
  <w:num w:numId="10">
    <w:abstractNumId w:val="8"/>
  </w:num>
  <w:num w:numId="11">
    <w:abstractNumId w:val="26"/>
  </w:num>
  <w:num w:numId="12">
    <w:abstractNumId w:val="18"/>
  </w:num>
  <w:num w:numId="13">
    <w:abstractNumId w:val="24"/>
  </w:num>
  <w:num w:numId="14">
    <w:abstractNumId w:val="6"/>
  </w:num>
  <w:num w:numId="15">
    <w:abstractNumId w:val="17"/>
  </w:num>
  <w:num w:numId="16">
    <w:abstractNumId w:val="31"/>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992" w:hanging="708"/>
        </w:pPr>
        <w:rPr>
          <w:rFonts w:hint="default"/>
        </w:rPr>
      </w:lvl>
    </w:lvlOverride>
    <w:lvlOverride w:ilvl="2">
      <w:lvl w:ilvl="2">
        <w:start w:val="1"/>
        <w:numFmt w:val="decimal"/>
        <w:pStyle w:val="Heading3"/>
        <w:lvlText w:val="%3."/>
        <w:lvlJc w:val="left"/>
        <w:pPr>
          <w:ind w:left="1418" w:hanging="426"/>
        </w:pPr>
        <w:rPr>
          <w:rFonts w:hint="default"/>
        </w:rPr>
      </w:lvl>
    </w:lvlOverride>
    <w:lvlOverride w:ilvl="3">
      <w:lvl w:ilvl="3">
        <w:start w:val="1"/>
        <w:numFmt w:val="lowerLetter"/>
        <w:pStyle w:val="Heading4"/>
        <w:lvlText w:val="%4."/>
        <w:lvlJc w:val="left"/>
        <w:pPr>
          <w:tabs>
            <w:tab w:val="num" w:pos="1701"/>
          </w:tabs>
          <w:ind w:left="1701" w:hanging="283"/>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17">
    <w:abstractNumId w:val="31"/>
  </w:num>
  <w:num w:numId="18">
    <w:abstractNumId w:val="32"/>
  </w:num>
  <w:num w:numId="19">
    <w:abstractNumId w:val="7"/>
  </w:num>
  <w:num w:numId="20">
    <w:abstractNumId w:val="12"/>
  </w:num>
  <w:num w:numId="21">
    <w:abstractNumId w:val="21"/>
  </w:num>
  <w:num w:numId="22">
    <w:abstractNumId w:val="1"/>
  </w:num>
  <w:num w:numId="23">
    <w:abstractNumId w:val="5"/>
  </w:num>
  <w:num w:numId="24">
    <w:abstractNumId w:val="15"/>
  </w:num>
  <w:num w:numId="25">
    <w:abstractNumId w:val="13"/>
  </w:num>
  <w:num w:numId="26">
    <w:abstractNumId w:val="16"/>
  </w:num>
  <w:num w:numId="27">
    <w:abstractNumId w:val="10"/>
  </w:num>
  <w:num w:numId="28">
    <w:abstractNumId w:val="28"/>
  </w:num>
  <w:num w:numId="29">
    <w:abstractNumId w:val="2"/>
  </w:num>
  <w:num w:numId="30">
    <w:abstractNumId w:val="23"/>
  </w:num>
  <w:num w:numId="31">
    <w:abstractNumId w:val="14"/>
  </w:num>
  <w:num w:numId="32">
    <w:abstractNumId w:val="19"/>
  </w:num>
  <w:num w:numId="33">
    <w:abstractNumId w:val="27"/>
  </w:num>
  <w:num w:numId="34">
    <w:abstractNumId w:val="25"/>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1"/>
    <w:lvlOverride w:ilvl="2">
      <w:lvl w:ilvl="2">
        <w:start w:val="1"/>
        <w:numFmt w:val="decimal"/>
        <w:pStyle w:val="Heading3"/>
        <w:lvlText w:val="%3."/>
        <w:lvlJc w:val="left"/>
        <w:pPr>
          <w:ind w:left="710" w:hanging="426"/>
        </w:pPr>
        <w:rPr>
          <w:rFonts w:hint="default"/>
          <w:color w:val="auto"/>
        </w:rPr>
      </w:lvl>
    </w:lvlOverride>
  </w:num>
  <w:num w:numId="42">
    <w:abstractNumId w:val="31"/>
    <w:lvlOverride w:ilvl="2">
      <w:lvl w:ilvl="2">
        <w:start w:val="1"/>
        <w:numFmt w:val="decimal"/>
        <w:pStyle w:val="Heading3"/>
        <w:lvlText w:val="%3."/>
        <w:lvlJc w:val="left"/>
        <w:pPr>
          <w:ind w:left="710" w:hanging="426"/>
        </w:pPr>
        <w:rPr>
          <w:rFonts w:hint="default"/>
          <w:color w:val="auto"/>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rawingGridVerticalSpacing w:val="299"/>
  <w:displayHorizont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84"/>
    <w:rsid w:val="00001BC0"/>
    <w:rsid w:val="000020C8"/>
    <w:rsid w:val="0000224A"/>
    <w:rsid w:val="00002CAB"/>
    <w:rsid w:val="00003215"/>
    <w:rsid w:val="00003A3F"/>
    <w:rsid w:val="00003AF3"/>
    <w:rsid w:val="00003D9F"/>
    <w:rsid w:val="00005917"/>
    <w:rsid w:val="00006F03"/>
    <w:rsid w:val="000110E0"/>
    <w:rsid w:val="00011134"/>
    <w:rsid w:val="00012BEF"/>
    <w:rsid w:val="00014C42"/>
    <w:rsid w:val="00014E76"/>
    <w:rsid w:val="00015F0F"/>
    <w:rsid w:val="00016771"/>
    <w:rsid w:val="00017524"/>
    <w:rsid w:val="00020FB9"/>
    <w:rsid w:val="000219A2"/>
    <w:rsid w:val="00021AD6"/>
    <w:rsid w:val="00022016"/>
    <w:rsid w:val="000234F0"/>
    <w:rsid w:val="00024388"/>
    <w:rsid w:val="0002521B"/>
    <w:rsid w:val="00026B5B"/>
    <w:rsid w:val="000276BD"/>
    <w:rsid w:val="000305C6"/>
    <w:rsid w:val="00030946"/>
    <w:rsid w:val="00030C7A"/>
    <w:rsid w:val="000321AD"/>
    <w:rsid w:val="00032CB0"/>
    <w:rsid w:val="00033605"/>
    <w:rsid w:val="000336EF"/>
    <w:rsid w:val="00035158"/>
    <w:rsid w:val="0003592C"/>
    <w:rsid w:val="00035ED9"/>
    <w:rsid w:val="00036704"/>
    <w:rsid w:val="00036728"/>
    <w:rsid w:val="00036D3E"/>
    <w:rsid w:val="000404A8"/>
    <w:rsid w:val="0004115C"/>
    <w:rsid w:val="00042B9E"/>
    <w:rsid w:val="00043097"/>
    <w:rsid w:val="000430CE"/>
    <w:rsid w:val="00043A2F"/>
    <w:rsid w:val="00045F02"/>
    <w:rsid w:val="00046687"/>
    <w:rsid w:val="00047634"/>
    <w:rsid w:val="00047759"/>
    <w:rsid w:val="0004785B"/>
    <w:rsid w:val="00052493"/>
    <w:rsid w:val="00052F72"/>
    <w:rsid w:val="0005356A"/>
    <w:rsid w:val="000545EE"/>
    <w:rsid w:val="00054CB9"/>
    <w:rsid w:val="0005645C"/>
    <w:rsid w:val="00056828"/>
    <w:rsid w:val="00057608"/>
    <w:rsid w:val="00060D1E"/>
    <w:rsid w:val="0006139A"/>
    <w:rsid w:val="00061B84"/>
    <w:rsid w:val="00062301"/>
    <w:rsid w:val="000650BF"/>
    <w:rsid w:val="00066338"/>
    <w:rsid w:val="00066F3F"/>
    <w:rsid w:val="00070402"/>
    <w:rsid w:val="00070589"/>
    <w:rsid w:val="000714AF"/>
    <w:rsid w:val="000719B6"/>
    <w:rsid w:val="00071BFC"/>
    <w:rsid w:val="00073749"/>
    <w:rsid w:val="00074317"/>
    <w:rsid w:val="00074DAC"/>
    <w:rsid w:val="000755C5"/>
    <w:rsid w:val="00075647"/>
    <w:rsid w:val="00076074"/>
    <w:rsid w:val="000765BB"/>
    <w:rsid w:val="00077518"/>
    <w:rsid w:val="0007767F"/>
    <w:rsid w:val="00082032"/>
    <w:rsid w:val="00083E1E"/>
    <w:rsid w:val="000849CA"/>
    <w:rsid w:val="0008789F"/>
    <w:rsid w:val="00087E64"/>
    <w:rsid w:val="00091336"/>
    <w:rsid w:val="00091FA6"/>
    <w:rsid w:val="00092645"/>
    <w:rsid w:val="00092D34"/>
    <w:rsid w:val="00092D81"/>
    <w:rsid w:val="00092F66"/>
    <w:rsid w:val="000935DE"/>
    <w:rsid w:val="00094D48"/>
    <w:rsid w:val="00094DEF"/>
    <w:rsid w:val="0009595F"/>
    <w:rsid w:val="00095E39"/>
    <w:rsid w:val="0009616E"/>
    <w:rsid w:val="0009653E"/>
    <w:rsid w:val="00097391"/>
    <w:rsid w:val="00097479"/>
    <w:rsid w:val="000979A0"/>
    <w:rsid w:val="00097B56"/>
    <w:rsid w:val="00097BFB"/>
    <w:rsid w:val="000A0483"/>
    <w:rsid w:val="000A0A69"/>
    <w:rsid w:val="000A15DB"/>
    <w:rsid w:val="000A2268"/>
    <w:rsid w:val="000A3382"/>
    <w:rsid w:val="000A58C3"/>
    <w:rsid w:val="000A7471"/>
    <w:rsid w:val="000A7706"/>
    <w:rsid w:val="000B037F"/>
    <w:rsid w:val="000B179B"/>
    <w:rsid w:val="000B1E7E"/>
    <w:rsid w:val="000B35C8"/>
    <w:rsid w:val="000B422B"/>
    <w:rsid w:val="000B47A7"/>
    <w:rsid w:val="000B4B3C"/>
    <w:rsid w:val="000B4DD2"/>
    <w:rsid w:val="000B4E5D"/>
    <w:rsid w:val="000B4E5E"/>
    <w:rsid w:val="000B4E7E"/>
    <w:rsid w:val="000B52D6"/>
    <w:rsid w:val="000B67F7"/>
    <w:rsid w:val="000B7474"/>
    <w:rsid w:val="000B771F"/>
    <w:rsid w:val="000B7B01"/>
    <w:rsid w:val="000C05E4"/>
    <w:rsid w:val="000C0D78"/>
    <w:rsid w:val="000C22E9"/>
    <w:rsid w:val="000C22FB"/>
    <w:rsid w:val="000C43CC"/>
    <w:rsid w:val="000C49DB"/>
    <w:rsid w:val="000C4B88"/>
    <w:rsid w:val="000C5CBD"/>
    <w:rsid w:val="000C65B4"/>
    <w:rsid w:val="000C6AA6"/>
    <w:rsid w:val="000C6F29"/>
    <w:rsid w:val="000C7744"/>
    <w:rsid w:val="000C77C5"/>
    <w:rsid w:val="000C7869"/>
    <w:rsid w:val="000D1134"/>
    <w:rsid w:val="000D22EF"/>
    <w:rsid w:val="000D29B7"/>
    <w:rsid w:val="000D2AD7"/>
    <w:rsid w:val="000D4654"/>
    <w:rsid w:val="000D47C0"/>
    <w:rsid w:val="000D50AA"/>
    <w:rsid w:val="000D52A0"/>
    <w:rsid w:val="000D5AEB"/>
    <w:rsid w:val="000D65D4"/>
    <w:rsid w:val="000D6696"/>
    <w:rsid w:val="000D6D99"/>
    <w:rsid w:val="000D781A"/>
    <w:rsid w:val="000E0F56"/>
    <w:rsid w:val="000E31D5"/>
    <w:rsid w:val="000E3F6F"/>
    <w:rsid w:val="000E5150"/>
    <w:rsid w:val="000E536F"/>
    <w:rsid w:val="000E53AB"/>
    <w:rsid w:val="000E54B5"/>
    <w:rsid w:val="000E5ECA"/>
    <w:rsid w:val="000E6596"/>
    <w:rsid w:val="000E6D76"/>
    <w:rsid w:val="000E75B7"/>
    <w:rsid w:val="000F1D0A"/>
    <w:rsid w:val="000F23ED"/>
    <w:rsid w:val="000F2690"/>
    <w:rsid w:val="000F2790"/>
    <w:rsid w:val="000F32A6"/>
    <w:rsid w:val="000F40B1"/>
    <w:rsid w:val="00100B7C"/>
    <w:rsid w:val="001025AE"/>
    <w:rsid w:val="00103626"/>
    <w:rsid w:val="00103EE5"/>
    <w:rsid w:val="00103F00"/>
    <w:rsid w:val="00103FFA"/>
    <w:rsid w:val="00104400"/>
    <w:rsid w:val="001059C9"/>
    <w:rsid w:val="00107B09"/>
    <w:rsid w:val="00110313"/>
    <w:rsid w:val="00110C5A"/>
    <w:rsid w:val="001110B7"/>
    <w:rsid w:val="0011135B"/>
    <w:rsid w:val="00111926"/>
    <w:rsid w:val="00112161"/>
    <w:rsid w:val="001121EC"/>
    <w:rsid w:val="001131A8"/>
    <w:rsid w:val="00113235"/>
    <w:rsid w:val="00113EA6"/>
    <w:rsid w:val="00115514"/>
    <w:rsid w:val="0011572C"/>
    <w:rsid w:val="001160B3"/>
    <w:rsid w:val="0011633F"/>
    <w:rsid w:val="00116443"/>
    <w:rsid w:val="00116B48"/>
    <w:rsid w:val="00117F6C"/>
    <w:rsid w:val="001206E9"/>
    <w:rsid w:val="001209EB"/>
    <w:rsid w:val="0012122F"/>
    <w:rsid w:val="00122470"/>
    <w:rsid w:val="0012295F"/>
    <w:rsid w:val="00122C18"/>
    <w:rsid w:val="00125B6D"/>
    <w:rsid w:val="001268FF"/>
    <w:rsid w:val="00126EAF"/>
    <w:rsid w:val="00130891"/>
    <w:rsid w:val="00131130"/>
    <w:rsid w:val="00132495"/>
    <w:rsid w:val="001326D5"/>
    <w:rsid w:val="00133260"/>
    <w:rsid w:val="001344E5"/>
    <w:rsid w:val="00136BD8"/>
    <w:rsid w:val="00136C0B"/>
    <w:rsid w:val="00137B07"/>
    <w:rsid w:val="00137C19"/>
    <w:rsid w:val="001429BA"/>
    <w:rsid w:val="00143DA4"/>
    <w:rsid w:val="00146785"/>
    <w:rsid w:val="00147DFC"/>
    <w:rsid w:val="001502FB"/>
    <w:rsid w:val="0015081F"/>
    <w:rsid w:val="00150AE6"/>
    <w:rsid w:val="00151070"/>
    <w:rsid w:val="001522D1"/>
    <w:rsid w:val="00152C45"/>
    <w:rsid w:val="00155C81"/>
    <w:rsid w:val="00155CBF"/>
    <w:rsid w:val="0015687E"/>
    <w:rsid w:val="001571CD"/>
    <w:rsid w:val="00157725"/>
    <w:rsid w:val="001602E9"/>
    <w:rsid w:val="00160B2F"/>
    <w:rsid w:val="00161275"/>
    <w:rsid w:val="001619AF"/>
    <w:rsid w:val="00164255"/>
    <w:rsid w:val="001644CD"/>
    <w:rsid w:val="001649DE"/>
    <w:rsid w:val="00164C89"/>
    <w:rsid w:val="001651AF"/>
    <w:rsid w:val="00167D90"/>
    <w:rsid w:val="00170075"/>
    <w:rsid w:val="00171695"/>
    <w:rsid w:val="00171701"/>
    <w:rsid w:val="00172933"/>
    <w:rsid w:val="00173E3A"/>
    <w:rsid w:val="0017426C"/>
    <w:rsid w:val="0017565C"/>
    <w:rsid w:val="00175842"/>
    <w:rsid w:val="00176751"/>
    <w:rsid w:val="00176CDA"/>
    <w:rsid w:val="001779F6"/>
    <w:rsid w:val="00177A8D"/>
    <w:rsid w:val="00177E91"/>
    <w:rsid w:val="00180DCD"/>
    <w:rsid w:val="001810CB"/>
    <w:rsid w:val="001816A1"/>
    <w:rsid w:val="00183240"/>
    <w:rsid w:val="00183BC3"/>
    <w:rsid w:val="00184967"/>
    <w:rsid w:val="00185DE5"/>
    <w:rsid w:val="00187245"/>
    <w:rsid w:val="00187E0D"/>
    <w:rsid w:val="00190B82"/>
    <w:rsid w:val="00192BAA"/>
    <w:rsid w:val="00193696"/>
    <w:rsid w:val="001936E0"/>
    <w:rsid w:val="00193B3D"/>
    <w:rsid w:val="00194356"/>
    <w:rsid w:val="0019672E"/>
    <w:rsid w:val="00197F3C"/>
    <w:rsid w:val="001A1D02"/>
    <w:rsid w:val="001A1EB7"/>
    <w:rsid w:val="001A2C1F"/>
    <w:rsid w:val="001A3A92"/>
    <w:rsid w:val="001A3B5F"/>
    <w:rsid w:val="001A4918"/>
    <w:rsid w:val="001A499F"/>
    <w:rsid w:val="001A4CAB"/>
    <w:rsid w:val="001A4D24"/>
    <w:rsid w:val="001A4E9D"/>
    <w:rsid w:val="001A5BDC"/>
    <w:rsid w:val="001A5D97"/>
    <w:rsid w:val="001B0318"/>
    <w:rsid w:val="001B0F6A"/>
    <w:rsid w:val="001B21C2"/>
    <w:rsid w:val="001B38C6"/>
    <w:rsid w:val="001B4857"/>
    <w:rsid w:val="001B6B3E"/>
    <w:rsid w:val="001B751B"/>
    <w:rsid w:val="001C387D"/>
    <w:rsid w:val="001C44A4"/>
    <w:rsid w:val="001C4E65"/>
    <w:rsid w:val="001C559E"/>
    <w:rsid w:val="001C58A2"/>
    <w:rsid w:val="001C60FD"/>
    <w:rsid w:val="001C7928"/>
    <w:rsid w:val="001C7E35"/>
    <w:rsid w:val="001D18F5"/>
    <w:rsid w:val="001D2049"/>
    <w:rsid w:val="001D2E60"/>
    <w:rsid w:val="001D3C59"/>
    <w:rsid w:val="001D3C80"/>
    <w:rsid w:val="001D5379"/>
    <w:rsid w:val="001D567D"/>
    <w:rsid w:val="001D600F"/>
    <w:rsid w:val="001D729A"/>
    <w:rsid w:val="001E0945"/>
    <w:rsid w:val="001E0AC5"/>
    <w:rsid w:val="001E2340"/>
    <w:rsid w:val="001E2CEC"/>
    <w:rsid w:val="001E41B4"/>
    <w:rsid w:val="001E5BCF"/>
    <w:rsid w:val="001E6AFE"/>
    <w:rsid w:val="001E6BF3"/>
    <w:rsid w:val="001F033F"/>
    <w:rsid w:val="001F0A41"/>
    <w:rsid w:val="001F203D"/>
    <w:rsid w:val="001F24C5"/>
    <w:rsid w:val="001F3276"/>
    <w:rsid w:val="001F359A"/>
    <w:rsid w:val="001F3698"/>
    <w:rsid w:val="001F4425"/>
    <w:rsid w:val="001F5F5A"/>
    <w:rsid w:val="001F710E"/>
    <w:rsid w:val="002003D0"/>
    <w:rsid w:val="0020298B"/>
    <w:rsid w:val="00203423"/>
    <w:rsid w:val="0020422B"/>
    <w:rsid w:val="00205150"/>
    <w:rsid w:val="002056B3"/>
    <w:rsid w:val="00206B54"/>
    <w:rsid w:val="00206DEF"/>
    <w:rsid w:val="0021073E"/>
    <w:rsid w:val="002107D7"/>
    <w:rsid w:val="002117B1"/>
    <w:rsid w:val="00211DBE"/>
    <w:rsid w:val="002122AC"/>
    <w:rsid w:val="00212A08"/>
    <w:rsid w:val="002132E6"/>
    <w:rsid w:val="00213EB9"/>
    <w:rsid w:val="00214D33"/>
    <w:rsid w:val="00215123"/>
    <w:rsid w:val="00215DB8"/>
    <w:rsid w:val="00216D8D"/>
    <w:rsid w:val="00216F2A"/>
    <w:rsid w:val="00217C31"/>
    <w:rsid w:val="00220F95"/>
    <w:rsid w:val="002215D4"/>
    <w:rsid w:val="00221A50"/>
    <w:rsid w:val="00222076"/>
    <w:rsid w:val="00222396"/>
    <w:rsid w:val="002223F7"/>
    <w:rsid w:val="00222807"/>
    <w:rsid w:val="0022434E"/>
    <w:rsid w:val="00224D56"/>
    <w:rsid w:val="00225688"/>
    <w:rsid w:val="00226A70"/>
    <w:rsid w:val="00226A90"/>
    <w:rsid w:val="00227CA5"/>
    <w:rsid w:val="0023004E"/>
    <w:rsid w:val="00230B1F"/>
    <w:rsid w:val="00230BC6"/>
    <w:rsid w:val="00231BB1"/>
    <w:rsid w:val="0023254D"/>
    <w:rsid w:val="00234CD4"/>
    <w:rsid w:val="00235041"/>
    <w:rsid w:val="002362C3"/>
    <w:rsid w:val="00236607"/>
    <w:rsid w:val="00236B18"/>
    <w:rsid w:val="00236DA7"/>
    <w:rsid w:val="00237536"/>
    <w:rsid w:val="0023759F"/>
    <w:rsid w:val="002408C0"/>
    <w:rsid w:val="00240AC2"/>
    <w:rsid w:val="00241279"/>
    <w:rsid w:val="00241E8A"/>
    <w:rsid w:val="00242E17"/>
    <w:rsid w:val="00243E20"/>
    <w:rsid w:val="0024551E"/>
    <w:rsid w:val="00245980"/>
    <w:rsid w:val="00246437"/>
    <w:rsid w:val="00247E6F"/>
    <w:rsid w:val="00250927"/>
    <w:rsid w:val="00251589"/>
    <w:rsid w:val="002515E7"/>
    <w:rsid w:val="00251D01"/>
    <w:rsid w:val="00252547"/>
    <w:rsid w:val="002527CC"/>
    <w:rsid w:val="00252922"/>
    <w:rsid w:val="00254538"/>
    <w:rsid w:val="0025459F"/>
    <w:rsid w:val="002552E6"/>
    <w:rsid w:val="0025678E"/>
    <w:rsid w:val="002569EE"/>
    <w:rsid w:val="00256DBC"/>
    <w:rsid w:val="00256FB4"/>
    <w:rsid w:val="002573C4"/>
    <w:rsid w:val="00260371"/>
    <w:rsid w:val="002606E9"/>
    <w:rsid w:val="00261124"/>
    <w:rsid w:val="00263020"/>
    <w:rsid w:val="00263BA8"/>
    <w:rsid w:val="00263DD2"/>
    <w:rsid w:val="002670A0"/>
    <w:rsid w:val="00267532"/>
    <w:rsid w:val="00267A5D"/>
    <w:rsid w:val="0027004D"/>
    <w:rsid w:val="00270796"/>
    <w:rsid w:val="00271CE0"/>
    <w:rsid w:val="00272278"/>
    <w:rsid w:val="00272376"/>
    <w:rsid w:val="002745E8"/>
    <w:rsid w:val="00275176"/>
    <w:rsid w:val="00275532"/>
    <w:rsid w:val="002755E7"/>
    <w:rsid w:val="0027675E"/>
    <w:rsid w:val="0027746B"/>
    <w:rsid w:val="00277770"/>
    <w:rsid w:val="00277B9D"/>
    <w:rsid w:val="002809E6"/>
    <w:rsid w:val="00280F09"/>
    <w:rsid w:val="00280F63"/>
    <w:rsid w:val="00281E38"/>
    <w:rsid w:val="00282911"/>
    <w:rsid w:val="00282957"/>
    <w:rsid w:val="00282A78"/>
    <w:rsid w:val="00283283"/>
    <w:rsid w:val="002840B2"/>
    <w:rsid w:val="00284D3B"/>
    <w:rsid w:val="0028535C"/>
    <w:rsid w:val="0029002B"/>
    <w:rsid w:val="00291DE6"/>
    <w:rsid w:val="002932A9"/>
    <w:rsid w:val="002932E2"/>
    <w:rsid w:val="00293A1D"/>
    <w:rsid w:val="00293FFC"/>
    <w:rsid w:val="00294345"/>
    <w:rsid w:val="002949BA"/>
    <w:rsid w:val="00294C57"/>
    <w:rsid w:val="00295193"/>
    <w:rsid w:val="00295950"/>
    <w:rsid w:val="00295AD1"/>
    <w:rsid w:val="00295C56"/>
    <w:rsid w:val="00296DE8"/>
    <w:rsid w:val="002974BD"/>
    <w:rsid w:val="00297837"/>
    <w:rsid w:val="00297FA1"/>
    <w:rsid w:val="002A0F47"/>
    <w:rsid w:val="002A2371"/>
    <w:rsid w:val="002A2DE6"/>
    <w:rsid w:val="002A4D18"/>
    <w:rsid w:val="002A50D5"/>
    <w:rsid w:val="002A59F3"/>
    <w:rsid w:val="002A5A89"/>
    <w:rsid w:val="002A6DCA"/>
    <w:rsid w:val="002A776F"/>
    <w:rsid w:val="002A7AAC"/>
    <w:rsid w:val="002A7D57"/>
    <w:rsid w:val="002A7FF9"/>
    <w:rsid w:val="002B0A1D"/>
    <w:rsid w:val="002B11F3"/>
    <w:rsid w:val="002B1449"/>
    <w:rsid w:val="002B16B9"/>
    <w:rsid w:val="002B376E"/>
    <w:rsid w:val="002B491B"/>
    <w:rsid w:val="002B4DCF"/>
    <w:rsid w:val="002B5BC6"/>
    <w:rsid w:val="002B699F"/>
    <w:rsid w:val="002B72CC"/>
    <w:rsid w:val="002B7CB3"/>
    <w:rsid w:val="002C0DD7"/>
    <w:rsid w:val="002C21D0"/>
    <w:rsid w:val="002C4625"/>
    <w:rsid w:val="002C5D4B"/>
    <w:rsid w:val="002C6B51"/>
    <w:rsid w:val="002C704E"/>
    <w:rsid w:val="002C7268"/>
    <w:rsid w:val="002D3245"/>
    <w:rsid w:val="002D40F1"/>
    <w:rsid w:val="002D580E"/>
    <w:rsid w:val="002D6616"/>
    <w:rsid w:val="002D6AC4"/>
    <w:rsid w:val="002D7B16"/>
    <w:rsid w:val="002D7CDB"/>
    <w:rsid w:val="002E00E0"/>
    <w:rsid w:val="002E119E"/>
    <w:rsid w:val="002E2F0D"/>
    <w:rsid w:val="002E3D86"/>
    <w:rsid w:val="002E3DA7"/>
    <w:rsid w:val="002E3DE7"/>
    <w:rsid w:val="002E521C"/>
    <w:rsid w:val="002E525E"/>
    <w:rsid w:val="002E5795"/>
    <w:rsid w:val="002E5C29"/>
    <w:rsid w:val="002F0969"/>
    <w:rsid w:val="002F1245"/>
    <w:rsid w:val="002F1C3B"/>
    <w:rsid w:val="002F1EC6"/>
    <w:rsid w:val="002F1F07"/>
    <w:rsid w:val="002F2C33"/>
    <w:rsid w:val="002F3502"/>
    <w:rsid w:val="002F3670"/>
    <w:rsid w:val="002F3E6A"/>
    <w:rsid w:val="002F4CA1"/>
    <w:rsid w:val="002F56E9"/>
    <w:rsid w:val="002F5E3C"/>
    <w:rsid w:val="002F71C0"/>
    <w:rsid w:val="002F71E4"/>
    <w:rsid w:val="0030068F"/>
    <w:rsid w:val="00300F81"/>
    <w:rsid w:val="00301663"/>
    <w:rsid w:val="00301F45"/>
    <w:rsid w:val="00302753"/>
    <w:rsid w:val="00302D3F"/>
    <w:rsid w:val="0030474D"/>
    <w:rsid w:val="003048D5"/>
    <w:rsid w:val="00304EBF"/>
    <w:rsid w:val="00305707"/>
    <w:rsid w:val="00305A27"/>
    <w:rsid w:val="00306974"/>
    <w:rsid w:val="00307F1F"/>
    <w:rsid w:val="003101EE"/>
    <w:rsid w:val="00310378"/>
    <w:rsid w:val="003107D0"/>
    <w:rsid w:val="00310AF5"/>
    <w:rsid w:val="00312B73"/>
    <w:rsid w:val="00313D83"/>
    <w:rsid w:val="003147E1"/>
    <w:rsid w:val="003155D5"/>
    <w:rsid w:val="003155F2"/>
    <w:rsid w:val="00316F0E"/>
    <w:rsid w:val="003175F0"/>
    <w:rsid w:val="00321001"/>
    <w:rsid w:val="00323BA1"/>
    <w:rsid w:val="00323D48"/>
    <w:rsid w:val="003243A6"/>
    <w:rsid w:val="003244FA"/>
    <w:rsid w:val="00324848"/>
    <w:rsid w:val="00326187"/>
    <w:rsid w:val="00326A6E"/>
    <w:rsid w:val="00326E75"/>
    <w:rsid w:val="003306E9"/>
    <w:rsid w:val="00330AC8"/>
    <w:rsid w:val="00331040"/>
    <w:rsid w:val="00331098"/>
    <w:rsid w:val="003314EB"/>
    <w:rsid w:val="003318DE"/>
    <w:rsid w:val="003326CD"/>
    <w:rsid w:val="003330D2"/>
    <w:rsid w:val="00333A0B"/>
    <w:rsid w:val="0033423D"/>
    <w:rsid w:val="003342AE"/>
    <w:rsid w:val="0033522A"/>
    <w:rsid w:val="0033762D"/>
    <w:rsid w:val="00337E15"/>
    <w:rsid w:val="00341D67"/>
    <w:rsid w:val="00342A90"/>
    <w:rsid w:val="00344A35"/>
    <w:rsid w:val="00345C7E"/>
    <w:rsid w:val="00347C9D"/>
    <w:rsid w:val="003506CB"/>
    <w:rsid w:val="00351325"/>
    <w:rsid w:val="00351B7E"/>
    <w:rsid w:val="003524DD"/>
    <w:rsid w:val="00352A03"/>
    <w:rsid w:val="0035525E"/>
    <w:rsid w:val="00355B85"/>
    <w:rsid w:val="00355F0B"/>
    <w:rsid w:val="0036070C"/>
    <w:rsid w:val="00360D2F"/>
    <w:rsid w:val="00360D31"/>
    <w:rsid w:val="00361208"/>
    <w:rsid w:val="00361ED5"/>
    <w:rsid w:val="00362C9A"/>
    <w:rsid w:val="00363381"/>
    <w:rsid w:val="00363778"/>
    <w:rsid w:val="003641A0"/>
    <w:rsid w:val="003658D6"/>
    <w:rsid w:val="003663EF"/>
    <w:rsid w:val="003665C1"/>
    <w:rsid w:val="003677AD"/>
    <w:rsid w:val="00371E91"/>
    <w:rsid w:val="003722A9"/>
    <w:rsid w:val="003727FE"/>
    <w:rsid w:val="00372D21"/>
    <w:rsid w:val="003737C2"/>
    <w:rsid w:val="003738BC"/>
    <w:rsid w:val="00374EA1"/>
    <w:rsid w:val="00375354"/>
    <w:rsid w:val="00375E5D"/>
    <w:rsid w:val="003777E3"/>
    <w:rsid w:val="00380DF3"/>
    <w:rsid w:val="0038246F"/>
    <w:rsid w:val="0038263A"/>
    <w:rsid w:val="00383D6B"/>
    <w:rsid w:val="00384128"/>
    <w:rsid w:val="0038438F"/>
    <w:rsid w:val="00385BD6"/>
    <w:rsid w:val="0038607C"/>
    <w:rsid w:val="0038643A"/>
    <w:rsid w:val="0038677B"/>
    <w:rsid w:val="00386EEA"/>
    <w:rsid w:val="003878A2"/>
    <w:rsid w:val="003919F9"/>
    <w:rsid w:val="00391B3C"/>
    <w:rsid w:val="003920B1"/>
    <w:rsid w:val="0039212C"/>
    <w:rsid w:val="0039336D"/>
    <w:rsid w:val="00395796"/>
    <w:rsid w:val="00395AE5"/>
    <w:rsid w:val="00396477"/>
    <w:rsid w:val="003966F2"/>
    <w:rsid w:val="00396A2B"/>
    <w:rsid w:val="003976E4"/>
    <w:rsid w:val="003A01CE"/>
    <w:rsid w:val="003A128F"/>
    <w:rsid w:val="003A1B9F"/>
    <w:rsid w:val="003A1CF9"/>
    <w:rsid w:val="003A1F3B"/>
    <w:rsid w:val="003A3565"/>
    <w:rsid w:val="003A3734"/>
    <w:rsid w:val="003A3FB4"/>
    <w:rsid w:val="003A47CF"/>
    <w:rsid w:val="003A4A06"/>
    <w:rsid w:val="003A4FBC"/>
    <w:rsid w:val="003A4FD8"/>
    <w:rsid w:val="003A5C67"/>
    <w:rsid w:val="003A745E"/>
    <w:rsid w:val="003A7EC7"/>
    <w:rsid w:val="003B05B3"/>
    <w:rsid w:val="003B0802"/>
    <w:rsid w:val="003B1C38"/>
    <w:rsid w:val="003B270C"/>
    <w:rsid w:val="003B39DA"/>
    <w:rsid w:val="003B3AA5"/>
    <w:rsid w:val="003B4BBA"/>
    <w:rsid w:val="003B52C9"/>
    <w:rsid w:val="003B6356"/>
    <w:rsid w:val="003B64CA"/>
    <w:rsid w:val="003B67CB"/>
    <w:rsid w:val="003B6D29"/>
    <w:rsid w:val="003B7471"/>
    <w:rsid w:val="003B7A6F"/>
    <w:rsid w:val="003C094F"/>
    <w:rsid w:val="003C0B4C"/>
    <w:rsid w:val="003C11B4"/>
    <w:rsid w:val="003C15E6"/>
    <w:rsid w:val="003C2031"/>
    <w:rsid w:val="003C2795"/>
    <w:rsid w:val="003C423F"/>
    <w:rsid w:val="003C52BE"/>
    <w:rsid w:val="003C5BAF"/>
    <w:rsid w:val="003C61E4"/>
    <w:rsid w:val="003C7635"/>
    <w:rsid w:val="003C76CA"/>
    <w:rsid w:val="003C7D21"/>
    <w:rsid w:val="003D096A"/>
    <w:rsid w:val="003D28CB"/>
    <w:rsid w:val="003D2CC7"/>
    <w:rsid w:val="003D2E01"/>
    <w:rsid w:val="003D31A3"/>
    <w:rsid w:val="003D53A2"/>
    <w:rsid w:val="003D5731"/>
    <w:rsid w:val="003D6FCC"/>
    <w:rsid w:val="003D7A77"/>
    <w:rsid w:val="003E0267"/>
    <w:rsid w:val="003E0331"/>
    <w:rsid w:val="003E0F72"/>
    <w:rsid w:val="003E1022"/>
    <w:rsid w:val="003E1741"/>
    <w:rsid w:val="003E1EB2"/>
    <w:rsid w:val="003E4A46"/>
    <w:rsid w:val="003E4E67"/>
    <w:rsid w:val="003E5D0A"/>
    <w:rsid w:val="003E68F0"/>
    <w:rsid w:val="003E7EAD"/>
    <w:rsid w:val="003E7ED8"/>
    <w:rsid w:val="003F0B65"/>
    <w:rsid w:val="003F0EE1"/>
    <w:rsid w:val="003F13C9"/>
    <w:rsid w:val="003F1576"/>
    <w:rsid w:val="003F269A"/>
    <w:rsid w:val="003F3800"/>
    <w:rsid w:val="003F408B"/>
    <w:rsid w:val="003F571D"/>
    <w:rsid w:val="003F5B4E"/>
    <w:rsid w:val="003F5FEA"/>
    <w:rsid w:val="003F704E"/>
    <w:rsid w:val="003F73E7"/>
    <w:rsid w:val="00400C63"/>
    <w:rsid w:val="00400D25"/>
    <w:rsid w:val="004010F3"/>
    <w:rsid w:val="004011E0"/>
    <w:rsid w:val="00401819"/>
    <w:rsid w:val="00403C57"/>
    <w:rsid w:val="0040439A"/>
    <w:rsid w:val="00404C48"/>
    <w:rsid w:val="0040509C"/>
    <w:rsid w:val="00406388"/>
    <w:rsid w:val="0040765C"/>
    <w:rsid w:val="00410447"/>
    <w:rsid w:val="00410D03"/>
    <w:rsid w:val="00411A7B"/>
    <w:rsid w:val="00412B0E"/>
    <w:rsid w:val="00412B76"/>
    <w:rsid w:val="00413337"/>
    <w:rsid w:val="004137CF"/>
    <w:rsid w:val="00417930"/>
    <w:rsid w:val="004208A9"/>
    <w:rsid w:val="0042274A"/>
    <w:rsid w:val="00422881"/>
    <w:rsid w:val="004259FF"/>
    <w:rsid w:val="00426AF9"/>
    <w:rsid w:val="0043059A"/>
    <w:rsid w:val="00430DBB"/>
    <w:rsid w:val="00432AC2"/>
    <w:rsid w:val="00432CF7"/>
    <w:rsid w:val="00433534"/>
    <w:rsid w:val="00433DD3"/>
    <w:rsid w:val="004354EA"/>
    <w:rsid w:val="00435F51"/>
    <w:rsid w:val="004363B4"/>
    <w:rsid w:val="004365DF"/>
    <w:rsid w:val="00436987"/>
    <w:rsid w:val="00436B5C"/>
    <w:rsid w:val="004407FF"/>
    <w:rsid w:val="00440B49"/>
    <w:rsid w:val="00441E3B"/>
    <w:rsid w:val="00441F84"/>
    <w:rsid w:val="00441FCF"/>
    <w:rsid w:val="004425B0"/>
    <w:rsid w:val="00443A03"/>
    <w:rsid w:val="00443D72"/>
    <w:rsid w:val="00443DD1"/>
    <w:rsid w:val="00443E9F"/>
    <w:rsid w:val="00444776"/>
    <w:rsid w:val="00445DB7"/>
    <w:rsid w:val="0044659C"/>
    <w:rsid w:val="0044691D"/>
    <w:rsid w:val="00446C44"/>
    <w:rsid w:val="00447344"/>
    <w:rsid w:val="004510DE"/>
    <w:rsid w:val="00452D6C"/>
    <w:rsid w:val="00453EA5"/>
    <w:rsid w:val="004540CB"/>
    <w:rsid w:val="00454FBF"/>
    <w:rsid w:val="00456623"/>
    <w:rsid w:val="00456B0A"/>
    <w:rsid w:val="004603A6"/>
    <w:rsid w:val="00461924"/>
    <w:rsid w:val="004625A2"/>
    <w:rsid w:val="0046566A"/>
    <w:rsid w:val="004660AF"/>
    <w:rsid w:val="00466911"/>
    <w:rsid w:val="00467490"/>
    <w:rsid w:val="00470717"/>
    <w:rsid w:val="004707E3"/>
    <w:rsid w:val="00470DED"/>
    <w:rsid w:val="004721D6"/>
    <w:rsid w:val="004722D5"/>
    <w:rsid w:val="0047545B"/>
    <w:rsid w:val="004759D7"/>
    <w:rsid w:val="00475D19"/>
    <w:rsid w:val="00476A5B"/>
    <w:rsid w:val="00480D2B"/>
    <w:rsid w:val="00481575"/>
    <w:rsid w:val="00481752"/>
    <w:rsid w:val="0048183C"/>
    <w:rsid w:val="0048252F"/>
    <w:rsid w:val="00483797"/>
    <w:rsid w:val="00483893"/>
    <w:rsid w:val="00484207"/>
    <w:rsid w:val="00484C0F"/>
    <w:rsid w:val="004850C5"/>
    <w:rsid w:val="00486AFF"/>
    <w:rsid w:val="00487A1C"/>
    <w:rsid w:val="00491D3A"/>
    <w:rsid w:val="00494A22"/>
    <w:rsid w:val="00494E0A"/>
    <w:rsid w:val="004950EE"/>
    <w:rsid w:val="00495E9F"/>
    <w:rsid w:val="00496275"/>
    <w:rsid w:val="004967A0"/>
    <w:rsid w:val="0049698A"/>
    <w:rsid w:val="0049707C"/>
    <w:rsid w:val="004979F5"/>
    <w:rsid w:val="004A02E3"/>
    <w:rsid w:val="004A0A94"/>
    <w:rsid w:val="004A1D0E"/>
    <w:rsid w:val="004A2732"/>
    <w:rsid w:val="004A2D8B"/>
    <w:rsid w:val="004A3A8D"/>
    <w:rsid w:val="004A4420"/>
    <w:rsid w:val="004A4A20"/>
    <w:rsid w:val="004A4C5B"/>
    <w:rsid w:val="004A572F"/>
    <w:rsid w:val="004A59E8"/>
    <w:rsid w:val="004A64EB"/>
    <w:rsid w:val="004A739E"/>
    <w:rsid w:val="004A7824"/>
    <w:rsid w:val="004B1EA2"/>
    <w:rsid w:val="004B22F7"/>
    <w:rsid w:val="004B2A40"/>
    <w:rsid w:val="004B337C"/>
    <w:rsid w:val="004B3C80"/>
    <w:rsid w:val="004B4BC2"/>
    <w:rsid w:val="004B4F68"/>
    <w:rsid w:val="004B4FAE"/>
    <w:rsid w:val="004B56B8"/>
    <w:rsid w:val="004B5BD4"/>
    <w:rsid w:val="004B5FDF"/>
    <w:rsid w:val="004B6669"/>
    <w:rsid w:val="004B66E5"/>
    <w:rsid w:val="004B7008"/>
    <w:rsid w:val="004B7D48"/>
    <w:rsid w:val="004C023B"/>
    <w:rsid w:val="004C0320"/>
    <w:rsid w:val="004C1AB3"/>
    <w:rsid w:val="004C211E"/>
    <w:rsid w:val="004C2258"/>
    <w:rsid w:val="004C22BB"/>
    <w:rsid w:val="004C3BDD"/>
    <w:rsid w:val="004C40BC"/>
    <w:rsid w:val="004C4627"/>
    <w:rsid w:val="004C5146"/>
    <w:rsid w:val="004C5155"/>
    <w:rsid w:val="004C57BA"/>
    <w:rsid w:val="004C5E18"/>
    <w:rsid w:val="004C6349"/>
    <w:rsid w:val="004C7F46"/>
    <w:rsid w:val="004D0C4C"/>
    <w:rsid w:val="004D0E9C"/>
    <w:rsid w:val="004D18C1"/>
    <w:rsid w:val="004D1B11"/>
    <w:rsid w:val="004D1F42"/>
    <w:rsid w:val="004D2210"/>
    <w:rsid w:val="004D249B"/>
    <w:rsid w:val="004D296E"/>
    <w:rsid w:val="004D329E"/>
    <w:rsid w:val="004D6727"/>
    <w:rsid w:val="004D6763"/>
    <w:rsid w:val="004D6C11"/>
    <w:rsid w:val="004D6C77"/>
    <w:rsid w:val="004D6E15"/>
    <w:rsid w:val="004D6EB5"/>
    <w:rsid w:val="004D7C68"/>
    <w:rsid w:val="004E1073"/>
    <w:rsid w:val="004E15B9"/>
    <w:rsid w:val="004E1FC6"/>
    <w:rsid w:val="004E1FCF"/>
    <w:rsid w:val="004E2BC5"/>
    <w:rsid w:val="004E4C07"/>
    <w:rsid w:val="004E4C89"/>
    <w:rsid w:val="004E5C03"/>
    <w:rsid w:val="004E6060"/>
    <w:rsid w:val="004E63A4"/>
    <w:rsid w:val="004E65EB"/>
    <w:rsid w:val="004E781D"/>
    <w:rsid w:val="004E7954"/>
    <w:rsid w:val="004F058F"/>
    <w:rsid w:val="004F0C30"/>
    <w:rsid w:val="004F1AE6"/>
    <w:rsid w:val="004F217F"/>
    <w:rsid w:val="004F307D"/>
    <w:rsid w:val="004F343B"/>
    <w:rsid w:val="004F45ED"/>
    <w:rsid w:val="004F49A5"/>
    <w:rsid w:val="004F51A4"/>
    <w:rsid w:val="004F51E8"/>
    <w:rsid w:val="004F6CBD"/>
    <w:rsid w:val="0050019E"/>
    <w:rsid w:val="0050049B"/>
    <w:rsid w:val="0050311E"/>
    <w:rsid w:val="00503704"/>
    <w:rsid w:val="00503FDF"/>
    <w:rsid w:val="0050421D"/>
    <w:rsid w:val="00504B5B"/>
    <w:rsid w:val="00504D59"/>
    <w:rsid w:val="00507BCE"/>
    <w:rsid w:val="00507E4A"/>
    <w:rsid w:val="005136D6"/>
    <w:rsid w:val="00513801"/>
    <w:rsid w:val="00514595"/>
    <w:rsid w:val="0051597F"/>
    <w:rsid w:val="0051730C"/>
    <w:rsid w:val="00520C64"/>
    <w:rsid w:val="00520F08"/>
    <w:rsid w:val="00521FDE"/>
    <w:rsid w:val="00523037"/>
    <w:rsid w:val="005230B0"/>
    <w:rsid w:val="0052501F"/>
    <w:rsid w:val="005254EC"/>
    <w:rsid w:val="00525DA8"/>
    <w:rsid w:val="005308D1"/>
    <w:rsid w:val="005311D5"/>
    <w:rsid w:val="005313F7"/>
    <w:rsid w:val="005317A5"/>
    <w:rsid w:val="00531A54"/>
    <w:rsid w:val="00532509"/>
    <w:rsid w:val="005326C5"/>
    <w:rsid w:val="0053293A"/>
    <w:rsid w:val="00532BDC"/>
    <w:rsid w:val="00532E2C"/>
    <w:rsid w:val="005343F5"/>
    <w:rsid w:val="0053542D"/>
    <w:rsid w:val="00535F1A"/>
    <w:rsid w:val="00536217"/>
    <w:rsid w:val="005407C1"/>
    <w:rsid w:val="00540D86"/>
    <w:rsid w:val="00541F2E"/>
    <w:rsid w:val="00541F8A"/>
    <w:rsid w:val="005437D1"/>
    <w:rsid w:val="00543F64"/>
    <w:rsid w:val="00544F15"/>
    <w:rsid w:val="00545025"/>
    <w:rsid w:val="00545FA8"/>
    <w:rsid w:val="005464D6"/>
    <w:rsid w:val="00547B49"/>
    <w:rsid w:val="00551218"/>
    <w:rsid w:val="005524A3"/>
    <w:rsid w:val="0055342E"/>
    <w:rsid w:val="005538BC"/>
    <w:rsid w:val="00555116"/>
    <w:rsid w:val="005557B1"/>
    <w:rsid w:val="00556815"/>
    <w:rsid w:val="00556EA9"/>
    <w:rsid w:val="00557927"/>
    <w:rsid w:val="00557A54"/>
    <w:rsid w:val="0056092E"/>
    <w:rsid w:val="00560BC3"/>
    <w:rsid w:val="00561DAD"/>
    <w:rsid w:val="005624AF"/>
    <w:rsid w:val="00562E6F"/>
    <w:rsid w:val="00563BD4"/>
    <w:rsid w:val="00563F65"/>
    <w:rsid w:val="005640C5"/>
    <w:rsid w:val="0056455C"/>
    <w:rsid w:val="0056489B"/>
    <w:rsid w:val="0056542B"/>
    <w:rsid w:val="00565959"/>
    <w:rsid w:val="005676A8"/>
    <w:rsid w:val="0056785D"/>
    <w:rsid w:val="00567926"/>
    <w:rsid w:val="00567C30"/>
    <w:rsid w:val="00567DDE"/>
    <w:rsid w:val="00567F56"/>
    <w:rsid w:val="0057269D"/>
    <w:rsid w:val="00574C32"/>
    <w:rsid w:val="00574C7E"/>
    <w:rsid w:val="0057625F"/>
    <w:rsid w:val="00577517"/>
    <w:rsid w:val="0058123B"/>
    <w:rsid w:val="00581C79"/>
    <w:rsid w:val="0058450A"/>
    <w:rsid w:val="0058455E"/>
    <w:rsid w:val="00585DFC"/>
    <w:rsid w:val="005902DE"/>
    <w:rsid w:val="00590E7C"/>
    <w:rsid w:val="0059148D"/>
    <w:rsid w:val="005915F0"/>
    <w:rsid w:val="00591ED1"/>
    <w:rsid w:val="00592B9A"/>
    <w:rsid w:val="005938A9"/>
    <w:rsid w:val="0059416F"/>
    <w:rsid w:val="0059664E"/>
    <w:rsid w:val="00596CC9"/>
    <w:rsid w:val="00596E95"/>
    <w:rsid w:val="00596F2D"/>
    <w:rsid w:val="005A00E9"/>
    <w:rsid w:val="005A01FF"/>
    <w:rsid w:val="005A042D"/>
    <w:rsid w:val="005A049E"/>
    <w:rsid w:val="005A085D"/>
    <w:rsid w:val="005A0E44"/>
    <w:rsid w:val="005A1642"/>
    <w:rsid w:val="005A25B3"/>
    <w:rsid w:val="005A28F1"/>
    <w:rsid w:val="005A2CC3"/>
    <w:rsid w:val="005A39E0"/>
    <w:rsid w:val="005A4260"/>
    <w:rsid w:val="005A4DD0"/>
    <w:rsid w:val="005A4F10"/>
    <w:rsid w:val="005A5187"/>
    <w:rsid w:val="005A5C02"/>
    <w:rsid w:val="005A5CFD"/>
    <w:rsid w:val="005A5DE5"/>
    <w:rsid w:val="005B03E3"/>
    <w:rsid w:val="005B056C"/>
    <w:rsid w:val="005B29D2"/>
    <w:rsid w:val="005B2E9C"/>
    <w:rsid w:val="005B347D"/>
    <w:rsid w:val="005B3830"/>
    <w:rsid w:val="005B4DB7"/>
    <w:rsid w:val="005B5DD7"/>
    <w:rsid w:val="005B5F3C"/>
    <w:rsid w:val="005B61EF"/>
    <w:rsid w:val="005B685C"/>
    <w:rsid w:val="005B6A80"/>
    <w:rsid w:val="005B6D9B"/>
    <w:rsid w:val="005C0212"/>
    <w:rsid w:val="005C0220"/>
    <w:rsid w:val="005C030B"/>
    <w:rsid w:val="005C04E7"/>
    <w:rsid w:val="005C26E8"/>
    <w:rsid w:val="005C2FAD"/>
    <w:rsid w:val="005C329E"/>
    <w:rsid w:val="005C4E65"/>
    <w:rsid w:val="005C7021"/>
    <w:rsid w:val="005C706A"/>
    <w:rsid w:val="005C71C1"/>
    <w:rsid w:val="005C78B8"/>
    <w:rsid w:val="005D109D"/>
    <w:rsid w:val="005D2502"/>
    <w:rsid w:val="005D2E08"/>
    <w:rsid w:val="005D31D1"/>
    <w:rsid w:val="005D3802"/>
    <w:rsid w:val="005D47BA"/>
    <w:rsid w:val="005E0083"/>
    <w:rsid w:val="005E1285"/>
    <w:rsid w:val="005E17FD"/>
    <w:rsid w:val="005E1806"/>
    <w:rsid w:val="005E1A6B"/>
    <w:rsid w:val="005E34C0"/>
    <w:rsid w:val="005E5B99"/>
    <w:rsid w:val="005E5CF7"/>
    <w:rsid w:val="005E6BD7"/>
    <w:rsid w:val="005E6BE5"/>
    <w:rsid w:val="005E6C65"/>
    <w:rsid w:val="005E72EB"/>
    <w:rsid w:val="005F072A"/>
    <w:rsid w:val="005F148B"/>
    <w:rsid w:val="005F1550"/>
    <w:rsid w:val="005F31D2"/>
    <w:rsid w:val="005F4314"/>
    <w:rsid w:val="005F4D72"/>
    <w:rsid w:val="005F5358"/>
    <w:rsid w:val="005F5913"/>
    <w:rsid w:val="005F5A0F"/>
    <w:rsid w:val="005F6C51"/>
    <w:rsid w:val="005F6D4B"/>
    <w:rsid w:val="005F6DB7"/>
    <w:rsid w:val="005F7BEE"/>
    <w:rsid w:val="005F7FFC"/>
    <w:rsid w:val="006004EF"/>
    <w:rsid w:val="00600B5F"/>
    <w:rsid w:val="00601B99"/>
    <w:rsid w:val="00602700"/>
    <w:rsid w:val="006048B9"/>
    <w:rsid w:val="00606527"/>
    <w:rsid w:val="00606D8B"/>
    <w:rsid w:val="0061144B"/>
    <w:rsid w:val="00612AD9"/>
    <w:rsid w:val="00612D2E"/>
    <w:rsid w:val="006138D7"/>
    <w:rsid w:val="00614C6E"/>
    <w:rsid w:val="00615316"/>
    <w:rsid w:val="00615E27"/>
    <w:rsid w:val="00615FB9"/>
    <w:rsid w:val="00617E01"/>
    <w:rsid w:val="00617FCB"/>
    <w:rsid w:val="00620285"/>
    <w:rsid w:val="00620970"/>
    <w:rsid w:val="0062202E"/>
    <w:rsid w:val="0062232C"/>
    <w:rsid w:val="00623CA5"/>
    <w:rsid w:val="006248AE"/>
    <w:rsid w:val="00624B15"/>
    <w:rsid w:val="00625609"/>
    <w:rsid w:val="0062589E"/>
    <w:rsid w:val="00625AF8"/>
    <w:rsid w:val="00625F32"/>
    <w:rsid w:val="0062606F"/>
    <w:rsid w:val="00626437"/>
    <w:rsid w:val="006265AA"/>
    <w:rsid w:val="00627A2C"/>
    <w:rsid w:val="00627A2E"/>
    <w:rsid w:val="0063477B"/>
    <w:rsid w:val="00634AEC"/>
    <w:rsid w:val="00635027"/>
    <w:rsid w:val="00635621"/>
    <w:rsid w:val="00635A01"/>
    <w:rsid w:val="0063616A"/>
    <w:rsid w:val="00636D8B"/>
    <w:rsid w:val="006412D8"/>
    <w:rsid w:val="00642178"/>
    <w:rsid w:val="00644AC6"/>
    <w:rsid w:val="00645A61"/>
    <w:rsid w:val="00646150"/>
    <w:rsid w:val="00647295"/>
    <w:rsid w:val="00647A2F"/>
    <w:rsid w:val="0065029B"/>
    <w:rsid w:val="00650BFF"/>
    <w:rsid w:val="00650D0D"/>
    <w:rsid w:val="00651EDF"/>
    <w:rsid w:val="00652754"/>
    <w:rsid w:val="00652F77"/>
    <w:rsid w:val="006532C6"/>
    <w:rsid w:val="00654419"/>
    <w:rsid w:val="0065481F"/>
    <w:rsid w:val="00655D3D"/>
    <w:rsid w:val="00655E60"/>
    <w:rsid w:val="00657844"/>
    <w:rsid w:val="0066005F"/>
    <w:rsid w:val="00660110"/>
    <w:rsid w:val="00660796"/>
    <w:rsid w:val="00660C7A"/>
    <w:rsid w:val="0066151E"/>
    <w:rsid w:val="00663025"/>
    <w:rsid w:val="00663940"/>
    <w:rsid w:val="00665753"/>
    <w:rsid w:val="00670AA2"/>
    <w:rsid w:val="00670C70"/>
    <w:rsid w:val="00670D38"/>
    <w:rsid w:val="006713F8"/>
    <w:rsid w:val="00671F3A"/>
    <w:rsid w:val="0067237E"/>
    <w:rsid w:val="00672B62"/>
    <w:rsid w:val="00672EC9"/>
    <w:rsid w:val="0067480F"/>
    <w:rsid w:val="006769CF"/>
    <w:rsid w:val="00676DE8"/>
    <w:rsid w:val="006808A0"/>
    <w:rsid w:val="00681EF3"/>
    <w:rsid w:val="006821C2"/>
    <w:rsid w:val="0068297A"/>
    <w:rsid w:val="00682ABA"/>
    <w:rsid w:val="00682BD2"/>
    <w:rsid w:val="00685378"/>
    <w:rsid w:val="00686F9B"/>
    <w:rsid w:val="0068761E"/>
    <w:rsid w:val="00690306"/>
    <w:rsid w:val="00692B8F"/>
    <w:rsid w:val="00694010"/>
    <w:rsid w:val="00694035"/>
    <w:rsid w:val="0069450C"/>
    <w:rsid w:val="006948B3"/>
    <w:rsid w:val="00695399"/>
    <w:rsid w:val="00695DBE"/>
    <w:rsid w:val="00696E40"/>
    <w:rsid w:val="00697F32"/>
    <w:rsid w:val="006A037D"/>
    <w:rsid w:val="006A166C"/>
    <w:rsid w:val="006A234C"/>
    <w:rsid w:val="006A44F9"/>
    <w:rsid w:val="006A53CE"/>
    <w:rsid w:val="006A5A2E"/>
    <w:rsid w:val="006A6434"/>
    <w:rsid w:val="006A769E"/>
    <w:rsid w:val="006A79D1"/>
    <w:rsid w:val="006A7F2B"/>
    <w:rsid w:val="006B06DF"/>
    <w:rsid w:val="006B0912"/>
    <w:rsid w:val="006B1303"/>
    <w:rsid w:val="006B1836"/>
    <w:rsid w:val="006B3990"/>
    <w:rsid w:val="006B43E4"/>
    <w:rsid w:val="006B45FE"/>
    <w:rsid w:val="006B4DB4"/>
    <w:rsid w:val="006B4F55"/>
    <w:rsid w:val="006B5A15"/>
    <w:rsid w:val="006C0F90"/>
    <w:rsid w:val="006C2004"/>
    <w:rsid w:val="006C4EC8"/>
    <w:rsid w:val="006C4ED4"/>
    <w:rsid w:val="006C5455"/>
    <w:rsid w:val="006C5CF8"/>
    <w:rsid w:val="006C66A5"/>
    <w:rsid w:val="006C675C"/>
    <w:rsid w:val="006C6C60"/>
    <w:rsid w:val="006C6C7B"/>
    <w:rsid w:val="006C6D5B"/>
    <w:rsid w:val="006C7074"/>
    <w:rsid w:val="006C77D6"/>
    <w:rsid w:val="006C7CD6"/>
    <w:rsid w:val="006D0372"/>
    <w:rsid w:val="006D0495"/>
    <w:rsid w:val="006D0C83"/>
    <w:rsid w:val="006D1861"/>
    <w:rsid w:val="006D239A"/>
    <w:rsid w:val="006D23F3"/>
    <w:rsid w:val="006D23F5"/>
    <w:rsid w:val="006D28F2"/>
    <w:rsid w:val="006D37D4"/>
    <w:rsid w:val="006D51E0"/>
    <w:rsid w:val="006E0636"/>
    <w:rsid w:val="006E1B01"/>
    <w:rsid w:val="006E4A80"/>
    <w:rsid w:val="006E4B62"/>
    <w:rsid w:val="006E4EEA"/>
    <w:rsid w:val="006E5F9C"/>
    <w:rsid w:val="006F01FB"/>
    <w:rsid w:val="006F0EBD"/>
    <w:rsid w:val="006F257C"/>
    <w:rsid w:val="006F308B"/>
    <w:rsid w:val="0070005D"/>
    <w:rsid w:val="00700ABC"/>
    <w:rsid w:val="00701E56"/>
    <w:rsid w:val="0070235F"/>
    <w:rsid w:val="0070366A"/>
    <w:rsid w:val="00704176"/>
    <w:rsid w:val="00705DB2"/>
    <w:rsid w:val="0070729C"/>
    <w:rsid w:val="00707339"/>
    <w:rsid w:val="007073D2"/>
    <w:rsid w:val="007079A0"/>
    <w:rsid w:val="00707E05"/>
    <w:rsid w:val="00710202"/>
    <w:rsid w:val="00710BB3"/>
    <w:rsid w:val="00711EB9"/>
    <w:rsid w:val="00712FB0"/>
    <w:rsid w:val="007139E4"/>
    <w:rsid w:val="00714638"/>
    <w:rsid w:val="00716999"/>
    <w:rsid w:val="00716F96"/>
    <w:rsid w:val="007201A9"/>
    <w:rsid w:val="00720358"/>
    <w:rsid w:val="007206CE"/>
    <w:rsid w:val="007214DC"/>
    <w:rsid w:val="00722B60"/>
    <w:rsid w:val="00723C02"/>
    <w:rsid w:val="00723D8F"/>
    <w:rsid w:val="00725FC9"/>
    <w:rsid w:val="00726418"/>
    <w:rsid w:val="007272E6"/>
    <w:rsid w:val="00730146"/>
    <w:rsid w:val="007304D3"/>
    <w:rsid w:val="00730DEA"/>
    <w:rsid w:val="00732E23"/>
    <w:rsid w:val="00733C49"/>
    <w:rsid w:val="00733C5E"/>
    <w:rsid w:val="00733C94"/>
    <w:rsid w:val="00734262"/>
    <w:rsid w:val="007346E1"/>
    <w:rsid w:val="007350E2"/>
    <w:rsid w:val="0073577F"/>
    <w:rsid w:val="00735E96"/>
    <w:rsid w:val="00735FE9"/>
    <w:rsid w:val="00737370"/>
    <w:rsid w:val="00737FA8"/>
    <w:rsid w:val="00740A34"/>
    <w:rsid w:val="00740D2E"/>
    <w:rsid w:val="00741076"/>
    <w:rsid w:val="0074299C"/>
    <w:rsid w:val="00743AA8"/>
    <w:rsid w:val="00745143"/>
    <w:rsid w:val="0074615E"/>
    <w:rsid w:val="00747529"/>
    <w:rsid w:val="00747644"/>
    <w:rsid w:val="007479B6"/>
    <w:rsid w:val="00747E6B"/>
    <w:rsid w:val="00747F7D"/>
    <w:rsid w:val="007508FD"/>
    <w:rsid w:val="00750C78"/>
    <w:rsid w:val="00750D16"/>
    <w:rsid w:val="00752EA1"/>
    <w:rsid w:val="00752F40"/>
    <w:rsid w:val="00753DA4"/>
    <w:rsid w:val="0075553C"/>
    <w:rsid w:val="00756459"/>
    <w:rsid w:val="007571CB"/>
    <w:rsid w:val="00757285"/>
    <w:rsid w:val="00757757"/>
    <w:rsid w:val="00761DBB"/>
    <w:rsid w:val="0076244B"/>
    <w:rsid w:val="007635BD"/>
    <w:rsid w:val="00763C9B"/>
    <w:rsid w:val="0076401E"/>
    <w:rsid w:val="00764AD3"/>
    <w:rsid w:val="00764EC0"/>
    <w:rsid w:val="007651B2"/>
    <w:rsid w:val="00766326"/>
    <w:rsid w:val="007704C2"/>
    <w:rsid w:val="00770FE1"/>
    <w:rsid w:val="00771863"/>
    <w:rsid w:val="00771993"/>
    <w:rsid w:val="00773016"/>
    <w:rsid w:val="00773311"/>
    <w:rsid w:val="0077379B"/>
    <w:rsid w:val="007753C9"/>
    <w:rsid w:val="007762BE"/>
    <w:rsid w:val="00776327"/>
    <w:rsid w:val="0077669A"/>
    <w:rsid w:val="00777446"/>
    <w:rsid w:val="007777EA"/>
    <w:rsid w:val="00780891"/>
    <w:rsid w:val="00782F8E"/>
    <w:rsid w:val="007834BA"/>
    <w:rsid w:val="007840D6"/>
    <w:rsid w:val="00784CFA"/>
    <w:rsid w:val="007860FE"/>
    <w:rsid w:val="00786D89"/>
    <w:rsid w:val="00790C06"/>
    <w:rsid w:val="00791C73"/>
    <w:rsid w:val="00791D87"/>
    <w:rsid w:val="00793125"/>
    <w:rsid w:val="007957C2"/>
    <w:rsid w:val="007969FD"/>
    <w:rsid w:val="00796B8B"/>
    <w:rsid w:val="007972D7"/>
    <w:rsid w:val="007A078E"/>
    <w:rsid w:val="007A0AEB"/>
    <w:rsid w:val="007A0FCA"/>
    <w:rsid w:val="007A1364"/>
    <w:rsid w:val="007A1AB7"/>
    <w:rsid w:val="007A22D9"/>
    <w:rsid w:val="007A2934"/>
    <w:rsid w:val="007A30AE"/>
    <w:rsid w:val="007A30C2"/>
    <w:rsid w:val="007A30E0"/>
    <w:rsid w:val="007A3808"/>
    <w:rsid w:val="007A3B2D"/>
    <w:rsid w:val="007A3E55"/>
    <w:rsid w:val="007A63BD"/>
    <w:rsid w:val="007A6559"/>
    <w:rsid w:val="007A7CFC"/>
    <w:rsid w:val="007B19C5"/>
    <w:rsid w:val="007B2AEA"/>
    <w:rsid w:val="007B2FA3"/>
    <w:rsid w:val="007B3C0E"/>
    <w:rsid w:val="007B47B8"/>
    <w:rsid w:val="007B481B"/>
    <w:rsid w:val="007B4929"/>
    <w:rsid w:val="007B5AFC"/>
    <w:rsid w:val="007B7608"/>
    <w:rsid w:val="007B7C0D"/>
    <w:rsid w:val="007C26AD"/>
    <w:rsid w:val="007C3705"/>
    <w:rsid w:val="007C3B16"/>
    <w:rsid w:val="007C5480"/>
    <w:rsid w:val="007C5FF2"/>
    <w:rsid w:val="007C637F"/>
    <w:rsid w:val="007C645A"/>
    <w:rsid w:val="007C6DE5"/>
    <w:rsid w:val="007C6EFD"/>
    <w:rsid w:val="007C723B"/>
    <w:rsid w:val="007C7933"/>
    <w:rsid w:val="007D02CE"/>
    <w:rsid w:val="007D0AEC"/>
    <w:rsid w:val="007D106B"/>
    <w:rsid w:val="007D11E7"/>
    <w:rsid w:val="007D18B7"/>
    <w:rsid w:val="007D1F9D"/>
    <w:rsid w:val="007D25E6"/>
    <w:rsid w:val="007D33A4"/>
    <w:rsid w:val="007D36D3"/>
    <w:rsid w:val="007D3FF3"/>
    <w:rsid w:val="007D58C0"/>
    <w:rsid w:val="007D7C9A"/>
    <w:rsid w:val="007E0649"/>
    <w:rsid w:val="007E2F04"/>
    <w:rsid w:val="007E40D5"/>
    <w:rsid w:val="007E6E72"/>
    <w:rsid w:val="007E7028"/>
    <w:rsid w:val="007E7468"/>
    <w:rsid w:val="007E78B7"/>
    <w:rsid w:val="007F05D9"/>
    <w:rsid w:val="007F0A5D"/>
    <w:rsid w:val="007F127F"/>
    <w:rsid w:val="007F1CFE"/>
    <w:rsid w:val="007F1F98"/>
    <w:rsid w:val="007F2778"/>
    <w:rsid w:val="007F31D9"/>
    <w:rsid w:val="007F32AE"/>
    <w:rsid w:val="007F3905"/>
    <w:rsid w:val="007F3A15"/>
    <w:rsid w:val="007F4183"/>
    <w:rsid w:val="007F57C2"/>
    <w:rsid w:val="007F5F26"/>
    <w:rsid w:val="007F6ABD"/>
    <w:rsid w:val="007F6C4B"/>
    <w:rsid w:val="007F7455"/>
    <w:rsid w:val="008006AC"/>
    <w:rsid w:val="008007E0"/>
    <w:rsid w:val="0080120B"/>
    <w:rsid w:val="008040BE"/>
    <w:rsid w:val="00804F99"/>
    <w:rsid w:val="00805341"/>
    <w:rsid w:val="00810BDA"/>
    <w:rsid w:val="00811970"/>
    <w:rsid w:val="00811AA5"/>
    <w:rsid w:val="00811B71"/>
    <w:rsid w:val="00811D28"/>
    <w:rsid w:val="00812A96"/>
    <w:rsid w:val="00812FF5"/>
    <w:rsid w:val="008134ED"/>
    <w:rsid w:val="008141CD"/>
    <w:rsid w:val="008143C0"/>
    <w:rsid w:val="00815371"/>
    <w:rsid w:val="00815DB6"/>
    <w:rsid w:val="008164E7"/>
    <w:rsid w:val="00817246"/>
    <w:rsid w:val="008177E9"/>
    <w:rsid w:val="0081795E"/>
    <w:rsid w:val="00817F11"/>
    <w:rsid w:val="00820143"/>
    <w:rsid w:val="008206A5"/>
    <w:rsid w:val="0082286C"/>
    <w:rsid w:val="00822DE7"/>
    <w:rsid w:val="0082642D"/>
    <w:rsid w:val="00827016"/>
    <w:rsid w:val="00830AD4"/>
    <w:rsid w:val="00831ACF"/>
    <w:rsid w:val="00832406"/>
    <w:rsid w:val="00832C06"/>
    <w:rsid w:val="00833249"/>
    <w:rsid w:val="00834581"/>
    <w:rsid w:val="00835D35"/>
    <w:rsid w:val="00836B58"/>
    <w:rsid w:val="00836F13"/>
    <w:rsid w:val="00836F6C"/>
    <w:rsid w:val="0083735A"/>
    <w:rsid w:val="00842A1E"/>
    <w:rsid w:val="008430EC"/>
    <w:rsid w:val="00843599"/>
    <w:rsid w:val="00845F8F"/>
    <w:rsid w:val="00846008"/>
    <w:rsid w:val="008469A8"/>
    <w:rsid w:val="008479F1"/>
    <w:rsid w:val="00847B75"/>
    <w:rsid w:val="00850125"/>
    <w:rsid w:val="00850B68"/>
    <w:rsid w:val="0085216D"/>
    <w:rsid w:val="00853D80"/>
    <w:rsid w:val="00855250"/>
    <w:rsid w:val="00856A5A"/>
    <w:rsid w:val="00863D84"/>
    <w:rsid w:val="0086408A"/>
    <w:rsid w:val="00864D92"/>
    <w:rsid w:val="008660DF"/>
    <w:rsid w:val="008662DC"/>
    <w:rsid w:val="00867881"/>
    <w:rsid w:val="008715DA"/>
    <w:rsid w:val="0087274D"/>
    <w:rsid w:val="00872B48"/>
    <w:rsid w:val="00873C98"/>
    <w:rsid w:val="00873EBE"/>
    <w:rsid w:val="00874FBB"/>
    <w:rsid w:val="008756B1"/>
    <w:rsid w:val="00876556"/>
    <w:rsid w:val="008767FB"/>
    <w:rsid w:val="00876D37"/>
    <w:rsid w:val="00876F25"/>
    <w:rsid w:val="00877239"/>
    <w:rsid w:val="0088064D"/>
    <w:rsid w:val="00880764"/>
    <w:rsid w:val="00881243"/>
    <w:rsid w:val="00883D86"/>
    <w:rsid w:val="00883EE5"/>
    <w:rsid w:val="008864FC"/>
    <w:rsid w:val="008870A2"/>
    <w:rsid w:val="008903CB"/>
    <w:rsid w:val="00890B9F"/>
    <w:rsid w:val="008914C5"/>
    <w:rsid w:val="0089190F"/>
    <w:rsid w:val="008922CA"/>
    <w:rsid w:val="00892D86"/>
    <w:rsid w:val="008930D5"/>
    <w:rsid w:val="00894A3F"/>
    <w:rsid w:val="008951A5"/>
    <w:rsid w:val="008A1C61"/>
    <w:rsid w:val="008A221C"/>
    <w:rsid w:val="008A28B6"/>
    <w:rsid w:val="008A2E44"/>
    <w:rsid w:val="008A3383"/>
    <w:rsid w:val="008A3C69"/>
    <w:rsid w:val="008A3E06"/>
    <w:rsid w:val="008A5511"/>
    <w:rsid w:val="008A66CA"/>
    <w:rsid w:val="008B00F8"/>
    <w:rsid w:val="008B0C9F"/>
    <w:rsid w:val="008B0E1C"/>
    <w:rsid w:val="008B1D79"/>
    <w:rsid w:val="008B287B"/>
    <w:rsid w:val="008B3172"/>
    <w:rsid w:val="008B3426"/>
    <w:rsid w:val="008B3500"/>
    <w:rsid w:val="008B4E4A"/>
    <w:rsid w:val="008B5A26"/>
    <w:rsid w:val="008B60EF"/>
    <w:rsid w:val="008C0B98"/>
    <w:rsid w:val="008C1272"/>
    <w:rsid w:val="008C13AB"/>
    <w:rsid w:val="008C1E5C"/>
    <w:rsid w:val="008C2143"/>
    <w:rsid w:val="008C26F6"/>
    <w:rsid w:val="008C288D"/>
    <w:rsid w:val="008C42E2"/>
    <w:rsid w:val="008C50B6"/>
    <w:rsid w:val="008C5763"/>
    <w:rsid w:val="008C5ACE"/>
    <w:rsid w:val="008C737E"/>
    <w:rsid w:val="008C73FC"/>
    <w:rsid w:val="008C74CD"/>
    <w:rsid w:val="008C7D5E"/>
    <w:rsid w:val="008D0784"/>
    <w:rsid w:val="008D0897"/>
    <w:rsid w:val="008D18C3"/>
    <w:rsid w:val="008D6EC8"/>
    <w:rsid w:val="008D7BD3"/>
    <w:rsid w:val="008E2562"/>
    <w:rsid w:val="008E2A95"/>
    <w:rsid w:val="008E2DBF"/>
    <w:rsid w:val="008E484C"/>
    <w:rsid w:val="008E5BB8"/>
    <w:rsid w:val="008E5CA7"/>
    <w:rsid w:val="008E6823"/>
    <w:rsid w:val="008E7D36"/>
    <w:rsid w:val="008E7F2E"/>
    <w:rsid w:val="008F0061"/>
    <w:rsid w:val="008F09F3"/>
    <w:rsid w:val="008F1A03"/>
    <w:rsid w:val="008F2C00"/>
    <w:rsid w:val="008F523C"/>
    <w:rsid w:val="008F5621"/>
    <w:rsid w:val="008F5A77"/>
    <w:rsid w:val="008F6BF5"/>
    <w:rsid w:val="008F74FD"/>
    <w:rsid w:val="009002D0"/>
    <w:rsid w:val="00900BCE"/>
    <w:rsid w:val="00900EF3"/>
    <w:rsid w:val="00901238"/>
    <w:rsid w:val="00901946"/>
    <w:rsid w:val="00902240"/>
    <w:rsid w:val="00902494"/>
    <w:rsid w:val="00902EC3"/>
    <w:rsid w:val="009037A1"/>
    <w:rsid w:val="00903F7F"/>
    <w:rsid w:val="009053D9"/>
    <w:rsid w:val="00906237"/>
    <w:rsid w:val="00906CF7"/>
    <w:rsid w:val="00907F25"/>
    <w:rsid w:val="00912303"/>
    <w:rsid w:val="00914508"/>
    <w:rsid w:val="009149BA"/>
    <w:rsid w:val="00914E39"/>
    <w:rsid w:val="00915809"/>
    <w:rsid w:val="00917721"/>
    <w:rsid w:val="0091783D"/>
    <w:rsid w:val="00917AEB"/>
    <w:rsid w:val="009213AC"/>
    <w:rsid w:val="009214A5"/>
    <w:rsid w:val="00923FB7"/>
    <w:rsid w:val="0092530C"/>
    <w:rsid w:val="00925EF4"/>
    <w:rsid w:val="0093082C"/>
    <w:rsid w:val="00931ABF"/>
    <w:rsid w:val="00932F70"/>
    <w:rsid w:val="00934F0F"/>
    <w:rsid w:val="009363D3"/>
    <w:rsid w:val="00936CEC"/>
    <w:rsid w:val="009375F5"/>
    <w:rsid w:val="0093781C"/>
    <w:rsid w:val="009408C5"/>
    <w:rsid w:val="00942126"/>
    <w:rsid w:val="009436C5"/>
    <w:rsid w:val="00943A14"/>
    <w:rsid w:val="00943E4A"/>
    <w:rsid w:val="009457B6"/>
    <w:rsid w:val="009469C9"/>
    <w:rsid w:val="00947B99"/>
    <w:rsid w:val="0095048C"/>
    <w:rsid w:val="009527C3"/>
    <w:rsid w:val="0095382E"/>
    <w:rsid w:val="00954C7D"/>
    <w:rsid w:val="00955675"/>
    <w:rsid w:val="00955CFD"/>
    <w:rsid w:val="00955F94"/>
    <w:rsid w:val="00957717"/>
    <w:rsid w:val="00957857"/>
    <w:rsid w:val="00960D00"/>
    <w:rsid w:val="009613B0"/>
    <w:rsid w:val="00961422"/>
    <w:rsid w:val="00962741"/>
    <w:rsid w:val="00962AFA"/>
    <w:rsid w:val="0096360F"/>
    <w:rsid w:val="00963994"/>
    <w:rsid w:val="00963D25"/>
    <w:rsid w:val="00970098"/>
    <w:rsid w:val="009722E2"/>
    <w:rsid w:val="00972790"/>
    <w:rsid w:val="00976104"/>
    <w:rsid w:val="009820B8"/>
    <w:rsid w:val="00982205"/>
    <w:rsid w:val="00982A5A"/>
    <w:rsid w:val="00982F2C"/>
    <w:rsid w:val="009835BF"/>
    <w:rsid w:val="00985CD9"/>
    <w:rsid w:val="00987D5F"/>
    <w:rsid w:val="009906D3"/>
    <w:rsid w:val="00991529"/>
    <w:rsid w:val="00992014"/>
    <w:rsid w:val="00992197"/>
    <w:rsid w:val="00992597"/>
    <w:rsid w:val="00993105"/>
    <w:rsid w:val="009944D9"/>
    <w:rsid w:val="0099473E"/>
    <w:rsid w:val="00994883"/>
    <w:rsid w:val="00995422"/>
    <w:rsid w:val="00995AAE"/>
    <w:rsid w:val="00996857"/>
    <w:rsid w:val="0099749E"/>
    <w:rsid w:val="009A0CAC"/>
    <w:rsid w:val="009A0EC8"/>
    <w:rsid w:val="009A206C"/>
    <w:rsid w:val="009A284A"/>
    <w:rsid w:val="009A2DA1"/>
    <w:rsid w:val="009A2DF0"/>
    <w:rsid w:val="009A38ED"/>
    <w:rsid w:val="009A5E65"/>
    <w:rsid w:val="009A614B"/>
    <w:rsid w:val="009A6AE8"/>
    <w:rsid w:val="009A7054"/>
    <w:rsid w:val="009A7307"/>
    <w:rsid w:val="009A73B9"/>
    <w:rsid w:val="009B1AC7"/>
    <w:rsid w:val="009B45D0"/>
    <w:rsid w:val="009B4735"/>
    <w:rsid w:val="009B64E1"/>
    <w:rsid w:val="009B679B"/>
    <w:rsid w:val="009C01B5"/>
    <w:rsid w:val="009C029F"/>
    <w:rsid w:val="009C2A61"/>
    <w:rsid w:val="009C441A"/>
    <w:rsid w:val="009C6740"/>
    <w:rsid w:val="009C6A50"/>
    <w:rsid w:val="009C6AE1"/>
    <w:rsid w:val="009C6D1B"/>
    <w:rsid w:val="009D00C6"/>
    <w:rsid w:val="009D0C7E"/>
    <w:rsid w:val="009D1C6A"/>
    <w:rsid w:val="009D1F00"/>
    <w:rsid w:val="009D3E09"/>
    <w:rsid w:val="009D46FB"/>
    <w:rsid w:val="009D47D8"/>
    <w:rsid w:val="009D58DE"/>
    <w:rsid w:val="009D5A2D"/>
    <w:rsid w:val="009D6B84"/>
    <w:rsid w:val="009D77D9"/>
    <w:rsid w:val="009E0579"/>
    <w:rsid w:val="009E062C"/>
    <w:rsid w:val="009E07D9"/>
    <w:rsid w:val="009E3272"/>
    <w:rsid w:val="009E355C"/>
    <w:rsid w:val="009E388B"/>
    <w:rsid w:val="009E417A"/>
    <w:rsid w:val="009E4340"/>
    <w:rsid w:val="009E4F19"/>
    <w:rsid w:val="009E50D9"/>
    <w:rsid w:val="009E7A2C"/>
    <w:rsid w:val="009F2961"/>
    <w:rsid w:val="009F2BE5"/>
    <w:rsid w:val="009F6258"/>
    <w:rsid w:val="009F6DCC"/>
    <w:rsid w:val="009F7D11"/>
    <w:rsid w:val="00A0003D"/>
    <w:rsid w:val="00A003B8"/>
    <w:rsid w:val="00A003BA"/>
    <w:rsid w:val="00A00C49"/>
    <w:rsid w:val="00A01F64"/>
    <w:rsid w:val="00A038B0"/>
    <w:rsid w:val="00A04A9A"/>
    <w:rsid w:val="00A04F7D"/>
    <w:rsid w:val="00A102E4"/>
    <w:rsid w:val="00A11475"/>
    <w:rsid w:val="00A13772"/>
    <w:rsid w:val="00A1513F"/>
    <w:rsid w:val="00A178FD"/>
    <w:rsid w:val="00A20942"/>
    <w:rsid w:val="00A20A12"/>
    <w:rsid w:val="00A20B03"/>
    <w:rsid w:val="00A21504"/>
    <w:rsid w:val="00A22FC5"/>
    <w:rsid w:val="00A23764"/>
    <w:rsid w:val="00A23AE1"/>
    <w:rsid w:val="00A23BF6"/>
    <w:rsid w:val="00A247D2"/>
    <w:rsid w:val="00A249BE"/>
    <w:rsid w:val="00A25968"/>
    <w:rsid w:val="00A26D93"/>
    <w:rsid w:val="00A275DC"/>
    <w:rsid w:val="00A27BBE"/>
    <w:rsid w:val="00A319B5"/>
    <w:rsid w:val="00A32C58"/>
    <w:rsid w:val="00A33D32"/>
    <w:rsid w:val="00A34B40"/>
    <w:rsid w:val="00A35AF6"/>
    <w:rsid w:val="00A40088"/>
    <w:rsid w:val="00A40925"/>
    <w:rsid w:val="00A41000"/>
    <w:rsid w:val="00A41C62"/>
    <w:rsid w:val="00A43565"/>
    <w:rsid w:val="00A43998"/>
    <w:rsid w:val="00A43D79"/>
    <w:rsid w:val="00A43E7E"/>
    <w:rsid w:val="00A43E9D"/>
    <w:rsid w:val="00A44795"/>
    <w:rsid w:val="00A4519F"/>
    <w:rsid w:val="00A45C6B"/>
    <w:rsid w:val="00A5148C"/>
    <w:rsid w:val="00A51560"/>
    <w:rsid w:val="00A5189E"/>
    <w:rsid w:val="00A52116"/>
    <w:rsid w:val="00A529AB"/>
    <w:rsid w:val="00A52A56"/>
    <w:rsid w:val="00A547D5"/>
    <w:rsid w:val="00A55624"/>
    <w:rsid w:val="00A601E8"/>
    <w:rsid w:val="00A61D99"/>
    <w:rsid w:val="00A62AC9"/>
    <w:rsid w:val="00A62DBB"/>
    <w:rsid w:val="00A6346A"/>
    <w:rsid w:val="00A64C8C"/>
    <w:rsid w:val="00A65501"/>
    <w:rsid w:val="00A70A68"/>
    <w:rsid w:val="00A72857"/>
    <w:rsid w:val="00A73474"/>
    <w:rsid w:val="00A74800"/>
    <w:rsid w:val="00A7485D"/>
    <w:rsid w:val="00A752B5"/>
    <w:rsid w:val="00A77DE2"/>
    <w:rsid w:val="00A77E9D"/>
    <w:rsid w:val="00A80C12"/>
    <w:rsid w:val="00A80D35"/>
    <w:rsid w:val="00A80E38"/>
    <w:rsid w:val="00A81092"/>
    <w:rsid w:val="00A81FAB"/>
    <w:rsid w:val="00A83C55"/>
    <w:rsid w:val="00A84103"/>
    <w:rsid w:val="00A847F6"/>
    <w:rsid w:val="00A8536A"/>
    <w:rsid w:val="00A85B7A"/>
    <w:rsid w:val="00A86392"/>
    <w:rsid w:val="00A866BE"/>
    <w:rsid w:val="00A90079"/>
    <w:rsid w:val="00A90E82"/>
    <w:rsid w:val="00A924E8"/>
    <w:rsid w:val="00A93D41"/>
    <w:rsid w:val="00A93F05"/>
    <w:rsid w:val="00A95B84"/>
    <w:rsid w:val="00A95CDB"/>
    <w:rsid w:val="00A963DD"/>
    <w:rsid w:val="00A96864"/>
    <w:rsid w:val="00A96F57"/>
    <w:rsid w:val="00A97543"/>
    <w:rsid w:val="00A97FDC"/>
    <w:rsid w:val="00AA0964"/>
    <w:rsid w:val="00AA0F7F"/>
    <w:rsid w:val="00AA1058"/>
    <w:rsid w:val="00AA15BF"/>
    <w:rsid w:val="00AA1ADD"/>
    <w:rsid w:val="00AA41DF"/>
    <w:rsid w:val="00AA42D7"/>
    <w:rsid w:val="00AA47A7"/>
    <w:rsid w:val="00AA4861"/>
    <w:rsid w:val="00AA4ABF"/>
    <w:rsid w:val="00AA59C0"/>
    <w:rsid w:val="00AA66FE"/>
    <w:rsid w:val="00AB095E"/>
    <w:rsid w:val="00AB0A93"/>
    <w:rsid w:val="00AB17CF"/>
    <w:rsid w:val="00AB190F"/>
    <w:rsid w:val="00AB1EE3"/>
    <w:rsid w:val="00AB203C"/>
    <w:rsid w:val="00AB34C1"/>
    <w:rsid w:val="00AB350F"/>
    <w:rsid w:val="00AB557A"/>
    <w:rsid w:val="00AB564F"/>
    <w:rsid w:val="00AB5CBD"/>
    <w:rsid w:val="00AB6016"/>
    <w:rsid w:val="00AC0D89"/>
    <w:rsid w:val="00AC12A7"/>
    <w:rsid w:val="00AC1C18"/>
    <w:rsid w:val="00AC2159"/>
    <w:rsid w:val="00AC3222"/>
    <w:rsid w:val="00AC3279"/>
    <w:rsid w:val="00AC3A69"/>
    <w:rsid w:val="00AC65CB"/>
    <w:rsid w:val="00AC6ABB"/>
    <w:rsid w:val="00AC7542"/>
    <w:rsid w:val="00AC767A"/>
    <w:rsid w:val="00AD0699"/>
    <w:rsid w:val="00AD0BE1"/>
    <w:rsid w:val="00AD329A"/>
    <w:rsid w:val="00AD4CED"/>
    <w:rsid w:val="00AD65C5"/>
    <w:rsid w:val="00AD6722"/>
    <w:rsid w:val="00AE05B6"/>
    <w:rsid w:val="00AE22D3"/>
    <w:rsid w:val="00AE23C4"/>
    <w:rsid w:val="00AE24DC"/>
    <w:rsid w:val="00AE26AD"/>
    <w:rsid w:val="00AE2839"/>
    <w:rsid w:val="00AE3467"/>
    <w:rsid w:val="00AE3F98"/>
    <w:rsid w:val="00AE4684"/>
    <w:rsid w:val="00AE4E82"/>
    <w:rsid w:val="00AE6404"/>
    <w:rsid w:val="00AE6E6C"/>
    <w:rsid w:val="00AE6F7F"/>
    <w:rsid w:val="00AF069A"/>
    <w:rsid w:val="00AF0BA9"/>
    <w:rsid w:val="00AF306C"/>
    <w:rsid w:val="00AF40E7"/>
    <w:rsid w:val="00AF4B1E"/>
    <w:rsid w:val="00B00043"/>
    <w:rsid w:val="00B000C6"/>
    <w:rsid w:val="00B00791"/>
    <w:rsid w:val="00B03E43"/>
    <w:rsid w:val="00B048B7"/>
    <w:rsid w:val="00B076FB"/>
    <w:rsid w:val="00B077F8"/>
    <w:rsid w:val="00B10D84"/>
    <w:rsid w:val="00B10EAC"/>
    <w:rsid w:val="00B11543"/>
    <w:rsid w:val="00B128D0"/>
    <w:rsid w:val="00B12F5B"/>
    <w:rsid w:val="00B1334C"/>
    <w:rsid w:val="00B136B6"/>
    <w:rsid w:val="00B156CD"/>
    <w:rsid w:val="00B17DD1"/>
    <w:rsid w:val="00B21FA4"/>
    <w:rsid w:val="00B2262A"/>
    <w:rsid w:val="00B22B71"/>
    <w:rsid w:val="00B23890"/>
    <w:rsid w:val="00B23A39"/>
    <w:rsid w:val="00B23B1E"/>
    <w:rsid w:val="00B23BEF"/>
    <w:rsid w:val="00B23DED"/>
    <w:rsid w:val="00B24729"/>
    <w:rsid w:val="00B27DA3"/>
    <w:rsid w:val="00B313A1"/>
    <w:rsid w:val="00B32654"/>
    <w:rsid w:val="00B32808"/>
    <w:rsid w:val="00B3302A"/>
    <w:rsid w:val="00B33608"/>
    <w:rsid w:val="00B342EB"/>
    <w:rsid w:val="00B34D5B"/>
    <w:rsid w:val="00B350B2"/>
    <w:rsid w:val="00B3549F"/>
    <w:rsid w:val="00B35A66"/>
    <w:rsid w:val="00B35DD9"/>
    <w:rsid w:val="00B41B62"/>
    <w:rsid w:val="00B43532"/>
    <w:rsid w:val="00B43B6B"/>
    <w:rsid w:val="00B43F58"/>
    <w:rsid w:val="00B44419"/>
    <w:rsid w:val="00B44F06"/>
    <w:rsid w:val="00B452AD"/>
    <w:rsid w:val="00B4596E"/>
    <w:rsid w:val="00B45F5D"/>
    <w:rsid w:val="00B4618B"/>
    <w:rsid w:val="00B50CD3"/>
    <w:rsid w:val="00B50F53"/>
    <w:rsid w:val="00B50F8D"/>
    <w:rsid w:val="00B5228A"/>
    <w:rsid w:val="00B52E0F"/>
    <w:rsid w:val="00B53330"/>
    <w:rsid w:val="00B55656"/>
    <w:rsid w:val="00B56137"/>
    <w:rsid w:val="00B56641"/>
    <w:rsid w:val="00B56905"/>
    <w:rsid w:val="00B570EB"/>
    <w:rsid w:val="00B574F4"/>
    <w:rsid w:val="00B578ED"/>
    <w:rsid w:val="00B57F9C"/>
    <w:rsid w:val="00B60AD0"/>
    <w:rsid w:val="00B615BA"/>
    <w:rsid w:val="00B63466"/>
    <w:rsid w:val="00B63A3D"/>
    <w:rsid w:val="00B63AFA"/>
    <w:rsid w:val="00B63E4D"/>
    <w:rsid w:val="00B63E85"/>
    <w:rsid w:val="00B64292"/>
    <w:rsid w:val="00B651A8"/>
    <w:rsid w:val="00B65C0D"/>
    <w:rsid w:val="00B66C37"/>
    <w:rsid w:val="00B67020"/>
    <w:rsid w:val="00B67E2A"/>
    <w:rsid w:val="00B70FF4"/>
    <w:rsid w:val="00B72709"/>
    <w:rsid w:val="00B72766"/>
    <w:rsid w:val="00B740FA"/>
    <w:rsid w:val="00B7433A"/>
    <w:rsid w:val="00B76AE7"/>
    <w:rsid w:val="00B7712A"/>
    <w:rsid w:val="00B80613"/>
    <w:rsid w:val="00B837A2"/>
    <w:rsid w:val="00B83DA8"/>
    <w:rsid w:val="00B8400B"/>
    <w:rsid w:val="00B84722"/>
    <w:rsid w:val="00B91418"/>
    <w:rsid w:val="00B91554"/>
    <w:rsid w:val="00B94A81"/>
    <w:rsid w:val="00B979E9"/>
    <w:rsid w:val="00BA0823"/>
    <w:rsid w:val="00BA18C3"/>
    <w:rsid w:val="00BA1C93"/>
    <w:rsid w:val="00BA2AE8"/>
    <w:rsid w:val="00BA6F1A"/>
    <w:rsid w:val="00BB16AA"/>
    <w:rsid w:val="00BB1A1F"/>
    <w:rsid w:val="00BB2AD8"/>
    <w:rsid w:val="00BB47AD"/>
    <w:rsid w:val="00BB4C10"/>
    <w:rsid w:val="00BB5736"/>
    <w:rsid w:val="00BB62F1"/>
    <w:rsid w:val="00BB750C"/>
    <w:rsid w:val="00BB78DE"/>
    <w:rsid w:val="00BC05E1"/>
    <w:rsid w:val="00BC1A38"/>
    <w:rsid w:val="00BC28AB"/>
    <w:rsid w:val="00BC2C94"/>
    <w:rsid w:val="00BC35CB"/>
    <w:rsid w:val="00BC3DE4"/>
    <w:rsid w:val="00BC46D9"/>
    <w:rsid w:val="00BC5134"/>
    <w:rsid w:val="00BC53CC"/>
    <w:rsid w:val="00BC565B"/>
    <w:rsid w:val="00BC5AE9"/>
    <w:rsid w:val="00BC61E1"/>
    <w:rsid w:val="00BC7930"/>
    <w:rsid w:val="00BD0F9D"/>
    <w:rsid w:val="00BD11B9"/>
    <w:rsid w:val="00BD1D30"/>
    <w:rsid w:val="00BD1E3B"/>
    <w:rsid w:val="00BD25F1"/>
    <w:rsid w:val="00BD3C4C"/>
    <w:rsid w:val="00BD3D27"/>
    <w:rsid w:val="00BD50F7"/>
    <w:rsid w:val="00BD63D0"/>
    <w:rsid w:val="00BD782C"/>
    <w:rsid w:val="00BD7913"/>
    <w:rsid w:val="00BE03F8"/>
    <w:rsid w:val="00BE1F62"/>
    <w:rsid w:val="00BE2DA4"/>
    <w:rsid w:val="00BE2F69"/>
    <w:rsid w:val="00BE47FE"/>
    <w:rsid w:val="00BE4B10"/>
    <w:rsid w:val="00BE585E"/>
    <w:rsid w:val="00BE5C80"/>
    <w:rsid w:val="00BE70B6"/>
    <w:rsid w:val="00BF00F3"/>
    <w:rsid w:val="00BF0A5E"/>
    <w:rsid w:val="00BF0D88"/>
    <w:rsid w:val="00BF0EE9"/>
    <w:rsid w:val="00BF20C3"/>
    <w:rsid w:val="00BF49E4"/>
    <w:rsid w:val="00BF4E79"/>
    <w:rsid w:val="00BF5CFE"/>
    <w:rsid w:val="00BF631F"/>
    <w:rsid w:val="00BF6BED"/>
    <w:rsid w:val="00C021CD"/>
    <w:rsid w:val="00C022D0"/>
    <w:rsid w:val="00C0286B"/>
    <w:rsid w:val="00C040E0"/>
    <w:rsid w:val="00C054D7"/>
    <w:rsid w:val="00C05583"/>
    <w:rsid w:val="00C05629"/>
    <w:rsid w:val="00C1026E"/>
    <w:rsid w:val="00C11033"/>
    <w:rsid w:val="00C1227D"/>
    <w:rsid w:val="00C1231E"/>
    <w:rsid w:val="00C13309"/>
    <w:rsid w:val="00C14B34"/>
    <w:rsid w:val="00C15121"/>
    <w:rsid w:val="00C154CF"/>
    <w:rsid w:val="00C154D3"/>
    <w:rsid w:val="00C157E7"/>
    <w:rsid w:val="00C15F60"/>
    <w:rsid w:val="00C1645F"/>
    <w:rsid w:val="00C16528"/>
    <w:rsid w:val="00C16B6C"/>
    <w:rsid w:val="00C200A6"/>
    <w:rsid w:val="00C205F1"/>
    <w:rsid w:val="00C20A4C"/>
    <w:rsid w:val="00C21384"/>
    <w:rsid w:val="00C229A8"/>
    <w:rsid w:val="00C22DF8"/>
    <w:rsid w:val="00C23A72"/>
    <w:rsid w:val="00C2475D"/>
    <w:rsid w:val="00C275D3"/>
    <w:rsid w:val="00C27FDF"/>
    <w:rsid w:val="00C305F7"/>
    <w:rsid w:val="00C3094F"/>
    <w:rsid w:val="00C310CC"/>
    <w:rsid w:val="00C321D8"/>
    <w:rsid w:val="00C32B31"/>
    <w:rsid w:val="00C32D67"/>
    <w:rsid w:val="00C32E5C"/>
    <w:rsid w:val="00C338EA"/>
    <w:rsid w:val="00C33D12"/>
    <w:rsid w:val="00C34863"/>
    <w:rsid w:val="00C34BA6"/>
    <w:rsid w:val="00C3611E"/>
    <w:rsid w:val="00C37A6B"/>
    <w:rsid w:val="00C43AF7"/>
    <w:rsid w:val="00C4427C"/>
    <w:rsid w:val="00C45C9C"/>
    <w:rsid w:val="00C46335"/>
    <w:rsid w:val="00C46788"/>
    <w:rsid w:val="00C507B2"/>
    <w:rsid w:val="00C50D76"/>
    <w:rsid w:val="00C5261D"/>
    <w:rsid w:val="00C53A9F"/>
    <w:rsid w:val="00C546ED"/>
    <w:rsid w:val="00C54DD6"/>
    <w:rsid w:val="00C55A86"/>
    <w:rsid w:val="00C56039"/>
    <w:rsid w:val="00C566A1"/>
    <w:rsid w:val="00C56AF5"/>
    <w:rsid w:val="00C5761C"/>
    <w:rsid w:val="00C57E70"/>
    <w:rsid w:val="00C57E9E"/>
    <w:rsid w:val="00C6057A"/>
    <w:rsid w:val="00C607DA"/>
    <w:rsid w:val="00C60D02"/>
    <w:rsid w:val="00C60EE9"/>
    <w:rsid w:val="00C61D5E"/>
    <w:rsid w:val="00C62F86"/>
    <w:rsid w:val="00C63F1F"/>
    <w:rsid w:val="00C658C2"/>
    <w:rsid w:val="00C66649"/>
    <w:rsid w:val="00C67061"/>
    <w:rsid w:val="00C67BA7"/>
    <w:rsid w:val="00C70407"/>
    <w:rsid w:val="00C712B5"/>
    <w:rsid w:val="00C718E3"/>
    <w:rsid w:val="00C7296B"/>
    <w:rsid w:val="00C72CC4"/>
    <w:rsid w:val="00C73076"/>
    <w:rsid w:val="00C73CCB"/>
    <w:rsid w:val="00C74EAC"/>
    <w:rsid w:val="00C7513D"/>
    <w:rsid w:val="00C76ED2"/>
    <w:rsid w:val="00C77538"/>
    <w:rsid w:val="00C80232"/>
    <w:rsid w:val="00C81454"/>
    <w:rsid w:val="00C84F06"/>
    <w:rsid w:val="00C85537"/>
    <w:rsid w:val="00C86098"/>
    <w:rsid w:val="00C90D00"/>
    <w:rsid w:val="00C927FC"/>
    <w:rsid w:val="00C944F0"/>
    <w:rsid w:val="00C94A86"/>
    <w:rsid w:val="00C94D23"/>
    <w:rsid w:val="00C94E34"/>
    <w:rsid w:val="00C94E61"/>
    <w:rsid w:val="00C94EFC"/>
    <w:rsid w:val="00C951BF"/>
    <w:rsid w:val="00C954F7"/>
    <w:rsid w:val="00C95731"/>
    <w:rsid w:val="00C97792"/>
    <w:rsid w:val="00CA08BC"/>
    <w:rsid w:val="00CA180E"/>
    <w:rsid w:val="00CA3C5C"/>
    <w:rsid w:val="00CA442E"/>
    <w:rsid w:val="00CA4B0F"/>
    <w:rsid w:val="00CA5DE6"/>
    <w:rsid w:val="00CA7E63"/>
    <w:rsid w:val="00CB03B1"/>
    <w:rsid w:val="00CB13DE"/>
    <w:rsid w:val="00CB1D52"/>
    <w:rsid w:val="00CB1D8E"/>
    <w:rsid w:val="00CB2CFE"/>
    <w:rsid w:val="00CB3FC1"/>
    <w:rsid w:val="00CB411E"/>
    <w:rsid w:val="00CB78AF"/>
    <w:rsid w:val="00CB79EC"/>
    <w:rsid w:val="00CB7DA5"/>
    <w:rsid w:val="00CC3DDE"/>
    <w:rsid w:val="00CC400C"/>
    <w:rsid w:val="00CC445D"/>
    <w:rsid w:val="00CC4F1A"/>
    <w:rsid w:val="00CC5182"/>
    <w:rsid w:val="00CC5449"/>
    <w:rsid w:val="00CC5610"/>
    <w:rsid w:val="00CC5ED9"/>
    <w:rsid w:val="00CC76F2"/>
    <w:rsid w:val="00CC7790"/>
    <w:rsid w:val="00CD074F"/>
    <w:rsid w:val="00CD203B"/>
    <w:rsid w:val="00CD221B"/>
    <w:rsid w:val="00CD242C"/>
    <w:rsid w:val="00CD25CF"/>
    <w:rsid w:val="00CD274E"/>
    <w:rsid w:val="00CD2A41"/>
    <w:rsid w:val="00CD3731"/>
    <w:rsid w:val="00CD3F0F"/>
    <w:rsid w:val="00CD5329"/>
    <w:rsid w:val="00CD6018"/>
    <w:rsid w:val="00CD61E7"/>
    <w:rsid w:val="00CD654F"/>
    <w:rsid w:val="00CD656D"/>
    <w:rsid w:val="00CD706C"/>
    <w:rsid w:val="00CE297D"/>
    <w:rsid w:val="00CE2C04"/>
    <w:rsid w:val="00CE32CC"/>
    <w:rsid w:val="00CE39ED"/>
    <w:rsid w:val="00CE51E0"/>
    <w:rsid w:val="00CE5214"/>
    <w:rsid w:val="00CE6A2C"/>
    <w:rsid w:val="00CE6DDB"/>
    <w:rsid w:val="00CF2C68"/>
    <w:rsid w:val="00CF2EEF"/>
    <w:rsid w:val="00CF32B9"/>
    <w:rsid w:val="00CF3A2E"/>
    <w:rsid w:val="00CF4122"/>
    <w:rsid w:val="00CF4D78"/>
    <w:rsid w:val="00CF5463"/>
    <w:rsid w:val="00CF562F"/>
    <w:rsid w:val="00CF6333"/>
    <w:rsid w:val="00CF6AB5"/>
    <w:rsid w:val="00CF77F3"/>
    <w:rsid w:val="00CF7918"/>
    <w:rsid w:val="00D00E67"/>
    <w:rsid w:val="00D0199B"/>
    <w:rsid w:val="00D0370D"/>
    <w:rsid w:val="00D038D7"/>
    <w:rsid w:val="00D04BBC"/>
    <w:rsid w:val="00D05B54"/>
    <w:rsid w:val="00D06157"/>
    <w:rsid w:val="00D06E97"/>
    <w:rsid w:val="00D07763"/>
    <w:rsid w:val="00D07BDC"/>
    <w:rsid w:val="00D07EFF"/>
    <w:rsid w:val="00D10975"/>
    <w:rsid w:val="00D10D69"/>
    <w:rsid w:val="00D115F9"/>
    <w:rsid w:val="00D11960"/>
    <w:rsid w:val="00D1218A"/>
    <w:rsid w:val="00D12D74"/>
    <w:rsid w:val="00D13A55"/>
    <w:rsid w:val="00D13ADD"/>
    <w:rsid w:val="00D13E09"/>
    <w:rsid w:val="00D1430F"/>
    <w:rsid w:val="00D1593B"/>
    <w:rsid w:val="00D15BE1"/>
    <w:rsid w:val="00D1735F"/>
    <w:rsid w:val="00D17EF2"/>
    <w:rsid w:val="00D20F6F"/>
    <w:rsid w:val="00D21D4C"/>
    <w:rsid w:val="00D22670"/>
    <w:rsid w:val="00D250A4"/>
    <w:rsid w:val="00D26AA3"/>
    <w:rsid w:val="00D30A94"/>
    <w:rsid w:val="00D30CA9"/>
    <w:rsid w:val="00D31028"/>
    <w:rsid w:val="00D31F4B"/>
    <w:rsid w:val="00D322E5"/>
    <w:rsid w:val="00D32AAA"/>
    <w:rsid w:val="00D342FE"/>
    <w:rsid w:val="00D34483"/>
    <w:rsid w:val="00D34B33"/>
    <w:rsid w:val="00D34BC4"/>
    <w:rsid w:val="00D352AE"/>
    <w:rsid w:val="00D352DF"/>
    <w:rsid w:val="00D367C2"/>
    <w:rsid w:val="00D40B5C"/>
    <w:rsid w:val="00D40D26"/>
    <w:rsid w:val="00D40DEA"/>
    <w:rsid w:val="00D43C6D"/>
    <w:rsid w:val="00D43D4A"/>
    <w:rsid w:val="00D44BCB"/>
    <w:rsid w:val="00D451C7"/>
    <w:rsid w:val="00D456CE"/>
    <w:rsid w:val="00D459A6"/>
    <w:rsid w:val="00D46290"/>
    <w:rsid w:val="00D47557"/>
    <w:rsid w:val="00D4764D"/>
    <w:rsid w:val="00D4790E"/>
    <w:rsid w:val="00D5001C"/>
    <w:rsid w:val="00D505E6"/>
    <w:rsid w:val="00D511A0"/>
    <w:rsid w:val="00D51EAA"/>
    <w:rsid w:val="00D52D9A"/>
    <w:rsid w:val="00D52E0F"/>
    <w:rsid w:val="00D54831"/>
    <w:rsid w:val="00D5580F"/>
    <w:rsid w:val="00D57821"/>
    <w:rsid w:val="00D610CC"/>
    <w:rsid w:val="00D6198B"/>
    <w:rsid w:val="00D62A94"/>
    <w:rsid w:val="00D639A6"/>
    <w:rsid w:val="00D6406D"/>
    <w:rsid w:val="00D67F90"/>
    <w:rsid w:val="00D71941"/>
    <w:rsid w:val="00D71E5F"/>
    <w:rsid w:val="00D72645"/>
    <w:rsid w:val="00D73505"/>
    <w:rsid w:val="00D73CC2"/>
    <w:rsid w:val="00D748C4"/>
    <w:rsid w:val="00D748DC"/>
    <w:rsid w:val="00D74BC6"/>
    <w:rsid w:val="00D74FDF"/>
    <w:rsid w:val="00D76E3E"/>
    <w:rsid w:val="00D776F3"/>
    <w:rsid w:val="00D7798B"/>
    <w:rsid w:val="00D8059E"/>
    <w:rsid w:val="00D82755"/>
    <w:rsid w:val="00D82A71"/>
    <w:rsid w:val="00D852F5"/>
    <w:rsid w:val="00D856DA"/>
    <w:rsid w:val="00D8616C"/>
    <w:rsid w:val="00D86484"/>
    <w:rsid w:val="00D865EF"/>
    <w:rsid w:val="00D8662E"/>
    <w:rsid w:val="00D877D4"/>
    <w:rsid w:val="00D87997"/>
    <w:rsid w:val="00D90701"/>
    <w:rsid w:val="00D92544"/>
    <w:rsid w:val="00D931F3"/>
    <w:rsid w:val="00D9520C"/>
    <w:rsid w:val="00D9679F"/>
    <w:rsid w:val="00D96CBC"/>
    <w:rsid w:val="00DA0DF6"/>
    <w:rsid w:val="00DA1262"/>
    <w:rsid w:val="00DA15F6"/>
    <w:rsid w:val="00DA1717"/>
    <w:rsid w:val="00DA177D"/>
    <w:rsid w:val="00DA1DA0"/>
    <w:rsid w:val="00DA2102"/>
    <w:rsid w:val="00DA39ED"/>
    <w:rsid w:val="00DA3B97"/>
    <w:rsid w:val="00DA48EA"/>
    <w:rsid w:val="00DA7508"/>
    <w:rsid w:val="00DB109D"/>
    <w:rsid w:val="00DB1F8B"/>
    <w:rsid w:val="00DB3296"/>
    <w:rsid w:val="00DB3869"/>
    <w:rsid w:val="00DB3BAB"/>
    <w:rsid w:val="00DB45B4"/>
    <w:rsid w:val="00DB5C54"/>
    <w:rsid w:val="00DB654A"/>
    <w:rsid w:val="00DB66EB"/>
    <w:rsid w:val="00DB76CB"/>
    <w:rsid w:val="00DB78F6"/>
    <w:rsid w:val="00DC0E40"/>
    <w:rsid w:val="00DC0EF9"/>
    <w:rsid w:val="00DC13CB"/>
    <w:rsid w:val="00DC1B5F"/>
    <w:rsid w:val="00DC1BF1"/>
    <w:rsid w:val="00DC4867"/>
    <w:rsid w:val="00DC7ABB"/>
    <w:rsid w:val="00DD0404"/>
    <w:rsid w:val="00DD12ED"/>
    <w:rsid w:val="00DD16B4"/>
    <w:rsid w:val="00DD1848"/>
    <w:rsid w:val="00DD1D60"/>
    <w:rsid w:val="00DD36C9"/>
    <w:rsid w:val="00DD378C"/>
    <w:rsid w:val="00DD3CFF"/>
    <w:rsid w:val="00DD56C7"/>
    <w:rsid w:val="00DD625E"/>
    <w:rsid w:val="00DD6FD1"/>
    <w:rsid w:val="00DD7D73"/>
    <w:rsid w:val="00DE0371"/>
    <w:rsid w:val="00DE08D5"/>
    <w:rsid w:val="00DE0938"/>
    <w:rsid w:val="00DE1B52"/>
    <w:rsid w:val="00DE2BDE"/>
    <w:rsid w:val="00DE35A3"/>
    <w:rsid w:val="00DE3B06"/>
    <w:rsid w:val="00DE4157"/>
    <w:rsid w:val="00DE6E11"/>
    <w:rsid w:val="00DF1089"/>
    <w:rsid w:val="00DF1A07"/>
    <w:rsid w:val="00DF2059"/>
    <w:rsid w:val="00DF3307"/>
    <w:rsid w:val="00DF3847"/>
    <w:rsid w:val="00DF38E4"/>
    <w:rsid w:val="00DF46A2"/>
    <w:rsid w:val="00DF5991"/>
    <w:rsid w:val="00DF5EAA"/>
    <w:rsid w:val="00DF6744"/>
    <w:rsid w:val="00DF68BE"/>
    <w:rsid w:val="00DF6940"/>
    <w:rsid w:val="00DF72AC"/>
    <w:rsid w:val="00DF74AA"/>
    <w:rsid w:val="00DF79B7"/>
    <w:rsid w:val="00DF7EE5"/>
    <w:rsid w:val="00E00016"/>
    <w:rsid w:val="00E015EA"/>
    <w:rsid w:val="00E0181B"/>
    <w:rsid w:val="00E02660"/>
    <w:rsid w:val="00E02744"/>
    <w:rsid w:val="00E05B1D"/>
    <w:rsid w:val="00E071CD"/>
    <w:rsid w:val="00E10081"/>
    <w:rsid w:val="00E10148"/>
    <w:rsid w:val="00E1025A"/>
    <w:rsid w:val="00E10F81"/>
    <w:rsid w:val="00E111B2"/>
    <w:rsid w:val="00E12029"/>
    <w:rsid w:val="00E12CF4"/>
    <w:rsid w:val="00E13D2D"/>
    <w:rsid w:val="00E1446E"/>
    <w:rsid w:val="00E14E42"/>
    <w:rsid w:val="00E154F4"/>
    <w:rsid w:val="00E15C55"/>
    <w:rsid w:val="00E17E64"/>
    <w:rsid w:val="00E22A3F"/>
    <w:rsid w:val="00E22F26"/>
    <w:rsid w:val="00E23F69"/>
    <w:rsid w:val="00E24612"/>
    <w:rsid w:val="00E2563F"/>
    <w:rsid w:val="00E256F6"/>
    <w:rsid w:val="00E25B2C"/>
    <w:rsid w:val="00E260AE"/>
    <w:rsid w:val="00E26CBD"/>
    <w:rsid w:val="00E272AD"/>
    <w:rsid w:val="00E27CF0"/>
    <w:rsid w:val="00E30D06"/>
    <w:rsid w:val="00E315BA"/>
    <w:rsid w:val="00E3195F"/>
    <w:rsid w:val="00E332D2"/>
    <w:rsid w:val="00E35B7C"/>
    <w:rsid w:val="00E369E6"/>
    <w:rsid w:val="00E37507"/>
    <w:rsid w:val="00E4335A"/>
    <w:rsid w:val="00E43B3B"/>
    <w:rsid w:val="00E44BB7"/>
    <w:rsid w:val="00E44CAC"/>
    <w:rsid w:val="00E457AE"/>
    <w:rsid w:val="00E45B46"/>
    <w:rsid w:val="00E502CF"/>
    <w:rsid w:val="00E51C64"/>
    <w:rsid w:val="00E52D11"/>
    <w:rsid w:val="00E52D81"/>
    <w:rsid w:val="00E544D6"/>
    <w:rsid w:val="00E546EA"/>
    <w:rsid w:val="00E5792C"/>
    <w:rsid w:val="00E57BCD"/>
    <w:rsid w:val="00E6078A"/>
    <w:rsid w:val="00E6120C"/>
    <w:rsid w:val="00E613FB"/>
    <w:rsid w:val="00E61DA2"/>
    <w:rsid w:val="00E63AC8"/>
    <w:rsid w:val="00E6428A"/>
    <w:rsid w:val="00E643E7"/>
    <w:rsid w:val="00E65833"/>
    <w:rsid w:val="00E65CC2"/>
    <w:rsid w:val="00E6643D"/>
    <w:rsid w:val="00E67920"/>
    <w:rsid w:val="00E679A9"/>
    <w:rsid w:val="00E67F99"/>
    <w:rsid w:val="00E70A05"/>
    <w:rsid w:val="00E72653"/>
    <w:rsid w:val="00E729AA"/>
    <w:rsid w:val="00E72AFE"/>
    <w:rsid w:val="00E73131"/>
    <w:rsid w:val="00E73CDC"/>
    <w:rsid w:val="00E75087"/>
    <w:rsid w:val="00E75911"/>
    <w:rsid w:val="00E76037"/>
    <w:rsid w:val="00E760C1"/>
    <w:rsid w:val="00E776D6"/>
    <w:rsid w:val="00E777BC"/>
    <w:rsid w:val="00E80316"/>
    <w:rsid w:val="00E80A36"/>
    <w:rsid w:val="00E80E09"/>
    <w:rsid w:val="00E80F63"/>
    <w:rsid w:val="00E81017"/>
    <w:rsid w:val="00E818C9"/>
    <w:rsid w:val="00E82D5D"/>
    <w:rsid w:val="00E849F0"/>
    <w:rsid w:val="00E85016"/>
    <w:rsid w:val="00E900FE"/>
    <w:rsid w:val="00E90ED5"/>
    <w:rsid w:val="00E91037"/>
    <w:rsid w:val="00E911DB"/>
    <w:rsid w:val="00E9122B"/>
    <w:rsid w:val="00E923D2"/>
    <w:rsid w:val="00E92A40"/>
    <w:rsid w:val="00E92CDA"/>
    <w:rsid w:val="00E92DBD"/>
    <w:rsid w:val="00E9493E"/>
    <w:rsid w:val="00E94D3F"/>
    <w:rsid w:val="00E9681D"/>
    <w:rsid w:val="00E96DA9"/>
    <w:rsid w:val="00E97752"/>
    <w:rsid w:val="00E977C2"/>
    <w:rsid w:val="00E9796E"/>
    <w:rsid w:val="00EA074A"/>
    <w:rsid w:val="00EA3403"/>
    <w:rsid w:val="00EA359A"/>
    <w:rsid w:val="00EA3D11"/>
    <w:rsid w:val="00EA4726"/>
    <w:rsid w:val="00EA4CF9"/>
    <w:rsid w:val="00EA576C"/>
    <w:rsid w:val="00EA5FAD"/>
    <w:rsid w:val="00EA65BF"/>
    <w:rsid w:val="00EA7194"/>
    <w:rsid w:val="00EA7FEF"/>
    <w:rsid w:val="00EB07C0"/>
    <w:rsid w:val="00EB0ED8"/>
    <w:rsid w:val="00EB1483"/>
    <w:rsid w:val="00EB369E"/>
    <w:rsid w:val="00EB3846"/>
    <w:rsid w:val="00EB3F52"/>
    <w:rsid w:val="00EB5640"/>
    <w:rsid w:val="00EB5C44"/>
    <w:rsid w:val="00EB667A"/>
    <w:rsid w:val="00EB6FB7"/>
    <w:rsid w:val="00EB7179"/>
    <w:rsid w:val="00EB7799"/>
    <w:rsid w:val="00EC0112"/>
    <w:rsid w:val="00EC093F"/>
    <w:rsid w:val="00EC0BA2"/>
    <w:rsid w:val="00EC14C1"/>
    <w:rsid w:val="00EC1A86"/>
    <w:rsid w:val="00EC2196"/>
    <w:rsid w:val="00EC2419"/>
    <w:rsid w:val="00EC2EE1"/>
    <w:rsid w:val="00EC3A30"/>
    <w:rsid w:val="00EC3CA7"/>
    <w:rsid w:val="00EC4D18"/>
    <w:rsid w:val="00EC57F5"/>
    <w:rsid w:val="00EC7089"/>
    <w:rsid w:val="00EC73ED"/>
    <w:rsid w:val="00EC753B"/>
    <w:rsid w:val="00ED0018"/>
    <w:rsid w:val="00ED014F"/>
    <w:rsid w:val="00ED12DE"/>
    <w:rsid w:val="00ED16EF"/>
    <w:rsid w:val="00ED23C7"/>
    <w:rsid w:val="00ED41C9"/>
    <w:rsid w:val="00ED54CE"/>
    <w:rsid w:val="00ED5E43"/>
    <w:rsid w:val="00ED5F76"/>
    <w:rsid w:val="00ED69AF"/>
    <w:rsid w:val="00ED7B87"/>
    <w:rsid w:val="00EE0F91"/>
    <w:rsid w:val="00EE13CA"/>
    <w:rsid w:val="00EE2521"/>
    <w:rsid w:val="00EE3D66"/>
    <w:rsid w:val="00EE49E5"/>
    <w:rsid w:val="00EE4F4E"/>
    <w:rsid w:val="00EE52A0"/>
    <w:rsid w:val="00EE660A"/>
    <w:rsid w:val="00EF0D79"/>
    <w:rsid w:val="00EF3B70"/>
    <w:rsid w:val="00EF459B"/>
    <w:rsid w:val="00EF4672"/>
    <w:rsid w:val="00EF47DD"/>
    <w:rsid w:val="00EF4D6A"/>
    <w:rsid w:val="00EF6E72"/>
    <w:rsid w:val="00EF7B05"/>
    <w:rsid w:val="00EF7C87"/>
    <w:rsid w:val="00F0175B"/>
    <w:rsid w:val="00F01E74"/>
    <w:rsid w:val="00F02D46"/>
    <w:rsid w:val="00F0325E"/>
    <w:rsid w:val="00F032F9"/>
    <w:rsid w:val="00F04807"/>
    <w:rsid w:val="00F04827"/>
    <w:rsid w:val="00F05B65"/>
    <w:rsid w:val="00F064FE"/>
    <w:rsid w:val="00F0655C"/>
    <w:rsid w:val="00F074BB"/>
    <w:rsid w:val="00F109AD"/>
    <w:rsid w:val="00F10AD8"/>
    <w:rsid w:val="00F1143E"/>
    <w:rsid w:val="00F11C92"/>
    <w:rsid w:val="00F127E9"/>
    <w:rsid w:val="00F12A95"/>
    <w:rsid w:val="00F12BE2"/>
    <w:rsid w:val="00F13631"/>
    <w:rsid w:val="00F137AE"/>
    <w:rsid w:val="00F14111"/>
    <w:rsid w:val="00F14916"/>
    <w:rsid w:val="00F15316"/>
    <w:rsid w:val="00F1544B"/>
    <w:rsid w:val="00F161CC"/>
    <w:rsid w:val="00F16618"/>
    <w:rsid w:val="00F16EA0"/>
    <w:rsid w:val="00F1722E"/>
    <w:rsid w:val="00F17C8C"/>
    <w:rsid w:val="00F2083F"/>
    <w:rsid w:val="00F21FBB"/>
    <w:rsid w:val="00F232C7"/>
    <w:rsid w:val="00F23E12"/>
    <w:rsid w:val="00F23F6B"/>
    <w:rsid w:val="00F24C05"/>
    <w:rsid w:val="00F2505D"/>
    <w:rsid w:val="00F259FC"/>
    <w:rsid w:val="00F271F0"/>
    <w:rsid w:val="00F30CE0"/>
    <w:rsid w:val="00F31DF4"/>
    <w:rsid w:val="00F32074"/>
    <w:rsid w:val="00F329EC"/>
    <w:rsid w:val="00F34123"/>
    <w:rsid w:val="00F35C9C"/>
    <w:rsid w:val="00F365D2"/>
    <w:rsid w:val="00F37041"/>
    <w:rsid w:val="00F37975"/>
    <w:rsid w:val="00F41BF9"/>
    <w:rsid w:val="00F4301C"/>
    <w:rsid w:val="00F43909"/>
    <w:rsid w:val="00F43D91"/>
    <w:rsid w:val="00F44E65"/>
    <w:rsid w:val="00F46471"/>
    <w:rsid w:val="00F47DB2"/>
    <w:rsid w:val="00F50BB2"/>
    <w:rsid w:val="00F51552"/>
    <w:rsid w:val="00F519B7"/>
    <w:rsid w:val="00F525B6"/>
    <w:rsid w:val="00F52A0E"/>
    <w:rsid w:val="00F52C89"/>
    <w:rsid w:val="00F52F54"/>
    <w:rsid w:val="00F53A46"/>
    <w:rsid w:val="00F54066"/>
    <w:rsid w:val="00F54699"/>
    <w:rsid w:val="00F5482D"/>
    <w:rsid w:val="00F5482F"/>
    <w:rsid w:val="00F54B41"/>
    <w:rsid w:val="00F54EC1"/>
    <w:rsid w:val="00F55EB3"/>
    <w:rsid w:val="00F55F23"/>
    <w:rsid w:val="00F56A8C"/>
    <w:rsid w:val="00F61DC7"/>
    <w:rsid w:val="00F62451"/>
    <w:rsid w:val="00F63870"/>
    <w:rsid w:val="00F63F6B"/>
    <w:rsid w:val="00F63F91"/>
    <w:rsid w:val="00F64061"/>
    <w:rsid w:val="00F64CC8"/>
    <w:rsid w:val="00F656EF"/>
    <w:rsid w:val="00F6668C"/>
    <w:rsid w:val="00F66B1D"/>
    <w:rsid w:val="00F67085"/>
    <w:rsid w:val="00F67319"/>
    <w:rsid w:val="00F70AE4"/>
    <w:rsid w:val="00F70D81"/>
    <w:rsid w:val="00F71BEE"/>
    <w:rsid w:val="00F71CBF"/>
    <w:rsid w:val="00F72467"/>
    <w:rsid w:val="00F73027"/>
    <w:rsid w:val="00F73243"/>
    <w:rsid w:val="00F734B6"/>
    <w:rsid w:val="00F735BA"/>
    <w:rsid w:val="00F76C35"/>
    <w:rsid w:val="00F805DB"/>
    <w:rsid w:val="00F817BB"/>
    <w:rsid w:val="00F820A0"/>
    <w:rsid w:val="00F824E6"/>
    <w:rsid w:val="00F827A3"/>
    <w:rsid w:val="00F8296E"/>
    <w:rsid w:val="00F8371E"/>
    <w:rsid w:val="00F83CD9"/>
    <w:rsid w:val="00F84457"/>
    <w:rsid w:val="00F85466"/>
    <w:rsid w:val="00F85720"/>
    <w:rsid w:val="00F87848"/>
    <w:rsid w:val="00F90985"/>
    <w:rsid w:val="00F90E49"/>
    <w:rsid w:val="00F91331"/>
    <w:rsid w:val="00F9173E"/>
    <w:rsid w:val="00F91B96"/>
    <w:rsid w:val="00F91E8E"/>
    <w:rsid w:val="00F92C42"/>
    <w:rsid w:val="00F930CA"/>
    <w:rsid w:val="00F931A8"/>
    <w:rsid w:val="00F93475"/>
    <w:rsid w:val="00F95C20"/>
    <w:rsid w:val="00FA0298"/>
    <w:rsid w:val="00FA18B8"/>
    <w:rsid w:val="00FA2A08"/>
    <w:rsid w:val="00FA2A25"/>
    <w:rsid w:val="00FA39FD"/>
    <w:rsid w:val="00FA3E92"/>
    <w:rsid w:val="00FA5040"/>
    <w:rsid w:val="00FA53FF"/>
    <w:rsid w:val="00FA787D"/>
    <w:rsid w:val="00FB054F"/>
    <w:rsid w:val="00FB0A62"/>
    <w:rsid w:val="00FB15EC"/>
    <w:rsid w:val="00FB1BBE"/>
    <w:rsid w:val="00FB1D2C"/>
    <w:rsid w:val="00FB257E"/>
    <w:rsid w:val="00FB2D1B"/>
    <w:rsid w:val="00FB5286"/>
    <w:rsid w:val="00FB5A48"/>
    <w:rsid w:val="00FB5A64"/>
    <w:rsid w:val="00FB5EB8"/>
    <w:rsid w:val="00FB7988"/>
    <w:rsid w:val="00FC19BA"/>
    <w:rsid w:val="00FC2373"/>
    <w:rsid w:val="00FC2C79"/>
    <w:rsid w:val="00FC330C"/>
    <w:rsid w:val="00FC35D4"/>
    <w:rsid w:val="00FC3815"/>
    <w:rsid w:val="00FC5981"/>
    <w:rsid w:val="00FC6681"/>
    <w:rsid w:val="00FC6AE3"/>
    <w:rsid w:val="00FC6FF3"/>
    <w:rsid w:val="00FC70AE"/>
    <w:rsid w:val="00FD001A"/>
    <w:rsid w:val="00FD0C05"/>
    <w:rsid w:val="00FD2812"/>
    <w:rsid w:val="00FD301F"/>
    <w:rsid w:val="00FD384D"/>
    <w:rsid w:val="00FD40DC"/>
    <w:rsid w:val="00FD46FB"/>
    <w:rsid w:val="00FD4B73"/>
    <w:rsid w:val="00FD5FE6"/>
    <w:rsid w:val="00FD6C4E"/>
    <w:rsid w:val="00FD6DD5"/>
    <w:rsid w:val="00FD70AF"/>
    <w:rsid w:val="00FD79E2"/>
    <w:rsid w:val="00FD7AC7"/>
    <w:rsid w:val="00FE0D6B"/>
    <w:rsid w:val="00FE1621"/>
    <w:rsid w:val="00FE16A8"/>
    <w:rsid w:val="00FE16B5"/>
    <w:rsid w:val="00FE43EA"/>
    <w:rsid w:val="00FE464B"/>
    <w:rsid w:val="00FE6394"/>
    <w:rsid w:val="00FE7622"/>
    <w:rsid w:val="00FE7A61"/>
    <w:rsid w:val="00FE7F5B"/>
    <w:rsid w:val="00FF26BA"/>
    <w:rsid w:val="00FF30F2"/>
    <w:rsid w:val="00FF33CC"/>
    <w:rsid w:val="00FF5F46"/>
    <w:rsid w:val="00FF7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58"/>
    <w:pPr>
      <w:tabs>
        <w:tab w:val="left" w:pos="1134"/>
      </w:tabs>
      <w:spacing w:after="0" w:line="240" w:lineRule="auto"/>
      <w:jc w:val="both"/>
    </w:pPr>
    <w:rPr>
      <w:rFonts w:ascii="Arial" w:hAnsi="Arial"/>
      <w:lang w:val="en-GB"/>
    </w:rPr>
  </w:style>
  <w:style w:type="paragraph" w:styleId="Heading1">
    <w:name w:val="heading 1"/>
    <w:next w:val="Normal"/>
    <w:link w:val="Heading1Char"/>
    <w:uiPriority w:val="9"/>
    <w:qFormat/>
    <w:rsid w:val="00DC0E40"/>
    <w:pPr>
      <w:keepNext/>
      <w:numPr>
        <w:numId w:val="7"/>
      </w:numPr>
      <w:spacing w:before="120" w:after="120"/>
      <w:outlineLvl w:val="0"/>
    </w:pPr>
    <w:rPr>
      <w:rFonts w:ascii="Arial" w:eastAsia="Batang" w:hAnsi="Arial" w:cs="Arial"/>
      <w:b/>
      <w:bCs/>
      <w:sz w:val="32"/>
      <w:szCs w:val="32"/>
      <w:lang w:val="en-GB"/>
    </w:rPr>
  </w:style>
  <w:style w:type="paragraph" w:styleId="Heading2">
    <w:name w:val="heading 2"/>
    <w:basedOn w:val="Heading1"/>
    <w:next w:val="Normal"/>
    <w:link w:val="Heading2Char"/>
    <w:autoRedefine/>
    <w:uiPriority w:val="9"/>
    <w:unhideWhenUsed/>
    <w:qFormat/>
    <w:rsid w:val="00B80613"/>
    <w:pPr>
      <w:keepNext w:val="0"/>
      <w:widowControl w:val="0"/>
      <w:numPr>
        <w:ilvl w:val="1"/>
      </w:numPr>
      <w:jc w:val="both"/>
      <w:outlineLvl w:val="1"/>
    </w:pPr>
    <w:rPr>
      <w:rFonts w:eastAsiaTheme="majorEastAsia" w:cstheme="majorBidi"/>
      <w:sz w:val="28"/>
      <w:szCs w:val="28"/>
      <w:lang w:val="en-AU"/>
    </w:rPr>
  </w:style>
  <w:style w:type="paragraph" w:styleId="Heading3">
    <w:name w:val="heading 3"/>
    <w:basedOn w:val="Heading2"/>
    <w:next w:val="Normal"/>
    <w:link w:val="Heading3Char"/>
    <w:autoRedefine/>
    <w:uiPriority w:val="9"/>
    <w:unhideWhenUsed/>
    <w:qFormat/>
    <w:rsid w:val="00CE39ED"/>
    <w:pPr>
      <w:numPr>
        <w:ilvl w:val="2"/>
        <w:numId w:val="8"/>
      </w:numPr>
      <w:spacing w:line="240" w:lineRule="auto"/>
      <w:outlineLvl w:val="2"/>
    </w:pPr>
    <w:rPr>
      <w:b w:val="0"/>
      <w:sz w:val="22"/>
    </w:rPr>
  </w:style>
  <w:style w:type="paragraph" w:styleId="Heading4">
    <w:name w:val="heading 4"/>
    <w:basedOn w:val="Heading3"/>
    <w:next w:val="Normal"/>
    <w:link w:val="Heading4Char"/>
    <w:uiPriority w:val="9"/>
    <w:unhideWhenUsed/>
    <w:qFormat/>
    <w:rsid w:val="00DC0E40"/>
    <w:pPr>
      <w:numPr>
        <w:ilvl w:val="3"/>
        <w:numId w:val="16"/>
      </w:numPr>
      <w:tabs>
        <w:tab w:val="left" w:pos="284"/>
      </w:tabs>
      <w:outlineLvl w:val="3"/>
    </w:pPr>
    <w:rPr>
      <w:bCs w:val="0"/>
      <w:iCs/>
    </w:rPr>
  </w:style>
  <w:style w:type="paragraph" w:styleId="Heading5">
    <w:name w:val="heading 5"/>
    <w:basedOn w:val="Normal"/>
    <w:next w:val="Normal"/>
    <w:link w:val="Heading5Char"/>
    <w:uiPriority w:val="9"/>
    <w:semiHidden/>
    <w:unhideWhenUsed/>
    <w:qFormat/>
    <w:rsid w:val="0097279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279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27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279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279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E40"/>
    <w:rPr>
      <w:rFonts w:ascii="Arial" w:eastAsia="Batang" w:hAnsi="Arial" w:cs="Arial"/>
      <w:b/>
      <w:bCs/>
      <w:sz w:val="32"/>
      <w:szCs w:val="32"/>
      <w:lang w:val="en-GB"/>
    </w:rPr>
  </w:style>
  <w:style w:type="character" w:customStyle="1" w:styleId="Heading2Char">
    <w:name w:val="Heading 2 Char"/>
    <w:basedOn w:val="DefaultParagraphFont"/>
    <w:link w:val="Heading2"/>
    <w:uiPriority w:val="9"/>
    <w:rsid w:val="00B80613"/>
    <w:rPr>
      <w:rFonts w:ascii="Arial" w:eastAsiaTheme="majorEastAsia" w:hAnsi="Arial" w:cstheme="majorBidi"/>
      <w:b/>
      <w:bCs/>
      <w:sz w:val="28"/>
      <w:szCs w:val="28"/>
    </w:rPr>
  </w:style>
  <w:style w:type="paragraph" w:styleId="ListParagraph">
    <w:name w:val="List Paragraph"/>
    <w:basedOn w:val="Normal"/>
    <w:link w:val="ListParagraphChar"/>
    <w:uiPriority w:val="34"/>
    <w:qFormat/>
    <w:rsid w:val="00CF4122"/>
    <w:pPr>
      <w:ind w:left="720"/>
      <w:contextualSpacing/>
    </w:pPr>
  </w:style>
  <w:style w:type="character" w:styleId="CommentReference">
    <w:name w:val="annotation reference"/>
    <w:basedOn w:val="DefaultParagraphFont"/>
    <w:uiPriority w:val="99"/>
    <w:semiHidden/>
    <w:unhideWhenUsed/>
    <w:rsid w:val="00745143"/>
    <w:rPr>
      <w:sz w:val="16"/>
      <w:szCs w:val="16"/>
    </w:rPr>
  </w:style>
  <w:style w:type="paragraph" w:styleId="CommentText">
    <w:name w:val="annotation text"/>
    <w:basedOn w:val="Normal"/>
    <w:link w:val="CommentTextChar"/>
    <w:uiPriority w:val="99"/>
    <w:semiHidden/>
    <w:unhideWhenUsed/>
    <w:rsid w:val="00745143"/>
    <w:rPr>
      <w:sz w:val="20"/>
      <w:szCs w:val="20"/>
    </w:rPr>
  </w:style>
  <w:style w:type="character" w:customStyle="1" w:styleId="CommentTextChar">
    <w:name w:val="Comment Text Char"/>
    <w:basedOn w:val="DefaultParagraphFont"/>
    <w:link w:val="CommentText"/>
    <w:uiPriority w:val="99"/>
    <w:semiHidden/>
    <w:rsid w:val="00745143"/>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745143"/>
    <w:rPr>
      <w:b/>
      <w:bCs/>
    </w:rPr>
  </w:style>
  <w:style w:type="character" w:customStyle="1" w:styleId="CommentSubjectChar">
    <w:name w:val="Comment Subject Char"/>
    <w:basedOn w:val="CommentTextChar"/>
    <w:link w:val="CommentSubject"/>
    <w:uiPriority w:val="99"/>
    <w:semiHidden/>
    <w:rsid w:val="00745143"/>
    <w:rPr>
      <w:rFonts w:ascii="Arial" w:hAnsi="Arial"/>
      <w:b/>
      <w:bCs/>
      <w:sz w:val="20"/>
      <w:szCs w:val="20"/>
      <w:lang w:val="en-GB"/>
    </w:rPr>
  </w:style>
  <w:style w:type="paragraph" w:styleId="BalloonText">
    <w:name w:val="Balloon Text"/>
    <w:basedOn w:val="Normal"/>
    <w:link w:val="BalloonTextChar"/>
    <w:uiPriority w:val="99"/>
    <w:semiHidden/>
    <w:unhideWhenUsed/>
    <w:rsid w:val="00745143"/>
    <w:rPr>
      <w:rFonts w:ascii="Tahoma" w:hAnsi="Tahoma" w:cs="Tahoma"/>
      <w:sz w:val="16"/>
      <w:szCs w:val="16"/>
    </w:rPr>
  </w:style>
  <w:style w:type="character" w:customStyle="1" w:styleId="BalloonTextChar">
    <w:name w:val="Balloon Text Char"/>
    <w:basedOn w:val="DefaultParagraphFont"/>
    <w:link w:val="BalloonText"/>
    <w:uiPriority w:val="99"/>
    <w:semiHidden/>
    <w:rsid w:val="00745143"/>
    <w:rPr>
      <w:rFonts w:ascii="Tahoma" w:hAnsi="Tahoma" w:cs="Tahoma"/>
      <w:sz w:val="16"/>
      <w:szCs w:val="16"/>
      <w:lang w:val="en-GB"/>
    </w:rPr>
  </w:style>
  <w:style w:type="paragraph" w:styleId="Header">
    <w:name w:val="header"/>
    <w:basedOn w:val="Normal"/>
    <w:link w:val="HeaderChar"/>
    <w:uiPriority w:val="99"/>
    <w:unhideWhenUsed/>
    <w:rsid w:val="00635A01"/>
    <w:pPr>
      <w:tabs>
        <w:tab w:val="clear" w:pos="1134"/>
        <w:tab w:val="center" w:pos="4513"/>
        <w:tab w:val="right" w:pos="9026"/>
      </w:tabs>
    </w:pPr>
  </w:style>
  <w:style w:type="character" w:customStyle="1" w:styleId="HeaderChar">
    <w:name w:val="Header Char"/>
    <w:basedOn w:val="DefaultParagraphFont"/>
    <w:link w:val="Header"/>
    <w:uiPriority w:val="99"/>
    <w:rsid w:val="00635A01"/>
    <w:rPr>
      <w:rFonts w:ascii="Arial" w:hAnsi="Arial"/>
      <w:lang w:val="en-GB"/>
    </w:rPr>
  </w:style>
  <w:style w:type="paragraph" w:styleId="Footer">
    <w:name w:val="footer"/>
    <w:basedOn w:val="Normal"/>
    <w:link w:val="FooterChar"/>
    <w:uiPriority w:val="99"/>
    <w:unhideWhenUsed/>
    <w:rsid w:val="00635A01"/>
    <w:pPr>
      <w:tabs>
        <w:tab w:val="clear" w:pos="1134"/>
        <w:tab w:val="center" w:pos="4513"/>
        <w:tab w:val="right" w:pos="9026"/>
      </w:tabs>
    </w:pPr>
  </w:style>
  <w:style w:type="character" w:customStyle="1" w:styleId="FooterChar">
    <w:name w:val="Footer Char"/>
    <w:basedOn w:val="DefaultParagraphFont"/>
    <w:link w:val="Footer"/>
    <w:uiPriority w:val="99"/>
    <w:rsid w:val="00635A01"/>
    <w:rPr>
      <w:rFonts w:ascii="Arial" w:hAnsi="Arial"/>
      <w:lang w:val="en-GB"/>
    </w:rPr>
  </w:style>
  <w:style w:type="character" w:styleId="LineNumber">
    <w:name w:val="line number"/>
    <w:basedOn w:val="DefaultParagraphFont"/>
    <w:uiPriority w:val="99"/>
    <w:semiHidden/>
    <w:unhideWhenUsed/>
    <w:rsid w:val="00406388"/>
  </w:style>
  <w:style w:type="paragraph" w:styleId="TOCHeading">
    <w:name w:val="TOC Heading"/>
    <w:basedOn w:val="Heading1"/>
    <w:next w:val="Normal"/>
    <w:uiPriority w:val="39"/>
    <w:semiHidden/>
    <w:unhideWhenUsed/>
    <w:qFormat/>
    <w:rsid w:val="00030946"/>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qFormat/>
    <w:rsid w:val="002F71C0"/>
    <w:pPr>
      <w:tabs>
        <w:tab w:val="clear" w:pos="1134"/>
        <w:tab w:val="left" w:pos="1418"/>
        <w:tab w:val="right" w:leader="dot" w:pos="9639"/>
      </w:tabs>
      <w:spacing w:before="240"/>
      <w:ind w:left="2138" w:right="-45" w:hanging="2138"/>
      <w:jc w:val="left"/>
    </w:pPr>
    <w:rPr>
      <w:rFonts w:eastAsiaTheme="majorEastAsia"/>
      <w:b/>
      <w:noProof/>
      <w:sz w:val="28"/>
      <w:szCs w:val="30"/>
      <w:lang w:val="en-AU"/>
    </w:rPr>
  </w:style>
  <w:style w:type="character" w:styleId="Hyperlink">
    <w:name w:val="Hyperlink"/>
    <w:basedOn w:val="DefaultParagraphFont"/>
    <w:uiPriority w:val="99"/>
    <w:unhideWhenUsed/>
    <w:rsid w:val="00030946"/>
    <w:rPr>
      <w:color w:val="0000FF" w:themeColor="hyperlink"/>
      <w:u w:val="single"/>
    </w:rPr>
  </w:style>
  <w:style w:type="paragraph" w:styleId="TOC2">
    <w:name w:val="toc 2"/>
    <w:basedOn w:val="Normal"/>
    <w:next w:val="Normal"/>
    <w:autoRedefine/>
    <w:uiPriority w:val="39"/>
    <w:unhideWhenUsed/>
    <w:qFormat/>
    <w:rsid w:val="008767FB"/>
    <w:pPr>
      <w:tabs>
        <w:tab w:val="clear" w:pos="1134"/>
        <w:tab w:val="right" w:leader="dot" w:pos="9639"/>
      </w:tabs>
      <w:ind w:left="1985" w:hanging="1418"/>
    </w:pPr>
    <w:rPr>
      <w:noProof/>
    </w:rPr>
  </w:style>
  <w:style w:type="paragraph" w:styleId="TOC3">
    <w:name w:val="toc 3"/>
    <w:basedOn w:val="Normal"/>
    <w:next w:val="Normal"/>
    <w:autoRedefine/>
    <w:uiPriority w:val="39"/>
    <w:unhideWhenUsed/>
    <w:qFormat/>
    <w:rsid w:val="00DA39ED"/>
    <w:pPr>
      <w:tabs>
        <w:tab w:val="clear" w:pos="1134"/>
        <w:tab w:val="right" w:leader="dot" w:pos="9639"/>
      </w:tabs>
      <w:spacing w:after="100" w:line="276" w:lineRule="auto"/>
      <w:ind w:left="2268" w:hanging="1134"/>
      <w:jc w:val="left"/>
    </w:pPr>
    <w:rPr>
      <w:rFonts w:eastAsia="Batang" w:cs="Arial"/>
      <w:bCs/>
      <w:noProof/>
      <w:lang w:val="en-US" w:eastAsia="ja-JP"/>
    </w:rPr>
  </w:style>
  <w:style w:type="character" w:customStyle="1" w:styleId="Heading3Char">
    <w:name w:val="Heading 3 Char"/>
    <w:basedOn w:val="DefaultParagraphFont"/>
    <w:link w:val="Heading3"/>
    <w:uiPriority w:val="9"/>
    <w:rsid w:val="00CE39ED"/>
    <w:rPr>
      <w:rFonts w:ascii="Arial" w:eastAsiaTheme="majorEastAsia" w:hAnsi="Arial" w:cstheme="majorBidi"/>
      <w:bCs/>
      <w:szCs w:val="28"/>
    </w:rPr>
  </w:style>
  <w:style w:type="paragraph" w:styleId="FootnoteText">
    <w:name w:val="footnote text"/>
    <w:basedOn w:val="Normal"/>
    <w:link w:val="FootnoteTextChar"/>
    <w:uiPriority w:val="99"/>
    <w:unhideWhenUsed/>
    <w:rsid w:val="000B67F7"/>
    <w:rPr>
      <w:sz w:val="16"/>
      <w:szCs w:val="16"/>
      <w:lang w:val="en-US"/>
    </w:rPr>
  </w:style>
  <w:style w:type="character" w:customStyle="1" w:styleId="FootnoteTextChar">
    <w:name w:val="Footnote Text Char"/>
    <w:basedOn w:val="DefaultParagraphFont"/>
    <w:link w:val="FootnoteText"/>
    <w:uiPriority w:val="99"/>
    <w:rsid w:val="000B67F7"/>
    <w:rPr>
      <w:rFonts w:ascii="Arial" w:hAnsi="Arial"/>
      <w:sz w:val="16"/>
      <w:szCs w:val="16"/>
      <w:lang w:val="en-US"/>
    </w:rPr>
  </w:style>
  <w:style w:type="character" w:styleId="FootnoteReference">
    <w:name w:val="footnote reference"/>
    <w:basedOn w:val="DefaultParagraphFont"/>
    <w:uiPriority w:val="99"/>
    <w:semiHidden/>
    <w:unhideWhenUsed/>
    <w:rsid w:val="00C94E34"/>
    <w:rPr>
      <w:vertAlign w:val="superscript"/>
    </w:rPr>
  </w:style>
  <w:style w:type="paragraph" w:styleId="List">
    <w:name w:val="List"/>
    <w:basedOn w:val="Normal"/>
    <w:uiPriority w:val="99"/>
    <w:unhideWhenUsed/>
    <w:rsid w:val="00360D2F"/>
    <w:pPr>
      <w:numPr>
        <w:numId w:val="3"/>
      </w:numPr>
      <w:tabs>
        <w:tab w:val="clear" w:pos="1134"/>
      </w:tabs>
      <w:spacing w:before="120" w:after="120"/>
    </w:pPr>
    <w:rPr>
      <w:lang w:val="en-AU"/>
    </w:rPr>
  </w:style>
  <w:style w:type="paragraph" w:styleId="List2">
    <w:name w:val="List 2"/>
    <w:basedOn w:val="List"/>
    <w:uiPriority w:val="99"/>
    <w:unhideWhenUsed/>
    <w:rsid w:val="00360D2F"/>
    <w:pPr>
      <w:numPr>
        <w:numId w:val="1"/>
      </w:numPr>
    </w:pPr>
  </w:style>
  <w:style w:type="table" w:styleId="TableGrid">
    <w:name w:val="Table Grid"/>
    <w:basedOn w:val="TableNormal"/>
    <w:rsid w:val="0074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headings">
    <w:name w:val="Standards headings"/>
    <w:basedOn w:val="List"/>
    <w:link w:val="StandardsheadingsChar"/>
    <w:rsid w:val="004603A6"/>
    <w:pPr>
      <w:numPr>
        <w:numId w:val="5"/>
      </w:numPr>
      <w:tabs>
        <w:tab w:val="left" w:pos="567"/>
      </w:tabs>
      <w:ind w:left="0" w:firstLine="0"/>
      <w:jc w:val="left"/>
    </w:pPr>
    <w:rPr>
      <w:rFonts w:eastAsiaTheme="majorEastAsia" w:cstheme="majorBidi"/>
      <w:b/>
      <w:sz w:val="32"/>
    </w:rPr>
  </w:style>
  <w:style w:type="paragraph" w:customStyle="1" w:styleId="Standardstitles">
    <w:name w:val="Standards titles"/>
    <w:basedOn w:val="Standardsheadings"/>
    <w:link w:val="StandardstitlesChar"/>
    <w:autoRedefine/>
    <w:rsid w:val="005B6A80"/>
    <w:pPr>
      <w:keepLines/>
      <w:widowControl w:val="0"/>
      <w:numPr>
        <w:ilvl w:val="1"/>
        <w:numId w:val="6"/>
      </w:numPr>
    </w:pPr>
    <w:rPr>
      <w:sz w:val="28"/>
      <w:szCs w:val="28"/>
    </w:rPr>
  </w:style>
  <w:style w:type="character" w:customStyle="1" w:styleId="StandardsheadingsChar">
    <w:name w:val="Standards headings Char"/>
    <w:basedOn w:val="Heading1Char"/>
    <w:link w:val="Standardsheadings"/>
    <w:rsid w:val="004603A6"/>
    <w:rPr>
      <w:rFonts w:ascii="Arial" w:eastAsiaTheme="majorEastAsia" w:hAnsi="Arial" w:cstheme="majorBidi"/>
      <w:b/>
      <w:bCs w:val="0"/>
      <w:sz w:val="32"/>
      <w:szCs w:val="32"/>
      <w:lang w:val="en-GB"/>
    </w:rPr>
  </w:style>
  <w:style w:type="character" w:customStyle="1" w:styleId="StandardstitlesChar">
    <w:name w:val="Standards titles Char"/>
    <w:basedOn w:val="Heading1Char"/>
    <w:link w:val="Standardstitles"/>
    <w:rsid w:val="005B6A80"/>
    <w:rPr>
      <w:rFonts w:ascii="Arial" w:eastAsiaTheme="majorEastAsia" w:hAnsi="Arial" w:cstheme="majorBidi"/>
      <w:b/>
      <w:bCs w:val="0"/>
      <w:sz w:val="28"/>
      <w:szCs w:val="28"/>
      <w:lang w:val="en-GB"/>
    </w:rPr>
  </w:style>
  <w:style w:type="character" w:customStyle="1" w:styleId="Heading4Char">
    <w:name w:val="Heading 4 Char"/>
    <w:basedOn w:val="DefaultParagraphFont"/>
    <w:link w:val="Heading4"/>
    <w:uiPriority w:val="9"/>
    <w:rsid w:val="00DC0E40"/>
    <w:rPr>
      <w:rFonts w:ascii="Arial" w:eastAsiaTheme="majorEastAsia" w:hAnsi="Arial" w:cstheme="majorBidi"/>
      <w:iCs/>
      <w:szCs w:val="28"/>
    </w:rPr>
  </w:style>
  <w:style w:type="numbering" w:customStyle="1" w:styleId="Headings">
    <w:name w:val="Headings"/>
    <w:uiPriority w:val="99"/>
    <w:rsid w:val="00DC0E40"/>
    <w:pPr>
      <w:numPr>
        <w:numId w:val="17"/>
      </w:numPr>
    </w:pPr>
  </w:style>
  <w:style w:type="paragraph" w:styleId="TOC4">
    <w:name w:val="toc 4"/>
    <w:basedOn w:val="Normal"/>
    <w:next w:val="Normal"/>
    <w:autoRedefine/>
    <w:uiPriority w:val="39"/>
    <w:unhideWhenUsed/>
    <w:rsid w:val="00DC0E40"/>
    <w:pPr>
      <w:tabs>
        <w:tab w:val="clear" w:pos="1134"/>
      </w:tabs>
      <w:spacing w:after="100" w:line="276" w:lineRule="auto"/>
      <w:ind w:left="660"/>
      <w:jc w:val="left"/>
    </w:pPr>
    <w:rPr>
      <w:rFonts w:asciiTheme="minorHAnsi" w:eastAsiaTheme="minorEastAsia" w:hAnsiTheme="minorHAnsi"/>
      <w:lang w:val="en-AU" w:eastAsia="en-AU"/>
    </w:rPr>
  </w:style>
  <w:style w:type="paragraph" w:styleId="TOC5">
    <w:name w:val="toc 5"/>
    <w:basedOn w:val="Normal"/>
    <w:next w:val="Normal"/>
    <w:autoRedefine/>
    <w:uiPriority w:val="39"/>
    <w:unhideWhenUsed/>
    <w:rsid w:val="00DC0E40"/>
    <w:pPr>
      <w:tabs>
        <w:tab w:val="clear" w:pos="1134"/>
      </w:tabs>
      <w:spacing w:after="100" w:line="276" w:lineRule="auto"/>
      <w:ind w:left="880"/>
      <w:jc w:val="left"/>
    </w:pPr>
    <w:rPr>
      <w:rFonts w:asciiTheme="minorHAnsi" w:eastAsiaTheme="minorEastAsia" w:hAnsiTheme="minorHAnsi"/>
      <w:lang w:val="en-AU" w:eastAsia="en-AU"/>
    </w:rPr>
  </w:style>
  <w:style w:type="paragraph" w:styleId="TOC6">
    <w:name w:val="toc 6"/>
    <w:basedOn w:val="Normal"/>
    <w:next w:val="Normal"/>
    <w:autoRedefine/>
    <w:uiPriority w:val="39"/>
    <w:unhideWhenUsed/>
    <w:rsid w:val="00DC0E40"/>
    <w:pPr>
      <w:tabs>
        <w:tab w:val="clear" w:pos="1134"/>
      </w:tabs>
      <w:spacing w:after="100" w:line="276" w:lineRule="auto"/>
      <w:ind w:left="1100"/>
      <w:jc w:val="left"/>
    </w:pPr>
    <w:rPr>
      <w:rFonts w:asciiTheme="minorHAnsi" w:eastAsiaTheme="minorEastAsia" w:hAnsiTheme="minorHAnsi"/>
      <w:lang w:val="en-AU" w:eastAsia="en-AU"/>
    </w:rPr>
  </w:style>
  <w:style w:type="paragraph" w:styleId="TOC7">
    <w:name w:val="toc 7"/>
    <w:basedOn w:val="Normal"/>
    <w:next w:val="Normal"/>
    <w:autoRedefine/>
    <w:uiPriority w:val="39"/>
    <w:unhideWhenUsed/>
    <w:rsid w:val="00DC0E40"/>
    <w:pPr>
      <w:tabs>
        <w:tab w:val="clear" w:pos="1134"/>
      </w:tabs>
      <w:spacing w:after="100" w:line="276" w:lineRule="auto"/>
      <w:ind w:left="1320"/>
      <w:jc w:val="left"/>
    </w:pPr>
    <w:rPr>
      <w:rFonts w:asciiTheme="minorHAnsi" w:eastAsiaTheme="minorEastAsia" w:hAnsiTheme="minorHAnsi"/>
      <w:lang w:val="en-AU" w:eastAsia="en-AU"/>
    </w:rPr>
  </w:style>
  <w:style w:type="paragraph" w:styleId="TOC8">
    <w:name w:val="toc 8"/>
    <w:basedOn w:val="Normal"/>
    <w:next w:val="Normal"/>
    <w:autoRedefine/>
    <w:uiPriority w:val="39"/>
    <w:unhideWhenUsed/>
    <w:rsid w:val="00DC0E40"/>
    <w:pPr>
      <w:tabs>
        <w:tab w:val="clear" w:pos="1134"/>
      </w:tabs>
      <w:spacing w:after="100" w:line="276" w:lineRule="auto"/>
      <w:ind w:left="1540"/>
      <w:jc w:val="left"/>
    </w:pPr>
    <w:rPr>
      <w:rFonts w:asciiTheme="minorHAnsi" w:eastAsiaTheme="minorEastAsia" w:hAnsiTheme="minorHAnsi"/>
      <w:lang w:val="en-AU" w:eastAsia="en-AU"/>
    </w:rPr>
  </w:style>
  <w:style w:type="paragraph" w:styleId="TOC9">
    <w:name w:val="toc 9"/>
    <w:basedOn w:val="Normal"/>
    <w:next w:val="Normal"/>
    <w:autoRedefine/>
    <w:uiPriority w:val="39"/>
    <w:unhideWhenUsed/>
    <w:rsid w:val="00DC0E40"/>
    <w:pPr>
      <w:tabs>
        <w:tab w:val="clear" w:pos="1134"/>
      </w:tabs>
      <w:spacing w:after="100" w:line="276" w:lineRule="auto"/>
      <w:ind w:left="1760"/>
      <w:jc w:val="left"/>
    </w:pPr>
    <w:rPr>
      <w:rFonts w:asciiTheme="minorHAnsi" w:eastAsiaTheme="minorEastAsia" w:hAnsiTheme="minorHAnsi"/>
      <w:lang w:val="en-AU" w:eastAsia="en-AU"/>
    </w:rPr>
  </w:style>
  <w:style w:type="character" w:customStyle="1" w:styleId="Heading9Char">
    <w:name w:val="Heading 9 Char"/>
    <w:basedOn w:val="DefaultParagraphFont"/>
    <w:link w:val="Heading9"/>
    <w:uiPriority w:val="9"/>
    <w:semiHidden/>
    <w:rsid w:val="00972790"/>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uiPriority w:val="9"/>
    <w:semiHidden/>
    <w:rsid w:val="00972790"/>
    <w:rPr>
      <w:rFonts w:asciiTheme="majorHAnsi" w:eastAsiaTheme="majorEastAsia" w:hAnsiTheme="majorHAnsi" w:cstheme="majorBidi"/>
      <w:color w:val="404040" w:themeColor="text1" w:themeTint="BF"/>
      <w:sz w:val="20"/>
      <w:szCs w:val="20"/>
      <w:lang w:val="en-GB"/>
    </w:rPr>
  </w:style>
  <w:style w:type="character" w:customStyle="1" w:styleId="Heading7Char">
    <w:name w:val="Heading 7 Char"/>
    <w:basedOn w:val="DefaultParagraphFont"/>
    <w:link w:val="Heading7"/>
    <w:uiPriority w:val="9"/>
    <w:semiHidden/>
    <w:rsid w:val="00972790"/>
    <w:rPr>
      <w:rFonts w:asciiTheme="majorHAnsi" w:eastAsiaTheme="majorEastAsia" w:hAnsiTheme="majorHAnsi" w:cstheme="majorBidi"/>
      <w:i/>
      <w:iCs/>
      <w:color w:val="404040" w:themeColor="text1" w:themeTint="BF"/>
      <w:lang w:val="en-GB"/>
    </w:rPr>
  </w:style>
  <w:style w:type="character" w:customStyle="1" w:styleId="Heading6Char">
    <w:name w:val="Heading 6 Char"/>
    <w:basedOn w:val="DefaultParagraphFont"/>
    <w:link w:val="Heading6"/>
    <w:uiPriority w:val="9"/>
    <w:semiHidden/>
    <w:rsid w:val="00972790"/>
    <w:rPr>
      <w:rFonts w:asciiTheme="majorHAnsi" w:eastAsiaTheme="majorEastAsia" w:hAnsiTheme="majorHAnsi" w:cstheme="majorBidi"/>
      <w:i/>
      <w:iCs/>
      <w:color w:val="243F60" w:themeColor="accent1" w:themeShade="7F"/>
      <w:lang w:val="en-GB"/>
    </w:rPr>
  </w:style>
  <w:style w:type="character" w:customStyle="1" w:styleId="Heading5Char">
    <w:name w:val="Heading 5 Char"/>
    <w:basedOn w:val="DefaultParagraphFont"/>
    <w:link w:val="Heading5"/>
    <w:uiPriority w:val="9"/>
    <w:semiHidden/>
    <w:rsid w:val="00972790"/>
    <w:rPr>
      <w:rFonts w:asciiTheme="majorHAnsi" w:eastAsiaTheme="majorEastAsia" w:hAnsiTheme="majorHAnsi" w:cstheme="majorBidi"/>
      <w:color w:val="243F60" w:themeColor="accent1" w:themeShade="7F"/>
      <w:lang w:val="en-GB"/>
    </w:rPr>
  </w:style>
  <w:style w:type="paragraph" w:styleId="Revision">
    <w:name w:val="Revision"/>
    <w:hidden/>
    <w:uiPriority w:val="99"/>
    <w:semiHidden/>
    <w:rsid w:val="00014E76"/>
    <w:pPr>
      <w:spacing w:after="0" w:line="240" w:lineRule="auto"/>
    </w:pPr>
    <w:rPr>
      <w:rFonts w:ascii="Arial" w:hAnsi="Arial"/>
      <w:lang w:val="en-GB"/>
    </w:rPr>
  </w:style>
  <w:style w:type="paragraph" w:customStyle="1" w:styleId="Heading1title">
    <w:name w:val="Heading 1 title"/>
    <w:basedOn w:val="Heading1"/>
    <w:link w:val="Heading1titleChar"/>
    <w:qFormat/>
    <w:rsid w:val="00790C06"/>
    <w:pPr>
      <w:numPr>
        <w:numId w:val="0"/>
      </w:numPr>
      <w:spacing w:after="360" w:line="240" w:lineRule="auto"/>
      <w:jc w:val="both"/>
    </w:pPr>
    <w:rPr>
      <w:lang w:val="en-AU"/>
    </w:rPr>
  </w:style>
  <w:style w:type="character" w:customStyle="1" w:styleId="Heading1titleChar">
    <w:name w:val="Heading 1 title Char"/>
    <w:basedOn w:val="Heading1Char"/>
    <w:link w:val="Heading1title"/>
    <w:rsid w:val="00790C06"/>
    <w:rPr>
      <w:rFonts w:ascii="Arial" w:eastAsia="Batang" w:hAnsi="Arial" w:cs="Arial"/>
      <w:b/>
      <w:bCs/>
      <w:sz w:val="32"/>
      <w:szCs w:val="32"/>
      <w:lang w:val="en-GB"/>
    </w:rPr>
  </w:style>
  <w:style w:type="character" w:styleId="FollowedHyperlink">
    <w:name w:val="FollowedHyperlink"/>
    <w:basedOn w:val="DefaultParagraphFont"/>
    <w:uiPriority w:val="99"/>
    <w:semiHidden/>
    <w:unhideWhenUsed/>
    <w:rsid w:val="001E6AFE"/>
    <w:rPr>
      <w:color w:val="800080" w:themeColor="followedHyperlink"/>
      <w:u w:val="single"/>
    </w:rPr>
  </w:style>
  <w:style w:type="character" w:styleId="Strong">
    <w:name w:val="Strong"/>
    <w:basedOn w:val="DefaultParagraphFont"/>
    <w:uiPriority w:val="22"/>
    <w:qFormat/>
    <w:rsid w:val="00E35B7C"/>
    <w:rPr>
      <w:b/>
      <w:bCs/>
    </w:rPr>
  </w:style>
  <w:style w:type="paragraph" w:styleId="NoSpacing">
    <w:name w:val="No Spacing"/>
    <w:uiPriority w:val="1"/>
    <w:qFormat/>
    <w:rsid w:val="00815371"/>
    <w:pPr>
      <w:tabs>
        <w:tab w:val="left" w:pos="1134"/>
      </w:tabs>
      <w:spacing w:after="0" w:line="240" w:lineRule="auto"/>
      <w:jc w:val="both"/>
    </w:pPr>
    <w:rPr>
      <w:rFonts w:ascii="Arial" w:hAnsi="Arial"/>
      <w:lang w:val="en-GB"/>
    </w:rPr>
  </w:style>
  <w:style w:type="character" w:customStyle="1" w:styleId="ListParagraphChar">
    <w:name w:val="List Paragraph Char"/>
    <w:basedOn w:val="DefaultParagraphFont"/>
    <w:link w:val="ListParagraph"/>
    <w:uiPriority w:val="34"/>
    <w:rsid w:val="00815371"/>
    <w:rPr>
      <w:rFonts w:ascii="Arial" w:hAnsi="Arial"/>
      <w:lang w:val="en-GB"/>
    </w:rPr>
  </w:style>
  <w:style w:type="character" w:customStyle="1" w:styleId="DefinitionheadingChar">
    <w:name w:val="Definition heading Char"/>
    <w:basedOn w:val="ListParagraphChar"/>
    <w:rsid w:val="00596F2D"/>
    <w:rPr>
      <w:rFonts w:ascii="Arial" w:hAnsi="Arial"/>
      <w:b/>
      <w:lang w:val="en-GB"/>
    </w:rPr>
  </w:style>
  <w:style w:type="paragraph" w:customStyle="1" w:styleId="ReferencePoints">
    <w:name w:val="Reference Points"/>
    <w:basedOn w:val="Normal"/>
    <w:link w:val="ReferencePointsChar"/>
    <w:qFormat/>
    <w:rsid w:val="00DA2102"/>
    <w:pPr>
      <w:widowControl w:val="0"/>
      <w:tabs>
        <w:tab w:val="clear" w:pos="1134"/>
      </w:tabs>
      <w:spacing w:before="120" w:after="120"/>
      <w:ind w:left="993"/>
    </w:pPr>
    <w:rPr>
      <w:b/>
      <w:lang w:val="en-AU"/>
    </w:rPr>
  </w:style>
  <w:style w:type="paragraph" w:customStyle="1" w:styleId="ReferencePointsText">
    <w:name w:val="Reference Points Text"/>
    <w:basedOn w:val="ListParagraph"/>
    <w:link w:val="ReferencePointsTextChar"/>
    <w:qFormat/>
    <w:rsid w:val="0027675E"/>
    <w:pPr>
      <w:widowControl w:val="0"/>
      <w:numPr>
        <w:numId w:val="4"/>
      </w:numPr>
      <w:spacing w:before="120" w:after="120"/>
    </w:pPr>
    <w:rPr>
      <w:i/>
      <w:lang w:val="en-AU"/>
    </w:rPr>
  </w:style>
  <w:style w:type="character" w:customStyle="1" w:styleId="ReferencePointsChar">
    <w:name w:val="Reference Points Char"/>
    <w:basedOn w:val="DefaultParagraphFont"/>
    <w:link w:val="ReferencePoints"/>
    <w:rsid w:val="00DA2102"/>
    <w:rPr>
      <w:rFonts w:ascii="Arial" w:hAnsi="Arial"/>
      <w:b/>
    </w:rPr>
  </w:style>
  <w:style w:type="paragraph" w:customStyle="1" w:styleId="ReferencePointstext0">
    <w:name w:val="Reference Points text"/>
    <w:basedOn w:val="ListParagraph"/>
    <w:link w:val="ReferencePointstextChar0"/>
    <w:qFormat/>
    <w:rsid w:val="0027675E"/>
    <w:pPr>
      <w:widowControl w:val="0"/>
      <w:numPr>
        <w:numId w:val="2"/>
      </w:numPr>
      <w:tabs>
        <w:tab w:val="clear" w:pos="1134"/>
      </w:tabs>
      <w:spacing w:before="120" w:after="120"/>
      <w:ind w:left="1701" w:hanging="283"/>
      <w:contextualSpacing w:val="0"/>
    </w:pPr>
    <w:rPr>
      <w:lang w:val="en-AU"/>
    </w:rPr>
  </w:style>
  <w:style w:type="character" w:customStyle="1" w:styleId="ReferencePointsTextChar">
    <w:name w:val="Reference Points Text Char"/>
    <w:basedOn w:val="ListParagraphChar"/>
    <w:link w:val="ReferencePointsText"/>
    <w:rsid w:val="0027675E"/>
    <w:rPr>
      <w:rFonts w:ascii="Arial" w:hAnsi="Arial"/>
      <w:i/>
      <w:lang w:val="en-GB"/>
    </w:rPr>
  </w:style>
  <w:style w:type="character" w:customStyle="1" w:styleId="ReferencePointstextChar0">
    <w:name w:val="Reference Points text Char"/>
    <w:basedOn w:val="ListParagraphChar"/>
    <w:link w:val="ReferencePointstext0"/>
    <w:rsid w:val="0027675E"/>
    <w:rPr>
      <w:rFonts w:ascii="Arial" w:hAnsi="Arial"/>
      <w:lang w:val="en-GB"/>
    </w:rPr>
  </w:style>
  <w:style w:type="table" w:styleId="LightGrid-Accent1">
    <w:name w:val="Light Grid Accent 1"/>
    <w:basedOn w:val="TableNormal"/>
    <w:uiPriority w:val="62"/>
    <w:rsid w:val="00F47DB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ubheading">
    <w:name w:val="Subheading"/>
    <w:basedOn w:val="Normal"/>
    <w:link w:val="SubheadingChar"/>
    <w:qFormat/>
    <w:rsid w:val="00C46788"/>
    <w:pPr>
      <w:tabs>
        <w:tab w:val="clear" w:pos="1134"/>
      </w:tabs>
    </w:pPr>
    <w:rPr>
      <w:rFonts w:cs="Arial"/>
      <w:b/>
      <w:sz w:val="24"/>
      <w:szCs w:val="24"/>
    </w:rPr>
  </w:style>
  <w:style w:type="character" w:customStyle="1" w:styleId="SubheadingChar">
    <w:name w:val="Subheading Char"/>
    <w:basedOn w:val="DefaultParagraphFont"/>
    <w:link w:val="Subheading"/>
    <w:rsid w:val="00C46788"/>
    <w:rPr>
      <w:rFonts w:ascii="Arial" w:hAnsi="Arial" w:cs="Arial"/>
      <w:b/>
      <w:sz w:val="24"/>
      <w:szCs w:val="24"/>
      <w:lang w:val="en-GB"/>
    </w:rPr>
  </w:style>
  <w:style w:type="table" w:customStyle="1" w:styleId="TableGrid1">
    <w:name w:val="Table Grid1"/>
    <w:basedOn w:val="TableNormal"/>
    <w:next w:val="TableGrid"/>
    <w:uiPriority w:val="59"/>
    <w:rsid w:val="002D7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0B52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dnoteText">
    <w:name w:val="endnote text"/>
    <w:basedOn w:val="Normal"/>
    <w:link w:val="EndnoteTextChar"/>
    <w:uiPriority w:val="99"/>
    <w:semiHidden/>
    <w:unhideWhenUsed/>
    <w:rsid w:val="000A0483"/>
    <w:rPr>
      <w:sz w:val="20"/>
      <w:szCs w:val="20"/>
    </w:rPr>
  </w:style>
  <w:style w:type="character" w:customStyle="1" w:styleId="EndnoteTextChar">
    <w:name w:val="Endnote Text Char"/>
    <w:basedOn w:val="DefaultParagraphFont"/>
    <w:link w:val="EndnoteText"/>
    <w:uiPriority w:val="99"/>
    <w:semiHidden/>
    <w:rsid w:val="000A0483"/>
    <w:rPr>
      <w:rFonts w:ascii="Arial" w:hAnsi="Arial"/>
      <w:sz w:val="20"/>
      <w:szCs w:val="20"/>
      <w:lang w:val="en-GB"/>
    </w:rPr>
  </w:style>
  <w:style w:type="character" w:styleId="EndnoteReference">
    <w:name w:val="endnote reference"/>
    <w:basedOn w:val="DefaultParagraphFont"/>
    <w:uiPriority w:val="99"/>
    <w:semiHidden/>
    <w:unhideWhenUsed/>
    <w:rsid w:val="000A0483"/>
    <w:rPr>
      <w:vertAlign w:val="superscript"/>
    </w:rPr>
  </w:style>
  <w:style w:type="numbering" w:customStyle="1" w:styleId="Headings1">
    <w:name w:val="Headings1"/>
    <w:uiPriority w:val="99"/>
    <w:rsid w:val="000336EF"/>
  </w:style>
  <w:style w:type="paragraph" w:customStyle="1" w:styleId="tableheading">
    <w:name w:val="tableheading"/>
    <w:basedOn w:val="Normal"/>
    <w:rsid w:val="003D096A"/>
    <w:pPr>
      <w:tabs>
        <w:tab w:val="clear" w:pos="1134"/>
      </w:tabs>
      <w:spacing w:before="100" w:beforeAutospacing="1" w:after="100" w:afterAutospacing="1"/>
      <w:jc w:val="left"/>
    </w:pPr>
    <w:rPr>
      <w:rFonts w:ascii="Times New Roman" w:eastAsia="Times New Roman" w:hAnsi="Times New Roman" w:cs="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358"/>
    <w:pPr>
      <w:tabs>
        <w:tab w:val="left" w:pos="1134"/>
      </w:tabs>
      <w:spacing w:after="0" w:line="240" w:lineRule="auto"/>
      <w:jc w:val="both"/>
    </w:pPr>
    <w:rPr>
      <w:rFonts w:ascii="Arial" w:hAnsi="Arial"/>
      <w:lang w:val="en-GB"/>
    </w:rPr>
  </w:style>
  <w:style w:type="paragraph" w:styleId="Heading1">
    <w:name w:val="heading 1"/>
    <w:next w:val="Normal"/>
    <w:link w:val="Heading1Char"/>
    <w:uiPriority w:val="9"/>
    <w:qFormat/>
    <w:rsid w:val="00DC0E40"/>
    <w:pPr>
      <w:keepNext/>
      <w:numPr>
        <w:numId w:val="7"/>
      </w:numPr>
      <w:spacing w:before="120" w:after="120"/>
      <w:outlineLvl w:val="0"/>
    </w:pPr>
    <w:rPr>
      <w:rFonts w:ascii="Arial" w:eastAsia="Batang" w:hAnsi="Arial" w:cs="Arial"/>
      <w:b/>
      <w:bCs/>
      <w:sz w:val="32"/>
      <w:szCs w:val="32"/>
      <w:lang w:val="en-GB"/>
    </w:rPr>
  </w:style>
  <w:style w:type="paragraph" w:styleId="Heading2">
    <w:name w:val="heading 2"/>
    <w:basedOn w:val="Heading1"/>
    <w:next w:val="Normal"/>
    <w:link w:val="Heading2Char"/>
    <w:autoRedefine/>
    <w:uiPriority w:val="9"/>
    <w:unhideWhenUsed/>
    <w:qFormat/>
    <w:rsid w:val="00B80613"/>
    <w:pPr>
      <w:keepNext w:val="0"/>
      <w:widowControl w:val="0"/>
      <w:numPr>
        <w:ilvl w:val="1"/>
      </w:numPr>
      <w:jc w:val="both"/>
      <w:outlineLvl w:val="1"/>
    </w:pPr>
    <w:rPr>
      <w:rFonts w:eastAsiaTheme="majorEastAsia" w:cstheme="majorBidi"/>
      <w:sz w:val="28"/>
      <w:szCs w:val="28"/>
      <w:lang w:val="en-AU"/>
    </w:rPr>
  </w:style>
  <w:style w:type="paragraph" w:styleId="Heading3">
    <w:name w:val="heading 3"/>
    <w:basedOn w:val="Heading2"/>
    <w:next w:val="Normal"/>
    <w:link w:val="Heading3Char"/>
    <w:autoRedefine/>
    <w:uiPriority w:val="9"/>
    <w:unhideWhenUsed/>
    <w:qFormat/>
    <w:rsid w:val="00CE39ED"/>
    <w:pPr>
      <w:numPr>
        <w:ilvl w:val="2"/>
        <w:numId w:val="8"/>
      </w:numPr>
      <w:spacing w:line="240" w:lineRule="auto"/>
      <w:outlineLvl w:val="2"/>
    </w:pPr>
    <w:rPr>
      <w:b w:val="0"/>
      <w:sz w:val="22"/>
    </w:rPr>
  </w:style>
  <w:style w:type="paragraph" w:styleId="Heading4">
    <w:name w:val="heading 4"/>
    <w:basedOn w:val="Heading3"/>
    <w:next w:val="Normal"/>
    <w:link w:val="Heading4Char"/>
    <w:uiPriority w:val="9"/>
    <w:unhideWhenUsed/>
    <w:qFormat/>
    <w:rsid w:val="00DC0E40"/>
    <w:pPr>
      <w:numPr>
        <w:ilvl w:val="3"/>
        <w:numId w:val="16"/>
      </w:numPr>
      <w:tabs>
        <w:tab w:val="left" w:pos="284"/>
      </w:tabs>
      <w:outlineLvl w:val="3"/>
    </w:pPr>
    <w:rPr>
      <w:bCs w:val="0"/>
      <w:iCs/>
    </w:rPr>
  </w:style>
  <w:style w:type="paragraph" w:styleId="Heading5">
    <w:name w:val="heading 5"/>
    <w:basedOn w:val="Normal"/>
    <w:next w:val="Normal"/>
    <w:link w:val="Heading5Char"/>
    <w:uiPriority w:val="9"/>
    <w:semiHidden/>
    <w:unhideWhenUsed/>
    <w:qFormat/>
    <w:rsid w:val="0097279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279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279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279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279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E40"/>
    <w:rPr>
      <w:rFonts w:ascii="Arial" w:eastAsia="Batang" w:hAnsi="Arial" w:cs="Arial"/>
      <w:b/>
      <w:bCs/>
      <w:sz w:val="32"/>
      <w:szCs w:val="32"/>
      <w:lang w:val="en-GB"/>
    </w:rPr>
  </w:style>
  <w:style w:type="character" w:customStyle="1" w:styleId="Heading2Char">
    <w:name w:val="Heading 2 Char"/>
    <w:basedOn w:val="DefaultParagraphFont"/>
    <w:link w:val="Heading2"/>
    <w:uiPriority w:val="9"/>
    <w:rsid w:val="00B80613"/>
    <w:rPr>
      <w:rFonts w:ascii="Arial" w:eastAsiaTheme="majorEastAsia" w:hAnsi="Arial" w:cstheme="majorBidi"/>
      <w:b/>
      <w:bCs/>
      <w:sz w:val="28"/>
      <w:szCs w:val="28"/>
    </w:rPr>
  </w:style>
  <w:style w:type="paragraph" w:styleId="ListParagraph">
    <w:name w:val="List Paragraph"/>
    <w:basedOn w:val="Normal"/>
    <w:link w:val="ListParagraphChar"/>
    <w:uiPriority w:val="34"/>
    <w:qFormat/>
    <w:rsid w:val="00CF4122"/>
    <w:pPr>
      <w:ind w:left="720"/>
      <w:contextualSpacing/>
    </w:pPr>
  </w:style>
  <w:style w:type="character" w:styleId="CommentReference">
    <w:name w:val="annotation reference"/>
    <w:basedOn w:val="DefaultParagraphFont"/>
    <w:uiPriority w:val="99"/>
    <w:semiHidden/>
    <w:unhideWhenUsed/>
    <w:rsid w:val="00745143"/>
    <w:rPr>
      <w:sz w:val="16"/>
      <w:szCs w:val="16"/>
    </w:rPr>
  </w:style>
  <w:style w:type="paragraph" w:styleId="CommentText">
    <w:name w:val="annotation text"/>
    <w:basedOn w:val="Normal"/>
    <w:link w:val="CommentTextChar"/>
    <w:uiPriority w:val="99"/>
    <w:semiHidden/>
    <w:unhideWhenUsed/>
    <w:rsid w:val="00745143"/>
    <w:rPr>
      <w:sz w:val="20"/>
      <w:szCs w:val="20"/>
    </w:rPr>
  </w:style>
  <w:style w:type="character" w:customStyle="1" w:styleId="CommentTextChar">
    <w:name w:val="Comment Text Char"/>
    <w:basedOn w:val="DefaultParagraphFont"/>
    <w:link w:val="CommentText"/>
    <w:uiPriority w:val="99"/>
    <w:semiHidden/>
    <w:rsid w:val="00745143"/>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745143"/>
    <w:rPr>
      <w:b/>
      <w:bCs/>
    </w:rPr>
  </w:style>
  <w:style w:type="character" w:customStyle="1" w:styleId="CommentSubjectChar">
    <w:name w:val="Comment Subject Char"/>
    <w:basedOn w:val="CommentTextChar"/>
    <w:link w:val="CommentSubject"/>
    <w:uiPriority w:val="99"/>
    <w:semiHidden/>
    <w:rsid w:val="00745143"/>
    <w:rPr>
      <w:rFonts w:ascii="Arial" w:hAnsi="Arial"/>
      <w:b/>
      <w:bCs/>
      <w:sz w:val="20"/>
      <w:szCs w:val="20"/>
      <w:lang w:val="en-GB"/>
    </w:rPr>
  </w:style>
  <w:style w:type="paragraph" w:styleId="BalloonText">
    <w:name w:val="Balloon Text"/>
    <w:basedOn w:val="Normal"/>
    <w:link w:val="BalloonTextChar"/>
    <w:uiPriority w:val="99"/>
    <w:semiHidden/>
    <w:unhideWhenUsed/>
    <w:rsid w:val="00745143"/>
    <w:rPr>
      <w:rFonts w:ascii="Tahoma" w:hAnsi="Tahoma" w:cs="Tahoma"/>
      <w:sz w:val="16"/>
      <w:szCs w:val="16"/>
    </w:rPr>
  </w:style>
  <w:style w:type="character" w:customStyle="1" w:styleId="BalloonTextChar">
    <w:name w:val="Balloon Text Char"/>
    <w:basedOn w:val="DefaultParagraphFont"/>
    <w:link w:val="BalloonText"/>
    <w:uiPriority w:val="99"/>
    <w:semiHidden/>
    <w:rsid w:val="00745143"/>
    <w:rPr>
      <w:rFonts w:ascii="Tahoma" w:hAnsi="Tahoma" w:cs="Tahoma"/>
      <w:sz w:val="16"/>
      <w:szCs w:val="16"/>
      <w:lang w:val="en-GB"/>
    </w:rPr>
  </w:style>
  <w:style w:type="paragraph" w:styleId="Header">
    <w:name w:val="header"/>
    <w:basedOn w:val="Normal"/>
    <w:link w:val="HeaderChar"/>
    <w:uiPriority w:val="99"/>
    <w:unhideWhenUsed/>
    <w:rsid w:val="00635A01"/>
    <w:pPr>
      <w:tabs>
        <w:tab w:val="clear" w:pos="1134"/>
        <w:tab w:val="center" w:pos="4513"/>
        <w:tab w:val="right" w:pos="9026"/>
      </w:tabs>
    </w:pPr>
  </w:style>
  <w:style w:type="character" w:customStyle="1" w:styleId="HeaderChar">
    <w:name w:val="Header Char"/>
    <w:basedOn w:val="DefaultParagraphFont"/>
    <w:link w:val="Header"/>
    <w:uiPriority w:val="99"/>
    <w:rsid w:val="00635A01"/>
    <w:rPr>
      <w:rFonts w:ascii="Arial" w:hAnsi="Arial"/>
      <w:lang w:val="en-GB"/>
    </w:rPr>
  </w:style>
  <w:style w:type="paragraph" w:styleId="Footer">
    <w:name w:val="footer"/>
    <w:basedOn w:val="Normal"/>
    <w:link w:val="FooterChar"/>
    <w:uiPriority w:val="99"/>
    <w:unhideWhenUsed/>
    <w:rsid w:val="00635A01"/>
    <w:pPr>
      <w:tabs>
        <w:tab w:val="clear" w:pos="1134"/>
        <w:tab w:val="center" w:pos="4513"/>
        <w:tab w:val="right" w:pos="9026"/>
      </w:tabs>
    </w:pPr>
  </w:style>
  <w:style w:type="character" w:customStyle="1" w:styleId="FooterChar">
    <w:name w:val="Footer Char"/>
    <w:basedOn w:val="DefaultParagraphFont"/>
    <w:link w:val="Footer"/>
    <w:uiPriority w:val="99"/>
    <w:rsid w:val="00635A01"/>
    <w:rPr>
      <w:rFonts w:ascii="Arial" w:hAnsi="Arial"/>
      <w:lang w:val="en-GB"/>
    </w:rPr>
  </w:style>
  <w:style w:type="character" w:styleId="LineNumber">
    <w:name w:val="line number"/>
    <w:basedOn w:val="DefaultParagraphFont"/>
    <w:uiPriority w:val="99"/>
    <w:semiHidden/>
    <w:unhideWhenUsed/>
    <w:rsid w:val="00406388"/>
  </w:style>
  <w:style w:type="paragraph" w:styleId="TOCHeading">
    <w:name w:val="TOC Heading"/>
    <w:basedOn w:val="Heading1"/>
    <w:next w:val="Normal"/>
    <w:uiPriority w:val="39"/>
    <w:semiHidden/>
    <w:unhideWhenUsed/>
    <w:qFormat/>
    <w:rsid w:val="00030946"/>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qFormat/>
    <w:rsid w:val="002F71C0"/>
    <w:pPr>
      <w:tabs>
        <w:tab w:val="clear" w:pos="1134"/>
        <w:tab w:val="left" w:pos="1418"/>
        <w:tab w:val="right" w:leader="dot" w:pos="9639"/>
      </w:tabs>
      <w:spacing w:before="240"/>
      <w:ind w:left="2138" w:right="-45" w:hanging="2138"/>
      <w:jc w:val="left"/>
    </w:pPr>
    <w:rPr>
      <w:rFonts w:eastAsiaTheme="majorEastAsia"/>
      <w:b/>
      <w:noProof/>
      <w:sz w:val="28"/>
      <w:szCs w:val="30"/>
      <w:lang w:val="en-AU"/>
    </w:rPr>
  </w:style>
  <w:style w:type="character" w:styleId="Hyperlink">
    <w:name w:val="Hyperlink"/>
    <w:basedOn w:val="DefaultParagraphFont"/>
    <w:uiPriority w:val="99"/>
    <w:unhideWhenUsed/>
    <w:rsid w:val="00030946"/>
    <w:rPr>
      <w:color w:val="0000FF" w:themeColor="hyperlink"/>
      <w:u w:val="single"/>
    </w:rPr>
  </w:style>
  <w:style w:type="paragraph" w:styleId="TOC2">
    <w:name w:val="toc 2"/>
    <w:basedOn w:val="Normal"/>
    <w:next w:val="Normal"/>
    <w:autoRedefine/>
    <w:uiPriority w:val="39"/>
    <w:unhideWhenUsed/>
    <w:qFormat/>
    <w:rsid w:val="008767FB"/>
    <w:pPr>
      <w:tabs>
        <w:tab w:val="clear" w:pos="1134"/>
        <w:tab w:val="right" w:leader="dot" w:pos="9639"/>
      </w:tabs>
      <w:ind w:left="1985" w:hanging="1418"/>
    </w:pPr>
    <w:rPr>
      <w:noProof/>
    </w:rPr>
  </w:style>
  <w:style w:type="paragraph" w:styleId="TOC3">
    <w:name w:val="toc 3"/>
    <w:basedOn w:val="Normal"/>
    <w:next w:val="Normal"/>
    <w:autoRedefine/>
    <w:uiPriority w:val="39"/>
    <w:unhideWhenUsed/>
    <w:qFormat/>
    <w:rsid w:val="00DA39ED"/>
    <w:pPr>
      <w:tabs>
        <w:tab w:val="clear" w:pos="1134"/>
        <w:tab w:val="right" w:leader="dot" w:pos="9639"/>
      </w:tabs>
      <w:spacing w:after="100" w:line="276" w:lineRule="auto"/>
      <w:ind w:left="2268" w:hanging="1134"/>
      <w:jc w:val="left"/>
    </w:pPr>
    <w:rPr>
      <w:rFonts w:eastAsia="Batang" w:cs="Arial"/>
      <w:bCs/>
      <w:noProof/>
      <w:lang w:val="en-US" w:eastAsia="ja-JP"/>
    </w:rPr>
  </w:style>
  <w:style w:type="character" w:customStyle="1" w:styleId="Heading3Char">
    <w:name w:val="Heading 3 Char"/>
    <w:basedOn w:val="DefaultParagraphFont"/>
    <w:link w:val="Heading3"/>
    <w:uiPriority w:val="9"/>
    <w:rsid w:val="00CE39ED"/>
    <w:rPr>
      <w:rFonts w:ascii="Arial" w:eastAsiaTheme="majorEastAsia" w:hAnsi="Arial" w:cstheme="majorBidi"/>
      <w:bCs/>
      <w:szCs w:val="28"/>
    </w:rPr>
  </w:style>
  <w:style w:type="paragraph" w:styleId="FootnoteText">
    <w:name w:val="footnote text"/>
    <w:basedOn w:val="Normal"/>
    <w:link w:val="FootnoteTextChar"/>
    <w:uiPriority w:val="99"/>
    <w:unhideWhenUsed/>
    <w:rsid w:val="000B67F7"/>
    <w:rPr>
      <w:sz w:val="16"/>
      <w:szCs w:val="16"/>
      <w:lang w:val="en-US"/>
    </w:rPr>
  </w:style>
  <w:style w:type="character" w:customStyle="1" w:styleId="FootnoteTextChar">
    <w:name w:val="Footnote Text Char"/>
    <w:basedOn w:val="DefaultParagraphFont"/>
    <w:link w:val="FootnoteText"/>
    <w:uiPriority w:val="99"/>
    <w:rsid w:val="000B67F7"/>
    <w:rPr>
      <w:rFonts w:ascii="Arial" w:hAnsi="Arial"/>
      <w:sz w:val="16"/>
      <w:szCs w:val="16"/>
      <w:lang w:val="en-US"/>
    </w:rPr>
  </w:style>
  <w:style w:type="character" w:styleId="FootnoteReference">
    <w:name w:val="footnote reference"/>
    <w:basedOn w:val="DefaultParagraphFont"/>
    <w:uiPriority w:val="99"/>
    <w:semiHidden/>
    <w:unhideWhenUsed/>
    <w:rsid w:val="00C94E34"/>
    <w:rPr>
      <w:vertAlign w:val="superscript"/>
    </w:rPr>
  </w:style>
  <w:style w:type="paragraph" w:styleId="List">
    <w:name w:val="List"/>
    <w:basedOn w:val="Normal"/>
    <w:uiPriority w:val="99"/>
    <w:unhideWhenUsed/>
    <w:rsid w:val="00360D2F"/>
    <w:pPr>
      <w:numPr>
        <w:numId w:val="3"/>
      </w:numPr>
      <w:tabs>
        <w:tab w:val="clear" w:pos="1134"/>
      </w:tabs>
      <w:spacing w:before="120" w:after="120"/>
    </w:pPr>
    <w:rPr>
      <w:lang w:val="en-AU"/>
    </w:rPr>
  </w:style>
  <w:style w:type="paragraph" w:styleId="List2">
    <w:name w:val="List 2"/>
    <w:basedOn w:val="List"/>
    <w:uiPriority w:val="99"/>
    <w:unhideWhenUsed/>
    <w:rsid w:val="00360D2F"/>
    <w:pPr>
      <w:numPr>
        <w:numId w:val="1"/>
      </w:numPr>
    </w:pPr>
  </w:style>
  <w:style w:type="table" w:styleId="TableGrid">
    <w:name w:val="Table Grid"/>
    <w:basedOn w:val="TableNormal"/>
    <w:rsid w:val="0074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headings">
    <w:name w:val="Standards headings"/>
    <w:basedOn w:val="List"/>
    <w:link w:val="StandardsheadingsChar"/>
    <w:rsid w:val="004603A6"/>
    <w:pPr>
      <w:numPr>
        <w:numId w:val="5"/>
      </w:numPr>
      <w:tabs>
        <w:tab w:val="left" w:pos="567"/>
      </w:tabs>
      <w:ind w:left="0" w:firstLine="0"/>
      <w:jc w:val="left"/>
    </w:pPr>
    <w:rPr>
      <w:rFonts w:eastAsiaTheme="majorEastAsia" w:cstheme="majorBidi"/>
      <w:b/>
      <w:sz w:val="32"/>
    </w:rPr>
  </w:style>
  <w:style w:type="paragraph" w:customStyle="1" w:styleId="Standardstitles">
    <w:name w:val="Standards titles"/>
    <w:basedOn w:val="Standardsheadings"/>
    <w:link w:val="StandardstitlesChar"/>
    <w:autoRedefine/>
    <w:rsid w:val="005B6A80"/>
    <w:pPr>
      <w:keepLines/>
      <w:widowControl w:val="0"/>
      <w:numPr>
        <w:ilvl w:val="1"/>
        <w:numId w:val="6"/>
      </w:numPr>
    </w:pPr>
    <w:rPr>
      <w:sz w:val="28"/>
      <w:szCs w:val="28"/>
    </w:rPr>
  </w:style>
  <w:style w:type="character" w:customStyle="1" w:styleId="StandardsheadingsChar">
    <w:name w:val="Standards headings Char"/>
    <w:basedOn w:val="Heading1Char"/>
    <w:link w:val="Standardsheadings"/>
    <w:rsid w:val="004603A6"/>
    <w:rPr>
      <w:rFonts w:ascii="Arial" w:eastAsiaTheme="majorEastAsia" w:hAnsi="Arial" w:cstheme="majorBidi"/>
      <w:b/>
      <w:bCs w:val="0"/>
      <w:sz w:val="32"/>
      <w:szCs w:val="32"/>
      <w:lang w:val="en-GB"/>
    </w:rPr>
  </w:style>
  <w:style w:type="character" w:customStyle="1" w:styleId="StandardstitlesChar">
    <w:name w:val="Standards titles Char"/>
    <w:basedOn w:val="Heading1Char"/>
    <w:link w:val="Standardstitles"/>
    <w:rsid w:val="005B6A80"/>
    <w:rPr>
      <w:rFonts w:ascii="Arial" w:eastAsiaTheme="majorEastAsia" w:hAnsi="Arial" w:cstheme="majorBidi"/>
      <w:b/>
      <w:bCs w:val="0"/>
      <w:sz w:val="28"/>
      <w:szCs w:val="28"/>
      <w:lang w:val="en-GB"/>
    </w:rPr>
  </w:style>
  <w:style w:type="character" w:customStyle="1" w:styleId="Heading4Char">
    <w:name w:val="Heading 4 Char"/>
    <w:basedOn w:val="DefaultParagraphFont"/>
    <w:link w:val="Heading4"/>
    <w:uiPriority w:val="9"/>
    <w:rsid w:val="00DC0E40"/>
    <w:rPr>
      <w:rFonts w:ascii="Arial" w:eastAsiaTheme="majorEastAsia" w:hAnsi="Arial" w:cstheme="majorBidi"/>
      <w:iCs/>
      <w:szCs w:val="28"/>
    </w:rPr>
  </w:style>
  <w:style w:type="numbering" w:customStyle="1" w:styleId="Headings">
    <w:name w:val="Headings"/>
    <w:uiPriority w:val="99"/>
    <w:rsid w:val="00DC0E40"/>
    <w:pPr>
      <w:numPr>
        <w:numId w:val="17"/>
      </w:numPr>
    </w:pPr>
  </w:style>
  <w:style w:type="paragraph" w:styleId="TOC4">
    <w:name w:val="toc 4"/>
    <w:basedOn w:val="Normal"/>
    <w:next w:val="Normal"/>
    <w:autoRedefine/>
    <w:uiPriority w:val="39"/>
    <w:unhideWhenUsed/>
    <w:rsid w:val="00DC0E40"/>
    <w:pPr>
      <w:tabs>
        <w:tab w:val="clear" w:pos="1134"/>
      </w:tabs>
      <w:spacing w:after="100" w:line="276" w:lineRule="auto"/>
      <w:ind w:left="660"/>
      <w:jc w:val="left"/>
    </w:pPr>
    <w:rPr>
      <w:rFonts w:asciiTheme="minorHAnsi" w:eastAsiaTheme="minorEastAsia" w:hAnsiTheme="minorHAnsi"/>
      <w:lang w:val="en-AU" w:eastAsia="en-AU"/>
    </w:rPr>
  </w:style>
  <w:style w:type="paragraph" w:styleId="TOC5">
    <w:name w:val="toc 5"/>
    <w:basedOn w:val="Normal"/>
    <w:next w:val="Normal"/>
    <w:autoRedefine/>
    <w:uiPriority w:val="39"/>
    <w:unhideWhenUsed/>
    <w:rsid w:val="00DC0E40"/>
    <w:pPr>
      <w:tabs>
        <w:tab w:val="clear" w:pos="1134"/>
      </w:tabs>
      <w:spacing w:after="100" w:line="276" w:lineRule="auto"/>
      <w:ind w:left="880"/>
      <w:jc w:val="left"/>
    </w:pPr>
    <w:rPr>
      <w:rFonts w:asciiTheme="minorHAnsi" w:eastAsiaTheme="minorEastAsia" w:hAnsiTheme="minorHAnsi"/>
      <w:lang w:val="en-AU" w:eastAsia="en-AU"/>
    </w:rPr>
  </w:style>
  <w:style w:type="paragraph" w:styleId="TOC6">
    <w:name w:val="toc 6"/>
    <w:basedOn w:val="Normal"/>
    <w:next w:val="Normal"/>
    <w:autoRedefine/>
    <w:uiPriority w:val="39"/>
    <w:unhideWhenUsed/>
    <w:rsid w:val="00DC0E40"/>
    <w:pPr>
      <w:tabs>
        <w:tab w:val="clear" w:pos="1134"/>
      </w:tabs>
      <w:spacing w:after="100" w:line="276" w:lineRule="auto"/>
      <w:ind w:left="1100"/>
      <w:jc w:val="left"/>
    </w:pPr>
    <w:rPr>
      <w:rFonts w:asciiTheme="minorHAnsi" w:eastAsiaTheme="minorEastAsia" w:hAnsiTheme="minorHAnsi"/>
      <w:lang w:val="en-AU" w:eastAsia="en-AU"/>
    </w:rPr>
  </w:style>
  <w:style w:type="paragraph" w:styleId="TOC7">
    <w:name w:val="toc 7"/>
    <w:basedOn w:val="Normal"/>
    <w:next w:val="Normal"/>
    <w:autoRedefine/>
    <w:uiPriority w:val="39"/>
    <w:unhideWhenUsed/>
    <w:rsid w:val="00DC0E40"/>
    <w:pPr>
      <w:tabs>
        <w:tab w:val="clear" w:pos="1134"/>
      </w:tabs>
      <w:spacing w:after="100" w:line="276" w:lineRule="auto"/>
      <w:ind w:left="1320"/>
      <w:jc w:val="left"/>
    </w:pPr>
    <w:rPr>
      <w:rFonts w:asciiTheme="minorHAnsi" w:eastAsiaTheme="minorEastAsia" w:hAnsiTheme="minorHAnsi"/>
      <w:lang w:val="en-AU" w:eastAsia="en-AU"/>
    </w:rPr>
  </w:style>
  <w:style w:type="paragraph" w:styleId="TOC8">
    <w:name w:val="toc 8"/>
    <w:basedOn w:val="Normal"/>
    <w:next w:val="Normal"/>
    <w:autoRedefine/>
    <w:uiPriority w:val="39"/>
    <w:unhideWhenUsed/>
    <w:rsid w:val="00DC0E40"/>
    <w:pPr>
      <w:tabs>
        <w:tab w:val="clear" w:pos="1134"/>
      </w:tabs>
      <w:spacing w:after="100" w:line="276" w:lineRule="auto"/>
      <w:ind w:left="1540"/>
      <w:jc w:val="left"/>
    </w:pPr>
    <w:rPr>
      <w:rFonts w:asciiTheme="minorHAnsi" w:eastAsiaTheme="minorEastAsia" w:hAnsiTheme="minorHAnsi"/>
      <w:lang w:val="en-AU" w:eastAsia="en-AU"/>
    </w:rPr>
  </w:style>
  <w:style w:type="paragraph" w:styleId="TOC9">
    <w:name w:val="toc 9"/>
    <w:basedOn w:val="Normal"/>
    <w:next w:val="Normal"/>
    <w:autoRedefine/>
    <w:uiPriority w:val="39"/>
    <w:unhideWhenUsed/>
    <w:rsid w:val="00DC0E40"/>
    <w:pPr>
      <w:tabs>
        <w:tab w:val="clear" w:pos="1134"/>
      </w:tabs>
      <w:spacing w:after="100" w:line="276" w:lineRule="auto"/>
      <w:ind w:left="1760"/>
      <w:jc w:val="left"/>
    </w:pPr>
    <w:rPr>
      <w:rFonts w:asciiTheme="minorHAnsi" w:eastAsiaTheme="minorEastAsia" w:hAnsiTheme="minorHAnsi"/>
      <w:lang w:val="en-AU" w:eastAsia="en-AU"/>
    </w:rPr>
  </w:style>
  <w:style w:type="character" w:customStyle="1" w:styleId="Heading9Char">
    <w:name w:val="Heading 9 Char"/>
    <w:basedOn w:val="DefaultParagraphFont"/>
    <w:link w:val="Heading9"/>
    <w:uiPriority w:val="9"/>
    <w:semiHidden/>
    <w:rsid w:val="00972790"/>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uiPriority w:val="9"/>
    <w:semiHidden/>
    <w:rsid w:val="00972790"/>
    <w:rPr>
      <w:rFonts w:asciiTheme="majorHAnsi" w:eastAsiaTheme="majorEastAsia" w:hAnsiTheme="majorHAnsi" w:cstheme="majorBidi"/>
      <w:color w:val="404040" w:themeColor="text1" w:themeTint="BF"/>
      <w:sz w:val="20"/>
      <w:szCs w:val="20"/>
      <w:lang w:val="en-GB"/>
    </w:rPr>
  </w:style>
  <w:style w:type="character" w:customStyle="1" w:styleId="Heading7Char">
    <w:name w:val="Heading 7 Char"/>
    <w:basedOn w:val="DefaultParagraphFont"/>
    <w:link w:val="Heading7"/>
    <w:uiPriority w:val="9"/>
    <w:semiHidden/>
    <w:rsid w:val="00972790"/>
    <w:rPr>
      <w:rFonts w:asciiTheme="majorHAnsi" w:eastAsiaTheme="majorEastAsia" w:hAnsiTheme="majorHAnsi" w:cstheme="majorBidi"/>
      <w:i/>
      <w:iCs/>
      <w:color w:val="404040" w:themeColor="text1" w:themeTint="BF"/>
      <w:lang w:val="en-GB"/>
    </w:rPr>
  </w:style>
  <w:style w:type="character" w:customStyle="1" w:styleId="Heading6Char">
    <w:name w:val="Heading 6 Char"/>
    <w:basedOn w:val="DefaultParagraphFont"/>
    <w:link w:val="Heading6"/>
    <w:uiPriority w:val="9"/>
    <w:semiHidden/>
    <w:rsid w:val="00972790"/>
    <w:rPr>
      <w:rFonts w:asciiTheme="majorHAnsi" w:eastAsiaTheme="majorEastAsia" w:hAnsiTheme="majorHAnsi" w:cstheme="majorBidi"/>
      <w:i/>
      <w:iCs/>
      <w:color w:val="243F60" w:themeColor="accent1" w:themeShade="7F"/>
      <w:lang w:val="en-GB"/>
    </w:rPr>
  </w:style>
  <w:style w:type="character" w:customStyle="1" w:styleId="Heading5Char">
    <w:name w:val="Heading 5 Char"/>
    <w:basedOn w:val="DefaultParagraphFont"/>
    <w:link w:val="Heading5"/>
    <w:uiPriority w:val="9"/>
    <w:semiHidden/>
    <w:rsid w:val="00972790"/>
    <w:rPr>
      <w:rFonts w:asciiTheme="majorHAnsi" w:eastAsiaTheme="majorEastAsia" w:hAnsiTheme="majorHAnsi" w:cstheme="majorBidi"/>
      <w:color w:val="243F60" w:themeColor="accent1" w:themeShade="7F"/>
      <w:lang w:val="en-GB"/>
    </w:rPr>
  </w:style>
  <w:style w:type="paragraph" w:styleId="Revision">
    <w:name w:val="Revision"/>
    <w:hidden/>
    <w:uiPriority w:val="99"/>
    <w:semiHidden/>
    <w:rsid w:val="00014E76"/>
    <w:pPr>
      <w:spacing w:after="0" w:line="240" w:lineRule="auto"/>
    </w:pPr>
    <w:rPr>
      <w:rFonts w:ascii="Arial" w:hAnsi="Arial"/>
      <w:lang w:val="en-GB"/>
    </w:rPr>
  </w:style>
  <w:style w:type="paragraph" w:customStyle="1" w:styleId="Heading1title">
    <w:name w:val="Heading 1 title"/>
    <w:basedOn w:val="Heading1"/>
    <w:link w:val="Heading1titleChar"/>
    <w:qFormat/>
    <w:rsid w:val="00790C06"/>
    <w:pPr>
      <w:numPr>
        <w:numId w:val="0"/>
      </w:numPr>
      <w:spacing w:after="360" w:line="240" w:lineRule="auto"/>
      <w:jc w:val="both"/>
    </w:pPr>
    <w:rPr>
      <w:lang w:val="en-AU"/>
    </w:rPr>
  </w:style>
  <w:style w:type="character" w:customStyle="1" w:styleId="Heading1titleChar">
    <w:name w:val="Heading 1 title Char"/>
    <w:basedOn w:val="Heading1Char"/>
    <w:link w:val="Heading1title"/>
    <w:rsid w:val="00790C06"/>
    <w:rPr>
      <w:rFonts w:ascii="Arial" w:eastAsia="Batang" w:hAnsi="Arial" w:cs="Arial"/>
      <w:b/>
      <w:bCs/>
      <w:sz w:val="32"/>
      <w:szCs w:val="32"/>
      <w:lang w:val="en-GB"/>
    </w:rPr>
  </w:style>
  <w:style w:type="character" w:styleId="FollowedHyperlink">
    <w:name w:val="FollowedHyperlink"/>
    <w:basedOn w:val="DefaultParagraphFont"/>
    <w:uiPriority w:val="99"/>
    <w:semiHidden/>
    <w:unhideWhenUsed/>
    <w:rsid w:val="001E6AFE"/>
    <w:rPr>
      <w:color w:val="800080" w:themeColor="followedHyperlink"/>
      <w:u w:val="single"/>
    </w:rPr>
  </w:style>
  <w:style w:type="character" w:styleId="Strong">
    <w:name w:val="Strong"/>
    <w:basedOn w:val="DefaultParagraphFont"/>
    <w:uiPriority w:val="22"/>
    <w:qFormat/>
    <w:rsid w:val="00E35B7C"/>
    <w:rPr>
      <w:b/>
      <w:bCs/>
    </w:rPr>
  </w:style>
  <w:style w:type="paragraph" w:styleId="NoSpacing">
    <w:name w:val="No Spacing"/>
    <w:uiPriority w:val="1"/>
    <w:qFormat/>
    <w:rsid w:val="00815371"/>
    <w:pPr>
      <w:tabs>
        <w:tab w:val="left" w:pos="1134"/>
      </w:tabs>
      <w:spacing w:after="0" w:line="240" w:lineRule="auto"/>
      <w:jc w:val="both"/>
    </w:pPr>
    <w:rPr>
      <w:rFonts w:ascii="Arial" w:hAnsi="Arial"/>
      <w:lang w:val="en-GB"/>
    </w:rPr>
  </w:style>
  <w:style w:type="character" w:customStyle="1" w:styleId="ListParagraphChar">
    <w:name w:val="List Paragraph Char"/>
    <w:basedOn w:val="DefaultParagraphFont"/>
    <w:link w:val="ListParagraph"/>
    <w:uiPriority w:val="34"/>
    <w:rsid w:val="00815371"/>
    <w:rPr>
      <w:rFonts w:ascii="Arial" w:hAnsi="Arial"/>
      <w:lang w:val="en-GB"/>
    </w:rPr>
  </w:style>
  <w:style w:type="character" w:customStyle="1" w:styleId="DefinitionheadingChar">
    <w:name w:val="Definition heading Char"/>
    <w:basedOn w:val="ListParagraphChar"/>
    <w:rsid w:val="00596F2D"/>
    <w:rPr>
      <w:rFonts w:ascii="Arial" w:hAnsi="Arial"/>
      <w:b/>
      <w:lang w:val="en-GB"/>
    </w:rPr>
  </w:style>
  <w:style w:type="paragraph" w:customStyle="1" w:styleId="ReferencePoints">
    <w:name w:val="Reference Points"/>
    <w:basedOn w:val="Normal"/>
    <w:link w:val="ReferencePointsChar"/>
    <w:qFormat/>
    <w:rsid w:val="00DA2102"/>
    <w:pPr>
      <w:widowControl w:val="0"/>
      <w:tabs>
        <w:tab w:val="clear" w:pos="1134"/>
      </w:tabs>
      <w:spacing w:before="120" w:after="120"/>
      <w:ind w:left="993"/>
    </w:pPr>
    <w:rPr>
      <w:b/>
      <w:lang w:val="en-AU"/>
    </w:rPr>
  </w:style>
  <w:style w:type="paragraph" w:customStyle="1" w:styleId="ReferencePointsText">
    <w:name w:val="Reference Points Text"/>
    <w:basedOn w:val="ListParagraph"/>
    <w:link w:val="ReferencePointsTextChar"/>
    <w:qFormat/>
    <w:rsid w:val="0027675E"/>
    <w:pPr>
      <w:widowControl w:val="0"/>
      <w:numPr>
        <w:numId w:val="4"/>
      </w:numPr>
      <w:spacing w:before="120" w:after="120"/>
    </w:pPr>
    <w:rPr>
      <w:i/>
      <w:lang w:val="en-AU"/>
    </w:rPr>
  </w:style>
  <w:style w:type="character" w:customStyle="1" w:styleId="ReferencePointsChar">
    <w:name w:val="Reference Points Char"/>
    <w:basedOn w:val="DefaultParagraphFont"/>
    <w:link w:val="ReferencePoints"/>
    <w:rsid w:val="00DA2102"/>
    <w:rPr>
      <w:rFonts w:ascii="Arial" w:hAnsi="Arial"/>
      <w:b/>
    </w:rPr>
  </w:style>
  <w:style w:type="paragraph" w:customStyle="1" w:styleId="ReferencePointstext0">
    <w:name w:val="Reference Points text"/>
    <w:basedOn w:val="ListParagraph"/>
    <w:link w:val="ReferencePointstextChar0"/>
    <w:qFormat/>
    <w:rsid w:val="0027675E"/>
    <w:pPr>
      <w:widowControl w:val="0"/>
      <w:numPr>
        <w:numId w:val="2"/>
      </w:numPr>
      <w:tabs>
        <w:tab w:val="clear" w:pos="1134"/>
      </w:tabs>
      <w:spacing w:before="120" w:after="120"/>
      <w:ind w:left="1701" w:hanging="283"/>
      <w:contextualSpacing w:val="0"/>
    </w:pPr>
    <w:rPr>
      <w:lang w:val="en-AU"/>
    </w:rPr>
  </w:style>
  <w:style w:type="character" w:customStyle="1" w:styleId="ReferencePointsTextChar">
    <w:name w:val="Reference Points Text Char"/>
    <w:basedOn w:val="ListParagraphChar"/>
    <w:link w:val="ReferencePointsText"/>
    <w:rsid w:val="0027675E"/>
    <w:rPr>
      <w:rFonts w:ascii="Arial" w:hAnsi="Arial"/>
      <w:i/>
      <w:lang w:val="en-GB"/>
    </w:rPr>
  </w:style>
  <w:style w:type="character" w:customStyle="1" w:styleId="ReferencePointstextChar0">
    <w:name w:val="Reference Points text Char"/>
    <w:basedOn w:val="ListParagraphChar"/>
    <w:link w:val="ReferencePointstext0"/>
    <w:rsid w:val="0027675E"/>
    <w:rPr>
      <w:rFonts w:ascii="Arial" w:hAnsi="Arial"/>
      <w:lang w:val="en-GB"/>
    </w:rPr>
  </w:style>
  <w:style w:type="table" w:styleId="LightGrid-Accent1">
    <w:name w:val="Light Grid Accent 1"/>
    <w:basedOn w:val="TableNormal"/>
    <w:uiPriority w:val="62"/>
    <w:rsid w:val="00F47DB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ubheading">
    <w:name w:val="Subheading"/>
    <w:basedOn w:val="Normal"/>
    <w:link w:val="SubheadingChar"/>
    <w:qFormat/>
    <w:rsid w:val="00C46788"/>
    <w:pPr>
      <w:tabs>
        <w:tab w:val="clear" w:pos="1134"/>
      </w:tabs>
    </w:pPr>
    <w:rPr>
      <w:rFonts w:cs="Arial"/>
      <w:b/>
      <w:sz w:val="24"/>
      <w:szCs w:val="24"/>
    </w:rPr>
  </w:style>
  <w:style w:type="character" w:customStyle="1" w:styleId="SubheadingChar">
    <w:name w:val="Subheading Char"/>
    <w:basedOn w:val="DefaultParagraphFont"/>
    <w:link w:val="Subheading"/>
    <w:rsid w:val="00C46788"/>
    <w:rPr>
      <w:rFonts w:ascii="Arial" w:hAnsi="Arial" w:cs="Arial"/>
      <w:b/>
      <w:sz w:val="24"/>
      <w:szCs w:val="24"/>
      <w:lang w:val="en-GB"/>
    </w:rPr>
  </w:style>
  <w:style w:type="table" w:customStyle="1" w:styleId="TableGrid1">
    <w:name w:val="Table Grid1"/>
    <w:basedOn w:val="TableNormal"/>
    <w:next w:val="TableGrid"/>
    <w:uiPriority w:val="59"/>
    <w:rsid w:val="002D7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0B52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dnoteText">
    <w:name w:val="endnote text"/>
    <w:basedOn w:val="Normal"/>
    <w:link w:val="EndnoteTextChar"/>
    <w:uiPriority w:val="99"/>
    <w:semiHidden/>
    <w:unhideWhenUsed/>
    <w:rsid w:val="000A0483"/>
    <w:rPr>
      <w:sz w:val="20"/>
      <w:szCs w:val="20"/>
    </w:rPr>
  </w:style>
  <w:style w:type="character" w:customStyle="1" w:styleId="EndnoteTextChar">
    <w:name w:val="Endnote Text Char"/>
    <w:basedOn w:val="DefaultParagraphFont"/>
    <w:link w:val="EndnoteText"/>
    <w:uiPriority w:val="99"/>
    <w:semiHidden/>
    <w:rsid w:val="000A0483"/>
    <w:rPr>
      <w:rFonts w:ascii="Arial" w:hAnsi="Arial"/>
      <w:sz w:val="20"/>
      <w:szCs w:val="20"/>
      <w:lang w:val="en-GB"/>
    </w:rPr>
  </w:style>
  <w:style w:type="character" w:styleId="EndnoteReference">
    <w:name w:val="endnote reference"/>
    <w:basedOn w:val="DefaultParagraphFont"/>
    <w:uiPriority w:val="99"/>
    <w:semiHidden/>
    <w:unhideWhenUsed/>
    <w:rsid w:val="000A0483"/>
    <w:rPr>
      <w:vertAlign w:val="superscript"/>
    </w:rPr>
  </w:style>
  <w:style w:type="numbering" w:customStyle="1" w:styleId="Headings1">
    <w:name w:val="Headings1"/>
    <w:uiPriority w:val="99"/>
    <w:rsid w:val="000336EF"/>
  </w:style>
  <w:style w:type="paragraph" w:customStyle="1" w:styleId="tableheading">
    <w:name w:val="tableheading"/>
    <w:basedOn w:val="Normal"/>
    <w:rsid w:val="003D096A"/>
    <w:pPr>
      <w:tabs>
        <w:tab w:val="clear" w:pos="1134"/>
      </w:tabs>
      <w:spacing w:before="100" w:beforeAutospacing="1" w:after="100" w:afterAutospacing="1"/>
      <w:jc w:val="left"/>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1919">
      <w:bodyDiv w:val="1"/>
      <w:marLeft w:val="0"/>
      <w:marRight w:val="0"/>
      <w:marTop w:val="0"/>
      <w:marBottom w:val="0"/>
      <w:divBdr>
        <w:top w:val="none" w:sz="0" w:space="0" w:color="auto"/>
        <w:left w:val="none" w:sz="0" w:space="0" w:color="auto"/>
        <w:bottom w:val="none" w:sz="0" w:space="0" w:color="auto"/>
        <w:right w:val="none" w:sz="0" w:space="0" w:color="auto"/>
      </w:divBdr>
    </w:div>
    <w:div w:id="112336223">
      <w:bodyDiv w:val="1"/>
      <w:marLeft w:val="0"/>
      <w:marRight w:val="0"/>
      <w:marTop w:val="0"/>
      <w:marBottom w:val="0"/>
      <w:divBdr>
        <w:top w:val="none" w:sz="0" w:space="0" w:color="auto"/>
        <w:left w:val="none" w:sz="0" w:space="0" w:color="auto"/>
        <w:bottom w:val="none" w:sz="0" w:space="0" w:color="auto"/>
        <w:right w:val="none" w:sz="0" w:space="0" w:color="auto"/>
      </w:divBdr>
    </w:div>
    <w:div w:id="124548093">
      <w:bodyDiv w:val="1"/>
      <w:marLeft w:val="0"/>
      <w:marRight w:val="0"/>
      <w:marTop w:val="0"/>
      <w:marBottom w:val="0"/>
      <w:divBdr>
        <w:top w:val="none" w:sz="0" w:space="0" w:color="auto"/>
        <w:left w:val="none" w:sz="0" w:space="0" w:color="auto"/>
        <w:bottom w:val="none" w:sz="0" w:space="0" w:color="auto"/>
        <w:right w:val="none" w:sz="0" w:space="0" w:color="auto"/>
      </w:divBdr>
    </w:div>
    <w:div w:id="146635707">
      <w:bodyDiv w:val="1"/>
      <w:marLeft w:val="0"/>
      <w:marRight w:val="0"/>
      <w:marTop w:val="0"/>
      <w:marBottom w:val="0"/>
      <w:divBdr>
        <w:top w:val="none" w:sz="0" w:space="0" w:color="auto"/>
        <w:left w:val="none" w:sz="0" w:space="0" w:color="auto"/>
        <w:bottom w:val="none" w:sz="0" w:space="0" w:color="auto"/>
        <w:right w:val="none" w:sz="0" w:space="0" w:color="auto"/>
      </w:divBdr>
    </w:div>
    <w:div w:id="496968456">
      <w:bodyDiv w:val="1"/>
      <w:marLeft w:val="0"/>
      <w:marRight w:val="0"/>
      <w:marTop w:val="0"/>
      <w:marBottom w:val="0"/>
      <w:divBdr>
        <w:top w:val="none" w:sz="0" w:space="0" w:color="auto"/>
        <w:left w:val="none" w:sz="0" w:space="0" w:color="auto"/>
        <w:bottom w:val="none" w:sz="0" w:space="0" w:color="auto"/>
        <w:right w:val="none" w:sz="0" w:space="0" w:color="auto"/>
      </w:divBdr>
    </w:div>
    <w:div w:id="653610047">
      <w:bodyDiv w:val="1"/>
      <w:marLeft w:val="0"/>
      <w:marRight w:val="0"/>
      <w:marTop w:val="0"/>
      <w:marBottom w:val="0"/>
      <w:divBdr>
        <w:top w:val="none" w:sz="0" w:space="0" w:color="auto"/>
        <w:left w:val="none" w:sz="0" w:space="0" w:color="auto"/>
        <w:bottom w:val="none" w:sz="0" w:space="0" w:color="auto"/>
        <w:right w:val="none" w:sz="0" w:space="0" w:color="auto"/>
      </w:divBdr>
    </w:div>
    <w:div w:id="662859947">
      <w:bodyDiv w:val="1"/>
      <w:marLeft w:val="0"/>
      <w:marRight w:val="0"/>
      <w:marTop w:val="0"/>
      <w:marBottom w:val="0"/>
      <w:divBdr>
        <w:top w:val="none" w:sz="0" w:space="0" w:color="auto"/>
        <w:left w:val="none" w:sz="0" w:space="0" w:color="auto"/>
        <w:bottom w:val="none" w:sz="0" w:space="0" w:color="auto"/>
        <w:right w:val="none" w:sz="0" w:space="0" w:color="auto"/>
      </w:divBdr>
    </w:div>
    <w:div w:id="1019695359">
      <w:bodyDiv w:val="1"/>
      <w:marLeft w:val="0"/>
      <w:marRight w:val="0"/>
      <w:marTop w:val="0"/>
      <w:marBottom w:val="0"/>
      <w:divBdr>
        <w:top w:val="none" w:sz="0" w:space="0" w:color="auto"/>
        <w:left w:val="none" w:sz="0" w:space="0" w:color="auto"/>
        <w:bottom w:val="none" w:sz="0" w:space="0" w:color="auto"/>
        <w:right w:val="none" w:sz="0" w:space="0" w:color="auto"/>
      </w:divBdr>
    </w:div>
    <w:div w:id="1062941766">
      <w:bodyDiv w:val="1"/>
      <w:marLeft w:val="0"/>
      <w:marRight w:val="0"/>
      <w:marTop w:val="0"/>
      <w:marBottom w:val="0"/>
      <w:divBdr>
        <w:top w:val="none" w:sz="0" w:space="0" w:color="auto"/>
        <w:left w:val="none" w:sz="0" w:space="0" w:color="auto"/>
        <w:bottom w:val="none" w:sz="0" w:space="0" w:color="auto"/>
        <w:right w:val="none" w:sz="0" w:space="0" w:color="auto"/>
      </w:divBdr>
    </w:div>
    <w:div w:id="1121068559">
      <w:bodyDiv w:val="1"/>
      <w:marLeft w:val="0"/>
      <w:marRight w:val="0"/>
      <w:marTop w:val="0"/>
      <w:marBottom w:val="0"/>
      <w:divBdr>
        <w:top w:val="none" w:sz="0" w:space="0" w:color="auto"/>
        <w:left w:val="none" w:sz="0" w:space="0" w:color="auto"/>
        <w:bottom w:val="none" w:sz="0" w:space="0" w:color="auto"/>
        <w:right w:val="none" w:sz="0" w:space="0" w:color="auto"/>
      </w:divBdr>
    </w:div>
    <w:div w:id="1269045336">
      <w:bodyDiv w:val="1"/>
      <w:marLeft w:val="0"/>
      <w:marRight w:val="0"/>
      <w:marTop w:val="0"/>
      <w:marBottom w:val="0"/>
      <w:divBdr>
        <w:top w:val="none" w:sz="0" w:space="0" w:color="auto"/>
        <w:left w:val="none" w:sz="0" w:space="0" w:color="auto"/>
        <w:bottom w:val="none" w:sz="0" w:space="0" w:color="auto"/>
        <w:right w:val="none" w:sz="0" w:space="0" w:color="auto"/>
      </w:divBdr>
    </w:div>
    <w:div w:id="1428770287">
      <w:bodyDiv w:val="1"/>
      <w:marLeft w:val="0"/>
      <w:marRight w:val="0"/>
      <w:marTop w:val="0"/>
      <w:marBottom w:val="0"/>
      <w:divBdr>
        <w:top w:val="none" w:sz="0" w:space="0" w:color="auto"/>
        <w:left w:val="none" w:sz="0" w:space="0" w:color="auto"/>
        <w:bottom w:val="none" w:sz="0" w:space="0" w:color="auto"/>
        <w:right w:val="none" w:sz="0" w:space="0" w:color="auto"/>
      </w:divBdr>
    </w:div>
    <w:div w:id="1478524778">
      <w:bodyDiv w:val="1"/>
      <w:marLeft w:val="0"/>
      <w:marRight w:val="0"/>
      <w:marTop w:val="0"/>
      <w:marBottom w:val="0"/>
      <w:divBdr>
        <w:top w:val="none" w:sz="0" w:space="0" w:color="auto"/>
        <w:left w:val="none" w:sz="0" w:space="0" w:color="auto"/>
        <w:bottom w:val="none" w:sz="0" w:space="0" w:color="auto"/>
        <w:right w:val="none" w:sz="0" w:space="0" w:color="auto"/>
      </w:divBdr>
    </w:div>
    <w:div w:id="1641230295">
      <w:bodyDiv w:val="1"/>
      <w:marLeft w:val="0"/>
      <w:marRight w:val="0"/>
      <w:marTop w:val="0"/>
      <w:marBottom w:val="0"/>
      <w:divBdr>
        <w:top w:val="none" w:sz="0" w:space="0" w:color="auto"/>
        <w:left w:val="none" w:sz="0" w:space="0" w:color="auto"/>
        <w:bottom w:val="none" w:sz="0" w:space="0" w:color="auto"/>
        <w:right w:val="none" w:sz="0" w:space="0" w:color="auto"/>
      </w:divBdr>
    </w:div>
    <w:div w:id="1839341689">
      <w:bodyDiv w:val="1"/>
      <w:marLeft w:val="0"/>
      <w:marRight w:val="0"/>
      <w:marTop w:val="0"/>
      <w:marBottom w:val="0"/>
      <w:divBdr>
        <w:top w:val="none" w:sz="0" w:space="0" w:color="auto"/>
        <w:left w:val="none" w:sz="0" w:space="0" w:color="auto"/>
        <w:bottom w:val="none" w:sz="0" w:space="0" w:color="auto"/>
        <w:right w:val="none" w:sz="0" w:space="0" w:color="auto"/>
      </w:divBdr>
    </w:div>
    <w:div w:id="1960338091">
      <w:bodyDiv w:val="1"/>
      <w:marLeft w:val="0"/>
      <w:marRight w:val="0"/>
      <w:marTop w:val="0"/>
      <w:marBottom w:val="0"/>
      <w:divBdr>
        <w:top w:val="none" w:sz="0" w:space="0" w:color="auto"/>
        <w:left w:val="none" w:sz="0" w:space="0" w:color="auto"/>
        <w:bottom w:val="none" w:sz="0" w:space="0" w:color="auto"/>
        <w:right w:val="none" w:sz="0" w:space="0" w:color="auto"/>
      </w:divBdr>
    </w:div>
    <w:div w:id="2037651584">
      <w:bodyDiv w:val="1"/>
      <w:marLeft w:val="0"/>
      <w:marRight w:val="0"/>
      <w:marTop w:val="0"/>
      <w:marBottom w:val="0"/>
      <w:divBdr>
        <w:top w:val="none" w:sz="0" w:space="0" w:color="auto"/>
        <w:left w:val="none" w:sz="0" w:space="0" w:color="auto"/>
        <w:bottom w:val="none" w:sz="0" w:space="0" w:color="auto"/>
        <w:right w:val="none" w:sz="0" w:space="0" w:color="auto"/>
      </w:divBdr>
    </w:div>
    <w:div w:id="21192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4193D363F643749B257055BABFB202C" ma:contentTypeVersion="" ma:contentTypeDescription="PDMS Documentation Content Type" ma:contentTypeScope="" ma:versionID="099377a58aa0760b57f3774ba0ef91b4">
  <xsd:schema xmlns:xsd="http://www.w3.org/2001/XMLSchema" xmlns:xs="http://www.w3.org/2001/XMLSchema" xmlns:p="http://schemas.microsoft.com/office/2006/metadata/properties" xmlns:ns2="2F7BD17D-B3B3-45D9-A69A-296CE5AB3680" targetNamespace="http://schemas.microsoft.com/office/2006/metadata/properties" ma:root="true" ma:fieldsID="e074efad447d0ebf54bf420f2d79144d" ns2:_="">
    <xsd:import namespace="2F7BD17D-B3B3-45D9-A69A-296CE5AB368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BD17D-B3B3-45D9-A69A-296CE5AB36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2F7BD17D-B3B3-45D9-A69A-296CE5AB3680" xsi:nil="true"/>
    <pdms_Reason xmlns="2F7BD17D-B3B3-45D9-A69A-296CE5AB3680" xsi:nil="true"/>
    <pdms_SecurityClassification xmlns="2F7BD17D-B3B3-45D9-A69A-296CE5AB3680" xsi:nil="true"/>
    <SecurityClassification xmlns="2F7BD17D-B3B3-45D9-A69A-296CE5AB3680" xsi:nil="true"/>
    <pdms_AttachedBy xmlns="2F7BD17D-B3B3-45D9-A69A-296CE5AB36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62BCD-E810-41A9-B67F-EE926C2A6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BD17D-B3B3-45D9-A69A-296CE5AB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ADFD5-A1CB-4DA1-B011-1302279B3203}">
  <ds:schemaRefs>
    <ds:schemaRef ds:uri="http://schemas.microsoft.com/sharepoint/v3/contenttype/forms"/>
  </ds:schemaRefs>
</ds:datastoreItem>
</file>

<file path=customXml/itemProps3.xml><?xml version="1.0" encoding="utf-8"?>
<ds:datastoreItem xmlns:ds="http://schemas.openxmlformats.org/officeDocument/2006/customXml" ds:itemID="{509EB041-95EB-4F7F-A965-85E375740D7F}">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 ds:uri="2F7BD17D-B3B3-45D9-A69A-296CE5AB368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90BB19B-9C24-42EF-A34A-42E4A4297311}">
  <ds:schemaRefs>
    <ds:schemaRef ds:uri="http://schemas.openxmlformats.org/officeDocument/2006/bibliography"/>
  </ds:schemaRefs>
</ds:datastoreItem>
</file>

<file path=customXml/itemProps5.xml><?xml version="1.0" encoding="utf-8"?>
<ds:datastoreItem xmlns:ds="http://schemas.openxmlformats.org/officeDocument/2006/customXml" ds:itemID="{341D9B64-A0C5-40A4-A99E-7FAD6DE0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7E6214F2.dotm</Template>
  <TotalTime>0</TotalTime>
  <Pages>27</Pages>
  <Words>9728</Words>
  <Characters>55452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2015-10-08T01:18:00Z</dcterms:created>
  <dcterms:modified xsi:type="dcterms:W3CDTF">2015-10-08T01:19:00Z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0x010100266966F133664895A6EE3632470D45F5010044193D363F643749B257055BABFB202C</vt:lpwstr>
  </property>
</Properties>
</file>