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014F6" w:rsidRDefault="00193461" w:rsidP="00C63713">
      <w:pPr>
        <w:rPr>
          <w:sz w:val="28"/>
        </w:rPr>
      </w:pPr>
      <w:r w:rsidRPr="005014F6">
        <w:rPr>
          <w:noProof/>
          <w:lang w:eastAsia="en-AU"/>
        </w:rPr>
        <w:drawing>
          <wp:inline distT="0" distB="0" distL="0" distR="0" wp14:anchorId="05470DC2" wp14:editId="11E770F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014F6" w:rsidRDefault="0048364F" w:rsidP="0048364F">
      <w:pPr>
        <w:rPr>
          <w:sz w:val="19"/>
        </w:rPr>
      </w:pPr>
    </w:p>
    <w:p w:rsidR="0048364F" w:rsidRPr="005014F6" w:rsidRDefault="009A305F" w:rsidP="0048364F">
      <w:pPr>
        <w:pStyle w:val="ShortT"/>
      </w:pPr>
      <w:r w:rsidRPr="005014F6">
        <w:t xml:space="preserve">Australian National Registry of Emissions Units Amendment </w:t>
      </w:r>
      <w:r w:rsidR="00163BE3" w:rsidRPr="005014F6">
        <w:t>(Carry</w:t>
      </w:r>
      <w:r w:rsidR="005014F6">
        <w:noBreakHyphen/>
      </w:r>
      <w:r w:rsidR="00163BE3" w:rsidRPr="005014F6">
        <w:t xml:space="preserve">Over) </w:t>
      </w:r>
      <w:r w:rsidRPr="005014F6">
        <w:t>Regulation</w:t>
      </w:r>
      <w:r w:rsidR="005014F6" w:rsidRPr="005014F6">
        <w:t> </w:t>
      </w:r>
      <w:r w:rsidRPr="005014F6">
        <w:t>2015</w:t>
      </w:r>
    </w:p>
    <w:p w:rsidR="0048364F" w:rsidRPr="005014F6" w:rsidRDefault="0048364F" w:rsidP="0048364F"/>
    <w:p w:rsidR="0048364F" w:rsidRPr="005014F6" w:rsidRDefault="00A4361F" w:rsidP="00680F17">
      <w:pPr>
        <w:pStyle w:val="InstNo"/>
      </w:pPr>
      <w:r w:rsidRPr="005014F6">
        <w:t>Select Legislative Instrument</w:t>
      </w:r>
      <w:r w:rsidR="00154EAC" w:rsidRPr="005014F6">
        <w:t xml:space="preserve"> </w:t>
      </w:r>
      <w:bookmarkStart w:id="0" w:name="BKCheck15B_1"/>
      <w:bookmarkEnd w:id="0"/>
      <w:r w:rsidR="00D0104A" w:rsidRPr="005014F6">
        <w:fldChar w:fldCharType="begin"/>
      </w:r>
      <w:r w:rsidR="00D0104A" w:rsidRPr="005014F6">
        <w:instrText xml:space="preserve"> DOCPROPERTY  ActNo </w:instrText>
      </w:r>
      <w:r w:rsidR="00D0104A" w:rsidRPr="005014F6">
        <w:fldChar w:fldCharType="separate"/>
      </w:r>
      <w:r w:rsidR="000A5AFC">
        <w:t>No. 168, 2015</w:t>
      </w:r>
      <w:r w:rsidR="00D0104A" w:rsidRPr="005014F6">
        <w:fldChar w:fldCharType="end"/>
      </w:r>
    </w:p>
    <w:p w:rsidR="0066559E" w:rsidRPr="005014F6" w:rsidRDefault="0066559E" w:rsidP="002D0C00">
      <w:pPr>
        <w:pStyle w:val="SignCoverPageStart"/>
        <w:spacing w:before="240"/>
        <w:rPr>
          <w:szCs w:val="22"/>
        </w:rPr>
      </w:pPr>
      <w:r w:rsidRPr="005014F6">
        <w:rPr>
          <w:szCs w:val="22"/>
        </w:rPr>
        <w:t>I, General the Honourable Sir Peter Cosgrove AK MC (</w:t>
      </w:r>
      <w:proofErr w:type="spellStart"/>
      <w:r w:rsidRPr="005014F6">
        <w:rPr>
          <w:szCs w:val="22"/>
        </w:rPr>
        <w:t>Ret’d</w:t>
      </w:r>
      <w:proofErr w:type="spellEnd"/>
      <w:r w:rsidRPr="005014F6">
        <w:rPr>
          <w:szCs w:val="22"/>
        </w:rPr>
        <w:t xml:space="preserve">), </w:t>
      </w:r>
      <w:r w:rsidR="005014F6" w:rsidRPr="005014F6">
        <w:rPr>
          <w:szCs w:val="22"/>
        </w:rPr>
        <w:t>Governor</w:t>
      </w:r>
      <w:r w:rsidR="005014F6">
        <w:rPr>
          <w:szCs w:val="22"/>
        </w:rPr>
        <w:noBreakHyphen/>
      </w:r>
      <w:r w:rsidR="005014F6" w:rsidRPr="005014F6">
        <w:rPr>
          <w:szCs w:val="22"/>
        </w:rPr>
        <w:t>General</w:t>
      </w:r>
      <w:r w:rsidRPr="005014F6">
        <w:rPr>
          <w:szCs w:val="22"/>
        </w:rPr>
        <w:t xml:space="preserve"> of the Commonwealth of Australia, acting with the advice of the Federal Executive Council, make the following regulation.</w:t>
      </w:r>
    </w:p>
    <w:p w:rsidR="0066559E" w:rsidRPr="005014F6" w:rsidRDefault="0066559E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5014F6">
        <w:rPr>
          <w:szCs w:val="22"/>
        </w:rPr>
        <w:t xml:space="preserve">Dated </w:t>
      </w:r>
      <w:bookmarkStart w:id="1" w:name="BKCheck15B_2"/>
      <w:bookmarkEnd w:id="1"/>
      <w:r w:rsidRPr="005014F6">
        <w:rPr>
          <w:szCs w:val="22"/>
        </w:rPr>
        <w:fldChar w:fldCharType="begin"/>
      </w:r>
      <w:r w:rsidRPr="005014F6">
        <w:rPr>
          <w:szCs w:val="22"/>
        </w:rPr>
        <w:instrText xml:space="preserve"> DOCPROPERTY  DateMade </w:instrText>
      </w:r>
      <w:r w:rsidRPr="005014F6">
        <w:rPr>
          <w:szCs w:val="22"/>
        </w:rPr>
        <w:fldChar w:fldCharType="separate"/>
      </w:r>
      <w:r w:rsidR="000A5AFC">
        <w:rPr>
          <w:szCs w:val="22"/>
        </w:rPr>
        <w:t>15 October 2015</w:t>
      </w:r>
      <w:r w:rsidRPr="005014F6">
        <w:rPr>
          <w:szCs w:val="22"/>
        </w:rPr>
        <w:fldChar w:fldCharType="end"/>
      </w:r>
    </w:p>
    <w:p w:rsidR="0066559E" w:rsidRPr="005014F6" w:rsidRDefault="0066559E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014F6">
        <w:rPr>
          <w:szCs w:val="22"/>
        </w:rPr>
        <w:t>Peter Cosgrove</w:t>
      </w:r>
    </w:p>
    <w:p w:rsidR="0066559E" w:rsidRPr="005014F6" w:rsidRDefault="005014F6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014F6">
        <w:rPr>
          <w:szCs w:val="22"/>
        </w:rPr>
        <w:t>Governor</w:t>
      </w:r>
      <w:r>
        <w:rPr>
          <w:szCs w:val="22"/>
        </w:rPr>
        <w:noBreakHyphen/>
      </w:r>
      <w:r w:rsidRPr="005014F6">
        <w:rPr>
          <w:szCs w:val="22"/>
        </w:rPr>
        <w:t>General</w:t>
      </w:r>
    </w:p>
    <w:p w:rsidR="0066559E" w:rsidRPr="005014F6" w:rsidRDefault="0066559E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014F6">
        <w:rPr>
          <w:szCs w:val="22"/>
        </w:rPr>
        <w:t>By His Excellency’s Command</w:t>
      </w:r>
    </w:p>
    <w:p w:rsidR="0066559E" w:rsidRPr="005014F6" w:rsidRDefault="0066559E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014F6">
        <w:rPr>
          <w:szCs w:val="22"/>
        </w:rPr>
        <w:t>Greg Hunt</w:t>
      </w:r>
    </w:p>
    <w:p w:rsidR="0066559E" w:rsidRPr="005014F6" w:rsidRDefault="0066559E" w:rsidP="00736DFE">
      <w:pPr>
        <w:pStyle w:val="SignCoverPageEnd"/>
        <w:rPr>
          <w:szCs w:val="22"/>
        </w:rPr>
      </w:pPr>
      <w:r w:rsidRPr="005014F6">
        <w:rPr>
          <w:szCs w:val="22"/>
        </w:rPr>
        <w:t>Minister for the Environment</w:t>
      </w:r>
    </w:p>
    <w:p w:rsidR="0048364F" w:rsidRPr="005014F6" w:rsidRDefault="0048364F" w:rsidP="0048364F">
      <w:pPr>
        <w:pStyle w:val="Header"/>
        <w:tabs>
          <w:tab w:val="clear" w:pos="4150"/>
          <w:tab w:val="clear" w:pos="8307"/>
        </w:tabs>
      </w:pPr>
      <w:r w:rsidRPr="005014F6">
        <w:rPr>
          <w:rStyle w:val="CharAmSchNo"/>
        </w:rPr>
        <w:t xml:space="preserve"> </w:t>
      </w:r>
      <w:r w:rsidRPr="005014F6">
        <w:rPr>
          <w:rStyle w:val="CharAmSchText"/>
        </w:rPr>
        <w:t xml:space="preserve"> </w:t>
      </w:r>
    </w:p>
    <w:p w:rsidR="0048364F" w:rsidRPr="005014F6" w:rsidRDefault="0048364F" w:rsidP="0048364F">
      <w:pPr>
        <w:pStyle w:val="Header"/>
        <w:tabs>
          <w:tab w:val="clear" w:pos="4150"/>
          <w:tab w:val="clear" w:pos="8307"/>
        </w:tabs>
      </w:pPr>
      <w:r w:rsidRPr="005014F6">
        <w:rPr>
          <w:rStyle w:val="CharAmPartNo"/>
        </w:rPr>
        <w:t xml:space="preserve"> </w:t>
      </w:r>
      <w:r w:rsidRPr="005014F6">
        <w:rPr>
          <w:rStyle w:val="CharAmPartText"/>
        </w:rPr>
        <w:t xml:space="preserve"> </w:t>
      </w:r>
    </w:p>
    <w:p w:rsidR="0048364F" w:rsidRPr="005014F6" w:rsidRDefault="0048364F" w:rsidP="0048364F">
      <w:pPr>
        <w:sectPr w:rsidR="0048364F" w:rsidRPr="005014F6" w:rsidSect="00DB41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5014F6" w:rsidRDefault="0048364F" w:rsidP="00FE0611">
      <w:pPr>
        <w:rPr>
          <w:sz w:val="36"/>
        </w:rPr>
      </w:pPr>
      <w:r w:rsidRPr="005014F6">
        <w:rPr>
          <w:sz w:val="36"/>
        </w:rPr>
        <w:lastRenderedPageBreak/>
        <w:t>Contents</w:t>
      </w:r>
    </w:p>
    <w:bookmarkStart w:id="2" w:name="BKCheck15B_3"/>
    <w:bookmarkEnd w:id="2"/>
    <w:p w:rsidR="00EB2742" w:rsidRPr="005014F6" w:rsidRDefault="00EB27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14F6">
        <w:fldChar w:fldCharType="begin"/>
      </w:r>
      <w:r w:rsidRPr="005014F6">
        <w:instrText xml:space="preserve"> TOC \o "1-9" </w:instrText>
      </w:r>
      <w:r w:rsidRPr="005014F6">
        <w:fldChar w:fldCharType="separate"/>
      </w:r>
      <w:r w:rsidRPr="005014F6">
        <w:rPr>
          <w:noProof/>
        </w:rPr>
        <w:t>1</w:t>
      </w:r>
      <w:r w:rsidRPr="005014F6">
        <w:rPr>
          <w:noProof/>
        </w:rPr>
        <w:tab/>
        <w:t>Name</w:t>
      </w:r>
      <w:r w:rsidRPr="005014F6">
        <w:rPr>
          <w:noProof/>
        </w:rPr>
        <w:tab/>
      </w:r>
      <w:r w:rsidRPr="005014F6">
        <w:rPr>
          <w:noProof/>
        </w:rPr>
        <w:fldChar w:fldCharType="begin"/>
      </w:r>
      <w:r w:rsidRPr="005014F6">
        <w:rPr>
          <w:noProof/>
        </w:rPr>
        <w:instrText xml:space="preserve"> PAGEREF _Toc428194615 \h </w:instrText>
      </w:r>
      <w:r w:rsidRPr="005014F6">
        <w:rPr>
          <w:noProof/>
        </w:rPr>
      </w:r>
      <w:r w:rsidRPr="005014F6">
        <w:rPr>
          <w:noProof/>
        </w:rPr>
        <w:fldChar w:fldCharType="separate"/>
      </w:r>
      <w:r w:rsidR="000A5AFC">
        <w:rPr>
          <w:noProof/>
        </w:rPr>
        <w:t>1</w:t>
      </w:r>
      <w:r w:rsidRPr="005014F6">
        <w:rPr>
          <w:noProof/>
        </w:rPr>
        <w:fldChar w:fldCharType="end"/>
      </w:r>
    </w:p>
    <w:p w:rsidR="00EB2742" w:rsidRPr="005014F6" w:rsidRDefault="00EB27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14F6">
        <w:rPr>
          <w:noProof/>
        </w:rPr>
        <w:t>2</w:t>
      </w:r>
      <w:r w:rsidRPr="005014F6">
        <w:rPr>
          <w:noProof/>
        </w:rPr>
        <w:tab/>
        <w:t>Commencement</w:t>
      </w:r>
      <w:r w:rsidRPr="005014F6">
        <w:rPr>
          <w:noProof/>
        </w:rPr>
        <w:tab/>
      </w:r>
      <w:r w:rsidRPr="005014F6">
        <w:rPr>
          <w:noProof/>
        </w:rPr>
        <w:fldChar w:fldCharType="begin"/>
      </w:r>
      <w:r w:rsidRPr="005014F6">
        <w:rPr>
          <w:noProof/>
        </w:rPr>
        <w:instrText xml:space="preserve"> PAGEREF _Toc428194616 \h </w:instrText>
      </w:r>
      <w:r w:rsidRPr="005014F6">
        <w:rPr>
          <w:noProof/>
        </w:rPr>
      </w:r>
      <w:r w:rsidRPr="005014F6">
        <w:rPr>
          <w:noProof/>
        </w:rPr>
        <w:fldChar w:fldCharType="separate"/>
      </w:r>
      <w:r w:rsidR="000A5AFC">
        <w:rPr>
          <w:noProof/>
        </w:rPr>
        <w:t>1</w:t>
      </w:r>
      <w:r w:rsidRPr="005014F6">
        <w:rPr>
          <w:noProof/>
        </w:rPr>
        <w:fldChar w:fldCharType="end"/>
      </w:r>
    </w:p>
    <w:p w:rsidR="00EB2742" w:rsidRPr="005014F6" w:rsidRDefault="00EB27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14F6">
        <w:rPr>
          <w:noProof/>
        </w:rPr>
        <w:t>3</w:t>
      </w:r>
      <w:r w:rsidRPr="005014F6">
        <w:rPr>
          <w:noProof/>
        </w:rPr>
        <w:tab/>
        <w:t>Authority</w:t>
      </w:r>
      <w:r w:rsidRPr="005014F6">
        <w:rPr>
          <w:noProof/>
        </w:rPr>
        <w:tab/>
      </w:r>
      <w:r w:rsidRPr="005014F6">
        <w:rPr>
          <w:noProof/>
        </w:rPr>
        <w:fldChar w:fldCharType="begin"/>
      </w:r>
      <w:r w:rsidRPr="005014F6">
        <w:rPr>
          <w:noProof/>
        </w:rPr>
        <w:instrText xml:space="preserve"> PAGEREF _Toc428194617 \h </w:instrText>
      </w:r>
      <w:r w:rsidRPr="005014F6">
        <w:rPr>
          <w:noProof/>
        </w:rPr>
      </w:r>
      <w:r w:rsidRPr="005014F6">
        <w:rPr>
          <w:noProof/>
        </w:rPr>
        <w:fldChar w:fldCharType="separate"/>
      </w:r>
      <w:r w:rsidR="000A5AFC">
        <w:rPr>
          <w:noProof/>
        </w:rPr>
        <w:t>1</w:t>
      </w:r>
      <w:r w:rsidRPr="005014F6">
        <w:rPr>
          <w:noProof/>
        </w:rPr>
        <w:fldChar w:fldCharType="end"/>
      </w:r>
    </w:p>
    <w:p w:rsidR="00EB2742" w:rsidRPr="005014F6" w:rsidRDefault="00EB27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14F6">
        <w:rPr>
          <w:noProof/>
        </w:rPr>
        <w:t>4</w:t>
      </w:r>
      <w:r w:rsidRPr="005014F6">
        <w:rPr>
          <w:noProof/>
        </w:rPr>
        <w:tab/>
        <w:t>Schedules</w:t>
      </w:r>
      <w:r w:rsidRPr="005014F6">
        <w:rPr>
          <w:noProof/>
        </w:rPr>
        <w:tab/>
      </w:r>
      <w:r w:rsidRPr="005014F6">
        <w:rPr>
          <w:noProof/>
        </w:rPr>
        <w:fldChar w:fldCharType="begin"/>
      </w:r>
      <w:r w:rsidRPr="005014F6">
        <w:rPr>
          <w:noProof/>
        </w:rPr>
        <w:instrText xml:space="preserve"> PAGEREF _Toc428194618 \h </w:instrText>
      </w:r>
      <w:r w:rsidRPr="005014F6">
        <w:rPr>
          <w:noProof/>
        </w:rPr>
      </w:r>
      <w:r w:rsidRPr="005014F6">
        <w:rPr>
          <w:noProof/>
        </w:rPr>
        <w:fldChar w:fldCharType="separate"/>
      </w:r>
      <w:r w:rsidR="000A5AFC">
        <w:rPr>
          <w:noProof/>
        </w:rPr>
        <w:t>1</w:t>
      </w:r>
      <w:r w:rsidRPr="005014F6">
        <w:rPr>
          <w:noProof/>
        </w:rPr>
        <w:fldChar w:fldCharType="end"/>
      </w:r>
    </w:p>
    <w:p w:rsidR="00EB2742" w:rsidRPr="005014F6" w:rsidRDefault="00EB274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014F6">
        <w:rPr>
          <w:noProof/>
        </w:rPr>
        <w:t>Schedule</w:t>
      </w:r>
      <w:r w:rsidR="005014F6" w:rsidRPr="005014F6">
        <w:rPr>
          <w:noProof/>
        </w:rPr>
        <w:t> </w:t>
      </w:r>
      <w:r w:rsidRPr="005014F6">
        <w:rPr>
          <w:noProof/>
        </w:rPr>
        <w:t>1—Amendments</w:t>
      </w:r>
      <w:r w:rsidRPr="005014F6">
        <w:rPr>
          <w:b w:val="0"/>
          <w:noProof/>
          <w:sz w:val="18"/>
        </w:rPr>
        <w:tab/>
      </w:r>
      <w:r w:rsidRPr="005014F6">
        <w:rPr>
          <w:b w:val="0"/>
          <w:noProof/>
          <w:sz w:val="18"/>
        </w:rPr>
        <w:fldChar w:fldCharType="begin"/>
      </w:r>
      <w:r w:rsidRPr="005014F6">
        <w:rPr>
          <w:b w:val="0"/>
          <w:noProof/>
          <w:sz w:val="18"/>
        </w:rPr>
        <w:instrText xml:space="preserve"> PAGEREF _Toc428194619 \h </w:instrText>
      </w:r>
      <w:r w:rsidRPr="005014F6">
        <w:rPr>
          <w:b w:val="0"/>
          <w:noProof/>
          <w:sz w:val="18"/>
        </w:rPr>
      </w:r>
      <w:r w:rsidRPr="005014F6">
        <w:rPr>
          <w:b w:val="0"/>
          <w:noProof/>
          <w:sz w:val="18"/>
        </w:rPr>
        <w:fldChar w:fldCharType="separate"/>
      </w:r>
      <w:r w:rsidR="000A5AFC">
        <w:rPr>
          <w:b w:val="0"/>
          <w:noProof/>
          <w:sz w:val="18"/>
        </w:rPr>
        <w:t>2</w:t>
      </w:r>
      <w:r w:rsidRPr="005014F6">
        <w:rPr>
          <w:b w:val="0"/>
          <w:noProof/>
          <w:sz w:val="18"/>
        </w:rPr>
        <w:fldChar w:fldCharType="end"/>
      </w:r>
    </w:p>
    <w:p w:rsidR="00EB2742" w:rsidRPr="005014F6" w:rsidRDefault="00EB274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014F6">
        <w:rPr>
          <w:noProof/>
        </w:rPr>
        <w:t>Australian National Registry of Emissions Units Regulations</w:t>
      </w:r>
      <w:r w:rsidR="005014F6" w:rsidRPr="005014F6">
        <w:rPr>
          <w:noProof/>
        </w:rPr>
        <w:t> </w:t>
      </w:r>
      <w:r w:rsidRPr="005014F6">
        <w:rPr>
          <w:noProof/>
        </w:rPr>
        <w:t>2011</w:t>
      </w:r>
      <w:r w:rsidRPr="005014F6">
        <w:rPr>
          <w:i w:val="0"/>
          <w:noProof/>
          <w:sz w:val="18"/>
        </w:rPr>
        <w:tab/>
      </w:r>
      <w:r w:rsidRPr="005014F6">
        <w:rPr>
          <w:i w:val="0"/>
          <w:noProof/>
          <w:sz w:val="18"/>
        </w:rPr>
        <w:fldChar w:fldCharType="begin"/>
      </w:r>
      <w:r w:rsidRPr="005014F6">
        <w:rPr>
          <w:i w:val="0"/>
          <w:noProof/>
          <w:sz w:val="18"/>
        </w:rPr>
        <w:instrText xml:space="preserve"> PAGEREF _Toc428194620 \h </w:instrText>
      </w:r>
      <w:r w:rsidRPr="005014F6">
        <w:rPr>
          <w:i w:val="0"/>
          <w:noProof/>
          <w:sz w:val="18"/>
        </w:rPr>
      </w:r>
      <w:r w:rsidRPr="005014F6">
        <w:rPr>
          <w:i w:val="0"/>
          <w:noProof/>
          <w:sz w:val="18"/>
        </w:rPr>
        <w:fldChar w:fldCharType="separate"/>
      </w:r>
      <w:r w:rsidR="000A5AFC">
        <w:rPr>
          <w:i w:val="0"/>
          <w:noProof/>
          <w:sz w:val="18"/>
        </w:rPr>
        <w:t>2</w:t>
      </w:r>
      <w:r w:rsidRPr="005014F6">
        <w:rPr>
          <w:i w:val="0"/>
          <w:noProof/>
          <w:sz w:val="18"/>
        </w:rPr>
        <w:fldChar w:fldCharType="end"/>
      </w:r>
    </w:p>
    <w:p w:rsidR="00833416" w:rsidRPr="005014F6" w:rsidRDefault="00EB2742" w:rsidP="0048364F">
      <w:r w:rsidRPr="005014F6">
        <w:fldChar w:fldCharType="end"/>
      </w:r>
    </w:p>
    <w:p w:rsidR="00722023" w:rsidRPr="005014F6" w:rsidRDefault="00722023" w:rsidP="0048364F">
      <w:pPr>
        <w:sectPr w:rsidR="00722023" w:rsidRPr="005014F6" w:rsidSect="00DB41B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5014F6" w:rsidRDefault="0048364F" w:rsidP="0048364F">
      <w:pPr>
        <w:pStyle w:val="ActHead5"/>
      </w:pPr>
      <w:bookmarkStart w:id="3" w:name="_Toc428194615"/>
      <w:r w:rsidRPr="005014F6">
        <w:rPr>
          <w:rStyle w:val="CharSectno"/>
        </w:rPr>
        <w:lastRenderedPageBreak/>
        <w:t>1</w:t>
      </w:r>
      <w:r w:rsidRPr="005014F6">
        <w:t xml:space="preserve">  </w:t>
      </w:r>
      <w:r w:rsidR="004F676E" w:rsidRPr="005014F6">
        <w:t>Name</w:t>
      </w:r>
      <w:bookmarkEnd w:id="3"/>
    </w:p>
    <w:p w:rsidR="0048364F" w:rsidRPr="005014F6" w:rsidRDefault="0048364F" w:rsidP="0048364F">
      <w:pPr>
        <w:pStyle w:val="subsection"/>
      </w:pPr>
      <w:r w:rsidRPr="005014F6">
        <w:tab/>
      </w:r>
      <w:r w:rsidRPr="005014F6">
        <w:tab/>
        <w:t>Th</w:t>
      </w:r>
      <w:r w:rsidR="00F24C35" w:rsidRPr="005014F6">
        <w:t>is</w:t>
      </w:r>
      <w:r w:rsidRPr="005014F6">
        <w:t xml:space="preserve"> </w:t>
      </w:r>
      <w:r w:rsidR="00F24C35" w:rsidRPr="005014F6">
        <w:t>is</w:t>
      </w:r>
      <w:r w:rsidR="003801D0" w:rsidRPr="005014F6">
        <w:t xml:space="preserve"> the</w:t>
      </w:r>
      <w:r w:rsidRPr="005014F6">
        <w:t xml:space="preserve"> </w:t>
      </w:r>
      <w:bookmarkStart w:id="4" w:name="BKCheck15B_4"/>
      <w:bookmarkEnd w:id="4"/>
      <w:r w:rsidR="00CB0180" w:rsidRPr="005014F6">
        <w:rPr>
          <w:i/>
        </w:rPr>
        <w:fldChar w:fldCharType="begin"/>
      </w:r>
      <w:r w:rsidR="00CB0180" w:rsidRPr="005014F6">
        <w:rPr>
          <w:i/>
        </w:rPr>
        <w:instrText xml:space="preserve"> STYLEREF  ShortT </w:instrText>
      </w:r>
      <w:r w:rsidR="00CB0180" w:rsidRPr="005014F6">
        <w:rPr>
          <w:i/>
        </w:rPr>
        <w:fldChar w:fldCharType="separate"/>
      </w:r>
      <w:r w:rsidR="000A5AFC">
        <w:rPr>
          <w:i/>
          <w:noProof/>
        </w:rPr>
        <w:t>Australian National Registry of Emissions Units Amendment (Carry-Over) Regulation 2015</w:t>
      </w:r>
      <w:r w:rsidR="00CB0180" w:rsidRPr="005014F6">
        <w:rPr>
          <w:i/>
        </w:rPr>
        <w:fldChar w:fldCharType="end"/>
      </w:r>
      <w:r w:rsidRPr="005014F6">
        <w:t>.</w:t>
      </w:r>
    </w:p>
    <w:p w:rsidR="0048364F" w:rsidRPr="005014F6" w:rsidRDefault="0048364F" w:rsidP="0048364F">
      <w:pPr>
        <w:pStyle w:val="ActHead5"/>
      </w:pPr>
      <w:bookmarkStart w:id="5" w:name="_Toc428194616"/>
      <w:r w:rsidRPr="005014F6">
        <w:rPr>
          <w:rStyle w:val="CharSectno"/>
        </w:rPr>
        <w:t>2</w:t>
      </w:r>
      <w:r w:rsidRPr="005014F6">
        <w:t xml:space="preserve">  Commencement</w:t>
      </w:r>
      <w:bookmarkEnd w:id="5"/>
    </w:p>
    <w:p w:rsidR="009A305F" w:rsidRPr="005014F6" w:rsidRDefault="009A305F" w:rsidP="005349F6">
      <w:pPr>
        <w:pStyle w:val="subsection"/>
      </w:pPr>
      <w:r w:rsidRPr="005014F6">
        <w:tab/>
        <w:t>(1)</w:t>
      </w:r>
      <w:r w:rsidRPr="005014F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A305F" w:rsidRPr="005014F6" w:rsidRDefault="009A305F" w:rsidP="005349F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A305F" w:rsidRPr="005014F6" w:rsidTr="005349F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Commencement information</w:t>
            </w:r>
          </w:p>
        </w:tc>
      </w:tr>
      <w:tr w:rsidR="009A305F" w:rsidRPr="005014F6" w:rsidTr="005349F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Column 3</w:t>
            </w:r>
          </w:p>
        </w:tc>
      </w:tr>
      <w:tr w:rsidR="009A305F" w:rsidRPr="005014F6" w:rsidTr="005349F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Heading"/>
            </w:pPr>
            <w:r w:rsidRPr="005014F6">
              <w:t>Date/Details</w:t>
            </w:r>
          </w:p>
        </w:tc>
      </w:tr>
      <w:tr w:rsidR="009A305F" w:rsidRPr="005014F6" w:rsidTr="009A305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305F" w:rsidRPr="005014F6" w:rsidRDefault="009A305F" w:rsidP="005349F6">
            <w:pPr>
              <w:pStyle w:val="Tabletext"/>
            </w:pPr>
            <w:r w:rsidRPr="005014F6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305F" w:rsidRPr="005014F6" w:rsidRDefault="009A305F" w:rsidP="005349F6">
            <w:pPr>
              <w:pStyle w:val="Tabletext"/>
            </w:pPr>
            <w:r w:rsidRPr="005014F6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305F" w:rsidRPr="005014F6" w:rsidRDefault="00760B32" w:rsidP="005349F6">
            <w:pPr>
              <w:pStyle w:val="Tabletext"/>
            </w:pPr>
            <w:r>
              <w:t>20 October 2015</w:t>
            </w:r>
            <w:bookmarkStart w:id="6" w:name="_GoBack"/>
            <w:bookmarkEnd w:id="6"/>
          </w:p>
        </w:tc>
      </w:tr>
    </w:tbl>
    <w:p w:rsidR="009A305F" w:rsidRPr="005014F6" w:rsidRDefault="009A305F" w:rsidP="005349F6">
      <w:pPr>
        <w:pStyle w:val="notetext"/>
      </w:pPr>
      <w:r w:rsidRPr="005014F6">
        <w:rPr>
          <w:snapToGrid w:val="0"/>
          <w:lang w:eastAsia="en-US"/>
        </w:rPr>
        <w:t xml:space="preserve">Note: </w:t>
      </w:r>
      <w:r w:rsidRPr="005014F6">
        <w:rPr>
          <w:snapToGrid w:val="0"/>
          <w:lang w:eastAsia="en-US"/>
        </w:rPr>
        <w:tab/>
        <w:t xml:space="preserve">This table relates only to the provisions of this </w:t>
      </w:r>
      <w:r w:rsidRPr="005014F6">
        <w:t xml:space="preserve">instrument </w:t>
      </w:r>
      <w:r w:rsidRPr="005014F6">
        <w:rPr>
          <w:snapToGrid w:val="0"/>
          <w:lang w:eastAsia="en-US"/>
        </w:rPr>
        <w:t xml:space="preserve">as originally made. It will not be amended to deal with any later amendments of this </w:t>
      </w:r>
      <w:r w:rsidRPr="005014F6">
        <w:t>instrument</w:t>
      </w:r>
      <w:r w:rsidRPr="005014F6">
        <w:rPr>
          <w:snapToGrid w:val="0"/>
          <w:lang w:eastAsia="en-US"/>
        </w:rPr>
        <w:t>.</w:t>
      </w:r>
    </w:p>
    <w:p w:rsidR="009A305F" w:rsidRPr="005014F6" w:rsidRDefault="009A305F" w:rsidP="005349F6">
      <w:pPr>
        <w:pStyle w:val="subsection"/>
      </w:pPr>
      <w:r w:rsidRPr="005014F6">
        <w:tab/>
        <w:t>(2)</w:t>
      </w:r>
      <w:r w:rsidRPr="005014F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5014F6" w:rsidRDefault="007769D4" w:rsidP="007769D4">
      <w:pPr>
        <w:pStyle w:val="ActHead5"/>
      </w:pPr>
      <w:bookmarkStart w:id="7" w:name="_Toc428194617"/>
      <w:r w:rsidRPr="005014F6">
        <w:rPr>
          <w:rStyle w:val="CharSectno"/>
        </w:rPr>
        <w:t>3</w:t>
      </w:r>
      <w:r w:rsidRPr="005014F6">
        <w:t xml:space="preserve">  Authority</w:t>
      </w:r>
      <w:bookmarkEnd w:id="7"/>
    </w:p>
    <w:p w:rsidR="007769D4" w:rsidRPr="005014F6" w:rsidRDefault="007769D4" w:rsidP="007769D4">
      <w:pPr>
        <w:pStyle w:val="subsection"/>
      </w:pPr>
      <w:r w:rsidRPr="005014F6">
        <w:tab/>
      </w:r>
      <w:r w:rsidRPr="005014F6">
        <w:tab/>
      </w:r>
      <w:r w:rsidR="00AF0336" w:rsidRPr="005014F6">
        <w:t xml:space="preserve">This </w:t>
      </w:r>
      <w:r w:rsidR="009A305F" w:rsidRPr="005014F6">
        <w:t>instrument</w:t>
      </w:r>
      <w:r w:rsidR="00AF0336" w:rsidRPr="005014F6">
        <w:t xml:space="preserve"> is made under the </w:t>
      </w:r>
      <w:r w:rsidR="009A305F" w:rsidRPr="005014F6">
        <w:rPr>
          <w:i/>
        </w:rPr>
        <w:t>Australian National Registry of Emissions Units Act 2011</w:t>
      </w:r>
      <w:r w:rsidR="00D83D21" w:rsidRPr="005014F6">
        <w:rPr>
          <w:i/>
        </w:rPr>
        <w:t>.</w:t>
      </w:r>
    </w:p>
    <w:p w:rsidR="00557C7A" w:rsidRPr="005014F6" w:rsidRDefault="007769D4" w:rsidP="00557C7A">
      <w:pPr>
        <w:pStyle w:val="ActHead5"/>
      </w:pPr>
      <w:bookmarkStart w:id="8" w:name="_Toc428194618"/>
      <w:r w:rsidRPr="005014F6">
        <w:rPr>
          <w:rStyle w:val="CharSectno"/>
        </w:rPr>
        <w:t>4</w:t>
      </w:r>
      <w:r w:rsidR="00557C7A" w:rsidRPr="005014F6">
        <w:t xml:space="preserve">  </w:t>
      </w:r>
      <w:r w:rsidR="00B332B8" w:rsidRPr="005014F6">
        <w:t>Schedules</w:t>
      </w:r>
      <w:bookmarkEnd w:id="8"/>
    </w:p>
    <w:p w:rsidR="000F6B02" w:rsidRPr="005014F6" w:rsidRDefault="00557C7A" w:rsidP="000F6B02">
      <w:pPr>
        <w:pStyle w:val="subsection"/>
      </w:pPr>
      <w:r w:rsidRPr="005014F6">
        <w:tab/>
      </w:r>
      <w:r w:rsidRPr="005014F6">
        <w:tab/>
      </w:r>
      <w:r w:rsidR="000F6B02" w:rsidRPr="005014F6">
        <w:t xml:space="preserve">Each instrument that is specified in a Schedule to </w:t>
      </w:r>
      <w:r w:rsidR="009A305F" w:rsidRPr="005014F6">
        <w:t>this instrument</w:t>
      </w:r>
      <w:r w:rsidR="000F6B02" w:rsidRPr="005014F6">
        <w:t xml:space="preserve"> is amended or repealed as set out in the applicable items in the Schedule concerned, and any other item in a Schedule to </w:t>
      </w:r>
      <w:r w:rsidR="009A305F" w:rsidRPr="005014F6">
        <w:t>this instrument</w:t>
      </w:r>
      <w:r w:rsidR="000F6B02" w:rsidRPr="005014F6">
        <w:t xml:space="preserve"> has effect according to its terms.</w:t>
      </w:r>
    </w:p>
    <w:p w:rsidR="0048364F" w:rsidRPr="005014F6" w:rsidRDefault="0048364F" w:rsidP="00FF3089">
      <w:pPr>
        <w:pStyle w:val="ActHead6"/>
        <w:pageBreakBefore/>
      </w:pPr>
      <w:bookmarkStart w:id="9" w:name="_Toc428194619"/>
      <w:bookmarkStart w:id="10" w:name="opcAmSched"/>
      <w:bookmarkStart w:id="11" w:name="opcCurrentFind"/>
      <w:r w:rsidRPr="005014F6">
        <w:rPr>
          <w:rStyle w:val="CharAmSchNo"/>
        </w:rPr>
        <w:t>Schedule</w:t>
      </w:r>
      <w:r w:rsidR="005014F6" w:rsidRPr="005014F6">
        <w:rPr>
          <w:rStyle w:val="CharAmSchNo"/>
        </w:rPr>
        <w:t> </w:t>
      </w:r>
      <w:r w:rsidRPr="005014F6">
        <w:rPr>
          <w:rStyle w:val="CharAmSchNo"/>
        </w:rPr>
        <w:t>1</w:t>
      </w:r>
      <w:r w:rsidRPr="005014F6">
        <w:t>—</w:t>
      </w:r>
      <w:r w:rsidR="00460499" w:rsidRPr="005014F6">
        <w:rPr>
          <w:rStyle w:val="CharAmSchText"/>
        </w:rPr>
        <w:t>Amendments</w:t>
      </w:r>
      <w:bookmarkEnd w:id="9"/>
    </w:p>
    <w:bookmarkEnd w:id="10"/>
    <w:bookmarkEnd w:id="11"/>
    <w:p w:rsidR="0004044E" w:rsidRPr="005014F6" w:rsidRDefault="0004044E" w:rsidP="0004044E">
      <w:pPr>
        <w:pStyle w:val="Header"/>
      </w:pPr>
      <w:r w:rsidRPr="005014F6">
        <w:rPr>
          <w:rStyle w:val="CharAmPartNo"/>
        </w:rPr>
        <w:t xml:space="preserve"> </w:t>
      </w:r>
      <w:r w:rsidRPr="005014F6">
        <w:rPr>
          <w:rStyle w:val="CharAmPartText"/>
        </w:rPr>
        <w:t xml:space="preserve"> </w:t>
      </w:r>
    </w:p>
    <w:p w:rsidR="009A305F" w:rsidRPr="005014F6" w:rsidRDefault="009A305F" w:rsidP="009A305F">
      <w:pPr>
        <w:pStyle w:val="ActHead9"/>
      </w:pPr>
      <w:bookmarkStart w:id="12" w:name="_Toc428194620"/>
      <w:r w:rsidRPr="005014F6">
        <w:t>Australian National Registry of Emissions Units Regulations</w:t>
      </w:r>
      <w:r w:rsidR="005014F6" w:rsidRPr="005014F6">
        <w:t> </w:t>
      </w:r>
      <w:r w:rsidRPr="005014F6">
        <w:t>2011</w:t>
      </w:r>
      <w:bookmarkEnd w:id="12"/>
    </w:p>
    <w:p w:rsidR="006D3667" w:rsidRPr="005014F6" w:rsidRDefault="00585515" w:rsidP="006C2C12">
      <w:pPr>
        <w:pStyle w:val="ItemHead"/>
        <w:tabs>
          <w:tab w:val="left" w:pos="6663"/>
        </w:tabs>
      </w:pPr>
      <w:r w:rsidRPr="005014F6">
        <w:t>1</w:t>
      </w:r>
      <w:r w:rsidR="00BB6E79" w:rsidRPr="005014F6">
        <w:t xml:space="preserve">  </w:t>
      </w:r>
      <w:r w:rsidR="000A7D00" w:rsidRPr="005014F6">
        <w:t>At the end of Part</w:t>
      </w:r>
      <w:r w:rsidR="005014F6" w:rsidRPr="005014F6">
        <w:t> </w:t>
      </w:r>
      <w:r w:rsidR="000A7D00" w:rsidRPr="005014F6">
        <w:t>3</w:t>
      </w:r>
    </w:p>
    <w:p w:rsidR="000A7D00" w:rsidRPr="005014F6" w:rsidRDefault="000A7D00" w:rsidP="000A7D00">
      <w:pPr>
        <w:pStyle w:val="Item"/>
      </w:pPr>
      <w:r w:rsidRPr="005014F6">
        <w:t>Add:</w:t>
      </w:r>
    </w:p>
    <w:p w:rsidR="000A7D00" w:rsidRPr="005014F6" w:rsidRDefault="000A7D00" w:rsidP="000A7D00">
      <w:pPr>
        <w:pStyle w:val="ActHead3"/>
      </w:pPr>
      <w:bookmarkStart w:id="13" w:name="_Toc428194621"/>
      <w:r w:rsidRPr="005014F6">
        <w:rPr>
          <w:rStyle w:val="CharDivNo"/>
        </w:rPr>
        <w:t>Division</w:t>
      </w:r>
      <w:r w:rsidR="005014F6" w:rsidRPr="005014F6">
        <w:rPr>
          <w:rStyle w:val="CharDivNo"/>
        </w:rPr>
        <w:t> </w:t>
      </w:r>
      <w:r w:rsidRPr="005014F6">
        <w:rPr>
          <w:rStyle w:val="CharDivNo"/>
        </w:rPr>
        <w:t>3.4</w:t>
      </w:r>
      <w:r w:rsidRPr="005014F6">
        <w:t>—</w:t>
      </w:r>
      <w:r w:rsidRPr="005014F6">
        <w:rPr>
          <w:rStyle w:val="CharDivText"/>
        </w:rPr>
        <w:t>Carry</w:t>
      </w:r>
      <w:r w:rsidR="005014F6" w:rsidRPr="005014F6">
        <w:rPr>
          <w:rStyle w:val="CharDivText"/>
        </w:rPr>
        <w:noBreakHyphen/>
      </w:r>
      <w:r w:rsidRPr="005014F6">
        <w:rPr>
          <w:rStyle w:val="CharDivText"/>
        </w:rPr>
        <w:t>over of Kyoto units</w:t>
      </w:r>
      <w:r w:rsidR="00FE0611" w:rsidRPr="005014F6">
        <w:rPr>
          <w:rStyle w:val="CharDivText"/>
        </w:rPr>
        <w:t xml:space="preserve"> to the second commitment period</w:t>
      </w:r>
      <w:bookmarkEnd w:id="13"/>
    </w:p>
    <w:p w:rsidR="006135D5" w:rsidRPr="005014F6" w:rsidRDefault="006135D5" w:rsidP="000A7D00">
      <w:pPr>
        <w:pStyle w:val="ActHead5"/>
      </w:pPr>
      <w:bookmarkStart w:id="14" w:name="_Toc428194622"/>
      <w:r w:rsidRPr="005014F6">
        <w:rPr>
          <w:rStyle w:val="CharSectno"/>
        </w:rPr>
        <w:t>50</w:t>
      </w:r>
      <w:r w:rsidRPr="005014F6">
        <w:t xml:space="preserve">  Application of Division</w:t>
      </w:r>
      <w:bookmarkEnd w:id="14"/>
    </w:p>
    <w:p w:rsidR="006135D5" w:rsidRPr="005014F6" w:rsidRDefault="006135D5" w:rsidP="006135D5">
      <w:pPr>
        <w:pStyle w:val="subsection"/>
      </w:pPr>
      <w:r w:rsidRPr="005014F6">
        <w:tab/>
      </w:r>
      <w:r w:rsidRPr="005014F6">
        <w:tab/>
        <w:t xml:space="preserve">This Division applies to Kyoto units </w:t>
      </w:r>
      <w:r w:rsidR="009C16BA" w:rsidRPr="005014F6">
        <w:t xml:space="preserve">that are identified in the Registry as Kyoto units issued for use in the </w:t>
      </w:r>
      <w:r w:rsidRPr="005014F6">
        <w:t>first commitment period.</w:t>
      </w:r>
    </w:p>
    <w:p w:rsidR="00C10D38" w:rsidRPr="005014F6" w:rsidRDefault="00C10D38" w:rsidP="00C10D38">
      <w:pPr>
        <w:pStyle w:val="notetext"/>
      </w:pPr>
      <w:r w:rsidRPr="005014F6">
        <w:t>Note:</w:t>
      </w:r>
      <w:r w:rsidRPr="005014F6">
        <w:tab/>
        <w:t>The first commitment period began on 1</w:t>
      </w:r>
      <w:r w:rsidR="005014F6" w:rsidRPr="005014F6">
        <w:t> </w:t>
      </w:r>
      <w:r w:rsidRPr="005014F6">
        <w:t>January 2008 and ended on 31</w:t>
      </w:r>
      <w:r w:rsidR="005014F6" w:rsidRPr="005014F6">
        <w:t> </w:t>
      </w:r>
      <w:r w:rsidRPr="005014F6">
        <w:t>December 2012. The second commitment period began on 1</w:t>
      </w:r>
      <w:r w:rsidR="005014F6" w:rsidRPr="005014F6">
        <w:t> </w:t>
      </w:r>
      <w:r w:rsidRPr="005014F6">
        <w:t>January 2013 and ends on 31</w:t>
      </w:r>
      <w:r w:rsidR="005014F6" w:rsidRPr="005014F6">
        <w:t> </w:t>
      </w:r>
      <w:r w:rsidRPr="005014F6">
        <w:t>December 2020.</w:t>
      </w:r>
    </w:p>
    <w:p w:rsidR="000A7D00" w:rsidRPr="005014F6" w:rsidRDefault="000A7D00" w:rsidP="000A7D00">
      <w:pPr>
        <w:pStyle w:val="ActHead5"/>
      </w:pPr>
      <w:bookmarkStart w:id="15" w:name="_Toc428194623"/>
      <w:r w:rsidRPr="005014F6">
        <w:rPr>
          <w:rStyle w:val="CharSectno"/>
        </w:rPr>
        <w:t>5</w:t>
      </w:r>
      <w:r w:rsidR="00050968" w:rsidRPr="005014F6">
        <w:rPr>
          <w:rStyle w:val="CharSectno"/>
        </w:rPr>
        <w:t>1</w:t>
      </w:r>
      <w:r w:rsidRPr="005014F6">
        <w:t xml:space="preserve">  </w:t>
      </w:r>
      <w:r w:rsidR="006141EE" w:rsidRPr="005014F6">
        <w:t>Identification of Kyoto units for which carry</w:t>
      </w:r>
      <w:r w:rsidR="005014F6">
        <w:noBreakHyphen/>
      </w:r>
      <w:r w:rsidR="006141EE" w:rsidRPr="005014F6">
        <w:t>over is permitted</w:t>
      </w:r>
      <w:bookmarkEnd w:id="15"/>
    </w:p>
    <w:p w:rsidR="00CB39A3" w:rsidRPr="005014F6" w:rsidRDefault="00CB39A3" w:rsidP="00CB39A3">
      <w:pPr>
        <w:pStyle w:val="subsection"/>
      </w:pPr>
      <w:r w:rsidRPr="005014F6">
        <w:tab/>
      </w:r>
      <w:r w:rsidRPr="005014F6">
        <w:tab/>
        <w:t>For paragraph</w:t>
      </w:r>
      <w:r w:rsidR="005014F6" w:rsidRPr="005014F6">
        <w:t> </w:t>
      </w:r>
      <w:r w:rsidRPr="005014F6">
        <w:t>40(1)(a) of the Act, carry</w:t>
      </w:r>
      <w:r w:rsidR="005014F6">
        <w:noBreakHyphen/>
      </w:r>
      <w:r w:rsidRPr="005014F6">
        <w:t>over to the second commitment period is permitted for each Kyoto unit that:</w:t>
      </w:r>
    </w:p>
    <w:p w:rsidR="00CB39A3" w:rsidRPr="005014F6" w:rsidRDefault="00CB39A3" w:rsidP="00CB39A3">
      <w:pPr>
        <w:pStyle w:val="paragraph"/>
      </w:pPr>
      <w:r w:rsidRPr="005014F6">
        <w:tab/>
        <w:t>(a)</w:t>
      </w:r>
      <w:r w:rsidRPr="005014F6">
        <w:tab/>
        <w:t>is of a kind covered by paragraph</w:t>
      </w:r>
      <w:r w:rsidR="005014F6" w:rsidRPr="005014F6">
        <w:t> </w:t>
      </w:r>
      <w:r w:rsidRPr="005014F6">
        <w:t>40(1)(a)</w:t>
      </w:r>
      <w:r w:rsidR="00E85C39" w:rsidRPr="005014F6">
        <w:t xml:space="preserve"> of the Act</w:t>
      </w:r>
      <w:r w:rsidRPr="005014F6">
        <w:t>; and</w:t>
      </w:r>
    </w:p>
    <w:p w:rsidR="00CB39A3" w:rsidRPr="005014F6" w:rsidRDefault="00CB39A3" w:rsidP="00CB39A3">
      <w:pPr>
        <w:pStyle w:val="paragraph"/>
      </w:pPr>
      <w:r w:rsidRPr="005014F6">
        <w:tab/>
        <w:t>(b)</w:t>
      </w:r>
      <w:r w:rsidRPr="005014F6">
        <w:tab/>
        <w:t>is held in the Commonwealth holding account.</w:t>
      </w:r>
    </w:p>
    <w:p w:rsidR="00B36B51" w:rsidRPr="005014F6" w:rsidRDefault="00B36B51" w:rsidP="00B36B51">
      <w:pPr>
        <w:pStyle w:val="ActHead5"/>
      </w:pPr>
      <w:bookmarkStart w:id="16" w:name="_Toc428194624"/>
      <w:r w:rsidRPr="005014F6">
        <w:rPr>
          <w:rStyle w:val="CharSectno"/>
        </w:rPr>
        <w:t>5</w:t>
      </w:r>
      <w:r w:rsidR="00050968" w:rsidRPr="005014F6">
        <w:rPr>
          <w:rStyle w:val="CharSectno"/>
        </w:rPr>
        <w:t>2</w:t>
      </w:r>
      <w:r w:rsidRPr="005014F6">
        <w:t xml:space="preserve">  </w:t>
      </w:r>
      <w:r w:rsidR="009220F6" w:rsidRPr="005014F6">
        <w:t>Procedures for the carry</w:t>
      </w:r>
      <w:r w:rsidR="005014F6">
        <w:noBreakHyphen/>
      </w:r>
      <w:r w:rsidR="009220F6" w:rsidRPr="005014F6">
        <w:t>over of Kyoto units</w:t>
      </w:r>
      <w:bookmarkEnd w:id="16"/>
    </w:p>
    <w:p w:rsidR="003E27D9" w:rsidRPr="005014F6" w:rsidRDefault="009220F6" w:rsidP="0085017F">
      <w:pPr>
        <w:pStyle w:val="subsection"/>
      </w:pPr>
      <w:r w:rsidRPr="005014F6">
        <w:tab/>
        <w:t>(1)</w:t>
      </w:r>
      <w:r w:rsidRPr="005014F6">
        <w:tab/>
        <w:t>For paragraph</w:t>
      </w:r>
      <w:r w:rsidR="005014F6" w:rsidRPr="005014F6">
        <w:t> </w:t>
      </w:r>
      <w:r w:rsidRPr="005014F6">
        <w:t>40(1)(b) of the Act</w:t>
      </w:r>
      <w:r w:rsidR="0085017F" w:rsidRPr="005014F6">
        <w:t xml:space="preserve">, </w:t>
      </w:r>
      <w:r w:rsidR="003E27D9" w:rsidRPr="005014F6">
        <w:t>this regulation sets out procedures for the carry</w:t>
      </w:r>
      <w:r w:rsidR="005014F6">
        <w:noBreakHyphen/>
      </w:r>
      <w:r w:rsidR="003E27D9" w:rsidRPr="005014F6">
        <w:t>over of Kyoto units for which carry</w:t>
      </w:r>
      <w:r w:rsidR="005014F6">
        <w:noBreakHyphen/>
      </w:r>
      <w:r w:rsidR="003E27D9" w:rsidRPr="005014F6">
        <w:t>over is permitted</w:t>
      </w:r>
      <w:r w:rsidR="00CD0B9C" w:rsidRPr="005014F6">
        <w:t xml:space="preserve"> under regulation</w:t>
      </w:r>
      <w:r w:rsidR="005014F6" w:rsidRPr="005014F6">
        <w:t> </w:t>
      </w:r>
      <w:r w:rsidR="00CD0B9C" w:rsidRPr="005014F6">
        <w:t>51</w:t>
      </w:r>
      <w:r w:rsidR="003E27D9" w:rsidRPr="005014F6">
        <w:t>.</w:t>
      </w:r>
    </w:p>
    <w:p w:rsidR="006176B1" w:rsidRPr="005014F6" w:rsidRDefault="006176B1" w:rsidP="006176B1">
      <w:pPr>
        <w:pStyle w:val="subsection"/>
      </w:pPr>
      <w:r w:rsidRPr="005014F6">
        <w:tab/>
        <w:t>(2)</w:t>
      </w:r>
      <w:r w:rsidRPr="005014F6">
        <w:tab/>
      </w:r>
      <w:r w:rsidR="00CB39A3" w:rsidRPr="005014F6">
        <w:t>F</w:t>
      </w:r>
      <w:r w:rsidRPr="005014F6">
        <w:t xml:space="preserve">or each kind of Kyoto unit </w:t>
      </w:r>
      <w:r w:rsidR="00163BE3" w:rsidRPr="005014F6">
        <w:t>for which carry</w:t>
      </w:r>
      <w:r w:rsidR="005014F6">
        <w:noBreakHyphen/>
      </w:r>
      <w:r w:rsidR="00163BE3" w:rsidRPr="005014F6">
        <w:t>over is permitted</w:t>
      </w:r>
      <w:r w:rsidR="00CB39A3" w:rsidRPr="005014F6">
        <w:t>,</w:t>
      </w:r>
      <w:r w:rsidRPr="005014F6">
        <w:t xml:space="preserve"> the Minister</w:t>
      </w:r>
      <w:r w:rsidR="004D1C31" w:rsidRPr="005014F6">
        <w:t xml:space="preserve"> </w:t>
      </w:r>
      <w:r w:rsidR="00080AEA" w:rsidRPr="005014F6">
        <w:t>must</w:t>
      </w:r>
      <w:r w:rsidRPr="005014F6">
        <w:t xml:space="preserve"> </w:t>
      </w:r>
      <w:r w:rsidR="00721F8F" w:rsidRPr="005014F6">
        <w:t>instruct</w:t>
      </w:r>
      <w:r w:rsidRPr="005014F6">
        <w:t xml:space="preserve"> the Regulator:</w:t>
      </w:r>
    </w:p>
    <w:p w:rsidR="003E27D9" w:rsidRPr="005014F6" w:rsidRDefault="003E27D9" w:rsidP="003E27D9">
      <w:pPr>
        <w:pStyle w:val="paragraph"/>
      </w:pPr>
      <w:r w:rsidRPr="005014F6">
        <w:tab/>
        <w:t>(</w:t>
      </w:r>
      <w:r w:rsidR="00FB07A7" w:rsidRPr="005014F6">
        <w:t>a</w:t>
      </w:r>
      <w:r w:rsidRPr="005014F6">
        <w:t>)</w:t>
      </w:r>
      <w:r w:rsidRPr="005014F6">
        <w:tab/>
      </w:r>
      <w:r w:rsidR="00080AEA" w:rsidRPr="005014F6">
        <w:t>to carry</w:t>
      </w:r>
      <w:r w:rsidR="005014F6">
        <w:noBreakHyphen/>
      </w:r>
      <w:r w:rsidR="00080AEA" w:rsidRPr="005014F6">
        <w:t xml:space="preserve">over </w:t>
      </w:r>
      <w:r w:rsidRPr="005014F6">
        <w:t>a specified number of units of that kind; or</w:t>
      </w:r>
    </w:p>
    <w:p w:rsidR="003E27D9" w:rsidRPr="005014F6" w:rsidRDefault="00FB07A7" w:rsidP="003E27D9">
      <w:pPr>
        <w:pStyle w:val="paragraph"/>
      </w:pPr>
      <w:r w:rsidRPr="005014F6">
        <w:tab/>
        <w:t>(b</w:t>
      </w:r>
      <w:r w:rsidR="003E27D9" w:rsidRPr="005014F6">
        <w:t>)</w:t>
      </w:r>
      <w:r w:rsidR="003E27D9" w:rsidRPr="005014F6">
        <w:tab/>
      </w:r>
      <w:r w:rsidR="00080AEA" w:rsidRPr="005014F6">
        <w:t>to carry</w:t>
      </w:r>
      <w:r w:rsidR="005014F6">
        <w:noBreakHyphen/>
      </w:r>
      <w:r w:rsidR="00080AEA" w:rsidRPr="005014F6">
        <w:t xml:space="preserve">over </w:t>
      </w:r>
      <w:r w:rsidR="003E27D9" w:rsidRPr="005014F6">
        <w:t>specified units of that kind; or</w:t>
      </w:r>
    </w:p>
    <w:p w:rsidR="00FB07A7" w:rsidRPr="005014F6" w:rsidRDefault="00FB07A7" w:rsidP="00FB07A7">
      <w:pPr>
        <w:pStyle w:val="paragraph"/>
      </w:pPr>
      <w:r w:rsidRPr="005014F6">
        <w:tab/>
        <w:t>(c</w:t>
      </w:r>
      <w:r w:rsidR="003E27D9" w:rsidRPr="005014F6">
        <w:t>)</w:t>
      </w:r>
      <w:r w:rsidR="003E27D9" w:rsidRPr="005014F6">
        <w:tab/>
      </w:r>
      <w:r w:rsidR="00080AEA" w:rsidRPr="005014F6">
        <w:t>not to carry</w:t>
      </w:r>
      <w:r w:rsidR="005014F6">
        <w:noBreakHyphen/>
      </w:r>
      <w:r w:rsidR="00080AEA" w:rsidRPr="005014F6">
        <w:t xml:space="preserve">over any </w:t>
      </w:r>
      <w:r w:rsidR="003E27D9" w:rsidRPr="005014F6">
        <w:t>units of that kind.</w:t>
      </w:r>
    </w:p>
    <w:p w:rsidR="00CB39A3" w:rsidRPr="005014F6" w:rsidRDefault="00CB39A3" w:rsidP="00CB39A3">
      <w:pPr>
        <w:pStyle w:val="subsection"/>
      </w:pPr>
      <w:r w:rsidRPr="005014F6">
        <w:tab/>
        <w:t>(3)</w:t>
      </w:r>
      <w:r w:rsidRPr="005014F6">
        <w:tab/>
      </w:r>
      <w:r w:rsidR="004A3491" w:rsidRPr="005014F6">
        <w:t xml:space="preserve">An </w:t>
      </w:r>
      <w:r w:rsidRPr="005014F6">
        <w:t xml:space="preserve">instruction </w:t>
      </w:r>
      <w:r w:rsidR="004A3491" w:rsidRPr="005014F6">
        <w:t xml:space="preserve">under </w:t>
      </w:r>
      <w:proofErr w:type="spellStart"/>
      <w:r w:rsidR="004A3491" w:rsidRPr="005014F6">
        <w:t>subregulation</w:t>
      </w:r>
      <w:proofErr w:type="spellEnd"/>
      <w:r w:rsidR="005014F6" w:rsidRPr="005014F6">
        <w:t> </w:t>
      </w:r>
      <w:r w:rsidR="004A3491" w:rsidRPr="005014F6">
        <w:t xml:space="preserve">(2) </w:t>
      </w:r>
      <w:r w:rsidRPr="005014F6">
        <w:t>must be consistent with the Kyoto rules.</w:t>
      </w:r>
    </w:p>
    <w:p w:rsidR="00FB07A7" w:rsidRPr="005014F6" w:rsidRDefault="00FB07A7" w:rsidP="00FB07A7">
      <w:pPr>
        <w:pStyle w:val="notetext"/>
      </w:pPr>
      <w:r w:rsidRPr="005014F6">
        <w:t>Note:</w:t>
      </w:r>
      <w:r w:rsidRPr="005014F6">
        <w:tab/>
        <w:t>The Kyoto rules contain requirements relating to the kinds of units that may be carried</w:t>
      </w:r>
      <w:r w:rsidR="005014F6">
        <w:noBreakHyphen/>
      </w:r>
      <w:r w:rsidRPr="005014F6">
        <w:t>over and the number of units of each kind that may be carried</w:t>
      </w:r>
      <w:r w:rsidR="005014F6">
        <w:noBreakHyphen/>
      </w:r>
      <w:r w:rsidRPr="005014F6">
        <w:t>over.</w:t>
      </w:r>
    </w:p>
    <w:p w:rsidR="005E21A4" w:rsidRPr="005014F6" w:rsidRDefault="00050968" w:rsidP="0028093D">
      <w:pPr>
        <w:pStyle w:val="subsection"/>
      </w:pPr>
      <w:r w:rsidRPr="005014F6">
        <w:tab/>
        <w:t>(</w:t>
      </w:r>
      <w:r w:rsidR="00CB39A3" w:rsidRPr="005014F6">
        <w:t>4</w:t>
      </w:r>
      <w:r w:rsidRPr="005014F6">
        <w:t>)</w:t>
      </w:r>
      <w:r w:rsidRPr="005014F6">
        <w:tab/>
      </w:r>
      <w:r w:rsidR="00514ED5" w:rsidRPr="005014F6">
        <w:t xml:space="preserve">If the Minister </w:t>
      </w:r>
      <w:r w:rsidR="00080AEA" w:rsidRPr="005014F6">
        <w:t>instructs the Regulator</w:t>
      </w:r>
      <w:r w:rsidR="00D04664" w:rsidRPr="005014F6">
        <w:t xml:space="preserve"> under </w:t>
      </w:r>
      <w:r w:rsidR="005014F6" w:rsidRPr="005014F6">
        <w:t>paragraph (</w:t>
      </w:r>
      <w:r w:rsidR="00D04664" w:rsidRPr="005014F6">
        <w:t>2)(a) or (b)</w:t>
      </w:r>
      <w:r w:rsidR="00080AEA" w:rsidRPr="005014F6">
        <w:t xml:space="preserve"> to carry</w:t>
      </w:r>
      <w:r w:rsidR="005014F6">
        <w:noBreakHyphen/>
      </w:r>
      <w:r w:rsidR="00080AEA" w:rsidRPr="005014F6">
        <w:t xml:space="preserve">over </w:t>
      </w:r>
      <w:r w:rsidR="00D04664" w:rsidRPr="005014F6">
        <w:t xml:space="preserve">Kyoto </w:t>
      </w:r>
      <w:r w:rsidR="00080AEA" w:rsidRPr="005014F6">
        <w:t>units,</w:t>
      </w:r>
      <w:r w:rsidR="00721F8F" w:rsidRPr="005014F6">
        <w:t xml:space="preserve"> </w:t>
      </w:r>
      <w:r w:rsidR="00080AEA" w:rsidRPr="005014F6">
        <w:t>t</w:t>
      </w:r>
      <w:r w:rsidRPr="005014F6">
        <w:t>he Regulator is to carry</w:t>
      </w:r>
      <w:r w:rsidR="005014F6">
        <w:noBreakHyphen/>
      </w:r>
      <w:r w:rsidRPr="005014F6">
        <w:t>over the units in accordance with the Kyoto rules</w:t>
      </w:r>
      <w:r w:rsidR="00721F8F" w:rsidRPr="005014F6">
        <w:t xml:space="preserve"> and the Minister’s instruction</w:t>
      </w:r>
      <w:r w:rsidR="007157D9" w:rsidRPr="005014F6">
        <w:t>.</w:t>
      </w:r>
    </w:p>
    <w:p w:rsidR="00C07B5C" w:rsidRPr="005014F6" w:rsidRDefault="00C07B5C" w:rsidP="00C07B5C">
      <w:pPr>
        <w:pStyle w:val="ActHead5"/>
      </w:pPr>
      <w:bookmarkStart w:id="17" w:name="_Toc428194625"/>
      <w:r w:rsidRPr="005014F6">
        <w:rPr>
          <w:rStyle w:val="CharSectno"/>
        </w:rPr>
        <w:t>53</w:t>
      </w:r>
      <w:r w:rsidRPr="005014F6">
        <w:t xml:space="preserve">  Kyoto units not included in carry</w:t>
      </w:r>
      <w:r w:rsidR="005014F6">
        <w:noBreakHyphen/>
      </w:r>
      <w:r w:rsidRPr="005014F6">
        <w:t>over</w:t>
      </w:r>
      <w:bookmarkEnd w:id="17"/>
    </w:p>
    <w:p w:rsidR="004A3491" w:rsidRPr="005014F6" w:rsidRDefault="00A9579E" w:rsidP="00A9579E">
      <w:pPr>
        <w:pStyle w:val="subsection"/>
      </w:pPr>
      <w:r w:rsidRPr="005014F6">
        <w:tab/>
        <w:t>(1)</w:t>
      </w:r>
      <w:r w:rsidRPr="005014F6">
        <w:tab/>
        <w:t>This regulation applies if the Minister</w:t>
      </w:r>
      <w:r w:rsidR="004A3491" w:rsidRPr="005014F6">
        <w:t>:</w:t>
      </w:r>
    </w:p>
    <w:p w:rsidR="004A3491" w:rsidRPr="005014F6" w:rsidRDefault="004A3491" w:rsidP="004A3491">
      <w:pPr>
        <w:pStyle w:val="paragraph"/>
      </w:pPr>
      <w:r w:rsidRPr="005014F6">
        <w:tab/>
        <w:t>(a)</w:t>
      </w:r>
      <w:r w:rsidRPr="005014F6">
        <w:tab/>
        <w:t>gives the Regulator an instruction under paragraph</w:t>
      </w:r>
      <w:r w:rsidR="005014F6" w:rsidRPr="005014F6">
        <w:t> </w:t>
      </w:r>
      <w:r w:rsidRPr="005014F6">
        <w:t>52(2)(c) in relation to a kind of Kyoto unit; or</w:t>
      </w:r>
    </w:p>
    <w:p w:rsidR="004A3491" w:rsidRPr="005014F6" w:rsidRDefault="004A3491" w:rsidP="004A3491">
      <w:pPr>
        <w:pStyle w:val="paragraph"/>
      </w:pPr>
      <w:r w:rsidRPr="005014F6">
        <w:tab/>
        <w:t>(b)</w:t>
      </w:r>
      <w:r w:rsidRPr="005014F6">
        <w:tab/>
        <w:t>notifies</w:t>
      </w:r>
      <w:r w:rsidR="00A9579E" w:rsidRPr="005014F6">
        <w:t xml:space="preserve"> the Regulator that </w:t>
      </w:r>
      <w:r w:rsidRPr="005014F6">
        <w:t>all Kyoto units of a particular kind that are to be carried</w:t>
      </w:r>
      <w:r w:rsidR="005014F6">
        <w:noBreakHyphen/>
      </w:r>
      <w:r w:rsidRPr="005014F6">
        <w:t>over to the second commitment period have been carried</w:t>
      </w:r>
      <w:r w:rsidR="005014F6">
        <w:noBreakHyphen/>
      </w:r>
      <w:r w:rsidRPr="005014F6">
        <w:t>over.</w:t>
      </w:r>
    </w:p>
    <w:p w:rsidR="007402DB" w:rsidRPr="005014F6" w:rsidRDefault="007402DB" w:rsidP="007402DB">
      <w:pPr>
        <w:pStyle w:val="subsection"/>
      </w:pPr>
      <w:r w:rsidRPr="005014F6">
        <w:tab/>
      </w:r>
      <w:r w:rsidR="00A9579E" w:rsidRPr="005014F6">
        <w:t>(2)</w:t>
      </w:r>
      <w:r w:rsidRPr="005014F6">
        <w:tab/>
        <w:t>For paragraph</w:t>
      </w:r>
      <w:r w:rsidR="005014F6" w:rsidRPr="005014F6">
        <w:t> </w:t>
      </w:r>
      <w:r w:rsidRPr="005014F6">
        <w:t>40(1)(c) of the Act, the Regulator must transfer to the mandatory cancellation account for the first commitment period any Kyoto units</w:t>
      </w:r>
      <w:r w:rsidR="00514ED5" w:rsidRPr="005014F6">
        <w:t xml:space="preserve"> </w:t>
      </w:r>
      <w:r w:rsidR="004A3491" w:rsidRPr="005014F6">
        <w:t>of that kind</w:t>
      </w:r>
      <w:r w:rsidRPr="005014F6">
        <w:t>:</w:t>
      </w:r>
    </w:p>
    <w:p w:rsidR="00811F50" w:rsidRPr="005014F6" w:rsidRDefault="00811F50" w:rsidP="00811F50">
      <w:pPr>
        <w:pStyle w:val="paragraph"/>
      </w:pPr>
      <w:r w:rsidRPr="005014F6">
        <w:tab/>
        <w:t>(a)</w:t>
      </w:r>
      <w:r w:rsidRPr="005014F6">
        <w:tab/>
        <w:t>that are in a Registry account; and</w:t>
      </w:r>
    </w:p>
    <w:p w:rsidR="007402DB" w:rsidRPr="005014F6" w:rsidRDefault="007402DB" w:rsidP="007402DB">
      <w:pPr>
        <w:pStyle w:val="paragraph"/>
      </w:pPr>
      <w:r w:rsidRPr="005014F6">
        <w:tab/>
        <w:t>(</w:t>
      </w:r>
      <w:r w:rsidR="00514ED5" w:rsidRPr="005014F6">
        <w:t>b</w:t>
      </w:r>
      <w:r w:rsidRPr="005014F6">
        <w:t>)</w:t>
      </w:r>
      <w:r w:rsidRPr="005014F6">
        <w:tab/>
        <w:t>that have not been carried</w:t>
      </w:r>
      <w:r w:rsidR="005014F6">
        <w:noBreakHyphen/>
      </w:r>
      <w:r w:rsidRPr="005014F6">
        <w:t>over in accordance with this Division.</w:t>
      </w:r>
    </w:p>
    <w:p w:rsidR="00A12E31" w:rsidRPr="005014F6" w:rsidRDefault="00A12E31" w:rsidP="00A12E31">
      <w:pPr>
        <w:pStyle w:val="ActHead5"/>
      </w:pPr>
      <w:bookmarkStart w:id="18" w:name="_Toc428194626"/>
      <w:r w:rsidRPr="005014F6">
        <w:rPr>
          <w:rStyle w:val="CharSectno"/>
        </w:rPr>
        <w:t>5</w:t>
      </w:r>
      <w:r w:rsidR="00C07B5C" w:rsidRPr="005014F6">
        <w:rPr>
          <w:rStyle w:val="CharSectno"/>
        </w:rPr>
        <w:t>4</w:t>
      </w:r>
      <w:r w:rsidRPr="005014F6">
        <w:t xml:space="preserve">  Kyoto units for which carry</w:t>
      </w:r>
      <w:r w:rsidR="005014F6">
        <w:noBreakHyphen/>
      </w:r>
      <w:r w:rsidRPr="005014F6">
        <w:t>over is not permitted</w:t>
      </w:r>
      <w:bookmarkEnd w:id="18"/>
    </w:p>
    <w:p w:rsidR="00A12E31" w:rsidRPr="005014F6" w:rsidRDefault="00D0207C" w:rsidP="00A12E31">
      <w:pPr>
        <w:pStyle w:val="subsection"/>
      </w:pPr>
      <w:r w:rsidRPr="005014F6">
        <w:tab/>
      </w:r>
      <w:r w:rsidR="00C07B5C" w:rsidRPr="005014F6">
        <w:t>(1)</w:t>
      </w:r>
      <w:r w:rsidR="00A12E31" w:rsidRPr="005014F6">
        <w:tab/>
        <w:t xml:space="preserve">For </w:t>
      </w:r>
      <w:r w:rsidR="00B36B51" w:rsidRPr="005014F6">
        <w:t>paragraph</w:t>
      </w:r>
      <w:r w:rsidR="005014F6" w:rsidRPr="005014F6">
        <w:t> </w:t>
      </w:r>
      <w:r w:rsidR="00A12E31" w:rsidRPr="005014F6">
        <w:t>40(2)</w:t>
      </w:r>
      <w:r w:rsidR="00B36B51" w:rsidRPr="005014F6">
        <w:t>(a)</w:t>
      </w:r>
      <w:r w:rsidR="00A12E31" w:rsidRPr="005014F6">
        <w:t xml:space="preserve"> of the Act, carry</w:t>
      </w:r>
      <w:r w:rsidR="005014F6">
        <w:noBreakHyphen/>
      </w:r>
      <w:r w:rsidR="00A12E31" w:rsidRPr="005014F6">
        <w:t xml:space="preserve">over to the second commitment period is not permitted for the following </w:t>
      </w:r>
      <w:r w:rsidR="00CD0B9C" w:rsidRPr="005014F6">
        <w:t xml:space="preserve">Kyoto </w:t>
      </w:r>
      <w:r w:rsidR="00A12E31" w:rsidRPr="005014F6">
        <w:t>units:</w:t>
      </w:r>
    </w:p>
    <w:p w:rsidR="00E02835" w:rsidRPr="005014F6" w:rsidRDefault="00E02835" w:rsidP="00E02835">
      <w:pPr>
        <w:pStyle w:val="paragraph"/>
      </w:pPr>
      <w:r w:rsidRPr="005014F6">
        <w:tab/>
        <w:t>(a)</w:t>
      </w:r>
      <w:r w:rsidRPr="005014F6">
        <w:tab/>
        <w:t>unit</w:t>
      </w:r>
      <w:r w:rsidR="00B36B51" w:rsidRPr="005014F6">
        <w:t>s</w:t>
      </w:r>
      <w:r w:rsidRPr="005014F6">
        <w:t xml:space="preserve"> </w:t>
      </w:r>
      <w:r w:rsidR="009220F6" w:rsidRPr="005014F6">
        <w:t xml:space="preserve">held </w:t>
      </w:r>
      <w:r w:rsidRPr="005014F6">
        <w:t xml:space="preserve">in </w:t>
      </w:r>
      <w:r w:rsidR="000271C3" w:rsidRPr="005014F6">
        <w:t xml:space="preserve">Registry </w:t>
      </w:r>
      <w:r w:rsidRPr="005014F6">
        <w:t>account</w:t>
      </w:r>
      <w:r w:rsidR="00B36B51" w:rsidRPr="005014F6">
        <w:t>s</w:t>
      </w:r>
      <w:r w:rsidRPr="005014F6">
        <w:t xml:space="preserve"> </w:t>
      </w:r>
      <w:r w:rsidR="00B36B51" w:rsidRPr="005014F6">
        <w:t>other than</w:t>
      </w:r>
      <w:r w:rsidRPr="005014F6">
        <w:t xml:space="preserve"> </w:t>
      </w:r>
      <w:r w:rsidR="00BD608A" w:rsidRPr="005014F6">
        <w:t>the</w:t>
      </w:r>
      <w:r w:rsidRPr="005014F6">
        <w:t xml:space="preserve"> Commonwealth </w:t>
      </w:r>
      <w:r w:rsidR="00BD608A" w:rsidRPr="005014F6">
        <w:t xml:space="preserve">holding </w:t>
      </w:r>
      <w:r w:rsidRPr="005014F6">
        <w:t>account</w:t>
      </w:r>
      <w:r w:rsidR="00BD608A" w:rsidRPr="005014F6">
        <w:t>;</w:t>
      </w:r>
    </w:p>
    <w:p w:rsidR="00A12E31" w:rsidRPr="005014F6" w:rsidRDefault="00A12E31" w:rsidP="00A12E31">
      <w:pPr>
        <w:pStyle w:val="paragraph"/>
      </w:pPr>
      <w:r w:rsidRPr="005014F6">
        <w:tab/>
        <w:t>(</w:t>
      </w:r>
      <w:r w:rsidR="00B36B51" w:rsidRPr="005014F6">
        <w:t>b</w:t>
      </w:r>
      <w:r w:rsidRPr="005014F6">
        <w:t>)</w:t>
      </w:r>
      <w:r w:rsidRPr="005014F6">
        <w:tab/>
        <w:t>removal units;</w:t>
      </w:r>
    </w:p>
    <w:p w:rsidR="00A12E31" w:rsidRPr="005014F6" w:rsidRDefault="00A12E31" w:rsidP="00A12E31">
      <w:pPr>
        <w:pStyle w:val="paragraph"/>
      </w:pPr>
      <w:r w:rsidRPr="005014F6">
        <w:tab/>
        <w:t>(</w:t>
      </w:r>
      <w:r w:rsidR="00B36B51" w:rsidRPr="005014F6">
        <w:t>c</w:t>
      </w:r>
      <w:r w:rsidRPr="005014F6">
        <w:t>)</w:t>
      </w:r>
      <w:r w:rsidRPr="005014F6">
        <w:tab/>
        <w:t>temporary certified emission reductions;</w:t>
      </w:r>
    </w:p>
    <w:p w:rsidR="00A12E31" w:rsidRPr="005014F6" w:rsidRDefault="00A12E31" w:rsidP="00A12E31">
      <w:pPr>
        <w:pStyle w:val="paragraph"/>
      </w:pPr>
      <w:r w:rsidRPr="005014F6">
        <w:tab/>
        <w:t>(</w:t>
      </w:r>
      <w:r w:rsidR="00B36B51" w:rsidRPr="005014F6">
        <w:t>d</w:t>
      </w:r>
      <w:r w:rsidRPr="005014F6">
        <w:t>)</w:t>
      </w:r>
      <w:r w:rsidRPr="005014F6">
        <w:tab/>
        <w:t>long</w:t>
      </w:r>
      <w:r w:rsidR="005014F6">
        <w:noBreakHyphen/>
      </w:r>
      <w:r w:rsidRPr="005014F6">
        <w:t>term certified emission reductions;</w:t>
      </w:r>
    </w:p>
    <w:p w:rsidR="00A12E31" w:rsidRPr="005014F6" w:rsidRDefault="00A12E31" w:rsidP="00A12E31">
      <w:pPr>
        <w:pStyle w:val="paragraph"/>
      </w:pPr>
      <w:r w:rsidRPr="005014F6">
        <w:tab/>
        <w:t>(</w:t>
      </w:r>
      <w:r w:rsidR="00B36B51" w:rsidRPr="005014F6">
        <w:t>e</w:t>
      </w:r>
      <w:r w:rsidRPr="005014F6">
        <w:t>)</w:t>
      </w:r>
      <w:r w:rsidRPr="005014F6">
        <w:tab/>
        <w:t xml:space="preserve">emission reduction units </w:t>
      </w:r>
      <w:r w:rsidR="00DC5365" w:rsidRPr="005014F6">
        <w:t>that have been converted from removal units</w:t>
      </w:r>
      <w:r w:rsidRPr="005014F6">
        <w:t>.</w:t>
      </w:r>
    </w:p>
    <w:p w:rsidR="00C07B5C" w:rsidRPr="005014F6" w:rsidRDefault="00C07B5C" w:rsidP="00C07B5C">
      <w:pPr>
        <w:pStyle w:val="subsection"/>
      </w:pPr>
      <w:r w:rsidRPr="005014F6">
        <w:tab/>
        <w:t>(2)</w:t>
      </w:r>
      <w:r w:rsidRPr="005014F6">
        <w:tab/>
        <w:t>For paragraph</w:t>
      </w:r>
      <w:r w:rsidR="005014F6" w:rsidRPr="005014F6">
        <w:t> </w:t>
      </w:r>
      <w:r w:rsidRPr="005014F6">
        <w:t xml:space="preserve">40(2)(b) of the Act, the Regulator must, as soon as practicable after the end of the </w:t>
      </w:r>
      <w:r w:rsidR="004A3491" w:rsidRPr="005014F6">
        <w:t xml:space="preserve">additional period for fulfilling commitments </w:t>
      </w:r>
      <w:r w:rsidRPr="005014F6">
        <w:t>for the first commitment period, transfer to the mandatory cancellation account for the first commitment period any Kyoto units that:</w:t>
      </w:r>
    </w:p>
    <w:p w:rsidR="00C07B5C" w:rsidRPr="005014F6" w:rsidRDefault="00C07B5C" w:rsidP="00C07B5C">
      <w:pPr>
        <w:pStyle w:val="paragraph"/>
      </w:pPr>
      <w:r w:rsidRPr="005014F6">
        <w:tab/>
        <w:t>(a)</w:t>
      </w:r>
      <w:r w:rsidRPr="005014F6">
        <w:tab/>
        <w:t>are held in a Registry account</w:t>
      </w:r>
      <w:r w:rsidR="000271C3" w:rsidRPr="005014F6">
        <w:t>,</w:t>
      </w:r>
      <w:r w:rsidR="00B808D3" w:rsidRPr="005014F6">
        <w:t xml:space="preserve"> other than a Registry account referred to in regulation</w:t>
      </w:r>
      <w:r w:rsidR="005014F6" w:rsidRPr="005014F6">
        <w:t> </w:t>
      </w:r>
      <w:r w:rsidR="00B808D3" w:rsidRPr="005014F6">
        <w:t>24</w:t>
      </w:r>
      <w:r w:rsidR="00585515" w:rsidRPr="005014F6">
        <w:t xml:space="preserve"> or a Registry account opened in accordance with regulation</w:t>
      </w:r>
      <w:r w:rsidR="005014F6" w:rsidRPr="005014F6">
        <w:t> </w:t>
      </w:r>
      <w:r w:rsidR="00585515" w:rsidRPr="005014F6">
        <w:t>25</w:t>
      </w:r>
      <w:r w:rsidRPr="005014F6">
        <w:t>; and</w:t>
      </w:r>
    </w:p>
    <w:p w:rsidR="00163BE3" w:rsidRPr="005014F6" w:rsidRDefault="00C07B5C" w:rsidP="00C07B5C">
      <w:pPr>
        <w:pStyle w:val="paragraph"/>
      </w:pPr>
      <w:r w:rsidRPr="005014F6">
        <w:tab/>
        <w:t>(b)</w:t>
      </w:r>
      <w:r w:rsidRPr="005014F6">
        <w:tab/>
        <w:t>are Kyoto units for which carry</w:t>
      </w:r>
      <w:r w:rsidR="005014F6">
        <w:noBreakHyphen/>
      </w:r>
      <w:r w:rsidRPr="005014F6">
        <w:t xml:space="preserve">over to the second commitment period is not permitted under </w:t>
      </w:r>
      <w:proofErr w:type="spellStart"/>
      <w:r w:rsidRPr="005014F6">
        <w:t>subregulation</w:t>
      </w:r>
      <w:proofErr w:type="spellEnd"/>
      <w:r w:rsidR="005014F6" w:rsidRPr="005014F6">
        <w:t> </w:t>
      </w:r>
      <w:r w:rsidRPr="005014F6">
        <w:t>(1).</w:t>
      </w:r>
    </w:p>
    <w:sectPr w:rsidR="00163BE3" w:rsidRPr="005014F6" w:rsidSect="00DB41B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34" w:rsidRDefault="00BF0634" w:rsidP="0048364F">
      <w:pPr>
        <w:spacing w:line="240" w:lineRule="auto"/>
      </w:pPr>
      <w:r>
        <w:separator/>
      </w:r>
    </w:p>
  </w:endnote>
  <w:endnote w:type="continuationSeparator" w:id="0">
    <w:p w:rsidR="00BF0634" w:rsidRDefault="00BF063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DB41B0" w:rsidRDefault="00BF0634" w:rsidP="00DB41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41B0">
      <w:rPr>
        <w:i/>
        <w:sz w:val="18"/>
      </w:rPr>
      <w:t xml:space="preserve"> </w:t>
    </w:r>
    <w:r w:rsidR="00DB41B0" w:rsidRPr="00DB41B0">
      <w:rPr>
        <w:i/>
        <w:sz w:val="18"/>
      </w:rPr>
      <w:t>OPC61024 -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B0" w:rsidRDefault="00DB41B0" w:rsidP="00DB41B0">
    <w:pPr>
      <w:pStyle w:val="Footer"/>
    </w:pPr>
    <w:r w:rsidRPr="00DB41B0">
      <w:rPr>
        <w:i/>
        <w:sz w:val="18"/>
      </w:rPr>
      <w:t>OPC61024 -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DB41B0" w:rsidRDefault="00BF0634" w:rsidP="00486382">
    <w:pPr>
      <w:pStyle w:val="Footer"/>
      <w:rPr>
        <w:sz w:val="18"/>
      </w:rPr>
    </w:pPr>
  </w:p>
  <w:p w:rsidR="00BF0634" w:rsidRPr="00DB41B0" w:rsidRDefault="00DB41B0" w:rsidP="00DB41B0">
    <w:pPr>
      <w:pStyle w:val="Footer"/>
      <w:rPr>
        <w:sz w:val="18"/>
      </w:rPr>
    </w:pPr>
    <w:r w:rsidRPr="00DB41B0">
      <w:rPr>
        <w:i/>
        <w:sz w:val="18"/>
      </w:rPr>
      <w:t>OPC61024 -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DB41B0" w:rsidRDefault="00BF0634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F0634" w:rsidRPr="00DB41B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634" w:rsidRPr="00DB41B0" w:rsidRDefault="00BF0634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B41B0">
            <w:rPr>
              <w:rFonts w:cs="Times New Roman"/>
              <w:i/>
              <w:sz w:val="18"/>
            </w:rPr>
            <w:fldChar w:fldCharType="begin"/>
          </w:r>
          <w:r w:rsidRPr="00DB41B0">
            <w:rPr>
              <w:rFonts w:cs="Times New Roman"/>
              <w:i/>
              <w:sz w:val="18"/>
            </w:rPr>
            <w:instrText xml:space="preserve"> PAGE </w:instrText>
          </w:r>
          <w:r w:rsidRPr="00DB41B0">
            <w:rPr>
              <w:rFonts w:cs="Times New Roman"/>
              <w:i/>
              <w:sz w:val="18"/>
            </w:rPr>
            <w:fldChar w:fldCharType="separate"/>
          </w:r>
          <w:r w:rsidR="008C7563">
            <w:rPr>
              <w:rFonts w:cs="Times New Roman"/>
              <w:i/>
              <w:noProof/>
              <w:sz w:val="18"/>
            </w:rPr>
            <w:t>ii</w:t>
          </w:r>
          <w:r w:rsidRPr="00DB41B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634" w:rsidRPr="00DB41B0" w:rsidRDefault="00BF0634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41B0">
            <w:rPr>
              <w:rFonts w:cs="Times New Roman"/>
              <w:i/>
              <w:sz w:val="18"/>
            </w:rPr>
            <w:fldChar w:fldCharType="begin"/>
          </w:r>
          <w:r w:rsidRPr="00DB41B0">
            <w:rPr>
              <w:rFonts w:cs="Times New Roman"/>
              <w:i/>
              <w:sz w:val="18"/>
            </w:rPr>
            <w:instrText xml:space="preserve"> DOCPROPERTY ShortT </w:instrText>
          </w:r>
          <w:r w:rsidRPr="00DB41B0">
            <w:rPr>
              <w:rFonts w:cs="Times New Roman"/>
              <w:i/>
              <w:sz w:val="18"/>
            </w:rPr>
            <w:fldChar w:fldCharType="separate"/>
          </w:r>
          <w:r w:rsidR="000A5AFC">
            <w:rPr>
              <w:rFonts w:cs="Times New Roman"/>
              <w:i/>
              <w:sz w:val="18"/>
            </w:rPr>
            <w:t>Australian National Registry of Emissions Units Amendment (Carry</w:t>
          </w:r>
          <w:r w:rsidR="000A5AFC">
            <w:rPr>
              <w:rFonts w:cs="Times New Roman"/>
              <w:i/>
              <w:sz w:val="18"/>
            </w:rPr>
            <w:noBreakHyphen/>
            <w:t>Over) Regulation 2015</w:t>
          </w:r>
          <w:r w:rsidRPr="00DB41B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634" w:rsidRPr="00DB41B0" w:rsidRDefault="00BF0634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B41B0">
            <w:rPr>
              <w:rFonts w:cs="Times New Roman"/>
              <w:i/>
              <w:sz w:val="18"/>
            </w:rPr>
            <w:fldChar w:fldCharType="begin"/>
          </w:r>
          <w:r w:rsidRPr="00DB41B0">
            <w:rPr>
              <w:rFonts w:cs="Times New Roman"/>
              <w:i/>
              <w:sz w:val="18"/>
            </w:rPr>
            <w:instrText xml:space="preserve"> DOCPROPERTY ActNo </w:instrText>
          </w:r>
          <w:r w:rsidRPr="00DB41B0">
            <w:rPr>
              <w:rFonts w:cs="Times New Roman"/>
              <w:i/>
              <w:sz w:val="18"/>
            </w:rPr>
            <w:fldChar w:fldCharType="separate"/>
          </w:r>
          <w:r w:rsidR="000A5AFC">
            <w:rPr>
              <w:rFonts w:cs="Times New Roman"/>
              <w:i/>
              <w:sz w:val="18"/>
            </w:rPr>
            <w:t>No. 168, 2015</w:t>
          </w:r>
          <w:r w:rsidRPr="00DB41B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F0634" w:rsidRPr="00DB41B0" w:rsidRDefault="00DB41B0" w:rsidP="00DB41B0">
    <w:pPr>
      <w:rPr>
        <w:rFonts w:cs="Times New Roman"/>
        <w:i/>
        <w:sz w:val="18"/>
      </w:rPr>
    </w:pPr>
    <w:r w:rsidRPr="00DB41B0">
      <w:rPr>
        <w:rFonts w:cs="Times New Roman"/>
        <w:i/>
        <w:sz w:val="18"/>
      </w:rPr>
      <w:t>OPC61024 -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E33C1C" w:rsidRDefault="00BF0634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F0634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A5AFC">
            <w:rPr>
              <w:i/>
              <w:sz w:val="18"/>
            </w:rPr>
            <w:t>No. 168,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AFC">
            <w:rPr>
              <w:i/>
              <w:sz w:val="18"/>
            </w:rPr>
            <w:t>Australian National Registry of Emissions Units Amendment (Carry</w:t>
          </w:r>
          <w:r w:rsidR="000A5AFC">
            <w:rPr>
              <w:i/>
              <w:sz w:val="18"/>
            </w:rPr>
            <w:noBreakHyphen/>
            <w:t>Over)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0B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F0634" w:rsidRPr="00ED79B6" w:rsidRDefault="00DB41B0" w:rsidP="00DB41B0">
    <w:pPr>
      <w:rPr>
        <w:i/>
        <w:sz w:val="18"/>
      </w:rPr>
    </w:pPr>
    <w:r w:rsidRPr="00DB41B0">
      <w:rPr>
        <w:rFonts w:cs="Times New Roman"/>
        <w:i/>
        <w:sz w:val="18"/>
      </w:rPr>
      <w:t>OPC61024 -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DB41B0" w:rsidRDefault="00BF0634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F0634" w:rsidRPr="00DB41B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634" w:rsidRPr="00DB41B0" w:rsidRDefault="00BF0634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B41B0">
            <w:rPr>
              <w:rFonts w:cs="Times New Roman"/>
              <w:i/>
              <w:sz w:val="18"/>
            </w:rPr>
            <w:fldChar w:fldCharType="begin"/>
          </w:r>
          <w:r w:rsidRPr="00DB41B0">
            <w:rPr>
              <w:rFonts w:cs="Times New Roman"/>
              <w:i/>
              <w:sz w:val="18"/>
            </w:rPr>
            <w:instrText xml:space="preserve"> PAGE </w:instrText>
          </w:r>
          <w:r w:rsidRPr="00DB41B0">
            <w:rPr>
              <w:rFonts w:cs="Times New Roman"/>
              <w:i/>
              <w:sz w:val="18"/>
            </w:rPr>
            <w:fldChar w:fldCharType="separate"/>
          </w:r>
          <w:r w:rsidR="00760B32">
            <w:rPr>
              <w:rFonts w:cs="Times New Roman"/>
              <w:i/>
              <w:noProof/>
              <w:sz w:val="18"/>
            </w:rPr>
            <w:t>4</w:t>
          </w:r>
          <w:r w:rsidRPr="00DB41B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634" w:rsidRPr="00DB41B0" w:rsidRDefault="00BF0634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41B0">
            <w:rPr>
              <w:rFonts w:cs="Times New Roman"/>
              <w:i/>
              <w:sz w:val="18"/>
            </w:rPr>
            <w:fldChar w:fldCharType="begin"/>
          </w:r>
          <w:r w:rsidRPr="00DB41B0">
            <w:rPr>
              <w:rFonts w:cs="Times New Roman"/>
              <w:i/>
              <w:sz w:val="18"/>
            </w:rPr>
            <w:instrText xml:space="preserve"> DOCPROPERTY ShortT </w:instrText>
          </w:r>
          <w:r w:rsidRPr="00DB41B0">
            <w:rPr>
              <w:rFonts w:cs="Times New Roman"/>
              <w:i/>
              <w:sz w:val="18"/>
            </w:rPr>
            <w:fldChar w:fldCharType="separate"/>
          </w:r>
          <w:r w:rsidR="000A5AFC">
            <w:rPr>
              <w:rFonts w:cs="Times New Roman"/>
              <w:i/>
              <w:sz w:val="18"/>
            </w:rPr>
            <w:t>Australian National Registry of Emissions Units Amendment (Carry</w:t>
          </w:r>
          <w:r w:rsidR="000A5AFC">
            <w:rPr>
              <w:rFonts w:cs="Times New Roman"/>
              <w:i/>
              <w:sz w:val="18"/>
            </w:rPr>
            <w:noBreakHyphen/>
            <w:t>Over) Regulation 2015</w:t>
          </w:r>
          <w:r w:rsidRPr="00DB41B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634" w:rsidRPr="00DB41B0" w:rsidRDefault="00BF0634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B41B0">
            <w:rPr>
              <w:rFonts w:cs="Times New Roman"/>
              <w:i/>
              <w:sz w:val="18"/>
            </w:rPr>
            <w:fldChar w:fldCharType="begin"/>
          </w:r>
          <w:r w:rsidRPr="00DB41B0">
            <w:rPr>
              <w:rFonts w:cs="Times New Roman"/>
              <w:i/>
              <w:sz w:val="18"/>
            </w:rPr>
            <w:instrText xml:space="preserve"> DOCPROPERTY ActNo </w:instrText>
          </w:r>
          <w:r w:rsidRPr="00DB41B0">
            <w:rPr>
              <w:rFonts w:cs="Times New Roman"/>
              <w:i/>
              <w:sz w:val="18"/>
            </w:rPr>
            <w:fldChar w:fldCharType="separate"/>
          </w:r>
          <w:r w:rsidR="000A5AFC">
            <w:rPr>
              <w:rFonts w:cs="Times New Roman"/>
              <w:i/>
              <w:sz w:val="18"/>
            </w:rPr>
            <w:t>No. 168, 2015</w:t>
          </w:r>
          <w:r w:rsidRPr="00DB41B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F0634" w:rsidRPr="00DB41B0" w:rsidRDefault="00DB41B0" w:rsidP="00DB41B0">
    <w:pPr>
      <w:rPr>
        <w:rFonts w:cs="Times New Roman"/>
        <w:i/>
        <w:sz w:val="18"/>
      </w:rPr>
    </w:pPr>
    <w:r w:rsidRPr="00DB41B0">
      <w:rPr>
        <w:rFonts w:cs="Times New Roman"/>
        <w:i/>
        <w:sz w:val="18"/>
      </w:rPr>
      <w:t>OPC61024 -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E33C1C" w:rsidRDefault="00BF0634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F0634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A5AFC">
            <w:rPr>
              <w:i/>
              <w:sz w:val="18"/>
            </w:rPr>
            <w:t>No. 168,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AFC">
            <w:rPr>
              <w:i/>
              <w:sz w:val="18"/>
            </w:rPr>
            <w:t>Australian National Registry of Emissions Units Amendment (Carry</w:t>
          </w:r>
          <w:r w:rsidR="000A5AFC">
            <w:rPr>
              <w:i/>
              <w:sz w:val="18"/>
            </w:rPr>
            <w:noBreakHyphen/>
            <w:t>Over)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0B3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F0634" w:rsidRPr="00ED79B6" w:rsidRDefault="00DB41B0" w:rsidP="00DB41B0">
    <w:pPr>
      <w:rPr>
        <w:i/>
        <w:sz w:val="18"/>
      </w:rPr>
    </w:pPr>
    <w:r w:rsidRPr="00DB41B0">
      <w:rPr>
        <w:rFonts w:cs="Times New Roman"/>
        <w:i/>
        <w:sz w:val="18"/>
      </w:rPr>
      <w:t>OPC61024 -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E33C1C" w:rsidRDefault="00BF0634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F0634" w:rsidTr="005349F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5349F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A5AFC">
            <w:rPr>
              <w:i/>
              <w:sz w:val="18"/>
            </w:rPr>
            <w:t>No. 168,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5349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AFC">
            <w:rPr>
              <w:i/>
              <w:sz w:val="18"/>
            </w:rPr>
            <w:t>Australian National Registry of Emissions Units Amendment (Carry</w:t>
          </w:r>
          <w:r w:rsidR="000A5AFC">
            <w:rPr>
              <w:i/>
              <w:sz w:val="18"/>
            </w:rPr>
            <w:noBreakHyphen/>
            <w:t>Over)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634" w:rsidRDefault="00BF0634" w:rsidP="005349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756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F0634" w:rsidRPr="00ED79B6" w:rsidRDefault="00BF0634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34" w:rsidRDefault="00BF0634" w:rsidP="0048364F">
      <w:pPr>
        <w:spacing w:line="240" w:lineRule="auto"/>
      </w:pPr>
      <w:r>
        <w:separator/>
      </w:r>
    </w:p>
  </w:footnote>
  <w:footnote w:type="continuationSeparator" w:id="0">
    <w:p w:rsidR="00BF0634" w:rsidRDefault="00BF063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5F1388" w:rsidRDefault="00BF063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5F1388" w:rsidRDefault="00BF063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5F1388" w:rsidRDefault="00BF063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ED79B6" w:rsidRDefault="00BF0634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ED79B6" w:rsidRDefault="00BF0634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ED79B6" w:rsidRDefault="00BF063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A961C4" w:rsidRDefault="00BF0634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60B3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60B32">
      <w:rPr>
        <w:noProof/>
        <w:sz w:val="20"/>
      </w:rPr>
      <w:t>Amendments</w:t>
    </w:r>
    <w:r>
      <w:rPr>
        <w:sz w:val="20"/>
      </w:rPr>
      <w:fldChar w:fldCharType="end"/>
    </w:r>
  </w:p>
  <w:p w:rsidR="00BF0634" w:rsidRPr="00A961C4" w:rsidRDefault="00BF0634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F0634" w:rsidRPr="00A961C4" w:rsidRDefault="00BF0634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A961C4" w:rsidRDefault="00BF0634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F0634" w:rsidRPr="00A961C4" w:rsidRDefault="00BF0634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F0634" w:rsidRPr="00A961C4" w:rsidRDefault="00BF0634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34" w:rsidRPr="00A961C4" w:rsidRDefault="00BF0634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F"/>
    <w:rsid w:val="000041C6"/>
    <w:rsid w:val="000063E4"/>
    <w:rsid w:val="00006DB5"/>
    <w:rsid w:val="00011222"/>
    <w:rsid w:val="000113BC"/>
    <w:rsid w:val="000136AF"/>
    <w:rsid w:val="00025060"/>
    <w:rsid w:val="000271C3"/>
    <w:rsid w:val="000327EE"/>
    <w:rsid w:val="0004044E"/>
    <w:rsid w:val="00050968"/>
    <w:rsid w:val="000614BF"/>
    <w:rsid w:val="00080AEA"/>
    <w:rsid w:val="000A5AFC"/>
    <w:rsid w:val="000A7D00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3BE3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1DFA"/>
    <w:rsid w:val="00231427"/>
    <w:rsid w:val="00240749"/>
    <w:rsid w:val="00265FBC"/>
    <w:rsid w:val="00266D05"/>
    <w:rsid w:val="0028093D"/>
    <w:rsid w:val="002833F1"/>
    <w:rsid w:val="002932B1"/>
    <w:rsid w:val="002953E1"/>
    <w:rsid w:val="00295408"/>
    <w:rsid w:val="002968B2"/>
    <w:rsid w:val="00297ECB"/>
    <w:rsid w:val="002A0427"/>
    <w:rsid w:val="002A0FFD"/>
    <w:rsid w:val="002B2731"/>
    <w:rsid w:val="002B53FF"/>
    <w:rsid w:val="002B5B89"/>
    <w:rsid w:val="002B7D96"/>
    <w:rsid w:val="002D043A"/>
    <w:rsid w:val="00304E75"/>
    <w:rsid w:val="003072FA"/>
    <w:rsid w:val="0031713F"/>
    <w:rsid w:val="003366E6"/>
    <w:rsid w:val="003413B0"/>
    <w:rsid w:val="003415D3"/>
    <w:rsid w:val="00352B0F"/>
    <w:rsid w:val="00360783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27D9"/>
    <w:rsid w:val="003E5FF5"/>
    <w:rsid w:val="003F4CA9"/>
    <w:rsid w:val="003F567B"/>
    <w:rsid w:val="004010E7"/>
    <w:rsid w:val="00401403"/>
    <w:rsid w:val="0041163C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A3491"/>
    <w:rsid w:val="004C0255"/>
    <w:rsid w:val="004C5B5A"/>
    <w:rsid w:val="004C6444"/>
    <w:rsid w:val="004C6DE1"/>
    <w:rsid w:val="004D1C31"/>
    <w:rsid w:val="004F1FAC"/>
    <w:rsid w:val="004F3A90"/>
    <w:rsid w:val="004F5FA0"/>
    <w:rsid w:val="004F676E"/>
    <w:rsid w:val="005014F6"/>
    <w:rsid w:val="00514ED5"/>
    <w:rsid w:val="00516B8D"/>
    <w:rsid w:val="00520A1E"/>
    <w:rsid w:val="005349F6"/>
    <w:rsid w:val="00537FBC"/>
    <w:rsid w:val="00540221"/>
    <w:rsid w:val="00543469"/>
    <w:rsid w:val="00554CE6"/>
    <w:rsid w:val="00557C7A"/>
    <w:rsid w:val="00584811"/>
    <w:rsid w:val="005851A5"/>
    <w:rsid w:val="00585515"/>
    <w:rsid w:val="0058646E"/>
    <w:rsid w:val="00587A97"/>
    <w:rsid w:val="00591E07"/>
    <w:rsid w:val="00593AA6"/>
    <w:rsid w:val="00594161"/>
    <w:rsid w:val="00594749"/>
    <w:rsid w:val="005B4067"/>
    <w:rsid w:val="005C12DE"/>
    <w:rsid w:val="005C3F41"/>
    <w:rsid w:val="005D0115"/>
    <w:rsid w:val="005D6FD7"/>
    <w:rsid w:val="005E21A4"/>
    <w:rsid w:val="005E552A"/>
    <w:rsid w:val="00600219"/>
    <w:rsid w:val="006135D5"/>
    <w:rsid w:val="006141EE"/>
    <w:rsid w:val="006176B1"/>
    <w:rsid w:val="006249E6"/>
    <w:rsid w:val="00630733"/>
    <w:rsid w:val="0064468A"/>
    <w:rsid w:val="00654CCA"/>
    <w:rsid w:val="00656DE9"/>
    <w:rsid w:val="00663BDD"/>
    <w:rsid w:val="0066559E"/>
    <w:rsid w:val="00677CC2"/>
    <w:rsid w:val="00680F17"/>
    <w:rsid w:val="00685F42"/>
    <w:rsid w:val="0069207B"/>
    <w:rsid w:val="006937E2"/>
    <w:rsid w:val="0069392E"/>
    <w:rsid w:val="006977FB"/>
    <w:rsid w:val="006B262A"/>
    <w:rsid w:val="006B46B6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57D9"/>
    <w:rsid w:val="00721F8F"/>
    <w:rsid w:val="00722023"/>
    <w:rsid w:val="00726E3A"/>
    <w:rsid w:val="00731E00"/>
    <w:rsid w:val="00736DFE"/>
    <w:rsid w:val="007402DB"/>
    <w:rsid w:val="007440B7"/>
    <w:rsid w:val="00750AFE"/>
    <w:rsid w:val="00760B32"/>
    <w:rsid w:val="007634AD"/>
    <w:rsid w:val="007715C9"/>
    <w:rsid w:val="00774EDD"/>
    <w:rsid w:val="007757EC"/>
    <w:rsid w:val="007769D4"/>
    <w:rsid w:val="007771A3"/>
    <w:rsid w:val="00785AFA"/>
    <w:rsid w:val="007903AC"/>
    <w:rsid w:val="007A7F9F"/>
    <w:rsid w:val="007E7D4A"/>
    <w:rsid w:val="00811F50"/>
    <w:rsid w:val="00826DA5"/>
    <w:rsid w:val="00831DF8"/>
    <w:rsid w:val="00833416"/>
    <w:rsid w:val="0085017F"/>
    <w:rsid w:val="00856A31"/>
    <w:rsid w:val="00874B69"/>
    <w:rsid w:val="008754D0"/>
    <w:rsid w:val="00877D48"/>
    <w:rsid w:val="00880795"/>
    <w:rsid w:val="008920A4"/>
    <w:rsid w:val="0089783B"/>
    <w:rsid w:val="008C13B3"/>
    <w:rsid w:val="008C7563"/>
    <w:rsid w:val="008D0116"/>
    <w:rsid w:val="008D0EE0"/>
    <w:rsid w:val="008F07E3"/>
    <w:rsid w:val="008F4F1C"/>
    <w:rsid w:val="00907271"/>
    <w:rsid w:val="009220F6"/>
    <w:rsid w:val="00932377"/>
    <w:rsid w:val="00932A33"/>
    <w:rsid w:val="009848EC"/>
    <w:rsid w:val="009A305F"/>
    <w:rsid w:val="009B3629"/>
    <w:rsid w:val="009C16BA"/>
    <w:rsid w:val="009C49D8"/>
    <w:rsid w:val="009D3807"/>
    <w:rsid w:val="009E21D5"/>
    <w:rsid w:val="009E3601"/>
    <w:rsid w:val="009F727E"/>
    <w:rsid w:val="00A1027A"/>
    <w:rsid w:val="00A12E31"/>
    <w:rsid w:val="00A17E8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2F6"/>
    <w:rsid w:val="00A70A74"/>
    <w:rsid w:val="00A71C4E"/>
    <w:rsid w:val="00A87AB9"/>
    <w:rsid w:val="00A953E6"/>
    <w:rsid w:val="00A9579E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14459"/>
    <w:rsid w:val="00B15A2A"/>
    <w:rsid w:val="00B332B8"/>
    <w:rsid w:val="00B33B3C"/>
    <w:rsid w:val="00B36B51"/>
    <w:rsid w:val="00B427D0"/>
    <w:rsid w:val="00B44657"/>
    <w:rsid w:val="00B61D2C"/>
    <w:rsid w:val="00B63BDE"/>
    <w:rsid w:val="00B808D3"/>
    <w:rsid w:val="00BA5026"/>
    <w:rsid w:val="00BB6E79"/>
    <w:rsid w:val="00BC4F91"/>
    <w:rsid w:val="00BD608A"/>
    <w:rsid w:val="00BD60E6"/>
    <w:rsid w:val="00BD69DC"/>
    <w:rsid w:val="00BE253A"/>
    <w:rsid w:val="00BE719A"/>
    <w:rsid w:val="00BE720A"/>
    <w:rsid w:val="00BF0634"/>
    <w:rsid w:val="00BF4533"/>
    <w:rsid w:val="00C067E5"/>
    <w:rsid w:val="00C07B5C"/>
    <w:rsid w:val="00C10D38"/>
    <w:rsid w:val="00C15528"/>
    <w:rsid w:val="00C164CA"/>
    <w:rsid w:val="00C21B63"/>
    <w:rsid w:val="00C27902"/>
    <w:rsid w:val="00C42BF8"/>
    <w:rsid w:val="00C460AE"/>
    <w:rsid w:val="00C50043"/>
    <w:rsid w:val="00C63713"/>
    <w:rsid w:val="00C6410E"/>
    <w:rsid w:val="00C65AEE"/>
    <w:rsid w:val="00C7573B"/>
    <w:rsid w:val="00C76CF3"/>
    <w:rsid w:val="00C77E30"/>
    <w:rsid w:val="00C814F5"/>
    <w:rsid w:val="00CB0180"/>
    <w:rsid w:val="00CB3470"/>
    <w:rsid w:val="00CB39A3"/>
    <w:rsid w:val="00CD0B9C"/>
    <w:rsid w:val="00CD43C6"/>
    <w:rsid w:val="00CD606E"/>
    <w:rsid w:val="00CD7ECB"/>
    <w:rsid w:val="00CF0BB2"/>
    <w:rsid w:val="00D0104A"/>
    <w:rsid w:val="00D0207C"/>
    <w:rsid w:val="00D04664"/>
    <w:rsid w:val="00D129D9"/>
    <w:rsid w:val="00D13441"/>
    <w:rsid w:val="00D17B17"/>
    <w:rsid w:val="00D243A3"/>
    <w:rsid w:val="00D333D9"/>
    <w:rsid w:val="00D33440"/>
    <w:rsid w:val="00D40403"/>
    <w:rsid w:val="00D52EFE"/>
    <w:rsid w:val="00D60DA7"/>
    <w:rsid w:val="00D63EF6"/>
    <w:rsid w:val="00D70DFB"/>
    <w:rsid w:val="00D766DF"/>
    <w:rsid w:val="00D83D21"/>
    <w:rsid w:val="00D84B58"/>
    <w:rsid w:val="00D86D15"/>
    <w:rsid w:val="00D925D1"/>
    <w:rsid w:val="00DA0FCA"/>
    <w:rsid w:val="00DB3F7E"/>
    <w:rsid w:val="00DB41B0"/>
    <w:rsid w:val="00DC5365"/>
    <w:rsid w:val="00DE2AF3"/>
    <w:rsid w:val="00E02835"/>
    <w:rsid w:val="00E05704"/>
    <w:rsid w:val="00E05C46"/>
    <w:rsid w:val="00E05F3C"/>
    <w:rsid w:val="00E22C17"/>
    <w:rsid w:val="00E30206"/>
    <w:rsid w:val="00E33C1C"/>
    <w:rsid w:val="00E443FC"/>
    <w:rsid w:val="00E45FE7"/>
    <w:rsid w:val="00E476B8"/>
    <w:rsid w:val="00E47721"/>
    <w:rsid w:val="00E54292"/>
    <w:rsid w:val="00E55BCD"/>
    <w:rsid w:val="00E73EC4"/>
    <w:rsid w:val="00E74DC7"/>
    <w:rsid w:val="00E76FAB"/>
    <w:rsid w:val="00E83E2E"/>
    <w:rsid w:val="00E84B32"/>
    <w:rsid w:val="00E85C39"/>
    <w:rsid w:val="00E87699"/>
    <w:rsid w:val="00EB2742"/>
    <w:rsid w:val="00ED3A7D"/>
    <w:rsid w:val="00EE0292"/>
    <w:rsid w:val="00EF2E3A"/>
    <w:rsid w:val="00F047E2"/>
    <w:rsid w:val="00F05080"/>
    <w:rsid w:val="00F078DC"/>
    <w:rsid w:val="00F100B5"/>
    <w:rsid w:val="00F13E86"/>
    <w:rsid w:val="00F24C35"/>
    <w:rsid w:val="00F56759"/>
    <w:rsid w:val="00F6118E"/>
    <w:rsid w:val="00F677A9"/>
    <w:rsid w:val="00F749CF"/>
    <w:rsid w:val="00F7712D"/>
    <w:rsid w:val="00F84CF5"/>
    <w:rsid w:val="00FA420B"/>
    <w:rsid w:val="00FB03B3"/>
    <w:rsid w:val="00FB07A7"/>
    <w:rsid w:val="00FB192C"/>
    <w:rsid w:val="00FD67BF"/>
    <w:rsid w:val="00FD6838"/>
    <w:rsid w:val="00FD7CFE"/>
    <w:rsid w:val="00FE0611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14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014F6"/>
  </w:style>
  <w:style w:type="paragraph" w:customStyle="1" w:styleId="OPCParaBase">
    <w:name w:val="OPCParaBase"/>
    <w:qFormat/>
    <w:rsid w:val="005014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014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014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014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014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014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014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014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014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014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014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014F6"/>
  </w:style>
  <w:style w:type="paragraph" w:customStyle="1" w:styleId="Blocks">
    <w:name w:val="Blocks"/>
    <w:aliases w:val="bb"/>
    <w:basedOn w:val="OPCParaBase"/>
    <w:qFormat/>
    <w:rsid w:val="005014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014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014F6"/>
    <w:rPr>
      <w:i/>
    </w:rPr>
  </w:style>
  <w:style w:type="paragraph" w:customStyle="1" w:styleId="BoxList">
    <w:name w:val="BoxList"/>
    <w:aliases w:val="bl"/>
    <w:basedOn w:val="BoxText"/>
    <w:qFormat/>
    <w:rsid w:val="005014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014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014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014F6"/>
    <w:pPr>
      <w:ind w:left="1985" w:hanging="851"/>
    </w:pPr>
  </w:style>
  <w:style w:type="character" w:customStyle="1" w:styleId="CharAmPartNo">
    <w:name w:val="CharAmPartNo"/>
    <w:basedOn w:val="OPCCharBase"/>
    <w:qFormat/>
    <w:rsid w:val="005014F6"/>
  </w:style>
  <w:style w:type="character" w:customStyle="1" w:styleId="CharAmPartText">
    <w:name w:val="CharAmPartText"/>
    <w:basedOn w:val="OPCCharBase"/>
    <w:qFormat/>
    <w:rsid w:val="005014F6"/>
  </w:style>
  <w:style w:type="character" w:customStyle="1" w:styleId="CharAmSchNo">
    <w:name w:val="CharAmSchNo"/>
    <w:basedOn w:val="OPCCharBase"/>
    <w:qFormat/>
    <w:rsid w:val="005014F6"/>
  </w:style>
  <w:style w:type="character" w:customStyle="1" w:styleId="CharAmSchText">
    <w:name w:val="CharAmSchText"/>
    <w:basedOn w:val="OPCCharBase"/>
    <w:qFormat/>
    <w:rsid w:val="005014F6"/>
  </w:style>
  <w:style w:type="character" w:customStyle="1" w:styleId="CharBoldItalic">
    <w:name w:val="CharBoldItalic"/>
    <w:basedOn w:val="OPCCharBase"/>
    <w:uiPriority w:val="1"/>
    <w:qFormat/>
    <w:rsid w:val="005014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014F6"/>
  </w:style>
  <w:style w:type="character" w:customStyle="1" w:styleId="CharChapText">
    <w:name w:val="CharChapText"/>
    <w:basedOn w:val="OPCCharBase"/>
    <w:uiPriority w:val="1"/>
    <w:qFormat/>
    <w:rsid w:val="005014F6"/>
  </w:style>
  <w:style w:type="character" w:customStyle="1" w:styleId="CharDivNo">
    <w:name w:val="CharDivNo"/>
    <w:basedOn w:val="OPCCharBase"/>
    <w:uiPriority w:val="1"/>
    <w:qFormat/>
    <w:rsid w:val="005014F6"/>
  </w:style>
  <w:style w:type="character" w:customStyle="1" w:styleId="CharDivText">
    <w:name w:val="CharDivText"/>
    <w:basedOn w:val="OPCCharBase"/>
    <w:uiPriority w:val="1"/>
    <w:qFormat/>
    <w:rsid w:val="005014F6"/>
  </w:style>
  <w:style w:type="character" w:customStyle="1" w:styleId="CharItalic">
    <w:name w:val="CharItalic"/>
    <w:basedOn w:val="OPCCharBase"/>
    <w:uiPriority w:val="1"/>
    <w:qFormat/>
    <w:rsid w:val="005014F6"/>
    <w:rPr>
      <w:i/>
    </w:rPr>
  </w:style>
  <w:style w:type="character" w:customStyle="1" w:styleId="CharPartNo">
    <w:name w:val="CharPartNo"/>
    <w:basedOn w:val="OPCCharBase"/>
    <w:uiPriority w:val="1"/>
    <w:qFormat/>
    <w:rsid w:val="005014F6"/>
  </w:style>
  <w:style w:type="character" w:customStyle="1" w:styleId="CharPartText">
    <w:name w:val="CharPartText"/>
    <w:basedOn w:val="OPCCharBase"/>
    <w:uiPriority w:val="1"/>
    <w:qFormat/>
    <w:rsid w:val="005014F6"/>
  </w:style>
  <w:style w:type="character" w:customStyle="1" w:styleId="CharSectno">
    <w:name w:val="CharSectno"/>
    <w:basedOn w:val="OPCCharBase"/>
    <w:qFormat/>
    <w:rsid w:val="005014F6"/>
  </w:style>
  <w:style w:type="character" w:customStyle="1" w:styleId="CharSubdNo">
    <w:name w:val="CharSubdNo"/>
    <w:basedOn w:val="OPCCharBase"/>
    <w:uiPriority w:val="1"/>
    <w:qFormat/>
    <w:rsid w:val="005014F6"/>
  </w:style>
  <w:style w:type="character" w:customStyle="1" w:styleId="CharSubdText">
    <w:name w:val="CharSubdText"/>
    <w:basedOn w:val="OPCCharBase"/>
    <w:uiPriority w:val="1"/>
    <w:qFormat/>
    <w:rsid w:val="005014F6"/>
  </w:style>
  <w:style w:type="paragraph" w:customStyle="1" w:styleId="CTA--">
    <w:name w:val="CTA --"/>
    <w:basedOn w:val="OPCParaBase"/>
    <w:next w:val="Normal"/>
    <w:rsid w:val="005014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014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014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014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014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014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014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014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014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014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014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014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014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014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014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014F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014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014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014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014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014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014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014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014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014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014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014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014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014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014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014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014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014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014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014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014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014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014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014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014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014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014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014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014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014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014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014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014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014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014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014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014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014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014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014F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014F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5014F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014F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014F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014F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014F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014F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014F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014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014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014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014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014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014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014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014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014F6"/>
    <w:rPr>
      <w:sz w:val="16"/>
    </w:rPr>
  </w:style>
  <w:style w:type="table" w:customStyle="1" w:styleId="CFlag">
    <w:name w:val="CFlag"/>
    <w:basedOn w:val="TableNormal"/>
    <w:uiPriority w:val="99"/>
    <w:rsid w:val="005014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01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14F6"/>
    <w:rPr>
      <w:color w:val="0000FF"/>
      <w:u w:val="single"/>
    </w:rPr>
  </w:style>
  <w:style w:type="table" w:styleId="TableGrid">
    <w:name w:val="Table Grid"/>
    <w:basedOn w:val="TableNormal"/>
    <w:uiPriority w:val="59"/>
    <w:rsid w:val="0050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014F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014F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014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014F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014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014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014F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014F6"/>
  </w:style>
  <w:style w:type="paragraph" w:customStyle="1" w:styleId="CompiledActNo">
    <w:name w:val="CompiledActNo"/>
    <w:basedOn w:val="OPCParaBase"/>
    <w:next w:val="Normal"/>
    <w:rsid w:val="005014F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014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014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014F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014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014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014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014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014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014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014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014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014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014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014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014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014F6"/>
  </w:style>
  <w:style w:type="character" w:customStyle="1" w:styleId="CharSubPartNoCASA">
    <w:name w:val="CharSubPartNo(CASA)"/>
    <w:basedOn w:val="OPCCharBase"/>
    <w:uiPriority w:val="1"/>
    <w:rsid w:val="005014F6"/>
  </w:style>
  <w:style w:type="paragraph" w:customStyle="1" w:styleId="ENoteTTIndentHeadingSub">
    <w:name w:val="ENoteTTIndentHeadingSub"/>
    <w:aliases w:val="enTTHis"/>
    <w:basedOn w:val="OPCParaBase"/>
    <w:rsid w:val="005014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014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014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014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014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014F6"/>
    <w:rPr>
      <w:sz w:val="22"/>
    </w:rPr>
  </w:style>
  <w:style w:type="paragraph" w:customStyle="1" w:styleId="SOTextNote">
    <w:name w:val="SO TextNote"/>
    <w:aliases w:val="sont"/>
    <w:basedOn w:val="SOText"/>
    <w:qFormat/>
    <w:rsid w:val="005014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014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014F6"/>
    <w:rPr>
      <w:sz w:val="22"/>
    </w:rPr>
  </w:style>
  <w:style w:type="paragraph" w:customStyle="1" w:styleId="FileName">
    <w:name w:val="FileName"/>
    <w:basedOn w:val="Normal"/>
    <w:rsid w:val="005014F6"/>
  </w:style>
  <w:style w:type="paragraph" w:customStyle="1" w:styleId="TableHeading">
    <w:name w:val="TableHeading"/>
    <w:aliases w:val="th"/>
    <w:basedOn w:val="OPCParaBase"/>
    <w:next w:val="Tabletext"/>
    <w:rsid w:val="005014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014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014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014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014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014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014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014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014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014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014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30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30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3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5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14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014F6"/>
  </w:style>
  <w:style w:type="paragraph" w:customStyle="1" w:styleId="OPCParaBase">
    <w:name w:val="OPCParaBase"/>
    <w:qFormat/>
    <w:rsid w:val="005014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014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014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014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014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014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014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014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014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014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014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014F6"/>
  </w:style>
  <w:style w:type="paragraph" w:customStyle="1" w:styleId="Blocks">
    <w:name w:val="Blocks"/>
    <w:aliases w:val="bb"/>
    <w:basedOn w:val="OPCParaBase"/>
    <w:qFormat/>
    <w:rsid w:val="005014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014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014F6"/>
    <w:rPr>
      <w:i/>
    </w:rPr>
  </w:style>
  <w:style w:type="paragraph" w:customStyle="1" w:styleId="BoxList">
    <w:name w:val="BoxList"/>
    <w:aliases w:val="bl"/>
    <w:basedOn w:val="BoxText"/>
    <w:qFormat/>
    <w:rsid w:val="005014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014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014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014F6"/>
    <w:pPr>
      <w:ind w:left="1985" w:hanging="851"/>
    </w:pPr>
  </w:style>
  <w:style w:type="character" w:customStyle="1" w:styleId="CharAmPartNo">
    <w:name w:val="CharAmPartNo"/>
    <w:basedOn w:val="OPCCharBase"/>
    <w:qFormat/>
    <w:rsid w:val="005014F6"/>
  </w:style>
  <w:style w:type="character" w:customStyle="1" w:styleId="CharAmPartText">
    <w:name w:val="CharAmPartText"/>
    <w:basedOn w:val="OPCCharBase"/>
    <w:qFormat/>
    <w:rsid w:val="005014F6"/>
  </w:style>
  <w:style w:type="character" w:customStyle="1" w:styleId="CharAmSchNo">
    <w:name w:val="CharAmSchNo"/>
    <w:basedOn w:val="OPCCharBase"/>
    <w:qFormat/>
    <w:rsid w:val="005014F6"/>
  </w:style>
  <w:style w:type="character" w:customStyle="1" w:styleId="CharAmSchText">
    <w:name w:val="CharAmSchText"/>
    <w:basedOn w:val="OPCCharBase"/>
    <w:qFormat/>
    <w:rsid w:val="005014F6"/>
  </w:style>
  <w:style w:type="character" w:customStyle="1" w:styleId="CharBoldItalic">
    <w:name w:val="CharBoldItalic"/>
    <w:basedOn w:val="OPCCharBase"/>
    <w:uiPriority w:val="1"/>
    <w:qFormat/>
    <w:rsid w:val="005014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014F6"/>
  </w:style>
  <w:style w:type="character" w:customStyle="1" w:styleId="CharChapText">
    <w:name w:val="CharChapText"/>
    <w:basedOn w:val="OPCCharBase"/>
    <w:uiPriority w:val="1"/>
    <w:qFormat/>
    <w:rsid w:val="005014F6"/>
  </w:style>
  <w:style w:type="character" w:customStyle="1" w:styleId="CharDivNo">
    <w:name w:val="CharDivNo"/>
    <w:basedOn w:val="OPCCharBase"/>
    <w:uiPriority w:val="1"/>
    <w:qFormat/>
    <w:rsid w:val="005014F6"/>
  </w:style>
  <w:style w:type="character" w:customStyle="1" w:styleId="CharDivText">
    <w:name w:val="CharDivText"/>
    <w:basedOn w:val="OPCCharBase"/>
    <w:uiPriority w:val="1"/>
    <w:qFormat/>
    <w:rsid w:val="005014F6"/>
  </w:style>
  <w:style w:type="character" w:customStyle="1" w:styleId="CharItalic">
    <w:name w:val="CharItalic"/>
    <w:basedOn w:val="OPCCharBase"/>
    <w:uiPriority w:val="1"/>
    <w:qFormat/>
    <w:rsid w:val="005014F6"/>
    <w:rPr>
      <w:i/>
    </w:rPr>
  </w:style>
  <w:style w:type="character" w:customStyle="1" w:styleId="CharPartNo">
    <w:name w:val="CharPartNo"/>
    <w:basedOn w:val="OPCCharBase"/>
    <w:uiPriority w:val="1"/>
    <w:qFormat/>
    <w:rsid w:val="005014F6"/>
  </w:style>
  <w:style w:type="character" w:customStyle="1" w:styleId="CharPartText">
    <w:name w:val="CharPartText"/>
    <w:basedOn w:val="OPCCharBase"/>
    <w:uiPriority w:val="1"/>
    <w:qFormat/>
    <w:rsid w:val="005014F6"/>
  </w:style>
  <w:style w:type="character" w:customStyle="1" w:styleId="CharSectno">
    <w:name w:val="CharSectno"/>
    <w:basedOn w:val="OPCCharBase"/>
    <w:qFormat/>
    <w:rsid w:val="005014F6"/>
  </w:style>
  <w:style w:type="character" w:customStyle="1" w:styleId="CharSubdNo">
    <w:name w:val="CharSubdNo"/>
    <w:basedOn w:val="OPCCharBase"/>
    <w:uiPriority w:val="1"/>
    <w:qFormat/>
    <w:rsid w:val="005014F6"/>
  </w:style>
  <w:style w:type="character" w:customStyle="1" w:styleId="CharSubdText">
    <w:name w:val="CharSubdText"/>
    <w:basedOn w:val="OPCCharBase"/>
    <w:uiPriority w:val="1"/>
    <w:qFormat/>
    <w:rsid w:val="005014F6"/>
  </w:style>
  <w:style w:type="paragraph" w:customStyle="1" w:styleId="CTA--">
    <w:name w:val="CTA --"/>
    <w:basedOn w:val="OPCParaBase"/>
    <w:next w:val="Normal"/>
    <w:rsid w:val="005014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014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014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014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014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014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014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014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014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014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014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014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014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014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014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014F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014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014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014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014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014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014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014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014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014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014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014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014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014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014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014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014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014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014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014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014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014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014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014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014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014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014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014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014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014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014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014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014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014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014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014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014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014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014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014F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014F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5014F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014F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014F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014F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014F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014F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014F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014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014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014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014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014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014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014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014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014F6"/>
    <w:rPr>
      <w:sz w:val="16"/>
    </w:rPr>
  </w:style>
  <w:style w:type="table" w:customStyle="1" w:styleId="CFlag">
    <w:name w:val="CFlag"/>
    <w:basedOn w:val="TableNormal"/>
    <w:uiPriority w:val="99"/>
    <w:rsid w:val="005014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01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14F6"/>
    <w:rPr>
      <w:color w:val="0000FF"/>
      <w:u w:val="single"/>
    </w:rPr>
  </w:style>
  <w:style w:type="table" w:styleId="TableGrid">
    <w:name w:val="Table Grid"/>
    <w:basedOn w:val="TableNormal"/>
    <w:uiPriority w:val="59"/>
    <w:rsid w:val="0050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014F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014F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014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014F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014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014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014F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014F6"/>
  </w:style>
  <w:style w:type="paragraph" w:customStyle="1" w:styleId="CompiledActNo">
    <w:name w:val="CompiledActNo"/>
    <w:basedOn w:val="OPCParaBase"/>
    <w:next w:val="Normal"/>
    <w:rsid w:val="005014F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014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014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014F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014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014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014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014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014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014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014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014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014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014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014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014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014F6"/>
  </w:style>
  <w:style w:type="character" w:customStyle="1" w:styleId="CharSubPartNoCASA">
    <w:name w:val="CharSubPartNo(CASA)"/>
    <w:basedOn w:val="OPCCharBase"/>
    <w:uiPriority w:val="1"/>
    <w:rsid w:val="005014F6"/>
  </w:style>
  <w:style w:type="paragraph" w:customStyle="1" w:styleId="ENoteTTIndentHeadingSub">
    <w:name w:val="ENoteTTIndentHeadingSub"/>
    <w:aliases w:val="enTTHis"/>
    <w:basedOn w:val="OPCParaBase"/>
    <w:rsid w:val="005014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014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014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014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014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014F6"/>
    <w:rPr>
      <w:sz w:val="22"/>
    </w:rPr>
  </w:style>
  <w:style w:type="paragraph" w:customStyle="1" w:styleId="SOTextNote">
    <w:name w:val="SO TextNote"/>
    <w:aliases w:val="sont"/>
    <w:basedOn w:val="SOText"/>
    <w:qFormat/>
    <w:rsid w:val="005014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014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014F6"/>
    <w:rPr>
      <w:sz w:val="22"/>
    </w:rPr>
  </w:style>
  <w:style w:type="paragraph" w:customStyle="1" w:styleId="FileName">
    <w:name w:val="FileName"/>
    <w:basedOn w:val="Normal"/>
    <w:rsid w:val="005014F6"/>
  </w:style>
  <w:style w:type="paragraph" w:customStyle="1" w:styleId="TableHeading">
    <w:name w:val="TableHeading"/>
    <w:aliases w:val="th"/>
    <w:basedOn w:val="OPCParaBase"/>
    <w:next w:val="Tabletext"/>
    <w:rsid w:val="005014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014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014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014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014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014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014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014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014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014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014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014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30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30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3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5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50FCB-1B71-4543-B60A-C391C476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831</Words>
  <Characters>4738</Characters>
  <Application>Microsoft Office Word</Application>
  <DocSecurity>4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2015-08-24T05:50:00Z</cp:lastPrinted>
  <dcterms:created xsi:type="dcterms:W3CDTF">2016-08-11T04:44:00Z</dcterms:created>
  <dcterms:modified xsi:type="dcterms:W3CDTF">2016-08-11T04:44:00Z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168, 2015</vt:lpwstr>
  </property>
  <property fmtid="{D5CDD505-2E9C-101B-9397-08002B2CF9AE}" pid="3" name="ShortT">
    <vt:lpwstr>Australian National Registry of Emissions Units Amendment (Carry_x001e_Over)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October 2015</vt:lpwstr>
  </property>
  <property fmtid="{D5CDD505-2E9C-101B-9397-08002B2CF9AE}" pid="10" name="Authority">
    <vt:lpwstr/>
  </property>
  <property fmtid="{D5CDD505-2E9C-101B-9397-08002B2CF9AE}" pid="11" name="ID">
    <vt:lpwstr>OPC61024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National Registry of Emissions Units Act 2011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October 2015</vt:lpwstr>
  </property>
</Properties>
</file>