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96E" w:rsidRPr="004952C0" w:rsidRDefault="0045496E" w:rsidP="0045496E">
      <w:pPr>
        <w:pStyle w:val="ttCrest"/>
        <w:rPr>
          <w:sz w:val="19"/>
        </w:rPr>
      </w:pPr>
      <w:bookmarkStart w:id="0" w:name="_Ref425938172"/>
      <w:r w:rsidRPr="004952C0">
        <w:rPr>
          <w:noProof/>
          <w:lang w:eastAsia="en-AU"/>
        </w:rPr>
        <w:drawing>
          <wp:inline distT="0" distB="0" distL="0" distR="0">
            <wp:extent cx="1498600" cy="1101725"/>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bookmarkEnd w:id="0"/>
    </w:p>
    <w:p w:rsidR="000F6CC2" w:rsidRPr="004952C0" w:rsidRDefault="000F6CC2" w:rsidP="0045496E">
      <w:pPr>
        <w:pStyle w:val="ttCrest"/>
        <w:rPr>
          <w:sz w:val="19"/>
        </w:rPr>
      </w:pPr>
    </w:p>
    <w:p w:rsidR="0045496E" w:rsidRPr="004952C0" w:rsidRDefault="0045496E" w:rsidP="0045496E">
      <w:pPr>
        <w:pStyle w:val="ShortT"/>
      </w:pPr>
      <w:r w:rsidRPr="004952C0">
        <w:t xml:space="preserve">Carbon Credits (Carbon Farming Initiative—Refrigeration and Ventilation Fans) </w:t>
      </w:r>
      <w:r w:rsidR="003D260B" w:rsidRPr="004952C0">
        <w:t xml:space="preserve">Methodology </w:t>
      </w:r>
      <w:r w:rsidRPr="004952C0">
        <w:t>Determination 2015</w:t>
      </w:r>
    </w:p>
    <w:p w:rsidR="0045496E" w:rsidRPr="004952C0" w:rsidRDefault="0045496E" w:rsidP="0045496E">
      <w:pPr>
        <w:pStyle w:val="SignCoverPageStart"/>
        <w:rPr>
          <w:szCs w:val="22"/>
        </w:rPr>
      </w:pPr>
      <w:r w:rsidRPr="004952C0">
        <w:rPr>
          <w:szCs w:val="22"/>
        </w:rPr>
        <w:t>I, Greg Hunt, Minister for the Environment, make the following determination.</w:t>
      </w:r>
    </w:p>
    <w:p w:rsidR="009E21F4" w:rsidRDefault="0045496E" w:rsidP="0045496E">
      <w:pPr>
        <w:keepNext/>
        <w:spacing w:before="300" w:line="240" w:lineRule="atLeast"/>
        <w:ind w:right="397"/>
        <w:jc w:val="both"/>
        <w:rPr>
          <w:szCs w:val="22"/>
        </w:rPr>
      </w:pPr>
      <w:r w:rsidRPr="004952C0">
        <w:rPr>
          <w:szCs w:val="22"/>
        </w:rPr>
        <w:t>Dated</w:t>
      </w:r>
      <w:r w:rsidRPr="004952C0">
        <w:rPr>
          <w:szCs w:val="22"/>
        </w:rPr>
        <w:tab/>
      </w:r>
      <w:r w:rsidRPr="004952C0">
        <w:rPr>
          <w:szCs w:val="22"/>
        </w:rPr>
        <w:tab/>
      </w:r>
      <w:r w:rsidRPr="004952C0">
        <w:rPr>
          <w:szCs w:val="22"/>
        </w:rPr>
        <w:tab/>
      </w:r>
      <w:r w:rsidRPr="004952C0">
        <w:rPr>
          <w:szCs w:val="22"/>
        </w:rPr>
        <w:tab/>
      </w:r>
      <w:bookmarkStart w:id="1" w:name="BKCheck15B_1"/>
      <w:bookmarkEnd w:id="1"/>
      <w:r w:rsidR="009E21F4">
        <w:rPr>
          <w:szCs w:val="22"/>
        </w:rPr>
        <w:t>27:10:15</w:t>
      </w:r>
    </w:p>
    <w:p w:rsidR="009E21F4" w:rsidRDefault="009E21F4" w:rsidP="0045496E">
      <w:pPr>
        <w:keepNext/>
        <w:spacing w:before="300" w:line="240" w:lineRule="atLeast"/>
        <w:ind w:right="397"/>
        <w:jc w:val="both"/>
        <w:rPr>
          <w:szCs w:val="22"/>
        </w:rPr>
      </w:pPr>
    </w:p>
    <w:p w:rsidR="009E21F4" w:rsidRPr="004952C0" w:rsidRDefault="009E21F4" w:rsidP="0045496E">
      <w:pPr>
        <w:keepNext/>
        <w:spacing w:before="300" w:line="240" w:lineRule="atLeast"/>
        <w:ind w:right="397"/>
        <w:jc w:val="both"/>
        <w:rPr>
          <w:szCs w:val="22"/>
        </w:rPr>
      </w:pPr>
      <w:r>
        <w:rPr>
          <w:szCs w:val="22"/>
        </w:rPr>
        <w:t>GREG HUNT</w:t>
      </w:r>
    </w:p>
    <w:p w:rsidR="0045496E" w:rsidRPr="004952C0" w:rsidRDefault="0045496E" w:rsidP="0045496E">
      <w:pPr>
        <w:keepNext/>
        <w:tabs>
          <w:tab w:val="left" w:pos="3402"/>
        </w:tabs>
        <w:spacing w:before="1440" w:line="300" w:lineRule="atLeast"/>
        <w:ind w:right="397"/>
        <w:rPr>
          <w:szCs w:val="22"/>
        </w:rPr>
      </w:pPr>
      <w:r w:rsidRPr="004952C0">
        <w:rPr>
          <w:szCs w:val="22"/>
        </w:rPr>
        <w:t xml:space="preserve">Greg Hunt </w:t>
      </w:r>
    </w:p>
    <w:p w:rsidR="0045496E" w:rsidRPr="004952C0" w:rsidRDefault="0045496E" w:rsidP="0045496E">
      <w:pPr>
        <w:pStyle w:val="SignCoverPageEnd"/>
        <w:rPr>
          <w:szCs w:val="22"/>
        </w:rPr>
      </w:pPr>
      <w:r w:rsidRPr="004952C0">
        <w:rPr>
          <w:szCs w:val="22"/>
        </w:rPr>
        <w:t>Minister for the Environment</w:t>
      </w:r>
    </w:p>
    <w:p w:rsidR="0045496E" w:rsidRPr="004952C0" w:rsidRDefault="0045496E" w:rsidP="0045496E">
      <w:pPr>
        <w:spacing w:line="240" w:lineRule="auto"/>
      </w:pPr>
      <w:r w:rsidRPr="004952C0">
        <w:br w:type="page"/>
      </w:r>
    </w:p>
    <w:p w:rsidR="0045496E" w:rsidRPr="004952C0" w:rsidRDefault="0045496E" w:rsidP="0045496E">
      <w:pPr>
        <w:rPr>
          <w:sz w:val="36"/>
        </w:rPr>
      </w:pPr>
      <w:r w:rsidRPr="004952C0">
        <w:rPr>
          <w:sz w:val="36"/>
        </w:rPr>
        <w:lastRenderedPageBreak/>
        <w:t>Contents</w:t>
      </w:r>
    </w:p>
    <w:bookmarkStart w:id="2" w:name="BKCheck15B_2"/>
    <w:bookmarkEnd w:id="2"/>
    <w:p w:rsidR="00FA181A" w:rsidRPr="004952C0" w:rsidRDefault="004F3B1F">
      <w:pPr>
        <w:pStyle w:val="TOC2"/>
        <w:rPr>
          <w:rFonts w:asciiTheme="minorHAnsi" w:eastAsiaTheme="minorEastAsia" w:hAnsiTheme="minorHAnsi" w:cstheme="minorBidi"/>
          <w:b w:val="0"/>
          <w:noProof/>
          <w:kern w:val="0"/>
          <w:sz w:val="22"/>
          <w:szCs w:val="22"/>
        </w:rPr>
      </w:pPr>
      <w:r w:rsidRPr="004F3B1F">
        <w:fldChar w:fldCharType="begin"/>
      </w:r>
      <w:r w:rsidR="0045496E" w:rsidRPr="004952C0">
        <w:instrText xml:space="preserve"> TOC \o1-9 </w:instrText>
      </w:r>
      <w:r w:rsidRPr="004F3B1F">
        <w:fldChar w:fldCharType="separate"/>
      </w:r>
      <w:r w:rsidR="00FA181A" w:rsidRPr="004952C0">
        <w:rPr>
          <w:noProof/>
        </w:rPr>
        <w:t>Part 1—Preliminary</w:t>
      </w:r>
      <w:r w:rsidR="00FA181A" w:rsidRPr="004952C0">
        <w:rPr>
          <w:noProof/>
        </w:rPr>
        <w:tab/>
      </w:r>
      <w:r w:rsidRPr="004952C0">
        <w:rPr>
          <w:noProof/>
        </w:rPr>
        <w:fldChar w:fldCharType="begin"/>
      </w:r>
      <w:r w:rsidR="00FA181A" w:rsidRPr="004952C0">
        <w:rPr>
          <w:noProof/>
        </w:rPr>
        <w:instrText xml:space="preserve"> PAGEREF _Toc431466250 \h </w:instrText>
      </w:r>
      <w:r w:rsidRPr="004952C0">
        <w:rPr>
          <w:noProof/>
        </w:rPr>
      </w:r>
      <w:r w:rsidRPr="004952C0">
        <w:rPr>
          <w:noProof/>
        </w:rPr>
        <w:fldChar w:fldCharType="separate"/>
      </w:r>
      <w:r w:rsidR="00FA181A" w:rsidRPr="004952C0">
        <w:rPr>
          <w:noProof/>
        </w:rPr>
        <w:t>4</w:t>
      </w:r>
      <w:r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1  Name</w:t>
      </w:r>
      <w:r w:rsidRPr="004952C0">
        <w:rPr>
          <w:noProof/>
        </w:rPr>
        <w:tab/>
      </w:r>
      <w:r w:rsidR="004F3B1F" w:rsidRPr="004952C0">
        <w:rPr>
          <w:noProof/>
        </w:rPr>
        <w:fldChar w:fldCharType="begin"/>
      </w:r>
      <w:r w:rsidRPr="004952C0">
        <w:rPr>
          <w:noProof/>
        </w:rPr>
        <w:instrText xml:space="preserve"> PAGEREF _Toc431466251 \h </w:instrText>
      </w:r>
      <w:r w:rsidR="004F3B1F" w:rsidRPr="004952C0">
        <w:rPr>
          <w:noProof/>
        </w:rPr>
      </w:r>
      <w:r w:rsidR="004F3B1F" w:rsidRPr="004952C0">
        <w:rPr>
          <w:noProof/>
        </w:rPr>
        <w:fldChar w:fldCharType="separate"/>
      </w:r>
      <w:r w:rsidRPr="004952C0">
        <w:rPr>
          <w:noProof/>
        </w:rPr>
        <w:t>4</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2  Commencement</w:t>
      </w:r>
      <w:r w:rsidRPr="004952C0">
        <w:rPr>
          <w:noProof/>
        </w:rPr>
        <w:tab/>
      </w:r>
      <w:r w:rsidR="004F3B1F" w:rsidRPr="004952C0">
        <w:rPr>
          <w:noProof/>
        </w:rPr>
        <w:fldChar w:fldCharType="begin"/>
      </w:r>
      <w:r w:rsidRPr="004952C0">
        <w:rPr>
          <w:noProof/>
        </w:rPr>
        <w:instrText xml:space="preserve"> PAGEREF _Toc431466252 \h </w:instrText>
      </w:r>
      <w:r w:rsidR="004F3B1F" w:rsidRPr="004952C0">
        <w:rPr>
          <w:noProof/>
        </w:rPr>
      </w:r>
      <w:r w:rsidR="004F3B1F" w:rsidRPr="004952C0">
        <w:rPr>
          <w:noProof/>
        </w:rPr>
        <w:fldChar w:fldCharType="separate"/>
      </w:r>
      <w:r w:rsidRPr="004952C0">
        <w:rPr>
          <w:noProof/>
        </w:rPr>
        <w:t>4</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3  Authority</w:t>
      </w:r>
      <w:r w:rsidRPr="004952C0">
        <w:rPr>
          <w:noProof/>
        </w:rPr>
        <w:tab/>
      </w:r>
      <w:r w:rsidR="004F3B1F" w:rsidRPr="004952C0">
        <w:rPr>
          <w:noProof/>
        </w:rPr>
        <w:fldChar w:fldCharType="begin"/>
      </w:r>
      <w:r w:rsidRPr="004952C0">
        <w:rPr>
          <w:noProof/>
        </w:rPr>
        <w:instrText xml:space="preserve"> PAGEREF _Toc431466253 \h </w:instrText>
      </w:r>
      <w:r w:rsidR="004F3B1F" w:rsidRPr="004952C0">
        <w:rPr>
          <w:noProof/>
        </w:rPr>
      </w:r>
      <w:r w:rsidR="004F3B1F" w:rsidRPr="004952C0">
        <w:rPr>
          <w:noProof/>
        </w:rPr>
        <w:fldChar w:fldCharType="separate"/>
      </w:r>
      <w:r w:rsidRPr="004952C0">
        <w:rPr>
          <w:noProof/>
        </w:rPr>
        <w:t>4</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4  Duration</w:t>
      </w:r>
      <w:r w:rsidRPr="004952C0">
        <w:rPr>
          <w:noProof/>
        </w:rPr>
        <w:tab/>
      </w:r>
      <w:r w:rsidR="004F3B1F" w:rsidRPr="004952C0">
        <w:rPr>
          <w:noProof/>
        </w:rPr>
        <w:fldChar w:fldCharType="begin"/>
      </w:r>
      <w:r w:rsidRPr="004952C0">
        <w:rPr>
          <w:noProof/>
        </w:rPr>
        <w:instrText xml:space="preserve"> PAGEREF _Toc431466254 \h </w:instrText>
      </w:r>
      <w:r w:rsidR="004F3B1F" w:rsidRPr="004952C0">
        <w:rPr>
          <w:noProof/>
        </w:rPr>
      </w:r>
      <w:r w:rsidR="004F3B1F" w:rsidRPr="004952C0">
        <w:rPr>
          <w:noProof/>
        </w:rPr>
        <w:fldChar w:fldCharType="separate"/>
      </w:r>
      <w:r w:rsidRPr="004952C0">
        <w:rPr>
          <w:noProof/>
        </w:rPr>
        <w:t>4</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5  Definitions</w:t>
      </w:r>
      <w:r w:rsidRPr="004952C0">
        <w:rPr>
          <w:noProof/>
        </w:rPr>
        <w:tab/>
      </w:r>
      <w:r w:rsidR="004F3B1F" w:rsidRPr="004952C0">
        <w:rPr>
          <w:noProof/>
        </w:rPr>
        <w:fldChar w:fldCharType="begin"/>
      </w:r>
      <w:r w:rsidRPr="004952C0">
        <w:rPr>
          <w:noProof/>
        </w:rPr>
        <w:instrText xml:space="preserve"> PAGEREF _Toc431466255 \h </w:instrText>
      </w:r>
      <w:r w:rsidR="004F3B1F" w:rsidRPr="004952C0">
        <w:rPr>
          <w:noProof/>
        </w:rPr>
      </w:r>
      <w:r w:rsidR="004F3B1F" w:rsidRPr="004952C0">
        <w:rPr>
          <w:noProof/>
        </w:rPr>
        <w:fldChar w:fldCharType="separate"/>
      </w:r>
      <w:r w:rsidRPr="004952C0">
        <w:rPr>
          <w:noProof/>
        </w:rPr>
        <w:t>4</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6  Definitions for eligible fan types (other than cross</w:t>
      </w:r>
      <w:r w:rsidRPr="004952C0">
        <w:rPr>
          <w:noProof/>
        </w:rPr>
        <w:noBreakHyphen/>
        <w:t>flow fan)</w:t>
      </w:r>
      <w:r w:rsidRPr="004952C0">
        <w:rPr>
          <w:noProof/>
        </w:rPr>
        <w:tab/>
      </w:r>
      <w:r w:rsidR="004F3B1F" w:rsidRPr="004952C0">
        <w:rPr>
          <w:noProof/>
        </w:rPr>
        <w:fldChar w:fldCharType="begin"/>
      </w:r>
      <w:r w:rsidRPr="004952C0">
        <w:rPr>
          <w:noProof/>
        </w:rPr>
        <w:instrText xml:space="preserve"> PAGEREF _Toc431466256 \h </w:instrText>
      </w:r>
      <w:r w:rsidR="004F3B1F" w:rsidRPr="004952C0">
        <w:rPr>
          <w:noProof/>
        </w:rPr>
      </w:r>
      <w:r w:rsidR="004F3B1F" w:rsidRPr="004952C0">
        <w:rPr>
          <w:noProof/>
        </w:rPr>
        <w:fldChar w:fldCharType="separate"/>
      </w:r>
      <w:r w:rsidRPr="004952C0">
        <w:rPr>
          <w:noProof/>
        </w:rPr>
        <w:t>8</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7  Standards referred to in this determination</w:t>
      </w:r>
      <w:r w:rsidRPr="004952C0">
        <w:rPr>
          <w:noProof/>
        </w:rPr>
        <w:tab/>
      </w:r>
      <w:r w:rsidR="004F3B1F" w:rsidRPr="004952C0">
        <w:rPr>
          <w:noProof/>
        </w:rPr>
        <w:fldChar w:fldCharType="begin"/>
      </w:r>
      <w:r w:rsidRPr="004952C0">
        <w:rPr>
          <w:noProof/>
        </w:rPr>
        <w:instrText xml:space="preserve"> PAGEREF _Toc431466257 \h </w:instrText>
      </w:r>
      <w:r w:rsidR="004F3B1F" w:rsidRPr="004952C0">
        <w:rPr>
          <w:noProof/>
        </w:rPr>
      </w:r>
      <w:r w:rsidR="004F3B1F" w:rsidRPr="004952C0">
        <w:rPr>
          <w:noProof/>
        </w:rPr>
        <w:fldChar w:fldCharType="separate"/>
      </w:r>
      <w:r w:rsidRPr="004952C0">
        <w:rPr>
          <w:noProof/>
        </w:rPr>
        <w:t>9</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8  References to factors and parameters from external sources</w:t>
      </w:r>
      <w:r w:rsidRPr="004952C0">
        <w:rPr>
          <w:noProof/>
        </w:rPr>
        <w:tab/>
      </w:r>
      <w:r w:rsidR="004F3B1F" w:rsidRPr="004952C0">
        <w:rPr>
          <w:noProof/>
        </w:rPr>
        <w:fldChar w:fldCharType="begin"/>
      </w:r>
      <w:r w:rsidRPr="004952C0">
        <w:rPr>
          <w:noProof/>
        </w:rPr>
        <w:instrText xml:space="preserve"> PAGEREF _Toc431466258 \h </w:instrText>
      </w:r>
      <w:r w:rsidR="004F3B1F" w:rsidRPr="004952C0">
        <w:rPr>
          <w:noProof/>
        </w:rPr>
      </w:r>
      <w:r w:rsidR="004F3B1F" w:rsidRPr="004952C0">
        <w:rPr>
          <w:noProof/>
        </w:rPr>
        <w:fldChar w:fldCharType="separate"/>
      </w:r>
      <w:r w:rsidRPr="004952C0">
        <w:rPr>
          <w:noProof/>
        </w:rPr>
        <w:t>10</w:t>
      </w:r>
      <w:r w:rsidR="004F3B1F" w:rsidRPr="004952C0">
        <w:rPr>
          <w:noProof/>
        </w:rPr>
        <w:fldChar w:fldCharType="end"/>
      </w:r>
    </w:p>
    <w:p w:rsidR="00FA181A" w:rsidRPr="004952C0" w:rsidRDefault="00FA181A">
      <w:pPr>
        <w:pStyle w:val="TOC2"/>
        <w:rPr>
          <w:rFonts w:asciiTheme="minorHAnsi" w:eastAsiaTheme="minorEastAsia" w:hAnsiTheme="minorHAnsi" w:cstheme="minorBidi"/>
          <w:b w:val="0"/>
          <w:noProof/>
          <w:kern w:val="0"/>
          <w:sz w:val="22"/>
          <w:szCs w:val="22"/>
        </w:rPr>
      </w:pPr>
      <w:r w:rsidRPr="004952C0">
        <w:rPr>
          <w:noProof/>
        </w:rPr>
        <w:t>Part 2—Refrigeration and ventilation fan projects</w:t>
      </w:r>
      <w:r w:rsidRPr="004952C0">
        <w:rPr>
          <w:noProof/>
        </w:rPr>
        <w:tab/>
      </w:r>
      <w:r w:rsidR="004F3B1F" w:rsidRPr="004952C0">
        <w:rPr>
          <w:noProof/>
        </w:rPr>
        <w:fldChar w:fldCharType="begin"/>
      </w:r>
      <w:r w:rsidRPr="004952C0">
        <w:rPr>
          <w:noProof/>
        </w:rPr>
        <w:instrText xml:space="preserve"> PAGEREF _Toc431466259 \h </w:instrText>
      </w:r>
      <w:r w:rsidR="004F3B1F" w:rsidRPr="004952C0">
        <w:rPr>
          <w:noProof/>
        </w:rPr>
      </w:r>
      <w:r w:rsidR="004F3B1F" w:rsidRPr="004952C0">
        <w:rPr>
          <w:noProof/>
        </w:rPr>
        <w:fldChar w:fldCharType="separate"/>
      </w:r>
      <w:r w:rsidRPr="004952C0">
        <w:rPr>
          <w:noProof/>
        </w:rPr>
        <w:t>11</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9  Refrigeration and ventilation fan projects</w:t>
      </w:r>
      <w:r w:rsidRPr="004952C0">
        <w:rPr>
          <w:noProof/>
        </w:rPr>
        <w:tab/>
      </w:r>
      <w:r w:rsidR="004F3B1F" w:rsidRPr="004952C0">
        <w:rPr>
          <w:noProof/>
        </w:rPr>
        <w:fldChar w:fldCharType="begin"/>
      </w:r>
      <w:r w:rsidRPr="004952C0">
        <w:rPr>
          <w:noProof/>
        </w:rPr>
        <w:instrText xml:space="preserve"> PAGEREF _Toc431466260 \h </w:instrText>
      </w:r>
      <w:r w:rsidR="004F3B1F" w:rsidRPr="004952C0">
        <w:rPr>
          <w:noProof/>
        </w:rPr>
      </w:r>
      <w:r w:rsidR="004F3B1F" w:rsidRPr="004952C0">
        <w:rPr>
          <w:noProof/>
        </w:rPr>
        <w:fldChar w:fldCharType="separate"/>
      </w:r>
      <w:r w:rsidRPr="004952C0">
        <w:rPr>
          <w:noProof/>
        </w:rPr>
        <w:t>11</w:t>
      </w:r>
      <w:r w:rsidR="004F3B1F" w:rsidRPr="004952C0">
        <w:rPr>
          <w:noProof/>
        </w:rPr>
        <w:fldChar w:fldCharType="end"/>
      </w:r>
    </w:p>
    <w:p w:rsidR="00FA181A" w:rsidRPr="004952C0" w:rsidRDefault="00FA181A">
      <w:pPr>
        <w:pStyle w:val="TOC2"/>
        <w:rPr>
          <w:rFonts w:asciiTheme="minorHAnsi" w:eastAsiaTheme="minorEastAsia" w:hAnsiTheme="minorHAnsi" w:cstheme="minorBidi"/>
          <w:b w:val="0"/>
          <w:noProof/>
          <w:kern w:val="0"/>
          <w:sz w:val="22"/>
          <w:szCs w:val="22"/>
        </w:rPr>
      </w:pPr>
      <w:r w:rsidRPr="004952C0">
        <w:rPr>
          <w:noProof/>
        </w:rPr>
        <w:t>Part 3—Project requirements</w:t>
      </w:r>
      <w:r w:rsidRPr="004952C0">
        <w:rPr>
          <w:noProof/>
        </w:rPr>
        <w:tab/>
      </w:r>
      <w:r w:rsidR="004F3B1F" w:rsidRPr="004952C0">
        <w:rPr>
          <w:noProof/>
        </w:rPr>
        <w:fldChar w:fldCharType="begin"/>
      </w:r>
      <w:r w:rsidRPr="004952C0">
        <w:rPr>
          <w:noProof/>
        </w:rPr>
        <w:instrText xml:space="preserve"> PAGEREF _Toc431466261 \h </w:instrText>
      </w:r>
      <w:r w:rsidR="004F3B1F" w:rsidRPr="004952C0">
        <w:rPr>
          <w:noProof/>
        </w:rPr>
      </w:r>
      <w:r w:rsidR="004F3B1F" w:rsidRPr="004952C0">
        <w:rPr>
          <w:noProof/>
        </w:rPr>
        <w:fldChar w:fldCharType="separate"/>
      </w:r>
      <w:r w:rsidRPr="004952C0">
        <w:rPr>
          <w:noProof/>
        </w:rPr>
        <w:t>13</w:t>
      </w:r>
      <w:r w:rsidR="004F3B1F" w:rsidRPr="004952C0">
        <w:rPr>
          <w:noProof/>
        </w:rPr>
        <w:fldChar w:fldCharType="end"/>
      </w:r>
    </w:p>
    <w:p w:rsidR="00FA181A" w:rsidRPr="004952C0" w:rsidRDefault="00FA181A">
      <w:pPr>
        <w:pStyle w:val="TOC3"/>
        <w:rPr>
          <w:rFonts w:asciiTheme="minorHAnsi" w:eastAsiaTheme="minorEastAsia" w:hAnsiTheme="minorHAnsi" w:cstheme="minorBidi"/>
          <w:b w:val="0"/>
          <w:noProof/>
          <w:kern w:val="0"/>
          <w:szCs w:val="22"/>
        </w:rPr>
      </w:pPr>
      <w:r w:rsidRPr="004952C0">
        <w:rPr>
          <w:noProof/>
        </w:rPr>
        <w:t>Division 1—General requirements for refrigeration and ventilation fan projects</w:t>
      </w:r>
      <w:r w:rsidRPr="004952C0">
        <w:rPr>
          <w:noProof/>
        </w:rPr>
        <w:tab/>
      </w:r>
      <w:r w:rsidR="004F3B1F" w:rsidRPr="004952C0">
        <w:rPr>
          <w:noProof/>
        </w:rPr>
        <w:fldChar w:fldCharType="begin"/>
      </w:r>
      <w:r w:rsidRPr="004952C0">
        <w:rPr>
          <w:noProof/>
        </w:rPr>
        <w:instrText xml:space="preserve"> PAGEREF _Toc431466262 \h </w:instrText>
      </w:r>
      <w:r w:rsidR="004F3B1F" w:rsidRPr="004952C0">
        <w:rPr>
          <w:noProof/>
        </w:rPr>
      </w:r>
      <w:r w:rsidR="004F3B1F" w:rsidRPr="004952C0">
        <w:rPr>
          <w:noProof/>
        </w:rPr>
        <w:fldChar w:fldCharType="separate"/>
      </w:r>
      <w:r w:rsidRPr="004952C0">
        <w:rPr>
          <w:noProof/>
        </w:rPr>
        <w:t>13</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10  Operation of this Part</w:t>
      </w:r>
      <w:r w:rsidRPr="004952C0">
        <w:rPr>
          <w:noProof/>
        </w:rPr>
        <w:tab/>
      </w:r>
      <w:r w:rsidR="004F3B1F" w:rsidRPr="004952C0">
        <w:rPr>
          <w:noProof/>
        </w:rPr>
        <w:fldChar w:fldCharType="begin"/>
      </w:r>
      <w:r w:rsidRPr="004952C0">
        <w:rPr>
          <w:noProof/>
        </w:rPr>
        <w:instrText xml:space="preserve"> PAGEREF _Toc431466263 \h </w:instrText>
      </w:r>
      <w:r w:rsidR="004F3B1F" w:rsidRPr="004952C0">
        <w:rPr>
          <w:noProof/>
        </w:rPr>
      </w:r>
      <w:r w:rsidR="004F3B1F" w:rsidRPr="004952C0">
        <w:rPr>
          <w:noProof/>
        </w:rPr>
        <w:fldChar w:fldCharType="separate"/>
      </w:r>
      <w:r w:rsidRPr="004952C0">
        <w:rPr>
          <w:noProof/>
        </w:rPr>
        <w:t>13</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11  Information to be included in application for declaration</w:t>
      </w:r>
      <w:r w:rsidRPr="004952C0">
        <w:rPr>
          <w:noProof/>
        </w:rPr>
        <w:tab/>
      </w:r>
      <w:r w:rsidR="004F3B1F" w:rsidRPr="004952C0">
        <w:rPr>
          <w:noProof/>
        </w:rPr>
        <w:fldChar w:fldCharType="begin"/>
      </w:r>
      <w:r w:rsidRPr="004952C0">
        <w:rPr>
          <w:noProof/>
        </w:rPr>
        <w:instrText xml:space="preserve"> PAGEREF _Toc431466264 \h </w:instrText>
      </w:r>
      <w:r w:rsidR="004F3B1F" w:rsidRPr="004952C0">
        <w:rPr>
          <w:noProof/>
        </w:rPr>
      </w:r>
      <w:r w:rsidR="004F3B1F" w:rsidRPr="004952C0">
        <w:rPr>
          <w:noProof/>
        </w:rPr>
        <w:fldChar w:fldCharType="separate"/>
      </w:r>
      <w:r w:rsidRPr="004952C0">
        <w:rPr>
          <w:noProof/>
        </w:rPr>
        <w:t>13</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12  Fans excluded from determination</w:t>
      </w:r>
      <w:r w:rsidRPr="004952C0">
        <w:rPr>
          <w:noProof/>
        </w:rPr>
        <w:tab/>
      </w:r>
      <w:r w:rsidR="004F3B1F" w:rsidRPr="004952C0">
        <w:rPr>
          <w:noProof/>
        </w:rPr>
        <w:fldChar w:fldCharType="begin"/>
      </w:r>
      <w:r w:rsidRPr="004952C0">
        <w:rPr>
          <w:noProof/>
        </w:rPr>
        <w:instrText xml:space="preserve"> PAGEREF _Toc431466265 \h </w:instrText>
      </w:r>
      <w:r w:rsidR="004F3B1F" w:rsidRPr="004952C0">
        <w:rPr>
          <w:noProof/>
        </w:rPr>
      </w:r>
      <w:r w:rsidR="004F3B1F" w:rsidRPr="004952C0">
        <w:rPr>
          <w:noProof/>
        </w:rPr>
        <w:fldChar w:fldCharType="separate"/>
      </w:r>
      <w:r w:rsidRPr="004952C0">
        <w:rPr>
          <w:noProof/>
        </w:rPr>
        <w:t>14</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13  Requirement for fans and components to be new</w:t>
      </w:r>
      <w:r w:rsidRPr="004952C0">
        <w:rPr>
          <w:noProof/>
        </w:rPr>
        <w:tab/>
      </w:r>
      <w:r w:rsidR="004F3B1F" w:rsidRPr="004952C0">
        <w:rPr>
          <w:noProof/>
        </w:rPr>
        <w:fldChar w:fldCharType="begin"/>
      </w:r>
      <w:r w:rsidRPr="004952C0">
        <w:rPr>
          <w:noProof/>
        </w:rPr>
        <w:instrText xml:space="preserve"> PAGEREF _Toc431466266 \h </w:instrText>
      </w:r>
      <w:r w:rsidR="004F3B1F" w:rsidRPr="004952C0">
        <w:rPr>
          <w:noProof/>
        </w:rPr>
      </w:r>
      <w:r w:rsidR="004F3B1F" w:rsidRPr="004952C0">
        <w:rPr>
          <w:noProof/>
        </w:rPr>
        <w:fldChar w:fldCharType="separate"/>
      </w:r>
      <w:r w:rsidRPr="004952C0">
        <w:rPr>
          <w:noProof/>
        </w:rPr>
        <w:t>15</w:t>
      </w:r>
      <w:r w:rsidR="004F3B1F" w:rsidRPr="004952C0">
        <w:rPr>
          <w:noProof/>
        </w:rPr>
        <w:fldChar w:fldCharType="end"/>
      </w:r>
    </w:p>
    <w:p w:rsidR="00FA181A" w:rsidRPr="004952C0" w:rsidRDefault="00FA181A">
      <w:pPr>
        <w:pStyle w:val="TOC3"/>
        <w:rPr>
          <w:rFonts w:asciiTheme="minorHAnsi" w:eastAsiaTheme="minorEastAsia" w:hAnsiTheme="minorHAnsi" w:cstheme="minorBidi"/>
          <w:b w:val="0"/>
          <w:noProof/>
          <w:kern w:val="0"/>
          <w:szCs w:val="22"/>
        </w:rPr>
      </w:pPr>
      <w:r w:rsidRPr="004952C0">
        <w:rPr>
          <w:noProof/>
        </w:rPr>
        <w:t>Division 2—Additional requirements for high efficiency fan installations</w:t>
      </w:r>
      <w:r w:rsidRPr="004952C0">
        <w:rPr>
          <w:noProof/>
        </w:rPr>
        <w:tab/>
      </w:r>
      <w:r w:rsidR="004F3B1F" w:rsidRPr="004952C0">
        <w:rPr>
          <w:noProof/>
        </w:rPr>
        <w:fldChar w:fldCharType="begin"/>
      </w:r>
      <w:r w:rsidRPr="004952C0">
        <w:rPr>
          <w:noProof/>
        </w:rPr>
        <w:instrText xml:space="preserve"> PAGEREF _Toc431466267 \h </w:instrText>
      </w:r>
      <w:r w:rsidR="004F3B1F" w:rsidRPr="004952C0">
        <w:rPr>
          <w:noProof/>
        </w:rPr>
      </w:r>
      <w:r w:rsidR="004F3B1F" w:rsidRPr="004952C0">
        <w:rPr>
          <w:noProof/>
        </w:rPr>
        <w:fldChar w:fldCharType="separate"/>
      </w:r>
      <w:r w:rsidRPr="004952C0">
        <w:rPr>
          <w:noProof/>
        </w:rPr>
        <w:t>15</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14  General requirements for high efficiency fan installation</w:t>
      </w:r>
      <w:r w:rsidRPr="004952C0">
        <w:rPr>
          <w:noProof/>
        </w:rPr>
        <w:tab/>
      </w:r>
      <w:r w:rsidR="004F3B1F" w:rsidRPr="004952C0">
        <w:rPr>
          <w:noProof/>
        </w:rPr>
        <w:fldChar w:fldCharType="begin"/>
      </w:r>
      <w:r w:rsidRPr="004952C0">
        <w:rPr>
          <w:noProof/>
        </w:rPr>
        <w:instrText xml:space="preserve"> PAGEREF _Toc431466268 \h </w:instrText>
      </w:r>
      <w:r w:rsidR="004F3B1F" w:rsidRPr="004952C0">
        <w:rPr>
          <w:noProof/>
        </w:rPr>
      </w:r>
      <w:r w:rsidR="004F3B1F" w:rsidRPr="004952C0">
        <w:rPr>
          <w:noProof/>
        </w:rPr>
        <w:fldChar w:fldCharType="separate"/>
      </w:r>
      <w:r w:rsidRPr="004952C0">
        <w:rPr>
          <w:noProof/>
        </w:rPr>
        <w:t>15</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15  Efficiency requirement for replacement fans</w:t>
      </w:r>
      <w:r w:rsidRPr="004952C0">
        <w:rPr>
          <w:noProof/>
        </w:rPr>
        <w:tab/>
      </w:r>
      <w:r w:rsidR="004F3B1F" w:rsidRPr="004952C0">
        <w:rPr>
          <w:noProof/>
        </w:rPr>
        <w:fldChar w:fldCharType="begin"/>
      </w:r>
      <w:r w:rsidRPr="004952C0">
        <w:rPr>
          <w:noProof/>
        </w:rPr>
        <w:instrText xml:space="preserve"> PAGEREF _Toc431466269 \h </w:instrText>
      </w:r>
      <w:r w:rsidR="004F3B1F" w:rsidRPr="004952C0">
        <w:rPr>
          <w:noProof/>
        </w:rPr>
      </w:r>
      <w:r w:rsidR="004F3B1F" w:rsidRPr="004952C0">
        <w:rPr>
          <w:noProof/>
        </w:rPr>
        <w:fldChar w:fldCharType="separate"/>
      </w:r>
      <w:r w:rsidRPr="004952C0">
        <w:rPr>
          <w:noProof/>
        </w:rPr>
        <w:t>15</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16  Requirement relating to testing for high efficiency fan installations</w:t>
      </w:r>
      <w:r w:rsidRPr="004952C0">
        <w:rPr>
          <w:noProof/>
        </w:rPr>
        <w:tab/>
      </w:r>
      <w:r w:rsidR="004F3B1F" w:rsidRPr="004952C0">
        <w:rPr>
          <w:noProof/>
        </w:rPr>
        <w:fldChar w:fldCharType="begin"/>
      </w:r>
      <w:r w:rsidRPr="004952C0">
        <w:rPr>
          <w:noProof/>
        </w:rPr>
        <w:instrText xml:space="preserve"> PAGEREF _Toc431466270 \h </w:instrText>
      </w:r>
      <w:r w:rsidR="004F3B1F" w:rsidRPr="004952C0">
        <w:rPr>
          <w:noProof/>
        </w:rPr>
      </w:r>
      <w:r w:rsidR="004F3B1F" w:rsidRPr="004952C0">
        <w:rPr>
          <w:noProof/>
        </w:rPr>
        <w:fldChar w:fldCharType="separate"/>
      </w:r>
      <w:r w:rsidRPr="004952C0">
        <w:rPr>
          <w:noProof/>
        </w:rPr>
        <w:t>15</w:t>
      </w:r>
      <w:r w:rsidR="004F3B1F" w:rsidRPr="004952C0">
        <w:rPr>
          <w:noProof/>
        </w:rPr>
        <w:fldChar w:fldCharType="end"/>
      </w:r>
    </w:p>
    <w:p w:rsidR="00FA181A" w:rsidRPr="004952C0" w:rsidRDefault="00FA181A">
      <w:pPr>
        <w:pStyle w:val="TOC3"/>
        <w:rPr>
          <w:rFonts w:asciiTheme="minorHAnsi" w:eastAsiaTheme="minorEastAsia" w:hAnsiTheme="minorHAnsi" w:cstheme="minorBidi"/>
          <w:b w:val="0"/>
          <w:noProof/>
          <w:kern w:val="0"/>
          <w:szCs w:val="22"/>
        </w:rPr>
      </w:pPr>
      <w:r w:rsidRPr="004952C0">
        <w:rPr>
          <w:noProof/>
        </w:rPr>
        <w:t>Division 3—Additional requirements for small motor fan upgrades</w:t>
      </w:r>
      <w:r w:rsidRPr="004952C0">
        <w:rPr>
          <w:noProof/>
        </w:rPr>
        <w:tab/>
      </w:r>
      <w:r w:rsidR="004F3B1F" w:rsidRPr="004952C0">
        <w:rPr>
          <w:noProof/>
        </w:rPr>
        <w:fldChar w:fldCharType="begin"/>
      </w:r>
      <w:r w:rsidRPr="004952C0">
        <w:rPr>
          <w:noProof/>
        </w:rPr>
        <w:instrText xml:space="preserve"> PAGEREF _Toc431466271 \h </w:instrText>
      </w:r>
      <w:r w:rsidR="004F3B1F" w:rsidRPr="004952C0">
        <w:rPr>
          <w:noProof/>
        </w:rPr>
      </w:r>
      <w:r w:rsidR="004F3B1F" w:rsidRPr="004952C0">
        <w:rPr>
          <w:noProof/>
        </w:rPr>
        <w:fldChar w:fldCharType="separate"/>
      </w:r>
      <w:r w:rsidRPr="004952C0">
        <w:rPr>
          <w:noProof/>
        </w:rPr>
        <w:t>16</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17  Additional requirements for small motor fan upgrades</w:t>
      </w:r>
      <w:r w:rsidRPr="004952C0">
        <w:rPr>
          <w:noProof/>
        </w:rPr>
        <w:tab/>
      </w:r>
      <w:r w:rsidR="004F3B1F" w:rsidRPr="004952C0">
        <w:rPr>
          <w:noProof/>
        </w:rPr>
        <w:fldChar w:fldCharType="begin"/>
      </w:r>
      <w:r w:rsidRPr="004952C0">
        <w:rPr>
          <w:noProof/>
        </w:rPr>
        <w:instrText xml:space="preserve"> PAGEREF _Toc431466272 \h </w:instrText>
      </w:r>
      <w:r w:rsidR="004F3B1F" w:rsidRPr="004952C0">
        <w:rPr>
          <w:noProof/>
        </w:rPr>
      </w:r>
      <w:r w:rsidR="004F3B1F" w:rsidRPr="004952C0">
        <w:rPr>
          <w:noProof/>
        </w:rPr>
        <w:fldChar w:fldCharType="separate"/>
      </w:r>
      <w:r w:rsidRPr="004952C0">
        <w:rPr>
          <w:noProof/>
        </w:rPr>
        <w:t>16</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18  Disposal of fans and other components for small motor fan upgrades</w:t>
      </w:r>
      <w:r w:rsidRPr="004952C0">
        <w:rPr>
          <w:noProof/>
        </w:rPr>
        <w:tab/>
      </w:r>
      <w:r w:rsidR="004F3B1F" w:rsidRPr="004952C0">
        <w:rPr>
          <w:noProof/>
        </w:rPr>
        <w:fldChar w:fldCharType="begin"/>
      </w:r>
      <w:r w:rsidRPr="004952C0">
        <w:rPr>
          <w:noProof/>
        </w:rPr>
        <w:instrText xml:space="preserve"> PAGEREF _Toc431466273 \h </w:instrText>
      </w:r>
      <w:r w:rsidR="004F3B1F" w:rsidRPr="004952C0">
        <w:rPr>
          <w:noProof/>
        </w:rPr>
      </w:r>
      <w:r w:rsidR="004F3B1F" w:rsidRPr="004952C0">
        <w:rPr>
          <w:noProof/>
        </w:rPr>
        <w:fldChar w:fldCharType="separate"/>
      </w:r>
      <w:r w:rsidRPr="004952C0">
        <w:rPr>
          <w:noProof/>
        </w:rPr>
        <w:t>17</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19  Requirement relating to testing for small motor fan upgrades</w:t>
      </w:r>
      <w:r w:rsidRPr="004952C0">
        <w:rPr>
          <w:noProof/>
        </w:rPr>
        <w:tab/>
      </w:r>
      <w:r w:rsidR="004F3B1F" w:rsidRPr="004952C0">
        <w:rPr>
          <w:noProof/>
        </w:rPr>
        <w:fldChar w:fldCharType="begin"/>
      </w:r>
      <w:r w:rsidRPr="004952C0">
        <w:rPr>
          <w:noProof/>
        </w:rPr>
        <w:instrText xml:space="preserve"> PAGEREF _Toc431466274 \h </w:instrText>
      </w:r>
      <w:r w:rsidR="004F3B1F" w:rsidRPr="004952C0">
        <w:rPr>
          <w:noProof/>
        </w:rPr>
      </w:r>
      <w:r w:rsidR="004F3B1F" w:rsidRPr="004952C0">
        <w:rPr>
          <w:noProof/>
        </w:rPr>
        <w:fldChar w:fldCharType="separate"/>
      </w:r>
      <w:r w:rsidRPr="004952C0">
        <w:rPr>
          <w:noProof/>
        </w:rPr>
        <w:t>17</w:t>
      </w:r>
      <w:r w:rsidR="004F3B1F" w:rsidRPr="004952C0">
        <w:rPr>
          <w:noProof/>
        </w:rPr>
        <w:fldChar w:fldCharType="end"/>
      </w:r>
    </w:p>
    <w:p w:rsidR="00FA181A" w:rsidRPr="004952C0" w:rsidRDefault="00FA181A">
      <w:pPr>
        <w:pStyle w:val="TOC2"/>
        <w:rPr>
          <w:rFonts w:asciiTheme="minorHAnsi" w:eastAsiaTheme="minorEastAsia" w:hAnsiTheme="minorHAnsi" w:cstheme="minorBidi"/>
          <w:b w:val="0"/>
          <w:noProof/>
          <w:kern w:val="0"/>
          <w:sz w:val="22"/>
          <w:szCs w:val="22"/>
        </w:rPr>
      </w:pPr>
      <w:r w:rsidRPr="004952C0">
        <w:rPr>
          <w:noProof/>
        </w:rPr>
        <w:t>Part 4—Net abatement amount</w:t>
      </w:r>
      <w:r w:rsidRPr="004952C0">
        <w:rPr>
          <w:noProof/>
        </w:rPr>
        <w:tab/>
      </w:r>
      <w:r w:rsidR="004F3B1F" w:rsidRPr="004952C0">
        <w:rPr>
          <w:noProof/>
        </w:rPr>
        <w:fldChar w:fldCharType="begin"/>
      </w:r>
      <w:r w:rsidRPr="004952C0">
        <w:rPr>
          <w:noProof/>
        </w:rPr>
        <w:instrText xml:space="preserve"> PAGEREF _Toc431466275 \h </w:instrText>
      </w:r>
      <w:r w:rsidR="004F3B1F" w:rsidRPr="004952C0">
        <w:rPr>
          <w:noProof/>
        </w:rPr>
      </w:r>
      <w:r w:rsidR="004F3B1F" w:rsidRPr="004952C0">
        <w:rPr>
          <w:noProof/>
        </w:rPr>
        <w:fldChar w:fldCharType="separate"/>
      </w:r>
      <w:r w:rsidRPr="004952C0">
        <w:rPr>
          <w:noProof/>
        </w:rPr>
        <w:t>18</w:t>
      </w:r>
      <w:r w:rsidR="004F3B1F" w:rsidRPr="004952C0">
        <w:rPr>
          <w:noProof/>
        </w:rPr>
        <w:fldChar w:fldCharType="end"/>
      </w:r>
    </w:p>
    <w:p w:rsidR="00FA181A" w:rsidRPr="004952C0" w:rsidRDefault="00FA181A">
      <w:pPr>
        <w:pStyle w:val="TOC3"/>
        <w:rPr>
          <w:rFonts w:asciiTheme="minorHAnsi" w:eastAsiaTheme="minorEastAsia" w:hAnsiTheme="minorHAnsi" w:cstheme="minorBidi"/>
          <w:b w:val="0"/>
          <w:noProof/>
          <w:kern w:val="0"/>
          <w:szCs w:val="22"/>
        </w:rPr>
      </w:pPr>
      <w:r w:rsidRPr="004952C0">
        <w:rPr>
          <w:noProof/>
        </w:rPr>
        <w:t>Division 1—Preliminary</w:t>
      </w:r>
      <w:r w:rsidRPr="004952C0">
        <w:rPr>
          <w:noProof/>
        </w:rPr>
        <w:tab/>
      </w:r>
      <w:r w:rsidR="004F3B1F" w:rsidRPr="004952C0">
        <w:rPr>
          <w:noProof/>
        </w:rPr>
        <w:fldChar w:fldCharType="begin"/>
      </w:r>
      <w:r w:rsidRPr="004952C0">
        <w:rPr>
          <w:noProof/>
        </w:rPr>
        <w:instrText xml:space="preserve"> PAGEREF _Toc431466276 \h </w:instrText>
      </w:r>
      <w:r w:rsidR="004F3B1F" w:rsidRPr="004952C0">
        <w:rPr>
          <w:noProof/>
        </w:rPr>
      </w:r>
      <w:r w:rsidR="004F3B1F" w:rsidRPr="004952C0">
        <w:rPr>
          <w:noProof/>
        </w:rPr>
        <w:fldChar w:fldCharType="separate"/>
      </w:r>
      <w:r w:rsidRPr="004952C0">
        <w:rPr>
          <w:noProof/>
        </w:rPr>
        <w:t>18</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20  Operation of this Part</w:t>
      </w:r>
      <w:r w:rsidRPr="004952C0">
        <w:rPr>
          <w:noProof/>
        </w:rPr>
        <w:tab/>
      </w:r>
      <w:r w:rsidR="004F3B1F" w:rsidRPr="004952C0">
        <w:rPr>
          <w:noProof/>
        </w:rPr>
        <w:fldChar w:fldCharType="begin"/>
      </w:r>
      <w:r w:rsidRPr="004952C0">
        <w:rPr>
          <w:noProof/>
        </w:rPr>
        <w:instrText xml:space="preserve"> PAGEREF _Toc431466277 \h </w:instrText>
      </w:r>
      <w:r w:rsidR="004F3B1F" w:rsidRPr="004952C0">
        <w:rPr>
          <w:noProof/>
        </w:rPr>
      </w:r>
      <w:r w:rsidR="004F3B1F" w:rsidRPr="004952C0">
        <w:rPr>
          <w:noProof/>
        </w:rPr>
        <w:fldChar w:fldCharType="separate"/>
      </w:r>
      <w:r w:rsidRPr="004952C0">
        <w:rPr>
          <w:noProof/>
        </w:rPr>
        <w:t>18</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21  Overview of gases accounted for in abatement calculations</w:t>
      </w:r>
      <w:r w:rsidRPr="004952C0">
        <w:rPr>
          <w:noProof/>
        </w:rPr>
        <w:tab/>
      </w:r>
      <w:r w:rsidR="004F3B1F" w:rsidRPr="004952C0">
        <w:rPr>
          <w:noProof/>
        </w:rPr>
        <w:fldChar w:fldCharType="begin"/>
      </w:r>
      <w:r w:rsidRPr="004952C0">
        <w:rPr>
          <w:noProof/>
        </w:rPr>
        <w:instrText xml:space="preserve"> PAGEREF _Toc431466278 \h </w:instrText>
      </w:r>
      <w:r w:rsidR="004F3B1F" w:rsidRPr="004952C0">
        <w:rPr>
          <w:noProof/>
        </w:rPr>
      </w:r>
      <w:r w:rsidR="004F3B1F" w:rsidRPr="004952C0">
        <w:rPr>
          <w:noProof/>
        </w:rPr>
        <w:fldChar w:fldCharType="separate"/>
      </w:r>
      <w:r w:rsidRPr="004952C0">
        <w:rPr>
          <w:noProof/>
        </w:rPr>
        <w:t>18</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22  Fans to be used in calculations</w:t>
      </w:r>
      <w:r w:rsidRPr="004952C0">
        <w:rPr>
          <w:noProof/>
        </w:rPr>
        <w:tab/>
      </w:r>
      <w:r w:rsidR="004F3B1F" w:rsidRPr="004952C0">
        <w:rPr>
          <w:noProof/>
        </w:rPr>
        <w:fldChar w:fldCharType="begin"/>
      </w:r>
      <w:r w:rsidRPr="004952C0">
        <w:rPr>
          <w:noProof/>
        </w:rPr>
        <w:instrText xml:space="preserve"> PAGEREF _Toc431466279 \h </w:instrText>
      </w:r>
      <w:r w:rsidR="004F3B1F" w:rsidRPr="004952C0">
        <w:rPr>
          <w:noProof/>
        </w:rPr>
      </w:r>
      <w:r w:rsidR="004F3B1F" w:rsidRPr="004952C0">
        <w:rPr>
          <w:noProof/>
        </w:rPr>
        <w:fldChar w:fldCharType="separate"/>
      </w:r>
      <w:r w:rsidRPr="004952C0">
        <w:rPr>
          <w:noProof/>
        </w:rPr>
        <w:t>18</w:t>
      </w:r>
      <w:r w:rsidR="004F3B1F" w:rsidRPr="004952C0">
        <w:rPr>
          <w:noProof/>
        </w:rPr>
        <w:fldChar w:fldCharType="end"/>
      </w:r>
    </w:p>
    <w:p w:rsidR="00FA181A" w:rsidRPr="004952C0" w:rsidRDefault="00FA181A">
      <w:pPr>
        <w:pStyle w:val="TOC3"/>
        <w:rPr>
          <w:rFonts w:asciiTheme="minorHAnsi" w:eastAsiaTheme="minorEastAsia" w:hAnsiTheme="minorHAnsi" w:cstheme="minorBidi"/>
          <w:b w:val="0"/>
          <w:noProof/>
          <w:kern w:val="0"/>
          <w:szCs w:val="22"/>
        </w:rPr>
      </w:pPr>
      <w:r w:rsidRPr="004952C0">
        <w:rPr>
          <w:noProof/>
        </w:rPr>
        <w:t>Division 2—Calculating net abatement amount</w:t>
      </w:r>
      <w:r w:rsidRPr="004952C0">
        <w:rPr>
          <w:noProof/>
        </w:rPr>
        <w:tab/>
      </w:r>
      <w:r w:rsidR="004F3B1F" w:rsidRPr="004952C0">
        <w:rPr>
          <w:noProof/>
        </w:rPr>
        <w:fldChar w:fldCharType="begin"/>
      </w:r>
      <w:r w:rsidRPr="004952C0">
        <w:rPr>
          <w:noProof/>
        </w:rPr>
        <w:instrText xml:space="preserve"> PAGEREF _Toc431466280 \h </w:instrText>
      </w:r>
      <w:r w:rsidR="004F3B1F" w:rsidRPr="004952C0">
        <w:rPr>
          <w:noProof/>
        </w:rPr>
      </w:r>
      <w:r w:rsidR="004F3B1F" w:rsidRPr="004952C0">
        <w:rPr>
          <w:noProof/>
        </w:rPr>
        <w:fldChar w:fldCharType="separate"/>
      </w:r>
      <w:r w:rsidRPr="004952C0">
        <w:rPr>
          <w:noProof/>
        </w:rPr>
        <w:t>19</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23  Summary of this Division</w:t>
      </w:r>
      <w:r w:rsidRPr="004952C0">
        <w:rPr>
          <w:noProof/>
        </w:rPr>
        <w:tab/>
      </w:r>
      <w:r w:rsidR="004F3B1F" w:rsidRPr="004952C0">
        <w:rPr>
          <w:noProof/>
        </w:rPr>
        <w:fldChar w:fldCharType="begin"/>
      </w:r>
      <w:r w:rsidRPr="004952C0">
        <w:rPr>
          <w:noProof/>
        </w:rPr>
        <w:instrText xml:space="preserve"> PAGEREF _Toc431466281 \h </w:instrText>
      </w:r>
      <w:r w:rsidR="004F3B1F" w:rsidRPr="004952C0">
        <w:rPr>
          <w:noProof/>
        </w:rPr>
      </w:r>
      <w:r w:rsidR="004F3B1F" w:rsidRPr="004952C0">
        <w:rPr>
          <w:noProof/>
        </w:rPr>
        <w:fldChar w:fldCharType="separate"/>
      </w:r>
      <w:r w:rsidRPr="004952C0">
        <w:rPr>
          <w:noProof/>
        </w:rPr>
        <w:t>19</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24  Equation 1—net abatement amount (</w:t>
      </w:r>
      <w:r w:rsidRPr="004952C0">
        <w:rPr>
          <w:i/>
          <w:noProof/>
        </w:rPr>
        <w:t>A</w:t>
      </w:r>
      <w:r w:rsidRPr="004952C0">
        <w:rPr>
          <w:noProof/>
        </w:rPr>
        <w:t>)</w:t>
      </w:r>
      <w:r w:rsidRPr="004952C0">
        <w:rPr>
          <w:noProof/>
        </w:rPr>
        <w:tab/>
      </w:r>
      <w:r w:rsidR="004F3B1F" w:rsidRPr="004952C0">
        <w:rPr>
          <w:noProof/>
        </w:rPr>
        <w:fldChar w:fldCharType="begin"/>
      </w:r>
      <w:r w:rsidRPr="004952C0">
        <w:rPr>
          <w:noProof/>
        </w:rPr>
        <w:instrText xml:space="preserve"> PAGEREF _Toc431466282 \h </w:instrText>
      </w:r>
      <w:r w:rsidR="004F3B1F" w:rsidRPr="004952C0">
        <w:rPr>
          <w:noProof/>
        </w:rPr>
      </w:r>
      <w:r w:rsidR="004F3B1F" w:rsidRPr="004952C0">
        <w:rPr>
          <w:noProof/>
        </w:rPr>
        <w:fldChar w:fldCharType="separate"/>
      </w:r>
      <w:r w:rsidRPr="004952C0">
        <w:rPr>
          <w:noProof/>
        </w:rPr>
        <w:t>19</w:t>
      </w:r>
      <w:r w:rsidR="004F3B1F" w:rsidRPr="004952C0">
        <w:rPr>
          <w:noProof/>
        </w:rPr>
        <w:fldChar w:fldCharType="end"/>
      </w:r>
    </w:p>
    <w:p w:rsidR="00FA181A" w:rsidRPr="004952C0" w:rsidRDefault="00FA181A">
      <w:pPr>
        <w:pStyle w:val="TOC3"/>
        <w:rPr>
          <w:rFonts w:asciiTheme="minorHAnsi" w:eastAsiaTheme="minorEastAsia" w:hAnsiTheme="minorHAnsi" w:cstheme="minorBidi"/>
          <w:b w:val="0"/>
          <w:noProof/>
          <w:kern w:val="0"/>
          <w:szCs w:val="22"/>
        </w:rPr>
      </w:pPr>
      <w:r w:rsidRPr="004952C0">
        <w:rPr>
          <w:noProof/>
        </w:rPr>
        <w:t>Division 3—Calculating net abatement from installed HE fans</w:t>
      </w:r>
      <w:r w:rsidRPr="004952C0">
        <w:rPr>
          <w:noProof/>
        </w:rPr>
        <w:tab/>
      </w:r>
      <w:r w:rsidR="004F3B1F" w:rsidRPr="004952C0">
        <w:rPr>
          <w:noProof/>
        </w:rPr>
        <w:fldChar w:fldCharType="begin"/>
      </w:r>
      <w:r w:rsidRPr="004952C0">
        <w:rPr>
          <w:noProof/>
        </w:rPr>
        <w:instrText xml:space="preserve"> PAGEREF _Toc431466283 \h </w:instrText>
      </w:r>
      <w:r w:rsidR="004F3B1F" w:rsidRPr="004952C0">
        <w:rPr>
          <w:noProof/>
        </w:rPr>
      </w:r>
      <w:r w:rsidR="004F3B1F" w:rsidRPr="004952C0">
        <w:rPr>
          <w:noProof/>
        </w:rPr>
        <w:fldChar w:fldCharType="separate"/>
      </w:r>
      <w:r w:rsidRPr="004952C0">
        <w:rPr>
          <w:noProof/>
        </w:rPr>
        <w:t>19</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25  Summary of this Division</w:t>
      </w:r>
      <w:r w:rsidRPr="004952C0">
        <w:rPr>
          <w:noProof/>
        </w:rPr>
        <w:tab/>
      </w:r>
      <w:r w:rsidR="004F3B1F" w:rsidRPr="004952C0">
        <w:rPr>
          <w:noProof/>
        </w:rPr>
        <w:fldChar w:fldCharType="begin"/>
      </w:r>
      <w:r w:rsidRPr="004952C0">
        <w:rPr>
          <w:noProof/>
        </w:rPr>
        <w:instrText xml:space="preserve"> PAGEREF _Toc431466284 \h </w:instrText>
      </w:r>
      <w:r w:rsidR="004F3B1F" w:rsidRPr="004952C0">
        <w:rPr>
          <w:noProof/>
        </w:rPr>
      </w:r>
      <w:r w:rsidR="004F3B1F" w:rsidRPr="004952C0">
        <w:rPr>
          <w:noProof/>
        </w:rPr>
        <w:fldChar w:fldCharType="separate"/>
      </w:r>
      <w:r w:rsidRPr="004952C0">
        <w:rPr>
          <w:noProof/>
        </w:rPr>
        <w:t>19</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26  Equation 2—net abatement from installed HE fans (</w:t>
      </w:r>
      <w:r w:rsidRPr="004952C0">
        <w:rPr>
          <w:i/>
          <w:noProof/>
        </w:rPr>
        <w:t>A</w:t>
      </w:r>
      <w:r w:rsidRPr="004952C0">
        <w:rPr>
          <w:i/>
          <w:noProof/>
          <w:vertAlign w:val="subscript"/>
        </w:rPr>
        <w:t>HE</w:t>
      </w:r>
      <w:r w:rsidRPr="004952C0">
        <w:rPr>
          <w:noProof/>
        </w:rPr>
        <w:t>)</w:t>
      </w:r>
      <w:r w:rsidRPr="004952C0">
        <w:rPr>
          <w:noProof/>
        </w:rPr>
        <w:tab/>
      </w:r>
      <w:r w:rsidR="004F3B1F" w:rsidRPr="004952C0">
        <w:rPr>
          <w:noProof/>
        </w:rPr>
        <w:fldChar w:fldCharType="begin"/>
      </w:r>
      <w:r w:rsidRPr="004952C0">
        <w:rPr>
          <w:noProof/>
        </w:rPr>
        <w:instrText xml:space="preserve"> PAGEREF _Toc431466285 \h </w:instrText>
      </w:r>
      <w:r w:rsidR="004F3B1F" w:rsidRPr="004952C0">
        <w:rPr>
          <w:noProof/>
        </w:rPr>
      </w:r>
      <w:r w:rsidR="004F3B1F" w:rsidRPr="004952C0">
        <w:rPr>
          <w:noProof/>
        </w:rPr>
        <w:fldChar w:fldCharType="separate"/>
      </w:r>
      <w:r w:rsidRPr="004952C0">
        <w:rPr>
          <w:noProof/>
        </w:rPr>
        <w:t>19</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27  Equation 3—abatement amount from each installed HE fan (</w:t>
      </w:r>
      <w:r w:rsidRPr="004952C0">
        <w:rPr>
          <w:i/>
          <w:noProof/>
        </w:rPr>
        <w:t>A</w:t>
      </w:r>
      <w:r w:rsidRPr="004952C0">
        <w:rPr>
          <w:i/>
          <w:noProof/>
          <w:vertAlign w:val="subscript"/>
        </w:rPr>
        <w:t>HE,i</w:t>
      </w:r>
      <w:r w:rsidRPr="004952C0">
        <w:rPr>
          <w:noProof/>
        </w:rPr>
        <w:t>)</w:t>
      </w:r>
      <w:r w:rsidRPr="004952C0">
        <w:rPr>
          <w:noProof/>
        </w:rPr>
        <w:tab/>
      </w:r>
      <w:r w:rsidR="004F3B1F" w:rsidRPr="004952C0">
        <w:rPr>
          <w:noProof/>
        </w:rPr>
        <w:fldChar w:fldCharType="begin"/>
      </w:r>
      <w:r w:rsidRPr="004952C0">
        <w:rPr>
          <w:noProof/>
        </w:rPr>
        <w:instrText xml:space="preserve"> PAGEREF _Toc431466286 \h </w:instrText>
      </w:r>
      <w:r w:rsidR="004F3B1F" w:rsidRPr="004952C0">
        <w:rPr>
          <w:noProof/>
        </w:rPr>
      </w:r>
      <w:r w:rsidR="004F3B1F" w:rsidRPr="004952C0">
        <w:rPr>
          <w:noProof/>
        </w:rPr>
        <w:fldChar w:fldCharType="separate"/>
      </w:r>
      <w:r w:rsidRPr="004952C0">
        <w:rPr>
          <w:noProof/>
        </w:rPr>
        <w:t>20</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28  Equation 4—motor input power of installed HE fan (</w:t>
      </w:r>
      <w:r w:rsidRPr="004952C0">
        <w:rPr>
          <w:i/>
          <w:noProof/>
        </w:rPr>
        <w:t>P</w:t>
      </w:r>
      <w:r w:rsidRPr="004952C0">
        <w:rPr>
          <w:i/>
          <w:noProof/>
          <w:vertAlign w:val="subscript"/>
        </w:rPr>
        <w:t>E,i</w:t>
      </w:r>
      <w:r w:rsidRPr="004952C0">
        <w:rPr>
          <w:noProof/>
        </w:rPr>
        <w:t>)</w:t>
      </w:r>
      <w:r w:rsidRPr="004952C0">
        <w:rPr>
          <w:noProof/>
        </w:rPr>
        <w:tab/>
      </w:r>
      <w:r w:rsidR="004F3B1F" w:rsidRPr="004952C0">
        <w:rPr>
          <w:noProof/>
        </w:rPr>
        <w:fldChar w:fldCharType="begin"/>
      </w:r>
      <w:r w:rsidRPr="004952C0">
        <w:rPr>
          <w:noProof/>
        </w:rPr>
        <w:instrText xml:space="preserve"> PAGEREF _Toc431466287 \h </w:instrText>
      </w:r>
      <w:r w:rsidR="004F3B1F" w:rsidRPr="004952C0">
        <w:rPr>
          <w:noProof/>
        </w:rPr>
      </w:r>
      <w:r w:rsidR="004F3B1F" w:rsidRPr="004952C0">
        <w:rPr>
          <w:noProof/>
        </w:rPr>
        <w:fldChar w:fldCharType="separate"/>
      </w:r>
      <w:r w:rsidRPr="004952C0">
        <w:rPr>
          <w:noProof/>
        </w:rPr>
        <w:t>21</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29  Equation 5—overall driven fan efficiency of installed HE fan (</w:t>
      </w:r>
      <w:r w:rsidRPr="004952C0">
        <w:rPr>
          <w:rFonts w:ascii="Cambria Math" w:hAnsi="Cambria Math"/>
          <w:i/>
          <w:noProof/>
        </w:rPr>
        <w:t>𝜂</w:t>
      </w:r>
      <w:r w:rsidRPr="004952C0">
        <w:rPr>
          <w:i/>
          <w:noProof/>
          <w:vertAlign w:val="subscript"/>
        </w:rPr>
        <w:t>i</w:t>
      </w:r>
      <w:r w:rsidRPr="004952C0">
        <w:rPr>
          <w:noProof/>
        </w:rPr>
        <w:t>) for components tested as installed</w:t>
      </w:r>
      <w:r w:rsidRPr="004952C0">
        <w:rPr>
          <w:noProof/>
        </w:rPr>
        <w:tab/>
      </w:r>
      <w:r w:rsidR="004F3B1F" w:rsidRPr="004952C0">
        <w:rPr>
          <w:noProof/>
        </w:rPr>
        <w:fldChar w:fldCharType="begin"/>
      </w:r>
      <w:r w:rsidRPr="004952C0">
        <w:rPr>
          <w:noProof/>
        </w:rPr>
        <w:instrText xml:space="preserve"> PAGEREF _Toc431466288 \h </w:instrText>
      </w:r>
      <w:r w:rsidR="004F3B1F" w:rsidRPr="004952C0">
        <w:rPr>
          <w:noProof/>
        </w:rPr>
      </w:r>
      <w:r w:rsidR="004F3B1F" w:rsidRPr="004952C0">
        <w:rPr>
          <w:noProof/>
        </w:rPr>
        <w:fldChar w:fldCharType="separate"/>
      </w:r>
      <w:r w:rsidRPr="004952C0">
        <w:rPr>
          <w:noProof/>
        </w:rPr>
        <w:t>22</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30  Equation 6—overall driven fan efficiency of installed HE fan (</w:t>
      </w:r>
      <w:r w:rsidRPr="004952C0">
        <w:rPr>
          <w:rFonts w:ascii="Cambria Math" w:hAnsi="Cambria Math"/>
          <w:i/>
          <w:noProof/>
        </w:rPr>
        <w:t>𝜂</w:t>
      </w:r>
      <w:r w:rsidRPr="004952C0">
        <w:rPr>
          <w:rFonts w:ascii="Cambria Math" w:hAnsi="Cambria Math"/>
          <w:i/>
          <w:noProof/>
          <w:vertAlign w:val="subscript"/>
        </w:rPr>
        <w:t>i</w:t>
      </w:r>
      <w:r w:rsidRPr="004952C0">
        <w:rPr>
          <w:rFonts w:ascii="Cambria Math" w:hAnsi="Cambria Math"/>
          <w:noProof/>
        </w:rPr>
        <w:t xml:space="preserve">) </w:t>
      </w:r>
      <w:r w:rsidRPr="004952C0">
        <w:rPr>
          <w:noProof/>
        </w:rPr>
        <w:t>for components tested separately</w:t>
      </w:r>
      <w:r w:rsidRPr="004952C0">
        <w:rPr>
          <w:noProof/>
        </w:rPr>
        <w:tab/>
      </w:r>
      <w:r w:rsidR="004F3B1F" w:rsidRPr="004952C0">
        <w:rPr>
          <w:noProof/>
        </w:rPr>
        <w:fldChar w:fldCharType="begin"/>
      </w:r>
      <w:r w:rsidRPr="004952C0">
        <w:rPr>
          <w:noProof/>
        </w:rPr>
        <w:instrText xml:space="preserve"> PAGEREF _Toc431466289 \h </w:instrText>
      </w:r>
      <w:r w:rsidR="004F3B1F" w:rsidRPr="004952C0">
        <w:rPr>
          <w:noProof/>
        </w:rPr>
      </w:r>
      <w:r w:rsidR="004F3B1F" w:rsidRPr="004952C0">
        <w:rPr>
          <w:noProof/>
        </w:rPr>
        <w:fldChar w:fldCharType="separate"/>
      </w:r>
      <w:r w:rsidRPr="004952C0">
        <w:rPr>
          <w:noProof/>
        </w:rPr>
        <w:t>22</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31  Equation 7—baseline overall energy efficiency of installed HE fan (</w:t>
      </w:r>
      <w:r w:rsidRPr="004952C0">
        <w:rPr>
          <w:rFonts w:ascii="Cambria Math" w:hAnsi="Cambria Math"/>
          <w:i/>
          <w:noProof/>
        </w:rPr>
        <w:t>𝜂</w:t>
      </w:r>
      <w:r w:rsidRPr="004952C0">
        <w:rPr>
          <w:i/>
          <w:noProof/>
          <w:vertAlign w:val="subscript"/>
        </w:rPr>
        <w:t>B,i</w:t>
      </w:r>
      <w:r w:rsidRPr="004952C0">
        <w:rPr>
          <w:noProof/>
        </w:rPr>
        <w:t>)</w:t>
      </w:r>
      <w:r w:rsidRPr="004952C0">
        <w:rPr>
          <w:noProof/>
        </w:rPr>
        <w:tab/>
      </w:r>
      <w:r w:rsidR="004F3B1F" w:rsidRPr="004952C0">
        <w:rPr>
          <w:noProof/>
        </w:rPr>
        <w:fldChar w:fldCharType="begin"/>
      </w:r>
      <w:r w:rsidRPr="004952C0">
        <w:rPr>
          <w:noProof/>
        </w:rPr>
        <w:instrText xml:space="preserve"> PAGEREF _Toc431466290 \h </w:instrText>
      </w:r>
      <w:r w:rsidR="004F3B1F" w:rsidRPr="004952C0">
        <w:rPr>
          <w:noProof/>
        </w:rPr>
      </w:r>
      <w:r w:rsidR="004F3B1F" w:rsidRPr="004952C0">
        <w:rPr>
          <w:noProof/>
        </w:rPr>
        <w:fldChar w:fldCharType="separate"/>
      </w:r>
      <w:r w:rsidRPr="004952C0">
        <w:rPr>
          <w:noProof/>
        </w:rPr>
        <w:t>23</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32  Equations 8 and 9—part load compensation factor of installed HE fan (</w:t>
      </w:r>
      <w:r w:rsidRPr="004952C0">
        <w:rPr>
          <w:i/>
          <w:noProof/>
        </w:rPr>
        <w:t>C</w:t>
      </w:r>
      <w:r w:rsidRPr="004952C0">
        <w:rPr>
          <w:i/>
          <w:noProof/>
          <w:vertAlign w:val="subscript"/>
        </w:rPr>
        <w:t>C,i</w:t>
      </w:r>
      <w:r w:rsidRPr="004952C0">
        <w:rPr>
          <w:noProof/>
        </w:rPr>
        <w:t>)</w:t>
      </w:r>
      <w:r w:rsidRPr="004952C0">
        <w:rPr>
          <w:noProof/>
        </w:rPr>
        <w:tab/>
      </w:r>
      <w:r w:rsidR="004F3B1F" w:rsidRPr="004952C0">
        <w:rPr>
          <w:noProof/>
        </w:rPr>
        <w:fldChar w:fldCharType="begin"/>
      </w:r>
      <w:r w:rsidRPr="004952C0">
        <w:rPr>
          <w:noProof/>
        </w:rPr>
        <w:instrText xml:space="preserve"> PAGEREF _Toc431466291 \h </w:instrText>
      </w:r>
      <w:r w:rsidR="004F3B1F" w:rsidRPr="004952C0">
        <w:rPr>
          <w:noProof/>
        </w:rPr>
      </w:r>
      <w:r w:rsidR="004F3B1F" w:rsidRPr="004952C0">
        <w:rPr>
          <w:noProof/>
        </w:rPr>
        <w:fldChar w:fldCharType="separate"/>
      </w:r>
      <w:r w:rsidRPr="004952C0">
        <w:rPr>
          <w:noProof/>
        </w:rPr>
        <w:t>23</w:t>
      </w:r>
      <w:r w:rsidR="004F3B1F" w:rsidRPr="004952C0">
        <w:rPr>
          <w:noProof/>
        </w:rPr>
        <w:fldChar w:fldCharType="end"/>
      </w:r>
    </w:p>
    <w:p w:rsidR="00FA181A" w:rsidRPr="004952C0" w:rsidRDefault="00FA181A">
      <w:pPr>
        <w:pStyle w:val="TOC3"/>
        <w:rPr>
          <w:rFonts w:asciiTheme="minorHAnsi" w:eastAsiaTheme="minorEastAsia" w:hAnsiTheme="minorHAnsi" w:cstheme="minorBidi"/>
          <w:b w:val="0"/>
          <w:noProof/>
          <w:kern w:val="0"/>
          <w:szCs w:val="22"/>
        </w:rPr>
      </w:pPr>
      <w:r w:rsidRPr="004952C0">
        <w:rPr>
          <w:noProof/>
        </w:rPr>
        <w:t>Division 4—Calculating net abatement from installed SM fans</w:t>
      </w:r>
      <w:r w:rsidRPr="004952C0">
        <w:rPr>
          <w:noProof/>
        </w:rPr>
        <w:tab/>
      </w:r>
      <w:r w:rsidR="004F3B1F" w:rsidRPr="004952C0">
        <w:rPr>
          <w:noProof/>
        </w:rPr>
        <w:fldChar w:fldCharType="begin"/>
      </w:r>
      <w:r w:rsidRPr="004952C0">
        <w:rPr>
          <w:noProof/>
        </w:rPr>
        <w:instrText xml:space="preserve"> PAGEREF _Toc431466292 \h </w:instrText>
      </w:r>
      <w:r w:rsidR="004F3B1F" w:rsidRPr="004952C0">
        <w:rPr>
          <w:noProof/>
        </w:rPr>
      </w:r>
      <w:r w:rsidR="004F3B1F" w:rsidRPr="004952C0">
        <w:rPr>
          <w:noProof/>
        </w:rPr>
        <w:fldChar w:fldCharType="separate"/>
      </w:r>
      <w:r w:rsidRPr="004952C0">
        <w:rPr>
          <w:noProof/>
        </w:rPr>
        <w:t>24</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33  Summary of this Division</w:t>
      </w:r>
      <w:r w:rsidRPr="004952C0">
        <w:rPr>
          <w:noProof/>
        </w:rPr>
        <w:tab/>
      </w:r>
      <w:r w:rsidR="004F3B1F" w:rsidRPr="004952C0">
        <w:rPr>
          <w:noProof/>
        </w:rPr>
        <w:fldChar w:fldCharType="begin"/>
      </w:r>
      <w:r w:rsidRPr="004952C0">
        <w:rPr>
          <w:noProof/>
        </w:rPr>
        <w:instrText xml:space="preserve"> PAGEREF _Toc431466293 \h </w:instrText>
      </w:r>
      <w:r w:rsidR="004F3B1F" w:rsidRPr="004952C0">
        <w:rPr>
          <w:noProof/>
        </w:rPr>
      </w:r>
      <w:r w:rsidR="004F3B1F" w:rsidRPr="004952C0">
        <w:rPr>
          <w:noProof/>
        </w:rPr>
        <w:fldChar w:fldCharType="separate"/>
      </w:r>
      <w:r w:rsidRPr="004952C0">
        <w:rPr>
          <w:noProof/>
        </w:rPr>
        <w:t>24</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34  Equation 10—net abatement from installed SM fans (</w:t>
      </w:r>
      <w:r w:rsidRPr="004952C0">
        <w:rPr>
          <w:i/>
          <w:noProof/>
        </w:rPr>
        <w:t>A</w:t>
      </w:r>
      <w:r w:rsidRPr="004952C0">
        <w:rPr>
          <w:i/>
          <w:noProof/>
          <w:vertAlign w:val="subscript"/>
        </w:rPr>
        <w:t>SM</w:t>
      </w:r>
      <w:r w:rsidRPr="004952C0">
        <w:rPr>
          <w:noProof/>
        </w:rPr>
        <w:t>)</w:t>
      </w:r>
      <w:r w:rsidRPr="004952C0">
        <w:rPr>
          <w:noProof/>
        </w:rPr>
        <w:tab/>
      </w:r>
      <w:r w:rsidR="004F3B1F" w:rsidRPr="004952C0">
        <w:rPr>
          <w:noProof/>
        </w:rPr>
        <w:fldChar w:fldCharType="begin"/>
      </w:r>
      <w:r w:rsidRPr="004952C0">
        <w:rPr>
          <w:noProof/>
        </w:rPr>
        <w:instrText xml:space="preserve"> PAGEREF _Toc431466294 \h </w:instrText>
      </w:r>
      <w:r w:rsidR="004F3B1F" w:rsidRPr="004952C0">
        <w:rPr>
          <w:noProof/>
        </w:rPr>
      </w:r>
      <w:r w:rsidR="004F3B1F" w:rsidRPr="004952C0">
        <w:rPr>
          <w:noProof/>
        </w:rPr>
        <w:fldChar w:fldCharType="separate"/>
      </w:r>
      <w:r w:rsidRPr="004952C0">
        <w:rPr>
          <w:noProof/>
        </w:rPr>
        <w:t>24</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35  Equation 11—abatement amount from each installed SM fan (</w:t>
      </w:r>
      <w:r w:rsidRPr="004952C0">
        <w:rPr>
          <w:i/>
          <w:noProof/>
        </w:rPr>
        <w:t>A</w:t>
      </w:r>
      <w:r w:rsidRPr="004952C0">
        <w:rPr>
          <w:i/>
          <w:noProof/>
          <w:vertAlign w:val="subscript"/>
        </w:rPr>
        <w:t>SM,i</w:t>
      </w:r>
      <w:r w:rsidRPr="004952C0">
        <w:rPr>
          <w:noProof/>
        </w:rPr>
        <w:t>)</w:t>
      </w:r>
      <w:r w:rsidRPr="004952C0">
        <w:rPr>
          <w:noProof/>
        </w:rPr>
        <w:tab/>
      </w:r>
      <w:r w:rsidR="004F3B1F" w:rsidRPr="004952C0">
        <w:rPr>
          <w:noProof/>
        </w:rPr>
        <w:fldChar w:fldCharType="begin"/>
      </w:r>
      <w:r w:rsidRPr="004952C0">
        <w:rPr>
          <w:noProof/>
        </w:rPr>
        <w:instrText xml:space="preserve"> PAGEREF _Toc431466295 \h </w:instrText>
      </w:r>
      <w:r w:rsidR="004F3B1F" w:rsidRPr="004952C0">
        <w:rPr>
          <w:noProof/>
        </w:rPr>
      </w:r>
      <w:r w:rsidR="004F3B1F" w:rsidRPr="004952C0">
        <w:rPr>
          <w:noProof/>
        </w:rPr>
        <w:fldChar w:fldCharType="separate"/>
      </w:r>
      <w:r w:rsidRPr="004952C0">
        <w:rPr>
          <w:noProof/>
        </w:rPr>
        <w:t>24</w:t>
      </w:r>
      <w:r w:rsidR="004F3B1F" w:rsidRPr="004952C0">
        <w:rPr>
          <w:noProof/>
        </w:rPr>
        <w:fldChar w:fldCharType="end"/>
      </w:r>
    </w:p>
    <w:p w:rsidR="00FA181A" w:rsidRPr="004952C0" w:rsidRDefault="00FA181A">
      <w:pPr>
        <w:pStyle w:val="TOC2"/>
        <w:rPr>
          <w:rFonts w:asciiTheme="minorHAnsi" w:eastAsiaTheme="minorEastAsia" w:hAnsiTheme="minorHAnsi" w:cstheme="minorBidi"/>
          <w:b w:val="0"/>
          <w:noProof/>
          <w:kern w:val="0"/>
          <w:sz w:val="22"/>
          <w:szCs w:val="22"/>
        </w:rPr>
      </w:pPr>
      <w:r w:rsidRPr="004952C0">
        <w:rPr>
          <w:noProof/>
        </w:rPr>
        <w:lastRenderedPageBreak/>
        <w:t>Part 5—Reporting, notification and record-keeping requirements</w:t>
      </w:r>
      <w:r w:rsidRPr="004952C0">
        <w:rPr>
          <w:noProof/>
        </w:rPr>
        <w:tab/>
      </w:r>
      <w:r w:rsidR="004F3B1F" w:rsidRPr="004952C0">
        <w:rPr>
          <w:noProof/>
        </w:rPr>
        <w:fldChar w:fldCharType="begin"/>
      </w:r>
      <w:r w:rsidRPr="004952C0">
        <w:rPr>
          <w:noProof/>
        </w:rPr>
        <w:instrText xml:space="preserve"> PAGEREF _Toc431466296 \h </w:instrText>
      </w:r>
      <w:r w:rsidR="004F3B1F" w:rsidRPr="004952C0">
        <w:rPr>
          <w:noProof/>
        </w:rPr>
      </w:r>
      <w:r w:rsidR="004F3B1F" w:rsidRPr="004952C0">
        <w:rPr>
          <w:noProof/>
        </w:rPr>
        <w:fldChar w:fldCharType="separate"/>
      </w:r>
      <w:r w:rsidRPr="004952C0">
        <w:rPr>
          <w:noProof/>
        </w:rPr>
        <w:t>26</w:t>
      </w:r>
      <w:r w:rsidR="004F3B1F" w:rsidRPr="004952C0">
        <w:rPr>
          <w:noProof/>
        </w:rPr>
        <w:fldChar w:fldCharType="end"/>
      </w:r>
    </w:p>
    <w:p w:rsidR="00FA181A" w:rsidRPr="004952C0" w:rsidRDefault="00FA181A">
      <w:pPr>
        <w:pStyle w:val="TOC3"/>
        <w:rPr>
          <w:rFonts w:asciiTheme="minorHAnsi" w:eastAsiaTheme="minorEastAsia" w:hAnsiTheme="minorHAnsi" w:cstheme="minorBidi"/>
          <w:b w:val="0"/>
          <w:noProof/>
          <w:kern w:val="0"/>
          <w:szCs w:val="22"/>
        </w:rPr>
      </w:pPr>
      <w:r w:rsidRPr="004952C0">
        <w:rPr>
          <w:noProof/>
        </w:rPr>
        <w:t>Division 1—Offsets report requirements</w:t>
      </w:r>
      <w:r w:rsidRPr="004952C0">
        <w:rPr>
          <w:noProof/>
        </w:rPr>
        <w:tab/>
      </w:r>
      <w:r w:rsidR="004F3B1F" w:rsidRPr="004952C0">
        <w:rPr>
          <w:noProof/>
        </w:rPr>
        <w:fldChar w:fldCharType="begin"/>
      </w:r>
      <w:r w:rsidRPr="004952C0">
        <w:rPr>
          <w:noProof/>
        </w:rPr>
        <w:instrText xml:space="preserve"> PAGEREF _Toc431466297 \h </w:instrText>
      </w:r>
      <w:r w:rsidR="004F3B1F" w:rsidRPr="004952C0">
        <w:rPr>
          <w:noProof/>
        </w:rPr>
      </w:r>
      <w:r w:rsidR="004F3B1F" w:rsidRPr="004952C0">
        <w:rPr>
          <w:noProof/>
        </w:rPr>
        <w:fldChar w:fldCharType="separate"/>
      </w:r>
      <w:r w:rsidRPr="004952C0">
        <w:rPr>
          <w:noProof/>
        </w:rPr>
        <w:t>26</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36  Operation of this Division</w:t>
      </w:r>
      <w:r w:rsidRPr="004952C0">
        <w:rPr>
          <w:noProof/>
        </w:rPr>
        <w:tab/>
      </w:r>
      <w:r w:rsidR="004F3B1F" w:rsidRPr="004952C0">
        <w:rPr>
          <w:noProof/>
        </w:rPr>
        <w:fldChar w:fldCharType="begin"/>
      </w:r>
      <w:r w:rsidRPr="004952C0">
        <w:rPr>
          <w:noProof/>
        </w:rPr>
        <w:instrText xml:space="preserve"> PAGEREF _Toc431466298 \h </w:instrText>
      </w:r>
      <w:r w:rsidR="004F3B1F" w:rsidRPr="004952C0">
        <w:rPr>
          <w:noProof/>
        </w:rPr>
      </w:r>
      <w:r w:rsidR="004F3B1F" w:rsidRPr="004952C0">
        <w:rPr>
          <w:noProof/>
        </w:rPr>
        <w:fldChar w:fldCharType="separate"/>
      </w:r>
      <w:r w:rsidRPr="004952C0">
        <w:rPr>
          <w:noProof/>
        </w:rPr>
        <w:t>26</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37  Information that must be included in an offsets report</w:t>
      </w:r>
      <w:r w:rsidRPr="004952C0">
        <w:rPr>
          <w:noProof/>
        </w:rPr>
        <w:tab/>
      </w:r>
      <w:r w:rsidR="004F3B1F" w:rsidRPr="004952C0">
        <w:rPr>
          <w:noProof/>
        </w:rPr>
        <w:fldChar w:fldCharType="begin"/>
      </w:r>
      <w:r w:rsidRPr="004952C0">
        <w:rPr>
          <w:noProof/>
        </w:rPr>
        <w:instrText xml:space="preserve"> PAGEREF _Toc431466299 \h </w:instrText>
      </w:r>
      <w:r w:rsidR="004F3B1F" w:rsidRPr="004952C0">
        <w:rPr>
          <w:noProof/>
        </w:rPr>
      </w:r>
      <w:r w:rsidR="004F3B1F" w:rsidRPr="004952C0">
        <w:rPr>
          <w:noProof/>
        </w:rPr>
        <w:fldChar w:fldCharType="separate"/>
      </w:r>
      <w:r w:rsidRPr="004952C0">
        <w:rPr>
          <w:noProof/>
        </w:rPr>
        <w:t>26</w:t>
      </w:r>
      <w:r w:rsidR="004F3B1F" w:rsidRPr="004952C0">
        <w:rPr>
          <w:noProof/>
        </w:rPr>
        <w:fldChar w:fldCharType="end"/>
      </w:r>
    </w:p>
    <w:p w:rsidR="00FA181A" w:rsidRPr="004952C0" w:rsidRDefault="00FA181A">
      <w:pPr>
        <w:pStyle w:val="TOC3"/>
        <w:rPr>
          <w:rFonts w:asciiTheme="minorHAnsi" w:eastAsiaTheme="minorEastAsia" w:hAnsiTheme="minorHAnsi" w:cstheme="minorBidi"/>
          <w:b w:val="0"/>
          <w:noProof/>
          <w:kern w:val="0"/>
          <w:szCs w:val="22"/>
        </w:rPr>
      </w:pPr>
      <w:r w:rsidRPr="004952C0">
        <w:rPr>
          <w:noProof/>
        </w:rPr>
        <w:t>Division 2—Notification requirements</w:t>
      </w:r>
      <w:r w:rsidRPr="004952C0">
        <w:rPr>
          <w:noProof/>
        </w:rPr>
        <w:tab/>
      </w:r>
      <w:r w:rsidR="004F3B1F" w:rsidRPr="004952C0">
        <w:rPr>
          <w:noProof/>
        </w:rPr>
        <w:fldChar w:fldCharType="begin"/>
      </w:r>
      <w:r w:rsidRPr="004952C0">
        <w:rPr>
          <w:noProof/>
        </w:rPr>
        <w:instrText xml:space="preserve"> PAGEREF _Toc431466300 \h </w:instrText>
      </w:r>
      <w:r w:rsidR="004F3B1F" w:rsidRPr="004952C0">
        <w:rPr>
          <w:noProof/>
        </w:rPr>
      </w:r>
      <w:r w:rsidR="004F3B1F" w:rsidRPr="004952C0">
        <w:rPr>
          <w:noProof/>
        </w:rPr>
        <w:fldChar w:fldCharType="separate"/>
      </w:r>
      <w:r w:rsidRPr="004952C0">
        <w:rPr>
          <w:noProof/>
        </w:rPr>
        <w:t>27</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38  Operation of this Division</w:t>
      </w:r>
      <w:r w:rsidRPr="004952C0">
        <w:rPr>
          <w:noProof/>
        </w:rPr>
        <w:tab/>
      </w:r>
      <w:r w:rsidR="004F3B1F" w:rsidRPr="004952C0">
        <w:rPr>
          <w:noProof/>
        </w:rPr>
        <w:fldChar w:fldCharType="begin"/>
      </w:r>
      <w:r w:rsidRPr="004952C0">
        <w:rPr>
          <w:noProof/>
        </w:rPr>
        <w:instrText xml:space="preserve"> PAGEREF _Toc431466301 \h </w:instrText>
      </w:r>
      <w:r w:rsidR="004F3B1F" w:rsidRPr="004952C0">
        <w:rPr>
          <w:noProof/>
        </w:rPr>
      </w:r>
      <w:r w:rsidR="004F3B1F" w:rsidRPr="004952C0">
        <w:rPr>
          <w:noProof/>
        </w:rPr>
        <w:fldChar w:fldCharType="separate"/>
      </w:r>
      <w:r w:rsidRPr="004952C0">
        <w:rPr>
          <w:noProof/>
        </w:rPr>
        <w:t>27</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39  Notification requirements</w:t>
      </w:r>
      <w:r w:rsidRPr="004952C0">
        <w:rPr>
          <w:noProof/>
        </w:rPr>
        <w:tab/>
      </w:r>
      <w:r w:rsidR="004F3B1F" w:rsidRPr="004952C0">
        <w:rPr>
          <w:noProof/>
        </w:rPr>
        <w:fldChar w:fldCharType="begin"/>
      </w:r>
      <w:r w:rsidRPr="004952C0">
        <w:rPr>
          <w:noProof/>
        </w:rPr>
        <w:instrText xml:space="preserve"> PAGEREF _Toc431466302 \h </w:instrText>
      </w:r>
      <w:r w:rsidR="004F3B1F" w:rsidRPr="004952C0">
        <w:rPr>
          <w:noProof/>
        </w:rPr>
      </w:r>
      <w:r w:rsidR="004F3B1F" w:rsidRPr="004952C0">
        <w:rPr>
          <w:noProof/>
        </w:rPr>
        <w:fldChar w:fldCharType="separate"/>
      </w:r>
      <w:r w:rsidRPr="004952C0">
        <w:rPr>
          <w:noProof/>
        </w:rPr>
        <w:t>27</w:t>
      </w:r>
      <w:r w:rsidR="004F3B1F" w:rsidRPr="004952C0">
        <w:rPr>
          <w:noProof/>
        </w:rPr>
        <w:fldChar w:fldCharType="end"/>
      </w:r>
    </w:p>
    <w:p w:rsidR="00FA181A" w:rsidRPr="004952C0" w:rsidRDefault="00FA181A">
      <w:pPr>
        <w:pStyle w:val="TOC3"/>
        <w:rPr>
          <w:rFonts w:asciiTheme="minorHAnsi" w:eastAsiaTheme="minorEastAsia" w:hAnsiTheme="minorHAnsi" w:cstheme="minorBidi"/>
          <w:b w:val="0"/>
          <w:noProof/>
          <w:kern w:val="0"/>
          <w:szCs w:val="22"/>
        </w:rPr>
      </w:pPr>
      <w:r w:rsidRPr="004952C0">
        <w:rPr>
          <w:noProof/>
        </w:rPr>
        <w:t>Division 3—Record-keeping requirements</w:t>
      </w:r>
      <w:r w:rsidRPr="004952C0">
        <w:rPr>
          <w:noProof/>
        </w:rPr>
        <w:tab/>
      </w:r>
      <w:r w:rsidR="004F3B1F" w:rsidRPr="004952C0">
        <w:rPr>
          <w:noProof/>
        </w:rPr>
        <w:fldChar w:fldCharType="begin"/>
      </w:r>
      <w:r w:rsidRPr="004952C0">
        <w:rPr>
          <w:noProof/>
        </w:rPr>
        <w:instrText xml:space="preserve"> PAGEREF _Toc431466303 \h </w:instrText>
      </w:r>
      <w:r w:rsidR="004F3B1F" w:rsidRPr="004952C0">
        <w:rPr>
          <w:noProof/>
        </w:rPr>
      </w:r>
      <w:r w:rsidR="004F3B1F" w:rsidRPr="004952C0">
        <w:rPr>
          <w:noProof/>
        </w:rPr>
        <w:fldChar w:fldCharType="separate"/>
      </w:r>
      <w:r w:rsidRPr="004952C0">
        <w:rPr>
          <w:noProof/>
        </w:rPr>
        <w:t>27</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40  Operation of this Division</w:t>
      </w:r>
      <w:r w:rsidRPr="004952C0">
        <w:rPr>
          <w:noProof/>
        </w:rPr>
        <w:tab/>
      </w:r>
      <w:r w:rsidR="004F3B1F" w:rsidRPr="004952C0">
        <w:rPr>
          <w:noProof/>
        </w:rPr>
        <w:fldChar w:fldCharType="begin"/>
      </w:r>
      <w:r w:rsidRPr="004952C0">
        <w:rPr>
          <w:noProof/>
        </w:rPr>
        <w:instrText xml:space="preserve"> PAGEREF _Toc431466304 \h </w:instrText>
      </w:r>
      <w:r w:rsidR="004F3B1F" w:rsidRPr="004952C0">
        <w:rPr>
          <w:noProof/>
        </w:rPr>
      </w:r>
      <w:r w:rsidR="004F3B1F" w:rsidRPr="004952C0">
        <w:rPr>
          <w:noProof/>
        </w:rPr>
        <w:fldChar w:fldCharType="separate"/>
      </w:r>
      <w:r w:rsidRPr="004952C0">
        <w:rPr>
          <w:noProof/>
        </w:rPr>
        <w:t>27</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41  Record-keeping requirements</w:t>
      </w:r>
      <w:r w:rsidRPr="004952C0">
        <w:rPr>
          <w:noProof/>
        </w:rPr>
        <w:tab/>
      </w:r>
      <w:r w:rsidR="004F3B1F" w:rsidRPr="004952C0">
        <w:rPr>
          <w:noProof/>
        </w:rPr>
        <w:fldChar w:fldCharType="begin"/>
      </w:r>
      <w:r w:rsidRPr="004952C0">
        <w:rPr>
          <w:noProof/>
        </w:rPr>
        <w:instrText xml:space="preserve"> PAGEREF _Toc431466305 \h </w:instrText>
      </w:r>
      <w:r w:rsidR="004F3B1F" w:rsidRPr="004952C0">
        <w:rPr>
          <w:noProof/>
        </w:rPr>
      </w:r>
      <w:r w:rsidR="004F3B1F" w:rsidRPr="004952C0">
        <w:rPr>
          <w:noProof/>
        </w:rPr>
        <w:fldChar w:fldCharType="separate"/>
      </w:r>
      <w:r w:rsidRPr="004952C0">
        <w:rPr>
          <w:noProof/>
        </w:rPr>
        <w:t>28</w:t>
      </w:r>
      <w:r w:rsidR="004F3B1F" w:rsidRPr="004952C0">
        <w:rPr>
          <w:noProof/>
        </w:rPr>
        <w:fldChar w:fldCharType="end"/>
      </w:r>
    </w:p>
    <w:p w:rsidR="00FA181A" w:rsidRPr="004952C0" w:rsidRDefault="00FA181A">
      <w:pPr>
        <w:pStyle w:val="TOC2"/>
        <w:rPr>
          <w:rFonts w:asciiTheme="minorHAnsi" w:eastAsiaTheme="minorEastAsia" w:hAnsiTheme="minorHAnsi" w:cstheme="minorBidi"/>
          <w:b w:val="0"/>
          <w:noProof/>
          <w:kern w:val="0"/>
          <w:sz w:val="22"/>
          <w:szCs w:val="22"/>
        </w:rPr>
      </w:pPr>
      <w:r w:rsidRPr="004952C0">
        <w:rPr>
          <w:noProof/>
        </w:rPr>
        <w:t>Part 6—Dividing a refrigeration and ventilation fan project</w:t>
      </w:r>
      <w:r w:rsidRPr="004952C0">
        <w:rPr>
          <w:noProof/>
        </w:rPr>
        <w:tab/>
      </w:r>
      <w:r w:rsidR="004F3B1F" w:rsidRPr="004952C0">
        <w:rPr>
          <w:noProof/>
        </w:rPr>
        <w:fldChar w:fldCharType="begin"/>
      </w:r>
      <w:r w:rsidRPr="004952C0">
        <w:rPr>
          <w:noProof/>
        </w:rPr>
        <w:instrText xml:space="preserve"> PAGEREF _Toc431466306 \h </w:instrText>
      </w:r>
      <w:r w:rsidR="004F3B1F" w:rsidRPr="004952C0">
        <w:rPr>
          <w:noProof/>
        </w:rPr>
      </w:r>
      <w:r w:rsidR="004F3B1F" w:rsidRPr="004952C0">
        <w:rPr>
          <w:noProof/>
        </w:rPr>
        <w:fldChar w:fldCharType="separate"/>
      </w:r>
      <w:r w:rsidRPr="004952C0">
        <w:rPr>
          <w:noProof/>
        </w:rPr>
        <w:t>29</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42  Division of project for reporting purposes</w:t>
      </w:r>
      <w:r w:rsidRPr="004952C0">
        <w:rPr>
          <w:noProof/>
        </w:rPr>
        <w:tab/>
      </w:r>
      <w:r w:rsidR="004F3B1F" w:rsidRPr="004952C0">
        <w:rPr>
          <w:noProof/>
        </w:rPr>
        <w:fldChar w:fldCharType="begin"/>
      </w:r>
      <w:r w:rsidRPr="004952C0">
        <w:rPr>
          <w:noProof/>
        </w:rPr>
        <w:instrText xml:space="preserve"> PAGEREF _Toc431466307 \h </w:instrText>
      </w:r>
      <w:r w:rsidR="004F3B1F" w:rsidRPr="004952C0">
        <w:rPr>
          <w:noProof/>
        </w:rPr>
      </w:r>
      <w:r w:rsidR="004F3B1F" w:rsidRPr="004952C0">
        <w:rPr>
          <w:noProof/>
        </w:rPr>
        <w:fldChar w:fldCharType="separate"/>
      </w:r>
      <w:r w:rsidRPr="004952C0">
        <w:rPr>
          <w:noProof/>
        </w:rPr>
        <w:t>29</w:t>
      </w:r>
      <w:r w:rsidR="004F3B1F" w:rsidRPr="004952C0">
        <w:rPr>
          <w:noProof/>
        </w:rPr>
        <w:fldChar w:fldCharType="end"/>
      </w:r>
    </w:p>
    <w:p w:rsidR="00FA181A" w:rsidRPr="004952C0" w:rsidRDefault="00FA181A">
      <w:pPr>
        <w:pStyle w:val="TOC1"/>
        <w:rPr>
          <w:rFonts w:asciiTheme="minorHAnsi" w:eastAsiaTheme="minorEastAsia" w:hAnsiTheme="minorHAnsi" w:cstheme="minorBidi"/>
          <w:b w:val="0"/>
          <w:noProof/>
          <w:kern w:val="0"/>
          <w:sz w:val="22"/>
          <w:szCs w:val="22"/>
        </w:rPr>
      </w:pPr>
      <w:r w:rsidRPr="004952C0">
        <w:rPr>
          <w:noProof/>
        </w:rPr>
        <w:t>Schedule 1—High efficiency fan installations—operating efficiency and high efficiency threshold</w:t>
      </w:r>
      <w:r w:rsidRPr="004952C0">
        <w:rPr>
          <w:noProof/>
        </w:rPr>
        <w:tab/>
      </w:r>
      <w:r w:rsidR="004F3B1F" w:rsidRPr="004952C0">
        <w:rPr>
          <w:noProof/>
        </w:rPr>
        <w:fldChar w:fldCharType="begin"/>
      </w:r>
      <w:r w:rsidRPr="004952C0">
        <w:rPr>
          <w:noProof/>
        </w:rPr>
        <w:instrText xml:space="preserve"> PAGEREF _Toc431466308 \h </w:instrText>
      </w:r>
      <w:r w:rsidR="004F3B1F" w:rsidRPr="004952C0">
        <w:rPr>
          <w:noProof/>
        </w:rPr>
      </w:r>
      <w:r w:rsidR="004F3B1F" w:rsidRPr="004952C0">
        <w:rPr>
          <w:noProof/>
        </w:rPr>
        <w:fldChar w:fldCharType="separate"/>
      </w:r>
      <w:r w:rsidRPr="004952C0">
        <w:rPr>
          <w:noProof/>
        </w:rPr>
        <w:t>30</w:t>
      </w:r>
      <w:r w:rsidR="004F3B1F" w:rsidRPr="004952C0">
        <w:rPr>
          <w:noProof/>
        </w:rPr>
        <w:fldChar w:fldCharType="end"/>
      </w:r>
    </w:p>
    <w:p w:rsidR="00FA181A" w:rsidRPr="004952C0" w:rsidRDefault="00FA181A">
      <w:pPr>
        <w:pStyle w:val="TOC3"/>
        <w:rPr>
          <w:rFonts w:asciiTheme="minorHAnsi" w:eastAsiaTheme="minorEastAsia" w:hAnsiTheme="minorHAnsi" w:cstheme="minorBidi"/>
          <w:b w:val="0"/>
          <w:noProof/>
          <w:kern w:val="0"/>
          <w:szCs w:val="22"/>
        </w:rPr>
      </w:pPr>
      <w:r w:rsidRPr="004952C0">
        <w:rPr>
          <w:noProof/>
        </w:rPr>
        <w:t>Division 1—Purpose of Schedule</w:t>
      </w:r>
      <w:r w:rsidRPr="004952C0">
        <w:rPr>
          <w:noProof/>
        </w:rPr>
        <w:tab/>
      </w:r>
      <w:r w:rsidR="004F3B1F" w:rsidRPr="004952C0">
        <w:rPr>
          <w:noProof/>
        </w:rPr>
        <w:fldChar w:fldCharType="begin"/>
      </w:r>
      <w:r w:rsidRPr="004952C0">
        <w:rPr>
          <w:noProof/>
        </w:rPr>
        <w:instrText xml:space="preserve"> PAGEREF _Toc431466309 \h </w:instrText>
      </w:r>
      <w:r w:rsidR="004F3B1F" w:rsidRPr="004952C0">
        <w:rPr>
          <w:noProof/>
        </w:rPr>
      </w:r>
      <w:r w:rsidR="004F3B1F" w:rsidRPr="004952C0">
        <w:rPr>
          <w:noProof/>
        </w:rPr>
        <w:fldChar w:fldCharType="separate"/>
      </w:r>
      <w:r w:rsidRPr="004952C0">
        <w:rPr>
          <w:noProof/>
        </w:rPr>
        <w:t>30</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1  Purpose of Schedule</w:t>
      </w:r>
      <w:r w:rsidRPr="004952C0">
        <w:rPr>
          <w:noProof/>
        </w:rPr>
        <w:tab/>
      </w:r>
      <w:r w:rsidR="004F3B1F" w:rsidRPr="004952C0">
        <w:rPr>
          <w:noProof/>
        </w:rPr>
        <w:fldChar w:fldCharType="begin"/>
      </w:r>
      <w:r w:rsidRPr="004952C0">
        <w:rPr>
          <w:noProof/>
        </w:rPr>
        <w:instrText xml:space="preserve"> PAGEREF _Toc431466310 \h </w:instrText>
      </w:r>
      <w:r w:rsidR="004F3B1F" w:rsidRPr="004952C0">
        <w:rPr>
          <w:noProof/>
        </w:rPr>
      </w:r>
      <w:r w:rsidR="004F3B1F" w:rsidRPr="004952C0">
        <w:rPr>
          <w:noProof/>
        </w:rPr>
        <w:fldChar w:fldCharType="separate"/>
      </w:r>
      <w:r w:rsidRPr="004952C0">
        <w:rPr>
          <w:noProof/>
        </w:rPr>
        <w:t>30</w:t>
      </w:r>
      <w:r w:rsidR="004F3B1F" w:rsidRPr="004952C0">
        <w:rPr>
          <w:noProof/>
        </w:rPr>
        <w:fldChar w:fldCharType="end"/>
      </w:r>
    </w:p>
    <w:p w:rsidR="00FA181A" w:rsidRPr="004952C0" w:rsidRDefault="00FA181A">
      <w:pPr>
        <w:pStyle w:val="TOC3"/>
        <w:rPr>
          <w:rFonts w:asciiTheme="minorHAnsi" w:eastAsiaTheme="minorEastAsia" w:hAnsiTheme="minorHAnsi" w:cstheme="minorBidi"/>
          <w:b w:val="0"/>
          <w:noProof/>
          <w:kern w:val="0"/>
          <w:szCs w:val="22"/>
        </w:rPr>
      </w:pPr>
      <w:r w:rsidRPr="004952C0">
        <w:rPr>
          <w:noProof/>
        </w:rPr>
        <w:t>Division 2—Calculating operating efficiency of fan</w:t>
      </w:r>
      <w:r w:rsidRPr="004952C0">
        <w:rPr>
          <w:noProof/>
        </w:rPr>
        <w:tab/>
      </w:r>
      <w:r w:rsidR="004F3B1F" w:rsidRPr="004952C0">
        <w:rPr>
          <w:noProof/>
        </w:rPr>
        <w:fldChar w:fldCharType="begin"/>
      </w:r>
      <w:r w:rsidRPr="004952C0">
        <w:rPr>
          <w:noProof/>
        </w:rPr>
        <w:instrText xml:space="preserve"> PAGEREF _Toc431466311 \h </w:instrText>
      </w:r>
      <w:r w:rsidR="004F3B1F" w:rsidRPr="004952C0">
        <w:rPr>
          <w:noProof/>
        </w:rPr>
      </w:r>
      <w:r w:rsidR="004F3B1F" w:rsidRPr="004952C0">
        <w:rPr>
          <w:noProof/>
        </w:rPr>
        <w:fldChar w:fldCharType="separate"/>
      </w:r>
      <w:r w:rsidRPr="004952C0">
        <w:rPr>
          <w:noProof/>
        </w:rPr>
        <w:t>30</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2  Equation 12—determining operating efficiency of fan (</w:t>
      </w:r>
      <w:r w:rsidRPr="004952C0">
        <w:rPr>
          <w:rFonts w:ascii="Cambria Math" w:hAnsi="Cambria Math"/>
          <w:i/>
          <w:noProof/>
        </w:rPr>
        <w:t>𝜂</w:t>
      </w:r>
      <w:r w:rsidRPr="004952C0">
        <w:rPr>
          <w:i/>
          <w:noProof/>
          <w:vertAlign w:val="subscript"/>
        </w:rPr>
        <w:t>Operating,i</w:t>
      </w:r>
      <w:r w:rsidRPr="004952C0">
        <w:rPr>
          <w:noProof/>
        </w:rPr>
        <w:t>)</w:t>
      </w:r>
      <w:r w:rsidRPr="004952C0">
        <w:rPr>
          <w:noProof/>
        </w:rPr>
        <w:tab/>
      </w:r>
      <w:r w:rsidR="004F3B1F" w:rsidRPr="004952C0">
        <w:rPr>
          <w:noProof/>
        </w:rPr>
        <w:fldChar w:fldCharType="begin"/>
      </w:r>
      <w:r w:rsidRPr="004952C0">
        <w:rPr>
          <w:noProof/>
        </w:rPr>
        <w:instrText xml:space="preserve"> PAGEREF _Toc431466312 \h </w:instrText>
      </w:r>
      <w:r w:rsidR="004F3B1F" w:rsidRPr="004952C0">
        <w:rPr>
          <w:noProof/>
        </w:rPr>
      </w:r>
      <w:r w:rsidR="004F3B1F" w:rsidRPr="004952C0">
        <w:rPr>
          <w:noProof/>
        </w:rPr>
        <w:fldChar w:fldCharType="separate"/>
      </w:r>
      <w:r w:rsidRPr="004952C0">
        <w:rPr>
          <w:noProof/>
        </w:rPr>
        <w:t>30</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3  Equations 13 and 14—calculation of overall driven fan efficiency (</w:t>
      </w:r>
      <w:r w:rsidRPr="004952C0">
        <w:rPr>
          <w:rFonts w:ascii="Cambria Math" w:hAnsi="Cambria Math"/>
          <w:i/>
          <w:noProof/>
        </w:rPr>
        <w:t>𝜂</w:t>
      </w:r>
      <w:r w:rsidRPr="004952C0">
        <w:rPr>
          <w:i/>
          <w:noProof/>
          <w:vertAlign w:val="subscript"/>
        </w:rPr>
        <w:t>i</w:t>
      </w:r>
      <w:r w:rsidRPr="004952C0">
        <w:rPr>
          <w:noProof/>
        </w:rPr>
        <w:t>)</w:t>
      </w:r>
      <w:r w:rsidRPr="004952C0">
        <w:rPr>
          <w:noProof/>
        </w:rPr>
        <w:tab/>
      </w:r>
      <w:r w:rsidR="004F3B1F" w:rsidRPr="004952C0">
        <w:rPr>
          <w:noProof/>
        </w:rPr>
        <w:fldChar w:fldCharType="begin"/>
      </w:r>
      <w:r w:rsidRPr="004952C0">
        <w:rPr>
          <w:noProof/>
        </w:rPr>
        <w:instrText xml:space="preserve"> PAGEREF _Toc431466313 \h </w:instrText>
      </w:r>
      <w:r w:rsidR="004F3B1F" w:rsidRPr="004952C0">
        <w:rPr>
          <w:noProof/>
        </w:rPr>
      </w:r>
      <w:r w:rsidR="004F3B1F" w:rsidRPr="004952C0">
        <w:rPr>
          <w:noProof/>
        </w:rPr>
        <w:fldChar w:fldCharType="separate"/>
      </w:r>
      <w:r w:rsidRPr="004952C0">
        <w:rPr>
          <w:noProof/>
        </w:rPr>
        <w:t>30</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 xml:space="preserve">4  Equation 15—calculation of motor input power, </w:t>
      </w:r>
      <w:r w:rsidRPr="004952C0">
        <w:rPr>
          <w:i/>
          <w:noProof/>
        </w:rPr>
        <w:t>P</w:t>
      </w:r>
      <w:r w:rsidRPr="004952C0">
        <w:rPr>
          <w:i/>
          <w:noProof/>
          <w:vertAlign w:val="subscript"/>
        </w:rPr>
        <w:t>E,i</w:t>
      </w:r>
      <w:r w:rsidRPr="004952C0">
        <w:rPr>
          <w:noProof/>
        </w:rPr>
        <w:tab/>
      </w:r>
      <w:r w:rsidR="004F3B1F" w:rsidRPr="004952C0">
        <w:rPr>
          <w:noProof/>
        </w:rPr>
        <w:fldChar w:fldCharType="begin"/>
      </w:r>
      <w:r w:rsidRPr="004952C0">
        <w:rPr>
          <w:noProof/>
        </w:rPr>
        <w:instrText xml:space="preserve"> PAGEREF _Toc431466314 \h </w:instrText>
      </w:r>
      <w:r w:rsidR="004F3B1F" w:rsidRPr="004952C0">
        <w:rPr>
          <w:noProof/>
        </w:rPr>
      </w:r>
      <w:r w:rsidR="004F3B1F" w:rsidRPr="004952C0">
        <w:rPr>
          <w:noProof/>
        </w:rPr>
        <w:fldChar w:fldCharType="separate"/>
      </w:r>
      <w:r w:rsidRPr="004952C0">
        <w:rPr>
          <w:noProof/>
        </w:rPr>
        <w:t>31</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 xml:space="preserve">5  Equations 16 and 17—calculating part load compensation factor for controller of fan, </w:t>
      </w:r>
      <w:r w:rsidRPr="004952C0">
        <w:rPr>
          <w:i/>
          <w:noProof/>
        </w:rPr>
        <w:t>C</w:t>
      </w:r>
      <w:r w:rsidRPr="004952C0">
        <w:rPr>
          <w:i/>
          <w:noProof/>
          <w:vertAlign w:val="subscript"/>
        </w:rPr>
        <w:t>C,i</w:t>
      </w:r>
      <w:r w:rsidRPr="004952C0">
        <w:rPr>
          <w:noProof/>
        </w:rPr>
        <w:tab/>
      </w:r>
      <w:r w:rsidR="004F3B1F" w:rsidRPr="004952C0">
        <w:rPr>
          <w:noProof/>
        </w:rPr>
        <w:fldChar w:fldCharType="begin"/>
      </w:r>
      <w:r w:rsidRPr="004952C0">
        <w:rPr>
          <w:noProof/>
        </w:rPr>
        <w:instrText xml:space="preserve"> PAGEREF _Toc431466315 \h </w:instrText>
      </w:r>
      <w:r w:rsidR="004F3B1F" w:rsidRPr="004952C0">
        <w:rPr>
          <w:noProof/>
        </w:rPr>
      </w:r>
      <w:r w:rsidR="004F3B1F" w:rsidRPr="004952C0">
        <w:rPr>
          <w:noProof/>
        </w:rPr>
        <w:fldChar w:fldCharType="separate"/>
      </w:r>
      <w:r w:rsidRPr="004952C0">
        <w:rPr>
          <w:noProof/>
        </w:rPr>
        <w:t>31</w:t>
      </w:r>
      <w:r w:rsidR="004F3B1F" w:rsidRPr="004952C0">
        <w:rPr>
          <w:noProof/>
        </w:rPr>
        <w:fldChar w:fldCharType="end"/>
      </w:r>
    </w:p>
    <w:p w:rsidR="00FA181A" w:rsidRPr="004952C0" w:rsidRDefault="00FA181A">
      <w:pPr>
        <w:pStyle w:val="TOC3"/>
        <w:rPr>
          <w:rFonts w:asciiTheme="minorHAnsi" w:eastAsiaTheme="minorEastAsia" w:hAnsiTheme="minorHAnsi" w:cstheme="minorBidi"/>
          <w:b w:val="0"/>
          <w:noProof/>
          <w:kern w:val="0"/>
          <w:szCs w:val="22"/>
        </w:rPr>
      </w:pPr>
      <w:r w:rsidRPr="004952C0">
        <w:rPr>
          <w:noProof/>
        </w:rPr>
        <w:t>Division 3—Calculating high efficiency threshold for the fan</w:t>
      </w:r>
      <w:r w:rsidRPr="004952C0">
        <w:rPr>
          <w:noProof/>
        </w:rPr>
        <w:tab/>
      </w:r>
      <w:r w:rsidR="004F3B1F" w:rsidRPr="004952C0">
        <w:rPr>
          <w:noProof/>
        </w:rPr>
        <w:fldChar w:fldCharType="begin"/>
      </w:r>
      <w:r w:rsidRPr="004952C0">
        <w:rPr>
          <w:noProof/>
        </w:rPr>
        <w:instrText xml:space="preserve"> PAGEREF _Toc431466316 \h </w:instrText>
      </w:r>
      <w:r w:rsidR="004F3B1F" w:rsidRPr="004952C0">
        <w:rPr>
          <w:noProof/>
        </w:rPr>
      </w:r>
      <w:r w:rsidR="004F3B1F" w:rsidRPr="004952C0">
        <w:rPr>
          <w:noProof/>
        </w:rPr>
        <w:fldChar w:fldCharType="separate"/>
      </w:r>
      <w:r w:rsidRPr="004952C0">
        <w:rPr>
          <w:noProof/>
        </w:rPr>
        <w:t>32</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6  Equation 18—determining the high efficiency threshold for the fan (</w:t>
      </w:r>
      <w:r w:rsidRPr="004952C0">
        <w:rPr>
          <w:rFonts w:ascii="Cambria Math" w:hAnsi="Cambria Math"/>
          <w:i/>
          <w:noProof/>
        </w:rPr>
        <w:t>𝜂</w:t>
      </w:r>
      <w:r w:rsidRPr="004952C0">
        <w:rPr>
          <w:i/>
          <w:noProof/>
          <w:vertAlign w:val="subscript"/>
        </w:rPr>
        <w:t>HE,i</w:t>
      </w:r>
      <w:r w:rsidRPr="004952C0">
        <w:rPr>
          <w:noProof/>
        </w:rPr>
        <w:t>)</w:t>
      </w:r>
      <w:r w:rsidRPr="004952C0">
        <w:rPr>
          <w:noProof/>
        </w:rPr>
        <w:tab/>
      </w:r>
      <w:r w:rsidR="004F3B1F" w:rsidRPr="004952C0">
        <w:rPr>
          <w:noProof/>
        </w:rPr>
        <w:fldChar w:fldCharType="begin"/>
      </w:r>
      <w:r w:rsidRPr="004952C0">
        <w:rPr>
          <w:noProof/>
        </w:rPr>
        <w:instrText xml:space="preserve"> PAGEREF _Toc431466317 \h </w:instrText>
      </w:r>
      <w:r w:rsidR="004F3B1F" w:rsidRPr="004952C0">
        <w:rPr>
          <w:noProof/>
        </w:rPr>
      </w:r>
      <w:r w:rsidR="004F3B1F" w:rsidRPr="004952C0">
        <w:rPr>
          <w:noProof/>
        </w:rPr>
        <w:fldChar w:fldCharType="separate"/>
      </w:r>
      <w:r w:rsidRPr="004952C0">
        <w:rPr>
          <w:noProof/>
        </w:rPr>
        <w:t>32</w:t>
      </w:r>
      <w:r w:rsidR="004F3B1F" w:rsidRPr="004952C0">
        <w:rPr>
          <w:noProof/>
        </w:rPr>
        <w:fldChar w:fldCharType="end"/>
      </w:r>
    </w:p>
    <w:p w:rsidR="00FA181A" w:rsidRPr="004952C0" w:rsidRDefault="00FA181A">
      <w:pPr>
        <w:pStyle w:val="TOC1"/>
        <w:rPr>
          <w:rFonts w:asciiTheme="minorHAnsi" w:eastAsiaTheme="minorEastAsia" w:hAnsiTheme="minorHAnsi" w:cstheme="minorBidi"/>
          <w:b w:val="0"/>
          <w:noProof/>
          <w:kern w:val="0"/>
          <w:sz w:val="22"/>
          <w:szCs w:val="22"/>
        </w:rPr>
      </w:pPr>
      <w:r w:rsidRPr="004952C0">
        <w:rPr>
          <w:noProof/>
        </w:rPr>
        <w:t>Schedule 2—Building types and capacity factors</w:t>
      </w:r>
      <w:r w:rsidRPr="004952C0">
        <w:rPr>
          <w:noProof/>
        </w:rPr>
        <w:tab/>
      </w:r>
      <w:r w:rsidR="004F3B1F" w:rsidRPr="004952C0">
        <w:rPr>
          <w:noProof/>
        </w:rPr>
        <w:fldChar w:fldCharType="begin"/>
      </w:r>
      <w:r w:rsidRPr="004952C0">
        <w:rPr>
          <w:noProof/>
        </w:rPr>
        <w:instrText xml:space="preserve"> PAGEREF _Toc431466318 \h </w:instrText>
      </w:r>
      <w:r w:rsidR="004F3B1F" w:rsidRPr="004952C0">
        <w:rPr>
          <w:noProof/>
        </w:rPr>
      </w:r>
      <w:r w:rsidR="004F3B1F" w:rsidRPr="004952C0">
        <w:rPr>
          <w:noProof/>
        </w:rPr>
        <w:fldChar w:fldCharType="separate"/>
      </w:r>
      <w:r w:rsidRPr="004952C0">
        <w:rPr>
          <w:noProof/>
        </w:rPr>
        <w:t>33</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rFonts w:eastAsia="Calibri"/>
          <w:noProof/>
        </w:rPr>
        <w:t xml:space="preserve">1  Meaning of </w:t>
      </w:r>
      <w:r w:rsidRPr="004952C0">
        <w:rPr>
          <w:rFonts w:eastAsia="Calibri"/>
          <w:i/>
          <w:noProof/>
        </w:rPr>
        <w:t>building type</w:t>
      </w:r>
      <w:r w:rsidRPr="004952C0">
        <w:rPr>
          <w:noProof/>
        </w:rPr>
        <w:tab/>
      </w:r>
      <w:r w:rsidR="004F3B1F" w:rsidRPr="004952C0">
        <w:rPr>
          <w:noProof/>
        </w:rPr>
        <w:fldChar w:fldCharType="begin"/>
      </w:r>
      <w:r w:rsidRPr="004952C0">
        <w:rPr>
          <w:noProof/>
        </w:rPr>
        <w:instrText xml:space="preserve"> PAGEREF _Toc431466319 \h </w:instrText>
      </w:r>
      <w:r w:rsidR="004F3B1F" w:rsidRPr="004952C0">
        <w:rPr>
          <w:noProof/>
        </w:rPr>
      </w:r>
      <w:r w:rsidR="004F3B1F" w:rsidRPr="004952C0">
        <w:rPr>
          <w:noProof/>
        </w:rPr>
        <w:fldChar w:fldCharType="separate"/>
      </w:r>
      <w:r w:rsidRPr="004952C0">
        <w:rPr>
          <w:noProof/>
        </w:rPr>
        <w:t>33</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2  Capacity factors</w:t>
      </w:r>
      <w:r w:rsidRPr="004952C0">
        <w:rPr>
          <w:noProof/>
        </w:rPr>
        <w:tab/>
      </w:r>
      <w:r w:rsidR="004F3B1F" w:rsidRPr="004952C0">
        <w:rPr>
          <w:noProof/>
        </w:rPr>
        <w:fldChar w:fldCharType="begin"/>
      </w:r>
      <w:r w:rsidRPr="004952C0">
        <w:rPr>
          <w:noProof/>
        </w:rPr>
        <w:instrText xml:space="preserve"> PAGEREF _Toc431466320 \h </w:instrText>
      </w:r>
      <w:r w:rsidR="004F3B1F" w:rsidRPr="004952C0">
        <w:rPr>
          <w:noProof/>
        </w:rPr>
      </w:r>
      <w:r w:rsidR="004F3B1F" w:rsidRPr="004952C0">
        <w:rPr>
          <w:noProof/>
        </w:rPr>
        <w:fldChar w:fldCharType="separate"/>
      </w:r>
      <w:r w:rsidRPr="004952C0">
        <w:rPr>
          <w:noProof/>
        </w:rPr>
        <w:t>33</w:t>
      </w:r>
      <w:r w:rsidR="004F3B1F" w:rsidRPr="004952C0">
        <w:rPr>
          <w:noProof/>
        </w:rPr>
        <w:fldChar w:fldCharType="end"/>
      </w:r>
    </w:p>
    <w:p w:rsidR="00FA181A" w:rsidRPr="004952C0" w:rsidRDefault="00FA181A">
      <w:pPr>
        <w:pStyle w:val="TOC5"/>
        <w:rPr>
          <w:rFonts w:asciiTheme="minorHAnsi" w:eastAsiaTheme="minorEastAsia" w:hAnsiTheme="minorHAnsi" w:cstheme="minorBidi"/>
          <w:noProof/>
          <w:kern w:val="0"/>
          <w:sz w:val="22"/>
          <w:szCs w:val="22"/>
        </w:rPr>
      </w:pPr>
      <w:r w:rsidRPr="004952C0">
        <w:rPr>
          <w:noProof/>
        </w:rPr>
        <w:t>3  Interpretation</w:t>
      </w:r>
      <w:r w:rsidRPr="004952C0">
        <w:rPr>
          <w:noProof/>
        </w:rPr>
        <w:tab/>
      </w:r>
      <w:r w:rsidR="004F3B1F" w:rsidRPr="004952C0">
        <w:rPr>
          <w:noProof/>
        </w:rPr>
        <w:fldChar w:fldCharType="begin"/>
      </w:r>
      <w:r w:rsidRPr="004952C0">
        <w:rPr>
          <w:noProof/>
        </w:rPr>
        <w:instrText xml:space="preserve"> PAGEREF _Toc431466321 \h </w:instrText>
      </w:r>
      <w:r w:rsidR="004F3B1F" w:rsidRPr="004952C0">
        <w:rPr>
          <w:noProof/>
        </w:rPr>
      </w:r>
      <w:r w:rsidR="004F3B1F" w:rsidRPr="004952C0">
        <w:rPr>
          <w:noProof/>
        </w:rPr>
        <w:fldChar w:fldCharType="separate"/>
      </w:r>
      <w:r w:rsidRPr="004952C0">
        <w:rPr>
          <w:noProof/>
        </w:rPr>
        <w:t>33</w:t>
      </w:r>
      <w:r w:rsidR="004F3B1F" w:rsidRPr="004952C0">
        <w:rPr>
          <w:noProof/>
        </w:rPr>
        <w:fldChar w:fldCharType="end"/>
      </w:r>
    </w:p>
    <w:p w:rsidR="00FA181A" w:rsidRPr="004952C0" w:rsidRDefault="00FA181A">
      <w:pPr>
        <w:pStyle w:val="TOC1"/>
        <w:rPr>
          <w:rFonts w:asciiTheme="minorHAnsi" w:eastAsiaTheme="minorEastAsia" w:hAnsiTheme="minorHAnsi" w:cstheme="minorBidi"/>
          <w:b w:val="0"/>
          <w:noProof/>
          <w:kern w:val="0"/>
          <w:sz w:val="22"/>
          <w:szCs w:val="22"/>
        </w:rPr>
      </w:pPr>
      <w:r w:rsidRPr="004952C0">
        <w:rPr>
          <w:noProof/>
        </w:rPr>
        <w:t>Schedule 3—High efficiency fan installations—transmission efficiency</w:t>
      </w:r>
      <w:r w:rsidRPr="004952C0">
        <w:rPr>
          <w:noProof/>
        </w:rPr>
        <w:tab/>
      </w:r>
      <w:r w:rsidR="004F3B1F" w:rsidRPr="004952C0">
        <w:rPr>
          <w:noProof/>
        </w:rPr>
        <w:fldChar w:fldCharType="begin"/>
      </w:r>
      <w:r w:rsidRPr="004952C0">
        <w:rPr>
          <w:noProof/>
        </w:rPr>
        <w:instrText xml:space="preserve"> PAGEREF _Toc431466322 \h </w:instrText>
      </w:r>
      <w:r w:rsidR="004F3B1F" w:rsidRPr="004952C0">
        <w:rPr>
          <w:noProof/>
        </w:rPr>
      </w:r>
      <w:r w:rsidR="004F3B1F" w:rsidRPr="004952C0">
        <w:rPr>
          <w:noProof/>
        </w:rPr>
        <w:fldChar w:fldCharType="separate"/>
      </w:r>
      <w:r w:rsidRPr="004952C0">
        <w:rPr>
          <w:noProof/>
        </w:rPr>
        <w:t>35</w:t>
      </w:r>
      <w:r w:rsidR="004F3B1F" w:rsidRPr="004952C0">
        <w:rPr>
          <w:noProof/>
        </w:rPr>
        <w:fldChar w:fldCharType="end"/>
      </w:r>
    </w:p>
    <w:p w:rsidR="00FA181A" w:rsidRPr="004952C0" w:rsidRDefault="00FA181A">
      <w:pPr>
        <w:pStyle w:val="TOC1"/>
        <w:rPr>
          <w:rFonts w:asciiTheme="minorHAnsi" w:eastAsiaTheme="minorEastAsia" w:hAnsiTheme="minorHAnsi" w:cstheme="minorBidi"/>
          <w:b w:val="0"/>
          <w:noProof/>
          <w:kern w:val="0"/>
          <w:sz w:val="22"/>
          <w:szCs w:val="22"/>
        </w:rPr>
      </w:pPr>
      <w:r w:rsidRPr="004952C0">
        <w:rPr>
          <w:noProof/>
        </w:rPr>
        <w:t>Schedule 4—High efficiency fan installations—regression coefficients and regression constants</w:t>
      </w:r>
      <w:r w:rsidRPr="004952C0">
        <w:rPr>
          <w:noProof/>
        </w:rPr>
        <w:tab/>
      </w:r>
      <w:r w:rsidR="004F3B1F" w:rsidRPr="004952C0">
        <w:rPr>
          <w:noProof/>
        </w:rPr>
        <w:fldChar w:fldCharType="begin"/>
      </w:r>
      <w:r w:rsidRPr="004952C0">
        <w:rPr>
          <w:noProof/>
        </w:rPr>
        <w:instrText xml:space="preserve"> PAGEREF _Toc431466323 \h </w:instrText>
      </w:r>
      <w:r w:rsidR="004F3B1F" w:rsidRPr="004952C0">
        <w:rPr>
          <w:noProof/>
        </w:rPr>
      </w:r>
      <w:r w:rsidR="004F3B1F" w:rsidRPr="004952C0">
        <w:rPr>
          <w:noProof/>
        </w:rPr>
        <w:fldChar w:fldCharType="separate"/>
      </w:r>
      <w:r w:rsidRPr="004952C0">
        <w:rPr>
          <w:noProof/>
        </w:rPr>
        <w:t>36</w:t>
      </w:r>
      <w:r w:rsidR="004F3B1F" w:rsidRPr="004952C0">
        <w:rPr>
          <w:noProof/>
        </w:rPr>
        <w:fldChar w:fldCharType="end"/>
      </w:r>
    </w:p>
    <w:p w:rsidR="00FA181A" w:rsidRPr="004952C0" w:rsidRDefault="00FA181A">
      <w:pPr>
        <w:pStyle w:val="TOC1"/>
        <w:rPr>
          <w:rFonts w:asciiTheme="minorHAnsi" w:eastAsiaTheme="minorEastAsia" w:hAnsiTheme="minorHAnsi" w:cstheme="minorBidi"/>
          <w:b w:val="0"/>
          <w:noProof/>
          <w:kern w:val="0"/>
          <w:sz w:val="22"/>
          <w:szCs w:val="22"/>
        </w:rPr>
      </w:pPr>
      <w:r w:rsidRPr="004952C0">
        <w:rPr>
          <w:noProof/>
        </w:rPr>
        <w:t>Schedule 5—High efficiency fan installations—static and total efficiency benchmarks</w:t>
      </w:r>
      <w:r w:rsidRPr="004952C0">
        <w:rPr>
          <w:noProof/>
        </w:rPr>
        <w:tab/>
      </w:r>
      <w:r w:rsidR="004F3B1F" w:rsidRPr="004952C0">
        <w:rPr>
          <w:noProof/>
        </w:rPr>
        <w:fldChar w:fldCharType="begin"/>
      </w:r>
      <w:r w:rsidRPr="004952C0">
        <w:rPr>
          <w:noProof/>
        </w:rPr>
        <w:instrText xml:space="preserve"> PAGEREF _Toc431466324 \h </w:instrText>
      </w:r>
      <w:r w:rsidR="004F3B1F" w:rsidRPr="004952C0">
        <w:rPr>
          <w:noProof/>
        </w:rPr>
      </w:r>
      <w:r w:rsidR="004F3B1F" w:rsidRPr="004952C0">
        <w:rPr>
          <w:noProof/>
        </w:rPr>
        <w:fldChar w:fldCharType="separate"/>
      </w:r>
      <w:r w:rsidRPr="004952C0">
        <w:rPr>
          <w:noProof/>
        </w:rPr>
        <w:t>37</w:t>
      </w:r>
      <w:r w:rsidR="004F3B1F" w:rsidRPr="004952C0">
        <w:rPr>
          <w:noProof/>
        </w:rPr>
        <w:fldChar w:fldCharType="end"/>
      </w:r>
    </w:p>
    <w:p w:rsidR="00FA181A" w:rsidRPr="004952C0" w:rsidRDefault="00FA181A">
      <w:pPr>
        <w:pStyle w:val="TOC1"/>
        <w:rPr>
          <w:rFonts w:asciiTheme="minorHAnsi" w:eastAsiaTheme="minorEastAsia" w:hAnsiTheme="minorHAnsi" w:cstheme="minorBidi"/>
          <w:b w:val="0"/>
          <w:noProof/>
          <w:kern w:val="0"/>
          <w:sz w:val="22"/>
          <w:szCs w:val="22"/>
        </w:rPr>
      </w:pPr>
      <w:r w:rsidRPr="004952C0">
        <w:rPr>
          <w:noProof/>
        </w:rPr>
        <w:t>Schedule 6—Small motor fan upgrades—regression coefficients and regression constants</w:t>
      </w:r>
      <w:r w:rsidRPr="004952C0">
        <w:rPr>
          <w:noProof/>
        </w:rPr>
        <w:tab/>
      </w:r>
      <w:r w:rsidR="004F3B1F" w:rsidRPr="004952C0">
        <w:rPr>
          <w:noProof/>
        </w:rPr>
        <w:fldChar w:fldCharType="begin"/>
      </w:r>
      <w:r w:rsidRPr="004952C0">
        <w:rPr>
          <w:noProof/>
        </w:rPr>
        <w:instrText xml:space="preserve"> PAGEREF _Toc431466325 \h </w:instrText>
      </w:r>
      <w:r w:rsidR="004F3B1F" w:rsidRPr="004952C0">
        <w:rPr>
          <w:noProof/>
        </w:rPr>
      </w:r>
      <w:r w:rsidR="004F3B1F" w:rsidRPr="004952C0">
        <w:rPr>
          <w:noProof/>
        </w:rPr>
        <w:fldChar w:fldCharType="separate"/>
      </w:r>
      <w:r w:rsidRPr="004952C0">
        <w:rPr>
          <w:noProof/>
        </w:rPr>
        <w:t>38</w:t>
      </w:r>
      <w:r w:rsidR="004F3B1F" w:rsidRPr="004952C0">
        <w:rPr>
          <w:noProof/>
        </w:rPr>
        <w:fldChar w:fldCharType="end"/>
      </w:r>
    </w:p>
    <w:p w:rsidR="00FA181A" w:rsidRPr="004952C0" w:rsidRDefault="00FA181A">
      <w:pPr>
        <w:pStyle w:val="TOC1"/>
        <w:rPr>
          <w:rFonts w:asciiTheme="minorHAnsi" w:eastAsiaTheme="minorEastAsia" w:hAnsiTheme="minorHAnsi" w:cstheme="minorBidi"/>
          <w:b w:val="0"/>
          <w:noProof/>
          <w:kern w:val="0"/>
          <w:sz w:val="22"/>
          <w:szCs w:val="22"/>
        </w:rPr>
      </w:pPr>
      <w:r w:rsidRPr="004952C0">
        <w:rPr>
          <w:noProof/>
        </w:rPr>
        <w:t>Schedule 7—Small motor fan upgrades—control parameters</w:t>
      </w:r>
      <w:r w:rsidRPr="004952C0">
        <w:rPr>
          <w:noProof/>
        </w:rPr>
        <w:tab/>
      </w:r>
      <w:r w:rsidR="004F3B1F" w:rsidRPr="004952C0">
        <w:rPr>
          <w:noProof/>
        </w:rPr>
        <w:fldChar w:fldCharType="begin"/>
      </w:r>
      <w:r w:rsidRPr="004952C0">
        <w:rPr>
          <w:noProof/>
        </w:rPr>
        <w:instrText xml:space="preserve"> PAGEREF _Toc431466326 \h </w:instrText>
      </w:r>
      <w:r w:rsidR="004F3B1F" w:rsidRPr="004952C0">
        <w:rPr>
          <w:noProof/>
        </w:rPr>
      </w:r>
      <w:r w:rsidR="004F3B1F" w:rsidRPr="004952C0">
        <w:rPr>
          <w:noProof/>
        </w:rPr>
        <w:fldChar w:fldCharType="separate"/>
      </w:r>
      <w:r w:rsidRPr="004952C0">
        <w:rPr>
          <w:noProof/>
        </w:rPr>
        <w:t>39</w:t>
      </w:r>
      <w:r w:rsidR="004F3B1F" w:rsidRPr="004952C0">
        <w:rPr>
          <w:noProof/>
        </w:rPr>
        <w:fldChar w:fldCharType="end"/>
      </w:r>
    </w:p>
    <w:p w:rsidR="0045496E" w:rsidRPr="004952C0" w:rsidRDefault="004F3B1F" w:rsidP="0045496E">
      <w:pPr>
        <w:spacing w:line="240" w:lineRule="auto"/>
      </w:pPr>
      <w:r w:rsidRPr="004952C0">
        <w:fldChar w:fldCharType="end"/>
      </w:r>
      <w:r w:rsidR="0045496E" w:rsidRPr="004952C0">
        <w:br w:type="page"/>
      </w:r>
    </w:p>
    <w:p w:rsidR="0045496E" w:rsidRPr="004952C0" w:rsidRDefault="00FE4F8F" w:rsidP="0045496E">
      <w:pPr>
        <w:pStyle w:val="h2Part"/>
      </w:pPr>
      <w:bookmarkStart w:id="3" w:name="_Toc431466250"/>
      <w:r w:rsidRPr="004952C0">
        <w:lastRenderedPageBreak/>
        <w:t>Part 1</w:t>
      </w:r>
      <w:r w:rsidR="0045496E" w:rsidRPr="004952C0">
        <w:t>—</w:t>
      </w:r>
      <w:bookmarkStart w:id="4" w:name="_Toc405889304"/>
      <w:r w:rsidR="0045496E" w:rsidRPr="004952C0">
        <w:t>Preliminary</w:t>
      </w:r>
      <w:bookmarkEnd w:id="3"/>
      <w:bookmarkEnd w:id="4"/>
    </w:p>
    <w:p w:rsidR="0045496E" w:rsidRPr="004952C0" w:rsidRDefault="00FE4F8F" w:rsidP="0045496E">
      <w:pPr>
        <w:pStyle w:val="h5Section"/>
      </w:pPr>
      <w:bookmarkStart w:id="5" w:name="_Toc405889305"/>
      <w:bookmarkStart w:id="6" w:name="_Toc431466251"/>
      <w:proofErr w:type="gramStart"/>
      <w:r w:rsidRPr="004952C0">
        <w:t>1</w:t>
      </w:r>
      <w:r w:rsidR="0045496E" w:rsidRPr="004952C0">
        <w:t xml:space="preserve">  Name</w:t>
      </w:r>
      <w:bookmarkEnd w:id="5"/>
      <w:bookmarkEnd w:id="6"/>
      <w:proofErr w:type="gramEnd"/>
    </w:p>
    <w:p w:rsidR="0045496E" w:rsidRPr="004952C0" w:rsidRDefault="0045496E" w:rsidP="0045496E">
      <w:pPr>
        <w:pStyle w:val="tMain"/>
      </w:pPr>
      <w:r w:rsidRPr="004952C0">
        <w:tab/>
      </w:r>
      <w:r w:rsidRPr="004952C0">
        <w:tab/>
        <w:t xml:space="preserve">This is the </w:t>
      </w:r>
      <w:bookmarkStart w:id="7" w:name="BKCheck15B_3"/>
      <w:bookmarkEnd w:id="7"/>
      <w:r w:rsidR="00934AC6" w:rsidRPr="004952C0">
        <w:rPr>
          <w:i/>
          <w:noProof/>
        </w:rPr>
        <w:t>Carbon Credits (Carbon Farming Initiative—Refrigeration and Ventilation Fans) Methodology Determination 2015</w:t>
      </w:r>
      <w:r w:rsidRPr="004952C0">
        <w:t>.</w:t>
      </w:r>
    </w:p>
    <w:p w:rsidR="0045496E" w:rsidRPr="004952C0" w:rsidRDefault="00FE4F8F" w:rsidP="0045496E">
      <w:pPr>
        <w:pStyle w:val="h5Section"/>
      </w:pPr>
      <w:bookmarkStart w:id="8" w:name="_Toc405889306"/>
      <w:bookmarkStart w:id="9" w:name="_Toc431466252"/>
      <w:proofErr w:type="gramStart"/>
      <w:r w:rsidRPr="004952C0">
        <w:t>2</w:t>
      </w:r>
      <w:r w:rsidR="0045496E" w:rsidRPr="004952C0">
        <w:t xml:space="preserve">  Commencement</w:t>
      </w:r>
      <w:bookmarkEnd w:id="8"/>
      <w:bookmarkEnd w:id="9"/>
      <w:proofErr w:type="gramEnd"/>
    </w:p>
    <w:p w:rsidR="0045496E" w:rsidRPr="004952C0" w:rsidRDefault="0045496E" w:rsidP="0045496E">
      <w:pPr>
        <w:pStyle w:val="tMain"/>
      </w:pPr>
      <w:r w:rsidRPr="004952C0">
        <w:tab/>
      </w:r>
      <w:r w:rsidRPr="004952C0">
        <w:tab/>
        <w:t>This determination commences on the day after it is registered.</w:t>
      </w:r>
    </w:p>
    <w:p w:rsidR="0045496E" w:rsidRPr="004952C0" w:rsidRDefault="00FE4F8F" w:rsidP="0045496E">
      <w:pPr>
        <w:pStyle w:val="h5Section"/>
      </w:pPr>
      <w:bookmarkStart w:id="10" w:name="_Toc405889307"/>
      <w:bookmarkStart w:id="11" w:name="_Toc431466253"/>
      <w:proofErr w:type="gramStart"/>
      <w:r w:rsidRPr="004952C0">
        <w:t>3</w:t>
      </w:r>
      <w:r w:rsidR="0045496E" w:rsidRPr="004952C0">
        <w:t xml:space="preserve">  Authority</w:t>
      </w:r>
      <w:bookmarkEnd w:id="10"/>
      <w:bookmarkEnd w:id="11"/>
      <w:proofErr w:type="gramEnd"/>
    </w:p>
    <w:p w:rsidR="0045496E" w:rsidRPr="004952C0" w:rsidRDefault="0045496E" w:rsidP="0045496E">
      <w:pPr>
        <w:pStyle w:val="tMain"/>
      </w:pPr>
      <w:r w:rsidRPr="004952C0">
        <w:tab/>
      </w:r>
      <w:r w:rsidRPr="004952C0">
        <w:tab/>
        <w:t xml:space="preserve">This determination is made under subsection 106(1) of the </w:t>
      </w:r>
      <w:r w:rsidRPr="004952C0">
        <w:rPr>
          <w:i/>
        </w:rPr>
        <w:t>Carbon Credits (Carbon Farming Initiative) Act 2011</w:t>
      </w:r>
      <w:r w:rsidRPr="004952C0">
        <w:t>.</w:t>
      </w:r>
    </w:p>
    <w:p w:rsidR="0045496E" w:rsidRPr="004952C0" w:rsidRDefault="00FE4F8F" w:rsidP="0045496E">
      <w:pPr>
        <w:pStyle w:val="h5Section"/>
      </w:pPr>
      <w:bookmarkStart w:id="12" w:name="_Toc405889308"/>
      <w:bookmarkStart w:id="13" w:name="_Toc431466254"/>
      <w:proofErr w:type="gramStart"/>
      <w:r w:rsidRPr="004952C0">
        <w:t>4</w:t>
      </w:r>
      <w:r w:rsidR="0045496E" w:rsidRPr="004952C0">
        <w:t xml:space="preserve">  Duration</w:t>
      </w:r>
      <w:bookmarkEnd w:id="12"/>
      <w:bookmarkEnd w:id="13"/>
      <w:proofErr w:type="gramEnd"/>
    </w:p>
    <w:p w:rsidR="0045496E" w:rsidRPr="004952C0" w:rsidRDefault="0045496E" w:rsidP="0045496E">
      <w:pPr>
        <w:pStyle w:val="tMain"/>
      </w:pPr>
      <w:r w:rsidRPr="004952C0">
        <w:tab/>
      </w:r>
      <w:r w:rsidRPr="004952C0">
        <w:tab/>
        <w:t>This determination remains in force for the period that:</w:t>
      </w:r>
    </w:p>
    <w:p w:rsidR="0045496E" w:rsidRPr="004952C0" w:rsidRDefault="0045496E" w:rsidP="0045496E">
      <w:pPr>
        <w:pStyle w:val="tPara"/>
      </w:pPr>
      <w:r w:rsidRPr="004952C0">
        <w:tab/>
      </w:r>
      <w:r w:rsidR="00FE4F8F" w:rsidRPr="004952C0">
        <w:t>(a)</w:t>
      </w:r>
      <w:r w:rsidRPr="004952C0">
        <w:tab/>
      </w:r>
      <w:proofErr w:type="gramStart"/>
      <w:r w:rsidRPr="004952C0">
        <w:t>begins</w:t>
      </w:r>
      <w:proofErr w:type="gramEnd"/>
      <w:r w:rsidRPr="004952C0">
        <w:t xml:space="preserve"> when this instrument commences; and</w:t>
      </w:r>
    </w:p>
    <w:p w:rsidR="0045496E" w:rsidRPr="004952C0" w:rsidRDefault="0045496E" w:rsidP="0045496E">
      <w:pPr>
        <w:pStyle w:val="tPara"/>
      </w:pPr>
      <w:r w:rsidRPr="004952C0">
        <w:tab/>
      </w:r>
      <w:r w:rsidR="00FE4F8F" w:rsidRPr="004952C0">
        <w:t>(b)</w:t>
      </w:r>
      <w:r w:rsidRPr="004952C0">
        <w:tab/>
      </w:r>
      <w:proofErr w:type="gramStart"/>
      <w:r w:rsidRPr="004952C0">
        <w:t>ends</w:t>
      </w:r>
      <w:proofErr w:type="gramEnd"/>
      <w:r w:rsidRPr="004952C0">
        <w:t xml:space="preserve"> on the day before this instrument would otherwise be repealed under subsection 50(1) of the </w:t>
      </w:r>
      <w:r w:rsidRPr="004952C0">
        <w:rPr>
          <w:i/>
        </w:rPr>
        <w:t>Legislative Instruments Act 2003</w:t>
      </w:r>
      <w:r w:rsidRPr="004952C0">
        <w:t>.</w:t>
      </w:r>
    </w:p>
    <w:p w:rsidR="0045496E" w:rsidRPr="004952C0" w:rsidRDefault="00FE4F8F" w:rsidP="0045496E">
      <w:pPr>
        <w:pStyle w:val="h5Section"/>
      </w:pPr>
      <w:bookmarkStart w:id="14" w:name="_Toc405889309"/>
      <w:bookmarkStart w:id="15" w:name="_Toc431466255"/>
      <w:proofErr w:type="gramStart"/>
      <w:r w:rsidRPr="004952C0">
        <w:t>5</w:t>
      </w:r>
      <w:r w:rsidR="0045496E" w:rsidRPr="004952C0">
        <w:t xml:space="preserve">  Definitions</w:t>
      </w:r>
      <w:bookmarkEnd w:id="14"/>
      <w:bookmarkEnd w:id="15"/>
      <w:proofErr w:type="gramEnd"/>
    </w:p>
    <w:p w:rsidR="0045496E" w:rsidRPr="004952C0" w:rsidRDefault="001C3F36" w:rsidP="001C3F36">
      <w:pPr>
        <w:pStyle w:val="tMain"/>
      </w:pPr>
      <w:r w:rsidRPr="004952C0">
        <w:tab/>
      </w:r>
      <w:r w:rsidRPr="004952C0">
        <w:tab/>
      </w:r>
      <w:r w:rsidR="0045496E" w:rsidRPr="004952C0">
        <w:t>In this determination:</w:t>
      </w:r>
    </w:p>
    <w:p w:rsidR="0045496E" w:rsidRPr="004952C0" w:rsidRDefault="0045496E" w:rsidP="0045496E">
      <w:pPr>
        <w:pStyle w:val="tDefn"/>
      </w:pPr>
      <w:r w:rsidRPr="004952C0">
        <w:rPr>
          <w:b/>
          <w:i/>
        </w:rPr>
        <w:t>Act</w:t>
      </w:r>
      <w:r w:rsidRPr="004952C0">
        <w:t xml:space="preserve"> means the </w:t>
      </w:r>
      <w:r w:rsidRPr="004952C0">
        <w:rPr>
          <w:i/>
        </w:rPr>
        <w:t>Carbon Credits (Carbon Farming Initiative) Act 2011</w:t>
      </w:r>
      <w:r w:rsidRPr="004952C0">
        <w:t>.</w:t>
      </w:r>
    </w:p>
    <w:p w:rsidR="00F71EAD" w:rsidRPr="004952C0" w:rsidRDefault="00F71EAD" w:rsidP="0045496E">
      <w:pPr>
        <w:pStyle w:val="tDefn"/>
        <w:rPr>
          <w:rFonts w:eastAsia="Calibri"/>
        </w:rPr>
      </w:pPr>
      <w:r w:rsidRPr="004952C0">
        <w:rPr>
          <w:rFonts w:eastAsia="Calibri"/>
          <w:b/>
          <w:i/>
        </w:rPr>
        <w:t>ANZ</w:t>
      </w:r>
      <w:r w:rsidR="00827838" w:rsidRPr="004952C0">
        <w:rPr>
          <w:rFonts w:eastAsia="Calibri"/>
          <w:b/>
          <w:i/>
        </w:rPr>
        <w:t>S</w:t>
      </w:r>
      <w:r w:rsidRPr="004952C0">
        <w:rPr>
          <w:rFonts w:eastAsia="Calibri"/>
          <w:b/>
          <w:i/>
        </w:rPr>
        <w:t xml:space="preserve">IC </w:t>
      </w:r>
      <w:r w:rsidRPr="004952C0">
        <w:rPr>
          <w:rFonts w:eastAsia="Calibri"/>
        </w:rPr>
        <w:t>means the Australian and New Zealand Standard Industrial Classification, jointly developed by the Australian Bureau of Statistics and Statistics New Zealand</w:t>
      </w:r>
      <w:r w:rsidR="009A583B">
        <w:rPr>
          <w:rFonts w:eastAsia="Calibri"/>
        </w:rPr>
        <w:t xml:space="preserve"> and as </w:t>
      </w:r>
      <w:r w:rsidR="00791616">
        <w:rPr>
          <w:rFonts w:eastAsia="Calibri"/>
        </w:rPr>
        <w:t xml:space="preserve">in force </w:t>
      </w:r>
      <w:r w:rsidR="009A583B">
        <w:rPr>
          <w:rFonts w:eastAsia="Calibri"/>
        </w:rPr>
        <w:t>from time to time</w:t>
      </w:r>
      <w:r w:rsidRPr="004952C0">
        <w:rPr>
          <w:rFonts w:eastAsia="Calibri"/>
        </w:rPr>
        <w:t>.</w:t>
      </w:r>
    </w:p>
    <w:p w:rsidR="0045496E" w:rsidRPr="004952C0" w:rsidRDefault="0045496E" w:rsidP="0045496E">
      <w:pPr>
        <w:pStyle w:val="tDefn"/>
        <w:rPr>
          <w:rFonts w:eastAsia="Calibri"/>
        </w:rPr>
      </w:pPr>
      <w:proofErr w:type="gramStart"/>
      <w:r w:rsidRPr="004952C0">
        <w:rPr>
          <w:rFonts w:eastAsia="Calibri"/>
          <w:b/>
          <w:i/>
        </w:rPr>
        <w:t>axial</w:t>
      </w:r>
      <w:r w:rsidRPr="004952C0">
        <w:rPr>
          <w:rFonts w:eastAsia="Calibri"/>
          <w:b/>
          <w:i/>
        </w:rPr>
        <w:noBreakHyphen/>
      </w:r>
      <w:proofErr w:type="spellStart"/>
      <w:r w:rsidRPr="004952C0">
        <w:rPr>
          <w:rFonts w:eastAsia="Calibri"/>
          <w:b/>
          <w:i/>
        </w:rPr>
        <w:t>flow</w:t>
      </w:r>
      <w:proofErr w:type="spellEnd"/>
      <w:proofErr w:type="gramEnd"/>
      <w:r w:rsidRPr="004952C0">
        <w:rPr>
          <w:rFonts w:eastAsia="Calibri"/>
          <w:b/>
          <w:i/>
        </w:rPr>
        <w:t xml:space="preserve"> fan</w:t>
      </w:r>
      <w:r w:rsidRPr="004952C0">
        <w:rPr>
          <w:rFonts w:eastAsia="Calibri"/>
        </w:rPr>
        <w:t xml:space="preserve">—see section </w:t>
      </w:r>
      <w:r w:rsidR="00934AC6" w:rsidRPr="004952C0">
        <w:rPr>
          <w:rFonts w:eastAsia="Calibri"/>
        </w:rPr>
        <w:t>6</w:t>
      </w:r>
      <w:r w:rsidRPr="004952C0">
        <w:rPr>
          <w:rFonts w:eastAsia="Calibri"/>
        </w:rPr>
        <w:t>.</w:t>
      </w:r>
    </w:p>
    <w:p w:rsidR="00091ADC" w:rsidRPr="004952C0" w:rsidRDefault="00091ADC" w:rsidP="00091ADC">
      <w:pPr>
        <w:pStyle w:val="tDefn"/>
        <w:rPr>
          <w:lang w:val="en-US"/>
        </w:rPr>
      </w:pPr>
      <w:r w:rsidRPr="004952C0">
        <w:rPr>
          <w:b/>
          <w:bCs/>
          <w:i/>
          <w:iCs/>
        </w:rPr>
        <w:t>BCA</w:t>
      </w:r>
      <w:r w:rsidRPr="004952C0">
        <w:t xml:space="preserve"> means the </w:t>
      </w:r>
      <w:r w:rsidRPr="004952C0">
        <w:rPr>
          <w:i/>
          <w:iCs/>
        </w:rPr>
        <w:t>Building Code of Australia</w:t>
      </w:r>
      <w:r w:rsidRPr="004952C0">
        <w:t xml:space="preserve">, forming part of the National Construction Code, as </w:t>
      </w:r>
      <w:r w:rsidR="00791616">
        <w:t>in force</w:t>
      </w:r>
      <w:r w:rsidRPr="007D5192">
        <w:t xml:space="preserve"> from time to time</w:t>
      </w:r>
      <w:r w:rsidRPr="004952C0">
        <w:t>.</w:t>
      </w:r>
    </w:p>
    <w:p w:rsidR="00FF5F38" w:rsidRPr="004952C0" w:rsidRDefault="00FF5F38" w:rsidP="0045496E">
      <w:pPr>
        <w:pStyle w:val="tDefn"/>
        <w:rPr>
          <w:rFonts w:eastAsia="Calibri"/>
        </w:rPr>
      </w:pPr>
      <w:proofErr w:type="gramStart"/>
      <w:r w:rsidRPr="004952C0">
        <w:rPr>
          <w:rFonts w:eastAsia="Calibri"/>
          <w:b/>
          <w:i/>
        </w:rPr>
        <w:t>building</w:t>
      </w:r>
      <w:proofErr w:type="gramEnd"/>
      <w:r w:rsidRPr="004952C0">
        <w:rPr>
          <w:rFonts w:eastAsia="Calibri"/>
          <w:b/>
          <w:i/>
        </w:rPr>
        <w:t xml:space="preserve"> type</w:t>
      </w:r>
      <w:r w:rsidRPr="004952C0">
        <w:rPr>
          <w:rFonts w:eastAsia="Calibri"/>
        </w:rPr>
        <w:t xml:space="preserve"> of a particular building</w:t>
      </w:r>
      <w:r w:rsidR="001C3F36" w:rsidRPr="004952C0">
        <w:rPr>
          <w:rFonts w:eastAsia="Calibri"/>
        </w:rPr>
        <w:t>—see</w:t>
      </w:r>
      <w:r w:rsidR="00890383" w:rsidRPr="004952C0">
        <w:rPr>
          <w:rFonts w:eastAsia="Calibri"/>
        </w:rPr>
        <w:t xml:space="preserve"> section </w:t>
      </w:r>
      <w:r w:rsidR="00934AC6" w:rsidRPr="004952C0">
        <w:rPr>
          <w:rFonts w:eastAsia="Calibri"/>
        </w:rPr>
        <w:t>1</w:t>
      </w:r>
      <w:r w:rsidR="00890383" w:rsidRPr="004952C0">
        <w:rPr>
          <w:rFonts w:eastAsia="Calibri"/>
        </w:rPr>
        <w:t xml:space="preserve"> of </w:t>
      </w:r>
      <w:r w:rsidR="00934AC6" w:rsidRPr="004952C0">
        <w:rPr>
          <w:rFonts w:eastAsia="Calibri"/>
        </w:rPr>
        <w:t>Schedule 2</w:t>
      </w:r>
      <w:r w:rsidR="001C3F36" w:rsidRPr="004952C0">
        <w:rPr>
          <w:rFonts w:eastAsia="Calibri"/>
        </w:rPr>
        <w:t>.</w:t>
      </w:r>
    </w:p>
    <w:p w:rsidR="00D54101" w:rsidRPr="004952C0" w:rsidRDefault="00D54101" w:rsidP="00D54101">
      <w:pPr>
        <w:pStyle w:val="nMain"/>
        <w:rPr>
          <w:rFonts w:eastAsia="Calibri"/>
        </w:rPr>
      </w:pPr>
      <w:r w:rsidRPr="004952C0">
        <w:rPr>
          <w:rFonts w:eastAsia="Calibri"/>
        </w:rPr>
        <w:t>Note:</w:t>
      </w:r>
      <w:r w:rsidRPr="004952C0">
        <w:rPr>
          <w:rFonts w:eastAsia="Calibri"/>
        </w:rPr>
        <w:tab/>
        <w:t xml:space="preserve">The building types are categorised using BCA classes </w:t>
      </w:r>
      <w:r w:rsidR="00BE32E1" w:rsidRPr="004952C0">
        <w:rPr>
          <w:rFonts w:eastAsia="Calibri"/>
        </w:rPr>
        <w:t>and</w:t>
      </w:r>
      <w:r w:rsidRPr="004952C0">
        <w:rPr>
          <w:rFonts w:eastAsia="Calibri"/>
        </w:rPr>
        <w:t xml:space="preserve">, where appropriate, </w:t>
      </w:r>
      <w:r w:rsidR="00A4629C" w:rsidRPr="004952C0">
        <w:rPr>
          <w:rFonts w:eastAsia="Calibri"/>
        </w:rPr>
        <w:t xml:space="preserve">primary business activities reflected in </w:t>
      </w:r>
      <w:r w:rsidR="00BE32E1" w:rsidRPr="004952C0">
        <w:rPr>
          <w:rFonts w:eastAsia="Calibri"/>
        </w:rPr>
        <w:t xml:space="preserve">Divisions of the </w:t>
      </w:r>
      <w:r w:rsidRPr="004952C0">
        <w:rPr>
          <w:rFonts w:eastAsia="Calibri"/>
        </w:rPr>
        <w:t>ANZSIC.</w:t>
      </w:r>
    </w:p>
    <w:p w:rsidR="0045496E" w:rsidRPr="004952C0" w:rsidRDefault="0045496E" w:rsidP="0045496E">
      <w:pPr>
        <w:pStyle w:val="tDefn"/>
        <w:rPr>
          <w:rFonts w:eastAsia="Calibri"/>
        </w:rPr>
      </w:pPr>
      <w:proofErr w:type="gramStart"/>
      <w:r w:rsidRPr="004952C0">
        <w:rPr>
          <w:rFonts w:eastAsia="Calibri"/>
          <w:b/>
          <w:i/>
        </w:rPr>
        <w:t>centrifugal</w:t>
      </w:r>
      <w:proofErr w:type="gramEnd"/>
      <w:r w:rsidRPr="004952C0">
        <w:rPr>
          <w:rFonts w:eastAsia="Calibri"/>
          <w:b/>
          <w:i/>
        </w:rPr>
        <w:t xml:space="preserve"> backward</w:t>
      </w:r>
      <w:r w:rsidRPr="004952C0">
        <w:rPr>
          <w:rFonts w:eastAsia="Calibri"/>
          <w:b/>
          <w:i/>
        </w:rPr>
        <w:noBreakHyphen/>
      </w:r>
      <w:proofErr w:type="spellStart"/>
      <w:r w:rsidRPr="004952C0">
        <w:rPr>
          <w:rFonts w:eastAsia="Calibri"/>
          <w:b/>
          <w:i/>
        </w:rPr>
        <w:t>curved</w:t>
      </w:r>
      <w:proofErr w:type="spellEnd"/>
      <w:r w:rsidRPr="004952C0">
        <w:rPr>
          <w:rFonts w:eastAsia="Calibri"/>
          <w:b/>
          <w:i/>
        </w:rPr>
        <w:t xml:space="preserve"> fan</w:t>
      </w:r>
      <w:r w:rsidRPr="004952C0">
        <w:rPr>
          <w:rFonts w:eastAsia="Calibri"/>
          <w:i/>
        </w:rPr>
        <w:t>—</w:t>
      </w:r>
      <w:r w:rsidRPr="004952C0">
        <w:rPr>
          <w:rFonts w:eastAsia="Calibri"/>
        </w:rPr>
        <w:t xml:space="preserve">see section </w:t>
      </w:r>
      <w:r w:rsidR="00934AC6" w:rsidRPr="004952C0">
        <w:rPr>
          <w:rFonts w:eastAsia="Calibri"/>
        </w:rPr>
        <w:t>6</w:t>
      </w:r>
      <w:r w:rsidRPr="004952C0">
        <w:rPr>
          <w:rFonts w:eastAsia="Calibri"/>
        </w:rPr>
        <w:t>.</w:t>
      </w:r>
    </w:p>
    <w:p w:rsidR="0045496E" w:rsidRPr="004952C0" w:rsidRDefault="0045496E" w:rsidP="0045496E">
      <w:pPr>
        <w:pStyle w:val="tDefn"/>
        <w:rPr>
          <w:rFonts w:eastAsia="Calibri"/>
        </w:rPr>
      </w:pPr>
      <w:proofErr w:type="gramStart"/>
      <w:r w:rsidRPr="004952C0">
        <w:rPr>
          <w:rFonts w:eastAsia="Calibri"/>
          <w:b/>
          <w:i/>
        </w:rPr>
        <w:t>centrifugal</w:t>
      </w:r>
      <w:proofErr w:type="gramEnd"/>
      <w:r w:rsidRPr="004952C0">
        <w:rPr>
          <w:rFonts w:eastAsia="Calibri"/>
          <w:b/>
          <w:i/>
        </w:rPr>
        <w:t xml:space="preserve"> forward</w:t>
      </w:r>
      <w:r w:rsidRPr="004952C0">
        <w:rPr>
          <w:rFonts w:eastAsia="Calibri"/>
          <w:b/>
          <w:i/>
        </w:rPr>
        <w:noBreakHyphen/>
      </w:r>
      <w:proofErr w:type="spellStart"/>
      <w:r w:rsidRPr="004952C0">
        <w:rPr>
          <w:rFonts w:eastAsia="Calibri"/>
          <w:b/>
          <w:i/>
        </w:rPr>
        <w:t>curved</w:t>
      </w:r>
      <w:proofErr w:type="spellEnd"/>
      <w:r w:rsidRPr="004952C0">
        <w:rPr>
          <w:rFonts w:eastAsia="Calibri"/>
          <w:b/>
          <w:i/>
        </w:rPr>
        <w:t xml:space="preserve"> fan</w:t>
      </w:r>
      <w:r w:rsidR="00DB2B70" w:rsidRPr="004952C0">
        <w:rPr>
          <w:rFonts w:eastAsia="Calibri"/>
        </w:rPr>
        <w:t>—</w:t>
      </w:r>
      <w:r w:rsidRPr="004952C0">
        <w:rPr>
          <w:rFonts w:eastAsia="Calibri"/>
        </w:rPr>
        <w:t xml:space="preserve">see section </w:t>
      </w:r>
      <w:r w:rsidR="00934AC6" w:rsidRPr="004952C0">
        <w:rPr>
          <w:rFonts w:eastAsia="Calibri"/>
        </w:rPr>
        <w:t>6</w:t>
      </w:r>
      <w:r w:rsidRPr="004952C0">
        <w:rPr>
          <w:rFonts w:eastAsia="Calibri"/>
        </w:rPr>
        <w:t>.</w:t>
      </w:r>
    </w:p>
    <w:p w:rsidR="0045496E" w:rsidRPr="004952C0" w:rsidRDefault="0045496E" w:rsidP="0045496E">
      <w:pPr>
        <w:pStyle w:val="tDefn"/>
        <w:rPr>
          <w:rFonts w:eastAsia="Calibri"/>
        </w:rPr>
      </w:pPr>
      <w:proofErr w:type="gramStart"/>
      <w:r w:rsidRPr="004952C0">
        <w:rPr>
          <w:rFonts w:eastAsia="Calibri"/>
          <w:b/>
          <w:i/>
        </w:rPr>
        <w:t>centrifugal</w:t>
      </w:r>
      <w:proofErr w:type="gramEnd"/>
      <w:r w:rsidRPr="004952C0">
        <w:rPr>
          <w:rFonts w:eastAsia="Calibri"/>
          <w:b/>
          <w:i/>
        </w:rPr>
        <w:t xml:space="preserve"> radial bladed fan</w:t>
      </w:r>
      <w:r w:rsidR="00DB2B70" w:rsidRPr="004952C0">
        <w:rPr>
          <w:rFonts w:eastAsia="Calibri"/>
        </w:rPr>
        <w:t>—</w:t>
      </w:r>
      <w:r w:rsidRPr="004952C0">
        <w:rPr>
          <w:rFonts w:eastAsia="Calibri"/>
        </w:rPr>
        <w:t xml:space="preserve">see section </w:t>
      </w:r>
      <w:r w:rsidR="00934AC6" w:rsidRPr="004952C0">
        <w:rPr>
          <w:rFonts w:eastAsia="Calibri"/>
        </w:rPr>
        <w:t>6</w:t>
      </w:r>
      <w:r w:rsidRPr="004952C0">
        <w:rPr>
          <w:rFonts w:eastAsia="Calibri"/>
        </w:rPr>
        <w:t>.</w:t>
      </w:r>
    </w:p>
    <w:p w:rsidR="0045496E" w:rsidRPr="004952C0" w:rsidRDefault="0045496E" w:rsidP="0045496E">
      <w:pPr>
        <w:pStyle w:val="tDefn"/>
        <w:rPr>
          <w:szCs w:val="18"/>
        </w:rPr>
      </w:pPr>
      <w:r w:rsidRPr="004952C0">
        <w:rPr>
          <w:b/>
          <w:i/>
          <w:iCs/>
        </w:rPr>
        <w:t>CO</w:t>
      </w:r>
      <w:r w:rsidRPr="004952C0">
        <w:rPr>
          <w:b/>
          <w:i/>
          <w:iCs/>
          <w:vertAlign w:val="subscript"/>
        </w:rPr>
        <w:t>2</w:t>
      </w:r>
      <w:r w:rsidRPr="004952C0">
        <w:rPr>
          <w:b/>
          <w:i/>
          <w:iCs/>
        </w:rPr>
        <w:noBreakHyphen/>
        <w:t>e</w:t>
      </w:r>
      <w:r w:rsidRPr="004952C0">
        <w:rPr>
          <w:iCs/>
        </w:rPr>
        <w:t xml:space="preserve"> means carbon dioxide equivalent.</w:t>
      </w:r>
    </w:p>
    <w:p w:rsidR="0045496E" w:rsidRPr="004952C0" w:rsidRDefault="0045496E" w:rsidP="0045496E">
      <w:pPr>
        <w:pStyle w:val="tDefn"/>
      </w:pPr>
      <w:proofErr w:type="gramStart"/>
      <w:r w:rsidRPr="004952C0">
        <w:rPr>
          <w:b/>
          <w:i/>
        </w:rPr>
        <w:t>cold</w:t>
      </w:r>
      <w:proofErr w:type="gramEnd"/>
      <w:r w:rsidRPr="004952C0">
        <w:rPr>
          <w:b/>
          <w:i/>
        </w:rPr>
        <w:t xml:space="preserve"> storage warehouse</w:t>
      </w:r>
      <w:r w:rsidRPr="004952C0">
        <w:t xml:space="preserve"> means a temperature controlled warehouse for housing chilled and frozen goods.</w:t>
      </w:r>
    </w:p>
    <w:p w:rsidR="0045496E" w:rsidRPr="004952C0" w:rsidRDefault="0045496E" w:rsidP="0045496E">
      <w:pPr>
        <w:pStyle w:val="tDefn"/>
      </w:pPr>
      <w:proofErr w:type="gramStart"/>
      <w:r w:rsidRPr="004952C0">
        <w:rPr>
          <w:b/>
          <w:i/>
        </w:rPr>
        <w:lastRenderedPageBreak/>
        <w:t>commissioned</w:t>
      </w:r>
      <w:proofErr w:type="gramEnd"/>
      <w:r w:rsidRPr="004952C0">
        <w:t xml:space="preserve">: a fan is </w:t>
      </w:r>
      <w:r w:rsidRPr="004952C0">
        <w:rPr>
          <w:b/>
          <w:i/>
        </w:rPr>
        <w:t xml:space="preserve">commissioned </w:t>
      </w:r>
      <w:r w:rsidRPr="004952C0">
        <w:t>at the point at which the fan is first used after it has been installed, modified or replaced as part of a refrigeration and ventilation fan project and it has been established that it operates as intended.</w:t>
      </w:r>
    </w:p>
    <w:p w:rsidR="0045496E" w:rsidRPr="004952C0" w:rsidRDefault="0045496E" w:rsidP="0045496E">
      <w:pPr>
        <w:pStyle w:val="tDefn"/>
      </w:pPr>
      <w:proofErr w:type="gramStart"/>
      <w:r w:rsidRPr="004952C0">
        <w:rPr>
          <w:b/>
          <w:i/>
        </w:rPr>
        <w:t>control</w:t>
      </w:r>
      <w:proofErr w:type="gramEnd"/>
      <w:r w:rsidRPr="004952C0">
        <w:rPr>
          <w:b/>
          <w:i/>
        </w:rPr>
        <w:t xml:space="preserve"> system</w:t>
      </w:r>
      <w:r w:rsidRPr="004952C0">
        <w:t>, of a fan, means a system that automatically adjusts the fan speed, or turns the motor of the fan on or off, based on temperature, pressure, humidity, or feedback from carbon monoxide or carbon dioxide sensors.</w:t>
      </w:r>
    </w:p>
    <w:p w:rsidR="0045496E" w:rsidRPr="004952C0" w:rsidRDefault="0045496E" w:rsidP="0045496E">
      <w:pPr>
        <w:pStyle w:val="tDefn"/>
        <w:rPr>
          <w:rFonts w:eastAsia="Calibri"/>
        </w:rPr>
      </w:pPr>
      <w:proofErr w:type="gramStart"/>
      <w:r w:rsidRPr="004952C0">
        <w:rPr>
          <w:rFonts w:eastAsia="Calibri"/>
          <w:b/>
          <w:i/>
        </w:rPr>
        <w:t>cross</w:t>
      </w:r>
      <w:r w:rsidRPr="004952C0">
        <w:rPr>
          <w:rFonts w:eastAsia="Calibri"/>
          <w:b/>
          <w:i/>
        </w:rPr>
        <w:noBreakHyphen/>
      </w:r>
      <w:proofErr w:type="spellStart"/>
      <w:r w:rsidRPr="004952C0">
        <w:rPr>
          <w:rFonts w:eastAsia="Calibri"/>
          <w:b/>
          <w:i/>
        </w:rPr>
        <w:t>flow</w:t>
      </w:r>
      <w:proofErr w:type="spellEnd"/>
      <w:proofErr w:type="gramEnd"/>
      <w:r w:rsidRPr="004952C0">
        <w:rPr>
          <w:rFonts w:eastAsia="Calibri"/>
          <w:b/>
          <w:i/>
        </w:rPr>
        <w:t xml:space="preserve"> fan </w:t>
      </w:r>
      <w:r w:rsidRPr="004952C0">
        <w:rPr>
          <w:rFonts w:eastAsia="Calibri"/>
        </w:rPr>
        <w:t>means a fan in which the gas path through the impeller is in a direction essentially at right angles to its axis both entering and leaving the impeller at its periphery.</w:t>
      </w:r>
    </w:p>
    <w:p w:rsidR="0045496E" w:rsidRPr="004952C0" w:rsidRDefault="0045496E" w:rsidP="0045496E">
      <w:pPr>
        <w:pStyle w:val="tDefn"/>
      </w:pPr>
      <w:proofErr w:type="gramStart"/>
      <w:r w:rsidRPr="004952C0">
        <w:rPr>
          <w:b/>
          <w:i/>
        </w:rPr>
        <w:t>declaration</w:t>
      </w:r>
      <w:proofErr w:type="gramEnd"/>
      <w:r w:rsidRPr="004952C0">
        <w:rPr>
          <w:b/>
          <w:i/>
        </w:rPr>
        <w:t xml:space="preserve"> day</w:t>
      </w:r>
      <w:r w:rsidRPr="004952C0">
        <w:t>, in relation to a refrigeration and ventilation fan project, means the day the project is declared to be an eligible offsets project.</w:t>
      </w:r>
    </w:p>
    <w:p w:rsidR="0045496E" w:rsidRPr="004952C0" w:rsidRDefault="0045496E" w:rsidP="0045496E">
      <w:pPr>
        <w:pStyle w:val="tDefn"/>
        <w:rPr>
          <w:szCs w:val="18"/>
        </w:rPr>
      </w:pPr>
      <w:proofErr w:type="gramStart"/>
      <w:r w:rsidRPr="004952C0">
        <w:rPr>
          <w:b/>
          <w:i/>
        </w:rPr>
        <w:t>driven</w:t>
      </w:r>
      <w:proofErr w:type="gramEnd"/>
      <w:r w:rsidRPr="004952C0">
        <w:rPr>
          <w:b/>
          <w:i/>
        </w:rPr>
        <w:t xml:space="preserve"> fan</w:t>
      </w:r>
      <w:r w:rsidRPr="004952C0">
        <w:t xml:space="preserve">: a fan is a </w:t>
      </w:r>
      <w:r w:rsidRPr="004952C0">
        <w:rPr>
          <w:b/>
          <w:i/>
        </w:rPr>
        <w:t xml:space="preserve">driven fan </w:t>
      </w:r>
      <w:r w:rsidRPr="004952C0">
        <w:t>if it is connected to a motor, whether or not the fan is connected to a transmission or a control system, and whether or not it has a housing.</w:t>
      </w:r>
    </w:p>
    <w:p w:rsidR="0045496E" w:rsidRPr="004952C0" w:rsidRDefault="0045496E" w:rsidP="0045496E">
      <w:pPr>
        <w:pStyle w:val="tDefn"/>
      </w:pPr>
      <w:proofErr w:type="gramStart"/>
      <w:r w:rsidRPr="004952C0">
        <w:rPr>
          <w:b/>
          <w:i/>
        </w:rPr>
        <w:t>ducted</w:t>
      </w:r>
      <w:proofErr w:type="gramEnd"/>
      <w:r w:rsidRPr="004952C0">
        <w:rPr>
          <w:b/>
          <w:i/>
        </w:rPr>
        <w:t xml:space="preserve"> fan</w:t>
      </w:r>
      <w:r w:rsidRPr="004952C0">
        <w:t xml:space="preserve"> means a driven fan that:</w:t>
      </w:r>
    </w:p>
    <w:p w:rsidR="0045496E" w:rsidRPr="004952C0" w:rsidRDefault="0045496E" w:rsidP="0045496E">
      <w:pPr>
        <w:pStyle w:val="tPara"/>
      </w:pPr>
      <w:r w:rsidRPr="004952C0">
        <w:tab/>
        <w:t>(a)</w:t>
      </w:r>
      <w:r w:rsidRPr="004952C0">
        <w:tab/>
      </w:r>
      <w:proofErr w:type="gramStart"/>
      <w:r w:rsidRPr="004952C0">
        <w:t>is</w:t>
      </w:r>
      <w:proofErr w:type="gramEnd"/>
      <w:r w:rsidRPr="004952C0">
        <w:t xml:space="preserve"> ducted at the outlet, the inlet or both; and</w:t>
      </w:r>
    </w:p>
    <w:p w:rsidR="0045496E" w:rsidRPr="004952C0" w:rsidRDefault="0045496E" w:rsidP="0045496E">
      <w:pPr>
        <w:pStyle w:val="tPara"/>
      </w:pPr>
      <w:r w:rsidRPr="004952C0">
        <w:tab/>
        <w:t>(b)</w:t>
      </w:r>
      <w:r w:rsidRPr="004952C0">
        <w:tab/>
      </w:r>
      <w:proofErr w:type="gramStart"/>
      <w:r w:rsidRPr="004952C0">
        <w:t>increases</w:t>
      </w:r>
      <w:proofErr w:type="gramEnd"/>
      <w:r w:rsidRPr="004952C0">
        <w:t xml:space="preserve"> the kinetic energy of the air within the duct.</w:t>
      </w:r>
    </w:p>
    <w:p w:rsidR="0045496E" w:rsidRPr="004952C0" w:rsidRDefault="0045496E" w:rsidP="0045496E">
      <w:pPr>
        <w:pStyle w:val="tDefn"/>
      </w:pPr>
      <w:proofErr w:type="gramStart"/>
      <w:r w:rsidRPr="004952C0">
        <w:rPr>
          <w:b/>
          <w:i/>
        </w:rPr>
        <w:t>ducted</w:t>
      </w:r>
      <w:proofErr w:type="gramEnd"/>
      <w:r w:rsidRPr="004952C0">
        <w:rPr>
          <w:b/>
          <w:i/>
        </w:rPr>
        <w:t xml:space="preserve"> or partition ventilation fan</w:t>
      </w:r>
      <w:r w:rsidRPr="004952C0">
        <w:t xml:space="preserve"> means </w:t>
      </w:r>
      <w:r w:rsidR="001D46DC" w:rsidRPr="004952C0">
        <w:t xml:space="preserve">a </w:t>
      </w:r>
      <w:r w:rsidR="00657727" w:rsidRPr="004952C0">
        <w:t xml:space="preserve">ducted fan or a partition fan </w:t>
      </w:r>
      <w:r w:rsidRPr="004952C0">
        <w:t>that:</w:t>
      </w:r>
    </w:p>
    <w:p w:rsidR="00657727" w:rsidRPr="004952C0" w:rsidRDefault="0045496E" w:rsidP="007F59C4">
      <w:pPr>
        <w:pStyle w:val="tPara"/>
      </w:pPr>
      <w:r w:rsidRPr="004952C0">
        <w:tab/>
        <w:t>(a)</w:t>
      </w:r>
      <w:r w:rsidRPr="004952C0">
        <w:tab/>
      </w:r>
      <w:proofErr w:type="gramStart"/>
      <w:r w:rsidR="006D7E5D" w:rsidRPr="004952C0">
        <w:t>provide</w:t>
      </w:r>
      <w:r w:rsidR="00CA5952" w:rsidRPr="004952C0">
        <w:t>s</w:t>
      </w:r>
      <w:proofErr w:type="gramEnd"/>
      <w:r w:rsidR="006D7E5D" w:rsidRPr="004952C0">
        <w:t xml:space="preserve"> ventilation </w:t>
      </w:r>
      <w:r w:rsidR="00657727" w:rsidRPr="004952C0">
        <w:t>service</w:t>
      </w:r>
      <w:r w:rsidR="006D7E5D" w:rsidRPr="004952C0">
        <w:t>s to</w:t>
      </w:r>
      <w:r w:rsidR="00657727" w:rsidRPr="004952C0">
        <w:t xml:space="preserve"> a building; and</w:t>
      </w:r>
    </w:p>
    <w:p w:rsidR="0045496E" w:rsidRPr="004952C0" w:rsidRDefault="0045496E" w:rsidP="0045496E">
      <w:pPr>
        <w:pStyle w:val="tPara"/>
      </w:pPr>
      <w:r w:rsidRPr="004952C0">
        <w:tab/>
        <w:t>(b)</w:t>
      </w:r>
      <w:r w:rsidRPr="004952C0">
        <w:tab/>
      </w:r>
      <w:proofErr w:type="gramStart"/>
      <w:r w:rsidRPr="004952C0">
        <w:t>is</w:t>
      </w:r>
      <w:proofErr w:type="gramEnd"/>
      <w:r w:rsidRPr="004952C0">
        <w:t xml:space="preserve"> not a heating/cooling ventilation fan.</w:t>
      </w:r>
    </w:p>
    <w:p w:rsidR="0045496E" w:rsidRPr="004952C0" w:rsidRDefault="0045496E" w:rsidP="0045496E">
      <w:pPr>
        <w:pStyle w:val="tDefn"/>
      </w:pPr>
      <w:proofErr w:type="gramStart"/>
      <w:r w:rsidRPr="004952C0">
        <w:rPr>
          <w:b/>
          <w:i/>
        </w:rPr>
        <w:t>electronically</w:t>
      </w:r>
      <w:proofErr w:type="gramEnd"/>
      <w:r w:rsidRPr="004952C0">
        <w:rPr>
          <w:b/>
          <w:i/>
        </w:rPr>
        <w:t xml:space="preserve"> commutated motor</w:t>
      </w:r>
      <w:r w:rsidRPr="004952C0">
        <w:t xml:space="preserve"> means a permanent magnet electric motor that uses an electronically controlled commutation system.</w:t>
      </w:r>
    </w:p>
    <w:p w:rsidR="0045496E" w:rsidRPr="004952C0" w:rsidRDefault="0045496E" w:rsidP="0045496E">
      <w:pPr>
        <w:pStyle w:val="tDefn"/>
      </w:pPr>
      <w:proofErr w:type="gramStart"/>
      <w:r w:rsidRPr="004952C0">
        <w:rPr>
          <w:b/>
          <w:i/>
        </w:rPr>
        <w:t>eligible</w:t>
      </w:r>
      <w:proofErr w:type="gramEnd"/>
      <w:r w:rsidRPr="004952C0">
        <w:rPr>
          <w:b/>
          <w:i/>
        </w:rPr>
        <w:t xml:space="preserve"> fan type</w:t>
      </w:r>
      <w:r w:rsidRPr="004952C0">
        <w:t xml:space="preserve">: each of the following is an </w:t>
      </w:r>
      <w:r w:rsidRPr="004952C0">
        <w:rPr>
          <w:b/>
          <w:i/>
        </w:rPr>
        <w:t>eligible</w:t>
      </w:r>
      <w:r w:rsidRPr="004952C0">
        <w:t xml:space="preserve"> </w:t>
      </w:r>
      <w:r w:rsidRPr="004952C0">
        <w:rPr>
          <w:b/>
          <w:i/>
        </w:rPr>
        <w:t>fan type</w:t>
      </w:r>
      <w:r w:rsidRPr="004952C0">
        <w:t>:</w:t>
      </w:r>
    </w:p>
    <w:p w:rsidR="0045496E" w:rsidRPr="004952C0" w:rsidRDefault="0045496E" w:rsidP="0045496E">
      <w:pPr>
        <w:pStyle w:val="tPara"/>
      </w:pPr>
      <w:r w:rsidRPr="004952C0">
        <w:tab/>
        <w:t>(a)</w:t>
      </w:r>
      <w:r w:rsidRPr="004952C0">
        <w:tab/>
      </w:r>
      <w:proofErr w:type="gramStart"/>
      <w:r w:rsidRPr="004952C0">
        <w:t>an</w:t>
      </w:r>
      <w:proofErr w:type="gramEnd"/>
      <w:r w:rsidRPr="004952C0">
        <w:t xml:space="preserve"> axial</w:t>
      </w:r>
      <w:r w:rsidRPr="004952C0">
        <w:noBreakHyphen/>
      </w:r>
      <w:proofErr w:type="spellStart"/>
      <w:r w:rsidRPr="004952C0">
        <w:t>flow</w:t>
      </w:r>
      <w:proofErr w:type="spellEnd"/>
      <w:r w:rsidRPr="004952C0">
        <w:t xml:space="preserve"> fan;</w:t>
      </w:r>
    </w:p>
    <w:p w:rsidR="0045496E" w:rsidRPr="004952C0" w:rsidRDefault="0045496E" w:rsidP="0045496E">
      <w:pPr>
        <w:pStyle w:val="tPara"/>
      </w:pPr>
      <w:r w:rsidRPr="004952C0">
        <w:tab/>
        <w:t>(b)</w:t>
      </w:r>
      <w:r w:rsidRPr="004952C0">
        <w:tab/>
      </w:r>
      <w:proofErr w:type="gramStart"/>
      <w:r w:rsidRPr="004952C0">
        <w:t>a</w:t>
      </w:r>
      <w:proofErr w:type="gramEnd"/>
      <w:r w:rsidRPr="004952C0">
        <w:t xml:space="preserve"> cross</w:t>
      </w:r>
      <w:r w:rsidRPr="004952C0">
        <w:noBreakHyphen/>
      </w:r>
      <w:proofErr w:type="spellStart"/>
      <w:r w:rsidRPr="004952C0">
        <w:t>flow</w:t>
      </w:r>
      <w:proofErr w:type="spellEnd"/>
      <w:r w:rsidRPr="004952C0">
        <w:t xml:space="preserve"> fan;</w:t>
      </w:r>
    </w:p>
    <w:p w:rsidR="0045496E" w:rsidRPr="004952C0" w:rsidRDefault="0045496E" w:rsidP="0045496E">
      <w:pPr>
        <w:pStyle w:val="tPara"/>
      </w:pPr>
      <w:r w:rsidRPr="004952C0">
        <w:tab/>
        <w:t>(c)</w:t>
      </w:r>
      <w:r w:rsidRPr="004952C0">
        <w:tab/>
      </w:r>
      <w:proofErr w:type="gramStart"/>
      <w:r w:rsidRPr="004952C0">
        <w:t>a</w:t>
      </w:r>
      <w:proofErr w:type="gramEnd"/>
      <w:r w:rsidRPr="004952C0">
        <w:t xml:space="preserve"> mixed</w:t>
      </w:r>
      <w:r w:rsidRPr="004952C0">
        <w:noBreakHyphen/>
      </w:r>
      <w:proofErr w:type="spellStart"/>
      <w:r w:rsidRPr="004952C0">
        <w:t>flow</w:t>
      </w:r>
      <w:proofErr w:type="spellEnd"/>
      <w:r w:rsidRPr="004952C0">
        <w:t xml:space="preserve"> fan;</w:t>
      </w:r>
    </w:p>
    <w:p w:rsidR="0045496E" w:rsidRPr="004952C0" w:rsidRDefault="0045496E" w:rsidP="0045496E">
      <w:pPr>
        <w:pStyle w:val="tPara"/>
      </w:pPr>
      <w:r w:rsidRPr="004952C0">
        <w:tab/>
        <w:t>(d)</w:t>
      </w:r>
      <w:r w:rsidRPr="004952C0">
        <w:tab/>
      </w:r>
      <w:proofErr w:type="gramStart"/>
      <w:r w:rsidRPr="004952C0">
        <w:t>a</w:t>
      </w:r>
      <w:proofErr w:type="gramEnd"/>
      <w:r w:rsidRPr="004952C0">
        <w:t xml:space="preserve"> </w:t>
      </w:r>
      <w:r w:rsidRPr="004952C0">
        <w:rPr>
          <w:rFonts w:eastAsia="Calibri"/>
        </w:rPr>
        <w:t>centrifugal backward</w:t>
      </w:r>
      <w:r w:rsidRPr="004952C0">
        <w:rPr>
          <w:rFonts w:eastAsia="Calibri"/>
        </w:rPr>
        <w:noBreakHyphen/>
      </w:r>
      <w:proofErr w:type="spellStart"/>
      <w:r w:rsidRPr="004952C0">
        <w:rPr>
          <w:rFonts w:eastAsia="Calibri"/>
        </w:rPr>
        <w:t>curved</w:t>
      </w:r>
      <w:proofErr w:type="spellEnd"/>
      <w:r w:rsidRPr="004952C0">
        <w:rPr>
          <w:rFonts w:eastAsia="Calibri"/>
        </w:rPr>
        <w:t xml:space="preserve"> fan</w:t>
      </w:r>
      <w:r w:rsidRPr="004952C0">
        <w:t>;</w:t>
      </w:r>
    </w:p>
    <w:p w:rsidR="0045496E" w:rsidRPr="004952C0" w:rsidRDefault="0045496E" w:rsidP="0045496E">
      <w:pPr>
        <w:pStyle w:val="tPara"/>
      </w:pPr>
      <w:r w:rsidRPr="004952C0">
        <w:tab/>
        <w:t>(e)</w:t>
      </w:r>
      <w:r w:rsidRPr="004952C0">
        <w:tab/>
      </w:r>
      <w:proofErr w:type="gramStart"/>
      <w:r w:rsidRPr="004952C0">
        <w:t>a</w:t>
      </w:r>
      <w:proofErr w:type="gramEnd"/>
      <w:r w:rsidRPr="004952C0">
        <w:t xml:space="preserve"> </w:t>
      </w:r>
      <w:r w:rsidRPr="004952C0">
        <w:rPr>
          <w:rFonts w:eastAsia="Calibri"/>
        </w:rPr>
        <w:t>centrifugal radial bladed fan</w:t>
      </w:r>
      <w:r w:rsidRPr="004952C0">
        <w:t xml:space="preserve">; </w:t>
      </w:r>
    </w:p>
    <w:p w:rsidR="0045496E" w:rsidRPr="004952C0" w:rsidRDefault="0045496E" w:rsidP="0045496E">
      <w:pPr>
        <w:pStyle w:val="tPara"/>
      </w:pPr>
      <w:r w:rsidRPr="004952C0">
        <w:tab/>
        <w:t>(f)</w:t>
      </w:r>
      <w:r w:rsidRPr="004952C0">
        <w:tab/>
      </w:r>
      <w:proofErr w:type="gramStart"/>
      <w:r w:rsidRPr="004952C0">
        <w:t>a</w:t>
      </w:r>
      <w:proofErr w:type="gramEnd"/>
      <w:r w:rsidRPr="004952C0">
        <w:t xml:space="preserve"> </w:t>
      </w:r>
      <w:r w:rsidRPr="004952C0">
        <w:rPr>
          <w:rFonts w:eastAsia="Calibri"/>
        </w:rPr>
        <w:t>centrifugal forward</w:t>
      </w:r>
      <w:r w:rsidRPr="004952C0">
        <w:rPr>
          <w:rFonts w:eastAsia="Calibri"/>
        </w:rPr>
        <w:noBreakHyphen/>
      </w:r>
      <w:proofErr w:type="spellStart"/>
      <w:r w:rsidRPr="004952C0">
        <w:rPr>
          <w:rFonts w:eastAsia="Calibri"/>
        </w:rPr>
        <w:t>curved</w:t>
      </w:r>
      <w:proofErr w:type="spellEnd"/>
      <w:r w:rsidRPr="004952C0">
        <w:rPr>
          <w:rFonts w:eastAsia="Calibri"/>
        </w:rPr>
        <w:t xml:space="preserve"> fan</w:t>
      </w:r>
      <w:r w:rsidRPr="004952C0">
        <w:t>.</w:t>
      </w:r>
    </w:p>
    <w:p w:rsidR="0045496E" w:rsidRPr="004952C0" w:rsidRDefault="0045496E" w:rsidP="0045496E">
      <w:pPr>
        <w:pStyle w:val="tDefn"/>
        <w:rPr>
          <w:rFonts w:eastAsia="Calibri"/>
        </w:rPr>
      </w:pPr>
      <w:proofErr w:type="gramStart"/>
      <w:r w:rsidRPr="004952C0">
        <w:rPr>
          <w:rFonts w:eastAsia="Calibri"/>
          <w:b/>
          <w:i/>
        </w:rPr>
        <w:t>eligible</w:t>
      </w:r>
      <w:proofErr w:type="gramEnd"/>
      <w:r w:rsidRPr="004952C0">
        <w:rPr>
          <w:rFonts w:eastAsia="Calibri"/>
          <w:b/>
          <w:i/>
        </w:rPr>
        <w:t xml:space="preserve"> small motor type</w:t>
      </w:r>
      <w:r w:rsidRPr="004952C0">
        <w:rPr>
          <w:rFonts w:eastAsia="Calibri"/>
        </w:rPr>
        <w:t xml:space="preserve">: each of the following is an </w:t>
      </w:r>
      <w:r w:rsidRPr="004952C0">
        <w:rPr>
          <w:rFonts w:eastAsia="Calibri"/>
          <w:b/>
          <w:i/>
        </w:rPr>
        <w:t>eligible small motor type</w:t>
      </w:r>
      <w:r w:rsidRPr="004952C0">
        <w:rPr>
          <w:rFonts w:eastAsia="Calibri"/>
        </w:rPr>
        <w:t>:</w:t>
      </w:r>
    </w:p>
    <w:p w:rsidR="0045496E" w:rsidRPr="004952C0" w:rsidRDefault="0045496E" w:rsidP="0045496E">
      <w:pPr>
        <w:pStyle w:val="tPara"/>
      </w:pPr>
      <w:r w:rsidRPr="004952C0">
        <w:tab/>
        <w:t>(a)</w:t>
      </w:r>
      <w:r w:rsidRPr="004952C0">
        <w:tab/>
      </w:r>
      <w:proofErr w:type="gramStart"/>
      <w:r w:rsidRPr="004952C0">
        <w:t>a</w:t>
      </w:r>
      <w:proofErr w:type="gramEnd"/>
      <w:r w:rsidRPr="004952C0">
        <w:t xml:space="preserve"> shaded pole motor;</w:t>
      </w:r>
    </w:p>
    <w:p w:rsidR="0045496E" w:rsidRPr="004952C0" w:rsidRDefault="0045496E" w:rsidP="0045496E">
      <w:pPr>
        <w:pStyle w:val="tPara"/>
        <w:rPr>
          <w:rFonts w:eastAsia="Calibri"/>
        </w:rPr>
      </w:pPr>
      <w:r w:rsidRPr="004952C0">
        <w:tab/>
        <w:t>(b)</w:t>
      </w:r>
      <w:r w:rsidRPr="004952C0">
        <w:tab/>
      </w:r>
      <w:proofErr w:type="gramStart"/>
      <w:r w:rsidRPr="004952C0">
        <w:t>a</w:t>
      </w:r>
      <w:proofErr w:type="gramEnd"/>
      <w:r w:rsidRPr="004952C0">
        <w:t xml:space="preserve"> permanent split capacitor motor.</w:t>
      </w:r>
    </w:p>
    <w:p w:rsidR="0045496E" w:rsidRPr="004952C0" w:rsidRDefault="0045496E" w:rsidP="0045496E">
      <w:pPr>
        <w:pStyle w:val="tDefn"/>
        <w:rPr>
          <w:iCs/>
        </w:rPr>
      </w:pPr>
      <w:proofErr w:type="gramStart"/>
      <w:r w:rsidRPr="004952C0">
        <w:rPr>
          <w:b/>
          <w:i/>
        </w:rPr>
        <w:t>fan</w:t>
      </w:r>
      <w:proofErr w:type="gramEnd"/>
      <w:r w:rsidRPr="004952C0">
        <w:rPr>
          <w:b/>
          <w:i/>
        </w:rPr>
        <w:t xml:space="preserve"> air power</w:t>
      </w:r>
      <w:r w:rsidRPr="004952C0">
        <w:t xml:space="preserve"> has the same meaning as in AS/NZS ISO 12759:2013.</w:t>
      </w:r>
    </w:p>
    <w:p w:rsidR="0045496E" w:rsidRPr="004952C0" w:rsidRDefault="0045496E" w:rsidP="0045496E">
      <w:pPr>
        <w:pStyle w:val="tDefn"/>
      </w:pPr>
      <w:proofErr w:type="gramStart"/>
      <w:r w:rsidRPr="004952C0">
        <w:rPr>
          <w:b/>
          <w:i/>
        </w:rPr>
        <w:t>fan</w:t>
      </w:r>
      <w:proofErr w:type="gramEnd"/>
      <w:r w:rsidRPr="004952C0">
        <w:rPr>
          <w:b/>
          <w:i/>
        </w:rPr>
        <w:t xml:space="preserve"> impeller power</w:t>
      </w:r>
      <w:r w:rsidRPr="004952C0">
        <w:t xml:space="preserve"> means the mechanical power transferred to the fan impeller, calculated in accordance with AS/NZS ISO 12759:2013.</w:t>
      </w:r>
    </w:p>
    <w:p w:rsidR="0045496E" w:rsidRPr="004952C0" w:rsidRDefault="0045496E" w:rsidP="0045496E">
      <w:pPr>
        <w:pStyle w:val="tDefn"/>
        <w:rPr>
          <w:iCs/>
        </w:rPr>
      </w:pPr>
      <w:proofErr w:type="gramStart"/>
      <w:r w:rsidRPr="004952C0">
        <w:rPr>
          <w:b/>
          <w:i/>
        </w:rPr>
        <w:t>fan</w:t>
      </w:r>
      <w:proofErr w:type="gramEnd"/>
      <w:r w:rsidRPr="004952C0">
        <w:rPr>
          <w:b/>
          <w:i/>
        </w:rPr>
        <w:t xml:space="preserve"> shaft power</w:t>
      </w:r>
      <w:r w:rsidRPr="004952C0">
        <w:t xml:space="preserve"> means the mechanical power transferred to the fan shaft, calculated in accordance with AS/NZS ISO 12759:2013.</w:t>
      </w:r>
    </w:p>
    <w:p w:rsidR="0045496E" w:rsidRPr="004952C0" w:rsidRDefault="0045496E" w:rsidP="0045496E">
      <w:pPr>
        <w:pStyle w:val="tDefn"/>
        <w:rPr>
          <w:iCs/>
        </w:rPr>
      </w:pPr>
      <w:proofErr w:type="gramStart"/>
      <w:r w:rsidRPr="004952C0">
        <w:rPr>
          <w:b/>
          <w:i/>
        </w:rPr>
        <w:t>fan</w:t>
      </w:r>
      <w:proofErr w:type="gramEnd"/>
      <w:r w:rsidRPr="004952C0">
        <w:rPr>
          <w:b/>
          <w:i/>
        </w:rPr>
        <w:t xml:space="preserve"> static air power</w:t>
      </w:r>
      <w:r w:rsidRPr="004952C0">
        <w:t xml:space="preserve"> has the same meaning as in AS/NZS ISO 12759:2013.</w:t>
      </w:r>
    </w:p>
    <w:p w:rsidR="0045496E" w:rsidRPr="004952C0" w:rsidRDefault="0045496E" w:rsidP="0045496E">
      <w:pPr>
        <w:pStyle w:val="tDefn"/>
      </w:pPr>
      <w:proofErr w:type="gramStart"/>
      <w:r w:rsidRPr="004952C0">
        <w:rPr>
          <w:b/>
          <w:i/>
        </w:rPr>
        <w:t>freezer</w:t>
      </w:r>
      <w:proofErr w:type="gramEnd"/>
      <w:r w:rsidRPr="004952C0">
        <w:rPr>
          <w:b/>
          <w:i/>
        </w:rPr>
        <w:t xml:space="preserve"> cabinet </w:t>
      </w:r>
      <w:r w:rsidRPr="004952C0">
        <w:t>means a cabinet that meets the definition of a refrigerated display cabinet as defined in AS 1731.6-2003, and that has a temperature class of L1 or L2.</w:t>
      </w:r>
    </w:p>
    <w:p w:rsidR="0045496E" w:rsidRPr="004952C0" w:rsidRDefault="0045496E" w:rsidP="0045496E">
      <w:pPr>
        <w:pStyle w:val="tDefn"/>
      </w:pPr>
      <w:proofErr w:type="gramStart"/>
      <w:r w:rsidRPr="004952C0">
        <w:rPr>
          <w:b/>
          <w:i/>
        </w:rPr>
        <w:t>heating/cooling</w:t>
      </w:r>
      <w:proofErr w:type="gramEnd"/>
      <w:r w:rsidRPr="004952C0">
        <w:rPr>
          <w:b/>
          <w:i/>
        </w:rPr>
        <w:t xml:space="preserve"> ventilation fan </w:t>
      </w:r>
      <w:r w:rsidRPr="004952C0">
        <w:t>means a fan that:</w:t>
      </w:r>
    </w:p>
    <w:p w:rsidR="0045496E" w:rsidRPr="004952C0" w:rsidRDefault="0045496E" w:rsidP="0045496E">
      <w:pPr>
        <w:pStyle w:val="tPara"/>
      </w:pPr>
      <w:r w:rsidRPr="004952C0">
        <w:rPr>
          <w:rFonts w:eastAsia="Calibri"/>
        </w:rPr>
        <w:lastRenderedPageBreak/>
        <w:tab/>
        <w:t>(a)</w:t>
      </w:r>
      <w:r w:rsidRPr="004952C0">
        <w:rPr>
          <w:rFonts w:eastAsia="Calibri"/>
        </w:rPr>
        <w:tab/>
      </w:r>
      <w:proofErr w:type="gramStart"/>
      <w:r w:rsidRPr="004952C0">
        <w:rPr>
          <w:rFonts w:eastAsia="Calibri"/>
        </w:rPr>
        <w:t>services</w:t>
      </w:r>
      <w:proofErr w:type="gramEnd"/>
      <w:r w:rsidRPr="004952C0">
        <w:rPr>
          <w:rFonts w:eastAsia="Calibri"/>
        </w:rPr>
        <w:t xml:space="preserve"> the space heating, space cooling or ventilation systems </w:t>
      </w:r>
      <w:r w:rsidR="00FF71E5" w:rsidRPr="004952C0">
        <w:rPr>
          <w:rFonts w:eastAsia="Calibri"/>
        </w:rPr>
        <w:t xml:space="preserve">of </w:t>
      </w:r>
      <w:r w:rsidR="00677B1D" w:rsidRPr="004952C0">
        <w:rPr>
          <w:rFonts w:eastAsia="Calibri"/>
        </w:rPr>
        <w:t>a</w:t>
      </w:r>
      <w:r w:rsidR="0016128A" w:rsidRPr="004952C0">
        <w:rPr>
          <w:rFonts w:eastAsia="Calibri"/>
        </w:rPr>
        <w:t xml:space="preserve"> building</w:t>
      </w:r>
      <w:r w:rsidRPr="004952C0">
        <w:t>; and</w:t>
      </w:r>
    </w:p>
    <w:p w:rsidR="0045496E" w:rsidRPr="004952C0" w:rsidRDefault="0045496E" w:rsidP="0045496E">
      <w:pPr>
        <w:pStyle w:val="tPara"/>
      </w:pPr>
      <w:r w:rsidRPr="004952C0">
        <w:tab/>
        <w:t>(b)</w:t>
      </w:r>
      <w:r w:rsidRPr="004952C0">
        <w:tab/>
      </w:r>
      <w:proofErr w:type="gramStart"/>
      <w:r w:rsidRPr="004952C0">
        <w:t>is</w:t>
      </w:r>
      <w:proofErr w:type="gramEnd"/>
      <w:r w:rsidRPr="004952C0">
        <w:t xml:space="preserve"> designed or configured to operate only when the space heating or space cooling applications are heating or cooling the spaces enclosed by the building envelope.</w:t>
      </w:r>
    </w:p>
    <w:p w:rsidR="00956EC2" w:rsidRPr="004952C0" w:rsidRDefault="00956EC2" w:rsidP="00956EC2">
      <w:pPr>
        <w:pStyle w:val="nMain"/>
      </w:pPr>
      <w:r w:rsidRPr="004952C0">
        <w:t>Note:</w:t>
      </w:r>
      <w:r w:rsidRPr="004952C0">
        <w:tab/>
      </w:r>
      <w:r w:rsidR="00F17518" w:rsidRPr="004952C0">
        <w:t>An e</w:t>
      </w:r>
      <w:r w:rsidRPr="004952C0">
        <w:t xml:space="preserve">xample </w:t>
      </w:r>
      <w:r w:rsidR="00F17518" w:rsidRPr="004952C0">
        <w:t>is a boiler draught fan</w:t>
      </w:r>
      <w:r w:rsidRPr="004952C0">
        <w:t xml:space="preserve"> that </w:t>
      </w:r>
      <w:r w:rsidR="00F17518" w:rsidRPr="004952C0">
        <w:t xml:space="preserve">is </w:t>
      </w:r>
      <w:r w:rsidRPr="004952C0">
        <w:t>dedicated to providing supply air to heating or cooling system, and that do</w:t>
      </w:r>
      <w:r w:rsidR="00F17518" w:rsidRPr="004952C0">
        <w:t>es</w:t>
      </w:r>
      <w:r w:rsidRPr="004952C0">
        <w:t xml:space="preserve"> not also serve a general ventilation purpose.</w:t>
      </w:r>
    </w:p>
    <w:p w:rsidR="0045496E" w:rsidRPr="004952C0" w:rsidRDefault="0045496E" w:rsidP="0045496E">
      <w:pPr>
        <w:pStyle w:val="tDefn"/>
      </w:pPr>
      <w:proofErr w:type="gramStart"/>
      <w:r w:rsidRPr="004952C0">
        <w:rPr>
          <w:b/>
          <w:i/>
        </w:rPr>
        <w:t>high</w:t>
      </w:r>
      <w:proofErr w:type="gramEnd"/>
      <w:r w:rsidRPr="004952C0">
        <w:rPr>
          <w:b/>
          <w:i/>
        </w:rPr>
        <w:t xml:space="preserve"> efficiency fan installation</w:t>
      </w:r>
      <w:r w:rsidRPr="004952C0">
        <w:t>—see subsection </w:t>
      </w:r>
      <w:r w:rsidR="00934AC6" w:rsidRPr="004952C0">
        <w:t>9(3)</w:t>
      </w:r>
      <w:r w:rsidRPr="004952C0">
        <w:t>.</w:t>
      </w:r>
    </w:p>
    <w:p w:rsidR="0045496E" w:rsidRPr="004952C0" w:rsidRDefault="0045496E" w:rsidP="0045496E">
      <w:pPr>
        <w:pStyle w:val="tDefn"/>
        <w:rPr>
          <w:rFonts w:eastAsia="Calibri"/>
        </w:rPr>
      </w:pPr>
      <w:proofErr w:type="gramStart"/>
      <w:r w:rsidRPr="004952C0">
        <w:rPr>
          <w:rFonts w:eastAsia="Calibri"/>
          <w:b/>
          <w:i/>
        </w:rPr>
        <w:t>housing</w:t>
      </w:r>
      <w:proofErr w:type="gramEnd"/>
      <w:r w:rsidRPr="004952C0">
        <w:rPr>
          <w:rFonts w:eastAsia="Calibri"/>
          <w:b/>
          <w:i/>
        </w:rPr>
        <w:t xml:space="preserve"> </w:t>
      </w:r>
      <w:r w:rsidRPr="004952C0">
        <w:rPr>
          <w:rFonts w:eastAsia="Calibri"/>
        </w:rPr>
        <w:t>means a casing around the impeller that guides the gas stream towards, through and from the impeller.</w:t>
      </w:r>
    </w:p>
    <w:p w:rsidR="0045496E" w:rsidRPr="004952C0" w:rsidRDefault="0045496E" w:rsidP="0045496E">
      <w:pPr>
        <w:pStyle w:val="tDefn"/>
        <w:rPr>
          <w:rFonts w:eastAsia="Calibri"/>
        </w:rPr>
      </w:pPr>
      <w:proofErr w:type="gramStart"/>
      <w:r w:rsidRPr="004952C0">
        <w:rPr>
          <w:rFonts w:eastAsia="Calibri"/>
          <w:b/>
          <w:i/>
        </w:rPr>
        <w:t>impeller</w:t>
      </w:r>
      <w:proofErr w:type="gramEnd"/>
      <w:r w:rsidRPr="004952C0">
        <w:rPr>
          <w:rFonts w:eastAsia="Calibri"/>
          <w:b/>
          <w:i/>
        </w:rPr>
        <w:t xml:space="preserve"> </w:t>
      </w:r>
      <w:r w:rsidRPr="004952C0">
        <w:rPr>
          <w:rFonts w:eastAsia="Calibri"/>
        </w:rPr>
        <w:t>means the part of the fan that imparts energy into the gas flow.</w:t>
      </w:r>
    </w:p>
    <w:p w:rsidR="0045496E" w:rsidRPr="004952C0" w:rsidRDefault="0045496E" w:rsidP="0045496E">
      <w:pPr>
        <w:pStyle w:val="tDefn"/>
      </w:pPr>
      <w:proofErr w:type="gramStart"/>
      <w:r w:rsidRPr="004952C0">
        <w:rPr>
          <w:b/>
          <w:i/>
        </w:rPr>
        <w:t>installation</w:t>
      </w:r>
      <w:proofErr w:type="gramEnd"/>
      <w:r w:rsidRPr="004952C0">
        <w:rPr>
          <w:b/>
          <w:i/>
        </w:rPr>
        <w:t xml:space="preserve"> category</w:t>
      </w:r>
      <w:r w:rsidRPr="004952C0">
        <w:t xml:space="preserve"> means one of the following installation categories:</w:t>
      </w:r>
    </w:p>
    <w:p w:rsidR="0045496E" w:rsidRPr="004952C0" w:rsidRDefault="0045496E" w:rsidP="0045496E">
      <w:pPr>
        <w:pStyle w:val="tPara"/>
      </w:pPr>
      <w:r w:rsidRPr="004952C0">
        <w:tab/>
        <w:t>(a)</w:t>
      </w:r>
      <w:r w:rsidRPr="004952C0">
        <w:tab/>
      </w:r>
      <w:proofErr w:type="gramStart"/>
      <w:r w:rsidRPr="004952C0">
        <w:t>installation</w:t>
      </w:r>
      <w:proofErr w:type="gramEnd"/>
      <w:r w:rsidRPr="004952C0">
        <w:t xml:space="preserve"> category A;</w:t>
      </w:r>
    </w:p>
    <w:p w:rsidR="0045496E" w:rsidRPr="004952C0" w:rsidRDefault="0045496E" w:rsidP="0045496E">
      <w:pPr>
        <w:pStyle w:val="tPara"/>
      </w:pPr>
      <w:r w:rsidRPr="004952C0">
        <w:tab/>
        <w:t>(b)</w:t>
      </w:r>
      <w:r w:rsidRPr="004952C0">
        <w:tab/>
      </w:r>
      <w:proofErr w:type="gramStart"/>
      <w:r w:rsidRPr="004952C0">
        <w:t>installation</w:t>
      </w:r>
      <w:proofErr w:type="gramEnd"/>
      <w:r w:rsidRPr="004952C0">
        <w:t xml:space="preserve"> category B;</w:t>
      </w:r>
    </w:p>
    <w:p w:rsidR="0045496E" w:rsidRPr="004952C0" w:rsidRDefault="0045496E" w:rsidP="0045496E">
      <w:pPr>
        <w:pStyle w:val="tPara"/>
      </w:pPr>
      <w:r w:rsidRPr="004952C0">
        <w:tab/>
        <w:t>(c)</w:t>
      </w:r>
      <w:r w:rsidRPr="004952C0">
        <w:tab/>
      </w:r>
      <w:proofErr w:type="gramStart"/>
      <w:r w:rsidRPr="004952C0">
        <w:t>installation</w:t>
      </w:r>
      <w:proofErr w:type="gramEnd"/>
      <w:r w:rsidRPr="004952C0">
        <w:t xml:space="preserve"> category C;</w:t>
      </w:r>
    </w:p>
    <w:p w:rsidR="0045496E" w:rsidRPr="004952C0" w:rsidRDefault="0045496E" w:rsidP="0045496E">
      <w:pPr>
        <w:pStyle w:val="tPara"/>
      </w:pPr>
      <w:r w:rsidRPr="004952C0">
        <w:tab/>
        <w:t>(d)</w:t>
      </w:r>
      <w:r w:rsidRPr="004952C0">
        <w:tab/>
      </w:r>
      <w:proofErr w:type="gramStart"/>
      <w:r w:rsidRPr="004952C0">
        <w:t>installation</w:t>
      </w:r>
      <w:proofErr w:type="gramEnd"/>
      <w:r w:rsidRPr="004952C0">
        <w:t xml:space="preserve"> category D.</w:t>
      </w:r>
    </w:p>
    <w:p w:rsidR="0045496E" w:rsidRPr="004952C0" w:rsidRDefault="0045496E" w:rsidP="0045496E">
      <w:pPr>
        <w:pStyle w:val="tDefn"/>
      </w:pPr>
      <w:proofErr w:type="gramStart"/>
      <w:r w:rsidRPr="004952C0">
        <w:rPr>
          <w:b/>
          <w:i/>
        </w:rPr>
        <w:t>installation</w:t>
      </w:r>
      <w:proofErr w:type="gramEnd"/>
      <w:r w:rsidRPr="004952C0">
        <w:rPr>
          <w:b/>
          <w:i/>
        </w:rPr>
        <w:t xml:space="preserve"> category A</w:t>
      </w:r>
      <w:r w:rsidRPr="004952C0">
        <w:t xml:space="preserve"> means an arrangement where the fan is installed with free inlet and outlet conditions.</w:t>
      </w:r>
    </w:p>
    <w:p w:rsidR="0045496E" w:rsidRPr="004952C0" w:rsidRDefault="0045496E" w:rsidP="0045496E">
      <w:pPr>
        <w:pStyle w:val="tDefn"/>
      </w:pPr>
      <w:proofErr w:type="gramStart"/>
      <w:r w:rsidRPr="004952C0">
        <w:rPr>
          <w:b/>
          <w:i/>
        </w:rPr>
        <w:t>installation</w:t>
      </w:r>
      <w:proofErr w:type="gramEnd"/>
      <w:r w:rsidRPr="004952C0">
        <w:rPr>
          <w:b/>
          <w:i/>
        </w:rPr>
        <w:t xml:space="preserve"> category B</w:t>
      </w:r>
      <w:r w:rsidRPr="004952C0">
        <w:t xml:space="preserve"> means an arrangement where the fan is installed with a free inlet and with a duct fitted to its outlet.</w:t>
      </w:r>
    </w:p>
    <w:p w:rsidR="0045496E" w:rsidRPr="004952C0" w:rsidRDefault="0045496E" w:rsidP="0045496E">
      <w:pPr>
        <w:pStyle w:val="tDefn"/>
      </w:pPr>
      <w:proofErr w:type="gramStart"/>
      <w:r w:rsidRPr="004952C0">
        <w:rPr>
          <w:b/>
          <w:i/>
        </w:rPr>
        <w:t>installation</w:t>
      </w:r>
      <w:proofErr w:type="gramEnd"/>
      <w:r w:rsidRPr="004952C0">
        <w:rPr>
          <w:b/>
          <w:i/>
        </w:rPr>
        <w:t xml:space="preserve"> category C</w:t>
      </w:r>
      <w:r w:rsidRPr="004952C0">
        <w:t xml:space="preserve"> means an arrangement where the fan is installed with a duct fitted to its inlet and with free outlet conditions.</w:t>
      </w:r>
    </w:p>
    <w:p w:rsidR="0045496E" w:rsidRPr="004952C0" w:rsidRDefault="0045496E" w:rsidP="0045496E">
      <w:pPr>
        <w:pStyle w:val="tDefn"/>
      </w:pPr>
      <w:proofErr w:type="gramStart"/>
      <w:r w:rsidRPr="004952C0">
        <w:rPr>
          <w:b/>
          <w:i/>
        </w:rPr>
        <w:t>installation</w:t>
      </w:r>
      <w:proofErr w:type="gramEnd"/>
      <w:r w:rsidRPr="004952C0">
        <w:rPr>
          <w:b/>
          <w:i/>
        </w:rPr>
        <w:t xml:space="preserve"> category D</w:t>
      </w:r>
      <w:r w:rsidRPr="004952C0">
        <w:t xml:space="preserve"> means an arrangement where the fan is installed with a duct fitted to its inlet and outlet.</w:t>
      </w:r>
    </w:p>
    <w:p w:rsidR="0045496E" w:rsidRPr="004952C0" w:rsidRDefault="0045496E" w:rsidP="0045496E">
      <w:pPr>
        <w:pStyle w:val="tDefn"/>
        <w:rPr>
          <w:rFonts w:eastAsia="Calibri"/>
        </w:rPr>
      </w:pPr>
      <w:proofErr w:type="gramStart"/>
      <w:r w:rsidRPr="004952C0">
        <w:rPr>
          <w:rFonts w:eastAsia="Calibri"/>
          <w:b/>
          <w:i/>
        </w:rPr>
        <w:t>installed</w:t>
      </w:r>
      <w:proofErr w:type="gramEnd"/>
      <w:r w:rsidRPr="004952C0">
        <w:rPr>
          <w:rFonts w:eastAsia="Calibri"/>
          <w:b/>
          <w:i/>
        </w:rPr>
        <w:t xml:space="preserve"> HE fan </w:t>
      </w:r>
      <w:r w:rsidRPr="004952C0">
        <w:rPr>
          <w:rFonts w:eastAsia="Calibri"/>
        </w:rPr>
        <w:t>(short for installed high efficiency fan)—see subsection </w:t>
      </w:r>
      <w:r w:rsidR="00934AC6" w:rsidRPr="004952C0">
        <w:rPr>
          <w:rFonts w:eastAsia="Calibri"/>
        </w:rPr>
        <w:t>9(5)</w:t>
      </w:r>
      <w:r w:rsidRPr="004952C0">
        <w:rPr>
          <w:rFonts w:eastAsia="Calibri"/>
        </w:rPr>
        <w:t>.</w:t>
      </w:r>
    </w:p>
    <w:p w:rsidR="0045496E" w:rsidRPr="004952C0" w:rsidRDefault="0045496E" w:rsidP="0045496E">
      <w:pPr>
        <w:pStyle w:val="tDefn"/>
        <w:rPr>
          <w:rFonts w:eastAsia="Calibri"/>
        </w:rPr>
      </w:pPr>
      <w:proofErr w:type="gramStart"/>
      <w:r w:rsidRPr="004952C0">
        <w:rPr>
          <w:rFonts w:eastAsia="Calibri"/>
          <w:b/>
          <w:i/>
        </w:rPr>
        <w:t>installed</w:t>
      </w:r>
      <w:proofErr w:type="gramEnd"/>
      <w:r w:rsidRPr="004952C0">
        <w:rPr>
          <w:rFonts w:eastAsia="Calibri"/>
          <w:b/>
          <w:i/>
        </w:rPr>
        <w:t xml:space="preserve"> SM fan </w:t>
      </w:r>
      <w:r w:rsidRPr="004952C0">
        <w:rPr>
          <w:rFonts w:eastAsia="Calibri"/>
        </w:rPr>
        <w:t>(short for installed small motor fan)—see subsection </w:t>
      </w:r>
      <w:r w:rsidR="00934AC6" w:rsidRPr="004952C0">
        <w:rPr>
          <w:rFonts w:eastAsia="Calibri"/>
        </w:rPr>
        <w:t>9(7)</w:t>
      </w:r>
      <w:r w:rsidRPr="004952C0">
        <w:rPr>
          <w:rFonts w:eastAsia="Calibri"/>
        </w:rPr>
        <w:t>.</w:t>
      </w:r>
    </w:p>
    <w:p w:rsidR="0045496E" w:rsidRPr="004952C0" w:rsidRDefault="00EB5CA2" w:rsidP="0045496E">
      <w:pPr>
        <w:pStyle w:val="tDefn"/>
      </w:pPr>
      <w:proofErr w:type="gramStart"/>
      <w:r w:rsidRPr="004952C0">
        <w:rPr>
          <w:rFonts w:eastAsia="Calibri"/>
          <w:b/>
          <w:i/>
        </w:rPr>
        <w:t>m</w:t>
      </w:r>
      <w:r w:rsidR="0045496E" w:rsidRPr="004952C0">
        <w:rPr>
          <w:rFonts w:eastAsia="Calibri"/>
          <w:b/>
          <w:i/>
        </w:rPr>
        <w:t>ixed</w:t>
      </w:r>
      <w:r w:rsidRPr="004952C0">
        <w:rPr>
          <w:rFonts w:eastAsia="Calibri"/>
          <w:b/>
          <w:i/>
        </w:rPr>
        <w:noBreakHyphen/>
      </w:r>
      <w:proofErr w:type="spellStart"/>
      <w:r w:rsidR="0045496E" w:rsidRPr="004952C0">
        <w:rPr>
          <w:rFonts w:eastAsia="Calibri"/>
          <w:b/>
          <w:i/>
        </w:rPr>
        <w:t>flow</w:t>
      </w:r>
      <w:proofErr w:type="spellEnd"/>
      <w:proofErr w:type="gramEnd"/>
      <w:r w:rsidR="0045496E" w:rsidRPr="004952C0">
        <w:rPr>
          <w:rFonts w:eastAsia="Calibri"/>
          <w:b/>
          <w:i/>
        </w:rPr>
        <w:t xml:space="preserve"> fan—</w:t>
      </w:r>
      <w:r w:rsidR="0045496E" w:rsidRPr="004952C0">
        <w:rPr>
          <w:rFonts w:eastAsia="Calibri"/>
        </w:rPr>
        <w:t xml:space="preserve">see section </w:t>
      </w:r>
      <w:r w:rsidR="00934AC6" w:rsidRPr="004952C0">
        <w:rPr>
          <w:rFonts w:eastAsia="Calibri"/>
        </w:rPr>
        <w:t>6</w:t>
      </w:r>
      <w:r w:rsidR="0045496E" w:rsidRPr="004952C0">
        <w:rPr>
          <w:rFonts w:eastAsia="Calibri"/>
        </w:rPr>
        <w:t>.</w:t>
      </w:r>
    </w:p>
    <w:p w:rsidR="0045496E" w:rsidRPr="004952C0" w:rsidRDefault="0045496E" w:rsidP="0045496E">
      <w:pPr>
        <w:pStyle w:val="tDefn"/>
      </w:pPr>
      <w:proofErr w:type="gramStart"/>
      <w:r w:rsidRPr="004952C0">
        <w:rPr>
          <w:b/>
          <w:i/>
        </w:rPr>
        <w:t>motor</w:t>
      </w:r>
      <w:proofErr w:type="gramEnd"/>
      <w:r w:rsidRPr="004952C0">
        <w:rPr>
          <w:b/>
          <w:i/>
        </w:rPr>
        <w:t xml:space="preserve"> efficiency</w:t>
      </w:r>
      <w:r w:rsidRPr="004952C0">
        <w:t xml:space="preserve"> has the same meaning as in AS/NZS ISO 12759:2013.</w:t>
      </w:r>
    </w:p>
    <w:p w:rsidR="0045496E" w:rsidRPr="004952C0" w:rsidRDefault="0045496E" w:rsidP="0045496E">
      <w:pPr>
        <w:pStyle w:val="tDefn"/>
      </w:pPr>
      <w:proofErr w:type="gramStart"/>
      <w:r w:rsidRPr="004952C0">
        <w:rPr>
          <w:b/>
          <w:i/>
        </w:rPr>
        <w:t>motor</w:t>
      </w:r>
      <w:proofErr w:type="gramEnd"/>
      <w:r w:rsidRPr="004952C0">
        <w:rPr>
          <w:b/>
          <w:i/>
        </w:rPr>
        <w:t xml:space="preserve"> input power</w:t>
      </w:r>
      <w:r w:rsidRPr="004952C0">
        <w:t xml:space="preserve"> has the same meaning as in AS/NZS ISO 12759:2013.</w:t>
      </w:r>
    </w:p>
    <w:p w:rsidR="0045496E" w:rsidRPr="004952C0" w:rsidRDefault="0045496E" w:rsidP="0045496E">
      <w:pPr>
        <w:pStyle w:val="tDefn"/>
        <w:rPr>
          <w:rFonts w:eastAsia="Calibri"/>
        </w:rPr>
      </w:pPr>
      <w:r w:rsidRPr="004952C0">
        <w:rPr>
          <w:rFonts w:eastAsia="Calibri"/>
          <w:b/>
          <w:i/>
        </w:rPr>
        <w:t>multi</w:t>
      </w:r>
      <w:r w:rsidRPr="004952C0">
        <w:rPr>
          <w:rFonts w:eastAsia="Calibri"/>
          <w:b/>
          <w:i/>
        </w:rPr>
        <w:noBreakHyphen/>
      </w:r>
      <w:proofErr w:type="spellStart"/>
      <w:r w:rsidRPr="004952C0">
        <w:rPr>
          <w:rFonts w:eastAsia="Calibri"/>
          <w:b/>
          <w:i/>
        </w:rPr>
        <w:t>speed</w:t>
      </w:r>
      <w:proofErr w:type="spellEnd"/>
      <w:r w:rsidRPr="004952C0">
        <w:rPr>
          <w:rFonts w:eastAsia="Calibri"/>
          <w:b/>
          <w:i/>
        </w:rPr>
        <w:t xml:space="preserve"> control</w:t>
      </w:r>
      <w:r w:rsidRPr="004952C0">
        <w:rPr>
          <w:rFonts w:eastAsia="Calibri"/>
          <w:b/>
        </w:rPr>
        <w:t xml:space="preserve"> </w:t>
      </w:r>
      <w:r w:rsidRPr="004952C0">
        <w:rPr>
          <w:rFonts w:eastAsia="Calibri"/>
        </w:rPr>
        <w:t>means a control system where the motor is able to run at a number of discrete speeds, and is automatically changed from one speed to another according to temperature, pressure, humidity, or feedback from carbon monoxide or carbon dioxide sensors and that may or may not have switching controls.</w:t>
      </w:r>
    </w:p>
    <w:p w:rsidR="0045496E" w:rsidRPr="004952C0" w:rsidRDefault="0014051F" w:rsidP="0045496E">
      <w:pPr>
        <w:pStyle w:val="nMain"/>
        <w:rPr>
          <w:rFonts w:eastAsia="Calibri"/>
        </w:rPr>
      </w:pPr>
      <w:r w:rsidRPr="004952C0">
        <w:rPr>
          <w:rFonts w:eastAsia="Calibri"/>
        </w:rPr>
        <w:t>Note:</w:t>
      </w:r>
      <w:r w:rsidRPr="004952C0">
        <w:rPr>
          <w:rFonts w:eastAsia="Calibri"/>
        </w:rPr>
        <w:tab/>
        <w:t>A p</w:t>
      </w:r>
      <w:r w:rsidR="0045496E" w:rsidRPr="004952C0">
        <w:rPr>
          <w:rFonts w:eastAsia="Calibri"/>
        </w:rPr>
        <w:t>ole amplitude modulated motor</w:t>
      </w:r>
      <w:r w:rsidRPr="004952C0">
        <w:rPr>
          <w:rFonts w:eastAsia="Calibri"/>
        </w:rPr>
        <w:t xml:space="preserve"> i</w:t>
      </w:r>
      <w:r w:rsidR="0045496E" w:rsidRPr="004952C0">
        <w:rPr>
          <w:rFonts w:eastAsia="Calibri"/>
        </w:rPr>
        <w:t xml:space="preserve">s </w:t>
      </w:r>
      <w:r w:rsidR="005A1E39" w:rsidRPr="004952C0">
        <w:rPr>
          <w:rFonts w:eastAsia="Calibri"/>
        </w:rPr>
        <w:t>an</w:t>
      </w:r>
      <w:r w:rsidR="0045496E" w:rsidRPr="004952C0">
        <w:rPr>
          <w:rFonts w:eastAsia="Calibri"/>
        </w:rPr>
        <w:t xml:space="preserve"> example of a </w:t>
      </w:r>
      <w:r w:rsidRPr="004952C0">
        <w:rPr>
          <w:rFonts w:eastAsia="Calibri"/>
        </w:rPr>
        <w:t xml:space="preserve">motor with a </w:t>
      </w:r>
      <w:r w:rsidR="0045496E" w:rsidRPr="004952C0">
        <w:rPr>
          <w:rFonts w:eastAsia="Calibri"/>
        </w:rPr>
        <w:t xml:space="preserve">multi-speed </w:t>
      </w:r>
      <w:r w:rsidRPr="004952C0">
        <w:rPr>
          <w:rFonts w:eastAsia="Calibri"/>
        </w:rPr>
        <w:t>control</w:t>
      </w:r>
      <w:r w:rsidR="0045496E" w:rsidRPr="004952C0">
        <w:rPr>
          <w:rFonts w:eastAsia="Calibri"/>
        </w:rPr>
        <w:t>.</w:t>
      </w:r>
    </w:p>
    <w:p w:rsidR="0045496E" w:rsidRPr="004952C0" w:rsidRDefault="0045496E" w:rsidP="0045496E">
      <w:pPr>
        <w:pStyle w:val="tDefn"/>
      </w:pPr>
      <w:r w:rsidRPr="004952C0">
        <w:rPr>
          <w:b/>
          <w:i/>
        </w:rPr>
        <w:t>NATA equivalent testing laboratory</w:t>
      </w:r>
      <w:r w:rsidRPr="004952C0">
        <w:t xml:space="preserve"> means:</w:t>
      </w:r>
    </w:p>
    <w:p w:rsidR="0045496E" w:rsidRPr="004952C0" w:rsidRDefault="0045496E" w:rsidP="0045496E">
      <w:pPr>
        <w:pStyle w:val="tPara"/>
      </w:pPr>
      <w:r w:rsidRPr="004952C0">
        <w:tab/>
        <w:t>(a)</w:t>
      </w:r>
      <w:r w:rsidRPr="004952C0">
        <w:tab/>
      </w:r>
      <w:proofErr w:type="gramStart"/>
      <w:r w:rsidRPr="004952C0">
        <w:t>a</w:t>
      </w:r>
      <w:proofErr w:type="gramEnd"/>
      <w:r w:rsidRPr="004952C0">
        <w:t xml:space="preserve"> National Association of Testing Authorities (NATA) accredited laboratory; or</w:t>
      </w:r>
    </w:p>
    <w:p w:rsidR="0045496E" w:rsidRPr="004952C0" w:rsidRDefault="0045496E" w:rsidP="0045496E">
      <w:pPr>
        <w:pStyle w:val="tPara"/>
      </w:pPr>
      <w:r w:rsidRPr="004952C0">
        <w:tab/>
        <w:t>(b)</w:t>
      </w:r>
      <w:r w:rsidRPr="004952C0">
        <w:tab/>
      </w:r>
      <w:proofErr w:type="gramStart"/>
      <w:r w:rsidRPr="004952C0">
        <w:t>an</w:t>
      </w:r>
      <w:proofErr w:type="gramEnd"/>
      <w:r w:rsidRPr="004952C0">
        <w:t xml:space="preserve"> equivalent laboratory accredited by an organisation included in the Mutual Recognition Arrangements published by NATA.</w:t>
      </w:r>
    </w:p>
    <w:p w:rsidR="00B7356B" w:rsidRPr="004952C0" w:rsidRDefault="00B7356B" w:rsidP="0045496E">
      <w:pPr>
        <w:pStyle w:val="tDefn"/>
      </w:pPr>
      <w:r w:rsidRPr="004952C0">
        <w:rPr>
          <w:b/>
          <w:i/>
        </w:rPr>
        <w:t>NCC climate zone</w:t>
      </w:r>
      <w:r w:rsidRPr="004952C0">
        <w:t>, for a location,</w:t>
      </w:r>
      <w:r w:rsidRPr="004952C0">
        <w:rPr>
          <w:b/>
          <w:i/>
        </w:rPr>
        <w:t xml:space="preserve"> </w:t>
      </w:r>
      <w:r w:rsidRPr="004952C0">
        <w:t>means the applicable climate zone for that location determined in accordance with the Climate Zone Map</w:t>
      </w:r>
      <w:r w:rsidR="009A583B">
        <w:t>,</w:t>
      </w:r>
      <w:r w:rsidRPr="004952C0">
        <w:t xml:space="preserve"> prepared by the Australian Building Codes Board</w:t>
      </w:r>
      <w:r w:rsidR="009A583B">
        <w:t xml:space="preserve"> and as </w:t>
      </w:r>
      <w:r w:rsidR="00791616">
        <w:t>in force</w:t>
      </w:r>
      <w:r w:rsidR="009A583B">
        <w:t xml:space="preserve"> from time to time</w:t>
      </w:r>
      <w:r w:rsidRPr="004952C0">
        <w:t>.</w:t>
      </w:r>
    </w:p>
    <w:p w:rsidR="0045496E" w:rsidRPr="004952C0" w:rsidRDefault="0045496E" w:rsidP="0045496E">
      <w:pPr>
        <w:pStyle w:val="tDefn"/>
      </w:pPr>
      <w:r w:rsidRPr="004952C0">
        <w:rPr>
          <w:b/>
          <w:i/>
        </w:rPr>
        <w:lastRenderedPageBreak/>
        <w:t>net abatement amount</w:t>
      </w:r>
      <w:r w:rsidRPr="004952C0">
        <w:t xml:space="preserve">, of a refrigeration and ventilation fan project, means the carbon dioxide equivalent net abatement amount for the project in the reporting period for the purposes of paragraph 106(1)(c) of the Act (see also section </w:t>
      </w:r>
      <w:r w:rsidR="00934AC6" w:rsidRPr="004952C0">
        <w:t>20</w:t>
      </w:r>
      <w:r w:rsidR="009A583B">
        <w:t>).</w:t>
      </w:r>
    </w:p>
    <w:p w:rsidR="0045496E" w:rsidRPr="004952C0" w:rsidRDefault="0045496E" w:rsidP="0045496E">
      <w:pPr>
        <w:pStyle w:val="tDefn"/>
      </w:pPr>
      <w:r w:rsidRPr="004952C0">
        <w:rPr>
          <w:b/>
          <w:i/>
        </w:rPr>
        <w:t xml:space="preserve">NGA Factors document </w:t>
      </w:r>
      <w:r w:rsidRPr="004952C0">
        <w:t xml:space="preserve">means the document titled </w:t>
      </w:r>
      <w:r w:rsidRPr="004952C0">
        <w:rPr>
          <w:i/>
        </w:rPr>
        <w:t>National Greenhouse Accounts Factors</w:t>
      </w:r>
      <w:r w:rsidRPr="004952C0">
        <w:t xml:space="preserve">, published by the Department and as </w:t>
      </w:r>
      <w:r w:rsidR="00791616">
        <w:t>in force</w:t>
      </w:r>
      <w:r w:rsidRPr="004952C0">
        <w:t xml:space="preserve"> from time to time.</w:t>
      </w:r>
    </w:p>
    <w:p w:rsidR="0045496E" w:rsidRPr="004952C0" w:rsidRDefault="0045496E" w:rsidP="0045496E">
      <w:pPr>
        <w:pStyle w:val="tDefn"/>
      </w:pPr>
      <w:proofErr w:type="gramStart"/>
      <w:r w:rsidRPr="004952C0">
        <w:rPr>
          <w:b/>
          <w:i/>
        </w:rPr>
        <w:t>nominal</w:t>
      </w:r>
      <w:proofErr w:type="gramEnd"/>
      <w:r w:rsidRPr="004952C0">
        <w:rPr>
          <w:b/>
          <w:i/>
        </w:rPr>
        <w:t xml:space="preserve"> motor power</w:t>
      </w:r>
      <w:r w:rsidRPr="004952C0">
        <w:t xml:space="preserve"> has the same meaning as in AS/NZS ISO 12759:2013.</w:t>
      </w:r>
    </w:p>
    <w:p w:rsidR="0045496E" w:rsidRPr="004952C0" w:rsidRDefault="0045496E" w:rsidP="0045496E">
      <w:pPr>
        <w:pStyle w:val="tDefn"/>
      </w:pPr>
      <w:proofErr w:type="gramStart"/>
      <w:r w:rsidRPr="004952C0">
        <w:rPr>
          <w:b/>
          <w:i/>
        </w:rPr>
        <w:t>optimum</w:t>
      </w:r>
      <w:proofErr w:type="gramEnd"/>
      <w:r w:rsidRPr="004952C0">
        <w:rPr>
          <w:b/>
          <w:i/>
        </w:rPr>
        <w:t xml:space="preserve"> efficiency</w:t>
      </w:r>
      <w:r w:rsidRPr="004952C0">
        <w:t>, for a fan with a particular impeller size, means the motor speed, flow rate and pressure corresponding to the best efficiency point of the fan with that impeller size.</w:t>
      </w:r>
    </w:p>
    <w:p w:rsidR="0045496E" w:rsidRPr="004952C0" w:rsidRDefault="0045496E" w:rsidP="0045496E">
      <w:pPr>
        <w:pStyle w:val="tDefn"/>
      </w:pPr>
      <w:proofErr w:type="gramStart"/>
      <w:r w:rsidRPr="004952C0">
        <w:rPr>
          <w:b/>
          <w:i/>
        </w:rPr>
        <w:t>partition</w:t>
      </w:r>
      <w:proofErr w:type="gramEnd"/>
      <w:r w:rsidRPr="004952C0">
        <w:rPr>
          <w:b/>
          <w:i/>
        </w:rPr>
        <w:t xml:space="preserve"> fan</w:t>
      </w:r>
      <w:r w:rsidRPr="004952C0">
        <w:t xml:space="preserve"> means a fan that is installed in a partition within a building and that has free inlet and outlet conditions.</w:t>
      </w:r>
    </w:p>
    <w:p w:rsidR="0045496E" w:rsidRPr="004952C0" w:rsidRDefault="0045496E" w:rsidP="0045496E">
      <w:pPr>
        <w:pStyle w:val="tDefn"/>
      </w:pPr>
      <w:proofErr w:type="gramStart"/>
      <w:r w:rsidRPr="004952C0">
        <w:rPr>
          <w:b/>
          <w:i/>
        </w:rPr>
        <w:t>permanent</w:t>
      </w:r>
      <w:proofErr w:type="gramEnd"/>
      <w:r w:rsidRPr="004952C0">
        <w:rPr>
          <w:b/>
          <w:i/>
        </w:rPr>
        <w:t xml:space="preserve"> split capacitor motor </w:t>
      </w:r>
      <w:r w:rsidRPr="004952C0">
        <w:t>means an electric motor that:</w:t>
      </w:r>
    </w:p>
    <w:p w:rsidR="0045496E" w:rsidRPr="004952C0" w:rsidRDefault="0045496E" w:rsidP="0045496E">
      <w:pPr>
        <w:pStyle w:val="tPara"/>
      </w:pPr>
      <w:r w:rsidRPr="004952C0">
        <w:tab/>
        <w:t>(a)</w:t>
      </w:r>
      <w:r w:rsidRPr="004952C0">
        <w:tab/>
      </w:r>
      <w:proofErr w:type="gramStart"/>
      <w:r w:rsidRPr="004952C0">
        <w:t>is</w:t>
      </w:r>
      <w:proofErr w:type="gramEnd"/>
      <w:r w:rsidRPr="004952C0">
        <w:t xml:space="preserve"> supplied with single phase electrical supply; and</w:t>
      </w:r>
    </w:p>
    <w:p w:rsidR="0045496E" w:rsidRPr="004952C0" w:rsidRDefault="0045496E" w:rsidP="0045496E">
      <w:pPr>
        <w:pStyle w:val="tPara"/>
      </w:pPr>
      <w:r w:rsidRPr="004952C0">
        <w:tab/>
        <w:t>(b)</w:t>
      </w:r>
      <w:r w:rsidRPr="004952C0">
        <w:tab/>
      </w:r>
      <w:proofErr w:type="gramStart"/>
      <w:r w:rsidRPr="004952C0">
        <w:t>has</w:t>
      </w:r>
      <w:proofErr w:type="gramEnd"/>
      <w:r w:rsidRPr="004952C0">
        <w:t xml:space="preserve"> start and run windings permanently connected to the power source through a capacitor.</w:t>
      </w:r>
    </w:p>
    <w:p w:rsidR="0045496E" w:rsidRPr="004952C0" w:rsidRDefault="0045496E" w:rsidP="0045496E">
      <w:pPr>
        <w:pStyle w:val="tDefn"/>
      </w:pPr>
      <w:proofErr w:type="gramStart"/>
      <w:r w:rsidRPr="004952C0">
        <w:rPr>
          <w:b/>
          <w:i/>
        </w:rPr>
        <w:t>refrigerated</w:t>
      </w:r>
      <w:proofErr w:type="gramEnd"/>
      <w:r w:rsidRPr="004952C0">
        <w:rPr>
          <w:b/>
          <w:i/>
        </w:rPr>
        <w:t xml:space="preserve"> display cabinet</w:t>
      </w:r>
      <w:r w:rsidRPr="004952C0">
        <w:rPr>
          <w:b/>
        </w:rPr>
        <w:t xml:space="preserve"> </w:t>
      </w:r>
      <w:r w:rsidRPr="004952C0">
        <w:t>means a cabinet that meets the definition of a refrigerated display cabinet as defined in AS 1731.6–2003, and that has a temperature class of M1 or M2.</w:t>
      </w:r>
    </w:p>
    <w:p w:rsidR="0045496E" w:rsidRPr="004952C0" w:rsidRDefault="0045496E" w:rsidP="0045496E">
      <w:pPr>
        <w:pStyle w:val="tDefn"/>
        <w:rPr>
          <w:b/>
          <w:i/>
        </w:rPr>
      </w:pPr>
      <w:proofErr w:type="gramStart"/>
      <w:r w:rsidRPr="004952C0">
        <w:rPr>
          <w:b/>
          <w:i/>
        </w:rPr>
        <w:t>refrigeration</w:t>
      </w:r>
      <w:proofErr w:type="gramEnd"/>
      <w:r w:rsidRPr="004952C0">
        <w:rPr>
          <w:b/>
          <w:i/>
        </w:rPr>
        <w:t xml:space="preserve"> and ventilation fan project—</w:t>
      </w:r>
      <w:r w:rsidRPr="004952C0">
        <w:t xml:space="preserve">see subsection </w:t>
      </w:r>
      <w:r w:rsidR="00934AC6" w:rsidRPr="004952C0">
        <w:t>9(2)</w:t>
      </w:r>
      <w:r w:rsidRPr="004952C0">
        <w:t>.</w:t>
      </w:r>
    </w:p>
    <w:p w:rsidR="0045496E" w:rsidRPr="004952C0" w:rsidRDefault="0045496E" w:rsidP="0045496E">
      <w:pPr>
        <w:pStyle w:val="tDefn"/>
      </w:pPr>
      <w:proofErr w:type="gramStart"/>
      <w:r w:rsidRPr="004952C0">
        <w:rPr>
          <w:b/>
          <w:i/>
        </w:rPr>
        <w:t>refrigeration</w:t>
      </w:r>
      <w:proofErr w:type="gramEnd"/>
      <w:r w:rsidRPr="004952C0">
        <w:rPr>
          <w:b/>
          <w:i/>
        </w:rPr>
        <w:t xml:space="preserve"> fan </w:t>
      </w:r>
      <w:r w:rsidRPr="004952C0">
        <w:t>means:</w:t>
      </w:r>
    </w:p>
    <w:p w:rsidR="0045496E" w:rsidRPr="004952C0" w:rsidRDefault="0045496E" w:rsidP="0045496E">
      <w:pPr>
        <w:pStyle w:val="tPara"/>
      </w:pPr>
      <w:r w:rsidRPr="004952C0">
        <w:tab/>
        <w:t>(a)</w:t>
      </w:r>
      <w:r w:rsidRPr="004952C0">
        <w:tab/>
      </w:r>
      <w:proofErr w:type="gramStart"/>
      <w:r w:rsidRPr="004952C0">
        <w:t>a</w:t>
      </w:r>
      <w:proofErr w:type="gramEnd"/>
      <w:r w:rsidRPr="004952C0">
        <w:t xml:space="preserve"> fan that:</w:t>
      </w:r>
    </w:p>
    <w:p w:rsidR="0045496E" w:rsidRPr="004952C0" w:rsidRDefault="0045496E" w:rsidP="0045496E">
      <w:pPr>
        <w:pStyle w:val="tSubpara"/>
      </w:pPr>
      <w:r w:rsidRPr="004952C0">
        <w:tab/>
        <w:t>(</w:t>
      </w:r>
      <w:proofErr w:type="spellStart"/>
      <w:r w:rsidRPr="004952C0">
        <w:t>i</w:t>
      </w:r>
      <w:proofErr w:type="spellEnd"/>
      <w:r w:rsidRPr="004952C0">
        <w:t>)</w:t>
      </w:r>
      <w:r w:rsidRPr="004952C0">
        <w:tab/>
      </w:r>
      <w:proofErr w:type="gramStart"/>
      <w:r w:rsidRPr="004952C0">
        <w:t>is</w:t>
      </w:r>
      <w:proofErr w:type="gramEnd"/>
      <w:r w:rsidRPr="004952C0">
        <w:t xml:space="preserve"> a condenser fan, or another fan that removes hot air from the condenser; and</w:t>
      </w:r>
    </w:p>
    <w:p w:rsidR="0045496E" w:rsidRPr="004952C0" w:rsidRDefault="0045496E" w:rsidP="0045496E">
      <w:pPr>
        <w:pStyle w:val="tSubpara"/>
      </w:pPr>
      <w:r w:rsidRPr="004952C0">
        <w:tab/>
        <w:t>(ii)</w:t>
      </w:r>
      <w:r w:rsidRPr="004952C0">
        <w:tab/>
      </w:r>
      <w:proofErr w:type="gramStart"/>
      <w:r w:rsidRPr="004952C0">
        <w:t>is</w:t>
      </w:r>
      <w:proofErr w:type="gramEnd"/>
      <w:r w:rsidRPr="004952C0">
        <w:t xml:space="preserve"> installed primarily for the purpose of servicing a refrigeration system; or</w:t>
      </w:r>
    </w:p>
    <w:p w:rsidR="0045496E" w:rsidRPr="004952C0" w:rsidRDefault="0045496E" w:rsidP="0045496E">
      <w:pPr>
        <w:pStyle w:val="tPara"/>
      </w:pPr>
      <w:r w:rsidRPr="004952C0">
        <w:tab/>
        <w:t>(b)</w:t>
      </w:r>
      <w:r w:rsidRPr="004952C0">
        <w:tab/>
      </w:r>
      <w:proofErr w:type="gramStart"/>
      <w:r w:rsidRPr="004952C0">
        <w:t>a</w:t>
      </w:r>
      <w:proofErr w:type="gramEnd"/>
      <w:r w:rsidRPr="004952C0">
        <w:t xml:space="preserve"> fan that:</w:t>
      </w:r>
    </w:p>
    <w:p w:rsidR="0045496E" w:rsidRPr="004952C0" w:rsidRDefault="0045496E" w:rsidP="0045496E">
      <w:pPr>
        <w:pStyle w:val="tSubpara"/>
      </w:pPr>
      <w:r w:rsidRPr="004952C0">
        <w:tab/>
        <w:t>(</w:t>
      </w:r>
      <w:proofErr w:type="spellStart"/>
      <w:r w:rsidRPr="004952C0">
        <w:t>i</w:t>
      </w:r>
      <w:proofErr w:type="spellEnd"/>
      <w:r w:rsidRPr="004952C0">
        <w:t>)</w:t>
      </w:r>
      <w:r w:rsidRPr="004952C0">
        <w:tab/>
      </w:r>
      <w:proofErr w:type="gramStart"/>
      <w:r w:rsidRPr="004952C0">
        <w:t>is</w:t>
      </w:r>
      <w:proofErr w:type="gramEnd"/>
      <w:r w:rsidRPr="004952C0">
        <w:t xml:space="preserve"> an evaporator fan, or another fan that circulates cool air; and</w:t>
      </w:r>
    </w:p>
    <w:p w:rsidR="0045496E" w:rsidRPr="004952C0" w:rsidRDefault="0045496E" w:rsidP="0045496E">
      <w:pPr>
        <w:pStyle w:val="tSubpara"/>
      </w:pPr>
      <w:r w:rsidRPr="004952C0">
        <w:tab/>
        <w:t>(ii)</w:t>
      </w:r>
      <w:r w:rsidRPr="004952C0">
        <w:tab/>
      </w:r>
      <w:proofErr w:type="gramStart"/>
      <w:r w:rsidRPr="004952C0">
        <w:t>is</w:t>
      </w:r>
      <w:proofErr w:type="gramEnd"/>
      <w:r w:rsidRPr="004952C0">
        <w:t xml:space="preserve"> installed primarily for the purpose of servicing a refrigeration system; or</w:t>
      </w:r>
    </w:p>
    <w:p w:rsidR="0045496E" w:rsidRPr="004952C0" w:rsidRDefault="0045496E" w:rsidP="0045496E">
      <w:pPr>
        <w:pStyle w:val="tPara"/>
      </w:pPr>
      <w:r w:rsidRPr="004952C0">
        <w:tab/>
        <w:t>(c)</w:t>
      </w:r>
      <w:r w:rsidRPr="004952C0">
        <w:tab/>
      </w:r>
      <w:proofErr w:type="gramStart"/>
      <w:r w:rsidRPr="004952C0">
        <w:t>a</w:t>
      </w:r>
      <w:proofErr w:type="gramEnd"/>
      <w:r w:rsidRPr="004952C0">
        <w:t xml:space="preserve"> fan that is installed in a cooling tower, where the primary purpose of the cooling tower is to provide heat rejection for a refrigeration system.</w:t>
      </w:r>
    </w:p>
    <w:p w:rsidR="0045496E" w:rsidRPr="004952C0" w:rsidRDefault="0045496E" w:rsidP="0045496E">
      <w:pPr>
        <w:pStyle w:val="tDefn"/>
      </w:pPr>
      <w:proofErr w:type="gramStart"/>
      <w:r w:rsidRPr="004952C0">
        <w:rPr>
          <w:b/>
          <w:i/>
        </w:rPr>
        <w:t>refrigeration</w:t>
      </w:r>
      <w:proofErr w:type="gramEnd"/>
      <w:r w:rsidRPr="004952C0">
        <w:rPr>
          <w:b/>
          <w:i/>
        </w:rPr>
        <w:t xml:space="preserve"> system </w:t>
      </w:r>
      <w:r w:rsidRPr="004952C0">
        <w:t>means any of the following types:</w:t>
      </w:r>
    </w:p>
    <w:p w:rsidR="0045496E" w:rsidRPr="004952C0" w:rsidRDefault="0045496E" w:rsidP="0045496E">
      <w:pPr>
        <w:pStyle w:val="tPara"/>
      </w:pPr>
      <w:r w:rsidRPr="004952C0">
        <w:tab/>
        <w:t>(a)</w:t>
      </w:r>
      <w:r w:rsidRPr="004952C0">
        <w:tab/>
      </w:r>
      <w:proofErr w:type="gramStart"/>
      <w:r w:rsidRPr="004952C0">
        <w:t>a</w:t>
      </w:r>
      <w:proofErr w:type="gramEnd"/>
      <w:r w:rsidRPr="004952C0">
        <w:t xml:space="preserve"> refrigerated display cabinet;</w:t>
      </w:r>
    </w:p>
    <w:p w:rsidR="0045496E" w:rsidRPr="004952C0" w:rsidRDefault="0045496E" w:rsidP="0045496E">
      <w:pPr>
        <w:pStyle w:val="tPara"/>
      </w:pPr>
      <w:r w:rsidRPr="004952C0">
        <w:tab/>
        <w:t>(b)</w:t>
      </w:r>
      <w:r w:rsidRPr="004952C0">
        <w:tab/>
      </w:r>
      <w:proofErr w:type="gramStart"/>
      <w:r w:rsidRPr="004952C0">
        <w:t>a</w:t>
      </w:r>
      <w:proofErr w:type="gramEnd"/>
      <w:r w:rsidRPr="004952C0">
        <w:t xml:space="preserve"> freezer cabinet;</w:t>
      </w:r>
    </w:p>
    <w:p w:rsidR="0045496E" w:rsidRPr="004952C0" w:rsidRDefault="0045496E" w:rsidP="0045496E">
      <w:pPr>
        <w:pStyle w:val="tPara"/>
      </w:pPr>
      <w:r w:rsidRPr="004952C0">
        <w:tab/>
        <w:t>(c)</w:t>
      </w:r>
      <w:r w:rsidRPr="004952C0">
        <w:tab/>
      </w:r>
      <w:proofErr w:type="gramStart"/>
      <w:r w:rsidRPr="004952C0">
        <w:t>a</w:t>
      </w:r>
      <w:proofErr w:type="gramEnd"/>
      <w:r w:rsidRPr="004952C0">
        <w:t xml:space="preserve"> walk</w:t>
      </w:r>
      <w:r w:rsidRPr="004952C0">
        <w:noBreakHyphen/>
        <w:t>in cool room;</w:t>
      </w:r>
    </w:p>
    <w:p w:rsidR="0045496E" w:rsidRPr="004952C0" w:rsidRDefault="0045496E" w:rsidP="0045496E">
      <w:pPr>
        <w:pStyle w:val="tPara"/>
      </w:pPr>
      <w:r w:rsidRPr="004952C0">
        <w:tab/>
        <w:t>(d)</w:t>
      </w:r>
      <w:r w:rsidRPr="004952C0">
        <w:tab/>
      </w:r>
      <w:proofErr w:type="gramStart"/>
      <w:r w:rsidRPr="004952C0">
        <w:t>a</w:t>
      </w:r>
      <w:proofErr w:type="gramEnd"/>
      <w:r w:rsidRPr="004952C0">
        <w:t xml:space="preserve"> cold storage warehouse.</w:t>
      </w:r>
    </w:p>
    <w:p w:rsidR="0045496E" w:rsidRPr="004952C0" w:rsidRDefault="0045496E" w:rsidP="0045496E">
      <w:pPr>
        <w:pStyle w:val="nMain"/>
      </w:pPr>
      <w:r w:rsidRPr="004952C0">
        <w:t>Note:</w:t>
      </w:r>
      <w:r w:rsidRPr="004952C0">
        <w:tab/>
        <w:t>A refrigeration system includes each part (including fans such as condenser fans, evaporator fans, and cooled air circulation fans) that operates as an integral part of the system.</w:t>
      </w:r>
    </w:p>
    <w:p w:rsidR="0045496E" w:rsidRPr="004952C0" w:rsidRDefault="0045496E" w:rsidP="0045496E">
      <w:pPr>
        <w:pStyle w:val="tDefn"/>
      </w:pPr>
      <w:proofErr w:type="gramStart"/>
      <w:r w:rsidRPr="004952C0">
        <w:rPr>
          <w:b/>
          <w:i/>
        </w:rPr>
        <w:t>shaded</w:t>
      </w:r>
      <w:proofErr w:type="gramEnd"/>
      <w:r w:rsidRPr="004952C0">
        <w:rPr>
          <w:b/>
          <w:i/>
        </w:rPr>
        <w:t xml:space="preserve"> pole motor</w:t>
      </w:r>
      <w:r w:rsidRPr="004952C0">
        <w:t xml:space="preserve"> means an electric motor that:</w:t>
      </w:r>
    </w:p>
    <w:p w:rsidR="0045496E" w:rsidRPr="004952C0" w:rsidRDefault="0045496E" w:rsidP="0045496E">
      <w:pPr>
        <w:pStyle w:val="tPara"/>
      </w:pPr>
      <w:r w:rsidRPr="004952C0">
        <w:tab/>
        <w:t>(a)</w:t>
      </w:r>
      <w:r w:rsidRPr="004952C0">
        <w:tab/>
      </w:r>
      <w:proofErr w:type="gramStart"/>
      <w:r w:rsidRPr="004952C0">
        <w:t>is</w:t>
      </w:r>
      <w:proofErr w:type="gramEnd"/>
      <w:r w:rsidRPr="004952C0">
        <w:t xml:space="preserve"> supplied with single phase electrical supply; and</w:t>
      </w:r>
    </w:p>
    <w:p w:rsidR="0045496E" w:rsidRPr="004952C0" w:rsidRDefault="0045496E" w:rsidP="0045496E">
      <w:pPr>
        <w:pStyle w:val="tPara"/>
      </w:pPr>
      <w:r w:rsidRPr="004952C0">
        <w:tab/>
        <w:t>(b)</w:t>
      </w:r>
      <w:r w:rsidRPr="004952C0">
        <w:tab/>
      </w:r>
      <w:proofErr w:type="gramStart"/>
      <w:r w:rsidRPr="004952C0">
        <w:t>has</w:t>
      </w:r>
      <w:proofErr w:type="gramEnd"/>
      <w:r w:rsidRPr="004952C0">
        <w:t xml:space="preserve"> an alternating current induction motor with a squirrel cage rotor that uses a shading coil in the face of each field pole to delay the phase of the magnetic flux to provide a rotating magnetic field.</w:t>
      </w:r>
    </w:p>
    <w:p w:rsidR="0045496E" w:rsidRPr="004952C0" w:rsidRDefault="0045496E" w:rsidP="0045496E">
      <w:pPr>
        <w:pStyle w:val="tDefn"/>
      </w:pPr>
      <w:proofErr w:type="gramStart"/>
      <w:r w:rsidRPr="004952C0">
        <w:rPr>
          <w:b/>
          <w:i/>
        </w:rPr>
        <w:t>small</w:t>
      </w:r>
      <w:proofErr w:type="gramEnd"/>
      <w:r w:rsidRPr="004952C0">
        <w:rPr>
          <w:b/>
          <w:i/>
        </w:rPr>
        <w:t xml:space="preserve"> motor fan upgrade</w:t>
      </w:r>
      <w:r w:rsidRPr="004952C0">
        <w:t>—see subsection </w:t>
      </w:r>
      <w:r w:rsidR="00934AC6" w:rsidRPr="004952C0">
        <w:t>9(6)</w:t>
      </w:r>
      <w:r w:rsidRPr="004952C0">
        <w:t>.</w:t>
      </w:r>
    </w:p>
    <w:p w:rsidR="0045496E" w:rsidRPr="004952C0" w:rsidRDefault="0045496E" w:rsidP="0045496E">
      <w:pPr>
        <w:pStyle w:val="tDefn"/>
      </w:pPr>
      <w:proofErr w:type="gramStart"/>
      <w:r w:rsidRPr="004952C0">
        <w:rPr>
          <w:b/>
          <w:i/>
        </w:rPr>
        <w:lastRenderedPageBreak/>
        <w:t>space</w:t>
      </w:r>
      <w:proofErr w:type="gramEnd"/>
      <w:r w:rsidRPr="004952C0">
        <w:rPr>
          <w:b/>
          <w:i/>
        </w:rPr>
        <w:t xml:space="preserve"> cooling</w:t>
      </w:r>
      <w:r w:rsidRPr="004952C0">
        <w:t>, in relation to a building, means cooling of the spaces enclosed by the building envelope.</w:t>
      </w:r>
    </w:p>
    <w:p w:rsidR="0045496E" w:rsidRPr="004952C0" w:rsidRDefault="0045496E" w:rsidP="0045496E">
      <w:pPr>
        <w:pStyle w:val="tDefn"/>
      </w:pPr>
      <w:proofErr w:type="gramStart"/>
      <w:r w:rsidRPr="004952C0">
        <w:rPr>
          <w:b/>
          <w:i/>
        </w:rPr>
        <w:t>space</w:t>
      </w:r>
      <w:proofErr w:type="gramEnd"/>
      <w:r w:rsidRPr="004952C0">
        <w:rPr>
          <w:b/>
          <w:i/>
        </w:rPr>
        <w:t xml:space="preserve"> heating</w:t>
      </w:r>
      <w:r w:rsidRPr="004952C0">
        <w:t>, in relation to a building, means heating of the spaces enclosed by the building envelope.</w:t>
      </w:r>
    </w:p>
    <w:p w:rsidR="0045496E" w:rsidRPr="004952C0" w:rsidRDefault="0045496E" w:rsidP="0045496E">
      <w:pPr>
        <w:pStyle w:val="tDefn"/>
        <w:rPr>
          <w:rFonts w:eastAsia="Calibri"/>
        </w:rPr>
      </w:pPr>
      <w:proofErr w:type="gramStart"/>
      <w:r w:rsidRPr="004952C0">
        <w:rPr>
          <w:rFonts w:eastAsia="Calibri"/>
          <w:b/>
          <w:i/>
        </w:rPr>
        <w:t>switching</w:t>
      </w:r>
      <w:proofErr w:type="gramEnd"/>
      <w:r w:rsidRPr="004952C0">
        <w:rPr>
          <w:rFonts w:eastAsia="Calibri"/>
          <w:b/>
          <w:i/>
        </w:rPr>
        <w:t xml:space="preserve"> control</w:t>
      </w:r>
      <w:r w:rsidRPr="004952C0">
        <w:rPr>
          <w:rFonts w:eastAsia="Calibri"/>
          <w:b/>
        </w:rPr>
        <w:t xml:space="preserve"> </w:t>
      </w:r>
      <w:r w:rsidRPr="004952C0">
        <w:rPr>
          <w:rFonts w:eastAsia="Calibri"/>
        </w:rPr>
        <w:t>means a control system that turns a motor on or off automatically according to temperature, pressure, humidity, or feedback from carbon monoxide or carbon dioxide sensors.</w:t>
      </w:r>
    </w:p>
    <w:p w:rsidR="0045496E" w:rsidRPr="004952C0" w:rsidRDefault="0045496E" w:rsidP="0045496E">
      <w:pPr>
        <w:pStyle w:val="tDefn"/>
      </w:pPr>
      <w:proofErr w:type="gramStart"/>
      <w:r w:rsidRPr="004952C0">
        <w:rPr>
          <w:b/>
          <w:i/>
        </w:rPr>
        <w:t>variable</w:t>
      </w:r>
      <w:proofErr w:type="gramEnd"/>
      <w:r w:rsidRPr="004952C0">
        <w:rPr>
          <w:b/>
          <w:i/>
        </w:rPr>
        <w:t xml:space="preserve"> speed drive</w:t>
      </w:r>
      <w:r w:rsidRPr="004952C0">
        <w:t xml:space="preserve"> means a control system that consists of an electronic power converter (such as a variable voltage controller for a direct current motor) that:</w:t>
      </w:r>
    </w:p>
    <w:p w:rsidR="0045496E" w:rsidRPr="004952C0" w:rsidRDefault="0045496E" w:rsidP="0045496E">
      <w:pPr>
        <w:pStyle w:val="tPara"/>
      </w:pPr>
      <w:r w:rsidRPr="004952C0">
        <w:tab/>
        <w:t>(a)</w:t>
      </w:r>
      <w:r w:rsidRPr="004952C0">
        <w:tab/>
      </w:r>
      <w:proofErr w:type="gramStart"/>
      <w:r w:rsidRPr="004952C0">
        <w:t>is</w:t>
      </w:r>
      <w:proofErr w:type="gramEnd"/>
      <w:r w:rsidRPr="004952C0">
        <w:t xml:space="preserve"> integrated, or functions as one system, with a motor and a fan; and</w:t>
      </w:r>
    </w:p>
    <w:p w:rsidR="0045496E" w:rsidRPr="004952C0" w:rsidRDefault="0045496E" w:rsidP="0045496E">
      <w:pPr>
        <w:pStyle w:val="tPara"/>
      </w:pPr>
      <w:r w:rsidRPr="004952C0">
        <w:tab/>
        <w:t>(b)</w:t>
      </w:r>
      <w:r w:rsidRPr="004952C0">
        <w:tab/>
        <w:t>adapts the electrical power supplied to the motor continuously (rather than through a series of discrete settings) in order to control the mechanical power output of the motor according to temperature, pressure, humidity, or feedback from carbon monoxide or carbon dioxide sensors.</w:t>
      </w:r>
    </w:p>
    <w:p w:rsidR="0045496E" w:rsidRPr="004952C0" w:rsidRDefault="0045496E" w:rsidP="0045496E">
      <w:pPr>
        <w:pStyle w:val="tDefn"/>
      </w:pPr>
      <w:proofErr w:type="gramStart"/>
      <w:r w:rsidRPr="004952C0">
        <w:rPr>
          <w:b/>
          <w:i/>
        </w:rPr>
        <w:t>ventilation</w:t>
      </w:r>
      <w:proofErr w:type="gramEnd"/>
      <w:r w:rsidRPr="004952C0">
        <w:rPr>
          <w:b/>
          <w:i/>
        </w:rPr>
        <w:t xml:space="preserve"> fan </w:t>
      </w:r>
      <w:r w:rsidRPr="004952C0">
        <w:t>means:</w:t>
      </w:r>
    </w:p>
    <w:p w:rsidR="0045496E" w:rsidRPr="004952C0" w:rsidRDefault="0045496E" w:rsidP="0045496E">
      <w:pPr>
        <w:pStyle w:val="tPara"/>
      </w:pPr>
      <w:r w:rsidRPr="004952C0">
        <w:tab/>
        <w:t>(a)</w:t>
      </w:r>
      <w:r w:rsidRPr="004952C0">
        <w:tab/>
      </w:r>
      <w:proofErr w:type="gramStart"/>
      <w:r w:rsidRPr="004952C0">
        <w:t>a</w:t>
      </w:r>
      <w:proofErr w:type="gramEnd"/>
      <w:r w:rsidRPr="004952C0">
        <w:t xml:space="preserve"> ducted or partition ventilation fan; or</w:t>
      </w:r>
    </w:p>
    <w:p w:rsidR="0045496E" w:rsidRPr="004952C0" w:rsidRDefault="0045496E" w:rsidP="0045496E">
      <w:pPr>
        <w:pStyle w:val="tPara"/>
      </w:pPr>
      <w:r w:rsidRPr="004952C0">
        <w:tab/>
        <w:t>(b)</w:t>
      </w:r>
      <w:r w:rsidRPr="004952C0">
        <w:tab/>
      </w:r>
      <w:proofErr w:type="gramStart"/>
      <w:r w:rsidRPr="004952C0">
        <w:t>a</w:t>
      </w:r>
      <w:proofErr w:type="gramEnd"/>
      <w:r w:rsidRPr="004952C0">
        <w:t xml:space="preserve"> heating/cooling ventilation fan;</w:t>
      </w:r>
    </w:p>
    <w:p w:rsidR="0045496E" w:rsidRPr="004952C0" w:rsidRDefault="0045496E" w:rsidP="0098190A">
      <w:pPr>
        <w:pStyle w:val="tMain"/>
        <w:spacing w:before="40"/>
      </w:pPr>
      <w:r w:rsidRPr="004952C0">
        <w:tab/>
      </w:r>
      <w:r w:rsidRPr="004952C0">
        <w:tab/>
      </w:r>
      <w:proofErr w:type="gramStart"/>
      <w:r w:rsidR="00B911C5" w:rsidRPr="004952C0">
        <w:t>t</w:t>
      </w:r>
      <w:r w:rsidRPr="004952C0">
        <w:t>hat</w:t>
      </w:r>
      <w:proofErr w:type="gramEnd"/>
      <w:r w:rsidR="0098190A" w:rsidRPr="004952C0">
        <w:t xml:space="preserve"> </w:t>
      </w:r>
      <w:r w:rsidRPr="004952C0">
        <w:t>is not a refrigeration fan.</w:t>
      </w:r>
    </w:p>
    <w:p w:rsidR="0045496E" w:rsidRPr="004952C0" w:rsidRDefault="0045496E" w:rsidP="0045496E">
      <w:pPr>
        <w:pStyle w:val="tDefn"/>
      </w:pPr>
      <w:proofErr w:type="gramStart"/>
      <w:r w:rsidRPr="004952C0">
        <w:rPr>
          <w:b/>
          <w:i/>
        </w:rPr>
        <w:t>walk-in</w:t>
      </w:r>
      <w:proofErr w:type="gramEnd"/>
      <w:r w:rsidRPr="004952C0">
        <w:rPr>
          <w:b/>
          <w:i/>
        </w:rPr>
        <w:t xml:space="preserve"> cool</w:t>
      </w:r>
      <w:r w:rsidR="00240E3E" w:rsidRPr="004952C0">
        <w:rPr>
          <w:b/>
          <w:i/>
        </w:rPr>
        <w:t xml:space="preserve"> </w:t>
      </w:r>
      <w:r w:rsidRPr="004952C0">
        <w:rPr>
          <w:b/>
          <w:i/>
        </w:rPr>
        <w:t xml:space="preserve">room </w:t>
      </w:r>
      <w:r w:rsidRPr="004952C0">
        <w:t>means a refrigerated space formed by an insulated enclosure of walls, ceiling and, where appropriate, floor, and having a door that a person can pass through and close behind them.</w:t>
      </w:r>
    </w:p>
    <w:p w:rsidR="0045496E" w:rsidRPr="004952C0" w:rsidRDefault="0045496E" w:rsidP="0045496E">
      <w:pPr>
        <w:pStyle w:val="nMain"/>
      </w:pPr>
      <w:r w:rsidRPr="004952C0">
        <w:t>Note:</w:t>
      </w:r>
      <w:r w:rsidRPr="004952C0">
        <w:tab/>
        <w:t>Other words and expressions used in this determination have the meaning given by the Act. These terms include:</w:t>
      </w:r>
    </w:p>
    <w:p w:rsidR="0045496E" w:rsidRPr="004952C0" w:rsidRDefault="0045496E" w:rsidP="0045496E">
      <w:pPr>
        <w:pStyle w:val="nPara"/>
        <w:ind w:firstLine="0"/>
        <w:rPr>
          <w:b/>
          <w:i/>
        </w:rPr>
      </w:pPr>
      <w:r w:rsidRPr="004952C0">
        <w:rPr>
          <w:b/>
          <w:i/>
        </w:rPr>
        <w:t>Australian carbon credit unit</w:t>
      </w:r>
    </w:p>
    <w:p w:rsidR="0045496E" w:rsidRPr="004952C0" w:rsidRDefault="0045496E" w:rsidP="0045496E">
      <w:pPr>
        <w:pStyle w:val="nPara"/>
        <w:ind w:firstLine="0"/>
        <w:rPr>
          <w:b/>
          <w:i/>
        </w:rPr>
      </w:pPr>
      <w:proofErr w:type="gramStart"/>
      <w:r w:rsidRPr="004952C0">
        <w:rPr>
          <w:b/>
          <w:i/>
        </w:rPr>
        <w:t>crediting</w:t>
      </w:r>
      <w:proofErr w:type="gramEnd"/>
      <w:r w:rsidRPr="004952C0">
        <w:rPr>
          <w:b/>
          <w:i/>
        </w:rPr>
        <w:t xml:space="preserve"> period</w:t>
      </w:r>
    </w:p>
    <w:p w:rsidR="0045496E" w:rsidRPr="004952C0" w:rsidRDefault="0045496E" w:rsidP="0045496E">
      <w:pPr>
        <w:pStyle w:val="nPara"/>
        <w:ind w:firstLine="0"/>
        <w:rPr>
          <w:b/>
          <w:i/>
        </w:rPr>
      </w:pPr>
      <w:proofErr w:type="gramStart"/>
      <w:r w:rsidRPr="004952C0">
        <w:rPr>
          <w:b/>
          <w:i/>
        </w:rPr>
        <w:t>eligible</w:t>
      </w:r>
      <w:proofErr w:type="gramEnd"/>
      <w:r w:rsidRPr="004952C0">
        <w:rPr>
          <w:b/>
          <w:i/>
        </w:rPr>
        <w:t xml:space="preserve"> offsets project</w:t>
      </w:r>
    </w:p>
    <w:p w:rsidR="0045496E" w:rsidRPr="004952C0" w:rsidRDefault="0045496E" w:rsidP="0045496E">
      <w:pPr>
        <w:pStyle w:val="nPara"/>
        <w:ind w:firstLine="0"/>
        <w:rPr>
          <w:b/>
          <w:i/>
        </w:rPr>
      </w:pPr>
      <w:proofErr w:type="gramStart"/>
      <w:r w:rsidRPr="004952C0">
        <w:rPr>
          <w:b/>
          <w:i/>
        </w:rPr>
        <w:t>emission</w:t>
      </w:r>
      <w:proofErr w:type="gramEnd"/>
    </w:p>
    <w:p w:rsidR="0045496E" w:rsidRPr="004952C0" w:rsidRDefault="0045496E" w:rsidP="0045496E">
      <w:pPr>
        <w:pStyle w:val="nPara"/>
        <w:ind w:firstLine="0"/>
        <w:rPr>
          <w:b/>
          <w:i/>
        </w:rPr>
      </w:pPr>
      <w:proofErr w:type="gramStart"/>
      <w:r w:rsidRPr="004952C0">
        <w:rPr>
          <w:b/>
          <w:i/>
        </w:rPr>
        <w:t>greenhouse</w:t>
      </w:r>
      <w:proofErr w:type="gramEnd"/>
      <w:r w:rsidRPr="004952C0">
        <w:rPr>
          <w:b/>
          <w:i/>
        </w:rPr>
        <w:t xml:space="preserve"> gas</w:t>
      </w:r>
    </w:p>
    <w:p w:rsidR="0045496E" w:rsidRPr="004952C0" w:rsidRDefault="0045496E" w:rsidP="0045496E">
      <w:pPr>
        <w:pStyle w:val="nPara"/>
        <w:ind w:firstLine="0"/>
        <w:rPr>
          <w:b/>
          <w:i/>
        </w:rPr>
      </w:pPr>
      <w:proofErr w:type="gramStart"/>
      <w:r w:rsidRPr="004952C0">
        <w:rPr>
          <w:b/>
          <w:i/>
        </w:rPr>
        <w:t>offsets</w:t>
      </w:r>
      <w:proofErr w:type="gramEnd"/>
      <w:r w:rsidRPr="004952C0">
        <w:rPr>
          <w:b/>
          <w:i/>
        </w:rPr>
        <w:t xml:space="preserve"> project</w:t>
      </w:r>
    </w:p>
    <w:p w:rsidR="0045496E" w:rsidRPr="004952C0" w:rsidRDefault="0045496E" w:rsidP="0045496E">
      <w:pPr>
        <w:pStyle w:val="nPara"/>
        <w:ind w:firstLine="0"/>
        <w:rPr>
          <w:b/>
          <w:i/>
        </w:rPr>
      </w:pPr>
      <w:proofErr w:type="gramStart"/>
      <w:r w:rsidRPr="004952C0">
        <w:rPr>
          <w:b/>
          <w:i/>
        </w:rPr>
        <w:t>offsets</w:t>
      </w:r>
      <w:proofErr w:type="gramEnd"/>
      <w:r w:rsidRPr="004952C0">
        <w:rPr>
          <w:b/>
          <w:i/>
        </w:rPr>
        <w:t xml:space="preserve"> report</w:t>
      </w:r>
    </w:p>
    <w:p w:rsidR="0045496E" w:rsidRPr="004952C0" w:rsidRDefault="0045496E" w:rsidP="0045496E">
      <w:pPr>
        <w:pStyle w:val="nPara"/>
        <w:ind w:firstLine="0"/>
        <w:rPr>
          <w:b/>
          <w:i/>
        </w:rPr>
      </w:pPr>
      <w:proofErr w:type="gramStart"/>
      <w:r w:rsidRPr="004952C0">
        <w:rPr>
          <w:b/>
          <w:i/>
        </w:rPr>
        <w:t>project</w:t>
      </w:r>
      <w:proofErr w:type="gramEnd"/>
    </w:p>
    <w:p w:rsidR="0045496E" w:rsidRPr="004952C0" w:rsidRDefault="0045496E" w:rsidP="0045496E">
      <w:pPr>
        <w:pStyle w:val="nPara"/>
        <w:ind w:firstLine="0"/>
        <w:rPr>
          <w:b/>
          <w:i/>
        </w:rPr>
      </w:pPr>
      <w:proofErr w:type="gramStart"/>
      <w:r w:rsidRPr="004952C0">
        <w:rPr>
          <w:b/>
          <w:i/>
        </w:rPr>
        <w:t>project</w:t>
      </w:r>
      <w:proofErr w:type="gramEnd"/>
      <w:r w:rsidRPr="004952C0">
        <w:rPr>
          <w:b/>
          <w:i/>
        </w:rPr>
        <w:t xml:space="preserve"> proponent</w:t>
      </w:r>
    </w:p>
    <w:p w:rsidR="0045496E" w:rsidRPr="004952C0" w:rsidRDefault="0045496E" w:rsidP="0045496E">
      <w:pPr>
        <w:pStyle w:val="nPara"/>
        <w:ind w:firstLine="0"/>
        <w:rPr>
          <w:b/>
          <w:i/>
        </w:rPr>
      </w:pPr>
      <w:r w:rsidRPr="004952C0">
        <w:rPr>
          <w:b/>
          <w:i/>
        </w:rPr>
        <w:t>Regulator</w:t>
      </w:r>
    </w:p>
    <w:p w:rsidR="0045496E" w:rsidRPr="004952C0" w:rsidRDefault="0045496E" w:rsidP="0045496E">
      <w:pPr>
        <w:pStyle w:val="nPara"/>
        <w:ind w:firstLine="0"/>
        <w:rPr>
          <w:b/>
          <w:i/>
        </w:rPr>
      </w:pPr>
      <w:proofErr w:type="gramStart"/>
      <w:r w:rsidRPr="004952C0">
        <w:rPr>
          <w:b/>
          <w:i/>
        </w:rPr>
        <w:t>reporting</w:t>
      </w:r>
      <w:proofErr w:type="gramEnd"/>
      <w:r w:rsidRPr="004952C0">
        <w:rPr>
          <w:b/>
          <w:i/>
        </w:rPr>
        <w:t xml:space="preserve"> period</w:t>
      </w:r>
    </w:p>
    <w:p w:rsidR="0045496E" w:rsidRPr="004952C0" w:rsidRDefault="00FE4F8F" w:rsidP="0045496E">
      <w:pPr>
        <w:pStyle w:val="h5Section"/>
      </w:pPr>
      <w:bookmarkStart w:id="16" w:name="_Toc431466256"/>
      <w:proofErr w:type="gramStart"/>
      <w:r w:rsidRPr="004952C0">
        <w:t>6</w:t>
      </w:r>
      <w:r w:rsidR="0045496E" w:rsidRPr="004952C0">
        <w:t xml:space="preserve">  Definitions</w:t>
      </w:r>
      <w:proofErr w:type="gramEnd"/>
      <w:r w:rsidR="0045496E" w:rsidRPr="004952C0">
        <w:t xml:space="preserve"> for eligible fan types</w:t>
      </w:r>
      <w:r w:rsidR="00206469" w:rsidRPr="004952C0">
        <w:t xml:space="preserve"> (other than cross</w:t>
      </w:r>
      <w:r w:rsidR="00206469" w:rsidRPr="004952C0">
        <w:noBreakHyphen/>
      </w:r>
      <w:proofErr w:type="spellStart"/>
      <w:r w:rsidR="00206469" w:rsidRPr="004952C0">
        <w:t>flow</w:t>
      </w:r>
      <w:proofErr w:type="spellEnd"/>
      <w:r w:rsidR="00206469" w:rsidRPr="004952C0">
        <w:t xml:space="preserve"> fan)</w:t>
      </w:r>
      <w:bookmarkEnd w:id="16"/>
    </w:p>
    <w:p w:rsidR="0045496E" w:rsidRPr="004952C0" w:rsidRDefault="0045496E" w:rsidP="0045496E">
      <w:pPr>
        <w:pStyle w:val="tMain"/>
      </w:pPr>
      <w:r w:rsidRPr="004952C0">
        <w:tab/>
      </w:r>
      <w:r w:rsidR="00FE4F8F" w:rsidRPr="004952C0">
        <w:t>(1)</w:t>
      </w:r>
      <w:r w:rsidRPr="004952C0">
        <w:tab/>
        <w:t>For this determination, a reference to a fan of an eligible fan type listed in the</w:t>
      </w:r>
      <w:r w:rsidR="00206469" w:rsidRPr="004952C0">
        <w:t xml:space="preserve"> following</w:t>
      </w:r>
      <w:r w:rsidRPr="004952C0">
        <w:t xml:space="preserve"> table is a reference to a fan that has:</w:t>
      </w:r>
    </w:p>
    <w:p w:rsidR="0045496E" w:rsidRPr="004952C0" w:rsidRDefault="0045496E" w:rsidP="0045496E">
      <w:pPr>
        <w:pStyle w:val="tPara"/>
      </w:pPr>
      <w:r w:rsidRPr="004952C0">
        <w:tab/>
      </w:r>
      <w:r w:rsidR="00FE4F8F" w:rsidRPr="004952C0">
        <w:t>(a)</w:t>
      </w:r>
      <w:r w:rsidRPr="004952C0">
        <w:tab/>
      </w:r>
      <w:proofErr w:type="gramStart"/>
      <w:r w:rsidRPr="004952C0">
        <w:t>a</w:t>
      </w:r>
      <w:proofErr w:type="gramEnd"/>
      <w:r w:rsidRPr="004952C0">
        <w:t xml:space="preserve"> fan flow angle (</w:t>
      </w:r>
      <w:r w:rsidRPr="004952C0">
        <w:sym w:font="Symbol" w:char="F061"/>
      </w:r>
      <w:r w:rsidRPr="004952C0">
        <w:t>); and</w:t>
      </w:r>
    </w:p>
    <w:p w:rsidR="0045496E" w:rsidRPr="004952C0" w:rsidRDefault="0045496E" w:rsidP="0045496E">
      <w:pPr>
        <w:pStyle w:val="tPara"/>
      </w:pPr>
      <w:r w:rsidRPr="004952C0">
        <w:tab/>
      </w:r>
      <w:r w:rsidR="00FE4F8F" w:rsidRPr="004952C0">
        <w:t>(b)</w:t>
      </w:r>
      <w:r w:rsidRPr="004952C0">
        <w:tab/>
      </w:r>
      <w:proofErr w:type="gramStart"/>
      <w:r w:rsidRPr="004952C0">
        <w:t>where</w:t>
      </w:r>
      <w:proofErr w:type="gramEnd"/>
      <w:r w:rsidRPr="004952C0">
        <w:t xml:space="preserve"> specified, a fan blade angle (</w:t>
      </w:r>
      <w:r w:rsidRPr="004952C0">
        <w:sym w:font="Symbol" w:char="F062"/>
      </w:r>
      <w:r w:rsidRPr="004952C0">
        <w:t>);</w:t>
      </w:r>
    </w:p>
    <w:p w:rsidR="0045496E" w:rsidRPr="004952C0" w:rsidRDefault="0045496E" w:rsidP="0045496E">
      <w:pPr>
        <w:pStyle w:val="tMain"/>
        <w:spacing w:before="40"/>
      </w:pPr>
      <w:r w:rsidRPr="004952C0">
        <w:tab/>
      </w:r>
      <w:r w:rsidRPr="004952C0">
        <w:tab/>
      </w:r>
      <w:proofErr w:type="gramStart"/>
      <w:r w:rsidRPr="004952C0">
        <w:t>within</w:t>
      </w:r>
      <w:proofErr w:type="gramEnd"/>
      <w:r w:rsidRPr="004952C0">
        <w:t xml:space="preserve"> the range specified in the table.</w:t>
      </w:r>
    </w:p>
    <w:p w:rsidR="0045496E" w:rsidRPr="004952C0" w:rsidRDefault="0045496E" w:rsidP="0045496E">
      <w:pPr>
        <w:pStyle w:val="tMain"/>
        <w:spacing w:before="40"/>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993"/>
        <w:gridCol w:w="343"/>
        <w:gridCol w:w="932"/>
        <w:gridCol w:w="851"/>
        <w:gridCol w:w="326"/>
        <w:gridCol w:w="808"/>
      </w:tblGrid>
      <w:tr w:rsidR="004952C0" w:rsidRPr="004952C0" w:rsidTr="005634D0">
        <w:trPr>
          <w:tblHeader/>
        </w:trPr>
        <w:tc>
          <w:tcPr>
            <w:tcW w:w="7196" w:type="dxa"/>
            <w:gridSpan w:val="7"/>
            <w:tcBorders>
              <w:bottom w:val="single" w:sz="12" w:space="0" w:color="auto"/>
            </w:tcBorders>
          </w:tcPr>
          <w:p w:rsidR="0045496E" w:rsidRPr="004952C0" w:rsidRDefault="0045496E" w:rsidP="005634D0">
            <w:pPr>
              <w:pStyle w:val="TableHeading"/>
              <w:jc w:val="center"/>
            </w:pPr>
            <w:r w:rsidRPr="004952C0">
              <w:t>Fan flow angle and fan blade angle for eligible fan types</w:t>
            </w:r>
          </w:p>
        </w:tc>
      </w:tr>
      <w:tr w:rsidR="004952C0" w:rsidRPr="004952C0" w:rsidTr="005634D0">
        <w:trPr>
          <w:tblHeader/>
        </w:trPr>
        <w:tc>
          <w:tcPr>
            <w:tcW w:w="2943" w:type="dxa"/>
            <w:tcBorders>
              <w:top w:val="single" w:sz="12" w:space="0" w:color="auto"/>
              <w:bottom w:val="single" w:sz="12" w:space="0" w:color="auto"/>
            </w:tcBorders>
          </w:tcPr>
          <w:p w:rsidR="0045496E" w:rsidRPr="004952C0" w:rsidRDefault="0045496E" w:rsidP="005634D0">
            <w:pPr>
              <w:pStyle w:val="TableHeading"/>
            </w:pPr>
            <w:r w:rsidRPr="004952C0">
              <w:t>Eligible fan type</w:t>
            </w:r>
          </w:p>
        </w:tc>
        <w:tc>
          <w:tcPr>
            <w:tcW w:w="2268" w:type="dxa"/>
            <w:gridSpan w:val="3"/>
            <w:tcBorders>
              <w:top w:val="single" w:sz="12" w:space="0" w:color="auto"/>
              <w:bottom w:val="single" w:sz="12" w:space="0" w:color="auto"/>
            </w:tcBorders>
          </w:tcPr>
          <w:p w:rsidR="0045496E" w:rsidRPr="004952C0" w:rsidRDefault="0045496E" w:rsidP="005634D0">
            <w:pPr>
              <w:pStyle w:val="TableHeading"/>
              <w:jc w:val="center"/>
            </w:pPr>
            <w:r w:rsidRPr="004952C0">
              <w:t>Fan flow angle (</w:t>
            </w:r>
            <w:r w:rsidRPr="004952C0">
              <w:sym w:font="Symbol" w:char="F061"/>
            </w:r>
            <w:r w:rsidRPr="004952C0">
              <w:t>)</w:t>
            </w:r>
          </w:p>
        </w:tc>
        <w:tc>
          <w:tcPr>
            <w:tcW w:w="1985" w:type="dxa"/>
            <w:gridSpan w:val="3"/>
            <w:tcBorders>
              <w:top w:val="single" w:sz="12" w:space="0" w:color="auto"/>
              <w:bottom w:val="single" w:sz="12" w:space="0" w:color="auto"/>
            </w:tcBorders>
          </w:tcPr>
          <w:p w:rsidR="0045496E" w:rsidRPr="004952C0" w:rsidRDefault="0045496E" w:rsidP="005634D0">
            <w:pPr>
              <w:pStyle w:val="TableHeading"/>
            </w:pPr>
            <w:r w:rsidRPr="004952C0">
              <w:t>Fan blade angle (</w:t>
            </w:r>
            <w:r w:rsidRPr="004952C0">
              <w:sym w:font="Symbol" w:char="F062"/>
            </w:r>
            <w:r w:rsidRPr="004952C0">
              <w:t>)</w:t>
            </w:r>
          </w:p>
        </w:tc>
      </w:tr>
      <w:tr w:rsidR="004952C0" w:rsidRPr="004952C0" w:rsidTr="005634D0">
        <w:tc>
          <w:tcPr>
            <w:tcW w:w="2943" w:type="dxa"/>
          </w:tcPr>
          <w:p w:rsidR="0045496E" w:rsidRPr="004952C0" w:rsidRDefault="0045496E" w:rsidP="005634D0">
            <w:pPr>
              <w:pStyle w:val="Tabletext"/>
              <w:rPr>
                <w:b/>
                <w:i/>
              </w:rPr>
            </w:pPr>
            <w:r w:rsidRPr="004952C0">
              <w:rPr>
                <w:b/>
                <w:i/>
              </w:rPr>
              <w:t>axial</w:t>
            </w:r>
            <w:r w:rsidRPr="004952C0">
              <w:rPr>
                <w:b/>
                <w:i/>
              </w:rPr>
              <w:noBreakHyphen/>
            </w:r>
            <w:proofErr w:type="spellStart"/>
            <w:r w:rsidRPr="004952C0">
              <w:rPr>
                <w:b/>
                <w:i/>
              </w:rPr>
              <w:t>flow</w:t>
            </w:r>
            <w:proofErr w:type="spellEnd"/>
            <w:r w:rsidRPr="004952C0">
              <w:rPr>
                <w:b/>
                <w:i/>
              </w:rPr>
              <w:t xml:space="preserve"> fan</w:t>
            </w:r>
          </w:p>
        </w:tc>
        <w:tc>
          <w:tcPr>
            <w:tcW w:w="993" w:type="dxa"/>
          </w:tcPr>
          <w:p w:rsidR="0045496E" w:rsidRPr="004952C0" w:rsidRDefault="0045496E" w:rsidP="005634D0">
            <w:pPr>
              <w:pStyle w:val="Tabletext"/>
              <w:jc w:val="right"/>
            </w:pPr>
            <w:r w:rsidRPr="004952C0">
              <w:t> </w:t>
            </w:r>
          </w:p>
        </w:tc>
        <w:tc>
          <w:tcPr>
            <w:tcW w:w="343" w:type="dxa"/>
          </w:tcPr>
          <w:p w:rsidR="0045496E" w:rsidRPr="004952C0" w:rsidRDefault="0045496E" w:rsidP="005634D0">
            <w:pPr>
              <w:pStyle w:val="Tabletext"/>
              <w:jc w:val="center"/>
            </w:pPr>
            <w:r w:rsidRPr="004952C0">
              <w:sym w:font="Symbol" w:char="F061"/>
            </w:r>
          </w:p>
        </w:tc>
        <w:tc>
          <w:tcPr>
            <w:tcW w:w="932" w:type="dxa"/>
          </w:tcPr>
          <w:p w:rsidR="0045496E" w:rsidRPr="004952C0" w:rsidRDefault="0045496E" w:rsidP="005634D0">
            <w:pPr>
              <w:pStyle w:val="Tabletext"/>
            </w:pPr>
            <w:r w:rsidRPr="004952C0">
              <w:t>≤ 20</w:t>
            </w:r>
            <w:r w:rsidRPr="004952C0">
              <w:sym w:font="Symbol" w:char="F0B0"/>
            </w:r>
          </w:p>
        </w:tc>
        <w:tc>
          <w:tcPr>
            <w:tcW w:w="1985" w:type="dxa"/>
            <w:gridSpan w:val="3"/>
          </w:tcPr>
          <w:p w:rsidR="0045496E" w:rsidRPr="004952C0" w:rsidRDefault="0045496E" w:rsidP="005634D0">
            <w:pPr>
              <w:pStyle w:val="Tabletext"/>
              <w:jc w:val="center"/>
            </w:pPr>
            <w:r w:rsidRPr="004952C0">
              <w:t>(not specified)</w:t>
            </w:r>
          </w:p>
        </w:tc>
      </w:tr>
      <w:tr w:rsidR="004952C0" w:rsidRPr="004952C0" w:rsidTr="005634D0">
        <w:tc>
          <w:tcPr>
            <w:tcW w:w="2943" w:type="dxa"/>
          </w:tcPr>
          <w:p w:rsidR="0045496E" w:rsidRPr="004952C0" w:rsidRDefault="0045496E" w:rsidP="005634D0">
            <w:pPr>
              <w:pStyle w:val="Tabletext"/>
              <w:rPr>
                <w:b/>
                <w:i/>
              </w:rPr>
            </w:pPr>
            <w:r w:rsidRPr="004952C0">
              <w:rPr>
                <w:b/>
                <w:i/>
              </w:rPr>
              <w:t>mixed</w:t>
            </w:r>
            <w:r w:rsidRPr="004952C0">
              <w:rPr>
                <w:b/>
                <w:i/>
              </w:rPr>
              <w:noBreakHyphen/>
            </w:r>
            <w:proofErr w:type="spellStart"/>
            <w:r w:rsidRPr="004952C0">
              <w:rPr>
                <w:b/>
                <w:i/>
              </w:rPr>
              <w:t>flow</w:t>
            </w:r>
            <w:proofErr w:type="spellEnd"/>
            <w:r w:rsidRPr="004952C0">
              <w:rPr>
                <w:b/>
                <w:i/>
              </w:rPr>
              <w:t xml:space="preserve"> fan</w:t>
            </w:r>
          </w:p>
        </w:tc>
        <w:tc>
          <w:tcPr>
            <w:tcW w:w="993" w:type="dxa"/>
          </w:tcPr>
          <w:p w:rsidR="0045496E" w:rsidRPr="004952C0" w:rsidRDefault="0045496E" w:rsidP="005634D0">
            <w:pPr>
              <w:pStyle w:val="Tabletext"/>
              <w:jc w:val="right"/>
            </w:pPr>
            <w:r w:rsidRPr="004952C0">
              <w:t>20</w:t>
            </w:r>
            <w:r w:rsidRPr="004952C0">
              <w:sym w:font="Symbol" w:char="F0B0"/>
            </w:r>
            <w:r w:rsidRPr="004952C0">
              <w:t xml:space="preserve"> &lt;</w:t>
            </w:r>
          </w:p>
        </w:tc>
        <w:tc>
          <w:tcPr>
            <w:tcW w:w="343" w:type="dxa"/>
          </w:tcPr>
          <w:p w:rsidR="0045496E" w:rsidRPr="004952C0" w:rsidRDefault="0045496E" w:rsidP="005634D0">
            <w:pPr>
              <w:pStyle w:val="Tabletext"/>
              <w:jc w:val="center"/>
            </w:pPr>
            <w:r w:rsidRPr="004952C0">
              <w:sym w:font="Symbol" w:char="F061"/>
            </w:r>
          </w:p>
        </w:tc>
        <w:tc>
          <w:tcPr>
            <w:tcW w:w="932" w:type="dxa"/>
          </w:tcPr>
          <w:p w:rsidR="0045496E" w:rsidRPr="004952C0" w:rsidRDefault="0045496E" w:rsidP="005634D0">
            <w:pPr>
              <w:pStyle w:val="Tabletext"/>
            </w:pPr>
            <w:r w:rsidRPr="004952C0">
              <w:t>&lt; 70</w:t>
            </w:r>
            <w:r w:rsidRPr="004952C0">
              <w:sym w:font="Symbol" w:char="F0B0"/>
            </w:r>
          </w:p>
        </w:tc>
        <w:tc>
          <w:tcPr>
            <w:tcW w:w="1985" w:type="dxa"/>
            <w:gridSpan w:val="3"/>
          </w:tcPr>
          <w:p w:rsidR="0045496E" w:rsidRPr="004952C0" w:rsidRDefault="0045496E" w:rsidP="005634D0">
            <w:pPr>
              <w:pStyle w:val="Tabletext"/>
              <w:jc w:val="center"/>
            </w:pPr>
            <w:r w:rsidRPr="004952C0">
              <w:t>(not specified)</w:t>
            </w:r>
          </w:p>
        </w:tc>
      </w:tr>
      <w:tr w:rsidR="004952C0" w:rsidRPr="004952C0" w:rsidTr="005634D0">
        <w:tc>
          <w:tcPr>
            <w:tcW w:w="2943" w:type="dxa"/>
          </w:tcPr>
          <w:p w:rsidR="0045496E" w:rsidRPr="004952C0" w:rsidRDefault="0045496E" w:rsidP="005634D0">
            <w:pPr>
              <w:pStyle w:val="Tabletext"/>
              <w:rPr>
                <w:b/>
                <w:i/>
              </w:rPr>
            </w:pPr>
            <w:r w:rsidRPr="004952C0">
              <w:rPr>
                <w:b/>
                <w:i/>
              </w:rPr>
              <w:lastRenderedPageBreak/>
              <w:t>centrifugal backward</w:t>
            </w:r>
            <w:r w:rsidRPr="004952C0">
              <w:rPr>
                <w:b/>
                <w:i/>
              </w:rPr>
              <w:noBreakHyphen/>
            </w:r>
            <w:proofErr w:type="spellStart"/>
            <w:r w:rsidRPr="004952C0">
              <w:rPr>
                <w:b/>
                <w:i/>
              </w:rPr>
              <w:t>curved</w:t>
            </w:r>
            <w:proofErr w:type="spellEnd"/>
            <w:r w:rsidRPr="004952C0">
              <w:rPr>
                <w:b/>
                <w:i/>
              </w:rPr>
              <w:t xml:space="preserve"> fan</w:t>
            </w:r>
          </w:p>
        </w:tc>
        <w:tc>
          <w:tcPr>
            <w:tcW w:w="993" w:type="dxa"/>
          </w:tcPr>
          <w:p w:rsidR="0045496E" w:rsidRPr="004952C0" w:rsidRDefault="0045496E" w:rsidP="005634D0">
            <w:pPr>
              <w:pStyle w:val="Tabletext"/>
              <w:jc w:val="right"/>
            </w:pPr>
            <w:r w:rsidRPr="004952C0">
              <w:t>70</w:t>
            </w:r>
            <w:r w:rsidRPr="004952C0">
              <w:sym w:font="Symbol" w:char="F0B0"/>
            </w:r>
            <w:r w:rsidRPr="004952C0">
              <w:t xml:space="preserve"> ≤</w:t>
            </w:r>
          </w:p>
        </w:tc>
        <w:tc>
          <w:tcPr>
            <w:tcW w:w="343" w:type="dxa"/>
          </w:tcPr>
          <w:p w:rsidR="0045496E" w:rsidRPr="004952C0" w:rsidRDefault="0045496E" w:rsidP="005634D0">
            <w:pPr>
              <w:pStyle w:val="Tabletext"/>
              <w:jc w:val="center"/>
            </w:pPr>
            <w:r w:rsidRPr="004952C0">
              <w:sym w:font="Symbol" w:char="F061"/>
            </w:r>
          </w:p>
        </w:tc>
        <w:tc>
          <w:tcPr>
            <w:tcW w:w="932" w:type="dxa"/>
          </w:tcPr>
          <w:p w:rsidR="0045496E" w:rsidRPr="004952C0" w:rsidRDefault="0045496E" w:rsidP="005634D0"/>
        </w:tc>
        <w:tc>
          <w:tcPr>
            <w:tcW w:w="851" w:type="dxa"/>
          </w:tcPr>
          <w:p w:rsidR="0045496E" w:rsidRPr="004952C0" w:rsidRDefault="0045496E" w:rsidP="005634D0">
            <w:pPr>
              <w:pStyle w:val="Tabletext"/>
            </w:pPr>
          </w:p>
        </w:tc>
        <w:tc>
          <w:tcPr>
            <w:tcW w:w="326" w:type="dxa"/>
          </w:tcPr>
          <w:p w:rsidR="0045496E" w:rsidRPr="004952C0" w:rsidRDefault="0045496E" w:rsidP="005634D0">
            <w:pPr>
              <w:pStyle w:val="Tabletext"/>
            </w:pPr>
            <w:r w:rsidRPr="004952C0">
              <w:sym w:font="Symbol" w:char="F062"/>
            </w:r>
          </w:p>
        </w:tc>
        <w:tc>
          <w:tcPr>
            <w:tcW w:w="808" w:type="dxa"/>
          </w:tcPr>
          <w:p w:rsidR="0045496E" w:rsidRPr="004952C0" w:rsidRDefault="0045496E" w:rsidP="005634D0">
            <w:pPr>
              <w:pStyle w:val="Tabletext"/>
            </w:pPr>
            <w:r w:rsidRPr="004952C0">
              <w:t>≤ - 1</w:t>
            </w:r>
            <w:r w:rsidRPr="004952C0">
              <w:sym w:font="Symbol" w:char="F0B0"/>
            </w:r>
          </w:p>
        </w:tc>
      </w:tr>
      <w:tr w:rsidR="004952C0" w:rsidRPr="004952C0" w:rsidTr="005634D0">
        <w:trPr>
          <w:trHeight w:val="301"/>
        </w:trPr>
        <w:tc>
          <w:tcPr>
            <w:tcW w:w="2943" w:type="dxa"/>
          </w:tcPr>
          <w:p w:rsidR="0045496E" w:rsidRPr="004952C0" w:rsidRDefault="0045496E" w:rsidP="005634D0">
            <w:pPr>
              <w:pStyle w:val="Tabletext"/>
              <w:rPr>
                <w:b/>
                <w:i/>
              </w:rPr>
            </w:pPr>
            <w:r w:rsidRPr="004952C0">
              <w:rPr>
                <w:b/>
                <w:i/>
              </w:rPr>
              <w:t>centrifugal radial bladed fan</w:t>
            </w:r>
          </w:p>
        </w:tc>
        <w:tc>
          <w:tcPr>
            <w:tcW w:w="993" w:type="dxa"/>
          </w:tcPr>
          <w:p w:rsidR="0045496E" w:rsidRPr="004952C0" w:rsidRDefault="0045496E" w:rsidP="005634D0">
            <w:pPr>
              <w:pStyle w:val="Tabletext"/>
              <w:jc w:val="right"/>
            </w:pPr>
            <w:r w:rsidRPr="004952C0">
              <w:t>70</w:t>
            </w:r>
            <w:r w:rsidRPr="004952C0">
              <w:sym w:font="Symbol" w:char="F0B0"/>
            </w:r>
            <w:r w:rsidRPr="004952C0">
              <w:t xml:space="preserve"> ≤</w:t>
            </w:r>
          </w:p>
        </w:tc>
        <w:tc>
          <w:tcPr>
            <w:tcW w:w="343" w:type="dxa"/>
          </w:tcPr>
          <w:p w:rsidR="0045496E" w:rsidRPr="004952C0" w:rsidRDefault="0045496E" w:rsidP="005634D0">
            <w:pPr>
              <w:pStyle w:val="Tabletext"/>
              <w:jc w:val="center"/>
            </w:pPr>
            <w:r w:rsidRPr="004952C0">
              <w:sym w:font="Symbol" w:char="F061"/>
            </w:r>
          </w:p>
        </w:tc>
        <w:tc>
          <w:tcPr>
            <w:tcW w:w="932" w:type="dxa"/>
          </w:tcPr>
          <w:p w:rsidR="0045496E" w:rsidRPr="004952C0" w:rsidRDefault="0045496E" w:rsidP="005634D0"/>
        </w:tc>
        <w:tc>
          <w:tcPr>
            <w:tcW w:w="851" w:type="dxa"/>
          </w:tcPr>
          <w:p w:rsidR="0045496E" w:rsidRPr="004952C0" w:rsidRDefault="0045496E" w:rsidP="005634D0">
            <w:pPr>
              <w:pStyle w:val="Tabletext"/>
              <w:jc w:val="right"/>
            </w:pPr>
            <w:r w:rsidRPr="004952C0">
              <w:t>-1</w:t>
            </w:r>
            <w:r w:rsidRPr="004952C0">
              <w:sym w:font="Symbol" w:char="F0B0"/>
            </w:r>
            <w:r w:rsidRPr="004952C0">
              <w:t xml:space="preserve"> &lt;  </w:t>
            </w:r>
          </w:p>
        </w:tc>
        <w:tc>
          <w:tcPr>
            <w:tcW w:w="326" w:type="dxa"/>
          </w:tcPr>
          <w:p w:rsidR="0045496E" w:rsidRPr="004952C0" w:rsidRDefault="0045496E" w:rsidP="005634D0">
            <w:pPr>
              <w:pStyle w:val="Tabletext"/>
            </w:pPr>
            <w:r w:rsidRPr="004952C0">
              <w:sym w:font="Symbol" w:char="F062"/>
            </w:r>
          </w:p>
        </w:tc>
        <w:tc>
          <w:tcPr>
            <w:tcW w:w="808" w:type="dxa"/>
          </w:tcPr>
          <w:p w:rsidR="0045496E" w:rsidRPr="004952C0" w:rsidRDefault="0045496E" w:rsidP="005634D0">
            <w:pPr>
              <w:pStyle w:val="Tabletext"/>
            </w:pPr>
            <w:r w:rsidRPr="004952C0">
              <w:t>&lt; 1</w:t>
            </w:r>
            <w:r w:rsidRPr="004952C0">
              <w:sym w:font="Symbol" w:char="F0B0"/>
            </w:r>
          </w:p>
        </w:tc>
      </w:tr>
      <w:tr w:rsidR="004952C0" w:rsidRPr="004952C0" w:rsidTr="005634D0">
        <w:tc>
          <w:tcPr>
            <w:tcW w:w="2943" w:type="dxa"/>
            <w:tcBorders>
              <w:bottom w:val="single" w:sz="12" w:space="0" w:color="auto"/>
            </w:tcBorders>
          </w:tcPr>
          <w:p w:rsidR="0045496E" w:rsidRPr="004952C0" w:rsidRDefault="0045496E" w:rsidP="005634D0">
            <w:pPr>
              <w:pStyle w:val="Tabletext"/>
              <w:rPr>
                <w:b/>
                <w:i/>
              </w:rPr>
            </w:pPr>
            <w:r w:rsidRPr="004952C0">
              <w:rPr>
                <w:b/>
                <w:i/>
              </w:rPr>
              <w:t>centrifugal forward</w:t>
            </w:r>
            <w:r w:rsidRPr="004952C0">
              <w:rPr>
                <w:b/>
                <w:i/>
              </w:rPr>
              <w:noBreakHyphen/>
            </w:r>
            <w:proofErr w:type="spellStart"/>
            <w:r w:rsidRPr="004952C0">
              <w:rPr>
                <w:b/>
                <w:i/>
              </w:rPr>
              <w:t>curved</w:t>
            </w:r>
            <w:proofErr w:type="spellEnd"/>
            <w:r w:rsidRPr="004952C0">
              <w:rPr>
                <w:b/>
                <w:i/>
              </w:rPr>
              <w:t xml:space="preserve"> fan</w:t>
            </w:r>
          </w:p>
        </w:tc>
        <w:tc>
          <w:tcPr>
            <w:tcW w:w="993" w:type="dxa"/>
            <w:tcBorders>
              <w:bottom w:val="single" w:sz="12" w:space="0" w:color="auto"/>
            </w:tcBorders>
          </w:tcPr>
          <w:p w:rsidR="0045496E" w:rsidRPr="004952C0" w:rsidRDefault="0045496E" w:rsidP="005634D0">
            <w:pPr>
              <w:pStyle w:val="Tabletext"/>
              <w:jc w:val="right"/>
            </w:pPr>
            <w:r w:rsidRPr="004952C0">
              <w:t>70</w:t>
            </w:r>
            <w:r w:rsidRPr="004952C0">
              <w:sym w:font="Symbol" w:char="F0B0"/>
            </w:r>
            <w:r w:rsidRPr="004952C0">
              <w:t xml:space="preserve"> ≤</w:t>
            </w:r>
          </w:p>
        </w:tc>
        <w:tc>
          <w:tcPr>
            <w:tcW w:w="343" w:type="dxa"/>
            <w:tcBorders>
              <w:bottom w:val="single" w:sz="12" w:space="0" w:color="auto"/>
            </w:tcBorders>
          </w:tcPr>
          <w:p w:rsidR="0045496E" w:rsidRPr="004952C0" w:rsidRDefault="0045496E" w:rsidP="005634D0">
            <w:pPr>
              <w:pStyle w:val="Tabletext"/>
              <w:jc w:val="center"/>
            </w:pPr>
            <w:r w:rsidRPr="004952C0">
              <w:sym w:font="Symbol" w:char="F061"/>
            </w:r>
          </w:p>
        </w:tc>
        <w:tc>
          <w:tcPr>
            <w:tcW w:w="932" w:type="dxa"/>
            <w:tcBorders>
              <w:bottom w:val="single" w:sz="12" w:space="0" w:color="auto"/>
            </w:tcBorders>
          </w:tcPr>
          <w:p w:rsidR="0045496E" w:rsidRPr="004952C0" w:rsidRDefault="0045496E" w:rsidP="005634D0"/>
        </w:tc>
        <w:tc>
          <w:tcPr>
            <w:tcW w:w="851" w:type="dxa"/>
            <w:tcBorders>
              <w:bottom w:val="single" w:sz="12" w:space="0" w:color="auto"/>
            </w:tcBorders>
          </w:tcPr>
          <w:p w:rsidR="0045496E" w:rsidRPr="004952C0" w:rsidRDefault="0045496E" w:rsidP="005634D0">
            <w:pPr>
              <w:pStyle w:val="Tabletext"/>
              <w:jc w:val="right"/>
            </w:pPr>
            <w:r w:rsidRPr="004952C0">
              <w:t>1</w:t>
            </w:r>
            <w:r w:rsidRPr="004952C0">
              <w:sym w:font="Symbol" w:char="F0B0"/>
            </w:r>
            <w:r w:rsidRPr="004952C0">
              <w:t xml:space="preserve"> ≤ </w:t>
            </w:r>
          </w:p>
        </w:tc>
        <w:tc>
          <w:tcPr>
            <w:tcW w:w="326" w:type="dxa"/>
            <w:tcBorders>
              <w:bottom w:val="single" w:sz="12" w:space="0" w:color="auto"/>
            </w:tcBorders>
          </w:tcPr>
          <w:p w:rsidR="0045496E" w:rsidRPr="004952C0" w:rsidRDefault="0045496E" w:rsidP="005634D0">
            <w:pPr>
              <w:pStyle w:val="Tabletext"/>
            </w:pPr>
            <w:r w:rsidRPr="004952C0">
              <w:sym w:font="Symbol" w:char="F062"/>
            </w:r>
          </w:p>
        </w:tc>
        <w:tc>
          <w:tcPr>
            <w:tcW w:w="808" w:type="dxa"/>
            <w:tcBorders>
              <w:bottom w:val="single" w:sz="12" w:space="0" w:color="auto"/>
            </w:tcBorders>
          </w:tcPr>
          <w:p w:rsidR="0045496E" w:rsidRPr="004952C0" w:rsidRDefault="0045496E" w:rsidP="005634D0">
            <w:pPr>
              <w:pStyle w:val="Tabletext"/>
            </w:pPr>
          </w:p>
        </w:tc>
      </w:tr>
    </w:tbl>
    <w:p w:rsidR="0045496E" w:rsidRPr="004952C0" w:rsidRDefault="0045496E" w:rsidP="0045496E">
      <w:pPr>
        <w:pStyle w:val="tMain"/>
      </w:pPr>
      <w:r w:rsidRPr="004952C0">
        <w:tab/>
      </w:r>
      <w:r w:rsidR="00FE4F8F" w:rsidRPr="004952C0">
        <w:t>(2)</w:t>
      </w:r>
      <w:r w:rsidRPr="004952C0">
        <w:tab/>
        <w:t>For this section:</w:t>
      </w:r>
    </w:p>
    <w:p w:rsidR="0045496E" w:rsidRPr="004952C0" w:rsidRDefault="0045496E" w:rsidP="0045496E">
      <w:pPr>
        <w:pStyle w:val="tPara"/>
      </w:pPr>
      <w:r w:rsidRPr="004952C0">
        <w:rPr>
          <w:b/>
          <w:bCs/>
          <w:i/>
        </w:rPr>
        <w:tab/>
      </w:r>
      <w:r w:rsidR="00FE4F8F" w:rsidRPr="004952C0">
        <w:rPr>
          <w:bCs/>
        </w:rPr>
        <w:t>(a)</w:t>
      </w:r>
      <w:r w:rsidRPr="004952C0">
        <w:rPr>
          <w:bCs/>
        </w:rPr>
        <w:tab/>
      </w:r>
      <w:proofErr w:type="gramStart"/>
      <w:r w:rsidRPr="004952C0">
        <w:rPr>
          <w:bCs/>
        </w:rPr>
        <w:t>the</w:t>
      </w:r>
      <w:proofErr w:type="gramEnd"/>
      <w:r w:rsidRPr="004952C0">
        <w:rPr>
          <w:bCs/>
        </w:rPr>
        <w:t xml:space="preserve"> </w:t>
      </w:r>
      <w:r w:rsidRPr="004952C0">
        <w:rPr>
          <w:b/>
          <w:bCs/>
          <w:i/>
        </w:rPr>
        <w:t xml:space="preserve">fan flow angle </w:t>
      </w:r>
      <w:r w:rsidRPr="004952C0">
        <w:rPr>
          <w:bCs/>
        </w:rPr>
        <w:t>(</w:t>
      </w:r>
      <w:r w:rsidRPr="004952C0">
        <w:rPr>
          <w:b/>
          <w:i/>
        </w:rPr>
        <w:sym w:font="Symbol" w:char="F061"/>
      </w:r>
      <w:r w:rsidRPr="004952C0">
        <w:rPr>
          <w:bCs/>
        </w:rPr>
        <w:t xml:space="preserve">) </w:t>
      </w:r>
      <w:r w:rsidRPr="004952C0">
        <w:t>is the angle between:</w:t>
      </w:r>
    </w:p>
    <w:p w:rsidR="0045496E" w:rsidRPr="004952C0" w:rsidRDefault="0045496E" w:rsidP="0045496E">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the</w:t>
      </w:r>
      <w:proofErr w:type="gramEnd"/>
      <w:r w:rsidRPr="004952C0">
        <w:t xml:space="preserve"> centre</w:t>
      </w:r>
      <w:r w:rsidRPr="004952C0">
        <w:noBreakHyphen/>
      </w:r>
      <w:proofErr w:type="spellStart"/>
      <w:r w:rsidRPr="004952C0">
        <w:t>line</w:t>
      </w:r>
      <w:proofErr w:type="spellEnd"/>
      <w:r w:rsidRPr="004952C0">
        <w:t xml:space="preserve"> of the air</w:t>
      </w:r>
      <w:r w:rsidRPr="004952C0">
        <w:noBreakHyphen/>
      </w:r>
      <w:proofErr w:type="spellStart"/>
      <w:r w:rsidRPr="004952C0">
        <w:t>conducting</w:t>
      </w:r>
      <w:proofErr w:type="spellEnd"/>
      <w:r w:rsidRPr="004952C0">
        <w:t xml:space="preserve"> surface of a fan blade, measured at the midpoint of its trailing edge; and</w:t>
      </w:r>
    </w:p>
    <w:p w:rsidR="0045496E" w:rsidRPr="004952C0" w:rsidRDefault="0045496E" w:rsidP="0045496E">
      <w:pPr>
        <w:pStyle w:val="tSubpara"/>
      </w:pPr>
      <w:r w:rsidRPr="004952C0">
        <w:tab/>
      </w:r>
      <w:r w:rsidR="00FE4F8F" w:rsidRPr="004952C0">
        <w:t>(ii)</w:t>
      </w:r>
      <w:r w:rsidRPr="004952C0">
        <w:tab/>
      </w:r>
      <w:proofErr w:type="gramStart"/>
      <w:r w:rsidRPr="004952C0">
        <w:t>the</w:t>
      </w:r>
      <w:proofErr w:type="gramEnd"/>
      <w:r w:rsidRPr="004952C0">
        <w:t xml:space="preserve"> centre</w:t>
      </w:r>
      <w:r w:rsidRPr="004952C0">
        <w:noBreakHyphen/>
      </w:r>
      <w:proofErr w:type="spellStart"/>
      <w:r w:rsidRPr="004952C0">
        <w:t>line</w:t>
      </w:r>
      <w:proofErr w:type="spellEnd"/>
      <w:r w:rsidRPr="004952C0">
        <w:t xml:space="preserve"> of the rotation axis of the fan;</w:t>
      </w:r>
    </w:p>
    <w:p w:rsidR="0045496E" w:rsidRPr="004952C0" w:rsidRDefault="0045496E" w:rsidP="0045496E">
      <w:pPr>
        <w:pStyle w:val="tPara"/>
      </w:pPr>
      <w:r w:rsidRPr="004952C0">
        <w:tab/>
      </w:r>
      <w:r w:rsidRPr="004952C0">
        <w:tab/>
      </w:r>
      <w:proofErr w:type="gramStart"/>
      <w:r w:rsidRPr="004952C0">
        <w:t>in</w:t>
      </w:r>
      <w:proofErr w:type="gramEnd"/>
      <w:r w:rsidRPr="004952C0">
        <w:t xml:space="preserve"> a plane through the rotation axis and the midpoint of the trailing edge (illustrated in </w:t>
      </w:r>
      <w:r w:rsidR="00934AC6" w:rsidRPr="004952C0">
        <w:rPr>
          <w:bCs/>
          <w:szCs w:val="18"/>
        </w:rPr>
        <w:t xml:space="preserve">Figure </w:t>
      </w:r>
      <w:r w:rsidR="00934AC6" w:rsidRPr="004952C0">
        <w:rPr>
          <w:bCs/>
          <w:noProof/>
          <w:szCs w:val="18"/>
        </w:rPr>
        <w:t>1</w:t>
      </w:r>
      <w:r w:rsidRPr="004952C0">
        <w:t>); and</w:t>
      </w:r>
    </w:p>
    <w:p w:rsidR="0045496E" w:rsidRPr="004952C0" w:rsidRDefault="0045496E" w:rsidP="0045496E">
      <w:pPr>
        <w:pStyle w:val="tPara"/>
        <w:rPr>
          <w:bCs/>
        </w:rPr>
      </w:pPr>
      <w:r w:rsidRPr="004952C0">
        <w:tab/>
      </w:r>
      <w:r w:rsidR="00FE4F8F" w:rsidRPr="004952C0">
        <w:t>(b)</w:t>
      </w:r>
      <w:r w:rsidRPr="004952C0">
        <w:tab/>
      </w:r>
      <w:proofErr w:type="gramStart"/>
      <w:r w:rsidRPr="004952C0">
        <w:t>the</w:t>
      </w:r>
      <w:proofErr w:type="gramEnd"/>
      <w:r w:rsidRPr="004952C0">
        <w:t xml:space="preserve"> </w:t>
      </w:r>
      <w:r w:rsidRPr="004952C0">
        <w:rPr>
          <w:b/>
          <w:bCs/>
          <w:i/>
        </w:rPr>
        <w:t xml:space="preserve">fan blade angle </w:t>
      </w:r>
      <w:r w:rsidRPr="004952C0">
        <w:rPr>
          <w:bCs/>
        </w:rPr>
        <w:t>(</w:t>
      </w:r>
      <w:r w:rsidRPr="004952C0">
        <w:rPr>
          <w:b/>
          <w:i/>
        </w:rPr>
        <w:sym w:font="Symbol" w:char="F062"/>
      </w:r>
      <w:r w:rsidRPr="004952C0">
        <w:rPr>
          <w:bCs/>
        </w:rPr>
        <w:t>) is the angle between:</w:t>
      </w:r>
    </w:p>
    <w:p w:rsidR="0045496E" w:rsidRPr="004952C0" w:rsidRDefault="0045496E" w:rsidP="0045496E">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the</w:t>
      </w:r>
      <w:proofErr w:type="gramEnd"/>
      <w:r w:rsidRPr="004952C0">
        <w:t xml:space="preserve"> tangent of the air</w:t>
      </w:r>
      <w:r w:rsidRPr="004952C0">
        <w:noBreakHyphen/>
      </w:r>
      <w:proofErr w:type="spellStart"/>
      <w:r w:rsidRPr="004952C0">
        <w:t>conducting</w:t>
      </w:r>
      <w:proofErr w:type="spellEnd"/>
      <w:r w:rsidRPr="004952C0">
        <w:t xml:space="preserve"> surface of the blade; and</w:t>
      </w:r>
    </w:p>
    <w:p w:rsidR="0045496E" w:rsidRPr="004952C0" w:rsidRDefault="0045496E" w:rsidP="0045496E">
      <w:pPr>
        <w:pStyle w:val="tSubpara"/>
      </w:pPr>
      <w:r w:rsidRPr="004952C0">
        <w:tab/>
      </w:r>
      <w:r w:rsidR="00FE4F8F" w:rsidRPr="004952C0">
        <w:t>(ii)</w:t>
      </w:r>
      <w:r w:rsidRPr="004952C0">
        <w:tab/>
      </w:r>
      <w:proofErr w:type="gramStart"/>
      <w:r w:rsidRPr="004952C0">
        <w:t>the</w:t>
      </w:r>
      <w:proofErr w:type="gramEnd"/>
      <w:r w:rsidRPr="004952C0">
        <w:t xml:space="preserve"> radial through the rotation axis of the fan;</w:t>
      </w:r>
    </w:p>
    <w:p w:rsidR="000A5606" w:rsidRPr="004952C0" w:rsidRDefault="0045496E" w:rsidP="0045496E">
      <w:pPr>
        <w:pStyle w:val="tPara"/>
      </w:pPr>
      <w:r w:rsidRPr="004952C0">
        <w:tab/>
      </w:r>
      <w:r w:rsidRPr="004952C0">
        <w:tab/>
      </w:r>
      <w:proofErr w:type="gramStart"/>
      <w:r w:rsidRPr="004952C0">
        <w:t>at</w:t>
      </w:r>
      <w:proofErr w:type="gramEnd"/>
      <w:r w:rsidRPr="004952C0">
        <w:t xml:space="preserve"> the midpoint of the blade’s trailing edge, in a plane perpendicular to the fan rotation axis, and which is positive when the blade is inclined in the direction of the rotation of the impeller (illustrated in </w:t>
      </w:r>
      <w:r w:rsidR="00934AC6" w:rsidRPr="004952C0">
        <w:rPr>
          <w:bCs/>
          <w:szCs w:val="18"/>
        </w:rPr>
        <w:t xml:space="preserve">Figure </w:t>
      </w:r>
      <w:r w:rsidR="00934AC6" w:rsidRPr="004952C0">
        <w:rPr>
          <w:bCs/>
          <w:noProof/>
          <w:szCs w:val="18"/>
        </w:rPr>
        <w:t>2</w:t>
      </w:r>
      <w:r w:rsidRPr="004952C0">
        <w:t>).</w:t>
      </w:r>
    </w:p>
    <w:p w:rsidR="0045496E" w:rsidRPr="004952C0" w:rsidRDefault="000A5606" w:rsidP="0045496E">
      <w:bookmarkStart w:id="17" w:name="_Ref429552863"/>
      <w:r w:rsidRPr="004952C0">
        <w:rPr>
          <w:b/>
          <w:bCs/>
          <w:sz w:val="18"/>
          <w:szCs w:val="18"/>
        </w:rPr>
        <w:t xml:space="preserve">Figure </w:t>
      </w:r>
      <w:r w:rsidR="00934AC6" w:rsidRPr="004952C0">
        <w:rPr>
          <w:b/>
          <w:bCs/>
          <w:noProof/>
          <w:sz w:val="18"/>
          <w:szCs w:val="18"/>
        </w:rPr>
        <w:t>1</w:t>
      </w:r>
      <w:bookmarkEnd w:id="17"/>
      <w:r w:rsidRPr="004952C0">
        <w:rPr>
          <w:b/>
          <w:bCs/>
          <w:sz w:val="18"/>
          <w:szCs w:val="18"/>
        </w:rPr>
        <w:t>—Fan flow angles for eligible fan types</w:t>
      </w:r>
      <w:r w:rsidRPr="004952C0">
        <w:rPr>
          <w:noProof/>
          <w:lang w:eastAsia="en-AU"/>
        </w:rPr>
        <w:t xml:space="preserve"> </w:t>
      </w:r>
      <w:r w:rsidR="0045496E" w:rsidRPr="004952C0">
        <w:rPr>
          <w:noProof/>
          <w:lang w:eastAsia="en-AU"/>
        </w:rPr>
        <w:drawing>
          <wp:inline distT="0" distB="0" distL="0" distR="0">
            <wp:extent cx="4100084" cy="1828800"/>
            <wp:effectExtent l="19050" t="0" r="0" b="0"/>
            <wp:docPr id="1" name="Picture 0" descr="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TIF"/>
                    <pic:cNvPicPr/>
                  </pic:nvPicPr>
                  <pic:blipFill>
                    <a:blip r:embed="rId12" cstate="print"/>
                    <a:srcRect l="9521" t="43763" r="19042" b="33664"/>
                    <a:stretch>
                      <a:fillRect/>
                    </a:stretch>
                  </pic:blipFill>
                  <pic:spPr>
                    <a:xfrm>
                      <a:off x="0" y="0"/>
                      <a:ext cx="4100084" cy="1828800"/>
                    </a:xfrm>
                    <a:prstGeom prst="rect">
                      <a:avLst/>
                    </a:prstGeom>
                  </pic:spPr>
                </pic:pic>
              </a:graphicData>
            </a:graphic>
          </wp:inline>
        </w:drawing>
      </w:r>
    </w:p>
    <w:p w:rsidR="0045496E" w:rsidRPr="004952C0" w:rsidRDefault="004F3B1F" w:rsidP="0045496E">
      <w:pPr>
        <w:pStyle w:val="h5Section"/>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15pt;margin-top:9.25pt;width:396.45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" stroked="f">
            <v:textbox inset="0,0,0,0">
              <w:txbxContent>
                <w:p w:rsidR="00791616" w:rsidRPr="006A3736" w:rsidRDefault="00791616" w:rsidP="0045496E">
                  <w:pPr>
                    <w:rPr>
                      <w:b/>
                      <w:bCs/>
                      <w:sz w:val="18"/>
                      <w:szCs w:val="18"/>
                    </w:rPr>
                  </w:pPr>
                  <w:bookmarkStart w:id="18" w:name="_Ref429406064"/>
                  <w:bookmarkStart w:id="19" w:name="_Ref429405979"/>
                  <w:r w:rsidRPr="006A3736">
                    <w:rPr>
                      <w:b/>
                      <w:bCs/>
                      <w:sz w:val="18"/>
                      <w:szCs w:val="18"/>
                    </w:rPr>
                    <w:t xml:space="preserve">Figure </w:t>
                  </w:r>
                  <w:r>
                    <w:rPr>
                      <w:b/>
                      <w:bCs/>
                      <w:noProof/>
                      <w:sz w:val="18"/>
                      <w:szCs w:val="18"/>
                    </w:rPr>
                    <w:t>2</w:t>
                  </w:r>
                  <w:bookmarkEnd w:id="18"/>
                  <w:r w:rsidRPr="006A3736">
                    <w:rPr>
                      <w:b/>
                      <w:bCs/>
                      <w:sz w:val="18"/>
                      <w:szCs w:val="18"/>
                    </w:rPr>
                    <w:t>—Fan blade angles for centrifugal fan types</w:t>
                  </w:r>
                  <w:bookmarkEnd w:id="19"/>
                </w:p>
              </w:txbxContent>
            </v:textbox>
          </v:shape>
        </w:pict>
      </w:r>
    </w:p>
    <w:p w:rsidR="0045496E" w:rsidRPr="004952C0" w:rsidRDefault="0045496E" w:rsidP="0045496E">
      <w:r w:rsidRPr="004952C0">
        <w:rPr>
          <w:noProof/>
          <w:lang w:eastAsia="en-AU"/>
        </w:rPr>
        <w:drawing>
          <wp:inline distT="0" distB="0" distL="0" distR="0">
            <wp:extent cx="4096648" cy="1588168"/>
            <wp:effectExtent l="19050" t="0" r="0" b="0"/>
            <wp:docPr id="2" name="Picture 1" descr="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TIF"/>
                    <pic:cNvPicPr/>
                  </pic:nvPicPr>
                  <pic:blipFill>
                    <a:blip r:embed="rId13" cstate="print"/>
                    <a:srcRect l="9521" t="63093" r="19042" b="16832"/>
                    <a:stretch>
                      <a:fillRect/>
                    </a:stretch>
                  </pic:blipFill>
                  <pic:spPr>
                    <a:xfrm>
                      <a:off x="0" y="0"/>
                      <a:ext cx="4096648" cy="1588168"/>
                    </a:xfrm>
                    <a:prstGeom prst="rect">
                      <a:avLst/>
                    </a:prstGeom>
                  </pic:spPr>
                </pic:pic>
              </a:graphicData>
            </a:graphic>
          </wp:inline>
        </w:drawing>
      </w:r>
    </w:p>
    <w:p w:rsidR="00857DD4" w:rsidRPr="004952C0" w:rsidRDefault="00857DD4" w:rsidP="00857DD4">
      <w:pPr>
        <w:pStyle w:val="ntoHeading"/>
      </w:pPr>
      <w:r w:rsidRPr="004952C0">
        <w:t>Note:</w:t>
      </w:r>
      <w:r w:rsidRPr="004952C0">
        <w:tab/>
      </w:r>
      <w:r w:rsidR="00934AC6" w:rsidRPr="004952C0">
        <w:t>Figure 1</w:t>
      </w:r>
      <w:r w:rsidRPr="004952C0">
        <w:t xml:space="preserve"> and </w:t>
      </w:r>
      <w:r w:rsidR="00934AC6" w:rsidRPr="004952C0">
        <w:t>Figure 2</w:t>
      </w:r>
      <w:r w:rsidRPr="004952C0">
        <w:t xml:space="preserve"> are sourced from </w:t>
      </w:r>
      <w:proofErr w:type="spellStart"/>
      <w:r w:rsidRPr="004952C0">
        <w:rPr>
          <w:i/>
        </w:rPr>
        <w:t>Ecodesign</w:t>
      </w:r>
      <w:proofErr w:type="spellEnd"/>
      <w:r w:rsidRPr="004952C0">
        <w:rPr>
          <w:i/>
        </w:rPr>
        <w:t xml:space="preserve"> Fan Review </w:t>
      </w:r>
      <w:r w:rsidR="00D60882" w:rsidRPr="004952C0">
        <w:rPr>
          <w:i/>
        </w:rPr>
        <w:t>– Review Study of Commission Regulation (EU) No 327/2011 – Final report</w:t>
      </w:r>
      <w:r w:rsidR="00D60882" w:rsidRPr="004952C0">
        <w:t xml:space="preserve">, </w:t>
      </w:r>
      <w:r w:rsidR="002201FD" w:rsidRPr="004952C0">
        <w:t xml:space="preserve">prepared by </w:t>
      </w:r>
      <w:r w:rsidR="00D60882" w:rsidRPr="004952C0">
        <w:t xml:space="preserve">Van </w:t>
      </w:r>
      <w:proofErr w:type="spellStart"/>
      <w:r w:rsidR="00D60882" w:rsidRPr="004952C0">
        <w:t>Holsteijn</w:t>
      </w:r>
      <w:proofErr w:type="spellEnd"/>
      <w:r w:rsidR="00D60882" w:rsidRPr="004952C0">
        <w:t xml:space="preserve"> en </w:t>
      </w:r>
      <w:proofErr w:type="spellStart"/>
      <w:r w:rsidR="00D60882" w:rsidRPr="004952C0">
        <w:t>Kemna</w:t>
      </w:r>
      <w:proofErr w:type="spellEnd"/>
      <w:r w:rsidR="00D60882" w:rsidRPr="004952C0">
        <w:t xml:space="preserve"> B.V.</w:t>
      </w:r>
      <w:r w:rsidR="000246E6" w:rsidRPr="004952C0">
        <w:t xml:space="preserve"> </w:t>
      </w:r>
      <w:r w:rsidR="00D60882" w:rsidRPr="004952C0">
        <w:t>for the European Commission, Directorate</w:t>
      </w:r>
      <w:r w:rsidR="00D60882" w:rsidRPr="004952C0">
        <w:noBreakHyphen/>
      </w:r>
      <w:proofErr w:type="spellStart"/>
      <w:r w:rsidR="00D60882" w:rsidRPr="004952C0">
        <w:t>General</w:t>
      </w:r>
      <w:proofErr w:type="spellEnd"/>
      <w:r w:rsidR="00D60882" w:rsidRPr="004952C0">
        <w:t xml:space="preserve"> for Energy, </w:t>
      </w:r>
      <w:r w:rsidR="00637C2E" w:rsidRPr="004952C0">
        <w:t xml:space="preserve">which </w:t>
      </w:r>
      <w:r w:rsidR="00A96D0D" w:rsidRPr="004952C0">
        <w:t>wa</w:t>
      </w:r>
      <w:r w:rsidR="00D60882" w:rsidRPr="004952C0">
        <w:t>s accessed from http://fanreview.eu.</w:t>
      </w:r>
    </w:p>
    <w:p w:rsidR="0045496E" w:rsidRPr="004952C0" w:rsidRDefault="00FE4F8F" w:rsidP="0045496E">
      <w:pPr>
        <w:pStyle w:val="h5Section"/>
      </w:pPr>
      <w:bookmarkStart w:id="20" w:name="_Toc431466257"/>
      <w:proofErr w:type="gramStart"/>
      <w:r w:rsidRPr="004952C0">
        <w:t>7</w:t>
      </w:r>
      <w:r w:rsidR="0045496E" w:rsidRPr="004952C0">
        <w:t xml:space="preserve">  Standards</w:t>
      </w:r>
      <w:proofErr w:type="gramEnd"/>
      <w:r w:rsidR="0045496E" w:rsidRPr="004952C0">
        <w:t xml:space="preserve"> referred to in this determination</w:t>
      </w:r>
      <w:bookmarkEnd w:id="20"/>
    </w:p>
    <w:p w:rsidR="0045496E" w:rsidRPr="004952C0" w:rsidRDefault="0045496E" w:rsidP="0045496E">
      <w:pPr>
        <w:pStyle w:val="tMain"/>
      </w:pPr>
      <w:r w:rsidRPr="004952C0">
        <w:tab/>
      </w:r>
      <w:r w:rsidR="00FE4F8F" w:rsidRPr="004952C0">
        <w:t>(1)</w:t>
      </w:r>
      <w:r w:rsidRPr="004952C0">
        <w:tab/>
        <w:t>In this determination:</w:t>
      </w:r>
    </w:p>
    <w:p w:rsidR="0045496E" w:rsidRPr="004952C0" w:rsidRDefault="0045496E" w:rsidP="0045496E">
      <w:pPr>
        <w:pStyle w:val="tDefn"/>
      </w:pPr>
      <w:proofErr w:type="gramStart"/>
      <w:r w:rsidRPr="004952C0">
        <w:rPr>
          <w:b/>
          <w:i/>
        </w:rPr>
        <w:lastRenderedPageBreak/>
        <w:t>AS 1731.6-2003</w:t>
      </w:r>
      <w:r w:rsidRPr="004952C0">
        <w:t xml:space="preserve"> means Australian Standard AS </w:t>
      </w:r>
      <w:r w:rsidRPr="004952C0">
        <w:rPr>
          <w:i/>
        </w:rPr>
        <w:t>1731.6-2003 Refrigerated display cabinets.</w:t>
      </w:r>
      <w:proofErr w:type="gramEnd"/>
      <w:r w:rsidRPr="004952C0">
        <w:rPr>
          <w:i/>
        </w:rPr>
        <w:t xml:space="preserve"> Part 6: Classification according to temperatures</w:t>
      </w:r>
      <w:r w:rsidRPr="004952C0">
        <w:t xml:space="preserve"> or the equivalent international standard.</w:t>
      </w:r>
    </w:p>
    <w:p w:rsidR="0045496E" w:rsidRPr="004952C0" w:rsidRDefault="0045496E" w:rsidP="0045496E">
      <w:pPr>
        <w:pStyle w:val="tDefn"/>
      </w:pPr>
      <w:r w:rsidRPr="004952C0">
        <w:rPr>
          <w:b/>
          <w:i/>
        </w:rPr>
        <w:t>AS ISO 5801</w:t>
      </w:r>
      <w:r w:rsidRPr="004952C0">
        <w:rPr>
          <w:b/>
        </w:rPr>
        <w:t>–</w:t>
      </w:r>
      <w:r w:rsidRPr="004952C0">
        <w:rPr>
          <w:b/>
          <w:i/>
        </w:rPr>
        <w:t>2004</w:t>
      </w:r>
      <w:r w:rsidRPr="004952C0">
        <w:t xml:space="preserve"> means Australian Standard </w:t>
      </w:r>
      <w:r w:rsidRPr="004952C0">
        <w:rPr>
          <w:i/>
        </w:rPr>
        <w:t>AS ISO 5801-2004 Industrial fan-performance testing using standardized airways</w:t>
      </w:r>
      <w:r w:rsidRPr="004952C0">
        <w:t xml:space="preserve"> or the equivalent international standard.</w:t>
      </w:r>
    </w:p>
    <w:p w:rsidR="0045496E" w:rsidRPr="004952C0" w:rsidRDefault="0045496E" w:rsidP="0045496E">
      <w:pPr>
        <w:pStyle w:val="tDefn"/>
      </w:pPr>
      <w:r w:rsidRPr="004952C0">
        <w:rPr>
          <w:b/>
          <w:i/>
        </w:rPr>
        <w:t>AS/NZS ISO 12759:2013</w:t>
      </w:r>
      <w:r w:rsidRPr="004952C0">
        <w:t xml:space="preserve"> means Australian/New Zealand Standard </w:t>
      </w:r>
      <w:r w:rsidRPr="004952C0">
        <w:rPr>
          <w:i/>
        </w:rPr>
        <w:t>AS/NZS ISO 12759:2013 Fans—Efficiency classification for fans</w:t>
      </w:r>
      <w:r w:rsidRPr="004952C0">
        <w:t xml:space="preserve"> or the equivalent international standard.</w:t>
      </w:r>
    </w:p>
    <w:p w:rsidR="0045496E" w:rsidRPr="004952C0" w:rsidRDefault="0045496E" w:rsidP="0045496E">
      <w:pPr>
        <w:pStyle w:val="tMain"/>
      </w:pPr>
      <w:r w:rsidRPr="004952C0">
        <w:tab/>
      </w:r>
      <w:r w:rsidR="00FE4F8F" w:rsidRPr="004952C0">
        <w:t>(2)</w:t>
      </w:r>
      <w:r w:rsidRPr="004952C0">
        <w:tab/>
        <w:t>The version of each standard referred to in subsection </w:t>
      </w:r>
      <w:r w:rsidR="00934AC6" w:rsidRPr="004952C0">
        <w:t>(1)</w:t>
      </w:r>
      <w:r w:rsidRPr="004952C0">
        <w:t xml:space="preserve"> is the one that existed on the date this determination came into force.</w:t>
      </w:r>
    </w:p>
    <w:p w:rsidR="0045496E" w:rsidRPr="004952C0" w:rsidRDefault="00FE4F8F" w:rsidP="0045496E">
      <w:pPr>
        <w:pStyle w:val="h5Section"/>
      </w:pPr>
      <w:bookmarkStart w:id="21" w:name="_Toc420592113"/>
      <w:bookmarkStart w:id="22" w:name="_Toc431466258"/>
      <w:proofErr w:type="gramStart"/>
      <w:r w:rsidRPr="004952C0">
        <w:t>8</w:t>
      </w:r>
      <w:r w:rsidR="0045496E" w:rsidRPr="004952C0">
        <w:t xml:space="preserve">  References</w:t>
      </w:r>
      <w:proofErr w:type="gramEnd"/>
      <w:r w:rsidR="0045496E" w:rsidRPr="004952C0">
        <w:t xml:space="preserve"> to factors and parameters from external sources</w:t>
      </w:r>
      <w:bookmarkEnd w:id="21"/>
      <w:bookmarkEnd w:id="22"/>
    </w:p>
    <w:p w:rsidR="0045496E" w:rsidRPr="004952C0" w:rsidRDefault="0045496E" w:rsidP="0045496E">
      <w:pPr>
        <w:pStyle w:val="tMain"/>
      </w:pPr>
      <w:r w:rsidRPr="004952C0">
        <w:tab/>
      </w:r>
      <w:r w:rsidR="00FE4F8F" w:rsidRPr="004952C0">
        <w:t>(1)</w:t>
      </w:r>
      <w:r w:rsidRPr="004952C0">
        <w:tab/>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rsidR="0045496E" w:rsidRPr="004952C0" w:rsidRDefault="0045496E" w:rsidP="0045496E">
      <w:pPr>
        <w:pStyle w:val="tMain"/>
      </w:pPr>
      <w:r w:rsidRPr="004952C0">
        <w:tab/>
      </w:r>
      <w:r w:rsidR="00FE4F8F" w:rsidRPr="004952C0">
        <w:t>(2)</w:t>
      </w:r>
      <w:r w:rsidRPr="004952C0">
        <w:tab/>
        <w:t>Subsection </w:t>
      </w:r>
      <w:r w:rsidR="00934AC6" w:rsidRPr="004952C0">
        <w:t>(1)</w:t>
      </w:r>
      <w:r w:rsidRPr="004952C0">
        <w:t xml:space="preserve"> does not apply if:</w:t>
      </w:r>
    </w:p>
    <w:p w:rsidR="0045496E" w:rsidRPr="004952C0" w:rsidRDefault="0045496E" w:rsidP="0045496E">
      <w:pPr>
        <w:pStyle w:val="tPara"/>
      </w:pPr>
      <w:r w:rsidRPr="004952C0">
        <w:tab/>
      </w:r>
      <w:r w:rsidR="00FE4F8F" w:rsidRPr="004952C0">
        <w:t>(a)</w:t>
      </w:r>
      <w:r w:rsidRPr="004952C0">
        <w:tab/>
      </w:r>
      <w:proofErr w:type="gramStart"/>
      <w:r w:rsidRPr="004952C0">
        <w:t>this</w:t>
      </w:r>
      <w:proofErr w:type="gramEnd"/>
      <w:r w:rsidRPr="004952C0">
        <w:t xml:space="preserve"> determination specifies otherwise;</w:t>
      </w:r>
      <w:r w:rsidR="00E61FD2" w:rsidRPr="004952C0">
        <w:t xml:space="preserve"> or</w:t>
      </w:r>
    </w:p>
    <w:p w:rsidR="0045496E" w:rsidRPr="004952C0" w:rsidRDefault="0045496E" w:rsidP="0045496E">
      <w:pPr>
        <w:pStyle w:val="tPara"/>
      </w:pPr>
      <w:r w:rsidRPr="004952C0">
        <w:tab/>
      </w:r>
      <w:r w:rsidR="00FE4F8F" w:rsidRPr="004952C0">
        <w:t>(b)</w:t>
      </w:r>
      <w:r w:rsidRPr="004952C0">
        <w:tab/>
      </w:r>
      <w:proofErr w:type="gramStart"/>
      <w:r w:rsidRPr="004952C0">
        <w:t>it</w:t>
      </w:r>
      <w:proofErr w:type="gramEnd"/>
      <w:r w:rsidRPr="004952C0">
        <w:t xml:space="preserve"> is not possible to define or calculate the factor or parameter by reference to the instrument or writing as in force at the end of the reporting period.</w:t>
      </w:r>
    </w:p>
    <w:p w:rsidR="0045496E" w:rsidRPr="004952C0" w:rsidRDefault="00FE4F8F" w:rsidP="0045496E">
      <w:pPr>
        <w:pStyle w:val="h2Part"/>
      </w:pPr>
      <w:bookmarkStart w:id="23" w:name="_Toc431466259"/>
      <w:r w:rsidRPr="004952C0">
        <w:lastRenderedPageBreak/>
        <w:t>Part 2</w:t>
      </w:r>
      <w:r w:rsidR="0045496E" w:rsidRPr="004952C0">
        <w:t>—Refrigeration and ventilation fan projects</w:t>
      </w:r>
      <w:bookmarkEnd w:id="23"/>
    </w:p>
    <w:p w:rsidR="0045496E" w:rsidRPr="004952C0" w:rsidRDefault="00FE4F8F" w:rsidP="0045496E">
      <w:pPr>
        <w:pStyle w:val="h5Section"/>
      </w:pPr>
      <w:bookmarkStart w:id="24" w:name="_Toc405889311"/>
      <w:bookmarkStart w:id="25" w:name="_Toc431466260"/>
      <w:proofErr w:type="gramStart"/>
      <w:r w:rsidRPr="004952C0">
        <w:t>9</w:t>
      </w:r>
      <w:r w:rsidR="0045496E" w:rsidRPr="004952C0">
        <w:t xml:space="preserve">  </w:t>
      </w:r>
      <w:bookmarkEnd w:id="24"/>
      <w:r w:rsidR="0045496E" w:rsidRPr="004952C0">
        <w:t>Refrigeration</w:t>
      </w:r>
      <w:proofErr w:type="gramEnd"/>
      <w:r w:rsidR="0045496E" w:rsidRPr="004952C0">
        <w:t xml:space="preserve"> and ventilation fan projects</w:t>
      </w:r>
      <w:bookmarkEnd w:id="25"/>
    </w:p>
    <w:p w:rsidR="0045496E" w:rsidRPr="004952C0" w:rsidRDefault="0045496E" w:rsidP="0045496E">
      <w:pPr>
        <w:pStyle w:val="tMain"/>
      </w:pPr>
      <w:r w:rsidRPr="004952C0">
        <w:tab/>
      </w:r>
      <w:r w:rsidR="00FE4F8F" w:rsidRPr="004952C0">
        <w:t>(1)</w:t>
      </w:r>
      <w:r w:rsidRPr="004952C0">
        <w:tab/>
        <w:t>For paragraph 106(1</w:t>
      </w:r>
      <w:proofErr w:type="gramStart"/>
      <w:r w:rsidRPr="004952C0">
        <w:t>)(</w:t>
      </w:r>
      <w:proofErr w:type="gramEnd"/>
      <w:r w:rsidRPr="004952C0">
        <w:t>a) of the Act, this determination applies to an offsets project that:</w:t>
      </w:r>
    </w:p>
    <w:p w:rsidR="0045496E" w:rsidRPr="004952C0" w:rsidRDefault="0045496E" w:rsidP="0045496E">
      <w:pPr>
        <w:pStyle w:val="tPara"/>
      </w:pPr>
      <w:r w:rsidRPr="004952C0">
        <w:tab/>
      </w:r>
      <w:r w:rsidR="00FE4F8F" w:rsidRPr="004952C0">
        <w:t>(a)</w:t>
      </w:r>
      <w:r w:rsidRPr="004952C0">
        <w:tab/>
      </w:r>
      <w:proofErr w:type="gramStart"/>
      <w:r w:rsidRPr="004952C0">
        <w:t>relates</w:t>
      </w:r>
      <w:proofErr w:type="gramEnd"/>
      <w:r w:rsidRPr="004952C0">
        <w:t xml:space="preserve"> to the installation, modification or replacement of refrigeration fans or ventilation fans or both; and</w:t>
      </w:r>
    </w:p>
    <w:p w:rsidR="0045496E" w:rsidRPr="004952C0" w:rsidRDefault="0045496E" w:rsidP="0045496E">
      <w:pPr>
        <w:pStyle w:val="tPara"/>
      </w:pPr>
      <w:r w:rsidRPr="004952C0">
        <w:tab/>
      </w:r>
      <w:r w:rsidR="00FE4F8F" w:rsidRPr="004952C0">
        <w:t>(</w:t>
      </w:r>
      <w:proofErr w:type="gramStart"/>
      <w:r w:rsidR="00FE4F8F" w:rsidRPr="004952C0">
        <w:t>b</w:t>
      </w:r>
      <w:proofErr w:type="gramEnd"/>
      <w:r w:rsidR="00FE4F8F" w:rsidRPr="004952C0">
        <w:t>)</w:t>
      </w:r>
      <w:r w:rsidRPr="004952C0">
        <w:tab/>
        <w:t>involves undertaking either or both of the following:</w:t>
      </w:r>
    </w:p>
    <w:p w:rsidR="0045496E" w:rsidRPr="004952C0" w:rsidRDefault="0045496E" w:rsidP="0045496E">
      <w:pPr>
        <w:pStyle w:val="tSubpara"/>
      </w:pPr>
      <w:r w:rsidRPr="004952C0">
        <w:tab/>
      </w:r>
      <w:r w:rsidR="00FE4F8F" w:rsidRPr="004952C0">
        <w:t>(</w:t>
      </w:r>
      <w:proofErr w:type="spellStart"/>
      <w:r w:rsidR="00FE4F8F" w:rsidRPr="004952C0">
        <w:t>i</w:t>
      </w:r>
      <w:proofErr w:type="spellEnd"/>
      <w:r w:rsidR="00FE4F8F" w:rsidRPr="004952C0">
        <w:t>)</w:t>
      </w:r>
      <w:r w:rsidRPr="004952C0">
        <w:tab/>
        <w:t xml:space="preserve">1 or </w:t>
      </w:r>
      <w:proofErr w:type="gramStart"/>
      <w:r w:rsidRPr="004952C0">
        <w:t>more high</w:t>
      </w:r>
      <w:proofErr w:type="gramEnd"/>
      <w:r w:rsidRPr="004952C0">
        <w:t xml:space="preserve"> efficiency fan installations;</w:t>
      </w:r>
    </w:p>
    <w:p w:rsidR="0045496E" w:rsidRPr="004952C0" w:rsidRDefault="0045496E" w:rsidP="0045496E">
      <w:pPr>
        <w:pStyle w:val="tSubpara"/>
      </w:pPr>
      <w:r w:rsidRPr="004952C0">
        <w:tab/>
      </w:r>
      <w:r w:rsidR="00FE4F8F" w:rsidRPr="004952C0">
        <w:t>(ii)</w:t>
      </w:r>
      <w:r w:rsidRPr="004952C0">
        <w:tab/>
        <w:t>1 or more small motor fan upgrades; and</w:t>
      </w:r>
    </w:p>
    <w:p w:rsidR="0045496E" w:rsidRPr="004952C0" w:rsidRDefault="0045496E" w:rsidP="0045496E">
      <w:pPr>
        <w:pStyle w:val="tPara"/>
      </w:pPr>
      <w:r w:rsidRPr="004952C0">
        <w:tab/>
      </w:r>
      <w:r w:rsidR="00FE4F8F" w:rsidRPr="004952C0">
        <w:t>(c)</w:t>
      </w:r>
      <w:r w:rsidRPr="004952C0">
        <w:tab/>
      </w:r>
      <w:proofErr w:type="gramStart"/>
      <w:r w:rsidRPr="004952C0">
        <w:t>can</w:t>
      </w:r>
      <w:proofErr w:type="gramEnd"/>
      <w:r w:rsidRPr="004952C0">
        <w:t xml:space="preserve"> reasonably be expected to result in eligible carbon abatement.</w:t>
      </w:r>
    </w:p>
    <w:p w:rsidR="00C9220A" w:rsidRPr="004952C0" w:rsidRDefault="00C9220A" w:rsidP="00C9220A">
      <w:pPr>
        <w:pStyle w:val="nMain"/>
        <w:rPr>
          <w:rFonts w:eastAsia="Calibri"/>
        </w:rPr>
      </w:pPr>
      <w:r w:rsidRPr="004952C0">
        <w:rPr>
          <w:rFonts w:eastAsia="Calibri"/>
        </w:rPr>
        <w:t>Note:</w:t>
      </w:r>
      <w:r w:rsidRPr="004952C0">
        <w:rPr>
          <w:rFonts w:eastAsia="Calibri"/>
        </w:rPr>
        <w:tab/>
        <w:t xml:space="preserve">Some activities under this determination are capable of being classified as </w:t>
      </w:r>
      <w:r w:rsidR="00F03CBA" w:rsidRPr="004952C0">
        <w:rPr>
          <w:rFonts w:eastAsia="Calibri"/>
        </w:rPr>
        <w:t>both</w:t>
      </w:r>
      <w:r w:rsidRPr="004952C0">
        <w:rPr>
          <w:rFonts w:eastAsia="Calibri"/>
        </w:rPr>
        <w:t xml:space="preserve"> a high efficiency fan installation </w:t>
      </w:r>
      <w:r w:rsidR="00F03CBA" w:rsidRPr="004952C0">
        <w:rPr>
          <w:rFonts w:eastAsia="Calibri"/>
        </w:rPr>
        <w:t xml:space="preserve">and </w:t>
      </w:r>
      <w:r w:rsidRPr="004952C0">
        <w:rPr>
          <w:rFonts w:eastAsia="Calibri"/>
        </w:rPr>
        <w:t xml:space="preserve">a small motor fan upgrade. The project proponent is required to classify such activities as one or the other for the purposes of this determination, and the </w:t>
      </w:r>
      <w:r w:rsidR="00AD1F6D" w:rsidRPr="004952C0">
        <w:rPr>
          <w:rFonts w:eastAsia="Calibri"/>
        </w:rPr>
        <w:t>classification</w:t>
      </w:r>
      <w:r w:rsidRPr="004952C0">
        <w:rPr>
          <w:rFonts w:eastAsia="Calibri"/>
        </w:rPr>
        <w:t xml:space="preserve"> applies for the entire crediting period. See subsection </w:t>
      </w:r>
      <w:r w:rsidR="00934AC6" w:rsidRPr="004952C0">
        <w:rPr>
          <w:rFonts w:eastAsia="Calibri"/>
        </w:rPr>
        <w:t>22(3)</w:t>
      </w:r>
      <w:r w:rsidRPr="004952C0">
        <w:rPr>
          <w:rFonts w:eastAsia="Calibri"/>
        </w:rPr>
        <w:t>.</w:t>
      </w:r>
    </w:p>
    <w:p w:rsidR="0045496E" w:rsidRPr="004952C0" w:rsidRDefault="0045496E" w:rsidP="0045496E">
      <w:pPr>
        <w:pStyle w:val="tMain"/>
        <w:spacing w:before="40"/>
      </w:pPr>
      <w:r w:rsidRPr="004952C0">
        <w:tab/>
      </w:r>
      <w:r w:rsidR="00FE4F8F" w:rsidRPr="004952C0">
        <w:t>(2)</w:t>
      </w:r>
      <w:r w:rsidRPr="004952C0">
        <w:tab/>
        <w:t>A project covered by subsection </w:t>
      </w:r>
      <w:r w:rsidR="00934AC6" w:rsidRPr="004952C0">
        <w:t>(1)</w:t>
      </w:r>
      <w:r w:rsidRPr="004952C0">
        <w:t xml:space="preserve"> is a </w:t>
      </w:r>
      <w:r w:rsidRPr="004952C0">
        <w:rPr>
          <w:b/>
          <w:i/>
        </w:rPr>
        <w:t>refrigeration and ventilation fan project</w:t>
      </w:r>
      <w:r w:rsidRPr="004952C0">
        <w:t>.</w:t>
      </w:r>
    </w:p>
    <w:p w:rsidR="0045496E" w:rsidRPr="004952C0" w:rsidRDefault="0045496E" w:rsidP="0045496E">
      <w:pPr>
        <w:pStyle w:val="h6Subsec"/>
      </w:pPr>
      <w:r w:rsidRPr="004952C0">
        <w:t>High efficiency fan installations</w:t>
      </w:r>
    </w:p>
    <w:p w:rsidR="0045496E" w:rsidRPr="004952C0" w:rsidRDefault="0045496E" w:rsidP="0045496E">
      <w:pPr>
        <w:pStyle w:val="tMain"/>
      </w:pPr>
      <w:r w:rsidRPr="004952C0">
        <w:tab/>
      </w:r>
      <w:r w:rsidR="00FE4F8F" w:rsidRPr="004952C0">
        <w:t>(3)</w:t>
      </w:r>
      <w:r w:rsidRPr="004952C0">
        <w:tab/>
        <w:t xml:space="preserve">For this determination, a </w:t>
      </w:r>
      <w:r w:rsidRPr="004952C0">
        <w:rPr>
          <w:b/>
          <w:i/>
        </w:rPr>
        <w:t xml:space="preserve">high efficiency fan installation </w:t>
      </w:r>
      <w:r w:rsidRPr="004952C0">
        <w:t>involves:</w:t>
      </w:r>
    </w:p>
    <w:p w:rsidR="0045496E" w:rsidRPr="004952C0" w:rsidRDefault="0045496E" w:rsidP="0045496E">
      <w:pPr>
        <w:pStyle w:val="tPara"/>
      </w:pPr>
      <w:r w:rsidRPr="004952C0">
        <w:tab/>
      </w:r>
      <w:r w:rsidR="00FE4F8F" w:rsidRPr="004952C0">
        <w:t>(a)</w:t>
      </w:r>
      <w:r w:rsidRPr="004952C0">
        <w:tab/>
      </w:r>
      <w:proofErr w:type="gramStart"/>
      <w:r w:rsidRPr="004952C0">
        <w:t>installing</w:t>
      </w:r>
      <w:proofErr w:type="gramEnd"/>
      <w:r w:rsidRPr="004952C0">
        <w:t xml:space="preserve"> a fan as a refrigeration fan or a ventilation fan that satisfies the following:</w:t>
      </w:r>
    </w:p>
    <w:p w:rsidR="0045496E" w:rsidRPr="004952C0" w:rsidRDefault="0045496E" w:rsidP="0045496E">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the</w:t>
      </w:r>
      <w:proofErr w:type="gramEnd"/>
      <w:r w:rsidRPr="004952C0">
        <w:t xml:space="preserve"> fan has a motor input power that is:</w:t>
      </w:r>
    </w:p>
    <w:p w:rsidR="0045496E" w:rsidRPr="004952C0" w:rsidRDefault="0045496E" w:rsidP="0045496E">
      <w:pPr>
        <w:pStyle w:val="tSubsub"/>
      </w:pPr>
      <w:r w:rsidRPr="004952C0">
        <w:tab/>
      </w:r>
      <w:r w:rsidR="00FE4F8F" w:rsidRPr="004952C0">
        <w:t>(A)</w:t>
      </w:r>
      <w:r w:rsidRPr="004952C0">
        <w:tab/>
      </w:r>
      <w:proofErr w:type="gramStart"/>
      <w:r w:rsidRPr="004952C0">
        <w:t>greater</w:t>
      </w:r>
      <w:proofErr w:type="gramEnd"/>
      <w:r w:rsidRPr="004952C0">
        <w:t xml:space="preserve"> than or equal to 0.125 kilowatts; and</w:t>
      </w:r>
    </w:p>
    <w:p w:rsidR="0045496E" w:rsidRPr="004952C0" w:rsidRDefault="0045496E" w:rsidP="0045496E">
      <w:pPr>
        <w:pStyle w:val="tSubsub"/>
      </w:pPr>
      <w:r w:rsidRPr="004952C0">
        <w:tab/>
      </w:r>
      <w:r w:rsidR="00FE4F8F" w:rsidRPr="004952C0">
        <w:t>(B)</w:t>
      </w:r>
      <w:r w:rsidRPr="004952C0">
        <w:tab/>
      </w:r>
      <w:proofErr w:type="gramStart"/>
      <w:r w:rsidRPr="004952C0">
        <w:t>less</w:t>
      </w:r>
      <w:proofErr w:type="gramEnd"/>
      <w:r w:rsidRPr="004952C0">
        <w:t xml:space="preserve"> than or equal to 185 kilowatts;</w:t>
      </w:r>
    </w:p>
    <w:p w:rsidR="0045496E" w:rsidRPr="004952C0" w:rsidRDefault="0045496E" w:rsidP="0045496E">
      <w:pPr>
        <w:pStyle w:val="tSubpara"/>
      </w:pPr>
      <w:r w:rsidRPr="004952C0">
        <w:tab/>
      </w:r>
      <w:r w:rsidR="00FE4F8F" w:rsidRPr="004952C0">
        <w:t>(ii)</w:t>
      </w:r>
      <w:r w:rsidRPr="004952C0">
        <w:tab/>
      </w:r>
      <w:proofErr w:type="gramStart"/>
      <w:r w:rsidRPr="004952C0">
        <w:t>the</w:t>
      </w:r>
      <w:proofErr w:type="gramEnd"/>
      <w:r w:rsidRPr="004952C0">
        <w:t xml:space="preserve"> fan is an eligible fan type;</w:t>
      </w:r>
    </w:p>
    <w:p w:rsidR="0045496E" w:rsidRPr="004952C0" w:rsidRDefault="0045496E" w:rsidP="0045496E">
      <w:pPr>
        <w:pStyle w:val="tSubpara"/>
      </w:pPr>
      <w:r w:rsidRPr="004952C0">
        <w:tab/>
      </w:r>
      <w:r w:rsidR="00FE4F8F" w:rsidRPr="004952C0">
        <w:t>(iii)</w:t>
      </w:r>
      <w:r w:rsidRPr="004952C0">
        <w:tab/>
      </w:r>
      <w:proofErr w:type="gramStart"/>
      <w:r w:rsidRPr="004952C0">
        <w:t>the</w:t>
      </w:r>
      <w:proofErr w:type="gramEnd"/>
      <w:r w:rsidRPr="004952C0">
        <w:t xml:space="preserve"> fan has an operating efficiency that is greater than or equal to the high efficiency threshold for the fan; or</w:t>
      </w:r>
    </w:p>
    <w:p w:rsidR="0045496E" w:rsidRPr="004952C0" w:rsidRDefault="0045496E" w:rsidP="0045496E">
      <w:pPr>
        <w:pStyle w:val="tPara"/>
      </w:pPr>
      <w:r w:rsidRPr="004952C0">
        <w:tab/>
      </w:r>
      <w:r w:rsidR="00FE4F8F" w:rsidRPr="004952C0">
        <w:t>(b)</w:t>
      </w:r>
      <w:r w:rsidRPr="004952C0">
        <w:tab/>
        <w:t>modifying or replacing a fan that</w:t>
      </w:r>
      <w:r w:rsidR="001F4EEA" w:rsidRPr="004952C0">
        <w:t xml:space="preserve"> </w:t>
      </w:r>
      <w:r w:rsidRPr="004952C0">
        <w:t>is installed as a refrigeration fan or a ventilation fan</w:t>
      </w:r>
      <w:r w:rsidR="001F4EEA" w:rsidRPr="004952C0">
        <w:t xml:space="preserve"> </w:t>
      </w:r>
      <w:r w:rsidRPr="004952C0">
        <w:t xml:space="preserve">(whether or not </w:t>
      </w:r>
      <w:r w:rsidR="001F4EEA" w:rsidRPr="004952C0">
        <w:t xml:space="preserve">the fan </w:t>
      </w:r>
      <w:r w:rsidRPr="004952C0">
        <w:t>satisfies subparagraph</w:t>
      </w:r>
      <w:r w:rsidR="001F4EEA" w:rsidRPr="004952C0">
        <w:t>s </w:t>
      </w:r>
      <w:r w:rsidR="00934AC6" w:rsidRPr="004952C0">
        <w:t>(a)(</w:t>
      </w:r>
      <w:proofErr w:type="spellStart"/>
      <w:r w:rsidR="00934AC6" w:rsidRPr="004952C0">
        <w:t>i</w:t>
      </w:r>
      <w:proofErr w:type="spellEnd"/>
      <w:r w:rsidR="00934AC6" w:rsidRPr="004952C0">
        <w:t>)</w:t>
      </w:r>
      <w:r w:rsidR="001F4EEA" w:rsidRPr="004952C0">
        <w:t xml:space="preserve">, </w:t>
      </w:r>
      <w:r w:rsidR="00934AC6" w:rsidRPr="004952C0">
        <w:t>(ii)</w:t>
      </w:r>
      <w:r w:rsidR="001F4EEA" w:rsidRPr="004952C0">
        <w:t xml:space="preserve"> and </w:t>
      </w:r>
      <w:r w:rsidR="00934AC6" w:rsidRPr="004952C0">
        <w:t>(iii)</w:t>
      </w:r>
      <w:r w:rsidR="001F4EEA" w:rsidRPr="004952C0">
        <w:t>)</w:t>
      </w:r>
      <w:r w:rsidRPr="004952C0">
        <w:t xml:space="preserve"> so that</w:t>
      </w:r>
      <w:r w:rsidR="001F4EEA" w:rsidRPr="004952C0">
        <w:t>,</w:t>
      </w:r>
      <w:r w:rsidRPr="004952C0">
        <w:t xml:space="preserve"> after the modification or replacement</w:t>
      </w:r>
      <w:r w:rsidR="001F4EEA" w:rsidRPr="004952C0">
        <w:t>, the fan</w:t>
      </w:r>
      <w:r w:rsidRPr="004952C0">
        <w:t>:</w:t>
      </w:r>
    </w:p>
    <w:p w:rsidR="0045496E" w:rsidRPr="004952C0" w:rsidRDefault="0045496E" w:rsidP="0045496E">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satisfies</w:t>
      </w:r>
      <w:proofErr w:type="gramEnd"/>
      <w:r w:rsidRPr="004952C0">
        <w:t xml:space="preserve"> subparagraphs </w:t>
      </w:r>
      <w:r w:rsidR="00934AC6" w:rsidRPr="004952C0">
        <w:t>(a)(</w:t>
      </w:r>
      <w:proofErr w:type="spellStart"/>
      <w:r w:rsidR="00934AC6" w:rsidRPr="004952C0">
        <w:t>i</w:t>
      </w:r>
      <w:proofErr w:type="spellEnd"/>
      <w:r w:rsidR="00934AC6" w:rsidRPr="004952C0">
        <w:t>)</w:t>
      </w:r>
      <w:r w:rsidRPr="004952C0">
        <w:t xml:space="preserve">, </w:t>
      </w:r>
      <w:r w:rsidR="00934AC6" w:rsidRPr="004952C0">
        <w:t>(ii)</w:t>
      </w:r>
      <w:r w:rsidRPr="004952C0">
        <w:t xml:space="preserve"> and </w:t>
      </w:r>
      <w:r w:rsidR="00934AC6" w:rsidRPr="004952C0">
        <w:t>(iii)</w:t>
      </w:r>
      <w:r w:rsidRPr="004952C0">
        <w:t>; and</w:t>
      </w:r>
    </w:p>
    <w:p w:rsidR="0045496E" w:rsidRPr="004952C0" w:rsidRDefault="0045496E" w:rsidP="0045496E">
      <w:pPr>
        <w:pStyle w:val="tSubpara"/>
      </w:pPr>
      <w:r w:rsidRPr="004952C0">
        <w:tab/>
      </w:r>
      <w:r w:rsidR="00FE4F8F" w:rsidRPr="004952C0">
        <w:t>(ii)</w:t>
      </w:r>
      <w:r w:rsidRPr="004952C0">
        <w:tab/>
      </w:r>
      <w:proofErr w:type="gramStart"/>
      <w:r w:rsidRPr="004952C0">
        <w:t>has</w:t>
      </w:r>
      <w:proofErr w:type="gramEnd"/>
      <w:r w:rsidRPr="004952C0">
        <w:t xml:space="preserve"> a nominal motor power that is not materially greater than that of the fan before the modification or replacement.</w:t>
      </w:r>
    </w:p>
    <w:p w:rsidR="0045496E" w:rsidRPr="004952C0" w:rsidRDefault="0045496E" w:rsidP="0045496E">
      <w:pPr>
        <w:pStyle w:val="tMain"/>
      </w:pPr>
      <w:r w:rsidRPr="004952C0">
        <w:tab/>
      </w:r>
      <w:r w:rsidR="00FE4F8F" w:rsidRPr="004952C0">
        <w:t>(4)</w:t>
      </w:r>
      <w:r w:rsidRPr="004952C0">
        <w:tab/>
        <w:t>For subparagraph </w:t>
      </w:r>
      <w:r w:rsidR="00934AC6" w:rsidRPr="004952C0">
        <w:t>(3</w:t>
      </w:r>
      <w:proofErr w:type="gramStart"/>
      <w:r w:rsidR="00934AC6" w:rsidRPr="004952C0">
        <w:t>)(</w:t>
      </w:r>
      <w:proofErr w:type="gramEnd"/>
      <w:r w:rsidR="00934AC6" w:rsidRPr="004952C0">
        <w:t>a)(iii)</w:t>
      </w:r>
      <w:r w:rsidRPr="004952C0">
        <w:t xml:space="preserve">, the operating efficiency and high efficiency threshold are calculated in accordance with </w:t>
      </w:r>
      <w:r w:rsidR="00934AC6" w:rsidRPr="004952C0">
        <w:t>Schedule 1</w:t>
      </w:r>
      <w:r w:rsidRPr="004952C0">
        <w:t>.</w:t>
      </w:r>
    </w:p>
    <w:p w:rsidR="0045496E" w:rsidRPr="004952C0" w:rsidRDefault="0045496E" w:rsidP="0045496E">
      <w:pPr>
        <w:pStyle w:val="tMain"/>
      </w:pPr>
      <w:r w:rsidRPr="004952C0">
        <w:tab/>
      </w:r>
      <w:r w:rsidR="00FE4F8F" w:rsidRPr="004952C0">
        <w:t>(5)</w:t>
      </w:r>
      <w:r w:rsidRPr="004952C0">
        <w:tab/>
        <w:t xml:space="preserve">The fan that results from a high efficiency fan installation is an </w:t>
      </w:r>
      <w:r w:rsidRPr="004952C0">
        <w:rPr>
          <w:b/>
          <w:i/>
        </w:rPr>
        <w:t>installed HE fan</w:t>
      </w:r>
      <w:r w:rsidRPr="004952C0">
        <w:t>.</w:t>
      </w:r>
    </w:p>
    <w:p w:rsidR="0045496E" w:rsidRPr="004952C0" w:rsidRDefault="0045496E" w:rsidP="0045496E">
      <w:pPr>
        <w:pStyle w:val="h6Subsec"/>
      </w:pPr>
      <w:r w:rsidRPr="004952C0">
        <w:t>Small motor fan upgrades</w:t>
      </w:r>
    </w:p>
    <w:p w:rsidR="0045496E" w:rsidRPr="004952C0" w:rsidRDefault="0045496E" w:rsidP="0045496E">
      <w:pPr>
        <w:pStyle w:val="tMain"/>
      </w:pPr>
      <w:r w:rsidRPr="004952C0">
        <w:tab/>
      </w:r>
      <w:r w:rsidR="00FE4F8F" w:rsidRPr="004952C0">
        <w:t>(6)</w:t>
      </w:r>
      <w:r w:rsidRPr="004952C0">
        <w:tab/>
        <w:t xml:space="preserve">For this determination, a </w:t>
      </w:r>
      <w:r w:rsidRPr="004952C0">
        <w:rPr>
          <w:b/>
          <w:i/>
        </w:rPr>
        <w:t xml:space="preserve">small motor fan upgrade </w:t>
      </w:r>
      <w:r w:rsidRPr="004952C0">
        <w:t>involves modifying or replacing a fan that is installed as a refrigeration fan or a ventilation fan and that:</w:t>
      </w:r>
    </w:p>
    <w:p w:rsidR="0045496E" w:rsidRPr="004952C0" w:rsidRDefault="0045496E" w:rsidP="0045496E">
      <w:pPr>
        <w:pStyle w:val="tPara"/>
      </w:pPr>
      <w:r w:rsidRPr="004952C0">
        <w:tab/>
      </w:r>
      <w:r w:rsidR="00FE4F8F" w:rsidRPr="004952C0">
        <w:t>(a)</w:t>
      </w:r>
      <w:r w:rsidRPr="004952C0">
        <w:tab/>
      </w:r>
      <w:proofErr w:type="gramStart"/>
      <w:r w:rsidRPr="004952C0">
        <w:t>has</w:t>
      </w:r>
      <w:proofErr w:type="gramEnd"/>
      <w:r w:rsidRPr="004952C0">
        <w:t xml:space="preserve"> a motor input power of less than or equal to 0.175 kilowatts; and</w:t>
      </w:r>
    </w:p>
    <w:p w:rsidR="0045496E" w:rsidRPr="004952C0" w:rsidRDefault="0045496E" w:rsidP="0045496E">
      <w:pPr>
        <w:pStyle w:val="tPara"/>
      </w:pPr>
      <w:r w:rsidRPr="004952C0">
        <w:tab/>
      </w:r>
      <w:r w:rsidR="00FE4F8F" w:rsidRPr="004952C0">
        <w:t>(b)</w:t>
      </w:r>
      <w:r w:rsidRPr="004952C0">
        <w:tab/>
      </w:r>
      <w:proofErr w:type="gramStart"/>
      <w:r w:rsidRPr="004952C0">
        <w:t>is</w:t>
      </w:r>
      <w:proofErr w:type="gramEnd"/>
      <w:r w:rsidRPr="004952C0">
        <w:t xml:space="preserve"> driven by a motor that is an eligible small motor type;</w:t>
      </w:r>
    </w:p>
    <w:p w:rsidR="0045496E" w:rsidRPr="004952C0" w:rsidRDefault="0045496E" w:rsidP="0045496E">
      <w:pPr>
        <w:pStyle w:val="tMain"/>
        <w:spacing w:before="40"/>
      </w:pPr>
      <w:r w:rsidRPr="004952C0">
        <w:tab/>
      </w:r>
      <w:r w:rsidRPr="004952C0">
        <w:tab/>
      </w:r>
      <w:proofErr w:type="gramStart"/>
      <w:r w:rsidRPr="004952C0">
        <w:t>so</w:t>
      </w:r>
      <w:proofErr w:type="gramEnd"/>
      <w:r w:rsidRPr="004952C0">
        <w:t xml:space="preserve"> that, after the modification or replacement, the fan:</w:t>
      </w:r>
    </w:p>
    <w:p w:rsidR="0045496E" w:rsidRPr="004952C0" w:rsidRDefault="0045496E" w:rsidP="0045496E">
      <w:pPr>
        <w:pStyle w:val="tPara"/>
      </w:pPr>
      <w:r w:rsidRPr="004952C0">
        <w:tab/>
      </w:r>
      <w:r w:rsidR="00FE4F8F" w:rsidRPr="004952C0">
        <w:t>(c)</w:t>
      </w:r>
      <w:r w:rsidRPr="004952C0">
        <w:tab/>
      </w:r>
      <w:proofErr w:type="gramStart"/>
      <w:r w:rsidRPr="004952C0">
        <w:t>satisfies</w:t>
      </w:r>
      <w:proofErr w:type="gramEnd"/>
      <w:r w:rsidRPr="004952C0">
        <w:t xml:space="preserve"> paragraph </w:t>
      </w:r>
      <w:r w:rsidR="00934AC6" w:rsidRPr="004952C0">
        <w:t>(a)</w:t>
      </w:r>
      <w:r w:rsidRPr="004952C0">
        <w:t>; and</w:t>
      </w:r>
    </w:p>
    <w:p w:rsidR="0045496E" w:rsidRPr="004952C0" w:rsidRDefault="0045496E" w:rsidP="0045496E">
      <w:pPr>
        <w:pStyle w:val="tPara"/>
      </w:pPr>
      <w:r w:rsidRPr="004952C0">
        <w:tab/>
      </w:r>
      <w:r w:rsidR="00FE4F8F" w:rsidRPr="004952C0">
        <w:t>(d)</w:t>
      </w:r>
      <w:r w:rsidRPr="004952C0">
        <w:tab/>
      </w:r>
      <w:proofErr w:type="gramStart"/>
      <w:r w:rsidRPr="004952C0">
        <w:t>is</w:t>
      </w:r>
      <w:proofErr w:type="gramEnd"/>
      <w:r w:rsidRPr="004952C0">
        <w:t xml:space="preserve"> driven instead by an electronically commutated motor; and</w:t>
      </w:r>
    </w:p>
    <w:p w:rsidR="0045496E" w:rsidRPr="004952C0" w:rsidRDefault="0045496E" w:rsidP="0045496E">
      <w:pPr>
        <w:pStyle w:val="tPara"/>
      </w:pPr>
      <w:r w:rsidRPr="004952C0">
        <w:lastRenderedPageBreak/>
        <w:tab/>
      </w:r>
      <w:r w:rsidR="00FE4F8F" w:rsidRPr="004952C0">
        <w:t>(e)</w:t>
      </w:r>
      <w:r w:rsidRPr="004952C0">
        <w:tab/>
      </w:r>
      <w:proofErr w:type="gramStart"/>
      <w:r w:rsidRPr="004952C0">
        <w:t>has</w:t>
      </w:r>
      <w:proofErr w:type="gramEnd"/>
      <w:r w:rsidRPr="004952C0">
        <w:t xml:space="preserve"> a nominal motor power that is not materially greater than that of the fan before the modification or replacement.</w:t>
      </w:r>
    </w:p>
    <w:p w:rsidR="0045496E" w:rsidRPr="004952C0" w:rsidRDefault="0045496E" w:rsidP="0045496E">
      <w:pPr>
        <w:pStyle w:val="tMain"/>
      </w:pPr>
      <w:r w:rsidRPr="004952C0">
        <w:tab/>
      </w:r>
      <w:r w:rsidR="00FE4F8F" w:rsidRPr="004952C0">
        <w:t>(7)</w:t>
      </w:r>
      <w:r w:rsidRPr="004952C0">
        <w:tab/>
        <w:t xml:space="preserve">The fan that results from a small motor fan upgrade is an </w:t>
      </w:r>
      <w:r w:rsidRPr="004952C0">
        <w:rPr>
          <w:b/>
          <w:i/>
        </w:rPr>
        <w:t>installed SM fan</w:t>
      </w:r>
      <w:r w:rsidRPr="004952C0">
        <w:t>.</w:t>
      </w:r>
    </w:p>
    <w:p w:rsidR="0045496E" w:rsidRPr="004952C0" w:rsidRDefault="00FE4F8F" w:rsidP="0045496E">
      <w:pPr>
        <w:pStyle w:val="h2Part"/>
      </w:pPr>
      <w:bookmarkStart w:id="26" w:name="_Toc431466261"/>
      <w:r w:rsidRPr="004952C0">
        <w:lastRenderedPageBreak/>
        <w:t>Part 3</w:t>
      </w:r>
      <w:r w:rsidR="0045496E" w:rsidRPr="004952C0">
        <w:t>—Project requirements</w:t>
      </w:r>
      <w:bookmarkEnd w:id="26"/>
    </w:p>
    <w:p w:rsidR="0045496E" w:rsidRPr="004952C0" w:rsidRDefault="00FE4F8F" w:rsidP="0045496E">
      <w:pPr>
        <w:pStyle w:val="h3Div"/>
      </w:pPr>
      <w:bookmarkStart w:id="27" w:name="_Toc431466262"/>
      <w:r w:rsidRPr="004952C0">
        <w:t>Division 1</w:t>
      </w:r>
      <w:r w:rsidR="0045496E" w:rsidRPr="004952C0">
        <w:t>—General requirements for refrigeration and ventilation fan projects</w:t>
      </w:r>
      <w:bookmarkEnd w:id="27"/>
    </w:p>
    <w:p w:rsidR="0045496E" w:rsidRPr="004952C0" w:rsidRDefault="00FE4F8F" w:rsidP="0045496E">
      <w:pPr>
        <w:pStyle w:val="h5Section"/>
      </w:pPr>
      <w:bookmarkStart w:id="28" w:name="_Toc420592117"/>
      <w:bookmarkStart w:id="29" w:name="_Toc431466263"/>
      <w:proofErr w:type="gramStart"/>
      <w:r w:rsidRPr="004952C0">
        <w:t>10</w:t>
      </w:r>
      <w:r w:rsidR="0045496E" w:rsidRPr="004952C0">
        <w:t xml:space="preserve">  Operation</w:t>
      </w:r>
      <w:proofErr w:type="gramEnd"/>
      <w:r w:rsidR="0045496E" w:rsidRPr="004952C0">
        <w:t xml:space="preserve"> of this Part</w:t>
      </w:r>
      <w:bookmarkEnd w:id="28"/>
      <w:bookmarkEnd w:id="29"/>
    </w:p>
    <w:p w:rsidR="0045496E" w:rsidRPr="004952C0" w:rsidRDefault="0045496E" w:rsidP="0045496E">
      <w:pPr>
        <w:pStyle w:val="tMain"/>
      </w:pPr>
      <w:r w:rsidRPr="004952C0">
        <w:tab/>
      </w:r>
      <w:r w:rsidRPr="004952C0">
        <w:tab/>
        <w:t>For paragraph 106(1</w:t>
      </w:r>
      <w:proofErr w:type="gramStart"/>
      <w:r w:rsidRPr="004952C0">
        <w:t>)(</w:t>
      </w:r>
      <w:proofErr w:type="gramEnd"/>
      <w:r w:rsidRPr="004952C0">
        <w:t>b) of the Act, this Part sets out requirements that must be met for a refrigeration and ventilation fan project to be an eligible offsets project.</w:t>
      </w:r>
    </w:p>
    <w:p w:rsidR="0045496E" w:rsidRPr="004952C0" w:rsidRDefault="00FE4F8F" w:rsidP="0045496E">
      <w:pPr>
        <w:pStyle w:val="h5Section"/>
      </w:pPr>
      <w:bookmarkStart w:id="30" w:name="_Toc420592118"/>
      <w:bookmarkStart w:id="31" w:name="_Toc431466264"/>
      <w:proofErr w:type="gramStart"/>
      <w:r w:rsidRPr="004952C0">
        <w:t>11</w:t>
      </w:r>
      <w:r w:rsidR="0045496E" w:rsidRPr="004952C0">
        <w:t xml:space="preserve">  Information</w:t>
      </w:r>
      <w:proofErr w:type="gramEnd"/>
      <w:r w:rsidR="0045496E" w:rsidRPr="004952C0">
        <w:t xml:space="preserve"> to be included in application for declaration</w:t>
      </w:r>
      <w:bookmarkEnd w:id="30"/>
      <w:bookmarkEnd w:id="31"/>
    </w:p>
    <w:p w:rsidR="0045496E" w:rsidRPr="004952C0" w:rsidRDefault="0045496E" w:rsidP="0045496E">
      <w:pPr>
        <w:pStyle w:val="tMain"/>
      </w:pPr>
      <w:r w:rsidRPr="004952C0">
        <w:tab/>
      </w:r>
      <w:r w:rsidR="00FE4F8F" w:rsidRPr="004952C0">
        <w:t>(1)</w:t>
      </w:r>
      <w:r w:rsidRPr="004952C0">
        <w:tab/>
        <w:t>The application under section 22 of the Act in relation to the project must include a description of the following:</w:t>
      </w:r>
    </w:p>
    <w:p w:rsidR="0045496E" w:rsidRPr="004952C0" w:rsidRDefault="0045496E" w:rsidP="0045496E">
      <w:pPr>
        <w:pStyle w:val="tPara"/>
      </w:pPr>
      <w:r w:rsidRPr="004952C0">
        <w:tab/>
      </w:r>
      <w:r w:rsidR="00FE4F8F" w:rsidRPr="004952C0">
        <w:t>(a)</w:t>
      </w:r>
      <w:r w:rsidRPr="004952C0">
        <w:tab/>
      </w:r>
      <w:proofErr w:type="gramStart"/>
      <w:r w:rsidRPr="004952C0">
        <w:t>for</w:t>
      </w:r>
      <w:proofErr w:type="gramEnd"/>
      <w:r w:rsidRPr="004952C0">
        <w:t xml:space="preserve"> each fan to be installed, modified or replaced that is identified at the time of the application:</w:t>
      </w:r>
    </w:p>
    <w:p w:rsidR="0045496E" w:rsidRPr="004952C0" w:rsidRDefault="0045496E" w:rsidP="0045496E">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whether</w:t>
      </w:r>
      <w:proofErr w:type="gramEnd"/>
      <w:r w:rsidRPr="004952C0">
        <w:t xml:space="preserve"> the fan will be installed, modified or replaced; and</w:t>
      </w:r>
    </w:p>
    <w:p w:rsidR="0045496E" w:rsidRPr="004952C0" w:rsidRDefault="0045496E" w:rsidP="0045496E">
      <w:pPr>
        <w:pStyle w:val="tSubpara"/>
      </w:pPr>
      <w:r w:rsidRPr="004952C0">
        <w:tab/>
      </w:r>
      <w:r w:rsidR="00FE4F8F" w:rsidRPr="004952C0">
        <w:t>(ii)</w:t>
      </w:r>
      <w:r w:rsidRPr="004952C0">
        <w:tab/>
      </w:r>
      <w:proofErr w:type="gramStart"/>
      <w:r w:rsidRPr="004952C0">
        <w:t>whether</w:t>
      </w:r>
      <w:proofErr w:type="gramEnd"/>
      <w:r w:rsidRPr="004952C0">
        <w:t xml:space="preserve"> the fan is, or is suitable for use as, a refrigeration fan or a ventilation fan; and</w:t>
      </w:r>
    </w:p>
    <w:p w:rsidR="0045496E" w:rsidRPr="004952C0" w:rsidRDefault="0045496E" w:rsidP="0045496E">
      <w:pPr>
        <w:pStyle w:val="tSubpara"/>
      </w:pPr>
      <w:r w:rsidRPr="004952C0">
        <w:tab/>
      </w:r>
      <w:r w:rsidR="00FE4F8F" w:rsidRPr="004952C0">
        <w:t>(iii)</w:t>
      </w:r>
      <w:r w:rsidRPr="004952C0">
        <w:tab/>
      </w:r>
      <w:proofErr w:type="gramStart"/>
      <w:r w:rsidRPr="004952C0">
        <w:t>the</w:t>
      </w:r>
      <w:proofErr w:type="gramEnd"/>
      <w:r w:rsidRPr="004952C0">
        <w:t xml:space="preserve"> motor input power; and</w:t>
      </w:r>
    </w:p>
    <w:p w:rsidR="0045496E" w:rsidRPr="004952C0" w:rsidRDefault="0045496E" w:rsidP="0045496E">
      <w:pPr>
        <w:pStyle w:val="tSubpara"/>
      </w:pPr>
      <w:r w:rsidRPr="004952C0">
        <w:tab/>
      </w:r>
      <w:r w:rsidR="00FE4F8F" w:rsidRPr="004952C0">
        <w:t>(iv)</w:t>
      </w:r>
      <w:r w:rsidRPr="004952C0">
        <w:tab/>
      </w:r>
      <w:proofErr w:type="gramStart"/>
      <w:r w:rsidRPr="004952C0">
        <w:t>for</w:t>
      </w:r>
      <w:proofErr w:type="gramEnd"/>
      <w:r w:rsidRPr="004952C0">
        <w:t xml:space="preserve"> a refrigeration fan—whether the type of refrigeration system in which it is or will be installed is:</w:t>
      </w:r>
    </w:p>
    <w:p w:rsidR="0045496E" w:rsidRPr="004952C0" w:rsidRDefault="0045496E" w:rsidP="0045496E">
      <w:pPr>
        <w:pStyle w:val="tSubsub"/>
      </w:pPr>
      <w:r w:rsidRPr="004952C0">
        <w:tab/>
      </w:r>
      <w:r w:rsidR="00FE4F8F" w:rsidRPr="004952C0">
        <w:t>(A)</w:t>
      </w:r>
      <w:r w:rsidRPr="004952C0">
        <w:tab/>
      </w:r>
      <w:proofErr w:type="gramStart"/>
      <w:r w:rsidRPr="004952C0">
        <w:t>a</w:t>
      </w:r>
      <w:proofErr w:type="gramEnd"/>
      <w:r w:rsidRPr="004952C0">
        <w:t xml:space="preserve"> refrigerated display cabinet; or</w:t>
      </w:r>
    </w:p>
    <w:p w:rsidR="0045496E" w:rsidRPr="004952C0" w:rsidRDefault="0045496E" w:rsidP="0045496E">
      <w:pPr>
        <w:pStyle w:val="tSubsub"/>
      </w:pPr>
      <w:r w:rsidRPr="004952C0">
        <w:tab/>
      </w:r>
      <w:r w:rsidR="00FE4F8F" w:rsidRPr="004952C0">
        <w:t>(B)</w:t>
      </w:r>
      <w:r w:rsidRPr="004952C0">
        <w:tab/>
      </w:r>
      <w:proofErr w:type="gramStart"/>
      <w:r w:rsidRPr="004952C0">
        <w:t>a</w:t>
      </w:r>
      <w:proofErr w:type="gramEnd"/>
      <w:r w:rsidRPr="004952C0">
        <w:t xml:space="preserve"> freezer cabinet; or</w:t>
      </w:r>
    </w:p>
    <w:p w:rsidR="0045496E" w:rsidRPr="004952C0" w:rsidRDefault="0045496E" w:rsidP="0045496E">
      <w:pPr>
        <w:pStyle w:val="tSubsub"/>
      </w:pPr>
      <w:r w:rsidRPr="004952C0">
        <w:tab/>
      </w:r>
      <w:r w:rsidR="00FE4F8F" w:rsidRPr="004952C0">
        <w:t>(C)</w:t>
      </w:r>
      <w:r w:rsidRPr="004952C0">
        <w:tab/>
      </w:r>
      <w:proofErr w:type="gramStart"/>
      <w:r w:rsidRPr="004952C0">
        <w:t>a</w:t>
      </w:r>
      <w:proofErr w:type="gramEnd"/>
      <w:r w:rsidRPr="004952C0">
        <w:t xml:space="preserve"> walk</w:t>
      </w:r>
      <w:r w:rsidRPr="004952C0">
        <w:noBreakHyphen/>
        <w:t>in cool room; or</w:t>
      </w:r>
    </w:p>
    <w:p w:rsidR="0045496E" w:rsidRPr="004952C0" w:rsidRDefault="0045496E" w:rsidP="0045496E">
      <w:pPr>
        <w:pStyle w:val="tSubsub"/>
      </w:pPr>
      <w:r w:rsidRPr="004952C0">
        <w:tab/>
      </w:r>
      <w:r w:rsidR="00FE4F8F" w:rsidRPr="004952C0">
        <w:t>(D)</w:t>
      </w:r>
      <w:r w:rsidRPr="004952C0">
        <w:tab/>
      </w:r>
      <w:proofErr w:type="gramStart"/>
      <w:r w:rsidRPr="004952C0">
        <w:t>a</w:t>
      </w:r>
      <w:proofErr w:type="gramEnd"/>
      <w:r w:rsidRPr="004952C0">
        <w:t xml:space="preserve"> cold storage warehouse; and</w:t>
      </w:r>
    </w:p>
    <w:p w:rsidR="0045496E" w:rsidRPr="004952C0" w:rsidRDefault="0045496E" w:rsidP="0045496E">
      <w:pPr>
        <w:pStyle w:val="tSubpara"/>
      </w:pPr>
      <w:r w:rsidRPr="004952C0">
        <w:tab/>
      </w:r>
      <w:r w:rsidR="00FE4F8F" w:rsidRPr="004952C0">
        <w:t>(v)</w:t>
      </w:r>
      <w:r w:rsidRPr="004952C0">
        <w:tab/>
      </w:r>
      <w:proofErr w:type="gramStart"/>
      <w:r w:rsidRPr="004952C0">
        <w:t>for</w:t>
      </w:r>
      <w:proofErr w:type="gramEnd"/>
      <w:r w:rsidRPr="004952C0">
        <w:t xml:space="preserve"> a ventilation fan:</w:t>
      </w:r>
    </w:p>
    <w:p w:rsidR="0045496E" w:rsidRPr="004952C0" w:rsidRDefault="0045496E" w:rsidP="0045496E">
      <w:pPr>
        <w:pStyle w:val="tSubsub"/>
      </w:pPr>
      <w:r w:rsidRPr="004952C0">
        <w:tab/>
      </w:r>
      <w:r w:rsidR="00FE4F8F" w:rsidRPr="004952C0">
        <w:t>(A)</w:t>
      </w:r>
      <w:r w:rsidRPr="004952C0">
        <w:tab/>
      </w:r>
      <w:proofErr w:type="gramStart"/>
      <w:r w:rsidRPr="004952C0">
        <w:t>whether</w:t>
      </w:r>
      <w:proofErr w:type="gramEnd"/>
      <w:r w:rsidRPr="004952C0">
        <w:t xml:space="preserve"> it is or will be a ducted or partition ventilation fan or a heating/cooling ventilation fan; and</w:t>
      </w:r>
    </w:p>
    <w:p w:rsidR="007D0FEF" w:rsidRPr="004952C0" w:rsidRDefault="0045496E" w:rsidP="0045496E">
      <w:pPr>
        <w:pStyle w:val="tSubsub"/>
      </w:pPr>
      <w:r w:rsidRPr="004952C0">
        <w:tab/>
      </w:r>
      <w:r w:rsidR="00FE4F8F" w:rsidRPr="004952C0">
        <w:t>(B)</w:t>
      </w:r>
      <w:r w:rsidRPr="004952C0">
        <w:tab/>
      </w:r>
      <w:proofErr w:type="gramStart"/>
      <w:r w:rsidRPr="004952C0">
        <w:t>the</w:t>
      </w:r>
      <w:proofErr w:type="gramEnd"/>
      <w:r w:rsidRPr="004952C0">
        <w:t xml:space="preserve"> </w:t>
      </w:r>
      <w:r w:rsidR="00822DE4" w:rsidRPr="004952C0">
        <w:t xml:space="preserve">building type </w:t>
      </w:r>
      <w:r w:rsidR="00F0212C" w:rsidRPr="004952C0">
        <w:t>of the building the fan will service</w:t>
      </w:r>
      <w:r w:rsidR="007D0FEF" w:rsidRPr="004952C0">
        <w:t>; and</w:t>
      </w:r>
    </w:p>
    <w:p w:rsidR="0045496E" w:rsidRPr="004952C0" w:rsidRDefault="00E456D4" w:rsidP="00E456D4">
      <w:pPr>
        <w:pStyle w:val="tSubsub"/>
      </w:pPr>
      <w:r w:rsidRPr="004952C0">
        <w:tab/>
      </w:r>
      <w:r w:rsidR="00FE4F8F" w:rsidRPr="004952C0">
        <w:t>(C)</w:t>
      </w:r>
      <w:r w:rsidRPr="004952C0">
        <w:tab/>
      </w:r>
      <w:proofErr w:type="gramStart"/>
      <w:r w:rsidRPr="004952C0">
        <w:t>for</w:t>
      </w:r>
      <w:proofErr w:type="gramEnd"/>
      <w:r w:rsidRPr="004952C0">
        <w:t xml:space="preserve"> a heating/cooling ventilation fan—the NCC climate zone for the building’s location</w:t>
      </w:r>
      <w:r w:rsidR="0045496E" w:rsidRPr="004952C0">
        <w:t>; and</w:t>
      </w:r>
    </w:p>
    <w:p w:rsidR="0045496E" w:rsidRPr="004952C0" w:rsidRDefault="0045496E" w:rsidP="0045496E">
      <w:pPr>
        <w:pStyle w:val="tSubpara"/>
      </w:pPr>
      <w:r w:rsidRPr="004952C0">
        <w:tab/>
      </w:r>
      <w:r w:rsidR="00FE4F8F" w:rsidRPr="004952C0">
        <w:t>(vi)</w:t>
      </w:r>
      <w:r w:rsidRPr="004952C0">
        <w:tab/>
      </w:r>
      <w:proofErr w:type="gramStart"/>
      <w:r w:rsidRPr="004952C0">
        <w:t>for</w:t>
      </w:r>
      <w:proofErr w:type="gramEnd"/>
      <w:r w:rsidRPr="004952C0">
        <w:t xml:space="preserve"> a high efficiency fan installation:</w:t>
      </w:r>
    </w:p>
    <w:p w:rsidR="0045496E" w:rsidRPr="004952C0" w:rsidRDefault="0045496E" w:rsidP="0045496E">
      <w:pPr>
        <w:pStyle w:val="tSubsub"/>
      </w:pPr>
      <w:r w:rsidRPr="004952C0">
        <w:tab/>
      </w:r>
      <w:r w:rsidR="00FE4F8F" w:rsidRPr="004952C0">
        <w:t>(A)</w:t>
      </w:r>
      <w:r w:rsidRPr="004952C0">
        <w:tab/>
      </w:r>
      <w:proofErr w:type="gramStart"/>
      <w:r w:rsidRPr="004952C0">
        <w:t>the</w:t>
      </w:r>
      <w:proofErr w:type="gramEnd"/>
      <w:r w:rsidRPr="004952C0">
        <w:t xml:space="preserve"> installation category; and</w:t>
      </w:r>
    </w:p>
    <w:p w:rsidR="0045496E" w:rsidRPr="004952C0" w:rsidRDefault="0045496E" w:rsidP="0045496E">
      <w:pPr>
        <w:pStyle w:val="tSubsub"/>
      </w:pPr>
      <w:r w:rsidRPr="004952C0">
        <w:tab/>
      </w:r>
      <w:r w:rsidR="00FE4F8F" w:rsidRPr="004952C0">
        <w:t>(B)</w:t>
      </w:r>
      <w:r w:rsidRPr="004952C0">
        <w:tab/>
      </w:r>
      <w:proofErr w:type="gramStart"/>
      <w:r w:rsidRPr="004952C0">
        <w:t>the</w:t>
      </w:r>
      <w:proofErr w:type="gramEnd"/>
      <w:r w:rsidRPr="004952C0">
        <w:t xml:space="preserve"> eligible fan type; and</w:t>
      </w:r>
    </w:p>
    <w:p w:rsidR="0045496E" w:rsidRPr="004952C0" w:rsidRDefault="0045496E" w:rsidP="0045496E">
      <w:pPr>
        <w:pStyle w:val="tSubsub"/>
      </w:pPr>
      <w:r w:rsidRPr="004952C0">
        <w:tab/>
      </w:r>
      <w:r w:rsidR="00FE4F8F" w:rsidRPr="004952C0">
        <w:t>(C)</w:t>
      </w:r>
      <w:r w:rsidRPr="004952C0">
        <w:tab/>
      </w:r>
      <w:proofErr w:type="gramStart"/>
      <w:r w:rsidRPr="004952C0">
        <w:t>in</w:t>
      </w:r>
      <w:proofErr w:type="gramEnd"/>
      <w:r w:rsidRPr="004952C0">
        <w:t xml:space="preserve"> the case of a modification or replacement—the nominal motor power of the fan, before and after the modification or replacement; and</w:t>
      </w:r>
    </w:p>
    <w:p w:rsidR="0045496E" w:rsidRPr="004952C0" w:rsidRDefault="0045496E" w:rsidP="0045496E">
      <w:pPr>
        <w:pStyle w:val="tSubpara"/>
      </w:pPr>
      <w:r w:rsidRPr="004952C0">
        <w:tab/>
      </w:r>
      <w:r w:rsidR="00FE4F8F" w:rsidRPr="004952C0">
        <w:t>(vii)</w:t>
      </w:r>
      <w:r w:rsidRPr="004952C0">
        <w:tab/>
      </w:r>
      <w:proofErr w:type="gramStart"/>
      <w:r w:rsidRPr="004952C0">
        <w:t>for</w:t>
      </w:r>
      <w:proofErr w:type="gramEnd"/>
      <w:r w:rsidRPr="004952C0">
        <w:t xml:space="preserve"> a small motor fan upgrade:</w:t>
      </w:r>
    </w:p>
    <w:p w:rsidR="0045496E" w:rsidRPr="004952C0" w:rsidRDefault="0045496E" w:rsidP="0045496E">
      <w:pPr>
        <w:pStyle w:val="tSubsub"/>
      </w:pPr>
      <w:r w:rsidRPr="004952C0">
        <w:tab/>
      </w:r>
      <w:r w:rsidR="00FE4F8F" w:rsidRPr="004952C0">
        <w:t>(A)</w:t>
      </w:r>
      <w:r w:rsidRPr="004952C0">
        <w:tab/>
      </w:r>
      <w:proofErr w:type="gramStart"/>
      <w:r w:rsidRPr="004952C0">
        <w:t>the</w:t>
      </w:r>
      <w:proofErr w:type="gramEnd"/>
      <w:r w:rsidRPr="004952C0">
        <w:t xml:space="preserve"> eligible small motor type; and</w:t>
      </w:r>
    </w:p>
    <w:p w:rsidR="0045496E" w:rsidRPr="004952C0" w:rsidRDefault="0045496E" w:rsidP="0045496E">
      <w:pPr>
        <w:pStyle w:val="tSubsub"/>
      </w:pPr>
      <w:r w:rsidRPr="004952C0">
        <w:tab/>
      </w:r>
      <w:r w:rsidR="00FE4F8F" w:rsidRPr="004952C0">
        <w:t>(B)</w:t>
      </w:r>
      <w:r w:rsidRPr="004952C0">
        <w:tab/>
      </w:r>
      <w:proofErr w:type="gramStart"/>
      <w:r w:rsidRPr="004952C0">
        <w:t>the</w:t>
      </w:r>
      <w:proofErr w:type="gramEnd"/>
      <w:r w:rsidRPr="004952C0">
        <w:t xml:space="preserve"> nominal motor power of the fan, before and after the modification or replacement; and</w:t>
      </w:r>
    </w:p>
    <w:p w:rsidR="0045496E" w:rsidRPr="004952C0" w:rsidRDefault="0045496E" w:rsidP="0045496E">
      <w:pPr>
        <w:pStyle w:val="tSubsub"/>
      </w:pPr>
      <w:r w:rsidRPr="004952C0">
        <w:tab/>
      </w:r>
      <w:r w:rsidR="00FE4F8F" w:rsidRPr="004952C0">
        <w:t>(C)</w:t>
      </w:r>
      <w:r w:rsidRPr="004952C0">
        <w:tab/>
      </w:r>
      <w:proofErr w:type="gramStart"/>
      <w:r w:rsidRPr="004952C0">
        <w:t>how</w:t>
      </w:r>
      <w:proofErr w:type="gramEnd"/>
      <w:r w:rsidRPr="004952C0">
        <w:t xml:space="preserve"> any fan or other component that is to be removed as part of the project, or in association with it, will be disposed of; and</w:t>
      </w:r>
    </w:p>
    <w:p w:rsidR="0045496E" w:rsidRPr="004952C0" w:rsidRDefault="0045496E" w:rsidP="0045496E">
      <w:pPr>
        <w:pStyle w:val="tSubpara"/>
      </w:pPr>
      <w:r w:rsidRPr="004952C0">
        <w:tab/>
      </w:r>
      <w:r w:rsidR="00FE4F8F" w:rsidRPr="004952C0">
        <w:t>(viii)</w:t>
      </w:r>
      <w:r w:rsidRPr="004952C0">
        <w:tab/>
      </w:r>
      <w:proofErr w:type="gramStart"/>
      <w:r w:rsidRPr="004952C0">
        <w:t>the</w:t>
      </w:r>
      <w:proofErr w:type="gramEnd"/>
      <w:r w:rsidRPr="004952C0">
        <w:t xml:space="preserve"> following details about the fan to be installed, the replacement motor or the replacement fan, as appropriate:</w:t>
      </w:r>
    </w:p>
    <w:p w:rsidR="0045496E" w:rsidRPr="004952C0" w:rsidRDefault="0045496E" w:rsidP="0045496E">
      <w:pPr>
        <w:pStyle w:val="tSubsub"/>
      </w:pPr>
      <w:r w:rsidRPr="004952C0">
        <w:tab/>
      </w:r>
      <w:r w:rsidR="00FE4F8F" w:rsidRPr="004952C0">
        <w:t>(A)</w:t>
      </w:r>
      <w:r w:rsidRPr="004952C0">
        <w:tab/>
      </w:r>
      <w:proofErr w:type="gramStart"/>
      <w:r w:rsidRPr="004952C0">
        <w:t>the</w:t>
      </w:r>
      <w:proofErr w:type="gramEnd"/>
      <w:r w:rsidRPr="004952C0">
        <w:t xml:space="preserve"> brand;</w:t>
      </w:r>
    </w:p>
    <w:p w:rsidR="0045496E" w:rsidRPr="004952C0" w:rsidRDefault="0045496E" w:rsidP="0045496E">
      <w:pPr>
        <w:pStyle w:val="tSubsub"/>
      </w:pPr>
      <w:r w:rsidRPr="004952C0">
        <w:lastRenderedPageBreak/>
        <w:tab/>
      </w:r>
      <w:r w:rsidR="00FE4F8F" w:rsidRPr="004952C0">
        <w:t>(B)</w:t>
      </w:r>
      <w:r w:rsidRPr="004952C0">
        <w:tab/>
      </w:r>
      <w:proofErr w:type="gramStart"/>
      <w:r w:rsidRPr="004952C0">
        <w:t>the</w:t>
      </w:r>
      <w:proofErr w:type="gramEnd"/>
      <w:r w:rsidRPr="004952C0">
        <w:t xml:space="preserve"> manufacturer;</w:t>
      </w:r>
    </w:p>
    <w:p w:rsidR="0045496E" w:rsidRPr="004952C0" w:rsidRDefault="0045496E" w:rsidP="0045496E">
      <w:pPr>
        <w:pStyle w:val="tSubsub"/>
      </w:pPr>
      <w:r w:rsidRPr="004952C0">
        <w:tab/>
      </w:r>
      <w:r w:rsidR="00FE4F8F" w:rsidRPr="004952C0">
        <w:t>(C)</w:t>
      </w:r>
      <w:r w:rsidRPr="004952C0">
        <w:tab/>
      </w:r>
      <w:proofErr w:type="gramStart"/>
      <w:r w:rsidRPr="004952C0">
        <w:t>the</w:t>
      </w:r>
      <w:proofErr w:type="gramEnd"/>
      <w:r w:rsidRPr="004952C0">
        <w:t xml:space="preserve"> model number;</w:t>
      </w:r>
    </w:p>
    <w:p w:rsidR="0045496E" w:rsidRPr="004952C0" w:rsidRDefault="0045496E" w:rsidP="0045496E">
      <w:pPr>
        <w:pStyle w:val="tPara"/>
      </w:pPr>
      <w:r w:rsidRPr="004952C0">
        <w:tab/>
      </w:r>
      <w:r w:rsidR="00FE4F8F" w:rsidRPr="004952C0">
        <w:t>(b)</w:t>
      </w:r>
      <w:r w:rsidRPr="004952C0">
        <w:tab/>
      </w:r>
      <w:proofErr w:type="gramStart"/>
      <w:r w:rsidRPr="004952C0">
        <w:t>for</w:t>
      </w:r>
      <w:proofErr w:type="gramEnd"/>
      <w:r w:rsidRPr="004952C0">
        <w:t xml:space="preserve"> each fan to be installed, modified or replaced that is not identified at the time of the application—the class of installation, modification or replacement.</w:t>
      </w:r>
    </w:p>
    <w:p w:rsidR="0045496E" w:rsidRPr="004952C0" w:rsidRDefault="0045496E" w:rsidP="0045496E">
      <w:pPr>
        <w:pStyle w:val="tMain"/>
      </w:pPr>
      <w:r w:rsidRPr="004952C0">
        <w:tab/>
      </w:r>
      <w:r w:rsidR="00FE4F8F" w:rsidRPr="004952C0">
        <w:t>(2)</w:t>
      </w:r>
      <w:r w:rsidRPr="004952C0">
        <w:tab/>
        <w:t>For paragraph </w:t>
      </w:r>
      <w:r w:rsidR="00934AC6" w:rsidRPr="004952C0">
        <w:t>(1</w:t>
      </w:r>
      <w:proofErr w:type="gramStart"/>
      <w:r w:rsidR="00934AC6" w:rsidRPr="004952C0">
        <w:t>)(</w:t>
      </w:r>
      <w:proofErr w:type="gramEnd"/>
      <w:r w:rsidR="00934AC6" w:rsidRPr="004952C0">
        <w:t>b)</w:t>
      </w:r>
      <w:r w:rsidRPr="004952C0">
        <w:t>, a class must relate to:</w:t>
      </w:r>
    </w:p>
    <w:p w:rsidR="0045496E" w:rsidRPr="004952C0" w:rsidRDefault="0045496E" w:rsidP="0045496E">
      <w:pPr>
        <w:pStyle w:val="tPara"/>
      </w:pPr>
      <w:r w:rsidRPr="004952C0">
        <w:tab/>
      </w:r>
      <w:r w:rsidR="00FE4F8F" w:rsidRPr="004952C0">
        <w:t>(a)</w:t>
      </w:r>
      <w:r w:rsidRPr="004952C0">
        <w:tab/>
      </w:r>
      <w:proofErr w:type="gramStart"/>
      <w:r w:rsidRPr="004952C0">
        <w:t>either</w:t>
      </w:r>
      <w:proofErr w:type="gramEnd"/>
      <w:r w:rsidRPr="004952C0">
        <w:t xml:space="preserve"> refrigeration fans or ventilation fans (but not both); and</w:t>
      </w:r>
    </w:p>
    <w:p w:rsidR="0045496E" w:rsidRPr="004952C0" w:rsidRDefault="0045496E" w:rsidP="0045496E">
      <w:pPr>
        <w:pStyle w:val="tPara"/>
      </w:pPr>
      <w:r w:rsidRPr="004952C0">
        <w:tab/>
      </w:r>
      <w:r w:rsidR="00FE4F8F" w:rsidRPr="004952C0">
        <w:t>(b)</w:t>
      </w:r>
      <w:r w:rsidRPr="004952C0">
        <w:tab/>
      </w:r>
      <w:proofErr w:type="gramStart"/>
      <w:r w:rsidRPr="004952C0">
        <w:t>for</w:t>
      </w:r>
      <w:proofErr w:type="gramEnd"/>
      <w:r w:rsidRPr="004952C0">
        <w:t xml:space="preserve"> refrigeration fans—refrigeration systems of the same type; and</w:t>
      </w:r>
    </w:p>
    <w:p w:rsidR="00582202" w:rsidRPr="004952C0" w:rsidRDefault="0045496E" w:rsidP="0045496E">
      <w:pPr>
        <w:pStyle w:val="tPara"/>
      </w:pPr>
      <w:r w:rsidRPr="004952C0">
        <w:tab/>
      </w:r>
      <w:r w:rsidR="00FE4F8F" w:rsidRPr="004952C0">
        <w:t>(c)</w:t>
      </w:r>
      <w:r w:rsidRPr="004952C0">
        <w:tab/>
      </w:r>
      <w:proofErr w:type="gramStart"/>
      <w:r w:rsidRPr="004952C0">
        <w:t>for</w:t>
      </w:r>
      <w:proofErr w:type="gramEnd"/>
      <w:r w:rsidRPr="004952C0">
        <w:t xml:space="preserve"> ventilation fans</w:t>
      </w:r>
      <w:r w:rsidR="00582202" w:rsidRPr="004952C0">
        <w:t>:</w:t>
      </w:r>
    </w:p>
    <w:p w:rsidR="00582202" w:rsidRPr="004952C0" w:rsidRDefault="00582202" w:rsidP="00582202">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00964196" w:rsidRPr="004952C0">
        <w:t>buildings</w:t>
      </w:r>
      <w:proofErr w:type="gramEnd"/>
      <w:r w:rsidR="00964196" w:rsidRPr="004952C0">
        <w:t xml:space="preserve"> of the same </w:t>
      </w:r>
      <w:r w:rsidR="00822DE4" w:rsidRPr="004952C0">
        <w:t>building type</w:t>
      </w:r>
      <w:r w:rsidRPr="004952C0">
        <w:t>; and</w:t>
      </w:r>
    </w:p>
    <w:p w:rsidR="00582202" w:rsidRPr="004952C0" w:rsidRDefault="00582202" w:rsidP="00582202">
      <w:pPr>
        <w:pStyle w:val="tSubpara"/>
      </w:pPr>
      <w:r w:rsidRPr="004952C0">
        <w:tab/>
      </w:r>
      <w:r w:rsidR="00FE4F8F" w:rsidRPr="004952C0">
        <w:t>(ii)</w:t>
      </w:r>
      <w:r w:rsidRPr="004952C0">
        <w:tab/>
      </w:r>
      <w:proofErr w:type="gramStart"/>
      <w:r w:rsidRPr="004952C0">
        <w:t>for</w:t>
      </w:r>
      <w:proofErr w:type="gramEnd"/>
      <w:r w:rsidRPr="004952C0">
        <w:t xml:space="preserve"> heating/cooling ventilation fans—</w:t>
      </w:r>
      <w:r w:rsidR="00A27BD6" w:rsidRPr="004952C0">
        <w:t xml:space="preserve">buildings that are in </w:t>
      </w:r>
      <w:r w:rsidRPr="004952C0">
        <w:t>the same NCC climate zone; and</w:t>
      </w:r>
    </w:p>
    <w:p w:rsidR="0045496E" w:rsidRPr="004952C0" w:rsidRDefault="0045496E" w:rsidP="0045496E">
      <w:pPr>
        <w:pStyle w:val="tPara"/>
      </w:pPr>
      <w:r w:rsidRPr="004952C0">
        <w:tab/>
      </w:r>
      <w:r w:rsidR="00FE4F8F" w:rsidRPr="004952C0">
        <w:t>(d)</w:t>
      </w:r>
      <w:r w:rsidRPr="004952C0">
        <w:tab/>
      </w:r>
      <w:proofErr w:type="gramStart"/>
      <w:r w:rsidRPr="004952C0">
        <w:t>for</w:t>
      </w:r>
      <w:proofErr w:type="gramEnd"/>
      <w:r w:rsidRPr="004952C0">
        <w:t xml:space="preserve"> high efficiency fan installations:</w:t>
      </w:r>
    </w:p>
    <w:p w:rsidR="0045496E" w:rsidRPr="004952C0" w:rsidRDefault="0045496E" w:rsidP="0045496E">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one</w:t>
      </w:r>
      <w:proofErr w:type="gramEnd"/>
      <w:r w:rsidRPr="004952C0">
        <w:t xml:space="preserve"> only of installations, modifications and replacements; and</w:t>
      </w:r>
    </w:p>
    <w:p w:rsidR="0045496E" w:rsidRPr="004952C0" w:rsidRDefault="0045496E" w:rsidP="0045496E">
      <w:pPr>
        <w:pStyle w:val="tSubpara"/>
      </w:pPr>
      <w:r w:rsidRPr="004952C0">
        <w:tab/>
      </w:r>
      <w:r w:rsidR="00FE4F8F" w:rsidRPr="004952C0">
        <w:t>(ii)</w:t>
      </w:r>
      <w:r w:rsidRPr="004952C0">
        <w:tab/>
      </w:r>
      <w:proofErr w:type="gramStart"/>
      <w:r w:rsidRPr="004952C0">
        <w:t>fans</w:t>
      </w:r>
      <w:proofErr w:type="gramEnd"/>
      <w:r w:rsidRPr="004952C0">
        <w:t xml:space="preserve"> </w:t>
      </w:r>
      <w:r w:rsidR="00724AC8" w:rsidRPr="004952C0">
        <w:t>of</w:t>
      </w:r>
      <w:r w:rsidRPr="004952C0">
        <w:t xml:space="preserve"> the same installation category; and</w:t>
      </w:r>
    </w:p>
    <w:p w:rsidR="0045496E" w:rsidRPr="004952C0" w:rsidRDefault="0045496E" w:rsidP="0045496E">
      <w:pPr>
        <w:pStyle w:val="tSubpara"/>
      </w:pPr>
      <w:r w:rsidRPr="004952C0">
        <w:tab/>
      </w:r>
      <w:r w:rsidR="00FE4F8F" w:rsidRPr="004952C0">
        <w:t>(iii)</w:t>
      </w:r>
      <w:r w:rsidRPr="004952C0">
        <w:tab/>
      </w:r>
      <w:proofErr w:type="gramStart"/>
      <w:r w:rsidRPr="004952C0">
        <w:t>fans</w:t>
      </w:r>
      <w:proofErr w:type="gramEnd"/>
      <w:r w:rsidRPr="004952C0">
        <w:t xml:space="preserve"> with the same eligible fan type; and</w:t>
      </w:r>
    </w:p>
    <w:p w:rsidR="0045496E" w:rsidRPr="004952C0" w:rsidRDefault="0045496E" w:rsidP="0045496E">
      <w:pPr>
        <w:pStyle w:val="tPara"/>
      </w:pPr>
      <w:r w:rsidRPr="004952C0">
        <w:tab/>
      </w:r>
      <w:r w:rsidR="00FE4F8F" w:rsidRPr="004952C0">
        <w:t>(e)</w:t>
      </w:r>
      <w:r w:rsidRPr="004952C0">
        <w:tab/>
      </w:r>
      <w:proofErr w:type="gramStart"/>
      <w:r w:rsidRPr="004952C0">
        <w:t>for</w:t>
      </w:r>
      <w:proofErr w:type="gramEnd"/>
      <w:r w:rsidRPr="004952C0">
        <w:t xml:space="preserve"> small motor fan upgrades:</w:t>
      </w:r>
    </w:p>
    <w:p w:rsidR="0045496E" w:rsidRPr="004952C0" w:rsidRDefault="0045496E" w:rsidP="0045496E">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one</w:t>
      </w:r>
      <w:proofErr w:type="gramEnd"/>
      <w:r w:rsidRPr="004952C0">
        <w:t xml:space="preserve"> only of modifications and replacements; and</w:t>
      </w:r>
    </w:p>
    <w:p w:rsidR="0045496E" w:rsidRPr="004952C0" w:rsidRDefault="0045496E" w:rsidP="0045496E">
      <w:pPr>
        <w:pStyle w:val="tSubpara"/>
      </w:pPr>
      <w:r w:rsidRPr="004952C0">
        <w:tab/>
      </w:r>
      <w:r w:rsidR="00FE4F8F" w:rsidRPr="004952C0">
        <w:t>(ii)</w:t>
      </w:r>
      <w:r w:rsidRPr="004952C0">
        <w:tab/>
      </w:r>
      <w:proofErr w:type="gramStart"/>
      <w:r w:rsidRPr="004952C0">
        <w:t>fans</w:t>
      </w:r>
      <w:proofErr w:type="gramEnd"/>
      <w:r w:rsidRPr="004952C0">
        <w:t xml:space="preserve"> with</w:t>
      </w:r>
      <w:r w:rsidRPr="004952C0">
        <w:tab/>
        <w:t>the same eligible small motor type; and</w:t>
      </w:r>
    </w:p>
    <w:p w:rsidR="0045496E" w:rsidRPr="004952C0" w:rsidRDefault="0045496E" w:rsidP="0045496E">
      <w:pPr>
        <w:pStyle w:val="tPara"/>
      </w:pPr>
      <w:r w:rsidRPr="004952C0">
        <w:tab/>
      </w:r>
      <w:r w:rsidR="00FE4F8F" w:rsidRPr="004952C0">
        <w:t>(f)</w:t>
      </w:r>
      <w:r w:rsidRPr="004952C0">
        <w:tab/>
      </w:r>
      <w:proofErr w:type="gramStart"/>
      <w:r w:rsidRPr="004952C0">
        <w:t>fans</w:t>
      </w:r>
      <w:proofErr w:type="gramEnd"/>
      <w:r w:rsidRPr="004952C0">
        <w:t xml:space="preserve"> or motors with:</w:t>
      </w:r>
    </w:p>
    <w:p w:rsidR="0045496E" w:rsidRPr="004952C0" w:rsidRDefault="0045496E" w:rsidP="0045496E">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the</w:t>
      </w:r>
      <w:proofErr w:type="gramEnd"/>
      <w:r w:rsidRPr="004952C0">
        <w:t xml:space="preserve"> same brand; and</w:t>
      </w:r>
    </w:p>
    <w:p w:rsidR="0045496E" w:rsidRPr="004952C0" w:rsidRDefault="0045496E" w:rsidP="0045496E">
      <w:pPr>
        <w:pStyle w:val="tSubpara"/>
      </w:pPr>
      <w:r w:rsidRPr="004952C0">
        <w:tab/>
      </w:r>
      <w:r w:rsidR="00FE4F8F" w:rsidRPr="004952C0">
        <w:t>(ii)</w:t>
      </w:r>
      <w:r w:rsidRPr="004952C0">
        <w:tab/>
      </w:r>
      <w:proofErr w:type="gramStart"/>
      <w:r w:rsidRPr="004952C0">
        <w:t>the</w:t>
      </w:r>
      <w:proofErr w:type="gramEnd"/>
      <w:r w:rsidRPr="004952C0">
        <w:t xml:space="preserve"> same manufacturer; and</w:t>
      </w:r>
    </w:p>
    <w:p w:rsidR="0045496E" w:rsidRPr="004952C0" w:rsidRDefault="0045496E" w:rsidP="0045496E">
      <w:pPr>
        <w:pStyle w:val="tSubpara"/>
      </w:pPr>
      <w:r w:rsidRPr="004952C0">
        <w:tab/>
      </w:r>
      <w:r w:rsidR="00FE4F8F" w:rsidRPr="004952C0">
        <w:t>(iii)</w:t>
      </w:r>
      <w:r w:rsidRPr="004952C0">
        <w:tab/>
      </w:r>
      <w:proofErr w:type="gramStart"/>
      <w:r w:rsidRPr="004952C0">
        <w:t>the</w:t>
      </w:r>
      <w:proofErr w:type="gramEnd"/>
      <w:r w:rsidRPr="004952C0">
        <w:t xml:space="preserve"> same model number; and</w:t>
      </w:r>
    </w:p>
    <w:p w:rsidR="0045496E" w:rsidRPr="004952C0" w:rsidRDefault="0045496E" w:rsidP="0045496E">
      <w:pPr>
        <w:pStyle w:val="tSubpara"/>
      </w:pPr>
      <w:r w:rsidRPr="004952C0">
        <w:tab/>
      </w:r>
      <w:r w:rsidR="00FE4F8F" w:rsidRPr="004952C0">
        <w:t>(iv)</w:t>
      </w:r>
      <w:r w:rsidRPr="004952C0">
        <w:tab/>
      </w:r>
      <w:proofErr w:type="gramStart"/>
      <w:r w:rsidRPr="004952C0">
        <w:t>the</w:t>
      </w:r>
      <w:proofErr w:type="gramEnd"/>
      <w:r w:rsidRPr="004952C0">
        <w:t xml:space="preserve"> same motor input power.</w:t>
      </w:r>
    </w:p>
    <w:p w:rsidR="0045496E" w:rsidRPr="004952C0" w:rsidRDefault="00FE4F8F" w:rsidP="0045496E">
      <w:pPr>
        <w:pStyle w:val="h5Section"/>
      </w:pPr>
      <w:bookmarkStart w:id="32" w:name="_Toc431466265"/>
      <w:proofErr w:type="gramStart"/>
      <w:r w:rsidRPr="004952C0">
        <w:t>12</w:t>
      </w:r>
      <w:r w:rsidR="0045496E" w:rsidRPr="004952C0">
        <w:t xml:space="preserve">  Fans</w:t>
      </w:r>
      <w:proofErr w:type="gramEnd"/>
      <w:r w:rsidR="0045496E" w:rsidRPr="004952C0">
        <w:t xml:space="preserve"> excluded from determination</w:t>
      </w:r>
      <w:bookmarkEnd w:id="32"/>
    </w:p>
    <w:p w:rsidR="0045496E" w:rsidRPr="004952C0" w:rsidRDefault="0045496E" w:rsidP="0045496E">
      <w:pPr>
        <w:pStyle w:val="tMain"/>
      </w:pPr>
      <w:r w:rsidRPr="004952C0">
        <w:tab/>
      </w:r>
      <w:r w:rsidR="00942289" w:rsidRPr="004952C0">
        <w:t>(1)</w:t>
      </w:r>
      <w:r w:rsidRPr="004952C0">
        <w:tab/>
        <w:t xml:space="preserve">A refrigeration and ventilation fan project is not an eligible offsets project if it involves, as part of the project, installing, </w:t>
      </w:r>
      <w:r w:rsidR="00023904" w:rsidRPr="004952C0">
        <w:t xml:space="preserve">modifying </w:t>
      </w:r>
      <w:r w:rsidRPr="004952C0">
        <w:t>or replacing a fan that is used:</w:t>
      </w:r>
    </w:p>
    <w:p w:rsidR="0045496E" w:rsidRPr="004952C0" w:rsidRDefault="0045496E" w:rsidP="0045496E">
      <w:pPr>
        <w:pStyle w:val="tPara"/>
      </w:pPr>
      <w:r w:rsidRPr="004952C0">
        <w:tab/>
      </w:r>
      <w:r w:rsidR="00FE4F8F" w:rsidRPr="004952C0">
        <w:t>(a)</w:t>
      </w:r>
      <w:r w:rsidRPr="004952C0">
        <w:tab/>
      </w:r>
      <w:proofErr w:type="gramStart"/>
      <w:r w:rsidRPr="004952C0">
        <w:t>in</w:t>
      </w:r>
      <w:proofErr w:type="gramEnd"/>
      <w:r w:rsidRPr="004952C0">
        <w:t xml:space="preserve"> the case of a ventilation fan—as part of an industrial process (other than a fan that is used only for ventilating the space enclosed by the building envelope); or</w:t>
      </w:r>
    </w:p>
    <w:p w:rsidR="0045496E" w:rsidRPr="004952C0" w:rsidRDefault="0045496E" w:rsidP="0045496E">
      <w:pPr>
        <w:pStyle w:val="tPara"/>
      </w:pPr>
      <w:r w:rsidRPr="004952C0">
        <w:tab/>
      </w:r>
      <w:r w:rsidR="00FE4F8F" w:rsidRPr="004952C0">
        <w:t>(b)</w:t>
      </w:r>
      <w:r w:rsidRPr="004952C0">
        <w:tab/>
      </w:r>
      <w:proofErr w:type="gramStart"/>
      <w:r w:rsidRPr="004952C0">
        <w:t>exclusively</w:t>
      </w:r>
      <w:proofErr w:type="gramEnd"/>
      <w:r w:rsidRPr="004952C0">
        <w:t xml:space="preserve"> for smoke extraction or emergency smoke extraction; or</w:t>
      </w:r>
    </w:p>
    <w:p w:rsidR="0045496E" w:rsidRPr="004952C0" w:rsidRDefault="0045496E" w:rsidP="0045496E">
      <w:pPr>
        <w:pStyle w:val="tPara"/>
      </w:pPr>
      <w:r w:rsidRPr="004952C0">
        <w:tab/>
      </w:r>
      <w:r w:rsidR="00FE4F8F" w:rsidRPr="004952C0">
        <w:t>(c)</w:t>
      </w:r>
      <w:r w:rsidRPr="004952C0">
        <w:tab/>
      </w:r>
      <w:proofErr w:type="gramStart"/>
      <w:r w:rsidRPr="004952C0">
        <w:t>exclusively</w:t>
      </w:r>
      <w:proofErr w:type="gramEnd"/>
      <w:r w:rsidRPr="004952C0">
        <w:t xml:space="preserve"> for applications for which the operation is infrequent (other than a heating/cooling ventilation fan); or</w:t>
      </w:r>
    </w:p>
    <w:p w:rsidR="0045496E" w:rsidRPr="004952C0" w:rsidRDefault="0045496E" w:rsidP="0045496E">
      <w:pPr>
        <w:pStyle w:val="nPara"/>
      </w:pPr>
      <w:r w:rsidRPr="004952C0">
        <w:t>Note:</w:t>
      </w:r>
      <w:r w:rsidRPr="004952C0">
        <w:tab/>
        <w:t>An example of a fan excluded by paragraph </w:t>
      </w:r>
      <w:r w:rsidR="00934AC6" w:rsidRPr="004952C0">
        <w:t>(c)</w:t>
      </w:r>
      <w:r w:rsidRPr="004952C0">
        <w:t xml:space="preserve"> is a fan that is used only in emergency operations.</w:t>
      </w:r>
    </w:p>
    <w:p w:rsidR="0045496E" w:rsidRPr="004952C0" w:rsidRDefault="0045496E" w:rsidP="0045496E">
      <w:pPr>
        <w:pStyle w:val="tPara"/>
      </w:pPr>
      <w:r w:rsidRPr="004952C0">
        <w:tab/>
      </w:r>
      <w:r w:rsidR="00FE4F8F" w:rsidRPr="004952C0">
        <w:t>(d)</w:t>
      </w:r>
      <w:r w:rsidRPr="004952C0">
        <w:tab/>
      </w:r>
      <w:proofErr w:type="gramStart"/>
      <w:r w:rsidRPr="004952C0">
        <w:t>exclusively</w:t>
      </w:r>
      <w:proofErr w:type="gramEnd"/>
      <w:r w:rsidRPr="004952C0">
        <w:t xml:space="preserve"> for pressurising 1 or more stairwells; or</w:t>
      </w:r>
    </w:p>
    <w:p w:rsidR="0045496E" w:rsidRPr="004952C0" w:rsidRDefault="0045496E" w:rsidP="0045496E">
      <w:pPr>
        <w:pStyle w:val="tPara"/>
      </w:pPr>
      <w:r w:rsidRPr="004952C0">
        <w:tab/>
      </w:r>
      <w:r w:rsidR="00FE4F8F" w:rsidRPr="004952C0">
        <w:t>(e)</w:t>
      </w:r>
      <w:r w:rsidRPr="004952C0">
        <w:tab/>
      </w:r>
      <w:proofErr w:type="gramStart"/>
      <w:r w:rsidRPr="004952C0">
        <w:t>in</w:t>
      </w:r>
      <w:proofErr w:type="gramEnd"/>
      <w:r w:rsidRPr="004952C0">
        <w:t xml:space="preserve"> a fume cupboard; or</w:t>
      </w:r>
    </w:p>
    <w:p w:rsidR="0045496E" w:rsidRPr="004952C0" w:rsidRDefault="0045496E" w:rsidP="0045496E">
      <w:pPr>
        <w:pStyle w:val="tPara"/>
      </w:pPr>
      <w:r w:rsidRPr="004952C0">
        <w:tab/>
      </w:r>
      <w:r w:rsidR="00FE4F8F" w:rsidRPr="004952C0">
        <w:t>(f)</w:t>
      </w:r>
      <w:r w:rsidRPr="004952C0">
        <w:tab/>
      </w:r>
      <w:proofErr w:type="gramStart"/>
      <w:r w:rsidRPr="004952C0">
        <w:t>for</w:t>
      </w:r>
      <w:proofErr w:type="gramEnd"/>
      <w:r w:rsidRPr="004952C0">
        <w:t xml:space="preserve"> a potentially explosive atmosphere; or</w:t>
      </w:r>
    </w:p>
    <w:p w:rsidR="004F40BD" w:rsidRPr="004952C0" w:rsidRDefault="0045496E" w:rsidP="0045496E">
      <w:pPr>
        <w:pStyle w:val="tPara"/>
      </w:pPr>
      <w:r w:rsidRPr="004952C0">
        <w:tab/>
      </w:r>
      <w:r w:rsidR="00FE4F8F" w:rsidRPr="004952C0">
        <w:t>(g)</w:t>
      </w:r>
      <w:r w:rsidRPr="004952C0">
        <w:tab/>
      </w:r>
      <w:proofErr w:type="gramStart"/>
      <w:r w:rsidRPr="004952C0">
        <w:t>as</w:t>
      </w:r>
      <w:proofErr w:type="gramEnd"/>
      <w:r w:rsidRPr="004952C0">
        <w:t xml:space="preserve"> a jet fan in car parking or tunnel applications</w:t>
      </w:r>
      <w:r w:rsidR="004F40BD" w:rsidRPr="004952C0">
        <w:t>; or</w:t>
      </w:r>
    </w:p>
    <w:p w:rsidR="008D3199" w:rsidRPr="004952C0" w:rsidRDefault="008D3199" w:rsidP="008D3199">
      <w:pPr>
        <w:pStyle w:val="tPara"/>
      </w:pPr>
      <w:r w:rsidRPr="004952C0">
        <w:tab/>
      </w:r>
      <w:r w:rsidR="00FE4F8F" w:rsidRPr="004952C0">
        <w:t>(h)</w:t>
      </w:r>
      <w:r w:rsidRPr="004952C0">
        <w:tab/>
      </w:r>
      <w:proofErr w:type="gramStart"/>
      <w:r w:rsidRPr="004952C0">
        <w:t>as</w:t>
      </w:r>
      <w:proofErr w:type="gramEnd"/>
      <w:r w:rsidRPr="004952C0">
        <w:t xml:space="preserve"> a ventilation fan in a building </w:t>
      </w:r>
      <w:r w:rsidR="008E2157" w:rsidRPr="004952C0">
        <w:t xml:space="preserve">or structure </w:t>
      </w:r>
      <w:r w:rsidRPr="004952C0">
        <w:t xml:space="preserve">that is not of a building type listed in </w:t>
      </w:r>
      <w:r w:rsidR="00934AC6" w:rsidRPr="004952C0">
        <w:t>Schedule 2</w:t>
      </w:r>
      <w:r w:rsidRPr="004952C0">
        <w:t>; or</w:t>
      </w:r>
    </w:p>
    <w:p w:rsidR="0045496E" w:rsidRPr="004952C0" w:rsidRDefault="004F40BD" w:rsidP="004F40BD">
      <w:pPr>
        <w:pStyle w:val="t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in</w:t>
      </w:r>
      <w:proofErr w:type="gramEnd"/>
      <w:r w:rsidRPr="004952C0">
        <w:t xml:space="preserve"> a building with a </w:t>
      </w:r>
      <w:r w:rsidR="00456801" w:rsidRPr="004952C0">
        <w:t>building type of BCA c</w:t>
      </w:r>
      <w:r w:rsidRPr="004952C0">
        <w:t>lass 2 (multi</w:t>
      </w:r>
      <w:r w:rsidRPr="004952C0">
        <w:noBreakHyphen/>
      </w:r>
      <w:proofErr w:type="spellStart"/>
      <w:r w:rsidRPr="004952C0">
        <w:t>unit</w:t>
      </w:r>
      <w:proofErr w:type="spellEnd"/>
      <w:r w:rsidRPr="004952C0">
        <w:t xml:space="preserve"> dwellings), other than a fan that:</w:t>
      </w:r>
    </w:p>
    <w:p w:rsidR="004F40BD" w:rsidRPr="004952C0" w:rsidRDefault="004F40BD" w:rsidP="004F40BD">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provides</w:t>
      </w:r>
      <w:proofErr w:type="gramEnd"/>
      <w:r w:rsidRPr="004952C0">
        <w:t xml:space="preserve"> services to the common areas of the building; or</w:t>
      </w:r>
    </w:p>
    <w:p w:rsidR="00942289" w:rsidRPr="004952C0" w:rsidRDefault="004F40BD" w:rsidP="004F40BD">
      <w:pPr>
        <w:pStyle w:val="tSubpara"/>
      </w:pPr>
      <w:r w:rsidRPr="004952C0">
        <w:tab/>
      </w:r>
      <w:r w:rsidR="00FE4F8F" w:rsidRPr="004952C0">
        <w:t>(ii)</w:t>
      </w:r>
      <w:r w:rsidRPr="004952C0">
        <w:tab/>
      </w:r>
      <w:proofErr w:type="gramStart"/>
      <w:r w:rsidRPr="004952C0">
        <w:t>is</w:t>
      </w:r>
      <w:proofErr w:type="gramEnd"/>
      <w:r w:rsidRPr="004952C0">
        <w:t xml:space="preserve"> otherwise operated or maintained by the body corporate or building owner</w:t>
      </w:r>
      <w:r w:rsidR="00942289" w:rsidRPr="004952C0">
        <w:t>.</w:t>
      </w:r>
    </w:p>
    <w:p w:rsidR="004563BD" w:rsidRPr="004952C0" w:rsidRDefault="00942289" w:rsidP="00942289">
      <w:pPr>
        <w:pStyle w:val="tMain"/>
      </w:pPr>
      <w:r w:rsidRPr="004952C0">
        <w:tab/>
        <w:t>(2)</w:t>
      </w:r>
      <w:r w:rsidRPr="004952C0">
        <w:tab/>
        <w:t xml:space="preserve">A refrigeration and ventilation fan project is not an eligible offsets project if </w:t>
      </w:r>
      <w:r w:rsidR="001C4AFA" w:rsidRPr="004952C0">
        <w:t xml:space="preserve">it </w:t>
      </w:r>
      <w:r w:rsidRPr="004952C0">
        <w:t xml:space="preserve">involves </w:t>
      </w:r>
      <w:r w:rsidR="00036295" w:rsidRPr="004952C0">
        <w:t>a</w:t>
      </w:r>
      <w:r w:rsidR="00960A60" w:rsidRPr="004952C0">
        <w:t>n installed HE</w:t>
      </w:r>
      <w:r w:rsidR="00036295" w:rsidRPr="004952C0">
        <w:t xml:space="preserve"> fan that</w:t>
      </w:r>
      <w:r w:rsidR="00960A60" w:rsidRPr="004952C0">
        <w:t xml:space="preserve"> </w:t>
      </w:r>
      <w:r w:rsidRPr="004952C0">
        <w:t>is</w:t>
      </w:r>
      <w:r w:rsidR="001C4AFA" w:rsidRPr="004952C0">
        <w:t>:</w:t>
      </w:r>
    </w:p>
    <w:p w:rsidR="00E45FC2" w:rsidRPr="004952C0" w:rsidRDefault="00942289" w:rsidP="00942289">
      <w:pPr>
        <w:pStyle w:val="tPara"/>
      </w:pPr>
      <w:r w:rsidRPr="004952C0">
        <w:lastRenderedPageBreak/>
        <w:tab/>
        <w:t>(a)</w:t>
      </w:r>
      <w:r w:rsidRPr="004952C0">
        <w:tab/>
      </w:r>
      <w:proofErr w:type="gramStart"/>
      <w:r w:rsidR="00E45FC2" w:rsidRPr="004952C0">
        <w:t>a</w:t>
      </w:r>
      <w:proofErr w:type="gramEnd"/>
      <w:r w:rsidR="00E45FC2" w:rsidRPr="004952C0">
        <w:t xml:space="preserve"> cross</w:t>
      </w:r>
      <w:r w:rsidR="00E45FC2" w:rsidRPr="004952C0">
        <w:noBreakHyphen/>
      </w:r>
      <w:proofErr w:type="spellStart"/>
      <w:r w:rsidR="00E45FC2" w:rsidRPr="004952C0">
        <w:t>flow</w:t>
      </w:r>
      <w:proofErr w:type="spellEnd"/>
      <w:r w:rsidR="00E45FC2" w:rsidRPr="004952C0">
        <w:t xml:space="preserve"> fan </w:t>
      </w:r>
      <w:r w:rsidR="0003066C" w:rsidRPr="004952C0">
        <w:t xml:space="preserve">of </w:t>
      </w:r>
      <w:r w:rsidR="00E45FC2" w:rsidRPr="004952C0">
        <w:t>installation category A</w:t>
      </w:r>
      <w:r w:rsidR="00445D78" w:rsidRPr="004952C0">
        <w:t xml:space="preserve"> or </w:t>
      </w:r>
      <w:r w:rsidR="00E45FC2" w:rsidRPr="004952C0">
        <w:t>installation category C; or</w:t>
      </w:r>
    </w:p>
    <w:p w:rsidR="004563BD" w:rsidRPr="004952C0" w:rsidRDefault="00942289" w:rsidP="00942289">
      <w:pPr>
        <w:pStyle w:val="tPara"/>
      </w:pPr>
      <w:r w:rsidRPr="004952C0">
        <w:tab/>
        <w:t>(b)</w:t>
      </w:r>
      <w:r w:rsidRPr="004952C0">
        <w:tab/>
      </w:r>
      <w:proofErr w:type="gramStart"/>
      <w:r w:rsidR="004563BD" w:rsidRPr="004952C0">
        <w:t>a</w:t>
      </w:r>
      <w:proofErr w:type="gramEnd"/>
      <w:r w:rsidR="004563BD" w:rsidRPr="004952C0">
        <w:t xml:space="preserve"> centrifugal backward</w:t>
      </w:r>
      <w:r w:rsidR="004563BD" w:rsidRPr="004952C0">
        <w:noBreakHyphen/>
      </w:r>
      <w:proofErr w:type="spellStart"/>
      <w:r w:rsidR="004563BD" w:rsidRPr="004952C0">
        <w:t>curved</w:t>
      </w:r>
      <w:proofErr w:type="spellEnd"/>
      <w:r w:rsidR="004563BD" w:rsidRPr="004952C0">
        <w:t xml:space="preserve"> fan without a housing </w:t>
      </w:r>
      <w:r w:rsidR="0003066C" w:rsidRPr="004952C0">
        <w:t xml:space="preserve">of </w:t>
      </w:r>
      <w:r w:rsidR="004563BD" w:rsidRPr="004952C0">
        <w:t>installation category B</w:t>
      </w:r>
      <w:r w:rsidR="00445D78" w:rsidRPr="004952C0">
        <w:t xml:space="preserve"> or </w:t>
      </w:r>
      <w:r w:rsidR="004563BD" w:rsidRPr="004952C0">
        <w:t>installation category D</w:t>
      </w:r>
      <w:r w:rsidR="00E45FC2" w:rsidRPr="004952C0">
        <w:t>.</w:t>
      </w:r>
    </w:p>
    <w:p w:rsidR="00E25D0C" w:rsidRPr="004952C0" w:rsidRDefault="00E25D0C" w:rsidP="00E25D0C">
      <w:pPr>
        <w:pStyle w:val="ntoHeading"/>
      </w:pPr>
      <w:r w:rsidRPr="004952C0">
        <w:t>Note:</w:t>
      </w:r>
      <w:r w:rsidRPr="004952C0">
        <w:tab/>
        <w:t>This section does not prevent a project proponent from installing, modifying or replacing any of the above while undertaking the project. However, the project proponent is not able to attribute any such installation, modification or replacement to the project, and is not able to calculate abatement in relation to any such installation, modification or replacement.</w:t>
      </w:r>
    </w:p>
    <w:p w:rsidR="0045496E" w:rsidRPr="004952C0" w:rsidRDefault="00FE4F8F" w:rsidP="0045496E">
      <w:pPr>
        <w:pStyle w:val="h5Section"/>
      </w:pPr>
      <w:bookmarkStart w:id="33" w:name="_Toc431466266"/>
      <w:proofErr w:type="gramStart"/>
      <w:r w:rsidRPr="004952C0">
        <w:t>13</w:t>
      </w:r>
      <w:r w:rsidR="0045496E" w:rsidRPr="004952C0">
        <w:t xml:space="preserve">  Requirement</w:t>
      </w:r>
      <w:proofErr w:type="gramEnd"/>
      <w:r w:rsidR="0045496E" w:rsidRPr="004952C0">
        <w:t xml:space="preserve"> for fans and components to be new</w:t>
      </w:r>
      <w:bookmarkEnd w:id="33"/>
    </w:p>
    <w:p w:rsidR="0045496E" w:rsidRPr="004952C0" w:rsidRDefault="0045496E" w:rsidP="0045496E">
      <w:pPr>
        <w:pStyle w:val="tMain"/>
      </w:pPr>
      <w:r w:rsidRPr="004952C0">
        <w:tab/>
      </w:r>
      <w:r w:rsidRPr="004952C0">
        <w:tab/>
        <w:t>The following must, at the date of commission, be new:</w:t>
      </w:r>
    </w:p>
    <w:p w:rsidR="0045496E" w:rsidRPr="004952C0" w:rsidRDefault="0045496E" w:rsidP="0045496E">
      <w:pPr>
        <w:pStyle w:val="tPara"/>
      </w:pPr>
      <w:r w:rsidRPr="004952C0">
        <w:tab/>
      </w:r>
      <w:r w:rsidR="00FE4F8F" w:rsidRPr="004952C0">
        <w:t>(a)</w:t>
      </w:r>
      <w:r w:rsidRPr="004952C0">
        <w:tab/>
      </w:r>
      <w:proofErr w:type="gramStart"/>
      <w:r w:rsidRPr="004952C0">
        <w:t>each</w:t>
      </w:r>
      <w:proofErr w:type="gramEnd"/>
      <w:r w:rsidRPr="004952C0">
        <w:t xml:space="preserve"> fan that is installed (whether as an installation or a replacement);</w:t>
      </w:r>
    </w:p>
    <w:p w:rsidR="0045496E" w:rsidRPr="004952C0" w:rsidRDefault="0045496E" w:rsidP="0045496E">
      <w:pPr>
        <w:pStyle w:val="tPara"/>
      </w:pPr>
      <w:r w:rsidRPr="004952C0">
        <w:tab/>
      </w:r>
      <w:r w:rsidR="00FE4F8F" w:rsidRPr="004952C0">
        <w:t>(b)</w:t>
      </w:r>
      <w:r w:rsidRPr="004952C0">
        <w:tab/>
      </w:r>
      <w:proofErr w:type="gramStart"/>
      <w:r w:rsidRPr="004952C0">
        <w:t>each</w:t>
      </w:r>
      <w:proofErr w:type="gramEnd"/>
      <w:r w:rsidRPr="004952C0">
        <w:t xml:space="preserve"> component that is used in the modification of a fan.</w:t>
      </w:r>
    </w:p>
    <w:p w:rsidR="0045496E" w:rsidRPr="004952C0" w:rsidRDefault="00FE4F8F" w:rsidP="0045496E">
      <w:pPr>
        <w:pStyle w:val="h3Div"/>
      </w:pPr>
      <w:bookmarkStart w:id="34" w:name="_Toc431466267"/>
      <w:r w:rsidRPr="004952C0">
        <w:t>Division 2</w:t>
      </w:r>
      <w:r w:rsidR="0045496E" w:rsidRPr="004952C0">
        <w:t>—Additional requirements for high efficiency fan installations</w:t>
      </w:r>
      <w:bookmarkEnd w:id="34"/>
    </w:p>
    <w:p w:rsidR="0045496E" w:rsidRPr="004952C0" w:rsidRDefault="00FE4F8F" w:rsidP="0045496E">
      <w:pPr>
        <w:pStyle w:val="h5Section"/>
      </w:pPr>
      <w:bookmarkStart w:id="35" w:name="_Toc431466268"/>
      <w:proofErr w:type="gramStart"/>
      <w:r w:rsidRPr="004952C0">
        <w:t>14</w:t>
      </w:r>
      <w:r w:rsidR="0045496E" w:rsidRPr="004952C0">
        <w:t xml:space="preserve">  General</w:t>
      </w:r>
      <w:proofErr w:type="gramEnd"/>
      <w:r w:rsidR="0045496E" w:rsidRPr="004952C0">
        <w:t xml:space="preserve"> requirements for high efficiency fan installation</w:t>
      </w:r>
      <w:bookmarkEnd w:id="35"/>
    </w:p>
    <w:p w:rsidR="0045496E" w:rsidRPr="004952C0" w:rsidRDefault="0045496E" w:rsidP="0045496E">
      <w:pPr>
        <w:pStyle w:val="tMain"/>
      </w:pPr>
      <w:r w:rsidRPr="004952C0">
        <w:tab/>
      </w:r>
      <w:r w:rsidR="00FE4F8F" w:rsidRPr="004952C0">
        <w:t>(1)</w:t>
      </w:r>
      <w:r w:rsidRPr="004952C0">
        <w:tab/>
        <w:t>Each installed HE fan must, at the date of commission, be a driven fan.</w:t>
      </w:r>
    </w:p>
    <w:p w:rsidR="0045496E" w:rsidRPr="004952C0" w:rsidRDefault="0045496E" w:rsidP="0045496E">
      <w:pPr>
        <w:pStyle w:val="tMain"/>
      </w:pPr>
      <w:r w:rsidRPr="004952C0">
        <w:tab/>
      </w:r>
      <w:r w:rsidR="00FE4F8F" w:rsidRPr="004952C0">
        <w:t>(2)</w:t>
      </w:r>
      <w:r w:rsidRPr="004952C0">
        <w:tab/>
        <w:t>Installation or replacement of a fan as part of a high efficiency fan installation must not consist only of the installation or replacement of an appliance that is purchased as a complete, stand-alone unit.</w:t>
      </w:r>
    </w:p>
    <w:p w:rsidR="0045496E" w:rsidRPr="004952C0" w:rsidRDefault="0045496E" w:rsidP="0045496E">
      <w:pPr>
        <w:pStyle w:val="nMain"/>
      </w:pPr>
      <w:r w:rsidRPr="004952C0">
        <w:t>Note:</w:t>
      </w:r>
      <w:r w:rsidRPr="004952C0">
        <w:tab/>
        <w:t>Examples of complete, stand</w:t>
      </w:r>
      <w:r w:rsidRPr="004952C0">
        <w:noBreakHyphen/>
        <w:t>alone units for subsection </w:t>
      </w:r>
      <w:r w:rsidR="00934AC6" w:rsidRPr="004952C0">
        <w:t>(2)</w:t>
      </w:r>
      <w:r w:rsidRPr="004952C0">
        <w:t xml:space="preserve"> include complete, stand</w:t>
      </w:r>
      <w:r w:rsidRPr="004952C0">
        <w:noBreakHyphen/>
        <w:t xml:space="preserve">alone </w:t>
      </w:r>
      <w:proofErr w:type="spellStart"/>
      <w:r w:rsidRPr="004952C0">
        <w:t>refrigerative</w:t>
      </w:r>
      <w:proofErr w:type="spellEnd"/>
      <w:r w:rsidRPr="004952C0">
        <w:t xml:space="preserve"> air conditioning units and complete, stand</w:t>
      </w:r>
      <w:r w:rsidRPr="004952C0">
        <w:noBreakHyphen/>
        <w:t>alone refrigerated display or freezer cabinets.</w:t>
      </w:r>
    </w:p>
    <w:p w:rsidR="0045496E" w:rsidRPr="004952C0" w:rsidRDefault="0045496E" w:rsidP="0045496E">
      <w:pPr>
        <w:pStyle w:val="nMain"/>
      </w:pPr>
      <w:r w:rsidRPr="004952C0">
        <w:tab/>
        <w:t>Subsection </w:t>
      </w:r>
      <w:r w:rsidR="00934AC6" w:rsidRPr="004952C0">
        <w:t>(2)</w:t>
      </w:r>
      <w:r w:rsidRPr="004952C0">
        <w:t xml:space="preserve"> does not prevent the replacement of a fan in such an appliance, so long as the replacement does not consist only of replacing the entire appliance.</w:t>
      </w:r>
    </w:p>
    <w:p w:rsidR="0045496E" w:rsidRPr="004952C0" w:rsidRDefault="0045496E" w:rsidP="0045496E">
      <w:pPr>
        <w:pStyle w:val="tMain"/>
      </w:pPr>
      <w:r w:rsidRPr="004952C0">
        <w:tab/>
      </w:r>
      <w:r w:rsidR="00FE4F8F" w:rsidRPr="004952C0">
        <w:t>(3)</w:t>
      </w:r>
      <w:r w:rsidRPr="004952C0">
        <w:tab/>
        <w:t>Subsection </w:t>
      </w:r>
      <w:r w:rsidR="00934AC6" w:rsidRPr="004952C0">
        <w:t>(2)</w:t>
      </w:r>
      <w:r w:rsidRPr="004952C0">
        <w:t xml:space="preserve"> does not apply in relation to an appliance for which the primary energy consumption is from the fan.</w:t>
      </w:r>
    </w:p>
    <w:p w:rsidR="0045496E" w:rsidRPr="004952C0" w:rsidRDefault="00FE4F8F" w:rsidP="0045496E">
      <w:pPr>
        <w:pStyle w:val="h5Section"/>
      </w:pPr>
      <w:bookmarkStart w:id="36" w:name="_Toc431466269"/>
      <w:proofErr w:type="gramStart"/>
      <w:r w:rsidRPr="004952C0">
        <w:t>15</w:t>
      </w:r>
      <w:r w:rsidR="0045496E" w:rsidRPr="004952C0">
        <w:t xml:space="preserve">  Efficiency</w:t>
      </w:r>
      <w:proofErr w:type="gramEnd"/>
      <w:r w:rsidR="0045496E" w:rsidRPr="004952C0">
        <w:t xml:space="preserve"> requirement for replacement fans</w:t>
      </w:r>
      <w:bookmarkEnd w:id="36"/>
    </w:p>
    <w:p w:rsidR="0045496E" w:rsidRPr="004952C0" w:rsidRDefault="0045496E" w:rsidP="0045496E">
      <w:pPr>
        <w:pStyle w:val="tMain"/>
      </w:pPr>
      <w:r w:rsidRPr="004952C0">
        <w:tab/>
      </w:r>
      <w:r w:rsidR="00FE4F8F" w:rsidRPr="004952C0">
        <w:t>(1)</w:t>
      </w:r>
      <w:r w:rsidRPr="004952C0">
        <w:tab/>
        <w:t>If, as part of a high efficiency fan installation:</w:t>
      </w:r>
    </w:p>
    <w:p w:rsidR="0045496E" w:rsidRPr="004952C0" w:rsidRDefault="0045496E" w:rsidP="0045496E">
      <w:pPr>
        <w:pStyle w:val="tPara"/>
      </w:pPr>
      <w:r w:rsidRPr="004952C0">
        <w:tab/>
      </w:r>
      <w:r w:rsidR="00FE4F8F" w:rsidRPr="004952C0">
        <w:t>(a)</w:t>
      </w:r>
      <w:r w:rsidRPr="004952C0">
        <w:tab/>
      </w:r>
      <w:proofErr w:type="gramStart"/>
      <w:r w:rsidRPr="004952C0">
        <w:t>a</w:t>
      </w:r>
      <w:proofErr w:type="gramEnd"/>
      <w:r w:rsidRPr="004952C0">
        <w:t xml:space="preserve"> fan (the </w:t>
      </w:r>
      <w:r w:rsidRPr="004952C0">
        <w:rPr>
          <w:b/>
          <w:i/>
        </w:rPr>
        <w:t xml:space="preserve">replacement </w:t>
      </w:r>
      <w:r w:rsidRPr="004952C0">
        <w:t xml:space="preserve">fan) is replacing a refrigeration fan or a ventilation fan that is already installed (the </w:t>
      </w:r>
      <w:r w:rsidRPr="004952C0">
        <w:rPr>
          <w:b/>
          <w:i/>
        </w:rPr>
        <w:t xml:space="preserve">original </w:t>
      </w:r>
      <w:r w:rsidRPr="004952C0">
        <w:t>fan); and</w:t>
      </w:r>
    </w:p>
    <w:p w:rsidR="0045496E" w:rsidRPr="004952C0" w:rsidRDefault="0045496E" w:rsidP="0045496E">
      <w:pPr>
        <w:pStyle w:val="tPara"/>
      </w:pPr>
      <w:r w:rsidRPr="004952C0">
        <w:tab/>
      </w:r>
      <w:r w:rsidR="00FE4F8F" w:rsidRPr="004952C0">
        <w:t>(b)</w:t>
      </w:r>
      <w:r w:rsidRPr="004952C0">
        <w:tab/>
      </w:r>
      <w:proofErr w:type="gramStart"/>
      <w:r w:rsidRPr="004952C0">
        <w:t>the</w:t>
      </w:r>
      <w:proofErr w:type="gramEnd"/>
      <w:r w:rsidRPr="004952C0">
        <w:t xml:space="preserve"> original fan is of one of the eligible fan types;</w:t>
      </w:r>
    </w:p>
    <w:p w:rsidR="0045496E" w:rsidRPr="004952C0" w:rsidRDefault="0045496E" w:rsidP="0045496E">
      <w:pPr>
        <w:pStyle w:val="tMain"/>
        <w:spacing w:before="40"/>
      </w:pPr>
      <w:r w:rsidRPr="004952C0">
        <w:tab/>
      </w:r>
      <w:r w:rsidRPr="004952C0">
        <w:tab/>
      </w:r>
      <w:proofErr w:type="gramStart"/>
      <w:r w:rsidRPr="004952C0">
        <w:t>then</w:t>
      </w:r>
      <w:proofErr w:type="gramEnd"/>
      <w:r w:rsidRPr="004952C0">
        <w:t xml:space="preserve"> the market average efficiency grade of the fan type of the replacement fan must not be less than the market average efficiency grade of the fan type of the original fan.</w:t>
      </w:r>
    </w:p>
    <w:p w:rsidR="0045496E" w:rsidRPr="004952C0" w:rsidRDefault="0045496E" w:rsidP="0045496E">
      <w:pPr>
        <w:pStyle w:val="tMain"/>
      </w:pPr>
      <w:r w:rsidRPr="004952C0">
        <w:tab/>
      </w:r>
      <w:r w:rsidR="00FE4F8F" w:rsidRPr="004952C0">
        <w:t>(2)</w:t>
      </w:r>
      <w:r w:rsidRPr="004952C0">
        <w:tab/>
        <w:t>For subsection </w:t>
      </w:r>
      <w:r w:rsidR="00934AC6" w:rsidRPr="004952C0">
        <w:t>(1)</w:t>
      </w:r>
      <w:r w:rsidRPr="004952C0">
        <w:t>, the</w:t>
      </w:r>
      <w:r w:rsidRPr="004952C0">
        <w:rPr>
          <w:b/>
          <w:i/>
        </w:rPr>
        <w:t xml:space="preserve"> market average efficiency grade</w:t>
      </w:r>
      <w:r w:rsidRPr="004952C0">
        <w:t xml:space="preserve"> of a particular fan type means the market average efficiency grade </w:t>
      </w:r>
      <w:proofErr w:type="spellStart"/>
      <w:r w:rsidRPr="004952C0">
        <w:rPr>
          <w:i/>
        </w:rPr>
        <w:t>N</w:t>
      </w:r>
      <w:r w:rsidRPr="004952C0">
        <w:rPr>
          <w:i/>
          <w:vertAlign w:val="subscript"/>
        </w:rPr>
        <w:t>ave</w:t>
      </w:r>
      <w:proofErr w:type="gramStart"/>
      <w:r w:rsidRPr="004952C0">
        <w:rPr>
          <w:i/>
          <w:vertAlign w:val="subscript"/>
        </w:rPr>
        <w:t>,i</w:t>
      </w:r>
      <w:proofErr w:type="spellEnd"/>
      <w:proofErr w:type="gramEnd"/>
      <w:r w:rsidRPr="004952C0">
        <w:t xml:space="preserve"> specified in </w:t>
      </w:r>
      <w:r w:rsidR="00934AC6" w:rsidRPr="004952C0">
        <w:t>Schedule 5</w:t>
      </w:r>
      <w:r w:rsidRPr="004952C0">
        <w:t xml:space="preserve"> for that fan type.</w:t>
      </w:r>
    </w:p>
    <w:p w:rsidR="0045496E" w:rsidRPr="004952C0" w:rsidRDefault="00FE4F8F" w:rsidP="0045496E">
      <w:pPr>
        <w:pStyle w:val="h5Section"/>
      </w:pPr>
      <w:bookmarkStart w:id="37" w:name="_Toc418869719"/>
      <w:bookmarkStart w:id="38" w:name="_Toc420940747"/>
      <w:bookmarkStart w:id="39" w:name="_Toc431466270"/>
      <w:proofErr w:type="gramStart"/>
      <w:r w:rsidRPr="004952C0">
        <w:t>16</w:t>
      </w:r>
      <w:r w:rsidR="0045496E" w:rsidRPr="004952C0">
        <w:t xml:space="preserve">  </w:t>
      </w:r>
      <w:bookmarkEnd w:id="37"/>
      <w:bookmarkEnd w:id="38"/>
      <w:r w:rsidR="0045496E" w:rsidRPr="004952C0">
        <w:t>Requirement</w:t>
      </w:r>
      <w:proofErr w:type="gramEnd"/>
      <w:r w:rsidR="0045496E" w:rsidRPr="004952C0">
        <w:t xml:space="preserve"> relating to testing for high efficiency fan installations</w:t>
      </w:r>
      <w:bookmarkEnd w:id="39"/>
    </w:p>
    <w:p w:rsidR="0045496E" w:rsidRPr="004952C0" w:rsidRDefault="0045496E" w:rsidP="0045496E">
      <w:pPr>
        <w:pStyle w:val="tMain"/>
      </w:pPr>
      <w:r w:rsidRPr="004952C0">
        <w:tab/>
      </w:r>
      <w:r w:rsidR="00FE4F8F" w:rsidRPr="004952C0">
        <w:t>(1)</w:t>
      </w:r>
      <w:r w:rsidRPr="004952C0">
        <w:tab/>
        <w:t>The model of each installed HE fan must be tested in accordance with this section to determine the parameters referred to in this section.</w:t>
      </w:r>
    </w:p>
    <w:p w:rsidR="0045496E" w:rsidRPr="004952C0" w:rsidRDefault="0045496E" w:rsidP="0045496E">
      <w:pPr>
        <w:pStyle w:val="h6Subsec"/>
      </w:pPr>
      <w:r w:rsidRPr="004952C0">
        <w:t>Requirement relating to conduct of testing</w:t>
      </w:r>
    </w:p>
    <w:p w:rsidR="0045496E" w:rsidRPr="004952C0" w:rsidRDefault="0045496E" w:rsidP="0045496E">
      <w:pPr>
        <w:pStyle w:val="tMain"/>
      </w:pPr>
      <w:r w:rsidRPr="004952C0">
        <w:tab/>
      </w:r>
      <w:r w:rsidR="00FE4F8F" w:rsidRPr="004952C0">
        <w:t>(2)</w:t>
      </w:r>
      <w:r w:rsidRPr="004952C0">
        <w:tab/>
        <w:t>The testing may be done by or on behalf of:</w:t>
      </w:r>
    </w:p>
    <w:p w:rsidR="0045496E" w:rsidRPr="004952C0" w:rsidRDefault="0045496E" w:rsidP="0045496E">
      <w:pPr>
        <w:pStyle w:val="tPara"/>
      </w:pPr>
      <w:r w:rsidRPr="004952C0">
        <w:tab/>
      </w:r>
      <w:r w:rsidR="00FE4F8F" w:rsidRPr="004952C0">
        <w:t>(a)</w:t>
      </w:r>
      <w:r w:rsidRPr="004952C0">
        <w:tab/>
      </w:r>
      <w:proofErr w:type="gramStart"/>
      <w:r w:rsidRPr="004952C0">
        <w:t>the</w:t>
      </w:r>
      <w:proofErr w:type="gramEnd"/>
      <w:r w:rsidRPr="004952C0">
        <w:t xml:space="preserve"> manufacturer or supplier of the fan; or</w:t>
      </w:r>
    </w:p>
    <w:p w:rsidR="0045496E" w:rsidRPr="004952C0" w:rsidRDefault="0045496E" w:rsidP="0045496E">
      <w:pPr>
        <w:pStyle w:val="tPara"/>
      </w:pPr>
      <w:r w:rsidRPr="004952C0">
        <w:lastRenderedPageBreak/>
        <w:tab/>
      </w:r>
      <w:r w:rsidR="00FE4F8F" w:rsidRPr="004952C0">
        <w:t>(b)</w:t>
      </w:r>
      <w:r w:rsidRPr="004952C0">
        <w:tab/>
      </w:r>
      <w:proofErr w:type="gramStart"/>
      <w:r w:rsidRPr="004952C0">
        <w:t>the</w:t>
      </w:r>
      <w:proofErr w:type="gramEnd"/>
      <w:r w:rsidRPr="004952C0">
        <w:t xml:space="preserve"> project proponent.</w:t>
      </w:r>
    </w:p>
    <w:p w:rsidR="0045496E" w:rsidRPr="004952C0" w:rsidRDefault="0045496E" w:rsidP="0045496E">
      <w:pPr>
        <w:pStyle w:val="tMain"/>
      </w:pPr>
      <w:r w:rsidRPr="004952C0">
        <w:tab/>
      </w:r>
      <w:r w:rsidR="00FE4F8F" w:rsidRPr="004952C0">
        <w:t>(3)</w:t>
      </w:r>
      <w:r w:rsidRPr="004952C0">
        <w:tab/>
        <w:t>The testing must be done by:</w:t>
      </w:r>
    </w:p>
    <w:p w:rsidR="0045496E" w:rsidRPr="004952C0" w:rsidRDefault="0045496E" w:rsidP="0045496E">
      <w:pPr>
        <w:pStyle w:val="tPara"/>
      </w:pPr>
      <w:r w:rsidRPr="004952C0">
        <w:tab/>
      </w:r>
      <w:r w:rsidR="00FE4F8F" w:rsidRPr="004952C0">
        <w:t>(a)</w:t>
      </w:r>
      <w:r w:rsidRPr="004952C0">
        <w:tab/>
      </w:r>
      <w:proofErr w:type="gramStart"/>
      <w:r w:rsidRPr="004952C0">
        <w:t>a</w:t>
      </w:r>
      <w:proofErr w:type="gramEnd"/>
      <w:r w:rsidRPr="004952C0">
        <w:t xml:space="preserve"> NATA equivalent testing laboratory in accordance with AS ISO 5801</w:t>
      </w:r>
      <w:r w:rsidRPr="004952C0">
        <w:noBreakHyphen/>
        <w:t>2004; or</w:t>
      </w:r>
    </w:p>
    <w:p w:rsidR="0045496E" w:rsidRPr="004952C0" w:rsidRDefault="0045496E" w:rsidP="0045496E">
      <w:pPr>
        <w:pStyle w:val="tPara"/>
      </w:pPr>
      <w:r w:rsidRPr="004952C0">
        <w:tab/>
      </w:r>
      <w:r w:rsidR="00FE4F8F" w:rsidRPr="004952C0">
        <w:t>(b)</w:t>
      </w:r>
      <w:r w:rsidRPr="004952C0">
        <w:tab/>
      </w:r>
      <w:proofErr w:type="gramStart"/>
      <w:r w:rsidRPr="004952C0">
        <w:t>a</w:t>
      </w:r>
      <w:proofErr w:type="gramEnd"/>
      <w:r w:rsidRPr="004952C0">
        <w:t xml:space="preserve"> testing laboratory with ISO 9001 </w:t>
      </w:r>
      <w:r w:rsidR="00D67027" w:rsidRPr="007D5192">
        <w:t xml:space="preserve">certification </w:t>
      </w:r>
      <w:r w:rsidRPr="004952C0">
        <w:t>for testing in accordance with AS ISO 5801</w:t>
      </w:r>
      <w:r w:rsidRPr="004952C0">
        <w:noBreakHyphen/>
        <w:t>2004.</w:t>
      </w:r>
    </w:p>
    <w:p w:rsidR="007844B1" w:rsidRPr="004952C0" w:rsidRDefault="007844B1" w:rsidP="007844B1">
      <w:pPr>
        <w:pStyle w:val="nMain"/>
      </w:pPr>
      <w:r w:rsidRPr="004952C0">
        <w:t>Example:</w:t>
      </w:r>
      <w:r w:rsidRPr="004952C0">
        <w:tab/>
        <w:t xml:space="preserve">A testing laboratory </w:t>
      </w:r>
      <w:r w:rsidR="00A8338C" w:rsidRPr="004952C0">
        <w:t>that is</w:t>
      </w:r>
      <w:r w:rsidR="007F1B95" w:rsidRPr="004952C0">
        <w:t xml:space="preserve"> </w:t>
      </w:r>
      <w:bookmarkStart w:id="40" w:name="_GoBack"/>
      <w:r w:rsidR="00D67027" w:rsidRPr="007D5192">
        <w:t xml:space="preserve">certified </w:t>
      </w:r>
      <w:bookmarkEnd w:id="40"/>
      <w:r w:rsidRPr="004952C0">
        <w:t xml:space="preserve">under </w:t>
      </w:r>
      <w:r w:rsidRPr="004952C0">
        <w:rPr>
          <w:i/>
        </w:rPr>
        <w:t xml:space="preserve">AS/NZS ISO 9001:2008 Quality Management systems – Requirements </w:t>
      </w:r>
      <w:r w:rsidRPr="004952C0">
        <w:t xml:space="preserve">or </w:t>
      </w:r>
      <w:r w:rsidRPr="004952C0">
        <w:rPr>
          <w:bCs/>
          <w:i/>
          <w:iCs/>
        </w:rPr>
        <w:t>ISO 9001:2015 Quality management systems – Requirements</w:t>
      </w:r>
      <w:r w:rsidRPr="004952C0">
        <w:rPr>
          <w:b/>
          <w:bCs/>
          <w:i/>
          <w:iCs/>
        </w:rPr>
        <w:t xml:space="preserve"> </w:t>
      </w:r>
      <w:r w:rsidRPr="004952C0">
        <w:rPr>
          <w:bCs/>
          <w:iCs/>
        </w:rPr>
        <w:t>for testing in accordance with</w:t>
      </w:r>
      <w:r w:rsidRPr="004952C0">
        <w:rPr>
          <w:b/>
          <w:bCs/>
          <w:iCs/>
        </w:rPr>
        <w:t xml:space="preserve"> </w:t>
      </w:r>
      <w:r w:rsidRPr="004952C0">
        <w:t>AS ISO 5801</w:t>
      </w:r>
      <w:r w:rsidRPr="004952C0">
        <w:noBreakHyphen/>
        <w:t>2004.</w:t>
      </w:r>
    </w:p>
    <w:p w:rsidR="0045496E" w:rsidRPr="004952C0" w:rsidRDefault="0045496E" w:rsidP="0045496E">
      <w:pPr>
        <w:pStyle w:val="tMain"/>
      </w:pPr>
      <w:r w:rsidRPr="004952C0">
        <w:tab/>
      </w:r>
      <w:r w:rsidR="00FE4F8F" w:rsidRPr="004952C0">
        <w:t>(4)</w:t>
      </w:r>
      <w:r w:rsidRPr="004952C0">
        <w:tab/>
        <w:t>The model:</w:t>
      </w:r>
    </w:p>
    <w:p w:rsidR="0045496E" w:rsidRPr="004952C0" w:rsidRDefault="0045496E" w:rsidP="0045496E">
      <w:pPr>
        <w:pStyle w:val="tPara"/>
      </w:pPr>
      <w:r w:rsidRPr="004952C0">
        <w:tab/>
      </w:r>
      <w:r w:rsidR="00FE4F8F" w:rsidRPr="004952C0">
        <w:t>(a)</w:t>
      </w:r>
      <w:r w:rsidRPr="004952C0">
        <w:tab/>
      </w:r>
      <w:proofErr w:type="gramStart"/>
      <w:r w:rsidRPr="004952C0">
        <w:t>must</w:t>
      </w:r>
      <w:proofErr w:type="gramEnd"/>
      <w:r w:rsidRPr="004952C0">
        <w:t xml:space="preserve"> be tested:</w:t>
      </w:r>
    </w:p>
    <w:p w:rsidR="0045496E" w:rsidRPr="004952C0" w:rsidRDefault="0045496E" w:rsidP="0045496E">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as</w:t>
      </w:r>
      <w:proofErr w:type="gramEnd"/>
      <w:r w:rsidRPr="004952C0">
        <w:t xml:space="preserve"> a driven fan; and</w:t>
      </w:r>
    </w:p>
    <w:p w:rsidR="0045496E" w:rsidRPr="004952C0" w:rsidRDefault="0045496E" w:rsidP="0045496E">
      <w:pPr>
        <w:pStyle w:val="tSubpara"/>
      </w:pPr>
      <w:r w:rsidRPr="004952C0">
        <w:tab/>
      </w:r>
      <w:r w:rsidR="00FE4F8F" w:rsidRPr="004952C0">
        <w:t>(ii)</w:t>
      </w:r>
      <w:r w:rsidRPr="004952C0">
        <w:tab/>
      </w:r>
      <w:proofErr w:type="gramStart"/>
      <w:r w:rsidRPr="004952C0">
        <w:t>when</w:t>
      </w:r>
      <w:proofErr w:type="gramEnd"/>
      <w:r w:rsidRPr="004952C0">
        <w:t xml:space="preserve"> the impeller is operating at optimum efficiency; and</w:t>
      </w:r>
    </w:p>
    <w:p w:rsidR="0045496E" w:rsidRPr="004952C0" w:rsidRDefault="0045496E" w:rsidP="0045496E">
      <w:pPr>
        <w:pStyle w:val="tSubpara"/>
      </w:pPr>
      <w:r w:rsidRPr="004952C0">
        <w:tab/>
      </w:r>
      <w:r w:rsidR="00FE4F8F" w:rsidRPr="004952C0">
        <w:t>(iii)</w:t>
      </w:r>
      <w:r w:rsidRPr="004952C0">
        <w:tab/>
      </w:r>
      <w:proofErr w:type="gramStart"/>
      <w:r w:rsidRPr="004952C0">
        <w:t>using</w:t>
      </w:r>
      <w:proofErr w:type="gramEnd"/>
      <w:r w:rsidRPr="004952C0">
        <w:t xml:space="preserve"> the installation category that most closely resembles the configuration of the fan to be installed; and</w:t>
      </w:r>
    </w:p>
    <w:p w:rsidR="0045496E" w:rsidRPr="004952C0" w:rsidRDefault="0045496E" w:rsidP="0045496E">
      <w:pPr>
        <w:pStyle w:val="tSubpara"/>
      </w:pPr>
      <w:r w:rsidRPr="004952C0">
        <w:tab/>
      </w:r>
      <w:r w:rsidR="00FE4F8F" w:rsidRPr="004952C0">
        <w:t>(iv)</w:t>
      </w:r>
      <w:r w:rsidRPr="004952C0">
        <w:tab/>
        <w:t>so that the motor input power at optimum efficiency for the impeller being tested is not materially different from the motor input power at optimum efficiency of the impeller of the fan as installed as part of the project; and</w:t>
      </w:r>
    </w:p>
    <w:p w:rsidR="0045496E" w:rsidRPr="004952C0" w:rsidRDefault="0045496E" w:rsidP="0045496E">
      <w:pPr>
        <w:pStyle w:val="tPara"/>
      </w:pPr>
      <w:r w:rsidRPr="004952C0">
        <w:tab/>
      </w:r>
      <w:r w:rsidR="00FE4F8F" w:rsidRPr="004952C0">
        <w:t>(b)</w:t>
      </w:r>
      <w:r w:rsidRPr="004952C0">
        <w:tab/>
      </w:r>
      <w:proofErr w:type="gramStart"/>
      <w:r w:rsidRPr="004952C0">
        <w:t>may</w:t>
      </w:r>
      <w:proofErr w:type="gramEnd"/>
      <w:r w:rsidRPr="004952C0">
        <w:t xml:space="preserve"> be tested using the same drive, motor and transmission as </w:t>
      </w:r>
      <w:r w:rsidR="00FA6A0E" w:rsidRPr="004952C0">
        <w:t>will be used by the installed HE fan</w:t>
      </w:r>
      <w:r w:rsidRPr="004952C0">
        <w:t>.</w:t>
      </w:r>
    </w:p>
    <w:p w:rsidR="0045496E" w:rsidRPr="004952C0" w:rsidRDefault="0045496E" w:rsidP="0045496E">
      <w:pPr>
        <w:pStyle w:val="h6Subsec"/>
      </w:pPr>
      <w:r w:rsidRPr="004952C0">
        <w:t>Parameters determined by testing</w:t>
      </w:r>
    </w:p>
    <w:p w:rsidR="0045496E" w:rsidRPr="004952C0" w:rsidRDefault="0045496E" w:rsidP="0045496E">
      <w:pPr>
        <w:pStyle w:val="tMain"/>
      </w:pPr>
      <w:r w:rsidRPr="004952C0">
        <w:tab/>
      </w:r>
      <w:r w:rsidR="00FE4F8F" w:rsidRPr="004952C0">
        <w:t>(5)</w:t>
      </w:r>
      <w:r w:rsidRPr="004952C0">
        <w:tab/>
        <w:t>For subsection </w:t>
      </w:r>
      <w:r w:rsidR="00934AC6" w:rsidRPr="004952C0">
        <w:t>(1)</w:t>
      </w:r>
      <w:r w:rsidRPr="004952C0">
        <w:t>, the parameters are the following:</w:t>
      </w:r>
    </w:p>
    <w:p w:rsidR="0045496E" w:rsidRPr="004952C0" w:rsidRDefault="0045496E" w:rsidP="0045496E">
      <w:pPr>
        <w:pStyle w:val="tPara"/>
      </w:pPr>
      <w:r w:rsidRPr="004952C0">
        <w:tab/>
      </w:r>
      <w:r w:rsidR="00FE4F8F" w:rsidRPr="004952C0">
        <w:t>(a)</w:t>
      </w:r>
      <w:r w:rsidRPr="004952C0">
        <w:tab/>
      </w:r>
      <w:proofErr w:type="gramStart"/>
      <w:r w:rsidRPr="004952C0">
        <w:t>for</w:t>
      </w:r>
      <w:proofErr w:type="gramEnd"/>
      <w:r w:rsidRPr="004952C0">
        <w:t xml:space="preserve"> a model that has a shaft—fan shaft power (</w:t>
      </w:r>
      <w:proofErr w:type="spellStart"/>
      <w:r w:rsidRPr="004952C0">
        <w:rPr>
          <w:i/>
        </w:rPr>
        <w:t>P</w:t>
      </w:r>
      <w:r w:rsidRPr="004952C0">
        <w:rPr>
          <w:i/>
          <w:vertAlign w:val="subscript"/>
        </w:rPr>
        <w:t>M,i</w:t>
      </w:r>
      <w:proofErr w:type="spellEnd"/>
      <w:r w:rsidRPr="004952C0">
        <w:t>);</w:t>
      </w:r>
    </w:p>
    <w:p w:rsidR="0045496E" w:rsidRPr="004952C0" w:rsidRDefault="0045496E" w:rsidP="0045496E">
      <w:pPr>
        <w:pStyle w:val="tPara"/>
      </w:pPr>
      <w:r w:rsidRPr="004952C0">
        <w:tab/>
      </w:r>
      <w:r w:rsidR="00FE4F8F" w:rsidRPr="004952C0">
        <w:t>(b)</w:t>
      </w:r>
      <w:r w:rsidRPr="004952C0">
        <w:tab/>
      </w:r>
      <w:proofErr w:type="gramStart"/>
      <w:r w:rsidRPr="004952C0">
        <w:t>for</w:t>
      </w:r>
      <w:proofErr w:type="gramEnd"/>
      <w:r w:rsidRPr="004952C0">
        <w:t xml:space="preserve"> a model that does not have a shaft—fan impeller power (</w:t>
      </w:r>
      <w:proofErr w:type="spellStart"/>
      <w:r w:rsidRPr="004952C0">
        <w:rPr>
          <w:i/>
        </w:rPr>
        <w:t>P</w:t>
      </w:r>
      <w:r w:rsidRPr="004952C0">
        <w:rPr>
          <w:i/>
          <w:vertAlign w:val="subscript"/>
        </w:rPr>
        <w:t>M,i</w:t>
      </w:r>
      <w:proofErr w:type="spellEnd"/>
      <w:r w:rsidRPr="004952C0">
        <w:t>);</w:t>
      </w:r>
    </w:p>
    <w:p w:rsidR="0045496E" w:rsidRPr="004952C0" w:rsidRDefault="0045496E" w:rsidP="0045496E">
      <w:pPr>
        <w:pStyle w:val="tPara"/>
      </w:pPr>
      <w:r w:rsidRPr="004952C0">
        <w:tab/>
      </w:r>
      <w:r w:rsidR="00FE4F8F" w:rsidRPr="004952C0">
        <w:t>(c)</w:t>
      </w:r>
      <w:r w:rsidRPr="004952C0">
        <w:tab/>
      </w:r>
      <w:proofErr w:type="gramStart"/>
      <w:r w:rsidRPr="004952C0">
        <w:t>the</w:t>
      </w:r>
      <w:proofErr w:type="gramEnd"/>
      <w:r w:rsidRPr="004952C0">
        <w:t xml:space="preserve"> motor efficiency of the model (</w:t>
      </w:r>
      <w:r w:rsidRPr="004952C0">
        <w:rPr>
          <w:rFonts w:ascii="Cambria Math" w:hAnsi="Cambria Math"/>
          <w:i/>
        </w:rPr>
        <w:t>𝜂</w:t>
      </w:r>
      <w:proofErr w:type="spellStart"/>
      <w:r w:rsidRPr="004952C0">
        <w:rPr>
          <w:i/>
          <w:vertAlign w:val="subscript"/>
        </w:rPr>
        <w:t>M,i</w:t>
      </w:r>
      <w:proofErr w:type="spellEnd"/>
      <w:r w:rsidRPr="004952C0">
        <w:t>);</w:t>
      </w:r>
    </w:p>
    <w:p w:rsidR="0045496E" w:rsidRPr="004952C0" w:rsidRDefault="0045496E" w:rsidP="0045496E">
      <w:pPr>
        <w:pStyle w:val="tPara"/>
      </w:pPr>
      <w:r w:rsidRPr="004952C0">
        <w:tab/>
      </w:r>
      <w:r w:rsidR="00FE4F8F" w:rsidRPr="004952C0">
        <w:t>(d)</w:t>
      </w:r>
      <w:r w:rsidRPr="004952C0">
        <w:tab/>
      </w:r>
      <w:proofErr w:type="gramStart"/>
      <w:r w:rsidRPr="004952C0">
        <w:t>if</w:t>
      </w:r>
      <w:proofErr w:type="gramEnd"/>
      <w:r w:rsidRPr="004952C0">
        <w:t xml:space="preserve"> the model is tested using:</w:t>
      </w:r>
    </w:p>
    <w:p w:rsidR="0045496E" w:rsidRPr="004952C0" w:rsidRDefault="0045496E" w:rsidP="0045496E">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installation</w:t>
      </w:r>
      <w:proofErr w:type="gramEnd"/>
      <w:r w:rsidRPr="004952C0">
        <w:t xml:space="preserve"> category B or installation category D—fan air power (</w:t>
      </w:r>
      <w:proofErr w:type="spellStart"/>
      <w:r w:rsidRPr="004952C0">
        <w:rPr>
          <w:rFonts w:ascii="Cambria Math" w:hAnsi="Cambria Math"/>
          <w:i/>
        </w:rPr>
        <w:t>P</w:t>
      </w:r>
      <w:r w:rsidRPr="004952C0">
        <w:rPr>
          <w:i/>
          <w:vertAlign w:val="subscript"/>
        </w:rPr>
        <w:t>U,i</w:t>
      </w:r>
      <w:proofErr w:type="spellEnd"/>
      <w:r w:rsidRPr="004952C0">
        <w:t>); or</w:t>
      </w:r>
    </w:p>
    <w:p w:rsidR="0045496E" w:rsidRPr="004952C0" w:rsidRDefault="0045496E" w:rsidP="0045496E">
      <w:pPr>
        <w:pStyle w:val="tSubpara"/>
      </w:pPr>
      <w:r w:rsidRPr="004952C0">
        <w:tab/>
      </w:r>
      <w:r w:rsidR="00FE4F8F" w:rsidRPr="004952C0">
        <w:t>(ii)</w:t>
      </w:r>
      <w:r w:rsidRPr="004952C0">
        <w:tab/>
      </w:r>
      <w:proofErr w:type="gramStart"/>
      <w:r w:rsidRPr="004952C0">
        <w:t>installation</w:t>
      </w:r>
      <w:proofErr w:type="gramEnd"/>
      <w:r w:rsidRPr="004952C0">
        <w:t xml:space="preserve"> category A or installation category C—fan static air power (</w:t>
      </w:r>
      <w:proofErr w:type="spellStart"/>
      <w:r w:rsidRPr="004952C0">
        <w:rPr>
          <w:rFonts w:ascii="Cambria Math" w:hAnsi="Cambria Math"/>
          <w:i/>
        </w:rPr>
        <w:t>P</w:t>
      </w:r>
      <w:r w:rsidRPr="004952C0">
        <w:rPr>
          <w:i/>
          <w:vertAlign w:val="subscript"/>
        </w:rPr>
        <w:t>U,i</w:t>
      </w:r>
      <w:proofErr w:type="spellEnd"/>
      <w:r w:rsidRPr="004952C0">
        <w:t>);</w:t>
      </w:r>
    </w:p>
    <w:p w:rsidR="0045496E" w:rsidRPr="004952C0" w:rsidRDefault="0045496E" w:rsidP="0045496E">
      <w:pPr>
        <w:pStyle w:val="tPara"/>
      </w:pPr>
      <w:r w:rsidRPr="004952C0">
        <w:tab/>
      </w:r>
      <w:r w:rsidR="00FE4F8F" w:rsidRPr="004952C0">
        <w:t>(e)</w:t>
      </w:r>
      <w:r w:rsidRPr="004952C0">
        <w:tab/>
      </w:r>
      <w:proofErr w:type="gramStart"/>
      <w:r w:rsidRPr="004952C0">
        <w:t>if</w:t>
      </w:r>
      <w:proofErr w:type="gramEnd"/>
      <w:r w:rsidRPr="004952C0">
        <w:t xml:space="preserve"> the model is tested in accordance with paragraph </w:t>
      </w:r>
      <w:r w:rsidR="00934AC6" w:rsidRPr="004952C0">
        <w:t>(4)(b)</w:t>
      </w:r>
      <w:r w:rsidRPr="004952C0">
        <w:t>—the motor input power (</w:t>
      </w:r>
      <w:proofErr w:type="spellStart"/>
      <w:r w:rsidRPr="004952C0">
        <w:rPr>
          <w:i/>
        </w:rPr>
        <w:t>P</w:t>
      </w:r>
      <w:r w:rsidRPr="004952C0">
        <w:rPr>
          <w:i/>
          <w:vertAlign w:val="subscript"/>
        </w:rPr>
        <w:t>E,i</w:t>
      </w:r>
      <w:proofErr w:type="spellEnd"/>
      <w:r w:rsidRPr="004952C0">
        <w:t>).</w:t>
      </w:r>
    </w:p>
    <w:p w:rsidR="0045496E" w:rsidRPr="004952C0" w:rsidRDefault="0045496E" w:rsidP="0045496E">
      <w:pPr>
        <w:pStyle w:val="nMain"/>
      </w:pPr>
      <w:r w:rsidRPr="004952C0">
        <w:t>Note:</w:t>
      </w:r>
      <w:r w:rsidRPr="004952C0">
        <w:tab/>
        <w:t>The fan air power referred to in subparagraph </w:t>
      </w:r>
      <w:r w:rsidR="00934AC6" w:rsidRPr="004952C0">
        <w:t>(d</w:t>
      </w:r>
      <w:proofErr w:type="gramStart"/>
      <w:r w:rsidR="00934AC6" w:rsidRPr="004952C0">
        <w:t>)(</w:t>
      </w:r>
      <w:proofErr w:type="spellStart"/>
      <w:proofErr w:type="gramEnd"/>
      <w:r w:rsidR="00934AC6" w:rsidRPr="004952C0">
        <w:t>i</w:t>
      </w:r>
      <w:proofErr w:type="spellEnd"/>
      <w:r w:rsidR="00934AC6" w:rsidRPr="004952C0">
        <w:t>)</w:t>
      </w:r>
      <w:r w:rsidRPr="004952C0">
        <w:t xml:space="preserve"> is also referred to as the total fan air power or the total air power.</w:t>
      </w:r>
    </w:p>
    <w:p w:rsidR="0045496E" w:rsidRPr="004952C0" w:rsidRDefault="00FE4F8F" w:rsidP="0045496E">
      <w:pPr>
        <w:pStyle w:val="h3Div"/>
      </w:pPr>
      <w:bookmarkStart w:id="41" w:name="_Toc431466271"/>
      <w:r w:rsidRPr="004952C0">
        <w:t>Division 3</w:t>
      </w:r>
      <w:r w:rsidR="0045496E" w:rsidRPr="004952C0">
        <w:t>—Additional requirements for small motor fan upgrades</w:t>
      </w:r>
      <w:bookmarkEnd w:id="41"/>
    </w:p>
    <w:p w:rsidR="0045496E" w:rsidRPr="004952C0" w:rsidRDefault="00FE4F8F" w:rsidP="0045496E">
      <w:pPr>
        <w:pStyle w:val="h5Section"/>
      </w:pPr>
      <w:bookmarkStart w:id="42" w:name="_Toc420592119"/>
      <w:bookmarkStart w:id="43" w:name="_Toc431466272"/>
      <w:proofErr w:type="gramStart"/>
      <w:r w:rsidRPr="004952C0">
        <w:t>17</w:t>
      </w:r>
      <w:r w:rsidR="0045496E" w:rsidRPr="004952C0">
        <w:t xml:space="preserve">  </w:t>
      </w:r>
      <w:bookmarkEnd w:id="42"/>
      <w:r w:rsidR="0045496E" w:rsidRPr="004952C0">
        <w:t>Additional</w:t>
      </w:r>
      <w:proofErr w:type="gramEnd"/>
      <w:r w:rsidR="0045496E" w:rsidRPr="004952C0">
        <w:t xml:space="preserve"> requirements for small motor fan upgrades</w:t>
      </w:r>
      <w:bookmarkEnd w:id="43"/>
    </w:p>
    <w:p w:rsidR="0045496E" w:rsidRPr="004952C0" w:rsidRDefault="0045496E" w:rsidP="0045496E">
      <w:pPr>
        <w:pStyle w:val="h6Subsec"/>
      </w:pPr>
      <w:r w:rsidRPr="004952C0">
        <w:t>Requirements for both modifications and replacements</w:t>
      </w:r>
    </w:p>
    <w:p w:rsidR="0045496E" w:rsidRPr="004952C0" w:rsidRDefault="0045496E" w:rsidP="0045496E">
      <w:pPr>
        <w:pStyle w:val="tMain"/>
      </w:pPr>
      <w:r w:rsidRPr="004952C0">
        <w:tab/>
      </w:r>
      <w:r w:rsidR="00FE4F8F" w:rsidRPr="004952C0">
        <w:t>(1)</w:t>
      </w:r>
      <w:r w:rsidRPr="004952C0">
        <w:tab/>
        <w:t>A fan that is modified or replaced in each small motor fan upgrade must:</w:t>
      </w:r>
    </w:p>
    <w:p w:rsidR="0045496E" w:rsidRPr="004952C0" w:rsidRDefault="0045496E" w:rsidP="0045496E">
      <w:pPr>
        <w:pStyle w:val="tPara"/>
      </w:pPr>
      <w:r w:rsidRPr="004952C0">
        <w:tab/>
      </w:r>
      <w:r w:rsidR="00FE4F8F" w:rsidRPr="004952C0">
        <w:t>(a)</w:t>
      </w:r>
      <w:r w:rsidRPr="004952C0">
        <w:tab/>
      </w:r>
      <w:proofErr w:type="gramStart"/>
      <w:r w:rsidRPr="004952C0">
        <w:t>be</w:t>
      </w:r>
      <w:proofErr w:type="gramEnd"/>
      <w:r w:rsidRPr="004952C0">
        <w:t xml:space="preserve"> in working order; and</w:t>
      </w:r>
    </w:p>
    <w:p w:rsidR="0045496E" w:rsidRPr="004952C0" w:rsidRDefault="0045496E" w:rsidP="0045496E">
      <w:pPr>
        <w:pStyle w:val="tPara"/>
      </w:pPr>
      <w:r w:rsidRPr="004952C0">
        <w:tab/>
      </w:r>
      <w:r w:rsidR="00FE4F8F" w:rsidRPr="004952C0">
        <w:t>(b)</w:t>
      </w:r>
      <w:r w:rsidRPr="004952C0">
        <w:tab/>
      </w:r>
      <w:proofErr w:type="gramStart"/>
      <w:r w:rsidRPr="004952C0">
        <w:t>be</w:t>
      </w:r>
      <w:proofErr w:type="gramEnd"/>
      <w:r w:rsidRPr="004952C0">
        <w:t xml:space="preserve"> providing refrigeration or ventilation services.</w:t>
      </w:r>
    </w:p>
    <w:p w:rsidR="0045496E" w:rsidRPr="004952C0" w:rsidRDefault="0045496E" w:rsidP="0045496E">
      <w:pPr>
        <w:pStyle w:val="tMain"/>
      </w:pPr>
      <w:r w:rsidRPr="004952C0">
        <w:tab/>
      </w:r>
      <w:r w:rsidR="00FE4F8F" w:rsidRPr="004952C0">
        <w:t>(2)</w:t>
      </w:r>
      <w:r w:rsidRPr="004952C0">
        <w:tab/>
        <w:t>The space refrigerated or ventilated by the fan must not:</w:t>
      </w:r>
    </w:p>
    <w:p w:rsidR="0045496E" w:rsidRPr="004952C0" w:rsidRDefault="0045496E" w:rsidP="0045496E">
      <w:pPr>
        <w:pStyle w:val="tPara"/>
      </w:pPr>
      <w:r w:rsidRPr="004952C0">
        <w:tab/>
      </w:r>
      <w:r w:rsidR="00FE4F8F" w:rsidRPr="004952C0">
        <w:t>(a)</w:t>
      </w:r>
      <w:r w:rsidRPr="004952C0">
        <w:tab/>
      </w:r>
      <w:proofErr w:type="gramStart"/>
      <w:r w:rsidRPr="004952C0">
        <w:t>be</w:t>
      </w:r>
      <w:proofErr w:type="gramEnd"/>
      <w:r w:rsidRPr="004952C0">
        <w:t xml:space="preserve"> undergoing a structural change that requires development approval under State or Territory law; or</w:t>
      </w:r>
    </w:p>
    <w:p w:rsidR="0045496E" w:rsidRPr="004952C0" w:rsidRDefault="0045496E" w:rsidP="0045496E">
      <w:pPr>
        <w:pStyle w:val="tPara"/>
      </w:pPr>
      <w:r w:rsidRPr="004952C0">
        <w:tab/>
      </w:r>
      <w:r w:rsidR="00FE4F8F" w:rsidRPr="004952C0">
        <w:t>(b)</w:t>
      </w:r>
      <w:r w:rsidRPr="004952C0">
        <w:tab/>
      </w:r>
      <w:proofErr w:type="gramStart"/>
      <w:r w:rsidRPr="004952C0">
        <w:t>be</w:t>
      </w:r>
      <w:proofErr w:type="gramEnd"/>
      <w:r w:rsidRPr="004952C0">
        <w:t xml:space="preserve"> part of a reconstruction project that requires development approval under State or Territory law.</w:t>
      </w:r>
    </w:p>
    <w:p w:rsidR="00D30A99" w:rsidRPr="004952C0" w:rsidRDefault="00D30A99" w:rsidP="00D30A99">
      <w:pPr>
        <w:pStyle w:val="tMain"/>
      </w:pPr>
      <w:r w:rsidRPr="004952C0">
        <w:lastRenderedPageBreak/>
        <w:tab/>
      </w:r>
      <w:r w:rsidR="00FE4F8F" w:rsidRPr="004952C0">
        <w:t>(3)</w:t>
      </w:r>
      <w:r w:rsidRPr="004952C0">
        <w:tab/>
        <w:t>Subsection </w:t>
      </w:r>
      <w:r w:rsidR="00934AC6" w:rsidRPr="004952C0">
        <w:t>(2)</w:t>
      </w:r>
      <w:r w:rsidRPr="004952C0">
        <w:t xml:space="preserve"> does not apply if the development approval is required only because of the refrigeration and ventilation </w:t>
      </w:r>
      <w:r w:rsidR="00440826" w:rsidRPr="004952C0">
        <w:t xml:space="preserve">fan </w:t>
      </w:r>
      <w:r w:rsidRPr="004952C0">
        <w:t xml:space="preserve">project. </w:t>
      </w:r>
    </w:p>
    <w:p w:rsidR="0045496E" w:rsidRPr="004952C0" w:rsidRDefault="0045496E" w:rsidP="0045496E">
      <w:pPr>
        <w:pStyle w:val="h6Subsec"/>
      </w:pPr>
      <w:r w:rsidRPr="004952C0">
        <w:t>Additional requirement for modifications</w:t>
      </w:r>
    </w:p>
    <w:p w:rsidR="0045496E" w:rsidRPr="004952C0" w:rsidRDefault="0045496E" w:rsidP="0045496E">
      <w:pPr>
        <w:pStyle w:val="tMain"/>
      </w:pPr>
      <w:r w:rsidRPr="004952C0">
        <w:tab/>
      </w:r>
      <w:r w:rsidR="00FE4F8F" w:rsidRPr="004952C0">
        <w:t>(4)</w:t>
      </w:r>
      <w:r w:rsidRPr="004952C0">
        <w:tab/>
        <w:t>If a fan is modified as part of a small motor fan upgrade, all parts used in the modification must be compatible with the electronically commutated motor.</w:t>
      </w:r>
    </w:p>
    <w:p w:rsidR="0045496E" w:rsidRPr="004952C0" w:rsidRDefault="0045496E" w:rsidP="0045496E">
      <w:pPr>
        <w:pStyle w:val="tMain"/>
      </w:pPr>
      <w:r w:rsidRPr="004952C0">
        <w:tab/>
      </w:r>
      <w:r w:rsidR="00FE4F8F" w:rsidRPr="004952C0">
        <w:t>(5)</w:t>
      </w:r>
      <w:r w:rsidRPr="004952C0">
        <w:tab/>
        <w:t xml:space="preserve">Other parts of the fan may, if necessary, be modified or replaced to meet the requirement of subsection </w:t>
      </w:r>
      <w:r w:rsidR="00934AC6" w:rsidRPr="004952C0">
        <w:t>(4)</w:t>
      </w:r>
      <w:r w:rsidRPr="004952C0">
        <w:t>.</w:t>
      </w:r>
    </w:p>
    <w:p w:rsidR="0045496E" w:rsidRPr="004952C0" w:rsidRDefault="0045496E" w:rsidP="0045496E">
      <w:pPr>
        <w:pStyle w:val="h6Subsec"/>
      </w:pPr>
      <w:r w:rsidRPr="004952C0">
        <w:t>Additional requirement for replacements</w:t>
      </w:r>
    </w:p>
    <w:p w:rsidR="0045496E" w:rsidRPr="004952C0" w:rsidRDefault="0045496E" w:rsidP="0045496E">
      <w:pPr>
        <w:pStyle w:val="tMain"/>
      </w:pPr>
      <w:r w:rsidRPr="004952C0">
        <w:tab/>
      </w:r>
      <w:r w:rsidR="00FE4F8F" w:rsidRPr="004952C0">
        <w:t>(6)</w:t>
      </w:r>
      <w:r w:rsidRPr="004952C0">
        <w:tab/>
        <w:t>The project proponent must not replace a fan as part of a small motor fan upgrade only by installing:</w:t>
      </w:r>
    </w:p>
    <w:p w:rsidR="0045496E" w:rsidRPr="004952C0" w:rsidRDefault="0045496E" w:rsidP="0045496E">
      <w:pPr>
        <w:pStyle w:val="tPara"/>
      </w:pPr>
      <w:r w:rsidRPr="004952C0">
        <w:tab/>
      </w:r>
      <w:r w:rsidR="00FE4F8F" w:rsidRPr="004952C0">
        <w:t>(a)</w:t>
      </w:r>
      <w:r w:rsidRPr="004952C0">
        <w:tab/>
      </w:r>
      <w:proofErr w:type="gramStart"/>
      <w:r w:rsidRPr="004952C0">
        <w:t>an</w:t>
      </w:r>
      <w:proofErr w:type="gramEnd"/>
      <w:r w:rsidRPr="004952C0">
        <w:t xml:space="preserve"> appliance that is purchased as a complete, stand-alone unit; or</w:t>
      </w:r>
    </w:p>
    <w:p w:rsidR="0045496E" w:rsidRPr="004952C0" w:rsidRDefault="0045496E" w:rsidP="0045496E">
      <w:pPr>
        <w:pStyle w:val="tPara"/>
      </w:pPr>
      <w:r w:rsidRPr="004952C0">
        <w:tab/>
      </w:r>
      <w:r w:rsidR="00FE4F8F" w:rsidRPr="004952C0">
        <w:t>(b)</w:t>
      </w:r>
      <w:r w:rsidRPr="004952C0">
        <w:tab/>
      </w:r>
      <w:proofErr w:type="gramStart"/>
      <w:r w:rsidRPr="004952C0">
        <w:t>a</w:t>
      </w:r>
      <w:proofErr w:type="gramEnd"/>
      <w:r w:rsidRPr="004952C0">
        <w:t xml:space="preserve"> product that is purchased as a complete air handling unit.</w:t>
      </w:r>
    </w:p>
    <w:p w:rsidR="0045496E" w:rsidRPr="004952C0" w:rsidRDefault="0045496E" w:rsidP="0045496E">
      <w:pPr>
        <w:pStyle w:val="nMain"/>
      </w:pPr>
      <w:r w:rsidRPr="004952C0">
        <w:t>Note:</w:t>
      </w:r>
      <w:r w:rsidRPr="004952C0">
        <w:tab/>
        <w:t>Subsection </w:t>
      </w:r>
      <w:r w:rsidR="00934AC6" w:rsidRPr="004952C0">
        <w:t>(6)</w:t>
      </w:r>
      <w:r w:rsidRPr="004952C0">
        <w:t xml:space="preserve"> does not prevent a project proponent from undertaking a small motor fan upgrade by installing a complete, stand</w:t>
      </w:r>
      <w:r w:rsidRPr="004952C0">
        <w:noBreakHyphen/>
        <w:t>alone unit and additionally replacing the fan in the unit.</w:t>
      </w:r>
    </w:p>
    <w:p w:rsidR="00F11C68" w:rsidRPr="004952C0" w:rsidRDefault="00FE4F8F" w:rsidP="00F11C68">
      <w:pPr>
        <w:pStyle w:val="h5Section"/>
      </w:pPr>
      <w:bookmarkStart w:id="44" w:name="_Toc431466273"/>
      <w:bookmarkStart w:id="45" w:name="_Toc418869713"/>
      <w:bookmarkStart w:id="46" w:name="_Toc420940741"/>
      <w:proofErr w:type="gramStart"/>
      <w:r w:rsidRPr="004952C0">
        <w:t>18</w:t>
      </w:r>
      <w:r w:rsidR="00F11C68" w:rsidRPr="004952C0">
        <w:t xml:space="preserve">  Disposal</w:t>
      </w:r>
      <w:proofErr w:type="gramEnd"/>
      <w:r w:rsidR="00F11C68" w:rsidRPr="004952C0">
        <w:t xml:space="preserve"> of fans and other components</w:t>
      </w:r>
      <w:r w:rsidR="00D227F9" w:rsidRPr="004952C0">
        <w:t xml:space="preserve"> for </w:t>
      </w:r>
      <w:r w:rsidR="00F11C68" w:rsidRPr="004952C0">
        <w:t>small motor fan upgrades</w:t>
      </w:r>
      <w:bookmarkEnd w:id="44"/>
    </w:p>
    <w:p w:rsidR="00F11C68" w:rsidRPr="004952C0" w:rsidRDefault="00F11C68" w:rsidP="00F11C68">
      <w:pPr>
        <w:pStyle w:val="tMain"/>
      </w:pPr>
      <w:r w:rsidRPr="004952C0">
        <w:tab/>
      </w:r>
      <w:r w:rsidR="00FE4F8F" w:rsidRPr="004952C0">
        <w:t>(1)</w:t>
      </w:r>
      <w:r w:rsidRPr="004952C0">
        <w:tab/>
        <w:t>A refrigeration and ventilation fan project is not an eligible offsets project unless each fan and other component that is removed as part of a small motor fan upgrade, or in association with it, is disposed of and is not re</w:t>
      </w:r>
      <w:r w:rsidRPr="004952C0">
        <w:noBreakHyphen/>
      </w:r>
      <w:proofErr w:type="spellStart"/>
      <w:r w:rsidRPr="004952C0">
        <w:t>used</w:t>
      </w:r>
      <w:proofErr w:type="spellEnd"/>
      <w:r w:rsidRPr="004952C0">
        <w:t xml:space="preserve"> or refurbished.</w:t>
      </w:r>
    </w:p>
    <w:p w:rsidR="00F11C68" w:rsidRPr="004952C0" w:rsidRDefault="00F11C68" w:rsidP="00F11C68">
      <w:pPr>
        <w:pStyle w:val="tMain"/>
      </w:pPr>
      <w:r w:rsidRPr="004952C0">
        <w:tab/>
      </w:r>
      <w:r w:rsidR="00FE4F8F" w:rsidRPr="004952C0">
        <w:t>(2)</w:t>
      </w:r>
      <w:r w:rsidRPr="004952C0">
        <w:tab/>
        <w:t>Subsection </w:t>
      </w:r>
      <w:r w:rsidR="00934AC6" w:rsidRPr="004952C0">
        <w:t>(1)</w:t>
      </w:r>
      <w:r w:rsidRPr="004952C0">
        <w:t xml:space="preserve"> does not prevent a fan or other component that is removed from being broken down into other components and those other components being recycled, other than for use as or in a fan.</w:t>
      </w:r>
    </w:p>
    <w:p w:rsidR="00F11C68" w:rsidRPr="004952C0" w:rsidRDefault="00F11C68" w:rsidP="0045496E">
      <w:pPr>
        <w:pStyle w:val="nMain"/>
      </w:pPr>
      <w:r w:rsidRPr="004952C0">
        <w:t>Note:</w:t>
      </w:r>
      <w:r w:rsidRPr="004952C0">
        <w:tab/>
        <w:t xml:space="preserve">The project proponent may comply with this section by, for example, rendering the fan or other component not usable or </w:t>
      </w:r>
      <w:proofErr w:type="spellStart"/>
      <w:r w:rsidRPr="004952C0">
        <w:t>refurbishable</w:t>
      </w:r>
      <w:proofErr w:type="spellEnd"/>
      <w:r w:rsidRPr="004952C0">
        <w:t xml:space="preserve"> before disposing of it.</w:t>
      </w:r>
      <w:bookmarkEnd w:id="45"/>
      <w:bookmarkEnd w:id="46"/>
    </w:p>
    <w:p w:rsidR="0045496E" w:rsidRPr="004952C0" w:rsidRDefault="00FE4F8F" w:rsidP="0045496E">
      <w:pPr>
        <w:pStyle w:val="h5Section"/>
      </w:pPr>
      <w:bookmarkStart w:id="47" w:name="_Toc420592126"/>
      <w:bookmarkStart w:id="48" w:name="_Toc431466274"/>
      <w:proofErr w:type="gramStart"/>
      <w:r w:rsidRPr="004952C0">
        <w:t>19</w:t>
      </w:r>
      <w:r w:rsidR="0045496E" w:rsidRPr="004952C0">
        <w:t xml:space="preserve">  </w:t>
      </w:r>
      <w:bookmarkEnd w:id="47"/>
      <w:r w:rsidR="0045496E" w:rsidRPr="004952C0">
        <w:t>Requirement</w:t>
      </w:r>
      <w:proofErr w:type="gramEnd"/>
      <w:r w:rsidR="0045496E" w:rsidRPr="004952C0">
        <w:t xml:space="preserve"> relating to testing for small motor fan upgrades</w:t>
      </w:r>
      <w:bookmarkEnd w:id="48"/>
    </w:p>
    <w:p w:rsidR="0045496E" w:rsidRPr="004952C0" w:rsidRDefault="0045496E" w:rsidP="0045496E">
      <w:pPr>
        <w:pStyle w:val="tMain"/>
      </w:pPr>
      <w:r w:rsidRPr="004952C0">
        <w:tab/>
      </w:r>
      <w:r w:rsidRPr="004952C0">
        <w:tab/>
        <w:t xml:space="preserve">For each installed SM fan and each </w:t>
      </w:r>
      <w:r w:rsidR="005A17C1" w:rsidRPr="004952C0">
        <w:t xml:space="preserve">replacement </w:t>
      </w:r>
      <w:r w:rsidRPr="004952C0">
        <w:t xml:space="preserve">motor </w:t>
      </w:r>
      <w:r w:rsidR="005A17C1" w:rsidRPr="004952C0">
        <w:t xml:space="preserve">used in </w:t>
      </w:r>
      <w:r w:rsidRPr="004952C0">
        <w:t>a small motor fan upgrade, the project proponent must possess:</w:t>
      </w:r>
    </w:p>
    <w:p w:rsidR="0045496E" w:rsidRPr="004952C0" w:rsidRDefault="0045496E" w:rsidP="0045496E">
      <w:pPr>
        <w:pStyle w:val="tPara"/>
      </w:pPr>
      <w:r w:rsidRPr="004952C0">
        <w:tab/>
      </w:r>
      <w:r w:rsidR="00FE4F8F" w:rsidRPr="004952C0">
        <w:t>(a)</w:t>
      </w:r>
      <w:r w:rsidRPr="004952C0">
        <w:tab/>
      </w:r>
      <w:proofErr w:type="gramStart"/>
      <w:r w:rsidRPr="004952C0">
        <w:t>standard</w:t>
      </w:r>
      <w:proofErr w:type="gramEnd"/>
      <w:r w:rsidRPr="004952C0">
        <w:t xml:space="preserve"> test reports that comply with AS ISO 5801–2004; or</w:t>
      </w:r>
    </w:p>
    <w:p w:rsidR="0045496E" w:rsidRPr="004952C0" w:rsidRDefault="0045496E" w:rsidP="0045496E">
      <w:pPr>
        <w:pStyle w:val="tPara"/>
      </w:pPr>
      <w:r w:rsidRPr="004952C0">
        <w:tab/>
      </w:r>
      <w:r w:rsidR="00FE4F8F" w:rsidRPr="004952C0">
        <w:t>(b)</w:t>
      </w:r>
      <w:r w:rsidRPr="004952C0">
        <w:tab/>
      </w:r>
      <w:proofErr w:type="gramStart"/>
      <w:r w:rsidRPr="004952C0">
        <w:t>supplier</w:t>
      </w:r>
      <w:proofErr w:type="gramEnd"/>
      <w:r w:rsidRPr="004952C0">
        <w:t xml:space="preserve"> product specifications that are based on such tests;</w:t>
      </w:r>
    </w:p>
    <w:p w:rsidR="0045496E" w:rsidRPr="004952C0" w:rsidRDefault="0045496E" w:rsidP="0045496E">
      <w:pPr>
        <w:pStyle w:val="tMain"/>
        <w:spacing w:before="40"/>
      </w:pPr>
      <w:r w:rsidRPr="004952C0">
        <w:tab/>
      </w:r>
      <w:r w:rsidRPr="004952C0">
        <w:tab/>
      </w:r>
      <w:proofErr w:type="gramStart"/>
      <w:r w:rsidRPr="004952C0">
        <w:t>that</w:t>
      </w:r>
      <w:proofErr w:type="gramEnd"/>
      <w:r w:rsidRPr="004952C0">
        <w:t xml:space="preserve"> indicate the motor input power (</w:t>
      </w:r>
      <w:proofErr w:type="spellStart"/>
      <w:r w:rsidRPr="004952C0">
        <w:rPr>
          <w:i/>
        </w:rPr>
        <w:t>P</w:t>
      </w:r>
      <w:r w:rsidRPr="004952C0">
        <w:rPr>
          <w:i/>
          <w:vertAlign w:val="subscript"/>
        </w:rPr>
        <w:t>E,i</w:t>
      </w:r>
      <w:proofErr w:type="spellEnd"/>
      <w:r w:rsidRPr="004952C0">
        <w:t xml:space="preserve">) of the </w:t>
      </w:r>
      <w:r w:rsidR="0001124F" w:rsidRPr="004952C0">
        <w:t>fan or the motor</w:t>
      </w:r>
      <w:r w:rsidRPr="004952C0">
        <w:t>, as appropriate.</w:t>
      </w:r>
    </w:p>
    <w:p w:rsidR="0045496E" w:rsidRPr="004952C0" w:rsidRDefault="00FE4F8F" w:rsidP="0045496E">
      <w:pPr>
        <w:pStyle w:val="h2Part"/>
      </w:pPr>
      <w:bookmarkStart w:id="49" w:name="_Toc420592121"/>
      <w:bookmarkStart w:id="50" w:name="_Toc431466275"/>
      <w:r w:rsidRPr="004952C0">
        <w:lastRenderedPageBreak/>
        <w:t>Part 4</w:t>
      </w:r>
      <w:r w:rsidR="0045496E" w:rsidRPr="004952C0">
        <w:t>—Net abatement amount</w:t>
      </w:r>
      <w:bookmarkEnd w:id="49"/>
      <w:bookmarkEnd w:id="50"/>
    </w:p>
    <w:p w:rsidR="0045496E" w:rsidRPr="004952C0" w:rsidRDefault="00FE4F8F" w:rsidP="0045496E">
      <w:pPr>
        <w:pStyle w:val="h3Div"/>
      </w:pPr>
      <w:bookmarkStart w:id="51" w:name="_Toc420592122"/>
      <w:bookmarkStart w:id="52" w:name="_Toc431466276"/>
      <w:r w:rsidRPr="004952C0">
        <w:t>Division 1</w:t>
      </w:r>
      <w:r w:rsidR="0045496E" w:rsidRPr="004952C0">
        <w:t>—Preliminary</w:t>
      </w:r>
      <w:bookmarkEnd w:id="51"/>
      <w:bookmarkEnd w:id="52"/>
    </w:p>
    <w:p w:rsidR="0045496E" w:rsidRPr="004952C0" w:rsidRDefault="00FE4F8F" w:rsidP="0045496E">
      <w:pPr>
        <w:pStyle w:val="h5Section"/>
      </w:pPr>
      <w:bookmarkStart w:id="53" w:name="_Toc420592123"/>
      <w:bookmarkStart w:id="54" w:name="_Toc431466277"/>
      <w:proofErr w:type="gramStart"/>
      <w:r w:rsidRPr="004952C0">
        <w:t>20</w:t>
      </w:r>
      <w:r w:rsidR="0045496E" w:rsidRPr="004952C0">
        <w:t xml:space="preserve">  Operation</w:t>
      </w:r>
      <w:proofErr w:type="gramEnd"/>
      <w:r w:rsidR="0045496E" w:rsidRPr="004952C0">
        <w:t xml:space="preserve"> of this Part</w:t>
      </w:r>
      <w:bookmarkEnd w:id="53"/>
      <w:bookmarkEnd w:id="54"/>
    </w:p>
    <w:p w:rsidR="0045496E" w:rsidRPr="004952C0" w:rsidRDefault="0045496E" w:rsidP="0045496E">
      <w:pPr>
        <w:pStyle w:val="tMain"/>
      </w:pPr>
      <w:r w:rsidRPr="004952C0">
        <w:tab/>
      </w:r>
      <w:r w:rsidRPr="004952C0">
        <w:tab/>
        <w:t>For paragraph 106(1)(c) of the Act, this Part specifies the method for working out the carbon dioxide equivalent net abatement amount for a reporting period for a refrigeration and ventilation fan project that is an eligible offsets project.</w:t>
      </w:r>
    </w:p>
    <w:p w:rsidR="0045496E" w:rsidRPr="004952C0" w:rsidRDefault="0045496E" w:rsidP="0045496E">
      <w:pPr>
        <w:pStyle w:val="nMain"/>
      </w:pPr>
      <w:r w:rsidRPr="004952C0">
        <w:t>Note:</w:t>
      </w:r>
      <w:r w:rsidRPr="004952C0">
        <w:tab/>
        <w:t xml:space="preserve">This is called the </w:t>
      </w:r>
      <w:r w:rsidRPr="004952C0">
        <w:rPr>
          <w:b/>
          <w:i/>
        </w:rPr>
        <w:t>net</w:t>
      </w:r>
      <w:r w:rsidRPr="004952C0">
        <w:t xml:space="preserve"> </w:t>
      </w:r>
      <w:r w:rsidRPr="004952C0">
        <w:rPr>
          <w:b/>
          <w:i/>
        </w:rPr>
        <w:t xml:space="preserve">abatement amount </w:t>
      </w:r>
      <w:r w:rsidRPr="004952C0">
        <w:t xml:space="preserve">in this determination (see section </w:t>
      </w:r>
      <w:r w:rsidR="00934AC6" w:rsidRPr="004952C0">
        <w:t>5</w:t>
      </w:r>
      <w:r w:rsidRPr="004952C0">
        <w:t>).</w:t>
      </w:r>
    </w:p>
    <w:p w:rsidR="0045496E" w:rsidRPr="004952C0" w:rsidRDefault="00FE4F8F" w:rsidP="0045496E">
      <w:pPr>
        <w:pStyle w:val="h5Section"/>
      </w:pPr>
      <w:bookmarkStart w:id="55" w:name="_Toc420592124"/>
      <w:bookmarkStart w:id="56" w:name="_Toc431466278"/>
      <w:proofErr w:type="gramStart"/>
      <w:r w:rsidRPr="004952C0">
        <w:t>21</w:t>
      </w:r>
      <w:r w:rsidR="0045496E" w:rsidRPr="004952C0">
        <w:t xml:space="preserve">  Overview</w:t>
      </w:r>
      <w:proofErr w:type="gramEnd"/>
      <w:r w:rsidR="0045496E" w:rsidRPr="004952C0">
        <w:t xml:space="preserve"> of gases accounted for in abatement calculations</w:t>
      </w:r>
      <w:bookmarkEnd w:id="55"/>
      <w:bookmarkEnd w:id="56"/>
    </w:p>
    <w:p w:rsidR="0045496E" w:rsidRPr="004952C0" w:rsidRDefault="0045496E" w:rsidP="0045496E">
      <w:pPr>
        <w:pStyle w:val="tMain"/>
      </w:pPr>
      <w:r w:rsidRPr="004952C0">
        <w:tab/>
      </w:r>
      <w:r w:rsidRPr="004952C0">
        <w:tab/>
        <w:t>The following table provides an overview of the greenhouse gases and emissions sources that are relevant to working out the net abatement amount for a refrigeration and ventilation fan project.</w:t>
      </w:r>
      <w:r w:rsidRPr="004952C0">
        <w:br/>
      </w:r>
    </w:p>
    <w:tbl>
      <w:tblPr>
        <w:tblW w:w="0" w:type="auto"/>
        <w:tblInd w:w="113" w:type="dxa"/>
        <w:tblBorders>
          <w:top w:val="single" w:sz="4" w:space="0" w:color="auto"/>
          <w:bottom w:val="single" w:sz="2" w:space="0" w:color="auto"/>
          <w:insideH w:val="single" w:sz="4" w:space="0" w:color="auto"/>
        </w:tblBorders>
        <w:tblLayout w:type="fixed"/>
        <w:tblLook w:val="0000"/>
      </w:tblPr>
      <w:tblGrid>
        <w:gridCol w:w="714"/>
        <w:gridCol w:w="2533"/>
        <w:gridCol w:w="2533"/>
        <w:gridCol w:w="2533"/>
      </w:tblGrid>
      <w:tr w:rsidR="004952C0" w:rsidRPr="004952C0" w:rsidTr="005634D0">
        <w:trPr>
          <w:tblHeader/>
        </w:trPr>
        <w:tc>
          <w:tcPr>
            <w:tcW w:w="8313" w:type="dxa"/>
            <w:gridSpan w:val="4"/>
            <w:tcBorders>
              <w:top w:val="single" w:sz="12" w:space="0" w:color="auto"/>
              <w:bottom w:val="single" w:sz="6" w:space="0" w:color="auto"/>
            </w:tcBorders>
            <w:shd w:val="clear" w:color="auto" w:fill="auto"/>
          </w:tcPr>
          <w:p w:rsidR="0045496E" w:rsidRPr="004952C0" w:rsidRDefault="0045496E" w:rsidP="005634D0">
            <w:pPr>
              <w:pStyle w:val="TableHeading"/>
            </w:pPr>
            <w:r w:rsidRPr="004952C0">
              <w:t>Greenhouse gases and emissions sources</w:t>
            </w:r>
          </w:p>
        </w:tc>
      </w:tr>
      <w:tr w:rsidR="004952C0" w:rsidRPr="004952C0" w:rsidTr="005634D0">
        <w:trPr>
          <w:tblHeader/>
        </w:trPr>
        <w:tc>
          <w:tcPr>
            <w:tcW w:w="714" w:type="dxa"/>
            <w:tcBorders>
              <w:top w:val="single" w:sz="6" w:space="0" w:color="auto"/>
              <w:bottom w:val="single" w:sz="12" w:space="0" w:color="auto"/>
            </w:tcBorders>
            <w:shd w:val="clear" w:color="auto" w:fill="auto"/>
          </w:tcPr>
          <w:p w:rsidR="0045496E" w:rsidRPr="004952C0" w:rsidRDefault="0045496E" w:rsidP="005634D0">
            <w:pPr>
              <w:pStyle w:val="TableHeading"/>
            </w:pPr>
            <w:r w:rsidRPr="004952C0">
              <w:t>Item</w:t>
            </w:r>
          </w:p>
        </w:tc>
        <w:tc>
          <w:tcPr>
            <w:tcW w:w="2533" w:type="dxa"/>
            <w:tcBorders>
              <w:top w:val="single" w:sz="6" w:space="0" w:color="auto"/>
              <w:bottom w:val="single" w:sz="12" w:space="0" w:color="auto"/>
            </w:tcBorders>
            <w:shd w:val="clear" w:color="auto" w:fill="auto"/>
          </w:tcPr>
          <w:p w:rsidR="0045496E" w:rsidRPr="004952C0" w:rsidRDefault="0045496E" w:rsidP="005634D0">
            <w:pPr>
              <w:pStyle w:val="TableHeading"/>
            </w:pPr>
            <w:r w:rsidRPr="004952C0">
              <w:rPr>
                <w:rFonts w:eastAsia="Calibri"/>
                <w:lang w:eastAsia="en-US"/>
              </w:rPr>
              <w:t>Relevant emissions calculation</w:t>
            </w:r>
          </w:p>
        </w:tc>
        <w:tc>
          <w:tcPr>
            <w:tcW w:w="2533" w:type="dxa"/>
            <w:tcBorders>
              <w:top w:val="single" w:sz="6" w:space="0" w:color="auto"/>
              <w:bottom w:val="single" w:sz="12" w:space="0" w:color="auto"/>
            </w:tcBorders>
            <w:shd w:val="clear" w:color="auto" w:fill="auto"/>
          </w:tcPr>
          <w:p w:rsidR="0045496E" w:rsidRPr="004952C0" w:rsidRDefault="0045496E" w:rsidP="005634D0">
            <w:pPr>
              <w:pStyle w:val="TableHeading"/>
            </w:pPr>
            <w:r w:rsidRPr="004952C0">
              <w:t>Emissions source</w:t>
            </w:r>
          </w:p>
        </w:tc>
        <w:tc>
          <w:tcPr>
            <w:tcW w:w="2533" w:type="dxa"/>
            <w:tcBorders>
              <w:top w:val="single" w:sz="6" w:space="0" w:color="auto"/>
              <w:bottom w:val="single" w:sz="12" w:space="0" w:color="auto"/>
            </w:tcBorders>
            <w:shd w:val="clear" w:color="auto" w:fill="auto"/>
          </w:tcPr>
          <w:p w:rsidR="0045496E" w:rsidRPr="004952C0" w:rsidRDefault="0045496E" w:rsidP="005634D0">
            <w:pPr>
              <w:pStyle w:val="TableHeading"/>
            </w:pPr>
            <w:r w:rsidRPr="004952C0">
              <w:t>Greenhouse gas</w:t>
            </w:r>
          </w:p>
        </w:tc>
      </w:tr>
      <w:tr w:rsidR="004952C0" w:rsidRPr="004952C0" w:rsidTr="005634D0">
        <w:tc>
          <w:tcPr>
            <w:tcW w:w="714" w:type="dxa"/>
            <w:tcBorders>
              <w:top w:val="single" w:sz="12" w:space="0" w:color="auto"/>
              <w:bottom w:val="single" w:sz="12" w:space="0" w:color="auto"/>
            </w:tcBorders>
            <w:shd w:val="clear" w:color="auto" w:fill="auto"/>
          </w:tcPr>
          <w:p w:rsidR="0045496E" w:rsidRPr="004952C0" w:rsidRDefault="0045496E" w:rsidP="005634D0">
            <w:pPr>
              <w:pStyle w:val="Tabletext"/>
            </w:pPr>
            <w:r w:rsidRPr="004952C0">
              <w:t>1</w:t>
            </w:r>
          </w:p>
        </w:tc>
        <w:tc>
          <w:tcPr>
            <w:tcW w:w="2533" w:type="dxa"/>
            <w:tcBorders>
              <w:top w:val="single" w:sz="12" w:space="0" w:color="auto"/>
              <w:bottom w:val="single" w:sz="12" w:space="0" w:color="auto"/>
            </w:tcBorders>
            <w:shd w:val="clear" w:color="auto" w:fill="auto"/>
          </w:tcPr>
          <w:p w:rsidR="0045496E" w:rsidRPr="004952C0" w:rsidRDefault="0045496E" w:rsidP="005634D0">
            <w:pPr>
              <w:pStyle w:val="Tabletext"/>
            </w:pPr>
            <w:r w:rsidRPr="004952C0">
              <w:t>Baseline emissions</w:t>
            </w:r>
          </w:p>
          <w:p w:rsidR="0045496E" w:rsidRPr="004952C0" w:rsidRDefault="0045496E" w:rsidP="005634D0">
            <w:pPr>
              <w:pStyle w:val="Tabletext"/>
            </w:pPr>
            <w:r w:rsidRPr="004952C0">
              <w:t>Project emissions</w:t>
            </w:r>
          </w:p>
        </w:tc>
        <w:tc>
          <w:tcPr>
            <w:tcW w:w="2533" w:type="dxa"/>
            <w:tcBorders>
              <w:top w:val="single" w:sz="12" w:space="0" w:color="auto"/>
              <w:bottom w:val="single" w:sz="12" w:space="0" w:color="auto"/>
            </w:tcBorders>
            <w:shd w:val="clear" w:color="auto" w:fill="auto"/>
          </w:tcPr>
          <w:p w:rsidR="0045496E" w:rsidRPr="004952C0" w:rsidRDefault="0045496E" w:rsidP="005634D0">
            <w:pPr>
              <w:pStyle w:val="Tabletext"/>
            </w:pPr>
            <w:r w:rsidRPr="004952C0">
              <w:t>Electricity consumption</w:t>
            </w:r>
          </w:p>
        </w:tc>
        <w:tc>
          <w:tcPr>
            <w:tcW w:w="2533" w:type="dxa"/>
            <w:tcBorders>
              <w:top w:val="single" w:sz="12" w:space="0" w:color="auto"/>
              <w:bottom w:val="single" w:sz="12" w:space="0" w:color="auto"/>
            </w:tcBorders>
            <w:shd w:val="clear" w:color="auto" w:fill="auto"/>
          </w:tcPr>
          <w:p w:rsidR="0045496E" w:rsidRPr="004952C0" w:rsidRDefault="0045496E" w:rsidP="005634D0">
            <w:pPr>
              <w:pStyle w:val="Tabletext"/>
              <w:rPr>
                <w:rFonts w:eastAsia="Calibri"/>
                <w:lang w:eastAsia="en-US"/>
              </w:rPr>
            </w:pPr>
            <w:r w:rsidRPr="004952C0">
              <w:rPr>
                <w:rFonts w:eastAsia="Calibri"/>
                <w:lang w:eastAsia="en-US"/>
              </w:rPr>
              <w:t>Carbon dioxide (CO</w:t>
            </w:r>
            <w:r w:rsidRPr="004952C0">
              <w:rPr>
                <w:rFonts w:eastAsia="Calibri"/>
                <w:vertAlign w:val="subscript"/>
                <w:lang w:eastAsia="en-US"/>
              </w:rPr>
              <w:t>2</w:t>
            </w:r>
            <w:r w:rsidRPr="004952C0">
              <w:rPr>
                <w:rFonts w:eastAsia="Calibri"/>
                <w:lang w:eastAsia="en-US"/>
              </w:rPr>
              <w:t>)</w:t>
            </w:r>
          </w:p>
          <w:p w:rsidR="0045496E" w:rsidRPr="004952C0" w:rsidRDefault="0045496E" w:rsidP="005634D0">
            <w:pPr>
              <w:pStyle w:val="Tabletext"/>
              <w:rPr>
                <w:rFonts w:eastAsia="Calibri"/>
                <w:lang w:eastAsia="en-US"/>
              </w:rPr>
            </w:pPr>
            <w:r w:rsidRPr="004952C0">
              <w:rPr>
                <w:rFonts w:eastAsia="Calibri"/>
                <w:lang w:eastAsia="en-US"/>
              </w:rPr>
              <w:t>Methane (CH</w:t>
            </w:r>
            <w:r w:rsidRPr="004952C0">
              <w:rPr>
                <w:rFonts w:eastAsia="Calibri"/>
                <w:vertAlign w:val="subscript"/>
                <w:lang w:eastAsia="en-US"/>
              </w:rPr>
              <w:t>4</w:t>
            </w:r>
            <w:r w:rsidRPr="004952C0">
              <w:rPr>
                <w:rFonts w:eastAsia="Calibri"/>
                <w:lang w:eastAsia="en-US"/>
              </w:rPr>
              <w:t>)</w:t>
            </w:r>
          </w:p>
          <w:p w:rsidR="0045496E" w:rsidRPr="004952C0" w:rsidRDefault="0045496E" w:rsidP="005634D0">
            <w:pPr>
              <w:pStyle w:val="Tabletext"/>
            </w:pPr>
            <w:r w:rsidRPr="004952C0">
              <w:rPr>
                <w:rFonts w:eastAsia="Calibri"/>
                <w:lang w:eastAsia="en-US"/>
              </w:rPr>
              <w:t>Nitrous oxide (N</w:t>
            </w:r>
            <w:r w:rsidRPr="004952C0">
              <w:rPr>
                <w:rFonts w:eastAsia="Calibri"/>
                <w:vertAlign w:val="subscript"/>
                <w:lang w:eastAsia="en-US"/>
              </w:rPr>
              <w:t>2</w:t>
            </w:r>
            <w:r w:rsidRPr="004952C0">
              <w:rPr>
                <w:rFonts w:eastAsia="Calibri"/>
                <w:lang w:eastAsia="en-US"/>
              </w:rPr>
              <w:t>O)</w:t>
            </w:r>
          </w:p>
        </w:tc>
      </w:tr>
    </w:tbl>
    <w:p w:rsidR="0045496E" w:rsidRPr="004952C0" w:rsidRDefault="00FE4F8F" w:rsidP="0045496E">
      <w:pPr>
        <w:pStyle w:val="h5Section"/>
      </w:pPr>
      <w:bookmarkStart w:id="57" w:name="_Toc420592125"/>
      <w:bookmarkStart w:id="58" w:name="_Toc431466279"/>
      <w:proofErr w:type="gramStart"/>
      <w:r w:rsidRPr="004952C0">
        <w:t>22</w:t>
      </w:r>
      <w:r w:rsidR="0045496E" w:rsidRPr="004952C0">
        <w:t xml:space="preserve">  Fans</w:t>
      </w:r>
      <w:proofErr w:type="gramEnd"/>
      <w:r w:rsidR="0045496E" w:rsidRPr="004952C0">
        <w:t xml:space="preserve"> to be used in calculations</w:t>
      </w:r>
      <w:bookmarkEnd w:id="57"/>
      <w:bookmarkEnd w:id="58"/>
    </w:p>
    <w:p w:rsidR="0045496E" w:rsidRPr="004952C0" w:rsidRDefault="0045496E" w:rsidP="0045496E">
      <w:pPr>
        <w:pStyle w:val="tMain"/>
      </w:pPr>
      <w:r w:rsidRPr="004952C0">
        <w:tab/>
      </w:r>
      <w:r w:rsidR="00FE4F8F" w:rsidRPr="004952C0">
        <w:t>(1)</w:t>
      </w:r>
      <w:r w:rsidRPr="004952C0">
        <w:tab/>
        <w:t>The project proponent may undertake calculations in accordance with this Part only for installed HE fans and installed SM fans.</w:t>
      </w:r>
    </w:p>
    <w:p w:rsidR="005C45B2" w:rsidRPr="004952C0" w:rsidRDefault="005C45B2" w:rsidP="005C45B2">
      <w:pPr>
        <w:pStyle w:val="h6Subsec"/>
      </w:pPr>
      <w:r w:rsidRPr="004952C0">
        <w:t>Exclusion of fans from calculations</w:t>
      </w:r>
    </w:p>
    <w:p w:rsidR="0045496E" w:rsidRPr="004952C0" w:rsidRDefault="0045496E" w:rsidP="0045496E">
      <w:pPr>
        <w:pStyle w:val="tMain"/>
      </w:pPr>
      <w:r w:rsidRPr="004952C0">
        <w:tab/>
      </w:r>
      <w:r w:rsidR="00FE4F8F" w:rsidRPr="004952C0">
        <w:t>(2)</w:t>
      </w:r>
      <w:r w:rsidRPr="004952C0">
        <w:tab/>
        <w:t>In calculating the net abatement amount for the project for a reporting period, the project proponent:</w:t>
      </w:r>
    </w:p>
    <w:p w:rsidR="0045496E" w:rsidRPr="004952C0" w:rsidRDefault="0045496E" w:rsidP="0045496E">
      <w:pPr>
        <w:pStyle w:val="tPara"/>
      </w:pPr>
      <w:r w:rsidRPr="004952C0">
        <w:tab/>
      </w:r>
      <w:r w:rsidR="00FE4F8F" w:rsidRPr="004952C0">
        <w:t>(a)</w:t>
      </w:r>
      <w:r w:rsidRPr="004952C0">
        <w:tab/>
      </w:r>
      <w:proofErr w:type="gramStart"/>
      <w:r w:rsidRPr="004952C0">
        <w:t>may</w:t>
      </w:r>
      <w:proofErr w:type="gramEnd"/>
      <w:r w:rsidRPr="004952C0">
        <w:t xml:space="preserve"> exclude any fan; and</w:t>
      </w:r>
    </w:p>
    <w:p w:rsidR="0045496E" w:rsidRPr="004952C0" w:rsidRDefault="0045496E" w:rsidP="0045496E">
      <w:pPr>
        <w:pStyle w:val="tPara"/>
      </w:pPr>
      <w:r w:rsidRPr="004952C0">
        <w:tab/>
      </w:r>
      <w:r w:rsidR="00FE4F8F" w:rsidRPr="004952C0">
        <w:t>(b)</w:t>
      </w:r>
      <w:r w:rsidRPr="004952C0">
        <w:tab/>
      </w:r>
      <w:proofErr w:type="gramStart"/>
      <w:r w:rsidRPr="004952C0">
        <w:t>must</w:t>
      </w:r>
      <w:proofErr w:type="gramEnd"/>
      <w:r w:rsidRPr="004952C0">
        <w:t xml:space="preserve"> exclude a fan if:</w:t>
      </w:r>
    </w:p>
    <w:p w:rsidR="0045496E" w:rsidRPr="004952C0" w:rsidRDefault="0045496E" w:rsidP="0045496E">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the</w:t>
      </w:r>
      <w:proofErr w:type="gramEnd"/>
      <w:r w:rsidRPr="004952C0">
        <w:t xml:space="preserve"> fan is not in commission before the end of the reporting period; or</w:t>
      </w:r>
    </w:p>
    <w:p w:rsidR="0045496E" w:rsidRPr="004952C0" w:rsidRDefault="0045496E" w:rsidP="0045496E">
      <w:pPr>
        <w:pStyle w:val="tSubpara"/>
      </w:pPr>
      <w:r w:rsidRPr="004952C0">
        <w:tab/>
      </w:r>
      <w:r w:rsidR="00FE4F8F" w:rsidRPr="004952C0">
        <w:t>(ii)</w:t>
      </w:r>
      <w:r w:rsidRPr="004952C0">
        <w:tab/>
      </w:r>
      <w:proofErr w:type="gramStart"/>
      <w:r w:rsidRPr="004952C0">
        <w:t>at</w:t>
      </w:r>
      <w:proofErr w:type="gramEnd"/>
      <w:r w:rsidRPr="004952C0">
        <w:t xml:space="preserve"> any time during the reporting period, the fan was decommissioned or removed from the building or refrigeration system; or</w:t>
      </w:r>
    </w:p>
    <w:p w:rsidR="0045496E" w:rsidRPr="004952C0" w:rsidRDefault="0045496E" w:rsidP="0045496E">
      <w:pPr>
        <w:pStyle w:val="tSubpara"/>
      </w:pPr>
      <w:r w:rsidRPr="004952C0">
        <w:tab/>
      </w:r>
      <w:r w:rsidR="00FE4F8F" w:rsidRPr="004952C0">
        <w:t>(iii)</w:t>
      </w:r>
      <w:r w:rsidRPr="004952C0">
        <w:tab/>
      </w:r>
      <w:proofErr w:type="gramStart"/>
      <w:r w:rsidRPr="004952C0">
        <w:t>in</w:t>
      </w:r>
      <w:proofErr w:type="gramEnd"/>
      <w:r w:rsidRPr="004952C0">
        <w:t xml:space="preserve"> the case of a high efficiency fan installation—the model of the fan has not been tested in accordance with section </w:t>
      </w:r>
      <w:r w:rsidR="00934AC6" w:rsidRPr="004952C0">
        <w:t>16</w:t>
      </w:r>
      <w:r w:rsidRPr="004952C0">
        <w:t>.</w:t>
      </w:r>
    </w:p>
    <w:p w:rsidR="005C45B2" w:rsidRPr="004952C0" w:rsidRDefault="00EB115A" w:rsidP="005C45B2">
      <w:pPr>
        <w:pStyle w:val="h6Subsec"/>
      </w:pPr>
      <w:r w:rsidRPr="004952C0">
        <w:t>Requirement</w:t>
      </w:r>
      <w:r w:rsidR="005C45B2" w:rsidRPr="004952C0">
        <w:t xml:space="preserve"> to classify fan as either installed HE fan or installed SM fan</w:t>
      </w:r>
    </w:p>
    <w:p w:rsidR="00CC46C4" w:rsidRPr="004952C0" w:rsidRDefault="0045496E" w:rsidP="00CC46C4">
      <w:pPr>
        <w:pStyle w:val="tMain"/>
      </w:pPr>
      <w:r w:rsidRPr="004952C0">
        <w:tab/>
      </w:r>
      <w:r w:rsidR="00FE4F8F" w:rsidRPr="004952C0">
        <w:t>(3)</w:t>
      </w:r>
      <w:r w:rsidRPr="004952C0">
        <w:tab/>
      </w:r>
      <w:r w:rsidR="00CC46C4" w:rsidRPr="004952C0">
        <w:t>For each fan that can be classified as both an installed HE fan and an installed SM fan for the purposes of calculation of the net abatement amount, the project proponent must</w:t>
      </w:r>
      <w:r w:rsidR="00C76F48" w:rsidRPr="004952C0">
        <w:t>:</w:t>
      </w:r>
    </w:p>
    <w:p w:rsidR="0045496E" w:rsidRPr="004952C0" w:rsidRDefault="0045496E" w:rsidP="00C76F48">
      <w:pPr>
        <w:pStyle w:val="tPara"/>
      </w:pPr>
      <w:r w:rsidRPr="004952C0">
        <w:tab/>
      </w:r>
      <w:r w:rsidR="00FE4F8F" w:rsidRPr="004952C0">
        <w:t>(a)</w:t>
      </w:r>
      <w:r w:rsidRPr="004952C0">
        <w:tab/>
      </w:r>
      <w:proofErr w:type="gramStart"/>
      <w:r w:rsidR="00C76F48" w:rsidRPr="004952C0">
        <w:t>choose</w:t>
      </w:r>
      <w:proofErr w:type="gramEnd"/>
      <w:r w:rsidR="00C76F48" w:rsidRPr="004952C0">
        <w:t xml:space="preserve"> one of the classifications for </w:t>
      </w:r>
      <w:r w:rsidR="00EB115A" w:rsidRPr="004952C0">
        <w:t>the first offsets report</w:t>
      </w:r>
      <w:r w:rsidR="005B185F" w:rsidRPr="004952C0">
        <w:t xml:space="preserve"> </w:t>
      </w:r>
      <w:r w:rsidR="008801E0" w:rsidRPr="004952C0">
        <w:t xml:space="preserve">that calculates the net </w:t>
      </w:r>
      <w:r w:rsidR="007C370C" w:rsidRPr="004952C0">
        <w:t xml:space="preserve">abatement amount </w:t>
      </w:r>
      <w:r w:rsidR="008801E0" w:rsidRPr="004952C0">
        <w:t>in relation to the fan</w:t>
      </w:r>
      <w:r w:rsidRPr="004952C0">
        <w:t>; and</w:t>
      </w:r>
    </w:p>
    <w:p w:rsidR="0045496E" w:rsidRPr="004952C0" w:rsidRDefault="0045496E" w:rsidP="0045496E">
      <w:pPr>
        <w:pStyle w:val="tPara"/>
      </w:pPr>
      <w:r w:rsidRPr="004952C0">
        <w:tab/>
      </w:r>
      <w:r w:rsidR="00FE4F8F" w:rsidRPr="004952C0">
        <w:t>(b)</w:t>
      </w:r>
      <w:r w:rsidRPr="004952C0">
        <w:tab/>
      </w:r>
      <w:proofErr w:type="gramStart"/>
      <w:r w:rsidR="0000738C" w:rsidRPr="004952C0">
        <w:t>apply</w:t>
      </w:r>
      <w:proofErr w:type="gramEnd"/>
      <w:r w:rsidR="0000738C" w:rsidRPr="004952C0">
        <w:t xml:space="preserve"> the same classification to the fan</w:t>
      </w:r>
      <w:r w:rsidR="00C76F48" w:rsidRPr="004952C0">
        <w:t xml:space="preserve"> in subsequent offsets reports</w:t>
      </w:r>
      <w:r w:rsidRPr="004952C0">
        <w:t>.</w:t>
      </w:r>
    </w:p>
    <w:p w:rsidR="0045496E" w:rsidRPr="004952C0" w:rsidRDefault="00FE4F8F" w:rsidP="0045496E">
      <w:pPr>
        <w:pStyle w:val="h3Div"/>
      </w:pPr>
      <w:bookmarkStart w:id="59" w:name="_Toc420592127"/>
      <w:bookmarkStart w:id="60" w:name="_Toc431466280"/>
      <w:r w:rsidRPr="004952C0">
        <w:lastRenderedPageBreak/>
        <w:t>Division 2</w:t>
      </w:r>
      <w:r w:rsidR="0045496E" w:rsidRPr="004952C0">
        <w:t>—Calculating net abatement amount</w:t>
      </w:r>
      <w:bookmarkEnd w:id="59"/>
      <w:bookmarkEnd w:id="60"/>
    </w:p>
    <w:p w:rsidR="0045496E" w:rsidRPr="004952C0" w:rsidRDefault="00FE4F8F" w:rsidP="0045496E">
      <w:pPr>
        <w:pStyle w:val="h5Section"/>
      </w:pPr>
      <w:bookmarkStart w:id="61" w:name="_Toc431466281"/>
      <w:proofErr w:type="gramStart"/>
      <w:r w:rsidRPr="004952C0">
        <w:t>23</w:t>
      </w:r>
      <w:r w:rsidR="0045496E" w:rsidRPr="004952C0">
        <w:t xml:space="preserve">  Summary</w:t>
      </w:r>
      <w:proofErr w:type="gramEnd"/>
      <w:r w:rsidR="0045496E" w:rsidRPr="004952C0">
        <w:t xml:space="preserve"> of this Division</w:t>
      </w:r>
      <w:bookmarkEnd w:id="61"/>
    </w:p>
    <w:p w:rsidR="0045496E" w:rsidRPr="004952C0" w:rsidRDefault="0045496E" w:rsidP="0045496E">
      <w:pPr>
        <w:pStyle w:val="SOText"/>
      </w:pPr>
      <w:r w:rsidRPr="004952C0">
        <w:t>The net abatement amount for a refrigeration and ventilation fan project is calculated by summing:</w:t>
      </w:r>
    </w:p>
    <w:p w:rsidR="0045496E" w:rsidRPr="004952C0" w:rsidRDefault="0045496E" w:rsidP="0045496E">
      <w:pPr>
        <w:pStyle w:val="SOBullet"/>
      </w:pPr>
      <w:r w:rsidRPr="004952C0">
        <w:t>•</w:t>
      </w:r>
      <w:r w:rsidRPr="004952C0">
        <w:tab/>
      </w:r>
      <w:proofErr w:type="gramStart"/>
      <w:r w:rsidRPr="004952C0">
        <w:t>the</w:t>
      </w:r>
      <w:proofErr w:type="gramEnd"/>
      <w:r w:rsidRPr="004952C0">
        <w:t xml:space="preserve"> net abatement from all installed HE fans (</w:t>
      </w:r>
      <w:r w:rsidRPr="004952C0">
        <w:rPr>
          <w:i/>
        </w:rPr>
        <w:t>A</w:t>
      </w:r>
      <w:r w:rsidRPr="004952C0">
        <w:rPr>
          <w:i/>
          <w:vertAlign w:val="subscript"/>
        </w:rPr>
        <w:t>HE</w:t>
      </w:r>
      <w:r w:rsidRPr="004952C0">
        <w:t>); and</w:t>
      </w:r>
    </w:p>
    <w:p w:rsidR="0045496E" w:rsidRPr="004952C0" w:rsidRDefault="0045496E" w:rsidP="0045496E">
      <w:pPr>
        <w:pStyle w:val="SOBullet"/>
      </w:pPr>
      <w:r w:rsidRPr="004952C0">
        <w:t>•</w:t>
      </w:r>
      <w:r w:rsidRPr="004952C0">
        <w:tab/>
      </w:r>
      <w:proofErr w:type="gramStart"/>
      <w:r w:rsidRPr="004952C0">
        <w:t>the</w:t>
      </w:r>
      <w:proofErr w:type="gramEnd"/>
      <w:r w:rsidRPr="004952C0">
        <w:t xml:space="preserve"> net abatement from all installed SM fans (</w:t>
      </w:r>
      <w:r w:rsidRPr="004952C0">
        <w:rPr>
          <w:i/>
        </w:rPr>
        <w:t>A</w:t>
      </w:r>
      <w:r w:rsidRPr="004952C0">
        <w:rPr>
          <w:i/>
          <w:vertAlign w:val="subscript"/>
        </w:rPr>
        <w:t>SM</w:t>
      </w:r>
      <w:r w:rsidRPr="004952C0">
        <w:t>).</w:t>
      </w:r>
    </w:p>
    <w:p w:rsidR="0045496E" w:rsidRPr="004952C0" w:rsidRDefault="00FE4F8F" w:rsidP="0045496E">
      <w:pPr>
        <w:pStyle w:val="h5Section"/>
      </w:pPr>
      <w:bookmarkStart w:id="62" w:name="_Toc431466282"/>
      <w:proofErr w:type="gramStart"/>
      <w:r w:rsidRPr="004952C0">
        <w:t>24</w:t>
      </w:r>
      <w:r w:rsidR="0045496E" w:rsidRPr="004952C0">
        <w:t xml:space="preserve">  Equation</w:t>
      </w:r>
      <w:proofErr w:type="gramEnd"/>
      <w:r w:rsidR="0045496E" w:rsidRPr="004952C0">
        <w:t xml:space="preserve"> 1—net abatement amount (</w:t>
      </w:r>
      <w:r w:rsidR="0045496E" w:rsidRPr="004952C0">
        <w:rPr>
          <w:i/>
        </w:rPr>
        <w:t>A</w:t>
      </w:r>
      <w:r w:rsidR="0045496E" w:rsidRPr="004952C0">
        <w:t>)</w:t>
      </w:r>
      <w:bookmarkEnd w:id="62"/>
    </w:p>
    <w:p w:rsidR="0045496E" w:rsidRPr="004952C0" w:rsidRDefault="0045496E" w:rsidP="0045496E">
      <w:pPr>
        <w:pStyle w:val="tMain"/>
      </w:pPr>
      <w:r w:rsidRPr="004952C0">
        <w:tab/>
      </w:r>
      <w:r w:rsidRPr="004952C0">
        <w:tab/>
        <w:t>The net abatement amount for a reporting period in tonnes CO</w:t>
      </w:r>
      <w:r w:rsidRPr="004952C0">
        <w:rPr>
          <w:vertAlign w:val="subscript"/>
        </w:rPr>
        <w:t>2</w:t>
      </w:r>
      <w:r w:rsidRPr="004952C0">
        <w:t>-e (</w:t>
      </w:r>
      <w:r w:rsidRPr="004952C0">
        <w:rPr>
          <w:b/>
          <w:i/>
        </w:rPr>
        <w:t>A</w:t>
      </w:r>
      <w:r w:rsidRPr="004952C0">
        <w:t>) is worked out using the equation (</w:t>
      </w:r>
      <w:r w:rsidRPr="004952C0">
        <w:rPr>
          <w:b/>
          <w:i/>
        </w:rPr>
        <w:t>equation 1</w:t>
      </w:r>
      <w:r w:rsidRPr="004952C0">
        <w:t>):</w:t>
      </w:r>
    </w:p>
    <w:p w:rsidR="0045496E" w:rsidRPr="004952C0" w:rsidRDefault="0045496E" w:rsidP="0045496E">
      <w:pPr>
        <w:pStyle w:val="tMain"/>
      </w:pPr>
      <m:oMathPara>
        <m:oMathParaPr>
          <m:jc m:val="left"/>
        </m:oMathParaPr>
        <m:oMath>
          <m:r>
            <w:rPr>
              <w:rFonts w:ascii="Cambria Math" w:hAnsi="Cambria Math"/>
            </w:rPr>
            <m:t xml:space="preserve">A = </m:t>
          </m:r>
          <m:sSub>
            <m:sSubPr>
              <m:ctrlPr>
                <w:rPr>
                  <w:rFonts w:ascii="Cambria Math" w:hAnsi="Cambria Math"/>
                  <w:i/>
                </w:rPr>
              </m:ctrlPr>
            </m:sSubPr>
            <m:e>
              <m:r>
                <w:rPr>
                  <w:rFonts w:ascii="Cambria Math" w:hAnsi="Cambria Math"/>
                </w:rPr>
                <m:t>A</m:t>
              </m:r>
            </m:e>
            <m:sub>
              <m:r>
                <w:rPr>
                  <w:rFonts w:ascii="Cambria Math" w:hAnsi="Cambria Math"/>
                </w:rPr>
                <m:t>HE</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SM</m:t>
              </m:r>
            </m:sub>
          </m:sSub>
        </m:oMath>
      </m:oMathPara>
    </w:p>
    <w:p w:rsidR="0045496E" w:rsidRPr="004952C0" w:rsidRDefault="0045496E" w:rsidP="0045496E">
      <w:pPr>
        <w:pStyle w:val="tMain"/>
      </w:pPr>
      <w:r w:rsidRPr="004952C0">
        <w:tab/>
      </w:r>
      <w:r w:rsidRPr="004952C0">
        <w:tab/>
      </w:r>
      <w:proofErr w:type="gramStart"/>
      <w:r w:rsidRPr="004952C0">
        <w:t>where</w:t>
      </w:r>
      <w:proofErr w:type="gramEnd"/>
      <w:r w:rsidRPr="004952C0">
        <w:t>:</w:t>
      </w:r>
    </w:p>
    <w:p w:rsidR="0045496E" w:rsidRPr="004952C0" w:rsidRDefault="0045496E" w:rsidP="0045496E">
      <w:pPr>
        <w:pStyle w:val="tDefn"/>
      </w:pPr>
      <w:r w:rsidRPr="004952C0">
        <w:rPr>
          <w:b/>
          <w:i/>
        </w:rPr>
        <w:t>A</w:t>
      </w:r>
      <w:r w:rsidRPr="004952C0">
        <w:rPr>
          <w:b/>
          <w:i/>
          <w:vertAlign w:val="subscript"/>
        </w:rPr>
        <w:t>HE</w:t>
      </w:r>
      <w:r w:rsidRPr="004952C0">
        <w:rPr>
          <w:b/>
          <w:i/>
        </w:rPr>
        <w:t xml:space="preserve"> </w:t>
      </w:r>
      <w:r w:rsidRPr="004952C0">
        <w:t>is the net abatement for the reporting period from all installed HE fans, in tonnes CO</w:t>
      </w:r>
      <w:r w:rsidRPr="004952C0">
        <w:rPr>
          <w:vertAlign w:val="subscript"/>
        </w:rPr>
        <w:t>2</w:t>
      </w:r>
      <w:r w:rsidRPr="004952C0">
        <w:t xml:space="preserve">-e, and is calculated in accordance with </w:t>
      </w:r>
      <w:r w:rsidR="00934AC6" w:rsidRPr="004952C0">
        <w:t>Division 3</w:t>
      </w:r>
      <w:r w:rsidRPr="004952C0">
        <w:t xml:space="preserve"> (see equation 2, section </w:t>
      </w:r>
      <w:r w:rsidR="00934AC6" w:rsidRPr="004952C0">
        <w:t>26</w:t>
      </w:r>
      <w:r w:rsidRPr="004952C0">
        <w:t>).</w:t>
      </w:r>
    </w:p>
    <w:p w:rsidR="0045496E" w:rsidRPr="004952C0" w:rsidRDefault="0045496E" w:rsidP="0045496E">
      <w:pPr>
        <w:pStyle w:val="tDefn"/>
      </w:pPr>
      <w:r w:rsidRPr="004952C0">
        <w:rPr>
          <w:b/>
          <w:i/>
        </w:rPr>
        <w:t>A</w:t>
      </w:r>
      <w:r w:rsidRPr="004952C0">
        <w:rPr>
          <w:b/>
          <w:i/>
          <w:vertAlign w:val="subscript"/>
        </w:rPr>
        <w:t>SM</w:t>
      </w:r>
      <w:r w:rsidRPr="004952C0">
        <w:t xml:space="preserve"> is the net abatement for the reporting period from all installed SM fans, in tonnes CO</w:t>
      </w:r>
      <w:r w:rsidRPr="004952C0">
        <w:rPr>
          <w:vertAlign w:val="subscript"/>
        </w:rPr>
        <w:t>2</w:t>
      </w:r>
      <w:r w:rsidRPr="004952C0">
        <w:t xml:space="preserve">-e, and is calculated in accordance with </w:t>
      </w:r>
      <w:r w:rsidR="00934AC6" w:rsidRPr="004952C0">
        <w:t>Division 4</w:t>
      </w:r>
      <w:r w:rsidRPr="004952C0">
        <w:t xml:space="preserve"> (see equation 10, section </w:t>
      </w:r>
      <w:r w:rsidR="00934AC6" w:rsidRPr="004952C0">
        <w:t>34</w:t>
      </w:r>
      <w:r w:rsidRPr="004952C0">
        <w:t>).</w:t>
      </w:r>
    </w:p>
    <w:p w:rsidR="0045496E" w:rsidRPr="004952C0" w:rsidRDefault="00FE4F8F" w:rsidP="0045496E">
      <w:pPr>
        <w:pStyle w:val="h3Div"/>
      </w:pPr>
      <w:bookmarkStart w:id="63" w:name="_Toc431466283"/>
      <w:bookmarkStart w:id="64" w:name="_Toc418869722"/>
      <w:bookmarkStart w:id="65" w:name="_Toc420940750"/>
      <w:r w:rsidRPr="004952C0">
        <w:t>Division 3</w:t>
      </w:r>
      <w:r w:rsidR="0045496E" w:rsidRPr="004952C0">
        <w:t>—Calculating net abatement from installed HE fans</w:t>
      </w:r>
      <w:bookmarkEnd w:id="63"/>
    </w:p>
    <w:p w:rsidR="0045496E" w:rsidRPr="004952C0" w:rsidRDefault="0045496E" w:rsidP="0045496E">
      <w:pPr>
        <w:pStyle w:val="ntoHeading"/>
      </w:pPr>
      <w:r w:rsidRPr="004952C0">
        <w:t>Note:</w:t>
      </w:r>
      <w:r w:rsidRPr="004952C0">
        <w:tab/>
        <w:t xml:space="preserve">The definitions of several parameters used in this Division mirror the corresponding definitions in </w:t>
      </w:r>
      <w:r w:rsidR="00934AC6" w:rsidRPr="004952C0">
        <w:t>Schedule 1</w:t>
      </w:r>
      <w:r w:rsidRPr="004952C0">
        <w:t>. The project proponent will have already worked out values for these parameters when determining whether the fan complies with subparagraph </w:t>
      </w:r>
      <w:r w:rsidR="00934AC6" w:rsidRPr="004952C0">
        <w:t>9(3</w:t>
      </w:r>
      <w:proofErr w:type="gramStart"/>
      <w:r w:rsidR="00934AC6" w:rsidRPr="004952C0">
        <w:t>)(</w:t>
      </w:r>
      <w:proofErr w:type="gramEnd"/>
      <w:r w:rsidR="00934AC6" w:rsidRPr="004952C0">
        <w:t>a)(iii)</w:t>
      </w:r>
      <w:r w:rsidRPr="004952C0">
        <w:t>, and can re</w:t>
      </w:r>
      <w:r w:rsidRPr="004952C0">
        <w:noBreakHyphen/>
      </w:r>
      <w:proofErr w:type="spellStart"/>
      <w:r w:rsidRPr="004952C0">
        <w:t>use</w:t>
      </w:r>
      <w:proofErr w:type="spellEnd"/>
      <w:r w:rsidRPr="004952C0">
        <w:t xml:space="preserve"> the values so calculated for the purposes of this Division.</w:t>
      </w:r>
    </w:p>
    <w:p w:rsidR="0045496E" w:rsidRPr="004952C0" w:rsidRDefault="00FE4F8F" w:rsidP="0045496E">
      <w:pPr>
        <w:pStyle w:val="h5Section"/>
      </w:pPr>
      <w:bookmarkStart w:id="66" w:name="_Toc418869721"/>
      <w:bookmarkStart w:id="67" w:name="_Toc420940749"/>
      <w:bookmarkStart w:id="68" w:name="_Toc431466284"/>
      <w:proofErr w:type="gramStart"/>
      <w:r w:rsidRPr="004952C0">
        <w:t>25</w:t>
      </w:r>
      <w:r w:rsidR="0045496E" w:rsidRPr="004952C0">
        <w:t xml:space="preserve">  Summary</w:t>
      </w:r>
      <w:bookmarkEnd w:id="66"/>
      <w:bookmarkEnd w:id="67"/>
      <w:proofErr w:type="gramEnd"/>
      <w:r w:rsidR="0045496E" w:rsidRPr="004952C0">
        <w:t xml:space="preserve"> of this Division</w:t>
      </w:r>
      <w:bookmarkEnd w:id="68"/>
    </w:p>
    <w:p w:rsidR="0045496E" w:rsidRPr="004952C0" w:rsidRDefault="0045496E" w:rsidP="0045496E">
      <w:pPr>
        <w:pStyle w:val="BoxText"/>
      </w:pPr>
      <w:r w:rsidRPr="004952C0">
        <w:t>The net abatement for each reporting period from all installed HE fans is the sum of the abatement amounts during the reporting period from each such fan.</w:t>
      </w:r>
    </w:p>
    <w:p w:rsidR="0045496E" w:rsidRPr="004952C0" w:rsidRDefault="0045496E" w:rsidP="0045496E">
      <w:pPr>
        <w:pStyle w:val="BoxText"/>
      </w:pPr>
      <w:r w:rsidRPr="004952C0">
        <w:t>The abatement amount for each fan is determined by comparing the energy consumption of that fan with the energy consumption of a market average fan of the same type and power, and is proportional to the reduction in energy consumption of the fan as compared to this benchmark.</w:t>
      </w:r>
    </w:p>
    <w:p w:rsidR="0045496E" w:rsidRPr="004952C0" w:rsidRDefault="00FE4F8F" w:rsidP="0045496E">
      <w:pPr>
        <w:pStyle w:val="h5Section"/>
      </w:pPr>
      <w:bookmarkStart w:id="69" w:name="_Toc431466285"/>
      <w:proofErr w:type="gramStart"/>
      <w:r w:rsidRPr="004952C0">
        <w:t>26</w:t>
      </w:r>
      <w:r w:rsidR="0045496E" w:rsidRPr="004952C0">
        <w:t xml:space="preserve">  Equation</w:t>
      </w:r>
      <w:proofErr w:type="gramEnd"/>
      <w:r w:rsidR="0045496E" w:rsidRPr="004952C0">
        <w:t xml:space="preserve"> 2—net abatement from installed HE fans (</w:t>
      </w:r>
      <w:r w:rsidR="0045496E" w:rsidRPr="004952C0">
        <w:rPr>
          <w:i/>
        </w:rPr>
        <w:t>A</w:t>
      </w:r>
      <w:r w:rsidR="0045496E" w:rsidRPr="004952C0">
        <w:rPr>
          <w:i/>
          <w:vertAlign w:val="subscript"/>
        </w:rPr>
        <w:t>HE</w:t>
      </w:r>
      <w:r w:rsidR="0045496E" w:rsidRPr="004952C0">
        <w:t>)</w:t>
      </w:r>
      <w:bookmarkEnd w:id="69"/>
      <w:r w:rsidR="0045496E" w:rsidRPr="004952C0">
        <w:t xml:space="preserve"> </w:t>
      </w:r>
      <w:bookmarkEnd w:id="64"/>
      <w:bookmarkEnd w:id="65"/>
    </w:p>
    <w:p w:rsidR="0045496E" w:rsidRPr="004952C0" w:rsidRDefault="0045496E" w:rsidP="0045496E">
      <w:pPr>
        <w:pStyle w:val="tMain"/>
      </w:pPr>
      <w:r w:rsidRPr="004952C0">
        <w:tab/>
      </w:r>
      <w:r w:rsidRPr="004952C0">
        <w:tab/>
        <w:t xml:space="preserve">For equation 1, </w:t>
      </w:r>
      <w:r w:rsidRPr="004952C0">
        <w:rPr>
          <w:i/>
        </w:rPr>
        <w:t>A</w:t>
      </w:r>
      <w:r w:rsidRPr="004952C0">
        <w:rPr>
          <w:i/>
          <w:vertAlign w:val="subscript"/>
        </w:rPr>
        <w:t>HE</w:t>
      </w:r>
      <w:r w:rsidRPr="004952C0">
        <w:t xml:space="preserve"> is worked out using the equation (</w:t>
      </w:r>
      <w:r w:rsidRPr="004952C0">
        <w:rPr>
          <w:b/>
          <w:i/>
        </w:rPr>
        <w:t>equation 2</w:t>
      </w:r>
      <w:r w:rsidRPr="004952C0">
        <w:t>):</w:t>
      </w:r>
    </w:p>
    <w:p w:rsidR="0045496E" w:rsidRPr="004952C0" w:rsidRDefault="004F3B1F" w:rsidP="0045496E">
      <w:pPr>
        <w:pStyle w:val="tMain"/>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HE</m:t>
              </m:r>
            </m:sub>
          </m:sSub>
          <m:r>
            <w:rPr>
              <w:rFonts w:ascii="Cambria Math" w:hAnsi="Cambria Math"/>
            </w:rPr>
            <m:t xml:space="preserve"> =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HE,i</m:t>
                  </m:r>
                </m:sub>
              </m:sSub>
            </m:e>
          </m:nary>
        </m:oMath>
      </m:oMathPara>
    </w:p>
    <w:p w:rsidR="0045496E" w:rsidRPr="004952C0" w:rsidRDefault="0045496E" w:rsidP="0045496E">
      <w:pPr>
        <w:pStyle w:val="tMain"/>
      </w:pPr>
      <w:r w:rsidRPr="004952C0">
        <w:tab/>
      </w:r>
      <w:r w:rsidRPr="004952C0">
        <w:tab/>
      </w:r>
      <w:proofErr w:type="gramStart"/>
      <w:r w:rsidRPr="004952C0">
        <w:t>where</w:t>
      </w:r>
      <w:proofErr w:type="gramEnd"/>
      <w:r w:rsidRPr="004952C0">
        <w:t>:</w:t>
      </w:r>
    </w:p>
    <w:p w:rsidR="0045496E" w:rsidRPr="004952C0" w:rsidRDefault="0045496E" w:rsidP="0045496E">
      <w:pPr>
        <w:pStyle w:val="tDefn"/>
      </w:pPr>
      <w:proofErr w:type="spellStart"/>
      <w:r w:rsidRPr="004952C0">
        <w:rPr>
          <w:b/>
          <w:i/>
        </w:rPr>
        <w:t>A</w:t>
      </w:r>
      <w:r w:rsidRPr="004952C0">
        <w:rPr>
          <w:b/>
          <w:i/>
          <w:vertAlign w:val="subscript"/>
        </w:rPr>
        <w:t>HE</w:t>
      </w:r>
      <w:proofErr w:type="gramStart"/>
      <w:r w:rsidRPr="004952C0">
        <w:rPr>
          <w:b/>
          <w:i/>
          <w:vertAlign w:val="subscript"/>
        </w:rPr>
        <w:t>,i</w:t>
      </w:r>
      <w:proofErr w:type="spellEnd"/>
      <w:proofErr w:type="gramEnd"/>
      <w:r w:rsidRPr="004952C0">
        <w:rPr>
          <w:b/>
          <w:i/>
        </w:rPr>
        <w:t xml:space="preserve"> </w:t>
      </w:r>
      <w:r w:rsidRPr="004952C0">
        <w:t xml:space="preserve">is the abatement amount for the reporting period from the </w:t>
      </w:r>
      <w:proofErr w:type="spellStart"/>
      <w:r w:rsidRPr="004952C0">
        <w:rPr>
          <w:i/>
        </w:rPr>
        <w:t>i</w:t>
      </w:r>
      <w:r w:rsidRPr="004952C0">
        <w:rPr>
          <w:vertAlign w:val="superscript"/>
        </w:rPr>
        <w:t>th</w:t>
      </w:r>
      <w:proofErr w:type="spellEnd"/>
      <w:r w:rsidRPr="004952C0">
        <w:t xml:space="preserve"> installed HE fan, in tonnes CO</w:t>
      </w:r>
      <w:r w:rsidRPr="004952C0">
        <w:rPr>
          <w:vertAlign w:val="subscript"/>
        </w:rPr>
        <w:t>2</w:t>
      </w:r>
      <w:r w:rsidRPr="004952C0">
        <w:t>-e.</w:t>
      </w:r>
    </w:p>
    <w:p w:rsidR="0045496E" w:rsidRPr="004952C0" w:rsidRDefault="0045496E" w:rsidP="0045496E">
      <w:pPr>
        <w:pStyle w:val="tDefn"/>
      </w:pPr>
      <w:proofErr w:type="gramStart"/>
      <w:r w:rsidRPr="004952C0">
        <w:rPr>
          <w:b/>
          <w:i/>
        </w:rPr>
        <w:lastRenderedPageBreak/>
        <w:t>n</w:t>
      </w:r>
      <w:proofErr w:type="gramEnd"/>
      <w:r w:rsidRPr="004952C0">
        <w:rPr>
          <w:b/>
          <w:i/>
        </w:rPr>
        <w:t xml:space="preserve"> </w:t>
      </w:r>
      <w:r w:rsidRPr="004952C0">
        <w:t>is the number of installed HE fans over which abatement is calculated for the reporting period.</w:t>
      </w:r>
    </w:p>
    <w:p w:rsidR="0045496E" w:rsidRPr="004952C0" w:rsidRDefault="0045496E" w:rsidP="0045496E">
      <w:pPr>
        <w:pStyle w:val="nMain"/>
      </w:pPr>
      <w:r w:rsidRPr="004952C0">
        <w:t>Note:</w:t>
      </w:r>
      <w:r w:rsidRPr="004952C0">
        <w:tab/>
        <w:t>See section </w:t>
      </w:r>
      <w:r w:rsidR="00934AC6" w:rsidRPr="004952C0">
        <w:t>22</w:t>
      </w:r>
      <w:r w:rsidRPr="004952C0">
        <w:t xml:space="preserve"> for the fans to be used in the calculations.</w:t>
      </w:r>
    </w:p>
    <w:p w:rsidR="0045496E" w:rsidRPr="004952C0" w:rsidRDefault="00FE4F8F" w:rsidP="0045496E">
      <w:pPr>
        <w:pStyle w:val="h5Section"/>
      </w:pPr>
      <w:bookmarkStart w:id="70" w:name="_Toc418869723"/>
      <w:bookmarkStart w:id="71" w:name="_Toc420940751"/>
      <w:bookmarkStart w:id="72" w:name="_Toc431466286"/>
      <w:proofErr w:type="gramStart"/>
      <w:r w:rsidRPr="004952C0">
        <w:t>27</w:t>
      </w:r>
      <w:r w:rsidR="0045496E" w:rsidRPr="004952C0">
        <w:t xml:space="preserve">  Equation</w:t>
      </w:r>
      <w:proofErr w:type="gramEnd"/>
      <w:r w:rsidR="0045496E" w:rsidRPr="004952C0">
        <w:t xml:space="preserve"> 3—abatement amount from each installed HE fan (</w:t>
      </w:r>
      <w:proofErr w:type="spellStart"/>
      <w:r w:rsidR="0045496E" w:rsidRPr="004952C0">
        <w:rPr>
          <w:i/>
        </w:rPr>
        <w:t>A</w:t>
      </w:r>
      <w:r w:rsidR="0045496E" w:rsidRPr="004952C0">
        <w:rPr>
          <w:i/>
          <w:vertAlign w:val="subscript"/>
        </w:rPr>
        <w:t>HE,i</w:t>
      </w:r>
      <w:proofErr w:type="spellEnd"/>
      <w:r w:rsidR="0045496E" w:rsidRPr="004952C0">
        <w:t>)</w:t>
      </w:r>
      <w:bookmarkEnd w:id="70"/>
      <w:bookmarkEnd w:id="71"/>
      <w:bookmarkEnd w:id="72"/>
    </w:p>
    <w:p w:rsidR="0045496E" w:rsidRPr="004952C0" w:rsidRDefault="0045496E" w:rsidP="0045496E">
      <w:pPr>
        <w:pStyle w:val="tMain"/>
      </w:pPr>
      <w:r w:rsidRPr="004952C0">
        <w:tab/>
      </w:r>
      <w:r w:rsidR="00FE4F8F" w:rsidRPr="004952C0">
        <w:t>(1)</w:t>
      </w:r>
      <w:r w:rsidRPr="004952C0">
        <w:tab/>
        <w:t xml:space="preserve">For equation 2, </w:t>
      </w:r>
      <w:proofErr w:type="spellStart"/>
      <w:r w:rsidRPr="004952C0">
        <w:rPr>
          <w:i/>
        </w:rPr>
        <w:t>A</w:t>
      </w:r>
      <w:r w:rsidRPr="004952C0">
        <w:rPr>
          <w:i/>
          <w:vertAlign w:val="subscript"/>
        </w:rPr>
        <w:t>HE</w:t>
      </w:r>
      <w:proofErr w:type="gramStart"/>
      <w:r w:rsidRPr="004952C0">
        <w:rPr>
          <w:i/>
          <w:vertAlign w:val="subscript"/>
        </w:rPr>
        <w:t>,i</w:t>
      </w:r>
      <w:proofErr w:type="spellEnd"/>
      <w:proofErr w:type="gramEnd"/>
      <w:r w:rsidRPr="004952C0">
        <w:rPr>
          <w:i/>
          <w:vertAlign w:val="subscript"/>
        </w:rPr>
        <w:t xml:space="preserve"> </w:t>
      </w:r>
      <w:r w:rsidRPr="004952C0">
        <w:t>is worked out using the equation (</w:t>
      </w:r>
      <w:r w:rsidRPr="004952C0">
        <w:rPr>
          <w:b/>
          <w:i/>
        </w:rPr>
        <w:t>equation 3</w:t>
      </w:r>
      <w:r w:rsidRPr="004952C0">
        <w:t>):</w:t>
      </w:r>
    </w:p>
    <w:p w:rsidR="0045496E" w:rsidRPr="004952C0" w:rsidRDefault="004F3B1F" w:rsidP="0045496E">
      <w:pPr>
        <w:pStyle w:val="tMain"/>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HE,i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E,i</m:t>
                  </m:r>
                </m:sub>
              </m:sSub>
            </m:num>
            <m:den>
              <m:r>
                <w:rPr>
                  <w:rFonts w:ascii="Cambria Math" w:hAnsi="Cambria Math"/>
                </w:rPr>
                <m:t>1000</m:t>
              </m:r>
            </m:den>
          </m:f>
          <m:r>
            <w:rPr>
              <w:rFonts w:ascii="Cambria Math" w:hAnsi="Cambria Math" w:hint="eastAsia"/>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η</m:t>
                      </m:r>
                    </m:e>
                    <m:sub>
                      <m:r>
                        <w:rPr>
                          <w:rFonts w:ascii="Cambria Math" w:hAnsi="Cambria Math"/>
                        </w:rPr>
                        <m:t>i</m:t>
                      </m:r>
                    </m:sub>
                  </m:sSub>
                  <m:r>
                    <w:rPr>
                      <w:rFonts w:ascii="Cambria Math" w:hAnsi="Cambria Math" w:hint="eastAsia"/>
                    </w:rPr>
                    <m:t>×</m:t>
                  </m:r>
                  <m:sSub>
                    <m:sSubPr>
                      <m:ctrlPr>
                        <w:rPr>
                          <w:rFonts w:ascii="Cambria Math" w:hAnsi="Cambria Math"/>
                          <w:i/>
                        </w:rPr>
                      </m:ctrlPr>
                    </m:sSubPr>
                    <m:e>
                      <m:r>
                        <w:rPr>
                          <w:rFonts w:ascii="Cambria Math" w:hAnsi="Cambria Math"/>
                        </w:rPr>
                        <m:t>CM</m:t>
                      </m:r>
                    </m:e>
                    <m:sub>
                      <m:r>
                        <w:rPr>
                          <w:rFonts w:ascii="Cambria Math" w:hAnsi="Cambria Math"/>
                        </w:rPr>
                        <m:t>i</m:t>
                      </m:r>
                    </m:sub>
                  </m:sSub>
                </m:num>
                <m:den>
                  <m:sSub>
                    <m:sSubPr>
                      <m:ctrlPr>
                        <w:rPr>
                          <w:rFonts w:ascii="Cambria Math" w:hAnsi="Cambria Math"/>
                          <w:i/>
                        </w:rPr>
                      </m:ctrlPr>
                    </m:sSubPr>
                    <m:e>
                      <m:r>
                        <w:rPr>
                          <w:rFonts w:ascii="Cambria Math" w:hAnsi="Cambria Math"/>
                        </w:rPr>
                        <m:t>η</m:t>
                      </m:r>
                    </m:e>
                    <m:sub>
                      <m:r>
                        <w:rPr>
                          <w:rFonts w:ascii="Cambria Math" w:hAnsi="Cambria Math"/>
                        </w:rPr>
                        <m:t>B,i</m:t>
                      </m:r>
                    </m:sub>
                  </m:sSub>
                </m:den>
              </m:f>
              <m:r>
                <w:rPr>
                  <w:rFonts w:ascii="Cambria Math" w:hAnsi="Cambria Math"/>
                </w:rPr>
                <m:t xml:space="preserve">- </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C</m:t>
                      </m:r>
                    </m:e>
                    <m:sub>
                      <m:r>
                        <w:rPr>
                          <w:rFonts w:ascii="Cambria Math" w:hAnsi="Cambria Math"/>
                        </w:rPr>
                        <m:t>C,i</m:t>
                      </m:r>
                    </m:sub>
                  </m:sSub>
                </m:den>
              </m:f>
            </m:e>
          </m:d>
          <m:r>
            <w:rPr>
              <w:rFonts w:ascii="Cambria Math" w:hAnsi="Cambria Math"/>
            </w:rPr>
            <m:t>×(1+</m:t>
          </m:r>
          <m:sSub>
            <m:sSubPr>
              <m:ctrlPr>
                <w:rPr>
                  <w:rFonts w:ascii="Cambria Math" w:hAnsi="Cambria Math"/>
                  <w:i/>
                </w:rPr>
              </m:ctrlPr>
            </m:sSubPr>
            <m:e>
              <m:r>
                <w:rPr>
                  <w:rFonts w:ascii="Cambria Math" w:hAnsi="Cambria Math"/>
                </w:rPr>
                <m:t>H</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DF</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hint="eastAsia"/>
            </w:rPr>
            <m:t>×</m:t>
          </m:r>
          <m:r>
            <w:rPr>
              <w:rFonts w:ascii="Cambria Math" w:hAnsi="Cambria Math"/>
            </w:rPr>
            <m:t>24</m:t>
          </m:r>
          <m:r>
            <w:rPr>
              <w:rFonts w:ascii="Cambria Math" w:hAnsi="Cambria Math" w:hint="eastAsia"/>
            </w:rPr>
            <m:t>×</m:t>
          </m:r>
          <m:r>
            <w:rPr>
              <w:rFonts w:ascii="Cambria Math" w:hAnsi="Cambria Math"/>
            </w:rPr>
            <m:t xml:space="preserve"> C</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hint="eastAsia"/>
            </w:rPr>
            <m:t>×</m:t>
          </m:r>
          <m:sSub>
            <m:sSubPr>
              <m:ctrlPr>
                <w:rPr>
                  <w:rFonts w:ascii="Cambria Math" w:hAnsi="Cambria Math"/>
                  <w:i/>
                </w:rPr>
              </m:ctrlPr>
            </m:sSubPr>
            <m:e>
              <m:r>
                <w:rPr>
                  <w:rFonts w:ascii="Cambria Math" w:hAnsi="Cambria Math"/>
                </w:rPr>
                <m:t>EF</m:t>
              </m:r>
            </m:e>
            <m:sub>
              <m:r>
                <w:rPr>
                  <w:rFonts w:ascii="Cambria Math" w:hAnsi="Cambria Math"/>
                </w:rPr>
                <m:t>Elec,i</m:t>
              </m:r>
            </m:sub>
          </m:sSub>
        </m:oMath>
      </m:oMathPara>
    </w:p>
    <w:p w:rsidR="0045496E" w:rsidRPr="004952C0" w:rsidRDefault="0045496E" w:rsidP="0045496E">
      <w:pPr>
        <w:pStyle w:val="tMain"/>
      </w:pPr>
      <w:r w:rsidRPr="004952C0">
        <w:tab/>
      </w:r>
      <w:r w:rsidRPr="004952C0">
        <w:tab/>
      </w:r>
      <w:proofErr w:type="gramStart"/>
      <w:r w:rsidRPr="004952C0">
        <w:t>where</w:t>
      </w:r>
      <w:proofErr w:type="gramEnd"/>
      <w:r w:rsidRPr="004952C0">
        <w:t xml:space="preserve">, for the </w:t>
      </w:r>
      <w:proofErr w:type="spellStart"/>
      <w:r w:rsidRPr="004952C0">
        <w:rPr>
          <w:i/>
        </w:rPr>
        <w:t>i</w:t>
      </w:r>
      <w:r w:rsidRPr="004952C0">
        <w:rPr>
          <w:vertAlign w:val="superscript"/>
        </w:rPr>
        <w:t>th</w:t>
      </w:r>
      <w:proofErr w:type="spellEnd"/>
      <w:r w:rsidRPr="004952C0">
        <w:t xml:space="preserve"> installed HE fan:</w:t>
      </w:r>
    </w:p>
    <w:p w:rsidR="0045496E" w:rsidRPr="004952C0" w:rsidRDefault="0045496E" w:rsidP="0045496E">
      <w:pPr>
        <w:pStyle w:val="tDefn"/>
      </w:pPr>
      <w:proofErr w:type="spellStart"/>
      <w:r w:rsidRPr="004952C0">
        <w:rPr>
          <w:b/>
          <w:i/>
        </w:rPr>
        <w:t>P</w:t>
      </w:r>
      <w:r w:rsidRPr="004952C0">
        <w:rPr>
          <w:b/>
          <w:i/>
          <w:sz w:val="24"/>
          <w:szCs w:val="24"/>
          <w:vertAlign w:val="subscript"/>
        </w:rPr>
        <w:t>E</w:t>
      </w:r>
      <w:proofErr w:type="gramStart"/>
      <w:r w:rsidRPr="004952C0">
        <w:rPr>
          <w:b/>
          <w:i/>
          <w:vertAlign w:val="subscript"/>
        </w:rPr>
        <w:t>,i</w:t>
      </w:r>
      <w:proofErr w:type="spellEnd"/>
      <w:proofErr w:type="gramEnd"/>
      <w:r w:rsidRPr="004952C0">
        <w:t xml:space="preserve"> is the motor input power, in kilowatts, and is:</w:t>
      </w:r>
    </w:p>
    <w:p w:rsidR="0045496E" w:rsidRPr="004952C0" w:rsidRDefault="0045496E" w:rsidP="0045496E">
      <w:pPr>
        <w:pStyle w:val="tPara"/>
      </w:pPr>
      <w:r w:rsidRPr="004952C0">
        <w:tab/>
        <w:t>(a)</w:t>
      </w:r>
      <w:r w:rsidRPr="004952C0">
        <w:tab/>
      </w:r>
      <w:proofErr w:type="gramStart"/>
      <w:r w:rsidRPr="004952C0">
        <w:t>if</w:t>
      </w:r>
      <w:proofErr w:type="gramEnd"/>
      <w:r w:rsidRPr="004952C0">
        <w:t xml:space="preserve"> the model of the fan was tested using the same drive, motor and transmission as the fan as installed—the motor input power measured in that test; and</w:t>
      </w:r>
    </w:p>
    <w:p w:rsidR="0045496E" w:rsidRPr="004952C0" w:rsidRDefault="0045496E" w:rsidP="0045496E">
      <w:pPr>
        <w:pStyle w:val="nPara"/>
      </w:pPr>
      <w:r w:rsidRPr="004952C0">
        <w:t>Note:</w:t>
      </w:r>
      <w:r w:rsidRPr="004952C0">
        <w:tab/>
        <w:t>See paragraphs </w:t>
      </w:r>
      <w:r w:rsidR="00934AC6" w:rsidRPr="004952C0">
        <w:t>16(4</w:t>
      </w:r>
      <w:proofErr w:type="gramStart"/>
      <w:r w:rsidR="00934AC6" w:rsidRPr="004952C0">
        <w:t>)(</w:t>
      </w:r>
      <w:proofErr w:type="gramEnd"/>
      <w:r w:rsidR="00934AC6" w:rsidRPr="004952C0">
        <w:t>b)</w:t>
      </w:r>
      <w:r w:rsidRPr="004952C0">
        <w:t xml:space="preserve"> and </w:t>
      </w:r>
      <w:r w:rsidR="00934AC6" w:rsidRPr="004952C0">
        <w:t>(5)(e)</w:t>
      </w:r>
      <w:r w:rsidRPr="004952C0">
        <w:t>.</w:t>
      </w:r>
    </w:p>
    <w:p w:rsidR="0045496E" w:rsidRPr="004952C0" w:rsidRDefault="0045496E" w:rsidP="0045496E">
      <w:pPr>
        <w:pStyle w:val="tPara"/>
      </w:pPr>
      <w:r w:rsidRPr="004952C0">
        <w:tab/>
        <w:t>(b)</w:t>
      </w:r>
      <w:r w:rsidRPr="004952C0">
        <w:tab/>
      </w:r>
      <w:proofErr w:type="gramStart"/>
      <w:r w:rsidRPr="004952C0">
        <w:t>otherwise—</w:t>
      </w:r>
      <w:proofErr w:type="gramEnd"/>
      <w:r w:rsidRPr="004952C0">
        <w:t>the motor input power given by equation 4 (section </w:t>
      </w:r>
      <w:r w:rsidR="00934AC6" w:rsidRPr="004952C0">
        <w:t>28</w:t>
      </w:r>
      <w:r w:rsidRPr="004952C0">
        <w:t>).</w:t>
      </w:r>
    </w:p>
    <w:p w:rsidR="0045496E" w:rsidRPr="004952C0" w:rsidRDefault="0045496E" w:rsidP="0045496E">
      <w:pPr>
        <w:pStyle w:val="tDefn"/>
      </w:pPr>
      <w:r w:rsidRPr="004952C0">
        <w:rPr>
          <w:rFonts w:ascii="Cambria Math" w:hAnsi="Cambria Math"/>
          <w:b/>
          <w:i/>
        </w:rPr>
        <w:t>𝜂</w:t>
      </w:r>
      <w:proofErr w:type="spellStart"/>
      <w:r w:rsidRPr="004952C0">
        <w:rPr>
          <w:b/>
          <w:i/>
          <w:vertAlign w:val="subscript"/>
        </w:rPr>
        <w:t>i</w:t>
      </w:r>
      <w:proofErr w:type="spellEnd"/>
      <w:r w:rsidRPr="004952C0">
        <w:t xml:space="preserve"> is the overall driven fan efficiency, and is:</w:t>
      </w:r>
    </w:p>
    <w:p w:rsidR="0045496E" w:rsidRPr="004952C0" w:rsidRDefault="0045496E" w:rsidP="0045496E">
      <w:pPr>
        <w:pStyle w:val="tPara"/>
      </w:pPr>
      <w:r w:rsidRPr="004952C0">
        <w:tab/>
        <w:t>(a)</w:t>
      </w:r>
      <w:r w:rsidRPr="004952C0">
        <w:tab/>
      </w:r>
      <w:proofErr w:type="gramStart"/>
      <w:r w:rsidRPr="004952C0">
        <w:t>if</w:t>
      </w:r>
      <w:proofErr w:type="gramEnd"/>
      <w:r w:rsidRPr="004952C0">
        <w:t xml:space="preserve"> the model of the fan was tested using the same drive, motor and transmission as the fan as installed—the overall driven fan efficiency given by equation 5 (section </w:t>
      </w:r>
      <w:r w:rsidR="00934AC6" w:rsidRPr="004952C0">
        <w:t>29</w:t>
      </w:r>
      <w:r w:rsidRPr="004952C0">
        <w:t>); and</w:t>
      </w:r>
    </w:p>
    <w:p w:rsidR="0045496E" w:rsidRPr="004952C0" w:rsidRDefault="0045496E" w:rsidP="0045496E">
      <w:pPr>
        <w:pStyle w:val="nPara"/>
      </w:pPr>
      <w:r w:rsidRPr="004952C0">
        <w:t>Note:</w:t>
      </w:r>
      <w:r w:rsidRPr="004952C0">
        <w:tab/>
        <w:t>See paragraph </w:t>
      </w:r>
      <w:r w:rsidR="00934AC6" w:rsidRPr="004952C0">
        <w:t>16(4</w:t>
      </w:r>
      <w:proofErr w:type="gramStart"/>
      <w:r w:rsidR="00934AC6" w:rsidRPr="004952C0">
        <w:t>)(</w:t>
      </w:r>
      <w:proofErr w:type="gramEnd"/>
      <w:r w:rsidR="00934AC6" w:rsidRPr="004952C0">
        <w:t>b)</w:t>
      </w:r>
      <w:r w:rsidRPr="004952C0">
        <w:t>.</w:t>
      </w:r>
    </w:p>
    <w:p w:rsidR="0045496E" w:rsidRPr="004952C0" w:rsidRDefault="0045496E" w:rsidP="0045496E">
      <w:pPr>
        <w:pStyle w:val="tPara"/>
      </w:pPr>
      <w:r w:rsidRPr="004952C0">
        <w:tab/>
        <w:t>(b)</w:t>
      </w:r>
      <w:r w:rsidRPr="004952C0">
        <w:tab/>
      </w:r>
      <w:proofErr w:type="gramStart"/>
      <w:r w:rsidRPr="004952C0">
        <w:t>otherwise—</w:t>
      </w:r>
      <w:proofErr w:type="gramEnd"/>
      <w:r w:rsidRPr="004952C0">
        <w:t>the overall driven fan efficiency given by equation 6 (section </w:t>
      </w:r>
      <w:r w:rsidR="00934AC6" w:rsidRPr="004952C0">
        <w:t>30</w:t>
      </w:r>
      <w:r w:rsidRPr="004952C0">
        <w:t>).</w:t>
      </w:r>
    </w:p>
    <w:p w:rsidR="0045496E" w:rsidRPr="004952C0" w:rsidRDefault="0045496E" w:rsidP="0045496E">
      <w:pPr>
        <w:pStyle w:val="tDefn"/>
      </w:pPr>
      <w:proofErr w:type="spellStart"/>
      <w:r w:rsidRPr="004952C0">
        <w:rPr>
          <w:b/>
          <w:i/>
        </w:rPr>
        <w:t>CM</w:t>
      </w:r>
      <w:r w:rsidRPr="004952C0">
        <w:rPr>
          <w:b/>
          <w:i/>
          <w:vertAlign w:val="subscript"/>
        </w:rPr>
        <w:t>i</w:t>
      </w:r>
      <w:proofErr w:type="spellEnd"/>
      <w:r w:rsidRPr="004952C0">
        <w:t xml:space="preserve"> is the component mismatch factor, and is:</w:t>
      </w:r>
    </w:p>
    <w:p w:rsidR="0045496E" w:rsidRPr="004952C0" w:rsidRDefault="0045496E" w:rsidP="0045496E">
      <w:pPr>
        <w:pStyle w:val="tPara"/>
      </w:pPr>
      <w:r w:rsidRPr="004952C0">
        <w:tab/>
        <w:t>(a)</w:t>
      </w:r>
      <w:r w:rsidRPr="004952C0">
        <w:tab/>
      </w:r>
      <w:proofErr w:type="gramStart"/>
      <w:r w:rsidRPr="004952C0">
        <w:t>if</w:t>
      </w:r>
      <w:proofErr w:type="gramEnd"/>
      <w:r w:rsidRPr="004952C0">
        <w:t xml:space="preserve"> the model of the fan was tested using the same drive, motor and transmission as the fan as installed—1; and</w:t>
      </w:r>
    </w:p>
    <w:p w:rsidR="0045496E" w:rsidRPr="004952C0" w:rsidRDefault="0045496E" w:rsidP="0045496E">
      <w:pPr>
        <w:pStyle w:val="nPara"/>
      </w:pPr>
      <w:r w:rsidRPr="004952C0">
        <w:t>Note:</w:t>
      </w:r>
      <w:r w:rsidRPr="004952C0">
        <w:tab/>
        <w:t>See paragraph </w:t>
      </w:r>
      <w:r w:rsidR="00934AC6" w:rsidRPr="004952C0">
        <w:t>16(4</w:t>
      </w:r>
      <w:proofErr w:type="gramStart"/>
      <w:r w:rsidR="00934AC6" w:rsidRPr="004952C0">
        <w:t>)(</w:t>
      </w:r>
      <w:proofErr w:type="gramEnd"/>
      <w:r w:rsidR="00934AC6" w:rsidRPr="004952C0">
        <w:t>b)</w:t>
      </w:r>
      <w:r w:rsidRPr="004952C0">
        <w:t>.</w:t>
      </w:r>
    </w:p>
    <w:p w:rsidR="0045496E" w:rsidRPr="004952C0" w:rsidRDefault="0045496E" w:rsidP="0045496E">
      <w:pPr>
        <w:pStyle w:val="tPara"/>
      </w:pPr>
      <w:r w:rsidRPr="004952C0">
        <w:tab/>
        <w:t>(b)</w:t>
      </w:r>
      <w:r w:rsidRPr="004952C0">
        <w:tab/>
      </w:r>
      <w:proofErr w:type="gramStart"/>
      <w:r w:rsidRPr="004952C0">
        <w:t>otherwise—</w:t>
      </w:r>
      <w:proofErr w:type="gramEnd"/>
      <w:r w:rsidRPr="004952C0">
        <w:t>0.9.</w:t>
      </w:r>
    </w:p>
    <w:p w:rsidR="0045496E" w:rsidRPr="004952C0" w:rsidRDefault="0045496E" w:rsidP="0045496E">
      <w:pPr>
        <w:pStyle w:val="tDefn"/>
      </w:pPr>
      <w:r w:rsidRPr="004952C0">
        <w:rPr>
          <w:rFonts w:ascii="Cambria Math" w:hAnsi="Cambria Math"/>
          <w:b/>
          <w:i/>
        </w:rPr>
        <w:t>𝜂</w:t>
      </w:r>
      <w:proofErr w:type="spellStart"/>
      <w:r w:rsidRPr="004952C0">
        <w:rPr>
          <w:b/>
          <w:i/>
          <w:vertAlign w:val="subscript"/>
        </w:rPr>
        <w:t>B</w:t>
      </w:r>
      <w:proofErr w:type="gramStart"/>
      <w:r w:rsidRPr="004952C0">
        <w:rPr>
          <w:b/>
          <w:i/>
          <w:vertAlign w:val="subscript"/>
        </w:rPr>
        <w:t>,i</w:t>
      </w:r>
      <w:proofErr w:type="spellEnd"/>
      <w:proofErr w:type="gramEnd"/>
      <w:r w:rsidRPr="004952C0">
        <w:t xml:space="preserve"> is the baseline overall energy efficiency, given by equation 7 (section </w:t>
      </w:r>
      <w:r w:rsidR="00934AC6" w:rsidRPr="004952C0">
        <w:t>31</w:t>
      </w:r>
      <w:r w:rsidRPr="004952C0">
        <w:t>).</w:t>
      </w:r>
    </w:p>
    <w:p w:rsidR="0045496E" w:rsidRPr="004952C0" w:rsidRDefault="0045496E" w:rsidP="0045496E">
      <w:pPr>
        <w:pStyle w:val="tDefn"/>
      </w:pPr>
      <w:proofErr w:type="spellStart"/>
      <w:r w:rsidRPr="004952C0">
        <w:rPr>
          <w:b/>
          <w:i/>
        </w:rPr>
        <w:t>C</w:t>
      </w:r>
      <w:r w:rsidRPr="004952C0">
        <w:rPr>
          <w:b/>
          <w:i/>
          <w:vertAlign w:val="subscript"/>
        </w:rPr>
        <w:t>C</w:t>
      </w:r>
      <w:proofErr w:type="gramStart"/>
      <w:r w:rsidRPr="004952C0">
        <w:rPr>
          <w:b/>
          <w:i/>
          <w:vertAlign w:val="subscript"/>
        </w:rPr>
        <w:t>,i</w:t>
      </w:r>
      <w:proofErr w:type="spellEnd"/>
      <w:proofErr w:type="gramEnd"/>
      <w:r w:rsidRPr="004952C0">
        <w:t xml:space="preserve"> is the part load compensation factor for the controller of the fan, and is:</w:t>
      </w:r>
    </w:p>
    <w:p w:rsidR="0045496E" w:rsidRPr="004952C0" w:rsidRDefault="0045496E" w:rsidP="0045496E">
      <w:pPr>
        <w:pStyle w:val="tPara"/>
      </w:pPr>
      <w:r w:rsidRPr="004952C0">
        <w:tab/>
        <w:t>(a)</w:t>
      </w:r>
      <w:r w:rsidRPr="004952C0">
        <w:tab/>
      </w:r>
      <w:proofErr w:type="gramStart"/>
      <w:r w:rsidRPr="004952C0">
        <w:t>if</w:t>
      </w:r>
      <w:proofErr w:type="gramEnd"/>
      <w:r w:rsidRPr="004952C0">
        <w:t xml:space="preserve"> the motor is controlled by a variable speed drive that was installed as part of the project—the value given by equation 8 (subsection </w:t>
      </w:r>
      <w:r w:rsidR="00934AC6" w:rsidRPr="004952C0">
        <w:t>32(1)</w:t>
      </w:r>
      <w:r w:rsidRPr="004952C0">
        <w:t>); and</w:t>
      </w:r>
    </w:p>
    <w:p w:rsidR="0045496E" w:rsidRPr="004952C0" w:rsidRDefault="0045496E" w:rsidP="0045496E">
      <w:pPr>
        <w:pStyle w:val="tPara"/>
      </w:pPr>
      <w:r w:rsidRPr="004952C0">
        <w:tab/>
        <w:t>(b)</w:t>
      </w:r>
      <w:r w:rsidRPr="004952C0">
        <w:tab/>
      </w:r>
      <w:proofErr w:type="gramStart"/>
      <w:r w:rsidRPr="004952C0">
        <w:t>if</w:t>
      </w:r>
      <w:proofErr w:type="gramEnd"/>
      <w:r w:rsidRPr="004952C0">
        <w:t xml:space="preserve"> the motor is controlled by a multi</w:t>
      </w:r>
      <w:r w:rsidRPr="004952C0">
        <w:noBreakHyphen/>
      </w:r>
      <w:proofErr w:type="spellStart"/>
      <w:r w:rsidRPr="004952C0">
        <w:t>speed</w:t>
      </w:r>
      <w:proofErr w:type="spellEnd"/>
      <w:r w:rsidRPr="004952C0">
        <w:t xml:space="preserve"> control or a switching control that was installed as part of the project—the value given by equation 9 (subsection </w:t>
      </w:r>
      <w:r w:rsidR="00934AC6" w:rsidRPr="004952C0">
        <w:t>32(2)</w:t>
      </w:r>
      <w:r w:rsidRPr="004952C0">
        <w:t xml:space="preserve">); and </w:t>
      </w:r>
    </w:p>
    <w:p w:rsidR="0045496E" w:rsidRPr="004952C0" w:rsidRDefault="0045496E" w:rsidP="0045496E">
      <w:pPr>
        <w:pStyle w:val="tPara"/>
      </w:pPr>
      <w:r w:rsidRPr="004952C0">
        <w:tab/>
        <w:t>(c)</w:t>
      </w:r>
      <w:r w:rsidRPr="004952C0">
        <w:tab/>
      </w:r>
      <w:proofErr w:type="gramStart"/>
      <w:r w:rsidRPr="004952C0">
        <w:t>otherwise—</w:t>
      </w:r>
      <w:proofErr w:type="gramEnd"/>
      <w:r w:rsidRPr="004952C0">
        <w:t>1.</w:t>
      </w:r>
    </w:p>
    <w:p w:rsidR="0045496E" w:rsidRPr="004952C0" w:rsidRDefault="0045496E" w:rsidP="0045496E">
      <w:pPr>
        <w:pStyle w:val="tDefn"/>
      </w:pPr>
      <w:r w:rsidRPr="004952C0">
        <w:rPr>
          <w:b/>
          <w:i/>
        </w:rPr>
        <w:t>H</w:t>
      </w:r>
      <w:r w:rsidRPr="004952C0">
        <w:rPr>
          <w:b/>
          <w:i/>
          <w:vertAlign w:val="subscript"/>
        </w:rPr>
        <w:t>i</w:t>
      </w:r>
      <w:r w:rsidRPr="004952C0">
        <w:t xml:space="preserve"> is the heat load adjustment for the fan, and is:</w:t>
      </w:r>
    </w:p>
    <w:p w:rsidR="0045496E" w:rsidRPr="004952C0" w:rsidRDefault="0045496E" w:rsidP="0045496E">
      <w:pPr>
        <w:pStyle w:val="tPara"/>
      </w:pPr>
      <w:r w:rsidRPr="004952C0">
        <w:tab/>
        <w:t>(a)</w:t>
      </w:r>
      <w:r w:rsidRPr="004952C0">
        <w:tab/>
      </w:r>
      <w:proofErr w:type="gramStart"/>
      <w:r w:rsidRPr="004952C0">
        <w:t>for</w:t>
      </w:r>
      <w:proofErr w:type="gramEnd"/>
      <w:r w:rsidRPr="004952C0">
        <w:t xml:space="preserve"> a ventilation fan—0; and</w:t>
      </w:r>
    </w:p>
    <w:p w:rsidR="0045496E" w:rsidRPr="004952C0" w:rsidRDefault="0045496E" w:rsidP="0045496E">
      <w:pPr>
        <w:pStyle w:val="tPara"/>
      </w:pPr>
      <w:r w:rsidRPr="004952C0">
        <w:tab/>
        <w:t>(b)</w:t>
      </w:r>
      <w:r w:rsidRPr="004952C0">
        <w:tab/>
      </w:r>
      <w:proofErr w:type="gramStart"/>
      <w:r w:rsidRPr="004952C0">
        <w:t>for</w:t>
      </w:r>
      <w:proofErr w:type="gramEnd"/>
      <w:r w:rsidRPr="004952C0">
        <w:t xml:space="preserve"> a refrigeration fan that is:</w:t>
      </w:r>
    </w:p>
    <w:p w:rsidR="0045496E" w:rsidRPr="004952C0" w:rsidRDefault="0045496E" w:rsidP="0045496E">
      <w:pPr>
        <w:pStyle w:val="tSubpara"/>
      </w:pPr>
      <w:r w:rsidRPr="004952C0">
        <w:tab/>
        <w:t>(</w:t>
      </w:r>
      <w:proofErr w:type="spellStart"/>
      <w:r w:rsidRPr="004952C0">
        <w:t>i</w:t>
      </w:r>
      <w:proofErr w:type="spellEnd"/>
      <w:r w:rsidRPr="004952C0">
        <w:t>)</w:t>
      </w:r>
      <w:r w:rsidRPr="004952C0">
        <w:tab/>
      </w:r>
      <w:proofErr w:type="gramStart"/>
      <w:r w:rsidRPr="004952C0">
        <w:t>a</w:t>
      </w:r>
      <w:proofErr w:type="gramEnd"/>
      <w:r w:rsidRPr="004952C0">
        <w:t xml:space="preserve"> condenser fan, or another fan that removes hot air from the condenser—0; and</w:t>
      </w:r>
    </w:p>
    <w:p w:rsidR="0045496E" w:rsidRPr="004952C0" w:rsidRDefault="0045496E" w:rsidP="0045496E">
      <w:pPr>
        <w:pStyle w:val="tSubpara"/>
      </w:pPr>
      <w:r w:rsidRPr="004952C0">
        <w:tab/>
        <w:t>(ii)</w:t>
      </w:r>
      <w:r w:rsidRPr="004952C0">
        <w:tab/>
      </w:r>
      <w:proofErr w:type="gramStart"/>
      <w:r w:rsidRPr="004952C0">
        <w:t>unless</w:t>
      </w:r>
      <w:proofErr w:type="gramEnd"/>
      <w:r w:rsidRPr="004952C0">
        <w:t xml:space="preserve"> subparagraph (iii) is applicable—an evaporator fan, or another fan that circulates cool air, that services:</w:t>
      </w:r>
    </w:p>
    <w:p w:rsidR="0045496E" w:rsidRPr="004952C0" w:rsidRDefault="0045496E" w:rsidP="0045496E">
      <w:pPr>
        <w:pStyle w:val="tSubsub"/>
      </w:pPr>
      <w:r w:rsidRPr="004952C0">
        <w:tab/>
        <w:t>(A)</w:t>
      </w:r>
      <w:r w:rsidRPr="004952C0">
        <w:tab/>
      </w:r>
      <w:proofErr w:type="gramStart"/>
      <w:r w:rsidRPr="004952C0">
        <w:t>a</w:t>
      </w:r>
      <w:proofErr w:type="gramEnd"/>
      <w:r w:rsidRPr="004952C0">
        <w:t xml:space="preserve"> refrigerated display cabinet—0.44; or</w:t>
      </w:r>
    </w:p>
    <w:p w:rsidR="0045496E" w:rsidRPr="004952C0" w:rsidRDefault="0045496E" w:rsidP="0045496E">
      <w:pPr>
        <w:pStyle w:val="tSubsub"/>
      </w:pPr>
      <w:r w:rsidRPr="004952C0">
        <w:tab/>
        <w:t>(B)</w:t>
      </w:r>
      <w:r w:rsidRPr="004952C0">
        <w:tab/>
      </w:r>
      <w:proofErr w:type="gramStart"/>
      <w:r w:rsidRPr="004952C0">
        <w:t>a</w:t>
      </w:r>
      <w:proofErr w:type="gramEnd"/>
      <w:r w:rsidRPr="004952C0">
        <w:t xml:space="preserve"> freezer cabinet—0.44; or</w:t>
      </w:r>
    </w:p>
    <w:p w:rsidR="0045496E" w:rsidRPr="004952C0" w:rsidRDefault="0045496E" w:rsidP="0045496E">
      <w:pPr>
        <w:pStyle w:val="tSubsub"/>
      </w:pPr>
      <w:r w:rsidRPr="004952C0">
        <w:tab/>
        <w:t>(C)</w:t>
      </w:r>
      <w:r w:rsidRPr="004952C0">
        <w:tab/>
      </w:r>
      <w:proofErr w:type="gramStart"/>
      <w:r w:rsidRPr="004952C0">
        <w:t>a</w:t>
      </w:r>
      <w:proofErr w:type="gramEnd"/>
      <w:r w:rsidRPr="004952C0">
        <w:t xml:space="preserve"> walk</w:t>
      </w:r>
      <w:r w:rsidRPr="004952C0">
        <w:noBreakHyphen/>
        <w:t>in cool room—0.44; or</w:t>
      </w:r>
    </w:p>
    <w:p w:rsidR="0045496E" w:rsidRPr="004952C0" w:rsidRDefault="0045496E" w:rsidP="0045496E">
      <w:pPr>
        <w:pStyle w:val="tSubsub"/>
      </w:pPr>
      <w:r w:rsidRPr="004952C0">
        <w:lastRenderedPageBreak/>
        <w:tab/>
        <w:t>(D)</w:t>
      </w:r>
      <w:r w:rsidRPr="004952C0">
        <w:tab/>
      </w:r>
      <w:proofErr w:type="gramStart"/>
      <w:r w:rsidRPr="004952C0">
        <w:t>a</w:t>
      </w:r>
      <w:proofErr w:type="gramEnd"/>
      <w:r w:rsidRPr="004952C0">
        <w:t xml:space="preserve"> cold storage warehouse—0.26; and</w:t>
      </w:r>
    </w:p>
    <w:p w:rsidR="0045496E" w:rsidRPr="004952C0" w:rsidRDefault="0045496E" w:rsidP="0045496E">
      <w:pPr>
        <w:pStyle w:val="tSubpara"/>
      </w:pPr>
      <w:r w:rsidRPr="004952C0">
        <w:tab/>
        <w:t>(iii)</w:t>
      </w:r>
      <w:r w:rsidRPr="004952C0">
        <w:tab/>
      </w:r>
      <w:proofErr w:type="gramStart"/>
      <w:r w:rsidRPr="004952C0">
        <w:t>a</w:t>
      </w:r>
      <w:proofErr w:type="gramEnd"/>
      <w:r w:rsidRPr="004952C0">
        <w:t xml:space="preserve"> fan that is installed in a cooling tower, where the primary purpose of the cooling tower is to provide heat rejection for a refrigeration system—0.</w:t>
      </w:r>
    </w:p>
    <w:p w:rsidR="0045496E" w:rsidRPr="004952C0" w:rsidRDefault="0045496E" w:rsidP="0045496E">
      <w:pPr>
        <w:pStyle w:val="nMain"/>
      </w:pPr>
      <w:r w:rsidRPr="004952C0">
        <w:t>Note:</w:t>
      </w:r>
      <w:r w:rsidRPr="004952C0">
        <w:tab/>
        <w:t xml:space="preserve">When not equal to zero, the heat load adjustment for a refrigeration fan is the inverse of the coefficient of performance. This adjustment provides for abatement as a result of the reduced heat load on the refrigeration system for evaporator fans and other fans that circulate </w:t>
      </w:r>
      <w:r w:rsidR="00C512E0" w:rsidRPr="004952C0">
        <w:t xml:space="preserve">cool </w:t>
      </w:r>
      <w:r w:rsidRPr="004952C0">
        <w:t>air.</w:t>
      </w:r>
    </w:p>
    <w:p w:rsidR="0045496E" w:rsidRPr="004952C0" w:rsidRDefault="0045496E" w:rsidP="0045496E">
      <w:pPr>
        <w:pStyle w:val="tDefn"/>
      </w:pPr>
      <w:proofErr w:type="spellStart"/>
      <w:r w:rsidRPr="004952C0">
        <w:rPr>
          <w:b/>
          <w:i/>
        </w:rPr>
        <w:t>DF</w:t>
      </w:r>
      <w:r w:rsidRPr="004952C0">
        <w:rPr>
          <w:b/>
          <w:i/>
          <w:vertAlign w:val="subscript"/>
        </w:rPr>
        <w:t>i</w:t>
      </w:r>
      <w:proofErr w:type="spellEnd"/>
      <w:r w:rsidRPr="004952C0">
        <w:rPr>
          <w:b/>
          <w:i/>
        </w:rPr>
        <w:t xml:space="preserve"> </w:t>
      </w:r>
      <w:r w:rsidRPr="004952C0">
        <w:t xml:space="preserve">is the </w:t>
      </w:r>
      <w:r w:rsidR="006A61F6" w:rsidRPr="004952C0">
        <w:t>discount factor for sub</w:t>
      </w:r>
      <w:r w:rsidR="006A61F6" w:rsidRPr="004952C0">
        <w:noBreakHyphen/>
      </w:r>
      <w:proofErr w:type="spellStart"/>
      <w:r w:rsidR="006A61F6" w:rsidRPr="004952C0">
        <w:t>optimal</w:t>
      </w:r>
      <w:proofErr w:type="spellEnd"/>
      <w:r w:rsidR="006A61F6" w:rsidRPr="004952C0">
        <w:t xml:space="preserve"> operation, and is:</w:t>
      </w:r>
    </w:p>
    <w:p w:rsidR="006A61F6" w:rsidRPr="004952C0" w:rsidRDefault="006A61F6" w:rsidP="006A61F6">
      <w:pPr>
        <w:pStyle w:val="tPara"/>
      </w:pPr>
      <w:r w:rsidRPr="004952C0">
        <w:tab/>
        <w:t>(a)</w:t>
      </w:r>
      <w:r w:rsidRPr="004952C0">
        <w:tab/>
      </w:r>
      <w:proofErr w:type="gramStart"/>
      <w:r w:rsidRPr="004952C0">
        <w:t>for</w:t>
      </w:r>
      <w:proofErr w:type="gramEnd"/>
      <w:r w:rsidRPr="004952C0">
        <w:t xml:space="preserve"> </w:t>
      </w:r>
      <w:r w:rsidR="004530A6" w:rsidRPr="004952C0">
        <w:t xml:space="preserve">an </w:t>
      </w:r>
      <w:r w:rsidRPr="004952C0">
        <w:t>axial</w:t>
      </w:r>
      <w:r w:rsidR="004530A6" w:rsidRPr="004952C0">
        <w:noBreakHyphen/>
      </w:r>
      <w:proofErr w:type="spellStart"/>
      <w:r w:rsidR="004530A6" w:rsidRPr="004952C0">
        <w:t>flow</w:t>
      </w:r>
      <w:proofErr w:type="spellEnd"/>
      <w:r w:rsidR="004530A6" w:rsidRPr="004952C0">
        <w:t xml:space="preserve"> </w:t>
      </w:r>
      <w:r w:rsidRPr="004952C0">
        <w:t>fan—0.9; and</w:t>
      </w:r>
    </w:p>
    <w:p w:rsidR="006A61F6" w:rsidRPr="004952C0" w:rsidRDefault="006A61F6" w:rsidP="006A61F6">
      <w:pPr>
        <w:pStyle w:val="tPara"/>
      </w:pPr>
      <w:r w:rsidRPr="004952C0">
        <w:tab/>
        <w:t>(b)</w:t>
      </w:r>
      <w:r w:rsidRPr="004952C0">
        <w:tab/>
      </w:r>
      <w:proofErr w:type="gramStart"/>
      <w:r w:rsidRPr="004952C0">
        <w:t>otherwise—</w:t>
      </w:r>
      <w:proofErr w:type="gramEnd"/>
      <w:r w:rsidRPr="004952C0">
        <w:t>1.</w:t>
      </w:r>
    </w:p>
    <w:p w:rsidR="0045496E" w:rsidRPr="004952C0" w:rsidRDefault="0045496E" w:rsidP="0045496E">
      <w:pPr>
        <w:pStyle w:val="tDefn"/>
      </w:pPr>
      <w:proofErr w:type="spellStart"/>
      <w:proofErr w:type="gramStart"/>
      <w:r w:rsidRPr="004952C0">
        <w:rPr>
          <w:b/>
          <w:i/>
        </w:rPr>
        <w:t>t</w:t>
      </w:r>
      <w:r w:rsidRPr="004952C0">
        <w:rPr>
          <w:b/>
          <w:i/>
          <w:vertAlign w:val="subscript"/>
        </w:rPr>
        <w:t>i</w:t>
      </w:r>
      <w:proofErr w:type="spellEnd"/>
      <w:proofErr w:type="gramEnd"/>
      <w:r w:rsidRPr="004952C0">
        <w:t xml:space="preserve"> is the number of days in the reporting period for the fan after it is commissioned.</w:t>
      </w:r>
    </w:p>
    <w:p w:rsidR="0045496E" w:rsidRPr="004952C0" w:rsidRDefault="0045496E" w:rsidP="0045496E">
      <w:pPr>
        <w:pStyle w:val="tDefn"/>
        <w:tabs>
          <w:tab w:val="left" w:pos="2460"/>
        </w:tabs>
      </w:pPr>
      <w:proofErr w:type="spellStart"/>
      <w:r w:rsidRPr="004952C0">
        <w:rPr>
          <w:b/>
          <w:i/>
        </w:rPr>
        <w:t>CF</w:t>
      </w:r>
      <w:r w:rsidRPr="004952C0">
        <w:rPr>
          <w:b/>
          <w:i/>
          <w:vertAlign w:val="subscript"/>
        </w:rPr>
        <w:t>i</w:t>
      </w:r>
      <w:proofErr w:type="spellEnd"/>
      <w:r w:rsidRPr="004952C0">
        <w:t xml:space="preserve"> is the capacity factor, and is:</w:t>
      </w:r>
    </w:p>
    <w:p w:rsidR="0045496E" w:rsidRPr="004952C0" w:rsidRDefault="0045496E" w:rsidP="0045496E">
      <w:pPr>
        <w:pStyle w:val="tPara"/>
      </w:pPr>
      <w:r w:rsidRPr="004952C0">
        <w:tab/>
        <w:t>(a)</w:t>
      </w:r>
      <w:r w:rsidRPr="004952C0">
        <w:tab/>
      </w:r>
      <w:proofErr w:type="gramStart"/>
      <w:r w:rsidRPr="004952C0">
        <w:t>for</w:t>
      </w:r>
      <w:proofErr w:type="gramEnd"/>
      <w:r w:rsidRPr="004952C0">
        <w:t xml:space="preserve"> a refrigeration fan that is:</w:t>
      </w:r>
    </w:p>
    <w:p w:rsidR="0045496E" w:rsidRPr="004952C0" w:rsidRDefault="0045496E" w:rsidP="0045496E">
      <w:pPr>
        <w:pStyle w:val="tSubpara"/>
      </w:pPr>
      <w:r w:rsidRPr="004952C0">
        <w:tab/>
        <w:t>(</w:t>
      </w:r>
      <w:proofErr w:type="spellStart"/>
      <w:r w:rsidRPr="004952C0">
        <w:t>i</w:t>
      </w:r>
      <w:proofErr w:type="spellEnd"/>
      <w:r w:rsidRPr="004952C0">
        <w:t>)</w:t>
      </w:r>
      <w:r w:rsidRPr="004952C0">
        <w:tab/>
      </w:r>
      <w:proofErr w:type="gramStart"/>
      <w:r w:rsidRPr="004952C0">
        <w:t>a</w:t>
      </w:r>
      <w:proofErr w:type="gramEnd"/>
      <w:r w:rsidRPr="004952C0">
        <w:t xml:space="preserve"> condenser fan, or another fan that removes hot air from the condenser—0.58; and</w:t>
      </w:r>
    </w:p>
    <w:p w:rsidR="0045496E" w:rsidRPr="004952C0" w:rsidRDefault="0045496E" w:rsidP="0045496E">
      <w:pPr>
        <w:pStyle w:val="tSubpara"/>
      </w:pPr>
      <w:r w:rsidRPr="004952C0">
        <w:tab/>
        <w:t>(ii)</w:t>
      </w:r>
      <w:r w:rsidRPr="004952C0">
        <w:tab/>
      </w:r>
      <w:proofErr w:type="gramStart"/>
      <w:r w:rsidRPr="004952C0">
        <w:t>unless</w:t>
      </w:r>
      <w:proofErr w:type="gramEnd"/>
      <w:r w:rsidRPr="004952C0">
        <w:t xml:space="preserve"> subparagraph (iii) is applicable—an evaporator fan, or another fan that circulates cool air—0.9; and</w:t>
      </w:r>
    </w:p>
    <w:p w:rsidR="0045496E" w:rsidRPr="004952C0" w:rsidRDefault="0045496E" w:rsidP="0045496E">
      <w:pPr>
        <w:pStyle w:val="tSubpara"/>
      </w:pPr>
      <w:r w:rsidRPr="004952C0">
        <w:tab/>
        <w:t>(iii)</w:t>
      </w:r>
      <w:r w:rsidRPr="004952C0">
        <w:tab/>
      </w:r>
      <w:proofErr w:type="gramStart"/>
      <w:r w:rsidRPr="004952C0">
        <w:t>a</w:t>
      </w:r>
      <w:proofErr w:type="gramEnd"/>
      <w:r w:rsidRPr="004952C0">
        <w:t xml:space="preserve"> fan that is installed in a cooling tower, where the primary purpose of the cooling tower is to provide heat rejection for a refrigeration system—0.29; and</w:t>
      </w:r>
    </w:p>
    <w:p w:rsidR="0045496E" w:rsidRPr="004952C0" w:rsidRDefault="00CA373B" w:rsidP="0045496E">
      <w:pPr>
        <w:pStyle w:val="tPara"/>
      </w:pPr>
      <w:r w:rsidRPr="004952C0">
        <w:tab/>
        <w:t>(b)</w:t>
      </w:r>
      <w:r w:rsidRPr="004952C0">
        <w:tab/>
      </w:r>
      <w:proofErr w:type="gramStart"/>
      <w:r w:rsidRPr="004952C0">
        <w:t>for</w:t>
      </w:r>
      <w:proofErr w:type="gramEnd"/>
      <w:r w:rsidRPr="004952C0">
        <w:t xml:space="preserve"> a ventilation fan—determined in accordance with </w:t>
      </w:r>
      <w:r w:rsidR="00934AC6" w:rsidRPr="004952C0">
        <w:t>Schedule 2</w:t>
      </w:r>
      <w:r w:rsidRPr="004952C0">
        <w:t>.</w:t>
      </w:r>
    </w:p>
    <w:p w:rsidR="0045496E" w:rsidRPr="004952C0" w:rsidRDefault="0045496E" w:rsidP="0045496E">
      <w:pPr>
        <w:pStyle w:val="tMain"/>
      </w:pPr>
      <w:r w:rsidRPr="004952C0">
        <w:rPr>
          <w:b/>
          <w:i/>
        </w:rPr>
        <w:tab/>
      </w:r>
      <w:r w:rsidRPr="004952C0">
        <w:rPr>
          <w:b/>
          <w:i/>
        </w:rPr>
        <w:tab/>
      </w:r>
      <w:proofErr w:type="spellStart"/>
      <w:r w:rsidRPr="004952C0">
        <w:rPr>
          <w:b/>
          <w:i/>
        </w:rPr>
        <w:t>EF</w:t>
      </w:r>
      <w:r w:rsidRPr="004952C0">
        <w:rPr>
          <w:b/>
          <w:i/>
          <w:vertAlign w:val="subscript"/>
        </w:rPr>
        <w:t>Elec</w:t>
      </w:r>
      <w:proofErr w:type="gramStart"/>
      <w:r w:rsidRPr="004952C0">
        <w:rPr>
          <w:b/>
          <w:i/>
          <w:vertAlign w:val="subscript"/>
        </w:rPr>
        <w:t>,i</w:t>
      </w:r>
      <w:proofErr w:type="spellEnd"/>
      <w:proofErr w:type="gramEnd"/>
      <w:r w:rsidRPr="004952C0">
        <w:t xml:space="preserve"> is the emissions factor for electricity, and is:</w:t>
      </w:r>
    </w:p>
    <w:p w:rsidR="0045496E" w:rsidRPr="004952C0" w:rsidRDefault="0045496E" w:rsidP="0045496E">
      <w:pPr>
        <w:pStyle w:val="tPara"/>
      </w:pPr>
      <w:r w:rsidRPr="004952C0">
        <w:tab/>
        <w:t>(a)</w:t>
      </w:r>
      <w:r w:rsidRPr="004952C0">
        <w:tab/>
        <w:t>for electricity obtained from an electricity grid in relation to which the NGA Factors document in force on the declaration day includes an emissions factor—that factor, in kilograms CO</w:t>
      </w:r>
      <w:r w:rsidRPr="004952C0">
        <w:rPr>
          <w:vertAlign w:val="subscript"/>
        </w:rPr>
        <w:t>2</w:t>
      </w:r>
      <w:r w:rsidRPr="004952C0">
        <w:noBreakHyphen/>
        <w:t>e per kilowatt hour; or</w:t>
      </w:r>
    </w:p>
    <w:p w:rsidR="0045496E" w:rsidRPr="004952C0" w:rsidRDefault="0045496E" w:rsidP="0045496E">
      <w:pPr>
        <w:pStyle w:val="tPara"/>
      </w:pPr>
      <w:r w:rsidRPr="004952C0">
        <w:tab/>
        <w:t>(b)</w:t>
      </w:r>
      <w:r w:rsidRPr="004952C0">
        <w:tab/>
      </w:r>
      <w:proofErr w:type="gramStart"/>
      <w:r w:rsidRPr="004952C0">
        <w:t>for</w:t>
      </w:r>
      <w:proofErr w:type="gramEnd"/>
      <w:r w:rsidRPr="004952C0">
        <w:t xml:space="preserve"> electricity obtained from an electricity grid not covered by paragraph (a) or from a source other than an electricity grid:</w:t>
      </w:r>
    </w:p>
    <w:p w:rsidR="0045496E" w:rsidRPr="004952C0" w:rsidRDefault="0045496E" w:rsidP="0045496E">
      <w:pPr>
        <w:pStyle w:val="tSubpara"/>
      </w:pPr>
      <w:r w:rsidRPr="004952C0">
        <w:tab/>
        <w:t>(</w:t>
      </w:r>
      <w:proofErr w:type="spellStart"/>
      <w:r w:rsidRPr="004952C0">
        <w:t>i</w:t>
      </w:r>
      <w:proofErr w:type="spellEnd"/>
      <w:r w:rsidRPr="004952C0">
        <w:t>)</w:t>
      </w:r>
      <w:r w:rsidRPr="004952C0">
        <w:tab/>
      </w:r>
      <w:proofErr w:type="gramStart"/>
      <w:r w:rsidRPr="004952C0">
        <w:t>if</w:t>
      </w:r>
      <w:proofErr w:type="gramEnd"/>
      <w:r w:rsidRPr="004952C0">
        <w:t xml:space="preserve"> the supplier of the electricity is able to provide an emissions factor that reflects the emissions intensity of the electricity and is applicable on the declaration day—that factor, in kilograms </w:t>
      </w:r>
      <w:r w:rsidRPr="004952C0">
        <w:rPr>
          <w:szCs w:val="22"/>
        </w:rPr>
        <w:t>CO</w:t>
      </w:r>
      <w:r w:rsidRPr="004952C0">
        <w:rPr>
          <w:szCs w:val="22"/>
          <w:vertAlign w:val="subscript"/>
        </w:rPr>
        <w:t>2</w:t>
      </w:r>
      <w:r w:rsidRPr="004952C0">
        <w:rPr>
          <w:szCs w:val="22"/>
        </w:rPr>
        <w:noBreakHyphen/>
        <w:t>e</w:t>
      </w:r>
      <w:r w:rsidRPr="004952C0">
        <w:t xml:space="preserve"> per kilowatt hour; or</w:t>
      </w:r>
    </w:p>
    <w:p w:rsidR="0045496E" w:rsidRPr="004952C0" w:rsidRDefault="0045496E" w:rsidP="0045496E">
      <w:pPr>
        <w:pStyle w:val="tSubpara"/>
      </w:pPr>
      <w:r w:rsidRPr="004952C0">
        <w:tab/>
        <w:t>(ii)</w:t>
      </w:r>
      <w:r w:rsidRPr="004952C0">
        <w:tab/>
      </w:r>
      <w:proofErr w:type="gramStart"/>
      <w:r w:rsidRPr="004952C0">
        <w:t>otherwise—</w:t>
      </w:r>
      <w:proofErr w:type="gramEnd"/>
      <w:r w:rsidRPr="004952C0">
        <w:t xml:space="preserve">the emissions factor, in kilograms </w:t>
      </w:r>
      <w:r w:rsidRPr="004952C0">
        <w:rPr>
          <w:szCs w:val="22"/>
        </w:rPr>
        <w:t>CO</w:t>
      </w:r>
      <w:r w:rsidRPr="004952C0">
        <w:rPr>
          <w:szCs w:val="22"/>
          <w:vertAlign w:val="subscript"/>
        </w:rPr>
        <w:t>2</w:t>
      </w:r>
      <w:r w:rsidRPr="004952C0">
        <w:rPr>
          <w:szCs w:val="22"/>
        </w:rPr>
        <w:noBreakHyphen/>
        <w:t>e</w:t>
      </w:r>
      <w:r w:rsidRPr="004952C0">
        <w:t xml:space="preserve"> per kilowatt hour, for off</w:t>
      </w:r>
      <w:r w:rsidRPr="004952C0">
        <w:noBreakHyphen/>
      </w:r>
      <w:proofErr w:type="spellStart"/>
      <w:r w:rsidRPr="004952C0">
        <w:t>grid</w:t>
      </w:r>
      <w:proofErr w:type="spellEnd"/>
      <w:r w:rsidRPr="004952C0">
        <w:t xml:space="preserve"> electricity included in the NGA Factors document in force on the declaration day.</w:t>
      </w:r>
    </w:p>
    <w:p w:rsidR="0045496E" w:rsidRPr="004952C0" w:rsidRDefault="0045496E" w:rsidP="0045496E">
      <w:pPr>
        <w:pStyle w:val="tMain"/>
      </w:pPr>
      <w:r w:rsidRPr="004952C0">
        <w:tab/>
      </w:r>
      <w:r w:rsidR="00FE4F8F" w:rsidRPr="004952C0">
        <w:t>(2)</w:t>
      </w:r>
      <w:r w:rsidRPr="004952C0">
        <w:tab/>
        <w:t>For subparagraph (b</w:t>
      </w:r>
      <w:proofErr w:type="gramStart"/>
      <w:r w:rsidRPr="004952C0">
        <w:t>)(</w:t>
      </w:r>
      <w:proofErr w:type="spellStart"/>
      <w:proofErr w:type="gramEnd"/>
      <w:r w:rsidRPr="004952C0">
        <w:t>i</w:t>
      </w:r>
      <w:proofErr w:type="spellEnd"/>
      <w:r w:rsidRPr="004952C0">
        <w:t xml:space="preserve">) of the definition of </w:t>
      </w:r>
      <w:proofErr w:type="spellStart"/>
      <w:r w:rsidRPr="004952C0">
        <w:rPr>
          <w:i/>
        </w:rPr>
        <w:t>EF</w:t>
      </w:r>
      <w:r w:rsidRPr="004952C0">
        <w:rPr>
          <w:i/>
          <w:vertAlign w:val="subscript"/>
        </w:rPr>
        <w:t>Elec,i</w:t>
      </w:r>
      <w:proofErr w:type="spellEnd"/>
      <w:r w:rsidRPr="004952C0">
        <w:t>, the emissions factor must be worked out:</w:t>
      </w:r>
    </w:p>
    <w:p w:rsidR="0045496E" w:rsidRPr="004952C0" w:rsidRDefault="0045496E" w:rsidP="0045496E">
      <w:pPr>
        <w:pStyle w:val="tPara"/>
      </w:pPr>
      <w:r w:rsidRPr="004952C0">
        <w:tab/>
      </w:r>
      <w:r w:rsidR="00FE4F8F" w:rsidRPr="004952C0">
        <w:t>(a)</w:t>
      </w:r>
      <w:r w:rsidRPr="004952C0">
        <w:tab/>
      </w:r>
      <w:proofErr w:type="gramStart"/>
      <w:r w:rsidRPr="004952C0">
        <w:t>on</w:t>
      </w:r>
      <w:proofErr w:type="gramEnd"/>
      <w:r w:rsidRPr="004952C0">
        <w:t xml:space="preserve"> a sent</w:t>
      </w:r>
      <w:r w:rsidRPr="004952C0">
        <w:noBreakHyphen/>
      </w:r>
      <w:proofErr w:type="spellStart"/>
      <w:r w:rsidRPr="004952C0">
        <w:t>out</w:t>
      </w:r>
      <w:proofErr w:type="spellEnd"/>
      <w:r w:rsidRPr="004952C0">
        <w:t xml:space="preserve"> basis; and</w:t>
      </w:r>
    </w:p>
    <w:p w:rsidR="0045496E" w:rsidRPr="004952C0" w:rsidRDefault="0045496E" w:rsidP="0045496E">
      <w:pPr>
        <w:pStyle w:val="tPara"/>
      </w:pPr>
      <w:r w:rsidRPr="004952C0">
        <w:tab/>
      </w:r>
      <w:r w:rsidR="00FE4F8F" w:rsidRPr="004952C0">
        <w:t>(b)</w:t>
      </w:r>
      <w:r w:rsidRPr="004952C0">
        <w:tab/>
      </w:r>
      <w:proofErr w:type="gramStart"/>
      <w:r w:rsidRPr="004952C0">
        <w:t>using</w:t>
      </w:r>
      <w:proofErr w:type="gramEnd"/>
      <w:r w:rsidRPr="004952C0">
        <w:t xml:space="preserve"> a measurement or estimation</w:t>
      </w:r>
      <w:r w:rsidRPr="004952C0">
        <w:rPr>
          <w:rFonts w:asciiTheme="minorHAnsi" w:eastAsia="Calibri" w:hAnsiTheme="minorHAnsi"/>
          <w:sz w:val="28"/>
          <w:szCs w:val="28"/>
          <w:lang w:eastAsia="en-US"/>
        </w:rPr>
        <w:t xml:space="preserve"> </w:t>
      </w:r>
      <w:r w:rsidRPr="004952C0">
        <w:t xml:space="preserve">approach that is consistent with the </w:t>
      </w:r>
      <w:r w:rsidRPr="004952C0">
        <w:rPr>
          <w:i/>
        </w:rPr>
        <w:t>National Greenhouse and Energy Reporting (Measurement) Determination 2008</w:t>
      </w:r>
      <w:r w:rsidRPr="004952C0">
        <w:t>.</w:t>
      </w:r>
    </w:p>
    <w:p w:rsidR="0045496E" w:rsidRPr="004952C0" w:rsidRDefault="00FE4F8F" w:rsidP="0045496E">
      <w:pPr>
        <w:pStyle w:val="h5Section"/>
      </w:pPr>
      <w:bookmarkStart w:id="73" w:name="_Toc418869724"/>
      <w:bookmarkStart w:id="74" w:name="_Toc420940752"/>
      <w:bookmarkStart w:id="75" w:name="_Toc431466287"/>
      <w:proofErr w:type="gramStart"/>
      <w:r w:rsidRPr="004952C0">
        <w:t>28</w:t>
      </w:r>
      <w:r w:rsidR="0045496E" w:rsidRPr="004952C0">
        <w:t xml:space="preserve">  Equation</w:t>
      </w:r>
      <w:proofErr w:type="gramEnd"/>
      <w:r w:rsidR="0045496E" w:rsidRPr="004952C0">
        <w:t xml:space="preserve"> 4—motor input power of installed HE fan (</w:t>
      </w:r>
      <w:proofErr w:type="spellStart"/>
      <w:r w:rsidR="0045496E" w:rsidRPr="004952C0">
        <w:rPr>
          <w:i/>
        </w:rPr>
        <w:t>P</w:t>
      </w:r>
      <w:r w:rsidR="0045496E" w:rsidRPr="004952C0">
        <w:rPr>
          <w:i/>
          <w:vertAlign w:val="subscript"/>
        </w:rPr>
        <w:t>E,i</w:t>
      </w:r>
      <w:proofErr w:type="spellEnd"/>
      <w:r w:rsidR="0045496E" w:rsidRPr="004952C0">
        <w:t>)</w:t>
      </w:r>
      <w:bookmarkEnd w:id="73"/>
      <w:bookmarkEnd w:id="74"/>
      <w:bookmarkEnd w:id="75"/>
    </w:p>
    <w:p w:rsidR="0045496E" w:rsidRPr="004952C0" w:rsidRDefault="0045496E" w:rsidP="0045496E">
      <w:pPr>
        <w:pStyle w:val="tMain"/>
      </w:pPr>
      <w:r w:rsidRPr="004952C0">
        <w:tab/>
      </w:r>
      <w:r w:rsidRPr="004952C0">
        <w:tab/>
        <w:t xml:space="preserve">For equation 3, if paragraph (b) of the definition of </w:t>
      </w:r>
      <w:proofErr w:type="spellStart"/>
      <w:r w:rsidRPr="004952C0">
        <w:rPr>
          <w:i/>
        </w:rPr>
        <w:t>P</w:t>
      </w:r>
      <w:r w:rsidRPr="004952C0">
        <w:rPr>
          <w:i/>
          <w:vertAlign w:val="subscript"/>
        </w:rPr>
        <w:t>E</w:t>
      </w:r>
      <w:proofErr w:type="gramStart"/>
      <w:r w:rsidRPr="004952C0">
        <w:rPr>
          <w:i/>
          <w:vertAlign w:val="subscript"/>
        </w:rPr>
        <w:t>,i</w:t>
      </w:r>
      <w:proofErr w:type="spellEnd"/>
      <w:proofErr w:type="gramEnd"/>
      <w:r w:rsidRPr="004952C0">
        <w:t xml:space="preserve"> is applicable, </w:t>
      </w:r>
      <w:proofErr w:type="spellStart"/>
      <w:r w:rsidRPr="004952C0">
        <w:rPr>
          <w:i/>
        </w:rPr>
        <w:t>P</w:t>
      </w:r>
      <w:r w:rsidRPr="004952C0">
        <w:rPr>
          <w:i/>
          <w:vertAlign w:val="subscript"/>
        </w:rPr>
        <w:t>E,i</w:t>
      </w:r>
      <w:proofErr w:type="spellEnd"/>
      <w:r w:rsidRPr="004952C0">
        <w:t xml:space="preserve"> is worked out using the equation (</w:t>
      </w:r>
      <w:r w:rsidRPr="004952C0">
        <w:rPr>
          <w:b/>
          <w:i/>
        </w:rPr>
        <w:t>equation 4</w:t>
      </w:r>
      <w:r w:rsidRPr="004952C0">
        <w:t>):</w:t>
      </w:r>
    </w:p>
    <w:p w:rsidR="0045496E" w:rsidRPr="004952C0" w:rsidRDefault="004F3B1F" w:rsidP="0045496E">
      <w:pPr>
        <w:pStyle w:val="tMain"/>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E,i</m:t>
              </m:r>
            </m:sub>
          </m:sSub>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M,i</m:t>
                  </m:r>
                </m:sub>
              </m:sSub>
            </m:num>
            <m:den>
              <m:sSub>
                <m:sSubPr>
                  <m:ctrlPr>
                    <w:rPr>
                      <w:rFonts w:ascii="Cambria Math" w:hAnsi="Cambria Math"/>
                      <w:i/>
                    </w:rPr>
                  </m:ctrlPr>
                </m:sSubPr>
                <m:e>
                  <m:r>
                    <w:rPr>
                      <w:rFonts w:ascii="Cambria Math" w:hAnsi="Cambria Math"/>
                    </w:rPr>
                    <m:t>η</m:t>
                  </m:r>
                </m:e>
                <m:sub>
                  <m:r>
                    <w:rPr>
                      <w:rFonts w:ascii="Cambria Math" w:hAnsi="Cambria Math"/>
                    </w:rPr>
                    <m:t>T,i</m:t>
                  </m:r>
                </m:sub>
              </m:sSub>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M,i</m:t>
                  </m:r>
                </m:sub>
              </m:sSub>
              <m:r>
                <w:rPr>
                  <w:rFonts w:ascii="Cambria Math" w:hAnsi="Cambria Math" w:hint="eastAsia"/>
                </w:rPr>
                <m:t>×</m:t>
              </m:r>
              <m:sSub>
                <m:sSubPr>
                  <m:ctrlPr>
                    <w:rPr>
                      <w:rFonts w:ascii="Cambria Math" w:hAnsi="Cambria Math"/>
                      <w:i/>
                    </w:rPr>
                  </m:ctrlPr>
                </m:sSubPr>
                <m:e>
                  <m:r>
                    <w:rPr>
                      <w:rFonts w:ascii="Cambria Math" w:hAnsi="Cambria Math"/>
                    </w:rPr>
                    <m:t>η</m:t>
                  </m:r>
                </m:e>
                <m:sub>
                  <m:r>
                    <w:rPr>
                      <w:rFonts w:ascii="Cambria Math" w:hAnsi="Cambria Math"/>
                    </w:rPr>
                    <m:t xml:space="preserve">C,i </m:t>
                  </m:r>
                </m:sub>
              </m:sSub>
            </m:den>
          </m:f>
        </m:oMath>
      </m:oMathPara>
    </w:p>
    <w:p w:rsidR="0045496E" w:rsidRPr="004952C0" w:rsidRDefault="0045496E" w:rsidP="0045496E">
      <w:pPr>
        <w:pStyle w:val="tMain"/>
      </w:pPr>
      <w:r w:rsidRPr="004952C0">
        <w:tab/>
      </w:r>
      <w:r w:rsidRPr="004952C0">
        <w:tab/>
      </w:r>
      <w:proofErr w:type="gramStart"/>
      <w:r w:rsidRPr="004952C0">
        <w:t>where</w:t>
      </w:r>
      <w:proofErr w:type="gramEnd"/>
      <w:r w:rsidRPr="004952C0">
        <w:t xml:space="preserve">, for the </w:t>
      </w:r>
      <w:proofErr w:type="spellStart"/>
      <w:r w:rsidRPr="004952C0">
        <w:rPr>
          <w:i/>
        </w:rPr>
        <w:t>i</w:t>
      </w:r>
      <w:r w:rsidRPr="004952C0">
        <w:rPr>
          <w:vertAlign w:val="superscript"/>
        </w:rPr>
        <w:t>th</w:t>
      </w:r>
      <w:proofErr w:type="spellEnd"/>
      <w:r w:rsidRPr="004952C0">
        <w:t xml:space="preserve"> installed HE fan:</w:t>
      </w:r>
    </w:p>
    <w:p w:rsidR="0045496E" w:rsidRPr="004952C0" w:rsidRDefault="0045496E" w:rsidP="0045496E">
      <w:pPr>
        <w:pStyle w:val="tDefn"/>
      </w:pPr>
      <w:proofErr w:type="spellStart"/>
      <w:r w:rsidRPr="004952C0">
        <w:rPr>
          <w:b/>
          <w:i/>
        </w:rPr>
        <w:lastRenderedPageBreak/>
        <w:t>P</w:t>
      </w:r>
      <w:r w:rsidRPr="004952C0">
        <w:rPr>
          <w:b/>
          <w:i/>
          <w:vertAlign w:val="subscript"/>
        </w:rPr>
        <w:t>M</w:t>
      </w:r>
      <w:proofErr w:type="gramStart"/>
      <w:r w:rsidRPr="004952C0">
        <w:rPr>
          <w:b/>
          <w:i/>
          <w:vertAlign w:val="subscript"/>
        </w:rPr>
        <w:t>,i</w:t>
      </w:r>
      <w:proofErr w:type="spellEnd"/>
      <w:proofErr w:type="gramEnd"/>
      <w:r w:rsidRPr="004952C0">
        <w:t xml:space="preserve"> is the mechanical power supplied to the fan impeller, being:</w:t>
      </w:r>
    </w:p>
    <w:p w:rsidR="0045496E" w:rsidRPr="004952C0" w:rsidRDefault="0045496E" w:rsidP="0045496E">
      <w:pPr>
        <w:pStyle w:val="tPara"/>
      </w:pPr>
      <w:r w:rsidRPr="004952C0">
        <w:tab/>
        <w:t>(a)</w:t>
      </w:r>
      <w:r w:rsidRPr="004952C0">
        <w:tab/>
      </w:r>
      <w:proofErr w:type="gramStart"/>
      <w:r w:rsidRPr="004952C0">
        <w:t>for</w:t>
      </w:r>
      <w:proofErr w:type="gramEnd"/>
      <w:r w:rsidRPr="004952C0">
        <w:t xml:space="preserve"> a fan that has a shaft—the fan shaft power of the fan, in kilowatts; and</w:t>
      </w:r>
    </w:p>
    <w:p w:rsidR="0045496E" w:rsidRPr="004952C0" w:rsidRDefault="0045496E" w:rsidP="0045496E">
      <w:pPr>
        <w:pStyle w:val="tPara"/>
      </w:pPr>
      <w:r w:rsidRPr="004952C0">
        <w:tab/>
        <w:t>(b)</w:t>
      </w:r>
      <w:r w:rsidRPr="004952C0">
        <w:tab/>
      </w:r>
      <w:proofErr w:type="gramStart"/>
      <w:r w:rsidRPr="004952C0">
        <w:t>for</w:t>
      </w:r>
      <w:proofErr w:type="gramEnd"/>
      <w:r w:rsidRPr="004952C0">
        <w:t xml:space="preserve"> a fan that does not have a shaft—the fan impeller power of the fan, in kilowatts;</w:t>
      </w:r>
    </w:p>
    <w:p w:rsidR="0045496E" w:rsidRPr="004952C0" w:rsidRDefault="0045496E" w:rsidP="0045496E">
      <w:pPr>
        <w:pStyle w:val="tMain"/>
        <w:spacing w:before="40"/>
      </w:pPr>
      <w:r w:rsidRPr="004952C0">
        <w:tab/>
      </w:r>
      <w:r w:rsidRPr="004952C0">
        <w:tab/>
      </w:r>
      <w:proofErr w:type="gramStart"/>
      <w:r w:rsidRPr="004952C0">
        <w:t>as</w:t>
      </w:r>
      <w:proofErr w:type="gramEnd"/>
      <w:r w:rsidRPr="004952C0">
        <w:t xml:space="preserve"> determined </w:t>
      </w:r>
      <w:r w:rsidR="003F1B85" w:rsidRPr="004952C0">
        <w:t xml:space="preserve">from test results </w:t>
      </w:r>
      <w:r w:rsidRPr="004952C0">
        <w:t>in accordance with section </w:t>
      </w:r>
      <w:r w:rsidR="00934AC6" w:rsidRPr="004952C0">
        <w:t>16</w:t>
      </w:r>
      <w:r w:rsidRPr="004952C0">
        <w:t>.</w:t>
      </w:r>
    </w:p>
    <w:p w:rsidR="0045496E" w:rsidRPr="004952C0" w:rsidRDefault="0045496E" w:rsidP="0045496E">
      <w:pPr>
        <w:pStyle w:val="tDefn"/>
      </w:pPr>
      <w:r w:rsidRPr="004952C0">
        <w:rPr>
          <w:rFonts w:ascii="Cambria Math" w:hAnsi="Cambria Math"/>
          <w:b/>
          <w:i/>
        </w:rPr>
        <w:t>𝜂</w:t>
      </w:r>
      <w:proofErr w:type="spellStart"/>
      <w:r w:rsidRPr="004952C0">
        <w:rPr>
          <w:b/>
          <w:i/>
          <w:vertAlign w:val="subscript"/>
        </w:rPr>
        <w:t>T</w:t>
      </w:r>
      <w:proofErr w:type="gramStart"/>
      <w:r w:rsidRPr="004952C0">
        <w:rPr>
          <w:b/>
          <w:i/>
          <w:vertAlign w:val="subscript"/>
        </w:rPr>
        <w:t>,i</w:t>
      </w:r>
      <w:proofErr w:type="spellEnd"/>
      <w:proofErr w:type="gramEnd"/>
      <w:r w:rsidRPr="004952C0">
        <w:t xml:space="preserve"> is the transmission efficiency of the transmission of the fan, and is determined in accordance with </w:t>
      </w:r>
      <w:r w:rsidR="00934AC6" w:rsidRPr="004952C0">
        <w:t>Schedule 3</w:t>
      </w:r>
      <w:r w:rsidRPr="004952C0">
        <w:t>.</w:t>
      </w:r>
    </w:p>
    <w:p w:rsidR="0045496E" w:rsidRPr="004952C0" w:rsidRDefault="0045496E" w:rsidP="0045496E">
      <w:pPr>
        <w:pStyle w:val="tDefn"/>
      </w:pPr>
      <w:r w:rsidRPr="004952C0">
        <w:rPr>
          <w:rFonts w:ascii="Cambria Math" w:hAnsi="Cambria Math"/>
          <w:b/>
          <w:i/>
        </w:rPr>
        <w:t>𝜂</w:t>
      </w:r>
      <w:proofErr w:type="spellStart"/>
      <w:r w:rsidRPr="004952C0">
        <w:rPr>
          <w:b/>
          <w:i/>
          <w:vertAlign w:val="subscript"/>
        </w:rPr>
        <w:t>M</w:t>
      </w:r>
      <w:proofErr w:type="gramStart"/>
      <w:r w:rsidRPr="004952C0">
        <w:rPr>
          <w:b/>
          <w:i/>
          <w:vertAlign w:val="subscript"/>
        </w:rPr>
        <w:t>,i</w:t>
      </w:r>
      <w:proofErr w:type="spellEnd"/>
      <w:proofErr w:type="gramEnd"/>
      <w:r w:rsidRPr="004952C0">
        <w:t xml:space="preserve"> is the motor efficiency of the motor of the fan, as determined </w:t>
      </w:r>
      <w:r w:rsidR="003F1B85" w:rsidRPr="004952C0">
        <w:t xml:space="preserve">from test results </w:t>
      </w:r>
      <w:r w:rsidRPr="004952C0">
        <w:t>in accordance with section </w:t>
      </w:r>
      <w:r w:rsidR="00934AC6" w:rsidRPr="004952C0">
        <w:t>16</w:t>
      </w:r>
      <w:r w:rsidRPr="004952C0">
        <w:t>.</w:t>
      </w:r>
    </w:p>
    <w:p w:rsidR="0045496E" w:rsidRPr="004952C0" w:rsidRDefault="0045496E" w:rsidP="0045496E">
      <w:pPr>
        <w:pStyle w:val="tDefn"/>
      </w:pPr>
      <w:r w:rsidRPr="004952C0">
        <w:rPr>
          <w:rFonts w:ascii="Cambria Math" w:hAnsi="Cambria Math"/>
          <w:b/>
          <w:i/>
        </w:rPr>
        <w:t>𝜂</w:t>
      </w:r>
      <w:proofErr w:type="spellStart"/>
      <w:r w:rsidRPr="004952C0">
        <w:rPr>
          <w:b/>
          <w:i/>
          <w:vertAlign w:val="subscript"/>
        </w:rPr>
        <w:t>C</w:t>
      </w:r>
      <w:proofErr w:type="gramStart"/>
      <w:r w:rsidRPr="004952C0">
        <w:rPr>
          <w:b/>
          <w:i/>
          <w:vertAlign w:val="subscript"/>
        </w:rPr>
        <w:t>,i</w:t>
      </w:r>
      <w:proofErr w:type="spellEnd"/>
      <w:proofErr w:type="gramEnd"/>
      <w:r w:rsidRPr="004952C0">
        <w:t xml:space="preserve"> is the electrical drive efficiency of the controller of the fan, and is:</w:t>
      </w:r>
    </w:p>
    <w:p w:rsidR="0045496E" w:rsidRPr="004952C0" w:rsidRDefault="0045496E" w:rsidP="0045496E">
      <w:pPr>
        <w:pStyle w:val="tPara"/>
      </w:pPr>
      <w:r w:rsidRPr="004952C0">
        <w:tab/>
        <w:t>(a)</w:t>
      </w:r>
      <w:r w:rsidRPr="004952C0">
        <w:tab/>
      </w:r>
      <w:proofErr w:type="gramStart"/>
      <w:r w:rsidRPr="004952C0">
        <w:t>if</w:t>
      </w:r>
      <w:proofErr w:type="gramEnd"/>
      <w:r w:rsidRPr="004952C0">
        <w:t xml:space="preserve"> a variable speed drive is installed (whether or not as part of the project) and:</w:t>
      </w:r>
    </w:p>
    <w:p w:rsidR="0045496E" w:rsidRPr="004952C0" w:rsidRDefault="0045496E" w:rsidP="0045496E">
      <w:pPr>
        <w:pStyle w:val="tSubpara"/>
      </w:pPr>
      <w:r w:rsidRPr="004952C0">
        <w:tab/>
        <w:t>(</w:t>
      </w:r>
      <w:proofErr w:type="spellStart"/>
      <w:r w:rsidRPr="004952C0">
        <w:t>i</w:t>
      </w:r>
      <w:proofErr w:type="spellEnd"/>
      <w:r w:rsidRPr="004952C0">
        <w:t>)</w:t>
      </w:r>
      <w:r w:rsidRPr="004952C0">
        <w:tab/>
        <w:t>the manufacturer or supplier has publicly released data in Australia relating to the electrical drive efficiency of the controller—the electrical drive efficiency ascertained in accordance with that data that corresponds to the point at which the impeller is operating at optimum efficiency; and</w:t>
      </w:r>
    </w:p>
    <w:p w:rsidR="0045496E" w:rsidRPr="004952C0" w:rsidRDefault="0045496E" w:rsidP="0045496E">
      <w:pPr>
        <w:pStyle w:val="tSubpara"/>
      </w:pPr>
      <w:r w:rsidRPr="004952C0">
        <w:tab/>
        <w:t>(ii)</w:t>
      </w:r>
      <w:r w:rsidRPr="004952C0">
        <w:tab/>
      </w:r>
      <w:proofErr w:type="gramStart"/>
      <w:r w:rsidRPr="004952C0">
        <w:t>if</w:t>
      </w:r>
      <w:proofErr w:type="gramEnd"/>
      <w:r w:rsidRPr="004952C0">
        <w:t xml:space="preserve"> subparagraph (</w:t>
      </w:r>
      <w:proofErr w:type="spellStart"/>
      <w:r w:rsidRPr="004952C0">
        <w:t>i</w:t>
      </w:r>
      <w:proofErr w:type="spellEnd"/>
      <w:r w:rsidRPr="004952C0">
        <w:t>) does not apply—0.95; and</w:t>
      </w:r>
    </w:p>
    <w:p w:rsidR="0045496E" w:rsidRPr="004952C0" w:rsidRDefault="0045496E" w:rsidP="0045496E">
      <w:pPr>
        <w:pStyle w:val="tPara"/>
      </w:pPr>
      <w:r w:rsidRPr="004952C0">
        <w:tab/>
        <w:t>(b)</w:t>
      </w:r>
      <w:r w:rsidRPr="004952C0">
        <w:tab/>
      </w:r>
      <w:proofErr w:type="gramStart"/>
      <w:r w:rsidRPr="004952C0">
        <w:t>if</w:t>
      </w:r>
      <w:proofErr w:type="gramEnd"/>
      <w:r w:rsidRPr="004952C0">
        <w:t xml:space="preserve"> a variable speed drive is not installed—1.</w:t>
      </w:r>
    </w:p>
    <w:p w:rsidR="0045496E" w:rsidRPr="004952C0" w:rsidRDefault="00FE4F8F" w:rsidP="0045496E">
      <w:pPr>
        <w:pStyle w:val="h5Section"/>
      </w:pPr>
      <w:bookmarkStart w:id="76" w:name="_Toc431466288"/>
      <w:bookmarkStart w:id="77" w:name="_Toc418869725"/>
      <w:bookmarkStart w:id="78" w:name="_Toc420940753"/>
      <w:proofErr w:type="gramStart"/>
      <w:r w:rsidRPr="004952C0">
        <w:t>29</w:t>
      </w:r>
      <w:r w:rsidR="0045496E" w:rsidRPr="004952C0">
        <w:t xml:space="preserve">  Equation</w:t>
      </w:r>
      <w:proofErr w:type="gramEnd"/>
      <w:r w:rsidR="0045496E" w:rsidRPr="004952C0">
        <w:t xml:space="preserve"> 5—overall driven fan efficiency of installed HE fan (</w:t>
      </w:r>
      <w:r w:rsidR="0045496E" w:rsidRPr="004952C0">
        <w:rPr>
          <w:rFonts w:ascii="Cambria Math" w:hAnsi="Cambria Math"/>
          <w:i/>
        </w:rPr>
        <w:t>𝜂</w:t>
      </w:r>
      <w:proofErr w:type="spellStart"/>
      <w:r w:rsidR="0045496E" w:rsidRPr="004952C0">
        <w:rPr>
          <w:i/>
          <w:vertAlign w:val="subscript"/>
        </w:rPr>
        <w:t>i</w:t>
      </w:r>
      <w:proofErr w:type="spellEnd"/>
      <w:r w:rsidR="0045496E" w:rsidRPr="004952C0">
        <w:t>) for components tested as installed</w:t>
      </w:r>
      <w:bookmarkEnd w:id="76"/>
    </w:p>
    <w:p w:rsidR="0045496E" w:rsidRPr="004952C0" w:rsidRDefault="0045496E" w:rsidP="0045496E">
      <w:pPr>
        <w:pStyle w:val="tMain"/>
      </w:pPr>
      <w:r w:rsidRPr="004952C0">
        <w:tab/>
      </w:r>
      <w:r w:rsidRPr="004952C0">
        <w:tab/>
        <w:t xml:space="preserve">For equation 3, if paragraph (a) of the definition of </w:t>
      </w:r>
      <w:r w:rsidRPr="004952C0">
        <w:rPr>
          <w:rFonts w:ascii="Cambria Math" w:hAnsi="Cambria Math"/>
          <w:i/>
        </w:rPr>
        <w:t>𝜂</w:t>
      </w:r>
      <w:proofErr w:type="spellStart"/>
      <w:r w:rsidRPr="004952C0">
        <w:rPr>
          <w:i/>
          <w:vertAlign w:val="subscript"/>
        </w:rPr>
        <w:t>i</w:t>
      </w:r>
      <w:proofErr w:type="spellEnd"/>
      <w:r w:rsidRPr="004952C0">
        <w:t xml:space="preserve"> is applicable, </w:t>
      </w:r>
      <w:r w:rsidRPr="004952C0">
        <w:rPr>
          <w:rFonts w:ascii="Cambria Math" w:hAnsi="Cambria Math"/>
          <w:i/>
        </w:rPr>
        <w:t>𝜂</w:t>
      </w:r>
      <w:proofErr w:type="spellStart"/>
      <w:r w:rsidRPr="004952C0">
        <w:rPr>
          <w:i/>
          <w:vertAlign w:val="subscript"/>
        </w:rPr>
        <w:t>i</w:t>
      </w:r>
      <w:proofErr w:type="spellEnd"/>
      <w:r w:rsidRPr="004952C0">
        <w:t xml:space="preserve"> is worked out using the equation (</w:t>
      </w:r>
      <w:r w:rsidRPr="004952C0">
        <w:rPr>
          <w:b/>
          <w:i/>
        </w:rPr>
        <w:t>equation 5</w:t>
      </w:r>
      <w:r w:rsidRPr="004952C0">
        <w:t>):</w:t>
      </w:r>
    </w:p>
    <w:p w:rsidR="0045496E" w:rsidRPr="004952C0" w:rsidRDefault="004F3B1F" w:rsidP="0045496E">
      <w:pPr>
        <w:pStyle w:val="tMain"/>
      </w:pPr>
      <m:oMathPara>
        <m:oMathParaPr>
          <m:jc m:val="left"/>
        </m:oMathParaPr>
        <m:oMath>
          <m:sSub>
            <m:sSubPr>
              <m:ctrlPr>
                <w:rPr>
                  <w:rFonts w:ascii="Cambria Math" w:hAnsi="Cambria Math"/>
                  <w:i/>
                </w:rPr>
              </m:ctrlPr>
            </m:sSubPr>
            <m:e>
              <m:r>
                <w:rPr>
                  <w:rFonts w:ascii="Cambria Math" w:hAnsi="Cambria Math"/>
                </w:rPr>
                <m:t>η</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U,i</m:t>
                  </m:r>
                </m:sub>
              </m:sSub>
            </m:num>
            <m:den>
              <m:sSub>
                <m:sSubPr>
                  <m:ctrlPr>
                    <w:rPr>
                      <w:rFonts w:ascii="Cambria Math" w:hAnsi="Cambria Math"/>
                      <w:i/>
                    </w:rPr>
                  </m:ctrlPr>
                </m:sSubPr>
                <m:e>
                  <m:r>
                    <w:rPr>
                      <w:rFonts w:ascii="Cambria Math" w:hAnsi="Cambria Math"/>
                    </w:rPr>
                    <m:t>P</m:t>
                  </m:r>
                </m:e>
                <m:sub>
                  <m:r>
                    <w:rPr>
                      <w:rFonts w:ascii="Cambria Math" w:hAnsi="Cambria Math"/>
                    </w:rPr>
                    <m:t>E,i</m:t>
                  </m:r>
                </m:sub>
              </m:sSub>
            </m:den>
          </m:f>
        </m:oMath>
      </m:oMathPara>
    </w:p>
    <w:p w:rsidR="0045496E" w:rsidRPr="004952C0" w:rsidRDefault="0045496E" w:rsidP="0045496E">
      <w:pPr>
        <w:pStyle w:val="tMain"/>
      </w:pPr>
      <w:r w:rsidRPr="004952C0">
        <w:tab/>
      </w:r>
      <w:r w:rsidRPr="004952C0">
        <w:tab/>
      </w:r>
      <w:proofErr w:type="gramStart"/>
      <w:r w:rsidRPr="004952C0">
        <w:t>where</w:t>
      </w:r>
      <w:proofErr w:type="gramEnd"/>
      <w:r w:rsidRPr="004952C0">
        <w:t xml:space="preserve">, for the </w:t>
      </w:r>
      <w:proofErr w:type="spellStart"/>
      <w:r w:rsidRPr="004952C0">
        <w:rPr>
          <w:i/>
        </w:rPr>
        <w:t>i</w:t>
      </w:r>
      <w:r w:rsidRPr="004952C0">
        <w:rPr>
          <w:vertAlign w:val="superscript"/>
        </w:rPr>
        <w:t>th</w:t>
      </w:r>
      <w:proofErr w:type="spellEnd"/>
      <w:r w:rsidRPr="004952C0">
        <w:t xml:space="preserve"> installed HE fan:</w:t>
      </w:r>
    </w:p>
    <w:p w:rsidR="0045496E" w:rsidRPr="004952C0" w:rsidRDefault="0045496E" w:rsidP="0045496E">
      <w:pPr>
        <w:pStyle w:val="tDefn"/>
      </w:pPr>
      <w:proofErr w:type="spellStart"/>
      <w:r w:rsidRPr="004952C0">
        <w:rPr>
          <w:rFonts w:ascii="Cambria Math" w:hAnsi="Cambria Math"/>
          <w:b/>
          <w:i/>
        </w:rPr>
        <w:t>P</w:t>
      </w:r>
      <w:r w:rsidRPr="004952C0">
        <w:rPr>
          <w:b/>
          <w:i/>
          <w:vertAlign w:val="subscript"/>
        </w:rPr>
        <w:t>U,i</w:t>
      </w:r>
      <w:proofErr w:type="spellEnd"/>
      <w:r w:rsidRPr="004952C0">
        <w:t xml:space="preserve"> is the fan air power or fan static air power (as appropriate) in kilowatts, as measured in testing using the same drive, motor and transmission as the fan as installed.</w:t>
      </w:r>
    </w:p>
    <w:p w:rsidR="0045496E" w:rsidRPr="004952C0" w:rsidRDefault="0045496E" w:rsidP="0045496E">
      <w:pPr>
        <w:pStyle w:val="tDefn"/>
      </w:pPr>
      <w:proofErr w:type="spellStart"/>
      <w:r w:rsidRPr="004952C0">
        <w:rPr>
          <w:b/>
          <w:i/>
        </w:rPr>
        <w:t>P</w:t>
      </w:r>
      <w:r w:rsidRPr="004952C0">
        <w:rPr>
          <w:b/>
          <w:i/>
          <w:vertAlign w:val="subscript"/>
        </w:rPr>
        <w:t>E,i</w:t>
      </w:r>
      <w:proofErr w:type="spellEnd"/>
      <w:r w:rsidRPr="004952C0">
        <w:t xml:space="preserve"> is the motor input power of the fan in kilowatts, as measured in testing using the same drive, motor and transmission as the fan as installed.</w:t>
      </w:r>
    </w:p>
    <w:p w:rsidR="0045496E" w:rsidRPr="004952C0" w:rsidRDefault="0045496E" w:rsidP="0045496E">
      <w:pPr>
        <w:pStyle w:val="nMain"/>
      </w:pPr>
      <w:r w:rsidRPr="004952C0">
        <w:t>Note:</w:t>
      </w:r>
      <w:r w:rsidRPr="004952C0">
        <w:tab/>
        <w:t xml:space="preserve">For the testing for </w:t>
      </w:r>
      <w:proofErr w:type="spellStart"/>
      <w:r w:rsidRPr="004952C0">
        <w:rPr>
          <w:i/>
        </w:rPr>
        <w:t>P</w:t>
      </w:r>
      <w:r w:rsidRPr="004952C0">
        <w:rPr>
          <w:i/>
          <w:vertAlign w:val="subscript"/>
        </w:rPr>
        <w:t>U</w:t>
      </w:r>
      <w:proofErr w:type="gramStart"/>
      <w:r w:rsidRPr="004952C0">
        <w:rPr>
          <w:i/>
          <w:vertAlign w:val="subscript"/>
        </w:rPr>
        <w:t>,i</w:t>
      </w:r>
      <w:proofErr w:type="spellEnd"/>
      <w:proofErr w:type="gramEnd"/>
      <w:r w:rsidRPr="004952C0">
        <w:t xml:space="preserve"> and </w:t>
      </w:r>
      <w:proofErr w:type="spellStart"/>
      <w:r w:rsidRPr="004952C0">
        <w:rPr>
          <w:i/>
        </w:rPr>
        <w:t>P</w:t>
      </w:r>
      <w:r w:rsidRPr="004952C0">
        <w:rPr>
          <w:i/>
          <w:vertAlign w:val="subscript"/>
        </w:rPr>
        <w:t>E,i</w:t>
      </w:r>
      <w:proofErr w:type="spellEnd"/>
      <w:r w:rsidRPr="004952C0">
        <w:t>, see paragraphs </w:t>
      </w:r>
      <w:r w:rsidR="00934AC6" w:rsidRPr="004952C0">
        <w:t>16(4)(b)</w:t>
      </w:r>
      <w:r w:rsidRPr="004952C0">
        <w:t xml:space="preserve"> and </w:t>
      </w:r>
      <w:r w:rsidR="00934AC6" w:rsidRPr="004952C0">
        <w:t>(5)(d)</w:t>
      </w:r>
      <w:r w:rsidRPr="004952C0">
        <w:t xml:space="preserve"> and </w:t>
      </w:r>
      <w:r w:rsidR="00934AC6" w:rsidRPr="004952C0">
        <w:t>(e)</w:t>
      </w:r>
      <w:r w:rsidRPr="004952C0">
        <w:t>.</w:t>
      </w:r>
    </w:p>
    <w:p w:rsidR="0045496E" w:rsidRPr="004952C0" w:rsidRDefault="00FE4F8F" w:rsidP="0045496E">
      <w:pPr>
        <w:pStyle w:val="h5Section"/>
        <w:rPr>
          <w:rFonts w:ascii="Cambria Math" w:hAnsi="Cambria Math"/>
        </w:rPr>
      </w:pPr>
      <w:bookmarkStart w:id="79" w:name="_Toc431466289"/>
      <w:proofErr w:type="gramStart"/>
      <w:r w:rsidRPr="004952C0">
        <w:t>30</w:t>
      </w:r>
      <w:r w:rsidR="0045496E" w:rsidRPr="004952C0">
        <w:t xml:space="preserve">  Equation</w:t>
      </w:r>
      <w:proofErr w:type="gramEnd"/>
      <w:r w:rsidR="0045496E" w:rsidRPr="004952C0">
        <w:t xml:space="preserve"> 6—overall driven fan efficiency of installed HE fan (</w:t>
      </w:r>
      <w:r w:rsidR="0045496E" w:rsidRPr="004952C0">
        <w:rPr>
          <w:rFonts w:ascii="Cambria Math" w:hAnsi="Cambria Math"/>
          <w:i/>
        </w:rPr>
        <w:t>𝜂</w:t>
      </w:r>
      <w:proofErr w:type="spellStart"/>
      <w:r w:rsidR="0045496E" w:rsidRPr="004952C0">
        <w:rPr>
          <w:rFonts w:ascii="Cambria Math" w:hAnsi="Cambria Math"/>
          <w:i/>
          <w:vertAlign w:val="subscript"/>
        </w:rPr>
        <w:t>i</w:t>
      </w:r>
      <w:proofErr w:type="spellEnd"/>
      <w:r w:rsidR="0045496E" w:rsidRPr="004952C0">
        <w:rPr>
          <w:rFonts w:ascii="Cambria Math" w:hAnsi="Cambria Math"/>
        </w:rPr>
        <w:t>)</w:t>
      </w:r>
      <w:bookmarkEnd w:id="77"/>
      <w:bookmarkEnd w:id="78"/>
      <w:r w:rsidR="0045496E" w:rsidRPr="004952C0">
        <w:rPr>
          <w:rFonts w:ascii="Cambria Math" w:hAnsi="Cambria Math"/>
        </w:rPr>
        <w:t xml:space="preserve"> </w:t>
      </w:r>
      <w:r w:rsidR="0045496E" w:rsidRPr="004952C0">
        <w:t>for components tested separately</w:t>
      </w:r>
      <w:bookmarkEnd w:id="79"/>
    </w:p>
    <w:p w:rsidR="0045496E" w:rsidRPr="004952C0" w:rsidRDefault="0045496E" w:rsidP="0045496E">
      <w:pPr>
        <w:pStyle w:val="tMain"/>
      </w:pPr>
      <w:r w:rsidRPr="004952C0">
        <w:tab/>
      </w:r>
      <w:r w:rsidRPr="004952C0">
        <w:tab/>
        <w:t xml:space="preserve">For equation 3, if paragraph (b) of the definition of </w:t>
      </w:r>
      <w:r w:rsidRPr="004952C0">
        <w:rPr>
          <w:rFonts w:ascii="Cambria Math" w:hAnsi="Cambria Math"/>
          <w:i/>
        </w:rPr>
        <w:t>𝜂</w:t>
      </w:r>
      <w:proofErr w:type="spellStart"/>
      <w:r w:rsidRPr="004952C0">
        <w:rPr>
          <w:i/>
          <w:vertAlign w:val="subscript"/>
        </w:rPr>
        <w:t>i</w:t>
      </w:r>
      <w:proofErr w:type="spellEnd"/>
      <w:r w:rsidRPr="004952C0">
        <w:t xml:space="preserve"> is applicable, </w:t>
      </w:r>
      <w:r w:rsidRPr="004952C0">
        <w:rPr>
          <w:rFonts w:ascii="Cambria Math" w:hAnsi="Cambria Math"/>
          <w:i/>
        </w:rPr>
        <w:t>𝜂</w:t>
      </w:r>
      <w:proofErr w:type="spellStart"/>
      <w:r w:rsidRPr="004952C0">
        <w:rPr>
          <w:i/>
          <w:vertAlign w:val="subscript"/>
        </w:rPr>
        <w:t>i</w:t>
      </w:r>
      <w:proofErr w:type="spellEnd"/>
      <w:r w:rsidRPr="004952C0">
        <w:t xml:space="preserve"> is worked out using the equation (</w:t>
      </w:r>
      <w:r w:rsidRPr="004952C0">
        <w:rPr>
          <w:b/>
          <w:i/>
        </w:rPr>
        <w:t>equation 6</w:t>
      </w:r>
      <w:r w:rsidRPr="004952C0">
        <w:t>):</w:t>
      </w:r>
    </w:p>
    <w:p w:rsidR="0045496E" w:rsidRPr="004952C0" w:rsidRDefault="004F3B1F" w:rsidP="0045496E">
      <w:pPr>
        <w:pStyle w:val="tMain"/>
      </w:pPr>
      <m:oMathPara>
        <m:oMathParaPr>
          <m:jc m:val="left"/>
        </m:oMathParaPr>
        <m:oMath>
          <m:sSub>
            <m:sSubPr>
              <m:ctrlPr>
                <w:rPr>
                  <w:rFonts w:ascii="Cambria Math" w:hAnsi="Cambria Math"/>
                  <w:i/>
                </w:rPr>
              </m:ctrlPr>
            </m:sSubPr>
            <m:e>
              <m:r>
                <w:rPr>
                  <w:rFonts w:ascii="Cambria Math" w:hAnsi="Cambria Math"/>
                </w:rPr>
                <m:t>η</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U,i</m:t>
                  </m:r>
                </m:sub>
              </m:sSub>
            </m:num>
            <m:den>
              <m:sSub>
                <m:sSubPr>
                  <m:ctrlPr>
                    <w:rPr>
                      <w:rFonts w:ascii="Cambria Math" w:hAnsi="Cambria Math"/>
                      <w:i/>
                    </w:rPr>
                  </m:ctrlPr>
                </m:sSubPr>
                <m:e>
                  <m:r>
                    <w:rPr>
                      <w:rFonts w:ascii="Cambria Math" w:hAnsi="Cambria Math"/>
                    </w:rPr>
                    <m:t>P</m:t>
                  </m:r>
                </m:e>
                <m:sub>
                  <m:r>
                    <w:rPr>
                      <w:rFonts w:ascii="Cambria Math" w:hAnsi="Cambria Math"/>
                    </w:rPr>
                    <m:t>M,i</m:t>
                  </m:r>
                </m:sub>
              </m:sSub>
            </m:den>
          </m:f>
          <m:r>
            <w:rPr>
              <w:rFonts w:ascii="Cambria Math" w:hAnsi="Cambria Math" w:hint="eastAsia"/>
            </w:rPr>
            <m:t>×</m:t>
          </m:r>
          <m:sSub>
            <m:sSubPr>
              <m:ctrlPr>
                <w:rPr>
                  <w:rFonts w:ascii="Cambria Math" w:hAnsi="Cambria Math"/>
                  <w:i/>
                </w:rPr>
              </m:ctrlPr>
            </m:sSubPr>
            <m:e>
              <m:r>
                <w:rPr>
                  <w:rFonts w:ascii="Cambria Math" w:hAnsi="Cambria Math"/>
                </w:rPr>
                <m:t>η</m:t>
              </m:r>
            </m:e>
            <m:sub>
              <m:r>
                <w:rPr>
                  <w:rFonts w:ascii="Cambria Math" w:hAnsi="Cambria Math"/>
                </w:rPr>
                <m:t>T,i</m:t>
              </m:r>
            </m:sub>
          </m:sSub>
          <m:r>
            <w:rPr>
              <w:rFonts w:ascii="Cambria Math" w:hAnsi="Cambria Math" w:hint="eastAsia"/>
            </w:rPr>
            <m:t>×</m:t>
          </m:r>
          <m:sSub>
            <m:sSubPr>
              <m:ctrlPr>
                <w:rPr>
                  <w:rFonts w:ascii="Cambria Math" w:hAnsi="Cambria Math"/>
                  <w:i/>
                </w:rPr>
              </m:ctrlPr>
            </m:sSubPr>
            <m:e>
              <m:r>
                <w:rPr>
                  <w:rFonts w:ascii="Cambria Math" w:hAnsi="Cambria Math"/>
                </w:rPr>
                <m:t>η</m:t>
              </m:r>
            </m:e>
            <m:sub>
              <m:r>
                <w:rPr>
                  <w:rFonts w:ascii="Cambria Math" w:hAnsi="Cambria Math"/>
                </w:rPr>
                <m:t>M,i</m:t>
              </m:r>
            </m:sub>
          </m:sSub>
          <m:r>
            <w:rPr>
              <w:rFonts w:ascii="Cambria Math" w:hAnsi="Cambria Math" w:hint="eastAsia"/>
            </w:rPr>
            <m:t>×</m:t>
          </m:r>
          <m:sSub>
            <m:sSubPr>
              <m:ctrlPr>
                <w:rPr>
                  <w:rFonts w:ascii="Cambria Math" w:hAnsi="Cambria Math"/>
                  <w:i/>
                </w:rPr>
              </m:ctrlPr>
            </m:sSubPr>
            <m:e>
              <m:r>
                <w:rPr>
                  <w:rFonts w:ascii="Cambria Math" w:hAnsi="Cambria Math"/>
                </w:rPr>
                <m:t>η</m:t>
              </m:r>
            </m:e>
            <m:sub>
              <m:r>
                <w:rPr>
                  <w:rFonts w:ascii="Cambria Math" w:hAnsi="Cambria Math"/>
                </w:rPr>
                <m:t>C,i</m:t>
              </m:r>
            </m:sub>
          </m:sSub>
        </m:oMath>
      </m:oMathPara>
    </w:p>
    <w:p w:rsidR="0045496E" w:rsidRPr="004952C0" w:rsidRDefault="0045496E" w:rsidP="0045496E">
      <w:pPr>
        <w:pStyle w:val="tMain"/>
      </w:pPr>
      <w:r w:rsidRPr="004952C0">
        <w:tab/>
      </w:r>
      <w:r w:rsidRPr="004952C0">
        <w:tab/>
      </w:r>
      <w:proofErr w:type="gramStart"/>
      <w:r w:rsidRPr="004952C0">
        <w:t>where</w:t>
      </w:r>
      <w:proofErr w:type="gramEnd"/>
      <w:r w:rsidRPr="004952C0">
        <w:t xml:space="preserve">, for the </w:t>
      </w:r>
      <w:proofErr w:type="spellStart"/>
      <w:r w:rsidRPr="004952C0">
        <w:rPr>
          <w:i/>
        </w:rPr>
        <w:t>i</w:t>
      </w:r>
      <w:r w:rsidRPr="004952C0">
        <w:rPr>
          <w:vertAlign w:val="superscript"/>
        </w:rPr>
        <w:t>th</w:t>
      </w:r>
      <w:proofErr w:type="spellEnd"/>
      <w:r w:rsidRPr="004952C0">
        <w:t xml:space="preserve"> installed HE fan:</w:t>
      </w:r>
    </w:p>
    <w:p w:rsidR="0045496E" w:rsidRPr="004952C0" w:rsidRDefault="0045496E" w:rsidP="0045496E">
      <w:pPr>
        <w:pStyle w:val="tDefn"/>
      </w:pPr>
      <w:proofErr w:type="spellStart"/>
      <w:r w:rsidRPr="004952C0">
        <w:rPr>
          <w:rFonts w:ascii="Cambria Math" w:hAnsi="Cambria Math"/>
          <w:b/>
          <w:i/>
        </w:rPr>
        <w:t>P</w:t>
      </w:r>
      <w:r w:rsidRPr="004952C0">
        <w:rPr>
          <w:b/>
          <w:i/>
          <w:vertAlign w:val="subscript"/>
        </w:rPr>
        <w:t>U</w:t>
      </w:r>
      <w:proofErr w:type="gramStart"/>
      <w:r w:rsidRPr="004952C0">
        <w:rPr>
          <w:b/>
          <w:i/>
          <w:vertAlign w:val="subscript"/>
        </w:rPr>
        <w:t>,i</w:t>
      </w:r>
      <w:proofErr w:type="spellEnd"/>
      <w:proofErr w:type="gramEnd"/>
      <w:r w:rsidRPr="004952C0">
        <w:t xml:space="preserve"> is the fan air power or fan static air power (as appropriate) in kilowatts as determined </w:t>
      </w:r>
      <w:r w:rsidR="00AB0252" w:rsidRPr="004952C0">
        <w:t xml:space="preserve">from test results </w:t>
      </w:r>
      <w:r w:rsidRPr="004952C0">
        <w:t>in accordance with section </w:t>
      </w:r>
      <w:r w:rsidR="00934AC6" w:rsidRPr="004952C0">
        <w:t>16</w:t>
      </w:r>
      <w:r w:rsidRPr="004952C0">
        <w:t>.</w:t>
      </w:r>
    </w:p>
    <w:p w:rsidR="0045496E" w:rsidRPr="004952C0" w:rsidRDefault="0045496E" w:rsidP="0045496E">
      <w:pPr>
        <w:pStyle w:val="tDefn"/>
      </w:pPr>
      <w:proofErr w:type="spellStart"/>
      <w:r w:rsidRPr="004952C0">
        <w:rPr>
          <w:b/>
          <w:i/>
        </w:rPr>
        <w:t>P</w:t>
      </w:r>
      <w:r w:rsidRPr="004952C0">
        <w:rPr>
          <w:b/>
          <w:i/>
          <w:vertAlign w:val="subscript"/>
        </w:rPr>
        <w:t>M</w:t>
      </w:r>
      <w:proofErr w:type="gramStart"/>
      <w:r w:rsidRPr="004952C0">
        <w:rPr>
          <w:b/>
          <w:i/>
          <w:vertAlign w:val="subscript"/>
        </w:rPr>
        <w:t>,i</w:t>
      </w:r>
      <w:proofErr w:type="spellEnd"/>
      <w:proofErr w:type="gramEnd"/>
      <w:r w:rsidRPr="004952C0">
        <w:t xml:space="preserve"> is the mechanical power supplied to the impeller of the fan, and has the same meaning as in section </w:t>
      </w:r>
      <w:r w:rsidR="00934AC6" w:rsidRPr="004952C0">
        <w:t>28</w:t>
      </w:r>
      <w:r w:rsidRPr="004952C0">
        <w:t>.</w:t>
      </w:r>
    </w:p>
    <w:p w:rsidR="0045496E" w:rsidRPr="004952C0" w:rsidRDefault="0045496E" w:rsidP="0045496E">
      <w:pPr>
        <w:pStyle w:val="tDefn"/>
      </w:pPr>
      <w:r w:rsidRPr="004952C0">
        <w:rPr>
          <w:rFonts w:ascii="Cambria Math" w:hAnsi="Cambria Math"/>
          <w:b/>
          <w:i/>
        </w:rPr>
        <w:lastRenderedPageBreak/>
        <w:t>𝜂</w:t>
      </w:r>
      <w:proofErr w:type="spellStart"/>
      <w:r w:rsidRPr="004952C0">
        <w:rPr>
          <w:b/>
          <w:i/>
          <w:vertAlign w:val="subscript"/>
        </w:rPr>
        <w:t>T</w:t>
      </w:r>
      <w:proofErr w:type="gramStart"/>
      <w:r w:rsidRPr="004952C0">
        <w:rPr>
          <w:rFonts w:ascii="Cambria Math" w:hAnsi="Cambria Math"/>
          <w:i/>
          <w:vertAlign w:val="subscript"/>
        </w:rPr>
        <w:t>,</w:t>
      </w:r>
      <w:r w:rsidRPr="004952C0">
        <w:rPr>
          <w:b/>
          <w:i/>
          <w:vertAlign w:val="subscript"/>
        </w:rPr>
        <w:t>i</w:t>
      </w:r>
      <w:proofErr w:type="spellEnd"/>
      <w:proofErr w:type="gramEnd"/>
      <w:r w:rsidRPr="004952C0">
        <w:rPr>
          <w:rFonts w:ascii="Cambria Math" w:hAnsi="Cambria Math"/>
          <w:b/>
          <w:i/>
        </w:rPr>
        <w:t xml:space="preserve"> </w:t>
      </w:r>
      <w:r w:rsidRPr="004952C0">
        <w:t>is the transmission efficiency of the transmission of the fan, and has the same meaning as in section </w:t>
      </w:r>
      <w:r w:rsidR="00934AC6" w:rsidRPr="004952C0">
        <w:t>28</w:t>
      </w:r>
      <w:r w:rsidRPr="004952C0">
        <w:t>.</w:t>
      </w:r>
    </w:p>
    <w:p w:rsidR="0045496E" w:rsidRPr="004952C0" w:rsidRDefault="0045496E" w:rsidP="0045496E">
      <w:pPr>
        <w:pStyle w:val="tDefn"/>
      </w:pPr>
      <w:r w:rsidRPr="004952C0">
        <w:rPr>
          <w:rFonts w:ascii="Cambria Math" w:hAnsi="Cambria Math"/>
          <w:b/>
          <w:i/>
        </w:rPr>
        <w:t>𝜂</w:t>
      </w:r>
      <w:proofErr w:type="spellStart"/>
      <w:r w:rsidRPr="004952C0">
        <w:rPr>
          <w:b/>
          <w:i/>
          <w:vertAlign w:val="subscript"/>
        </w:rPr>
        <w:t>M</w:t>
      </w:r>
      <w:proofErr w:type="gramStart"/>
      <w:r w:rsidRPr="004952C0">
        <w:rPr>
          <w:b/>
          <w:i/>
          <w:vertAlign w:val="subscript"/>
        </w:rPr>
        <w:t>,i</w:t>
      </w:r>
      <w:proofErr w:type="spellEnd"/>
      <w:proofErr w:type="gramEnd"/>
      <w:r w:rsidRPr="004952C0">
        <w:rPr>
          <w:b/>
          <w:i/>
          <w:vertAlign w:val="subscript"/>
        </w:rPr>
        <w:t xml:space="preserve"> </w:t>
      </w:r>
      <w:r w:rsidRPr="004952C0">
        <w:t>is the motor efficiency of the motor of the fan, and has the same meaning as in section </w:t>
      </w:r>
      <w:r w:rsidR="00934AC6" w:rsidRPr="004952C0">
        <w:t>28</w:t>
      </w:r>
      <w:r w:rsidRPr="004952C0">
        <w:t>.</w:t>
      </w:r>
    </w:p>
    <w:p w:rsidR="0045496E" w:rsidRPr="004952C0" w:rsidRDefault="0045496E" w:rsidP="0045496E">
      <w:pPr>
        <w:pStyle w:val="tDefn"/>
      </w:pPr>
      <w:r w:rsidRPr="004952C0">
        <w:rPr>
          <w:rFonts w:ascii="Cambria Math" w:hAnsi="Cambria Math"/>
          <w:b/>
          <w:i/>
        </w:rPr>
        <w:t>𝜂</w:t>
      </w:r>
      <w:proofErr w:type="spellStart"/>
      <w:r w:rsidRPr="004952C0">
        <w:rPr>
          <w:b/>
          <w:i/>
          <w:vertAlign w:val="subscript"/>
        </w:rPr>
        <w:t>C</w:t>
      </w:r>
      <w:proofErr w:type="gramStart"/>
      <w:r w:rsidRPr="004952C0">
        <w:rPr>
          <w:b/>
          <w:i/>
          <w:vertAlign w:val="subscript"/>
        </w:rPr>
        <w:t>,i</w:t>
      </w:r>
      <w:proofErr w:type="spellEnd"/>
      <w:proofErr w:type="gramEnd"/>
      <w:r w:rsidRPr="004952C0">
        <w:t xml:space="preserve"> is the electrical drive efficiency of the controller of the fan, and has the same meaning as in section </w:t>
      </w:r>
      <w:r w:rsidR="00934AC6" w:rsidRPr="004952C0">
        <w:t>28</w:t>
      </w:r>
      <w:r w:rsidRPr="004952C0">
        <w:t>.</w:t>
      </w:r>
    </w:p>
    <w:p w:rsidR="0045496E" w:rsidRPr="004952C0" w:rsidRDefault="00FE4F8F" w:rsidP="0045496E">
      <w:pPr>
        <w:pStyle w:val="h5Section"/>
      </w:pPr>
      <w:bookmarkStart w:id="80" w:name="_Toc418869726"/>
      <w:bookmarkStart w:id="81" w:name="_Toc420940754"/>
      <w:bookmarkStart w:id="82" w:name="_Toc431466290"/>
      <w:proofErr w:type="gramStart"/>
      <w:r w:rsidRPr="004952C0">
        <w:t>31</w:t>
      </w:r>
      <w:r w:rsidR="0045496E" w:rsidRPr="004952C0">
        <w:t xml:space="preserve">  Equation</w:t>
      </w:r>
      <w:proofErr w:type="gramEnd"/>
      <w:r w:rsidR="0045496E" w:rsidRPr="004952C0">
        <w:t xml:space="preserve"> 7—baseline overall energy efficiency of installed HE fan (</w:t>
      </w:r>
      <w:r w:rsidR="0045496E" w:rsidRPr="004952C0">
        <w:rPr>
          <w:rFonts w:ascii="Cambria Math" w:hAnsi="Cambria Math"/>
          <w:i/>
        </w:rPr>
        <w:t>𝜂</w:t>
      </w:r>
      <w:proofErr w:type="spellStart"/>
      <w:r w:rsidR="0045496E" w:rsidRPr="004952C0">
        <w:rPr>
          <w:i/>
          <w:vertAlign w:val="subscript"/>
        </w:rPr>
        <w:t>B,i</w:t>
      </w:r>
      <w:proofErr w:type="spellEnd"/>
      <w:r w:rsidR="0045496E" w:rsidRPr="004952C0">
        <w:t>)</w:t>
      </w:r>
      <w:bookmarkEnd w:id="80"/>
      <w:bookmarkEnd w:id="81"/>
      <w:bookmarkEnd w:id="82"/>
    </w:p>
    <w:p w:rsidR="0045496E" w:rsidRPr="004952C0" w:rsidRDefault="0045496E" w:rsidP="0045496E">
      <w:pPr>
        <w:pStyle w:val="tMain"/>
      </w:pPr>
      <w:r w:rsidRPr="004952C0">
        <w:tab/>
      </w:r>
      <w:r w:rsidRPr="004952C0">
        <w:tab/>
        <w:t xml:space="preserve">For equation 3, </w:t>
      </w:r>
      <w:r w:rsidRPr="004952C0">
        <w:rPr>
          <w:rFonts w:ascii="Cambria Math" w:hAnsi="Cambria Math"/>
          <w:i/>
        </w:rPr>
        <w:t>𝜂</w:t>
      </w:r>
      <w:proofErr w:type="spellStart"/>
      <w:r w:rsidRPr="004952C0">
        <w:rPr>
          <w:i/>
          <w:vertAlign w:val="subscript"/>
        </w:rPr>
        <w:t>B</w:t>
      </w:r>
      <w:proofErr w:type="gramStart"/>
      <w:r w:rsidRPr="004952C0">
        <w:rPr>
          <w:i/>
          <w:vertAlign w:val="subscript"/>
        </w:rPr>
        <w:t>,i</w:t>
      </w:r>
      <w:proofErr w:type="spellEnd"/>
      <w:proofErr w:type="gramEnd"/>
      <w:r w:rsidRPr="004952C0">
        <w:t xml:space="preserve"> is worked out using the equation (</w:t>
      </w:r>
      <w:r w:rsidRPr="004952C0">
        <w:rPr>
          <w:b/>
          <w:i/>
        </w:rPr>
        <w:t>equation 7</w:t>
      </w:r>
      <w:r w:rsidRPr="004952C0">
        <w:t>):</w:t>
      </w:r>
    </w:p>
    <w:p w:rsidR="0045496E" w:rsidRPr="004952C0" w:rsidRDefault="004F3B1F" w:rsidP="0045496E">
      <w:pPr>
        <w:pStyle w:val="tMain"/>
      </w:pPr>
      <m:oMathPara>
        <m:oMathParaPr>
          <m:jc m:val="left"/>
        </m:oMathParaPr>
        <m:oMath>
          <m:sSub>
            <m:sSubPr>
              <m:ctrlPr>
                <w:rPr>
                  <w:rFonts w:ascii="Cambria Math" w:hAnsi="Cambria Math"/>
                  <w:i/>
                </w:rPr>
              </m:ctrlPr>
            </m:sSubPr>
            <m:e>
              <m:r>
                <w:rPr>
                  <w:rFonts w:ascii="Cambria Math" w:hAnsi="Cambria Math"/>
                </w:rPr>
                <m:t>η</m:t>
              </m:r>
            </m:e>
            <m:sub>
              <m:r>
                <w:rPr>
                  <w:rFonts w:ascii="Cambria Math" w:hAnsi="Cambria Math"/>
                </w:rPr>
                <m:t>B,i</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100</m:t>
              </m:r>
            </m:den>
          </m:f>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B,i</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hint="eastAsia"/>
                </w:rPr>
                <m:t>×</m:t>
              </m:r>
              <m:func>
                <m:funcPr>
                  <m:ctrlPr>
                    <w:rPr>
                      <w:rFonts w:ascii="Cambria Math" w:hAnsi="Cambria Math"/>
                      <w:i/>
                    </w:rPr>
                  </m:ctrlPr>
                </m:funcPr>
                <m:fName>
                  <m:r>
                    <m:rPr>
                      <m:nor/>
                    </m:rP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E,i</m:t>
                          </m:r>
                        </m:sub>
                      </m:sSub>
                    </m:e>
                  </m:d>
                </m:e>
              </m:fun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Ave,i</m:t>
                  </m:r>
                </m:sub>
              </m:sSub>
            </m:e>
          </m:d>
        </m:oMath>
      </m:oMathPara>
    </w:p>
    <w:p w:rsidR="0045496E" w:rsidRPr="004952C0" w:rsidRDefault="0045496E" w:rsidP="0045496E">
      <w:pPr>
        <w:pStyle w:val="tMain"/>
      </w:pPr>
      <w:r w:rsidRPr="004952C0">
        <w:tab/>
      </w:r>
      <w:r w:rsidRPr="004952C0">
        <w:tab/>
      </w:r>
      <w:proofErr w:type="gramStart"/>
      <w:r w:rsidRPr="004952C0">
        <w:t>where</w:t>
      </w:r>
      <w:proofErr w:type="gramEnd"/>
      <w:r w:rsidRPr="004952C0">
        <w:t xml:space="preserve">, for the </w:t>
      </w:r>
      <w:proofErr w:type="spellStart"/>
      <w:r w:rsidRPr="004952C0">
        <w:rPr>
          <w:i/>
        </w:rPr>
        <w:t>i</w:t>
      </w:r>
      <w:r w:rsidRPr="004952C0">
        <w:rPr>
          <w:vertAlign w:val="superscript"/>
        </w:rPr>
        <w:t>th</w:t>
      </w:r>
      <w:proofErr w:type="spellEnd"/>
      <w:r w:rsidRPr="004952C0">
        <w:t xml:space="preserve"> installed HE fan:</w:t>
      </w:r>
    </w:p>
    <w:p w:rsidR="0045496E" w:rsidRPr="004952C0" w:rsidRDefault="0045496E" w:rsidP="0045496E">
      <w:pPr>
        <w:pStyle w:val="tDefn"/>
      </w:pPr>
      <w:proofErr w:type="spellStart"/>
      <w:r w:rsidRPr="004952C0">
        <w:rPr>
          <w:b/>
          <w:i/>
        </w:rPr>
        <w:t>C</w:t>
      </w:r>
      <w:r w:rsidRPr="004952C0">
        <w:rPr>
          <w:b/>
          <w:i/>
          <w:vertAlign w:val="subscript"/>
        </w:rPr>
        <w:t>B</w:t>
      </w:r>
      <w:proofErr w:type="gramStart"/>
      <w:r w:rsidRPr="004952C0">
        <w:rPr>
          <w:b/>
          <w:i/>
          <w:vertAlign w:val="subscript"/>
        </w:rPr>
        <w:t>,i</w:t>
      </w:r>
      <w:proofErr w:type="spellEnd"/>
      <w:proofErr w:type="gramEnd"/>
      <w:r w:rsidRPr="004952C0">
        <w:t xml:space="preserve"> is the part</w:t>
      </w:r>
      <w:r w:rsidRPr="004952C0">
        <w:noBreakHyphen/>
      </w:r>
      <w:proofErr w:type="spellStart"/>
      <w:r w:rsidRPr="004952C0">
        <w:t>load</w:t>
      </w:r>
      <w:proofErr w:type="spellEnd"/>
      <w:r w:rsidRPr="004952C0">
        <w:t xml:space="preserve"> compensation factor for the baseline fan control system, and is:</w:t>
      </w:r>
    </w:p>
    <w:p w:rsidR="0045496E" w:rsidRPr="004952C0" w:rsidRDefault="0045496E" w:rsidP="0045496E">
      <w:pPr>
        <w:pStyle w:val="tPara"/>
      </w:pPr>
      <w:r w:rsidRPr="004952C0">
        <w:tab/>
        <w:t>(a)</w:t>
      </w:r>
      <w:r w:rsidRPr="004952C0">
        <w:tab/>
        <w:t>if a variable speed drive was already installed—equal to</w:t>
      </w:r>
      <w:r w:rsidRPr="004952C0">
        <w:rPr>
          <w:i/>
        </w:rPr>
        <w:t xml:space="preserve"> </w:t>
      </w:r>
      <w:proofErr w:type="spellStart"/>
      <w:r w:rsidRPr="004952C0">
        <w:rPr>
          <w:i/>
        </w:rPr>
        <w:t>C</w:t>
      </w:r>
      <w:r w:rsidRPr="004952C0">
        <w:rPr>
          <w:i/>
          <w:vertAlign w:val="subscript"/>
        </w:rPr>
        <w:t>C,i</w:t>
      </w:r>
      <w:proofErr w:type="spellEnd"/>
      <w:r w:rsidRPr="004952C0">
        <w:t xml:space="preserve"> as given by equation 8 (subsection </w:t>
      </w:r>
      <w:r w:rsidR="00934AC6" w:rsidRPr="004952C0">
        <w:t>32(1)</w:t>
      </w:r>
      <w:r w:rsidRPr="004952C0">
        <w:t>); and</w:t>
      </w:r>
    </w:p>
    <w:p w:rsidR="0045496E" w:rsidRPr="004952C0" w:rsidRDefault="0045496E" w:rsidP="0045496E">
      <w:pPr>
        <w:pStyle w:val="tPara"/>
      </w:pPr>
      <w:r w:rsidRPr="004952C0">
        <w:tab/>
        <w:t>(b)</w:t>
      </w:r>
      <w:r w:rsidRPr="004952C0">
        <w:tab/>
        <w:t>if a multi</w:t>
      </w:r>
      <w:r w:rsidRPr="004952C0">
        <w:noBreakHyphen/>
      </w:r>
      <w:proofErr w:type="spellStart"/>
      <w:r w:rsidRPr="004952C0">
        <w:t>speed</w:t>
      </w:r>
      <w:proofErr w:type="spellEnd"/>
      <w:r w:rsidRPr="004952C0">
        <w:t xml:space="preserve"> or switching control was already installed—equal to </w:t>
      </w:r>
      <w:proofErr w:type="spellStart"/>
      <w:r w:rsidRPr="004952C0">
        <w:rPr>
          <w:i/>
        </w:rPr>
        <w:t>C</w:t>
      </w:r>
      <w:r w:rsidRPr="004952C0">
        <w:rPr>
          <w:i/>
          <w:vertAlign w:val="subscript"/>
        </w:rPr>
        <w:t>C,i</w:t>
      </w:r>
      <w:proofErr w:type="spellEnd"/>
      <w:r w:rsidRPr="004952C0">
        <w:t xml:space="preserve"> as given by equation 9 (subsection </w:t>
      </w:r>
      <w:r w:rsidR="00934AC6" w:rsidRPr="004952C0">
        <w:t>32(2)</w:t>
      </w:r>
      <w:r w:rsidRPr="004952C0">
        <w:t>); and</w:t>
      </w:r>
    </w:p>
    <w:p w:rsidR="0045496E" w:rsidRPr="004952C0" w:rsidRDefault="0045496E" w:rsidP="0045496E">
      <w:pPr>
        <w:pStyle w:val="tPara"/>
      </w:pPr>
      <w:r w:rsidRPr="004952C0">
        <w:tab/>
        <w:t>(c)</w:t>
      </w:r>
      <w:r w:rsidRPr="004952C0">
        <w:tab/>
      </w:r>
      <w:proofErr w:type="gramStart"/>
      <w:r w:rsidRPr="004952C0">
        <w:t>otherwise—</w:t>
      </w:r>
      <w:proofErr w:type="gramEnd"/>
      <w:r w:rsidRPr="004952C0">
        <w:t>equal to 1.</w:t>
      </w:r>
    </w:p>
    <w:p w:rsidR="0045496E" w:rsidRPr="004952C0" w:rsidRDefault="0045496E" w:rsidP="0045496E">
      <w:pPr>
        <w:pStyle w:val="tDefn"/>
      </w:pPr>
      <w:proofErr w:type="spellStart"/>
      <w:proofErr w:type="gramStart"/>
      <w:r w:rsidRPr="004952C0">
        <w:rPr>
          <w:b/>
          <w:i/>
        </w:rPr>
        <w:t>a</w:t>
      </w:r>
      <w:r w:rsidRPr="004952C0">
        <w:rPr>
          <w:b/>
          <w:i/>
          <w:vertAlign w:val="subscript"/>
        </w:rPr>
        <w:t>i</w:t>
      </w:r>
      <w:proofErr w:type="spellEnd"/>
      <w:proofErr w:type="gramEnd"/>
      <w:r w:rsidRPr="004952C0">
        <w:t xml:space="preserve"> is a regression coefficient, and is determined in accordance with </w:t>
      </w:r>
      <w:r w:rsidR="00934AC6" w:rsidRPr="004952C0">
        <w:t>Schedule 4</w:t>
      </w:r>
      <w:r w:rsidRPr="004952C0">
        <w:t>.</w:t>
      </w:r>
    </w:p>
    <w:p w:rsidR="0045496E" w:rsidRPr="004952C0" w:rsidRDefault="0045496E" w:rsidP="0045496E">
      <w:pPr>
        <w:pStyle w:val="tDefn"/>
      </w:pPr>
      <w:proofErr w:type="spellStart"/>
      <w:proofErr w:type="gramStart"/>
      <w:r w:rsidRPr="004952C0">
        <w:rPr>
          <w:b/>
          <w:i/>
        </w:rPr>
        <w:t>ln</w:t>
      </w:r>
      <w:proofErr w:type="spellEnd"/>
      <w:r w:rsidRPr="004952C0">
        <w:rPr>
          <w:b/>
          <w:i/>
        </w:rPr>
        <w:t>(</w:t>
      </w:r>
      <w:proofErr w:type="spellStart"/>
      <w:proofErr w:type="gramEnd"/>
      <w:r w:rsidRPr="004952C0">
        <w:rPr>
          <w:b/>
          <w:i/>
        </w:rPr>
        <w:t>P</w:t>
      </w:r>
      <w:r w:rsidRPr="004952C0">
        <w:rPr>
          <w:b/>
          <w:i/>
          <w:vertAlign w:val="subscript"/>
        </w:rPr>
        <w:t>E,i</w:t>
      </w:r>
      <w:proofErr w:type="spellEnd"/>
      <w:r w:rsidRPr="004952C0">
        <w:rPr>
          <w:b/>
          <w:i/>
          <w:vertAlign w:val="subscript"/>
        </w:rPr>
        <w:softHyphen/>
      </w:r>
      <w:r w:rsidRPr="004952C0">
        <w:rPr>
          <w:b/>
          <w:i/>
        </w:rPr>
        <w:t>)</w:t>
      </w:r>
      <w:r w:rsidRPr="004952C0">
        <w:t xml:space="preserve"> is the natural log of the motor input power (</w:t>
      </w:r>
      <w:proofErr w:type="spellStart"/>
      <w:r w:rsidRPr="004952C0">
        <w:rPr>
          <w:i/>
        </w:rPr>
        <w:t>P</w:t>
      </w:r>
      <w:r w:rsidRPr="004952C0">
        <w:rPr>
          <w:i/>
          <w:vertAlign w:val="subscript"/>
        </w:rPr>
        <w:t>E,i</w:t>
      </w:r>
      <w:proofErr w:type="spellEnd"/>
      <w:r w:rsidRPr="004952C0">
        <w:t>), in kilowatts, of the fan</w:t>
      </w:r>
      <w:r w:rsidR="00FA181A" w:rsidRPr="004952C0">
        <w:t xml:space="preserve">, where </w:t>
      </w:r>
      <w:proofErr w:type="spellStart"/>
      <w:r w:rsidRPr="004952C0">
        <w:rPr>
          <w:i/>
        </w:rPr>
        <w:t>P</w:t>
      </w:r>
      <w:r w:rsidRPr="004952C0">
        <w:rPr>
          <w:i/>
          <w:vertAlign w:val="subscript"/>
        </w:rPr>
        <w:t>E,i</w:t>
      </w:r>
      <w:proofErr w:type="spellEnd"/>
      <w:r w:rsidRPr="004952C0">
        <w:t xml:space="preserve"> has the same meaning as in section </w:t>
      </w:r>
      <w:r w:rsidR="00934AC6" w:rsidRPr="004952C0">
        <w:t>27</w:t>
      </w:r>
      <w:r w:rsidRPr="004952C0">
        <w:t>.</w:t>
      </w:r>
    </w:p>
    <w:p w:rsidR="0045496E" w:rsidRPr="004952C0" w:rsidRDefault="0045496E" w:rsidP="0045496E">
      <w:pPr>
        <w:pStyle w:val="tDefn"/>
      </w:pPr>
      <w:proofErr w:type="gramStart"/>
      <w:r w:rsidRPr="004952C0">
        <w:rPr>
          <w:b/>
          <w:i/>
        </w:rPr>
        <w:t>b</w:t>
      </w:r>
      <w:r w:rsidRPr="004952C0">
        <w:rPr>
          <w:b/>
          <w:i/>
          <w:vertAlign w:val="subscript"/>
        </w:rPr>
        <w:t>i</w:t>
      </w:r>
      <w:proofErr w:type="gramEnd"/>
      <w:r w:rsidRPr="004952C0">
        <w:t xml:space="preserve"> is a regression constant, and is determined in accordance with </w:t>
      </w:r>
      <w:r w:rsidR="00934AC6" w:rsidRPr="004952C0">
        <w:t>Schedule 4</w:t>
      </w:r>
      <w:r w:rsidRPr="004952C0">
        <w:t>.</w:t>
      </w:r>
    </w:p>
    <w:p w:rsidR="0045496E" w:rsidRPr="004952C0" w:rsidRDefault="0045496E" w:rsidP="0045496E">
      <w:pPr>
        <w:pStyle w:val="tDefn"/>
      </w:pPr>
      <w:proofErr w:type="spellStart"/>
      <w:r w:rsidRPr="004952C0">
        <w:rPr>
          <w:b/>
          <w:i/>
        </w:rPr>
        <w:t>N</w:t>
      </w:r>
      <w:r w:rsidRPr="004952C0">
        <w:rPr>
          <w:b/>
          <w:i/>
          <w:vertAlign w:val="subscript"/>
        </w:rPr>
        <w:t>Ave</w:t>
      </w:r>
      <w:proofErr w:type="gramStart"/>
      <w:r w:rsidRPr="004952C0">
        <w:rPr>
          <w:b/>
          <w:i/>
          <w:vertAlign w:val="subscript"/>
        </w:rPr>
        <w:t>,i</w:t>
      </w:r>
      <w:proofErr w:type="spellEnd"/>
      <w:proofErr w:type="gramEnd"/>
      <w:r w:rsidRPr="004952C0">
        <w:t xml:space="preserve"> is the market average efficiency grade of the fan, and is determined in accordance with </w:t>
      </w:r>
      <w:r w:rsidR="00934AC6" w:rsidRPr="004952C0">
        <w:t>Schedule 5</w:t>
      </w:r>
      <w:r w:rsidRPr="004952C0">
        <w:t>.</w:t>
      </w:r>
    </w:p>
    <w:p w:rsidR="0045496E" w:rsidRPr="004952C0" w:rsidRDefault="00FE4F8F" w:rsidP="0045496E">
      <w:pPr>
        <w:pStyle w:val="h5Section"/>
      </w:pPr>
      <w:bookmarkStart w:id="83" w:name="_Toc418869727"/>
      <w:bookmarkStart w:id="84" w:name="_Toc420940755"/>
      <w:bookmarkStart w:id="85" w:name="_Toc431466291"/>
      <w:proofErr w:type="gramStart"/>
      <w:r w:rsidRPr="004952C0">
        <w:t>32</w:t>
      </w:r>
      <w:r w:rsidR="0045496E" w:rsidRPr="004952C0">
        <w:t xml:space="preserve">  Equations</w:t>
      </w:r>
      <w:proofErr w:type="gramEnd"/>
      <w:r w:rsidR="0045496E" w:rsidRPr="004952C0">
        <w:t xml:space="preserve"> 8 and 9—part load compensation factor of installed HE fan (</w:t>
      </w:r>
      <w:proofErr w:type="spellStart"/>
      <w:r w:rsidR="0045496E" w:rsidRPr="004952C0">
        <w:rPr>
          <w:i/>
        </w:rPr>
        <w:t>C</w:t>
      </w:r>
      <w:r w:rsidR="0045496E" w:rsidRPr="004952C0">
        <w:rPr>
          <w:i/>
          <w:vertAlign w:val="subscript"/>
        </w:rPr>
        <w:t>C,i</w:t>
      </w:r>
      <w:proofErr w:type="spellEnd"/>
      <w:r w:rsidR="0045496E" w:rsidRPr="004952C0">
        <w:t>)</w:t>
      </w:r>
      <w:bookmarkEnd w:id="83"/>
      <w:bookmarkEnd w:id="84"/>
      <w:bookmarkEnd w:id="85"/>
    </w:p>
    <w:p w:rsidR="0045496E" w:rsidRPr="004952C0" w:rsidRDefault="0045496E" w:rsidP="0045496E">
      <w:pPr>
        <w:pStyle w:val="tMain"/>
      </w:pPr>
      <w:r w:rsidRPr="004952C0">
        <w:tab/>
      </w:r>
      <w:r w:rsidR="00FE4F8F" w:rsidRPr="004952C0">
        <w:t>(1)</w:t>
      </w:r>
      <w:r w:rsidRPr="004952C0">
        <w:tab/>
        <w:t xml:space="preserve">For equation 3 and equation 7, if paragraph (a) of the definition of </w:t>
      </w:r>
      <w:proofErr w:type="spellStart"/>
      <w:r w:rsidRPr="004952C0">
        <w:rPr>
          <w:i/>
        </w:rPr>
        <w:t>C</w:t>
      </w:r>
      <w:r w:rsidRPr="004952C0">
        <w:rPr>
          <w:i/>
          <w:vertAlign w:val="subscript"/>
        </w:rPr>
        <w:t>C</w:t>
      </w:r>
      <w:proofErr w:type="gramStart"/>
      <w:r w:rsidRPr="004952C0">
        <w:rPr>
          <w:i/>
          <w:vertAlign w:val="subscript"/>
        </w:rPr>
        <w:t>,i</w:t>
      </w:r>
      <w:proofErr w:type="spellEnd"/>
      <w:proofErr w:type="gramEnd"/>
      <w:r w:rsidRPr="004952C0">
        <w:t xml:space="preserve"> or paragraph (a) of the definition of </w:t>
      </w:r>
      <w:proofErr w:type="spellStart"/>
      <w:r w:rsidRPr="004952C0">
        <w:rPr>
          <w:i/>
        </w:rPr>
        <w:t>C</w:t>
      </w:r>
      <w:r w:rsidRPr="004952C0">
        <w:rPr>
          <w:i/>
          <w:vertAlign w:val="subscript"/>
        </w:rPr>
        <w:t>B,i</w:t>
      </w:r>
      <w:proofErr w:type="spellEnd"/>
      <w:r w:rsidRPr="004952C0">
        <w:t xml:space="preserve"> is applicable, </w:t>
      </w:r>
      <w:proofErr w:type="spellStart"/>
      <w:r w:rsidRPr="004952C0">
        <w:rPr>
          <w:i/>
        </w:rPr>
        <w:t>C</w:t>
      </w:r>
      <w:r w:rsidRPr="004952C0">
        <w:rPr>
          <w:i/>
          <w:vertAlign w:val="subscript"/>
        </w:rPr>
        <w:t>C,i</w:t>
      </w:r>
      <w:proofErr w:type="spellEnd"/>
      <w:r w:rsidRPr="004952C0">
        <w:t xml:space="preserve"> is worked out using the equation (</w:t>
      </w:r>
      <w:r w:rsidRPr="004952C0">
        <w:rPr>
          <w:b/>
          <w:i/>
        </w:rPr>
        <w:t>equation 8</w:t>
      </w:r>
      <w:r w:rsidRPr="004952C0">
        <w:t>):</w:t>
      </w:r>
    </w:p>
    <w:p w:rsidR="0045496E" w:rsidRPr="004952C0" w:rsidRDefault="0045496E" w:rsidP="0045496E">
      <w:pPr>
        <w:pStyle w:val="tMain"/>
      </w:pPr>
      <w:r w:rsidRPr="004952C0">
        <w:tab/>
      </w:r>
      <w:r w:rsidRPr="004952C0">
        <w:tab/>
      </w:r>
      <m:oMath>
        <m:sSub>
          <m:sSubPr>
            <m:ctrlPr>
              <w:rPr>
                <w:rFonts w:ascii="Cambria Math" w:hAnsi="Cambria Math"/>
              </w:rPr>
            </m:ctrlPr>
          </m:sSubPr>
          <m:e>
            <m:r>
              <w:rPr>
                <w:rFonts w:ascii="Cambria Math" w:hAnsi="Cambria Math"/>
              </w:rPr>
              <m:t>C</m:t>
            </m:r>
          </m:e>
          <m:sub>
            <m:r>
              <w:rPr>
                <w:rFonts w:ascii="Cambria Math" w:hAnsi="Cambria Math"/>
              </w:rPr>
              <m:t>C</m:t>
            </m:r>
            <m:r>
              <m:rPr>
                <m:sty m:val="p"/>
              </m:rPr>
              <w:rPr>
                <w:rFonts w:ascii="Cambria Math" w:hAnsi="Cambria Math"/>
              </w:rPr>
              <m:t>,</m:t>
            </m:r>
            <m:r>
              <w:rPr>
                <w:rFonts w:ascii="Cambria Math" w:hAnsi="Cambria Math"/>
              </w:rPr>
              <m:t>i</m:t>
            </m:r>
          </m:sub>
        </m:sSub>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r>
          <m:rPr>
            <m:sty m:val="p"/>
          </m:rPr>
          <w:rPr>
            <w:rFonts w:ascii="Cambria Math" w:hAnsi="Cambria Math" w:hint="eastAsia"/>
          </w:rPr>
          <m:t>×</m:t>
        </m:r>
        <m:r>
          <w:rPr>
            <w:rFonts w:ascii="Cambria Math" w:hAnsi="Cambria Math"/>
          </w:rPr>
          <m:t>ln</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E,i</m:t>
                </m:r>
              </m:sub>
            </m:sSub>
          </m:e>
        </m:d>
        <m:r>
          <m:rPr>
            <m:sty m:val="p"/>
          </m:rP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oMath>
    </w:p>
    <w:p w:rsidR="0045496E" w:rsidRPr="004952C0" w:rsidRDefault="0045496E" w:rsidP="0045496E">
      <w:pPr>
        <w:pStyle w:val="tMain"/>
      </w:pPr>
      <w:r w:rsidRPr="004952C0">
        <w:tab/>
      </w:r>
      <w:r w:rsidR="00FE4F8F" w:rsidRPr="004952C0">
        <w:t>(2)</w:t>
      </w:r>
      <w:r w:rsidRPr="004952C0">
        <w:tab/>
        <w:t xml:space="preserve">For equation 3 and equation 7, if paragraph (b) of the definition of </w:t>
      </w:r>
      <w:proofErr w:type="spellStart"/>
      <w:r w:rsidRPr="004952C0">
        <w:rPr>
          <w:i/>
        </w:rPr>
        <w:t>C</w:t>
      </w:r>
      <w:r w:rsidRPr="004952C0">
        <w:rPr>
          <w:i/>
          <w:vertAlign w:val="subscript"/>
        </w:rPr>
        <w:t>C</w:t>
      </w:r>
      <w:proofErr w:type="gramStart"/>
      <w:r w:rsidRPr="004952C0">
        <w:rPr>
          <w:i/>
          <w:vertAlign w:val="subscript"/>
        </w:rPr>
        <w:t>,i</w:t>
      </w:r>
      <w:proofErr w:type="spellEnd"/>
      <w:proofErr w:type="gramEnd"/>
      <w:r w:rsidRPr="004952C0">
        <w:t xml:space="preserve"> or paragraph (b) of the definition of </w:t>
      </w:r>
      <w:proofErr w:type="spellStart"/>
      <w:r w:rsidRPr="004952C0">
        <w:rPr>
          <w:i/>
        </w:rPr>
        <w:t>C</w:t>
      </w:r>
      <w:r w:rsidRPr="004952C0">
        <w:rPr>
          <w:i/>
          <w:vertAlign w:val="subscript"/>
        </w:rPr>
        <w:t>B,i</w:t>
      </w:r>
      <w:proofErr w:type="spellEnd"/>
      <w:r w:rsidRPr="004952C0">
        <w:t xml:space="preserve"> is applicable, </w:t>
      </w:r>
      <w:proofErr w:type="spellStart"/>
      <w:r w:rsidRPr="004952C0">
        <w:rPr>
          <w:i/>
        </w:rPr>
        <w:t>C</w:t>
      </w:r>
      <w:r w:rsidRPr="004952C0">
        <w:rPr>
          <w:i/>
          <w:vertAlign w:val="subscript"/>
        </w:rPr>
        <w:t>C,i</w:t>
      </w:r>
      <w:proofErr w:type="spellEnd"/>
      <w:r w:rsidRPr="004952C0">
        <w:t xml:space="preserve"> is worked out using the equation (</w:t>
      </w:r>
      <w:r w:rsidRPr="004952C0">
        <w:rPr>
          <w:b/>
          <w:i/>
        </w:rPr>
        <w:t>equation 9</w:t>
      </w:r>
      <w:r w:rsidRPr="004952C0">
        <w:t>):</w:t>
      </w:r>
    </w:p>
    <w:p w:rsidR="0045496E" w:rsidRPr="004952C0" w:rsidRDefault="0045496E" w:rsidP="0045496E">
      <w:pPr>
        <w:pStyle w:val="tMain"/>
      </w:pPr>
      <w:r w:rsidRPr="004952C0">
        <w:tab/>
      </w:r>
      <w:r w:rsidRPr="004952C0">
        <w:tab/>
      </w:r>
      <m:oMath>
        <m:sSub>
          <m:sSubPr>
            <m:ctrlPr>
              <w:rPr>
                <w:rFonts w:ascii="Cambria Math" w:hAnsi="Cambria Math"/>
              </w:rPr>
            </m:ctrlPr>
          </m:sSubPr>
          <m:e>
            <m:r>
              <w:rPr>
                <w:rFonts w:ascii="Cambria Math" w:hAnsi="Cambria Math"/>
              </w:rPr>
              <m:t>C</m:t>
            </m:r>
          </m:e>
          <m:sub>
            <m:r>
              <w:rPr>
                <w:rFonts w:ascii="Cambria Math" w:hAnsi="Cambria Math"/>
              </w:rPr>
              <m:t>C</m:t>
            </m:r>
            <m:r>
              <m:rPr>
                <m:sty m:val="p"/>
              </m:rPr>
              <w:rPr>
                <w:rFonts w:ascii="Cambria Math" w:hAnsi="Cambria Math"/>
              </w:rPr>
              <m:t>,</m:t>
            </m:r>
            <m:r>
              <w:rPr>
                <w:rFonts w:ascii="Cambria Math" w:hAnsi="Cambria Math"/>
              </w:rPr>
              <m:t>i</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a</m:t>
                </m:r>
              </m:e>
              <m:sub>
                <m:r>
                  <w:rPr>
                    <w:rFonts w:ascii="Cambria Math" w:hAnsi="Cambria Math"/>
                  </w:rPr>
                  <m:t>i</m:t>
                </m:r>
              </m:sub>
            </m:sSub>
            <m:r>
              <m:rPr>
                <m:sty m:val="p"/>
              </m:rPr>
              <w:rPr>
                <w:rFonts w:ascii="Cambria Math" w:hAnsi="Cambria Math" w:hint="eastAsia"/>
              </w:rPr>
              <m:t>×</m:t>
            </m:r>
            <m:r>
              <m:rPr>
                <m:nor/>
              </m:rPr>
              <w:rPr>
                <w:rFonts w:ascii="Cambria Math" w:hAnsi="Cambria Math"/>
              </w:rPr>
              <m:t>ln</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E,i</m:t>
                    </m:r>
                  </m:sub>
                </m:sSub>
              </m:e>
            </m:d>
            <m:r>
              <m:rPr>
                <m:sty m:val="p"/>
              </m:rP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e>
        </m:d>
      </m:oMath>
    </w:p>
    <w:p w:rsidR="0045496E" w:rsidRPr="004952C0" w:rsidRDefault="0045496E" w:rsidP="0045496E">
      <w:pPr>
        <w:pStyle w:val="tMain"/>
      </w:pPr>
      <w:r w:rsidRPr="004952C0">
        <w:tab/>
      </w:r>
      <w:r w:rsidR="00FE4F8F" w:rsidRPr="004952C0">
        <w:t>(3)</w:t>
      </w:r>
      <w:r w:rsidRPr="004952C0">
        <w:tab/>
        <w:t xml:space="preserve">For this section, for the </w:t>
      </w:r>
      <w:proofErr w:type="spellStart"/>
      <w:r w:rsidRPr="004952C0">
        <w:rPr>
          <w:i/>
        </w:rPr>
        <w:t>i</w:t>
      </w:r>
      <w:r w:rsidRPr="004952C0">
        <w:rPr>
          <w:vertAlign w:val="superscript"/>
        </w:rPr>
        <w:t>th</w:t>
      </w:r>
      <w:proofErr w:type="spellEnd"/>
      <w:r w:rsidRPr="004952C0">
        <w:t xml:space="preserve"> installed HE </w:t>
      </w:r>
      <w:proofErr w:type="gramStart"/>
      <w:r w:rsidRPr="004952C0">
        <w:t>fan</w:t>
      </w:r>
      <w:proofErr w:type="gramEnd"/>
      <w:r w:rsidRPr="004952C0">
        <w:t>:</w:t>
      </w:r>
    </w:p>
    <w:p w:rsidR="0045496E" w:rsidRPr="004952C0" w:rsidRDefault="0045496E" w:rsidP="0045496E">
      <w:pPr>
        <w:pStyle w:val="tDefn"/>
      </w:pPr>
      <w:proofErr w:type="spellStart"/>
      <w:proofErr w:type="gramStart"/>
      <w:r w:rsidRPr="004952C0">
        <w:rPr>
          <w:b/>
          <w:i/>
        </w:rPr>
        <w:t>a</w:t>
      </w:r>
      <w:r w:rsidRPr="004952C0">
        <w:rPr>
          <w:b/>
          <w:i/>
          <w:vertAlign w:val="subscript"/>
        </w:rPr>
        <w:t>i</w:t>
      </w:r>
      <w:proofErr w:type="spellEnd"/>
      <w:proofErr w:type="gramEnd"/>
      <w:r w:rsidRPr="004952C0">
        <w:t xml:space="preserve"> is a regression coefficient, and is:</w:t>
      </w:r>
    </w:p>
    <w:p w:rsidR="0045496E" w:rsidRPr="004952C0" w:rsidRDefault="0045496E" w:rsidP="0045496E">
      <w:pPr>
        <w:pStyle w:val="tPara"/>
      </w:pPr>
      <w:r w:rsidRPr="004952C0">
        <w:tab/>
        <w:t>(a)</w:t>
      </w:r>
      <w:r w:rsidRPr="004952C0">
        <w:tab/>
      </w:r>
      <w:proofErr w:type="gramStart"/>
      <w:r w:rsidRPr="004952C0">
        <w:t>if</w:t>
      </w:r>
      <w:proofErr w:type="gramEnd"/>
      <w:r w:rsidRPr="004952C0">
        <w:t xml:space="preserve"> the motor input power (</w:t>
      </w:r>
      <w:proofErr w:type="spellStart"/>
      <w:r w:rsidRPr="004952C0">
        <w:rPr>
          <w:i/>
        </w:rPr>
        <w:t>P</w:t>
      </w:r>
      <w:r w:rsidRPr="004952C0">
        <w:rPr>
          <w:i/>
          <w:vertAlign w:val="subscript"/>
        </w:rPr>
        <w:t>E,i</w:t>
      </w:r>
      <w:proofErr w:type="spellEnd"/>
      <w:r w:rsidRPr="004952C0">
        <w:t>) of the fan is less than 5 kilowatts—0.030; and</w:t>
      </w:r>
    </w:p>
    <w:p w:rsidR="0045496E" w:rsidRPr="004952C0" w:rsidRDefault="0045496E" w:rsidP="0045496E">
      <w:pPr>
        <w:pStyle w:val="tPara"/>
      </w:pPr>
      <w:r w:rsidRPr="004952C0">
        <w:tab/>
        <w:t>(b)</w:t>
      </w:r>
      <w:r w:rsidRPr="004952C0">
        <w:tab/>
      </w:r>
      <w:proofErr w:type="gramStart"/>
      <w:r w:rsidRPr="004952C0">
        <w:t>otherwise—</w:t>
      </w:r>
      <w:proofErr w:type="gramEnd"/>
      <w:r w:rsidRPr="004952C0">
        <w:t xml:space="preserve">0. </w:t>
      </w:r>
    </w:p>
    <w:p w:rsidR="000C5B26" w:rsidRPr="004952C0" w:rsidRDefault="000C5B26" w:rsidP="000C5B26">
      <w:pPr>
        <w:pStyle w:val="tDefn"/>
      </w:pPr>
      <w:proofErr w:type="spellStart"/>
      <w:proofErr w:type="gramStart"/>
      <w:r w:rsidRPr="004952C0">
        <w:rPr>
          <w:b/>
          <w:i/>
        </w:rPr>
        <w:t>ln</w:t>
      </w:r>
      <w:proofErr w:type="spellEnd"/>
      <w:r w:rsidRPr="004952C0">
        <w:rPr>
          <w:b/>
          <w:i/>
        </w:rPr>
        <w:t>(</w:t>
      </w:r>
      <w:proofErr w:type="spellStart"/>
      <w:proofErr w:type="gramEnd"/>
      <w:r w:rsidRPr="004952C0">
        <w:rPr>
          <w:b/>
          <w:i/>
        </w:rPr>
        <w:t>P</w:t>
      </w:r>
      <w:r w:rsidRPr="004952C0">
        <w:rPr>
          <w:b/>
          <w:i/>
          <w:vertAlign w:val="subscript"/>
        </w:rPr>
        <w:t>E,i</w:t>
      </w:r>
      <w:proofErr w:type="spellEnd"/>
      <w:r w:rsidRPr="004952C0">
        <w:rPr>
          <w:b/>
          <w:i/>
          <w:vertAlign w:val="subscript"/>
        </w:rPr>
        <w:softHyphen/>
      </w:r>
      <w:r w:rsidRPr="004952C0">
        <w:rPr>
          <w:b/>
          <w:i/>
        </w:rPr>
        <w:t>)</w:t>
      </w:r>
      <w:r w:rsidRPr="004952C0">
        <w:t xml:space="preserve"> is the natural log of the motor input power (</w:t>
      </w:r>
      <w:proofErr w:type="spellStart"/>
      <w:r w:rsidRPr="004952C0">
        <w:rPr>
          <w:i/>
        </w:rPr>
        <w:t>P</w:t>
      </w:r>
      <w:r w:rsidRPr="004952C0">
        <w:rPr>
          <w:i/>
          <w:vertAlign w:val="subscript"/>
        </w:rPr>
        <w:t>E,i</w:t>
      </w:r>
      <w:proofErr w:type="spellEnd"/>
      <w:r w:rsidRPr="004952C0">
        <w:t xml:space="preserve">), in kilowatts, of the fan, where </w:t>
      </w:r>
      <w:proofErr w:type="spellStart"/>
      <w:r w:rsidRPr="004952C0">
        <w:rPr>
          <w:i/>
        </w:rPr>
        <w:t>P</w:t>
      </w:r>
      <w:r w:rsidRPr="004952C0">
        <w:rPr>
          <w:i/>
          <w:vertAlign w:val="subscript"/>
        </w:rPr>
        <w:t>E,i</w:t>
      </w:r>
      <w:proofErr w:type="spellEnd"/>
      <w:r w:rsidRPr="004952C0">
        <w:t xml:space="preserve"> has the same meaning as in section 27.</w:t>
      </w:r>
    </w:p>
    <w:p w:rsidR="00110E27" w:rsidRPr="004952C0" w:rsidRDefault="00110E27" w:rsidP="00110E27">
      <w:pPr>
        <w:pStyle w:val="tDefn"/>
      </w:pPr>
      <w:proofErr w:type="gramStart"/>
      <w:r w:rsidRPr="004952C0">
        <w:rPr>
          <w:b/>
          <w:i/>
        </w:rPr>
        <w:lastRenderedPageBreak/>
        <w:t>b</w:t>
      </w:r>
      <w:r w:rsidRPr="004952C0">
        <w:rPr>
          <w:b/>
          <w:i/>
          <w:vertAlign w:val="subscript"/>
        </w:rPr>
        <w:t>i</w:t>
      </w:r>
      <w:proofErr w:type="gramEnd"/>
      <w:r w:rsidRPr="004952C0">
        <w:t xml:space="preserve"> is a regression constant, and is:</w:t>
      </w:r>
    </w:p>
    <w:p w:rsidR="00110E27" w:rsidRPr="004952C0" w:rsidRDefault="00110E27" w:rsidP="00110E27">
      <w:pPr>
        <w:pStyle w:val="tPara"/>
      </w:pPr>
      <w:r w:rsidRPr="004952C0">
        <w:tab/>
        <w:t>(a)</w:t>
      </w:r>
      <w:r w:rsidRPr="004952C0">
        <w:tab/>
      </w:r>
      <w:proofErr w:type="gramStart"/>
      <w:r w:rsidRPr="004952C0">
        <w:t>if</w:t>
      </w:r>
      <w:proofErr w:type="gramEnd"/>
      <w:r w:rsidRPr="004952C0">
        <w:t xml:space="preserve"> the motor input power (</w:t>
      </w:r>
      <w:proofErr w:type="spellStart"/>
      <w:r w:rsidRPr="004952C0">
        <w:rPr>
          <w:i/>
        </w:rPr>
        <w:t>P</w:t>
      </w:r>
      <w:r w:rsidRPr="004952C0">
        <w:rPr>
          <w:i/>
          <w:vertAlign w:val="subscript"/>
        </w:rPr>
        <w:t>E,i</w:t>
      </w:r>
      <w:proofErr w:type="spellEnd"/>
      <w:r w:rsidRPr="004952C0">
        <w:t>) of the fan is less than 5 kilowatts—1.088; and</w:t>
      </w:r>
    </w:p>
    <w:p w:rsidR="00110E27" w:rsidRPr="004952C0" w:rsidRDefault="00110E27" w:rsidP="00110E27">
      <w:pPr>
        <w:pStyle w:val="tPara"/>
      </w:pPr>
      <w:r w:rsidRPr="004952C0">
        <w:tab/>
        <w:t>(b)</w:t>
      </w:r>
      <w:r w:rsidRPr="004952C0">
        <w:tab/>
      </w:r>
      <w:proofErr w:type="gramStart"/>
      <w:r w:rsidRPr="004952C0">
        <w:t>otherwise—</w:t>
      </w:r>
      <w:proofErr w:type="gramEnd"/>
      <w:r w:rsidRPr="004952C0">
        <w:t>1.04.</w:t>
      </w:r>
    </w:p>
    <w:p w:rsidR="0045496E" w:rsidRPr="004952C0" w:rsidRDefault="00FE4F8F" w:rsidP="0045496E">
      <w:pPr>
        <w:pStyle w:val="h3Div"/>
      </w:pPr>
      <w:bookmarkStart w:id="86" w:name="_Toc431466292"/>
      <w:r w:rsidRPr="004952C0">
        <w:t>Division 4</w:t>
      </w:r>
      <w:r w:rsidR="0045496E" w:rsidRPr="004952C0">
        <w:t>—Calculating net abatement from installed SM fans</w:t>
      </w:r>
      <w:bookmarkEnd w:id="86"/>
    </w:p>
    <w:p w:rsidR="0045496E" w:rsidRPr="004952C0" w:rsidRDefault="00FE4F8F" w:rsidP="0045496E">
      <w:pPr>
        <w:pStyle w:val="h5Section"/>
      </w:pPr>
      <w:bookmarkStart w:id="87" w:name="_Toc420592128"/>
      <w:bookmarkStart w:id="88" w:name="_Toc431466293"/>
      <w:proofErr w:type="gramStart"/>
      <w:r w:rsidRPr="004952C0">
        <w:t>33</w:t>
      </w:r>
      <w:r w:rsidR="0045496E" w:rsidRPr="004952C0">
        <w:t xml:space="preserve">  Summary</w:t>
      </w:r>
      <w:bookmarkEnd w:id="87"/>
      <w:proofErr w:type="gramEnd"/>
      <w:r w:rsidR="0045496E" w:rsidRPr="004952C0">
        <w:t xml:space="preserve"> of this Division</w:t>
      </w:r>
      <w:bookmarkEnd w:id="88"/>
    </w:p>
    <w:p w:rsidR="0045496E" w:rsidRPr="004952C0" w:rsidRDefault="0045496E" w:rsidP="0045496E">
      <w:pPr>
        <w:pStyle w:val="SOText"/>
      </w:pPr>
      <w:r w:rsidRPr="004952C0">
        <w:t>The net abatement for each reporting period from all installed SM fans is the sum of the abatement amounts during the reporting period from each such fan.</w:t>
      </w:r>
    </w:p>
    <w:p w:rsidR="0045496E" w:rsidRPr="004952C0" w:rsidRDefault="00FE4F8F" w:rsidP="0045496E">
      <w:pPr>
        <w:pStyle w:val="h5Section"/>
      </w:pPr>
      <w:bookmarkStart w:id="89" w:name="_Toc420592129"/>
      <w:bookmarkStart w:id="90" w:name="_Toc431466294"/>
      <w:proofErr w:type="gramStart"/>
      <w:r w:rsidRPr="004952C0">
        <w:t>34</w:t>
      </w:r>
      <w:r w:rsidR="0045496E" w:rsidRPr="004952C0">
        <w:t xml:space="preserve">  Equation</w:t>
      </w:r>
      <w:proofErr w:type="gramEnd"/>
      <w:r w:rsidR="0045496E" w:rsidRPr="004952C0">
        <w:t xml:space="preserve"> 10—net abatement from installed SM fans (</w:t>
      </w:r>
      <w:r w:rsidR="0045496E" w:rsidRPr="004952C0">
        <w:rPr>
          <w:i/>
        </w:rPr>
        <w:t>A</w:t>
      </w:r>
      <w:r w:rsidR="0045496E" w:rsidRPr="004952C0">
        <w:rPr>
          <w:i/>
          <w:vertAlign w:val="subscript"/>
        </w:rPr>
        <w:t>SM</w:t>
      </w:r>
      <w:r w:rsidR="0045496E" w:rsidRPr="004952C0">
        <w:t>)</w:t>
      </w:r>
      <w:bookmarkEnd w:id="89"/>
      <w:bookmarkEnd w:id="90"/>
    </w:p>
    <w:p w:rsidR="0045496E" w:rsidRPr="004952C0" w:rsidRDefault="0045496E" w:rsidP="0045496E">
      <w:pPr>
        <w:pStyle w:val="tMain"/>
      </w:pPr>
      <w:r w:rsidRPr="004952C0">
        <w:tab/>
      </w:r>
      <w:r w:rsidRPr="004952C0">
        <w:tab/>
        <w:t xml:space="preserve">For equation 1, </w:t>
      </w:r>
      <w:r w:rsidRPr="004952C0">
        <w:rPr>
          <w:i/>
        </w:rPr>
        <w:t>A</w:t>
      </w:r>
      <w:r w:rsidRPr="004952C0">
        <w:rPr>
          <w:i/>
          <w:vertAlign w:val="subscript"/>
        </w:rPr>
        <w:t>SM</w:t>
      </w:r>
      <w:r w:rsidRPr="004952C0">
        <w:t xml:space="preserve"> is worked out using the equation (</w:t>
      </w:r>
      <w:r w:rsidRPr="004952C0">
        <w:rPr>
          <w:b/>
          <w:i/>
        </w:rPr>
        <w:t>equation 10</w:t>
      </w:r>
      <w:r w:rsidRPr="004952C0">
        <w:t>):</w:t>
      </w:r>
    </w:p>
    <w:p w:rsidR="0045496E" w:rsidRPr="004952C0" w:rsidRDefault="004F3B1F" w:rsidP="0045496E">
      <w:pPr>
        <w:pStyle w:val="tMain"/>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SM</m:t>
              </m:r>
            </m:sub>
          </m:sSub>
          <m:r>
            <w:rPr>
              <w:rFonts w:ascii="Cambria Math" w:hAnsi="Cambria Math"/>
            </w:rPr>
            <m:t xml:space="preserve"> =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SM,i</m:t>
                  </m:r>
                </m:sub>
              </m:sSub>
            </m:e>
          </m:nary>
        </m:oMath>
      </m:oMathPara>
    </w:p>
    <w:p w:rsidR="0045496E" w:rsidRPr="004952C0" w:rsidRDefault="0045496E" w:rsidP="0045496E">
      <w:pPr>
        <w:pStyle w:val="tMain"/>
      </w:pPr>
      <w:r w:rsidRPr="004952C0">
        <w:tab/>
      </w:r>
      <w:r w:rsidRPr="004952C0">
        <w:tab/>
      </w:r>
      <w:proofErr w:type="gramStart"/>
      <w:r w:rsidRPr="004952C0">
        <w:t>where</w:t>
      </w:r>
      <w:proofErr w:type="gramEnd"/>
      <w:r w:rsidRPr="004952C0">
        <w:t>:</w:t>
      </w:r>
    </w:p>
    <w:p w:rsidR="0045496E" w:rsidRPr="004952C0" w:rsidRDefault="0045496E" w:rsidP="0045496E">
      <w:pPr>
        <w:pStyle w:val="tDefn"/>
      </w:pPr>
      <w:proofErr w:type="spellStart"/>
      <w:r w:rsidRPr="004952C0">
        <w:rPr>
          <w:b/>
          <w:i/>
        </w:rPr>
        <w:t>A</w:t>
      </w:r>
      <w:r w:rsidRPr="004952C0">
        <w:rPr>
          <w:b/>
          <w:i/>
          <w:vertAlign w:val="subscript"/>
        </w:rPr>
        <w:t>SM</w:t>
      </w:r>
      <w:proofErr w:type="gramStart"/>
      <w:r w:rsidRPr="004952C0">
        <w:rPr>
          <w:b/>
          <w:i/>
          <w:vertAlign w:val="subscript"/>
        </w:rPr>
        <w:t>,i</w:t>
      </w:r>
      <w:proofErr w:type="spellEnd"/>
      <w:proofErr w:type="gramEnd"/>
      <w:r w:rsidRPr="004952C0">
        <w:t xml:space="preserve"> is the abatement amount for the reporting period from the </w:t>
      </w:r>
      <w:proofErr w:type="spellStart"/>
      <w:r w:rsidRPr="004952C0">
        <w:rPr>
          <w:i/>
        </w:rPr>
        <w:t>i</w:t>
      </w:r>
      <w:r w:rsidRPr="004952C0">
        <w:rPr>
          <w:vertAlign w:val="superscript"/>
        </w:rPr>
        <w:t>th</w:t>
      </w:r>
      <w:proofErr w:type="spellEnd"/>
      <w:r w:rsidRPr="004952C0">
        <w:t xml:space="preserve"> installed SM fan, calculated using equation 11 (section </w:t>
      </w:r>
      <w:r w:rsidR="00934AC6" w:rsidRPr="004952C0">
        <w:t>35</w:t>
      </w:r>
      <w:r w:rsidRPr="004952C0">
        <w:t>).</w:t>
      </w:r>
    </w:p>
    <w:p w:rsidR="0045496E" w:rsidRPr="004952C0" w:rsidRDefault="0045496E" w:rsidP="0045496E">
      <w:pPr>
        <w:pStyle w:val="tDefn"/>
      </w:pPr>
      <w:proofErr w:type="gramStart"/>
      <w:r w:rsidRPr="004952C0">
        <w:rPr>
          <w:b/>
          <w:i/>
        </w:rPr>
        <w:t>n</w:t>
      </w:r>
      <w:proofErr w:type="gramEnd"/>
      <w:r w:rsidRPr="004952C0">
        <w:rPr>
          <w:b/>
          <w:i/>
        </w:rPr>
        <w:t xml:space="preserve"> </w:t>
      </w:r>
      <w:r w:rsidRPr="004952C0">
        <w:t>is the number of installed SM fans over which abatement is calculated for the reporting period.</w:t>
      </w:r>
    </w:p>
    <w:p w:rsidR="0045496E" w:rsidRPr="004952C0" w:rsidRDefault="0045496E" w:rsidP="0045496E">
      <w:pPr>
        <w:pStyle w:val="nMain"/>
      </w:pPr>
      <w:r w:rsidRPr="004952C0">
        <w:t>Note:</w:t>
      </w:r>
      <w:r w:rsidRPr="004952C0">
        <w:tab/>
        <w:t>See section </w:t>
      </w:r>
      <w:r w:rsidR="00934AC6" w:rsidRPr="004952C0">
        <w:t>22</w:t>
      </w:r>
      <w:r w:rsidRPr="004952C0">
        <w:t xml:space="preserve"> for fans to be used in the calculations.</w:t>
      </w:r>
    </w:p>
    <w:p w:rsidR="0045496E" w:rsidRPr="004952C0" w:rsidRDefault="00FE4F8F" w:rsidP="0045496E">
      <w:pPr>
        <w:pStyle w:val="h5Section"/>
      </w:pPr>
      <w:bookmarkStart w:id="91" w:name="_Toc420592130"/>
      <w:bookmarkStart w:id="92" w:name="_Toc431466295"/>
      <w:proofErr w:type="gramStart"/>
      <w:r w:rsidRPr="004952C0">
        <w:t>35</w:t>
      </w:r>
      <w:r w:rsidR="0045496E" w:rsidRPr="004952C0">
        <w:t xml:space="preserve">  Equation</w:t>
      </w:r>
      <w:proofErr w:type="gramEnd"/>
      <w:r w:rsidR="0045496E" w:rsidRPr="004952C0">
        <w:t xml:space="preserve"> 11—abatement amount from each installed SM fan (</w:t>
      </w:r>
      <w:proofErr w:type="spellStart"/>
      <w:r w:rsidR="0045496E" w:rsidRPr="004952C0">
        <w:rPr>
          <w:i/>
        </w:rPr>
        <w:t>A</w:t>
      </w:r>
      <w:r w:rsidR="0045496E" w:rsidRPr="004952C0">
        <w:rPr>
          <w:i/>
          <w:vertAlign w:val="subscript"/>
        </w:rPr>
        <w:t>SM,i</w:t>
      </w:r>
      <w:proofErr w:type="spellEnd"/>
      <w:r w:rsidR="0045496E" w:rsidRPr="004952C0">
        <w:t>)</w:t>
      </w:r>
      <w:bookmarkEnd w:id="91"/>
      <w:bookmarkEnd w:id="92"/>
    </w:p>
    <w:p w:rsidR="0045496E" w:rsidRPr="004952C0" w:rsidRDefault="0045496E" w:rsidP="0045496E">
      <w:pPr>
        <w:pStyle w:val="tMain"/>
      </w:pPr>
      <w:r w:rsidRPr="004952C0">
        <w:tab/>
      </w:r>
      <w:r w:rsidRPr="004952C0">
        <w:tab/>
        <w:t xml:space="preserve">For equation 10, </w:t>
      </w:r>
      <w:proofErr w:type="spellStart"/>
      <w:r w:rsidRPr="004952C0">
        <w:rPr>
          <w:i/>
        </w:rPr>
        <w:t>A</w:t>
      </w:r>
      <w:r w:rsidRPr="004952C0">
        <w:rPr>
          <w:i/>
          <w:vertAlign w:val="subscript"/>
        </w:rPr>
        <w:t>SM</w:t>
      </w:r>
      <w:proofErr w:type="gramStart"/>
      <w:r w:rsidRPr="004952C0">
        <w:rPr>
          <w:i/>
          <w:vertAlign w:val="subscript"/>
        </w:rPr>
        <w:t>,i</w:t>
      </w:r>
      <w:proofErr w:type="spellEnd"/>
      <w:proofErr w:type="gramEnd"/>
      <w:r w:rsidRPr="004952C0">
        <w:t xml:space="preserve"> is worked out using the equation (</w:t>
      </w:r>
      <w:r w:rsidRPr="004952C0">
        <w:rPr>
          <w:b/>
          <w:i/>
        </w:rPr>
        <w:t>equation 11</w:t>
      </w:r>
      <w:r w:rsidRPr="004952C0">
        <w:t>):</w:t>
      </w:r>
    </w:p>
    <w:p w:rsidR="0045496E" w:rsidRPr="004952C0" w:rsidRDefault="004F3B1F" w:rsidP="0045496E">
      <w:pPr>
        <w:pStyle w:val="tMain"/>
        <w:rPr>
          <w:szCs w:val="22"/>
        </w:rPr>
      </w:pPr>
      <m:oMathPara>
        <m:oMathParaPr>
          <m:jc m:val="left"/>
        </m:oMathParaPr>
        <m:oMath>
          <m:sSub>
            <m:sSubPr>
              <m:ctrlPr>
                <w:rPr>
                  <w:rFonts w:ascii="Cambria Math" w:hAnsi="Cambria Math"/>
                  <w:i/>
                  <w:szCs w:val="22"/>
                </w:rPr>
              </m:ctrlPr>
            </m:sSubPr>
            <m:e>
              <m:r>
                <w:rPr>
                  <w:rFonts w:ascii="Cambria Math" w:hAnsi="Cambria Math"/>
                  <w:szCs w:val="22"/>
                </w:rPr>
                <m:t>A</m:t>
              </m:r>
            </m:e>
            <m:sub>
              <m:r>
                <w:rPr>
                  <w:rFonts w:ascii="Cambria Math" w:hAnsi="Cambria Math"/>
                  <w:szCs w:val="22"/>
                </w:rPr>
                <m:t>SM,i</m:t>
              </m:r>
            </m:sub>
          </m:sSub>
          <m:r>
            <w:rPr>
              <w:rFonts w:ascii="Cambria Math" w:hAnsi="Cambria Math"/>
              <w:szCs w:val="22"/>
            </w:rPr>
            <m:t xml:space="preserve"> =</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P</m:t>
                  </m:r>
                </m:e>
                <m:sub>
                  <m:r>
                    <w:rPr>
                      <w:rFonts w:ascii="Cambria Math" w:hAnsi="Cambria Math"/>
                      <w:szCs w:val="22"/>
                    </w:rPr>
                    <m:t>E,i</m:t>
                  </m:r>
                </m:sub>
              </m:sSub>
              <m:r>
                <w:rPr>
                  <w:rFonts w:ascii="Cambria Math" w:hAnsi="Cambria Math"/>
                  <w:szCs w:val="22"/>
                </w:rPr>
                <m:t>×</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a</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CP</m:t>
                      </m:r>
                    </m:e>
                    <m:sub>
                      <m:r>
                        <w:rPr>
                          <w:rFonts w:ascii="Cambria Math" w:hAnsi="Cambria Math"/>
                          <w:szCs w:val="22"/>
                        </w:rPr>
                        <m:t>i</m:t>
                      </m:r>
                    </m:sub>
                  </m:sSub>
                </m:e>
              </m:d>
              <m:r>
                <w:rPr>
                  <w:rFonts w:ascii="Cambria Math" w:hAnsi="Cambria Math"/>
                  <w:szCs w:val="22"/>
                </w:rPr>
                <m:t>+</m:t>
              </m:r>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e>
          </m:d>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CF</m:t>
              </m:r>
            </m:e>
            <m:sub>
              <m:r>
                <w:rPr>
                  <w:rFonts w:ascii="Cambria Math" w:hAnsi="Cambria Math"/>
                  <w:szCs w:val="22"/>
                </w:rPr>
                <m:t>i</m:t>
              </m:r>
            </m:sub>
          </m:sSub>
          <m:r>
            <w:rPr>
              <w:rFonts w:ascii="Cambria Math" w:hAnsi="Cambria Math"/>
              <w:szCs w:val="22"/>
            </w:rPr>
            <m:t>×</m:t>
          </m:r>
          <w:bookmarkStart w:id="93" w:name="OLE_LINK1"/>
          <w:bookmarkStart w:id="94" w:name="OLE_LINK2"/>
          <m:d>
            <m:dPr>
              <m:ctrlPr>
                <w:rPr>
                  <w:rFonts w:ascii="Cambria Math" w:hAnsi="Cambria Math"/>
                  <w:i/>
                  <w:szCs w:val="22"/>
                </w:rPr>
              </m:ctrlPr>
            </m:dPr>
            <m:e>
              <m:r>
                <w:rPr>
                  <w:rFonts w:ascii="Cambria Math" w:hAnsi="Cambria Math"/>
                  <w:szCs w:val="22"/>
                </w:rPr>
                <m:t>1+</m:t>
              </m:r>
              <m:sSub>
                <m:sSubPr>
                  <m:ctrlPr>
                    <w:rPr>
                      <w:rFonts w:ascii="Cambria Math" w:hAnsi="Cambria Math"/>
                      <w:i/>
                      <w:szCs w:val="22"/>
                    </w:rPr>
                  </m:ctrlPr>
                </m:sSubPr>
                <m:e>
                  <m:r>
                    <w:rPr>
                      <w:rFonts w:ascii="Cambria Math" w:hAnsi="Cambria Math"/>
                      <w:szCs w:val="22"/>
                    </w:rPr>
                    <m:t>H</m:t>
                  </m:r>
                </m:e>
                <m:sub>
                  <m:r>
                    <w:rPr>
                      <w:rFonts w:ascii="Cambria Math" w:hAnsi="Cambria Math"/>
                      <w:szCs w:val="22"/>
                    </w:rPr>
                    <m:t>i</m:t>
                  </m:r>
                </m:sub>
              </m:sSub>
            </m:e>
          </m:d>
          <w:bookmarkEnd w:id="93"/>
          <w:bookmarkEnd w:id="94"/>
          <m:r>
            <w:rPr>
              <w:rFonts w:ascii="Cambria Math" w:hAnsi="Cambria Math"/>
              <w:szCs w:val="22"/>
            </w:rPr>
            <m:t>×</m:t>
          </m:r>
          <m:sSub>
            <m:sSubPr>
              <m:ctrlPr>
                <w:rPr>
                  <w:rFonts w:ascii="Cambria Math" w:hAnsi="Cambria Math"/>
                  <w:i/>
                  <w:szCs w:val="22"/>
                </w:rPr>
              </m:ctrlPr>
            </m:sSubPr>
            <m:e>
              <m:r>
                <w:rPr>
                  <w:rFonts w:ascii="Cambria Math" w:hAnsi="Cambria Math"/>
                  <w:szCs w:val="22"/>
                </w:rPr>
                <m:t>EF</m:t>
              </m:r>
            </m:e>
            <m:sub>
              <m:r>
                <w:rPr>
                  <w:rFonts w:ascii="Cambria Math" w:hAnsi="Cambria Math"/>
                  <w:szCs w:val="22"/>
                </w:rPr>
                <m:t>Elec,i</m:t>
              </m:r>
            </m:sub>
          </m:sSub>
          <m:r>
            <w:rPr>
              <w:rFonts w:ascii="Cambria Math" w:hAnsi="Cambria Math"/>
              <w:szCs w:val="22"/>
            </w:rPr>
            <m:t>×0.9×24×</m:t>
          </m:r>
          <m:sSup>
            <m:sSupPr>
              <m:ctrlPr>
                <w:rPr>
                  <w:rFonts w:ascii="Cambria Math" w:hAnsi="Cambria Math"/>
                  <w:i/>
                  <w:szCs w:val="22"/>
                </w:rPr>
              </m:ctrlPr>
            </m:sSupPr>
            <m:e>
              <m:r>
                <w:rPr>
                  <w:rFonts w:ascii="Cambria Math" w:hAnsi="Cambria Math"/>
                  <w:szCs w:val="22"/>
                </w:rPr>
                <m:t>10</m:t>
              </m:r>
            </m:e>
            <m:sup>
              <m:r>
                <w:rPr>
                  <w:rFonts w:ascii="Cambria Math" w:hAnsi="Cambria Math"/>
                  <w:szCs w:val="22"/>
                </w:rPr>
                <m:t>-6</m:t>
              </m:r>
            </m:sup>
          </m:sSup>
        </m:oMath>
      </m:oMathPara>
    </w:p>
    <w:p w:rsidR="0045496E" w:rsidRPr="004952C0" w:rsidRDefault="0045496E" w:rsidP="0045496E">
      <w:pPr>
        <w:pStyle w:val="tMain"/>
      </w:pPr>
      <w:r w:rsidRPr="004952C0">
        <w:tab/>
      </w:r>
      <w:r w:rsidRPr="004952C0">
        <w:tab/>
      </w:r>
      <w:proofErr w:type="gramStart"/>
      <w:r w:rsidRPr="004952C0">
        <w:t>where</w:t>
      </w:r>
      <w:proofErr w:type="gramEnd"/>
      <w:r w:rsidRPr="004952C0">
        <w:t xml:space="preserve">, for the </w:t>
      </w:r>
      <w:proofErr w:type="spellStart"/>
      <w:r w:rsidRPr="004952C0">
        <w:rPr>
          <w:i/>
        </w:rPr>
        <w:t>i</w:t>
      </w:r>
      <w:r w:rsidRPr="004952C0">
        <w:rPr>
          <w:vertAlign w:val="superscript"/>
        </w:rPr>
        <w:t>th</w:t>
      </w:r>
      <w:proofErr w:type="spellEnd"/>
      <w:r w:rsidRPr="004952C0">
        <w:rPr>
          <w:i/>
        </w:rPr>
        <w:t xml:space="preserve"> </w:t>
      </w:r>
      <w:r w:rsidRPr="004952C0">
        <w:t>installed SM fan:</w:t>
      </w:r>
    </w:p>
    <w:p w:rsidR="0045496E" w:rsidRPr="004952C0" w:rsidRDefault="0045496E" w:rsidP="0045496E">
      <w:pPr>
        <w:pStyle w:val="tDefn"/>
      </w:pPr>
      <w:proofErr w:type="spellStart"/>
      <w:r w:rsidRPr="004952C0">
        <w:rPr>
          <w:b/>
          <w:i/>
        </w:rPr>
        <w:t>P</w:t>
      </w:r>
      <w:r w:rsidRPr="004952C0">
        <w:rPr>
          <w:b/>
          <w:i/>
          <w:vertAlign w:val="subscript"/>
        </w:rPr>
        <w:t>E</w:t>
      </w:r>
      <w:proofErr w:type="gramStart"/>
      <w:r w:rsidRPr="004952C0">
        <w:rPr>
          <w:b/>
          <w:i/>
          <w:vertAlign w:val="subscript"/>
        </w:rPr>
        <w:t>,i</w:t>
      </w:r>
      <w:proofErr w:type="spellEnd"/>
      <w:proofErr w:type="gramEnd"/>
      <w:r w:rsidRPr="004952C0">
        <w:t xml:space="preserve"> is the motor input power, in watts, and is determined in accordance with section </w:t>
      </w:r>
      <w:r w:rsidR="00934AC6" w:rsidRPr="004952C0">
        <w:t>19</w:t>
      </w:r>
      <w:r w:rsidRPr="004952C0">
        <w:t>.</w:t>
      </w:r>
    </w:p>
    <w:p w:rsidR="0045496E" w:rsidRPr="004952C0" w:rsidRDefault="0045496E" w:rsidP="0045496E">
      <w:pPr>
        <w:pStyle w:val="tDefn"/>
      </w:pPr>
      <w:proofErr w:type="spellStart"/>
      <w:proofErr w:type="gramStart"/>
      <w:r w:rsidRPr="004952C0">
        <w:rPr>
          <w:b/>
          <w:i/>
        </w:rPr>
        <w:t>a</w:t>
      </w:r>
      <w:r w:rsidRPr="004952C0">
        <w:rPr>
          <w:b/>
          <w:i/>
          <w:vertAlign w:val="subscript"/>
        </w:rPr>
        <w:t>i</w:t>
      </w:r>
      <w:proofErr w:type="spellEnd"/>
      <w:proofErr w:type="gramEnd"/>
      <w:r w:rsidRPr="004952C0">
        <w:t xml:space="preserve"> is a regression coefficient and is determined in accordance with </w:t>
      </w:r>
      <w:r w:rsidR="00934AC6" w:rsidRPr="004952C0">
        <w:rPr>
          <w:bCs/>
          <w:lang w:val="en-US"/>
        </w:rPr>
        <w:t>Schedule 6</w:t>
      </w:r>
      <w:r w:rsidRPr="004952C0">
        <w:t>.</w:t>
      </w:r>
    </w:p>
    <w:p w:rsidR="0045496E" w:rsidRPr="004952C0" w:rsidRDefault="0045496E" w:rsidP="0045496E">
      <w:pPr>
        <w:pStyle w:val="tDefn"/>
      </w:pPr>
      <w:proofErr w:type="spellStart"/>
      <w:proofErr w:type="gramStart"/>
      <w:r w:rsidRPr="004952C0">
        <w:rPr>
          <w:b/>
          <w:i/>
        </w:rPr>
        <w:t>CP</w:t>
      </w:r>
      <w:r w:rsidRPr="004952C0">
        <w:rPr>
          <w:b/>
          <w:i/>
          <w:vertAlign w:val="subscript"/>
        </w:rPr>
        <w:t>i</w:t>
      </w:r>
      <w:proofErr w:type="spellEnd"/>
      <w:proofErr w:type="gramEnd"/>
      <w:r w:rsidRPr="004952C0">
        <w:t xml:space="preserve"> is the control parameter of the fan, and is determined in accordance with </w:t>
      </w:r>
      <w:r w:rsidR="00934AC6" w:rsidRPr="004952C0">
        <w:t>Schedule 7</w:t>
      </w:r>
      <w:r w:rsidRPr="004952C0">
        <w:t>.</w:t>
      </w:r>
    </w:p>
    <w:p w:rsidR="0045496E" w:rsidRPr="004952C0" w:rsidRDefault="0045496E" w:rsidP="0045496E">
      <w:pPr>
        <w:pStyle w:val="tDefn"/>
      </w:pPr>
      <w:proofErr w:type="gramStart"/>
      <w:r w:rsidRPr="004952C0">
        <w:rPr>
          <w:b/>
          <w:i/>
        </w:rPr>
        <w:t>b</w:t>
      </w:r>
      <w:r w:rsidRPr="004952C0">
        <w:rPr>
          <w:b/>
          <w:i/>
          <w:vertAlign w:val="subscript"/>
        </w:rPr>
        <w:t>i</w:t>
      </w:r>
      <w:proofErr w:type="gramEnd"/>
      <w:r w:rsidRPr="004952C0">
        <w:t xml:space="preserve"> is a regression constant, and is and is determined in accordance with </w:t>
      </w:r>
      <w:r w:rsidR="00934AC6" w:rsidRPr="004952C0">
        <w:t>Schedule 6</w:t>
      </w:r>
      <w:r w:rsidRPr="004952C0">
        <w:t>.</w:t>
      </w:r>
    </w:p>
    <w:p w:rsidR="0045496E" w:rsidRPr="004952C0" w:rsidRDefault="0045496E" w:rsidP="0045496E">
      <w:pPr>
        <w:pStyle w:val="tDefn"/>
      </w:pPr>
      <w:proofErr w:type="spellStart"/>
      <w:proofErr w:type="gramStart"/>
      <w:r w:rsidRPr="004952C0">
        <w:rPr>
          <w:b/>
          <w:i/>
        </w:rPr>
        <w:t>t</w:t>
      </w:r>
      <w:r w:rsidRPr="004952C0">
        <w:rPr>
          <w:b/>
          <w:i/>
          <w:vertAlign w:val="subscript"/>
        </w:rPr>
        <w:t>i</w:t>
      </w:r>
      <w:proofErr w:type="spellEnd"/>
      <w:proofErr w:type="gramEnd"/>
      <w:r w:rsidRPr="004952C0">
        <w:t xml:space="preserve"> is the number of days in the reporting period for the fan after it is commissioned.</w:t>
      </w:r>
    </w:p>
    <w:p w:rsidR="0045496E" w:rsidRPr="004952C0" w:rsidRDefault="0045496E" w:rsidP="0045496E">
      <w:pPr>
        <w:pStyle w:val="tDefn"/>
      </w:pPr>
      <w:proofErr w:type="spellStart"/>
      <w:r w:rsidRPr="004952C0">
        <w:rPr>
          <w:b/>
          <w:i/>
        </w:rPr>
        <w:t>CF</w:t>
      </w:r>
      <w:r w:rsidRPr="004952C0">
        <w:rPr>
          <w:b/>
          <w:i/>
          <w:vertAlign w:val="subscript"/>
        </w:rPr>
        <w:t>i</w:t>
      </w:r>
      <w:proofErr w:type="spellEnd"/>
      <w:r w:rsidRPr="004952C0">
        <w:t xml:space="preserve"> is the capacity factor for the fan, and has the same meaning as in section </w:t>
      </w:r>
      <w:r w:rsidR="00934AC6" w:rsidRPr="004952C0">
        <w:t>27</w:t>
      </w:r>
      <w:r w:rsidRPr="004952C0">
        <w:t>.</w:t>
      </w:r>
    </w:p>
    <w:p w:rsidR="0045496E" w:rsidRPr="004952C0" w:rsidRDefault="0045496E" w:rsidP="0045496E">
      <w:pPr>
        <w:pStyle w:val="tDefn"/>
      </w:pPr>
      <w:r w:rsidRPr="004952C0">
        <w:rPr>
          <w:b/>
          <w:i/>
        </w:rPr>
        <w:t>H</w:t>
      </w:r>
      <w:r w:rsidRPr="004952C0">
        <w:rPr>
          <w:b/>
          <w:i/>
          <w:vertAlign w:val="subscript"/>
        </w:rPr>
        <w:t>i</w:t>
      </w:r>
      <w:r w:rsidRPr="004952C0">
        <w:t xml:space="preserve"> is the heat load adjustment for the fan, and has the same meaning as in section </w:t>
      </w:r>
      <w:r w:rsidR="00934AC6" w:rsidRPr="004952C0">
        <w:t>27</w:t>
      </w:r>
      <w:r w:rsidRPr="004952C0">
        <w:t>.</w:t>
      </w:r>
    </w:p>
    <w:p w:rsidR="0045496E" w:rsidRPr="004952C0" w:rsidRDefault="0045496E" w:rsidP="0045496E">
      <w:pPr>
        <w:pStyle w:val="tDefn"/>
      </w:pPr>
      <w:proofErr w:type="spellStart"/>
      <w:r w:rsidRPr="004952C0">
        <w:rPr>
          <w:b/>
          <w:i/>
        </w:rPr>
        <w:t>EF</w:t>
      </w:r>
      <w:r w:rsidRPr="004952C0">
        <w:rPr>
          <w:b/>
          <w:i/>
          <w:vertAlign w:val="subscript"/>
        </w:rPr>
        <w:t>Elec</w:t>
      </w:r>
      <w:proofErr w:type="gramStart"/>
      <w:r w:rsidRPr="004952C0">
        <w:rPr>
          <w:b/>
          <w:i/>
          <w:vertAlign w:val="subscript"/>
        </w:rPr>
        <w:t>,i</w:t>
      </w:r>
      <w:proofErr w:type="spellEnd"/>
      <w:proofErr w:type="gramEnd"/>
      <w:r w:rsidRPr="004952C0">
        <w:t xml:space="preserve"> is the emissions factor for electricity, and has the same meaning as in section </w:t>
      </w:r>
      <w:r w:rsidR="00934AC6" w:rsidRPr="004952C0">
        <w:t>27</w:t>
      </w:r>
      <w:r w:rsidRPr="004952C0">
        <w:t>.</w:t>
      </w:r>
    </w:p>
    <w:p w:rsidR="0045496E" w:rsidRPr="004952C0" w:rsidRDefault="0045496E" w:rsidP="0045496E">
      <w:pPr>
        <w:pStyle w:val="nMain"/>
      </w:pPr>
      <w:r w:rsidRPr="004952C0">
        <w:t>Note:</w:t>
      </w:r>
      <w:r w:rsidRPr="004952C0">
        <w:tab/>
        <w:t>The factor 0.9, in equation 11, is a fan mismatch factor that accounts for the loss of efficiency due to mismatch of the components of the fan, after modification or replacement, with other components of the refrigeration or ventilation system.</w:t>
      </w:r>
    </w:p>
    <w:p w:rsidR="0045496E" w:rsidRPr="004952C0" w:rsidRDefault="00FE4F8F" w:rsidP="0045496E">
      <w:pPr>
        <w:pStyle w:val="h2Part"/>
      </w:pPr>
      <w:bookmarkStart w:id="95" w:name="_Toc420592132"/>
      <w:bookmarkStart w:id="96" w:name="_Toc431466296"/>
      <w:r w:rsidRPr="004952C0">
        <w:lastRenderedPageBreak/>
        <w:t>Part 5</w:t>
      </w:r>
      <w:r w:rsidR="0045496E" w:rsidRPr="004952C0">
        <w:t>—Reporting, notification and record-keeping requirements</w:t>
      </w:r>
      <w:bookmarkEnd w:id="95"/>
      <w:bookmarkEnd w:id="96"/>
    </w:p>
    <w:p w:rsidR="0045496E" w:rsidRPr="004952C0" w:rsidRDefault="0045496E" w:rsidP="0045496E">
      <w:pPr>
        <w:pStyle w:val="ntoHeading"/>
      </w:pPr>
      <w:r w:rsidRPr="004952C0">
        <w:t>Note</w:t>
      </w:r>
      <w:r w:rsidRPr="004952C0">
        <w:tab/>
        <w:t>Other reporting, notification, record-keeping, and monitoring requirements are set out in regulations and rules made under the Act.</w:t>
      </w:r>
    </w:p>
    <w:p w:rsidR="0045496E" w:rsidRPr="004952C0" w:rsidRDefault="00FE4F8F" w:rsidP="0045496E">
      <w:pPr>
        <w:pStyle w:val="h3Div"/>
      </w:pPr>
      <w:bookmarkStart w:id="97" w:name="_Toc420592133"/>
      <w:bookmarkStart w:id="98" w:name="_Toc431466297"/>
      <w:r w:rsidRPr="004952C0">
        <w:t>Division 1</w:t>
      </w:r>
      <w:r w:rsidR="0045496E" w:rsidRPr="004952C0">
        <w:t>—Offsets report requirements</w:t>
      </w:r>
      <w:bookmarkEnd w:id="97"/>
      <w:bookmarkEnd w:id="98"/>
    </w:p>
    <w:p w:rsidR="0045496E" w:rsidRPr="004952C0" w:rsidRDefault="00FE4F8F" w:rsidP="0045496E">
      <w:pPr>
        <w:pStyle w:val="h5Section"/>
      </w:pPr>
      <w:bookmarkStart w:id="99" w:name="_Toc420592134"/>
      <w:bookmarkStart w:id="100" w:name="_Toc431466298"/>
      <w:proofErr w:type="gramStart"/>
      <w:r w:rsidRPr="004952C0">
        <w:t>36</w:t>
      </w:r>
      <w:r w:rsidR="0045496E" w:rsidRPr="004952C0">
        <w:t xml:space="preserve">  Operation</w:t>
      </w:r>
      <w:proofErr w:type="gramEnd"/>
      <w:r w:rsidR="0045496E" w:rsidRPr="004952C0">
        <w:t xml:space="preserve"> of this Division</w:t>
      </w:r>
      <w:bookmarkEnd w:id="99"/>
      <w:bookmarkEnd w:id="100"/>
    </w:p>
    <w:p w:rsidR="0045496E" w:rsidRPr="004952C0" w:rsidRDefault="0045496E" w:rsidP="0045496E">
      <w:pPr>
        <w:pStyle w:val="tMain"/>
      </w:pPr>
      <w:r w:rsidRPr="004952C0">
        <w:tab/>
      </w:r>
      <w:r w:rsidRPr="004952C0">
        <w:tab/>
        <w:t>For paragraph 106(3)(a) of the Act, this Division sets out information that must be included in an offsets report about a refrigeration and ventilation fan project that is an eligible offsets project.</w:t>
      </w:r>
    </w:p>
    <w:p w:rsidR="0045496E" w:rsidRPr="004952C0" w:rsidRDefault="00FE4F8F" w:rsidP="0045496E">
      <w:pPr>
        <w:pStyle w:val="h5Section"/>
      </w:pPr>
      <w:bookmarkStart w:id="101" w:name="_Toc420592135"/>
      <w:bookmarkStart w:id="102" w:name="_Toc431466299"/>
      <w:proofErr w:type="gramStart"/>
      <w:r w:rsidRPr="004952C0">
        <w:t>37</w:t>
      </w:r>
      <w:r w:rsidR="0045496E" w:rsidRPr="004952C0">
        <w:t xml:space="preserve">  Information</w:t>
      </w:r>
      <w:proofErr w:type="gramEnd"/>
      <w:r w:rsidR="0045496E" w:rsidRPr="004952C0">
        <w:t xml:space="preserve"> that must be included in an offsets report</w:t>
      </w:r>
      <w:bookmarkEnd w:id="101"/>
      <w:bookmarkEnd w:id="102"/>
    </w:p>
    <w:p w:rsidR="0045496E" w:rsidRPr="004952C0" w:rsidRDefault="0045496E" w:rsidP="0045496E">
      <w:pPr>
        <w:pStyle w:val="tMain"/>
      </w:pPr>
      <w:r w:rsidRPr="004952C0">
        <w:tab/>
      </w:r>
      <w:r w:rsidR="00FE4F8F" w:rsidRPr="004952C0">
        <w:t>(1)</w:t>
      </w:r>
      <w:r w:rsidRPr="004952C0">
        <w:tab/>
        <w:t xml:space="preserve">An offsets report for a reporting period must identify each installed HE fan and each installed SM fan that was included in a calculation undertaken in accordance with </w:t>
      </w:r>
      <w:r w:rsidR="00934AC6" w:rsidRPr="004952C0">
        <w:t>Part 4</w:t>
      </w:r>
      <w:r w:rsidRPr="004952C0">
        <w:t xml:space="preserve"> for the reporting period, in the form approved by the Regulator.</w:t>
      </w:r>
    </w:p>
    <w:p w:rsidR="0045496E" w:rsidRPr="004952C0" w:rsidRDefault="0045496E" w:rsidP="0045496E">
      <w:pPr>
        <w:pStyle w:val="tMain"/>
      </w:pPr>
      <w:r w:rsidRPr="004952C0">
        <w:tab/>
      </w:r>
      <w:r w:rsidR="00FE4F8F" w:rsidRPr="004952C0">
        <w:t>(2)</w:t>
      </w:r>
      <w:r w:rsidRPr="004952C0">
        <w:tab/>
        <w:t>Each fan must be identified by:</w:t>
      </w:r>
    </w:p>
    <w:p w:rsidR="0045496E" w:rsidRPr="004952C0" w:rsidRDefault="0045496E" w:rsidP="0045496E">
      <w:pPr>
        <w:pStyle w:val="tPara"/>
      </w:pPr>
      <w:r w:rsidRPr="004952C0">
        <w:tab/>
      </w:r>
      <w:r w:rsidR="00FE4F8F" w:rsidRPr="004952C0">
        <w:t>(a)</w:t>
      </w:r>
      <w:r w:rsidRPr="004952C0">
        <w:tab/>
      </w:r>
      <w:proofErr w:type="gramStart"/>
      <w:r w:rsidRPr="004952C0">
        <w:t>whether</w:t>
      </w:r>
      <w:proofErr w:type="gramEnd"/>
      <w:r w:rsidRPr="004952C0">
        <w:t xml:space="preserve"> the fan is an installed HE fan or an installed SM fan; and</w:t>
      </w:r>
    </w:p>
    <w:p w:rsidR="0045496E" w:rsidRPr="004952C0" w:rsidRDefault="0045496E" w:rsidP="0045496E">
      <w:pPr>
        <w:pStyle w:val="tPara"/>
      </w:pPr>
      <w:r w:rsidRPr="004952C0">
        <w:tab/>
      </w:r>
      <w:r w:rsidR="00FE4F8F" w:rsidRPr="004952C0">
        <w:t>(b)</w:t>
      </w:r>
      <w:r w:rsidRPr="004952C0">
        <w:tab/>
      </w:r>
      <w:proofErr w:type="gramStart"/>
      <w:r w:rsidRPr="004952C0">
        <w:t>the</w:t>
      </w:r>
      <w:proofErr w:type="gramEnd"/>
      <w:r w:rsidRPr="004952C0">
        <w:t xml:space="preserve"> street address of the building where the fan is installed; and</w:t>
      </w:r>
    </w:p>
    <w:p w:rsidR="0045496E" w:rsidRPr="004952C0" w:rsidRDefault="0045496E" w:rsidP="0045496E">
      <w:pPr>
        <w:pStyle w:val="tPara"/>
      </w:pPr>
      <w:r w:rsidRPr="004952C0">
        <w:tab/>
      </w:r>
      <w:r w:rsidR="00FE4F8F" w:rsidRPr="004952C0">
        <w:t>(c)</w:t>
      </w:r>
      <w:r w:rsidRPr="004952C0">
        <w:tab/>
      </w:r>
      <w:proofErr w:type="gramStart"/>
      <w:r w:rsidRPr="004952C0">
        <w:t>whether</w:t>
      </w:r>
      <w:proofErr w:type="gramEnd"/>
      <w:r w:rsidRPr="004952C0">
        <w:t xml:space="preserve"> the fan:</w:t>
      </w:r>
    </w:p>
    <w:p w:rsidR="0045496E" w:rsidRPr="004952C0" w:rsidRDefault="0045496E" w:rsidP="0045496E">
      <w:pPr>
        <w:pStyle w:val="tSubpara"/>
      </w:pPr>
      <w:r w:rsidRPr="004952C0">
        <w:tab/>
      </w:r>
      <w:r w:rsidR="00FE4F8F" w:rsidRPr="004952C0">
        <w:t>(</w:t>
      </w:r>
      <w:proofErr w:type="spellStart"/>
      <w:proofErr w:type="gramStart"/>
      <w:r w:rsidR="00FE4F8F" w:rsidRPr="004952C0">
        <w:t>i</w:t>
      </w:r>
      <w:proofErr w:type="spellEnd"/>
      <w:proofErr w:type="gramEnd"/>
      <w:r w:rsidR="00FE4F8F" w:rsidRPr="004952C0">
        <w:t>)</w:t>
      </w:r>
      <w:r w:rsidRPr="004952C0">
        <w:tab/>
        <w:t xml:space="preserve">was included in the most recent previous offsets report; or </w:t>
      </w:r>
    </w:p>
    <w:p w:rsidR="0045496E" w:rsidRPr="004952C0" w:rsidRDefault="0045496E" w:rsidP="0045496E">
      <w:pPr>
        <w:pStyle w:val="tSubpara"/>
      </w:pPr>
      <w:r w:rsidRPr="004952C0">
        <w:tab/>
      </w:r>
      <w:r w:rsidR="00FE4F8F" w:rsidRPr="004952C0">
        <w:t>(ii)</w:t>
      </w:r>
      <w:r w:rsidRPr="004952C0">
        <w:tab/>
      </w:r>
      <w:proofErr w:type="gramStart"/>
      <w:r w:rsidRPr="004952C0">
        <w:t>is</w:t>
      </w:r>
      <w:proofErr w:type="gramEnd"/>
      <w:r w:rsidRPr="004952C0">
        <w:t xml:space="preserve"> an old installation that was excluded from the most recent previous report; or</w:t>
      </w:r>
    </w:p>
    <w:p w:rsidR="00897CA7" w:rsidRPr="004952C0" w:rsidRDefault="00897CA7" w:rsidP="00897CA7">
      <w:pPr>
        <w:pStyle w:val="tSubpara"/>
      </w:pPr>
      <w:r w:rsidRPr="004952C0">
        <w:tab/>
      </w:r>
      <w:r w:rsidR="00FE4F8F" w:rsidRPr="004952C0">
        <w:t>(iii)</w:t>
      </w:r>
      <w:r w:rsidRPr="004952C0">
        <w:tab/>
      </w:r>
      <w:proofErr w:type="gramStart"/>
      <w:r w:rsidR="0045496E" w:rsidRPr="004952C0">
        <w:t>is</w:t>
      </w:r>
      <w:proofErr w:type="gramEnd"/>
      <w:r w:rsidR="0045496E" w:rsidRPr="004952C0">
        <w:t xml:space="preserve"> a new installation that has not been included in a previous report</w:t>
      </w:r>
      <w:r w:rsidRPr="004952C0">
        <w:t>; and</w:t>
      </w:r>
    </w:p>
    <w:p w:rsidR="0045496E" w:rsidRPr="004952C0" w:rsidRDefault="00897CA7" w:rsidP="005C3E89">
      <w:pPr>
        <w:pStyle w:val="tPara"/>
      </w:pPr>
      <w:r w:rsidRPr="004952C0">
        <w:tab/>
      </w:r>
      <w:r w:rsidR="00FE4F8F" w:rsidRPr="004952C0">
        <w:t>(d)</w:t>
      </w:r>
      <w:r w:rsidRPr="004952C0">
        <w:tab/>
      </w:r>
      <w:proofErr w:type="gramStart"/>
      <w:r w:rsidRPr="004952C0">
        <w:t>if</w:t>
      </w:r>
      <w:proofErr w:type="gramEnd"/>
      <w:r w:rsidRPr="004952C0">
        <w:t xml:space="preserve"> the fan is one that </w:t>
      </w:r>
      <w:r w:rsidR="0060227A" w:rsidRPr="004952C0">
        <w:t>can be classified as both an installed HE fan and an installed SM fan</w:t>
      </w:r>
      <w:r w:rsidR="005C3E89" w:rsidRPr="004952C0">
        <w:t xml:space="preserve"> (see subsection </w:t>
      </w:r>
      <w:r w:rsidR="00934AC6" w:rsidRPr="004952C0">
        <w:t>22(3)</w:t>
      </w:r>
      <w:r w:rsidR="005C3E89" w:rsidRPr="004952C0">
        <w:t>)</w:t>
      </w:r>
      <w:r w:rsidR="005270B3" w:rsidRPr="004952C0">
        <w:t>—</w:t>
      </w:r>
      <w:r w:rsidRPr="004952C0">
        <w:t>th</w:t>
      </w:r>
      <w:r w:rsidR="00C76F48" w:rsidRPr="004952C0">
        <w:t>at</w:t>
      </w:r>
      <w:r w:rsidRPr="004952C0">
        <w:t xml:space="preserve"> fact</w:t>
      </w:r>
      <w:r w:rsidR="0045496E" w:rsidRPr="004952C0">
        <w:t>.</w:t>
      </w:r>
    </w:p>
    <w:p w:rsidR="0045496E" w:rsidRPr="004952C0" w:rsidRDefault="0045496E" w:rsidP="0045496E">
      <w:pPr>
        <w:pStyle w:val="tMain"/>
      </w:pPr>
      <w:r w:rsidRPr="004952C0">
        <w:tab/>
      </w:r>
      <w:r w:rsidR="00FE4F8F" w:rsidRPr="004952C0">
        <w:t>(3)</w:t>
      </w:r>
      <w:r w:rsidRPr="004952C0">
        <w:tab/>
        <w:t>For each fan or motor that was installed as part of the project, the offsets report must indicate:</w:t>
      </w:r>
    </w:p>
    <w:p w:rsidR="0045496E" w:rsidRPr="004952C0" w:rsidRDefault="0045496E" w:rsidP="0045496E">
      <w:pPr>
        <w:pStyle w:val="tPara"/>
      </w:pPr>
      <w:r w:rsidRPr="004952C0">
        <w:tab/>
      </w:r>
      <w:r w:rsidR="00FE4F8F" w:rsidRPr="004952C0">
        <w:t>(a)</w:t>
      </w:r>
      <w:r w:rsidRPr="004952C0">
        <w:tab/>
      </w:r>
      <w:proofErr w:type="gramStart"/>
      <w:r w:rsidRPr="004952C0">
        <w:t>the</w:t>
      </w:r>
      <w:proofErr w:type="gramEnd"/>
      <w:r w:rsidRPr="004952C0">
        <w:t xml:space="preserve"> brand; and</w:t>
      </w:r>
    </w:p>
    <w:p w:rsidR="0045496E" w:rsidRPr="004952C0" w:rsidRDefault="0045496E" w:rsidP="0045496E">
      <w:pPr>
        <w:pStyle w:val="tPara"/>
      </w:pPr>
      <w:r w:rsidRPr="004952C0">
        <w:tab/>
      </w:r>
      <w:r w:rsidR="00FE4F8F" w:rsidRPr="004952C0">
        <w:t>(b)</w:t>
      </w:r>
      <w:r w:rsidRPr="004952C0">
        <w:tab/>
      </w:r>
      <w:proofErr w:type="gramStart"/>
      <w:r w:rsidRPr="004952C0">
        <w:t>the</w:t>
      </w:r>
      <w:proofErr w:type="gramEnd"/>
      <w:r w:rsidRPr="004952C0">
        <w:t xml:space="preserve"> manufacturer; and</w:t>
      </w:r>
    </w:p>
    <w:p w:rsidR="0045496E" w:rsidRPr="004952C0" w:rsidRDefault="0045496E" w:rsidP="0045496E">
      <w:pPr>
        <w:pStyle w:val="tPara"/>
      </w:pPr>
      <w:r w:rsidRPr="004952C0">
        <w:tab/>
      </w:r>
      <w:r w:rsidR="00FE4F8F" w:rsidRPr="004952C0">
        <w:t>(c)</w:t>
      </w:r>
      <w:r w:rsidRPr="004952C0">
        <w:tab/>
      </w:r>
      <w:proofErr w:type="gramStart"/>
      <w:r w:rsidRPr="004952C0">
        <w:t>the</w:t>
      </w:r>
      <w:proofErr w:type="gramEnd"/>
      <w:r w:rsidRPr="004952C0">
        <w:t xml:space="preserve"> model number.</w:t>
      </w:r>
    </w:p>
    <w:p w:rsidR="0045496E" w:rsidRPr="004952C0" w:rsidRDefault="0045496E" w:rsidP="0045496E">
      <w:pPr>
        <w:pStyle w:val="tMain"/>
      </w:pPr>
      <w:r w:rsidRPr="004952C0">
        <w:tab/>
      </w:r>
      <w:r w:rsidR="00FE4F8F" w:rsidRPr="004952C0">
        <w:t>(4)</w:t>
      </w:r>
      <w:r w:rsidRPr="004952C0">
        <w:tab/>
        <w:t>For a fan that was included in calculations for an earlier reporting period, but is not included in calculations for the reporting period to which the offsets report relates, the report must state:</w:t>
      </w:r>
    </w:p>
    <w:p w:rsidR="0045496E" w:rsidRPr="004952C0" w:rsidRDefault="0045496E" w:rsidP="0045496E">
      <w:pPr>
        <w:pStyle w:val="tPara"/>
      </w:pPr>
      <w:r w:rsidRPr="004952C0">
        <w:tab/>
      </w:r>
      <w:r w:rsidR="00FE4F8F" w:rsidRPr="004952C0">
        <w:t>(a)</w:t>
      </w:r>
      <w:r w:rsidRPr="004952C0">
        <w:tab/>
      </w:r>
      <w:proofErr w:type="gramStart"/>
      <w:r w:rsidRPr="004952C0">
        <w:t>the</w:t>
      </w:r>
      <w:proofErr w:type="gramEnd"/>
      <w:r w:rsidRPr="004952C0">
        <w:t xml:space="preserve"> reason for the exclusion; and</w:t>
      </w:r>
    </w:p>
    <w:p w:rsidR="0045496E" w:rsidRPr="004952C0" w:rsidRDefault="0045496E" w:rsidP="0045496E">
      <w:pPr>
        <w:pStyle w:val="tPara"/>
      </w:pPr>
      <w:r w:rsidRPr="004952C0">
        <w:tab/>
      </w:r>
      <w:r w:rsidR="00FE4F8F" w:rsidRPr="004952C0">
        <w:t>(b)</w:t>
      </w:r>
      <w:r w:rsidRPr="004952C0">
        <w:tab/>
      </w:r>
      <w:proofErr w:type="gramStart"/>
      <w:r w:rsidRPr="004952C0">
        <w:t>whether</w:t>
      </w:r>
      <w:proofErr w:type="gramEnd"/>
      <w:r w:rsidRPr="004952C0">
        <w:t xml:space="preserve"> the exclusion is </w:t>
      </w:r>
      <w:r w:rsidR="00720C50" w:rsidRPr="004952C0">
        <w:t xml:space="preserve">expected to be </w:t>
      </w:r>
      <w:r w:rsidRPr="004952C0">
        <w:t>temporary or permanent.</w:t>
      </w:r>
    </w:p>
    <w:p w:rsidR="0045496E" w:rsidRPr="004952C0" w:rsidRDefault="0045496E" w:rsidP="0045496E">
      <w:pPr>
        <w:pStyle w:val="tMain"/>
      </w:pPr>
      <w:r w:rsidRPr="004952C0">
        <w:tab/>
      </w:r>
      <w:r w:rsidR="00FE4F8F" w:rsidRPr="004952C0">
        <w:t>(5)</w:t>
      </w:r>
      <w:r w:rsidRPr="004952C0">
        <w:tab/>
        <w:t>In addition, each fan must be identified by:</w:t>
      </w:r>
    </w:p>
    <w:p w:rsidR="0045496E" w:rsidRPr="004952C0" w:rsidRDefault="0045496E" w:rsidP="0045496E">
      <w:pPr>
        <w:pStyle w:val="tPara"/>
      </w:pPr>
      <w:r w:rsidRPr="004952C0">
        <w:tab/>
      </w:r>
      <w:r w:rsidR="00FE4F8F" w:rsidRPr="004952C0">
        <w:t>(a)</w:t>
      </w:r>
      <w:r w:rsidRPr="004952C0">
        <w:tab/>
      </w:r>
      <w:proofErr w:type="gramStart"/>
      <w:r w:rsidRPr="004952C0">
        <w:t>the</w:t>
      </w:r>
      <w:proofErr w:type="gramEnd"/>
      <w:r w:rsidRPr="004952C0">
        <w:t xml:space="preserve"> location of the fan in the form and detail required by the Regulator; and</w:t>
      </w:r>
    </w:p>
    <w:p w:rsidR="0045496E" w:rsidRPr="004952C0" w:rsidRDefault="0045496E" w:rsidP="0045496E">
      <w:pPr>
        <w:pStyle w:val="tPara"/>
      </w:pPr>
      <w:r w:rsidRPr="004952C0">
        <w:tab/>
      </w:r>
      <w:r w:rsidR="00FE4F8F" w:rsidRPr="004952C0">
        <w:t>(b)</w:t>
      </w:r>
      <w:r w:rsidRPr="004952C0">
        <w:tab/>
      </w:r>
      <w:proofErr w:type="gramStart"/>
      <w:r w:rsidRPr="004952C0">
        <w:t>whether</w:t>
      </w:r>
      <w:proofErr w:type="gramEnd"/>
      <w:r w:rsidRPr="004952C0">
        <w:t xml:space="preserve"> the fan is a refrigeration fan or a ventilation fan; and</w:t>
      </w:r>
    </w:p>
    <w:p w:rsidR="0045496E" w:rsidRPr="004952C0" w:rsidRDefault="0045496E" w:rsidP="0045496E">
      <w:pPr>
        <w:pStyle w:val="tPara"/>
      </w:pPr>
      <w:r w:rsidRPr="004952C0">
        <w:tab/>
      </w:r>
      <w:r w:rsidR="00FE4F8F" w:rsidRPr="004952C0">
        <w:t>(c)</w:t>
      </w:r>
      <w:r w:rsidRPr="004952C0">
        <w:tab/>
      </w:r>
      <w:proofErr w:type="gramStart"/>
      <w:r w:rsidRPr="004952C0">
        <w:t>for</w:t>
      </w:r>
      <w:proofErr w:type="gramEnd"/>
      <w:r w:rsidRPr="004952C0">
        <w:t xml:space="preserve"> a refrigeration fan—the type of refrigeration system; and</w:t>
      </w:r>
    </w:p>
    <w:p w:rsidR="00582202" w:rsidRPr="004952C0" w:rsidRDefault="0045496E" w:rsidP="0045496E">
      <w:pPr>
        <w:pStyle w:val="tPara"/>
      </w:pPr>
      <w:r w:rsidRPr="004952C0">
        <w:tab/>
      </w:r>
      <w:r w:rsidR="00FE4F8F" w:rsidRPr="004952C0">
        <w:t>(d)</w:t>
      </w:r>
      <w:r w:rsidRPr="004952C0">
        <w:tab/>
      </w:r>
      <w:proofErr w:type="gramStart"/>
      <w:r w:rsidRPr="004952C0">
        <w:t>for</w:t>
      </w:r>
      <w:proofErr w:type="gramEnd"/>
      <w:r w:rsidRPr="004952C0">
        <w:t xml:space="preserve"> a ventilation fan</w:t>
      </w:r>
      <w:r w:rsidR="00582202" w:rsidRPr="004952C0">
        <w:t>:</w:t>
      </w:r>
    </w:p>
    <w:p w:rsidR="0045496E" w:rsidRPr="004952C0" w:rsidRDefault="00582202" w:rsidP="00582202">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0045496E" w:rsidRPr="004952C0">
        <w:t>whether</w:t>
      </w:r>
      <w:proofErr w:type="gramEnd"/>
      <w:r w:rsidR="0045496E" w:rsidRPr="004952C0">
        <w:t xml:space="preserve"> the fan is a heating/cooling ventilation fan or a ducted or partition ventilation fan; and</w:t>
      </w:r>
    </w:p>
    <w:p w:rsidR="008D7573" w:rsidRPr="004952C0" w:rsidRDefault="00582202" w:rsidP="00582202">
      <w:pPr>
        <w:pStyle w:val="tSubpara"/>
      </w:pPr>
      <w:r w:rsidRPr="004952C0">
        <w:tab/>
      </w:r>
      <w:r w:rsidR="00FE4F8F" w:rsidRPr="004952C0">
        <w:t>(ii)</w:t>
      </w:r>
      <w:r w:rsidRPr="004952C0">
        <w:tab/>
      </w:r>
      <w:proofErr w:type="gramStart"/>
      <w:r w:rsidR="004667C8" w:rsidRPr="004952C0">
        <w:t>the</w:t>
      </w:r>
      <w:proofErr w:type="gramEnd"/>
      <w:r w:rsidR="004667C8" w:rsidRPr="004952C0">
        <w:t xml:space="preserve"> </w:t>
      </w:r>
      <w:r w:rsidR="00A21C86" w:rsidRPr="004952C0">
        <w:t xml:space="preserve">building type </w:t>
      </w:r>
      <w:r w:rsidR="008D7573" w:rsidRPr="004952C0">
        <w:t>of the building serviced by the fan; and</w:t>
      </w:r>
    </w:p>
    <w:p w:rsidR="00582202" w:rsidRPr="004952C0" w:rsidRDefault="00582202" w:rsidP="00582202">
      <w:pPr>
        <w:pStyle w:val="tSubpara"/>
      </w:pPr>
      <w:r w:rsidRPr="004952C0">
        <w:lastRenderedPageBreak/>
        <w:tab/>
      </w:r>
      <w:r w:rsidR="00FE4F8F" w:rsidRPr="004952C0">
        <w:t>(iii)</w:t>
      </w:r>
      <w:r w:rsidRPr="004952C0">
        <w:tab/>
      </w:r>
      <w:proofErr w:type="gramStart"/>
      <w:r w:rsidR="00E10469" w:rsidRPr="004952C0">
        <w:t>in</w:t>
      </w:r>
      <w:proofErr w:type="gramEnd"/>
      <w:r w:rsidR="00E10469" w:rsidRPr="004952C0">
        <w:t xml:space="preserve"> the case of</w:t>
      </w:r>
      <w:r w:rsidRPr="004952C0">
        <w:t xml:space="preserve"> a heating/cooling ventilation fan—the NCC climate zone of the building’s location; and</w:t>
      </w:r>
    </w:p>
    <w:p w:rsidR="0045496E" w:rsidRPr="004952C0" w:rsidRDefault="0045496E" w:rsidP="0045496E">
      <w:pPr>
        <w:pStyle w:val="tPara"/>
      </w:pPr>
      <w:r w:rsidRPr="004952C0">
        <w:tab/>
      </w:r>
      <w:r w:rsidR="00FE4F8F" w:rsidRPr="004952C0">
        <w:t>(e)</w:t>
      </w:r>
      <w:r w:rsidRPr="004952C0">
        <w:tab/>
      </w:r>
      <w:proofErr w:type="gramStart"/>
      <w:r w:rsidRPr="004952C0">
        <w:t>the</w:t>
      </w:r>
      <w:proofErr w:type="gramEnd"/>
      <w:r w:rsidRPr="004952C0">
        <w:t xml:space="preserve"> motor input power of the fan; and</w:t>
      </w:r>
    </w:p>
    <w:p w:rsidR="0045496E" w:rsidRPr="004952C0" w:rsidRDefault="0045496E" w:rsidP="0045496E">
      <w:pPr>
        <w:pStyle w:val="tPara"/>
      </w:pPr>
      <w:r w:rsidRPr="004952C0">
        <w:tab/>
      </w:r>
      <w:r w:rsidR="00FE4F8F" w:rsidRPr="004952C0">
        <w:t>(f)</w:t>
      </w:r>
      <w:r w:rsidRPr="004952C0">
        <w:tab/>
      </w:r>
      <w:proofErr w:type="gramStart"/>
      <w:r w:rsidRPr="004952C0">
        <w:t>for</w:t>
      </w:r>
      <w:proofErr w:type="gramEnd"/>
      <w:r w:rsidRPr="004952C0">
        <w:t xml:space="preserve"> each installed HE fan:</w:t>
      </w:r>
    </w:p>
    <w:p w:rsidR="0045496E" w:rsidRPr="004952C0" w:rsidRDefault="0045496E" w:rsidP="0045496E">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the</w:t>
      </w:r>
      <w:proofErr w:type="gramEnd"/>
      <w:r w:rsidRPr="004952C0">
        <w:t xml:space="preserve"> installation category; and</w:t>
      </w:r>
    </w:p>
    <w:p w:rsidR="0045496E" w:rsidRPr="004952C0" w:rsidRDefault="0045496E" w:rsidP="0045496E">
      <w:pPr>
        <w:pStyle w:val="tSubpara"/>
      </w:pPr>
      <w:r w:rsidRPr="004952C0">
        <w:tab/>
      </w:r>
      <w:r w:rsidR="00FE4F8F" w:rsidRPr="004952C0">
        <w:t>(ii)</w:t>
      </w:r>
      <w:r w:rsidRPr="004952C0">
        <w:tab/>
      </w:r>
      <w:proofErr w:type="gramStart"/>
      <w:r w:rsidRPr="004952C0">
        <w:t>the</w:t>
      </w:r>
      <w:proofErr w:type="gramEnd"/>
      <w:r w:rsidRPr="004952C0">
        <w:t xml:space="preserve"> eligible fan type; and</w:t>
      </w:r>
    </w:p>
    <w:p w:rsidR="0045496E" w:rsidRPr="004952C0" w:rsidRDefault="0045496E" w:rsidP="0045496E">
      <w:pPr>
        <w:pStyle w:val="tPara"/>
      </w:pPr>
      <w:r w:rsidRPr="004952C0">
        <w:tab/>
      </w:r>
      <w:r w:rsidR="00FE4F8F" w:rsidRPr="004952C0">
        <w:t>(g)</w:t>
      </w:r>
      <w:r w:rsidRPr="004952C0">
        <w:tab/>
      </w:r>
      <w:proofErr w:type="gramStart"/>
      <w:r w:rsidRPr="004952C0">
        <w:t>for</w:t>
      </w:r>
      <w:proofErr w:type="gramEnd"/>
      <w:r w:rsidRPr="004952C0">
        <w:t xml:space="preserve"> each installed SM fan—whether a control system has been fitted to the electronically commutated motor of the fan.</w:t>
      </w:r>
    </w:p>
    <w:p w:rsidR="0045496E" w:rsidRPr="004952C0" w:rsidRDefault="0045496E" w:rsidP="0045496E">
      <w:pPr>
        <w:pStyle w:val="tMain"/>
      </w:pPr>
      <w:r w:rsidRPr="004952C0">
        <w:tab/>
      </w:r>
      <w:r w:rsidR="00FE4F8F" w:rsidRPr="004952C0">
        <w:t>(6)</w:t>
      </w:r>
      <w:r w:rsidRPr="004952C0">
        <w:tab/>
        <w:t>If, in the circumstances described in paragraph </w:t>
      </w:r>
      <w:r w:rsidR="00934AC6" w:rsidRPr="004952C0">
        <w:t>8(2</w:t>
      </w:r>
      <w:proofErr w:type="gramStart"/>
      <w:r w:rsidR="00934AC6" w:rsidRPr="004952C0">
        <w:t>)(</w:t>
      </w:r>
      <w:proofErr w:type="gramEnd"/>
      <w:r w:rsidR="00934AC6" w:rsidRPr="004952C0">
        <w:t>b)</w:t>
      </w:r>
      <w:r w:rsidRPr="004952C0">
        <w:t>, a factor or parameter is defined or calculated for a reporting period by reference to an instrument or writing as in force from time to time, the offsets report about the project for the reporting period must describe the reasons why it was not possible to define or calculate the factor or parameter by reference to the instrument or writing as in force at the end of the reporting period.</w:t>
      </w:r>
    </w:p>
    <w:p w:rsidR="0045496E" w:rsidRPr="004952C0" w:rsidRDefault="00FE4F8F" w:rsidP="0045496E">
      <w:pPr>
        <w:pStyle w:val="h3Div"/>
      </w:pPr>
      <w:bookmarkStart w:id="103" w:name="_Toc420592136"/>
      <w:bookmarkStart w:id="104" w:name="_Toc431466300"/>
      <w:r w:rsidRPr="004952C0">
        <w:t>Division 2</w:t>
      </w:r>
      <w:r w:rsidR="0045496E" w:rsidRPr="004952C0">
        <w:t>—Notification requirements</w:t>
      </w:r>
      <w:bookmarkEnd w:id="103"/>
      <w:bookmarkEnd w:id="104"/>
    </w:p>
    <w:p w:rsidR="0045496E" w:rsidRPr="004952C0" w:rsidRDefault="00FE4F8F" w:rsidP="0045496E">
      <w:pPr>
        <w:pStyle w:val="h5Section"/>
      </w:pPr>
      <w:bookmarkStart w:id="105" w:name="_Toc420592137"/>
      <w:bookmarkStart w:id="106" w:name="_Toc431466301"/>
      <w:proofErr w:type="gramStart"/>
      <w:r w:rsidRPr="004952C0">
        <w:t>38</w:t>
      </w:r>
      <w:r w:rsidR="0045496E" w:rsidRPr="004952C0">
        <w:t xml:space="preserve">  Operation</w:t>
      </w:r>
      <w:proofErr w:type="gramEnd"/>
      <w:r w:rsidR="0045496E" w:rsidRPr="004952C0">
        <w:t xml:space="preserve"> of this Division</w:t>
      </w:r>
      <w:bookmarkEnd w:id="105"/>
      <w:bookmarkEnd w:id="106"/>
      <w:r w:rsidR="0045496E" w:rsidRPr="004952C0">
        <w:t xml:space="preserve"> </w:t>
      </w:r>
    </w:p>
    <w:p w:rsidR="0045496E" w:rsidRPr="004952C0" w:rsidRDefault="0045496E" w:rsidP="0045496E">
      <w:pPr>
        <w:pStyle w:val="tMain"/>
      </w:pPr>
      <w:r w:rsidRPr="004952C0">
        <w:tab/>
      </w:r>
      <w:r w:rsidRPr="004952C0">
        <w:tab/>
        <w:t>For paragraph 106(3)(b) of the Act, this Division sets out requirements to notify certain matters relating to a refrigeration and ventilation fan project that is an eligible offsets project to the Regulator.</w:t>
      </w:r>
    </w:p>
    <w:p w:rsidR="0045496E" w:rsidRPr="004952C0" w:rsidRDefault="00FE4F8F" w:rsidP="0045496E">
      <w:pPr>
        <w:pStyle w:val="h5Section"/>
      </w:pPr>
      <w:bookmarkStart w:id="107" w:name="_Toc420592138"/>
      <w:bookmarkStart w:id="108" w:name="_Toc431466302"/>
      <w:proofErr w:type="gramStart"/>
      <w:r w:rsidRPr="004952C0">
        <w:t>39</w:t>
      </w:r>
      <w:r w:rsidR="0045496E" w:rsidRPr="004952C0">
        <w:t xml:space="preserve">  Notification</w:t>
      </w:r>
      <w:proofErr w:type="gramEnd"/>
      <w:r w:rsidR="0045496E" w:rsidRPr="004952C0">
        <w:t xml:space="preserve"> requirements</w:t>
      </w:r>
      <w:bookmarkEnd w:id="107"/>
      <w:bookmarkEnd w:id="108"/>
      <w:r w:rsidR="0045496E" w:rsidRPr="004952C0">
        <w:t xml:space="preserve"> </w:t>
      </w:r>
    </w:p>
    <w:p w:rsidR="0045496E" w:rsidRPr="004952C0" w:rsidRDefault="0045496E" w:rsidP="0045496E">
      <w:pPr>
        <w:pStyle w:val="tMain"/>
      </w:pPr>
      <w:r w:rsidRPr="004952C0">
        <w:tab/>
      </w:r>
      <w:r w:rsidR="00FE4F8F" w:rsidRPr="004952C0">
        <w:t>(1)</w:t>
      </w:r>
      <w:r w:rsidRPr="004952C0">
        <w:tab/>
        <w:t>The project proponent must notify the Regulator of any safety issue that has been identified with any project component as soon as practicable after becoming aware of the issue.</w:t>
      </w:r>
    </w:p>
    <w:p w:rsidR="0045496E" w:rsidRPr="004952C0" w:rsidRDefault="0045496E" w:rsidP="0045496E">
      <w:pPr>
        <w:pStyle w:val="tMain"/>
      </w:pPr>
      <w:r w:rsidRPr="004952C0">
        <w:tab/>
      </w:r>
      <w:r w:rsidR="00FE4F8F" w:rsidRPr="004952C0">
        <w:t>(2)</w:t>
      </w:r>
      <w:r w:rsidRPr="004952C0">
        <w:tab/>
        <w:t>The project proponent must notify the Regulator of any product performance issue that has been identified with any project component, within 30 days after becoming aware of the issue, if:</w:t>
      </w:r>
    </w:p>
    <w:p w:rsidR="0045496E" w:rsidRPr="004952C0" w:rsidRDefault="0045496E" w:rsidP="0045496E">
      <w:pPr>
        <w:pStyle w:val="tPara"/>
      </w:pPr>
      <w:r w:rsidRPr="004952C0">
        <w:tab/>
      </w:r>
      <w:r w:rsidR="00FE4F8F" w:rsidRPr="004952C0">
        <w:t>(a)</w:t>
      </w:r>
      <w:r w:rsidRPr="004952C0">
        <w:tab/>
      </w:r>
      <w:proofErr w:type="gramStart"/>
      <w:r w:rsidRPr="004952C0">
        <w:t>a</w:t>
      </w:r>
      <w:proofErr w:type="gramEnd"/>
      <w:r w:rsidRPr="004952C0">
        <w:t xml:space="preserve"> product recall notice has been issued in relation to the issue; or</w:t>
      </w:r>
    </w:p>
    <w:p w:rsidR="0045496E" w:rsidRPr="004952C0" w:rsidRDefault="0045496E" w:rsidP="0045496E">
      <w:pPr>
        <w:pStyle w:val="tPara"/>
      </w:pPr>
      <w:r w:rsidRPr="004952C0">
        <w:tab/>
      </w:r>
      <w:r w:rsidR="00FE4F8F" w:rsidRPr="004952C0">
        <w:t>(b)</w:t>
      </w:r>
      <w:r w:rsidRPr="004952C0">
        <w:tab/>
        <w:t>the sum of the motor input powers of all of the fans that are affected by the issue is more than 5 per cent of the sum of the motor input powers of all of the fans that are installed, modified or replaced as part of the project; or</w:t>
      </w:r>
    </w:p>
    <w:p w:rsidR="0045496E" w:rsidRPr="004952C0" w:rsidRDefault="0045496E" w:rsidP="0045496E">
      <w:pPr>
        <w:pStyle w:val="tPara"/>
      </w:pPr>
      <w:r w:rsidRPr="004952C0">
        <w:tab/>
      </w:r>
      <w:r w:rsidR="00FE4F8F" w:rsidRPr="004952C0">
        <w:t>(c)</w:t>
      </w:r>
      <w:r w:rsidRPr="004952C0">
        <w:tab/>
      </w:r>
      <w:proofErr w:type="gramStart"/>
      <w:r w:rsidRPr="004952C0">
        <w:t>the</w:t>
      </w:r>
      <w:proofErr w:type="gramEnd"/>
      <w:r w:rsidRPr="004952C0">
        <w:t xml:space="preserve"> issue affects more than 50 of the fans that are installed, modified or replaced as part of the project.</w:t>
      </w:r>
    </w:p>
    <w:p w:rsidR="0045496E" w:rsidRPr="004952C0" w:rsidRDefault="0045496E" w:rsidP="0045496E">
      <w:pPr>
        <w:pStyle w:val="tMain"/>
      </w:pPr>
      <w:r w:rsidRPr="004952C0">
        <w:tab/>
      </w:r>
      <w:r w:rsidR="00FE4F8F" w:rsidRPr="004952C0">
        <w:t>(3)</w:t>
      </w:r>
      <w:r w:rsidRPr="004952C0">
        <w:tab/>
        <w:t xml:space="preserve">For this section, the following are </w:t>
      </w:r>
      <w:r w:rsidRPr="004952C0">
        <w:rPr>
          <w:b/>
          <w:i/>
        </w:rPr>
        <w:t>project</w:t>
      </w:r>
      <w:r w:rsidRPr="004952C0">
        <w:t xml:space="preserve"> </w:t>
      </w:r>
      <w:r w:rsidRPr="004952C0">
        <w:rPr>
          <w:b/>
          <w:i/>
        </w:rPr>
        <w:t>components</w:t>
      </w:r>
      <w:r w:rsidRPr="004952C0">
        <w:t>:</w:t>
      </w:r>
    </w:p>
    <w:p w:rsidR="0045496E" w:rsidRPr="004952C0" w:rsidRDefault="0045496E" w:rsidP="0045496E">
      <w:pPr>
        <w:pStyle w:val="tPara"/>
      </w:pPr>
      <w:r w:rsidRPr="004952C0">
        <w:tab/>
      </w:r>
      <w:r w:rsidR="00FE4F8F" w:rsidRPr="004952C0">
        <w:t>(a)</w:t>
      </w:r>
      <w:r w:rsidRPr="004952C0">
        <w:tab/>
      </w:r>
      <w:proofErr w:type="gramStart"/>
      <w:r w:rsidRPr="004952C0">
        <w:t>a</w:t>
      </w:r>
      <w:proofErr w:type="gramEnd"/>
      <w:r w:rsidRPr="004952C0">
        <w:t xml:space="preserve"> fan installed or proposed to be installed (whether as an installation or as a replacement) as part of the project;</w:t>
      </w:r>
    </w:p>
    <w:p w:rsidR="0045496E" w:rsidRPr="004952C0" w:rsidRDefault="0045496E" w:rsidP="0045496E">
      <w:pPr>
        <w:pStyle w:val="tPara"/>
      </w:pPr>
      <w:r w:rsidRPr="004952C0">
        <w:tab/>
      </w:r>
      <w:r w:rsidR="00FE4F8F" w:rsidRPr="004952C0">
        <w:t>(b)</w:t>
      </w:r>
      <w:r w:rsidRPr="004952C0">
        <w:tab/>
      </w:r>
      <w:proofErr w:type="gramStart"/>
      <w:r w:rsidRPr="004952C0">
        <w:t>a</w:t>
      </w:r>
      <w:proofErr w:type="gramEnd"/>
      <w:r w:rsidRPr="004952C0">
        <w:t xml:space="preserve"> component used or proposed to be used to modify a fan.</w:t>
      </w:r>
    </w:p>
    <w:p w:rsidR="0045496E" w:rsidRPr="004952C0" w:rsidRDefault="00FE4F8F" w:rsidP="0045496E">
      <w:pPr>
        <w:pStyle w:val="h3Div"/>
      </w:pPr>
      <w:bookmarkStart w:id="109" w:name="_Toc420592139"/>
      <w:bookmarkStart w:id="110" w:name="_Toc431466303"/>
      <w:r w:rsidRPr="004952C0">
        <w:t>Division 3</w:t>
      </w:r>
      <w:r w:rsidR="0045496E" w:rsidRPr="004952C0">
        <w:t>—Record-keeping requirements</w:t>
      </w:r>
      <w:bookmarkEnd w:id="109"/>
      <w:bookmarkEnd w:id="110"/>
    </w:p>
    <w:p w:rsidR="0045496E" w:rsidRPr="004952C0" w:rsidRDefault="00FE4F8F" w:rsidP="0045496E">
      <w:pPr>
        <w:pStyle w:val="h5Section"/>
      </w:pPr>
      <w:bookmarkStart w:id="111" w:name="_Toc420592140"/>
      <w:bookmarkStart w:id="112" w:name="_Toc431466304"/>
      <w:proofErr w:type="gramStart"/>
      <w:r w:rsidRPr="004952C0">
        <w:t>40</w:t>
      </w:r>
      <w:r w:rsidR="0045496E" w:rsidRPr="004952C0">
        <w:t xml:space="preserve">  Operation</w:t>
      </w:r>
      <w:proofErr w:type="gramEnd"/>
      <w:r w:rsidR="0045496E" w:rsidRPr="004952C0">
        <w:t xml:space="preserve"> of this Division</w:t>
      </w:r>
      <w:bookmarkEnd w:id="111"/>
      <w:bookmarkEnd w:id="112"/>
    </w:p>
    <w:p w:rsidR="0045496E" w:rsidRPr="004952C0" w:rsidRDefault="0045496E" w:rsidP="0045496E">
      <w:pPr>
        <w:pStyle w:val="tMain"/>
      </w:pPr>
      <w:r w:rsidRPr="004952C0">
        <w:tab/>
      </w:r>
      <w:r w:rsidRPr="004952C0">
        <w:tab/>
        <w:t>For paragraph 106(3</w:t>
      </w:r>
      <w:proofErr w:type="gramStart"/>
      <w:r w:rsidRPr="004952C0">
        <w:t>)(</w:t>
      </w:r>
      <w:proofErr w:type="gramEnd"/>
      <w:r w:rsidRPr="004952C0">
        <w:t>c) of the Act, this Division sets out record-keeping requirements for a refrigeration and ventilation fan project that is an eligible offsets project.</w:t>
      </w:r>
    </w:p>
    <w:p w:rsidR="0045496E" w:rsidRPr="004952C0" w:rsidRDefault="00FE4F8F" w:rsidP="0045496E">
      <w:pPr>
        <w:pStyle w:val="h5Section"/>
      </w:pPr>
      <w:bookmarkStart w:id="113" w:name="_Toc420592141"/>
      <w:bookmarkStart w:id="114" w:name="_Toc431466305"/>
      <w:proofErr w:type="gramStart"/>
      <w:r w:rsidRPr="004952C0">
        <w:lastRenderedPageBreak/>
        <w:t>41</w:t>
      </w:r>
      <w:r w:rsidR="0045496E" w:rsidRPr="004952C0">
        <w:t xml:space="preserve">  Record</w:t>
      </w:r>
      <w:proofErr w:type="gramEnd"/>
      <w:r w:rsidR="0045496E" w:rsidRPr="004952C0">
        <w:t>-keeping requirements</w:t>
      </w:r>
      <w:bookmarkEnd w:id="113"/>
      <w:bookmarkEnd w:id="114"/>
    </w:p>
    <w:p w:rsidR="0045496E" w:rsidRPr="004952C0" w:rsidRDefault="0045496E" w:rsidP="0045496E">
      <w:pPr>
        <w:pStyle w:val="tMain"/>
      </w:pPr>
      <w:r w:rsidRPr="004952C0">
        <w:tab/>
      </w:r>
      <w:r w:rsidR="00FE4F8F" w:rsidRPr="004952C0">
        <w:t>(1)</w:t>
      </w:r>
      <w:r w:rsidRPr="004952C0">
        <w:tab/>
        <w:t>The project proponent must keep the following records in relation to each installed HE fan and each installed SM fan:</w:t>
      </w:r>
    </w:p>
    <w:p w:rsidR="0045496E" w:rsidRPr="004952C0" w:rsidRDefault="0045496E" w:rsidP="0045496E">
      <w:pPr>
        <w:pStyle w:val="tPara"/>
      </w:pPr>
      <w:r w:rsidRPr="004952C0">
        <w:tab/>
      </w:r>
      <w:r w:rsidR="00FE4F8F" w:rsidRPr="004952C0">
        <w:t>(a)</w:t>
      </w:r>
      <w:r w:rsidRPr="004952C0">
        <w:tab/>
      </w:r>
      <w:proofErr w:type="gramStart"/>
      <w:r w:rsidRPr="004952C0">
        <w:t>for</w:t>
      </w:r>
      <w:proofErr w:type="gramEnd"/>
      <w:r w:rsidRPr="004952C0">
        <w:t xml:space="preserve"> a ventilation fan:</w:t>
      </w:r>
    </w:p>
    <w:p w:rsidR="00E10469" w:rsidRPr="004952C0" w:rsidRDefault="00E10469" w:rsidP="00E10469">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the</w:t>
      </w:r>
      <w:proofErr w:type="gramEnd"/>
      <w:r w:rsidRPr="004952C0">
        <w:t xml:space="preserve"> </w:t>
      </w:r>
      <w:r w:rsidR="00A21C86" w:rsidRPr="004952C0">
        <w:t xml:space="preserve">building type </w:t>
      </w:r>
      <w:r w:rsidRPr="004952C0">
        <w:t>of the building serviced by the fan; and</w:t>
      </w:r>
    </w:p>
    <w:p w:rsidR="0045496E" w:rsidRPr="004952C0" w:rsidRDefault="0045496E" w:rsidP="0045496E">
      <w:pPr>
        <w:pStyle w:val="tSubpara"/>
      </w:pPr>
      <w:r w:rsidRPr="004952C0">
        <w:tab/>
      </w:r>
      <w:r w:rsidR="00FE4F8F" w:rsidRPr="004952C0">
        <w:t>(ii)</w:t>
      </w:r>
      <w:r w:rsidRPr="004952C0">
        <w:tab/>
      </w:r>
      <w:proofErr w:type="gramStart"/>
      <w:r w:rsidRPr="004952C0">
        <w:t>the</w:t>
      </w:r>
      <w:proofErr w:type="gramEnd"/>
      <w:r w:rsidRPr="004952C0">
        <w:t xml:space="preserve"> location of the fan within or with respect to the building;</w:t>
      </w:r>
    </w:p>
    <w:p w:rsidR="0045496E" w:rsidRPr="004952C0" w:rsidRDefault="0045496E" w:rsidP="0045496E">
      <w:pPr>
        <w:pStyle w:val="tPara"/>
      </w:pPr>
      <w:r w:rsidRPr="004952C0">
        <w:tab/>
      </w:r>
      <w:r w:rsidR="00FE4F8F" w:rsidRPr="004952C0">
        <w:t>(b)</w:t>
      </w:r>
      <w:r w:rsidRPr="004952C0">
        <w:tab/>
      </w:r>
      <w:proofErr w:type="gramStart"/>
      <w:r w:rsidRPr="004952C0">
        <w:t>for</w:t>
      </w:r>
      <w:proofErr w:type="gramEnd"/>
      <w:r w:rsidRPr="004952C0">
        <w:t xml:space="preserve"> a refrigeration fan:</w:t>
      </w:r>
    </w:p>
    <w:p w:rsidR="0045496E" w:rsidRPr="004952C0" w:rsidRDefault="0045496E" w:rsidP="0045496E">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the</w:t>
      </w:r>
      <w:proofErr w:type="gramEnd"/>
      <w:r w:rsidRPr="004952C0">
        <w:t xml:space="preserve"> type of refrigeration system in which the fan is installed; and</w:t>
      </w:r>
    </w:p>
    <w:p w:rsidR="0045496E" w:rsidRPr="004952C0" w:rsidRDefault="0045496E" w:rsidP="0045496E">
      <w:pPr>
        <w:pStyle w:val="tSubpara"/>
      </w:pPr>
      <w:r w:rsidRPr="004952C0">
        <w:tab/>
      </w:r>
      <w:r w:rsidR="00FE4F8F" w:rsidRPr="004952C0">
        <w:t>(ii)</w:t>
      </w:r>
      <w:r w:rsidRPr="004952C0">
        <w:tab/>
      </w:r>
      <w:proofErr w:type="gramStart"/>
      <w:r w:rsidRPr="004952C0">
        <w:t>the</w:t>
      </w:r>
      <w:proofErr w:type="gramEnd"/>
      <w:r w:rsidRPr="004952C0">
        <w:t xml:space="preserve"> location of the fan within or with respect to the refrigeration system;</w:t>
      </w:r>
    </w:p>
    <w:p w:rsidR="0045496E" w:rsidRPr="004952C0" w:rsidRDefault="0045496E" w:rsidP="0045496E">
      <w:pPr>
        <w:pStyle w:val="tPara"/>
      </w:pPr>
      <w:r w:rsidRPr="004952C0">
        <w:tab/>
      </w:r>
      <w:r w:rsidR="00FE4F8F" w:rsidRPr="004952C0">
        <w:t>(c)</w:t>
      </w:r>
      <w:r w:rsidRPr="004952C0">
        <w:tab/>
      </w:r>
      <w:proofErr w:type="gramStart"/>
      <w:r w:rsidRPr="004952C0">
        <w:t>whether</w:t>
      </w:r>
      <w:proofErr w:type="gramEnd"/>
      <w:r w:rsidRPr="004952C0">
        <w:t xml:space="preserve"> the project involved an installation of a new fan, or a modification or replacement of an existing fan;</w:t>
      </w:r>
    </w:p>
    <w:p w:rsidR="0045496E" w:rsidRPr="004952C0" w:rsidRDefault="0045496E" w:rsidP="0045496E">
      <w:pPr>
        <w:pStyle w:val="tPara"/>
      </w:pPr>
      <w:r w:rsidRPr="004952C0">
        <w:tab/>
      </w:r>
      <w:r w:rsidR="00FE4F8F" w:rsidRPr="004952C0">
        <w:t>(d)</w:t>
      </w:r>
      <w:r w:rsidRPr="004952C0">
        <w:tab/>
      </w:r>
      <w:proofErr w:type="gramStart"/>
      <w:r w:rsidRPr="004952C0">
        <w:t>for</w:t>
      </w:r>
      <w:proofErr w:type="gramEnd"/>
      <w:r w:rsidRPr="004952C0">
        <w:t xml:space="preserve"> each fan or motor that was installed as part of the project—records that evidence:</w:t>
      </w:r>
    </w:p>
    <w:p w:rsidR="0045496E" w:rsidRPr="004952C0" w:rsidRDefault="0045496E" w:rsidP="0045496E">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the</w:t>
      </w:r>
      <w:proofErr w:type="gramEnd"/>
      <w:r w:rsidRPr="004952C0">
        <w:t xml:space="preserve"> motor input power, as evidenced by the supplier’s product specifications or standard test reports; and</w:t>
      </w:r>
    </w:p>
    <w:p w:rsidR="0045496E" w:rsidRPr="004952C0" w:rsidRDefault="0045496E" w:rsidP="0045496E">
      <w:pPr>
        <w:pStyle w:val="tSubpara"/>
      </w:pPr>
      <w:r w:rsidRPr="004952C0">
        <w:tab/>
      </w:r>
      <w:r w:rsidR="00FE4F8F" w:rsidRPr="004952C0">
        <w:t>(ii)</w:t>
      </w:r>
      <w:r w:rsidRPr="004952C0">
        <w:tab/>
      </w:r>
      <w:proofErr w:type="gramStart"/>
      <w:r w:rsidRPr="004952C0">
        <w:t>the</w:t>
      </w:r>
      <w:proofErr w:type="gramEnd"/>
      <w:r w:rsidRPr="004952C0">
        <w:t xml:space="preserve"> nominal motor power;</w:t>
      </w:r>
    </w:p>
    <w:p w:rsidR="0045496E" w:rsidRPr="004952C0" w:rsidRDefault="0045496E" w:rsidP="0045496E">
      <w:pPr>
        <w:pStyle w:val="tPara"/>
      </w:pPr>
      <w:r w:rsidRPr="004952C0">
        <w:tab/>
      </w:r>
      <w:r w:rsidR="00FE4F8F" w:rsidRPr="004952C0">
        <w:t>(e)</w:t>
      </w:r>
      <w:r w:rsidRPr="004952C0">
        <w:tab/>
      </w:r>
      <w:proofErr w:type="gramStart"/>
      <w:r w:rsidRPr="004952C0">
        <w:t>for</w:t>
      </w:r>
      <w:proofErr w:type="gramEnd"/>
      <w:r w:rsidRPr="004952C0">
        <w:t xml:space="preserve"> each fan that was modified or replaced—records that evidence:</w:t>
      </w:r>
    </w:p>
    <w:p w:rsidR="0045496E" w:rsidRPr="004952C0" w:rsidRDefault="0045496E" w:rsidP="0045496E">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the</w:t>
      </w:r>
      <w:proofErr w:type="gramEnd"/>
      <w:r w:rsidRPr="004952C0">
        <w:t xml:space="preserve"> motor input power; and</w:t>
      </w:r>
    </w:p>
    <w:p w:rsidR="0045496E" w:rsidRPr="004952C0" w:rsidRDefault="0045496E" w:rsidP="0045496E">
      <w:pPr>
        <w:pStyle w:val="tSubpara"/>
      </w:pPr>
      <w:r w:rsidRPr="004952C0">
        <w:tab/>
      </w:r>
      <w:r w:rsidR="00FE4F8F" w:rsidRPr="004952C0">
        <w:t>(ii)</w:t>
      </w:r>
      <w:r w:rsidRPr="004952C0">
        <w:tab/>
      </w:r>
      <w:proofErr w:type="gramStart"/>
      <w:r w:rsidRPr="004952C0">
        <w:t>the</w:t>
      </w:r>
      <w:proofErr w:type="gramEnd"/>
      <w:r w:rsidRPr="004952C0">
        <w:t xml:space="preserve"> nominal motor power;</w:t>
      </w:r>
    </w:p>
    <w:p w:rsidR="0045496E" w:rsidRPr="004952C0" w:rsidRDefault="0045496E" w:rsidP="0045496E">
      <w:pPr>
        <w:pStyle w:val="tPara"/>
      </w:pPr>
      <w:r w:rsidRPr="004952C0">
        <w:tab/>
      </w:r>
      <w:r w:rsidRPr="004952C0">
        <w:tab/>
      </w:r>
      <w:proofErr w:type="gramStart"/>
      <w:r w:rsidRPr="004952C0">
        <w:t>of</w:t>
      </w:r>
      <w:proofErr w:type="gramEnd"/>
      <w:r w:rsidRPr="004952C0">
        <w:t xml:space="preserve"> the original fan.</w:t>
      </w:r>
    </w:p>
    <w:p w:rsidR="0045496E" w:rsidRPr="004952C0" w:rsidRDefault="0045496E" w:rsidP="0045496E">
      <w:pPr>
        <w:pStyle w:val="tMain"/>
      </w:pPr>
      <w:r w:rsidRPr="004952C0">
        <w:tab/>
      </w:r>
      <w:r w:rsidR="00FE4F8F" w:rsidRPr="004952C0">
        <w:t>(2)</w:t>
      </w:r>
      <w:r w:rsidRPr="004952C0">
        <w:tab/>
        <w:t>The proponent must keep the following additional records in relation to each installed HE fan:</w:t>
      </w:r>
    </w:p>
    <w:p w:rsidR="0045496E" w:rsidRPr="004952C0" w:rsidRDefault="0045496E" w:rsidP="0045496E">
      <w:pPr>
        <w:pStyle w:val="tPara"/>
      </w:pPr>
      <w:r w:rsidRPr="004952C0">
        <w:tab/>
      </w:r>
      <w:r w:rsidR="00FE4F8F" w:rsidRPr="004952C0">
        <w:t>(a)</w:t>
      </w:r>
      <w:r w:rsidRPr="004952C0">
        <w:tab/>
      </w:r>
      <w:proofErr w:type="gramStart"/>
      <w:r w:rsidRPr="004952C0">
        <w:t>where</w:t>
      </w:r>
      <w:proofErr w:type="gramEnd"/>
      <w:r w:rsidRPr="004952C0">
        <w:t xml:space="preserve"> an existing fan was replaced—records evidencing the fan type of the replaced fan;</w:t>
      </w:r>
    </w:p>
    <w:p w:rsidR="0045496E" w:rsidRPr="004952C0" w:rsidRDefault="0045496E" w:rsidP="0045496E">
      <w:pPr>
        <w:pStyle w:val="tPara"/>
      </w:pPr>
      <w:r w:rsidRPr="004952C0">
        <w:tab/>
      </w:r>
      <w:r w:rsidR="00FE4F8F" w:rsidRPr="004952C0">
        <w:t>(b)</w:t>
      </w:r>
      <w:r w:rsidRPr="004952C0">
        <w:tab/>
      </w:r>
      <w:proofErr w:type="gramStart"/>
      <w:r w:rsidRPr="004952C0">
        <w:t>records</w:t>
      </w:r>
      <w:proofErr w:type="gramEnd"/>
      <w:r w:rsidRPr="004952C0">
        <w:t xml:space="preserve"> of the ducting arrangement of the fan sufficient to establish the installation category;</w:t>
      </w:r>
    </w:p>
    <w:p w:rsidR="0045496E" w:rsidRPr="004952C0" w:rsidRDefault="0045496E" w:rsidP="0045496E">
      <w:pPr>
        <w:pStyle w:val="tPara"/>
      </w:pPr>
      <w:r w:rsidRPr="004952C0">
        <w:tab/>
      </w:r>
      <w:r w:rsidR="00FE4F8F" w:rsidRPr="004952C0">
        <w:t>(c)</w:t>
      </w:r>
      <w:r w:rsidRPr="004952C0">
        <w:tab/>
      </w:r>
      <w:proofErr w:type="gramStart"/>
      <w:r w:rsidRPr="004952C0">
        <w:t>records</w:t>
      </w:r>
      <w:proofErr w:type="gramEnd"/>
      <w:r w:rsidRPr="004952C0">
        <w:t xml:space="preserve"> that demonstrate that the model of each fan has been tested in accordance with section </w:t>
      </w:r>
      <w:r w:rsidR="00934AC6" w:rsidRPr="004952C0">
        <w:t>16</w:t>
      </w:r>
      <w:r w:rsidRPr="004952C0">
        <w:t xml:space="preserve"> (including records of testing produced by the relevant testing laboratory—see subsection </w:t>
      </w:r>
      <w:r w:rsidR="00934AC6" w:rsidRPr="004952C0">
        <w:t>16(3)</w:t>
      </w:r>
      <w:r w:rsidRPr="004952C0">
        <w:t>);</w:t>
      </w:r>
    </w:p>
    <w:p w:rsidR="0045496E" w:rsidRPr="004952C0" w:rsidRDefault="0045496E" w:rsidP="0045496E">
      <w:pPr>
        <w:pStyle w:val="tPara"/>
      </w:pPr>
      <w:r w:rsidRPr="004952C0">
        <w:tab/>
      </w:r>
      <w:r w:rsidR="00FE4F8F" w:rsidRPr="004952C0">
        <w:t>(d)</w:t>
      </w:r>
      <w:r w:rsidRPr="004952C0">
        <w:tab/>
      </w:r>
      <w:proofErr w:type="gramStart"/>
      <w:r w:rsidRPr="004952C0">
        <w:t>records</w:t>
      </w:r>
      <w:proofErr w:type="gramEnd"/>
      <w:r w:rsidRPr="004952C0">
        <w:t xml:space="preserve"> of any relevant publication relied on for the purposes of subparagraph (a)(</w:t>
      </w:r>
      <w:proofErr w:type="spellStart"/>
      <w:r w:rsidRPr="004952C0">
        <w:t>i</w:t>
      </w:r>
      <w:proofErr w:type="spellEnd"/>
      <w:r w:rsidRPr="004952C0">
        <w:t xml:space="preserve">) of the definition of </w:t>
      </w:r>
      <w:r w:rsidRPr="004952C0">
        <w:rPr>
          <w:rFonts w:ascii="Cambria Math" w:hAnsi="Cambria Math"/>
          <w:i/>
        </w:rPr>
        <w:t>𝜂</w:t>
      </w:r>
      <w:proofErr w:type="spellStart"/>
      <w:r w:rsidRPr="004952C0">
        <w:rPr>
          <w:i/>
          <w:vertAlign w:val="subscript"/>
        </w:rPr>
        <w:t>C,i</w:t>
      </w:r>
      <w:proofErr w:type="spellEnd"/>
      <w:r w:rsidRPr="004952C0">
        <w:t xml:space="preserve"> in section </w:t>
      </w:r>
      <w:r w:rsidR="00934AC6" w:rsidRPr="004952C0">
        <w:t>28</w:t>
      </w:r>
      <w:r w:rsidRPr="004952C0">
        <w:t xml:space="preserve"> of this determination and section </w:t>
      </w:r>
      <w:r w:rsidR="00934AC6" w:rsidRPr="004952C0">
        <w:t>4</w:t>
      </w:r>
      <w:r w:rsidRPr="004952C0">
        <w:t xml:space="preserve"> of </w:t>
      </w:r>
      <w:r w:rsidR="00934AC6" w:rsidRPr="004952C0">
        <w:t>Schedule 1</w:t>
      </w:r>
      <w:r w:rsidRPr="004952C0">
        <w:t>.</w:t>
      </w:r>
    </w:p>
    <w:p w:rsidR="0045496E" w:rsidRPr="004952C0" w:rsidRDefault="0045496E" w:rsidP="0045496E">
      <w:pPr>
        <w:pStyle w:val="nPara"/>
      </w:pPr>
      <w:r w:rsidRPr="004952C0">
        <w:t>Note:</w:t>
      </w:r>
      <w:r w:rsidRPr="004952C0">
        <w:tab/>
        <w:t>Paragraph </w:t>
      </w:r>
      <w:r w:rsidR="00934AC6" w:rsidRPr="004952C0">
        <w:t>(d)</w:t>
      </w:r>
      <w:r w:rsidRPr="004952C0">
        <w:t xml:space="preserve"> applies in relation to </w:t>
      </w:r>
      <w:r w:rsidRPr="004952C0">
        <w:rPr>
          <w:rFonts w:ascii="Cambria Math" w:hAnsi="Cambria Math"/>
          <w:i/>
        </w:rPr>
        <w:t>𝜂</w:t>
      </w:r>
      <w:proofErr w:type="spellStart"/>
      <w:r w:rsidRPr="004952C0">
        <w:rPr>
          <w:i/>
          <w:vertAlign w:val="subscript"/>
        </w:rPr>
        <w:t>C</w:t>
      </w:r>
      <w:proofErr w:type="gramStart"/>
      <w:r w:rsidRPr="004952C0">
        <w:rPr>
          <w:i/>
          <w:vertAlign w:val="subscript"/>
        </w:rPr>
        <w:t>,i</w:t>
      </w:r>
      <w:proofErr w:type="spellEnd"/>
      <w:proofErr w:type="gramEnd"/>
      <w:r w:rsidRPr="004952C0">
        <w:t xml:space="preserve"> as it appears in both sections </w:t>
      </w:r>
      <w:r w:rsidR="00934AC6" w:rsidRPr="004952C0">
        <w:t>28</w:t>
      </w:r>
      <w:r w:rsidRPr="004952C0">
        <w:t xml:space="preserve"> and </w:t>
      </w:r>
      <w:r w:rsidR="00934AC6" w:rsidRPr="004952C0">
        <w:t>30</w:t>
      </w:r>
      <w:r w:rsidRPr="004952C0">
        <w:t>.</w:t>
      </w:r>
    </w:p>
    <w:p w:rsidR="0045496E" w:rsidRPr="004952C0" w:rsidRDefault="0045496E" w:rsidP="0045496E">
      <w:pPr>
        <w:pStyle w:val="tMain"/>
      </w:pPr>
      <w:r w:rsidRPr="004952C0">
        <w:tab/>
      </w:r>
      <w:r w:rsidR="00FE4F8F" w:rsidRPr="004952C0">
        <w:t>(3)</w:t>
      </w:r>
      <w:r w:rsidRPr="004952C0">
        <w:tab/>
        <w:t>The project proponent must keep the following additional records in relation to each installed SM fan:</w:t>
      </w:r>
    </w:p>
    <w:p w:rsidR="0045496E" w:rsidRPr="004952C0" w:rsidRDefault="0045496E" w:rsidP="0045496E">
      <w:pPr>
        <w:pStyle w:val="tPara"/>
      </w:pPr>
      <w:r w:rsidRPr="004952C0">
        <w:tab/>
      </w:r>
      <w:r w:rsidR="00FE4F8F" w:rsidRPr="004952C0">
        <w:t>(a)</w:t>
      </w:r>
      <w:r w:rsidRPr="004952C0">
        <w:tab/>
      </w:r>
      <w:proofErr w:type="gramStart"/>
      <w:r w:rsidRPr="004952C0">
        <w:t>evidence</w:t>
      </w:r>
      <w:proofErr w:type="gramEnd"/>
      <w:r w:rsidRPr="004952C0">
        <w:t xml:space="preserve"> that the fan is driven by an electronically commutated motor;</w:t>
      </w:r>
    </w:p>
    <w:p w:rsidR="0045496E" w:rsidRPr="004952C0" w:rsidRDefault="0045496E" w:rsidP="0045496E">
      <w:pPr>
        <w:pStyle w:val="tPara"/>
      </w:pPr>
      <w:r w:rsidRPr="004952C0">
        <w:tab/>
      </w:r>
      <w:r w:rsidR="00FE4F8F" w:rsidRPr="004952C0">
        <w:t>(b)</w:t>
      </w:r>
      <w:r w:rsidRPr="004952C0">
        <w:tab/>
      </w:r>
      <w:proofErr w:type="gramStart"/>
      <w:r w:rsidRPr="004952C0">
        <w:t>the</w:t>
      </w:r>
      <w:proofErr w:type="gramEnd"/>
      <w:r w:rsidRPr="004952C0">
        <w:t xml:space="preserve"> supplier’s product specifications for any control system fitted to the electronically commutated motor;</w:t>
      </w:r>
    </w:p>
    <w:p w:rsidR="00AB0252" w:rsidRPr="004952C0" w:rsidRDefault="0045496E" w:rsidP="0045496E">
      <w:pPr>
        <w:pStyle w:val="tPara"/>
      </w:pPr>
      <w:r w:rsidRPr="004952C0">
        <w:tab/>
      </w:r>
      <w:r w:rsidR="00FE4F8F" w:rsidRPr="004952C0">
        <w:t>(c)</w:t>
      </w:r>
      <w:r w:rsidRPr="004952C0">
        <w:tab/>
      </w:r>
      <w:proofErr w:type="gramStart"/>
      <w:r w:rsidRPr="004952C0">
        <w:t>for</w:t>
      </w:r>
      <w:proofErr w:type="gramEnd"/>
      <w:r w:rsidRPr="004952C0">
        <w:t xml:space="preserve"> the fan that was replaced or modified—evidence that it was driven by a shaded pole motor or permanent split capacitor motor before the project</w:t>
      </w:r>
      <w:r w:rsidR="00AB0252" w:rsidRPr="004952C0">
        <w:t>;</w:t>
      </w:r>
    </w:p>
    <w:p w:rsidR="0045496E" w:rsidRPr="004952C0" w:rsidRDefault="00AB0252" w:rsidP="00AB0252">
      <w:pPr>
        <w:pStyle w:val="tPara"/>
      </w:pPr>
      <w:r w:rsidRPr="004952C0">
        <w:tab/>
      </w:r>
      <w:r w:rsidR="00FE4F8F" w:rsidRPr="004952C0">
        <w:t>(d)</w:t>
      </w:r>
      <w:r w:rsidRPr="004952C0">
        <w:tab/>
      </w:r>
      <w:proofErr w:type="gramStart"/>
      <w:r w:rsidRPr="004952C0">
        <w:t>evidence</w:t>
      </w:r>
      <w:proofErr w:type="gramEnd"/>
      <w:r w:rsidRPr="004952C0">
        <w:t xml:space="preserve"> that </w:t>
      </w:r>
      <w:r w:rsidR="0045496E" w:rsidRPr="004952C0">
        <w:t>any fan or component removed as part of the project was disposed of in accordance with section </w:t>
      </w:r>
      <w:r w:rsidR="00934AC6" w:rsidRPr="004952C0">
        <w:t>18</w:t>
      </w:r>
      <w:r w:rsidR="0045496E" w:rsidRPr="004952C0">
        <w:t xml:space="preserve"> and any other applicable legislative requirements.</w:t>
      </w:r>
    </w:p>
    <w:p w:rsidR="0045496E" w:rsidRPr="004952C0" w:rsidRDefault="00FE4F8F" w:rsidP="0045496E">
      <w:pPr>
        <w:pStyle w:val="h2Part"/>
      </w:pPr>
      <w:bookmarkStart w:id="115" w:name="_Toc420592142"/>
      <w:bookmarkStart w:id="116" w:name="_Toc431466306"/>
      <w:r w:rsidRPr="004952C0">
        <w:lastRenderedPageBreak/>
        <w:t>Part 6</w:t>
      </w:r>
      <w:r w:rsidR="0045496E" w:rsidRPr="004952C0">
        <w:t>—Dividing a refrigeration and ventilation fan project</w:t>
      </w:r>
      <w:bookmarkEnd w:id="115"/>
      <w:bookmarkEnd w:id="116"/>
    </w:p>
    <w:p w:rsidR="0045496E" w:rsidRPr="004952C0" w:rsidRDefault="00FE4F8F" w:rsidP="0045496E">
      <w:pPr>
        <w:pStyle w:val="h5Section"/>
      </w:pPr>
      <w:bookmarkStart w:id="117" w:name="_Toc420592143"/>
      <w:bookmarkStart w:id="118" w:name="_Toc431466307"/>
      <w:proofErr w:type="gramStart"/>
      <w:r w:rsidRPr="004952C0">
        <w:t>42</w:t>
      </w:r>
      <w:r w:rsidR="0045496E" w:rsidRPr="004952C0">
        <w:t xml:space="preserve">  Division</w:t>
      </w:r>
      <w:proofErr w:type="gramEnd"/>
      <w:r w:rsidR="0045496E" w:rsidRPr="004952C0">
        <w:t xml:space="preserve"> of project for reporting purposes</w:t>
      </w:r>
      <w:bookmarkEnd w:id="117"/>
      <w:bookmarkEnd w:id="118"/>
    </w:p>
    <w:p w:rsidR="0045496E" w:rsidRPr="004952C0" w:rsidRDefault="0045496E" w:rsidP="0045496E">
      <w:pPr>
        <w:pStyle w:val="tMain"/>
      </w:pPr>
      <w:r w:rsidRPr="004952C0">
        <w:tab/>
      </w:r>
      <w:r w:rsidRPr="004952C0">
        <w:tab/>
        <w:t xml:space="preserve">For subsection </w:t>
      </w:r>
      <w:proofErr w:type="gramStart"/>
      <w:r w:rsidRPr="004952C0">
        <w:t>77A(</w:t>
      </w:r>
      <w:proofErr w:type="gramEnd"/>
      <w:r w:rsidRPr="004952C0">
        <w:t>2) of the Act, the project may be divided into parts only if:</w:t>
      </w:r>
    </w:p>
    <w:p w:rsidR="0045496E" w:rsidRPr="004952C0" w:rsidRDefault="0045496E" w:rsidP="0045496E">
      <w:pPr>
        <w:pStyle w:val="tPara"/>
      </w:pPr>
      <w:r w:rsidRPr="004952C0">
        <w:tab/>
      </w:r>
      <w:r w:rsidR="00FE4F8F" w:rsidRPr="004952C0">
        <w:t>(a)</w:t>
      </w:r>
      <w:r w:rsidRPr="004952C0">
        <w:tab/>
      </w:r>
      <w:proofErr w:type="gramStart"/>
      <w:r w:rsidRPr="004952C0">
        <w:t>each</w:t>
      </w:r>
      <w:proofErr w:type="gramEnd"/>
      <w:r w:rsidRPr="004952C0">
        <w:t xml:space="preserve"> part would qualify as a refrigeration and ventilation fan project; and</w:t>
      </w:r>
    </w:p>
    <w:p w:rsidR="0045496E" w:rsidRPr="004952C0" w:rsidRDefault="0045496E" w:rsidP="0045496E">
      <w:pPr>
        <w:pStyle w:val="tPara"/>
      </w:pPr>
      <w:r w:rsidRPr="004952C0">
        <w:tab/>
      </w:r>
      <w:r w:rsidR="00FE4F8F" w:rsidRPr="004952C0">
        <w:t>(b)</w:t>
      </w:r>
      <w:r w:rsidRPr="004952C0">
        <w:tab/>
      </w:r>
      <w:proofErr w:type="gramStart"/>
      <w:r w:rsidRPr="004952C0">
        <w:t>each</w:t>
      </w:r>
      <w:proofErr w:type="gramEnd"/>
      <w:r w:rsidRPr="004952C0">
        <w:t xml:space="preserve"> part has achieved an abatement of at least 2,000 tonnes CO</w:t>
      </w:r>
      <w:r w:rsidRPr="004952C0">
        <w:rPr>
          <w:vertAlign w:val="subscript"/>
        </w:rPr>
        <w:t>2</w:t>
      </w:r>
      <w:r w:rsidRPr="004952C0">
        <w:t>-e in the reporting period before the division; and</w:t>
      </w:r>
    </w:p>
    <w:p w:rsidR="0045496E" w:rsidRPr="004952C0" w:rsidRDefault="0045496E" w:rsidP="0045496E">
      <w:pPr>
        <w:pStyle w:val="tPara"/>
      </w:pPr>
      <w:r w:rsidRPr="004952C0">
        <w:tab/>
      </w:r>
      <w:r w:rsidR="00FE4F8F" w:rsidRPr="004952C0">
        <w:t>(c)</w:t>
      </w:r>
      <w:r w:rsidRPr="004952C0">
        <w:tab/>
      </w:r>
      <w:proofErr w:type="gramStart"/>
      <w:r w:rsidRPr="004952C0">
        <w:t>all</w:t>
      </w:r>
      <w:proofErr w:type="gramEnd"/>
      <w:r w:rsidRPr="004952C0">
        <w:t xml:space="preserve"> fans that:</w:t>
      </w:r>
    </w:p>
    <w:p w:rsidR="0045496E" w:rsidRPr="004952C0" w:rsidRDefault="0045496E" w:rsidP="0045496E">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Pr="004952C0">
        <w:t>are</w:t>
      </w:r>
      <w:proofErr w:type="gramEnd"/>
      <w:r w:rsidRPr="004952C0">
        <w:t xml:space="preserve"> installed, modified or replaced as part of the project; and</w:t>
      </w:r>
    </w:p>
    <w:p w:rsidR="0045496E" w:rsidRPr="004952C0" w:rsidRDefault="0045496E" w:rsidP="0045496E">
      <w:pPr>
        <w:pStyle w:val="tSubpara"/>
      </w:pPr>
      <w:r w:rsidRPr="004952C0">
        <w:tab/>
      </w:r>
      <w:r w:rsidR="00FE4F8F" w:rsidRPr="004952C0">
        <w:t>(ii)</w:t>
      </w:r>
      <w:r w:rsidRPr="004952C0">
        <w:tab/>
      </w:r>
      <w:proofErr w:type="gramStart"/>
      <w:r w:rsidRPr="004952C0">
        <w:t>are</w:t>
      </w:r>
      <w:proofErr w:type="gramEnd"/>
      <w:r w:rsidRPr="004952C0">
        <w:t xml:space="preserve"> in the same building, or buildings with the same physical address;</w:t>
      </w:r>
    </w:p>
    <w:p w:rsidR="0045496E" w:rsidRPr="004952C0" w:rsidRDefault="0045496E" w:rsidP="0045496E">
      <w:pPr>
        <w:pStyle w:val="tPara"/>
      </w:pPr>
      <w:r w:rsidRPr="004952C0">
        <w:tab/>
      </w:r>
      <w:r w:rsidRPr="004952C0">
        <w:tab/>
      </w:r>
      <w:proofErr w:type="gramStart"/>
      <w:r w:rsidRPr="004952C0">
        <w:t>are</w:t>
      </w:r>
      <w:proofErr w:type="gramEnd"/>
      <w:r w:rsidRPr="004952C0">
        <w:t xml:space="preserve"> in the same part.</w:t>
      </w:r>
    </w:p>
    <w:p w:rsidR="0045496E" w:rsidRPr="004952C0" w:rsidRDefault="00FE4F8F" w:rsidP="0045496E">
      <w:pPr>
        <w:pStyle w:val="h1Chap"/>
      </w:pPr>
      <w:bookmarkStart w:id="119" w:name="_Toc431466308"/>
      <w:r w:rsidRPr="004952C0">
        <w:lastRenderedPageBreak/>
        <w:t>Schedule 1</w:t>
      </w:r>
      <w:r w:rsidR="0045496E" w:rsidRPr="004952C0">
        <w:t>—</w:t>
      </w:r>
      <w:proofErr w:type="gramStart"/>
      <w:r w:rsidR="0045496E" w:rsidRPr="004952C0">
        <w:t>High</w:t>
      </w:r>
      <w:proofErr w:type="gramEnd"/>
      <w:r w:rsidR="0045496E" w:rsidRPr="004952C0">
        <w:t xml:space="preserve"> efficiency fan installations—operating efficiency and high efficiency threshold</w:t>
      </w:r>
      <w:bookmarkEnd w:id="119"/>
    </w:p>
    <w:p w:rsidR="0045496E" w:rsidRPr="004952C0" w:rsidRDefault="0045496E" w:rsidP="0045496E">
      <w:pPr>
        <w:pStyle w:val="ntoHeading"/>
      </w:pPr>
      <w:r w:rsidRPr="004952C0">
        <w:t>Note:</w:t>
      </w:r>
      <w:r w:rsidRPr="004952C0">
        <w:tab/>
        <w:t xml:space="preserve">The definitions of several parameters used in this Schedule mirror the corresponding definitions in </w:t>
      </w:r>
      <w:r w:rsidR="00934AC6" w:rsidRPr="004952C0">
        <w:t>Division 3</w:t>
      </w:r>
      <w:r w:rsidRPr="004952C0">
        <w:t xml:space="preserve"> of </w:t>
      </w:r>
      <w:r w:rsidR="00934AC6" w:rsidRPr="004952C0">
        <w:t>Part 4</w:t>
      </w:r>
      <w:r w:rsidRPr="004952C0">
        <w:t>, and the values of those parameters calculated for the purposes of this Schedule can be re</w:t>
      </w:r>
      <w:r w:rsidRPr="004952C0">
        <w:noBreakHyphen/>
      </w:r>
      <w:proofErr w:type="spellStart"/>
      <w:r w:rsidRPr="004952C0">
        <w:t>used</w:t>
      </w:r>
      <w:proofErr w:type="spellEnd"/>
      <w:r w:rsidRPr="004952C0">
        <w:t xml:space="preserve"> when undertaking calculations for the purposes of that Division.</w:t>
      </w:r>
    </w:p>
    <w:p w:rsidR="0045496E" w:rsidRPr="004952C0" w:rsidRDefault="0045496E" w:rsidP="0045496E">
      <w:pPr>
        <w:pStyle w:val="h3Div"/>
      </w:pPr>
      <w:bookmarkStart w:id="120" w:name="_Toc431466309"/>
      <w:r w:rsidRPr="004952C0">
        <w:t>Division 1—Purpose of Schedule</w:t>
      </w:r>
      <w:bookmarkEnd w:id="120"/>
    </w:p>
    <w:p w:rsidR="0045496E" w:rsidRPr="004952C0" w:rsidRDefault="00FE4F8F" w:rsidP="0045496E">
      <w:pPr>
        <w:pStyle w:val="h5Section"/>
      </w:pPr>
      <w:bookmarkStart w:id="121" w:name="_Toc431466310"/>
      <w:proofErr w:type="gramStart"/>
      <w:r w:rsidRPr="004952C0">
        <w:t>1</w:t>
      </w:r>
      <w:r w:rsidR="0045496E" w:rsidRPr="004952C0">
        <w:t xml:space="preserve">  Purpose</w:t>
      </w:r>
      <w:proofErr w:type="gramEnd"/>
      <w:r w:rsidR="0045496E" w:rsidRPr="004952C0">
        <w:t xml:space="preserve"> of Schedule</w:t>
      </w:r>
      <w:bookmarkEnd w:id="121"/>
    </w:p>
    <w:p w:rsidR="0045496E" w:rsidRPr="004952C0" w:rsidRDefault="0045496E" w:rsidP="0045496E">
      <w:pPr>
        <w:pStyle w:val="tMain"/>
      </w:pPr>
      <w:r w:rsidRPr="004952C0">
        <w:tab/>
      </w:r>
      <w:r w:rsidRPr="004952C0">
        <w:tab/>
        <w:t>This Schedule sets out how to determine:</w:t>
      </w:r>
    </w:p>
    <w:p w:rsidR="0045496E" w:rsidRPr="004952C0" w:rsidRDefault="0045496E" w:rsidP="0045496E">
      <w:pPr>
        <w:pStyle w:val="tPara"/>
      </w:pPr>
      <w:r w:rsidRPr="004952C0">
        <w:tab/>
      </w:r>
      <w:r w:rsidR="00FE4F8F" w:rsidRPr="004952C0">
        <w:t>(a)</w:t>
      </w:r>
      <w:r w:rsidRPr="004952C0">
        <w:tab/>
      </w:r>
      <w:proofErr w:type="gramStart"/>
      <w:r w:rsidRPr="004952C0">
        <w:t>the</w:t>
      </w:r>
      <w:proofErr w:type="gramEnd"/>
      <w:r w:rsidRPr="004952C0">
        <w:t xml:space="preserve"> operating efficiency (see Division 2 of this Schedule); and</w:t>
      </w:r>
    </w:p>
    <w:p w:rsidR="0045496E" w:rsidRPr="004952C0" w:rsidRDefault="0045496E" w:rsidP="0045496E">
      <w:pPr>
        <w:pStyle w:val="tPara"/>
      </w:pPr>
      <w:r w:rsidRPr="004952C0">
        <w:tab/>
      </w:r>
      <w:r w:rsidR="00FE4F8F" w:rsidRPr="004952C0">
        <w:t>(b)</w:t>
      </w:r>
      <w:r w:rsidRPr="004952C0">
        <w:tab/>
      </w:r>
      <w:proofErr w:type="gramStart"/>
      <w:r w:rsidRPr="004952C0">
        <w:t>the</w:t>
      </w:r>
      <w:proofErr w:type="gramEnd"/>
      <w:r w:rsidRPr="004952C0">
        <w:t xml:space="preserve"> high efficiency threshold (see Division 3 of this Schedule);</w:t>
      </w:r>
    </w:p>
    <w:p w:rsidR="0045496E" w:rsidRPr="004952C0" w:rsidRDefault="0045496E" w:rsidP="0045496E">
      <w:pPr>
        <w:pStyle w:val="tMain"/>
        <w:spacing w:before="40"/>
      </w:pPr>
      <w:r w:rsidRPr="004952C0">
        <w:tab/>
      </w:r>
      <w:r w:rsidRPr="004952C0">
        <w:tab/>
      </w:r>
      <w:proofErr w:type="gramStart"/>
      <w:r w:rsidRPr="004952C0">
        <w:t>for</w:t>
      </w:r>
      <w:proofErr w:type="gramEnd"/>
      <w:r w:rsidRPr="004952C0">
        <w:t xml:space="preserve"> a fan, for the purposes of subparagraph </w:t>
      </w:r>
      <w:r w:rsidR="00934AC6" w:rsidRPr="004952C0">
        <w:t>9(3)(a)(iii)</w:t>
      </w:r>
      <w:r w:rsidRPr="004952C0">
        <w:t xml:space="preserve"> of this determination.</w:t>
      </w:r>
    </w:p>
    <w:p w:rsidR="0045496E" w:rsidRPr="004952C0" w:rsidRDefault="0045496E" w:rsidP="0045496E">
      <w:pPr>
        <w:pStyle w:val="h3Div"/>
        <w:rPr>
          <w:i/>
          <w:vertAlign w:val="subscript"/>
        </w:rPr>
      </w:pPr>
      <w:bookmarkStart w:id="122" w:name="_Toc431466311"/>
      <w:r w:rsidRPr="004952C0">
        <w:t>Division 2—Calculating operating efficiency of fan</w:t>
      </w:r>
      <w:bookmarkEnd w:id="122"/>
    </w:p>
    <w:p w:rsidR="0045496E" w:rsidRPr="004952C0" w:rsidRDefault="00FE4F8F" w:rsidP="0045496E">
      <w:pPr>
        <w:pStyle w:val="h5Section"/>
      </w:pPr>
      <w:bookmarkStart w:id="123" w:name="_Toc431466312"/>
      <w:proofErr w:type="gramStart"/>
      <w:r w:rsidRPr="004952C0">
        <w:t>2</w:t>
      </w:r>
      <w:r w:rsidR="0045496E" w:rsidRPr="004952C0">
        <w:t xml:space="preserve">  Equation</w:t>
      </w:r>
      <w:proofErr w:type="gramEnd"/>
      <w:r w:rsidR="0045496E" w:rsidRPr="004952C0">
        <w:t> 12—determining operating efficiency of fan (</w:t>
      </w:r>
      <w:r w:rsidR="0045496E" w:rsidRPr="004952C0">
        <w:rPr>
          <w:rFonts w:ascii="Cambria Math" w:hAnsi="Cambria Math"/>
          <w:i/>
        </w:rPr>
        <w:t>𝜂</w:t>
      </w:r>
      <w:proofErr w:type="spellStart"/>
      <w:r w:rsidR="0045496E" w:rsidRPr="004952C0">
        <w:rPr>
          <w:i/>
          <w:vertAlign w:val="subscript"/>
        </w:rPr>
        <w:t>Operating,i</w:t>
      </w:r>
      <w:proofErr w:type="spellEnd"/>
      <w:r w:rsidR="0045496E" w:rsidRPr="004952C0">
        <w:t>)</w:t>
      </w:r>
      <w:bookmarkEnd w:id="123"/>
    </w:p>
    <w:p w:rsidR="0045496E" w:rsidRPr="004952C0" w:rsidRDefault="0045496E" w:rsidP="0045496E">
      <w:pPr>
        <w:pStyle w:val="tMain"/>
      </w:pPr>
      <w:r w:rsidRPr="004952C0">
        <w:tab/>
      </w:r>
      <w:r w:rsidRPr="004952C0">
        <w:tab/>
        <w:t xml:space="preserve">The operating efficiency of a particular fan </w:t>
      </w:r>
      <w:proofErr w:type="spellStart"/>
      <w:r w:rsidRPr="004952C0">
        <w:rPr>
          <w:i/>
        </w:rPr>
        <w:t>i</w:t>
      </w:r>
      <w:proofErr w:type="spellEnd"/>
      <w:r w:rsidRPr="004952C0">
        <w:t xml:space="preserve">, </w:t>
      </w:r>
      <w:r w:rsidRPr="004952C0">
        <w:rPr>
          <w:rFonts w:ascii="Cambria Math" w:hAnsi="Cambria Math"/>
          <w:i/>
        </w:rPr>
        <w:t>𝜂</w:t>
      </w:r>
      <w:proofErr w:type="spellStart"/>
      <w:r w:rsidRPr="004952C0">
        <w:rPr>
          <w:i/>
          <w:vertAlign w:val="subscript"/>
        </w:rPr>
        <w:t>Operating</w:t>
      </w:r>
      <w:proofErr w:type="gramStart"/>
      <w:r w:rsidRPr="004952C0">
        <w:rPr>
          <w:i/>
          <w:vertAlign w:val="subscript"/>
        </w:rPr>
        <w:t>,i</w:t>
      </w:r>
      <w:proofErr w:type="spellEnd"/>
      <w:proofErr w:type="gramEnd"/>
      <w:r w:rsidRPr="004952C0">
        <w:t>, is worked out using the equation (</w:t>
      </w:r>
      <w:r w:rsidRPr="004952C0">
        <w:rPr>
          <w:b/>
          <w:i/>
        </w:rPr>
        <w:t>equation 12</w:t>
      </w:r>
      <w:r w:rsidRPr="004952C0">
        <w:t>):</w:t>
      </w:r>
    </w:p>
    <w:p w:rsidR="0045496E" w:rsidRPr="004952C0" w:rsidRDefault="004F3B1F" w:rsidP="0045496E">
      <w:pPr>
        <w:pStyle w:val="tMain"/>
      </w:pPr>
      <m:oMathPara>
        <m:oMathParaPr>
          <m:jc m:val="left"/>
        </m:oMathParaPr>
        <m:oMath>
          <m:sSub>
            <m:sSubPr>
              <m:ctrlPr>
                <w:rPr>
                  <w:rFonts w:ascii="Cambria Math" w:hAnsi="Cambria Math"/>
                  <w:i/>
                </w:rPr>
              </m:ctrlPr>
            </m:sSubPr>
            <m:e>
              <m:r>
                <w:rPr>
                  <w:rFonts w:ascii="Cambria Math" w:hAnsi="Cambria Math"/>
                </w:rPr>
                <m:t>η</m:t>
              </m:r>
            </m:e>
            <m:sub>
              <m:r>
                <w:rPr>
                  <w:rFonts w:ascii="Cambria Math" w:hAnsi="Cambria Math"/>
                </w:rPr>
                <m:t>Operating,i</m:t>
              </m:r>
            </m:sub>
          </m:sSub>
          <m: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i</m:t>
              </m:r>
            </m:sub>
          </m:sSub>
          <m:r>
            <w:rPr>
              <w:rFonts w:ascii="Cambria Math" w:hAnsi="Cambria Math" w:hint="eastAsia"/>
            </w:rPr>
            <m:t>×</m:t>
          </m:r>
          <m:sSub>
            <m:sSubPr>
              <m:ctrlPr>
                <w:rPr>
                  <w:rFonts w:ascii="Cambria Math" w:hAnsi="Cambria Math"/>
                  <w:i/>
                </w:rPr>
              </m:ctrlPr>
            </m:sSubPr>
            <m:e>
              <m:r>
                <w:rPr>
                  <w:rFonts w:ascii="Cambria Math" w:hAnsi="Cambria Math"/>
                </w:rPr>
                <m:t>C</m:t>
              </m:r>
            </m:e>
            <m:sub>
              <m:r>
                <w:rPr>
                  <w:rFonts w:ascii="Cambria Math" w:hAnsi="Cambria Math"/>
                </w:rPr>
                <m:t>C,i</m:t>
              </m:r>
            </m:sub>
          </m:sSub>
        </m:oMath>
      </m:oMathPara>
    </w:p>
    <w:p w:rsidR="0045496E" w:rsidRPr="004952C0" w:rsidRDefault="0045496E" w:rsidP="0045496E">
      <w:pPr>
        <w:pStyle w:val="tMain"/>
      </w:pPr>
      <w:r w:rsidRPr="004952C0">
        <w:tab/>
      </w:r>
      <w:r w:rsidRPr="004952C0">
        <w:tab/>
      </w:r>
      <w:proofErr w:type="gramStart"/>
      <w:r w:rsidRPr="004952C0">
        <w:t>where</w:t>
      </w:r>
      <w:proofErr w:type="gramEnd"/>
      <w:r w:rsidRPr="004952C0">
        <w:t>:</w:t>
      </w:r>
    </w:p>
    <w:p w:rsidR="0045496E" w:rsidRPr="004952C0" w:rsidRDefault="0045496E" w:rsidP="0045496E">
      <w:pPr>
        <w:pStyle w:val="tDefn"/>
      </w:pPr>
      <w:r w:rsidRPr="004952C0">
        <w:rPr>
          <w:rFonts w:ascii="Cambria Math" w:hAnsi="Cambria Math"/>
          <w:b/>
          <w:i/>
        </w:rPr>
        <w:t>𝜂</w:t>
      </w:r>
      <w:proofErr w:type="spellStart"/>
      <w:r w:rsidRPr="004952C0">
        <w:rPr>
          <w:b/>
          <w:i/>
          <w:vertAlign w:val="subscript"/>
        </w:rPr>
        <w:t>i</w:t>
      </w:r>
      <w:proofErr w:type="spellEnd"/>
      <w:r w:rsidRPr="004952C0">
        <w:t xml:space="preserve"> is the overall driven fan efficiency of the fan, and is:</w:t>
      </w:r>
    </w:p>
    <w:p w:rsidR="0045496E" w:rsidRPr="004952C0" w:rsidRDefault="0045496E" w:rsidP="0045496E">
      <w:pPr>
        <w:pStyle w:val="tPara"/>
      </w:pPr>
      <w:r w:rsidRPr="004952C0">
        <w:tab/>
        <w:t>(a)</w:t>
      </w:r>
      <w:r w:rsidRPr="004952C0">
        <w:tab/>
      </w:r>
      <w:proofErr w:type="gramStart"/>
      <w:r w:rsidRPr="004952C0">
        <w:t>if</w:t>
      </w:r>
      <w:proofErr w:type="gramEnd"/>
      <w:r w:rsidRPr="004952C0">
        <w:t xml:space="preserve"> the model of the fan was tested with the same drive, motor and transmission as the fan (see paragraph </w:t>
      </w:r>
      <w:r w:rsidR="00934AC6" w:rsidRPr="004952C0">
        <w:t>16(4)(b)</w:t>
      </w:r>
      <w:r w:rsidRPr="004952C0">
        <w:t xml:space="preserve"> of this determination)—the overall driven fan efficiency given by equation 13; and</w:t>
      </w:r>
    </w:p>
    <w:p w:rsidR="0045496E" w:rsidRPr="004952C0" w:rsidRDefault="0045496E" w:rsidP="0045496E">
      <w:pPr>
        <w:pStyle w:val="tPara"/>
      </w:pPr>
      <w:r w:rsidRPr="004952C0">
        <w:tab/>
        <w:t>(b)</w:t>
      </w:r>
      <w:r w:rsidRPr="004952C0">
        <w:tab/>
      </w:r>
      <w:proofErr w:type="gramStart"/>
      <w:r w:rsidRPr="004952C0">
        <w:t>otherwise—</w:t>
      </w:r>
      <w:proofErr w:type="gramEnd"/>
      <w:r w:rsidRPr="004952C0">
        <w:t>the overall driven fan efficiency given by equation 14.</w:t>
      </w:r>
    </w:p>
    <w:p w:rsidR="0045496E" w:rsidRPr="004952C0" w:rsidRDefault="0045496E" w:rsidP="0045496E">
      <w:pPr>
        <w:pStyle w:val="tDefn"/>
      </w:pPr>
      <w:proofErr w:type="spellStart"/>
      <w:r w:rsidRPr="004952C0">
        <w:rPr>
          <w:b/>
          <w:i/>
        </w:rPr>
        <w:t>C</w:t>
      </w:r>
      <w:r w:rsidRPr="004952C0">
        <w:rPr>
          <w:b/>
          <w:i/>
          <w:vertAlign w:val="subscript"/>
        </w:rPr>
        <w:t>C</w:t>
      </w:r>
      <w:proofErr w:type="gramStart"/>
      <w:r w:rsidRPr="004952C0">
        <w:rPr>
          <w:b/>
          <w:i/>
          <w:vertAlign w:val="subscript"/>
        </w:rPr>
        <w:t>,i</w:t>
      </w:r>
      <w:proofErr w:type="spellEnd"/>
      <w:proofErr w:type="gramEnd"/>
      <w:r w:rsidRPr="004952C0">
        <w:t xml:space="preserve"> is the part load compensation factor for the controller of the fan, and is:</w:t>
      </w:r>
    </w:p>
    <w:p w:rsidR="0045496E" w:rsidRPr="004952C0" w:rsidRDefault="0045496E" w:rsidP="0045496E">
      <w:pPr>
        <w:pStyle w:val="tPara"/>
      </w:pPr>
      <w:r w:rsidRPr="004952C0">
        <w:tab/>
        <w:t>(a)</w:t>
      </w:r>
      <w:r w:rsidRPr="004952C0">
        <w:tab/>
      </w:r>
      <w:proofErr w:type="gramStart"/>
      <w:r w:rsidRPr="004952C0">
        <w:t>if</w:t>
      </w:r>
      <w:proofErr w:type="gramEnd"/>
      <w:r w:rsidRPr="004952C0">
        <w:t xml:space="preserve"> the motor is controlled by a variable speed drive that is to be installed as part of the project—the value given by equation 16 (subsection </w:t>
      </w:r>
      <w:r w:rsidR="00934AC6" w:rsidRPr="004952C0">
        <w:t>5(1)</w:t>
      </w:r>
      <w:r w:rsidRPr="004952C0">
        <w:t xml:space="preserve"> of this Schedule); and</w:t>
      </w:r>
    </w:p>
    <w:p w:rsidR="0045496E" w:rsidRPr="004952C0" w:rsidRDefault="0045496E" w:rsidP="0045496E">
      <w:pPr>
        <w:pStyle w:val="tPara"/>
      </w:pPr>
      <w:r w:rsidRPr="004952C0">
        <w:tab/>
        <w:t>(b)</w:t>
      </w:r>
      <w:r w:rsidRPr="004952C0">
        <w:tab/>
      </w:r>
      <w:proofErr w:type="gramStart"/>
      <w:r w:rsidRPr="004952C0">
        <w:t>if</w:t>
      </w:r>
      <w:proofErr w:type="gramEnd"/>
      <w:r w:rsidRPr="004952C0">
        <w:t xml:space="preserve"> the motor is controlled by a multi</w:t>
      </w:r>
      <w:r w:rsidRPr="004952C0">
        <w:noBreakHyphen/>
      </w:r>
      <w:proofErr w:type="spellStart"/>
      <w:r w:rsidRPr="004952C0">
        <w:t>speed</w:t>
      </w:r>
      <w:proofErr w:type="spellEnd"/>
      <w:r w:rsidRPr="004952C0">
        <w:t xml:space="preserve"> control or a switching control that is to be installed as part of the project—the value given by equation 17 (subsection </w:t>
      </w:r>
      <w:r w:rsidR="00934AC6" w:rsidRPr="004952C0">
        <w:t>5(2)</w:t>
      </w:r>
      <w:r w:rsidRPr="004952C0">
        <w:t xml:space="preserve"> of this Schedule); and</w:t>
      </w:r>
    </w:p>
    <w:p w:rsidR="0045496E" w:rsidRPr="004952C0" w:rsidRDefault="0045496E" w:rsidP="0045496E">
      <w:pPr>
        <w:pStyle w:val="tPara"/>
      </w:pPr>
      <w:r w:rsidRPr="004952C0">
        <w:tab/>
        <w:t>(c)</w:t>
      </w:r>
      <w:r w:rsidRPr="004952C0">
        <w:tab/>
      </w:r>
      <w:proofErr w:type="gramStart"/>
      <w:r w:rsidRPr="004952C0">
        <w:t>otherwise—</w:t>
      </w:r>
      <w:proofErr w:type="gramEnd"/>
      <w:r w:rsidRPr="004952C0">
        <w:t>1.</w:t>
      </w:r>
    </w:p>
    <w:p w:rsidR="0045496E" w:rsidRPr="004952C0" w:rsidRDefault="00FE4F8F" w:rsidP="0045496E">
      <w:pPr>
        <w:pStyle w:val="h5Section"/>
        <w:rPr>
          <w:b w:val="0"/>
        </w:rPr>
      </w:pPr>
      <w:bookmarkStart w:id="124" w:name="_Toc431466313"/>
      <w:proofErr w:type="gramStart"/>
      <w:r w:rsidRPr="004952C0">
        <w:t>3</w:t>
      </w:r>
      <w:r w:rsidR="0045496E" w:rsidRPr="004952C0">
        <w:t xml:space="preserve">  Equations</w:t>
      </w:r>
      <w:proofErr w:type="gramEnd"/>
      <w:r w:rsidR="0045496E" w:rsidRPr="004952C0">
        <w:t> 13 and 14—calculation of overall driven fan efficiency (</w:t>
      </w:r>
      <w:r w:rsidR="0045496E" w:rsidRPr="004952C0">
        <w:rPr>
          <w:rFonts w:ascii="Cambria Math" w:hAnsi="Cambria Math"/>
          <w:b w:val="0"/>
          <w:i/>
        </w:rPr>
        <w:t>𝜂</w:t>
      </w:r>
      <w:proofErr w:type="spellStart"/>
      <w:r w:rsidR="0045496E" w:rsidRPr="004952C0">
        <w:rPr>
          <w:b w:val="0"/>
          <w:i/>
          <w:vertAlign w:val="subscript"/>
        </w:rPr>
        <w:t>i</w:t>
      </w:r>
      <w:proofErr w:type="spellEnd"/>
      <w:r w:rsidR="0045496E" w:rsidRPr="004952C0">
        <w:t>)</w:t>
      </w:r>
      <w:bookmarkEnd w:id="124"/>
    </w:p>
    <w:p w:rsidR="0045496E" w:rsidRPr="004952C0" w:rsidRDefault="0045496E" w:rsidP="0045496E">
      <w:pPr>
        <w:pStyle w:val="tMain"/>
      </w:pPr>
      <w:r w:rsidRPr="004952C0">
        <w:tab/>
      </w:r>
      <w:r w:rsidR="00FE4F8F" w:rsidRPr="004952C0">
        <w:t>(1)</w:t>
      </w:r>
      <w:r w:rsidRPr="004952C0">
        <w:tab/>
        <w:t xml:space="preserve">For equation 12, if paragraph (a) of the definition of </w:t>
      </w:r>
      <w:r w:rsidRPr="004952C0">
        <w:rPr>
          <w:rFonts w:ascii="Cambria Math" w:hAnsi="Cambria Math"/>
          <w:i/>
        </w:rPr>
        <w:t>𝜂</w:t>
      </w:r>
      <w:proofErr w:type="spellStart"/>
      <w:r w:rsidRPr="004952C0">
        <w:rPr>
          <w:i/>
          <w:vertAlign w:val="subscript"/>
        </w:rPr>
        <w:t>i</w:t>
      </w:r>
      <w:proofErr w:type="spellEnd"/>
      <w:r w:rsidRPr="004952C0">
        <w:rPr>
          <w:i/>
          <w:vertAlign w:val="subscript"/>
        </w:rPr>
        <w:t xml:space="preserve"> </w:t>
      </w:r>
      <w:r w:rsidRPr="004952C0">
        <w:t xml:space="preserve">is applicable, </w:t>
      </w:r>
      <w:r w:rsidRPr="004952C0">
        <w:rPr>
          <w:rFonts w:ascii="Cambria Math" w:hAnsi="Cambria Math"/>
          <w:i/>
        </w:rPr>
        <w:t>𝜂</w:t>
      </w:r>
      <w:proofErr w:type="spellStart"/>
      <w:r w:rsidRPr="004952C0">
        <w:rPr>
          <w:i/>
          <w:vertAlign w:val="subscript"/>
        </w:rPr>
        <w:t>i</w:t>
      </w:r>
      <w:proofErr w:type="spellEnd"/>
      <w:r w:rsidRPr="004952C0">
        <w:rPr>
          <w:b/>
          <w:i/>
        </w:rPr>
        <w:t xml:space="preserve"> </w:t>
      </w:r>
      <w:r w:rsidRPr="004952C0">
        <w:t>is worked out using the equation (</w:t>
      </w:r>
      <w:r w:rsidRPr="004952C0">
        <w:rPr>
          <w:b/>
          <w:i/>
        </w:rPr>
        <w:t>equation 13</w:t>
      </w:r>
      <w:r w:rsidRPr="004952C0">
        <w:t>):</w:t>
      </w:r>
    </w:p>
    <w:p w:rsidR="0045496E" w:rsidRPr="004952C0" w:rsidRDefault="004F3B1F" w:rsidP="0045496E">
      <w:pPr>
        <w:pStyle w:val="tMain"/>
      </w:pPr>
      <m:oMathPara>
        <m:oMathParaPr>
          <m:jc m:val="left"/>
        </m:oMathParaPr>
        <m:oMath>
          <m:sSub>
            <m:sSubPr>
              <m:ctrlPr>
                <w:rPr>
                  <w:rFonts w:ascii="Cambria Math" w:hAnsi="Cambria Math"/>
                  <w:i/>
                </w:rPr>
              </m:ctrlPr>
            </m:sSubPr>
            <m:e>
              <m:r>
                <w:rPr>
                  <w:rFonts w:ascii="Cambria Math" w:hAnsi="Cambria Math"/>
                </w:rPr>
                <m:t>η</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U,i</m:t>
                  </m:r>
                </m:sub>
              </m:sSub>
            </m:num>
            <m:den>
              <m:sSub>
                <m:sSubPr>
                  <m:ctrlPr>
                    <w:rPr>
                      <w:rFonts w:ascii="Cambria Math" w:hAnsi="Cambria Math"/>
                      <w:i/>
                    </w:rPr>
                  </m:ctrlPr>
                </m:sSubPr>
                <m:e>
                  <m:r>
                    <w:rPr>
                      <w:rFonts w:ascii="Cambria Math" w:hAnsi="Cambria Math"/>
                    </w:rPr>
                    <m:t>P</m:t>
                  </m:r>
                </m:e>
                <m:sub>
                  <m:r>
                    <w:rPr>
                      <w:rFonts w:ascii="Cambria Math" w:hAnsi="Cambria Math"/>
                    </w:rPr>
                    <m:t>E,i</m:t>
                  </m:r>
                </m:sub>
              </m:sSub>
            </m:den>
          </m:f>
        </m:oMath>
      </m:oMathPara>
    </w:p>
    <w:p w:rsidR="0045496E" w:rsidRPr="004952C0" w:rsidRDefault="0045496E" w:rsidP="0045496E">
      <w:pPr>
        <w:pStyle w:val="tMain"/>
      </w:pPr>
      <w:r w:rsidRPr="004952C0">
        <w:tab/>
      </w:r>
      <w:r w:rsidRPr="004952C0">
        <w:tab/>
      </w:r>
      <w:proofErr w:type="gramStart"/>
      <w:r w:rsidRPr="004952C0">
        <w:t>where</w:t>
      </w:r>
      <w:proofErr w:type="gramEnd"/>
      <w:r w:rsidRPr="004952C0">
        <w:t>:</w:t>
      </w:r>
    </w:p>
    <w:p w:rsidR="0045496E" w:rsidRPr="004952C0" w:rsidRDefault="0045496E" w:rsidP="0045496E">
      <w:pPr>
        <w:pStyle w:val="tDefn"/>
      </w:pPr>
      <w:proofErr w:type="spellStart"/>
      <w:r w:rsidRPr="004952C0">
        <w:rPr>
          <w:rFonts w:ascii="Cambria Math" w:hAnsi="Cambria Math"/>
          <w:b/>
          <w:i/>
        </w:rPr>
        <w:t>P</w:t>
      </w:r>
      <w:r w:rsidRPr="004952C0">
        <w:rPr>
          <w:b/>
          <w:i/>
          <w:vertAlign w:val="subscript"/>
        </w:rPr>
        <w:t>U,i</w:t>
      </w:r>
      <w:proofErr w:type="spellEnd"/>
      <w:r w:rsidRPr="004952C0">
        <w:t xml:space="preserve"> is the fan air power or fan static air power (as appropriate) in kilowatts, as measured in testing using the same drive, motor and transmission as the fan to be installed.</w:t>
      </w:r>
    </w:p>
    <w:p w:rsidR="0045496E" w:rsidRPr="004952C0" w:rsidRDefault="0045496E" w:rsidP="0045496E">
      <w:pPr>
        <w:pStyle w:val="tDefn"/>
      </w:pPr>
      <w:proofErr w:type="spellStart"/>
      <w:r w:rsidRPr="004952C0">
        <w:rPr>
          <w:b/>
          <w:i/>
        </w:rPr>
        <w:lastRenderedPageBreak/>
        <w:t>P</w:t>
      </w:r>
      <w:r w:rsidRPr="004952C0">
        <w:rPr>
          <w:b/>
          <w:i/>
          <w:vertAlign w:val="subscript"/>
        </w:rPr>
        <w:t>E</w:t>
      </w:r>
      <w:proofErr w:type="gramStart"/>
      <w:r w:rsidRPr="004952C0">
        <w:rPr>
          <w:b/>
          <w:i/>
          <w:vertAlign w:val="subscript"/>
        </w:rPr>
        <w:t>,i</w:t>
      </w:r>
      <w:proofErr w:type="spellEnd"/>
      <w:proofErr w:type="gramEnd"/>
      <w:r w:rsidRPr="004952C0">
        <w:t xml:space="preserve"> is the motor input power of the fan in kilowatts, as measured in testing using the same drive, motor and transmission as the fan to be installed.</w:t>
      </w:r>
    </w:p>
    <w:p w:rsidR="0045496E" w:rsidRPr="004952C0" w:rsidRDefault="0045496E" w:rsidP="0045496E">
      <w:pPr>
        <w:pStyle w:val="nMain"/>
        <w:rPr>
          <w:b/>
        </w:rPr>
      </w:pPr>
      <w:r w:rsidRPr="004952C0">
        <w:t>Note:</w:t>
      </w:r>
      <w:r w:rsidRPr="004952C0">
        <w:tab/>
        <w:t xml:space="preserve">For the testing for </w:t>
      </w:r>
      <w:proofErr w:type="spellStart"/>
      <w:r w:rsidRPr="004952C0">
        <w:rPr>
          <w:i/>
        </w:rPr>
        <w:t>P</w:t>
      </w:r>
      <w:r w:rsidRPr="004952C0">
        <w:rPr>
          <w:i/>
          <w:vertAlign w:val="subscript"/>
        </w:rPr>
        <w:t>U</w:t>
      </w:r>
      <w:proofErr w:type="gramStart"/>
      <w:r w:rsidRPr="004952C0">
        <w:rPr>
          <w:i/>
          <w:vertAlign w:val="subscript"/>
        </w:rPr>
        <w:t>,i</w:t>
      </w:r>
      <w:proofErr w:type="spellEnd"/>
      <w:proofErr w:type="gramEnd"/>
      <w:r w:rsidRPr="004952C0">
        <w:t xml:space="preserve"> and </w:t>
      </w:r>
      <w:proofErr w:type="spellStart"/>
      <w:r w:rsidRPr="004952C0">
        <w:rPr>
          <w:i/>
        </w:rPr>
        <w:t>P</w:t>
      </w:r>
      <w:r w:rsidRPr="004952C0">
        <w:rPr>
          <w:i/>
          <w:vertAlign w:val="subscript"/>
        </w:rPr>
        <w:t>E,i</w:t>
      </w:r>
      <w:proofErr w:type="spellEnd"/>
      <w:r w:rsidRPr="004952C0">
        <w:t>, see paragraphs </w:t>
      </w:r>
      <w:r w:rsidR="00934AC6" w:rsidRPr="004952C0">
        <w:t>16(4)(b)</w:t>
      </w:r>
      <w:r w:rsidRPr="004952C0">
        <w:t xml:space="preserve"> and </w:t>
      </w:r>
      <w:r w:rsidR="00934AC6" w:rsidRPr="004952C0">
        <w:t>(5)(d)</w:t>
      </w:r>
      <w:r w:rsidRPr="004952C0">
        <w:t xml:space="preserve"> and </w:t>
      </w:r>
      <w:r w:rsidR="00934AC6" w:rsidRPr="004952C0">
        <w:t>(e)</w:t>
      </w:r>
      <w:r w:rsidRPr="004952C0">
        <w:t xml:space="preserve"> of this determination.</w:t>
      </w:r>
    </w:p>
    <w:p w:rsidR="0045496E" w:rsidRPr="004952C0" w:rsidRDefault="0045496E" w:rsidP="0045496E">
      <w:pPr>
        <w:pStyle w:val="tMain"/>
      </w:pPr>
      <w:r w:rsidRPr="004952C0">
        <w:tab/>
      </w:r>
      <w:r w:rsidR="00FE4F8F" w:rsidRPr="004952C0">
        <w:t>(2)</w:t>
      </w:r>
      <w:r w:rsidRPr="004952C0">
        <w:tab/>
        <w:t xml:space="preserve">For equation 12, if paragraph (b) of the definition of </w:t>
      </w:r>
      <w:r w:rsidRPr="004952C0">
        <w:rPr>
          <w:rFonts w:ascii="Cambria Math" w:hAnsi="Cambria Math"/>
          <w:i/>
        </w:rPr>
        <w:t>𝜂</w:t>
      </w:r>
      <w:proofErr w:type="spellStart"/>
      <w:r w:rsidRPr="004952C0">
        <w:rPr>
          <w:i/>
          <w:vertAlign w:val="subscript"/>
        </w:rPr>
        <w:t>i</w:t>
      </w:r>
      <w:proofErr w:type="spellEnd"/>
      <w:r w:rsidRPr="004952C0">
        <w:t xml:space="preserve"> is applicable, </w:t>
      </w:r>
      <w:r w:rsidRPr="004952C0">
        <w:rPr>
          <w:rFonts w:ascii="Cambria Math" w:hAnsi="Cambria Math"/>
          <w:i/>
        </w:rPr>
        <w:t>𝜂</w:t>
      </w:r>
      <w:proofErr w:type="spellStart"/>
      <w:r w:rsidRPr="004952C0">
        <w:rPr>
          <w:i/>
          <w:vertAlign w:val="subscript"/>
        </w:rPr>
        <w:t>i</w:t>
      </w:r>
      <w:proofErr w:type="spellEnd"/>
      <w:r w:rsidRPr="004952C0">
        <w:t xml:space="preserve"> is worked out using the equation (</w:t>
      </w:r>
      <w:r w:rsidRPr="004952C0">
        <w:rPr>
          <w:b/>
          <w:i/>
        </w:rPr>
        <w:t>equation 14</w:t>
      </w:r>
      <w:r w:rsidRPr="004952C0">
        <w:t>):</w:t>
      </w:r>
    </w:p>
    <w:p w:rsidR="0045496E" w:rsidRPr="004952C0" w:rsidRDefault="004F3B1F" w:rsidP="0045496E">
      <w:pPr>
        <w:pStyle w:val="tMain"/>
      </w:pPr>
      <m:oMathPara>
        <m:oMathParaPr>
          <m:jc m:val="left"/>
        </m:oMathParaPr>
        <m:oMath>
          <m:sSub>
            <m:sSubPr>
              <m:ctrlPr>
                <w:rPr>
                  <w:rFonts w:ascii="Cambria Math" w:hAnsi="Cambria Math"/>
                  <w:i/>
                </w:rPr>
              </m:ctrlPr>
            </m:sSubPr>
            <m:e>
              <m:r>
                <w:rPr>
                  <w:rFonts w:ascii="Cambria Math" w:hAnsi="Cambria Math"/>
                </w:rPr>
                <m:t>η</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U,i</m:t>
                  </m:r>
                </m:sub>
              </m:sSub>
            </m:num>
            <m:den>
              <m:sSub>
                <m:sSubPr>
                  <m:ctrlPr>
                    <w:rPr>
                      <w:rFonts w:ascii="Cambria Math" w:hAnsi="Cambria Math"/>
                      <w:i/>
                    </w:rPr>
                  </m:ctrlPr>
                </m:sSubPr>
                <m:e>
                  <m:r>
                    <w:rPr>
                      <w:rFonts w:ascii="Cambria Math" w:hAnsi="Cambria Math"/>
                    </w:rPr>
                    <m:t>P</m:t>
                  </m:r>
                </m:e>
                <m:sub>
                  <m:r>
                    <w:rPr>
                      <w:rFonts w:ascii="Cambria Math" w:hAnsi="Cambria Math"/>
                    </w:rPr>
                    <m:t>E,i</m:t>
                  </m:r>
                </m:sub>
              </m:sSub>
            </m:den>
          </m:f>
          <m:r>
            <w:rPr>
              <w:rFonts w:ascii="Cambria Math" w:hAnsi="Cambria Math" w:hint="eastAsia"/>
            </w:rPr>
            <m:t>×</m:t>
          </m:r>
          <m:r>
            <w:rPr>
              <w:rFonts w:ascii="Cambria Math" w:hAnsi="Cambria Math"/>
            </w:rPr>
            <m:t>0.9</m:t>
          </m:r>
        </m:oMath>
      </m:oMathPara>
    </w:p>
    <w:p w:rsidR="0045496E" w:rsidRPr="004952C0" w:rsidRDefault="0045496E" w:rsidP="0045496E">
      <w:pPr>
        <w:pStyle w:val="tMain"/>
      </w:pPr>
      <w:r w:rsidRPr="004952C0">
        <w:tab/>
      </w:r>
      <w:r w:rsidRPr="004952C0">
        <w:tab/>
      </w:r>
      <w:proofErr w:type="gramStart"/>
      <w:r w:rsidRPr="004952C0">
        <w:t>where</w:t>
      </w:r>
      <w:proofErr w:type="gramEnd"/>
      <w:r w:rsidRPr="004952C0">
        <w:t>:</w:t>
      </w:r>
    </w:p>
    <w:p w:rsidR="0045496E" w:rsidRPr="004952C0" w:rsidRDefault="0045496E" w:rsidP="0045496E">
      <w:pPr>
        <w:pStyle w:val="tDefn"/>
      </w:pPr>
      <w:proofErr w:type="spellStart"/>
      <w:r w:rsidRPr="004952C0">
        <w:rPr>
          <w:rFonts w:ascii="Cambria Math" w:hAnsi="Cambria Math"/>
          <w:b/>
          <w:i/>
        </w:rPr>
        <w:t>P</w:t>
      </w:r>
      <w:r w:rsidRPr="004952C0">
        <w:rPr>
          <w:b/>
          <w:i/>
          <w:vertAlign w:val="subscript"/>
        </w:rPr>
        <w:t>U</w:t>
      </w:r>
      <w:proofErr w:type="gramStart"/>
      <w:r w:rsidRPr="004952C0">
        <w:rPr>
          <w:b/>
          <w:i/>
          <w:vertAlign w:val="subscript"/>
        </w:rPr>
        <w:t>,i</w:t>
      </w:r>
      <w:proofErr w:type="spellEnd"/>
      <w:proofErr w:type="gramEnd"/>
      <w:r w:rsidRPr="004952C0">
        <w:t xml:space="preserve"> is the fan air power or fan static air power (as appropriate) in kilowatts as determined </w:t>
      </w:r>
      <w:r w:rsidR="009729CF" w:rsidRPr="004952C0">
        <w:t xml:space="preserve">from test results </w:t>
      </w:r>
      <w:r w:rsidRPr="004952C0">
        <w:t>in accordance with section </w:t>
      </w:r>
      <w:r w:rsidR="00934AC6" w:rsidRPr="004952C0">
        <w:t>16</w:t>
      </w:r>
      <w:r w:rsidRPr="004952C0">
        <w:t xml:space="preserve"> of this determination.</w:t>
      </w:r>
    </w:p>
    <w:p w:rsidR="0045496E" w:rsidRPr="004952C0" w:rsidRDefault="0045496E" w:rsidP="0045496E">
      <w:pPr>
        <w:pStyle w:val="tDefn"/>
      </w:pPr>
      <w:proofErr w:type="spellStart"/>
      <w:r w:rsidRPr="004952C0">
        <w:rPr>
          <w:b/>
          <w:i/>
        </w:rPr>
        <w:t>P</w:t>
      </w:r>
      <w:r w:rsidRPr="004952C0">
        <w:rPr>
          <w:b/>
          <w:i/>
          <w:vertAlign w:val="subscript"/>
        </w:rPr>
        <w:t>E</w:t>
      </w:r>
      <w:proofErr w:type="gramStart"/>
      <w:r w:rsidRPr="004952C0">
        <w:rPr>
          <w:b/>
          <w:i/>
          <w:vertAlign w:val="subscript"/>
        </w:rPr>
        <w:t>,i</w:t>
      </w:r>
      <w:proofErr w:type="spellEnd"/>
      <w:proofErr w:type="gramEnd"/>
      <w:r w:rsidRPr="004952C0">
        <w:t xml:space="preserve"> is the motor input power of the fan in kilowatts, as calculated in accordance with equation 15.</w:t>
      </w:r>
    </w:p>
    <w:p w:rsidR="0045496E" w:rsidRPr="004952C0" w:rsidRDefault="0045496E" w:rsidP="0045496E">
      <w:pPr>
        <w:pStyle w:val="nMain"/>
      </w:pPr>
      <w:r w:rsidRPr="004952C0">
        <w:t>Note:</w:t>
      </w:r>
      <w:r w:rsidRPr="004952C0">
        <w:tab/>
        <w:t>The factor 0.9 is a mismatch factor that reflects that the testing was not done with the same drive, motor and transmission of the fan to be installed.</w:t>
      </w:r>
    </w:p>
    <w:p w:rsidR="0045496E" w:rsidRPr="004952C0" w:rsidRDefault="00FE4F8F" w:rsidP="0045496E">
      <w:pPr>
        <w:pStyle w:val="h5Section"/>
      </w:pPr>
      <w:bookmarkStart w:id="125" w:name="_Toc431466314"/>
      <w:proofErr w:type="gramStart"/>
      <w:r w:rsidRPr="004952C0">
        <w:t>4</w:t>
      </w:r>
      <w:r w:rsidR="0045496E" w:rsidRPr="004952C0">
        <w:t xml:space="preserve">  Equation</w:t>
      </w:r>
      <w:proofErr w:type="gramEnd"/>
      <w:r w:rsidR="0045496E" w:rsidRPr="004952C0">
        <w:t xml:space="preserve"> 15—calculation of motor input power, </w:t>
      </w:r>
      <w:proofErr w:type="spellStart"/>
      <w:r w:rsidR="0045496E" w:rsidRPr="004952C0">
        <w:rPr>
          <w:i/>
        </w:rPr>
        <w:t>P</w:t>
      </w:r>
      <w:r w:rsidR="0045496E" w:rsidRPr="004952C0">
        <w:rPr>
          <w:i/>
          <w:vertAlign w:val="subscript"/>
        </w:rPr>
        <w:t>E,i</w:t>
      </w:r>
      <w:bookmarkEnd w:id="125"/>
      <w:proofErr w:type="spellEnd"/>
    </w:p>
    <w:p w:rsidR="0045496E" w:rsidRPr="004952C0" w:rsidRDefault="0045496E" w:rsidP="0045496E">
      <w:pPr>
        <w:pStyle w:val="tMain"/>
      </w:pPr>
      <w:r w:rsidRPr="004952C0">
        <w:tab/>
      </w:r>
      <w:r w:rsidRPr="004952C0">
        <w:tab/>
        <w:t>For subsection </w:t>
      </w:r>
      <w:r w:rsidR="00934AC6" w:rsidRPr="004952C0">
        <w:t>3(2)</w:t>
      </w:r>
      <w:r w:rsidRPr="004952C0">
        <w:t xml:space="preserve"> of this Schedule, </w:t>
      </w:r>
      <w:proofErr w:type="spellStart"/>
      <w:r w:rsidRPr="004952C0">
        <w:rPr>
          <w:i/>
        </w:rPr>
        <w:t>P</w:t>
      </w:r>
      <w:r w:rsidRPr="004952C0">
        <w:rPr>
          <w:i/>
          <w:vertAlign w:val="subscript"/>
        </w:rPr>
        <w:t>E</w:t>
      </w:r>
      <w:proofErr w:type="gramStart"/>
      <w:r w:rsidRPr="004952C0">
        <w:rPr>
          <w:i/>
          <w:vertAlign w:val="subscript"/>
        </w:rPr>
        <w:t>,i</w:t>
      </w:r>
      <w:proofErr w:type="spellEnd"/>
      <w:proofErr w:type="gramEnd"/>
      <w:r w:rsidRPr="004952C0">
        <w:t xml:space="preserve"> is calculated using the following equation (</w:t>
      </w:r>
      <w:r w:rsidRPr="004952C0">
        <w:rPr>
          <w:b/>
          <w:i/>
        </w:rPr>
        <w:t>equation 15</w:t>
      </w:r>
      <w:r w:rsidRPr="004952C0">
        <w:t>):</w:t>
      </w:r>
    </w:p>
    <w:p w:rsidR="0045496E" w:rsidRPr="004952C0" w:rsidRDefault="004F3B1F" w:rsidP="0045496E">
      <w:pPr>
        <w:pStyle w:val="tMain"/>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E,i</m:t>
              </m:r>
            </m:sub>
          </m:sSub>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M,i</m:t>
                  </m:r>
                </m:sub>
              </m:sSub>
            </m:num>
            <m:den>
              <m:sSub>
                <m:sSubPr>
                  <m:ctrlPr>
                    <w:rPr>
                      <w:rFonts w:ascii="Cambria Math" w:hAnsi="Cambria Math"/>
                      <w:i/>
                    </w:rPr>
                  </m:ctrlPr>
                </m:sSubPr>
                <m:e>
                  <m:r>
                    <w:rPr>
                      <w:rFonts w:ascii="Cambria Math" w:hAnsi="Cambria Math"/>
                    </w:rPr>
                    <m:t>η</m:t>
                  </m:r>
                </m:e>
                <m:sub>
                  <m:r>
                    <w:rPr>
                      <w:rFonts w:ascii="Cambria Math" w:hAnsi="Cambria Math"/>
                    </w:rPr>
                    <m:t>T,i</m:t>
                  </m:r>
                </m:sub>
              </m:sSub>
              <m:r>
                <w:rPr>
                  <w:rFonts w:ascii="Cambria Math" w:hAnsi="Cambria Math" w:hint="eastAsia"/>
                </w:rPr>
                <m:t>×</m:t>
              </m:r>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M,i</m:t>
                  </m:r>
                </m:sub>
              </m:sSub>
              <m:r>
                <w:rPr>
                  <w:rFonts w:ascii="Cambria Math" w:hAnsi="Cambria Math" w:hint="eastAsia"/>
                </w:rPr>
                <m:t>×</m:t>
              </m:r>
              <m:sSub>
                <m:sSubPr>
                  <m:ctrlPr>
                    <w:rPr>
                      <w:rFonts w:ascii="Cambria Math" w:hAnsi="Cambria Math"/>
                      <w:i/>
                    </w:rPr>
                  </m:ctrlPr>
                </m:sSubPr>
                <m:e>
                  <m:r>
                    <w:rPr>
                      <w:rFonts w:ascii="Cambria Math" w:hAnsi="Cambria Math"/>
                    </w:rPr>
                    <m:t>η</m:t>
                  </m:r>
                </m:e>
                <m:sub>
                  <m:r>
                    <w:rPr>
                      <w:rFonts w:ascii="Cambria Math" w:hAnsi="Cambria Math"/>
                    </w:rPr>
                    <m:t xml:space="preserve">C,i </m:t>
                  </m:r>
                </m:sub>
              </m:sSub>
            </m:den>
          </m:f>
        </m:oMath>
      </m:oMathPara>
    </w:p>
    <w:p w:rsidR="0045496E" w:rsidRPr="004952C0" w:rsidRDefault="0045496E" w:rsidP="0045496E">
      <w:pPr>
        <w:pStyle w:val="tMain"/>
      </w:pPr>
      <w:r w:rsidRPr="004952C0">
        <w:tab/>
      </w:r>
      <w:r w:rsidRPr="004952C0">
        <w:tab/>
      </w:r>
      <w:proofErr w:type="gramStart"/>
      <w:r w:rsidRPr="004952C0">
        <w:t>where</w:t>
      </w:r>
      <w:proofErr w:type="gramEnd"/>
      <w:r w:rsidRPr="004952C0">
        <w:t>:</w:t>
      </w:r>
    </w:p>
    <w:p w:rsidR="0045496E" w:rsidRPr="004952C0" w:rsidRDefault="0045496E" w:rsidP="0045496E">
      <w:pPr>
        <w:pStyle w:val="tDefn"/>
      </w:pPr>
      <w:proofErr w:type="spellStart"/>
      <w:r w:rsidRPr="004952C0">
        <w:rPr>
          <w:b/>
          <w:i/>
        </w:rPr>
        <w:t>P</w:t>
      </w:r>
      <w:r w:rsidRPr="004952C0">
        <w:rPr>
          <w:b/>
          <w:i/>
          <w:vertAlign w:val="subscript"/>
        </w:rPr>
        <w:t>M</w:t>
      </w:r>
      <w:proofErr w:type="gramStart"/>
      <w:r w:rsidRPr="004952C0">
        <w:rPr>
          <w:b/>
          <w:i/>
          <w:vertAlign w:val="subscript"/>
        </w:rPr>
        <w:t>,i</w:t>
      </w:r>
      <w:proofErr w:type="spellEnd"/>
      <w:proofErr w:type="gramEnd"/>
      <w:r w:rsidRPr="004952C0">
        <w:t xml:space="preserve"> is the mechanical power supplied to the fan impeller of the fan, being:</w:t>
      </w:r>
    </w:p>
    <w:p w:rsidR="0045496E" w:rsidRPr="004952C0" w:rsidRDefault="0045496E" w:rsidP="0045496E">
      <w:pPr>
        <w:pStyle w:val="tPara"/>
      </w:pPr>
      <w:r w:rsidRPr="004952C0">
        <w:tab/>
        <w:t>(a)</w:t>
      </w:r>
      <w:r w:rsidRPr="004952C0">
        <w:tab/>
      </w:r>
      <w:proofErr w:type="gramStart"/>
      <w:r w:rsidRPr="004952C0">
        <w:t>for</w:t>
      </w:r>
      <w:proofErr w:type="gramEnd"/>
      <w:r w:rsidRPr="004952C0">
        <w:t xml:space="preserve"> a fan that has a shaft—the fan shaft power, in kilowatts; and</w:t>
      </w:r>
    </w:p>
    <w:p w:rsidR="0045496E" w:rsidRPr="004952C0" w:rsidRDefault="0045496E" w:rsidP="0045496E">
      <w:pPr>
        <w:pStyle w:val="tPara"/>
      </w:pPr>
      <w:r w:rsidRPr="004952C0">
        <w:tab/>
        <w:t>(b)</w:t>
      </w:r>
      <w:r w:rsidRPr="004952C0">
        <w:tab/>
      </w:r>
      <w:proofErr w:type="gramStart"/>
      <w:r w:rsidRPr="004952C0">
        <w:t>for</w:t>
      </w:r>
      <w:proofErr w:type="gramEnd"/>
      <w:r w:rsidRPr="004952C0">
        <w:t xml:space="preserve"> a fan that does not have a shaft—the fan impeller power, in kilowatts;</w:t>
      </w:r>
    </w:p>
    <w:p w:rsidR="0045496E" w:rsidRPr="004952C0" w:rsidRDefault="0045496E" w:rsidP="0045496E">
      <w:pPr>
        <w:pStyle w:val="tMain"/>
        <w:spacing w:before="40"/>
      </w:pPr>
      <w:r w:rsidRPr="004952C0">
        <w:tab/>
      </w:r>
      <w:r w:rsidRPr="004952C0">
        <w:tab/>
      </w:r>
      <w:proofErr w:type="gramStart"/>
      <w:r w:rsidRPr="004952C0">
        <w:t>as</w:t>
      </w:r>
      <w:proofErr w:type="gramEnd"/>
      <w:r w:rsidRPr="004952C0">
        <w:t xml:space="preserve"> determined </w:t>
      </w:r>
      <w:r w:rsidR="009729CF" w:rsidRPr="004952C0">
        <w:t xml:space="preserve">from test results </w:t>
      </w:r>
      <w:r w:rsidRPr="004952C0">
        <w:t>in accordance with section </w:t>
      </w:r>
      <w:r w:rsidR="00934AC6" w:rsidRPr="004952C0">
        <w:t>16</w:t>
      </w:r>
      <w:r w:rsidRPr="004952C0">
        <w:t xml:space="preserve"> of this determination.</w:t>
      </w:r>
    </w:p>
    <w:p w:rsidR="0045496E" w:rsidRPr="004952C0" w:rsidRDefault="0045496E" w:rsidP="0045496E">
      <w:pPr>
        <w:pStyle w:val="tDefn"/>
      </w:pPr>
      <w:r w:rsidRPr="004952C0">
        <w:rPr>
          <w:rFonts w:ascii="Cambria Math" w:hAnsi="Cambria Math"/>
          <w:b/>
          <w:i/>
        </w:rPr>
        <w:t>𝜂</w:t>
      </w:r>
      <w:proofErr w:type="spellStart"/>
      <w:r w:rsidRPr="004952C0">
        <w:rPr>
          <w:b/>
          <w:i/>
          <w:vertAlign w:val="subscript"/>
        </w:rPr>
        <w:t>T</w:t>
      </w:r>
      <w:proofErr w:type="gramStart"/>
      <w:r w:rsidRPr="004952C0">
        <w:rPr>
          <w:b/>
          <w:i/>
          <w:vertAlign w:val="subscript"/>
        </w:rPr>
        <w:t>,i</w:t>
      </w:r>
      <w:proofErr w:type="spellEnd"/>
      <w:proofErr w:type="gramEnd"/>
      <w:r w:rsidRPr="004952C0">
        <w:t xml:space="preserve"> is the transmission efficiency of the transmission of the fan, and is determined in accordance with </w:t>
      </w:r>
      <w:r w:rsidR="00934AC6" w:rsidRPr="004952C0">
        <w:t>Schedule 3</w:t>
      </w:r>
      <w:r w:rsidRPr="004952C0">
        <w:t>.</w:t>
      </w:r>
    </w:p>
    <w:p w:rsidR="0045496E" w:rsidRPr="004952C0" w:rsidRDefault="0045496E" w:rsidP="0045496E">
      <w:pPr>
        <w:pStyle w:val="tDefn"/>
      </w:pPr>
      <w:r w:rsidRPr="004952C0">
        <w:rPr>
          <w:rFonts w:ascii="Cambria Math" w:hAnsi="Cambria Math"/>
          <w:b/>
          <w:i/>
        </w:rPr>
        <w:t>𝜂</w:t>
      </w:r>
      <w:proofErr w:type="spellStart"/>
      <w:r w:rsidRPr="004952C0">
        <w:rPr>
          <w:b/>
          <w:i/>
          <w:vertAlign w:val="subscript"/>
        </w:rPr>
        <w:t>M</w:t>
      </w:r>
      <w:proofErr w:type="gramStart"/>
      <w:r w:rsidRPr="004952C0">
        <w:rPr>
          <w:b/>
          <w:i/>
          <w:vertAlign w:val="subscript"/>
        </w:rPr>
        <w:t>,i</w:t>
      </w:r>
      <w:proofErr w:type="spellEnd"/>
      <w:proofErr w:type="gramEnd"/>
      <w:r w:rsidRPr="004952C0">
        <w:t xml:space="preserve"> is the motor efficiency of the motor of the fan, as </w:t>
      </w:r>
      <w:r w:rsidR="009729CF" w:rsidRPr="004952C0">
        <w:t xml:space="preserve">determined from test results </w:t>
      </w:r>
      <w:r w:rsidRPr="004952C0">
        <w:t>in accordance with section </w:t>
      </w:r>
      <w:r w:rsidR="00934AC6" w:rsidRPr="004952C0">
        <w:t>16</w:t>
      </w:r>
      <w:r w:rsidRPr="004952C0">
        <w:t xml:space="preserve"> of this determination.</w:t>
      </w:r>
    </w:p>
    <w:p w:rsidR="0045496E" w:rsidRPr="004952C0" w:rsidRDefault="0045496E" w:rsidP="0045496E">
      <w:pPr>
        <w:pStyle w:val="tDefn"/>
      </w:pPr>
      <w:r w:rsidRPr="004952C0">
        <w:rPr>
          <w:rFonts w:ascii="Cambria Math" w:hAnsi="Cambria Math"/>
          <w:b/>
          <w:i/>
        </w:rPr>
        <w:t>𝜂</w:t>
      </w:r>
      <w:proofErr w:type="spellStart"/>
      <w:r w:rsidRPr="004952C0">
        <w:rPr>
          <w:b/>
          <w:i/>
          <w:vertAlign w:val="subscript"/>
        </w:rPr>
        <w:t>C</w:t>
      </w:r>
      <w:proofErr w:type="gramStart"/>
      <w:r w:rsidRPr="004952C0">
        <w:rPr>
          <w:b/>
          <w:i/>
          <w:vertAlign w:val="subscript"/>
        </w:rPr>
        <w:t>,i</w:t>
      </w:r>
      <w:proofErr w:type="spellEnd"/>
      <w:proofErr w:type="gramEnd"/>
      <w:r w:rsidRPr="004952C0">
        <w:t xml:space="preserve"> is the electrical drive efficiency of the controller of the fan, and is:</w:t>
      </w:r>
    </w:p>
    <w:p w:rsidR="0045496E" w:rsidRPr="004952C0" w:rsidRDefault="0045496E" w:rsidP="0045496E">
      <w:pPr>
        <w:pStyle w:val="tPara"/>
      </w:pPr>
      <w:r w:rsidRPr="004952C0">
        <w:tab/>
        <w:t>(a)</w:t>
      </w:r>
      <w:r w:rsidRPr="004952C0">
        <w:tab/>
      </w:r>
      <w:proofErr w:type="gramStart"/>
      <w:r w:rsidRPr="004952C0">
        <w:t>if</w:t>
      </w:r>
      <w:proofErr w:type="gramEnd"/>
      <w:r w:rsidRPr="004952C0">
        <w:t xml:space="preserve"> a variable speed drive is installed (whether or not as part of the project) and:</w:t>
      </w:r>
    </w:p>
    <w:p w:rsidR="0045496E" w:rsidRPr="004952C0" w:rsidRDefault="0045496E" w:rsidP="0045496E">
      <w:pPr>
        <w:pStyle w:val="tSubpara"/>
      </w:pPr>
      <w:r w:rsidRPr="004952C0">
        <w:tab/>
        <w:t>(</w:t>
      </w:r>
      <w:proofErr w:type="spellStart"/>
      <w:r w:rsidRPr="004952C0">
        <w:t>i</w:t>
      </w:r>
      <w:proofErr w:type="spellEnd"/>
      <w:r w:rsidRPr="004952C0">
        <w:t>)</w:t>
      </w:r>
      <w:r w:rsidRPr="004952C0">
        <w:tab/>
        <w:t>the manufacturer or supplier has publicly released data in Australia relating to the electrical drive efficiency of the controller—the electrical drive efficiency ascertained in accordance with that data that corresponds to the point at which the impeller is operating at optimum efficiency; and</w:t>
      </w:r>
    </w:p>
    <w:p w:rsidR="0045496E" w:rsidRPr="004952C0" w:rsidRDefault="0045496E" w:rsidP="0045496E">
      <w:pPr>
        <w:pStyle w:val="tSubpara"/>
      </w:pPr>
      <w:r w:rsidRPr="004952C0">
        <w:tab/>
        <w:t>(ii)</w:t>
      </w:r>
      <w:r w:rsidRPr="004952C0">
        <w:tab/>
      </w:r>
      <w:proofErr w:type="gramStart"/>
      <w:r w:rsidRPr="004952C0">
        <w:t>if</w:t>
      </w:r>
      <w:proofErr w:type="gramEnd"/>
      <w:r w:rsidRPr="004952C0">
        <w:t xml:space="preserve"> subparagraph (</w:t>
      </w:r>
      <w:proofErr w:type="spellStart"/>
      <w:r w:rsidRPr="004952C0">
        <w:t>i</w:t>
      </w:r>
      <w:proofErr w:type="spellEnd"/>
      <w:r w:rsidRPr="004952C0">
        <w:t>) does not apply—0.95; and</w:t>
      </w:r>
    </w:p>
    <w:p w:rsidR="0045496E" w:rsidRPr="004952C0" w:rsidRDefault="0045496E" w:rsidP="0045496E">
      <w:pPr>
        <w:pStyle w:val="tPara"/>
      </w:pPr>
      <w:r w:rsidRPr="004952C0">
        <w:tab/>
        <w:t>(b)</w:t>
      </w:r>
      <w:r w:rsidRPr="004952C0">
        <w:tab/>
      </w:r>
      <w:proofErr w:type="gramStart"/>
      <w:r w:rsidRPr="004952C0">
        <w:t>if</w:t>
      </w:r>
      <w:proofErr w:type="gramEnd"/>
      <w:r w:rsidRPr="004952C0">
        <w:t xml:space="preserve"> a variable speed drive is not installed—1.</w:t>
      </w:r>
    </w:p>
    <w:p w:rsidR="0045496E" w:rsidRPr="004952C0" w:rsidRDefault="00FE4F8F" w:rsidP="0045496E">
      <w:pPr>
        <w:pStyle w:val="h5Section"/>
      </w:pPr>
      <w:bookmarkStart w:id="126" w:name="_Toc431466315"/>
      <w:proofErr w:type="gramStart"/>
      <w:r w:rsidRPr="004952C0">
        <w:lastRenderedPageBreak/>
        <w:t>5</w:t>
      </w:r>
      <w:r w:rsidR="0045496E" w:rsidRPr="004952C0">
        <w:t xml:space="preserve">  Equations</w:t>
      </w:r>
      <w:proofErr w:type="gramEnd"/>
      <w:r w:rsidR="0045496E" w:rsidRPr="004952C0">
        <w:t xml:space="preserve"> 16 and 17—calculating part load compensation factor for controller of fan, </w:t>
      </w:r>
      <w:proofErr w:type="spellStart"/>
      <w:r w:rsidR="0045496E" w:rsidRPr="004952C0">
        <w:rPr>
          <w:i/>
        </w:rPr>
        <w:t>C</w:t>
      </w:r>
      <w:r w:rsidR="0045496E" w:rsidRPr="004952C0">
        <w:rPr>
          <w:i/>
          <w:vertAlign w:val="subscript"/>
        </w:rPr>
        <w:t>C,i</w:t>
      </w:r>
      <w:bookmarkEnd w:id="126"/>
      <w:proofErr w:type="spellEnd"/>
    </w:p>
    <w:p w:rsidR="0045496E" w:rsidRPr="004952C0" w:rsidRDefault="0045496E" w:rsidP="0045496E">
      <w:pPr>
        <w:pStyle w:val="tMain"/>
      </w:pPr>
      <w:r w:rsidRPr="004952C0">
        <w:tab/>
      </w:r>
      <w:r w:rsidR="00FE4F8F" w:rsidRPr="004952C0">
        <w:t>(1)</w:t>
      </w:r>
      <w:r w:rsidRPr="004952C0">
        <w:tab/>
        <w:t xml:space="preserve">For equation 12, if paragraph (a) of the definition of </w:t>
      </w:r>
      <w:proofErr w:type="spellStart"/>
      <w:r w:rsidRPr="004952C0">
        <w:rPr>
          <w:i/>
        </w:rPr>
        <w:t>C</w:t>
      </w:r>
      <w:r w:rsidRPr="004952C0">
        <w:rPr>
          <w:i/>
          <w:vertAlign w:val="subscript"/>
        </w:rPr>
        <w:t>C</w:t>
      </w:r>
      <w:proofErr w:type="gramStart"/>
      <w:r w:rsidRPr="004952C0">
        <w:rPr>
          <w:i/>
          <w:vertAlign w:val="subscript"/>
        </w:rPr>
        <w:t>,i</w:t>
      </w:r>
      <w:proofErr w:type="spellEnd"/>
      <w:proofErr w:type="gramEnd"/>
      <w:r w:rsidRPr="004952C0">
        <w:t xml:space="preserve"> is applicable, </w:t>
      </w:r>
      <w:proofErr w:type="spellStart"/>
      <w:r w:rsidRPr="004952C0">
        <w:rPr>
          <w:i/>
        </w:rPr>
        <w:t>C</w:t>
      </w:r>
      <w:r w:rsidRPr="004952C0">
        <w:rPr>
          <w:i/>
          <w:vertAlign w:val="subscript"/>
        </w:rPr>
        <w:t>C,i</w:t>
      </w:r>
      <w:proofErr w:type="spellEnd"/>
      <w:r w:rsidRPr="004952C0">
        <w:t xml:space="preserve"> is worked out using the equation (</w:t>
      </w:r>
      <w:r w:rsidRPr="004952C0">
        <w:rPr>
          <w:b/>
          <w:i/>
        </w:rPr>
        <w:t>equation 16</w:t>
      </w:r>
      <w:r w:rsidRPr="004952C0">
        <w:t>):</w:t>
      </w:r>
    </w:p>
    <w:p w:rsidR="0045496E" w:rsidRPr="004952C0" w:rsidRDefault="0045496E" w:rsidP="0045496E">
      <w:pPr>
        <w:pStyle w:val="tMain"/>
      </w:pPr>
      <w:r w:rsidRPr="004952C0">
        <w:tab/>
      </w:r>
      <w:r w:rsidRPr="004952C0">
        <w:tab/>
      </w:r>
      <m:oMath>
        <m:sSub>
          <m:sSubPr>
            <m:ctrlPr>
              <w:rPr>
                <w:rFonts w:ascii="Cambria Math" w:hAnsi="Cambria Math"/>
              </w:rPr>
            </m:ctrlPr>
          </m:sSubPr>
          <m:e>
            <m:r>
              <w:rPr>
                <w:rFonts w:ascii="Cambria Math" w:hAnsi="Cambria Math"/>
              </w:rPr>
              <m:t>C</m:t>
            </m:r>
          </m:e>
          <m:sub>
            <m:r>
              <w:rPr>
                <w:rFonts w:ascii="Cambria Math" w:hAnsi="Cambria Math"/>
              </w:rPr>
              <m:t>C</m:t>
            </m:r>
            <m:r>
              <m:rPr>
                <m:sty m:val="p"/>
              </m:rPr>
              <w:rPr>
                <w:rFonts w:ascii="Cambria Math" w:hAnsi="Cambria Math"/>
              </w:rPr>
              <m:t>,</m:t>
            </m:r>
            <m:r>
              <w:rPr>
                <w:rFonts w:ascii="Cambria Math" w:hAnsi="Cambria Math"/>
              </w:rPr>
              <m:t>i</m:t>
            </m:r>
          </m:sub>
        </m:sSub>
        <m:r>
          <m:rPr>
            <m:sty m:val="p"/>
          </m:rPr>
          <w:rPr>
            <w:rFonts w:ascii="Cambria Math" w:hAnsi="Cambria Math"/>
          </w:rPr>
          <m:t>=</m:t>
        </m:r>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i</m:t>
            </m:r>
          </m:sub>
        </m:sSub>
        <m:r>
          <m:rPr>
            <m:sty m:val="p"/>
          </m:rPr>
          <w:rPr>
            <w:rFonts w:ascii="Cambria Math" w:hAnsi="Cambria Math" w:hint="eastAsia"/>
          </w:rPr>
          <m:t>×</m:t>
        </m:r>
        <m:r>
          <m:rPr>
            <m:sty m:val="p"/>
          </m:rPr>
          <w:rPr>
            <w:rFonts w:ascii="Cambria Math" w:hAnsi="Cambria Math"/>
          </w:rPr>
          <m:t>ln</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E,i</m:t>
                </m:r>
              </m:sub>
            </m:sSub>
          </m:e>
        </m:d>
        <m:r>
          <m:rPr>
            <m:sty m:val="p"/>
          </m:rP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oMath>
    </w:p>
    <w:p w:rsidR="0045496E" w:rsidRPr="004952C0" w:rsidRDefault="0045496E" w:rsidP="0045496E">
      <w:pPr>
        <w:pStyle w:val="tMain"/>
      </w:pPr>
      <w:r w:rsidRPr="004952C0">
        <w:tab/>
      </w:r>
      <w:r w:rsidR="00FE4F8F" w:rsidRPr="004952C0">
        <w:t>(2)</w:t>
      </w:r>
      <w:r w:rsidRPr="004952C0">
        <w:tab/>
        <w:t xml:space="preserve">For equation 12, if paragraph (b) of the definition of </w:t>
      </w:r>
      <w:proofErr w:type="spellStart"/>
      <w:r w:rsidRPr="004952C0">
        <w:rPr>
          <w:i/>
        </w:rPr>
        <w:t>C</w:t>
      </w:r>
      <w:r w:rsidRPr="004952C0">
        <w:rPr>
          <w:i/>
          <w:vertAlign w:val="subscript"/>
        </w:rPr>
        <w:t>C</w:t>
      </w:r>
      <w:proofErr w:type="gramStart"/>
      <w:r w:rsidRPr="004952C0">
        <w:rPr>
          <w:i/>
          <w:vertAlign w:val="subscript"/>
        </w:rPr>
        <w:t>,i</w:t>
      </w:r>
      <w:proofErr w:type="spellEnd"/>
      <w:proofErr w:type="gramEnd"/>
      <w:r w:rsidRPr="004952C0">
        <w:t xml:space="preserve"> is applicable, </w:t>
      </w:r>
      <w:proofErr w:type="spellStart"/>
      <w:r w:rsidRPr="004952C0">
        <w:rPr>
          <w:i/>
        </w:rPr>
        <w:t>C</w:t>
      </w:r>
      <w:r w:rsidRPr="004952C0">
        <w:rPr>
          <w:i/>
          <w:vertAlign w:val="subscript"/>
        </w:rPr>
        <w:t>C,i</w:t>
      </w:r>
      <w:proofErr w:type="spellEnd"/>
      <w:r w:rsidRPr="004952C0">
        <w:t xml:space="preserve"> is worked out using the equation (</w:t>
      </w:r>
      <w:r w:rsidRPr="004952C0">
        <w:rPr>
          <w:b/>
          <w:i/>
        </w:rPr>
        <w:t>equation 17</w:t>
      </w:r>
      <w:r w:rsidRPr="004952C0">
        <w:t>):</w:t>
      </w:r>
    </w:p>
    <w:p w:rsidR="0045496E" w:rsidRPr="004952C0" w:rsidRDefault="0045496E" w:rsidP="0045496E">
      <w:pPr>
        <w:pStyle w:val="tMain"/>
      </w:pPr>
      <w:r w:rsidRPr="004952C0">
        <w:tab/>
      </w:r>
      <w:r w:rsidRPr="004952C0">
        <w:tab/>
      </w:r>
      <m:oMath>
        <m:sSub>
          <m:sSubPr>
            <m:ctrlPr>
              <w:rPr>
                <w:rFonts w:ascii="Cambria Math" w:hAnsi="Cambria Math"/>
              </w:rPr>
            </m:ctrlPr>
          </m:sSubPr>
          <m:e>
            <m:r>
              <w:rPr>
                <w:rFonts w:ascii="Cambria Math" w:hAnsi="Cambria Math"/>
              </w:rPr>
              <m:t>C</m:t>
            </m:r>
          </m:e>
          <m:sub>
            <m:r>
              <w:rPr>
                <w:rFonts w:ascii="Cambria Math" w:hAnsi="Cambria Math"/>
              </w:rPr>
              <m:t>C</m:t>
            </m:r>
            <m:r>
              <m:rPr>
                <m:sty m:val="p"/>
              </m:rPr>
              <w:rPr>
                <w:rFonts w:ascii="Cambria Math" w:hAnsi="Cambria Math"/>
              </w:rPr>
              <m:t>,</m:t>
            </m:r>
            <m:r>
              <w:rPr>
                <w:rFonts w:ascii="Cambria Math" w:hAnsi="Cambria Math"/>
              </w:rPr>
              <m:t>i</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a</m:t>
                </m:r>
              </m:e>
              <m:sub>
                <m:r>
                  <w:rPr>
                    <w:rFonts w:ascii="Cambria Math" w:hAnsi="Cambria Math"/>
                  </w:rPr>
                  <m:t>i</m:t>
                </m:r>
              </m:sub>
            </m:sSub>
            <m:r>
              <m:rPr>
                <m:sty m:val="p"/>
              </m:rPr>
              <w:rPr>
                <w:rFonts w:ascii="Cambria Math" w:hAnsi="Cambria Math" w:hint="eastAsia"/>
              </w:rPr>
              <m:t>×</m:t>
            </m:r>
            <m:r>
              <m:rPr>
                <m:nor/>
              </m:rPr>
              <w:rPr>
                <w:rFonts w:ascii="Cambria Math" w:hAnsi="Cambria Math"/>
              </w:rPr>
              <m:t>ln</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E,i</m:t>
                    </m:r>
                  </m:sub>
                </m:sSub>
              </m:e>
            </m:d>
            <m:r>
              <m:rPr>
                <m:sty m:val="p"/>
              </m:rP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e>
        </m:d>
      </m:oMath>
    </w:p>
    <w:p w:rsidR="0045496E" w:rsidRPr="004952C0" w:rsidRDefault="0045496E" w:rsidP="0045496E">
      <w:pPr>
        <w:pStyle w:val="tMain"/>
      </w:pPr>
      <w:r w:rsidRPr="004952C0">
        <w:tab/>
      </w:r>
      <w:r w:rsidR="00FE4F8F" w:rsidRPr="004952C0">
        <w:t>(3)</w:t>
      </w:r>
      <w:r w:rsidRPr="004952C0">
        <w:tab/>
        <w:t xml:space="preserve">For this section, for fan </w:t>
      </w:r>
      <w:proofErr w:type="spellStart"/>
      <w:r w:rsidRPr="004952C0">
        <w:rPr>
          <w:i/>
        </w:rPr>
        <w:t>i</w:t>
      </w:r>
      <w:proofErr w:type="spellEnd"/>
      <w:r w:rsidRPr="004952C0">
        <w:t>:</w:t>
      </w:r>
    </w:p>
    <w:p w:rsidR="0045496E" w:rsidRPr="004952C0" w:rsidRDefault="0045496E" w:rsidP="0045496E">
      <w:pPr>
        <w:pStyle w:val="tDefn"/>
      </w:pPr>
      <w:proofErr w:type="spellStart"/>
      <w:proofErr w:type="gramStart"/>
      <w:r w:rsidRPr="004952C0">
        <w:rPr>
          <w:b/>
          <w:i/>
        </w:rPr>
        <w:t>a</w:t>
      </w:r>
      <w:r w:rsidRPr="004952C0">
        <w:rPr>
          <w:b/>
          <w:i/>
          <w:vertAlign w:val="subscript"/>
        </w:rPr>
        <w:t>i</w:t>
      </w:r>
      <w:proofErr w:type="spellEnd"/>
      <w:proofErr w:type="gramEnd"/>
      <w:r w:rsidRPr="004952C0">
        <w:t xml:space="preserve"> is a regression coefficient, and is:</w:t>
      </w:r>
    </w:p>
    <w:p w:rsidR="0045496E" w:rsidRPr="004952C0" w:rsidRDefault="0045496E" w:rsidP="0045496E">
      <w:pPr>
        <w:pStyle w:val="tPara"/>
      </w:pPr>
      <w:r w:rsidRPr="004952C0">
        <w:tab/>
        <w:t>(a)</w:t>
      </w:r>
      <w:r w:rsidRPr="004952C0">
        <w:tab/>
      </w:r>
      <w:proofErr w:type="gramStart"/>
      <w:r w:rsidRPr="004952C0">
        <w:t>if</w:t>
      </w:r>
      <w:proofErr w:type="gramEnd"/>
      <w:r w:rsidRPr="004952C0">
        <w:t xml:space="preserve"> the motor input power (</w:t>
      </w:r>
      <w:proofErr w:type="spellStart"/>
      <w:r w:rsidRPr="004952C0">
        <w:rPr>
          <w:i/>
        </w:rPr>
        <w:t>P</w:t>
      </w:r>
      <w:r w:rsidRPr="004952C0">
        <w:rPr>
          <w:i/>
          <w:vertAlign w:val="subscript"/>
        </w:rPr>
        <w:t>E,i</w:t>
      </w:r>
      <w:proofErr w:type="spellEnd"/>
      <w:r w:rsidRPr="004952C0">
        <w:t>) of the fan is less than 5 kilowatts—0.030; and</w:t>
      </w:r>
    </w:p>
    <w:p w:rsidR="0045496E" w:rsidRPr="004952C0" w:rsidRDefault="0045496E" w:rsidP="0045496E">
      <w:pPr>
        <w:pStyle w:val="tPara"/>
      </w:pPr>
      <w:r w:rsidRPr="004952C0">
        <w:tab/>
        <w:t>(b)</w:t>
      </w:r>
      <w:r w:rsidRPr="004952C0">
        <w:tab/>
      </w:r>
      <w:proofErr w:type="gramStart"/>
      <w:r w:rsidRPr="004952C0">
        <w:t>otherwise—</w:t>
      </w:r>
      <w:proofErr w:type="gramEnd"/>
      <w:r w:rsidRPr="004952C0">
        <w:t>0.</w:t>
      </w:r>
    </w:p>
    <w:p w:rsidR="0045496E" w:rsidRPr="004952C0" w:rsidRDefault="0045496E" w:rsidP="0045496E">
      <w:pPr>
        <w:pStyle w:val="tDefn"/>
      </w:pPr>
      <w:proofErr w:type="spellStart"/>
      <w:proofErr w:type="gramStart"/>
      <w:r w:rsidRPr="004952C0">
        <w:rPr>
          <w:b/>
          <w:i/>
        </w:rPr>
        <w:t>ln</w:t>
      </w:r>
      <w:proofErr w:type="spellEnd"/>
      <w:r w:rsidRPr="004952C0">
        <w:rPr>
          <w:b/>
          <w:i/>
        </w:rPr>
        <w:t>(</w:t>
      </w:r>
      <w:proofErr w:type="spellStart"/>
      <w:proofErr w:type="gramEnd"/>
      <w:r w:rsidRPr="004952C0">
        <w:rPr>
          <w:b/>
          <w:i/>
        </w:rPr>
        <w:t>P</w:t>
      </w:r>
      <w:r w:rsidRPr="004952C0">
        <w:rPr>
          <w:b/>
          <w:i/>
          <w:vertAlign w:val="subscript"/>
        </w:rPr>
        <w:t>E,i</w:t>
      </w:r>
      <w:proofErr w:type="spellEnd"/>
      <w:r w:rsidRPr="004952C0">
        <w:rPr>
          <w:b/>
          <w:i/>
          <w:vertAlign w:val="subscript"/>
        </w:rPr>
        <w:softHyphen/>
      </w:r>
      <w:r w:rsidRPr="004952C0">
        <w:rPr>
          <w:b/>
          <w:i/>
        </w:rPr>
        <w:t>)</w:t>
      </w:r>
      <w:r w:rsidRPr="004952C0">
        <w:t xml:space="preserve"> is the natural log of the motor input power (</w:t>
      </w:r>
      <w:proofErr w:type="spellStart"/>
      <w:r w:rsidRPr="004952C0">
        <w:rPr>
          <w:i/>
        </w:rPr>
        <w:t>P</w:t>
      </w:r>
      <w:r w:rsidRPr="004952C0">
        <w:rPr>
          <w:i/>
          <w:vertAlign w:val="subscript"/>
        </w:rPr>
        <w:t>E,i</w:t>
      </w:r>
      <w:proofErr w:type="spellEnd"/>
      <w:r w:rsidRPr="004952C0">
        <w:t>), in kilowatts, of the fan.</w:t>
      </w:r>
    </w:p>
    <w:p w:rsidR="0045496E" w:rsidRPr="004952C0" w:rsidRDefault="0045496E" w:rsidP="0045496E">
      <w:pPr>
        <w:pStyle w:val="tDefn"/>
      </w:pPr>
      <w:proofErr w:type="spellStart"/>
      <w:r w:rsidRPr="004952C0">
        <w:rPr>
          <w:b/>
          <w:i/>
        </w:rPr>
        <w:t>P</w:t>
      </w:r>
      <w:r w:rsidRPr="004952C0">
        <w:rPr>
          <w:b/>
          <w:i/>
          <w:vertAlign w:val="subscript"/>
        </w:rPr>
        <w:t>E</w:t>
      </w:r>
      <w:proofErr w:type="gramStart"/>
      <w:r w:rsidRPr="004952C0">
        <w:rPr>
          <w:b/>
          <w:i/>
          <w:vertAlign w:val="subscript"/>
        </w:rPr>
        <w:t>,i</w:t>
      </w:r>
      <w:proofErr w:type="spellEnd"/>
      <w:proofErr w:type="gramEnd"/>
      <w:r w:rsidRPr="004952C0">
        <w:t xml:space="preserve"> is the motor input power, in kilowatts, of the fan, and is:</w:t>
      </w:r>
    </w:p>
    <w:p w:rsidR="0045496E" w:rsidRPr="004952C0" w:rsidRDefault="0045496E" w:rsidP="0045496E">
      <w:pPr>
        <w:pStyle w:val="tPara"/>
      </w:pPr>
      <w:r w:rsidRPr="004952C0">
        <w:tab/>
        <w:t>(a)</w:t>
      </w:r>
      <w:r w:rsidRPr="004952C0">
        <w:tab/>
        <w:t>if the model of the fan was tested with the same drive, motor and transmission as the fan—the motor input power of the fan in kilowatts, as referred to in subsection </w:t>
      </w:r>
      <w:r w:rsidR="00934AC6" w:rsidRPr="004952C0">
        <w:t>3(1)</w:t>
      </w:r>
      <w:r w:rsidRPr="004952C0">
        <w:t xml:space="preserve"> of this Schedule; and</w:t>
      </w:r>
    </w:p>
    <w:p w:rsidR="0045496E" w:rsidRPr="004952C0" w:rsidRDefault="0045496E" w:rsidP="0045496E">
      <w:pPr>
        <w:pStyle w:val="tPara"/>
      </w:pPr>
      <w:r w:rsidRPr="004952C0">
        <w:tab/>
        <w:t>(b)</w:t>
      </w:r>
      <w:r w:rsidRPr="004952C0">
        <w:tab/>
      </w:r>
      <w:proofErr w:type="gramStart"/>
      <w:r w:rsidRPr="004952C0">
        <w:t>otherwise—</w:t>
      </w:r>
      <w:proofErr w:type="gramEnd"/>
      <w:r w:rsidRPr="004952C0">
        <w:t xml:space="preserve">the motor input power of the fan in kilowatts, as referred to in subsection </w:t>
      </w:r>
      <w:r w:rsidR="00934AC6" w:rsidRPr="004952C0">
        <w:t>3(2)</w:t>
      </w:r>
      <w:r w:rsidRPr="004952C0">
        <w:t xml:space="preserve"> of this Schedule.</w:t>
      </w:r>
    </w:p>
    <w:p w:rsidR="00C405D5" w:rsidRPr="004952C0" w:rsidRDefault="00C405D5" w:rsidP="00C405D5">
      <w:pPr>
        <w:pStyle w:val="tDefn"/>
      </w:pPr>
      <w:proofErr w:type="gramStart"/>
      <w:r w:rsidRPr="004952C0">
        <w:rPr>
          <w:b/>
          <w:i/>
        </w:rPr>
        <w:t>b</w:t>
      </w:r>
      <w:r w:rsidRPr="004952C0">
        <w:rPr>
          <w:b/>
          <w:i/>
          <w:vertAlign w:val="subscript"/>
        </w:rPr>
        <w:t>i</w:t>
      </w:r>
      <w:proofErr w:type="gramEnd"/>
      <w:r w:rsidRPr="004952C0">
        <w:t xml:space="preserve"> is a regression constant, and is:</w:t>
      </w:r>
    </w:p>
    <w:p w:rsidR="00C405D5" w:rsidRPr="004952C0" w:rsidRDefault="00C405D5" w:rsidP="00C405D5">
      <w:pPr>
        <w:pStyle w:val="tPara"/>
      </w:pPr>
      <w:r w:rsidRPr="004952C0">
        <w:tab/>
        <w:t>(a)</w:t>
      </w:r>
      <w:r w:rsidRPr="004952C0">
        <w:tab/>
      </w:r>
      <w:proofErr w:type="gramStart"/>
      <w:r w:rsidRPr="004952C0">
        <w:t>if</w:t>
      </w:r>
      <w:proofErr w:type="gramEnd"/>
      <w:r w:rsidRPr="004952C0">
        <w:t xml:space="preserve"> the motor input power (</w:t>
      </w:r>
      <w:proofErr w:type="spellStart"/>
      <w:r w:rsidRPr="004952C0">
        <w:rPr>
          <w:i/>
        </w:rPr>
        <w:t>P</w:t>
      </w:r>
      <w:r w:rsidRPr="004952C0">
        <w:rPr>
          <w:i/>
          <w:vertAlign w:val="subscript"/>
        </w:rPr>
        <w:t>E,i</w:t>
      </w:r>
      <w:proofErr w:type="spellEnd"/>
      <w:r w:rsidRPr="004952C0">
        <w:t>) of the fan is less than 5 kilowatts—1.088; and</w:t>
      </w:r>
    </w:p>
    <w:p w:rsidR="00C405D5" w:rsidRPr="004952C0" w:rsidRDefault="00C405D5" w:rsidP="00C405D5">
      <w:pPr>
        <w:pStyle w:val="tPara"/>
      </w:pPr>
      <w:r w:rsidRPr="004952C0">
        <w:tab/>
        <w:t>(b)</w:t>
      </w:r>
      <w:r w:rsidRPr="004952C0">
        <w:tab/>
      </w:r>
      <w:proofErr w:type="gramStart"/>
      <w:r w:rsidRPr="004952C0">
        <w:t>otherwise—</w:t>
      </w:r>
      <w:proofErr w:type="gramEnd"/>
      <w:r w:rsidRPr="004952C0">
        <w:t>1.04.</w:t>
      </w:r>
    </w:p>
    <w:p w:rsidR="0045496E" w:rsidRPr="004952C0" w:rsidRDefault="0045496E" w:rsidP="0045496E">
      <w:pPr>
        <w:pStyle w:val="h3Div"/>
      </w:pPr>
      <w:bookmarkStart w:id="127" w:name="_Toc431466316"/>
      <w:r w:rsidRPr="004952C0">
        <w:t>Division 3—Calculating high efficiency threshold for the fan</w:t>
      </w:r>
      <w:bookmarkEnd w:id="127"/>
    </w:p>
    <w:p w:rsidR="0045496E" w:rsidRPr="004952C0" w:rsidRDefault="00FE4F8F" w:rsidP="0045496E">
      <w:pPr>
        <w:pStyle w:val="h5Section"/>
      </w:pPr>
      <w:bookmarkStart w:id="128" w:name="_Toc431466317"/>
      <w:proofErr w:type="gramStart"/>
      <w:r w:rsidRPr="004952C0">
        <w:t>6</w:t>
      </w:r>
      <w:r w:rsidR="0045496E" w:rsidRPr="004952C0">
        <w:t xml:space="preserve">  Equation</w:t>
      </w:r>
      <w:proofErr w:type="gramEnd"/>
      <w:r w:rsidR="0045496E" w:rsidRPr="004952C0">
        <w:t> 18—determining the high efficiency threshold for the fan (</w:t>
      </w:r>
      <w:r w:rsidR="0045496E" w:rsidRPr="004952C0">
        <w:rPr>
          <w:rFonts w:ascii="Cambria Math" w:hAnsi="Cambria Math"/>
          <w:i/>
          <w:szCs w:val="24"/>
        </w:rPr>
        <w:t>𝜂</w:t>
      </w:r>
      <w:proofErr w:type="spellStart"/>
      <w:r w:rsidR="0045496E" w:rsidRPr="004952C0">
        <w:rPr>
          <w:i/>
          <w:vertAlign w:val="subscript"/>
        </w:rPr>
        <w:t>HE,i</w:t>
      </w:r>
      <w:proofErr w:type="spellEnd"/>
      <w:r w:rsidR="0045496E" w:rsidRPr="004952C0">
        <w:t>)</w:t>
      </w:r>
      <w:bookmarkEnd w:id="128"/>
    </w:p>
    <w:p w:rsidR="0045496E" w:rsidRPr="004952C0" w:rsidRDefault="0045496E" w:rsidP="0045496E">
      <w:pPr>
        <w:pStyle w:val="tMain"/>
      </w:pPr>
      <w:r w:rsidRPr="004952C0">
        <w:tab/>
      </w:r>
      <w:r w:rsidRPr="004952C0">
        <w:tab/>
        <w:t xml:space="preserve">The high efficiency threshold of a particular fan </w:t>
      </w:r>
      <w:proofErr w:type="spellStart"/>
      <w:r w:rsidRPr="004952C0">
        <w:rPr>
          <w:i/>
        </w:rPr>
        <w:t>i</w:t>
      </w:r>
      <w:proofErr w:type="spellEnd"/>
      <w:r w:rsidRPr="004952C0">
        <w:t xml:space="preserve">, </w:t>
      </w:r>
      <w:r w:rsidRPr="004952C0">
        <w:rPr>
          <w:rFonts w:ascii="Cambria Math" w:hAnsi="Cambria Math"/>
          <w:i/>
          <w:szCs w:val="24"/>
        </w:rPr>
        <w:t>𝜂</w:t>
      </w:r>
      <w:proofErr w:type="spellStart"/>
      <w:r w:rsidRPr="004952C0">
        <w:rPr>
          <w:i/>
          <w:vertAlign w:val="subscript"/>
        </w:rPr>
        <w:t>HE</w:t>
      </w:r>
      <w:proofErr w:type="gramStart"/>
      <w:r w:rsidRPr="004952C0">
        <w:rPr>
          <w:i/>
          <w:vertAlign w:val="subscript"/>
        </w:rPr>
        <w:t>,i</w:t>
      </w:r>
      <w:proofErr w:type="spellEnd"/>
      <w:proofErr w:type="gramEnd"/>
      <w:r w:rsidRPr="004952C0">
        <w:t>, is worked out using the equation (</w:t>
      </w:r>
      <w:r w:rsidRPr="004952C0">
        <w:rPr>
          <w:b/>
          <w:i/>
        </w:rPr>
        <w:t>equation 18</w:t>
      </w:r>
      <w:r w:rsidRPr="004952C0">
        <w:t>):</w:t>
      </w:r>
    </w:p>
    <w:p w:rsidR="0045496E" w:rsidRPr="004952C0" w:rsidRDefault="004F3B1F" w:rsidP="0045496E">
      <w:pPr>
        <w:pStyle w:val="tMain"/>
      </w:pPr>
      <m:oMathPara>
        <m:oMathParaPr>
          <m:jc m:val="left"/>
        </m:oMathParaPr>
        <m:oMath>
          <m:sSub>
            <m:sSubPr>
              <m:ctrlPr>
                <w:rPr>
                  <w:rFonts w:ascii="Cambria Math" w:hAnsi="Cambria Math"/>
                  <w:i/>
                </w:rPr>
              </m:ctrlPr>
            </m:sSubPr>
            <m:e>
              <m:r>
                <w:rPr>
                  <w:rFonts w:ascii="Cambria Math" w:hAnsi="Cambria Math"/>
                </w:rPr>
                <m:t>η</m:t>
              </m:r>
            </m:e>
            <m:sub>
              <m:r>
                <w:rPr>
                  <w:rFonts w:ascii="Cambria Math" w:hAnsi="Cambria Math"/>
                </w:rPr>
                <m:t>HE,i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hint="eastAsia"/>
                </w:rPr>
                <m:t>×</m:t>
              </m:r>
              <m:func>
                <m:funcPr>
                  <m:ctrlPr>
                    <w:rPr>
                      <w:rFonts w:ascii="Cambria Math" w:hAnsi="Cambria Math"/>
                      <w:i/>
                    </w:rPr>
                  </m:ctrlPr>
                </m:funcPr>
                <m:fName>
                  <m:r>
                    <m:rPr>
                      <m:nor/>
                    </m:rP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E,i</m:t>
                          </m:r>
                        </m:sub>
                      </m:sSub>
                    </m:e>
                  </m:d>
                </m:e>
              </m:func>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HE,i</m:t>
                  </m:r>
                </m:sub>
              </m:sSub>
            </m:num>
            <m:den>
              <m:r>
                <w:rPr>
                  <w:rFonts w:ascii="Cambria Math" w:hAnsi="Cambria Math"/>
                </w:rPr>
                <m:t>100</m:t>
              </m:r>
            </m:den>
          </m:f>
        </m:oMath>
      </m:oMathPara>
    </w:p>
    <w:p w:rsidR="0045496E" w:rsidRPr="004952C0" w:rsidRDefault="0045496E" w:rsidP="0045496E">
      <w:pPr>
        <w:pStyle w:val="tMain"/>
      </w:pPr>
      <w:r w:rsidRPr="004952C0">
        <w:tab/>
      </w:r>
      <w:r w:rsidRPr="004952C0">
        <w:tab/>
      </w:r>
      <w:proofErr w:type="gramStart"/>
      <w:r w:rsidRPr="004952C0">
        <w:t>where</w:t>
      </w:r>
      <w:proofErr w:type="gramEnd"/>
      <w:r w:rsidRPr="004952C0">
        <w:t xml:space="preserve">, for fan </w:t>
      </w:r>
      <w:proofErr w:type="spellStart"/>
      <w:r w:rsidRPr="004952C0">
        <w:rPr>
          <w:i/>
        </w:rPr>
        <w:t>i</w:t>
      </w:r>
      <w:proofErr w:type="spellEnd"/>
      <w:r w:rsidRPr="004952C0">
        <w:t>:</w:t>
      </w:r>
    </w:p>
    <w:p w:rsidR="0045496E" w:rsidRPr="004952C0" w:rsidRDefault="0045496E" w:rsidP="0045496E">
      <w:pPr>
        <w:pStyle w:val="tDefn"/>
      </w:pPr>
      <w:proofErr w:type="spellStart"/>
      <w:proofErr w:type="gramStart"/>
      <w:r w:rsidRPr="004952C0">
        <w:rPr>
          <w:b/>
          <w:i/>
        </w:rPr>
        <w:t>a</w:t>
      </w:r>
      <w:r w:rsidRPr="004952C0">
        <w:rPr>
          <w:b/>
          <w:i/>
          <w:vertAlign w:val="subscript"/>
        </w:rPr>
        <w:t>i</w:t>
      </w:r>
      <w:proofErr w:type="spellEnd"/>
      <w:proofErr w:type="gramEnd"/>
      <w:r w:rsidRPr="004952C0">
        <w:t xml:space="preserve"> is a regression coefficient, and is determined in accordance with </w:t>
      </w:r>
      <w:r w:rsidR="00934AC6" w:rsidRPr="004952C0">
        <w:t>Schedule 4</w:t>
      </w:r>
      <w:r w:rsidRPr="004952C0">
        <w:t>.</w:t>
      </w:r>
    </w:p>
    <w:p w:rsidR="0045496E" w:rsidRPr="004952C0" w:rsidRDefault="0045496E" w:rsidP="0045496E">
      <w:pPr>
        <w:pStyle w:val="tDefn"/>
      </w:pPr>
      <w:proofErr w:type="spellStart"/>
      <w:proofErr w:type="gramStart"/>
      <w:r w:rsidRPr="004952C0">
        <w:rPr>
          <w:b/>
          <w:i/>
        </w:rPr>
        <w:t>ln</w:t>
      </w:r>
      <w:proofErr w:type="spellEnd"/>
      <w:r w:rsidRPr="004952C0">
        <w:rPr>
          <w:b/>
          <w:i/>
        </w:rPr>
        <w:t>(</w:t>
      </w:r>
      <w:proofErr w:type="spellStart"/>
      <w:proofErr w:type="gramEnd"/>
      <w:r w:rsidRPr="004952C0">
        <w:rPr>
          <w:b/>
          <w:i/>
        </w:rPr>
        <w:t>P</w:t>
      </w:r>
      <w:r w:rsidRPr="004952C0">
        <w:rPr>
          <w:b/>
          <w:i/>
          <w:vertAlign w:val="subscript"/>
        </w:rPr>
        <w:t>E,i</w:t>
      </w:r>
      <w:proofErr w:type="spellEnd"/>
      <w:r w:rsidRPr="004952C0">
        <w:rPr>
          <w:b/>
          <w:i/>
          <w:vertAlign w:val="subscript"/>
        </w:rPr>
        <w:softHyphen/>
      </w:r>
      <w:r w:rsidRPr="004952C0">
        <w:rPr>
          <w:b/>
          <w:i/>
        </w:rPr>
        <w:t>)</w:t>
      </w:r>
      <w:r w:rsidRPr="004952C0">
        <w:t xml:space="preserve"> is the natural log of the motor input power (</w:t>
      </w:r>
      <w:proofErr w:type="spellStart"/>
      <w:r w:rsidRPr="004952C0">
        <w:rPr>
          <w:i/>
        </w:rPr>
        <w:t>P</w:t>
      </w:r>
      <w:r w:rsidRPr="004952C0">
        <w:rPr>
          <w:i/>
          <w:vertAlign w:val="subscript"/>
        </w:rPr>
        <w:t>E,i</w:t>
      </w:r>
      <w:proofErr w:type="spellEnd"/>
      <w:r w:rsidRPr="004952C0">
        <w:t>), in kilowatts, of the fan</w:t>
      </w:r>
      <w:r w:rsidR="000C5B26" w:rsidRPr="004952C0">
        <w:t xml:space="preserve">, where </w:t>
      </w:r>
      <w:proofErr w:type="spellStart"/>
      <w:r w:rsidRPr="004952C0">
        <w:rPr>
          <w:i/>
        </w:rPr>
        <w:t>P</w:t>
      </w:r>
      <w:r w:rsidRPr="004952C0">
        <w:rPr>
          <w:i/>
          <w:vertAlign w:val="subscript"/>
        </w:rPr>
        <w:t>E,i</w:t>
      </w:r>
      <w:proofErr w:type="spellEnd"/>
      <w:r w:rsidRPr="004952C0">
        <w:t xml:space="preserve"> has the same meaning as in section </w:t>
      </w:r>
      <w:r w:rsidR="00934AC6" w:rsidRPr="004952C0">
        <w:t>5</w:t>
      </w:r>
      <w:r w:rsidRPr="004952C0">
        <w:t xml:space="preserve"> of this Schedule.</w:t>
      </w:r>
    </w:p>
    <w:p w:rsidR="0045496E" w:rsidRPr="004952C0" w:rsidRDefault="0045496E" w:rsidP="0045496E">
      <w:pPr>
        <w:pStyle w:val="tDefn"/>
      </w:pPr>
      <w:proofErr w:type="gramStart"/>
      <w:r w:rsidRPr="004952C0">
        <w:rPr>
          <w:b/>
          <w:i/>
        </w:rPr>
        <w:t>b</w:t>
      </w:r>
      <w:r w:rsidRPr="004952C0">
        <w:rPr>
          <w:b/>
          <w:i/>
          <w:vertAlign w:val="subscript"/>
        </w:rPr>
        <w:t>i</w:t>
      </w:r>
      <w:proofErr w:type="gramEnd"/>
      <w:r w:rsidRPr="004952C0">
        <w:t xml:space="preserve"> is a regression constant, and is determined in accordance with in </w:t>
      </w:r>
      <w:r w:rsidR="00934AC6" w:rsidRPr="004952C0">
        <w:t>Schedule 4</w:t>
      </w:r>
      <w:r w:rsidRPr="004952C0">
        <w:t>.</w:t>
      </w:r>
    </w:p>
    <w:p w:rsidR="0045496E" w:rsidRPr="004952C0" w:rsidRDefault="0045496E" w:rsidP="0045496E">
      <w:pPr>
        <w:pStyle w:val="tDefn"/>
      </w:pPr>
      <w:proofErr w:type="spellStart"/>
      <w:r w:rsidRPr="004952C0">
        <w:rPr>
          <w:b/>
          <w:i/>
        </w:rPr>
        <w:t>N</w:t>
      </w:r>
      <w:r w:rsidRPr="004952C0">
        <w:rPr>
          <w:b/>
          <w:i/>
          <w:vertAlign w:val="subscript"/>
        </w:rPr>
        <w:t>HE</w:t>
      </w:r>
      <w:proofErr w:type="gramStart"/>
      <w:r w:rsidRPr="004952C0">
        <w:rPr>
          <w:b/>
          <w:i/>
          <w:vertAlign w:val="subscript"/>
        </w:rPr>
        <w:t>,i</w:t>
      </w:r>
      <w:proofErr w:type="spellEnd"/>
      <w:proofErr w:type="gramEnd"/>
      <w:r w:rsidRPr="004952C0">
        <w:t xml:space="preserve"> is the high efficiency grade of the fan, and is determined in accordance with </w:t>
      </w:r>
      <w:r w:rsidR="00934AC6" w:rsidRPr="004952C0">
        <w:t>Schedule 5</w:t>
      </w:r>
      <w:r w:rsidRPr="004952C0">
        <w:t>.</w:t>
      </w:r>
    </w:p>
    <w:p w:rsidR="00C24AC8" w:rsidRPr="004952C0" w:rsidRDefault="00C24AC8" w:rsidP="0045496E">
      <w:pPr>
        <w:pStyle w:val="tDefn"/>
      </w:pPr>
    </w:p>
    <w:p w:rsidR="0045496E" w:rsidRPr="004952C0" w:rsidRDefault="00FE4F8F" w:rsidP="0045496E">
      <w:pPr>
        <w:pStyle w:val="h1Chap"/>
      </w:pPr>
      <w:bookmarkStart w:id="129" w:name="_Toc431466318"/>
      <w:r w:rsidRPr="004952C0">
        <w:lastRenderedPageBreak/>
        <w:t>Schedule 2</w:t>
      </w:r>
      <w:r w:rsidR="0045496E" w:rsidRPr="004952C0">
        <w:t>—</w:t>
      </w:r>
      <w:r w:rsidR="00521D82" w:rsidRPr="004952C0">
        <w:t>B</w:t>
      </w:r>
      <w:r w:rsidR="00454CAA" w:rsidRPr="004952C0">
        <w:t>uilding type</w:t>
      </w:r>
      <w:r w:rsidR="00521D82" w:rsidRPr="004952C0">
        <w:t>s</w:t>
      </w:r>
      <w:r w:rsidR="00454CAA" w:rsidRPr="004952C0">
        <w:t xml:space="preserve"> and c</w:t>
      </w:r>
      <w:r w:rsidR="0045496E" w:rsidRPr="004952C0">
        <w:t>apacity factors</w:t>
      </w:r>
      <w:bookmarkEnd w:id="129"/>
    </w:p>
    <w:p w:rsidR="001C3F36" w:rsidRPr="004952C0" w:rsidRDefault="00FE4F8F" w:rsidP="00977571">
      <w:pPr>
        <w:pStyle w:val="h5Section"/>
        <w:rPr>
          <w:rFonts w:eastAsia="Calibri"/>
          <w:b w:val="0"/>
          <w:i/>
        </w:rPr>
      </w:pPr>
      <w:bookmarkStart w:id="130" w:name="_Toc431466319"/>
      <w:proofErr w:type="gramStart"/>
      <w:r w:rsidRPr="004952C0">
        <w:rPr>
          <w:rFonts w:eastAsia="Calibri"/>
        </w:rPr>
        <w:t>1</w:t>
      </w:r>
      <w:r w:rsidR="00977571" w:rsidRPr="004952C0">
        <w:rPr>
          <w:rFonts w:eastAsia="Calibri"/>
        </w:rPr>
        <w:t xml:space="preserve">  Meaning</w:t>
      </w:r>
      <w:proofErr w:type="gramEnd"/>
      <w:r w:rsidR="00977571" w:rsidRPr="004952C0">
        <w:rPr>
          <w:rFonts w:eastAsia="Calibri"/>
        </w:rPr>
        <w:t xml:space="preserve"> of </w:t>
      </w:r>
      <w:r w:rsidR="00977571" w:rsidRPr="004952C0">
        <w:rPr>
          <w:rFonts w:eastAsia="Calibri"/>
          <w:i/>
        </w:rPr>
        <w:t>building type</w:t>
      </w:r>
      <w:bookmarkEnd w:id="130"/>
    </w:p>
    <w:p w:rsidR="001C3F36" w:rsidRPr="004952C0" w:rsidRDefault="001C3F36" w:rsidP="001C3F36">
      <w:pPr>
        <w:pStyle w:val="tMain"/>
        <w:rPr>
          <w:rFonts w:eastAsia="Calibri"/>
        </w:rPr>
      </w:pPr>
      <w:r w:rsidRPr="004952C0">
        <w:rPr>
          <w:rFonts w:eastAsia="Calibri"/>
        </w:rPr>
        <w:tab/>
      </w:r>
      <w:r w:rsidRPr="004952C0">
        <w:rPr>
          <w:rFonts w:eastAsia="Calibri"/>
        </w:rPr>
        <w:tab/>
        <w:t xml:space="preserve">For this determination, the </w:t>
      </w:r>
      <w:r w:rsidRPr="004952C0">
        <w:rPr>
          <w:rFonts w:eastAsia="Calibri"/>
          <w:b/>
          <w:i/>
        </w:rPr>
        <w:t xml:space="preserve">building type </w:t>
      </w:r>
      <w:r w:rsidRPr="004952C0">
        <w:rPr>
          <w:rFonts w:eastAsia="Calibri"/>
        </w:rPr>
        <w:t>of a particular building is:</w:t>
      </w:r>
    </w:p>
    <w:p w:rsidR="001C3F36" w:rsidRPr="004952C0" w:rsidRDefault="001C3F36" w:rsidP="001C3F36">
      <w:pPr>
        <w:pStyle w:val="tPara"/>
        <w:rPr>
          <w:rFonts w:eastAsia="Calibri"/>
        </w:rPr>
      </w:pPr>
      <w:r w:rsidRPr="004952C0">
        <w:rPr>
          <w:rFonts w:eastAsia="Calibri"/>
        </w:rPr>
        <w:tab/>
      </w:r>
      <w:r w:rsidR="00FE4F8F" w:rsidRPr="004952C0">
        <w:rPr>
          <w:rFonts w:eastAsia="Calibri"/>
        </w:rPr>
        <w:t>(a)</w:t>
      </w:r>
      <w:r w:rsidRPr="004952C0">
        <w:rPr>
          <w:rFonts w:eastAsia="Calibri"/>
        </w:rPr>
        <w:tab/>
      </w:r>
      <w:proofErr w:type="gramStart"/>
      <w:r w:rsidRPr="004952C0">
        <w:rPr>
          <w:rFonts w:eastAsia="Calibri"/>
        </w:rPr>
        <w:t>if</w:t>
      </w:r>
      <w:proofErr w:type="gramEnd"/>
      <w:r w:rsidRPr="004952C0">
        <w:rPr>
          <w:rFonts w:eastAsia="Calibri"/>
        </w:rPr>
        <w:t xml:space="preserve"> the building is of a single building type listed in the table</w:t>
      </w:r>
      <w:r w:rsidR="004D5D08" w:rsidRPr="004952C0">
        <w:rPr>
          <w:rFonts w:eastAsia="Calibri"/>
        </w:rPr>
        <w:t xml:space="preserve"> </w:t>
      </w:r>
      <w:r w:rsidR="00521D82" w:rsidRPr="004952C0">
        <w:rPr>
          <w:rFonts w:eastAsia="Calibri"/>
        </w:rPr>
        <w:t>below</w:t>
      </w:r>
      <w:r w:rsidRPr="004952C0">
        <w:rPr>
          <w:rFonts w:eastAsia="Calibri"/>
        </w:rPr>
        <w:t>—that building type; and</w:t>
      </w:r>
    </w:p>
    <w:p w:rsidR="001C3F36" w:rsidRPr="004952C0" w:rsidRDefault="001C3F36" w:rsidP="00BF0B71">
      <w:pPr>
        <w:pStyle w:val="tPara"/>
      </w:pPr>
      <w:r w:rsidRPr="004952C0">
        <w:rPr>
          <w:rFonts w:eastAsia="Calibri"/>
        </w:rPr>
        <w:tab/>
      </w:r>
      <w:r w:rsidR="00FE4F8F" w:rsidRPr="004952C0">
        <w:rPr>
          <w:rFonts w:eastAsia="Calibri"/>
        </w:rPr>
        <w:t>(b)</w:t>
      </w:r>
      <w:r w:rsidRPr="004952C0">
        <w:rPr>
          <w:rFonts w:eastAsia="Calibri"/>
        </w:rPr>
        <w:tab/>
      </w:r>
      <w:proofErr w:type="gramStart"/>
      <w:r w:rsidRPr="004952C0">
        <w:rPr>
          <w:rFonts w:eastAsia="Calibri"/>
        </w:rPr>
        <w:t>if</w:t>
      </w:r>
      <w:proofErr w:type="gramEnd"/>
      <w:r w:rsidRPr="004952C0">
        <w:rPr>
          <w:rFonts w:eastAsia="Calibri"/>
        </w:rPr>
        <w:t xml:space="preserve"> the </w:t>
      </w:r>
      <w:r w:rsidRPr="004952C0">
        <w:t>building is of more than 1 building type</w:t>
      </w:r>
      <w:r w:rsidRPr="004952C0">
        <w:rPr>
          <w:rFonts w:eastAsia="Calibri"/>
        </w:rPr>
        <w:t xml:space="preserve"> listed in the table</w:t>
      </w:r>
      <w:r w:rsidRPr="004952C0">
        <w:t>—whichever of those building types that has the lowest capacity factor</w:t>
      </w:r>
      <w:r w:rsidR="004D5D08" w:rsidRPr="004952C0">
        <w:t xml:space="preserve"> </w:t>
      </w:r>
      <w:proofErr w:type="spellStart"/>
      <w:r w:rsidR="004D5D08" w:rsidRPr="004952C0">
        <w:rPr>
          <w:i/>
        </w:rPr>
        <w:t>CF</w:t>
      </w:r>
      <w:r w:rsidR="004D5D08" w:rsidRPr="004952C0">
        <w:rPr>
          <w:i/>
          <w:vertAlign w:val="subscript"/>
        </w:rPr>
        <w:t>i</w:t>
      </w:r>
      <w:proofErr w:type="spellEnd"/>
      <w:r w:rsidRPr="004952C0">
        <w:t xml:space="preserve"> specified in the table for a ducted or partition ventilation fan.</w:t>
      </w:r>
    </w:p>
    <w:p w:rsidR="00977571" w:rsidRPr="004952C0" w:rsidRDefault="00FE4F8F" w:rsidP="00977571">
      <w:pPr>
        <w:pStyle w:val="h5Section"/>
      </w:pPr>
      <w:bookmarkStart w:id="131" w:name="_Toc431466320"/>
      <w:proofErr w:type="gramStart"/>
      <w:r w:rsidRPr="004952C0">
        <w:t>2</w:t>
      </w:r>
      <w:r w:rsidR="00977571" w:rsidRPr="004952C0">
        <w:t xml:space="preserve">  Capacity</w:t>
      </w:r>
      <w:proofErr w:type="gramEnd"/>
      <w:r w:rsidR="00977571" w:rsidRPr="004952C0">
        <w:t xml:space="preserve"> factors</w:t>
      </w:r>
      <w:bookmarkEnd w:id="131"/>
    </w:p>
    <w:p w:rsidR="00360628" w:rsidRPr="004952C0" w:rsidRDefault="00360628" w:rsidP="00360628">
      <w:pPr>
        <w:pStyle w:val="tMain"/>
      </w:pPr>
      <w:r w:rsidRPr="004952C0">
        <w:tab/>
      </w:r>
      <w:r w:rsidRPr="004952C0">
        <w:tab/>
        <w:t>For equations 3 and 11 (sections </w:t>
      </w:r>
      <w:r w:rsidR="00934AC6" w:rsidRPr="004952C0">
        <w:t>27</w:t>
      </w:r>
      <w:r w:rsidRPr="004952C0">
        <w:t xml:space="preserve"> and </w:t>
      </w:r>
      <w:r w:rsidR="00934AC6" w:rsidRPr="004952C0">
        <w:t>35</w:t>
      </w:r>
      <w:r w:rsidRPr="004952C0">
        <w:t xml:space="preserve"> of this determination)</w:t>
      </w:r>
      <w:r w:rsidR="00144830" w:rsidRPr="004952C0">
        <w:t xml:space="preserve">, </w:t>
      </w:r>
      <w:r w:rsidR="00B71339" w:rsidRPr="004952C0">
        <w:t xml:space="preserve">the capacity factor </w:t>
      </w:r>
      <w:proofErr w:type="spellStart"/>
      <w:r w:rsidR="00B71339" w:rsidRPr="004952C0">
        <w:rPr>
          <w:i/>
        </w:rPr>
        <w:t>CF</w:t>
      </w:r>
      <w:r w:rsidR="00B71339" w:rsidRPr="004952C0">
        <w:rPr>
          <w:i/>
          <w:vertAlign w:val="subscript"/>
        </w:rPr>
        <w:t>i</w:t>
      </w:r>
      <w:proofErr w:type="spellEnd"/>
      <w:r w:rsidR="00B71339" w:rsidRPr="004952C0">
        <w:t xml:space="preserve"> </w:t>
      </w:r>
      <w:r w:rsidR="003D10A7" w:rsidRPr="004952C0">
        <w:t>is</w:t>
      </w:r>
      <w:r w:rsidRPr="004952C0">
        <w:t>:</w:t>
      </w:r>
    </w:p>
    <w:p w:rsidR="00360628" w:rsidRPr="004952C0" w:rsidRDefault="00360628" w:rsidP="00360628">
      <w:pPr>
        <w:pStyle w:val="tPara"/>
      </w:pPr>
      <w:r w:rsidRPr="004952C0">
        <w:tab/>
      </w:r>
      <w:r w:rsidR="00FE4F8F" w:rsidRPr="004952C0">
        <w:t>(a)</w:t>
      </w:r>
      <w:r w:rsidRPr="004952C0">
        <w:tab/>
      </w:r>
      <w:proofErr w:type="gramStart"/>
      <w:r w:rsidR="00422316" w:rsidRPr="004952C0">
        <w:t>for</w:t>
      </w:r>
      <w:proofErr w:type="gramEnd"/>
      <w:r w:rsidR="00422316" w:rsidRPr="004952C0">
        <w:t xml:space="preserve"> </w:t>
      </w:r>
      <w:r w:rsidRPr="004952C0">
        <w:t>a ducted or partition ventilation fan</w:t>
      </w:r>
      <w:r w:rsidR="00422316" w:rsidRPr="004952C0">
        <w:t xml:space="preserve">—the value indicated in the table below for the building type of the building the </w:t>
      </w:r>
      <w:proofErr w:type="spellStart"/>
      <w:r w:rsidR="00CB06E9" w:rsidRPr="004952C0">
        <w:rPr>
          <w:i/>
        </w:rPr>
        <w:t>i</w:t>
      </w:r>
      <w:r w:rsidR="00CB06E9" w:rsidRPr="004952C0">
        <w:rPr>
          <w:vertAlign w:val="superscript"/>
        </w:rPr>
        <w:t>th</w:t>
      </w:r>
      <w:proofErr w:type="spellEnd"/>
      <w:r w:rsidR="00CB06E9" w:rsidRPr="004952C0">
        <w:t xml:space="preserve"> </w:t>
      </w:r>
      <w:r w:rsidR="00422316" w:rsidRPr="004952C0">
        <w:t>fan services</w:t>
      </w:r>
      <w:r w:rsidRPr="004952C0">
        <w:t>; and</w:t>
      </w:r>
    </w:p>
    <w:p w:rsidR="00360628" w:rsidRPr="004952C0" w:rsidRDefault="00360628" w:rsidP="00360628">
      <w:pPr>
        <w:pStyle w:val="tPara"/>
      </w:pPr>
      <w:r w:rsidRPr="004952C0">
        <w:tab/>
      </w:r>
      <w:r w:rsidR="00FE4F8F" w:rsidRPr="004952C0">
        <w:t>(b)</w:t>
      </w:r>
      <w:r w:rsidRPr="004952C0">
        <w:tab/>
      </w:r>
      <w:proofErr w:type="gramStart"/>
      <w:r w:rsidR="00884C25" w:rsidRPr="004952C0">
        <w:t>for</w:t>
      </w:r>
      <w:proofErr w:type="gramEnd"/>
      <w:r w:rsidR="00884C25" w:rsidRPr="004952C0">
        <w:t xml:space="preserve"> </w:t>
      </w:r>
      <w:r w:rsidRPr="004952C0">
        <w:t>a heating/cooling ventilation fan</w:t>
      </w:r>
      <w:r w:rsidR="00884C25" w:rsidRPr="004952C0">
        <w:t>—the value indicated in the table below for</w:t>
      </w:r>
      <w:r w:rsidRPr="004952C0">
        <w:t>:</w:t>
      </w:r>
    </w:p>
    <w:p w:rsidR="00360628" w:rsidRPr="004952C0" w:rsidRDefault="00360628" w:rsidP="00360628">
      <w:pPr>
        <w:pStyle w:val="tSubpara"/>
      </w:pPr>
      <w:r w:rsidRPr="004952C0">
        <w:tab/>
      </w:r>
      <w:r w:rsidR="00FE4F8F" w:rsidRPr="004952C0">
        <w:t>(</w:t>
      </w:r>
      <w:proofErr w:type="spellStart"/>
      <w:r w:rsidR="00FE4F8F" w:rsidRPr="004952C0">
        <w:t>i</w:t>
      </w:r>
      <w:proofErr w:type="spellEnd"/>
      <w:r w:rsidR="00FE4F8F" w:rsidRPr="004952C0">
        <w:t>)</w:t>
      </w:r>
      <w:r w:rsidRPr="004952C0">
        <w:tab/>
      </w:r>
      <w:proofErr w:type="gramStart"/>
      <w:r w:rsidR="00884C25" w:rsidRPr="004952C0">
        <w:t>the</w:t>
      </w:r>
      <w:proofErr w:type="gramEnd"/>
      <w:r w:rsidR="00884C25" w:rsidRPr="004952C0">
        <w:t xml:space="preserve"> building type of the building the </w:t>
      </w:r>
      <w:proofErr w:type="spellStart"/>
      <w:r w:rsidR="00884C25" w:rsidRPr="004952C0">
        <w:rPr>
          <w:i/>
        </w:rPr>
        <w:t>i</w:t>
      </w:r>
      <w:r w:rsidR="00884C25" w:rsidRPr="004952C0">
        <w:rPr>
          <w:vertAlign w:val="superscript"/>
        </w:rPr>
        <w:t>th</w:t>
      </w:r>
      <w:proofErr w:type="spellEnd"/>
      <w:r w:rsidR="00884C25" w:rsidRPr="004952C0">
        <w:t xml:space="preserve"> fan </w:t>
      </w:r>
      <w:r w:rsidRPr="004952C0">
        <w:t>services</w:t>
      </w:r>
      <w:r w:rsidR="00884C25" w:rsidRPr="004952C0">
        <w:t>; and</w:t>
      </w:r>
    </w:p>
    <w:p w:rsidR="00360628" w:rsidRPr="004952C0" w:rsidRDefault="00884C25" w:rsidP="00884C25">
      <w:pPr>
        <w:pStyle w:val="tSubpara"/>
      </w:pPr>
      <w:r w:rsidRPr="004952C0">
        <w:tab/>
      </w:r>
      <w:r w:rsidR="00FE4F8F" w:rsidRPr="004952C0">
        <w:t>(ii)</w:t>
      </w:r>
      <w:r w:rsidRPr="004952C0">
        <w:tab/>
      </w:r>
      <w:proofErr w:type="gramStart"/>
      <w:r w:rsidRPr="004952C0">
        <w:t>the</w:t>
      </w:r>
      <w:proofErr w:type="gramEnd"/>
      <w:r w:rsidRPr="004952C0">
        <w:t xml:space="preserve"> </w:t>
      </w:r>
      <w:r w:rsidR="00360628" w:rsidRPr="004952C0">
        <w:t xml:space="preserve">NCC climate zone </w:t>
      </w:r>
      <w:r w:rsidRPr="004952C0">
        <w:t xml:space="preserve">in which the </w:t>
      </w:r>
      <w:r w:rsidR="00533C83" w:rsidRPr="004952C0">
        <w:t>building</w:t>
      </w:r>
      <w:r w:rsidRPr="004952C0">
        <w:t xml:space="preserve"> is located</w:t>
      </w:r>
      <w:r w:rsidR="00360628" w:rsidRPr="004952C0">
        <w:t>; and</w:t>
      </w:r>
    </w:p>
    <w:p w:rsidR="00360628" w:rsidRPr="004952C0" w:rsidRDefault="000C303C" w:rsidP="000C303C">
      <w:pPr>
        <w:pStyle w:val="tSubpara"/>
      </w:pPr>
      <w:r w:rsidRPr="004952C0">
        <w:tab/>
      </w:r>
      <w:r w:rsidR="00FE4F8F" w:rsidRPr="004952C0">
        <w:t>(iii)</w:t>
      </w:r>
      <w:r w:rsidRPr="004952C0">
        <w:tab/>
      </w:r>
      <w:proofErr w:type="gramStart"/>
      <w:r w:rsidR="00884C25" w:rsidRPr="004952C0">
        <w:t>the</w:t>
      </w:r>
      <w:proofErr w:type="gramEnd"/>
      <w:r w:rsidR="00884C25" w:rsidRPr="004952C0">
        <w:t xml:space="preserve"> </w:t>
      </w:r>
      <w:r w:rsidR="006D3348" w:rsidRPr="004952C0">
        <w:t>functions</w:t>
      </w:r>
      <w:r w:rsidR="00884C25" w:rsidRPr="004952C0">
        <w:t xml:space="preserve"> (</w:t>
      </w:r>
      <w:r w:rsidR="00360628" w:rsidRPr="004952C0">
        <w:t>heating, cooling</w:t>
      </w:r>
      <w:r w:rsidR="009F123C" w:rsidRPr="004952C0">
        <w:t>,</w:t>
      </w:r>
      <w:r w:rsidR="00360628" w:rsidRPr="004952C0">
        <w:t xml:space="preserve"> or both heating and cooling</w:t>
      </w:r>
      <w:r w:rsidR="00884C25" w:rsidRPr="004952C0">
        <w:t xml:space="preserve">) the fan </w:t>
      </w:r>
      <w:r w:rsidR="006D3348" w:rsidRPr="004952C0">
        <w:t>services</w:t>
      </w:r>
      <w:r w:rsidR="00144830" w:rsidRPr="004952C0">
        <w:t>.</w:t>
      </w:r>
    </w:p>
    <w:p w:rsidR="00521D82" w:rsidRPr="004952C0" w:rsidRDefault="00FE4F8F" w:rsidP="00521D82">
      <w:pPr>
        <w:pStyle w:val="h5Section"/>
      </w:pPr>
      <w:bookmarkStart w:id="132" w:name="_Toc431466321"/>
      <w:proofErr w:type="gramStart"/>
      <w:r w:rsidRPr="004952C0">
        <w:t>3</w:t>
      </w:r>
      <w:r w:rsidR="00521D82" w:rsidRPr="004952C0">
        <w:t xml:space="preserve">  Interpretation</w:t>
      </w:r>
      <w:bookmarkEnd w:id="132"/>
      <w:proofErr w:type="gramEnd"/>
    </w:p>
    <w:p w:rsidR="00997491" w:rsidRPr="004952C0" w:rsidRDefault="00997491" w:rsidP="00997491">
      <w:pPr>
        <w:pStyle w:val="tMain"/>
      </w:pPr>
      <w:r w:rsidRPr="004952C0">
        <w:tab/>
      </w:r>
      <w:r w:rsidRPr="004952C0">
        <w:tab/>
        <w:t>A term that is used in this Schedule and the BCA has the same meaning as in the BCA.</w:t>
      </w:r>
    </w:p>
    <w:p w:rsidR="004678FA" w:rsidRPr="004952C0" w:rsidRDefault="004678FA" w:rsidP="0065277F">
      <w:pPr>
        <w:pStyle w:val="tPara"/>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43"/>
        <w:gridCol w:w="1134"/>
        <w:gridCol w:w="992"/>
        <w:gridCol w:w="709"/>
        <w:gridCol w:w="722"/>
        <w:gridCol w:w="695"/>
        <w:gridCol w:w="709"/>
        <w:gridCol w:w="709"/>
        <w:gridCol w:w="709"/>
        <w:gridCol w:w="850"/>
      </w:tblGrid>
      <w:tr w:rsidR="004952C0" w:rsidRPr="004952C0" w:rsidTr="00791616">
        <w:trPr>
          <w:cantSplit/>
          <w:trHeight w:val="667"/>
          <w:tblHeader/>
        </w:trPr>
        <w:tc>
          <w:tcPr>
            <w:tcW w:w="1843" w:type="dxa"/>
            <w:vMerge w:val="restart"/>
            <w:tcBorders>
              <w:top w:val="single" w:sz="12" w:space="0" w:color="auto"/>
              <w:right w:val="single" w:sz="2" w:space="0" w:color="auto"/>
            </w:tcBorders>
            <w:vAlign w:val="center"/>
          </w:tcPr>
          <w:p w:rsidR="004678FA" w:rsidRPr="004952C0" w:rsidRDefault="00762804" w:rsidP="00557D67">
            <w:pPr>
              <w:pStyle w:val="TableHeading"/>
              <w:jc w:val="center"/>
            </w:pPr>
            <w:r w:rsidRPr="004952C0">
              <w:t>Building type</w:t>
            </w:r>
          </w:p>
        </w:tc>
        <w:tc>
          <w:tcPr>
            <w:tcW w:w="1134" w:type="dxa"/>
            <w:vMerge w:val="restart"/>
            <w:tcBorders>
              <w:top w:val="single" w:sz="12" w:space="0" w:color="auto"/>
              <w:left w:val="single" w:sz="2" w:space="0" w:color="auto"/>
              <w:bottom w:val="single" w:sz="12" w:space="0" w:color="auto"/>
              <w:right w:val="single" w:sz="2" w:space="0" w:color="auto"/>
            </w:tcBorders>
          </w:tcPr>
          <w:p w:rsidR="004678FA" w:rsidRPr="004952C0" w:rsidRDefault="004678FA" w:rsidP="00050066">
            <w:pPr>
              <w:pStyle w:val="TableHeading"/>
              <w:jc w:val="center"/>
            </w:pPr>
            <w:proofErr w:type="spellStart"/>
            <w:r w:rsidRPr="004952C0">
              <w:rPr>
                <w:i/>
              </w:rPr>
              <w:t>CF</w:t>
            </w:r>
            <w:r w:rsidRPr="004952C0">
              <w:rPr>
                <w:i/>
                <w:vertAlign w:val="subscript"/>
              </w:rPr>
              <w:t>i</w:t>
            </w:r>
            <w:proofErr w:type="spellEnd"/>
            <w:r w:rsidRPr="004952C0">
              <w:t xml:space="preserve"> for a ducted or partition ventilation fan</w:t>
            </w:r>
          </w:p>
        </w:tc>
        <w:tc>
          <w:tcPr>
            <w:tcW w:w="6095" w:type="dxa"/>
            <w:gridSpan w:val="8"/>
            <w:tcBorders>
              <w:top w:val="single" w:sz="12" w:space="0" w:color="auto"/>
              <w:left w:val="single" w:sz="2" w:space="0" w:color="auto"/>
              <w:bottom w:val="single" w:sz="12" w:space="0" w:color="auto"/>
            </w:tcBorders>
            <w:vAlign w:val="center"/>
          </w:tcPr>
          <w:p w:rsidR="004678FA" w:rsidRPr="004952C0" w:rsidRDefault="004678FA" w:rsidP="00050066">
            <w:pPr>
              <w:pStyle w:val="TableHeading"/>
              <w:jc w:val="center"/>
            </w:pPr>
            <w:proofErr w:type="spellStart"/>
            <w:r w:rsidRPr="004952C0">
              <w:rPr>
                <w:i/>
              </w:rPr>
              <w:t>CF</w:t>
            </w:r>
            <w:r w:rsidRPr="004952C0">
              <w:rPr>
                <w:i/>
                <w:vertAlign w:val="subscript"/>
              </w:rPr>
              <w:t>i</w:t>
            </w:r>
            <w:proofErr w:type="spellEnd"/>
            <w:r w:rsidRPr="004952C0">
              <w:t xml:space="preserve"> for a heating/cooling ventilation fan</w:t>
            </w:r>
          </w:p>
        </w:tc>
      </w:tr>
      <w:tr w:rsidR="004952C0" w:rsidRPr="004952C0" w:rsidTr="00791616">
        <w:trPr>
          <w:cantSplit/>
          <w:tblHeader/>
        </w:trPr>
        <w:tc>
          <w:tcPr>
            <w:tcW w:w="1843" w:type="dxa"/>
            <w:vMerge/>
            <w:tcBorders>
              <w:right w:val="single" w:sz="2" w:space="0" w:color="auto"/>
            </w:tcBorders>
            <w:vAlign w:val="center"/>
          </w:tcPr>
          <w:p w:rsidR="004678FA" w:rsidRPr="004952C0" w:rsidRDefault="004678FA" w:rsidP="00050066">
            <w:pPr>
              <w:pStyle w:val="TableHeading"/>
              <w:jc w:val="center"/>
            </w:pPr>
          </w:p>
        </w:tc>
        <w:tc>
          <w:tcPr>
            <w:tcW w:w="1134" w:type="dxa"/>
            <w:vMerge/>
            <w:tcBorders>
              <w:top w:val="single" w:sz="12" w:space="0" w:color="auto"/>
              <w:left w:val="single" w:sz="2" w:space="0" w:color="auto"/>
              <w:bottom w:val="single" w:sz="12" w:space="0" w:color="auto"/>
              <w:right w:val="single" w:sz="2" w:space="0" w:color="auto"/>
            </w:tcBorders>
          </w:tcPr>
          <w:p w:rsidR="004678FA" w:rsidRPr="004952C0" w:rsidRDefault="004678FA" w:rsidP="00050066">
            <w:pPr>
              <w:pStyle w:val="TableHeading"/>
              <w:jc w:val="center"/>
            </w:pPr>
          </w:p>
        </w:tc>
        <w:tc>
          <w:tcPr>
            <w:tcW w:w="992" w:type="dxa"/>
            <w:vMerge w:val="restart"/>
            <w:tcBorders>
              <w:top w:val="single" w:sz="2" w:space="0" w:color="auto"/>
              <w:left w:val="single" w:sz="2" w:space="0" w:color="auto"/>
              <w:bottom w:val="single" w:sz="12" w:space="0" w:color="auto"/>
              <w:right w:val="single" w:sz="2" w:space="0" w:color="auto"/>
            </w:tcBorders>
            <w:vAlign w:val="center"/>
          </w:tcPr>
          <w:p w:rsidR="004678FA" w:rsidRPr="004952C0" w:rsidRDefault="004678FA" w:rsidP="00050066">
            <w:pPr>
              <w:pStyle w:val="TableHeading"/>
              <w:jc w:val="center"/>
              <w:rPr>
                <w:sz w:val="22"/>
                <w:szCs w:val="22"/>
              </w:rPr>
            </w:pPr>
            <w:r w:rsidRPr="004952C0">
              <w:t>Heating, cooling or both</w:t>
            </w:r>
          </w:p>
        </w:tc>
        <w:tc>
          <w:tcPr>
            <w:tcW w:w="5103" w:type="dxa"/>
            <w:gridSpan w:val="7"/>
            <w:tcBorders>
              <w:top w:val="single" w:sz="2" w:space="0" w:color="auto"/>
              <w:left w:val="single" w:sz="2" w:space="0" w:color="auto"/>
            </w:tcBorders>
            <w:vAlign w:val="center"/>
          </w:tcPr>
          <w:p w:rsidR="004678FA" w:rsidRPr="004952C0" w:rsidRDefault="004678FA" w:rsidP="00050066">
            <w:pPr>
              <w:pStyle w:val="TableHeading"/>
              <w:jc w:val="center"/>
              <w:rPr>
                <w:sz w:val="22"/>
                <w:szCs w:val="22"/>
              </w:rPr>
            </w:pPr>
            <w:r w:rsidRPr="004952C0">
              <w:t>NCC climate zone</w:t>
            </w:r>
          </w:p>
        </w:tc>
      </w:tr>
      <w:tr w:rsidR="004952C0" w:rsidRPr="004952C0" w:rsidTr="00791616">
        <w:trPr>
          <w:cantSplit/>
          <w:tblHeader/>
        </w:trPr>
        <w:tc>
          <w:tcPr>
            <w:tcW w:w="1843" w:type="dxa"/>
            <w:vMerge/>
            <w:tcBorders>
              <w:bottom w:val="single" w:sz="12" w:space="0" w:color="auto"/>
              <w:right w:val="single" w:sz="2" w:space="0" w:color="auto"/>
            </w:tcBorders>
            <w:vAlign w:val="center"/>
          </w:tcPr>
          <w:p w:rsidR="004678FA" w:rsidRPr="004952C0" w:rsidRDefault="004678FA" w:rsidP="00050066">
            <w:pPr>
              <w:pStyle w:val="TableHeading"/>
              <w:jc w:val="center"/>
            </w:pPr>
          </w:p>
        </w:tc>
        <w:tc>
          <w:tcPr>
            <w:tcW w:w="1134" w:type="dxa"/>
            <w:vMerge/>
            <w:tcBorders>
              <w:top w:val="single" w:sz="12" w:space="0" w:color="auto"/>
              <w:left w:val="single" w:sz="2" w:space="0" w:color="auto"/>
              <w:bottom w:val="single" w:sz="12" w:space="0" w:color="auto"/>
              <w:right w:val="single" w:sz="2" w:space="0" w:color="auto"/>
            </w:tcBorders>
          </w:tcPr>
          <w:p w:rsidR="004678FA" w:rsidRPr="004952C0" w:rsidRDefault="004678FA" w:rsidP="00050066">
            <w:pPr>
              <w:pStyle w:val="TableHeading"/>
              <w:jc w:val="center"/>
            </w:pPr>
          </w:p>
        </w:tc>
        <w:tc>
          <w:tcPr>
            <w:tcW w:w="992" w:type="dxa"/>
            <w:vMerge/>
            <w:tcBorders>
              <w:top w:val="single" w:sz="2" w:space="0" w:color="auto"/>
              <w:left w:val="single" w:sz="2" w:space="0" w:color="auto"/>
              <w:bottom w:val="single" w:sz="12" w:space="0" w:color="auto"/>
              <w:right w:val="single" w:sz="2" w:space="0" w:color="auto"/>
            </w:tcBorders>
            <w:vAlign w:val="center"/>
          </w:tcPr>
          <w:p w:rsidR="004678FA" w:rsidRPr="004952C0" w:rsidRDefault="004678FA" w:rsidP="00050066">
            <w:pPr>
              <w:pStyle w:val="TableHeading"/>
              <w:jc w:val="center"/>
            </w:pPr>
          </w:p>
        </w:tc>
        <w:tc>
          <w:tcPr>
            <w:tcW w:w="709" w:type="dxa"/>
            <w:tcBorders>
              <w:left w:val="single" w:sz="2" w:space="0" w:color="auto"/>
              <w:bottom w:val="single" w:sz="12" w:space="0" w:color="auto"/>
            </w:tcBorders>
            <w:vAlign w:val="center"/>
          </w:tcPr>
          <w:p w:rsidR="004678FA" w:rsidRPr="004952C0" w:rsidRDefault="004678FA" w:rsidP="00050066">
            <w:pPr>
              <w:pStyle w:val="TableHeading"/>
              <w:jc w:val="center"/>
            </w:pPr>
            <w:r w:rsidRPr="004952C0">
              <w:t>1</w:t>
            </w:r>
          </w:p>
        </w:tc>
        <w:tc>
          <w:tcPr>
            <w:tcW w:w="722" w:type="dxa"/>
            <w:tcBorders>
              <w:bottom w:val="single" w:sz="12" w:space="0" w:color="auto"/>
            </w:tcBorders>
            <w:vAlign w:val="center"/>
          </w:tcPr>
          <w:p w:rsidR="004678FA" w:rsidRPr="004952C0" w:rsidRDefault="004678FA" w:rsidP="00050066">
            <w:pPr>
              <w:pStyle w:val="TableHeading"/>
              <w:jc w:val="center"/>
            </w:pPr>
            <w:r w:rsidRPr="004952C0">
              <w:t>2</w:t>
            </w:r>
          </w:p>
        </w:tc>
        <w:tc>
          <w:tcPr>
            <w:tcW w:w="695" w:type="dxa"/>
            <w:tcBorders>
              <w:bottom w:val="single" w:sz="12" w:space="0" w:color="auto"/>
            </w:tcBorders>
            <w:vAlign w:val="center"/>
          </w:tcPr>
          <w:p w:rsidR="004678FA" w:rsidRPr="004952C0" w:rsidRDefault="004678FA" w:rsidP="00050066">
            <w:pPr>
              <w:pStyle w:val="TableHeading"/>
              <w:jc w:val="center"/>
            </w:pPr>
            <w:r w:rsidRPr="004952C0">
              <w:t>3</w:t>
            </w:r>
          </w:p>
        </w:tc>
        <w:tc>
          <w:tcPr>
            <w:tcW w:w="709" w:type="dxa"/>
            <w:tcBorders>
              <w:bottom w:val="single" w:sz="12" w:space="0" w:color="auto"/>
            </w:tcBorders>
            <w:vAlign w:val="center"/>
          </w:tcPr>
          <w:p w:rsidR="004678FA" w:rsidRPr="004952C0" w:rsidRDefault="004678FA" w:rsidP="00050066">
            <w:pPr>
              <w:pStyle w:val="TableHeading"/>
              <w:jc w:val="center"/>
            </w:pPr>
            <w:r w:rsidRPr="004952C0">
              <w:t>4</w:t>
            </w:r>
          </w:p>
        </w:tc>
        <w:tc>
          <w:tcPr>
            <w:tcW w:w="709" w:type="dxa"/>
            <w:tcBorders>
              <w:bottom w:val="single" w:sz="12" w:space="0" w:color="auto"/>
            </w:tcBorders>
            <w:vAlign w:val="center"/>
          </w:tcPr>
          <w:p w:rsidR="004678FA" w:rsidRPr="004952C0" w:rsidRDefault="004678FA" w:rsidP="00050066">
            <w:pPr>
              <w:pStyle w:val="TableHeading"/>
              <w:jc w:val="center"/>
            </w:pPr>
            <w:r w:rsidRPr="004952C0">
              <w:t>5</w:t>
            </w:r>
          </w:p>
        </w:tc>
        <w:tc>
          <w:tcPr>
            <w:tcW w:w="709" w:type="dxa"/>
            <w:tcBorders>
              <w:bottom w:val="single" w:sz="12" w:space="0" w:color="auto"/>
            </w:tcBorders>
            <w:vAlign w:val="center"/>
          </w:tcPr>
          <w:p w:rsidR="004678FA" w:rsidRPr="004952C0" w:rsidRDefault="004678FA" w:rsidP="00050066">
            <w:pPr>
              <w:pStyle w:val="TableHeading"/>
              <w:jc w:val="center"/>
            </w:pPr>
            <w:r w:rsidRPr="004952C0">
              <w:t>6</w:t>
            </w:r>
          </w:p>
        </w:tc>
        <w:tc>
          <w:tcPr>
            <w:tcW w:w="850" w:type="dxa"/>
            <w:tcBorders>
              <w:bottom w:val="single" w:sz="12" w:space="0" w:color="auto"/>
            </w:tcBorders>
            <w:vAlign w:val="center"/>
          </w:tcPr>
          <w:p w:rsidR="004678FA" w:rsidRPr="004952C0" w:rsidRDefault="004678FA" w:rsidP="00791616">
            <w:pPr>
              <w:pStyle w:val="TableHeading"/>
              <w:jc w:val="center"/>
            </w:pPr>
            <w:r w:rsidRPr="004952C0">
              <w:t>7</w:t>
            </w:r>
            <w:r w:rsidR="00791616">
              <w:t xml:space="preserve"> and 8</w:t>
            </w:r>
          </w:p>
        </w:tc>
      </w:tr>
      <w:tr w:rsidR="004952C0" w:rsidRPr="004952C0" w:rsidTr="00791616">
        <w:trPr>
          <w:cantSplit/>
        </w:trPr>
        <w:tc>
          <w:tcPr>
            <w:tcW w:w="1843" w:type="dxa"/>
            <w:vMerge w:val="restart"/>
            <w:tcBorders>
              <w:top w:val="single" w:sz="12" w:space="0" w:color="auto"/>
              <w:right w:val="single" w:sz="2" w:space="0" w:color="auto"/>
            </w:tcBorders>
          </w:tcPr>
          <w:p w:rsidR="004678FA" w:rsidRPr="004952C0" w:rsidRDefault="00762804" w:rsidP="00F71EAD">
            <w:pPr>
              <w:pStyle w:val="Tabletext"/>
            </w:pPr>
            <w:r w:rsidRPr="004952C0">
              <w:t>BCA c</w:t>
            </w:r>
            <w:r w:rsidR="004678FA" w:rsidRPr="004952C0">
              <w:t>lass 2 (multi-unit dwellings)</w:t>
            </w:r>
            <w:r w:rsidR="00303667" w:rsidRPr="004952C0">
              <w:t xml:space="preserve"> (see the Note)</w:t>
            </w:r>
          </w:p>
        </w:tc>
        <w:tc>
          <w:tcPr>
            <w:tcW w:w="1134" w:type="dxa"/>
            <w:vMerge w:val="restart"/>
            <w:tcBorders>
              <w:top w:val="single" w:sz="12" w:space="0" w:color="auto"/>
              <w:left w:val="single" w:sz="2" w:space="0" w:color="auto"/>
              <w:right w:val="single" w:sz="2" w:space="0" w:color="auto"/>
            </w:tcBorders>
          </w:tcPr>
          <w:p w:rsidR="004678FA" w:rsidRPr="004952C0" w:rsidRDefault="004678FA" w:rsidP="00050066">
            <w:pPr>
              <w:pStyle w:val="Tabletext"/>
              <w:jc w:val="center"/>
            </w:pPr>
            <w:r w:rsidRPr="004952C0">
              <w:t>0.72</w:t>
            </w:r>
          </w:p>
        </w:tc>
        <w:tc>
          <w:tcPr>
            <w:tcW w:w="992" w:type="dxa"/>
            <w:tcBorders>
              <w:top w:val="single" w:sz="12" w:space="0" w:color="auto"/>
              <w:left w:val="single" w:sz="2" w:space="0" w:color="auto"/>
              <w:right w:val="single" w:sz="2" w:space="0" w:color="auto"/>
            </w:tcBorders>
          </w:tcPr>
          <w:p w:rsidR="004678FA" w:rsidRPr="004952C0" w:rsidRDefault="004678FA" w:rsidP="00050066">
            <w:pPr>
              <w:pStyle w:val="Tabletext"/>
            </w:pPr>
            <w:r w:rsidRPr="004952C0">
              <w:t>Heating</w:t>
            </w:r>
          </w:p>
        </w:tc>
        <w:tc>
          <w:tcPr>
            <w:tcW w:w="709" w:type="dxa"/>
            <w:tcBorders>
              <w:top w:val="single" w:sz="12" w:space="0" w:color="auto"/>
              <w:left w:val="single" w:sz="2" w:space="0" w:color="auto"/>
            </w:tcBorders>
          </w:tcPr>
          <w:p w:rsidR="004678FA" w:rsidRPr="004952C0" w:rsidRDefault="004678FA" w:rsidP="00470B15">
            <w:pPr>
              <w:pStyle w:val="Tabletext"/>
              <w:jc w:val="center"/>
            </w:pPr>
            <w:r w:rsidRPr="004952C0">
              <w:t>0.008</w:t>
            </w:r>
          </w:p>
        </w:tc>
        <w:tc>
          <w:tcPr>
            <w:tcW w:w="722" w:type="dxa"/>
            <w:tcBorders>
              <w:top w:val="single" w:sz="12" w:space="0" w:color="auto"/>
            </w:tcBorders>
          </w:tcPr>
          <w:p w:rsidR="004678FA" w:rsidRPr="004952C0" w:rsidRDefault="004678FA" w:rsidP="00470B15">
            <w:pPr>
              <w:pStyle w:val="Tabletext"/>
              <w:jc w:val="center"/>
            </w:pPr>
            <w:r w:rsidRPr="004952C0">
              <w:t>0.194</w:t>
            </w:r>
          </w:p>
        </w:tc>
        <w:tc>
          <w:tcPr>
            <w:tcW w:w="695" w:type="dxa"/>
            <w:tcBorders>
              <w:top w:val="single" w:sz="12" w:space="0" w:color="auto"/>
            </w:tcBorders>
          </w:tcPr>
          <w:p w:rsidR="004678FA" w:rsidRPr="004952C0" w:rsidRDefault="004678FA" w:rsidP="00470B15">
            <w:pPr>
              <w:pStyle w:val="Tabletext"/>
              <w:jc w:val="center"/>
            </w:pPr>
            <w:r w:rsidRPr="004952C0">
              <w:t>0.184</w:t>
            </w:r>
          </w:p>
        </w:tc>
        <w:tc>
          <w:tcPr>
            <w:tcW w:w="709" w:type="dxa"/>
            <w:tcBorders>
              <w:top w:val="single" w:sz="12" w:space="0" w:color="auto"/>
            </w:tcBorders>
          </w:tcPr>
          <w:p w:rsidR="004678FA" w:rsidRPr="004952C0" w:rsidRDefault="004678FA" w:rsidP="00470B15">
            <w:pPr>
              <w:pStyle w:val="Tabletext"/>
              <w:jc w:val="center"/>
            </w:pPr>
            <w:r w:rsidRPr="004952C0">
              <w:t>0.380</w:t>
            </w:r>
          </w:p>
        </w:tc>
        <w:tc>
          <w:tcPr>
            <w:tcW w:w="709" w:type="dxa"/>
            <w:tcBorders>
              <w:top w:val="single" w:sz="12" w:space="0" w:color="auto"/>
            </w:tcBorders>
          </w:tcPr>
          <w:p w:rsidR="004678FA" w:rsidRPr="004952C0" w:rsidRDefault="004678FA" w:rsidP="00470B15">
            <w:pPr>
              <w:pStyle w:val="Tabletext"/>
              <w:jc w:val="center"/>
            </w:pPr>
            <w:r w:rsidRPr="004952C0">
              <w:t>0.355</w:t>
            </w:r>
          </w:p>
        </w:tc>
        <w:tc>
          <w:tcPr>
            <w:tcW w:w="709" w:type="dxa"/>
            <w:tcBorders>
              <w:top w:val="single" w:sz="12" w:space="0" w:color="auto"/>
            </w:tcBorders>
          </w:tcPr>
          <w:p w:rsidR="004678FA" w:rsidRPr="004952C0" w:rsidRDefault="004678FA" w:rsidP="00470B15">
            <w:pPr>
              <w:pStyle w:val="Tabletext"/>
              <w:jc w:val="center"/>
            </w:pPr>
            <w:r w:rsidRPr="004952C0">
              <w:t>0.527</w:t>
            </w:r>
          </w:p>
        </w:tc>
        <w:tc>
          <w:tcPr>
            <w:tcW w:w="850" w:type="dxa"/>
            <w:tcBorders>
              <w:top w:val="single" w:sz="12" w:space="0" w:color="auto"/>
            </w:tcBorders>
          </w:tcPr>
          <w:p w:rsidR="004678FA" w:rsidRPr="004952C0" w:rsidRDefault="004678FA" w:rsidP="00470B15">
            <w:pPr>
              <w:pStyle w:val="Tabletext"/>
              <w:jc w:val="center"/>
            </w:pPr>
            <w:r w:rsidRPr="004952C0">
              <w:t>0.619</w:t>
            </w:r>
          </w:p>
        </w:tc>
      </w:tr>
      <w:tr w:rsidR="004952C0" w:rsidRPr="004952C0" w:rsidTr="00791616">
        <w:trPr>
          <w:cantSplit/>
        </w:trPr>
        <w:tc>
          <w:tcPr>
            <w:tcW w:w="1843" w:type="dxa"/>
            <w:vMerge/>
            <w:tcBorders>
              <w:right w:val="single" w:sz="2" w:space="0" w:color="auto"/>
            </w:tcBorders>
          </w:tcPr>
          <w:p w:rsidR="004678FA" w:rsidRPr="004952C0" w:rsidRDefault="004678FA" w:rsidP="00050066">
            <w:pPr>
              <w:pStyle w:val="Tabletext"/>
            </w:pPr>
          </w:p>
        </w:tc>
        <w:tc>
          <w:tcPr>
            <w:tcW w:w="1134" w:type="dxa"/>
            <w:vMerge/>
            <w:tcBorders>
              <w:left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right w:val="single" w:sz="2" w:space="0" w:color="auto"/>
            </w:tcBorders>
          </w:tcPr>
          <w:p w:rsidR="004678FA" w:rsidRPr="004952C0" w:rsidRDefault="004678FA" w:rsidP="00050066">
            <w:pPr>
              <w:pStyle w:val="Tabletext"/>
            </w:pPr>
            <w:r w:rsidRPr="004952C0">
              <w:t>Cooling</w:t>
            </w:r>
          </w:p>
        </w:tc>
        <w:tc>
          <w:tcPr>
            <w:tcW w:w="709" w:type="dxa"/>
            <w:tcBorders>
              <w:left w:val="single" w:sz="2" w:space="0" w:color="auto"/>
            </w:tcBorders>
          </w:tcPr>
          <w:p w:rsidR="004678FA" w:rsidRPr="004952C0" w:rsidRDefault="004678FA" w:rsidP="00470B15">
            <w:pPr>
              <w:pStyle w:val="Tabletext"/>
              <w:jc w:val="center"/>
            </w:pPr>
            <w:r w:rsidRPr="004952C0">
              <w:t>0.690</w:t>
            </w:r>
          </w:p>
        </w:tc>
        <w:tc>
          <w:tcPr>
            <w:tcW w:w="722" w:type="dxa"/>
          </w:tcPr>
          <w:p w:rsidR="004678FA" w:rsidRPr="004952C0" w:rsidRDefault="004678FA" w:rsidP="00470B15">
            <w:pPr>
              <w:pStyle w:val="Tabletext"/>
              <w:jc w:val="center"/>
            </w:pPr>
            <w:r w:rsidRPr="004952C0">
              <w:t>0.511</w:t>
            </w:r>
          </w:p>
        </w:tc>
        <w:tc>
          <w:tcPr>
            <w:tcW w:w="695" w:type="dxa"/>
          </w:tcPr>
          <w:p w:rsidR="004678FA" w:rsidRPr="004952C0" w:rsidRDefault="004678FA" w:rsidP="00470B15">
            <w:pPr>
              <w:pStyle w:val="Tabletext"/>
              <w:jc w:val="center"/>
            </w:pPr>
            <w:r w:rsidRPr="004952C0">
              <w:t>0.352</w:t>
            </w:r>
          </w:p>
        </w:tc>
        <w:tc>
          <w:tcPr>
            <w:tcW w:w="709" w:type="dxa"/>
          </w:tcPr>
          <w:p w:rsidR="004678FA" w:rsidRPr="004952C0" w:rsidRDefault="004678FA" w:rsidP="00470B15">
            <w:pPr>
              <w:pStyle w:val="Tabletext"/>
              <w:jc w:val="center"/>
            </w:pPr>
            <w:r w:rsidRPr="004952C0">
              <w:t>0.247</w:t>
            </w:r>
          </w:p>
        </w:tc>
        <w:tc>
          <w:tcPr>
            <w:tcW w:w="709" w:type="dxa"/>
          </w:tcPr>
          <w:p w:rsidR="004678FA" w:rsidRPr="004952C0" w:rsidRDefault="004678FA" w:rsidP="00470B15">
            <w:pPr>
              <w:pStyle w:val="Tabletext"/>
              <w:jc w:val="center"/>
            </w:pPr>
            <w:r w:rsidRPr="004952C0">
              <w:t>0.303</w:t>
            </w:r>
          </w:p>
        </w:tc>
        <w:tc>
          <w:tcPr>
            <w:tcW w:w="709" w:type="dxa"/>
          </w:tcPr>
          <w:p w:rsidR="004678FA" w:rsidRPr="004952C0" w:rsidRDefault="004678FA" w:rsidP="00470B15">
            <w:pPr>
              <w:pStyle w:val="Tabletext"/>
              <w:jc w:val="center"/>
            </w:pPr>
            <w:r w:rsidRPr="004952C0">
              <w:t>0.138</w:t>
            </w:r>
          </w:p>
        </w:tc>
        <w:tc>
          <w:tcPr>
            <w:tcW w:w="850" w:type="dxa"/>
          </w:tcPr>
          <w:p w:rsidR="004678FA" w:rsidRPr="004952C0" w:rsidRDefault="004678FA" w:rsidP="00470B15">
            <w:pPr>
              <w:pStyle w:val="Tabletext"/>
              <w:jc w:val="center"/>
            </w:pPr>
            <w:r w:rsidRPr="004952C0">
              <w:t>0.059</w:t>
            </w:r>
          </w:p>
        </w:tc>
      </w:tr>
      <w:tr w:rsidR="004952C0" w:rsidRPr="004952C0" w:rsidTr="00791616">
        <w:trPr>
          <w:cantSplit/>
        </w:trPr>
        <w:tc>
          <w:tcPr>
            <w:tcW w:w="1843" w:type="dxa"/>
            <w:vMerge/>
            <w:tcBorders>
              <w:bottom w:val="single" w:sz="2" w:space="0" w:color="auto"/>
              <w:right w:val="single" w:sz="2" w:space="0" w:color="auto"/>
            </w:tcBorders>
          </w:tcPr>
          <w:p w:rsidR="004678FA" w:rsidRPr="004952C0" w:rsidRDefault="004678FA" w:rsidP="00050066">
            <w:pPr>
              <w:pStyle w:val="Tabletext"/>
            </w:pPr>
          </w:p>
        </w:tc>
        <w:tc>
          <w:tcPr>
            <w:tcW w:w="1134" w:type="dxa"/>
            <w:vMerge/>
            <w:tcBorders>
              <w:left w:val="single" w:sz="2" w:space="0" w:color="auto"/>
              <w:bottom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bottom w:val="single" w:sz="2" w:space="0" w:color="auto"/>
              <w:right w:val="single" w:sz="2" w:space="0" w:color="auto"/>
            </w:tcBorders>
          </w:tcPr>
          <w:p w:rsidR="004678FA" w:rsidRPr="004952C0" w:rsidRDefault="004678FA" w:rsidP="00050066">
            <w:pPr>
              <w:pStyle w:val="Tabletext"/>
            </w:pPr>
            <w:r w:rsidRPr="004952C0">
              <w:t xml:space="preserve">Both </w:t>
            </w:r>
          </w:p>
        </w:tc>
        <w:tc>
          <w:tcPr>
            <w:tcW w:w="709" w:type="dxa"/>
            <w:tcBorders>
              <w:left w:val="single" w:sz="2" w:space="0" w:color="auto"/>
              <w:bottom w:val="single" w:sz="2" w:space="0" w:color="auto"/>
            </w:tcBorders>
          </w:tcPr>
          <w:p w:rsidR="004678FA" w:rsidRPr="004952C0" w:rsidRDefault="004678FA" w:rsidP="00470B15">
            <w:pPr>
              <w:pStyle w:val="Tabletext"/>
              <w:jc w:val="center"/>
            </w:pPr>
            <w:r w:rsidRPr="004952C0">
              <w:t>0.694</w:t>
            </w:r>
          </w:p>
        </w:tc>
        <w:tc>
          <w:tcPr>
            <w:tcW w:w="722" w:type="dxa"/>
            <w:tcBorders>
              <w:bottom w:val="single" w:sz="2" w:space="0" w:color="auto"/>
            </w:tcBorders>
          </w:tcPr>
          <w:p w:rsidR="004678FA" w:rsidRPr="004952C0" w:rsidRDefault="004678FA" w:rsidP="00470B15">
            <w:pPr>
              <w:pStyle w:val="Tabletext"/>
              <w:jc w:val="center"/>
            </w:pPr>
            <w:r w:rsidRPr="004952C0">
              <w:t>0.675</w:t>
            </w:r>
          </w:p>
        </w:tc>
        <w:tc>
          <w:tcPr>
            <w:tcW w:w="695" w:type="dxa"/>
            <w:tcBorders>
              <w:bottom w:val="single" w:sz="2" w:space="0" w:color="auto"/>
            </w:tcBorders>
          </w:tcPr>
          <w:p w:rsidR="004678FA" w:rsidRPr="004952C0" w:rsidRDefault="004678FA" w:rsidP="00470B15">
            <w:pPr>
              <w:pStyle w:val="Tabletext"/>
              <w:jc w:val="center"/>
            </w:pPr>
            <w:r w:rsidRPr="004952C0">
              <w:t>0.528</w:t>
            </w:r>
          </w:p>
        </w:tc>
        <w:tc>
          <w:tcPr>
            <w:tcW w:w="709" w:type="dxa"/>
            <w:tcBorders>
              <w:bottom w:val="single" w:sz="2" w:space="0" w:color="auto"/>
            </w:tcBorders>
          </w:tcPr>
          <w:p w:rsidR="004678FA" w:rsidRPr="004952C0" w:rsidRDefault="004678FA" w:rsidP="00470B15">
            <w:pPr>
              <w:pStyle w:val="Tabletext"/>
              <w:jc w:val="center"/>
            </w:pPr>
            <w:r w:rsidRPr="004952C0">
              <w:t>0.608</w:t>
            </w:r>
          </w:p>
        </w:tc>
        <w:tc>
          <w:tcPr>
            <w:tcW w:w="709" w:type="dxa"/>
            <w:tcBorders>
              <w:bottom w:val="single" w:sz="2" w:space="0" w:color="auto"/>
            </w:tcBorders>
          </w:tcPr>
          <w:p w:rsidR="004678FA" w:rsidRPr="004952C0" w:rsidRDefault="004678FA" w:rsidP="00470B15">
            <w:pPr>
              <w:pStyle w:val="Tabletext"/>
              <w:jc w:val="center"/>
            </w:pPr>
            <w:r w:rsidRPr="004952C0">
              <w:t>0.639</w:t>
            </w:r>
          </w:p>
        </w:tc>
        <w:tc>
          <w:tcPr>
            <w:tcW w:w="709" w:type="dxa"/>
            <w:tcBorders>
              <w:bottom w:val="single" w:sz="2" w:space="0" w:color="auto"/>
            </w:tcBorders>
          </w:tcPr>
          <w:p w:rsidR="004678FA" w:rsidRPr="004952C0" w:rsidRDefault="004678FA" w:rsidP="00470B15">
            <w:pPr>
              <w:pStyle w:val="Tabletext"/>
              <w:jc w:val="center"/>
            </w:pPr>
            <w:r w:rsidRPr="004952C0">
              <w:t>0.642</w:t>
            </w:r>
          </w:p>
        </w:tc>
        <w:tc>
          <w:tcPr>
            <w:tcW w:w="850" w:type="dxa"/>
            <w:tcBorders>
              <w:bottom w:val="single" w:sz="2" w:space="0" w:color="auto"/>
            </w:tcBorders>
          </w:tcPr>
          <w:p w:rsidR="004678FA" w:rsidRPr="004952C0" w:rsidRDefault="004678FA" w:rsidP="00470B15">
            <w:pPr>
              <w:pStyle w:val="Tabletext"/>
              <w:jc w:val="center"/>
            </w:pPr>
            <w:r w:rsidRPr="004952C0">
              <w:t>0.668</w:t>
            </w:r>
          </w:p>
        </w:tc>
      </w:tr>
      <w:tr w:rsidR="004952C0" w:rsidRPr="004952C0" w:rsidTr="00791616">
        <w:trPr>
          <w:cantSplit/>
        </w:trPr>
        <w:tc>
          <w:tcPr>
            <w:tcW w:w="1843" w:type="dxa"/>
            <w:vMerge w:val="restart"/>
            <w:tcBorders>
              <w:top w:val="single" w:sz="2" w:space="0" w:color="auto"/>
              <w:right w:val="single" w:sz="2" w:space="0" w:color="auto"/>
            </w:tcBorders>
          </w:tcPr>
          <w:p w:rsidR="004678FA" w:rsidRPr="004952C0" w:rsidRDefault="00762804" w:rsidP="00F71EAD">
            <w:pPr>
              <w:pStyle w:val="Tabletext"/>
            </w:pPr>
            <w:r w:rsidRPr="004952C0">
              <w:t>BCA c</w:t>
            </w:r>
            <w:r w:rsidR="004678FA" w:rsidRPr="004952C0">
              <w:t>lass 3 (hotels)</w:t>
            </w:r>
          </w:p>
        </w:tc>
        <w:tc>
          <w:tcPr>
            <w:tcW w:w="1134" w:type="dxa"/>
            <w:vMerge w:val="restart"/>
            <w:tcBorders>
              <w:top w:val="single" w:sz="2" w:space="0" w:color="auto"/>
              <w:left w:val="single" w:sz="2" w:space="0" w:color="auto"/>
              <w:right w:val="single" w:sz="2" w:space="0" w:color="auto"/>
            </w:tcBorders>
          </w:tcPr>
          <w:p w:rsidR="004678FA" w:rsidRPr="004952C0" w:rsidRDefault="004678FA" w:rsidP="00050066">
            <w:pPr>
              <w:pStyle w:val="Tabletext"/>
              <w:jc w:val="center"/>
            </w:pPr>
            <w:r w:rsidRPr="004952C0">
              <w:t>0.72</w:t>
            </w:r>
          </w:p>
        </w:tc>
        <w:tc>
          <w:tcPr>
            <w:tcW w:w="992" w:type="dxa"/>
            <w:tcBorders>
              <w:top w:val="single" w:sz="2" w:space="0" w:color="auto"/>
              <w:left w:val="single" w:sz="2" w:space="0" w:color="auto"/>
              <w:right w:val="single" w:sz="2" w:space="0" w:color="auto"/>
            </w:tcBorders>
          </w:tcPr>
          <w:p w:rsidR="004678FA" w:rsidRPr="004952C0" w:rsidRDefault="004678FA" w:rsidP="00050066">
            <w:pPr>
              <w:pStyle w:val="Tabletext"/>
            </w:pPr>
            <w:r w:rsidRPr="004952C0">
              <w:t>Heating</w:t>
            </w:r>
          </w:p>
        </w:tc>
        <w:tc>
          <w:tcPr>
            <w:tcW w:w="709" w:type="dxa"/>
            <w:tcBorders>
              <w:top w:val="single" w:sz="2" w:space="0" w:color="auto"/>
              <w:left w:val="single" w:sz="2" w:space="0" w:color="auto"/>
            </w:tcBorders>
          </w:tcPr>
          <w:p w:rsidR="004678FA" w:rsidRPr="004952C0" w:rsidRDefault="004678FA" w:rsidP="00470B15">
            <w:pPr>
              <w:pStyle w:val="Tabletext"/>
              <w:jc w:val="center"/>
            </w:pPr>
            <w:r w:rsidRPr="004952C0">
              <w:t>0.008</w:t>
            </w:r>
          </w:p>
        </w:tc>
        <w:tc>
          <w:tcPr>
            <w:tcW w:w="722" w:type="dxa"/>
            <w:tcBorders>
              <w:top w:val="single" w:sz="2" w:space="0" w:color="auto"/>
            </w:tcBorders>
          </w:tcPr>
          <w:p w:rsidR="004678FA" w:rsidRPr="004952C0" w:rsidRDefault="004678FA" w:rsidP="00470B15">
            <w:pPr>
              <w:pStyle w:val="Tabletext"/>
              <w:jc w:val="center"/>
            </w:pPr>
            <w:r w:rsidRPr="004952C0">
              <w:t>0.194</w:t>
            </w:r>
          </w:p>
        </w:tc>
        <w:tc>
          <w:tcPr>
            <w:tcW w:w="695" w:type="dxa"/>
            <w:tcBorders>
              <w:top w:val="single" w:sz="2" w:space="0" w:color="auto"/>
            </w:tcBorders>
          </w:tcPr>
          <w:p w:rsidR="004678FA" w:rsidRPr="004952C0" w:rsidRDefault="004678FA" w:rsidP="00470B15">
            <w:pPr>
              <w:pStyle w:val="Tabletext"/>
              <w:jc w:val="center"/>
            </w:pPr>
            <w:r w:rsidRPr="004952C0">
              <w:t>0.184</w:t>
            </w:r>
          </w:p>
        </w:tc>
        <w:tc>
          <w:tcPr>
            <w:tcW w:w="709" w:type="dxa"/>
            <w:tcBorders>
              <w:top w:val="single" w:sz="2" w:space="0" w:color="auto"/>
            </w:tcBorders>
          </w:tcPr>
          <w:p w:rsidR="004678FA" w:rsidRPr="004952C0" w:rsidRDefault="004678FA" w:rsidP="00470B15">
            <w:pPr>
              <w:pStyle w:val="Tabletext"/>
              <w:jc w:val="center"/>
            </w:pPr>
            <w:r w:rsidRPr="004952C0">
              <w:t>0.380</w:t>
            </w:r>
          </w:p>
        </w:tc>
        <w:tc>
          <w:tcPr>
            <w:tcW w:w="709" w:type="dxa"/>
            <w:tcBorders>
              <w:top w:val="single" w:sz="2" w:space="0" w:color="auto"/>
            </w:tcBorders>
          </w:tcPr>
          <w:p w:rsidR="004678FA" w:rsidRPr="004952C0" w:rsidRDefault="004678FA" w:rsidP="00470B15">
            <w:pPr>
              <w:pStyle w:val="Tabletext"/>
              <w:jc w:val="center"/>
            </w:pPr>
            <w:r w:rsidRPr="004952C0">
              <w:t>0.355</w:t>
            </w:r>
          </w:p>
        </w:tc>
        <w:tc>
          <w:tcPr>
            <w:tcW w:w="709" w:type="dxa"/>
            <w:tcBorders>
              <w:top w:val="single" w:sz="2" w:space="0" w:color="auto"/>
            </w:tcBorders>
          </w:tcPr>
          <w:p w:rsidR="004678FA" w:rsidRPr="004952C0" w:rsidRDefault="004678FA" w:rsidP="00470B15">
            <w:pPr>
              <w:pStyle w:val="Tabletext"/>
              <w:jc w:val="center"/>
            </w:pPr>
            <w:r w:rsidRPr="004952C0">
              <w:t>0.527</w:t>
            </w:r>
          </w:p>
        </w:tc>
        <w:tc>
          <w:tcPr>
            <w:tcW w:w="850" w:type="dxa"/>
            <w:tcBorders>
              <w:top w:val="single" w:sz="2" w:space="0" w:color="auto"/>
            </w:tcBorders>
          </w:tcPr>
          <w:p w:rsidR="004678FA" w:rsidRPr="004952C0" w:rsidRDefault="004678FA" w:rsidP="00470B15">
            <w:pPr>
              <w:pStyle w:val="Tabletext"/>
              <w:jc w:val="center"/>
            </w:pPr>
            <w:r w:rsidRPr="004952C0">
              <w:t>0.619</w:t>
            </w:r>
          </w:p>
        </w:tc>
      </w:tr>
      <w:tr w:rsidR="004952C0" w:rsidRPr="004952C0" w:rsidTr="00791616">
        <w:trPr>
          <w:cantSplit/>
        </w:trPr>
        <w:tc>
          <w:tcPr>
            <w:tcW w:w="1843" w:type="dxa"/>
            <w:vMerge/>
            <w:tcBorders>
              <w:right w:val="single" w:sz="2" w:space="0" w:color="auto"/>
            </w:tcBorders>
          </w:tcPr>
          <w:p w:rsidR="004678FA" w:rsidRPr="004952C0" w:rsidRDefault="004678FA" w:rsidP="00050066">
            <w:pPr>
              <w:pStyle w:val="Tabletext"/>
            </w:pPr>
          </w:p>
        </w:tc>
        <w:tc>
          <w:tcPr>
            <w:tcW w:w="1134" w:type="dxa"/>
            <w:vMerge/>
            <w:tcBorders>
              <w:left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right w:val="single" w:sz="2" w:space="0" w:color="auto"/>
            </w:tcBorders>
          </w:tcPr>
          <w:p w:rsidR="004678FA" w:rsidRPr="004952C0" w:rsidRDefault="004678FA" w:rsidP="00050066">
            <w:pPr>
              <w:pStyle w:val="Tabletext"/>
            </w:pPr>
            <w:r w:rsidRPr="004952C0">
              <w:t>Cooling</w:t>
            </w:r>
          </w:p>
        </w:tc>
        <w:tc>
          <w:tcPr>
            <w:tcW w:w="709" w:type="dxa"/>
            <w:tcBorders>
              <w:left w:val="single" w:sz="2" w:space="0" w:color="auto"/>
            </w:tcBorders>
          </w:tcPr>
          <w:p w:rsidR="004678FA" w:rsidRPr="004952C0" w:rsidRDefault="004678FA" w:rsidP="00470B15">
            <w:pPr>
              <w:pStyle w:val="Tabletext"/>
              <w:jc w:val="center"/>
            </w:pPr>
            <w:r w:rsidRPr="004952C0">
              <w:t>0.690</w:t>
            </w:r>
          </w:p>
        </w:tc>
        <w:tc>
          <w:tcPr>
            <w:tcW w:w="722" w:type="dxa"/>
          </w:tcPr>
          <w:p w:rsidR="004678FA" w:rsidRPr="004952C0" w:rsidRDefault="004678FA" w:rsidP="00470B15">
            <w:pPr>
              <w:pStyle w:val="Tabletext"/>
              <w:jc w:val="center"/>
            </w:pPr>
            <w:r w:rsidRPr="004952C0">
              <w:t>0.511</w:t>
            </w:r>
          </w:p>
        </w:tc>
        <w:tc>
          <w:tcPr>
            <w:tcW w:w="695" w:type="dxa"/>
          </w:tcPr>
          <w:p w:rsidR="004678FA" w:rsidRPr="004952C0" w:rsidRDefault="004678FA" w:rsidP="00470B15">
            <w:pPr>
              <w:pStyle w:val="Tabletext"/>
              <w:jc w:val="center"/>
            </w:pPr>
            <w:r w:rsidRPr="004952C0">
              <w:t>0.352</w:t>
            </w:r>
          </w:p>
        </w:tc>
        <w:tc>
          <w:tcPr>
            <w:tcW w:w="709" w:type="dxa"/>
          </w:tcPr>
          <w:p w:rsidR="004678FA" w:rsidRPr="004952C0" w:rsidRDefault="004678FA" w:rsidP="00470B15">
            <w:pPr>
              <w:pStyle w:val="Tabletext"/>
              <w:jc w:val="center"/>
            </w:pPr>
            <w:r w:rsidRPr="004952C0">
              <w:t>0.247</w:t>
            </w:r>
          </w:p>
        </w:tc>
        <w:tc>
          <w:tcPr>
            <w:tcW w:w="709" w:type="dxa"/>
          </w:tcPr>
          <w:p w:rsidR="004678FA" w:rsidRPr="004952C0" w:rsidRDefault="004678FA" w:rsidP="00470B15">
            <w:pPr>
              <w:pStyle w:val="Tabletext"/>
              <w:jc w:val="center"/>
            </w:pPr>
            <w:r w:rsidRPr="004952C0">
              <w:t>0.303</w:t>
            </w:r>
          </w:p>
        </w:tc>
        <w:tc>
          <w:tcPr>
            <w:tcW w:w="709" w:type="dxa"/>
          </w:tcPr>
          <w:p w:rsidR="004678FA" w:rsidRPr="004952C0" w:rsidRDefault="004678FA" w:rsidP="00470B15">
            <w:pPr>
              <w:pStyle w:val="Tabletext"/>
              <w:jc w:val="center"/>
            </w:pPr>
            <w:r w:rsidRPr="004952C0">
              <w:t>0.138</w:t>
            </w:r>
          </w:p>
        </w:tc>
        <w:tc>
          <w:tcPr>
            <w:tcW w:w="850" w:type="dxa"/>
          </w:tcPr>
          <w:p w:rsidR="004678FA" w:rsidRPr="004952C0" w:rsidRDefault="004678FA" w:rsidP="00470B15">
            <w:pPr>
              <w:pStyle w:val="Tabletext"/>
              <w:jc w:val="center"/>
            </w:pPr>
            <w:r w:rsidRPr="004952C0">
              <w:t>0.059</w:t>
            </w:r>
          </w:p>
        </w:tc>
      </w:tr>
      <w:tr w:rsidR="004952C0" w:rsidRPr="004952C0" w:rsidTr="00791616">
        <w:trPr>
          <w:cantSplit/>
        </w:trPr>
        <w:tc>
          <w:tcPr>
            <w:tcW w:w="1843" w:type="dxa"/>
            <w:vMerge/>
            <w:tcBorders>
              <w:bottom w:val="single" w:sz="2" w:space="0" w:color="auto"/>
              <w:right w:val="single" w:sz="2" w:space="0" w:color="auto"/>
            </w:tcBorders>
          </w:tcPr>
          <w:p w:rsidR="004678FA" w:rsidRPr="004952C0" w:rsidRDefault="004678FA" w:rsidP="00050066">
            <w:pPr>
              <w:pStyle w:val="Tabletext"/>
            </w:pPr>
          </w:p>
        </w:tc>
        <w:tc>
          <w:tcPr>
            <w:tcW w:w="1134" w:type="dxa"/>
            <w:vMerge/>
            <w:tcBorders>
              <w:left w:val="single" w:sz="2" w:space="0" w:color="auto"/>
              <w:bottom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bottom w:val="single" w:sz="2" w:space="0" w:color="auto"/>
              <w:right w:val="single" w:sz="2" w:space="0" w:color="auto"/>
            </w:tcBorders>
          </w:tcPr>
          <w:p w:rsidR="004678FA" w:rsidRPr="004952C0" w:rsidRDefault="004678FA" w:rsidP="00050066">
            <w:pPr>
              <w:pStyle w:val="Tabletext"/>
            </w:pPr>
            <w:r w:rsidRPr="004952C0">
              <w:t>Both</w:t>
            </w:r>
          </w:p>
        </w:tc>
        <w:tc>
          <w:tcPr>
            <w:tcW w:w="709" w:type="dxa"/>
            <w:tcBorders>
              <w:left w:val="single" w:sz="2" w:space="0" w:color="auto"/>
              <w:bottom w:val="single" w:sz="2" w:space="0" w:color="auto"/>
            </w:tcBorders>
          </w:tcPr>
          <w:p w:rsidR="004678FA" w:rsidRPr="004952C0" w:rsidRDefault="004678FA" w:rsidP="00470B15">
            <w:pPr>
              <w:pStyle w:val="Tabletext"/>
              <w:jc w:val="center"/>
            </w:pPr>
            <w:r w:rsidRPr="004952C0">
              <w:t>0.694</w:t>
            </w:r>
          </w:p>
        </w:tc>
        <w:tc>
          <w:tcPr>
            <w:tcW w:w="722" w:type="dxa"/>
            <w:tcBorders>
              <w:bottom w:val="single" w:sz="2" w:space="0" w:color="auto"/>
            </w:tcBorders>
          </w:tcPr>
          <w:p w:rsidR="004678FA" w:rsidRPr="004952C0" w:rsidRDefault="004678FA" w:rsidP="00470B15">
            <w:pPr>
              <w:pStyle w:val="Tabletext"/>
              <w:jc w:val="center"/>
            </w:pPr>
            <w:r w:rsidRPr="004952C0">
              <w:t>0.675</w:t>
            </w:r>
          </w:p>
        </w:tc>
        <w:tc>
          <w:tcPr>
            <w:tcW w:w="695" w:type="dxa"/>
            <w:tcBorders>
              <w:bottom w:val="single" w:sz="2" w:space="0" w:color="auto"/>
            </w:tcBorders>
          </w:tcPr>
          <w:p w:rsidR="004678FA" w:rsidRPr="004952C0" w:rsidRDefault="004678FA" w:rsidP="00470B15">
            <w:pPr>
              <w:pStyle w:val="Tabletext"/>
              <w:jc w:val="center"/>
            </w:pPr>
            <w:r w:rsidRPr="004952C0">
              <w:t>0.528</w:t>
            </w:r>
          </w:p>
        </w:tc>
        <w:tc>
          <w:tcPr>
            <w:tcW w:w="709" w:type="dxa"/>
            <w:tcBorders>
              <w:bottom w:val="single" w:sz="2" w:space="0" w:color="auto"/>
            </w:tcBorders>
          </w:tcPr>
          <w:p w:rsidR="004678FA" w:rsidRPr="004952C0" w:rsidRDefault="004678FA" w:rsidP="00470B15">
            <w:pPr>
              <w:pStyle w:val="Tabletext"/>
              <w:jc w:val="center"/>
            </w:pPr>
            <w:r w:rsidRPr="004952C0">
              <w:t>0.608</w:t>
            </w:r>
          </w:p>
        </w:tc>
        <w:tc>
          <w:tcPr>
            <w:tcW w:w="709" w:type="dxa"/>
            <w:tcBorders>
              <w:bottom w:val="single" w:sz="2" w:space="0" w:color="auto"/>
            </w:tcBorders>
          </w:tcPr>
          <w:p w:rsidR="004678FA" w:rsidRPr="004952C0" w:rsidRDefault="004678FA" w:rsidP="00470B15">
            <w:pPr>
              <w:pStyle w:val="Tabletext"/>
              <w:jc w:val="center"/>
            </w:pPr>
            <w:r w:rsidRPr="004952C0">
              <w:t>0.639</w:t>
            </w:r>
          </w:p>
        </w:tc>
        <w:tc>
          <w:tcPr>
            <w:tcW w:w="709" w:type="dxa"/>
            <w:tcBorders>
              <w:bottom w:val="single" w:sz="2" w:space="0" w:color="auto"/>
            </w:tcBorders>
          </w:tcPr>
          <w:p w:rsidR="004678FA" w:rsidRPr="004952C0" w:rsidRDefault="004678FA" w:rsidP="00470B15">
            <w:pPr>
              <w:pStyle w:val="Tabletext"/>
              <w:jc w:val="center"/>
            </w:pPr>
            <w:r w:rsidRPr="004952C0">
              <w:t>0.642</w:t>
            </w:r>
          </w:p>
        </w:tc>
        <w:tc>
          <w:tcPr>
            <w:tcW w:w="850" w:type="dxa"/>
            <w:tcBorders>
              <w:bottom w:val="single" w:sz="2" w:space="0" w:color="auto"/>
            </w:tcBorders>
          </w:tcPr>
          <w:p w:rsidR="004678FA" w:rsidRPr="004952C0" w:rsidRDefault="004678FA" w:rsidP="00470B15">
            <w:pPr>
              <w:pStyle w:val="Tabletext"/>
              <w:jc w:val="center"/>
            </w:pPr>
            <w:r w:rsidRPr="004952C0">
              <w:t>0.668</w:t>
            </w:r>
          </w:p>
        </w:tc>
      </w:tr>
      <w:tr w:rsidR="004952C0" w:rsidRPr="004952C0" w:rsidTr="00791616">
        <w:trPr>
          <w:cantSplit/>
        </w:trPr>
        <w:tc>
          <w:tcPr>
            <w:tcW w:w="1843" w:type="dxa"/>
            <w:vMerge w:val="restart"/>
            <w:tcBorders>
              <w:top w:val="single" w:sz="2" w:space="0" w:color="auto"/>
              <w:right w:val="single" w:sz="2" w:space="0" w:color="auto"/>
            </w:tcBorders>
          </w:tcPr>
          <w:p w:rsidR="004678FA" w:rsidRPr="004952C0" w:rsidRDefault="00762804" w:rsidP="00F71EAD">
            <w:pPr>
              <w:pStyle w:val="Tabletext"/>
            </w:pPr>
            <w:r w:rsidRPr="004952C0">
              <w:t>BCA c</w:t>
            </w:r>
            <w:r w:rsidR="004678FA" w:rsidRPr="004952C0">
              <w:t>lass 5 (offices)</w:t>
            </w:r>
          </w:p>
        </w:tc>
        <w:tc>
          <w:tcPr>
            <w:tcW w:w="1134" w:type="dxa"/>
            <w:vMerge w:val="restart"/>
            <w:tcBorders>
              <w:top w:val="single" w:sz="2" w:space="0" w:color="auto"/>
              <w:left w:val="single" w:sz="2" w:space="0" w:color="auto"/>
              <w:right w:val="single" w:sz="2" w:space="0" w:color="auto"/>
            </w:tcBorders>
          </w:tcPr>
          <w:p w:rsidR="004678FA" w:rsidRPr="004952C0" w:rsidRDefault="004678FA" w:rsidP="00050066">
            <w:pPr>
              <w:pStyle w:val="Tabletext"/>
              <w:jc w:val="center"/>
            </w:pPr>
            <w:r w:rsidRPr="004952C0">
              <w:t>0.32</w:t>
            </w:r>
          </w:p>
        </w:tc>
        <w:tc>
          <w:tcPr>
            <w:tcW w:w="992" w:type="dxa"/>
            <w:tcBorders>
              <w:top w:val="single" w:sz="2" w:space="0" w:color="auto"/>
              <w:left w:val="single" w:sz="2" w:space="0" w:color="auto"/>
              <w:right w:val="single" w:sz="2" w:space="0" w:color="auto"/>
            </w:tcBorders>
          </w:tcPr>
          <w:p w:rsidR="004678FA" w:rsidRPr="004952C0" w:rsidRDefault="004678FA" w:rsidP="00050066">
            <w:pPr>
              <w:pStyle w:val="Tabletext"/>
            </w:pPr>
            <w:r w:rsidRPr="004952C0">
              <w:t>Heating</w:t>
            </w:r>
          </w:p>
        </w:tc>
        <w:tc>
          <w:tcPr>
            <w:tcW w:w="709" w:type="dxa"/>
            <w:tcBorders>
              <w:top w:val="single" w:sz="2" w:space="0" w:color="auto"/>
              <w:left w:val="single" w:sz="2" w:space="0" w:color="auto"/>
            </w:tcBorders>
          </w:tcPr>
          <w:p w:rsidR="004678FA" w:rsidRPr="004952C0" w:rsidRDefault="004678FA" w:rsidP="00470B15">
            <w:pPr>
              <w:pStyle w:val="Tabletext"/>
              <w:jc w:val="center"/>
            </w:pPr>
            <w:r w:rsidRPr="004952C0">
              <w:t>0.001</w:t>
            </w:r>
          </w:p>
        </w:tc>
        <w:tc>
          <w:tcPr>
            <w:tcW w:w="722" w:type="dxa"/>
            <w:tcBorders>
              <w:top w:val="single" w:sz="2" w:space="0" w:color="auto"/>
            </w:tcBorders>
          </w:tcPr>
          <w:p w:rsidR="004678FA" w:rsidRPr="004952C0" w:rsidRDefault="004678FA" w:rsidP="00470B15">
            <w:pPr>
              <w:pStyle w:val="Tabletext"/>
              <w:jc w:val="center"/>
            </w:pPr>
            <w:r w:rsidRPr="004952C0">
              <w:t>0.034</w:t>
            </w:r>
          </w:p>
        </w:tc>
        <w:tc>
          <w:tcPr>
            <w:tcW w:w="695" w:type="dxa"/>
            <w:tcBorders>
              <w:top w:val="single" w:sz="2" w:space="0" w:color="auto"/>
            </w:tcBorders>
          </w:tcPr>
          <w:p w:rsidR="004678FA" w:rsidRPr="004952C0" w:rsidRDefault="004678FA" w:rsidP="00470B15">
            <w:pPr>
              <w:pStyle w:val="Tabletext"/>
              <w:jc w:val="center"/>
            </w:pPr>
            <w:r w:rsidRPr="004952C0">
              <w:t>0.043</w:t>
            </w:r>
          </w:p>
        </w:tc>
        <w:tc>
          <w:tcPr>
            <w:tcW w:w="709" w:type="dxa"/>
            <w:tcBorders>
              <w:top w:val="single" w:sz="2" w:space="0" w:color="auto"/>
            </w:tcBorders>
          </w:tcPr>
          <w:p w:rsidR="004678FA" w:rsidRPr="004952C0" w:rsidRDefault="004678FA" w:rsidP="00470B15">
            <w:pPr>
              <w:pStyle w:val="Tabletext"/>
              <w:jc w:val="center"/>
            </w:pPr>
            <w:r w:rsidRPr="004952C0">
              <w:t>0.127</w:t>
            </w:r>
          </w:p>
        </w:tc>
        <w:tc>
          <w:tcPr>
            <w:tcW w:w="709" w:type="dxa"/>
            <w:tcBorders>
              <w:top w:val="single" w:sz="2" w:space="0" w:color="auto"/>
            </w:tcBorders>
          </w:tcPr>
          <w:p w:rsidR="004678FA" w:rsidRPr="004952C0" w:rsidRDefault="004678FA" w:rsidP="00470B15">
            <w:pPr>
              <w:pStyle w:val="Tabletext"/>
              <w:jc w:val="center"/>
            </w:pPr>
            <w:r w:rsidRPr="004952C0">
              <w:t>0.112</w:t>
            </w:r>
          </w:p>
        </w:tc>
        <w:tc>
          <w:tcPr>
            <w:tcW w:w="709" w:type="dxa"/>
            <w:tcBorders>
              <w:top w:val="single" w:sz="2" w:space="0" w:color="auto"/>
            </w:tcBorders>
          </w:tcPr>
          <w:p w:rsidR="004678FA" w:rsidRPr="004952C0" w:rsidRDefault="004678FA" w:rsidP="00470B15">
            <w:pPr>
              <w:pStyle w:val="Tabletext"/>
              <w:jc w:val="center"/>
            </w:pPr>
            <w:r w:rsidRPr="004952C0">
              <w:t>0.199</w:t>
            </w:r>
          </w:p>
        </w:tc>
        <w:tc>
          <w:tcPr>
            <w:tcW w:w="850" w:type="dxa"/>
            <w:tcBorders>
              <w:top w:val="single" w:sz="2" w:space="0" w:color="auto"/>
            </w:tcBorders>
          </w:tcPr>
          <w:p w:rsidR="004678FA" w:rsidRPr="004952C0" w:rsidRDefault="004678FA" w:rsidP="00470B15">
            <w:pPr>
              <w:pStyle w:val="Tabletext"/>
              <w:jc w:val="center"/>
            </w:pPr>
            <w:r w:rsidRPr="004952C0">
              <w:t>0.247</w:t>
            </w:r>
          </w:p>
        </w:tc>
      </w:tr>
      <w:tr w:rsidR="004952C0" w:rsidRPr="004952C0" w:rsidTr="00791616">
        <w:trPr>
          <w:cantSplit/>
        </w:trPr>
        <w:tc>
          <w:tcPr>
            <w:tcW w:w="1843" w:type="dxa"/>
            <w:vMerge/>
            <w:tcBorders>
              <w:right w:val="single" w:sz="2" w:space="0" w:color="auto"/>
            </w:tcBorders>
          </w:tcPr>
          <w:p w:rsidR="004678FA" w:rsidRPr="004952C0" w:rsidRDefault="004678FA" w:rsidP="00050066">
            <w:pPr>
              <w:pStyle w:val="Tabletext"/>
            </w:pPr>
          </w:p>
        </w:tc>
        <w:tc>
          <w:tcPr>
            <w:tcW w:w="1134" w:type="dxa"/>
            <w:vMerge/>
            <w:tcBorders>
              <w:left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right w:val="single" w:sz="2" w:space="0" w:color="auto"/>
            </w:tcBorders>
          </w:tcPr>
          <w:p w:rsidR="004678FA" w:rsidRPr="004952C0" w:rsidRDefault="004678FA" w:rsidP="00050066">
            <w:pPr>
              <w:pStyle w:val="Tabletext"/>
            </w:pPr>
            <w:r w:rsidRPr="004952C0">
              <w:t>Cooling</w:t>
            </w:r>
          </w:p>
        </w:tc>
        <w:tc>
          <w:tcPr>
            <w:tcW w:w="709" w:type="dxa"/>
            <w:tcBorders>
              <w:left w:val="single" w:sz="2" w:space="0" w:color="auto"/>
            </w:tcBorders>
          </w:tcPr>
          <w:p w:rsidR="004678FA" w:rsidRPr="004952C0" w:rsidRDefault="004678FA" w:rsidP="00470B15">
            <w:pPr>
              <w:pStyle w:val="Tabletext"/>
              <w:jc w:val="center"/>
            </w:pPr>
            <w:r w:rsidRPr="004952C0">
              <w:t>0.314</w:t>
            </w:r>
          </w:p>
        </w:tc>
        <w:tc>
          <w:tcPr>
            <w:tcW w:w="722" w:type="dxa"/>
          </w:tcPr>
          <w:p w:rsidR="004678FA" w:rsidRPr="004952C0" w:rsidRDefault="004678FA" w:rsidP="00470B15">
            <w:pPr>
              <w:pStyle w:val="Tabletext"/>
              <w:jc w:val="center"/>
            </w:pPr>
            <w:r w:rsidRPr="004952C0">
              <w:t>0.260</w:t>
            </w:r>
          </w:p>
        </w:tc>
        <w:tc>
          <w:tcPr>
            <w:tcW w:w="695" w:type="dxa"/>
          </w:tcPr>
          <w:p w:rsidR="004678FA" w:rsidRPr="004952C0" w:rsidRDefault="004678FA" w:rsidP="00470B15">
            <w:pPr>
              <w:pStyle w:val="Tabletext"/>
              <w:jc w:val="center"/>
            </w:pPr>
            <w:r w:rsidRPr="004952C0">
              <w:t>0.186</w:t>
            </w:r>
          </w:p>
        </w:tc>
        <w:tc>
          <w:tcPr>
            <w:tcW w:w="709" w:type="dxa"/>
          </w:tcPr>
          <w:p w:rsidR="004678FA" w:rsidRPr="004952C0" w:rsidRDefault="004678FA" w:rsidP="00470B15">
            <w:pPr>
              <w:pStyle w:val="Tabletext"/>
              <w:jc w:val="center"/>
            </w:pPr>
            <w:r w:rsidRPr="004952C0">
              <w:t>0.143</w:t>
            </w:r>
          </w:p>
        </w:tc>
        <w:tc>
          <w:tcPr>
            <w:tcW w:w="709" w:type="dxa"/>
          </w:tcPr>
          <w:p w:rsidR="004678FA" w:rsidRPr="004952C0" w:rsidRDefault="004678FA" w:rsidP="00470B15">
            <w:pPr>
              <w:pStyle w:val="Tabletext"/>
              <w:jc w:val="center"/>
            </w:pPr>
            <w:r w:rsidRPr="004952C0">
              <w:t>0.167</w:t>
            </w:r>
          </w:p>
        </w:tc>
        <w:tc>
          <w:tcPr>
            <w:tcW w:w="709" w:type="dxa"/>
          </w:tcPr>
          <w:p w:rsidR="004678FA" w:rsidRPr="004952C0" w:rsidRDefault="004678FA" w:rsidP="00470B15">
            <w:pPr>
              <w:pStyle w:val="Tabletext"/>
              <w:jc w:val="center"/>
            </w:pPr>
            <w:r w:rsidRPr="004952C0">
              <w:t>0.080</w:t>
            </w:r>
          </w:p>
        </w:tc>
        <w:tc>
          <w:tcPr>
            <w:tcW w:w="850" w:type="dxa"/>
          </w:tcPr>
          <w:p w:rsidR="004678FA" w:rsidRPr="004952C0" w:rsidRDefault="004678FA" w:rsidP="00470B15">
            <w:pPr>
              <w:pStyle w:val="Tabletext"/>
              <w:jc w:val="center"/>
            </w:pPr>
            <w:r w:rsidRPr="004952C0">
              <w:t>0.038</w:t>
            </w:r>
          </w:p>
        </w:tc>
      </w:tr>
      <w:tr w:rsidR="004952C0" w:rsidRPr="004952C0" w:rsidTr="00791616">
        <w:trPr>
          <w:cantSplit/>
        </w:trPr>
        <w:tc>
          <w:tcPr>
            <w:tcW w:w="1843" w:type="dxa"/>
            <w:vMerge/>
            <w:tcBorders>
              <w:bottom w:val="single" w:sz="2" w:space="0" w:color="auto"/>
              <w:right w:val="single" w:sz="2" w:space="0" w:color="auto"/>
            </w:tcBorders>
          </w:tcPr>
          <w:p w:rsidR="004678FA" w:rsidRPr="004952C0" w:rsidRDefault="004678FA" w:rsidP="00050066">
            <w:pPr>
              <w:pStyle w:val="Tabletext"/>
            </w:pPr>
          </w:p>
        </w:tc>
        <w:tc>
          <w:tcPr>
            <w:tcW w:w="1134" w:type="dxa"/>
            <w:vMerge/>
            <w:tcBorders>
              <w:left w:val="single" w:sz="2" w:space="0" w:color="auto"/>
              <w:bottom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bottom w:val="single" w:sz="2" w:space="0" w:color="auto"/>
              <w:right w:val="single" w:sz="2" w:space="0" w:color="auto"/>
            </w:tcBorders>
          </w:tcPr>
          <w:p w:rsidR="004678FA" w:rsidRPr="004952C0" w:rsidRDefault="004678FA" w:rsidP="00050066">
            <w:pPr>
              <w:pStyle w:val="Tabletext"/>
            </w:pPr>
            <w:r w:rsidRPr="004952C0">
              <w:t>Both</w:t>
            </w:r>
          </w:p>
        </w:tc>
        <w:tc>
          <w:tcPr>
            <w:tcW w:w="709" w:type="dxa"/>
            <w:tcBorders>
              <w:left w:val="single" w:sz="2" w:space="0" w:color="auto"/>
              <w:bottom w:val="single" w:sz="2" w:space="0" w:color="auto"/>
            </w:tcBorders>
          </w:tcPr>
          <w:p w:rsidR="004678FA" w:rsidRPr="004952C0" w:rsidRDefault="004678FA" w:rsidP="00470B15">
            <w:pPr>
              <w:pStyle w:val="Tabletext"/>
              <w:jc w:val="center"/>
            </w:pPr>
            <w:r w:rsidRPr="004952C0">
              <w:t>0.315</w:t>
            </w:r>
          </w:p>
        </w:tc>
        <w:tc>
          <w:tcPr>
            <w:tcW w:w="722" w:type="dxa"/>
            <w:tcBorders>
              <w:bottom w:val="single" w:sz="2" w:space="0" w:color="auto"/>
            </w:tcBorders>
          </w:tcPr>
          <w:p w:rsidR="004678FA" w:rsidRPr="004952C0" w:rsidRDefault="004678FA" w:rsidP="00470B15">
            <w:pPr>
              <w:pStyle w:val="Tabletext"/>
              <w:jc w:val="center"/>
            </w:pPr>
            <w:r w:rsidRPr="004952C0">
              <w:t>0.289</w:t>
            </w:r>
          </w:p>
        </w:tc>
        <w:tc>
          <w:tcPr>
            <w:tcW w:w="695" w:type="dxa"/>
            <w:tcBorders>
              <w:bottom w:val="single" w:sz="2" w:space="0" w:color="auto"/>
            </w:tcBorders>
          </w:tcPr>
          <w:p w:rsidR="004678FA" w:rsidRPr="004952C0" w:rsidRDefault="004678FA" w:rsidP="00470B15">
            <w:pPr>
              <w:pStyle w:val="Tabletext"/>
              <w:jc w:val="center"/>
            </w:pPr>
            <w:r w:rsidRPr="004952C0">
              <w:t>0.228</w:t>
            </w:r>
          </w:p>
        </w:tc>
        <w:tc>
          <w:tcPr>
            <w:tcW w:w="709" w:type="dxa"/>
            <w:tcBorders>
              <w:bottom w:val="single" w:sz="2" w:space="0" w:color="auto"/>
            </w:tcBorders>
          </w:tcPr>
          <w:p w:rsidR="004678FA" w:rsidRPr="004952C0" w:rsidRDefault="004678FA" w:rsidP="00470B15">
            <w:pPr>
              <w:pStyle w:val="Tabletext"/>
              <w:jc w:val="center"/>
            </w:pPr>
            <w:r w:rsidRPr="004952C0">
              <w:t>0.264</w:t>
            </w:r>
          </w:p>
        </w:tc>
        <w:tc>
          <w:tcPr>
            <w:tcW w:w="709" w:type="dxa"/>
            <w:tcBorders>
              <w:bottom w:val="single" w:sz="2" w:space="0" w:color="auto"/>
            </w:tcBorders>
          </w:tcPr>
          <w:p w:rsidR="004678FA" w:rsidRPr="004952C0" w:rsidRDefault="004678FA" w:rsidP="00470B15">
            <w:pPr>
              <w:pStyle w:val="Tabletext"/>
              <w:jc w:val="center"/>
            </w:pPr>
            <w:r w:rsidRPr="004952C0">
              <w:t>0.273</w:t>
            </w:r>
          </w:p>
        </w:tc>
        <w:tc>
          <w:tcPr>
            <w:tcW w:w="709" w:type="dxa"/>
            <w:tcBorders>
              <w:bottom w:val="single" w:sz="2" w:space="0" w:color="auto"/>
            </w:tcBorders>
          </w:tcPr>
          <w:p w:rsidR="004678FA" w:rsidRPr="004952C0" w:rsidRDefault="004678FA" w:rsidP="00470B15">
            <w:pPr>
              <w:pStyle w:val="Tabletext"/>
              <w:jc w:val="center"/>
            </w:pPr>
            <w:r w:rsidRPr="004952C0">
              <w:t>0.271</w:t>
            </w:r>
          </w:p>
        </w:tc>
        <w:tc>
          <w:tcPr>
            <w:tcW w:w="850" w:type="dxa"/>
            <w:tcBorders>
              <w:bottom w:val="single" w:sz="2" w:space="0" w:color="auto"/>
            </w:tcBorders>
          </w:tcPr>
          <w:p w:rsidR="004678FA" w:rsidRPr="004952C0" w:rsidRDefault="004678FA" w:rsidP="00470B15">
            <w:pPr>
              <w:pStyle w:val="Tabletext"/>
              <w:jc w:val="center"/>
            </w:pPr>
            <w:r w:rsidRPr="004952C0">
              <w:t>0.282</w:t>
            </w:r>
          </w:p>
        </w:tc>
      </w:tr>
      <w:tr w:rsidR="004952C0" w:rsidRPr="004952C0" w:rsidTr="00791616">
        <w:trPr>
          <w:cantSplit/>
        </w:trPr>
        <w:tc>
          <w:tcPr>
            <w:tcW w:w="1843" w:type="dxa"/>
            <w:vMerge w:val="restart"/>
            <w:tcBorders>
              <w:top w:val="single" w:sz="2" w:space="0" w:color="auto"/>
              <w:right w:val="single" w:sz="2" w:space="0" w:color="auto"/>
            </w:tcBorders>
          </w:tcPr>
          <w:p w:rsidR="004678FA" w:rsidRPr="004952C0" w:rsidRDefault="00762804" w:rsidP="00F71EAD">
            <w:pPr>
              <w:pStyle w:val="Tabletext"/>
            </w:pPr>
            <w:r w:rsidRPr="004952C0">
              <w:t>BCA c</w:t>
            </w:r>
            <w:r w:rsidR="004678FA" w:rsidRPr="004952C0">
              <w:t>lass 6 (shops or shopping centres)</w:t>
            </w:r>
          </w:p>
        </w:tc>
        <w:tc>
          <w:tcPr>
            <w:tcW w:w="1134" w:type="dxa"/>
            <w:vMerge w:val="restart"/>
            <w:tcBorders>
              <w:top w:val="single" w:sz="2" w:space="0" w:color="auto"/>
              <w:left w:val="single" w:sz="2" w:space="0" w:color="auto"/>
              <w:right w:val="single" w:sz="2" w:space="0" w:color="auto"/>
            </w:tcBorders>
          </w:tcPr>
          <w:p w:rsidR="004678FA" w:rsidRPr="004952C0" w:rsidRDefault="004678FA" w:rsidP="00050066">
            <w:pPr>
              <w:pStyle w:val="Tabletext"/>
              <w:jc w:val="center"/>
            </w:pPr>
            <w:r w:rsidRPr="004952C0">
              <w:t>0.46</w:t>
            </w:r>
          </w:p>
        </w:tc>
        <w:tc>
          <w:tcPr>
            <w:tcW w:w="992" w:type="dxa"/>
            <w:tcBorders>
              <w:top w:val="single" w:sz="2" w:space="0" w:color="auto"/>
              <w:left w:val="single" w:sz="2" w:space="0" w:color="auto"/>
              <w:right w:val="single" w:sz="2" w:space="0" w:color="auto"/>
            </w:tcBorders>
          </w:tcPr>
          <w:p w:rsidR="004678FA" w:rsidRPr="004952C0" w:rsidRDefault="004678FA" w:rsidP="00050066">
            <w:pPr>
              <w:pStyle w:val="Tabletext"/>
            </w:pPr>
            <w:r w:rsidRPr="004952C0">
              <w:t>Heating</w:t>
            </w:r>
          </w:p>
        </w:tc>
        <w:tc>
          <w:tcPr>
            <w:tcW w:w="709" w:type="dxa"/>
            <w:tcBorders>
              <w:top w:val="single" w:sz="2" w:space="0" w:color="auto"/>
              <w:left w:val="single" w:sz="2" w:space="0" w:color="auto"/>
            </w:tcBorders>
          </w:tcPr>
          <w:p w:rsidR="004678FA" w:rsidRPr="004952C0" w:rsidRDefault="004678FA" w:rsidP="00470B15">
            <w:pPr>
              <w:pStyle w:val="Tabletext"/>
              <w:jc w:val="center"/>
            </w:pPr>
            <w:r w:rsidRPr="004952C0">
              <w:t>0.000</w:t>
            </w:r>
          </w:p>
        </w:tc>
        <w:tc>
          <w:tcPr>
            <w:tcW w:w="722" w:type="dxa"/>
            <w:tcBorders>
              <w:top w:val="single" w:sz="2" w:space="0" w:color="auto"/>
            </w:tcBorders>
          </w:tcPr>
          <w:p w:rsidR="004678FA" w:rsidRPr="004952C0" w:rsidRDefault="004678FA" w:rsidP="00470B15">
            <w:pPr>
              <w:pStyle w:val="Tabletext"/>
              <w:jc w:val="center"/>
            </w:pPr>
            <w:r w:rsidRPr="004952C0">
              <w:t>0.044</w:t>
            </w:r>
          </w:p>
        </w:tc>
        <w:tc>
          <w:tcPr>
            <w:tcW w:w="695" w:type="dxa"/>
            <w:tcBorders>
              <w:top w:val="single" w:sz="2" w:space="0" w:color="auto"/>
            </w:tcBorders>
          </w:tcPr>
          <w:p w:rsidR="004678FA" w:rsidRPr="004952C0" w:rsidRDefault="004678FA" w:rsidP="00470B15">
            <w:pPr>
              <w:pStyle w:val="Tabletext"/>
              <w:jc w:val="center"/>
            </w:pPr>
            <w:r w:rsidRPr="004952C0">
              <w:t>0.054</w:t>
            </w:r>
          </w:p>
        </w:tc>
        <w:tc>
          <w:tcPr>
            <w:tcW w:w="709" w:type="dxa"/>
            <w:tcBorders>
              <w:top w:val="single" w:sz="2" w:space="0" w:color="auto"/>
            </w:tcBorders>
          </w:tcPr>
          <w:p w:rsidR="004678FA" w:rsidRPr="004952C0" w:rsidRDefault="004678FA" w:rsidP="00470B15">
            <w:pPr>
              <w:pStyle w:val="Tabletext"/>
              <w:jc w:val="center"/>
            </w:pPr>
            <w:r w:rsidRPr="004952C0">
              <w:t>0.171</w:t>
            </w:r>
          </w:p>
        </w:tc>
        <w:tc>
          <w:tcPr>
            <w:tcW w:w="709" w:type="dxa"/>
            <w:tcBorders>
              <w:top w:val="single" w:sz="2" w:space="0" w:color="auto"/>
            </w:tcBorders>
          </w:tcPr>
          <w:p w:rsidR="004678FA" w:rsidRPr="004952C0" w:rsidRDefault="004678FA" w:rsidP="00470B15">
            <w:pPr>
              <w:pStyle w:val="Tabletext"/>
              <w:jc w:val="center"/>
            </w:pPr>
            <w:r w:rsidRPr="004952C0">
              <w:t>0.151</w:t>
            </w:r>
          </w:p>
        </w:tc>
        <w:tc>
          <w:tcPr>
            <w:tcW w:w="709" w:type="dxa"/>
            <w:tcBorders>
              <w:top w:val="single" w:sz="2" w:space="0" w:color="auto"/>
            </w:tcBorders>
          </w:tcPr>
          <w:p w:rsidR="004678FA" w:rsidRPr="004952C0" w:rsidRDefault="004678FA" w:rsidP="00470B15">
            <w:pPr>
              <w:pStyle w:val="Tabletext"/>
              <w:jc w:val="center"/>
            </w:pPr>
            <w:r w:rsidRPr="004952C0">
              <w:t>0.273</w:t>
            </w:r>
          </w:p>
        </w:tc>
        <w:tc>
          <w:tcPr>
            <w:tcW w:w="850" w:type="dxa"/>
            <w:tcBorders>
              <w:top w:val="single" w:sz="2" w:space="0" w:color="auto"/>
            </w:tcBorders>
          </w:tcPr>
          <w:p w:rsidR="004678FA" w:rsidRPr="004952C0" w:rsidRDefault="004678FA" w:rsidP="00470B15">
            <w:pPr>
              <w:pStyle w:val="Tabletext"/>
              <w:jc w:val="center"/>
            </w:pPr>
            <w:r w:rsidRPr="004952C0">
              <w:t>0.343</w:t>
            </w:r>
          </w:p>
        </w:tc>
      </w:tr>
      <w:tr w:rsidR="004952C0" w:rsidRPr="004952C0" w:rsidTr="00791616">
        <w:trPr>
          <w:cantSplit/>
        </w:trPr>
        <w:tc>
          <w:tcPr>
            <w:tcW w:w="1843" w:type="dxa"/>
            <w:vMerge/>
            <w:tcBorders>
              <w:right w:val="single" w:sz="2" w:space="0" w:color="auto"/>
            </w:tcBorders>
          </w:tcPr>
          <w:p w:rsidR="004678FA" w:rsidRPr="004952C0" w:rsidRDefault="004678FA" w:rsidP="00050066">
            <w:pPr>
              <w:pStyle w:val="Tabletext"/>
            </w:pPr>
          </w:p>
        </w:tc>
        <w:tc>
          <w:tcPr>
            <w:tcW w:w="1134" w:type="dxa"/>
            <w:vMerge/>
            <w:tcBorders>
              <w:left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right w:val="single" w:sz="2" w:space="0" w:color="auto"/>
            </w:tcBorders>
          </w:tcPr>
          <w:p w:rsidR="004678FA" w:rsidRPr="004952C0" w:rsidRDefault="004678FA" w:rsidP="00050066">
            <w:pPr>
              <w:pStyle w:val="Tabletext"/>
            </w:pPr>
            <w:r w:rsidRPr="004952C0">
              <w:t>Cooling</w:t>
            </w:r>
          </w:p>
        </w:tc>
        <w:tc>
          <w:tcPr>
            <w:tcW w:w="709" w:type="dxa"/>
            <w:tcBorders>
              <w:left w:val="single" w:sz="2" w:space="0" w:color="auto"/>
            </w:tcBorders>
          </w:tcPr>
          <w:p w:rsidR="004678FA" w:rsidRPr="004952C0" w:rsidRDefault="004678FA" w:rsidP="00470B15">
            <w:pPr>
              <w:pStyle w:val="Tabletext"/>
              <w:jc w:val="center"/>
            </w:pPr>
            <w:r w:rsidRPr="004952C0">
              <w:t>0.442</w:t>
            </w:r>
          </w:p>
        </w:tc>
        <w:tc>
          <w:tcPr>
            <w:tcW w:w="722" w:type="dxa"/>
          </w:tcPr>
          <w:p w:rsidR="004678FA" w:rsidRPr="004952C0" w:rsidRDefault="004678FA" w:rsidP="00470B15">
            <w:pPr>
              <w:pStyle w:val="Tabletext"/>
              <w:jc w:val="center"/>
            </w:pPr>
            <w:r w:rsidRPr="004952C0">
              <w:t>0.366</w:t>
            </w:r>
          </w:p>
        </w:tc>
        <w:tc>
          <w:tcPr>
            <w:tcW w:w="695" w:type="dxa"/>
          </w:tcPr>
          <w:p w:rsidR="004678FA" w:rsidRPr="004952C0" w:rsidRDefault="004678FA" w:rsidP="00470B15">
            <w:pPr>
              <w:pStyle w:val="Tabletext"/>
              <w:jc w:val="center"/>
            </w:pPr>
            <w:r w:rsidRPr="004952C0">
              <w:t>0.264</w:t>
            </w:r>
          </w:p>
        </w:tc>
        <w:tc>
          <w:tcPr>
            <w:tcW w:w="709" w:type="dxa"/>
          </w:tcPr>
          <w:p w:rsidR="004678FA" w:rsidRPr="004952C0" w:rsidRDefault="004678FA" w:rsidP="00470B15">
            <w:pPr>
              <w:pStyle w:val="Tabletext"/>
              <w:jc w:val="center"/>
            </w:pPr>
            <w:r w:rsidRPr="004952C0">
              <w:t>0.204</w:t>
            </w:r>
          </w:p>
        </w:tc>
        <w:tc>
          <w:tcPr>
            <w:tcW w:w="709" w:type="dxa"/>
          </w:tcPr>
          <w:p w:rsidR="004678FA" w:rsidRPr="004952C0" w:rsidRDefault="004678FA" w:rsidP="00470B15">
            <w:pPr>
              <w:pStyle w:val="Tabletext"/>
              <w:jc w:val="center"/>
            </w:pPr>
            <w:r w:rsidRPr="004952C0">
              <w:t>0.238</w:t>
            </w:r>
          </w:p>
        </w:tc>
        <w:tc>
          <w:tcPr>
            <w:tcW w:w="709" w:type="dxa"/>
          </w:tcPr>
          <w:p w:rsidR="004678FA" w:rsidRPr="004952C0" w:rsidRDefault="004678FA" w:rsidP="00470B15">
            <w:pPr>
              <w:pStyle w:val="Tabletext"/>
              <w:jc w:val="center"/>
            </w:pPr>
            <w:r w:rsidRPr="004952C0">
              <w:t>0.116</w:t>
            </w:r>
          </w:p>
        </w:tc>
        <w:tc>
          <w:tcPr>
            <w:tcW w:w="850" w:type="dxa"/>
          </w:tcPr>
          <w:p w:rsidR="004678FA" w:rsidRPr="004952C0" w:rsidRDefault="004678FA" w:rsidP="00470B15">
            <w:pPr>
              <w:pStyle w:val="Tabletext"/>
              <w:jc w:val="center"/>
            </w:pPr>
            <w:r w:rsidRPr="004952C0">
              <w:t>0.055</w:t>
            </w:r>
          </w:p>
        </w:tc>
      </w:tr>
      <w:tr w:rsidR="004952C0" w:rsidRPr="004952C0" w:rsidTr="00791616">
        <w:trPr>
          <w:cantSplit/>
        </w:trPr>
        <w:tc>
          <w:tcPr>
            <w:tcW w:w="1843" w:type="dxa"/>
            <w:vMerge/>
            <w:tcBorders>
              <w:bottom w:val="single" w:sz="2" w:space="0" w:color="auto"/>
              <w:right w:val="single" w:sz="2" w:space="0" w:color="auto"/>
            </w:tcBorders>
          </w:tcPr>
          <w:p w:rsidR="004678FA" w:rsidRPr="004952C0" w:rsidRDefault="004678FA" w:rsidP="00050066">
            <w:pPr>
              <w:pStyle w:val="Tabletext"/>
            </w:pPr>
          </w:p>
        </w:tc>
        <w:tc>
          <w:tcPr>
            <w:tcW w:w="1134" w:type="dxa"/>
            <w:vMerge/>
            <w:tcBorders>
              <w:left w:val="single" w:sz="2" w:space="0" w:color="auto"/>
              <w:bottom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bottom w:val="single" w:sz="2" w:space="0" w:color="auto"/>
              <w:right w:val="single" w:sz="2" w:space="0" w:color="auto"/>
            </w:tcBorders>
          </w:tcPr>
          <w:p w:rsidR="004678FA" w:rsidRPr="004952C0" w:rsidRDefault="004678FA" w:rsidP="00050066">
            <w:pPr>
              <w:pStyle w:val="Tabletext"/>
            </w:pPr>
            <w:r w:rsidRPr="004952C0">
              <w:t>Both</w:t>
            </w:r>
          </w:p>
        </w:tc>
        <w:tc>
          <w:tcPr>
            <w:tcW w:w="709" w:type="dxa"/>
            <w:tcBorders>
              <w:left w:val="single" w:sz="2" w:space="0" w:color="auto"/>
              <w:bottom w:val="single" w:sz="2" w:space="0" w:color="auto"/>
            </w:tcBorders>
          </w:tcPr>
          <w:p w:rsidR="004678FA" w:rsidRPr="004952C0" w:rsidRDefault="004678FA" w:rsidP="00470B15">
            <w:pPr>
              <w:pStyle w:val="Tabletext"/>
              <w:jc w:val="center"/>
            </w:pPr>
            <w:r w:rsidRPr="004952C0">
              <w:t>0.442</w:t>
            </w:r>
          </w:p>
        </w:tc>
        <w:tc>
          <w:tcPr>
            <w:tcW w:w="722" w:type="dxa"/>
            <w:tcBorders>
              <w:bottom w:val="single" w:sz="2" w:space="0" w:color="auto"/>
            </w:tcBorders>
          </w:tcPr>
          <w:p w:rsidR="004678FA" w:rsidRPr="004952C0" w:rsidRDefault="004678FA" w:rsidP="00470B15">
            <w:pPr>
              <w:pStyle w:val="Tabletext"/>
              <w:jc w:val="center"/>
            </w:pPr>
            <w:r w:rsidRPr="004952C0">
              <w:t>0.403</w:t>
            </w:r>
          </w:p>
        </w:tc>
        <w:tc>
          <w:tcPr>
            <w:tcW w:w="695" w:type="dxa"/>
            <w:tcBorders>
              <w:bottom w:val="single" w:sz="2" w:space="0" w:color="auto"/>
            </w:tcBorders>
          </w:tcPr>
          <w:p w:rsidR="004678FA" w:rsidRPr="004952C0" w:rsidRDefault="004678FA" w:rsidP="00470B15">
            <w:pPr>
              <w:pStyle w:val="Tabletext"/>
              <w:jc w:val="center"/>
            </w:pPr>
            <w:r w:rsidRPr="004952C0">
              <w:t>0.317</w:t>
            </w:r>
          </w:p>
        </w:tc>
        <w:tc>
          <w:tcPr>
            <w:tcW w:w="709" w:type="dxa"/>
            <w:tcBorders>
              <w:bottom w:val="single" w:sz="2" w:space="0" w:color="auto"/>
            </w:tcBorders>
          </w:tcPr>
          <w:p w:rsidR="004678FA" w:rsidRPr="004952C0" w:rsidRDefault="004678FA" w:rsidP="00470B15">
            <w:pPr>
              <w:pStyle w:val="Tabletext"/>
              <w:jc w:val="center"/>
            </w:pPr>
            <w:r w:rsidRPr="004952C0">
              <w:t>0.369</w:t>
            </w:r>
          </w:p>
        </w:tc>
        <w:tc>
          <w:tcPr>
            <w:tcW w:w="709" w:type="dxa"/>
            <w:tcBorders>
              <w:bottom w:val="single" w:sz="2" w:space="0" w:color="auto"/>
            </w:tcBorders>
          </w:tcPr>
          <w:p w:rsidR="004678FA" w:rsidRPr="004952C0" w:rsidRDefault="004678FA" w:rsidP="00470B15">
            <w:pPr>
              <w:pStyle w:val="Tabletext"/>
              <w:jc w:val="center"/>
            </w:pPr>
            <w:r w:rsidRPr="004952C0">
              <w:t>0.382</w:t>
            </w:r>
          </w:p>
        </w:tc>
        <w:tc>
          <w:tcPr>
            <w:tcW w:w="709" w:type="dxa"/>
            <w:tcBorders>
              <w:bottom w:val="single" w:sz="2" w:space="0" w:color="auto"/>
            </w:tcBorders>
          </w:tcPr>
          <w:p w:rsidR="004678FA" w:rsidRPr="004952C0" w:rsidRDefault="004678FA" w:rsidP="00470B15">
            <w:pPr>
              <w:pStyle w:val="Tabletext"/>
              <w:jc w:val="center"/>
            </w:pPr>
            <w:r w:rsidRPr="004952C0">
              <w:t>0.378</w:t>
            </w:r>
          </w:p>
        </w:tc>
        <w:tc>
          <w:tcPr>
            <w:tcW w:w="850" w:type="dxa"/>
            <w:tcBorders>
              <w:bottom w:val="single" w:sz="2" w:space="0" w:color="auto"/>
            </w:tcBorders>
          </w:tcPr>
          <w:p w:rsidR="004678FA" w:rsidRPr="004952C0" w:rsidRDefault="004678FA" w:rsidP="00470B15">
            <w:pPr>
              <w:pStyle w:val="Tabletext"/>
              <w:jc w:val="center"/>
            </w:pPr>
            <w:r w:rsidRPr="004952C0">
              <w:t>0.394</w:t>
            </w:r>
          </w:p>
        </w:tc>
      </w:tr>
    </w:tbl>
    <w:p w:rsidR="004D5D08" w:rsidRPr="004952C0" w:rsidRDefault="004D5D08" w:rsidP="004D5D08">
      <w:pPr>
        <w:pStyle w:val="ntoHeading"/>
      </w:pPr>
      <w:r w:rsidRPr="004952C0">
        <w:t>Note:</w:t>
      </w:r>
      <w:r w:rsidRPr="004952C0">
        <w:tab/>
        <w:t>As a result of paragraph </w:t>
      </w:r>
      <w:r w:rsidR="00934AC6" w:rsidRPr="004952C0">
        <w:t>12(</w:t>
      </w:r>
      <w:proofErr w:type="spellStart"/>
      <w:r w:rsidR="00934AC6" w:rsidRPr="004952C0">
        <w:t>i</w:t>
      </w:r>
      <w:proofErr w:type="spellEnd"/>
      <w:r w:rsidR="00934AC6" w:rsidRPr="004952C0">
        <w:t>)</w:t>
      </w:r>
      <w:r w:rsidRPr="004952C0">
        <w:t xml:space="preserve"> of this determination, in a building of BCA class 2 (multi</w:t>
      </w:r>
      <w:r w:rsidRPr="004952C0">
        <w:noBreakHyphen/>
      </w:r>
      <w:proofErr w:type="spellStart"/>
      <w:r w:rsidRPr="004952C0">
        <w:t>unit</w:t>
      </w:r>
      <w:proofErr w:type="spellEnd"/>
      <w:r w:rsidRPr="004952C0">
        <w:t xml:space="preserve"> dwellings), a project proponent is able to carry out the project </w:t>
      </w:r>
      <w:r w:rsidR="00B56F54" w:rsidRPr="004952C0">
        <w:t xml:space="preserve">only </w:t>
      </w:r>
      <w:r w:rsidRPr="004952C0">
        <w:t>in relation to a fan that provides services to the common areas of the building, or that is otherwise operated or maintained by the body corporate or building owner.</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43"/>
        <w:gridCol w:w="1134"/>
        <w:gridCol w:w="992"/>
        <w:gridCol w:w="709"/>
        <w:gridCol w:w="722"/>
        <w:gridCol w:w="695"/>
        <w:gridCol w:w="709"/>
        <w:gridCol w:w="709"/>
        <w:gridCol w:w="709"/>
        <w:gridCol w:w="850"/>
      </w:tblGrid>
      <w:tr w:rsidR="004952C0" w:rsidRPr="004952C0" w:rsidTr="00470B15">
        <w:trPr>
          <w:cantSplit/>
          <w:trHeight w:val="667"/>
          <w:tblHeader/>
        </w:trPr>
        <w:tc>
          <w:tcPr>
            <w:tcW w:w="1843" w:type="dxa"/>
            <w:vMerge w:val="restart"/>
            <w:tcBorders>
              <w:top w:val="single" w:sz="12" w:space="0" w:color="auto"/>
              <w:right w:val="single" w:sz="2" w:space="0" w:color="auto"/>
            </w:tcBorders>
            <w:vAlign w:val="center"/>
          </w:tcPr>
          <w:p w:rsidR="004D5D08" w:rsidRPr="004952C0" w:rsidRDefault="004D5D08" w:rsidP="00B1128A">
            <w:pPr>
              <w:pStyle w:val="TableHeading"/>
              <w:jc w:val="center"/>
            </w:pPr>
            <w:r w:rsidRPr="004952C0">
              <w:lastRenderedPageBreak/>
              <w:t>Building type</w:t>
            </w:r>
          </w:p>
        </w:tc>
        <w:tc>
          <w:tcPr>
            <w:tcW w:w="1134" w:type="dxa"/>
            <w:vMerge w:val="restart"/>
            <w:tcBorders>
              <w:top w:val="single" w:sz="12" w:space="0" w:color="auto"/>
              <w:left w:val="single" w:sz="2" w:space="0" w:color="auto"/>
              <w:bottom w:val="single" w:sz="12" w:space="0" w:color="auto"/>
              <w:right w:val="single" w:sz="2" w:space="0" w:color="auto"/>
            </w:tcBorders>
          </w:tcPr>
          <w:p w:rsidR="004D5D08" w:rsidRPr="004952C0" w:rsidRDefault="004D5D08" w:rsidP="00B1128A">
            <w:pPr>
              <w:pStyle w:val="TableHeading"/>
              <w:jc w:val="center"/>
            </w:pPr>
            <w:proofErr w:type="spellStart"/>
            <w:r w:rsidRPr="004952C0">
              <w:rPr>
                <w:i/>
              </w:rPr>
              <w:t>CF</w:t>
            </w:r>
            <w:r w:rsidRPr="004952C0">
              <w:rPr>
                <w:i/>
                <w:vertAlign w:val="subscript"/>
              </w:rPr>
              <w:t>i</w:t>
            </w:r>
            <w:proofErr w:type="spellEnd"/>
            <w:r w:rsidRPr="004952C0">
              <w:t xml:space="preserve"> for a ducted or partition ventilation fan</w:t>
            </w:r>
          </w:p>
        </w:tc>
        <w:tc>
          <w:tcPr>
            <w:tcW w:w="6095" w:type="dxa"/>
            <w:gridSpan w:val="8"/>
            <w:tcBorders>
              <w:top w:val="single" w:sz="12" w:space="0" w:color="auto"/>
              <w:left w:val="single" w:sz="2" w:space="0" w:color="auto"/>
              <w:bottom w:val="single" w:sz="12" w:space="0" w:color="auto"/>
            </w:tcBorders>
            <w:vAlign w:val="center"/>
          </w:tcPr>
          <w:p w:rsidR="004D5D08" w:rsidRPr="004952C0" w:rsidRDefault="004D5D08" w:rsidP="00B1128A">
            <w:pPr>
              <w:pStyle w:val="TableHeading"/>
              <w:jc w:val="center"/>
            </w:pPr>
            <w:proofErr w:type="spellStart"/>
            <w:r w:rsidRPr="004952C0">
              <w:rPr>
                <w:i/>
              </w:rPr>
              <w:t>CF</w:t>
            </w:r>
            <w:r w:rsidRPr="004952C0">
              <w:rPr>
                <w:i/>
                <w:vertAlign w:val="subscript"/>
              </w:rPr>
              <w:t>i</w:t>
            </w:r>
            <w:proofErr w:type="spellEnd"/>
            <w:r w:rsidRPr="004952C0">
              <w:t xml:space="preserve"> for a heating/cooling ventilation fan</w:t>
            </w:r>
          </w:p>
        </w:tc>
      </w:tr>
      <w:tr w:rsidR="004952C0" w:rsidRPr="004952C0" w:rsidTr="00470B15">
        <w:trPr>
          <w:cantSplit/>
          <w:tblHeader/>
        </w:trPr>
        <w:tc>
          <w:tcPr>
            <w:tcW w:w="1843" w:type="dxa"/>
            <w:vMerge/>
            <w:tcBorders>
              <w:right w:val="single" w:sz="2" w:space="0" w:color="auto"/>
            </w:tcBorders>
            <w:vAlign w:val="center"/>
          </w:tcPr>
          <w:p w:rsidR="004D5D08" w:rsidRPr="004952C0" w:rsidRDefault="004D5D08" w:rsidP="00B1128A">
            <w:pPr>
              <w:pStyle w:val="TableHeading"/>
              <w:jc w:val="center"/>
            </w:pPr>
          </w:p>
        </w:tc>
        <w:tc>
          <w:tcPr>
            <w:tcW w:w="1134" w:type="dxa"/>
            <w:vMerge/>
            <w:tcBorders>
              <w:top w:val="single" w:sz="12" w:space="0" w:color="auto"/>
              <w:left w:val="single" w:sz="2" w:space="0" w:color="auto"/>
              <w:bottom w:val="single" w:sz="12" w:space="0" w:color="auto"/>
              <w:right w:val="single" w:sz="2" w:space="0" w:color="auto"/>
            </w:tcBorders>
          </w:tcPr>
          <w:p w:rsidR="004D5D08" w:rsidRPr="004952C0" w:rsidRDefault="004D5D08" w:rsidP="00B1128A">
            <w:pPr>
              <w:pStyle w:val="TableHeading"/>
              <w:jc w:val="center"/>
            </w:pPr>
          </w:p>
        </w:tc>
        <w:tc>
          <w:tcPr>
            <w:tcW w:w="992" w:type="dxa"/>
            <w:vMerge w:val="restart"/>
            <w:tcBorders>
              <w:top w:val="single" w:sz="2" w:space="0" w:color="auto"/>
              <w:left w:val="single" w:sz="2" w:space="0" w:color="auto"/>
              <w:bottom w:val="single" w:sz="12" w:space="0" w:color="auto"/>
              <w:right w:val="single" w:sz="2" w:space="0" w:color="auto"/>
            </w:tcBorders>
            <w:vAlign w:val="center"/>
          </w:tcPr>
          <w:p w:rsidR="004D5D08" w:rsidRPr="004952C0" w:rsidRDefault="004D5D08" w:rsidP="00B1128A">
            <w:pPr>
              <w:pStyle w:val="TableHeading"/>
              <w:jc w:val="center"/>
              <w:rPr>
                <w:sz w:val="22"/>
                <w:szCs w:val="22"/>
              </w:rPr>
            </w:pPr>
            <w:r w:rsidRPr="004952C0">
              <w:t>Heating, cooling or both</w:t>
            </w:r>
          </w:p>
        </w:tc>
        <w:tc>
          <w:tcPr>
            <w:tcW w:w="5103" w:type="dxa"/>
            <w:gridSpan w:val="7"/>
            <w:tcBorders>
              <w:top w:val="single" w:sz="2" w:space="0" w:color="auto"/>
              <w:left w:val="single" w:sz="2" w:space="0" w:color="auto"/>
            </w:tcBorders>
            <w:vAlign w:val="center"/>
          </w:tcPr>
          <w:p w:rsidR="004D5D08" w:rsidRPr="004952C0" w:rsidRDefault="004D5D08" w:rsidP="00B1128A">
            <w:pPr>
              <w:pStyle w:val="TableHeading"/>
              <w:jc w:val="center"/>
              <w:rPr>
                <w:sz w:val="22"/>
                <w:szCs w:val="22"/>
              </w:rPr>
            </w:pPr>
            <w:r w:rsidRPr="004952C0">
              <w:t>NCC climate zone</w:t>
            </w:r>
          </w:p>
        </w:tc>
      </w:tr>
      <w:tr w:rsidR="004952C0" w:rsidRPr="004952C0" w:rsidTr="00470B15">
        <w:trPr>
          <w:cantSplit/>
          <w:tblHeader/>
        </w:trPr>
        <w:tc>
          <w:tcPr>
            <w:tcW w:w="1843" w:type="dxa"/>
            <w:vMerge/>
            <w:tcBorders>
              <w:bottom w:val="single" w:sz="12" w:space="0" w:color="auto"/>
              <w:right w:val="single" w:sz="2" w:space="0" w:color="auto"/>
            </w:tcBorders>
            <w:vAlign w:val="center"/>
          </w:tcPr>
          <w:p w:rsidR="004D5D08" w:rsidRPr="004952C0" w:rsidRDefault="004D5D08" w:rsidP="00B1128A">
            <w:pPr>
              <w:pStyle w:val="TableHeading"/>
              <w:jc w:val="center"/>
            </w:pPr>
          </w:p>
        </w:tc>
        <w:tc>
          <w:tcPr>
            <w:tcW w:w="1134" w:type="dxa"/>
            <w:vMerge/>
            <w:tcBorders>
              <w:top w:val="single" w:sz="12" w:space="0" w:color="auto"/>
              <w:left w:val="single" w:sz="2" w:space="0" w:color="auto"/>
              <w:bottom w:val="single" w:sz="12" w:space="0" w:color="auto"/>
              <w:right w:val="single" w:sz="2" w:space="0" w:color="auto"/>
            </w:tcBorders>
          </w:tcPr>
          <w:p w:rsidR="004D5D08" w:rsidRPr="004952C0" w:rsidRDefault="004D5D08" w:rsidP="00B1128A">
            <w:pPr>
              <w:pStyle w:val="TableHeading"/>
              <w:jc w:val="center"/>
            </w:pPr>
          </w:p>
        </w:tc>
        <w:tc>
          <w:tcPr>
            <w:tcW w:w="992" w:type="dxa"/>
            <w:vMerge/>
            <w:tcBorders>
              <w:top w:val="single" w:sz="2" w:space="0" w:color="auto"/>
              <w:left w:val="single" w:sz="2" w:space="0" w:color="auto"/>
              <w:bottom w:val="single" w:sz="12" w:space="0" w:color="auto"/>
              <w:right w:val="single" w:sz="2" w:space="0" w:color="auto"/>
            </w:tcBorders>
            <w:vAlign w:val="center"/>
          </w:tcPr>
          <w:p w:rsidR="004D5D08" w:rsidRPr="004952C0" w:rsidRDefault="004D5D08" w:rsidP="00B1128A">
            <w:pPr>
              <w:pStyle w:val="TableHeading"/>
              <w:jc w:val="center"/>
            </w:pPr>
          </w:p>
        </w:tc>
        <w:tc>
          <w:tcPr>
            <w:tcW w:w="709" w:type="dxa"/>
            <w:tcBorders>
              <w:left w:val="single" w:sz="2" w:space="0" w:color="auto"/>
              <w:bottom w:val="single" w:sz="12" w:space="0" w:color="auto"/>
            </w:tcBorders>
            <w:vAlign w:val="center"/>
          </w:tcPr>
          <w:p w:rsidR="004D5D08" w:rsidRPr="004952C0" w:rsidRDefault="004D5D08" w:rsidP="00470B15">
            <w:pPr>
              <w:pStyle w:val="TableHeading"/>
              <w:jc w:val="center"/>
            </w:pPr>
            <w:r w:rsidRPr="004952C0">
              <w:t>1</w:t>
            </w:r>
          </w:p>
        </w:tc>
        <w:tc>
          <w:tcPr>
            <w:tcW w:w="722" w:type="dxa"/>
            <w:tcBorders>
              <w:bottom w:val="single" w:sz="12" w:space="0" w:color="auto"/>
            </w:tcBorders>
            <w:vAlign w:val="center"/>
          </w:tcPr>
          <w:p w:rsidR="004D5D08" w:rsidRPr="004952C0" w:rsidRDefault="004D5D08" w:rsidP="00470B15">
            <w:pPr>
              <w:pStyle w:val="TableHeading"/>
              <w:jc w:val="center"/>
            </w:pPr>
            <w:r w:rsidRPr="004952C0">
              <w:t>2</w:t>
            </w:r>
          </w:p>
        </w:tc>
        <w:tc>
          <w:tcPr>
            <w:tcW w:w="695" w:type="dxa"/>
            <w:tcBorders>
              <w:bottom w:val="single" w:sz="12" w:space="0" w:color="auto"/>
            </w:tcBorders>
            <w:vAlign w:val="center"/>
          </w:tcPr>
          <w:p w:rsidR="004D5D08" w:rsidRPr="004952C0" w:rsidRDefault="004D5D08" w:rsidP="00470B15">
            <w:pPr>
              <w:pStyle w:val="TableHeading"/>
              <w:jc w:val="center"/>
            </w:pPr>
            <w:r w:rsidRPr="004952C0">
              <w:t>3</w:t>
            </w:r>
          </w:p>
        </w:tc>
        <w:tc>
          <w:tcPr>
            <w:tcW w:w="709" w:type="dxa"/>
            <w:tcBorders>
              <w:bottom w:val="single" w:sz="12" w:space="0" w:color="auto"/>
            </w:tcBorders>
            <w:vAlign w:val="center"/>
          </w:tcPr>
          <w:p w:rsidR="004D5D08" w:rsidRPr="004952C0" w:rsidRDefault="004D5D08" w:rsidP="00470B15">
            <w:pPr>
              <w:pStyle w:val="TableHeading"/>
              <w:jc w:val="center"/>
            </w:pPr>
            <w:r w:rsidRPr="004952C0">
              <w:t>4</w:t>
            </w:r>
          </w:p>
        </w:tc>
        <w:tc>
          <w:tcPr>
            <w:tcW w:w="709" w:type="dxa"/>
            <w:tcBorders>
              <w:bottom w:val="single" w:sz="12" w:space="0" w:color="auto"/>
            </w:tcBorders>
            <w:vAlign w:val="center"/>
          </w:tcPr>
          <w:p w:rsidR="004D5D08" w:rsidRPr="004952C0" w:rsidRDefault="004D5D08" w:rsidP="00470B15">
            <w:pPr>
              <w:pStyle w:val="TableHeading"/>
              <w:jc w:val="center"/>
            </w:pPr>
            <w:r w:rsidRPr="004952C0">
              <w:t>5</w:t>
            </w:r>
          </w:p>
        </w:tc>
        <w:tc>
          <w:tcPr>
            <w:tcW w:w="709" w:type="dxa"/>
            <w:tcBorders>
              <w:bottom w:val="single" w:sz="12" w:space="0" w:color="auto"/>
            </w:tcBorders>
            <w:vAlign w:val="center"/>
          </w:tcPr>
          <w:p w:rsidR="004D5D08" w:rsidRPr="004952C0" w:rsidRDefault="004D5D08" w:rsidP="00470B15">
            <w:pPr>
              <w:pStyle w:val="TableHeading"/>
              <w:jc w:val="center"/>
            </w:pPr>
            <w:r w:rsidRPr="004952C0">
              <w:t>6</w:t>
            </w:r>
          </w:p>
        </w:tc>
        <w:tc>
          <w:tcPr>
            <w:tcW w:w="850" w:type="dxa"/>
            <w:tcBorders>
              <w:bottom w:val="single" w:sz="12" w:space="0" w:color="auto"/>
            </w:tcBorders>
            <w:vAlign w:val="center"/>
          </w:tcPr>
          <w:p w:rsidR="004D5D08" w:rsidRPr="004952C0" w:rsidRDefault="004D5D08" w:rsidP="00470B15">
            <w:pPr>
              <w:pStyle w:val="TableHeading"/>
              <w:jc w:val="center"/>
            </w:pPr>
            <w:r w:rsidRPr="004952C0">
              <w:t>7</w:t>
            </w:r>
            <w:r w:rsidR="00791616">
              <w:t xml:space="preserve"> and 8</w:t>
            </w:r>
          </w:p>
        </w:tc>
      </w:tr>
      <w:tr w:rsidR="004952C0" w:rsidRPr="004952C0" w:rsidTr="00470B15">
        <w:trPr>
          <w:cantSplit/>
        </w:trPr>
        <w:tc>
          <w:tcPr>
            <w:tcW w:w="1843" w:type="dxa"/>
            <w:vMerge w:val="restart"/>
            <w:tcBorders>
              <w:top w:val="single" w:sz="2" w:space="0" w:color="auto"/>
              <w:right w:val="single" w:sz="2" w:space="0" w:color="auto"/>
            </w:tcBorders>
          </w:tcPr>
          <w:p w:rsidR="004678FA" w:rsidRPr="004952C0" w:rsidRDefault="00762804" w:rsidP="00F71EAD">
            <w:pPr>
              <w:pStyle w:val="Tabletext"/>
            </w:pPr>
            <w:r w:rsidRPr="004952C0">
              <w:t>BCA c</w:t>
            </w:r>
            <w:r w:rsidR="004678FA" w:rsidRPr="004952C0">
              <w:t>lass 6 (restaurants or cafes)</w:t>
            </w:r>
          </w:p>
        </w:tc>
        <w:tc>
          <w:tcPr>
            <w:tcW w:w="1134" w:type="dxa"/>
            <w:vMerge w:val="restart"/>
            <w:tcBorders>
              <w:top w:val="single" w:sz="2" w:space="0" w:color="auto"/>
              <w:left w:val="single" w:sz="2" w:space="0" w:color="auto"/>
              <w:right w:val="single" w:sz="2" w:space="0" w:color="auto"/>
            </w:tcBorders>
          </w:tcPr>
          <w:p w:rsidR="004678FA" w:rsidRPr="004952C0" w:rsidRDefault="004678FA" w:rsidP="00050066">
            <w:pPr>
              <w:pStyle w:val="Tabletext"/>
              <w:jc w:val="center"/>
            </w:pPr>
            <w:r w:rsidRPr="004952C0">
              <w:t>0.59</w:t>
            </w:r>
          </w:p>
        </w:tc>
        <w:tc>
          <w:tcPr>
            <w:tcW w:w="992" w:type="dxa"/>
            <w:tcBorders>
              <w:top w:val="single" w:sz="2" w:space="0" w:color="auto"/>
              <w:left w:val="single" w:sz="2" w:space="0" w:color="auto"/>
              <w:right w:val="single" w:sz="2" w:space="0" w:color="auto"/>
            </w:tcBorders>
          </w:tcPr>
          <w:p w:rsidR="004678FA" w:rsidRPr="004952C0" w:rsidRDefault="004678FA" w:rsidP="00050066">
            <w:pPr>
              <w:pStyle w:val="Tabletext"/>
            </w:pPr>
            <w:r w:rsidRPr="004952C0">
              <w:t>Heating</w:t>
            </w:r>
          </w:p>
        </w:tc>
        <w:tc>
          <w:tcPr>
            <w:tcW w:w="709" w:type="dxa"/>
            <w:tcBorders>
              <w:top w:val="single" w:sz="2" w:space="0" w:color="auto"/>
              <w:left w:val="single" w:sz="2" w:space="0" w:color="auto"/>
            </w:tcBorders>
          </w:tcPr>
          <w:p w:rsidR="004678FA" w:rsidRPr="004952C0" w:rsidRDefault="004678FA" w:rsidP="00470B15">
            <w:pPr>
              <w:pStyle w:val="Tabletext"/>
              <w:jc w:val="center"/>
            </w:pPr>
            <w:r w:rsidRPr="004952C0">
              <w:t>0.000</w:t>
            </w:r>
          </w:p>
        </w:tc>
        <w:tc>
          <w:tcPr>
            <w:tcW w:w="722" w:type="dxa"/>
            <w:tcBorders>
              <w:top w:val="single" w:sz="2" w:space="0" w:color="auto"/>
            </w:tcBorders>
          </w:tcPr>
          <w:p w:rsidR="004678FA" w:rsidRPr="004952C0" w:rsidRDefault="004678FA" w:rsidP="00470B15">
            <w:pPr>
              <w:pStyle w:val="Tabletext"/>
              <w:jc w:val="center"/>
            </w:pPr>
            <w:r w:rsidRPr="004952C0">
              <w:t>0.082</w:t>
            </w:r>
          </w:p>
        </w:tc>
        <w:tc>
          <w:tcPr>
            <w:tcW w:w="695" w:type="dxa"/>
            <w:tcBorders>
              <w:top w:val="single" w:sz="2" w:space="0" w:color="auto"/>
            </w:tcBorders>
          </w:tcPr>
          <w:p w:rsidR="004678FA" w:rsidRPr="004952C0" w:rsidRDefault="004678FA" w:rsidP="00470B15">
            <w:pPr>
              <w:pStyle w:val="Tabletext"/>
              <w:jc w:val="center"/>
            </w:pPr>
            <w:r w:rsidRPr="004952C0">
              <w:t>0.082</w:t>
            </w:r>
          </w:p>
        </w:tc>
        <w:tc>
          <w:tcPr>
            <w:tcW w:w="709" w:type="dxa"/>
            <w:tcBorders>
              <w:top w:val="single" w:sz="2" w:space="0" w:color="auto"/>
            </w:tcBorders>
          </w:tcPr>
          <w:p w:rsidR="004678FA" w:rsidRPr="004952C0" w:rsidRDefault="004678FA" w:rsidP="00470B15">
            <w:pPr>
              <w:pStyle w:val="Tabletext"/>
              <w:jc w:val="center"/>
            </w:pPr>
            <w:r w:rsidRPr="004952C0">
              <w:t>0.233</w:t>
            </w:r>
          </w:p>
        </w:tc>
        <w:tc>
          <w:tcPr>
            <w:tcW w:w="709" w:type="dxa"/>
            <w:tcBorders>
              <w:top w:val="single" w:sz="2" w:space="0" w:color="auto"/>
            </w:tcBorders>
          </w:tcPr>
          <w:p w:rsidR="004678FA" w:rsidRPr="004952C0" w:rsidRDefault="004678FA" w:rsidP="00470B15">
            <w:pPr>
              <w:pStyle w:val="Tabletext"/>
              <w:jc w:val="center"/>
            </w:pPr>
            <w:r w:rsidRPr="004952C0">
              <w:t>0.213</w:t>
            </w:r>
          </w:p>
        </w:tc>
        <w:tc>
          <w:tcPr>
            <w:tcW w:w="709" w:type="dxa"/>
            <w:tcBorders>
              <w:top w:val="single" w:sz="2" w:space="0" w:color="auto"/>
            </w:tcBorders>
          </w:tcPr>
          <w:p w:rsidR="004678FA" w:rsidRPr="004952C0" w:rsidRDefault="004678FA" w:rsidP="00470B15">
            <w:pPr>
              <w:pStyle w:val="Tabletext"/>
              <w:jc w:val="center"/>
            </w:pPr>
            <w:r w:rsidRPr="004952C0">
              <w:t>0.366</w:t>
            </w:r>
          </w:p>
        </w:tc>
        <w:tc>
          <w:tcPr>
            <w:tcW w:w="850" w:type="dxa"/>
            <w:tcBorders>
              <w:top w:val="single" w:sz="2" w:space="0" w:color="auto"/>
            </w:tcBorders>
          </w:tcPr>
          <w:p w:rsidR="004678FA" w:rsidRPr="004952C0" w:rsidRDefault="004678FA" w:rsidP="00470B15">
            <w:pPr>
              <w:pStyle w:val="Tabletext"/>
              <w:jc w:val="center"/>
            </w:pPr>
            <w:r w:rsidRPr="004952C0">
              <w:t>0.455</w:t>
            </w:r>
          </w:p>
        </w:tc>
      </w:tr>
      <w:tr w:rsidR="004952C0" w:rsidRPr="004952C0" w:rsidTr="00470B15">
        <w:trPr>
          <w:cantSplit/>
        </w:trPr>
        <w:tc>
          <w:tcPr>
            <w:tcW w:w="1843" w:type="dxa"/>
            <w:vMerge/>
            <w:tcBorders>
              <w:right w:val="single" w:sz="2" w:space="0" w:color="auto"/>
            </w:tcBorders>
          </w:tcPr>
          <w:p w:rsidR="004678FA" w:rsidRPr="004952C0" w:rsidRDefault="004678FA" w:rsidP="00050066">
            <w:pPr>
              <w:pStyle w:val="Tabletext"/>
            </w:pPr>
          </w:p>
        </w:tc>
        <w:tc>
          <w:tcPr>
            <w:tcW w:w="1134" w:type="dxa"/>
            <w:vMerge/>
            <w:tcBorders>
              <w:left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right w:val="single" w:sz="2" w:space="0" w:color="auto"/>
            </w:tcBorders>
          </w:tcPr>
          <w:p w:rsidR="004678FA" w:rsidRPr="004952C0" w:rsidRDefault="004678FA" w:rsidP="00050066">
            <w:pPr>
              <w:pStyle w:val="Tabletext"/>
            </w:pPr>
            <w:r w:rsidRPr="004952C0">
              <w:t>Cooling</w:t>
            </w:r>
          </w:p>
        </w:tc>
        <w:tc>
          <w:tcPr>
            <w:tcW w:w="709" w:type="dxa"/>
            <w:tcBorders>
              <w:left w:val="single" w:sz="2" w:space="0" w:color="auto"/>
            </w:tcBorders>
          </w:tcPr>
          <w:p w:rsidR="004678FA" w:rsidRPr="004952C0" w:rsidRDefault="004678FA" w:rsidP="00470B15">
            <w:pPr>
              <w:pStyle w:val="Tabletext"/>
              <w:jc w:val="center"/>
            </w:pPr>
            <w:r w:rsidRPr="004952C0">
              <w:t>0.565</w:t>
            </w:r>
          </w:p>
        </w:tc>
        <w:tc>
          <w:tcPr>
            <w:tcW w:w="722" w:type="dxa"/>
          </w:tcPr>
          <w:p w:rsidR="004678FA" w:rsidRPr="004952C0" w:rsidRDefault="004678FA" w:rsidP="00470B15">
            <w:pPr>
              <w:pStyle w:val="Tabletext"/>
              <w:jc w:val="center"/>
            </w:pPr>
            <w:r w:rsidRPr="004952C0">
              <w:t>0.456</w:t>
            </w:r>
          </w:p>
        </w:tc>
        <w:tc>
          <w:tcPr>
            <w:tcW w:w="695" w:type="dxa"/>
          </w:tcPr>
          <w:p w:rsidR="004678FA" w:rsidRPr="004952C0" w:rsidRDefault="004678FA" w:rsidP="00470B15">
            <w:pPr>
              <w:pStyle w:val="Tabletext"/>
              <w:jc w:val="center"/>
            </w:pPr>
            <w:r w:rsidRPr="004952C0">
              <w:t>0.325</w:t>
            </w:r>
          </w:p>
        </w:tc>
        <w:tc>
          <w:tcPr>
            <w:tcW w:w="709" w:type="dxa"/>
          </w:tcPr>
          <w:p w:rsidR="004678FA" w:rsidRPr="004952C0" w:rsidRDefault="004678FA" w:rsidP="00470B15">
            <w:pPr>
              <w:pStyle w:val="Tabletext"/>
              <w:jc w:val="center"/>
            </w:pPr>
            <w:r w:rsidRPr="004952C0">
              <w:t>0.248</w:t>
            </w:r>
          </w:p>
        </w:tc>
        <w:tc>
          <w:tcPr>
            <w:tcW w:w="709" w:type="dxa"/>
          </w:tcPr>
          <w:p w:rsidR="004678FA" w:rsidRPr="004952C0" w:rsidRDefault="004678FA" w:rsidP="00470B15">
            <w:pPr>
              <w:pStyle w:val="Tabletext"/>
              <w:jc w:val="center"/>
            </w:pPr>
            <w:r w:rsidRPr="004952C0">
              <w:t>0.293</w:t>
            </w:r>
          </w:p>
        </w:tc>
        <w:tc>
          <w:tcPr>
            <w:tcW w:w="709" w:type="dxa"/>
          </w:tcPr>
          <w:p w:rsidR="004678FA" w:rsidRPr="004952C0" w:rsidRDefault="004678FA" w:rsidP="00470B15">
            <w:pPr>
              <w:pStyle w:val="Tabletext"/>
              <w:jc w:val="center"/>
            </w:pPr>
            <w:r w:rsidRPr="004952C0">
              <w:t>0.141</w:t>
            </w:r>
          </w:p>
        </w:tc>
        <w:tc>
          <w:tcPr>
            <w:tcW w:w="850" w:type="dxa"/>
          </w:tcPr>
          <w:p w:rsidR="004678FA" w:rsidRPr="004952C0" w:rsidRDefault="004678FA" w:rsidP="00470B15">
            <w:pPr>
              <w:pStyle w:val="Tabletext"/>
              <w:jc w:val="center"/>
            </w:pPr>
            <w:r w:rsidRPr="004952C0">
              <w:t>0.066</w:t>
            </w:r>
          </w:p>
        </w:tc>
      </w:tr>
      <w:tr w:rsidR="004952C0" w:rsidRPr="004952C0" w:rsidTr="00470B15">
        <w:trPr>
          <w:cantSplit/>
        </w:trPr>
        <w:tc>
          <w:tcPr>
            <w:tcW w:w="1843" w:type="dxa"/>
            <w:vMerge/>
            <w:tcBorders>
              <w:bottom w:val="single" w:sz="2" w:space="0" w:color="auto"/>
              <w:right w:val="single" w:sz="2" w:space="0" w:color="auto"/>
            </w:tcBorders>
          </w:tcPr>
          <w:p w:rsidR="004678FA" w:rsidRPr="004952C0" w:rsidRDefault="004678FA" w:rsidP="00050066">
            <w:pPr>
              <w:pStyle w:val="Tabletext"/>
            </w:pPr>
          </w:p>
        </w:tc>
        <w:tc>
          <w:tcPr>
            <w:tcW w:w="1134" w:type="dxa"/>
            <w:vMerge/>
            <w:tcBorders>
              <w:left w:val="single" w:sz="2" w:space="0" w:color="auto"/>
              <w:bottom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bottom w:val="single" w:sz="2" w:space="0" w:color="auto"/>
              <w:right w:val="single" w:sz="2" w:space="0" w:color="auto"/>
            </w:tcBorders>
          </w:tcPr>
          <w:p w:rsidR="004678FA" w:rsidRPr="004952C0" w:rsidRDefault="004678FA" w:rsidP="00050066">
            <w:pPr>
              <w:pStyle w:val="Tabletext"/>
            </w:pPr>
            <w:r w:rsidRPr="004952C0">
              <w:t>Both</w:t>
            </w:r>
          </w:p>
        </w:tc>
        <w:tc>
          <w:tcPr>
            <w:tcW w:w="709" w:type="dxa"/>
            <w:tcBorders>
              <w:left w:val="single" w:sz="2" w:space="0" w:color="auto"/>
              <w:bottom w:val="single" w:sz="2" w:space="0" w:color="auto"/>
            </w:tcBorders>
          </w:tcPr>
          <w:p w:rsidR="004678FA" w:rsidRPr="004952C0" w:rsidRDefault="004678FA" w:rsidP="00470B15">
            <w:pPr>
              <w:pStyle w:val="Tabletext"/>
              <w:jc w:val="center"/>
            </w:pPr>
            <w:r w:rsidRPr="004952C0">
              <w:t>0.565</w:t>
            </w:r>
          </w:p>
        </w:tc>
        <w:tc>
          <w:tcPr>
            <w:tcW w:w="722" w:type="dxa"/>
            <w:tcBorders>
              <w:bottom w:val="single" w:sz="2" w:space="0" w:color="auto"/>
            </w:tcBorders>
          </w:tcPr>
          <w:p w:rsidR="004678FA" w:rsidRPr="004952C0" w:rsidRDefault="004678FA" w:rsidP="00470B15">
            <w:pPr>
              <w:pStyle w:val="Tabletext"/>
              <w:jc w:val="center"/>
            </w:pPr>
            <w:r w:rsidRPr="004952C0">
              <w:t>0.525</w:t>
            </w:r>
          </w:p>
        </w:tc>
        <w:tc>
          <w:tcPr>
            <w:tcW w:w="695" w:type="dxa"/>
            <w:tcBorders>
              <w:bottom w:val="single" w:sz="2" w:space="0" w:color="auto"/>
            </w:tcBorders>
          </w:tcPr>
          <w:p w:rsidR="004678FA" w:rsidRPr="004952C0" w:rsidRDefault="004678FA" w:rsidP="00470B15">
            <w:pPr>
              <w:pStyle w:val="Tabletext"/>
              <w:jc w:val="center"/>
            </w:pPr>
            <w:r w:rsidRPr="004952C0">
              <w:t>0.405</w:t>
            </w:r>
          </w:p>
        </w:tc>
        <w:tc>
          <w:tcPr>
            <w:tcW w:w="709" w:type="dxa"/>
            <w:tcBorders>
              <w:bottom w:val="single" w:sz="2" w:space="0" w:color="auto"/>
            </w:tcBorders>
          </w:tcPr>
          <w:p w:rsidR="004678FA" w:rsidRPr="004952C0" w:rsidRDefault="004678FA" w:rsidP="00470B15">
            <w:pPr>
              <w:pStyle w:val="Tabletext"/>
              <w:jc w:val="center"/>
            </w:pPr>
            <w:r w:rsidRPr="004952C0">
              <w:t>0.473</w:t>
            </w:r>
          </w:p>
        </w:tc>
        <w:tc>
          <w:tcPr>
            <w:tcW w:w="709" w:type="dxa"/>
            <w:tcBorders>
              <w:bottom w:val="single" w:sz="2" w:space="0" w:color="auto"/>
            </w:tcBorders>
          </w:tcPr>
          <w:p w:rsidR="004678FA" w:rsidRPr="004952C0" w:rsidRDefault="004678FA" w:rsidP="00470B15">
            <w:pPr>
              <w:pStyle w:val="Tabletext"/>
              <w:jc w:val="center"/>
            </w:pPr>
            <w:r w:rsidRPr="004952C0">
              <w:t>0.495</w:t>
            </w:r>
          </w:p>
        </w:tc>
        <w:tc>
          <w:tcPr>
            <w:tcW w:w="709" w:type="dxa"/>
            <w:tcBorders>
              <w:bottom w:val="single" w:sz="2" w:space="0" w:color="auto"/>
            </w:tcBorders>
          </w:tcPr>
          <w:p w:rsidR="004678FA" w:rsidRPr="004952C0" w:rsidRDefault="004678FA" w:rsidP="00470B15">
            <w:pPr>
              <w:pStyle w:val="Tabletext"/>
              <w:jc w:val="center"/>
            </w:pPr>
            <w:r w:rsidRPr="004952C0">
              <w:t>0.492</w:t>
            </w:r>
          </w:p>
        </w:tc>
        <w:tc>
          <w:tcPr>
            <w:tcW w:w="850" w:type="dxa"/>
            <w:tcBorders>
              <w:bottom w:val="single" w:sz="2" w:space="0" w:color="auto"/>
            </w:tcBorders>
          </w:tcPr>
          <w:p w:rsidR="004678FA" w:rsidRPr="004952C0" w:rsidRDefault="004678FA" w:rsidP="00470B15">
            <w:pPr>
              <w:pStyle w:val="Tabletext"/>
              <w:jc w:val="center"/>
            </w:pPr>
            <w:r w:rsidRPr="004952C0">
              <w:t>0.515</w:t>
            </w:r>
          </w:p>
        </w:tc>
      </w:tr>
      <w:tr w:rsidR="004952C0" w:rsidRPr="004952C0" w:rsidTr="00470B15">
        <w:trPr>
          <w:cantSplit/>
        </w:trPr>
        <w:tc>
          <w:tcPr>
            <w:tcW w:w="1843" w:type="dxa"/>
            <w:vMerge w:val="restart"/>
            <w:tcBorders>
              <w:top w:val="single" w:sz="2" w:space="0" w:color="auto"/>
              <w:right w:val="single" w:sz="2" w:space="0" w:color="auto"/>
            </w:tcBorders>
          </w:tcPr>
          <w:p w:rsidR="004678FA" w:rsidRPr="004952C0" w:rsidRDefault="00762804" w:rsidP="00F71EAD">
            <w:pPr>
              <w:pStyle w:val="Tabletext"/>
            </w:pPr>
            <w:r w:rsidRPr="004952C0">
              <w:t>BCA c</w:t>
            </w:r>
            <w:r w:rsidR="004678FA" w:rsidRPr="004952C0">
              <w:t>lass 7a (car parks)</w:t>
            </w:r>
          </w:p>
        </w:tc>
        <w:tc>
          <w:tcPr>
            <w:tcW w:w="1134" w:type="dxa"/>
            <w:vMerge w:val="restart"/>
            <w:tcBorders>
              <w:top w:val="single" w:sz="2" w:space="0" w:color="auto"/>
              <w:left w:val="single" w:sz="2" w:space="0" w:color="auto"/>
              <w:right w:val="single" w:sz="2" w:space="0" w:color="auto"/>
            </w:tcBorders>
          </w:tcPr>
          <w:p w:rsidR="004678FA" w:rsidRPr="004952C0" w:rsidRDefault="004678FA" w:rsidP="00050066">
            <w:pPr>
              <w:pStyle w:val="Tabletext"/>
              <w:jc w:val="center"/>
            </w:pPr>
            <w:r w:rsidRPr="004952C0">
              <w:t>0.40</w:t>
            </w:r>
          </w:p>
        </w:tc>
        <w:tc>
          <w:tcPr>
            <w:tcW w:w="992" w:type="dxa"/>
            <w:tcBorders>
              <w:top w:val="single" w:sz="2" w:space="0" w:color="auto"/>
              <w:left w:val="single" w:sz="2" w:space="0" w:color="auto"/>
              <w:right w:val="single" w:sz="2" w:space="0" w:color="auto"/>
            </w:tcBorders>
          </w:tcPr>
          <w:p w:rsidR="004678FA" w:rsidRPr="004952C0" w:rsidRDefault="004678FA" w:rsidP="00050066">
            <w:pPr>
              <w:pStyle w:val="Tabletext"/>
            </w:pPr>
            <w:r w:rsidRPr="004952C0">
              <w:t>Heating</w:t>
            </w:r>
          </w:p>
        </w:tc>
        <w:tc>
          <w:tcPr>
            <w:tcW w:w="709" w:type="dxa"/>
            <w:tcBorders>
              <w:top w:val="single" w:sz="2" w:space="0" w:color="auto"/>
              <w:left w:val="single" w:sz="2" w:space="0" w:color="auto"/>
            </w:tcBorders>
          </w:tcPr>
          <w:p w:rsidR="004678FA" w:rsidRPr="004952C0" w:rsidRDefault="004678FA" w:rsidP="00470B15">
            <w:pPr>
              <w:jc w:val="center"/>
            </w:pPr>
            <w:r w:rsidRPr="004952C0">
              <w:rPr>
                <w:sz w:val="20"/>
              </w:rPr>
              <w:t>0.000</w:t>
            </w:r>
          </w:p>
        </w:tc>
        <w:tc>
          <w:tcPr>
            <w:tcW w:w="722" w:type="dxa"/>
            <w:tcBorders>
              <w:top w:val="single" w:sz="2" w:space="0" w:color="auto"/>
            </w:tcBorders>
          </w:tcPr>
          <w:p w:rsidR="004678FA" w:rsidRPr="004952C0" w:rsidRDefault="004678FA" w:rsidP="00470B15">
            <w:pPr>
              <w:jc w:val="center"/>
            </w:pPr>
            <w:r w:rsidRPr="004952C0">
              <w:rPr>
                <w:sz w:val="20"/>
              </w:rPr>
              <w:t>0.000</w:t>
            </w:r>
          </w:p>
        </w:tc>
        <w:tc>
          <w:tcPr>
            <w:tcW w:w="695" w:type="dxa"/>
            <w:tcBorders>
              <w:top w:val="single" w:sz="2" w:space="0" w:color="auto"/>
            </w:tcBorders>
          </w:tcPr>
          <w:p w:rsidR="004678FA" w:rsidRPr="004952C0" w:rsidRDefault="004678FA" w:rsidP="00470B15">
            <w:pPr>
              <w:jc w:val="center"/>
            </w:pPr>
            <w:r w:rsidRPr="004952C0">
              <w:rPr>
                <w:sz w:val="20"/>
              </w:rPr>
              <w:t>0.000</w:t>
            </w:r>
          </w:p>
        </w:tc>
        <w:tc>
          <w:tcPr>
            <w:tcW w:w="709" w:type="dxa"/>
            <w:tcBorders>
              <w:top w:val="single" w:sz="2" w:space="0" w:color="auto"/>
            </w:tcBorders>
          </w:tcPr>
          <w:p w:rsidR="004678FA" w:rsidRPr="004952C0" w:rsidRDefault="004678FA" w:rsidP="00470B15">
            <w:pPr>
              <w:jc w:val="center"/>
            </w:pPr>
            <w:r w:rsidRPr="004952C0">
              <w:rPr>
                <w:sz w:val="20"/>
              </w:rPr>
              <w:t>0.000</w:t>
            </w:r>
          </w:p>
        </w:tc>
        <w:tc>
          <w:tcPr>
            <w:tcW w:w="709" w:type="dxa"/>
            <w:tcBorders>
              <w:top w:val="single" w:sz="2" w:space="0" w:color="auto"/>
            </w:tcBorders>
          </w:tcPr>
          <w:p w:rsidR="004678FA" w:rsidRPr="004952C0" w:rsidRDefault="004678FA" w:rsidP="00470B15">
            <w:pPr>
              <w:jc w:val="center"/>
            </w:pPr>
            <w:r w:rsidRPr="004952C0">
              <w:rPr>
                <w:sz w:val="20"/>
              </w:rPr>
              <w:t>0.000</w:t>
            </w:r>
          </w:p>
        </w:tc>
        <w:tc>
          <w:tcPr>
            <w:tcW w:w="709" w:type="dxa"/>
            <w:tcBorders>
              <w:top w:val="single" w:sz="2" w:space="0" w:color="auto"/>
            </w:tcBorders>
          </w:tcPr>
          <w:p w:rsidR="004678FA" w:rsidRPr="004952C0" w:rsidRDefault="004678FA" w:rsidP="00470B15">
            <w:pPr>
              <w:jc w:val="center"/>
            </w:pPr>
            <w:r w:rsidRPr="004952C0">
              <w:rPr>
                <w:sz w:val="20"/>
              </w:rPr>
              <w:t>0.000</w:t>
            </w:r>
          </w:p>
        </w:tc>
        <w:tc>
          <w:tcPr>
            <w:tcW w:w="850" w:type="dxa"/>
            <w:tcBorders>
              <w:top w:val="single" w:sz="2" w:space="0" w:color="auto"/>
            </w:tcBorders>
          </w:tcPr>
          <w:p w:rsidR="004678FA" w:rsidRPr="004952C0" w:rsidRDefault="004678FA" w:rsidP="00470B15">
            <w:pPr>
              <w:jc w:val="center"/>
            </w:pPr>
            <w:r w:rsidRPr="004952C0">
              <w:rPr>
                <w:sz w:val="20"/>
              </w:rPr>
              <w:t>0.000</w:t>
            </w:r>
          </w:p>
        </w:tc>
      </w:tr>
      <w:tr w:rsidR="004952C0" w:rsidRPr="004952C0" w:rsidTr="00470B15">
        <w:trPr>
          <w:cantSplit/>
        </w:trPr>
        <w:tc>
          <w:tcPr>
            <w:tcW w:w="1843" w:type="dxa"/>
            <w:vMerge/>
            <w:tcBorders>
              <w:right w:val="single" w:sz="2" w:space="0" w:color="auto"/>
            </w:tcBorders>
          </w:tcPr>
          <w:p w:rsidR="004678FA" w:rsidRPr="004952C0" w:rsidRDefault="004678FA" w:rsidP="00050066">
            <w:pPr>
              <w:pStyle w:val="Tabletext"/>
            </w:pPr>
          </w:p>
        </w:tc>
        <w:tc>
          <w:tcPr>
            <w:tcW w:w="1134" w:type="dxa"/>
            <w:vMerge/>
            <w:tcBorders>
              <w:left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right w:val="single" w:sz="2" w:space="0" w:color="auto"/>
            </w:tcBorders>
          </w:tcPr>
          <w:p w:rsidR="004678FA" w:rsidRPr="004952C0" w:rsidRDefault="004678FA" w:rsidP="00050066">
            <w:pPr>
              <w:pStyle w:val="Tabletext"/>
            </w:pPr>
            <w:r w:rsidRPr="004952C0">
              <w:t>Cooling</w:t>
            </w:r>
          </w:p>
        </w:tc>
        <w:tc>
          <w:tcPr>
            <w:tcW w:w="709" w:type="dxa"/>
            <w:tcBorders>
              <w:left w:val="single" w:sz="2" w:space="0" w:color="auto"/>
            </w:tcBorders>
          </w:tcPr>
          <w:p w:rsidR="004678FA" w:rsidRPr="004952C0" w:rsidRDefault="004678FA" w:rsidP="00470B15">
            <w:pPr>
              <w:jc w:val="center"/>
            </w:pPr>
            <w:r w:rsidRPr="004952C0">
              <w:rPr>
                <w:sz w:val="20"/>
              </w:rPr>
              <w:t>0.000</w:t>
            </w:r>
          </w:p>
        </w:tc>
        <w:tc>
          <w:tcPr>
            <w:tcW w:w="722" w:type="dxa"/>
          </w:tcPr>
          <w:p w:rsidR="004678FA" w:rsidRPr="004952C0" w:rsidRDefault="004678FA" w:rsidP="00470B15">
            <w:pPr>
              <w:jc w:val="center"/>
            </w:pPr>
            <w:r w:rsidRPr="004952C0">
              <w:rPr>
                <w:sz w:val="20"/>
              </w:rPr>
              <w:t>0.000</w:t>
            </w:r>
          </w:p>
        </w:tc>
        <w:tc>
          <w:tcPr>
            <w:tcW w:w="695" w:type="dxa"/>
          </w:tcPr>
          <w:p w:rsidR="004678FA" w:rsidRPr="004952C0" w:rsidRDefault="004678FA" w:rsidP="00470B15">
            <w:pPr>
              <w:jc w:val="center"/>
            </w:pPr>
            <w:r w:rsidRPr="004952C0">
              <w:rPr>
                <w:sz w:val="20"/>
              </w:rPr>
              <w:t>0.000</w:t>
            </w:r>
          </w:p>
        </w:tc>
        <w:tc>
          <w:tcPr>
            <w:tcW w:w="709" w:type="dxa"/>
          </w:tcPr>
          <w:p w:rsidR="004678FA" w:rsidRPr="004952C0" w:rsidRDefault="004678FA" w:rsidP="00470B15">
            <w:pPr>
              <w:jc w:val="center"/>
            </w:pPr>
            <w:r w:rsidRPr="004952C0">
              <w:rPr>
                <w:sz w:val="20"/>
              </w:rPr>
              <w:t>0.000</w:t>
            </w:r>
          </w:p>
        </w:tc>
        <w:tc>
          <w:tcPr>
            <w:tcW w:w="709" w:type="dxa"/>
          </w:tcPr>
          <w:p w:rsidR="004678FA" w:rsidRPr="004952C0" w:rsidRDefault="004678FA" w:rsidP="00470B15">
            <w:pPr>
              <w:jc w:val="center"/>
            </w:pPr>
            <w:r w:rsidRPr="004952C0">
              <w:rPr>
                <w:sz w:val="20"/>
              </w:rPr>
              <w:t>0.000</w:t>
            </w:r>
          </w:p>
        </w:tc>
        <w:tc>
          <w:tcPr>
            <w:tcW w:w="709" w:type="dxa"/>
          </w:tcPr>
          <w:p w:rsidR="004678FA" w:rsidRPr="004952C0" w:rsidRDefault="004678FA" w:rsidP="00470B15">
            <w:pPr>
              <w:jc w:val="center"/>
            </w:pPr>
            <w:r w:rsidRPr="004952C0">
              <w:rPr>
                <w:sz w:val="20"/>
              </w:rPr>
              <w:t>0.000</w:t>
            </w:r>
          </w:p>
        </w:tc>
        <w:tc>
          <w:tcPr>
            <w:tcW w:w="850" w:type="dxa"/>
          </w:tcPr>
          <w:p w:rsidR="004678FA" w:rsidRPr="004952C0" w:rsidRDefault="004678FA" w:rsidP="00470B15">
            <w:pPr>
              <w:jc w:val="center"/>
            </w:pPr>
            <w:r w:rsidRPr="004952C0">
              <w:rPr>
                <w:sz w:val="20"/>
              </w:rPr>
              <w:t>0.000</w:t>
            </w:r>
          </w:p>
        </w:tc>
      </w:tr>
      <w:tr w:rsidR="004952C0" w:rsidRPr="004952C0" w:rsidTr="00470B15">
        <w:trPr>
          <w:cantSplit/>
        </w:trPr>
        <w:tc>
          <w:tcPr>
            <w:tcW w:w="1843" w:type="dxa"/>
            <w:vMerge/>
            <w:tcBorders>
              <w:bottom w:val="single" w:sz="2" w:space="0" w:color="auto"/>
              <w:right w:val="single" w:sz="2" w:space="0" w:color="auto"/>
            </w:tcBorders>
          </w:tcPr>
          <w:p w:rsidR="004678FA" w:rsidRPr="004952C0" w:rsidRDefault="004678FA" w:rsidP="00050066">
            <w:pPr>
              <w:pStyle w:val="Tabletext"/>
            </w:pPr>
          </w:p>
        </w:tc>
        <w:tc>
          <w:tcPr>
            <w:tcW w:w="1134" w:type="dxa"/>
            <w:vMerge/>
            <w:tcBorders>
              <w:left w:val="single" w:sz="2" w:space="0" w:color="auto"/>
              <w:bottom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bottom w:val="single" w:sz="2" w:space="0" w:color="auto"/>
              <w:right w:val="single" w:sz="2" w:space="0" w:color="auto"/>
            </w:tcBorders>
          </w:tcPr>
          <w:p w:rsidR="004678FA" w:rsidRPr="004952C0" w:rsidRDefault="004678FA" w:rsidP="00050066">
            <w:pPr>
              <w:pStyle w:val="Tabletext"/>
            </w:pPr>
            <w:r w:rsidRPr="004952C0">
              <w:t>Both</w:t>
            </w:r>
          </w:p>
        </w:tc>
        <w:tc>
          <w:tcPr>
            <w:tcW w:w="709" w:type="dxa"/>
            <w:tcBorders>
              <w:left w:val="single" w:sz="2" w:space="0" w:color="auto"/>
              <w:bottom w:val="single" w:sz="2" w:space="0" w:color="auto"/>
            </w:tcBorders>
          </w:tcPr>
          <w:p w:rsidR="004678FA" w:rsidRPr="004952C0" w:rsidRDefault="004678FA" w:rsidP="00470B15">
            <w:pPr>
              <w:jc w:val="center"/>
            </w:pPr>
            <w:r w:rsidRPr="004952C0">
              <w:rPr>
                <w:sz w:val="20"/>
              </w:rPr>
              <w:t>0.000</w:t>
            </w:r>
          </w:p>
        </w:tc>
        <w:tc>
          <w:tcPr>
            <w:tcW w:w="722" w:type="dxa"/>
            <w:tcBorders>
              <w:bottom w:val="single" w:sz="2" w:space="0" w:color="auto"/>
            </w:tcBorders>
          </w:tcPr>
          <w:p w:rsidR="004678FA" w:rsidRPr="004952C0" w:rsidRDefault="004678FA" w:rsidP="00470B15">
            <w:pPr>
              <w:jc w:val="center"/>
            </w:pPr>
            <w:r w:rsidRPr="004952C0">
              <w:rPr>
                <w:sz w:val="20"/>
              </w:rPr>
              <w:t>0.000</w:t>
            </w:r>
          </w:p>
        </w:tc>
        <w:tc>
          <w:tcPr>
            <w:tcW w:w="695" w:type="dxa"/>
            <w:tcBorders>
              <w:bottom w:val="single" w:sz="2" w:space="0" w:color="auto"/>
            </w:tcBorders>
          </w:tcPr>
          <w:p w:rsidR="004678FA" w:rsidRPr="004952C0" w:rsidRDefault="004678FA" w:rsidP="00470B15">
            <w:pPr>
              <w:jc w:val="center"/>
            </w:pPr>
            <w:r w:rsidRPr="004952C0">
              <w:rPr>
                <w:sz w:val="20"/>
              </w:rPr>
              <w:t>0.000</w:t>
            </w:r>
          </w:p>
        </w:tc>
        <w:tc>
          <w:tcPr>
            <w:tcW w:w="709" w:type="dxa"/>
            <w:tcBorders>
              <w:bottom w:val="single" w:sz="2" w:space="0" w:color="auto"/>
            </w:tcBorders>
          </w:tcPr>
          <w:p w:rsidR="004678FA" w:rsidRPr="004952C0" w:rsidRDefault="004678FA" w:rsidP="00470B15">
            <w:pPr>
              <w:jc w:val="center"/>
            </w:pPr>
            <w:r w:rsidRPr="004952C0">
              <w:rPr>
                <w:sz w:val="20"/>
              </w:rPr>
              <w:t>0.000</w:t>
            </w:r>
          </w:p>
        </w:tc>
        <w:tc>
          <w:tcPr>
            <w:tcW w:w="709" w:type="dxa"/>
            <w:tcBorders>
              <w:bottom w:val="single" w:sz="2" w:space="0" w:color="auto"/>
            </w:tcBorders>
          </w:tcPr>
          <w:p w:rsidR="004678FA" w:rsidRPr="004952C0" w:rsidRDefault="004678FA" w:rsidP="00470B15">
            <w:pPr>
              <w:jc w:val="center"/>
            </w:pPr>
            <w:r w:rsidRPr="004952C0">
              <w:rPr>
                <w:sz w:val="20"/>
              </w:rPr>
              <w:t>0.000</w:t>
            </w:r>
          </w:p>
        </w:tc>
        <w:tc>
          <w:tcPr>
            <w:tcW w:w="709" w:type="dxa"/>
            <w:tcBorders>
              <w:bottom w:val="single" w:sz="2" w:space="0" w:color="auto"/>
            </w:tcBorders>
          </w:tcPr>
          <w:p w:rsidR="004678FA" w:rsidRPr="004952C0" w:rsidRDefault="004678FA" w:rsidP="00470B15">
            <w:pPr>
              <w:jc w:val="center"/>
            </w:pPr>
            <w:r w:rsidRPr="004952C0">
              <w:rPr>
                <w:sz w:val="20"/>
              </w:rPr>
              <w:t>0.000</w:t>
            </w:r>
          </w:p>
        </w:tc>
        <w:tc>
          <w:tcPr>
            <w:tcW w:w="850" w:type="dxa"/>
            <w:tcBorders>
              <w:bottom w:val="single" w:sz="2" w:space="0" w:color="auto"/>
            </w:tcBorders>
          </w:tcPr>
          <w:p w:rsidR="004678FA" w:rsidRPr="004952C0" w:rsidRDefault="004678FA" w:rsidP="00470B15">
            <w:pPr>
              <w:jc w:val="center"/>
            </w:pPr>
            <w:r w:rsidRPr="004952C0">
              <w:rPr>
                <w:sz w:val="20"/>
              </w:rPr>
              <w:t>0.000</w:t>
            </w:r>
          </w:p>
        </w:tc>
      </w:tr>
      <w:tr w:rsidR="004952C0" w:rsidRPr="004952C0" w:rsidTr="00470B15">
        <w:trPr>
          <w:cantSplit/>
        </w:trPr>
        <w:tc>
          <w:tcPr>
            <w:tcW w:w="1843" w:type="dxa"/>
            <w:vMerge w:val="restart"/>
            <w:tcBorders>
              <w:top w:val="single" w:sz="2" w:space="0" w:color="auto"/>
              <w:right w:val="single" w:sz="2" w:space="0" w:color="auto"/>
            </w:tcBorders>
          </w:tcPr>
          <w:p w:rsidR="004678FA" w:rsidRPr="004952C0" w:rsidRDefault="00762804" w:rsidP="00F323C1">
            <w:pPr>
              <w:pStyle w:val="Tabletext"/>
            </w:pPr>
            <w:r w:rsidRPr="004952C0">
              <w:t>BCA c</w:t>
            </w:r>
            <w:r w:rsidR="004678FA" w:rsidRPr="004952C0">
              <w:t>lass 7b (warehouses)</w:t>
            </w:r>
            <w:r w:rsidRPr="004952C0">
              <w:t>,</w:t>
            </w:r>
            <w:r w:rsidR="00F323C1" w:rsidRPr="004952C0">
              <w:t xml:space="preserve"> </w:t>
            </w:r>
            <w:r w:rsidR="004678FA" w:rsidRPr="004952C0">
              <w:t xml:space="preserve">ANZSIC Division A </w:t>
            </w:r>
          </w:p>
        </w:tc>
        <w:tc>
          <w:tcPr>
            <w:tcW w:w="1134" w:type="dxa"/>
            <w:vMerge w:val="restart"/>
            <w:tcBorders>
              <w:top w:val="single" w:sz="2" w:space="0" w:color="auto"/>
              <w:left w:val="single" w:sz="2" w:space="0" w:color="auto"/>
              <w:right w:val="single" w:sz="2" w:space="0" w:color="auto"/>
            </w:tcBorders>
          </w:tcPr>
          <w:p w:rsidR="004678FA" w:rsidRPr="004952C0" w:rsidRDefault="004678FA" w:rsidP="00050066">
            <w:pPr>
              <w:pStyle w:val="Tabletext"/>
              <w:jc w:val="center"/>
            </w:pPr>
            <w:r w:rsidRPr="004952C0">
              <w:t>1</w:t>
            </w:r>
          </w:p>
        </w:tc>
        <w:tc>
          <w:tcPr>
            <w:tcW w:w="992" w:type="dxa"/>
            <w:tcBorders>
              <w:top w:val="single" w:sz="2" w:space="0" w:color="auto"/>
              <w:left w:val="single" w:sz="2" w:space="0" w:color="auto"/>
              <w:right w:val="single" w:sz="2" w:space="0" w:color="auto"/>
            </w:tcBorders>
          </w:tcPr>
          <w:p w:rsidR="004678FA" w:rsidRPr="004952C0" w:rsidRDefault="004678FA" w:rsidP="00050066">
            <w:pPr>
              <w:pStyle w:val="Tabletext"/>
            </w:pPr>
            <w:r w:rsidRPr="004952C0">
              <w:t>Heating</w:t>
            </w:r>
          </w:p>
        </w:tc>
        <w:tc>
          <w:tcPr>
            <w:tcW w:w="709" w:type="dxa"/>
            <w:tcBorders>
              <w:top w:val="single" w:sz="2" w:space="0" w:color="auto"/>
              <w:left w:val="single" w:sz="2" w:space="0" w:color="auto"/>
            </w:tcBorders>
            <w:vAlign w:val="bottom"/>
          </w:tcPr>
          <w:p w:rsidR="004678FA" w:rsidRPr="004952C0" w:rsidRDefault="004678FA" w:rsidP="00470B15">
            <w:pPr>
              <w:pStyle w:val="Tabletext"/>
              <w:jc w:val="center"/>
            </w:pPr>
            <w:r w:rsidRPr="004952C0">
              <w:t>0.011</w:t>
            </w:r>
          </w:p>
        </w:tc>
        <w:tc>
          <w:tcPr>
            <w:tcW w:w="722" w:type="dxa"/>
            <w:tcBorders>
              <w:top w:val="single" w:sz="2" w:space="0" w:color="auto"/>
            </w:tcBorders>
            <w:vAlign w:val="bottom"/>
          </w:tcPr>
          <w:p w:rsidR="004678FA" w:rsidRPr="004952C0" w:rsidRDefault="004678FA" w:rsidP="00470B15">
            <w:pPr>
              <w:pStyle w:val="Tabletext"/>
              <w:jc w:val="center"/>
            </w:pPr>
            <w:r w:rsidRPr="004952C0">
              <w:t>0.270</w:t>
            </w:r>
          </w:p>
        </w:tc>
        <w:tc>
          <w:tcPr>
            <w:tcW w:w="695" w:type="dxa"/>
            <w:tcBorders>
              <w:top w:val="single" w:sz="2" w:space="0" w:color="auto"/>
            </w:tcBorders>
            <w:vAlign w:val="bottom"/>
          </w:tcPr>
          <w:p w:rsidR="004678FA" w:rsidRPr="004952C0" w:rsidRDefault="004678FA" w:rsidP="00470B15">
            <w:pPr>
              <w:pStyle w:val="Tabletext"/>
              <w:jc w:val="center"/>
            </w:pPr>
            <w:r w:rsidRPr="004952C0">
              <w:t>0.256</w:t>
            </w:r>
          </w:p>
        </w:tc>
        <w:tc>
          <w:tcPr>
            <w:tcW w:w="709" w:type="dxa"/>
            <w:tcBorders>
              <w:top w:val="single" w:sz="2" w:space="0" w:color="auto"/>
            </w:tcBorders>
            <w:vAlign w:val="bottom"/>
          </w:tcPr>
          <w:p w:rsidR="004678FA" w:rsidRPr="004952C0" w:rsidRDefault="004678FA" w:rsidP="00470B15">
            <w:pPr>
              <w:pStyle w:val="Tabletext"/>
              <w:jc w:val="center"/>
            </w:pPr>
            <w:r w:rsidRPr="004952C0">
              <w:t>0.528</w:t>
            </w:r>
          </w:p>
        </w:tc>
        <w:tc>
          <w:tcPr>
            <w:tcW w:w="709" w:type="dxa"/>
            <w:tcBorders>
              <w:top w:val="single" w:sz="2" w:space="0" w:color="auto"/>
            </w:tcBorders>
            <w:vAlign w:val="bottom"/>
          </w:tcPr>
          <w:p w:rsidR="004678FA" w:rsidRPr="004952C0" w:rsidRDefault="004678FA" w:rsidP="00470B15">
            <w:pPr>
              <w:pStyle w:val="Tabletext"/>
              <w:jc w:val="center"/>
            </w:pPr>
            <w:r w:rsidRPr="004952C0">
              <w:t>0.494</w:t>
            </w:r>
          </w:p>
        </w:tc>
        <w:tc>
          <w:tcPr>
            <w:tcW w:w="709" w:type="dxa"/>
            <w:tcBorders>
              <w:top w:val="single" w:sz="2" w:space="0" w:color="auto"/>
            </w:tcBorders>
            <w:vAlign w:val="bottom"/>
          </w:tcPr>
          <w:p w:rsidR="004678FA" w:rsidRPr="004952C0" w:rsidRDefault="004678FA" w:rsidP="00470B15">
            <w:pPr>
              <w:pStyle w:val="Tabletext"/>
              <w:jc w:val="center"/>
            </w:pPr>
            <w:r w:rsidRPr="004952C0">
              <w:t>0.733</w:t>
            </w:r>
          </w:p>
        </w:tc>
        <w:tc>
          <w:tcPr>
            <w:tcW w:w="850" w:type="dxa"/>
            <w:tcBorders>
              <w:top w:val="single" w:sz="2" w:space="0" w:color="auto"/>
            </w:tcBorders>
            <w:vAlign w:val="bottom"/>
          </w:tcPr>
          <w:p w:rsidR="004678FA" w:rsidRPr="004952C0" w:rsidRDefault="004678FA" w:rsidP="00470B15">
            <w:pPr>
              <w:pStyle w:val="Tabletext"/>
              <w:jc w:val="center"/>
            </w:pPr>
            <w:r w:rsidRPr="004952C0">
              <w:t>0.860</w:t>
            </w:r>
          </w:p>
        </w:tc>
      </w:tr>
      <w:tr w:rsidR="004952C0" w:rsidRPr="004952C0" w:rsidTr="00470B15">
        <w:trPr>
          <w:cantSplit/>
        </w:trPr>
        <w:tc>
          <w:tcPr>
            <w:tcW w:w="1843" w:type="dxa"/>
            <w:vMerge/>
            <w:tcBorders>
              <w:right w:val="single" w:sz="2" w:space="0" w:color="auto"/>
            </w:tcBorders>
          </w:tcPr>
          <w:p w:rsidR="004678FA" w:rsidRPr="004952C0" w:rsidRDefault="004678FA" w:rsidP="00050066">
            <w:pPr>
              <w:pStyle w:val="Tabletext"/>
            </w:pPr>
          </w:p>
        </w:tc>
        <w:tc>
          <w:tcPr>
            <w:tcW w:w="1134" w:type="dxa"/>
            <w:vMerge/>
            <w:tcBorders>
              <w:left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right w:val="single" w:sz="2" w:space="0" w:color="auto"/>
            </w:tcBorders>
          </w:tcPr>
          <w:p w:rsidR="004678FA" w:rsidRPr="004952C0" w:rsidRDefault="004678FA" w:rsidP="00050066">
            <w:pPr>
              <w:pStyle w:val="Tabletext"/>
            </w:pPr>
            <w:r w:rsidRPr="004952C0">
              <w:t>Cooling</w:t>
            </w:r>
          </w:p>
        </w:tc>
        <w:tc>
          <w:tcPr>
            <w:tcW w:w="709" w:type="dxa"/>
            <w:tcBorders>
              <w:left w:val="single" w:sz="2" w:space="0" w:color="auto"/>
            </w:tcBorders>
            <w:vAlign w:val="bottom"/>
          </w:tcPr>
          <w:p w:rsidR="004678FA" w:rsidRPr="004952C0" w:rsidRDefault="004678FA" w:rsidP="00470B15">
            <w:pPr>
              <w:pStyle w:val="Tabletext"/>
              <w:jc w:val="center"/>
            </w:pPr>
            <w:r w:rsidRPr="004952C0">
              <w:t>0.958</w:t>
            </w:r>
          </w:p>
        </w:tc>
        <w:tc>
          <w:tcPr>
            <w:tcW w:w="722" w:type="dxa"/>
            <w:vAlign w:val="bottom"/>
          </w:tcPr>
          <w:p w:rsidR="004678FA" w:rsidRPr="004952C0" w:rsidRDefault="004678FA" w:rsidP="00470B15">
            <w:pPr>
              <w:pStyle w:val="Tabletext"/>
              <w:jc w:val="center"/>
            </w:pPr>
            <w:r w:rsidRPr="004952C0">
              <w:t>0.710</w:t>
            </w:r>
          </w:p>
        </w:tc>
        <w:tc>
          <w:tcPr>
            <w:tcW w:w="695" w:type="dxa"/>
            <w:vAlign w:val="bottom"/>
          </w:tcPr>
          <w:p w:rsidR="004678FA" w:rsidRPr="004952C0" w:rsidRDefault="004678FA" w:rsidP="00470B15">
            <w:pPr>
              <w:pStyle w:val="Tabletext"/>
              <w:jc w:val="center"/>
            </w:pPr>
            <w:r w:rsidRPr="004952C0">
              <w:t>0.489</w:t>
            </w:r>
          </w:p>
        </w:tc>
        <w:tc>
          <w:tcPr>
            <w:tcW w:w="709" w:type="dxa"/>
            <w:vAlign w:val="bottom"/>
          </w:tcPr>
          <w:p w:rsidR="004678FA" w:rsidRPr="004952C0" w:rsidRDefault="004678FA" w:rsidP="00470B15">
            <w:pPr>
              <w:pStyle w:val="Tabletext"/>
              <w:jc w:val="center"/>
            </w:pPr>
            <w:r w:rsidRPr="004952C0">
              <w:t>0.342</w:t>
            </w:r>
          </w:p>
        </w:tc>
        <w:tc>
          <w:tcPr>
            <w:tcW w:w="709" w:type="dxa"/>
            <w:vAlign w:val="bottom"/>
          </w:tcPr>
          <w:p w:rsidR="004678FA" w:rsidRPr="004952C0" w:rsidRDefault="004678FA" w:rsidP="00470B15">
            <w:pPr>
              <w:pStyle w:val="Tabletext"/>
              <w:jc w:val="center"/>
            </w:pPr>
            <w:r w:rsidRPr="004952C0">
              <w:t>0.421</w:t>
            </w:r>
          </w:p>
        </w:tc>
        <w:tc>
          <w:tcPr>
            <w:tcW w:w="709" w:type="dxa"/>
            <w:vAlign w:val="bottom"/>
          </w:tcPr>
          <w:p w:rsidR="004678FA" w:rsidRPr="004952C0" w:rsidRDefault="004678FA" w:rsidP="00470B15">
            <w:pPr>
              <w:pStyle w:val="Tabletext"/>
              <w:jc w:val="center"/>
            </w:pPr>
            <w:r w:rsidRPr="004952C0">
              <w:t>0.191</w:t>
            </w:r>
          </w:p>
        </w:tc>
        <w:tc>
          <w:tcPr>
            <w:tcW w:w="850" w:type="dxa"/>
            <w:vAlign w:val="bottom"/>
          </w:tcPr>
          <w:p w:rsidR="004678FA" w:rsidRPr="004952C0" w:rsidRDefault="004678FA" w:rsidP="00470B15">
            <w:pPr>
              <w:pStyle w:val="Tabletext"/>
              <w:jc w:val="center"/>
            </w:pPr>
            <w:r w:rsidRPr="004952C0">
              <w:t>0.082</w:t>
            </w:r>
          </w:p>
        </w:tc>
      </w:tr>
      <w:tr w:rsidR="004952C0" w:rsidRPr="004952C0" w:rsidTr="00470B15">
        <w:trPr>
          <w:cantSplit/>
        </w:trPr>
        <w:tc>
          <w:tcPr>
            <w:tcW w:w="1843" w:type="dxa"/>
            <w:vMerge/>
            <w:tcBorders>
              <w:bottom w:val="single" w:sz="2" w:space="0" w:color="auto"/>
              <w:right w:val="single" w:sz="2" w:space="0" w:color="auto"/>
            </w:tcBorders>
          </w:tcPr>
          <w:p w:rsidR="004678FA" w:rsidRPr="004952C0" w:rsidRDefault="004678FA" w:rsidP="00050066">
            <w:pPr>
              <w:pStyle w:val="Tabletext"/>
            </w:pPr>
          </w:p>
        </w:tc>
        <w:tc>
          <w:tcPr>
            <w:tcW w:w="1134" w:type="dxa"/>
            <w:vMerge/>
            <w:tcBorders>
              <w:left w:val="single" w:sz="2" w:space="0" w:color="auto"/>
              <w:bottom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bottom w:val="single" w:sz="2" w:space="0" w:color="auto"/>
              <w:right w:val="single" w:sz="2" w:space="0" w:color="auto"/>
            </w:tcBorders>
          </w:tcPr>
          <w:p w:rsidR="004678FA" w:rsidRPr="004952C0" w:rsidRDefault="004678FA" w:rsidP="00050066">
            <w:pPr>
              <w:pStyle w:val="Tabletext"/>
            </w:pPr>
            <w:r w:rsidRPr="004952C0">
              <w:t>Both</w:t>
            </w:r>
          </w:p>
        </w:tc>
        <w:tc>
          <w:tcPr>
            <w:tcW w:w="709" w:type="dxa"/>
            <w:tcBorders>
              <w:left w:val="single" w:sz="2" w:space="0" w:color="auto"/>
              <w:bottom w:val="single" w:sz="2" w:space="0" w:color="auto"/>
            </w:tcBorders>
            <w:vAlign w:val="bottom"/>
          </w:tcPr>
          <w:p w:rsidR="004678FA" w:rsidRPr="004952C0" w:rsidRDefault="004678FA" w:rsidP="00470B15">
            <w:pPr>
              <w:pStyle w:val="Tabletext"/>
              <w:jc w:val="center"/>
            </w:pPr>
            <w:r w:rsidRPr="004952C0">
              <w:t>0.964</w:t>
            </w:r>
          </w:p>
        </w:tc>
        <w:tc>
          <w:tcPr>
            <w:tcW w:w="722" w:type="dxa"/>
            <w:tcBorders>
              <w:bottom w:val="single" w:sz="2" w:space="0" w:color="auto"/>
            </w:tcBorders>
            <w:vAlign w:val="bottom"/>
          </w:tcPr>
          <w:p w:rsidR="004678FA" w:rsidRPr="004952C0" w:rsidRDefault="004678FA" w:rsidP="00470B15">
            <w:pPr>
              <w:pStyle w:val="Tabletext"/>
              <w:jc w:val="center"/>
            </w:pPr>
            <w:r w:rsidRPr="004952C0">
              <w:t>0.938</w:t>
            </w:r>
          </w:p>
        </w:tc>
        <w:tc>
          <w:tcPr>
            <w:tcW w:w="695" w:type="dxa"/>
            <w:tcBorders>
              <w:bottom w:val="single" w:sz="2" w:space="0" w:color="auto"/>
            </w:tcBorders>
            <w:vAlign w:val="bottom"/>
          </w:tcPr>
          <w:p w:rsidR="004678FA" w:rsidRPr="004952C0" w:rsidRDefault="004678FA" w:rsidP="00470B15">
            <w:pPr>
              <w:pStyle w:val="Tabletext"/>
              <w:jc w:val="center"/>
            </w:pPr>
            <w:r w:rsidRPr="004952C0">
              <w:t>0.733</w:t>
            </w:r>
          </w:p>
        </w:tc>
        <w:tc>
          <w:tcPr>
            <w:tcW w:w="709" w:type="dxa"/>
            <w:tcBorders>
              <w:bottom w:val="single" w:sz="2" w:space="0" w:color="auto"/>
            </w:tcBorders>
            <w:vAlign w:val="bottom"/>
          </w:tcPr>
          <w:p w:rsidR="004678FA" w:rsidRPr="004952C0" w:rsidRDefault="004678FA" w:rsidP="00470B15">
            <w:pPr>
              <w:pStyle w:val="Tabletext"/>
              <w:jc w:val="center"/>
            </w:pPr>
            <w:r w:rsidRPr="004952C0">
              <w:t>0.844</w:t>
            </w:r>
          </w:p>
        </w:tc>
        <w:tc>
          <w:tcPr>
            <w:tcW w:w="709" w:type="dxa"/>
            <w:tcBorders>
              <w:bottom w:val="single" w:sz="2" w:space="0" w:color="auto"/>
            </w:tcBorders>
            <w:vAlign w:val="bottom"/>
          </w:tcPr>
          <w:p w:rsidR="004678FA" w:rsidRPr="004952C0" w:rsidRDefault="004678FA" w:rsidP="00470B15">
            <w:pPr>
              <w:pStyle w:val="Tabletext"/>
              <w:jc w:val="center"/>
            </w:pPr>
            <w:r w:rsidRPr="004952C0">
              <w:t>0.887</w:t>
            </w:r>
          </w:p>
        </w:tc>
        <w:tc>
          <w:tcPr>
            <w:tcW w:w="709" w:type="dxa"/>
            <w:tcBorders>
              <w:bottom w:val="single" w:sz="2" w:space="0" w:color="auto"/>
            </w:tcBorders>
            <w:vAlign w:val="bottom"/>
          </w:tcPr>
          <w:p w:rsidR="004678FA" w:rsidRPr="004952C0" w:rsidRDefault="004678FA" w:rsidP="00470B15">
            <w:pPr>
              <w:pStyle w:val="Tabletext"/>
              <w:jc w:val="center"/>
            </w:pPr>
            <w:r w:rsidRPr="004952C0">
              <w:t>0.892</w:t>
            </w:r>
          </w:p>
        </w:tc>
        <w:tc>
          <w:tcPr>
            <w:tcW w:w="850" w:type="dxa"/>
            <w:tcBorders>
              <w:bottom w:val="single" w:sz="2" w:space="0" w:color="auto"/>
            </w:tcBorders>
            <w:vAlign w:val="bottom"/>
          </w:tcPr>
          <w:p w:rsidR="004678FA" w:rsidRPr="004952C0" w:rsidRDefault="004678FA" w:rsidP="00470B15">
            <w:pPr>
              <w:pStyle w:val="Tabletext"/>
              <w:jc w:val="center"/>
            </w:pPr>
            <w:r w:rsidRPr="004952C0">
              <w:t>0.927</w:t>
            </w:r>
          </w:p>
        </w:tc>
      </w:tr>
      <w:tr w:rsidR="004952C0" w:rsidRPr="004952C0" w:rsidTr="00470B15">
        <w:trPr>
          <w:cantSplit/>
        </w:trPr>
        <w:tc>
          <w:tcPr>
            <w:tcW w:w="1843" w:type="dxa"/>
            <w:vMerge w:val="restart"/>
            <w:tcBorders>
              <w:top w:val="single" w:sz="2" w:space="0" w:color="auto"/>
              <w:right w:val="single" w:sz="2" w:space="0" w:color="auto"/>
            </w:tcBorders>
          </w:tcPr>
          <w:p w:rsidR="004678FA" w:rsidRPr="004952C0" w:rsidRDefault="00762804" w:rsidP="00762804">
            <w:pPr>
              <w:pStyle w:val="Tabletext"/>
            </w:pPr>
            <w:r w:rsidRPr="004952C0">
              <w:t>BCA c</w:t>
            </w:r>
            <w:r w:rsidR="004678FA" w:rsidRPr="004952C0">
              <w:t>lass 7b (warehouses)</w:t>
            </w:r>
            <w:r w:rsidRPr="004952C0">
              <w:t>, o</w:t>
            </w:r>
            <w:r w:rsidR="004678FA" w:rsidRPr="004952C0">
              <w:t>ther than ANZSIC Division A</w:t>
            </w:r>
          </w:p>
        </w:tc>
        <w:tc>
          <w:tcPr>
            <w:tcW w:w="1134" w:type="dxa"/>
            <w:vMerge w:val="restart"/>
            <w:tcBorders>
              <w:top w:val="single" w:sz="2" w:space="0" w:color="auto"/>
              <w:left w:val="single" w:sz="2" w:space="0" w:color="auto"/>
              <w:right w:val="single" w:sz="2" w:space="0" w:color="auto"/>
            </w:tcBorders>
          </w:tcPr>
          <w:p w:rsidR="004678FA" w:rsidRPr="004952C0" w:rsidRDefault="004678FA" w:rsidP="00050066">
            <w:pPr>
              <w:pStyle w:val="Tabletext"/>
              <w:jc w:val="center"/>
            </w:pPr>
            <w:r w:rsidRPr="004952C0">
              <w:t>0.57</w:t>
            </w:r>
          </w:p>
        </w:tc>
        <w:tc>
          <w:tcPr>
            <w:tcW w:w="992" w:type="dxa"/>
            <w:tcBorders>
              <w:top w:val="single" w:sz="2" w:space="0" w:color="auto"/>
              <w:left w:val="single" w:sz="2" w:space="0" w:color="auto"/>
              <w:right w:val="single" w:sz="2" w:space="0" w:color="auto"/>
            </w:tcBorders>
          </w:tcPr>
          <w:p w:rsidR="004678FA" w:rsidRPr="004952C0" w:rsidRDefault="004678FA" w:rsidP="00050066">
            <w:pPr>
              <w:pStyle w:val="Tabletext"/>
            </w:pPr>
            <w:r w:rsidRPr="004952C0">
              <w:t>Heating</w:t>
            </w:r>
          </w:p>
        </w:tc>
        <w:tc>
          <w:tcPr>
            <w:tcW w:w="709" w:type="dxa"/>
            <w:tcBorders>
              <w:top w:val="single" w:sz="2" w:space="0" w:color="auto"/>
              <w:left w:val="single" w:sz="2" w:space="0" w:color="auto"/>
            </w:tcBorders>
          </w:tcPr>
          <w:p w:rsidR="004678FA" w:rsidRPr="004952C0" w:rsidRDefault="004678FA" w:rsidP="00470B15">
            <w:pPr>
              <w:pStyle w:val="Tabletext"/>
              <w:jc w:val="center"/>
            </w:pPr>
            <w:r w:rsidRPr="004952C0">
              <w:t>0.000</w:t>
            </w:r>
          </w:p>
        </w:tc>
        <w:tc>
          <w:tcPr>
            <w:tcW w:w="722" w:type="dxa"/>
            <w:tcBorders>
              <w:top w:val="single" w:sz="2" w:space="0" w:color="auto"/>
            </w:tcBorders>
          </w:tcPr>
          <w:p w:rsidR="004678FA" w:rsidRPr="004952C0" w:rsidRDefault="004678FA" w:rsidP="00470B15">
            <w:pPr>
              <w:pStyle w:val="Tabletext"/>
              <w:jc w:val="center"/>
            </w:pPr>
            <w:r w:rsidRPr="004952C0">
              <w:t>0.082</w:t>
            </w:r>
          </w:p>
        </w:tc>
        <w:tc>
          <w:tcPr>
            <w:tcW w:w="695" w:type="dxa"/>
            <w:tcBorders>
              <w:top w:val="single" w:sz="2" w:space="0" w:color="auto"/>
            </w:tcBorders>
          </w:tcPr>
          <w:p w:rsidR="004678FA" w:rsidRPr="004952C0" w:rsidRDefault="004678FA" w:rsidP="00470B15">
            <w:pPr>
              <w:pStyle w:val="Tabletext"/>
              <w:jc w:val="center"/>
            </w:pPr>
            <w:r w:rsidRPr="004952C0">
              <w:t>0.082</w:t>
            </w:r>
          </w:p>
        </w:tc>
        <w:tc>
          <w:tcPr>
            <w:tcW w:w="709" w:type="dxa"/>
            <w:tcBorders>
              <w:top w:val="single" w:sz="2" w:space="0" w:color="auto"/>
            </w:tcBorders>
          </w:tcPr>
          <w:p w:rsidR="004678FA" w:rsidRPr="004952C0" w:rsidRDefault="004678FA" w:rsidP="00470B15">
            <w:pPr>
              <w:pStyle w:val="Tabletext"/>
              <w:jc w:val="center"/>
            </w:pPr>
            <w:r w:rsidRPr="004952C0">
              <w:t>0.233</w:t>
            </w:r>
          </w:p>
        </w:tc>
        <w:tc>
          <w:tcPr>
            <w:tcW w:w="709" w:type="dxa"/>
            <w:tcBorders>
              <w:top w:val="single" w:sz="2" w:space="0" w:color="auto"/>
            </w:tcBorders>
          </w:tcPr>
          <w:p w:rsidR="004678FA" w:rsidRPr="004952C0" w:rsidRDefault="004678FA" w:rsidP="00470B15">
            <w:pPr>
              <w:pStyle w:val="Tabletext"/>
              <w:jc w:val="center"/>
            </w:pPr>
            <w:r w:rsidRPr="004952C0">
              <w:t>0.213</w:t>
            </w:r>
          </w:p>
        </w:tc>
        <w:tc>
          <w:tcPr>
            <w:tcW w:w="709" w:type="dxa"/>
            <w:tcBorders>
              <w:top w:val="single" w:sz="2" w:space="0" w:color="auto"/>
            </w:tcBorders>
          </w:tcPr>
          <w:p w:rsidR="004678FA" w:rsidRPr="004952C0" w:rsidRDefault="004678FA" w:rsidP="00470B15">
            <w:pPr>
              <w:pStyle w:val="Tabletext"/>
              <w:jc w:val="center"/>
            </w:pPr>
            <w:r w:rsidRPr="004952C0">
              <w:t>0.366</w:t>
            </w:r>
          </w:p>
        </w:tc>
        <w:tc>
          <w:tcPr>
            <w:tcW w:w="850" w:type="dxa"/>
            <w:tcBorders>
              <w:top w:val="single" w:sz="2" w:space="0" w:color="auto"/>
            </w:tcBorders>
          </w:tcPr>
          <w:p w:rsidR="004678FA" w:rsidRPr="004952C0" w:rsidRDefault="004678FA" w:rsidP="00470B15">
            <w:pPr>
              <w:pStyle w:val="Tabletext"/>
              <w:jc w:val="center"/>
            </w:pPr>
            <w:r w:rsidRPr="004952C0">
              <w:t>0.455</w:t>
            </w:r>
          </w:p>
        </w:tc>
      </w:tr>
      <w:tr w:rsidR="004952C0" w:rsidRPr="004952C0" w:rsidTr="00470B15">
        <w:trPr>
          <w:cantSplit/>
        </w:trPr>
        <w:tc>
          <w:tcPr>
            <w:tcW w:w="1843" w:type="dxa"/>
            <w:vMerge/>
            <w:tcBorders>
              <w:right w:val="single" w:sz="2" w:space="0" w:color="auto"/>
            </w:tcBorders>
          </w:tcPr>
          <w:p w:rsidR="004678FA" w:rsidRPr="004952C0" w:rsidRDefault="004678FA" w:rsidP="00050066">
            <w:pPr>
              <w:pStyle w:val="Tabletext"/>
            </w:pPr>
          </w:p>
        </w:tc>
        <w:tc>
          <w:tcPr>
            <w:tcW w:w="1134" w:type="dxa"/>
            <w:vMerge/>
            <w:tcBorders>
              <w:left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right w:val="single" w:sz="2" w:space="0" w:color="auto"/>
            </w:tcBorders>
          </w:tcPr>
          <w:p w:rsidR="004678FA" w:rsidRPr="004952C0" w:rsidRDefault="004678FA" w:rsidP="00050066">
            <w:pPr>
              <w:pStyle w:val="Tabletext"/>
            </w:pPr>
            <w:r w:rsidRPr="004952C0">
              <w:t>Cooling</w:t>
            </w:r>
          </w:p>
        </w:tc>
        <w:tc>
          <w:tcPr>
            <w:tcW w:w="709" w:type="dxa"/>
            <w:tcBorders>
              <w:left w:val="single" w:sz="2" w:space="0" w:color="auto"/>
            </w:tcBorders>
          </w:tcPr>
          <w:p w:rsidR="004678FA" w:rsidRPr="004952C0" w:rsidRDefault="004678FA" w:rsidP="00470B15">
            <w:pPr>
              <w:pStyle w:val="Tabletext"/>
              <w:jc w:val="center"/>
            </w:pPr>
            <w:r w:rsidRPr="004952C0">
              <w:t>0.565</w:t>
            </w:r>
          </w:p>
        </w:tc>
        <w:tc>
          <w:tcPr>
            <w:tcW w:w="722" w:type="dxa"/>
          </w:tcPr>
          <w:p w:rsidR="004678FA" w:rsidRPr="004952C0" w:rsidRDefault="004678FA" w:rsidP="00470B15">
            <w:pPr>
              <w:pStyle w:val="Tabletext"/>
              <w:jc w:val="center"/>
            </w:pPr>
            <w:r w:rsidRPr="004952C0">
              <w:t>0.456</w:t>
            </w:r>
          </w:p>
        </w:tc>
        <w:tc>
          <w:tcPr>
            <w:tcW w:w="695" w:type="dxa"/>
          </w:tcPr>
          <w:p w:rsidR="004678FA" w:rsidRPr="004952C0" w:rsidRDefault="004678FA" w:rsidP="00470B15">
            <w:pPr>
              <w:pStyle w:val="Tabletext"/>
              <w:jc w:val="center"/>
            </w:pPr>
            <w:r w:rsidRPr="004952C0">
              <w:t>0.325</w:t>
            </w:r>
          </w:p>
        </w:tc>
        <w:tc>
          <w:tcPr>
            <w:tcW w:w="709" w:type="dxa"/>
          </w:tcPr>
          <w:p w:rsidR="004678FA" w:rsidRPr="004952C0" w:rsidRDefault="004678FA" w:rsidP="00470B15">
            <w:pPr>
              <w:pStyle w:val="Tabletext"/>
              <w:jc w:val="center"/>
            </w:pPr>
            <w:r w:rsidRPr="004952C0">
              <w:t>0.248</w:t>
            </w:r>
          </w:p>
        </w:tc>
        <w:tc>
          <w:tcPr>
            <w:tcW w:w="709" w:type="dxa"/>
          </w:tcPr>
          <w:p w:rsidR="004678FA" w:rsidRPr="004952C0" w:rsidRDefault="004678FA" w:rsidP="00470B15">
            <w:pPr>
              <w:pStyle w:val="Tabletext"/>
              <w:jc w:val="center"/>
            </w:pPr>
            <w:r w:rsidRPr="004952C0">
              <w:t>0.293</w:t>
            </w:r>
          </w:p>
        </w:tc>
        <w:tc>
          <w:tcPr>
            <w:tcW w:w="709" w:type="dxa"/>
          </w:tcPr>
          <w:p w:rsidR="004678FA" w:rsidRPr="004952C0" w:rsidRDefault="004678FA" w:rsidP="00470B15">
            <w:pPr>
              <w:pStyle w:val="Tabletext"/>
              <w:jc w:val="center"/>
            </w:pPr>
            <w:r w:rsidRPr="004952C0">
              <w:t>0.141</w:t>
            </w:r>
          </w:p>
        </w:tc>
        <w:tc>
          <w:tcPr>
            <w:tcW w:w="850" w:type="dxa"/>
          </w:tcPr>
          <w:p w:rsidR="004678FA" w:rsidRPr="004952C0" w:rsidRDefault="004678FA" w:rsidP="00470B15">
            <w:pPr>
              <w:pStyle w:val="Tabletext"/>
              <w:jc w:val="center"/>
            </w:pPr>
            <w:r w:rsidRPr="004952C0">
              <w:t>0.066</w:t>
            </w:r>
          </w:p>
        </w:tc>
      </w:tr>
      <w:tr w:rsidR="004952C0" w:rsidRPr="004952C0" w:rsidTr="00470B15">
        <w:trPr>
          <w:cantSplit/>
        </w:trPr>
        <w:tc>
          <w:tcPr>
            <w:tcW w:w="1843" w:type="dxa"/>
            <w:vMerge/>
            <w:tcBorders>
              <w:bottom w:val="single" w:sz="2" w:space="0" w:color="auto"/>
              <w:right w:val="single" w:sz="2" w:space="0" w:color="auto"/>
            </w:tcBorders>
          </w:tcPr>
          <w:p w:rsidR="004678FA" w:rsidRPr="004952C0" w:rsidRDefault="004678FA" w:rsidP="00050066">
            <w:pPr>
              <w:pStyle w:val="Tabletext"/>
            </w:pPr>
          </w:p>
        </w:tc>
        <w:tc>
          <w:tcPr>
            <w:tcW w:w="1134" w:type="dxa"/>
            <w:vMerge/>
            <w:tcBorders>
              <w:left w:val="single" w:sz="2" w:space="0" w:color="auto"/>
              <w:bottom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bottom w:val="single" w:sz="2" w:space="0" w:color="auto"/>
              <w:right w:val="single" w:sz="2" w:space="0" w:color="auto"/>
            </w:tcBorders>
          </w:tcPr>
          <w:p w:rsidR="004678FA" w:rsidRPr="004952C0" w:rsidRDefault="004678FA" w:rsidP="00050066">
            <w:pPr>
              <w:pStyle w:val="Tabletext"/>
            </w:pPr>
            <w:r w:rsidRPr="004952C0">
              <w:t>Both</w:t>
            </w:r>
          </w:p>
        </w:tc>
        <w:tc>
          <w:tcPr>
            <w:tcW w:w="709" w:type="dxa"/>
            <w:tcBorders>
              <w:left w:val="single" w:sz="2" w:space="0" w:color="auto"/>
              <w:bottom w:val="single" w:sz="2" w:space="0" w:color="auto"/>
            </w:tcBorders>
          </w:tcPr>
          <w:p w:rsidR="004678FA" w:rsidRPr="004952C0" w:rsidRDefault="004678FA" w:rsidP="00470B15">
            <w:pPr>
              <w:pStyle w:val="Tabletext"/>
              <w:jc w:val="center"/>
            </w:pPr>
            <w:r w:rsidRPr="004952C0">
              <w:t>0.565</w:t>
            </w:r>
          </w:p>
        </w:tc>
        <w:tc>
          <w:tcPr>
            <w:tcW w:w="722" w:type="dxa"/>
            <w:tcBorders>
              <w:bottom w:val="single" w:sz="2" w:space="0" w:color="auto"/>
            </w:tcBorders>
          </w:tcPr>
          <w:p w:rsidR="004678FA" w:rsidRPr="004952C0" w:rsidRDefault="004678FA" w:rsidP="00470B15">
            <w:pPr>
              <w:pStyle w:val="Tabletext"/>
              <w:jc w:val="center"/>
            </w:pPr>
            <w:r w:rsidRPr="004952C0">
              <w:t>0.525</w:t>
            </w:r>
          </w:p>
        </w:tc>
        <w:tc>
          <w:tcPr>
            <w:tcW w:w="695" w:type="dxa"/>
            <w:tcBorders>
              <w:bottom w:val="single" w:sz="2" w:space="0" w:color="auto"/>
            </w:tcBorders>
          </w:tcPr>
          <w:p w:rsidR="004678FA" w:rsidRPr="004952C0" w:rsidRDefault="004678FA" w:rsidP="00470B15">
            <w:pPr>
              <w:pStyle w:val="Tabletext"/>
              <w:jc w:val="center"/>
            </w:pPr>
            <w:r w:rsidRPr="004952C0">
              <w:t>0.405</w:t>
            </w:r>
          </w:p>
        </w:tc>
        <w:tc>
          <w:tcPr>
            <w:tcW w:w="709" w:type="dxa"/>
            <w:tcBorders>
              <w:bottom w:val="single" w:sz="2" w:space="0" w:color="auto"/>
            </w:tcBorders>
          </w:tcPr>
          <w:p w:rsidR="004678FA" w:rsidRPr="004952C0" w:rsidRDefault="004678FA" w:rsidP="00470B15">
            <w:pPr>
              <w:pStyle w:val="Tabletext"/>
              <w:jc w:val="center"/>
            </w:pPr>
            <w:r w:rsidRPr="004952C0">
              <w:t>0.473</w:t>
            </w:r>
          </w:p>
        </w:tc>
        <w:tc>
          <w:tcPr>
            <w:tcW w:w="709" w:type="dxa"/>
            <w:tcBorders>
              <w:bottom w:val="single" w:sz="2" w:space="0" w:color="auto"/>
            </w:tcBorders>
          </w:tcPr>
          <w:p w:rsidR="004678FA" w:rsidRPr="004952C0" w:rsidRDefault="004678FA" w:rsidP="00470B15">
            <w:pPr>
              <w:pStyle w:val="Tabletext"/>
              <w:jc w:val="center"/>
            </w:pPr>
            <w:r w:rsidRPr="004952C0">
              <w:t>0.495</w:t>
            </w:r>
          </w:p>
        </w:tc>
        <w:tc>
          <w:tcPr>
            <w:tcW w:w="709" w:type="dxa"/>
            <w:tcBorders>
              <w:bottom w:val="single" w:sz="2" w:space="0" w:color="auto"/>
            </w:tcBorders>
          </w:tcPr>
          <w:p w:rsidR="004678FA" w:rsidRPr="004952C0" w:rsidRDefault="004678FA" w:rsidP="00470B15">
            <w:pPr>
              <w:pStyle w:val="Tabletext"/>
              <w:jc w:val="center"/>
            </w:pPr>
            <w:r w:rsidRPr="004952C0">
              <w:t>0.492</w:t>
            </w:r>
          </w:p>
        </w:tc>
        <w:tc>
          <w:tcPr>
            <w:tcW w:w="850" w:type="dxa"/>
            <w:tcBorders>
              <w:bottom w:val="single" w:sz="2" w:space="0" w:color="auto"/>
            </w:tcBorders>
          </w:tcPr>
          <w:p w:rsidR="004678FA" w:rsidRPr="004952C0" w:rsidRDefault="004678FA" w:rsidP="00470B15">
            <w:pPr>
              <w:pStyle w:val="Tabletext"/>
              <w:jc w:val="center"/>
            </w:pPr>
            <w:r w:rsidRPr="004952C0">
              <w:t>0.515</w:t>
            </w:r>
          </w:p>
        </w:tc>
      </w:tr>
      <w:tr w:rsidR="004952C0" w:rsidRPr="004952C0" w:rsidTr="00470B15">
        <w:trPr>
          <w:cantSplit/>
        </w:trPr>
        <w:tc>
          <w:tcPr>
            <w:tcW w:w="1843" w:type="dxa"/>
            <w:vMerge w:val="restart"/>
            <w:tcBorders>
              <w:top w:val="single" w:sz="2" w:space="0" w:color="auto"/>
              <w:right w:val="single" w:sz="2" w:space="0" w:color="auto"/>
            </w:tcBorders>
          </w:tcPr>
          <w:p w:rsidR="004678FA" w:rsidRPr="004952C0" w:rsidRDefault="00762804" w:rsidP="00762804">
            <w:pPr>
              <w:pStyle w:val="Tabletext"/>
            </w:pPr>
            <w:r w:rsidRPr="004952C0">
              <w:t>BCA c</w:t>
            </w:r>
            <w:r w:rsidR="004678FA" w:rsidRPr="004952C0">
              <w:t>lass 8 (factories)</w:t>
            </w:r>
            <w:r w:rsidRPr="004952C0">
              <w:t xml:space="preserve">, </w:t>
            </w:r>
            <w:r w:rsidR="004678FA" w:rsidRPr="004952C0">
              <w:t>ANZSIC Division A</w:t>
            </w:r>
            <w:r w:rsidR="00260797" w:rsidRPr="004952C0">
              <w:t xml:space="preserve"> or C</w:t>
            </w:r>
          </w:p>
        </w:tc>
        <w:tc>
          <w:tcPr>
            <w:tcW w:w="1134" w:type="dxa"/>
            <w:vMerge w:val="restart"/>
            <w:tcBorders>
              <w:top w:val="single" w:sz="2" w:space="0" w:color="auto"/>
              <w:left w:val="single" w:sz="2" w:space="0" w:color="auto"/>
              <w:right w:val="single" w:sz="2" w:space="0" w:color="auto"/>
            </w:tcBorders>
          </w:tcPr>
          <w:p w:rsidR="004678FA" w:rsidRPr="004952C0" w:rsidRDefault="004678FA" w:rsidP="00050066">
            <w:pPr>
              <w:pStyle w:val="Tabletext"/>
              <w:jc w:val="center"/>
            </w:pPr>
            <w:r w:rsidRPr="004952C0">
              <w:t>0.57</w:t>
            </w:r>
          </w:p>
        </w:tc>
        <w:tc>
          <w:tcPr>
            <w:tcW w:w="992" w:type="dxa"/>
            <w:tcBorders>
              <w:top w:val="single" w:sz="2" w:space="0" w:color="auto"/>
              <w:left w:val="single" w:sz="2" w:space="0" w:color="auto"/>
              <w:right w:val="single" w:sz="2" w:space="0" w:color="auto"/>
            </w:tcBorders>
          </w:tcPr>
          <w:p w:rsidR="004678FA" w:rsidRPr="004952C0" w:rsidRDefault="004678FA" w:rsidP="00050066">
            <w:pPr>
              <w:pStyle w:val="Tabletext"/>
            </w:pPr>
            <w:r w:rsidRPr="004952C0">
              <w:t>Heating</w:t>
            </w:r>
          </w:p>
        </w:tc>
        <w:tc>
          <w:tcPr>
            <w:tcW w:w="709" w:type="dxa"/>
            <w:tcBorders>
              <w:top w:val="single" w:sz="2" w:space="0" w:color="auto"/>
              <w:left w:val="single" w:sz="2" w:space="0" w:color="auto"/>
            </w:tcBorders>
            <w:vAlign w:val="bottom"/>
          </w:tcPr>
          <w:p w:rsidR="004678FA" w:rsidRPr="004952C0" w:rsidRDefault="004678FA" w:rsidP="00470B15">
            <w:pPr>
              <w:pStyle w:val="Tabletext"/>
              <w:jc w:val="center"/>
            </w:pPr>
            <w:r w:rsidRPr="004952C0">
              <w:t>0.000</w:t>
            </w:r>
          </w:p>
        </w:tc>
        <w:tc>
          <w:tcPr>
            <w:tcW w:w="722" w:type="dxa"/>
            <w:tcBorders>
              <w:top w:val="single" w:sz="2" w:space="0" w:color="auto"/>
            </w:tcBorders>
            <w:vAlign w:val="bottom"/>
          </w:tcPr>
          <w:p w:rsidR="004678FA" w:rsidRPr="004952C0" w:rsidRDefault="004678FA" w:rsidP="00470B15">
            <w:pPr>
              <w:pStyle w:val="Tabletext"/>
              <w:jc w:val="center"/>
            </w:pPr>
            <w:r w:rsidRPr="004952C0">
              <w:t>0.082</w:t>
            </w:r>
          </w:p>
        </w:tc>
        <w:tc>
          <w:tcPr>
            <w:tcW w:w="695" w:type="dxa"/>
            <w:tcBorders>
              <w:top w:val="single" w:sz="2" w:space="0" w:color="auto"/>
            </w:tcBorders>
            <w:vAlign w:val="bottom"/>
          </w:tcPr>
          <w:p w:rsidR="004678FA" w:rsidRPr="004952C0" w:rsidRDefault="004678FA" w:rsidP="00470B15">
            <w:pPr>
              <w:pStyle w:val="Tabletext"/>
              <w:jc w:val="center"/>
            </w:pPr>
            <w:r w:rsidRPr="004952C0">
              <w:t>0.082</w:t>
            </w:r>
          </w:p>
        </w:tc>
        <w:tc>
          <w:tcPr>
            <w:tcW w:w="709" w:type="dxa"/>
            <w:tcBorders>
              <w:top w:val="single" w:sz="2" w:space="0" w:color="auto"/>
            </w:tcBorders>
            <w:vAlign w:val="bottom"/>
          </w:tcPr>
          <w:p w:rsidR="004678FA" w:rsidRPr="004952C0" w:rsidRDefault="004678FA" w:rsidP="00470B15">
            <w:pPr>
              <w:pStyle w:val="Tabletext"/>
              <w:jc w:val="center"/>
            </w:pPr>
            <w:r w:rsidRPr="004952C0">
              <w:t>0.233</w:t>
            </w:r>
          </w:p>
        </w:tc>
        <w:tc>
          <w:tcPr>
            <w:tcW w:w="709" w:type="dxa"/>
            <w:tcBorders>
              <w:top w:val="single" w:sz="2" w:space="0" w:color="auto"/>
            </w:tcBorders>
            <w:vAlign w:val="bottom"/>
          </w:tcPr>
          <w:p w:rsidR="004678FA" w:rsidRPr="004952C0" w:rsidRDefault="004678FA" w:rsidP="00470B15">
            <w:pPr>
              <w:pStyle w:val="Tabletext"/>
              <w:jc w:val="center"/>
            </w:pPr>
            <w:r w:rsidRPr="004952C0">
              <w:t>0.213</w:t>
            </w:r>
          </w:p>
        </w:tc>
        <w:tc>
          <w:tcPr>
            <w:tcW w:w="709" w:type="dxa"/>
            <w:tcBorders>
              <w:top w:val="single" w:sz="2" w:space="0" w:color="auto"/>
            </w:tcBorders>
            <w:vAlign w:val="bottom"/>
          </w:tcPr>
          <w:p w:rsidR="004678FA" w:rsidRPr="004952C0" w:rsidRDefault="004678FA" w:rsidP="00470B15">
            <w:pPr>
              <w:pStyle w:val="Tabletext"/>
              <w:jc w:val="center"/>
            </w:pPr>
            <w:r w:rsidRPr="004952C0">
              <w:t>0.366</w:t>
            </w:r>
          </w:p>
        </w:tc>
        <w:tc>
          <w:tcPr>
            <w:tcW w:w="850" w:type="dxa"/>
            <w:tcBorders>
              <w:top w:val="single" w:sz="2" w:space="0" w:color="auto"/>
            </w:tcBorders>
            <w:vAlign w:val="bottom"/>
          </w:tcPr>
          <w:p w:rsidR="004678FA" w:rsidRPr="004952C0" w:rsidRDefault="004678FA" w:rsidP="00470B15">
            <w:pPr>
              <w:pStyle w:val="Tabletext"/>
              <w:jc w:val="center"/>
            </w:pPr>
            <w:r w:rsidRPr="004952C0">
              <w:t>0.455</w:t>
            </w:r>
          </w:p>
        </w:tc>
      </w:tr>
      <w:tr w:rsidR="004952C0" w:rsidRPr="004952C0" w:rsidTr="00470B15">
        <w:trPr>
          <w:cantSplit/>
        </w:trPr>
        <w:tc>
          <w:tcPr>
            <w:tcW w:w="1843" w:type="dxa"/>
            <w:vMerge/>
            <w:tcBorders>
              <w:right w:val="single" w:sz="2" w:space="0" w:color="auto"/>
            </w:tcBorders>
          </w:tcPr>
          <w:p w:rsidR="004678FA" w:rsidRPr="004952C0" w:rsidRDefault="004678FA" w:rsidP="00050066">
            <w:pPr>
              <w:pStyle w:val="Tabletext"/>
            </w:pPr>
          </w:p>
        </w:tc>
        <w:tc>
          <w:tcPr>
            <w:tcW w:w="1134" w:type="dxa"/>
            <w:vMerge/>
            <w:tcBorders>
              <w:left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right w:val="single" w:sz="2" w:space="0" w:color="auto"/>
            </w:tcBorders>
          </w:tcPr>
          <w:p w:rsidR="004678FA" w:rsidRPr="004952C0" w:rsidRDefault="004678FA" w:rsidP="00050066">
            <w:pPr>
              <w:pStyle w:val="Tabletext"/>
            </w:pPr>
            <w:r w:rsidRPr="004952C0">
              <w:t>Cooling</w:t>
            </w:r>
          </w:p>
        </w:tc>
        <w:tc>
          <w:tcPr>
            <w:tcW w:w="709" w:type="dxa"/>
            <w:tcBorders>
              <w:left w:val="single" w:sz="2" w:space="0" w:color="auto"/>
            </w:tcBorders>
            <w:vAlign w:val="bottom"/>
          </w:tcPr>
          <w:p w:rsidR="004678FA" w:rsidRPr="004952C0" w:rsidRDefault="004678FA" w:rsidP="00470B15">
            <w:pPr>
              <w:pStyle w:val="Tabletext"/>
              <w:jc w:val="center"/>
            </w:pPr>
            <w:r w:rsidRPr="004952C0">
              <w:t>0.565</w:t>
            </w:r>
          </w:p>
        </w:tc>
        <w:tc>
          <w:tcPr>
            <w:tcW w:w="722" w:type="dxa"/>
            <w:vAlign w:val="bottom"/>
          </w:tcPr>
          <w:p w:rsidR="004678FA" w:rsidRPr="004952C0" w:rsidRDefault="004678FA" w:rsidP="00470B15">
            <w:pPr>
              <w:pStyle w:val="Tabletext"/>
              <w:jc w:val="center"/>
            </w:pPr>
            <w:r w:rsidRPr="004952C0">
              <w:t>0.456</w:t>
            </w:r>
          </w:p>
        </w:tc>
        <w:tc>
          <w:tcPr>
            <w:tcW w:w="695" w:type="dxa"/>
            <w:vAlign w:val="bottom"/>
          </w:tcPr>
          <w:p w:rsidR="004678FA" w:rsidRPr="004952C0" w:rsidRDefault="004678FA" w:rsidP="00470B15">
            <w:pPr>
              <w:pStyle w:val="Tabletext"/>
              <w:jc w:val="center"/>
            </w:pPr>
            <w:r w:rsidRPr="004952C0">
              <w:t>0.325</w:t>
            </w:r>
          </w:p>
        </w:tc>
        <w:tc>
          <w:tcPr>
            <w:tcW w:w="709" w:type="dxa"/>
            <w:vAlign w:val="bottom"/>
          </w:tcPr>
          <w:p w:rsidR="004678FA" w:rsidRPr="004952C0" w:rsidRDefault="004678FA" w:rsidP="00470B15">
            <w:pPr>
              <w:pStyle w:val="Tabletext"/>
              <w:jc w:val="center"/>
            </w:pPr>
            <w:r w:rsidRPr="004952C0">
              <w:t>0.248</w:t>
            </w:r>
          </w:p>
        </w:tc>
        <w:tc>
          <w:tcPr>
            <w:tcW w:w="709" w:type="dxa"/>
            <w:vAlign w:val="bottom"/>
          </w:tcPr>
          <w:p w:rsidR="004678FA" w:rsidRPr="004952C0" w:rsidRDefault="004678FA" w:rsidP="00470B15">
            <w:pPr>
              <w:pStyle w:val="Tabletext"/>
              <w:jc w:val="center"/>
            </w:pPr>
            <w:r w:rsidRPr="004952C0">
              <w:t>0.293</w:t>
            </w:r>
          </w:p>
        </w:tc>
        <w:tc>
          <w:tcPr>
            <w:tcW w:w="709" w:type="dxa"/>
            <w:vAlign w:val="bottom"/>
          </w:tcPr>
          <w:p w:rsidR="004678FA" w:rsidRPr="004952C0" w:rsidRDefault="004678FA" w:rsidP="00470B15">
            <w:pPr>
              <w:pStyle w:val="Tabletext"/>
              <w:jc w:val="center"/>
            </w:pPr>
            <w:r w:rsidRPr="004952C0">
              <w:t>0.141</w:t>
            </w:r>
          </w:p>
        </w:tc>
        <w:tc>
          <w:tcPr>
            <w:tcW w:w="850" w:type="dxa"/>
            <w:vAlign w:val="bottom"/>
          </w:tcPr>
          <w:p w:rsidR="004678FA" w:rsidRPr="004952C0" w:rsidRDefault="004678FA" w:rsidP="00470B15">
            <w:pPr>
              <w:pStyle w:val="Tabletext"/>
              <w:jc w:val="center"/>
            </w:pPr>
            <w:r w:rsidRPr="004952C0">
              <w:t>0.066</w:t>
            </w:r>
          </w:p>
        </w:tc>
      </w:tr>
      <w:tr w:rsidR="004952C0" w:rsidRPr="004952C0" w:rsidTr="00470B15">
        <w:trPr>
          <w:cantSplit/>
        </w:trPr>
        <w:tc>
          <w:tcPr>
            <w:tcW w:w="1843" w:type="dxa"/>
            <w:vMerge/>
            <w:tcBorders>
              <w:bottom w:val="single" w:sz="2" w:space="0" w:color="auto"/>
              <w:right w:val="single" w:sz="2" w:space="0" w:color="auto"/>
            </w:tcBorders>
          </w:tcPr>
          <w:p w:rsidR="004678FA" w:rsidRPr="004952C0" w:rsidRDefault="004678FA" w:rsidP="00050066">
            <w:pPr>
              <w:pStyle w:val="Tabletext"/>
            </w:pPr>
          </w:p>
        </w:tc>
        <w:tc>
          <w:tcPr>
            <w:tcW w:w="1134" w:type="dxa"/>
            <w:vMerge/>
            <w:tcBorders>
              <w:left w:val="single" w:sz="2" w:space="0" w:color="auto"/>
              <w:bottom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bottom w:val="single" w:sz="2" w:space="0" w:color="auto"/>
              <w:right w:val="single" w:sz="2" w:space="0" w:color="auto"/>
            </w:tcBorders>
          </w:tcPr>
          <w:p w:rsidR="004678FA" w:rsidRPr="004952C0" w:rsidRDefault="004678FA" w:rsidP="00050066">
            <w:pPr>
              <w:pStyle w:val="Tabletext"/>
            </w:pPr>
            <w:r w:rsidRPr="004952C0">
              <w:t>Both</w:t>
            </w:r>
          </w:p>
        </w:tc>
        <w:tc>
          <w:tcPr>
            <w:tcW w:w="709" w:type="dxa"/>
            <w:tcBorders>
              <w:left w:val="single" w:sz="2" w:space="0" w:color="auto"/>
              <w:bottom w:val="single" w:sz="2" w:space="0" w:color="auto"/>
            </w:tcBorders>
            <w:vAlign w:val="bottom"/>
          </w:tcPr>
          <w:p w:rsidR="004678FA" w:rsidRPr="004952C0" w:rsidRDefault="004678FA" w:rsidP="00470B15">
            <w:pPr>
              <w:pStyle w:val="Tabletext"/>
              <w:jc w:val="center"/>
            </w:pPr>
            <w:r w:rsidRPr="004952C0">
              <w:t>0.565</w:t>
            </w:r>
          </w:p>
        </w:tc>
        <w:tc>
          <w:tcPr>
            <w:tcW w:w="722" w:type="dxa"/>
            <w:tcBorders>
              <w:bottom w:val="single" w:sz="2" w:space="0" w:color="auto"/>
            </w:tcBorders>
            <w:vAlign w:val="bottom"/>
          </w:tcPr>
          <w:p w:rsidR="004678FA" w:rsidRPr="004952C0" w:rsidRDefault="004678FA" w:rsidP="00470B15">
            <w:pPr>
              <w:pStyle w:val="Tabletext"/>
              <w:jc w:val="center"/>
            </w:pPr>
            <w:r w:rsidRPr="004952C0">
              <w:t>0.525</w:t>
            </w:r>
          </w:p>
        </w:tc>
        <w:tc>
          <w:tcPr>
            <w:tcW w:w="695" w:type="dxa"/>
            <w:tcBorders>
              <w:bottom w:val="single" w:sz="2" w:space="0" w:color="auto"/>
            </w:tcBorders>
            <w:vAlign w:val="bottom"/>
          </w:tcPr>
          <w:p w:rsidR="004678FA" w:rsidRPr="004952C0" w:rsidRDefault="004678FA" w:rsidP="00470B15">
            <w:pPr>
              <w:pStyle w:val="Tabletext"/>
              <w:jc w:val="center"/>
            </w:pPr>
            <w:r w:rsidRPr="004952C0">
              <w:t>0.405</w:t>
            </w:r>
          </w:p>
        </w:tc>
        <w:tc>
          <w:tcPr>
            <w:tcW w:w="709" w:type="dxa"/>
            <w:tcBorders>
              <w:bottom w:val="single" w:sz="2" w:space="0" w:color="auto"/>
            </w:tcBorders>
            <w:vAlign w:val="bottom"/>
          </w:tcPr>
          <w:p w:rsidR="004678FA" w:rsidRPr="004952C0" w:rsidRDefault="004678FA" w:rsidP="00470B15">
            <w:pPr>
              <w:pStyle w:val="Tabletext"/>
              <w:jc w:val="center"/>
            </w:pPr>
            <w:r w:rsidRPr="004952C0">
              <w:t>0.473</w:t>
            </w:r>
          </w:p>
        </w:tc>
        <w:tc>
          <w:tcPr>
            <w:tcW w:w="709" w:type="dxa"/>
            <w:tcBorders>
              <w:bottom w:val="single" w:sz="2" w:space="0" w:color="auto"/>
            </w:tcBorders>
            <w:vAlign w:val="bottom"/>
          </w:tcPr>
          <w:p w:rsidR="004678FA" w:rsidRPr="004952C0" w:rsidRDefault="004678FA" w:rsidP="00470B15">
            <w:pPr>
              <w:pStyle w:val="Tabletext"/>
              <w:jc w:val="center"/>
            </w:pPr>
            <w:r w:rsidRPr="004952C0">
              <w:t>0.495</w:t>
            </w:r>
          </w:p>
        </w:tc>
        <w:tc>
          <w:tcPr>
            <w:tcW w:w="709" w:type="dxa"/>
            <w:tcBorders>
              <w:bottom w:val="single" w:sz="2" w:space="0" w:color="auto"/>
            </w:tcBorders>
            <w:vAlign w:val="bottom"/>
          </w:tcPr>
          <w:p w:rsidR="004678FA" w:rsidRPr="004952C0" w:rsidRDefault="004678FA" w:rsidP="00470B15">
            <w:pPr>
              <w:pStyle w:val="Tabletext"/>
              <w:jc w:val="center"/>
            </w:pPr>
            <w:r w:rsidRPr="004952C0">
              <w:t>0.492</w:t>
            </w:r>
          </w:p>
        </w:tc>
        <w:tc>
          <w:tcPr>
            <w:tcW w:w="850" w:type="dxa"/>
            <w:tcBorders>
              <w:bottom w:val="single" w:sz="2" w:space="0" w:color="auto"/>
            </w:tcBorders>
            <w:vAlign w:val="bottom"/>
          </w:tcPr>
          <w:p w:rsidR="004678FA" w:rsidRPr="004952C0" w:rsidRDefault="004678FA" w:rsidP="00470B15">
            <w:pPr>
              <w:pStyle w:val="Tabletext"/>
              <w:jc w:val="center"/>
            </w:pPr>
            <w:r w:rsidRPr="004952C0">
              <w:t>0.515</w:t>
            </w:r>
          </w:p>
        </w:tc>
      </w:tr>
      <w:tr w:rsidR="004952C0" w:rsidRPr="004952C0" w:rsidTr="00470B15">
        <w:trPr>
          <w:cantSplit/>
        </w:trPr>
        <w:tc>
          <w:tcPr>
            <w:tcW w:w="1843" w:type="dxa"/>
            <w:vMerge w:val="restart"/>
            <w:tcBorders>
              <w:top w:val="single" w:sz="2" w:space="0" w:color="auto"/>
              <w:right w:val="single" w:sz="2" w:space="0" w:color="auto"/>
            </w:tcBorders>
          </w:tcPr>
          <w:p w:rsidR="004678FA" w:rsidRPr="004952C0" w:rsidRDefault="00762804" w:rsidP="00762804">
            <w:pPr>
              <w:pStyle w:val="Tabletext"/>
            </w:pPr>
            <w:r w:rsidRPr="004952C0">
              <w:t>BCA c</w:t>
            </w:r>
            <w:r w:rsidR="004678FA" w:rsidRPr="004952C0">
              <w:t>lass 8 (factories)</w:t>
            </w:r>
            <w:r w:rsidRPr="004952C0">
              <w:t>, o</w:t>
            </w:r>
            <w:r w:rsidR="004678FA" w:rsidRPr="004952C0">
              <w:t>ther than ANZSIC Division A or C</w:t>
            </w:r>
          </w:p>
        </w:tc>
        <w:tc>
          <w:tcPr>
            <w:tcW w:w="1134" w:type="dxa"/>
            <w:vMerge w:val="restart"/>
            <w:tcBorders>
              <w:top w:val="single" w:sz="2" w:space="0" w:color="auto"/>
              <w:left w:val="single" w:sz="2" w:space="0" w:color="auto"/>
              <w:right w:val="single" w:sz="2" w:space="0" w:color="auto"/>
            </w:tcBorders>
          </w:tcPr>
          <w:p w:rsidR="004678FA" w:rsidRPr="004952C0" w:rsidRDefault="004678FA" w:rsidP="00050066">
            <w:pPr>
              <w:pStyle w:val="Tabletext"/>
              <w:jc w:val="center"/>
            </w:pPr>
            <w:r w:rsidRPr="004952C0">
              <w:t>0.32</w:t>
            </w:r>
          </w:p>
        </w:tc>
        <w:tc>
          <w:tcPr>
            <w:tcW w:w="992" w:type="dxa"/>
            <w:tcBorders>
              <w:top w:val="single" w:sz="2" w:space="0" w:color="auto"/>
              <w:left w:val="single" w:sz="2" w:space="0" w:color="auto"/>
              <w:right w:val="single" w:sz="2" w:space="0" w:color="auto"/>
            </w:tcBorders>
          </w:tcPr>
          <w:p w:rsidR="004678FA" w:rsidRPr="004952C0" w:rsidRDefault="004678FA" w:rsidP="004D5D08">
            <w:pPr>
              <w:pStyle w:val="Tabletext"/>
            </w:pPr>
            <w:r w:rsidRPr="004952C0">
              <w:t>Heating</w:t>
            </w:r>
          </w:p>
        </w:tc>
        <w:tc>
          <w:tcPr>
            <w:tcW w:w="709" w:type="dxa"/>
            <w:tcBorders>
              <w:top w:val="single" w:sz="2" w:space="0" w:color="auto"/>
              <w:left w:val="single" w:sz="2" w:space="0" w:color="auto"/>
            </w:tcBorders>
          </w:tcPr>
          <w:p w:rsidR="004678FA" w:rsidRPr="004952C0" w:rsidRDefault="004678FA" w:rsidP="00470B15">
            <w:pPr>
              <w:pStyle w:val="Tabletext"/>
              <w:jc w:val="center"/>
            </w:pPr>
            <w:r w:rsidRPr="004952C0">
              <w:t>0.001</w:t>
            </w:r>
          </w:p>
        </w:tc>
        <w:tc>
          <w:tcPr>
            <w:tcW w:w="722" w:type="dxa"/>
            <w:tcBorders>
              <w:top w:val="single" w:sz="2" w:space="0" w:color="auto"/>
            </w:tcBorders>
          </w:tcPr>
          <w:p w:rsidR="004678FA" w:rsidRPr="004952C0" w:rsidRDefault="004678FA" w:rsidP="00470B15">
            <w:pPr>
              <w:pStyle w:val="Tabletext"/>
              <w:jc w:val="center"/>
            </w:pPr>
            <w:r w:rsidRPr="004952C0">
              <w:t>0.034</w:t>
            </w:r>
          </w:p>
        </w:tc>
        <w:tc>
          <w:tcPr>
            <w:tcW w:w="695" w:type="dxa"/>
            <w:tcBorders>
              <w:top w:val="single" w:sz="2" w:space="0" w:color="auto"/>
            </w:tcBorders>
          </w:tcPr>
          <w:p w:rsidR="004678FA" w:rsidRPr="004952C0" w:rsidRDefault="004678FA" w:rsidP="00470B15">
            <w:pPr>
              <w:pStyle w:val="Tabletext"/>
              <w:jc w:val="center"/>
            </w:pPr>
            <w:r w:rsidRPr="004952C0">
              <w:t>0.043</w:t>
            </w:r>
          </w:p>
        </w:tc>
        <w:tc>
          <w:tcPr>
            <w:tcW w:w="709" w:type="dxa"/>
            <w:tcBorders>
              <w:top w:val="single" w:sz="2" w:space="0" w:color="auto"/>
            </w:tcBorders>
          </w:tcPr>
          <w:p w:rsidR="004678FA" w:rsidRPr="004952C0" w:rsidRDefault="004678FA" w:rsidP="00470B15">
            <w:pPr>
              <w:pStyle w:val="Tabletext"/>
              <w:jc w:val="center"/>
            </w:pPr>
            <w:r w:rsidRPr="004952C0">
              <w:t>0.127</w:t>
            </w:r>
          </w:p>
        </w:tc>
        <w:tc>
          <w:tcPr>
            <w:tcW w:w="709" w:type="dxa"/>
            <w:tcBorders>
              <w:top w:val="single" w:sz="2" w:space="0" w:color="auto"/>
            </w:tcBorders>
          </w:tcPr>
          <w:p w:rsidR="004678FA" w:rsidRPr="004952C0" w:rsidRDefault="004678FA" w:rsidP="00470B15">
            <w:pPr>
              <w:pStyle w:val="Tabletext"/>
              <w:jc w:val="center"/>
            </w:pPr>
            <w:r w:rsidRPr="004952C0">
              <w:t>0.112</w:t>
            </w:r>
          </w:p>
        </w:tc>
        <w:tc>
          <w:tcPr>
            <w:tcW w:w="709" w:type="dxa"/>
            <w:tcBorders>
              <w:top w:val="single" w:sz="2" w:space="0" w:color="auto"/>
            </w:tcBorders>
          </w:tcPr>
          <w:p w:rsidR="004678FA" w:rsidRPr="004952C0" w:rsidRDefault="004678FA" w:rsidP="00470B15">
            <w:pPr>
              <w:pStyle w:val="Tabletext"/>
              <w:jc w:val="center"/>
            </w:pPr>
            <w:r w:rsidRPr="004952C0">
              <w:t>0.199</w:t>
            </w:r>
          </w:p>
        </w:tc>
        <w:tc>
          <w:tcPr>
            <w:tcW w:w="850" w:type="dxa"/>
            <w:tcBorders>
              <w:top w:val="single" w:sz="2" w:space="0" w:color="auto"/>
            </w:tcBorders>
          </w:tcPr>
          <w:p w:rsidR="004678FA" w:rsidRPr="004952C0" w:rsidRDefault="004678FA" w:rsidP="00470B15">
            <w:pPr>
              <w:pStyle w:val="Tabletext"/>
              <w:jc w:val="center"/>
            </w:pPr>
            <w:r w:rsidRPr="004952C0">
              <w:t>0.247</w:t>
            </w:r>
          </w:p>
        </w:tc>
      </w:tr>
      <w:tr w:rsidR="004952C0" w:rsidRPr="004952C0" w:rsidTr="00470B15">
        <w:trPr>
          <w:cantSplit/>
        </w:trPr>
        <w:tc>
          <w:tcPr>
            <w:tcW w:w="1843" w:type="dxa"/>
            <w:vMerge/>
            <w:tcBorders>
              <w:right w:val="single" w:sz="2" w:space="0" w:color="auto"/>
            </w:tcBorders>
          </w:tcPr>
          <w:p w:rsidR="004678FA" w:rsidRPr="004952C0" w:rsidRDefault="004678FA" w:rsidP="00050066">
            <w:pPr>
              <w:pStyle w:val="Tabletext"/>
            </w:pPr>
          </w:p>
        </w:tc>
        <w:tc>
          <w:tcPr>
            <w:tcW w:w="1134" w:type="dxa"/>
            <w:vMerge/>
            <w:tcBorders>
              <w:left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right w:val="single" w:sz="2" w:space="0" w:color="auto"/>
            </w:tcBorders>
          </w:tcPr>
          <w:p w:rsidR="004678FA" w:rsidRPr="004952C0" w:rsidRDefault="004678FA" w:rsidP="004D5D08">
            <w:pPr>
              <w:pStyle w:val="Tabletext"/>
            </w:pPr>
            <w:r w:rsidRPr="004952C0">
              <w:t>Cooling</w:t>
            </w:r>
          </w:p>
        </w:tc>
        <w:tc>
          <w:tcPr>
            <w:tcW w:w="709" w:type="dxa"/>
            <w:tcBorders>
              <w:left w:val="single" w:sz="2" w:space="0" w:color="auto"/>
            </w:tcBorders>
          </w:tcPr>
          <w:p w:rsidR="004678FA" w:rsidRPr="004952C0" w:rsidRDefault="004678FA" w:rsidP="00470B15">
            <w:pPr>
              <w:pStyle w:val="Tabletext"/>
              <w:jc w:val="center"/>
            </w:pPr>
            <w:r w:rsidRPr="004952C0">
              <w:t>0.314</w:t>
            </w:r>
          </w:p>
        </w:tc>
        <w:tc>
          <w:tcPr>
            <w:tcW w:w="722" w:type="dxa"/>
          </w:tcPr>
          <w:p w:rsidR="004678FA" w:rsidRPr="004952C0" w:rsidRDefault="004678FA" w:rsidP="00470B15">
            <w:pPr>
              <w:pStyle w:val="Tabletext"/>
              <w:jc w:val="center"/>
            </w:pPr>
            <w:r w:rsidRPr="004952C0">
              <w:t>0.260</w:t>
            </w:r>
          </w:p>
        </w:tc>
        <w:tc>
          <w:tcPr>
            <w:tcW w:w="695" w:type="dxa"/>
          </w:tcPr>
          <w:p w:rsidR="004678FA" w:rsidRPr="004952C0" w:rsidRDefault="004678FA" w:rsidP="00470B15">
            <w:pPr>
              <w:pStyle w:val="Tabletext"/>
              <w:jc w:val="center"/>
            </w:pPr>
            <w:r w:rsidRPr="004952C0">
              <w:t>0.186</w:t>
            </w:r>
          </w:p>
        </w:tc>
        <w:tc>
          <w:tcPr>
            <w:tcW w:w="709" w:type="dxa"/>
          </w:tcPr>
          <w:p w:rsidR="004678FA" w:rsidRPr="004952C0" w:rsidRDefault="004678FA" w:rsidP="00470B15">
            <w:pPr>
              <w:pStyle w:val="Tabletext"/>
              <w:jc w:val="center"/>
            </w:pPr>
            <w:r w:rsidRPr="004952C0">
              <w:t>0.143</w:t>
            </w:r>
          </w:p>
        </w:tc>
        <w:tc>
          <w:tcPr>
            <w:tcW w:w="709" w:type="dxa"/>
          </w:tcPr>
          <w:p w:rsidR="004678FA" w:rsidRPr="004952C0" w:rsidRDefault="004678FA" w:rsidP="00470B15">
            <w:pPr>
              <w:pStyle w:val="Tabletext"/>
              <w:jc w:val="center"/>
            </w:pPr>
            <w:r w:rsidRPr="004952C0">
              <w:t>0.167</w:t>
            </w:r>
          </w:p>
        </w:tc>
        <w:tc>
          <w:tcPr>
            <w:tcW w:w="709" w:type="dxa"/>
          </w:tcPr>
          <w:p w:rsidR="004678FA" w:rsidRPr="004952C0" w:rsidRDefault="004678FA" w:rsidP="00470B15">
            <w:pPr>
              <w:pStyle w:val="Tabletext"/>
              <w:jc w:val="center"/>
            </w:pPr>
            <w:r w:rsidRPr="004952C0">
              <w:t>0.080</w:t>
            </w:r>
          </w:p>
        </w:tc>
        <w:tc>
          <w:tcPr>
            <w:tcW w:w="850" w:type="dxa"/>
          </w:tcPr>
          <w:p w:rsidR="004678FA" w:rsidRPr="004952C0" w:rsidRDefault="004678FA" w:rsidP="00470B15">
            <w:pPr>
              <w:pStyle w:val="Tabletext"/>
              <w:jc w:val="center"/>
            </w:pPr>
            <w:r w:rsidRPr="004952C0">
              <w:t>0.038</w:t>
            </w:r>
          </w:p>
        </w:tc>
      </w:tr>
      <w:tr w:rsidR="004952C0" w:rsidRPr="004952C0" w:rsidTr="00470B15">
        <w:trPr>
          <w:cantSplit/>
        </w:trPr>
        <w:tc>
          <w:tcPr>
            <w:tcW w:w="1843" w:type="dxa"/>
            <w:vMerge/>
            <w:tcBorders>
              <w:bottom w:val="single" w:sz="2" w:space="0" w:color="auto"/>
              <w:right w:val="single" w:sz="2" w:space="0" w:color="auto"/>
            </w:tcBorders>
          </w:tcPr>
          <w:p w:rsidR="004678FA" w:rsidRPr="004952C0" w:rsidRDefault="004678FA" w:rsidP="00050066">
            <w:pPr>
              <w:pStyle w:val="Tabletext"/>
            </w:pPr>
          </w:p>
        </w:tc>
        <w:tc>
          <w:tcPr>
            <w:tcW w:w="1134" w:type="dxa"/>
            <w:vMerge/>
            <w:tcBorders>
              <w:left w:val="single" w:sz="2" w:space="0" w:color="auto"/>
              <w:bottom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bottom w:val="single" w:sz="2" w:space="0" w:color="auto"/>
              <w:right w:val="single" w:sz="2" w:space="0" w:color="auto"/>
            </w:tcBorders>
          </w:tcPr>
          <w:p w:rsidR="004678FA" w:rsidRPr="004952C0" w:rsidRDefault="004678FA" w:rsidP="004D5D08">
            <w:pPr>
              <w:pStyle w:val="Tabletext"/>
            </w:pPr>
            <w:r w:rsidRPr="004952C0">
              <w:t>Both</w:t>
            </w:r>
          </w:p>
        </w:tc>
        <w:tc>
          <w:tcPr>
            <w:tcW w:w="709" w:type="dxa"/>
            <w:tcBorders>
              <w:left w:val="single" w:sz="2" w:space="0" w:color="auto"/>
              <w:bottom w:val="single" w:sz="2" w:space="0" w:color="auto"/>
            </w:tcBorders>
          </w:tcPr>
          <w:p w:rsidR="004678FA" w:rsidRPr="004952C0" w:rsidRDefault="004678FA" w:rsidP="00470B15">
            <w:pPr>
              <w:pStyle w:val="Tabletext"/>
              <w:jc w:val="center"/>
            </w:pPr>
            <w:r w:rsidRPr="004952C0">
              <w:t>0.315</w:t>
            </w:r>
          </w:p>
        </w:tc>
        <w:tc>
          <w:tcPr>
            <w:tcW w:w="722" w:type="dxa"/>
            <w:tcBorders>
              <w:bottom w:val="single" w:sz="2" w:space="0" w:color="auto"/>
            </w:tcBorders>
          </w:tcPr>
          <w:p w:rsidR="004678FA" w:rsidRPr="004952C0" w:rsidRDefault="004678FA" w:rsidP="00470B15">
            <w:pPr>
              <w:pStyle w:val="Tabletext"/>
              <w:jc w:val="center"/>
            </w:pPr>
            <w:r w:rsidRPr="004952C0">
              <w:t>0.289</w:t>
            </w:r>
          </w:p>
        </w:tc>
        <w:tc>
          <w:tcPr>
            <w:tcW w:w="695" w:type="dxa"/>
            <w:tcBorders>
              <w:bottom w:val="single" w:sz="2" w:space="0" w:color="auto"/>
            </w:tcBorders>
          </w:tcPr>
          <w:p w:rsidR="004678FA" w:rsidRPr="004952C0" w:rsidRDefault="004678FA" w:rsidP="00470B15">
            <w:pPr>
              <w:pStyle w:val="Tabletext"/>
              <w:jc w:val="center"/>
            </w:pPr>
            <w:r w:rsidRPr="004952C0">
              <w:t>0.228</w:t>
            </w:r>
          </w:p>
        </w:tc>
        <w:tc>
          <w:tcPr>
            <w:tcW w:w="709" w:type="dxa"/>
            <w:tcBorders>
              <w:bottom w:val="single" w:sz="2" w:space="0" w:color="auto"/>
            </w:tcBorders>
          </w:tcPr>
          <w:p w:rsidR="004678FA" w:rsidRPr="004952C0" w:rsidRDefault="004678FA" w:rsidP="00470B15">
            <w:pPr>
              <w:pStyle w:val="Tabletext"/>
              <w:jc w:val="center"/>
            </w:pPr>
            <w:r w:rsidRPr="004952C0">
              <w:t>0.264</w:t>
            </w:r>
          </w:p>
        </w:tc>
        <w:tc>
          <w:tcPr>
            <w:tcW w:w="709" w:type="dxa"/>
            <w:tcBorders>
              <w:bottom w:val="single" w:sz="2" w:space="0" w:color="auto"/>
            </w:tcBorders>
          </w:tcPr>
          <w:p w:rsidR="004678FA" w:rsidRPr="004952C0" w:rsidRDefault="004678FA" w:rsidP="00470B15">
            <w:pPr>
              <w:pStyle w:val="Tabletext"/>
              <w:jc w:val="center"/>
            </w:pPr>
            <w:r w:rsidRPr="004952C0">
              <w:t>0.273</w:t>
            </w:r>
          </w:p>
        </w:tc>
        <w:tc>
          <w:tcPr>
            <w:tcW w:w="709" w:type="dxa"/>
            <w:tcBorders>
              <w:bottom w:val="single" w:sz="2" w:space="0" w:color="auto"/>
            </w:tcBorders>
          </w:tcPr>
          <w:p w:rsidR="004678FA" w:rsidRPr="004952C0" w:rsidRDefault="004678FA" w:rsidP="00470B15">
            <w:pPr>
              <w:pStyle w:val="Tabletext"/>
              <w:jc w:val="center"/>
            </w:pPr>
            <w:r w:rsidRPr="004952C0">
              <w:t>0.271</w:t>
            </w:r>
          </w:p>
        </w:tc>
        <w:tc>
          <w:tcPr>
            <w:tcW w:w="850" w:type="dxa"/>
            <w:tcBorders>
              <w:bottom w:val="single" w:sz="2" w:space="0" w:color="auto"/>
            </w:tcBorders>
          </w:tcPr>
          <w:p w:rsidR="004678FA" w:rsidRPr="004952C0" w:rsidRDefault="004678FA" w:rsidP="00470B15">
            <w:pPr>
              <w:pStyle w:val="Tabletext"/>
              <w:jc w:val="center"/>
            </w:pPr>
            <w:r w:rsidRPr="004952C0">
              <w:t>0.282</w:t>
            </w:r>
          </w:p>
        </w:tc>
      </w:tr>
      <w:tr w:rsidR="004952C0" w:rsidRPr="004952C0" w:rsidTr="00470B15">
        <w:trPr>
          <w:cantSplit/>
        </w:trPr>
        <w:tc>
          <w:tcPr>
            <w:tcW w:w="1843" w:type="dxa"/>
            <w:vMerge w:val="restart"/>
            <w:tcBorders>
              <w:top w:val="single" w:sz="2" w:space="0" w:color="auto"/>
              <w:right w:val="single" w:sz="2" w:space="0" w:color="auto"/>
            </w:tcBorders>
          </w:tcPr>
          <w:p w:rsidR="004678FA" w:rsidRPr="004952C0" w:rsidRDefault="00762804" w:rsidP="00F71EAD">
            <w:pPr>
              <w:pStyle w:val="Tabletext"/>
            </w:pPr>
            <w:r w:rsidRPr="004952C0">
              <w:t>BCA c</w:t>
            </w:r>
            <w:r w:rsidR="004678FA" w:rsidRPr="004952C0">
              <w:t>lass 9a (clinics)</w:t>
            </w:r>
          </w:p>
        </w:tc>
        <w:tc>
          <w:tcPr>
            <w:tcW w:w="1134" w:type="dxa"/>
            <w:vMerge w:val="restart"/>
            <w:tcBorders>
              <w:top w:val="single" w:sz="2" w:space="0" w:color="auto"/>
              <w:left w:val="single" w:sz="2" w:space="0" w:color="auto"/>
              <w:right w:val="single" w:sz="2" w:space="0" w:color="auto"/>
            </w:tcBorders>
          </w:tcPr>
          <w:p w:rsidR="004678FA" w:rsidRPr="004952C0" w:rsidRDefault="004678FA" w:rsidP="00050066">
            <w:pPr>
              <w:pStyle w:val="Tabletext"/>
              <w:jc w:val="center"/>
            </w:pPr>
            <w:r w:rsidRPr="004952C0">
              <w:t>0.32</w:t>
            </w:r>
          </w:p>
        </w:tc>
        <w:tc>
          <w:tcPr>
            <w:tcW w:w="992" w:type="dxa"/>
            <w:tcBorders>
              <w:top w:val="single" w:sz="2" w:space="0" w:color="auto"/>
              <w:left w:val="single" w:sz="2" w:space="0" w:color="auto"/>
              <w:right w:val="single" w:sz="2" w:space="0" w:color="auto"/>
            </w:tcBorders>
          </w:tcPr>
          <w:p w:rsidR="004678FA" w:rsidRPr="004952C0" w:rsidRDefault="004678FA" w:rsidP="00050066">
            <w:pPr>
              <w:pStyle w:val="Tabletext"/>
            </w:pPr>
            <w:r w:rsidRPr="004952C0">
              <w:t>Heating</w:t>
            </w:r>
          </w:p>
        </w:tc>
        <w:tc>
          <w:tcPr>
            <w:tcW w:w="709" w:type="dxa"/>
            <w:tcBorders>
              <w:top w:val="single" w:sz="2" w:space="0" w:color="auto"/>
              <w:left w:val="single" w:sz="2" w:space="0" w:color="auto"/>
            </w:tcBorders>
            <w:vAlign w:val="bottom"/>
          </w:tcPr>
          <w:p w:rsidR="004678FA" w:rsidRPr="004952C0" w:rsidRDefault="004678FA" w:rsidP="00470B15">
            <w:pPr>
              <w:pStyle w:val="Tabletext"/>
              <w:jc w:val="center"/>
            </w:pPr>
            <w:r w:rsidRPr="004952C0">
              <w:t>0.001</w:t>
            </w:r>
          </w:p>
        </w:tc>
        <w:tc>
          <w:tcPr>
            <w:tcW w:w="722" w:type="dxa"/>
            <w:tcBorders>
              <w:top w:val="single" w:sz="2" w:space="0" w:color="auto"/>
            </w:tcBorders>
            <w:vAlign w:val="bottom"/>
          </w:tcPr>
          <w:p w:rsidR="004678FA" w:rsidRPr="004952C0" w:rsidRDefault="004678FA" w:rsidP="00470B15">
            <w:pPr>
              <w:pStyle w:val="Tabletext"/>
              <w:jc w:val="center"/>
            </w:pPr>
            <w:r w:rsidRPr="004952C0">
              <w:t>0.034</w:t>
            </w:r>
          </w:p>
        </w:tc>
        <w:tc>
          <w:tcPr>
            <w:tcW w:w="695" w:type="dxa"/>
            <w:tcBorders>
              <w:top w:val="single" w:sz="2" w:space="0" w:color="auto"/>
            </w:tcBorders>
            <w:vAlign w:val="bottom"/>
          </w:tcPr>
          <w:p w:rsidR="004678FA" w:rsidRPr="004952C0" w:rsidRDefault="004678FA" w:rsidP="00470B15">
            <w:pPr>
              <w:pStyle w:val="Tabletext"/>
              <w:jc w:val="center"/>
            </w:pPr>
            <w:r w:rsidRPr="004952C0">
              <w:t>0.043</w:t>
            </w:r>
          </w:p>
        </w:tc>
        <w:tc>
          <w:tcPr>
            <w:tcW w:w="709" w:type="dxa"/>
            <w:tcBorders>
              <w:top w:val="single" w:sz="2" w:space="0" w:color="auto"/>
            </w:tcBorders>
            <w:vAlign w:val="bottom"/>
          </w:tcPr>
          <w:p w:rsidR="004678FA" w:rsidRPr="004952C0" w:rsidRDefault="004678FA" w:rsidP="00470B15">
            <w:pPr>
              <w:pStyle w:val="Tabletext"/>
              <w:jc w:val="center"/>
            </w:pPr>
            <w:r w:rsidRPr="004952C0">
              <w:t>0.127</w:t>
            </w:r>
          </w:p>
        </w:tc>
        <w:tc>
          <w:tcPr>
            <w:tcW w:w="709" w:type="dxa"/>
            <w:tcBorders>
              <w:top w:val="single" w:sz="2" w:space="0" w:color="auto"/>
            </w:tcBorders>
            <w:vAlign w:val="bottom"/>
          </w:tcPr>
          <w:p w:rsidR="004678FA" w:rsidRPr="004952C0" w:rsidRDefault="004678FA" w:rsidP="00470B15">
            <w:pPr>
              <w:pStyle w:val="Tabletext"/>
              <w:jc w:val="center"/>
            </w:pPr>
            <w:r w:rsidRPr="004952C0">
              <w:t>0.112</w:t>
            </w:r>
          </w:p>
        </w:tc>
        <w:tc>
          <w:tcPr>
            <w:tcW w:w="709" w:type="dxa"/>
            <w:tcBorders>
              <w:top w:val="single" w:sz="2" w:space="0" w:color="auto"/>
            </w:tcBorders>
            <w:vAlign w:val="bottom"/>
          </w:tcPr>
          <w:p w:rsidR="004678FA" w:rsidRPr="004952C0" w:rsidRDefault="004678FA" w:rsidP="00470B15">
            <w:pPr>
              <w:pStyle w:val="Tabletext"/>
              <w:jc w:val="center"/>
            </w:pPr>
            <w:r w:rsidRPr="004952C0">
              <w:t>0.199</w:t>
            </w:r>
          </w:p>
        </w:tc>
        <w:tc>
          <w:tcPr>
            <w:tcW w:w="850" w:type="dxa"/>
            <w:tcBorders>
              <w:top w:val="single" w:sz="2" w:space="0" w:color="auto"/>
            </w:tcBorders>
            <w:vAlign w:val="bottom"/>
          </w:tcPr>
          <w:p w:rsidR="004678FA" w:rsidRPr="004952C0" w:rsidRDefault="004678FA" w:rsidP="00470B15">
            <w:pPr>
              <w:pStyle w:val="Tabletext"/>
              <w:jc w:val="center"/>
            </w:pPr>
            <w:r w:rsidRPr="004952C0">
              <w:t>0.247</w:t>
            </w:r>
          </w:p>
        </w:tc>
      </w:tr>
      <w:tr w:rsidR="004952C0" w:rsidRPr="004952C0" w:rsidTr="00470B15">
        <w:trPr>
          <w:cantSplit/>
        </w:trPr>
        <w:tc>
          <w:tcPr>
            <w:tcW w:w="1843" w:type="dxa"/>
            <w:vMerge/>
            <w:tcBorders>
              <w:right w:val="single" w:sz="2" w:space="0" w:color="auto"/>
            </w:tcBorders>
          </w:tcPr>
          <w:p w:rsidR="004678FA" w:rsidRPr="004952C0" w:rsidRDefault="004678FA" w:rsidP="00050066">
            <w:pPr>
              <w:pStyle w:val="Tabletext"/>
            </w:pPr>
          </w:p>
        </w:tc>
        <w:tc>
          <w:tcPr>
            <w:tcW w:w="1134" w:type="dxa"/>
            <w:vMerge/>
            <w:tcBorders>
              <w:left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right w:val="single" w:sz="2" w:space="0" w:color="auto"/>
            </w:tcBorders>
          </w:tcPr>
          <w:p w:rsidR="004678FA" w:rsidRPr="004952C0" w:rsidRDefault="004678FA" w:rsidP="00050066">
            <w:pPr>
              <w:pStyle w:val="Tabletext"/>
            </w:pPr>
            <w:r w:rsidRPr="004952C0">
              <w:t>Cooling</w:t>
            </w:r>
          </w:p>
        </w:tc>
        <w:tc>
          <w:tcPr>
            <w:tcW w:w="709" w:type="dxa"/>
            <w:tcBorders>
              <w:left w:val="single" w:sz="2" w:space="0" w:color="auto"/>
            </w:tcBorders>
            <w:vAlign w:val="bottom"/>
          </w:tcPr>
          <w:p w:rsidR="004678FA" w:rsidRPr="004952C0" w:rsidRDefault="004678FA" w:rsidP="00470B15">
            <w:pPr>
              <w:pStyle w:val="Tabletext"/>
              <w:jc w:val="center"/>
            </w:pPr>
            <w:r w:rsidRPr="004952C0">
              <w:t>0.314</w:t>
            </w:r>
          </w:p>
        </w:tc>
        <w:tc>
          <w:tcPr>
            <w:tcW w:w="722" w:type="dxa"/>
            <w:vAlign w:val="bottom"/>
          </w:tcPr>
          <w:p w:rsidR="004678FA" w:rsidRPr="004952C0" w:rsidRDefault="004678FA" w:rsidP="00470B15">
            <w:pPr>
              <w:pStyle w:val="Tabletext"/>
              <w:jc w:val="center"/>
            </w:pPr>
            <w:r w:rsidRPr="004952C0">
              <w:t>0.260</w:t>
            </w:r>
          </w:p>
        </w:tc>
        <w:tc>
          <w:tcPr>
            <w:tcW w:w="695" w:type="dxa"/>
            <w:vAlign w:val="bottom"/>
          </w:tcPr>
          <w:p w:rsidR="004678FA" w:rsidRPr="004952C0" w:rsidRDefault="004678FA" w:rsidP="00470B15">
            <w:pPr>
              <w:pStyle w:val="Tabletext"/>
              <w:jc w:val="center"/>
            </w:pPr>
            <w:r w:rsidRPr="004952C0">
              <w:t>0.186</w:t>
            </w:r>
          </w:p>
        </w:tc>
        <w:tc>
          <w:tcPr>
            <w:tcW w:w="709" w:type="dxa"/>
            <w:vAlign w:val="bottom"/>
          </w:tcPr>
          <w:p w:rsidR="004678FA" w:rsidRPr="004952C0" w:rsidRDefault="004678FA" w:rsidP="00470B15">
            <w:pPr>
              <w:pStyle w:val="Tabletext"/>
              <w:jc w:val="center"/>
            </w:pPr>
            <w:r w:rsidRPr="004952C0">
              <w:t>0.143</w:t>
            </w:r>
          </w:p>
        </w:tc>
        <w:tc>
          <w:tcPr>
            <w:tcW w:w="709" w:type="dxa"/>
            <w:vAlign w:val="bottom"/>
          </w:tcPr>
          <w:p w:rsidR="004678FA" w:rsidRPr="004952C0" w:rsidRDefault="004678FA" w:rsidP="00470B15">
            <w:pPr>
              <w:pStyle w:val="Tabletext"/>
              <w:jc w:val="center"/>
            </w:pPr>
            <w:r w:rsidRPr="004952C0">
              <w:t>0.167</w:t>
            </w:r>
          </w:p>
        </w:tc>
        <w:tc>
          <w:tcPr>
            <w:tcW w:w="709" w:type="dxa"/>
            <w:vAlign w:val="bottom"/>
          </w:tcPr>
          <w:p w:rsidR="004678FA" w:rsidRPr="004952C0" w:rsidRDefault="004678FA" w:rsidP="00470B15">
            <w:pPr>
              <w:pStyle w:val="Tabletext"/>
              <w:jc w:val="center"/>
            </w:pPr>
            <w:r w:rsidRPr="004952C0">
              <w:t>0.080</w:t>
            </w:r>
          </w:p>
        </w:tc>
        <w:tc>
          <w:tcPr>
            <w:tcW w:w="850" w:type="dxa"/>
            <w:vAlign w:val="bottom"/>
          </w:tcPr>
          <w:p w:rsidR="004678FA" w:rsidRPr="004952C0" w:rsidRDefault="004678FA" w:rsidP="00470B15">
            <w:pPr>
              <w:pStyle w:val="Tabletext"/>
              <w:jc w:val="center"/>
            </w:pPr>
            <w:r w:rsidRPr="004952C0">
              <w:t>0.038</w:t>
            </w:r>
          </w:p>
        </w:tc>
      </w:tr>
      <w:tr w:rsidR="004952C0" w:rsidRPr="004952C0" w:rsidTr="00470B15">
        <w:trPr>
          <w:cantSplit/>
        </w:trPr>
        <w:tc>
          <w:tcPr>
            <w:tcW w:w="1843" w:type="dxa"/>
            <w:vMerge/>
            <w:tcBorders>
              <w:bottom w:val="single" w:sz="2" w:space="0" w:color="auto"/>
              <w:right w:val="single" w:sz="2" w:space="0" w:color="auto"/>
            </w:tcBorders>
          </w:tcPr>
          <w:p w:rsidR="004678FA" w:rsidRPr="004952C0" w:rsidRDefault="004678FA" w:rsidP="00050066">
            <w:pPr>
              <w:pStyle w:val="Tabletext"/>
            </w:pPr>
          </w:p>
        </w:tc>
        <w:tc>
          <w:tcPr>
            <w:tcW w:w="1134" w:type="dxa"/>
            <w:vMerge/>
            <w:tcBorders>
              <w:left w:val="single" w:sz="2" w:space="0" w:color="auto"/>
              <w:bottom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bottom w:val="single" w:sz="2" w:space="0" w:color="auto"/>
              <w:right w:val="single" w:sz="2" w:space="0" w:color="auto"/>
            </w:tcBorders>
          </w:tcPr>
          <w:p w:rsidR="004678FA" w:rsidRPr="004952C0" w:rsidRDefault="004678FA" w:rsidP="00050066">
            <w:pPr>
              <w:pStyle w:val="Tabletext"/>
            </w:pPr>
            <w:r w:rsidRPr="004952C0">
              <w:t>Both</w:t>
            </w:r>
          </w:p>
        </w:tc>
        <w:tc>
          <w:tcPr>
            <w:tcW w:w="709" w:type="dxa"/>
            <w:tcBorders>
              <w:left w:val="single" w:sz="2" w:space="0" w:color="auto"/>
              <w:bottom w:val="single" w:sz="2" w:space="0" w:color="auto"/>
            </w:tcBorders>
            <w:vAlign w:val="bottom"/>
          </w:tcPr>
          <w:p w:rsidR="004678FA" w:rsidRPr="004952C0" w:rsidRDefault="004678FA" w:rsidP="00470B15">
            <w:pPr>
              <w:pStyle w:val="Tabletext"/>
              <w:jc w:val="center"/>
            </w:pPr>
            <w:r w:rsidRPr="004952C0">
              <w:t>0.315</w:t>
            </w:r>
          </w:p>
        </w:tc>
        <w:tc>
          <w:tcPr>
            <w:tcW w:w="722" w:type="dxa"/>
            <w:tcBorders>
              <w:bottom w:val="single" w:sz="2" w:space="0" w:color="auto"/>
            </w:tcBorders>
            <w:vAlign w:val="bottom"/>
          </w:tcPr>
          <w:p w:rsidR="004678FA" w:rsidRPr="004952C0" w:rsidRDefault="004678FA" w:rsidP="00470B15">
            <w:pPr>
              <w:pStyle w:val="Tabletext"/>
              <w:jc w:val="center"/>
            </w:pPr>
            <w:r w:rsidRPr="004952C0">
              <w:t>0.289</w:t>
            </w:r>
          </w:p>
        </w:tc>
        <w:tc>
          <w:tcPr>
            <w:tcW w:w="695" w:type="dxa"/>
            <w:tcBorders>
              <w:bottom w:val="single" w:sz="2" w:space="0" w:color="auto"/>
            </w:tcBorders>
            <w:vAlign w:val="bottom"/>
          </w:tcPr>
          <w:p w:rsidR="004678FA" w:rsidRPr="004952C0" w:rsidRDefault="004678FA" w:rsidP="00470B15">
            <w:pPr>
              <w:pStyle w:val="Tabletext"/>
              <w:jc w:val="center"/>
            </w:pPr>
            <w:r w:rsidRPr="004952C0">
              <w:t>0.228</w:t>
            </w:r>
          </w:p>
        </w:tc>
        <w:tc>
          <w:tcPr>
            <w:tcW w:w="709" w:type="dxa"/>
            <w:tcBorders>
              <w:bottom w:val="single" w:sz="2" w:space="0" w:color="auto"/>
            </w:tcBorders>
            <w:vAlign w:val="bottom"/>
          </w:tcPr>
          <w:p w:rsidR="004678FA" w:rsidRPr="004952C0" w:rsidRDefault="004678FA" w:rsidP="00470B15">
            <w:pPr>
              <w:pStyle w:val="Tabletext"/>
              <w:jc w:val="center"/>
            </w:pPr>
            <w:r w:rsidRPr="004952C0">
              <w:t>0.264</w:t>
            </w:r>
          </w:p>
        </w:tc>
        <w:tc>
          <w:tcPr>
            <w:tcW w:w="709" w:type="dxa"/>
            <w:tcBorders>
              <w:bottom w:val="single" w:sz="2" w:space="0" w:color="auto"/>
            </w:tcBorders>
            <w:vAlign w:val="bottom"/>
          </w:tcPr>
          <w:p w:rsidR="004678FA" w:rsidRPr="004952C0" w:rsidRDefault="004678FA" w:rsidP="00470B15">
            <w:pPr>
              <w:pStyle w:val="Tabletext"/>
              <w:jc w:val="center"/>
            </w:pPr>
            <w:r w:rsidRPr="004952C0">
              <w:t>0.273</w:t>
            </w:r>
          </w:p>
        </w:tc>
        <w:tc>
          <w:tcPr>
            <w:tcW w:w="709" w:type="dxa"/>
            <w:tcBorders>
              <w:bottom w:val="single" w:sz="2" w:space="0" w:color="auto"/>
            </w:tcBorders>
            <w:vAlign w:val="bottom"/>
          </w:tcPr>
          <w:p w:rsidR="004678FA" w:rsidRPr="004952C0" w:rsidRDefault="004678FA" w:rsidP="00470B15">
            <w:pPr>
              <w:pStyle w:val="Tabletext"/>
              <w:jc w:val="center"/>
            </w:pPr>
            <w:r w:rsidRPr="004952C0">
              <w:t>0.271</w:t>
            </w:r>
          </w:p>
        </w:tc>
        <w:tc>
          <w:tcPr>
            <w:tcW w:w="850" w:type="dxa"/>
            <w:tcBorders>
              <w:bottom w:val="single" w:sz="2" w:space="0" w:color="auto"/>
            </w:tcBorders>
            <w:vAlign w:val="bottom"/>
          </w:tcPr>
          <w:p w:rsidR="004678FA" w:rsidRPr="004952C0" w:rsidRDefault="004678FA" w:rsidP="00470B15">
            <w:pPr>
              <w:pStyle w:val="Tabletext"/>
              <w:jc w:val="center"/>
            </w:pPr>
            <w:r w:rsidRPr="004952C0">
              <w:t>0.282</w:t>
            </w:r>
          </w:p>
        </w:tc>
      </w:tr>
      <w:tr w:rsidR="004952C0" w:rsidRPr="004952C0" w:rsidTr="00470B15">
        <w:trPr>
          <w:cantSplit/>
        </w:trPr>
        <w:tc>
          <w:tcPr>
            <w:tcW w:w="1843" w:type="dxa"/>
            <w:vMerge w:val="restart"/>
            <w:tcBorders>
              <w:top w:val="single" w:sz="2" w:space="0" w:color="auto"/>
              <w:right w:val="single" w:sz="2" w:space="0" w:color="auto"/>
            </w:tcBorders>
          </w:tcPr>
          <w:p w:rsidR="004678FA" w:rsidRPr="004952C0" w:rsidRDefault="00762804" w:rsidP="00F71EAD">
            <w:pPr>
              <w:pStyle w:val="Tabletext"/>
            </w:pPr>
            <w:r w:rsidRPr="004952C0">
              <w:t>BCA c</w:t>
            </w:r>
            <w:r w:rsidR="004678FA" w:rsidRPr="004952C0">
              <w:t>lass 9a (hospitals)</w:t>
            </w:r>
          </w:p>
        </w:tc>
        <w:tc>
          <w:tcPr>
            <w:tcW w:w="1134" w:type="dxa"/>
            <w:vMerge w:val="restart"/>
            <w:tcBorders>
              <w:top w:val="single" w:sz="2" w:space="0" w:color="auto"/>
              <w:left w:val="single" w:sz="2" w:space="0" w:color="auto"/>
              <w:right w:val="single" w:sz="2" w:space="0" w:color="auto"/>
            </w:tcBorders>
          </w:tcPr>
          <w:p w:rsidR="004678FA" w:rsidRPr="004952C0" w:rsidRDefault="004678FA" w:rsidP="00050066">
            <w:pPr>
              <w:pStyle w:val="Tabletext"/>
              <w:jc w:val="center"/>
            </w:pPr>
            <w:r w:rsidRPr="004952C0">
              <w:t>0.68</w:t>
            </w:r>
          </w:p>
        </w:tc>
        <w:tc>
          <w:tcPr>
            <w:tcW w:w="992" w:type="dxa"/>
            <w:tcBorders>
              <w:top w:val="single" w:sz="2" w:space="0" w:color="auto"/>
              <w:left w:val="single" w:sz="2" w:space="0" w:color="auto"/>
              <w:right w:val="single" w:sz="2" w:space="0" w:color="auto"/>
            </w:tcBorders>
          </w:tcPr>
          <w:p w:rsidR="004678FA" w:rsidRPr="004952C0" w:rsidRDefault="004678FA" w:rsidP="00050066">
            <w:pPr>
              <w:pStyle w:val="Tabletext"/>
            </w:pPr>
            <w:r w:rsidRPr="004952C0">
              <w:t>Heating</w:t>
            </w:r>
          </w:p>
        </w:tc>
        <w:tc>
          <w:tcPr>
            <w:tcW w:w="709" w:type="dxa"/>
            <w:tcBorders>
              <w:top w:val="single" w:sz="2" w:space="0" w:color="auto"/>
              <w:left w:val="single" w:sz="2" w:space="0" w:color="auto"/>
            </w:tcBorders>
            <w:vAlign w:val="bottom"/>
          </w:tcPr>
          <w:p w:rsidR="004678FA" w:rsidRPr="004952C0" w:rsidRDefault="004678FA" w:rsidP="00470B15">
            <w:pPr>
              <w:pStyle w:val="Tabletext"/>
              <w:jc w:val="center"/>
            </w:pPr>
            <w:r w:rsidRPr="004952C0">
              <w:t>0.008</w:t>
            </w:r>
          </w:p>
        </w:tc>
        <w:tc>
          <w:tcPr>
            <w:tcW w:w="722" w:type="dxa"/>
            <w:tcBorders>
              <w:top w:val="single" w:sz="2" w:space="0" w:color="auto"/>
            </w:tcBorders>
            <w:vAlign w:val="bottom"/>
          </w:tcPr>
          <w:p w:rsidR="004678FA" w:rsidRPr="004952C0" w:rsidRDefault="004678FA" w:rsidP="00470B15">
            <w:pPr>
              <w:pStyle w:val="Tabletext"/>
              <w:jc w:val="center"/>
            </w:pPr>
            <w:r w:rsidRPr="004952C0">
              <w:t>0.184</w:t>
            </w:r>
          </w:p>
        </w:tc>
        <w:tc>
          <w:tcPr>
            <w:tcW w:w="695" w:type="dxa"/>
            <w:tcBorders>
              <w:top w:val="single" w:sz="2" w:space="0" w:color="auto"/>
            </w:tcBorders>
            <w:vAlign w:val="bottom"/>
          </w:tcPr>
          <w:p w:rsidR="004678FA" w:rsidRPr="004952C0" w:rsidRDefault="004678FA" w:rsidP="00470B15">
            <w:pPr>
              <w:pStyle w:val="Tabletext"/>
              <w:jc w:val="center"/>
            </w:pPr>
            <w:r w:rsidRPr="004952C0">
              <w:t>0.174</w:t>
            </w:r>
          </w:p>
        </w:tc>
        <w:tc>
          <w:tcPr>
            <w:tcW w:w="709" w:type="dxa"/>
            <w:tcBorders>
              <w:top w:val="single" w:sz="2" w:space="0" w:color="auto"/>
            </w:tcBorders>
            <w:vAlign w:val="bottom"/>
          </w:tcPr>
          <w:p w:rsidR="004678FA" w:rsidRPr="004952C0" w:rsidRDefault="004678FA" w:rsidP="00470B15">
            <w:pPr>
              <w:pStyle w:val="Tabletext"/>
              <w:jc w:val="center"/>
            </w:pPr>
            <w:r w:rsidRPr="004952C0">
              <w:t>0.359</w:t>
            </w:r>
          </w:p>
        </w:tc>
        <w:tc>
          <w:tcPr>
            <w:tcW w:w="709" w:type="dxa"/>
            <w:tcBorders>
              <w:top w:val="single" w:sz="2" w:space="0" w:color="auto"/>
            </w:tcBorders>
            <w:vAlign w:val="bottom"/>
          </w:tcPr>
          <w:p w:rsidR="004678FA" w:rsidRPr="004952C0" w:rsidRDefault="004678FA" w:rsidP="00470B15">
            <w:pPr>
              <w:pStyle w:val="Tabletext"/>
              <w:jc w:val="center"/>
            </w:pPr>
            <w:r w:rsidRPr="004952C0">
              <w:t>0.336</w:t>
            </w:r>
          </w:p>
        </w:tc>
        <w:tc>
          <w:tcPr>
            <w:tcW w:w="709" w:type="dxa"/>
            <w:tcBorders>
              <w:top w:val="single" w:sz="2" w:space="0" w:color="auto"/>
            </w:tcBorders>
            <w:vAlign w:val="bottom"/>
          </w:tcPr>
          <w:p w:rsidR="004678FA" w:rsidRPr="004952C0" w:rsidRDefault="004678FA" w:rsidP="00470B15">
            <w:pPr>
              <w:pStyle w:val="Tabletext"/>
              <w:jc w:val="center"/>
            </w:pPr>
            <w:r w:rsidRPr="004952C0">
              <w:t>0.498</w:t>
            </w:r>
          </w:p>
        </w:tc>
        <w:tc>
          <w:tcPr>
            <w:tcW w:w="850" w:type="dxa"/>
            <w:tcBorders>
              <w:top w:val="single" w:sz="2" w:space="0" w:color="auto"/>
            </w:tcBorders>
            <w:vAlign w:val="bottom"/>
          </w:tcPr>
          <w:p w:rsidR="004678FA" w:rsidRPr="004952C0" w:rsidRDefault="004678FA" w:rsidP="00470B15">
            <w:pPr>
              <w:pStyle w:val="Tabletext"/>
              <w:jc w:val="center"/>
            </w:pPr>
            <w:r w:rsidRPr="004952C0">
              <w:t>0.585</w:t>
            </w:r>
          </w:p>
        </w:tc>
      </w:tr>
      <w:tr w:rsidR="004952C0" w:rsidRPr="004952C0" w:rsidTr="00470B15">
        <w:trPr>
          <w:cantSplit/>
        </w:trPr>
        <w:tc>
          <w:tcPr>
            <w:tcW w:w="1843" w:type="dxa"/>
            <w:vMerge/>
            <w:tcBorders>
              <w:right w:val="single" w:sz="2" w:space="0" w:color="auto"/>
            </w:tcBorders>
          </w:tcPr>
          <w:p w:rsidR="004678FA" w:rsidRPr="004952C0" w:rsidRDefault="004678FA" w:rsidP="00050066">
            <w:pPr>
              <w:pStyle w:val="Tabletext"/>
            </w:pPr>
          </w:p>
        </w:tc>
        <w:tc>
          <w:tcPr>
            <w:tcW w:w="1134" w:type="dxa"/>
            <w:vMerge/>
            <w:tcBorders>
              <w:left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right w:val="single" w:sz="2" w:space="0" w:color="auto"/>
            </w:tcBorders>
          </w:tcPr>
          <w:p w:rsidR="004678FA" w:rsidRPr="004952C0" w:rsidRDefault="004678FA" w:rsidP="00050066">
            <w:pPr>
              <w:pStyle w:val="Tabletext"/>
            </w:pPr>
            <w:r w:rsidRPr="004952C0">
              <w:t>Cooling</w:t>
            </w:r>
          </w:p>
        </w:tc>
        <w:tc>
          <w:tcPr>
            <w:tcW w:w="709" w:type="dxa"/>
            <w:tcBorders>
              <w:left w:val="single" w:sz="2" w:space="0" w:color="auto"/>
            </w:tcBorders>
            <w:vAlign w:val="bottom"/>
          </w:tcPr>
          <w:p w:rsidR="004678FA" w:rsidRPr="004952C0" w:rsidRDefault="004678FA" w:rsidP="00470B15">
            <w:pPr>
              <w:pStyle w:val="Tabletext"/>
              <w:jc w:val="center"/>
            </w:pPr>
            <w:r w:rsidRPr="004952C0">
              <w:t>0.652</w:t>
            </w:r>
          </w:p>
        </w:tc>
        <w:tc>
          <w:tcPr>
            <w:tcW w:w="722" w:type="dxa"/>
            <w:vAlign w:val="bottom"/>
          </w:tcPr>
          <w:p w:rsidR="004678FA" w:rsidRPr="004952C0" w:rsidRDefault="004678FA" w:rsidP="00470B15">
            <w:pPr>
              <w:pStyle w:val="Tabletext"/>
              <w:jc w:val="center"/>
            </w:pPr>
            <w:r w:rsidRPr="004952C0">
              <w:t>0.483</w:t>
            </w:r>
          </w:p>
        </w:tc>
        <w:tc>
          <w:tcPr>
            <w:tcW w:w="695" w:type="dxa"/>
            <w:vAlign w:val="bottom"/>
          </w:tcPr>
          <w:p w:rsidR="004678FA" w:rsidRPr="004952C0" w:rsidRDefault="004678FA" w:rsidP="00470B15">
            <w:pPr>
              <w:pStyle w:val="Tabletext"/>
              <w:jc w:val="center"/>
            </w:pPr>
            <w:r w:rsidRPr="004952C0">
              <w:t>0.333</w:t>
            </w:r>
          </w:p>
        </w:tc>
        <w:tc>
          <w:tcPr>
            <w:tcW w:w="709" w:type="dxa"/>
            <w:vAlign w:val="bottom"/>
          </w:tcPr>
          <w:p w:rsidR="004678FA" w:rsidRPr="004952C0" w:rsidRDefault="004678FA" w:rsidP="00470B15">
            <w:pPr>
              <w:pStyle w:val="Tabletext"/>
              <w:jc w:val="center"/>
            </w:pPr>
            <w:r w:rsidRPr="004952C0">
              <w:t>0.233</w:t>
            </w:r>
          </w:p>
        </w:tc>
        <w:tc>
          <w:tcPr>
            <w:tcW w:w="709" w:type="dxa"/>
            <w:vAlign w:val="bottom"/>
          </w:tcPr>
          <w:p w:rsidR="004678FA" w:rsidRPr="004952C0" w:rsidRDefault="004678FA" w:rsidP="00470B15">
            <w:pPr>
              <w:pStyle w:val="Tabletext"/>
              <w:jc w:val="center"/>
            </w:pPr>
            <w:r w:rsidRPr="004952C0">
              <w:t>0.286</w:t>
            </w:r>
          </w:p>
        </w:tc>
        <w:tc>
          <w:tcPr>
            <w:tcW w:w="709" w:type="dxa"/>
            <w:vAlign w:val="bottom"/>
          </w:tcPr>
          <w:p w:rsidR="004678FA" w:rsidRPr="004952C0" w:rsidRDefault="004678FA" w:rsidP="00470B15">
            <w:pPr>
              <w:pStyle w:val="Tabletext"/>
              <w:jc w:val="center"/>
            </w:pPr>
            <w:r w:rsidRPr="004952C0">
              <w:t>0.130</w:t>
            </w:r>
          </w:p>
        </w:tc>
        <w:tc>
          <w:tcPr>
            <w:tcW w:w="850" w:type="dxa"/>
            <w:vAlign w:val="bottom"/>
          </w:tcPr>
          <w:p w:rsidR="004678FA" w:rsidRPr="004952C0" w:rsidRDefault="004678FA" w:rsidP="00470B15">
            <w:pPr>
              <w:pStyle w:val="Tabletext"/>
              <w:jc w:val="center"/>
            </w:pPr>
            <w:r w:rsidRPr="004952C0">
              <w:t>0.056</w:t>
            </w:r>
          </w:p>
        </w:tc>
      </w:tr>
      <w:tr w:rsidR="004952C0" w:rsidRPr="004952C0" w:rsidTr="00470B15">
        <w:trPr>
          <w:cantSplit/>
        </w:trPr>
        <w:tc>
          <w:tcPr>
            <w:tcW w:w="1843" w:type="dxa"/>
            <w:vMerge/>
            <w:tcBorders>
              <w:bottom w:val="single" w:sz="2" w:space="0" w:color="auto"/>
              <w:right w:val="single" w:sz="2" w:space="0" w:color="auto"/>
            </w:tcBorders>
          </w:tcPr>
          <w:p w:rsidR="004678FA" w:rsidRPr="004952C0" w:rsidRDefault="004678FA" w:rsidP="00050066">
            <w:pPr>
              <w:pStyle w:val="Tabletext"/>
            </w:pPr>
          </w:p>
        </w:tc>
        <w:tc>
          <w:tcPr>
            <w:tcW w:w="1134" w:type="dxa"/>
            <w:vMerge/>
            <w:tcBorders>
              <w:left w:val="single" w:sz="2" w:space="0" w:color="auto"/>
              <w:bottom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bottom w:val="single" w:sz="2" w:space="0" w:color="auto"/>
              <w:right w:val="single" w:sz="2" w:space="0" w:color="auto"/>
            </w:tcBorders>
          </w:tcPr>
          <w:p w:rsidR="004678FA" w:rsidRPr="004952C0" w:rsidRDefault="004678FA" w:rsidP="00050066">
            <w:pPr>
              <w:pStyle w:val="Tabletext"/>
            </w:pPr>
            <w:r w:rsidRPr="004952C0">
              <w:t>Both</w:t>
            </w:r>
          </w:p>
        </w:tc>
        <w:tc>
          <w:tcPr>
            <w:tcW w:w="709" w:type="dxa"/>
            <w:tcBorders>
              <w:left w:val="single" w:sz="2" w:space="0" w:color="auto"/>
              <w:bottom w:val="single" w:sz="2" w:space="0" w:color="auto"/>
            </w:tcBorders>
            <w:vAlign w:val="bottom"/>
          </w:tcPr>
          <w:p w:rsidR="004678FA" w:rsidRPr="004952C0" w:rsidRDefault="004678FA" w:rsidP="00470B15">
            <w:pPr>
              <w:pStyle w:val="Tabletext"/>
              <w:jc w:val="center"/>
            </w:pPr>
            <w:r w:rsidRPr="004952C0">
              <w:t>0.656</w:t>
            </w:r>
          </w:p>
        </w:tc>
        <w:tc>
          <w:tcPr>
            <w:tcW w:w="722" w:type="dxa"/>
            <w:tcBorders>
              <w:bottom w:val="single" w:sz="2" w:space="0" w:color="auto"/>
            </w:tcBorders>
            <w:vAlign w:val="bottom"/>
          </w:tcPr>
          <w:p w:rsidR="004678FA" w:rsidRPr="004952C0" w:rsidRDefault="004678FA" w:rsidP="00470B15">
            <w:pPr>
              <w:pStyle w:val="Tabletext"/>
              <w:jc w:val="center"/>
            </w:pPr>
            <w:r w:rsidRPr="004952C0">
              <w:t>0.638</w:t>
            </w:r>
          </w:p>
        </w:tc>
        <w:tc>
          <w:tcPr>
            <w:tcW w:w="695" w:type="dxa"/>
            <w:tcBorders>
              <w:bottom w:val="single" w:sz="2" w:space="0" w:color="auto"/>
            </w:tcBorders>
            <w:vAlign w:val="bottom"/>
          </w:tcPr>
          <w:p w:rsidR="004678FA" w:rsidRPr="004952C0" w:rsidRDefault="004678FA" w:rsidP="00470B15">
            <w:pPr>
              <w:pStyle w:val="Tabletext"/>
              <w:jc w:val="center"/>
            </w:pPr>
            <w:r w:rsidRPr="004952C0">
              <w:t>0.498</w:t>
            </w:r>
          </w:p>
        </w:tc>
        <w:tc>
          <w:tcPr>
            <w:tcW w:w="709" w:type="dxa"/>
            <w:tcBorders>
              <w:bottom w:val="single" w:sz="2" w:space="0" w:color="auto"/>
            </w:tcBorders>
            <w:vAlign w:val="bottom"/>
          </w:tcPr>
          <w:p w:rsidR="004678FA" w:rsidRPr="004952C0" w:rsidRDefault="004678FA" w:rsidP="00470B15">
            <w:pPr>
              <w:pStyle w:val="Tabletext"/>
              <w:jc w:val="center"/>
            </w:pPr>
            <w:r w:rsidRPr="004952C0">
              <w:t>0.574</w:t>
            </w:r>
          </w:p>
        </w:tc>
        <w:tc>
          <w:tcPr>
            <w:tcW w:w="709" w:type="dxa"/>
            <w:tcBorders>
              <w:bottom w:val="single" w:sz="2" w:space="0" w:color="auto"/>
            </w:tcBorders>
            <w:vAlign w:val="bottom"/>
          </w:tcPr>
          <w:p w:rsidR="004678FA" w:rsidRPr="004952C0" w:rsidRDefault="004678FA" w:rsidP="00470B15">
            <w:pPr>
              <w:pStyle w:val="Tabletext"/>
              <w:jc w:val="center"/>
            </w:pPr>
            <w:r w:rsidRPr="004952C0">
              <w:t>0.603</w:t>
            </w:r>
          </w:p>
        </w:tc>
        <w:tc>
          <w:tcPr>
            <w:tcW w:w="709" w:type="dxa"/>
            <w:tcBorders>
              <w:bottom w:val="single" w:sz="2" w:space="0" w:color="auto"/>
            </w:tcBorders>
            <w:vAlign w:val="bottom"/>
          </w:tcPr>
          <w:p w:rsidR="004678FA" w:rsidRPr="004952C0" w:rsidRDefault="004678FA" w:rsidP="00470B15">
            <w:pPr>
              <w:pStyle w:val="Tabletext"/>
              <w:jc w:val="center"/>
            </w:pPr>
            <w:r w:rsidRPr="004952C0">
              <w:t>0.607</w:t>
            </w:r>
          </w:p>
        </w:tc>
        <w:tc>
          <w:tcPr>
            <w:tcW w:w="850" w:type="dxa"/>
            <w:tcBorders>
              <w:bottom w:val="single" w:sz="2" w:space="0" w:color="auto"/>
            </w:tcBorders>
            <w:vAlign w:val="bottom"/>
          </w:tcPr>
          <w:p w:rsidR="004678FA" w:rsidRPr="004952C0" w:rsidRDefault="004678FA" w:rsidP="00470B15">
            <w:pPr>
              <w:pStyle w:val="Tabletext"/>
              <w:jc w:val="center"/>
            </w:pPr>
            <w:r w:rsidRPr="004952C0">
              <w:t>0.630</w:t>
            </w:r>
          </w:p>
        </w:tc>
      </w:tr>
      <w:tr w:rsidR="004952C0" w:rsidRPr="004952C0" w:rsidTr="00470B15">
        <w:trPr>
          <w:cantSplit/>
        </w:trPr>
        <w:tc>
          <w:tcPr>
            <w:tcW w:w="1843" w:type="dxa"/>
            <w:vMerge w:val="restart"/>
            <w:tcBorders>
              <w:top w:val="single" w:sz="2" w:space="0" w:color="auto"/>
              <w:right w:val="single" w:sz="2" w:space="0" w:color="auto"/>
            </w:tcBorders>
          </w:tcPr>
          <w:p w:rsidR="004678FA" w:rsidRPr="004952C0" w:rsidRDefault="00762804" w:rsidP="00F71EAD">
            <w:pPr>
              <w:pStyle w:val="Tabletext"/>
            </w:pPr>
            <w:r w:rsidRPr="004952C0">
              <w:t>BCA c</w:t>
            </w:r>
            <w:r w:rsidR="004678FA" w:rsidRPr="004952C0">
              <w:t>lass 9b (theatres)</w:t>
            </w:r>
          </w:p>
        </w:tc>
        <w:tc>
          <w:tcPr>
            <w:tcW w:w="1134" w:type="dxa"/>
            <w:vMerge w:val="restart"/>
            <w:tcBorders>
              <w:top w:val="single" w:sz="2" w:space="0" w:color="auto"/>
              <w:left w:val="single" w:sz="2" w:space="0" w:color="auto"/>
              <w:right w:val="single" w:sz="2" w:space="0" w:color="auto"/>
            </w:tcBorders>
          </w:tcPr>
          <w:p w:rsidR="004678FA" w:rsidRPr="004952C0" w:rsidRDefault="004678FA" w:rsidP="00050066">
            <w:pPr>
              <w:pStyle w:val="Tabletext"/>
              <w:jc w:val="center"/>
            </w:pPr>
            <w:r w:rsidRPr="004952C0">
              <w:t>0.23</w:t>
            </w:r>
          </w:p>
        </w:tc>
        <w:tc>
          <w:tcPr>
            <w:tcW w:w="992" w:type="dxa"/>
            <w:tcBorders>
              <w:top w:val="single" w:sz="2" w:space="0" w:color="auto"/>
              <w:left w:val="single" w:sz="2" w:space="0" w:color="auto"/>
              <w:right w:val="single" w:sz="2" w:space="0" w:color="auto"/>
            </w:tcBorders>
          </w:tcPr>
          <w:p w:rsidR="004678FA" w:rsidRPr="004952C0" w:rsidRDefault="004678FA" w:rsidP="00050066">
            <w:pPr>
              <w:pStyle w:val="Tabletext"/>
            </w:pPr>
            <w:r w:rsidRPr="004952C0">
              <w:t>Heating</w:t>
            </w:r>
          </w:p>
        </w:tc>
        <w:tc>
          <w:tcPr>
            <w:tcW w:w="709" w:type="dxa"/>
            <w:tcBorders>
              <w:top w:val="single" w:sz="2" w:space="0" w:color="auto"/>
              <w:left w:val="single" w:sz="2" w:space="0" w:color="auto"/>
            </w:tcBorders>
            <w:vAlign w:val="bottom"/>
          </w:tcPr>
          <w:p w:rsidR="004678FA" w:rsidRPr="004952C0" w:rsidRDefault="004678FA" w:rsidP="00470B15">
            <w:pPr>
              <w:pStyle w:val="Tabletext"/>
              <w:jc w:val="center"/>
            </w:pPr>
            <w:r w:rsidRPr="004952C0">
              <w:t>0.000</w:t>
            </w:r>
          </w:p>
        </w:tc>
        <w:tc>
          <w:tcPr>
            <w:tcW w:w="722" w:type="dxa"/>
            <w:tcBorders>
              <w:top w:val="single" w:sz="2" w:space="0" w:color="auto"/>
            </w:tcBorders>
            <w:vAlign w:val="bottom"/>
          </w:tcPr>
          <w:p w:rsidR="004678FA" w:rsidRPr="004952C0" w:rsidRDefault="004678FA" w:rsidP="00470B15">
            <w:pPr>
              <w:pStyle w:val="Tabletext"/>
              <w:jc w:val="center"/>
            </w:pPr>
            <w:r w:rsidRPr="004952C0">
              <w:t>0.084</w:t>
            </w:r>
          </w:p>
        </w:tc>
        <w:tc>
          <w:tcPr>
            <w:tcW w:w="695" w:type="dxa"/>
            <w:tcBorders>
              <w:top w:val="single" w:sz="2" w:space="0" w:color="auto"/>
            </w:tcBorders>
            <w:vAlign w:val="bottom"/>
          </w:tcPr>
          <w:p w:rsidR="004678FA" w:rsidRPr="004952C0" w:rsidRDefault="004678FA" w:rsidP="00470B15">
            <w:pPr>
              <w:pStyle w:val="Tabletext"/>
              <w:jc w:val="center"/>
            </w:pPr>
            <w:r w:rsidRPr="004952C0">
              <w:t>0.081</w:t>
            </w:r>
          </w:p>
        </w:tc>
        <w:tc>
          <w:tcPr>
            <w:tcW w:w="709" w:type="dxa"/>
            <w:tcBorders>
              <w:top w:val="single" w:sz="2" w:space="0" w:color="auto"/>
            </w:tcBorders>
            <w:vAlign w:val="bottom"/>
          </w:tcPr>
          <w:p w:rsidR="004678FA" w:rsidRPr="004952C0" w:rsidRDefault="004678FA" w:rsidP="00470B15">
            <w:pPr>
              <w:pStyle w:val="Tabletext"/>
              <w:jc w:val="center"/>
            </w:pPr>
            <w:r w:rsidRPr="004952C0">
              <w:t>0.230</w:t>
            </w:r>
          </w:p>
        </w:tc>
        <w:tc>
          <w:tcPr>
            <w:tcW w:w="709" w:type="dxa"/>
            <w:tcBorders>
              <w:top w:val="single" w:sz="2" w:space="0" w:color="auto"/>
            </w:tcBorders>
            <w:vAlign w:val="bottom"/>
          </w:tcPr>
          <w:p w:rsidR="004678FA" w:rsidRPr="004952C0" w:rsidRDefault="004678FA" w:rsidP="00470B15">
            <w:pPr>
              <w:pStyle w:val="Tabletext"/>
              <w:jc w:val="center"/>
            </w:pPr>
            <w:r w:rsidRPr="004952C0">
              <w:t>0.213</w:t>
            </w:r>
          </w:p>
        </w:tc>
        <w:tc>
          <w:tcPr>
            <w:tcW w:w="709" w:type="dxa"/>
            <w:tcBorders>
              <w:top w:val="single" w:sz="2" w:space="0" w:color="auto"/>
            </w:tcBorders>
            <w:vAlign w:val="bottom"/>
          </w:tcPr>
          <w:p w:rsidR="004678FA" w:rsidRPr="004952C0" w:rsidRDefault="004678FA" w:rsidP="00470B15">
            <w:pPr>
              <w:pStyle w:val="Tabletext"/>
              <w:jc w:val="center"/>
            </w:pPr>
            <w:r w:rsidRPr="004952C0">
              <w:t>0.364</w:t>
            </w:r>
          </w:p>
        </w:tc>
        <w:tc>
          <w:tcPr>
            <w:tcW w:w="850" w:type="dxa"/>
            <w:tcBorders>
              <w:top w:val="single" w:sz="2" w:space="0" w:color="auto"/>
            </w:tcBorders>
            <w:vAlign w:val="bottom"/>
          </w:tcPr>
          <w:p w:rsidR="004678FA" w:rsidRPr="004952C0" w:rsidRDefault="004678FA" w:rsidP="00470B15">
            <w:pPr>
              <w:pStyle w:val="Tabletext"/>
              <w:jc w:val="center"/>
            </w:pPr>
            <w:r w:rsidRPr="004952C0">
              <w:t>0.455</w:t>
            </w:r>
          </w:p>
        </w:tc>
      </w:tr>
      <w:tr w:rsidR="004952C0" w:rsidRPr="004952C0" w:rsidTr="00470B15">
        <w:trPr>
          <w:cantSplit/>
        </w:trPr>
        <w:tc>
          <w:tcPr>
            <w:tcW w:w="1843" w:type="dxa"/>
            <w:vMerge/>
            <w:tcBorders>
              <w:right w:val="single" w:sz="2" w:space="0" w:color="auto"/>
            </w:tcBorders>
          </w:tcPr>
          <w:p w:rsidR="004678FA" w:rsidRPr="004952C0" w:rsidRDefault="004678FA" w:rsidP="00050066">
            <w:pPr>
              <w:pStyle w:val="Tabletext"/>
            </w:pPr>
          </w:p>
        </w:tc>
        <w:tc>
          <w:tcPr>
            <w:tcW w:w="1134" w:type="dxa"/>
            <w:vMerge/>
            <w:tcBorders>
              <w:left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right w:val="single" w:sz="2" w:space="0" w:color="auto"/>
            </w:tcBorders>
          </w:tcPr>
          <w:p w:rsidR="004678FA" w:rsidRPr="004952C0" w:rsidRDefault="004678FA" w:rsidP="00050066">
            <w:pPr>
              <w:pStyle w:val="Tabletext"/>
            </w:pPr>
            <w:r w:rsidRPr="004952C0">
              <w:t>Cooling</w:t>
            </w:r>
          </w:p>
        </w:tc>
        <w:tc>
          <w:tcPr>
            <w:tcW w:w="709" w:type="dxa"/>
            <w:tcBorders>
              <w:left w:val="single" w:sz="2" w:space="0" w:color="auto"/>
            </w:tcBorders>
            <w:vAlign w:val="bottom"/>
          </w:tcPr>
          <w:p w:rsidR="004678FA" w:rsidRPr="004952C0" w:rsidRDefault="004678FA" w:rsidP="00470B15">
            <w:pPr>
              <w:pStyle w:val="Tabletext"/>
              <w:jc w:val="center"/>
            </w:pPr>
            <w:r w:rsidRPr="004952C0">
              <w:t>0.567</w:t>
            </w:r>
          </w:p>
        </w:tc>
        <w:tc>
          <w:tcPr>
            <w:tcW w:w="722" w:type="dxa"/>
            <w:vAlign w:val="bottom"/>
          </w:tcPr>
          <w:p w:rsidR="004678FA" w:rsidRPr="004952C0" w:rsidRDefault="004678FA" w:rsidP="00470B15">
            <w:pPr>
              <w:pStyle w:val="Tabletext"/>
              <w:jc w:val="center"/>
            </w:pPr>
            <w:r w:rsidRPr="004952C0">
              <w:t>0.455</w:t>
            </w:r>
          </w:p>
        </w:tc>
        <w:tc>
          <w:tcPr>
            <w:tcW w:w="695" w:type="dxa"/>
            <w:vAlign w:val="bottom"/>
          </w:tcPr>
          <w:p w:rsidR="004678FA" w:rsidRPr="004952C0" w:rsidRDefault="004678FA" w:rsidP="00470B15">
            <w:pPr>
              <w:pStyle w:val="Tabletext"/>
              <w:jc w:val="center"/>
            </w:pPr>
            <w:r w:rsidRPr="004952C0">
              <w:t>0.324</w:t>
            </w:r>
          </w:p>
        </w:tc>
        <w:tc>
          <w:tcPr>
            <w:tcW w:w="709" w:type="dxa"/>
            <w:vAlign w:val="bottom"/>
          </w:tcPr>
          <w:p w:rsidR="004678FA" w:rsidRPr="004952C0" w:rsidRDefault="004678FA" w:rsidP="00470B15">
            <w:pPr>
              <w:pStyle w:val="Tabletext"/>
              <w:jc w:val="center"/>
            </w:pPr>
            <w:r w:rsidRPr="004952C0">
              <w:t>0.249</w:t>
            </w:r>
          </w:p>
        </w:tc>
        <w:tc>
          <w:tcPr>
            <w:tcW w:w="709" w:type="dxa"/>
            <w:vAlign w:val="bottom"/>
          </w:tcPr>
          <w:p w:rsidR="004678FA" w:rsidRPr="004952C0" w:rsidRDefault="004678FA" w:rsidP="00470B15">
            <w:pPr>
              <w:pStyle w:val="Tabletext"/>
              <w:jc w:val="center"/>
            </w:pPr>
            <w:r w:rsidRPr="004952C0">
              <w:t>0.294</w:t>
            </w:r>
          </w:p>
        </w:tc>
        <w:tc>
          <w:tcPr>
            <w:tcW w:w="709" w:type="dxa"/>
            <w:vAlign w:val="bottom"/>
          </w:tcPr>
          <w:p w:rsidR="004678FA" w:rsidRPr="004952C0" w:rsidRDefault="004678FA" w:rsidP="00470B15">
            <w:pPr>
              <w:pStyle w:val="Tabletext"/>
              <w:jc w:val="center"/>
            </w:pPr>
            <w:r w:rsidRPr="004952C0">
              <w:t>0.142</w:t>
            </w:r>
          </w:p>
        </w:tc>
        <w:tc>
          <w:tcPr>
            <w:tcW w:w="850" w:type="dxa"/>
            <w:vAlign w:val="bottom"/>
          </w:tcPr>
          <w:p w:rsidR="004678FA" w:rsidRPr="004952C0" w:rsidRDefault="004678FA" w:rsidP="00470B15">
            <w:pPr>
              <w:pStyle w:val="Tabletext"/>
              <w:jc w:val="center"/>
            </w:pPr>
            <w:r w:rsidRPr="004952C0">
              <w:t>0.066</w:t>
            </w:r>
          </w:p>
        </w:tc>
      </w:tr>
      <w:tr w:rsidR="004952C0" w:rsidRPr="004952C0" w:rsidTr="00470B15">
        <w:trPr>
          <w:cantSplit/>
        </w:trPr>
        <w:tc>
          <w:tcPr>
            <w:tcW w:w="1843" w:type="dxa"/>
            <w:vMerge/>
            <w:tcBorders>
              <w:bottom w:val="single" w:sz="2" w:space="0" w:color="auto"/>
              <w:right w:val="single" w:sz="2" w:space="0" w:color="auto"/>
            </w:tcBorders>
          </w:tcPr>
          <w:p w:rsidR="004678FA" w:rsidRPr="004952C0" w:rsidRDefault="004678FA" w:rsidP="00050066">
            <w:pPr>
              <w:pStyle w:val="Tabletext"/>
            </w:pPr>
          </w:p>
        </w:tc>
        <w:tc>
          <w:tcPr>
            <w:tcW w:w="1134" w:type="dxa"/>
            <w:vMerge/>
            <w:tcBorders>
              <w:left w:val="single" w:sz="2" w:space="0" w:color="auto"/>
              <w:bottom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bottom w:val="single" w:sz="2" w:space="0" w:color="auto"/>
              <w:right w:val="single" w:sz="2" w:space="0" w:color="auto"/>
            </w:tcBorders>
          </w:tcPr>
          <w:p w:rsidR="004678FA" w:rsidRPr="004952C0" w:rsidRDefault="004678FA" w:rsidP="00050066">
            <w:pPr>
              <w:pStyle w:val="Tabletext"/>
            </w:pPr>
            <w:r w:rsidRPr="004952C0">
              <w:t>Both</w:t>
            </w:r>
          </w:p>
        </w:tc>
        <w:tc>
          <w:tcPr>
            <w:tcW w:w="709" w:type="dxa"/>
            <w:tcBorders>
              <w:left w:val="single" w:sz="2" w:space="0" w:color="auto"/>
              <w:bottom w:val="single" w:sz="2" w:space="0" w:color="auto"/>
            </w:tcBorders>
            <w:vAlign w:val="bottom"/>
          </w:tcPr>
          <w:p w:rsidR="004678FA" w:rsidRPr="004952C0" w:rsidRDefault="004678FA" w:rsidP="00470B15">
            <w:pPr>
              <w:pStyle w:val="Tabletext"/>
              <w:jc w:val="center"/>
            </w:pPr>
            <w:r w:rsidRPr="004952C0">
              <w:t>0.567</w:t>
            </w:r>
          </w:p>
        </w:tc>
        <w:tc>
          <w:tcPr>
            <w:tcW w:w="722" w:type="dxa"/>
            <w:tcBorders>
              <w:bottom w:val="single" w:sz="2" w:space="0" w:color="auto"/>
            </w:tcBorders>
            <w:vAlign w:val="bottom"/>
          </w:tcPr>
          <w:p w:rsidR="004678FA" w:rsidRPr="004952C0" w:rsidRDefault="004678FA" w:rsidP="00470B15">
            <w:pPr>
              <w:pStyle w:val="Tabletext"/>
              <w:jc w:val="center"/>
            </w:pPr>
            <w:r w:rsidRPr="004952C0">
              <w:t>0.526</w:t>
            </w:r>
          </w:p>
        </w:tc>
        <w:tc>
          <w:tcPr>
            <w:tcW w:w="695" w:type="dxa"/>
            <w:tcBorders>
              <w:bottom w:val="single" w:sz="2" w:space="0" w:color="auto"/>
            </w:tcBorders>
            <w:vAlign w:val="bottom"/>
          </w:tcPr>
          <w:p w:rsidR="004678FA" w:rsidRPr="004952C0" w:rsidRDefault="004678FA" w:rsidP="00470B15">
            <w:pPr>
              <w:pStyle w:val="Tabletext"/>
              <w:jc w:val="center"/>
            </w:pPr>
            <w:r w:rsidRPr="004952C0">
              <w:t>0.404</w:t>
            </w:r>
          </w:p>
        </w:tc>
        <w:tc>
          <w:tcPr>
            <w:tcW w:w="709" w:type="dxa"/>
            <w:tcBorders>
              <w:bottom w:val="single" w:sz="2" w:space="0" w:color="auto"/>
            </w:tcBorders>
            <w:vAlign w:val="bottom"/>
          </w:tcPr>
          <w:p w:rsidR="004678FA" w:rsidRPr="004952C0" w:rsidRDefault="004678FA" w:rsidP="00470B15">
            <w:pPr>
              <w:pStyle w:val="Tabletext"/>
              <w:jc w:val="center"/>
            </w:pPr>
            <w:r w:rsidRPr="004952C0">
              <w:t>0.471</w:t>
            </w:r>
          </w:p>
        </w:tc>
        <w:tc>
          <w:tcPr>
            <w:tcW w:w="709" w:type="dxa"/>
            <w:tcBorders>
              <w:bottom w:val="single" w:sz="2" w:space="0" w:color="auto"/>
            </w:tcBorders>
            <w:vAlign w:val="bottom"/>
          </w:tcPr>
          <w:p w:rsidR="004678FA" w:rsidRPr="004952C0" w:rsidRDefault="004678FA" w:rsidP="00470B15">
            <w:pPr>
              <w:pStyle w:val="Tabletext"/>
              <w:jc w:val="center"/>
            </w:pPr>
            <w:r w:rsidRPr="004952C0">
              <w:t>0.496</w:t>
            </w:r>
          </w:p>
        </w:tc>
        <w:tc>
          <w:tcPr>
            <w:tcW w:w="709" w:type="dxa"/>
            <w:tcBorders>
              <w:bottom w:val="single" w:sz="2" w:space="0" w:color="auto"/>
            </w:tcBorders>
            <w:vAlign w:val="bottom"/>
          </w:tcPr>
          <w:p w:rsidR="004678FA" w:rsidRPr="004952C0" w:rsidRDefault="004678FA" w:rsidP="00470B15">
            <w:pPr>
              <w:pStyle w:val="Tabletext"/>
              <w:jc w:val="center"/>
            </w:pPr>
            <w:r w:rsidRPr="004952C0">
              <w:t>0.493</w:t>
            </w:r>
          </w:p>
        </w:tc>
        <w:tc>
          <w:tcPr>
            <w:tcW w:w="850" w:type="dxa"/>
            <w:tcBorders>
              <w:bottom w:val="single" w:sz="2" w:space="0" w:color="auto"/>
            </w:tcBorders>
            <w:vAlign w:val="bottom"/>
          </w:tcPr>
          <w:p w:rsidR="004678FA" w:rsidRPr="004952C0" w:rsidRDefault="004678FA" w:rsidP="00470B15">
            <w:pPr>
              <w:pStyle w:val="Tabletext"/>
              <w:jc w:val="center"/>
            </w:pPr>
            <w:r w:rsidRPr="004952C0">
              <w:t>0.515</w:t>
            </w:r>
          </w:p>
        </w:tc>
      </w:tr>
      <w:tr w:rsidR="004952C0" w:rsidRPr="004952C0" w:rsidTr="00470B15">
        <w:trPr>
          <w:cantSplit/>
        </w:trPr>
        <w:tc>
          <w:tcPr>
            <w:tcW w:w="1843" w:type="dxa"/>
            <w:vMerge w:val="restart"/>
            <w:tcBorders>
              <w:top w:val="single" w:sz="2" w:space="0" w:color="auto"/>
              <w:right w:val="single" w:sz="2" w:space="0" w:color="auto"/>
            </w:tcBorders>
          </w:tcPr>
          <w:p w:rsidR="004678FA" w:rsidRPr="004952C0" w:rsidRDefault="00762804" w:rsidP="00F71EAD">
            <w:pPr>
              <w:pStyle w:val="Tabletext"/>
            </w:pPr>
            <w:r w:rsidRPr="004952C0">
              <w:t>BCA c</w:t>
            </w:r>
            <w:r w:rsidR="004678FA" w:rsidRPr="004952C0">
              <w:t>lass 9b (schools)</w:t>
            </w:r>
          </w:p>
        </w:tc>
        <w:tc>
          <w:tcPr>
            <w:tcW w:w="1134" w:type="dxa"/>
            <w:vMerge w:val="restart"/>
            <w:tcBorders>
              <w:top w:val="single" w:sz="2" w:space="0" w:color="auto"/>
              <w:left w:val="single" w:sz="2" w:space="0" w:color="auto"/>
              <w:right w:val="single" w:sz="2" w:space="0" w:color="auto"/>
            </w:tcBorders>
          </w:tcPr>
          <w:p w:rsidR="004678FA" w:rsidRPr="004952C0" w:rsidRDefault="004678FA" w:rsidP="00050066">
            <w:pPr>
              <w:pStyle w:val="Tabletext"/>
              <w:jc w:val="center"/>
            </w:pPr>
            <w:r w:rsidRPr="004952C0">
              <w:t>0.23</w:t>
            </w:r>
          </w:p>
        </w:tc>
        <w:tc>
          <w:tcPr>
            <w:tcW w:w="992" w:type="dxa"/>
            <w:tcBorders>
              <w:top w:val="single" w:sz="2" w:space="0" w:color="auto"/>
              <w:left w:val="single" w:sz="2" w:space="0" w:color="auto"/>
              <w:right w:val="single" w:sz="2" w:space="0" w:color="auto"/>
            </w:tcBorders>
          </w:tcPr>
          <w:p w:rsidR="004678FA" w:rsidRPr="004952C0" w:rsidRDefault="004678FA" w:rsidP="00050066">
            <w:pPr>
              <w:pStyle w:val="Tabletext"/>
            </w:pPr>
            <w:r w:rsidRPr="004952C0">
              <w:t>Heating</w:t>
            </w:r>
          </w:p>
        </w:tc>
        <w:tc>
          <w:tcPr>
            <w:tcW w:w="709" w:type="dxa"/>
            <w:tcBorders>
              <w:top w:val="single" w:sz="2" w:space="0" w:color="auto"/>
              <w:left w:val="single" w:sz="2" w:space="0" w:color="auto"/>
            </w:tcBorders>
            <w:vAlign w:val="bottom"/>
          </w:tcPr>
          <w:p w:rsidR="004678FA" w:rsidRPr="004952C0" w:rsidRDefault="004678FA" w:rsidP="00470B15">
            <w:pPr>
              <w:pStyle w:val="Tabletext"/>
              <w:jc w:val="center"/>
            </w:pPr>
            <w:r w:rsidRPr="004952C0">
              <w:t>0.000</w:t>
            </w:r>
          </w:p>
        </w:tc>
        <w:tc>
          <w:tcPr>
            <w:tcW w:w="722" w:type="dxa"/>
            <w:tcBorders>
              <w:top w:val="single" w:sz="2" w:space="0" w:color="auto"/>
            </w:tcBorders>
            <w:vAlign w:val="bottom"/>
          </w:tcPr>
          <w:p w:rsidR="004678FA" w:rsidRPr="004952C0" w:rsidRDefault="004678FA" w:rsidP="00470B15">
            <w:pPr>
              <w:pStyle w:val="Tabletext"/>
              <w:jc w:val="center"/>
            </w:pPr>
            <w:r w:rsidRPr="004952C0">
              <w:t>0.017</w:t>
            </w:r>
          </w:p>
        </w:tc>
        <w:tc>
          <w:tcPr>
            <w:tcW w:w="695" w:type="dxa"/>
            <w:tcBorders>
              <w:top w:val="single" w:sz="2" w:space="0" w:color="auto"/>
            </w:tcBorders>
            <w:vAlign w:val="bottom"/>
          </w:tcPr>
          <w:p w:rsidR="004678FA" w:rsidRPr="004952C0" w:rsidRDefault="004678FA" w:rsidP="00470B15">
            <w:pPr>
              <w:pStyle w:val="Tabletext"/>
              <w:jc w:val="center"/>
            </w:pPr>
            <w:r w:rsidRPr="004952C0">
              <w:t>0.028</w:t>
            </w:r>
          </w:p>
        </w:tc>
        <w:tc>
          <w:tcPr>
            <w:tcW w:w="709" w:type="dxa"/>
            <w:tcBorders>
              <w:top w:val="single" w:sz="2" w:space="0" w:color="auto"/>
            </w:tcBorders>
            <w:vAlign w:val="bottom"/>
          </w:tcPr>
          <w:p w:rsidR="004678FA" w:rsidRPr="004952C0" w:rsidRDefault="004678FA" w:rsidP="00470B15">
            <w:pPr>
              <w:pStyle w:val="Tabletext"/>
              <w:jc w:val="center"/>
            </w:pPr>
            <w:r w:rsidRPr="004952C0">
              <w:t>0.085</w:t>
            </w:r>
          </w:p>
        </w:tc>
        <w:tc>
          <w:tcPr>
            <w:tcW w:w="709" w:type="dxa"/>
            <w:tcBorders>
              <w:top w:val="single" w:sz="2" w:space="0" w:color="auto"/>
            </w:tcBorders>
            <w:vAlign w:val="bottom"/>
          </w:tcPr>
          <w:p w:rsidR="004678FA" w:rsidRPr="004952C0" w:rsidRDefault="004678FA" w:rsidP="00470B15">
            <w:pPr>
              <w:pStyle w:val="Tabletext"/>
              <w:jc w:val="center"/>
            </w:pPr>
            <w:r w:rsidRPr="004952C0">
              <w:t>0.073</w:t>
            </w:r>
          </w:p>
        </w:tc>
        <w:tc>
          <w:tcPr>
            <w:tcW w:w="709" w:type="dxa"/>
            <w:tcBorders>
              <w:top w:val="single" w:sz="2" w:space="0" w:color="auto"/>
            </w:tcBorders>
            <w:vAlign w:val="bottom"/>
          </w:tcPr>
          <w:p w:rsidR="004678FA" w:rsidRPr="004952C0" w:rsidRDefault="004678FA" w:rsidP="00470B15">
            <w:pPr>
              <w:pStyle w:val="Tabletext"/>
              <w:jc w:val="center"/>
            </w:pPr>
            <w:r w:rsidRPr="004952C0">
              <w:t>0.140</w:t>
            </w:r>
          </w:p>
        </w:tc>
        <w:tc>
          <w:tcPr>
            <w:tcW w:w="850" w:type="dxa"/>
            <w:tcBorders>
              <w:top w:val="single" w:sz="2" w:space="0" w:color="auto"/>
            </w:tcBorders>
            <w:vAlign w:val="bottom"/>
          </w:tcPr>
          <w:p w:rsidR="004678FA" w:rsidRPr="004952C0" w:rsidRDefault="004678FA" w:rsidP="00470B15">
            <w:pPr>
              <w:pStyle w:val="Tabletext"/>
              <w:jc w:val="center"/>
            </w:pPr>
            <w:r w:rsidRPr="004952C0">
              <w:t>0.175</w:t>
            </w:r>
          </w:p>
        </w:tc>
      </w:tr>
      <w:tr w:rsidR="004952C0" w:rsidRPr="004952C0" w:rsidTr="00470B15">
        <w:trPr>
          <w:cantSplit/>
        </w:trPr>
        <w:tc>
          <w:tcPr>
            <w:tcW w:w="1843" w:type="dxa"/>
            <w:vMerge/>
            <w:tcBorders>
              <w:right w:val="single" w:sz="2" w:space="0" w:color="auto"/>
            </w:tcBorders>
          </w:tcPr>
          <w:p w:rsidR="004678FA" w:rsidRPr="004952C0" w:rsidRDefault="004678FA" w:rsidP="00050066">
            <w:pPr>
              <w:pStyle w:val="Tabletext"/>
            </w:pPr>
          </w:p>
        </w:tc>
        <w:tc>
          <w:tcPr>
            <w:tcW w:w="1134" w:type="dxa"/>
            <w:vMerge/>
            <w:tcBorders>
              <w:left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right w:val="single" w:sz="2" w:space="0" w:color="auto"/>
            </w:tcBorders>
          </w:tcPr>
          <w:p w:rsidR="004678FA" w:rsidRPr="004952C0" w:rsidRDefault="004678FA" w:rsidP="00050066">
            <w:pPr>
              <w:pStyle w:val="Tabletext"/>
            </w:pPr>
            <w:r w:rsidRPr="004952C0">
              <w:t>Cooling</w:t>
            </w:r>
          </w:p>
        </w:tc>
        <w:tc>
          <w:tcPr>
            <w:tcW w:w="709" w:type="dxa"/>
            <w:tcBorders>
              <w:left w:val="single" w:sz="2" w:space="0" w:color="auto"/>
            </w:tcBorders>
            <w:vAlign w:val="bottom"/>
          </w:tcPr>
          <w:p w:rsidR="004678FA" w:rsidRPr="004952C0" w:rsidRDefault="004678FA" w:rsidP="00470B15">
            <w:pPr>
              <w:pStyle w:val="Tabletext"/>
              <w:jc w:val="center"/>
            </w:pPr>
            <w:r w:rsidRPr="004952C0">
              <w:t>0.228</w:t>
            </w:r>
          </w:p>
        </w:tc>
        <w:tc>
          <w:tcPr>
            <w:tcW w:w="722" w:type="dxa"/>
            <w:vAlign w:val="bottom"/>
          </w:tcPr>
          <w:p w:rsidR="004678FA" w:rsidRPr="004952C0" w:rsidRDefault="004678FA" w:rsidP="00470B15">
            <w:pPr>
              <w:pStyle w:val="Tabletext"/>
              <w:jc w:val="center"/>
            </w:pPr>
            <w:r w:rsidRPr="004952C0">
              <w:t>0.194</w:t>
            </w:r>
          </w:p>
        </w:tc>
        <w:tc>
          <w:tcPr>
            <w:tcW w:w="695" w:type="dxa"/>
            <w:vAlign w:val="bottom"/>
          </w:tcPr>
          <w:p w:rsidR="004678FA" w:rsidRPr="004952C0" w:rsidRDefault="004678FA" w:rsidP="00470B15">
            <w:pPr>
              <w:pStyle w:val="Tabletext"/>
              <w:jc w:val="center"/>
            </w:pPr>
            <w:r w:rsidRPr="004952C0">
              <w:t>0.137</w:t>
            </w:r>
          </w:p>
        </w:tc>
        <w:tc>
          <w:tcPr>
            <w:tcW w:w="709" w:type="dxa"/>
            <w:vAlign w:val="bottom"/>
          </w:tcPr>
          <w:p w:rsidR="004678FA" w:rsidRPr="004952C0" w:rsidRDefault="004678FA" w:rsidP="00470B15">
            <w:pPr>
              <w:pStyle w:val="Tabletext"/>
              <w:jc w:val="center"/>
            </w:pPr>
            <w:r w:rsidRPr="004952C0">
              <w:t>0.108</w:t>
            </w:r>
          </w:p>
        </w:tc>
        <w:tc>
          <w:tcPr>
            <w:tcW w:w="709" w:type="dxa"/>
            <w:vAlign w:val="bottom"/>
          </w:tcPr>
          <w:p w:rsidR="004678FA" w:rsidRPr="004952C0" w:rsidRDefault="004678FA" w:rsidP="00470B15">
            <w:pPr>
              <w:pStyle w:val="Tabletext"/>
              <w:jc w:val="center"/>
            </w:pPr>
            <w:r w:rsidRPr="004952C0">
              <w:t>0.126</w:t>
            </w:r>
          </w:p>
        </w:tc>
        <w:tc>
          <w:tcPr>
            <w:tcW w:w="709" w:type="dxa"/>
            <w:vAlign w:val="bottom"/>
          </w:tcPr>
          <w:p w:rsidR="004678FA" w:rsidRPr="004952C0" w:rsidRDefault="004678FA" w:rsidP="00470B15">
            <w:pPr>
              <w:pStyle w:val="Tabletext"/>
              <w:jc w:val="center"/>
            </w:pPr>
            <w:r w:rsidRPr="004952C0">
              <w:t>0.059</w:t>
            </w:r>
          </w:p>
        </w:tc>
        <w:tc>
          <w:tcPr>
            <w:tcW w:w="850" w:type="dxa"/>
            <w:vAlign w:val="bottom"/>
          </w:tcPr>
          <w:p w:rsidR="004678FA" w:rsidRPr="004952C0" w:rsidRDefault="004678FA" w:rsidP="00470B15">
            <w:pPr>
              <w:pStyle w:val="Tabletext"/>
              <w:jc w:val="center"/>
            </w:pPr>
            <w:r w:rsidRPr="004952C0">
              <w:t>0.029</w:t>
            </w:r>
          </w:p>
        </w:tc>
      </w:tr>
      <w:tr w:rsidR="004952C0" w:rsidRPr="004952C0" w:rsidTr="00470B15">
        <w:trPr>
          <w:cantSplit/>
        </w:trPr>
        <w:tc>
          <w:tcPr>
            <w:tcW w:w="1843" w:type="dxa"/>
            <w:vMerge/>
            <w:tcBorders>
              <w:bottom w:val="single" w:sz="2" w:space="0" w:color="auto"/>
              <w:right w:val="single" w:sz="2" w:space="0" w:color="auto"/>
            </w:tcBorders>
          </w:tcPr>
          <w:p w:rsidR="004678FA" w:rsidRPr="004952C0" w:rsidRDefault="004678FA" w:rsidP="00050066">
            <w:pPr>
              <w:pStyle w:val="Tabletext"/>
            </w:pPr>
          </w:p>
        </w:tc>
        <w:tc>
          <w:tcPr>
            <w:tcW w:w="1134" w:type="dxa"/>
            <w:vMerge/>
            <w:tcBorders>
              <w:left w:val="single" w:sz="2" w:space="0" w:color="auto"/>
              <w:bottom w:val="single" w:sz="2" w:space="0" w:color="auto"/>
              <w:right w:val="single" w:sz="2" w:space="0" w:color="auto"/>
            </w:tcBorders>
          </w:tcPr>
          <w:p w:rsidR="004678FA" w:rsidRPr="004952C0" w:rsidRDefault="004678FA" w:rsidP="00050066">
            <w:pPr>
              <w:pStyle w:val="Tabletext"/>
              <w:jc w:val="center"/>
            </w:pPr>
          </w:p>
        </w:tc>
        <w:tc>
          <w:tcPr>
            <w:tcW w:w="992" w:type="dxa"/>
            <w:tcBorders>
              <w:left w:val="single" w:sz="2" w:space="0" w:color="auto"/>
              <w:bottom w:val="single" w:sz="2" w:space="0" w:color="auto"/>
              <w:right w:val="single" w:sz="2" w:space="0" w:color="auto"/>
            </w:tcBorders>
          </w:tcPr>
          <w:p w:rsidR="004678FA" w:rsidRPr="004952C0" w:rsidRDefault="004678FA" w:rsidP="00050066">
            <w:pPr>
              <w:pStyle w:val="Tabletext"/>
            </w:pPr>
            <w:r w:rsidRPr="004952C0">
              <w:t>Both</w:t>
            </w:r>
          </w:p>
        </w:tc>
        <w:tc>
          <w:tcPr>
            <w:tcW w:w="709" w:type="dxa"/>
            <w:tcBorders>
              <w:left w:val="single" w:sz="2" w:space="0" w:color="auto"/>
              <w:bottom w:val="single" w:sz="2" w:space="0" w:color="auto"/>
            </w:tcBorders>
            <w:vAlign w:val="bottom"/>
          </w:tcPr>
          <w:p w:rsidR="004678FA" w:rsidRPr="004952C0" w:rsidRDefault="004678FA" w:rsidP="00470B15">
            <w:pPr>
              <w:pStyle w:val="Tabletext"/>
              <w:jc w:val="center"/>
            </w:pPr>
            <w:r w:rsidRPr="004952C0">
              <w:t>0.228</w:t>
            </w:r>
          </w:p>
        </w:tc>
        <w:tc>
          <w:tcPr>
            <w:tcW w:w="722" w:type="dxa"/>
            <w:tcBorders>
              <w:bottom w:val="single" w:sz="2" w:space="0" w:color="auto"/>
            </w:tcBorders>
            <w:vAlign w:val="bottom"/>
          </w:tcPr>
          <w:p w:rsidR="004678FA" w:rsidRPr="004952C0" w:rsidRDefault="004678FA" w:rsidP="00470B15">
            <w:pPr>
              <w:pStyle w:val="Tabletext"/>
              <w:jc w:val="center"/>
            </w:pPr>
            <w:r w:rsidRPr="004952C0">
              <w:t>0.207</w:t>
            </w:r>
          </w:p>
        </w:tc>
        <w:tc>
          <w:tcPr>
            <w:tcW w:w="695" w:type="dxa"/>
            <w:tcBorders>
              <w:bottom w:val="single" w:sz="2" w:space="0" w:color="auto"/>
            </w:tcBorders>
            <w:vAlign w:val="bottom"/>
          </w:tcPr>
          <w:p w:rsidR="004678FA" w:rsidRPr="004952C0" w:rsidRDefault="004678FA" w:rsidP="00470B15">
            <w:pPr>
              <w:pStyle w:val="Tabletext"/>
              <w:jc w:val="center"/>
            </w:pPr>
            <w:r w:rsidRPr="004952C0">
              <w:t>0.164</w:t>
            </w:r>
          </w:p>
        </w:tc>
        <w:tc>
          <w:tcPr>
            <w:tcW w:w="709" w:type="dxa"/>
            <w:tcBorders>
              <w:bottom w:val="single" w:sz="2" w:space="0" w:color="auto"/>
            </w:tcBorders>
            <w:vAlign w:val="bottom"/>
          </w:tcPr>
          <w:p w:rsidR="004678FA" w:rsidRPr="004952C0" w:rsidRDefault="004678FA" w:rsidP="00470B15">
            <w:pPr>
              <w:pStyle w:val="Tabletext"/>
              <w:jc w:val="center"/>
            </w:pPr>
            <w:r w:rsidRPr="004952C0">
              <w:t>0.190</w:t>
            </w:r>
          </w:p>
        </w:tc>
        <w:tc>
          <w:tcPr>
            <w:tcW w:w="709" w:type="dxa"/>
            <w:tcBorders>
              <w:bottom w:val="single" w:sz="2" w:space="0" w:color="auto"/>
            </w:tcBorders>
            <w:vAlign w:val="bottom"/>
          </w:tcPr>
          <w:p w:rsidR="004678FA" w:rsidRPr="004952C0" w:rsidRDefault="004678FA" w:rsidP="00470B15">
            <w:pPr>
              <w:pStyle w:val="Tabletext"/>
              <w:jc w:val="center"/>
            </w:pPr>
            <w:r w:rsidRPr="004952C0">
              <w:t>0.196</w:t>
            </w:r>
          </w:p>
        </w:tc>
        <w:tc>
          <w:tcPr>
            <w:tcW w:w="709" w:type="dxa"/>
            <w:tcBorders>
              <w:bottom w:val="single" w:sz="2" w:space="0" w:color="auto"/>
            </w:tcBorders>
            <w:vAlign w:val="bottom"/>
          </w:tcPr>
          <w:p w:rsidR="004678FA" w:rsidRPr="004952C0" w:rsidRDefault="004678FA" w:rsidP="00470B15">
            <w:pPr>
              <w:pStyle w:val="Tabletext"/>
              <w:jc w:val="center"/>
            </w:pPr>
            <w:r w:rsidRPr="004952C0">
              <w:t>0.194</w:t>
            </w:r>
          </w:p>
        </w:tc>
        <w:tc>
          <w:tcPr>
            <w:tcW w:w="850" w:type="dxa"/>
            <w:tcBorders>
              <w:bottom w:val="single" w:sz="2" w:space="0" w:color="auto"/>
            </w:tcBorders>
            <w:vAlign w:val="bottom"/>
          </w:tcPr>
          <w:p w:rsidR="004678FA" w:rsidRPr="004952C0" w:rsidRDefault="004678FA" w:rsidP="00470B15">
            <w:pPr>
              <w:pStyle w:val="Tabletext"/>
              <w:jc w:val="center"/>
            </w:pPr>
            <w:r w:rsidRPr="004952C0">
              <w:t>0.201</w:t>
            </w:r>
          </w:p>
        </w:tc>
      </w:tr>
      <w:tr w:rsidR="004952C0" w:rsidRPr="004952C0" w:rsidTr="00470B15">
        <w:trPr>
          <w:cantSplit/>
        </w:trPr>
        <w:tc>
          <w:tcPr>
            <w:tcW w:w="1843" w:type="dxa"/>
            <w:vMerge w:val="restart"/>
            <w:tcBorders>
              <w:top w:val="single" w:sz="2" w:space="0" w:color="auto"/>
              <w:right w:val="single" w:sz="2" w:space="0" w:color="auto"/>
            </w:tcBorders>
          </w:tcPr>
          <w:p w:rsidR="004678FA" w:rsidRPr="004952C0" w:rsidRDefault="00762804" w:rsidP="00F71EAD">
            <w:pPr>
              <w:pStyle w:val="Tabletext"/>
            </w:pPr>
            <w:r w:rsidRPr="004952C0">
              <w:t>BCA c</w:t>
            </w:r>
            <w:r w:rsidR="004678FA" w:rsidRPr="004952C0">
              <w:t>lass 9c (aged care)</w:t>
            </w:r>
          </w:p>
        </w:tc>
        <w:tc>
          <w:tcPr>
            <w:tcW w:w="1134" w:type="dxa"/>
            <w:vMerge w:val="restart"/>
            <w:tcBorders>
              <w:top w:val="single" w:sz="2" w:space="0" w:color="auto"/>
              <w:left w:val="single" w:sz="2" w:space="0" w:color="auto"/>
              <w:right w:val="single" w:sz="2" w:space="0" w:color="auto"/>
            </w:tcBorders>
          </w:tcPr>
          <w:p w:rsidR="004678FA" w:rsidRPr="004952C0" w:rsidRDefault="004678FA" w:rsidP="00050066">
            <w:pPr>
              <w:pStyle w:val="Tabletext"/>
              <w:jc w:val="center"/>
            </w:pPr>
            <w:r w:rsidRPr="004952C0">
              <w:t>0.72</w:t>
            </w:r>
          </w:p>
        </w:tc>
        <w:tc>
          <w:tcPr>
            <w:tcW w:w="992" w:type="dxa"/>
            <w:tcBorders>
              <w:top w:val="single" w:sz="2" w:space="0" w:color="auto"/>
              <w:left w:val="single" w:sz="2" w:space="0" w:color="auto"/>
              <w:right w:val="single" w:sz="2" w:space="0" w:color="auto"/>
            </w:tcBorders>
          </w:tcPr>
          <w:p w:rsidR="004678FA" w:rsidRPr="004952C0" w:rsidRDefault="004678FA" w:rsidP="00050066">
            <w:pPr>
              <w:pStyle w:val="Tabletext"/>
            </w:pPr>
            <w:r w:rsidRPr="004952C0">
              <w:t>Heating</w:t>
            </w:r>
          </w:p>
        </w:tc>
        <w:tc>
          <w:tcPr>
            <w:tcW w:w="709" w:type="dxa"/>
            <w:tcBorders>
              <w:top w:val="single" w:sz="2" w:space="0" w:color="auto"/>
              <w:left w:val="single" w:sz="2" w:space="0" w:color="auto"/>
            </w:tcBorders>
            <w:vAlign w:val="bottom"/>
          </w:tcPr>
          <w:p w:rsidR="004678FA" w:rsidRPr="004952C0" w:rsidRDefault="004678FA" w:rsidP="00470B15">
            <w:pPr>
              <w:pStyle w:val="Tabletext"/>
              <w:jc w:val="center"/>
            </w:pPr>
            <w:r w:rsidRPr="004952C0">
              <w:t>0.008</w:t>
            </w:r>
          </w:p>
        </w:tc>
        <w:tc>
          <w:tcPr>
            <w:tcW w:w="722" w:type="dxa"/>
            <w:tcBorders>
              <w:top w:val="single" w:sz="2" w:space="0" w:color="auto"/>
            </w:tcBorders>
            <w:vAlign w:val="bottom"/>
          </w:tcPr>
          <w:p w:rsidR="004678FA" w:rsidRPr="004952C0" w:rsidRDefault="004678FA" w:rsidP="00470B15">
            <w:pPr>
              <w:pStyle w:val="Tabletext"/>
              <w:jc w:val="center"/>
            </w:pPr>
            <w:r w:rsidRPr="004952C0">
              <w:t>0.194</w:t>
            </w:r>
          </w:p>
        </w:tc>
        <w:tc>
          <w:tcPr>
            <w:tcW w:w="695" w:type="dxa"/>
            <w:tcBorders>
              <w:top w:val="single" w:sz="2" w:space="0" w:color="auto"/>
            </w:tcBorders>
            <w:vAlign w:val="bottom"/>
          </w:tcPr>
          <w:p w:rsidR="004678FA" w:rsidRPr="004952C0" w:rsidRDefault="004678FA" w:rsidP="00470B15">
            <w:pPr>
              <w:pStyle w:val="Tabletext"/>
              <w:jc w:val="center"/>
            </w:pPr>
            <w:r w:rsidRPr="004952C0">
              <w:t>0.184</w:t>
            </w:r>
          </w:p>
        </w:tc>
        <w:tc>
          <w:tcPr>
            <w:tcW w:w="709" w:type="dxa"/>
            <w:tcBorders>
              <w:top w:val="single" w:sz="2" w:space="0" w:color="auto"/>
            </w:tcBorders>
            <w:vAlign w:val="bottom"/>
          </w:tcPr>
          <w:p w:rsidR="004678FA" w:rsidRPr="004952C0" w:rsidRDefault="004678FA" w:rsidP="00470B15">
            <w:pPr>
              <w:pStyle w:val="Tabletext"/>
              <w:jc w:val="center"/>
            </w:pPr>
            <w:r w:rsidRPr="004952C0">
              <w:t>0.380</w:t>
            </w:r>
          </w:p>
        </w:tc>
        <w:tc>
          <w:tcPr>
            <w:tcW w:w="709" w:type="dxa"/>
            <w:tcBorders>
              <w:top w:val="single" w:sz="2" w:space="0" w:color="auto"/>
            </w:tcBorders>
            <w:vAlign w:val="bottom"/>
          </w:tcPr>
          <w:p w:rsidR="004678FA" w:rsidRPr="004952C0" w:rsidRDefault="004678FA" w:rsidP="00470B15">
            <w:pPr>
              <w:pStyle w:val="Tabletext"/>
              <w:jc w:val="center"/>
            </w:pPr>
            <w:r w:rsidRPr="004952C0">
              <w:t>0.355</w:t>
            </w:r>
          </w:p>
        </w:tc>
        <w:tc>
          <w:tcPr>
            <w:tcW w:w="709" w:type="dxa"/>
            <w:tcBorders>
              <w:top w:val="single" w:sz="2" w:space="0" w:color="auto"/>
            </w:tcBorders>
            <w:vAlign w:val="bottom"/>
          </w:tcPr>
          <w:p w:rsidR="004678FA" w:rsidRPr="004952C0" w:rsidRDefault="004678FA" w:rsidP="00470B15">
            <w:pPr>
              <w:pStyle w:val="Tabletext"/>
              <w:jc w:val="center"/>
            </w:pPr>
            <w:r w:rsidRPr="004952C0">
              <w:t>0.527</w:t>
            </w:r>
          </w:p>
        </w:tc>
        <w:tc>
          <w:tcPr>
            <w:tcW w:w="850" w:type="dxa"/>
            <w:tcBorders>
              <w:top w:val="single" w:sz="2" w:space="0" w:color="auto"/>
            </w:tcBorders>
            <w:vAlign w:val="bottom"/>
          </w:tcPr>
          <w:p w:rsidR="004678FA" w:rsidRPr="004952C0" w:rsidRDefault="004678FA" w:rsidP="00470B15">
            <w:pPr>
              <w:pStyle w:val="Tabletext"/>
              <w:jc w:val="center"/>
            </w:pPr>
            <w:r w:rsidRPr="004952C0">
              <w:t>0.619</w:t>
            </w:r>
          </w:p>
        </w:tc>
      </w:tr>
      <w:tr w:rsidR="004952C0" w:rsidRPr="004952C0" w:rsidTr="00470B15">
        <w:trPr>
          <w:cantSplit/>
        </w:trPr>
        <w:tc>
          <w:tcPr>
            <w:tcW w:w="1843" w:type="dxa"/>
            <w:vMerge/>
            <w:tcBorders>
              <w:right w:val="single" w:sz="2" w:space="0" w:color="auto"/>
            </w:tcBorders>
          </w:tcPr>
          <w:p w:rsidR="004678FA" w:rsidRPr="004952C0" w:rsidRDefault="004678FA" w:rsidP="00050066">
            <w:pPr>
              <w:pStyle w:val="Tabletext"/>
            </w:pPr>
          </w:p>
        </w:tc>
        <w:tc>
          <w:tcPr>
            <w:tcW w:w="1134" w:type="dxa"/>
            <w:vMerge/>
            <w:tcBorders>
              <w:left w:val="single" w:sz="2" w:space="0" w:color="auto"/>
              <w:right w:val="single" w:sz="2" w:space="0" w:color="auto"/>
            </w:tcBorders>
          </w:tcPr>
          <w:p w:rsidR="004678FA" w:rsidRPr="004952C0" w:rsidRDefault="004678FA" w:rsidP="00050066">
            <w:pPr>
              <w:pStyle w:val="Tabletext"/>
            </w:pPr>
          </w:p>
        </w:tc>
        <w:tc>
          <w:tcPr>
            <w:tcW w:w="992" w:type="dxa"/>
            <w:tcBorders>
              <w:left w:val="single" w:sz="2" w:space="0" w:color="auto"/>
              <w:right w:val="single" w:sz="2" w:space="0" w:color="auto"/>
            </w:tcBorders>
          </w:tcPr>
          <w:p w:rsidR="004678FA" w:rsidRPr="004952C0" w:rsidRDefault="004678FA" w:rsidP="00050066">
            <w:pPr>
              <w:pStyle w:val="Tabletext"/>
            </w:pPr>
            <w:r w:rsidRPr="004952C0">
              <w:t>Cooling</w:t>
            </w:r>
          </w:p>
        </w:tc>
        <w:tc>
          <w:tcPr>
            <w:tcW w:w="709" w:type="dxa"/>
            <w:tcBorders>
              <w:left w:val="single" w:sz="2" w:space="0" w:color="auto"/>
            </w:tcBorders>
            <w:vAlign w:val="bottom"/>
          </w:tcPr>
          <w:p w:rsidR="004678FA" w:rsidRPr="004952C0" w:rsidRDefault="004678FA" w:rsidP="00470B15">
            <w:pPr>
              <w:pStyle w:val="Tabletext"/>
              <w:jc w:val="center"/>
            </w:pPr>
            <w:r w:rsidRPr="004952C0">
              <w:t>0.690</w:t>
            </w:r>
          </w:p>
        </w:tc>
        <w:tc>
          <w:tcPr>
            <w:tcW w:w="722" w:type="dxa"/>
            <w:vAlign w:val="bottom"/>
          </w:tcPr>
          <w:p w:rsidR="004678FA" w:rsidRPr="004952C0" w:rsidRDefault="004678FA" w:rsidP="00470B15">
            <w:pPr>
              <w:pStyle w:val="Tabletext"/>
              <w:jc w:val="center"/>
            </w:pPr>
            <w:r w:rsidRPr="004952C0">
              <w:t>0.511</w:t>
            </w:r>
          </w:p>
        </w:tc>
        <w:tc>
          <w:tcPr>
            <w:tcW w:w="695" w:type="dxa"/>
            <w:vAlign w:val="bottom"/>
          </w:tcPr>
          <w:p w:rsidR="004678FA" w:rsidRPr="004952C0" w:rsidRDefault="004678FA" w:rsidP="00470B15">
            <w:pPr>
              <w:pStyle w:val="Tabletext"/>
              <w:jc w:val="center"/>
            </w:pPr>
            <w:r w:rsidRPr="004952C0">
              <w:t>0.352</w:t>
            </w:r>
          </w:p>
        </w:tc>
        <w:tc>
          <w:tcPr>
            <w:tcW w:w="709" w:type="dxa"/>
            <w:vAlign w:val="bottom"/>
          </w:tcPr>
          <w:p w:rsidR="004678FA" w:rsidRPr="004952C0" w:rsidRDefault="004678FA" w:rsidP="00470B15">
            <w:pPr>
              <w:pStyle w:val="Tabletext"/>
              <w:jc w:val="center"/>
            </w:pPr>
            <w:r w:rsidRPr="004952C0">
              <w:t>0.247</w:t>
            </w:r>
          </w:p>
        </w:tc>
        <w:tc>
          <w:tcPr>
            <w:tcW w:w="709" w:type="dxa"/>
            <w:vAlign w:val="bottom"/>
          </w:tcPr>
          <w:p w:rsidR="004678FA" w:rsidRPr="004952C0" w:rsidRDefault="004678FA" w:rsidP="00470B15">
            <w:pPr>
              <w:pStyle w:val="Tabletext"/>
              <w:jc w:val="center"/>
            </w:pPr>
            <w:r w:rsidRPr="004952C0">
              <w:t>0.303</w:t>
            </w:r>
          </w:p>
        </w:tc>
        <w:tc>
          <w:tcPr>
            <w:tcW w:w="709" w:type="dxa"/>
            <w:vAlign w:val="bottom"/>
          </w:tcPr>
          <w:p w:rsidR="004678FA" w:rsidRPr="004952C0" w:rsidRDefault="004678FA" w:rsidP="00470B15">
            <w:pPr>
              <w:pStyle w:val="Tabletext"/>
              <w:jc w:val="center"/>
            </w:pPr>
            <w:r w:rsidRPr="004952C0">
              <w:t>0.138</w:t>
            </w:r>
          </w:p>
        </w:tc>
        <w:tc>
          <w:tcPr>
            <w:tcW w:w="850" w:type="dxa"/>
            <w:vAlign w:val="bottom"/>
          </w:tcPr>
          <w:p w:rsidR="004678FA" w:rsidRPr="004952C0" w:rsidRDefault="004678FA" w:rsidP="00470B15">
            <w:pPr>
              <w:pStyle w:val="Tabletext"/>
              <w:jc w:val="center"/>
            </w:pPr>
            <w:r w:rsidRPr="004952C0">
              <w:t>0.059</w:t>
            </w:r>
          </w:p>
        </w:tc>
      </w:tr>
      <w:tr w:rsidR="004952C0" w:rsidRPr="004952C0" w:rsidTr="00470B15">
        <w:trPr>
          <w:cantSplit/>
        </w:trPr>
        <w:tc>
          <w:tcPr>
            <w:tcW w:w="1843" w:type="dxa"/>
            <w:vMerge/>
            <w:tcBorders>
              <w:bottom w:val="single" w:sz="12" w:space="0" w:color="auto"/>
              <w:right w:val="single" w:sz="2" w:space="0" w:color="auto"/>
            </w:tcBorders>
          </w:tcPr>
          <w:p w:rsidR="004678FA" w:rsidRPr="004952C0" w:rsidRDefault="004678FA" w:rsidP="00050066">
            <w:pPr>
              <w:pStyle w:val="Tabletext"/>
            </w:pPr>
          </w:p>
        </w:tc>
        <w:tc>
          <w:tcPr>
            <w:tcW w:w="1134" w:type="dxa"/>
            <w:vMerge/>
            <w:tcBorders>
              <w:left w:val="single" w:sz="2" w:space="0" w:color="auto"/>
              <w:bottom w:val="single" w:sz="12" w:space="0" w:color="auto"/>
              <w:right w:val="single" w:sz="2" w:space="0" w:color="auto"/>
            </w:tcBorders>
          </w:tcPr>
          <w:p w:rsidR="004678FA" w:rsidRPr="004952C0" w:rsidRDefault="004678FA" w:rsidP="00050066">
            <w:pPr>
              <w:pStyle w:val="Tabletext"/>
            </w:pPr>
          </w:p>
        </w:tc>
        <w:tc>
          <w:tcPr>
            <w:tcW w:w="992" w:type="dxa"/>
            <w:tcBorders>
              <w:left w:val="single" w:sz="2" w:space="0" w:color="auto"/>
              <w:bottom w:val="single" w:sz="12" w:space="0" w:color="auto"/>
              <w:right w:val="single" w:sz="2" w:space="0" w:color="auto"/>
            </w:tcBorders>
          </w:tcPr>
          <w:p w:rsidR="004678FA" w:rsidRPr="004952C0" w:rsidRDefault="004678FA" w:rsidP="00050066">
            <w:pPr>
              <w:pStyle w:val="Tabletext"/>
            </w:pPr>
            <w:r w:rsidRPr="004952C0">
              <w:t>Both</w:t>
            </w:r>
          </w:p>
        </w:tc>
        <w:tc>
          <w:tcPr>
            <w:tcW w:w="709" w:type="dxa"/>
            <w:tcBorders>
              <w:left w:val="single" w:sz="2" w:space="0" w:color="auto"/>
              <w:bottom w:val="single" w:sz="12" w:space="0" w:color="auto"/>
            </w:tcBorders>
            <w:vAlign w:val="bottom"/>
          </w:tcPr>
          <w:p w:rsidR="004678FA" w:rsidRPr="004952C0" w:rsidRDefault="004678FA" w:rsidP="00470B15">
            <w:pPr>
              <w:pStyle w:val="Tabletext"/>
              <w:jc w:val="center"/>
            </w:pPr>
            <w:r w:rsidRPr="004952C0">
              <w:t>0.694</w:t>
            </w:r>
          </w:p>
        </w:tc>
        <w:tc>
          <w:tcPr>
            <w:tcW w:w="722" w:type="dxa"/>
            <w:tcBorders>
              <w:bottom w:val="single" w:sz="12" w:space="0" w:color="auto"/>
            </w:tcBorders>
            <w:vAlign w:val="bottom"/>
          </w:tcPr>
          <w:p w:rsidR="004678FA" w:rsidRPr="004952C0" w:rsidRDefault="004678FA" w:rsidP="00470B15">
            <w:pPr>
              <w:pStyle w:val="Tabletext"/>
              <w:jc w:val="center"/>
            </w:pPr>
            <w:r w:rsidRPr="004952C0">
              <w:t>0.675</w:t>
            </w:r>
          </w:p>
        </w:tc>
        <w:tc>
          <w:tcPr>
            <w:tcW w:w="695" w:type="dxa"/>
            <w:tcBorders>
              <w:bottom w:val="single" w:sz="12" w:space="0" w:color="auto"/>
            </w:tcBorders>
            <w:vAlign w:val="bottom"/>
          </w:tcPr>
          <w:p w:rsidR="004678FA" w:rsidRPr="004952C0" w:rsidRDefault="004678FA" w:rsidP="00470B15">
            <w:pPr>
              <w:pStyle w:val="Tabletext"/>
              <w:jc w:val="center"/>
            </w:pPr>
            <w:r w:rsidRPr="004952C0">
              <w:t>0.528</w:t>
            </w:r>
          </w:p>
        </w:tc>
        <w:tc>
          <w:tcPr>
            <w:tcW w:w="709" w:type="dxa"/>
            <w:tcBorders>
              <w:bottom w:val="single" w:sz="12" w:space="0" w:color="auto"/>
            </w:tcBorders>
            <w:vAlign w:val="bottom"/>
          </w:tcPr>
          <w:p w:rsidR="004678FA" w:rsidRPr="004952C0" w:rsidRDefault="004678FA" w:rsidP="00470B15">
            <w:pPr>
              <w:pStyle w:val="Tabletext"/>
              <w:jc w:val="center"/>
            </w:pPr>
            <w:r w:rsidRPr="004952C0">
              <w:t>0.608</w:t>
            </w:r>
          </w:p>
        </w:tc>
        <w:tc>
          <w:tcPr>
            <w:tcW w:w="709" w:type="dxa"/>
            <w:tcBorders>
              <w:bottom w:val="single" w:sz="12" w:space="0" w:color="auto"/>
            </w:tcBorders>
            <w:vAlign w:val="bottom"/>
          </w:tcPr>
          <w:p w:rsidR="004678FA" w:rsidRPr="004952C0" w:rsidRDefault="004678FA" w:rsidP="00470B15">
            <w:pPr>
              <w:pStyle w:val="Tabletext"/>
              <w:jc w:val="center"/>
            </w:pPr>
            <w:r w:rsidRPr="004952C0">
              <w:t>0.639</w:t>
            </w:r>
          </w:p>
        </w:tc>
        <w:tc>
          <w:tcPr>
            <w:tcW w:w="709" w:type="dxa"/>
            <w:tcBorders>
              <w:bottom w:val="single" w:sz="12" w:space="0" w:color="auto"/>
            </w:tcBorders>
            <w:vAlign w:val="bottom"/>
          </w:tcPr>
          <w:p w:rsidR="004678FA" w:rsidRPr="004952C0" w:rsidRDefault="004678FA" w:rsidP="00470B15">
            <w:pPr>
              <w:pStyle w:val="Tabletext"/>
              <w:jc w:val="center"/>
            </w:pPr>
            <w:r w:rsidRPr="004952C0">
              <w:t>0.642</w:t>
            </w:r>
          </w:p>
        </w:tc>
        <w:tc>
          <w:tcPr>
            <w:tcW w:w="850" w:type="dxa"/>
            <w:tcBorders>
              <w:bottom w:val="single" w:sz="12" w:space="0" w:color="auto"/>
            </w:tcBorders>
            <w:vAlign w:val="bottom"/>
          </w:tcPr>
          <w:p w:rsidR="004678FA" w:rsidRPr="004952C0" w:rsidRDefault="004678FA" w:rsidP="00470B15">
            <w:pPr>
              <w:pStyle w:val="Tabletext"/>
              <w:jc w:val="center"/>
            </w:pPr>
            <w:r w:rsidRPr="004952C0">
              <w:t>0.668</w:t>
            </w:r>
          </w:p>
        </w:tc>
      </w:tr>
    </w:tbl>
    <w:p w:rsidR="0045496E" w:rsidRPr="004952C0" w:rsidRDefault="00FE4F8F" w:rsidP="0045496E">
      <w:pPr>
        <w:pStyle w:val="h1Chap"/>
      </w:pPr>
      <w:bookmarkStart w:id="133" w:name="_Toc418869745"/>
      <w:bookmarkStart w:id="134" w:name="_Toc420940773"/>
      <w:bookmarkStart w:id="135" w:name="_Toc431466322"/>
      <w:r w:rsidRPr="004952C0">
        <w:lastRenderedPageBreak/>
        <w:t>Schedule 3</w:t>
      </w:r>
      <w:r w:rsidR="0045496E" w:rsidRPr="004952C0">
        <w:t>—High efficiency fan installations—transmission efficiency</w:t>
      </w:r>
      <w:bookmarkEnd w:id="133"/>
      <w:bookmarkEnd w:id="134"/>
      <w:bookmarkEnd w:id="135"/>
    </w:p>
    <w:p w:rsidR="0045496E" w:rsidRPr="004952C0" w:rsidRDefault="0045496E" w:rsidP="0045496E">
      <w:pPr>
        <w:rPr>
          <w:lang w:eastAsia="en-AU"/>
        </w:rPr>
      </w:pPr>
    </w:p>
    <w:p w:rsidR="0045496E" w:rsidRPr="004952C0" w:rsidRDefault="0045496E" w:rsidP="0045496E">
      <w:pPr>
        <w:pStyle w:val="tMain"/>
      </w:pPr>
      <w:r w:rsidRPr="004952C0">
        <w:tab/>
        <w:t>(1)</w:t>
      </w:r>
      <w:r w:rsidRPr="004952C0">
        <w:tab/>
        <w:t>For equation 4 and equation 15 (section </w:t>
      </w:r>
      <w:r w:rsidR="00934AC6" w:rsidRPr="004952C0">
        <w:t>28</w:t>
      </w:r>
      <w:r w:rsidRPr="004952C0">
        <w:t xml:space="preserve"> of this determination and section </w:t>
      </w:r>
      <w:r w:rsidR="00934AC6" w:rsidRPr="004952C0">
        <w:t>4</w:t>
      </w:r>
      <w:r w:rsidRPr="004952C0">
        <w:t xml:space="preserve"> of </w:t>
      </w:r>
      <w:r w:rsidR="00934AC6" w:rsidRPr="004952C0">
        <w:t>Schedule 1</w:t>
      </w:r>
      <w:r w:rsidRPr="004952C0">
        <w:t xml:space="preserve">), for the definition of </w:t>
      </w:r>
      <w:proofErr w:type="spellStart"/>
      <w:r w:rsidRPr="004952C0">
        <w:rPr>
          <w:i/>
        </w:rPr>
        <w:t>η</w:t>
      </w:r>
      <w:r w:rsidRPr="004952C0">
        <w:rPr>
          <w:i/>
          <w:vertAlign w:val="subscript"/>
        </w:rPr>
        <w:t>T</w:t>
      </w:r>
      <w:proofErr w:type="gramStart"/>
      <w:r w:rsidRPr="004952C0">
        <w:rPr>
          <w:i/>
          <w:vertAlign w:val="subscript"/>
        </w:rPr>
        <w:t>,i</w:t>
      </w:r>
      <w:proofErr w:type="spellEnd"/>
      <w:proofErr w:type="gramEnd"/>
      <w:r w:rsidRPr="004952C0">
        <w:t xml:space="preserve">, if the </w:t>
      </w:r>
      <w:proofErr w:type="spellStart"/>
      <w:r w:rsidRPr="004952C0">
        <w:rPr>
          <w:i/>
        </w:rPr>
        <w:t>i</w:t>
      </w:r>
      <w:r w:rsidRPr="004952C0">
        <w:rPr>
          <w:vertAlign w:val="superscript"/>
        </w:rPr>
        <w:t>th</w:t>
      </w:r>
      <w:proofErr w:type="spellEnd"/>
      <w:r w:rsidRPr="004952C0">
        <w:t xml:space="preserve"> fan has:</w:t>
      </w:r>
    </w:p>
    <w:p w:rsidR="0045496E" w:rsidRPr="004952C0" w:rsidRDefault="0045496E" w:rsidP="0045496E">
      <w:pPr>
        <w:pStyle w:val="tPara"/>
      </w:pPr>
      <w:r w:rsidRPr="004952C0">
        <w:tab/>
        <w:t>(a)</w:t>
      </w:r>
      <w:r w:rsidRPr="004952C0">
        <w:tab/>
      </w:r>
      <w:proofErr w:type="gramStart"/>
      <w:r w:rsidRPr="004952C0">
        <w:t>a</w:t>
      </w:r>
      <w:proofErr w:type="gramEnd"/>
      <w:r w:rsidRPr="004952C0">
        <w:t xml:space="preserve"> transmission type indicated in the table below; and</w:t>
      </w:r>
    </w:p>
    <w:p w:rsidR="0045496E" w:rsidRPr="004952C0" w:rsidRDefault="0045496E" w:rsidP="0045496E">
      <w:pPr>
        <w:pStyle w:val="tPara"/>
      </w:pPr>
      <w:r w:rsidRPr="004952C0">
        <w:tab/>
        <w:t>(b)</w:t>
      </w:r>
      <w:r w:rsidRPr="004952C0">
        <w:tab/>
      </w:r>
      <w:proofErr w:type="gramStart"/>
      <w:r w:rsidRPr="004952C0">
        <w:t>a</w:t>
      </w:r>
      <w:proofErr w:type="gramEnd"/>
      <w:r w:rsidRPr="004952C0">
        <w:t xml:space="preserve"> mechanical power supplied to the fan impeller (</w:t>
      </w:r>
      <w:proofErr w:type="spellStart"/>
      <w:r w:rsidRPr="004952C0">
        <w:rPr>
          <w:i/>
        </w:rPr>
        <w:t>P</w:t>
      </w:r>
      <w:r w:rsidRPr="004952C0">
        <w:rPr>
          <w:i/>
          <w:vertAlign w:val="subscript"/>
        </w:rPr>
        <w:t>M,i</w:t>
      </w:r>
      <w:proofErr w:type="spellEnd"/>
      <w:r w:rsidRPr="004952C0">
        <w:t>) within a range indicated in the table;</w:t>
      </w:r>
    </w:p>
    <w:p w:rsidR="0045496E" w:rsidRPr="004952C0" w:rsidRDefault="0045496E" w:rsidP="0045496E">
      <w:pPr>
        <w:pStyle w:val="tMain"/>
        <w:spacing w:before="40"/>
      </w:pPr>
      <w:r w:rsidRPr="004952C0">
        <w:tab/>
      </w:r>
      <w:r w:rsidRPr="004952C0">
        <w:tab/>
      </w:r>
      <w:proofErr w:type="gramStart"/>
      <w:r w:rsidRPr="004952C0">
        <w:t>the</w:t>
      </w:r>
      <w:proofErr w:type="gramEnd"/>
      <w:r w:rsidRPr="004952C0">
        <w:t xml:space="preserve"> transmission efficiency of the transmission of the fan (</w:t>
      </w:r>
      <w:r w:rsidRPr="004952C0">
        <w:rPr>
          <w:rFonts w:ascii="Cambria Math" w:hAnsi="Cambria Math"/>
          <w:i/>
        </w:rPr>
        <w:t>𝜂</w:t>
      </w:r>
      <w:proofErr w:type="spellStart"/>
      <w:r w:rsidRPr="004952C0">
        <w:rPr>
          <w:i/>
          <w:vertAlign w:val="subscript"/>
        </w:rPr>
        <w:t>T,i</w:t>
      </w:r>
      <w:proofErr w:type="spellEnd"/>
      <w:r w:rsidRPr="004952C0">
        <w:t>) is given by the corresponding entry in the table.</w:t>
      </w:r>
    </w:p>
    <w:p w:rsidR="0045496E" w:rsidRPr="004952C0" w:rsidRDefault="0045496E" w:rsidP="0045496E">
      <w:pPr>
        <w:pStyle w:val="tMain"/>
      </w:pPr>
    </w:p>
    <w:tbl>
      <w:tblPr>
        <w:tblW w:w="4634" w:type="pct"/>
        <w:tblLook w:val="04A0"/>
      </w:tblPr>
      <w:tblGrid>
        <w:gridCol w:w="1953"/>
        <w:gridCol w:w="2126"/>
        <w:gridCol w:w="2285"/>
        <w:gridCol w:w="2201"/>
      </w:tblGrid>
      <w:tr w:rsidR="004952C0" w:rsidRPr="004952C0" w:rsidTr="005634D0">
        <w:tc>
          <w:tcPr>
            <w:tcW w:w="5000" w:type="pct"/>
            <w:gridSpan w:val="4"/>
            <w:tcBorders>
              <w:top w:val="nil"/>
              <w:left w:val="nil"/>
              <w:bottom w:val="single" w:sz="12" w:space="0" w:color="auto"/>
              <w:right w:val="nil"/>
            </w:tcBorders>
          </w:tcPr>
          <w:p w:rsidR="0045496E" w:rsidRPr="004952C0" w:rsidRDefault="0045496E" w:rsidP="005634D0">
            <w:pPr>
              <w:pStyle w:val="TableHeading"/>
              <w:spacing w:before="120" w:after="60"/>
              <w:jc w:val="center"/>
            </w:pPr>
            <w:r w:rsidRPr="004952C0">
              <w:t>High efficiency fan installations:</w:t>
            </w:r>
            <w:r w:rsidRPr="004952C0">
              <w:br/>
              <w:t>Transmission efficiency</w:t>
            </w:r>
          </w:p>
        </w:tc>
      </w:tr>
      <w:tr w:rsidR="004952C0" w:rsidRPr="004952C0" w:rsidTr="00817211">
        <w:tc>
          <w:tcPr>
            <w:tcW w:w="1140" w:type="pct"/>
            <w:tcBorders>
              <w:top w:val="nil"/>
              <w:left w:val="nil"/>
              <w:bottom w:val="single" w:sz="12" w:space="0" w:color="auto"/>
              <w:right w:val="nil"/>
            </w:tcBorders>
          </w:tcPr>
          <w:p w:rsidR="00817211" w:rsidRPr="004952C0" w:rsidRDefault="00817211" w:rsidP="005634D0">
            <w:pPr>
              <w:pStyle w:val="TableHeading"/>
            </w:pPr>
          </w:p>
        </w:tc>
        <w:tc>
          <w:tcPr>
            <w:tcW w:w="3860" w:type="pct"/>
            <w:gridSpan w:val="3"/>
            <w:tcBorders>
              <w:top w:val="nil"/>
              <w:left w:val="nil"/>
              <w:bottom w:val="single" w:sz="12" w:space="0" w:color="auto"/>
              <w:right w:val="nil"/>
            </w:tcBorders>
          </w:tcPr>
          <w:p w:rsidR="00817211" w:rsidRPr="004952C0" w:rsidRDefault="00817211" w:rsidP="00817211">
            <w:pPr>
              <w:pStyle w:val="TableHeading"/>
              <w:spacing w:before="120" w:after="60"/>
              <w:jc w:val="center"/>
            </w:pPr>
            <w:r w:rsidRPr="004952C0">
              <w:t>Transmission efficiency (</w:t>
            </w:r>
            <w:r w:rsidRPr="004952C0">
              <w:rPr>
                <w:rFonts w:ascii="Cambria Math" w:hAnsi="Cambria Math"/>
                <w:i/>
              </w:rPr>
              <w:t>𝜂</w:t>
            </w:r>
            <w:proofErr w:type="spellStart"/>
            <w:r w:rsidRPr="004952C0">
              <w:rPr>
                <w:i/>
                <w:vertAlign w:val="subscript"/>
              </w:rPr>
              <w:t>T,i</w:t>
            </w:r>
            <w:proofErr w:type="spellEnd"/>
            <w:r w:rsidRPr="004952C0">
              <w:t>)</w:t>
            </w:r>
          </w:p>
        </w:tc>
      </w:tr>
      <w:tr w:rsidR="004952C0" w:rsidRPr="004952C0" w:rsidTr="005634D0">
        <w:tc>
          <w:tcPr>
            <w:tcW w:w="1140" w:type="pct"/>
            <w:tcBorders>
              <w:top w:val="single" w:sz="12" w:space="0" w:color="auto"/>
              <w:left w:val="nil"/>
              <w:bottom w:val="single" w:sz="2" w:space="0" w:color="auto"/>
              <w:right w:val="single" w:sz="12" w:space="0" w:color="auto"/>
            </w:tcBorders>
            <w:vAlign w:val="center"/>
          </w:tcPr>
          <w:p w:rsidR="00817211" w:rsidRPr="004952C0" w:rsidRDefault="00817211" w:rsidP="005634D0">
            <w:pPr>
              <w:pStyle w:val="TableHeading"/>
            </w:pPr>
            <w:r w:rsidRPr="004952C0">
              <w:t>Transmission type</w:t>
            </w:r>
          </w:p>
        </w:tc>
        <w:tc>
          <w:tcPr>
            <w:tcW w:w="1241" w:type="pct"/>
            <w:tcBorders>
              <w:top w:val="single" w:sz="12" w:space="0" w:color="auto"/>
              <w:left w:val="single" w:sz="12" w:space="0" w:color="auto"/>
              <w:bottom w:val="single" w:sz="2" w:space="0" w:color="auto"/>
              <w:right w:val="single" w:sz="2" w:space="0" w:color="auto"/>
            </w:tcBorders>
          </w:tcPr>
          <w:p w:rsidR="00817211" w:rsidRPr="004952C0" w:rsidRDefault="00817211" w:rsidP="0094296B">
            <w:pPr>
              <w:pStyle w:val="TableHeading"/>
              <w:spacing w:before="120" w:after="60"/>
              <w:jc w:val="center"/>
            </w:pPr>
            <w:proofErr w:type="spellStart"/>
            <w:r w:rsidRPr="004952C0">
              <w:rPr>
                <w:i/>
              </w:rPr>
              <w:t>P</w:t>
            </w:r>
            <w:r w:rsidRPr="004952C0">
              <w:rPr>
                <w:i/>
                <w:vertAlign w:val="subscript"/>
              </w:rPr>
              <w:t>M,i</w:t>
            </w:r>
            <w:proofErr w:type="spellEnd"/>
            <w:r w:rsidRPr="004952C0">
              <w:rPr>
                <w:i/>
              </w:rPr>
              <w:t xml:space="preserve"> </w:t>
            </w:r>
            <w:r w:rsidRPr="004952C0">
              <w:t>&lt; 1 kW</w:t>
            </w:r>
          </w:p>
        </w:tc>
        <w:tc>
          <w:tcPr>
            <w:tcW w:w="1334" w:type="pct"/>
            <w:tcBorders>
              <w:top w:val="single" w:sz="12" w:space="0" w:color="auto"/>
              <w:left w:val="single" w:sz="2" w:space="0" w:color="auto"/>
              <w:bottom w:val="single" w:sz="2" w:space="0" w:color="auto"/>
              <w:right w:val="single" w:sz="4" w:space="0" w:color="auto"/>
            </w:tcBorders>
          </w:tcPr>
          <w:p w:rsidR="00817211" w:rsidRPr="004952C0" w:rsidRDefault="00817211" w:rsidP="0094296B">
            <w:pPr>
              <w:pStyle w:val="TableHeading"/>
              <w:spacing w:before="120" w:after="60"/>
              <w:jc w:val="center"/>
            </w:pPr>
            <w:r w:rsidRPr="004952C0">
              <w:t xml:space="preserve">1 kW ≤ </w:t>
            </w:r>
            <w:proofErr w:type="spellStart"/>
            <w:r w:rsidRPr="004952C0">
              <w:rPr>
                <w:i/>
              </w:rPr>
              <w:t>P</w:t>
            </w:r>
            <w:r w:rsidRPr="004952C0">
              <w:rPr>
                <w:i/>
                <w:vertAlign w:val="subscript"/>
              </w:rPr>
              <w:t>M,i</w:t>
            </w:r>
            <w:proofErr w:type="spellEnd"/>
            <w:r w:rsidRPr="004952C0">
              <w:t xml:space="preserve"> &lt;</w:t>
            </w:r>
            <w:r w:rsidRPr="004952C0">
              <w:rPr>
                <w:b w:val="0"/>
              </w:rPr>
              <w:t xml:space="preserve"> </w:t>
            </w:r>
            <w:r w:rsidRPr="004952C0">
              <w:t>5 kW</w:t>
            </w:r>
          </w:p>
        </w:tc>
        <w:tc>
          <w:tcPr>
            <w:tcW w:w="1285" w:type="pct"/>
            <w:tcBorders>
              <w:top w:val="single" w:sz="12" w:space="0" w:color="auto"/>
              <w:left w:val="single" w:sz="4" w:space="0" w:color="auto"/>
              <w:bottom w:val="single" w:sz="2" w:space="0" w:color="auto"/>
              <w:right w:val="nil"/>
            </w:tcBorders>
          </w:tcPr>
          <w:p w:rsidR="00817211" w:rsidRPr="004952C0" w:rsidRDefault="00817211" w:rsidP="0094296B">
            <w:pPr>
              <w:pStyle w:val="TableHeading"/>
              <w:spacing w:before="120" w:after="60"/>
              <w:jc w:val="center"/>
            </w:pPr>
            <w:r w:rsidRPr="004952C0">
              <w:t xml:space="preserve">5 kW ≤ </w:t>
            </w:r>
            <w:proofErr w:type="spellStart"/>
            <w:r w:rsidRPr="004952C0">
              <w:rPr>
                <w:i/>
              </w:rPr>
              <w:t>P</w:t>
            </w:r>
            <w:r w:rsidRPr="004952C0">
              <w:rPr>
                <w:i/>
                <w:vertAlign w:val="subscript"/>
              </w:rPr>
              <w:t>M,i</w:t>
            </w:r>
            <w:proofErr w:type="spellEnd"/>
          </w:p>
        </w:tc>
      </w:tr>
      <w:tr w:rsidR="004952C0" w:rsidRPr="004952C0" w:rsidTr="005634D0">
        <w:tc>
          <w:tcPr>
            <w:tcW w:w="1140" w:type="pct"/>
            <w:tcBorders>
              <w:top w:val="single" w:sz="2" w:space="0" w:color="auto"/>
              <w:left w:val="nil"/>
              <w:bottom w:val="nil"/>
              <w:right w:val="single" w:sz="12" w:space="0" w:color="auto"/>
            </w:tcBorders>
          </w:tcPr>
          <w:p w:rsidR="00817211" w:rsidRPr="004952C0" w:rsidRDefault="00817211" w:rsidP="005634D0">
            <w:pPr>
              <w:pStyle w:val="Tabletext"/>
            </w:pPr>
            <w:r w:rsidRPr="004952C0">
              <w:t>Direct drive transmission</w:t>
            </w:r>
          </w:p>
        </w:tc>
        <w:tc>
          <w:tcPr>
            <w:tcW w:w="1241" w:type="pct"/>
            <w:tcBorders>
              <w:top w:val="single" w:sz="2" w:space="0" w:color="auto"/>
              <w:left w:val="single" w:sz="12" w:space="0" w:color="auto"/>
              <w:bottom w:val="nil"/>
              <w:right w:val="single" w:sz="2" w:space="0" w:color="auto"/>
            </w:tcBorders>
          </w:tcPr>
          <w:p w:rsidR="00817211" w:rsidRPr="004952C0" w:rsidRDefault="00817211" w:rsidP="005634D0">
            <w:pPr>
              <w:pStyle w:val="Tabletext"/>
              <w:jc w:val="center"/>
            </w:pPr>
            <w:r w:rsidRPr="004952C0">
              <w:t>1</w:t>
            </w:r>
          </w:p>
        </w:tc>
        <w:tc>
          <w:tcPr>
            <w:tcW w:w="1334" w:type="pct"/>
            <w:tcBorders>
              <w:top w:val="single" w:sz="2" w:space="0" w:color="auto"/>
              <w:left w:val="single" w:sz="2" w:space="0" w:color="auto"/>
              <w:bottom w:val="nil"/>
              <w:right w:val="single" w:sz="4" w:space="0" w:color="auto"/>
            </w:tcBorders>
          </w:tcPr>
          <w:p w:rsidR="00817211" w:rsidRPr="004952C0" w:rsidRDefault="00817211" w:rsidP="005634D0">
            <w:pPr>
              <w:pStyle w:val="Tabletext"/>
              <w:jc w:val="center"/>
            </w:pPr>
            <w:r w:rsidRPr="004952C0">
              <w:t>1</w:t>
            </w:r>
          </w:p>
        </w:tc>
        <w:tc>
          <w:tcPr>
            <w:tcW w:w="1285" w:type="pct"/>
            <w:tcBorders>
              <w:top w:val="single" w:sz="2" w:space="0" w:color="auto"/>
              <w:left w:val="single" w:sz="4" w:space="0" w:color="auto"/>
              <w:bottom w:val="nil"/>
              <w:right w:val="nil"/>
            </w:tcBorders>
          </w:tcPr>
          <w:p w:rsidR="00817211" w:rsidRPr="004952C0" w:rsidRDefault="00817211" w:rsidP="005634D0">
            <w:pPr>
              <w:pStyle w:val="Tabletext"/>
              <w:jc w:val="center"/>
            </w:pPr>
            <w:r w:rsidRPr="004952C0">
              <w:t>1</w:t>
            </w:r>
          </w:p>
        </w:tc>
      </w:tr>
      <w:tr w:rsidR="004952C0" w:rsidRPr="004952C0" w:rsidTr="005634D0">
        <w:tc>
          <w:tcPr>
            <w:tcW w:w="1140" w:type="pct"/>
            <w:tcBorders>
              <w:top w:val="nil"/>
              <w:left w:val="nil"/>
              <w:bottom w:val="nil"/>
              <w:right w:val="single" w:sz="12" w:space="0" w:color="auto"/>
            </w:tcBorders>
          </w:tcPr>
          <w:p w:rsidR="00817211" w:rsidRPr="004952C0" w:rsidRDefault="00817211" w:rsidP="005634D0">
            <w:pPr>
              <w:pStyle w:val="Tabletext"/>
            </w:pPr>
            <w:r w:rsidRPr="004952C0">
              <w:t>High efficiency transmission</w:t>
            </w:r>
          </w:p>
        </w:tc>
        <w:tc>
          <w:tcPr>
            <w:tcW w:w="1241" w:type="pct"/>
            <w:tcBorders>
              <w:top w:val="nil"/>
              <w:left w:val="single" w:sz="12" w:space="0" w:color="auto"/>
              <w:bottom w:val="nil"/>
              <w:right w:val="single" w:sz="2" w:space="0" w:color="auto"/>
            </w:tcBorders>
          </w:tcPr>
          <w:p w:rsidR="00817211" w:rsidRPr="004952C0" w:rsidRDefault="00817211" w:rsidP="005634D0">
            <w:pPr>
              <w:pStyle w:val="Tabletext"/>
              <w:jc w:val="center"/>
            </w:pPr>
            <w:r w:rsidRPr="004952C0">
              <w:t>0.94</w:t>
            </w:r>
          </w:p>
        </w:tc>
        <w:tc>
          <w:tcPr>
            <w:tcW w:w="1334" w:type="pct"/>
            <w:tcBorders>
              <w:top w:val="nil"/>
              <w:left w:val="single" w:sz="2" w:space="0" w:color="auto"/>
              <w:bottom w:val="nil"/>
              <w:right w:val="single" w:sz="4" w:space="0" w:color="auto"/>
            </w:tcBorders>
          </w:tcPr>
          <w:p w:rsidR="00817211" w:rsidRPr="004952C0" w:rsidRDefault="00817211" w:rsidP="005634D0">
            <w:pPr>
              <w:pStyle w:val="Tabletext"/>
              <w:jc w:val="center"/>
            </w:pPr>
            <m:oMathPara>
              <m:oMath>
                <m:r>
                  <w:rPr>
                    <w:rFonts w:ascii="Cambria Math" w:hAnsi="Cambria Math"/>
                  </w:rPr>
                  <m:t>0.93+0.01×</m:t>
                </m:r>
                <m:sSub>
                  <m:sSubPr>
                    <m:ctrlPr>
                      <w:rPr>
                        <w:rFonts w:ascii="Cambria Math" w:hAnsi="Cambria Math"/>
                        <w:i/>
                      </w:rPr>
                    </m:ctrlPr>
                  </m:sSubPr>
                  <m:e>
                    <m:r>
                      <w:rPr>
                        <w:rFonts w:ascii="Cambria Math" w:hAnsi="Cambria Math"/>
                      </w:rPr>
                      <m:t>P</m:t>
                    </m:r>
                  </m:e>
                  <m:sub>
                    <m:r>
                      <w:rPr>
                        <w:rFonts w:ascii="Cambria Math" w:hAnsi="Cambria Math"/>
                      </w:rPr>
                      <m:t>M,i</m:t>
                    </m:r>
                  </m:sub>
                </m:sSub>
              </m:oMath>
            </m:oMathPara>
          </w:p>
          <w:p w:rsidR="00817211" w:rsidRPr="004952C0" w:rsidRDefault="00817211" w:rsidP="005634D0">
            <w:pPr>
              <w:pStyle w:val="Tabletext"/>
              <w:jc w:val="center"/>
            </w:pPr>
          </w:p>
        </w:tc>
        <w:tc>
          <w:tcPr>
            <w:tcW w:w="1285" w:type="pct"/>
            <w:tcBorders>
              <w:top w:val="nil"/>
              <w:left w:val="single" w:sz="4" w:space="0" w:color="auto"/>
              <w:bottom w:val="nil"/>
              <w:right w:val="nil"/>
            </w:tcBorders>
          </w:tcPr>
          <w:p w:rsidR="00817211" w:rsidRPr="004952C0" w:rsidRDefault="00817211" w:rsidP="005634D0">
            <w:pPr>
              <w:pStyle w:val="Tabletext"/>
              <w:jc w:val="center"/>
            </w:pPr>
            <w:r w:rsidRPr="004952C0">
              <w:t>0.98</w:t>
            </w:r>
          </w:p>
        </w:tc>
      </w:tr>
      <w:tr w:rsidR="00817211" w:rsidRPr="004952C0" w:rsidTr="005634D0">
        <w:tc>
          <w:tcPr>
            <w:tcW w:w="1140" w:type="pct"/>
            <w:tcBorders>
              <w:top w:val="nil"/>
              <w:left w:val="nil"/>
              <w:bottom w:val="single" w:sz="12" w:space="0" w:color="auto"/>
              <w:right w:val="single" w:sz="12" w:space="0" w:color="auto"/>
            </w:tcBorders>
          </w:tcPr>
          <w:p w:rsidR="00817211" w:rsidRPr="004952C0" w:rsidRDefault="00817211" w:rsidP="005634D0">
            <w:pPr>
              <w:pStyle w:val="Tabletext"/>
            </w:pPr>
            <w:r w:rsidRPr="004952C0">
              <w:t>Low efficiency transmission</w:t>
            </w:r>
          </w:p>
        </w:tc>
        <w:tc>
          <w:tcPr>
            <w:tcW w:w="1241" w:type="pct"/>
            <w:tcBorders>
              <w:top w:val="nil"/>
              <w:left w:val="single" w:sz="12" w:space="0" w:color="auto"/>
              <w:bottom w:val="single" w:sz="12" w:space="0" w:color="auto"/>
              <w:right w:val="single" w:sz="2" w:space="0" w:color="auto"/>
            </w:tcBorders>
          </w:tcPr>
          <w:p w:rsidR="00817211" w:rsidRPr="004952C0" w:rsidRDefault="00817211" w:rsidP="005634D0">
            <w:pPr>
              <w:pStyle w:val="Tabletext"/>
              <w:jc w:val="center"/>
            </w:pPr>
            <w:r w:rsidRPr="004952C0">
              <w:t>0.89</w:t>
            </w:r>
          </w:p>
        </w:tc>
        <w:tc>
          <w:tcPr>
            <w:tcW w:w="1334" w:type="pct"/>
            <w:tcBorders>
              <w:top w:val="nil"/>
              <w:left w:val="single" w:sz="2" w:space="0" w:color="auto"/>
              <w:bottom w:val="single" w:sz="12" w:space="0" w:color="auto"/>
              <w:right w:val="single" w:sz="4" w:space="0" w:color="auto"/>
            </w:tcBorders>
          </w:tcPr>
          <w:p w:rsidR="00817211" w:rsidRPr="004952C0" w:rsidRDefault="00817211" w:rsidP="005634D0">
            <w:pPr>
              <w:pStyle w:val="Tabletext"/>
              <w:jc w:val="center"/>
            </w:pPr>
            <m:oMathPara>
              <m:oMath>
                <m:r>
                  <w:rPr>
                    <w:rFonts w:ascii="Cambria Math" w:hAnsi="Cambria Math"/>
                  </w:rPr>
                  <m:t>0.</m:t>
                </m:r>
                <m:r>
                  <m:rPr>
                    <m:sty m:val="p"/>
                  </m:rPr>
                  <w:rPr>
                    <w:rFonts w:ascii="Cambria Math" w:hAnsi="Cambria Math"/>
                  </w:rPr>
                  <m:t>8725</m:t>
                </m:r>
                <m:r>
                  <w:rPr>
                    <w:rFonts w:ascii="Cambria Math" w:hAnsi="Cambria Math"/>
                  </w:rPr>
                  <m:t>+0.</m:t>
                </m:r>
                <m:r>
                  <m:rPr>
                    <m:sty m:val="p"/>
                  </m:rPr>
                  <w:rPr>
                    <w:rFonts w:ascii="Cambria Math" w:hAnsi="Cambria Math"/>
                  </w:rPr>
                  <m:t>0175</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M,i</m:t>
                    </m:r>
                  </m:sub>
                </m:sSub>
              </m:oMath>
            </m:oMathPara>
          </w:p>
          <w:p w:rsidR="00817211" w:rsidRPr="004952C0" w:rsidRDefault="00817211" w:rsidP="005634D0">
            <w:pPr>
              <w:pStyle w:val="Tabletext"/>
            </w:pPr>
          </w:p>
        </w:tc>
        <w:tc>
          <w:tcPr>
            <w:tcW w:w="1285" w:type="pct"/>
            <w:tcBorders>
              <w:top w:val="nil"/>
              <w:left w:val="single" w:sz="4" w:space="0" w:color="auto"/>
              <w:bottom w:val="single" w:sz="12" w:space="0" w:color="auto"/>
              <w:right w:val="nil"/>
            </w:tcBorders>
          </w:tcPr>
          <w:p w:rsidR="00817211" w:rsidRPr="004952C0" w:rsidRDefault="00817211" w:rsidP="005634D0">
            <w:pPr>
              <w:pStyle w:val="Tabletext"/>
              <w:jc w:val="center"/>
            </w:pPr>
            <w:r w:rsidRPr="004952C0">
              <w:t>0.96</w:t>
            </w:r>
          </w:p>
        </w:tc>
      </w:tr>
    </w:tbl>
    <w:p w:rsidR="0045496E" w:rsidRPr="004952C0" w:rsidRDefault="0045496E" w:rsidP="0045496E">
      <w:pPr>
        <w:pStyle w:val="ntoHeading"/>
      </w:pPr>
    </w:p>
    <w:p w:rsidR="0045496E" w:rsidRPr="004952C0" w:rsidRDefault="0045496E" w:rsidP="0045496E">
      <w:pPr>
        <w:pStyle w:val="tMain"/>
      </w:pPr>
      <w:r w:rsidRPr="004952C0">
        <w:tab/>
        <w:t>(2)</w:t>
      </w:r>
      <w:r w:rsidRPr="004952C0">
        <w:tab/>
        <w:t>In this Schedule:</w:t>
      </w:r>
    </w:p>
    <w:p w:rsidR="0045496E" w:rsidRPr="004952C0" w:rsidRDefault="0045496E" w:rsidP="0045496E">
      <w:pPr>
        <w:pStyle w:val="tDefn"/>
      </w:pPr>
      <w:proofErr w:type="gramStart"/>
      <w:r w:rsidRPr="004952C0">
        <w:rPr>
          <w:b/>
          <w:i/>
        </w:rPr>
        <w:t>direct</w:t>
      </w:r>
      <w:proofErr w:type="gramEnd"/>
      <w:r w:rsidRPr="004952C0">
        <w:rPr>
          <w:b/>
          <w:i/>
        </w:rPr>
        <w:t xml:space="preserve"> drive transmission</w:t>
      </w:r>
      <w:r w:rsidRPr="004952C0">
        <w:t xml:space="preserve"> means a transmission system that transmits power directly from the motor to the impeller or to a rigid impeller shaft without gearboxes, belts or flexible couplings, such that the motor and the impeller rotate at the same speed.</w:t>
      </w:r>
    </w:p>
    <w:p w:rsidR="0045496E" w:rsidRPr="004952C0" w:rsidRDefault="0045496E" w:rsidP="0045496E">
      <w:pPr>
        <w:pStyle w:val="tDefn"/>
      </w:pPr>
      <w:proofErr w:type="gramStart"/>
      <w:r w:rsidRPr="004952C0">
        <w:rPr>
          <w:b/>
          <w:i/>
        </w:rPr>
        <w:t>high</w:t>
      </w:r>
      <w:proofErr w:type="gramEnd"/>
      <w:r w:rsidRPr="004952C0">
        <w:rPr>
          <w:b/>
          <w:i/>
        </w:rPr>
        <w:t xml:space="preserve"> efficiency transmission</w:t>
      </w:r>
      <w:r w:rsidRPr="004952C0">
        <w:t xml:space="preserve"> means a transmission for a fan using:</w:t>
      </w:r>
    </w:p>
    <w:p w:rsidR="0045496E" w:rsidRPr="004952C0" w:rsidRDefault="0045496E" w:rsidP="0045496E">
      <w:pPr>
        <w:pStyle w:val="tPara"/>
      </w:pPr>
      <w:r w:rsidRPr="004952C0">
        <w:tab/>
        <w:t>(a)</w:t>
      </w:r>
      <w:r w:rsidRPr="004952C0">
        <w:tab/>
      </w:r>
      <w:proofErr w:type="gramStart"/>
      <w:r w:rsidRPr="004952C0">
        <w:t>a</w:t>
      </w:r>
      <w:proofErr w:type="gramEnd"/>
      <w:r w:rsidRPr="004952C0">
        <w:t xml:space="preserve"> belt with a width at least three times the height of the belt; or</w:t>
      </w:r>
    </w:p>
    <w:p w:rsidR="0045496E" w:rsidRPr="004952C0" w:rsidRDefault="0045496E" w:rsidP="0045496E">
      <w:pPr>
        <w:pStyle w:val="tPara"/>
      </w:pPr>
      <w:r w:rsidRPr="004952C0">
        <w:tab/>
        <w:t>(b)</w:t>
      </w:r>
      <w:r w:rsidRPr="004952C0">
        <w:tab/>
      </w:r>
      <w:proofErr w:type="gramStart"/>
      <w:r w:rsidRPr="004952C0">
        <w:t>a</w:t>
      </w:r>
      <w:proofErr w:type="gramEnd"/>
      <w:r w:rsidRPr="004952C0">
        <w:t xml:space="preserve"> toothed belt; or </w:t>
      </w:r>
    </w:p>
    <w:p w:rsidR="0045496E" w:rsidRPr="004952C0" w:rsidRDefault="0045496E" w:rsidP="0045496E">
      <w:pPr>
        <w:pStyle w:val="tPara"/>
      </w:pPr>
      <w:r w:rsidRPr="004952C0">
        <w:tab/>
        <w:t>(c)</w:t>
      </w:r>
      <w:r w:rsidRPr="004952C0">
        <w:tab/>
      </w:r>
      <w:proofErr w:type="gramStart"/>
      <w:r w:rsidRPr="004952C0">
        <w:t>toothed</w:t>
      </w:r>
      <w:proofErr w:type="gramEnd"/>
      <w:r w:rsidRPr="004952C0">
        <w:t xml:space="preserve"> gears.</w:t>
      </w:r>
    </w:p>
    <w:p w:rsidR="0045496E" w:rsidRPr="004952C0" w:rsidRDefault="0045496E" w:rsidP="0045496E">
      <w:pPr>
        <w:pStyle w:val="tDefn"/>
      </w:pPr>
      <w:proofErr w:type="gramStart"/>
      <w:r w:rsidRPr="004952C0">
        <w:rPr>
          <w:b/>
          <w:i/>
        </w:rPr>
        <w:t>low</w:t>
      </w:r>
      <w:proofErr w:type="gramEnd"/>
      <w:r w:rsidRPr="004952C0">
        <w:rPr>
          <w:b/>
          <w:i/>
        </w:rPr>
        <w:t xml:space="preserve"> efficiency transmission</w:t>
      </w:r>
      <w:r w:rsidRPr="004952C0">
        <w:t xml:space="preserve"> means a transmission for a fan other than a direct drive transmission or a high efficiency transmission.</w:t>
      </w:r>
    </w:p>
    <w:p w:rsidR="0045496E" w:rsidRPr="004952C0" w:rsidRDefault="0045496E" w:rsidP="0045496E">
      <w:pPr>
        <w:pStyle w:val="tDefn"/>
        <w:rPr>
          <w:i/>
        </w:rPr>
      </w:pPr>
      <w:bookmarkStart w:id="136" w:name="_Toc418869746"/>
      <w:bookmarkStart w:id="137" w:name="_Toc420940774"/>
      <w:proofErr w:type="spellStart"/>
      <w:r w:rsidRPr="004952C0">
        <w:rPr>
          <w:b/>
          <w:i/>
        </w:rPr>
        <w:t>P</w:t>
      </w:r>
      <w:r w:rsidRPr="004952C0">
        <w:rPr>
          <w:b/>
          <w:i/>
          <w:vertAlign w:val="subscript"/>
        </w:rPr>
        <w:t>M</w:t>
      </w:r>
      <w:proofErr w:type="gramStart"/>
      <w:r w:rsidRPr="004952C0">
        <w:rPr>
          <w:b/>
          <w:i/>
          <w:vertAlign w:val="subscript"/>
        </w:rPr>
        <w:t>,i</w:t>
      </w:r>
      <w:proofErr w:type="spellEnd"/>
      <w:proofErr w:type="gramEnd"/>
      <w:r w:rsidRPr="004952C0">
        <w:t xml:space="preserve"> is the mechanical power supplied to the fan impeller, and is defined in section </w:t>
      </w:r>
      <w:r w:rsidR="00934AC6" w:rsidRPr="004952C0">
        <w:t>28</w:t>
      </w:r>
      <w:r w:rsidRPr="004952C0">
        <w:t xml:space="preserve"> of this determination or section</w:t>
      </w:r>
      <w:r w:rsidR="00273E5C" w:rsidRPr="004952C0">
        <w:t> </w:t>
      </w:r>
      <w:r w:rsidR="00934AC6" w:rsidRPr="004952C0">
        <w:t>4</w:t>
      </w:r>
      <w:r w:rsidRPr="004952C0">
        <w:t xml:space="preserve"> of </w:t>
      </w:r>
      <w:r w:rsidR="00934AC6" w:rsidRPr="004952C0">
        <w:t>Schedule 1</w:t>
      </w:r>
      <w:r w:rsidRPr="004952C0">
        <w:t>, as appropriate.</w:t>
      </w:r>
    </w:p>
    <w:p w:rsidR="0045496E" w:rsidRPr="004952C0" w:rsidRDefault="00FE4F8F" w:rsidP="0045496E">
      <w:pPr>
        <w:pStyle w:val="h1Chap"/>
      </w:pPr>
      <w:bookmarkStart w:id="138" w:name="_Toc431466323"/>
      <w:r w:rsidRPr="004952C0">
        <w:lastRenderedPageBreak/>
        <w:t>Schedule 4</w:t>
      </w:r>
      <w:r w:rsidR="0045496E" w:rsidRPr="004952C0">
        <w:t xml:space="preserve">—High efficiency fan installations—regression coefficients and </w:t>
      </w:r>
      <w:bookmarkEnd w:id="136"/>
      <w:bookmarkEnd w:id="137"/>
      <w:r w:rsidR="0045496E" w:rsidRPr="004952C0">
        <w:t>regression constants</w:t>
      </w:r>
      <w:bookmarkEnd w:id="138"/>
    </w:p>
    <w:p w:rsidR="0045496E" w:rsidRPr="004952C0" w:rsidRDefault="0045496E" w:rsidP="0045496E">
      <w:pPr>
        <w:rPr>
          <w:lang w:eastAsia="en-AU"/>
        </w:rPr>
      </w:pPr>
    </w:p>
    <w:p w:rsidR="0045496E" w:rsidRPr="004952C0" w:rsidRDefault="0045496E" w:rsidP="0045496E">
      <w:pPr>
        <w:pStyle w:val="tMain"/>
      </w:pPr>
      <w:r w:rsidRPr="004952C0">
        <w:tab/>
      </w:r>
      <w:r w:rsidRPr="004952C0">
        <w:tab/>
        <w:t xml:space="preserve">For equations 7 and 18 (section </w:t>
      </w:r>
      <w:r w:rsidR="00934AC6" w:rsidRPr="004952C0">
        <w:t>31</w:t>
      </w:r>
      <w:r w:rsidRPr="004952C0">
        <w:t xml:space="preserve"> of this determination and section </w:t>
      </w:r>
      <w:r w:rsidR="00934AC6" w:rsidRPr="004952C0">
        <w:t>6</w:t>
      </w:r>
      <w:r w:rsidRPr="004952C0">
        <w:t xml:space="preserve"> of </w:t>
      </w:r>
      <w:r w:rsidR="00934AC6" w:rsidRPr="004952C0">
        <w:t>Schedule 1</w:t>
      </w:r>
      <w:r w:rsidRPr="004952C0">
        <w:t xml:space="preserve">), if the model of the </w:t>
      </w:r>
      <w:proofErr w:type="spellStart"/>
      <w:r w:rsidRPr="004952C0">
        <w:rPr>
          <w:i/>
        </w:rPr>
        <w:t>i</w:t>
      </w:r>
      <w:r w:rsidRPr="004952C0">
        <w:rPr>
          <w:vertAlign w:val="superscript"/>
        </w:rPr>
        <w:t>th</w:t>
      </w:r>
      <w:proofErr w:type="spellEnd"/>
      <w:r w:rsidRPr="004952C0">
        <w:t xml:space="preserve"> fan:</w:t>
      </w:r>
    </w:p>
    <w:p w:rsidR="0045496E" w:rsidRPr="004952C0" w:rsidRDefault="0045496E" w:rsidP="0045496E">
      <w:pPr>
        <w:pStyle w:val="tPara"/>
      </w:pPr>
      <w:r w:rsidRPr="004952C0">
        <w:tab/>
        <w:t>(a)</w:t>
      </w:r>
      <w:r w:rsidRPr="004952C0">
        <w:tab/>
      </w:r>
      <w:proofErr w:type="gramStart"/>
      <w:r w:rsidRPr="004952C0">
        <w:t>is</w:t>
      </w:r>
      <w:proofErr w:type="gramEnd"/>
      <w:r w:rsidRPr="004952C0">
        <w:t xml:space="preserve"> of an eligible fan type indicated in the table below; and</w:t>
      </w:r>
    </w:p>
    <w:p w:rsidR="0045496E" w:rsidRPr="004952C0" w:rsidRDefault="0045496E" w:rsidP="0045496E">
      <w:pPr>
        <w:pStyle w:val="tPara"/>
      </w:pPr>
      <w:r w:rsidRPr="004952C0">
        <w:tab/>
        <w:t>(b)</w:t>
      </w:r>
      <w:r w:rsidRPr="004952C0">
        <w:tab/>
      </w:r>
      <w:proofErr w:type="gramStart"/>
      <w:r w:rsidRPr="004952C0">
        <w:t>has</w:t>
      </w:r>
      <w:proofErr w:type="gramEnd"/>
      <w:r w:rsidRPr="004952C0">
        <w:t xml:space="preserve"> a motor input power within a range indicated in the table;</w:t>
      </w:r>
    </w:p>
    <w:p w:rsidR="0045496E" w:rsidRPr="004952C0" w:rsidRDefault="0045496E" w:rsidP="0045496E">
      <w:pPr>
        <w:pStyle w:val="tMain"/>
        <w:spacing w:before="40"/>
      </w:pPr>
      <w:r w:rsidRPr="004952C0">
        <w:tab/>
      </w:r>
      <w:r w:rsidRPr="004952C0">
        <w:tab/>
      </w:r>
      <w:proofErr w:type="gramStart"/>
      <w:r w:rsidRPr="004952C0">
        <w:t>the</w:t>
      </w:r>
      <w:proofErr w:type="gramEnd"/>
      <w:r w:rsidRPr="004952C0">
        <w:t xml:space="preserve"> regression coefficient (</w:t>
      </w:r>
      <w:proofErr w:type="spellStart"/>
      <w:r w:rsidRPr="004952C0">
        <w:rPr>
          <w:i/>
        </w:rPr>
        <w:t>a</w:t>
      </w:r>
      <w:r w:rsidRPr="004952C0">
        <w:rPr>
          <w:i/>
          <w:vertAlign w:val="subscript"/>
        </w:rPr>
        <w:t>i</w:t>
      </w:r>
      <w:proofErr w:type="spellEnd"/>
      <w:r w:rsidRPr="004952C0">
        <w:t>) and the regression constant (</w:t>
      </w:r>
      <w:r w:rsidRPr="004952C0">
        <w:rPr>
          <w:i/>
        </w:rPr>
        <w:t>b</w:t>
      </w:r>
      <w:r w:rsidRPr="004952C0">
        <w:rPr>
          <w:i/>
          <w:vertAlign w:val="subscript"/>
        </w:rPr>
        <w:t>i</w:t>
      </w:r>
      <w:r w:rsidRPr="004952C0">
        <w:t>) are the corresponding values indicated in the table:</w:t>
      </w:r>
    </w:p>
    <w:p w:rsidR="0045496E" w:rsidRPr="004952C0" w:rsidRDefault="0045496E" w:rsidP="0045496E">
      <w:pPr>
        <w:rPr>
          <w:lang w:eastAsia="en-AU"/>
        </w:rPr>
      </w:pPr>
    </w:p>
    <w:tbl>
      <w:tblPr>
        <w:tblW w:w="4737" w:type="pct"/>
        <w:tblLook w:val="04A0"/>
      </w:tblPr>
      <w:tblGrid>
        <w:gridCol w:w="2944"/>
        <w:gridCol w:w="1418"/>
        <w:gridCol w:w="1559"/>
        <w:gridCol w:w="1418"/>
        <w:gridCol w:w="1417"/>
      </w:tblGrid>
      <w:tr w:rsidR="004952C0" w:rsidRPr="004952C0" w:rsidTr="00F64C55">
        <w:tc>
          <w:tcPr>
            <w:tcW w:w="5000" w:type="pct"/>
            <w:gridSpan w:val="5"/>
            <w:tcBorders>
              <w:top w:val="nil"/>
              <w:left w:val="nil"/>
              <w:bottom w:val="single" w:sz="12" w:space="0" w:color="auto"/>
              <w:right w:val="nil"/>
            </w:tcBorders>
          </w:tcPr>
          <w:p w:rsidR="0045496E" w:rsidRPr="004952C0" w:rsidRDefault="0045496E" w:rsidP="00FA181A">
            <w:pPr>
              <w:pStyle w:val="TableHeading"/>
              <w:spacing w:before="120" w:after="60"/>
              <w:jc w:val="center"/>
            </w:pPr>
            <w:r w:rsidRPr="004952C0">
              <w:t>High efficiency fan installations:</w:t>
            </w:r>
            <w:r w:rsidRPr="004952C0">
              <w:br/>
              <w:t>Regression coefficients and regression constants</w:t>
            </w:r>
          </w:p>
        </w:tc>
      </w:tr>
      <w:tr w:rsidR="004952C0" w:rsidRPr="004952C0" w:rsidTr="00F64C55">
        <w:tc>
          <w:tcPr>
            <w:tcW w:w="1681" w:type="pct"/>
            <w:tcBorders>
              <w:top w:val="nil"/>
              <w:left w:val="nil"/>
              <w:bottom w:val="single" w:sz="12" w:space="0" w:color="auto"/>
              <w:right w:val="nil"/>
            </w:tcBorders>
          </w:tcPr>
          <w:p w:rsidR="0045496E" w:rsidRPr="004952C0" w:rsidRDefault="0045496E" w:rsidP="005634D0">
            <w:pPr>
              <w:pStyle w:val="TableHeading"/>
            </w:pPr>
          </w:p>
        </w:tc>
        <w:tc>
          <w:tcPr>
            <w:tcW w:w="1700" w:type="pct"/>
            <w:gridSpan w:val="2"/>
            <w:tcBorders>
              <w:top w:val="nil"/>
              <w:left w:val="nil"/>
              <w:bottom w:val="single" w:sz="12" w:space="0" w:color="auto"/>
              <w:right w:val="nil"/>
            </w:tcBorders>
          </w:tcPr>
          <w:p w:rsidR="0045496E" w:rsidRPr="004952C0" w:rsidRDefault="0045496E" w:rsidP="005634D0">
            <w:pPr>
              <w:pStyle w:val="Tabletext"/>
              <w:jc w:val="center"/>
              <w:rPr>
                <w:b/>
              </w:rPr>
            </w:pPr>
            <w:r w:rsidRPr="004952C0">
              <w:rPr>
                <w:b/>
              </w:rPr>
              <w:t xml:space="preserve">0.125 kW ≤ </w:t>
            </w:r>
            <w:proofErr w:type="spellStart"/>
            <w:r w:rsidRPr="004952C0">
              <w:rPr>
                <w:b/>
                <w:i/>
              </w:rPr>
              <w:t>P</w:t>
            </w:r>
            <w:r w:rsidRPr="004952C0">
              <w:rPr>
                <w:b/>
                <w:i/>
                <w:vertAlign w:val="subscript"/>
              </w:rPr>
              <w:t>E,i</w:t>
            </w:r>
            <w:proofErr w:type="spellEnd"/>
            <w:r w:rsidRPr="004952C0">
              <w:rPr>
                <w:b/>
              </w:rPr>
              <w:t xml:space="preserve"> &lt; 10 kW</w:t>
            </w:r>
          </w:p>
        </w:tc>
        <w:tc>
          <w:tcPr>
            <w:tcW w:w="1619" w:type="pct"/>
            <w:gridSpan w:val="2"/>
            <w:tcBorders>
              <w:top w:val="nil"/>
              <w:left w:val="nil"/>
              <w:bottom w:val="single" w:sz="12" w:space="0" w:color="auto"/>
              <w:right w:val="nil"/>
            </w:tcBorders>
          </w:tcPr>
          <w:p w:rsidR="0045496E" w:rsidRPr="004952C0" w:rsidRDefault="0045496E" w:rsidP="005634D0">
            <w:pPr>
              <w:pStyle w:val="TableHeading"/>
              <w:spacing w:before="120" w:after="60"/>
              <w:jc w:val="center"/>
            </w:pPr>
            <w:r w:rsidRPr="004952C0">
              <w:t xml:space="preserve">10 kW ≤ </w:t>
            </w:r>
            <w:proofErr w:type="spellStart"/>
            <w:r w:rsidRPr="004952C0">
              <w:rPr>
                <w:i/>
              </w:rPr>
              <w:t>P</w:t>
            </w:r>
            <w:r w:rsidRPr="004952C0">
              <w:rPr>
                <w:i/>
                <w:vertAlign w:val="subscript"/>
              </w:rPr>
              <w:t>E,i</w:t>
            </w:r>
            <w:proofErr w:type="spellEnd"/>
            <w:r w:rsidRPr="004952C0">
              <w:t xml:space="preserve"> ≤</w:t>
            </w:r>
            <w:r w:rsidRPr="004952C0">
              <w:rPr>
                <w:b w:val="0"/>
              </w:rPr>
              <w:t xml:space="preserve"> </w:t>
            </w:r>
            <w:r w:rsidRPr="004952C0">
              <w:t>185 kW</w:t>
            </w:r>
          </w:p>
        </w:tc>
      </w:tr>
      <w:tr w:rsidR="004952C0" w:rsidRPr="004952C0" w:rsidTr="00F64C55">
        <w:tc>
          <w:tcPr>
            <w:tcW w:w="1681" w:type="pct"/>
            <w:tcBorders>
              <w:top w:val="single" w:sz="12" w:space="0" w:color="auto"/>
              <w:left w:val="nil"/>
              <w:bottom w:val="single" w:sz="2" w:space="0" w:color="auto"/>
              <w:right w:val="single" w:sz="12" w:space="0" w:color="auto"/>
            </w:tcBorders>
            <w:vAlign w:val="center"/>
          </w:tcPr>
          <w:p w:rsidR="0045496E" w:rsidRPr="004952C0" w:rsidRDefault="0045496E" w:rsidP="005634D0">
            <w:pPr>
              <w:pStyle w:val="TableHeading"/>
            </w:pPr>
            <w:r w:rsidRPr="004952C0">
              <w:t>Eligible fan type</w:t>
            </w:r>
          </w:p>
        </w:tc>
        <w:tc>
          <w:tcPr>
            <w:tcW w:w="810" w:type="pct"/>
            <w:tcBorders>
              <w:top w:val="single" w:sz="12" w:space="0" w:color="auto"/>
              <w:left w:val="single" w:sz="12" w:space="0" w:color="auto"/>
              <w:bottom w:val="single" w:sz="2" w:space="0" w:color="auto"/>
              <w:right w:val="nil"/>
            </w:tcBorders>
            <w:vAlign w:val="center"/>
          </w:tcPr>
          <w:p w:rsidR="0045496E" w:rsidRPr="004952C0" w:rsidRDefault="0045496E" w:rsidP="00FA181A">
            <w:pPr>
              <w:pStyle w:val="TableHeading"/>
              <w:jc w:val="center"/>
            </w:pPr>
            <w:r w:rsidRPr="004952C0">
              <w:t>Regression coefficient (</w:t>
            </w:r>
            <w:proofErr w:type="spellStart"/>
            <w:r w:rsidRPr="004952C0">
              <w:rPr>
                <w:i/>
              </w:rPr>
              <w:t>a</w:t>
            </w:r>
            <w:r w:rsidRPr="004952C0">
              <w:rPr>
                <w:i/>
                <w:vertAlign w:val="subscript"/>
              </w:rPr>
              <w:t>i</w:t>
            </w:r>
            <w:proofErr w:type="spellEnd"/>
            <w:r w:rsidRPr="004952C0">
              <w:t>)</w:t>
            </w:r>
          </w:p>
        </w:tc>
        <w:tc>
          <w:tcPr>
            <w:tcW w:w="890" w:type="pct"/>
            <w:tcBorders>
              <w:top w:val="single" w:sz="12" w:space="0" w:color="auto"/>
              <w:left w:val="nil"/>
              <w:bottom w:val="single" w:sz="2" w:space="0" w:color="auto"/>
              <w:right w:val="single" w:sz="2" w:space="0" w:color="auto"/>
            </w:tcBorders>
            <w:vAlign w:val="center"/>
          </w:tcPr>
          <w:p w:rsidR="0045496E" w:rsidRPr="004952C0" w:rsidRDefault="0045496E" w:rsidP="005634D0">
            <w:pPr>
              <w:pStyle w:val="TableHeading"/>
              <w:jc w:val="center"/>
            </w:pPr>
            <w:r w:rsidRPr="004952C0">
              <w:t>Regression constant (</w:t>
            </w:r>
            <w:r w:rsidRPr="004952C0">
              <w:rPr>
                <w:i/>
              </w:rPr>
              <w:t>b</w:t>
            </w:r>
            <w:r w:rsidRPr="004952C0">
              <w:rPr>
                <w:i/>
                <w:vertAlign w:val="subscript"/>
              </w:rPr>
              <w:t>i</w:t>
            </w:r>
            <w:r w:rsidRPr="004952C0">
              <w:t>)</w:t>
            </w:r>
          </w:p>
        </w:tc>
        <w:tc>
          <w:tcPr>
            <w:tcW w:w="810" w:type="pct"/>
            <w:tcBorders>
              <w:top w:val="single" w:sz="12" w:space="0" w:color="auto"/>
              <w:left w:val="single" w:sz="2" w:space="0" w:color="auto"/>
              <w:bottom w:val="single" w:sz="2" w:space="0" w:color="auto"/>
              <w:right w:val="nil"/>
            </w:tcBorders>
            <w:vAlign w:val="center"/>
          </w:tcPr>
          <w:p w:rsidR="0045496E" w:rsidRPr="004952C0" w:rsidRDefault="0045496E" w:rsidP="00FA181A">
            <w:pPr>
              <w:pStyle w:val="TableHeading"/>
              <w:jc w:val="center"/>
            </w:pPr>
            <w:r w:rsidRPr="004952C0">
              <w:t>Regression coefficient (</w:t>
            </w:r>
            <w:proofErr w:type="spellStart"/>
            <w:r w:rsidRPr="004952C0">
              <w:rPr>
                <w:i/>
              </w:rPr>
              <w:t>a</w:t>
            </w:r>
            <w:r w:rsidRPr="004952C0">
              <w:rPr>
                <w:i/>
                <w:vertAlign w:val="subscript"/>
              </w:rPr>
              <w:t>i</w:t>
            </w:r>
            <w:proofErr w:type="spellEnd"/>
            <w:r w:rsidRPr="004952C0">
              <w:t>)</w:t>
            </w:r>
          </w:p>
        </w:tc>
        <w:tc>
          <w:tcPr>
            <w:tcW w:w="809" w:type="pct"/>
            <w:tcBorders>
              <w:top w:val="single" w:sz="12" w:space="0" w:color="auto"/>
              <w:left w:val="nil"/>
              <w:bottom w:val="single" w:sz="2" w:space="0" w:color="auto"/>
              <w:right w:val="nil"/>
            </w:tcBorders>
            <w:vAlign w:val="center"/>
          </w:tcPr>
          <w:p w:rsidR="0045496E" w:rsidRPr="004952C0" w:rsidRDefault="0045496E" w:rsidP="005634D0">
            <w:pPr>
              <w:pStyle w:val="TableHeading"/>
              <w:jc w:val="center"/>
            </w:pPr>
            <w:r w:rsidRPr="004952C0">
              <w:t>Regression constant (</w:t>
            </w:r>
            <w:r w:rsidRPr="004952C0">
              <w:rPr>
                <w:i/>
              </w:rPr>
              <w:t>b</w:t>
            </w:r>
            <w:r w:rsidRPr="004952C0">
              <w:rPr>
                <w:i/>
                <w:vertAlign w:val="subscript"/>
              </w:rPr>
              <w:t>i</w:t>
            </w:r>
            <w:r w:rsidRPr="004952C0">
              <w:t>)</w:t>
            </w:r>
          </w:p>
        </w:tc>
      </w:tr>
      <w:tr w:rsidR="004952C0" w:rsidRPr="004952C0" w:rsidTr="00F64C55">
        <w:tc>
          <w:tcPr>
            <w:tcW w:w="1681" w:type="pct"/>
            <w:tcBorders>
              <w:top w:val="single" w:sz="2" w:space="0" w:color="auto"/>
              <w:left w:val="nil"/>
              <w:bottom w:val="nil"/>
              <w:right w:val="single" w:sz="12" w:space="0" w:color="auto"/>
            </w:tcBorders>
          </w:tcPr>
          <w:p w:rsidR="0045496E" w:rsidRPr="004952C0" w:rsidRDefault="0045496E" w:rsidP="005634D0">
            <w:pPr>
              <w:pStyle w:val="Tabletext"/>
            </w:pPr>
            <w:r w:rsidRPr="004952C0">
              <w:t>Axial</w:t>
            </w:r>
            <w:r w:rsidRPr="004952C0">
              <w:noBreakHyphen/>
            </w:r>
            <w:proofErr w:type="spellStart"/>
            <w:r w:rsidRPr="004952C0">
              <w:t>flow</w:t>
            </w:r>
            <w:proofErr w:type="spellEnd"/>
            <w:r w:rsidRPr="004952C0">
              <w:t xml:space="preserve"> fan</w:t>
            </w:r>
          </w:p>
        </w:tc>
        <w:tc>
          <w:tcPr>
            <w:tcW w:w="810" w:type="pct"/>
            <w:tcBorders>
              <w:top w:val="single" w:sz="2" w:space="0" w:color="auto"/>
              <w:left w:val="single" w:sz="12" w:space="0" w:color="auto"/>
              <w:bottom w:val="nil"/>
              <w:right w:val="nil"/>
            </w:tcBorders>
          </w:tcPr>
          <w:p w:rsidR="0045496E" w:rsidRPr="004952C0" w:rsidRDefault="0045496E" w:rsidP="005634D0">
            <w:pPr>
              <w:pStyle w:val="Tabletext"/>
              <w:jc w:val="center"/>
            </w:pPr>
            <w:r w:rsidRPr="004952C0">
              <w:t>2.74</w:t>
            </w:r>
          </w:p>
        </w:tc>
        <w:tc>
          <w:tcPr>
            <w:tcW w:w="890" w:type="pct"/>
            <w:tcBorders>
              <w:top w:val="single" w:sz="2" w:space="0" w:color="auto"/>
              <w:left w:val="nil"/>
              <w:bottom w:val="nil"/>
              <w:right w:val="single" w:sz="2" w:space="0" w:color="auto"/>
            </w:tcBorders>
          </w:tcPr>
          <w:p w:rsidR="0045496E" w:rsidRPr="004952C0" w:rsidRDefault="0045496E" w:rsidP="005634D0">
            <w:pPr>
              <w:pStyle w:val="Tabletext"/>
              <w:jc w:val="center"/>
            </w:pPr>
            <w:r w:rsidRPr="004952C0">
              <w:t>6.33</w:t>
            </w:r>
          </w:p>
        </w:tc>
        <w:tc>
          <w:tcPr>
            <w:tcW w:w="810" w:type="pct"/>
            <w:tcBorders>
              <w:top w:val="single" w:sz="2" w:space="0" w:color="auto"/>
              <w:left w:val="single" w:sz="2" w:space="0" w:color="auto"/>
              <w:bottom w:val="nil"/>
              <w:right w:val="nil"/>
            </w:tcBorders>
          </w:tcPr>
          <w:p w:rsidR="0045496E" w:rsidRPr="004952C0" w:rsidRDefault="0045496E" w:rsidP="005634D0">
            <w:pPr>
              <w:pStyle w:val="Tabletext"/>
              <w:jc w:val="center"/>
            </w:pPr>
            <w:r w:rsidRPr="004952C0">
              <w:t>0.78</w:t>
            </w:r>
          </w:p>
        </w:tc>
        <w:tc>
          <w:tcPr>
            <w:tcW w:w="809" w:type="pct"/>
            <w:tcBorders>
              <w:top w:val="single" w:sz="2" w:space="0" w:color="auto"/>
              <w:left w:val="nil"/>
              <w:bottom w:val="nil"/>
              <w:right w:val="nil"/>
            </w:tcBorders>
          </w:tcPr>
          <w:p w:rsidR="0045496E" w:rsidRPr="004952C0" w:rsidRDefault="0045496E" w:rsidP="005634D0">
            <w:pPr>
              <w:pStyle w:val="Tabletext"/>
              <w:jc w:val="center"/>
            </w:pPr>
            <w:r w:rsidRPr="004952C0">
              <w:t>1.88</w:t>
            </w:r>
          </w:p>
        </w:tc>
      </w:tr>
      <w:tr w:rsidR="004952C0" w:rsidRPr="004952C0" w:rsidTr="00F64C55">
        <w:tc>
          <w:tcPr>
            <w:tcW w:w="1681" w:type="pct"/>
            <w:tcBorders>
              <w:top w:val="nil"/>
              <w:left w:val="nil"/>
              <w:bottom w:val="nil"/>
              <w:right w:val="single" w:sz="12" w:space="0" w:color="auto"/>
            </w:tcBorders>
          </w:tcPr>
          <w:p w:rsidR="0045496E" w:rsidRPr="004952C0" w:rsidRDefault="0045496E" w:rsidP="005634D0">
            <w:pPr>
              <w:pStyle w:val="Tabletext"/>
            </w:pPr>
            <w:r w:rsidRPr="004952C0">
              <w:t>Cross</w:t>
            </w:r>
            <w:r w:rsidRPr="004952C0">
              <w:noBreakHyphen/>
            </w:r>
            <w:proofErr w:type="spellStart"/>
            <w:r w:rsidRPr="004952C0">
              <w:t>flow</w:t>
            </w:r>
            <w:proofErr w:type="spellEnd"/>
            <w:r w:rsidRPr="004952C0">
              <w:t xml:space="preserve"> fan</w:t>
            </w:r>
          </w:p>
        </w:tc>
        <w:tc>
          <w:tcPr>
            <w:tcW w:w="810" w:type="pct"/>
            <w:tcBorders>
              <w:top w:val="nil"/>
              <w:left w:val="single" w:sz="12" w:space="0" w:color="auto"/>
              <w:bottom w:val="nil"/>
              <w:right w:val="nil"/>
            </w:tcBorders>
          </w:tcPr>
          <w:p w:rsidR="0045496E" w:rsidRPr="004952C0" w:rsidRDefault="0045496E" w:rsidP="005634D0">
            <w:pPr>
              <w:pStyle w:val="Tabletext"/>
              <w:jc w:val="center"/>
            </w:pPr>
            <w:r w:rsidRPr="004952C0">
              <w:t>1.14</w:t>
            </w:r>
          </w:p>
        </w:tc>
        <w:tc>
          <w:tcPr>
            <w:tcW w:w="890" w:type="pct"/>
            <w:tcBorders>
              <w:top w:val="nil"/>
              <w:left w:val="nil"/>
              <w:bottom w:val="nil"/>
              <w:right w:val="single" w:sz="2" w:space="0" w:color="auto"/>
            </w:tcBorders>
          </w:tcPr>
          <w:p w:rsidR="0045496E" w:rsidRPr="004952C0" w:rsidRDefault="0045496E" w:rsidP="005634D0">
            <w:pPr>
              <w:pStyle w:val="Tabletext"/>
              <w:jc w:val="center"/>
            </w:pPr>
            <w:r w:rsidRPr="004952C0">
              <w:t>2.6</w:t>
            </w:r>
          </w:p>
        </w:tc>
        <w:tc>
          <w:tcPr>
            <w:tcW w:w="810" w:type="pct"/>
            <w:tcBorders>
              <w:top w:val="nil"/>
              <w:left w:val="single" w:sz="2" w:space="0" w:color="auto"/>
              <w:bottom w:val="nil"/>
              <w:right w:val="nil"/>
            </w:tcBorders>
          </w:tcPr>
          <w:p w:rsidR="0045496E" w:rsidRPr="004952C0" w:rsidRDefault="0045496E" w:rsidP="005634D0">
            <w:pPr>
              <w:pStyle w:val="Tabletext"/>
              <w:jc w:val="center"/>
            </w:pPr>
            <w:r w:rsidRPr="004952C0">
              <w:t>0</w:t>
            </w:r>
          </w:p>
        </w:tc>
        <w:tc>
          <w:tcPr>
            <w:tcW w:w="809" w:type="pct"/>
            <w:tcBorders>
              <w:top w:val="nil"/>
              <w:left w:val="nil"/>
              <w:bottom w:val="nil"/>
              <w:right w:val="nil"/>
            </w:tcBorders>
          </w:tcPr>
          <w:p w:rsidR="0045496E" w:rsidRPr="004952C0" w:rsidRDefault="0045496E" w:rsidP="005634D0">
            <w:pPr>
              <w:pStyle w:val="Tabletext"/>
              <w:jc w:val="center"/>
            </w:pPr>
            <w:r w:rsidRPr="004952C0">
              <w:t>0</w:t>
            </w:r>
          </w:p>
        </w:tc>
      </w:tr>
      <w:tr w:rsidR="004952C0" w:rsidRPr="004952C0" w:rsidTr="00F64C55">
        <w:tc>
          <w:tcPr>
            <w:tcW w:w="1681" w:type="pct"/>
            <w:tcBorders>
              <w:top w:val="nil"/>
              <w:left w:val="nil"/>
              <w:bottom w:val="nil"/>
              <w:right w:val="single" w:sz="12" w:space="0" w:color="auto"/>
            </w:tcBorders>
          </w:tcPr>
          <w:p w:rsidR="0045496E" w:rsidRPr="004952C0" w:rsidRDefault="0045496E" w:rsidP="005634D0">
            <w:pPr>
              <w:pStyle w:val="Tabletext"/>
            </w:pPr>
            <w:r w:rsidRPr="004952C0">
              <w:t>Mixed</w:t>
            </w:r>
            <w:r w:rsidRPr="004952C0">
              <w:noBreakHyphen/>
            </w:r>
            <w:proofErr w:type="spellStart"/>
            <w:r w:rsidRPr="004952C0">
              <w:t>flow</w:t>
            </w:r>
            <w:proofErr w:type="spellEnd"/>
            <w:r w:rsidRPr="004952C0">
              <w:t xml:space="preserve"> fan </w:t>
            </w:r>
          </w:p>
        </w:tc>
        <w:tc>
          <w:tcPr>
            <w:tcW w:w="810" w:type="pct"/>
            <w:tcBorders>
              <w:top w:val="nil"/>
              <w:left w:val="single" w:sz="12" w:space="0" w:color="auto"/>
              <w:bottom w:val="nil"/>
              <w:right w:val="nil"/>
            </w:tcBorders>
          </w:tcPr>
          <w:p w:rsidR="0045496E" w:rsidRPr="004952C0" w:rsidRDefault="0045496E" w:rsidP="005634D0">
            <w:pPr>
              <w:pStyle w:val="Tabletext"/>
              <w:jc w:val="center"/>
            </w:pPr>
            <w:r w:rsidRPr="004952C0">
              <w:t>4.56</w:t>
            </w:r>
          </w:p>
        </w:tc>
        <w:tc>
          <w:tcPr>
            <w:tcW w:w="890" w:type="pct"/>
            <w:tcBorders>
              <w:top w:val="nil"/>
              <w:left w:val="nil"/>
              <w:bottom w:val="nil"/>
              <w:right w:val="single" w:sz="2" w:space="0" w:color="auto"/>
            </w:tcBorders>
          </w:tcPr>
          <w:p w:rsidR="0045496E" w:rsidRPr="004952C0" w:rsidRDefault="0045496E" w:rsidP="005634D0">
            <w:pPr>
              <w:pStyle w:val="Tabletext"/>
              <w:jc w:val="center"/>
            </w:pPr>
            <w:r w:rsidRPr="004952C0">
              <w:t>10.5</w:t>
            </w:r>
          </w:p>
        </w:tc>
        <w:tc>
          <w:tcPr>
            <w:tcW w:w="810" w:type="pct"/>
            <w:tcBorders>
              <w:top w:val="nil"/>
              <w:left w:val="single" w:sz="2" w:space="0" w:color="auto"/>
              <w:bottom w:val="nil"/>
              <w:right w:val="nil"/>
            </w:tcBorders>
          </w:tcPr>
          <w:p w:rsidR="0045496E" w:rsidRPr="004952C0" w:rsidRDefault="0045496E" w:rsidP="005634D0">
            <w:pPr>
              <w:pStyle w:val="Tabletext"/>
              <w:jc w:val="center"/>
            </w:pPr>
            <w:r w:rsidRPr="004952C0">
              <w:t>1.1</w:t>
            </w:r>
          </w:p>
        </w:tc>
        <w:tc>
          <w:tcPr>
            <w:tcW w:w="809" w:type="pct"/>
            <w:tcBorders>
              <w:top w:val="nil"/>
              <w:left w:val="nil"/>
              <w:bottom w:val="nil"/>
              <w:right w:val="nil"/>
            </w:tcBorders>
          </w:tcPr>
          <w:p w:rsidR="0045496E" w:rsidRPr="004952C0" w:rsidRDefault="0045496E" w:rsidP="005634D0">
            <w:pPr>
              <w:pStyle w:val="Tabletext"/>
              <w:jc w:val="center"/>
            </w:pPr>
            <w:r w:rsidRPr="004952C0">
              <w:t>2.6</w:t>
            </w:r>
          </w:p>
        </w:tc>
      </w:tr>
      <w:tr w:rsidR="004952C0" w:rsidRPr="004952C0" w:rsidTr="00F64C55">
        <w:tc>
          <w:tcPr>
            <w:tcW w:w="1681" w:type="pct"/>
            <w:tcBorders>
              <w:top w:val="nil"/>
              <w:left w:val="nil"/>
              <w:bottom w:val="nil"/>
              <w:right w:val="single" w:sz="12" w:space="0" w:color="auto"/>
            </w:tcBorders>
          </w:tcPr>
          <w:p w:rsidR="0045496E" w:rsidRPr="004952C0" w:rsidRDefault="0045496E" w:rsidP="005634D0">
            <w:pPr>
              <w:pStyle w:val="Tabletext"/>
            </w:pPr>
            <w:r w:rsidRPr="004952C0">
              <w:t>Centrifugal backward</w:t>
            </w:r>
            <w:r w:rsidRPr="004952C0">
              <w:noBreakHyphen/>
            </w:r>
            <w:proofErr w:type="spellStart"/>
            <w:r w:rsidRPr="004952C0">
              <w:t>curved</w:t>
            </w:r>
            <w:proofErr w:type="spellEnd"/>
            <w:r w:rsidRPr="004952C0">
              <w:t xml:space="preserve"> fan</w:t>
            </w:r>
          </w:p>
        </w:tc>
        <w:tc>
          <w:tcPr>
            <w:tcW w:w="810" w:type="pct"/>
            <w:tcBorders>
              <w:top w:val="nil"/>
              <w:left w:val="single" w:sz="12" w:space="0" w:color="auto"/>
              <w:bottom w:val="nil"/>
              <w:right w:val="nil"/>
            </w:tcBorders>
          </w:tcPr>
          <w:p w:rsidR="0045496E" w:rsidRPr="004952C0" w:rsidRDefault="0045496E" w:rsidP="005634D0">
            <w:pPr>
              <w:pStyle w:val="Tabletext"/>
              <w:jc w:val="center"/>
            </w:pPr>
            <w:r w:rsidRPr="004952C0">
              <w:t>4.56</w:t>
            </w:r>
          </w:p>
        </w:tc>
        <w:tc>
          <w:tcPr>
            <w:tcW w:w="890" w:type="pct"/>
            <w:tcBorders>
              <w:top w:val="nil"/>
              <w:left w:val="nil"/>
              <w:bottom w:val="nil"/>
              <w:right w:val="single" w:sz="2" w:space="0" w:color="auto"/>
            </w:tcBorders>
          </w:tcPr>
          <w:p w:rsidR="0045496E" w:rsidRPr="004952C0" w:rsidRDefault="0045496E" w:rsidP="005634D0">
            <w:pPr>
              <w:pStyle w:val="Tabletext"/>
              <w:jc w:val="center"/>
            </w:pPr>
            <w:r w:rsidRPr="004952C0">
              <w:t>10.5</w:t>
            </w:r>
          </w:p>
        </w:tc>
        <w:tc>
          <w:tcPr>
            <w:tcW w:w="810" w:type="pct"/>
            <w:tcBorders>
              <w:top w:val="nil"/>
              <w:left w:val="single" w:sz="2" w:space="0" w:color="auto"/>
              <w:bottom w:val="nil"/>
              <w:right w:val="nil"/>
            </w:tcBorders>
          </w:tcPr>
          <w:p w:rsidR="0045496E" w:rsidRPr="004952C0" w:rsidRDefault="0045496E" w:rsidP="005634D0">
            <w:pPr>
              <w:pStyle w:val="Tabletext"/>
              <w:jc w:val="center"/>
            </w:pPr>
            <w:r w:rsidRPr="004952C0">
              <w:t>1.1</w:t>
            </w:r>
          </w:p>
        </w:tc>
        <w:tc>
          <w:tcPr>
            <w:tcW w:w="809" w:type="pct"/>
            <w:tcBorders>
              <w:top w:val="nil"/>
              <w:left w:val="nil"/>
              <w:bottom w:val="nil"/>
              <w:right w:val="nil"/>
            </w:tcBorders>
          </w:tcPr>
          <w:p w:rsidR="0045496E" w:rsidRPr="004952C0" w:rsidRDefault="0045496E" w:rsidP="005634D0">
            <w:pPr>
              <w:pStyle w:val="Tabletext"/>
              <w:jc w:val="center"/>
            </w:pPr>
            <w:r w:rsidRPr="004952C0">
              <w:t>2.6</w:t>
            </w:r>
          </w:p>
        </w:tc>
      </w:tr>
      <w:tr w:rsidR="004952C0" w:rsidRPr="004952C0" w:rsidTr="00F64C55">
        <w:tc>
          <w:tcPr>
            <w:tcW w:w="1681" w:type="pct"/>
            <w:tcBorders>
              <w:top w:val="nil"/>
              <w:left w:val="nil"/>
              <w:bottom w:val="nil"/>
              <w:right w:val="single" w:sz="12" w:space="0" w:color="auto"/>
            </w:tcBorders>
          </w:tcPr>
          <w:p w:rsidR="0045496E" w:rsidRPr="004952C0" w:rsidRDefault="0045496E" w:rsidP="005634D0">
            <w:pPr>
              <w:pStyle w:val="Tabletext"/>
            </w:pPr>
            <w:r w:rsidRPr="004952C0">
              <w:t>Centrifugal radial bladed fan</w:t>
            </w:r>
          </w:p>
        </w:tc>
        <w:tc>
          <w:tcPr>
            <w:tcW w:w="810" w:type="pct"/>
            <w:tcBorders>
              <w:top w:val="nil"/>
              <w:left w:val="single" w:sz="12" w:space="0" w:color="auto"/>
              <w:bottom w:val="nil"/>
              <w:right w:val="nil"/>
            </w:tcBorders>
          </w:tcPr>
          <w:p w:rsidR="0045496E" w:rsidRPr="004952C0" w:rsidRDefault="0045496E" w:rsidP="005634D0">
            <w:pPr>
              <w:pStyle w:val="Tabletext"/>
              <w:jc w:val="center"/>
            </w:pPr>
            <w:r w:rsidRPr="004952C0">
              <w:t>2.74</w:t>
            </w:r>
          </w:p>
        </w:tc>
        <w:tc>
          <w:tcPr>
            <w:tcW w:w="890" w:type="pct"/>
            <w:tcBorders>
              <w:top w:val="nil"/>
              <w:left w:val="nil"/>
              <w:bottom w:val="nil"/>
              <w:right w:val="single" w:sz="2" w:space="0" w:color="auto"/>
            </w:tcBorders>
          </w:tcPr>
          <w:p w:rsidR="0045496E" w:rsidRPr="004952C0" w:rsidRDefault="0045496E" w:rsidP="005634D0">
            <w:pPr>
              <w:pStyle w:val="Tabletext"/>
              <w:jc w:val="center"/>
            </w:pPr>
            <w:r w:rsidRPr="004952C0">
              <w:t>6.33</w:t>
            </w:r>
          </w:p>
        </w:tc>
        <w:tc>
          <w:tcPr>
            <w:tcW w:w="810" w:type="pct"/>
            <w:tcBorders>
              <w:top w:val="nil"/>
              <w:left w:val="single" w:sz="2" w:space="0" w:color="auto"/>
              <w:bottom w:val="nil"/>
              <w:right w:val="nil"/>
            </w:tcBorders>
          </w:tcPr>
          <w:p w:rsidR="0045496E" w:rsidRPr="004952C0" w:rsidRDefault="0045496E" w:rsidP="005634D0">
            <w:pPr>
              <w:pStyle w:val="Tabletext"/>
              <w:jc w:val="center"/>
            </w:pPr>
            <w:r w:rsidRPr="004952C0">
              <w:t>0.78</w:t>
            </w:r>
          </w:p>
        </w:tc>
        <w:tc>
          <w:tcPr>
            <w:tcW w:w="809" w:type="pct"/>
            <w:tcBorders>
              <w:top w:val="nil"/>
              <w:left w:val="nil"/>
              <w:bottom w:val="nil"/>
              <w:right w:val="nil"/>
            </w:tcBorders>
          </w:tcPr>
          <w:p w:rsidR="0045496E" w:rsidRPr="004952C0" w:rsidRDefault="0045496E" w:rsidP="005634D0">
            <w:pPr>
              <w:pStyle w:val="Tabletext"/>
              <w:jc w:val="center"/>
            </w:pPr>
            <w:r w:rsidRPr="004952C0">
              <w:t>1.88</w:t>
            </w:r>
          </w:p>
        </w:tc>
      </w:tr>
      <w:tr w:rsidR="0045496E" w:rsidRPr="004952C0" w:rsidTr="00F64C55">
        <w:tc>
          <w:tcPr>
            <w:tcW w:w="1681" w:type="pct"/>
            <w:tcBorders>
              <w:top w:val="nil"/>
              <w:left w:val="nil"/>
              <w:bottom w:val="single" w:sz="12" w:space="0" w:color="auto"/>
              <w:right w:val="single" w:sz="12" w:space="0" w:color="auto"/>
            </w:tcBorders>
          </w:tcPr>
          <w:p w:rsidR="0045496E" w:rsidRPr="004952C0" w:rsidRDefault="0045496E" w:rsidP="005634D0">
            <w:pPr>
              <w:pStyle w:val="Tabletext"/>
            </w:pPr>
            <w:r w:rsidRPr="004952C0">
              <w:t>Centrifugal forward</w:t>
            </w:r>
            <w:r w:rsidRPr="004952C0">
              <w:noBreakHyphen/>
            </w:r>
            <w:proofErr w:type="spellStart"/>
            <w:r w:rsidRPr="004952C0">
              <w:t>curved</w:t>
            </w:r>
            <w:proofErr w:type="spellEnd"/>
            <w:r w:rsidRPr="004952C0">
              <w:t xml:space="preserve"> fan</w:t>
            </w:r>
          </w:p>
        </w:tc>
        <w:tc>
          <w:tcPr>
            <w:tcW w:w="810" w:type="pct"/>
            <w:tcBorders>
              <w:top w:val="nil"/>
              <w:left w:val="single" w:sz="12" w:space="0" w:color="auto"/>
              <w:bottom w:val="single" w:sz="12" w:space="0" w:color="auto"/>
              <w:right w:val="nil"/>
            </w:tcBorders>
          </w:tcPr>
          <w:p w:rsidR="0045496E" w:rsidRPr="004952C0" w:rsidRDefault="0045496E" w:rsidP="005634D0">
            <w:pPr>
              <w:pStyle w:val="Tabletext"/>
              <w:jc w:val="center"/>
            </w:pPr>
            <w:r w:rsidRPr="004952C0">
              <w:t>2.74</w:t>
            </w:r>
          </w:p>
        </w:tc>
        <w:tc>
          <w:tcPr>
            <w:tcW w:w="890" w:type="pct"/>
            <w:tcBorders>
              <w:top w:val="nil"/>
              <w:left w:val="nil"/>
              <w:bottom w:val="single" w:sz="12" w:space="0" w:color="auto"/>
              <w:right w:val="single" w:sz="2" w:space="0" w:color="auto"/>
            </w:tcBorders>
          </w:tcPr>
          <w:p w:rsidR="0045496E" w:rsidRPr="004952C0" w:rsidRDefault="0045496E" w:rsidP="005634D0">
            <w:pPr>
              <w:pStyle w:val="Tabletext"/>
              <w:jc w:val="center"/>
            </w:pPr>
            <w:r w:rsidRPr="004952C0">
              <w:t>6.33</w:t>
            </w:r>
          </w:p>
        </w:tc>
        <w:tc>
          <w:tcPr>
            <w:tcW w:w="810" w:type="pct"/>
            <w:tcBorders>
              <w:top w:val="nil"/>
              <w:left w:val="single" w:sz="2" w:space="0" w:color="auto"/>
              <w:bottom w:val="single" w:sz="12" w:space="0" w:color="auto"/>
              <w:right w:val="nil"/>
            </w:tcBorders>
          </w:tcPr>
          <w:p w:rsidR="0045496E" w:rsidRPr="004952C0" w:rsidRDefault="0045496E" w:rsidP="005634D0">
            <w:pPr>
              <w:pStyle w:val="Tabletext"/>
              <w:jc w:val="center"/>
            </w:pPr>
            <w:r w:rsidRPr="004952C0">
              <w:t>0.78</w:t>
            </w:r>
          </w:p>
        </w:tc>
        <w:tc>
          <w:tcPr>
            <w:tcW w:w="809" w:type="pct"/>
            <w:tcBorders>
              <w:top w:val="nil"/>
              <w:left w:val="nil"/>
              <w:bottom w:val="single" w:sz="12" w:space="0" w:color="auto"/>
              <w:right w:val="nil"/>
            </w:tcBorders>
          </w:tcPr>
          <w:p w:rsidR="0045496E" w:rsidRPr="004952C0" w:rsidRDefault="0045496E" w:rsidP="005634D0">
            <w:pPr>
              <w:pStyle w:val="Tabletext"/>
              <w:jc w:val="center"/>
            </w:pPr>
            <w:r w:rsidRPr="004952C0">
              <w:t>1.88</w:t>
            </w:r>
          </w:p>
        </w:tc>
      </w:tr>
    </w:tbl>
    <w:p w:rsidR="0045496E" w:rsidRPr="004952C0" w:rsidRDefault="0045496E" w:rsidP="0045496E">
      <w:pPr>
        <w:spacing w:line="240" w:lineRule="auto"/>
        <w:rPr>
          <w:rFonts w:eastAsia="Times New Roman"/>
          <w:lang w:eastAsia="en-AU"/>
        </w:rPr>
      </w:pPr>
    </w:p>
    <w:p w:rsidR="0045496E" w:rsidRPr="004952C0" w:rsidRDefault="00FE4F8F" w:rsidP="0045496E">
      <w:pPr>
        <w:pStyle w:val="h1Chap"/>
      </w:pPr>
      <w:bookmarkStart w:id="139" w:name="_Toc418869749"/>
      <w:bookmarkStart w:id="140" w:name="_Toc420940777"/>
      <w:bookmarkStart w:id="141" w:name="_Toc431466324"/>
      <w:r w:rsidRPr="004952C0">
        <w:lastRenderedPageBreak/>
        <w:t>Schedule 5</w:t>
      </w:r>
      <w:r w:rsidR="0045496E" w:rsidRPr="004952C0">
        <w:t>—</w:t>
      </w:r>
      <w:proofErr w:type="gramStart"/>
      <w:r w:rsidR="0045496E" w:rsidRPr="004952C0">
        <w:t>High</w:t>
      </w:r>
      <w:proofErr w:type="gramEnd"/>
      <w:r w:rsidR="0045496E" w:rsidRPr="004952C0">
        <w:t xml:space="preserve"> efficiency fan installations—static and total efficiency benchmarks</w:t>
      </w:r>
      <w:bookmarkEnd w:id="139"/>
      <w:bookmarkEnd w:id="140"/>
      <w:bookmarkEnd w:id="141"/>
    </w:p>
    <w:p w:rsidR="0045496E" w:rsidRPr="004952C0" w:rsidRDefault="0045496E" w:rsidP="0045496E">
      <w:pPr>
        <w:pStyle w:val="ntoHeading"/>
      </w:pPr>
    </w:p>
    <w:p w:rsidR="0045496E" w:rsidRPr="004952C0" w:rsidRDefault="0045496E" w:rsidP="0045496E">
      <w:pPr>
        <w:pStyle w:val="tMain"/>
      </w:pPr>
      <w:r w:rsidRPr="004952C0">
        <w:tab/>
      </w:r>
      <w:r w:rsidRPr="004952C0">
        <w:tab/>
        <w:t xml:space="preserve">For section </w:t>
      </w:r>
      <w:r w:rsidR="00934AC6" w:rsidRPr="004952C0">
        <w:t>15</w:t>
      </w:r>
      <w:r w:rsidRPr="004952C0">
        <w:t xml:space="preserve"> of this determination, and for equations 7 and 18 (section </w:t>
      </w:r>
      <w:r w:rsidR="00934AC6" w:rsidRPr="004952C0">
        <w:t>31</w:t>
      </w:r>
      <w:r w:rsidRPr="004952C0">
        <w:t xml:space="preserve"> of this determination and section </w:t>
      </w:r>
      <w:r w:rsidR="00934AC6" w:rsidRPr="004952C0">
        <w:t>6</w:t>
      </w:r>
      <w:r w:rsidRPr="004952C0">
        <w:t xml:space="preserve"> of </w:t>
      </w:r>
      <w:r w:rsidR="00934AC6" w:rsidRPr="004952C0">
        <w:t>Schedule 1</w:t>
      </w:r>
      <w:r w:rsidRPr="004952C0">
        <w:t xml:space="preserve">), if the model of the </w:t>
      </w:r>
      <w:proofErr w:type="spellStart"/>
      <w:r w:rsidRPr="004952C0">
        <w:rPr>
          <w:i/>
        </w:rPr>
        <w:t>i</w:t>
      </w:r>
      <w:r w:rsidRPr="004952C0">
        <w:rPr>
          <w:vertAlign w:val="superscript"/>
        </w:rPr>
        <w:t>th</w:t>
      </w:r>
      <w:proofErr w:type="spellEnd"/>
      <w:r w:rsidRPr="004952C0">
        <w:softHyphen/>
        <w:t xml:space="preserve"> fan:</w:t>
      </w:r>
    </w:p>
    <w:p w:rsidR="0045496E" w:rsidRPr="004952C0" w:rsidRDefault="0045496E" w:rsidP="0045496E">
      <w:pPr>
        <w:pStyle w:val="tPara"/>
      </w:pPr>
      <w:r w:rsidRPr="004952C0">
        <w:tab/>
        <w:t>(a)</w:t>
      </w:r>
      <w:r w:rsidRPr="004952C0">
        <w:tab/>
      </w:r>
      <w:proofErr w:type="gramStart"/>
      <w:r w:rsidRPr="004952C0">
        <w:t>is</w:t>
      </w:r>
      <w:proofErr w:type="gramEnd"/>
      <w:r w:rsidRPr="004952C0">
        <w:t xml:space="preserve"> of an eligible fan type indicated in the table below; and</w:t>
      </w:r>
    </w:p>
    <w:p w:rsidR="0045496E" w:rsidRPr="004952C0" w:rsidRDefault="0045496E" w:rsidP="0045496E">
      <w:pPr>
        <w:pStyle w:val="tPara"/>
      </w:pPr>
      <w:r w:rsidRPr="004952C0">
        <w:tab/>
        <w:t>(b)</w:t>
      </w:r>
      <w:r w:rsidRPr="004952C0">
        <w:tab/>
      </w:r>
      <w:proofErr w:type="gramStart"/>
      <w:r w:rsidRPr="004952C0">
        <w:t>was</w:t>
      </w:r>
      <w:proofErr w:type="gramEnd"/>
      <w:r w:rsidRPr="004952C0">
        <w:t xml:space="preserve"> tested using an installation category indicated in the table;</w:t>
      </w:r>
    </w:p>
    <w:p w:rsidR="0045496E" w:rsidRPr="004952C0" w:rsidRDefault="0045496E" w:rsidP="0045496E">
      <w:pPr>
        <w:pStyle w:val="tMain"/>
        <w:spacing w:before="40"/>
      </w:pPr>
      <w:r w:rsidRPr="004952C0">
        <w:tab/>
      </w:r>
      <w:r w:rsidRPr="004952C0">
        <w:tab/>
      </w:r>
      <w:proofErr w:type="gramStart"/>
      <w:r w:rsidRPr="004952C0">
        <w:t>the</w:t>
      </w:r>
      <w:proofErr w:type="gramEnd"/>
      <w:r w:rsidRPr="004952C0">
        <w:t xml:space="preserve"> market average efficiency grade (</w:t>
      </w:r>
      <w:proofErr w:type="spellStart"/>
      <w:r w:rsidRPr="004952C0">
        <w:rPr>
          <w:b/>
          <w:i/>
        </w:rPr>
        <w:t>N</w:t>
      </w:r>
      <w:r w:rsidRPr="004952C0">
        <w:rPr>
          <w:b/>
          <w:i/>
          <w:vertAlign w:val="subscript"/>
        </w:rPr>
        <w:t>ave,i</w:t>
      </w:r>
      <w:proofErr w:type="spellEnd"/>
      <w:r w:rsidRPr="004952C0">
        <w:t>) and the high efficiency grade (</w:t>
      </w:r>
      <w:proofErr w:type="spellStart"/>
      <w:r w:rsidRPr="004952C0">
        <w:rPr>
          <w:b/>
          <w:i/>
        </w:rPr>
        <w:t>N</w:t>
      </w:r>
      <w:r w:rsidRPr="004952C0">
        <w:rPr>
          <w:b/>
          <w:i/>
          <w:vertAlign w:val="subscript"/>
        </w:rPr>
        <w:t>HE,i</w:t>
      </w:r>
      <w:proofErr w:type="spellEnd"/>
      <w:r w:rsidRPr="004952C0">
        <w:t>) of the fan are the corresponding values indicated in the table.</w:t>
      </w:r>
    </w:p>
    <w:p w:rsidR="0045496E" w:rsidRPr="004952C0" w:rsidRDefault="0045496E" w:rsidP="0045496E">
      <w:pPr>
        <w:pStyle w:val="tMain"/>
        <w:spacing w:before="40"/>
      </w:pPr>
    </w:p>
    <w:tbl>
      <w:tblPr>
        <w:tblW w:w="5000" w:type="pct"/>
        <w:tblLook w:val="04A0"/>
      </w:tblPr>
      <w:tblGrid>
        <w:gridCol w:w="2412"/>
        <w:gridCol w:w="1708"/>
        <w:gridCol w:w="1708"/>
        <w:gridCol w:w="1708"/>
        <w:gridCol w:w="1706"/>
      </w:tblGrid>
      <w:tr w:rsidR="004952C0" w:rsidRPr="004952C0" w:rsidTr="005634D0">
        <w:tc>
          <w:tcPr>
            <w:tcW w:w="5000" w:type="pct"/>
            <w:gridSpan w:val="5"/>
            <w:tcBorders>
              <w:top w:val="nil"/>
              <w:left w:val="nil"/>
              <w:bottom w:val="single" w:sz="12" w:space="0" w:color="auto"/>
              <w:right w:val="nil"/>
            </w:tcBorders>
          </w:tcPr>
          <w:p w:rsidR="0045496E" w:rsidRPr="004952C0" w:rsidRDefault="0045496E" w:rsidP="005634D0">
            <w:pPr>
              <w:pStyle w:val="Tabletext"/>
              <w:jc w:val="center"/>
              <w:rPr>
                <w:b/>
              </w:rPr>
            </w:pPr>
            <w:r w:rsidRPr="004952C0">
              <w:rPr>
                <w:b/>
              </w:rPr>
              <w:t>High efficiency fan installations:</w:t>
            </w:r>
            <w:r w:rsidRPr="004952C0">
              <w:rPr>
                <w:b/>
              </w:rPr>
              <w:br/>
              <w:t>Market average efficiency grade and high efficiency grade</w:t>
            </w:r>
          </w:p>
        </w:tc>
      </w:tr>
      <w:tr w:rsidR="004952C0" w:rsidRPr="004952C0" w:rsidTr="005634D0">
        <w:tc>
          <w:tcPr>
            <w:tcW w:w="1305" w:type="pct"/>
            <w:tcBorders>
              <w:top w:val="nil"/>
              <w:left w:val="nil"/>
              <w:bottom w:val="single" w:sz="12" w:space="0" w:color="auto"/>
              <w:right w:val="nil"/>
            </w:tcBorders>
          </w:tcPr>
          <w:p w:rsidR="0045496E" w:rsidRPr="004952C0" w:rsidRDefault="0045496E" w:rsidP="005634D0">
            <w:pPr>
              <w:pStyle w:val="TableHeading"/>
            </w:pPr>
          </w:p>
          <w:p w:rsidR="0045496E" w:rsidRPr="004952C0" w:rsidRDefault="0045496E" w:rsidP="005634D0">
            <w:pPr>
              <w:pStyle w:val="Tabletext"/>
            </w:pPr>
          </w:p>
        </w:tc>
        <w:tc>
          <w:tcPr>
            <w:tcW w:w="1848" w:type="pct"/>
            <w:gridSpan w:val="2"/>
            <w:tcBorders>
              <w:top w:val="nil"/>
              <w:left w:val="nil"/>
              <w:bottom w:val="single" w:sz="12" w:space="0" w:color="auto"/>
              <w:right w:val="nil"/>
            </w:tcBorders>
          </w:tcPr>
          <w:p w:rsidR="0045496E" w:rsidRPr="004952C0" w:rsidRDefault="0045496E" w:rsidP="005634D0">
            <w:pPr>
              <w:pStyle w:val="Tabletext"/>
              <w:jc w:val="center"/>
              <w:rPr>
                <w:b/>
              </w:rPr>
            </w:pPr>
            <w:r w:rsidRPr="004952C0">
              <w:rPr>
                <w:b/>
              </w:rPr>
              <w:t xml:space="preserve">Installation category A or </w:t>
            </w:r>
            <w:r w:rsidRPr="004952C0">
              <w:rPr>
                <w:b/>
              </w:rPr>
              <w:br/>
              <w:t>installation category C</w:t>
            </w:r>
          </w:p>
          <w:p w:rsidR="00FA181A" w:rsidRPr="004952C0" w:rsidRDefault="00FA181A" w:rsidP="005634D0">
            <w:pPr>
              <w:pStyle w:val="Tabletext"/>
              <w:jc w:val="center"/>
              <w:rPr>
                <w:b/>
              </w:rPr>
            </w:pPr>
            <w:r w:rsidRPr="004952C0">
              <w:rPr>
                <w:b/>
              </w:rPr>
              <w:t>(static efficiency grades)</w:t>
            </w:r>
          </w:p>
        </w:tc>
        <w:tc>
          <w:tcPr>
            <w:tcW w:w="1847" w:type="pct"/>
            <w:gridSpan w:val="2"/>
            <w:tcBorders>
              <w:top w:val="nil"/>
              <w:left w:val="nil"/>
              <w:bottom w:val="single" w:sz="12" w:space="0" w:color="auto"/>
              <w:right w:val="nil"/>
            </w:tcBorders>
          </w:tcPr>
          <w:p w:rsidR="00FA181A" w:rsidRPr="004952C0" w:rsidRDefault="0045496E" w:rsidP="005634D0">
            <w:pPr>
              <w:pStyle w:val="Tabletext"/>
              <w:jc w:val="center"/>
              <w:rPr>
                <w:b/>
              </w:rPr>
            </w:pPr>
            <w:r w:rsidRPr="004952C0">
              <w:rPr>
                <w:b/>
              </w:rPr>
              <w:t xml:space="preserve">Installation category B or </w:t>
            </w:r>
            <w:r w:rsidRPr="004952C0">
              <w:rPr>
                <w:b/>
              </w:rPr>
              <w:br/>
              <w:t>installation category D</w:t>
            </w:r>
          </w:p>
          <w:p w:rsidR="0045496E" w:rsidRPr="004952C0" w:rsidRDefault="00FA181A" w:rsidP="005634D0">
            <w:pPr>
              <w:pStyle w:val="Tabletext"/>
              <w:jc w:val="center"/>
              <w:rPr>
                <w:b/>
              </w:rPr>
            </w:pPr>
            <w:r w:rsidRPr="004952C0">
              <w:rPr>
                <w:b/>
              </w:rPr>
              <w:t>(total efficiency grades)</w:t>
            </w:r>
          </w:p>
        </w:tc>
      </w:tr>
      <w:tr w:rsidR="004952C0" w:rsidRPr="004952C0" w:rsidTr="005634D0">
        <w:tc>
          <w:tcPr>
            <w:tcW w:w="1305" w:type="pct"/>
            <w:tcBorders>
              <w:top w:val="single" w:sz="12" w:space="0" w:color="auto"/>
              <w:left w:val="nil"/>
              <w:bottom w:val="single" w:sz="2" w:space="0" w:color="auto"/>
              <w:right w:val="single" w:sz="12" w:space="0" w:color="auto"/>
            </w:tcBorders>
            <w:vAlign w:val="center"/>
          </w:tcPr>
          <w:p w:rsidR="0045496E" w:rsidRPr="004952C0" w:rsidRDefault="0045496E" w:rsidP="005634D0">
            <w:pPr>
              <w:pStyle w:val="TableHeading"/>
            </w:pPr>
            <w:r w:rsidRPr="004952C0">
              <w:t>Eligible fan type</w:t>
            </w:r>
          </w:p>
        </w:tc>
        <w:tc>
          <w:tcPr>
            <w:tcW w:w="924" w:type="pct"/>
            <w:tcBorders>
              <w:top w:val="single" w:sz="12" w:space="0" w:color="auto"/>
              <w:left w:val="single" w:sz="12" w:space="0" w:color="auto"/>
              <w:bottom w:val="single" w:sz="2" w:space="0" w:color="auto"/>
              <w:right w:val="nil"/>
            </w:tcBorders>
            <w:vAlign w:val="center"/>
          </w:tcPr>
          <w:p w:rsidR="0045496E" w:rsidRPr="004952C0" w:rsidRDefault="0045496E" w:rsidP="005634D0">
            <w:pPr>
              <w:pStyle w:val="TableHeading"/>
              <w:jc w:val="center"/>
            </w:pPr>
            <w:r w:rsidRPr="004952C0">
              <w:t>Market average efficiency grade (</w:t>
            </w:r>
            <w:proofErr w:type="spellStart"/>
            <w:r w:rsidRPr="004952C0">
              <w:rPr>
                <w:i/>
              </w:rPr>
              <w:t>N</w:t>
            </w:r>
            <w:r w:rsidRPr="004952C0">
              <w:rPr>
                <w:i/>
                <w:vertAlign w:val="subscript"/>
              </w:rPr>
              <w:t>ave,i</w:t>
            </w:r>
            <w:proofErr w:type="spellEnd"/>
            <w:r w:rsidRPr="004952C0">
              <w:t>)</w:t>
            </w:r>
          </w:p>
        </w:tc>
        <w:tc>
          <w:tcPr>
            <w:tcW w:w="924" w:type="pct"/>
            <w:tcBorders>
              <w:top w:val="single" w:sz="12" w:space="0" w:color="auto"/>
              <w:left w:val="nil"/>
              <w:bottom w:val="single" w:sz="2" w:space="0" w:color="auto"/>
              <w:right w:val="single" w:sz="2" w:space="0" w:color="auto"/>
            </w:tcBorders>
            <w:vAlign w:val="center"/>
          </w:tcPr>
          <w:p w:rsidR="0045496E" w:rsidRPr="004952C0" w:rsidRDefault="0045496E" w:rsidP="005634D0">
            <w:pPr>
              <w:pStyle w:val="TableHeading"/>
              <w:jc w:val="center"/>
            </w:pPr>
            <w:r w:rsidRPr="004952C0">
              <w:t xml:space="preserve">High efficiency grade </w:t>
            </w:r>
            <w:r w:rsidRPr="004952C0">
              <w:br/>
              <w:t>(</w:t>
            </w:r>
            <w:proofErr w:type="spellStart"/>
            <w:r w:rsidRPr="004952C0">
              <w:rPr>
                <w:i/>
              </w:rPr>
              <w:t>N</w:t>
            </w:r>
            <w:r w:rsidRPr="004952C0">
              <w:rPr>
                <w:i/>
                <w:vertAlign w:val="subscript"/>
              </w:rPr>
              <w:t>HE,i</w:t>
            </w:r>
            <w:proofErr w:type="spellEnd"/>
            <w:r w:rsidRPr="004952C0">
              <w:t>)</w:t>
            </w:r>
          </w:p>
        </w:tc>
        <w:tc>
          <w:tcPr>
            <w:tcW w:w="924" w:type="pct"/>
            <w:tcBorders>
              <w:top w:val="single" w:sz="12" w:space="0" w:color="auto"/>
              <w:left w:val="single" w:sz="2" w:space="0" w:color="auto"/>
              <w:bottom w:val="single" w:sz="2" w:space="0" w:color="auto"/>
              <w:right w:val="nil"/>
            </w:tcBorders>
            <w:vAlign w:val="center"/>
          </w:tcPr>
          <w:p w:rsidR="0045496E" w:rsidRPr="004952C0" w:rsidRDefault="0045496E" w:rsidP="005634D0">
            <w:pPr>
              <w:pStyle w:val="TableHeading"/>
              <w:jc w:val="center"/>
            </w:pPr>
            <w:r w:rsidRPr="004952C0">
              <w:t>Market average efficiency grade (</w:t>
            </w:r>
            <w:proofErr w:type="spellStart"/>
            <w:r w:rsidRPr="004952C0">
              <w:rPr>
                <w:i/>
              </w:rPr>
              <w:t>N</w:t>
            </w:r>
            <w:r w:rsidRPr="004952C0">
              <w:rPr>
                <w:i/>
                <w:vertAlign w:val="subscript"/>
              </w:rPr>
              <w:t>ave,i</w:t>
            </w:r>
            <w:proofErr w:type="spellEnd"/>
            <w:r w:rsidRPr="004952C0">
              <w:t>)</w:t>
            </w:r>
          </w:p>
        </w:tc>
        <w:tc>
          <w:tcPr>
            <w:tcW w:w="923" w:type="pct"/>
            <w:tcBorders>
              <w:top w:val="single" w:sz="12" w:space="0" w:color="auto"/>
              <w:left w:val="nil"/>
              <w:bottom w:val="single" w:sz="2" w:space="0" w:color="auto"/>
              <w:right w:val="nil"/>
            </w:tcBorders>
            <w:vAlign w:val="center"/>
          </w:tcPr>
          <w:p w:rsidR="0045496E" w:rsidRPr="004952C0" w:rsidRDefault="0045496E" w:rsidP="005634D0">
            <w:pPr>
              <w:pStyle w:val="TableHeading"/>
              <w:jc w:val="center"/>
            </w:pPr>
            <w:r w:rsidRPr="004952C0">
              <w:t xml:space="preserve">High efficiency grade </w:t>
            </w:r>
            <w:r w:rsidRPr="004952C0">
              <w:br/>
              <w:t>(</w:t>
            </w:r>
            <w:proofErr w:type="spellStart"/>
            <w:r w:rsidRPr="004952C0">
              <w:rPr>
                <w:i/>
              </w:rPr>
              <w:t>N</w:t>
            </w:r>
            <w:r w:rsidRPr="004952C0">
              <w:rPr>
                <w:i/>
                <w:vertAlign w:val="subscript"/>
              </w:rPr>
              <w:t>HE,i</w:t>
            </w:r>
            <w:proofErr w:type="spellEnd"/>
            <w:r w:rsidRPr="004952C0">
              <w:t>)</w:t>
            </w:r>
          </w:p>
        </w:tc>
      </w:tr>
      <w:tr w:rsidR="004952C0" w:rsidRPr="004952C0" w:rsidTr="005634D0">
        <w:tc>
          <w:tcPr>
            <w:tcW w:w="1305" w:type="pct"/>
            <w:tcBorders>
              <w:top w:val="single" w:sz="2" w:space="0" w:color="auto"/>
              <w:left w:val="nil"/>
              <w:right w:val="single" w:sz="12" w:space="0" w:color="auto"/>
            </w:tcBorders>
          </w:tcPr>
          <w:p w:rsidR="0045496E" w:rsidRPr="004952C0" w:rsidRDefault="0045496E" w:rsidP="005634D0">
            <w:pPr>
              <w:pStyle w:val="Tabletext"/>
            </w:pPr>
            <w:r w:rsidRPr="004952C0">
              <w:t>Axial</w:t>
            </w:r>
            <w:r w:rsidRPr="004952C0">
              <w:noBreakHyphen/>
            </w:r>
            <w:proofErr w:type="spellStart"/>
            <w:r w:rsidRPr="004952C0">
              <w:t>flow</w:t>
            </w:r>
            <w:proofErr w:type="spellEnd"/>
            <w:r w:rsidRPr="004952C0">
              <w:t xml:space="preserve"> fan</w:t>
            </w:r>
          </w:p>
        </w:tc>
        <w:tc>
          <w:tcPr>
            <w:tcW w:w="924" w:type="pct"/>
            <w:tcBorders>
              <w:top w:val="single" w:sz="2" w:space="0" w:color="auto"/>
              <w:left w:val="single" w:sz="12" w:space="0" w:color="auto"/>
              <w:right w:val="nil"/>
            </w:tcBorders>
          </w:tcPr>
          <w:p w:rsidR="0045496E" w:rsidRPr="004952C0" w:rsidRDefault="0045496E" w:rsidP="005634D0">
            <w:pPr>
              <w:pStyle w:val="Tabletext"/>
              <w:jc w:val="center"/>
            </w:pPr>
            <w:r w:rsidRPr="004952C0">
              <w:t>38.0</w:t>
            </w:r>
          </w:p>
        </w:tc>
        <w:tc>
          <w:tcPr>
            <w:tcW w:w="924" w:type="pct"/>
            <w:tcBorders>
              <w:top w:val="single" w:sz="2" w:space="0" w:color="auto"/>
              <w:left w:val="nil"/>
              <w:right w:val="single" w:sz="2" w:space="0" w:color="auto"/>
            </w:tcBorders>
          </w:tcPr>
          <w:p w:rsidR="0045496E" w:rsidRPr="004952C0" w:rsidRDefault="0045496E" w:rsidP="005634D0">
            <w:pPr>
              <w:pStyle w:val="Tabletext"/>
              <w:jc w:val="center"/>
            </w:pPr>
            <w:r w:rsidRPr="004952C0">
              <w:t>42.0</w:t>
            </w:r>
          </w:p>
        </w:tc>
        <w:tc>
          <w:tcPr>
            <w:tcW w:w="924" w:type="pct"/>
            <w:tcBorders>
              <w:top w:val="single" w:sz="2" w:space="0" w:color="auto"/>
              <w:left w:val="single" w:sz="2" w:space="0" w:color="auto"/>
              <w:right w:val="nil"/>
            </w:tcBorders>
          </w:tcPr>
          <w:p w:rsidR="0045496E" w:rsidRPr="004952C0" w:rsidRDefault="0045496E" w:rsidP="005634D0">
            <w:pPr>
              <w:pStyle w:val="Tabletext"/>
              <w:jc w:val="center"/>
            </w:pPr>
            <w:r w:rsidRPr="004952C0">
              <w:softHyphen/>
              <w:t>54.0</w:t>
            </w:r>
          </w:p>
        </w:tc>
        <w:tc>
          <w:tcPr>
            <w:tcW w:w="923" w:type="pct"/>
            <w:tcBorders>
              <w:top w:val="single" w:sz="2" w:space="0" w:color="auto"/>
              <w:left w:val="nil"/>
              <w:right w:val="nil"/>
            </w:tcBorders>
          </w:tcPr>
          <w:p w:rsidR="0045496E" w:rsidRPr="004952C0" w:rsidRDefault="0045496E" w:rsidP="005634D0">
            <w:pPr>
              <w:pStyle w:val="Tabletext"/>
              <w:jc w:val="center"/>
            </w:pPr>
            <w:r w:rsidRPr="004952C0">
              <w:t>61.0</w:t>
            </w:r>
          </w:p>
        </w:tc>
      </w:tr>
      <w:tr w:rsidR="004952C0" w:rsidRPr="004952C0" w:rsidTr="005634D0">
        <w:tc>
          <w:tcPr>
            <w:tcW w:w="1305" w:type="pct"/>
            <w:tcBorders>
              <w:left w:val="nil"/>
              <w:right w:val="single" w:sz="12" w:space="0" w:color="auto"/>
            </w:tcBorders>
          </w:tcPr>
          <w:p w:rsidR="0045496E" w:rsidRPr="004952C0" w:rsidRDefault="0045496E" w:rsidP="005634D0">
            <w:pPr>
              <w:pStyle w:val="Tabletext"/>
            </w:pPr>
            <w:r w:rsidRPr="004952C0">
              <w:t>Centrifugal forward</w:t>
            </w:r>
            <w:r w:rsidRPr="004952C0">
              <w:noBreakHyphen/>
            </w:r>
            <w:proofErr w:type="spellStart"/>
            <w:r w:rsidRPr="004952C0">
              <w:t>curved</w:t>
            </w:r>
            <w:proofErr w:type="spellEnd"/>
            <w:r w:rsidRPr="004952C0">
              <w:t xml:space="preserve"> fan</w:t>
            </w:r>
          </w:p>
        </w:tc>
        <w:tc>
          <w:tcPr>
            <w:tcW w:w="924" w:type="pct"/>
            <w:tcBorders>
              <w:left w:val="single" w:sz="12" w:space="0" w:color="auto"/>
              <w:right w:val="nil"/>
            </w:tcBorders>
          </w:tcPr>
          <w:p w:rsidR="0045496E" w:rsidRPr="004952C0" w:rsidRDefault="0045496E" w:rsidP="005634D0">
            <w:pPr>
              <w:pStyle w:val="Tabletext"/>
              <w:jc w:val="center"/>
            </w:pPr>
            <w:r w:rsidRPr="004952C0">
              <w:t>40.5</w:t>
            </w:r>
          </w:p>
        </w:tc>
        <w:tc>
          <w:tcPr>
            <w:tcW w:w="924" w:type="pct"/>
            <w:tcBorders>
              <w:left w:val="nil"/>
              <w:right w:val="single" w:sz="2" w:space="0" w:color="auto"/>
            </w:tcBorders>
          </w:tcPr>
          <w:p w:rsidR="0045496E" w:rsidRPr="004952C0" w:rsidRDefault="0045496E" w:rsidP="005634D0">
            <w:pPr>
              <w:pStyle w:val="Tabletext"/>
              <w:jc w:val="center"/>
            </w:pPr>
            <w:r w:rsidRPr="004952C0">
              <w:t>46.0</w:t>
            </w:r>
          </w:p>
        </w:tc>
        <w:tc>
          <w:tcPr>
            <w:tcW w:w="924" w:type="pct"/>
            <w:tcBorders>
              <w:left w:val="single" w:sz="2" w:space="0" w:color="auto"/>
              <w:right w:val="nil"/>
            </w:tcBorders>
          </w:tcPr>
          <w:p w:rsidR="0045496E" w:rsidRPr="004952C0" w:rsidRDefault="0045496E" w:rsidP="005634D0">
            <w:pPr>
              <w:pStyle w:val="Tabletext"/>
              <w:jc w:val="center"/>
            </w:pPr>
            <w:r w:rsidRPr="004952C0">
              <w:t>45.5</w:t>
            </w:r>
          </w:p>
        </w:tc>
        <w:tc>
          <w:tcPr>
            <w:tcW w:w="923" w:type="pct"/>
            <w:tcBorders>
              <w:left w:val="nil"/>
              <w:right w:val="nil"/>
            </w:tcBorders>
          </w:tcPr>
          <w:p w:rsidR="0045496E" w:rsidRPr="004952C0" w:rsidRDefault="0045496E" w:rsidP="005634D0">
            <w:pPr>
              <w:pStyle w:val="Tabletext"/>
              <w:jc w:val="center"/>
            </w:pPr>
            <w:r w:rsidRPr="004952C0">
              <w:t>51.5</w:t>
            </w:r>
          </w:p>
        </w:tc>
      </w:tr>
      <w:tr w:rsidR="004952C0" w:rsidRPr="004952C0" w:rsidTr="005634D0">
        <w:tc>
          <w:tcPr>
            <w:tcW w:w="1305" w:type="pct"/>
            <w:tcBorders>
              <w:left w:val="nil"/>
              <w:right w:val="single" w:sz="12" w:space="0" w:color="auto"/>
            </w:tcBorders>
          </w:tcPr>
          <w:p w:rsidR="0045496E" w:rsidRPr="004952C0" w:rsidRDefault="0045496E" w:rsidP="005634D0">
            <w:pPr>
              <w:pStyle w:val="Tabletext"/>
            </w:pPr>
            <w:r w:rsidRPr="004952C0">
              <w:t>Centrifugal radial bladed fan</w:t>
            </w:r>
          </w:p>
        </w:tc>
        <w:tc>
          <w:tcPr>
            <w:tcW w:w="924" w:type="pct"/>
            <w:tcBorders>
              <w:left w:val="single" w:sz="12" w:space="0" w:color="auto"/>
              <w:right w:val="nil"/>
            </w:tcBorders>
          </w:tcPr>
          <w:p w:rsidR="0045496E" w:rsidRPr="004952C0" w:rsidRDefault="0045496E" w:rsidP="005634D0">
            <w:pPr>
              <w:pStyle w:val="Tabletext"/>
              <w:jc w:val="center"/>
            </w:pPr>
            <w:r w:rsidRPr="004952C0">
              <w:t>40.5</w:t>
            </w:r>
          </w:p>
        </w:tc>
        <w:tc>
          <w:tcPr>
            <w:tcW w:w="924" w:type="pct"/>
            <w:tcBorders>
              <w:left w:val="nil"/>
              <w:right w:val="single" w:sz="2" w:space="0" w:color="auto"/>
            </w:tcBorders>
          </w:tcPr>
          <w:p w:rsidR="0045496E" w:rsidRPr="004952C0" w:rsidRDefault="0045496E" w:rsidP="005634D0">
            <w:pPr>
              <w:pStyle w:val="Tabletext"/>
              <w:jc w:val="center"/>
            </w:pPr>
            <w:r w:rsidRPr="004952C0">
              <w:t>46.0</w:t>
            </w:r>
          </w:p>
        </w:tc>
        <w:tc>
          <w:tcPr>
            <w:tcW w:w="924" w:type="pct"/>
            <w:tcBorders>
              <w:left w:val="single" w:sz="2" w:space="0" w:color="auto"/>
              <w:right w:val="nil"/>
            </w:tcBorders>
          </w:tcPr>
          <w:p w:rsidR="0045496E" w:rsidRPr="004952C0" w:rsidRDefault="0045496E" w:rsidP="005634D0">
            <w:pPr>
              <w:pStyle w:val="Tabletext"/>
              <w:jc w:val="center"/>
            </w:pPr>
            <w:r w:rsidRPr="004952C0">
              <w:t>45.5</w:t>
            </w:r>
          </w:p>
        </w:tc>
        <w:tc>
          <w:tcPr>
            <w:tcW w:w="923" w:type="pct"/>
            <w:tcBorders>
              <w:left w:val="nil"/>
              <w:right w:val="nil"/>
            </w:tcBorders>
          </w:tcPr>
          <w:p w:rsidR="0045496E" w:rsidRPr="004952C0" w:rsidRDefault="0045496E" w:rsidP="005634D0">
            <w:pPr>
              <w:pStyle w:val="Tabletext"/>
              <w:jc w:val="center"/>
            </w:pPr>
            <w:r w:rsidRPr="004952C0">
              <w:t>51.5</w:t>
            </w:r>
          </w:p>
        </w:tc>
      </w:tr>
      <w:tr w:rsidR="004952C0" w:rsidRPr="004952C0" w:rsidTr="005634D0">
        <w:tc>
          <w:tcPr>
            <w:tcW w:w="1305" w:type="pct"/>
            <w:tcBorders>
              <w:left w:val="nil"/>
              <w:right w:val="single" w:sz="12" w:space="0" w:color="auto"/>
            </w:tcBorders>
          </w:tcPr>
          <w:p w:rsidR="0045496E" w:rsidRPr="004952C0" w:rsidRDefault="0045496E" w:rsidP="005634D0">
            <w:pPr>
              <w:pStyle w:val="Tabletext"/>
            </w:pPr>
            <w:r w:rsidRPr="004952C0">
              <w:t>Centrifugal backward</w:t>
            </w:r>
            <w:r w:rsidRPr="004952C0">
              <w:noBreakHyphen/>
            </w:r>
            <w:proofErr w:type="spellStart"/>
            <w:r w:rsidRPr="004952C0">
              <w:t>curved</w:t>
            </w:r>
            <w:proofErr w:type="spellEnd"/>
            <w:r w:rsidRPr="004952C0">
              <w:t xml:space="preserve"> fan without housing</w:t>
            </w:r>
          </w:p>
        </w:tc>
        <w:tc>
          <w:tcPr>
            <w:tcW w:w="924" w:type="pct"/>
            <w:tcBorders>
              <w:left w:val="single" w:sz="12" w:space="0" w:color="auto"/>
              <w:right w:val="nil"/>
            </w:tcBorders>
          </w:tcPr>
          <w:p w:rsidR="0045496E" w:rsidRPr="004952C0" w:rsidRDefault="0045496E" w:rsidP="005634D0">
            <w:pPr>
              <w:pStyle w:val="Tabletext"/>
              <w:jc w:val="center"/>
            </w:pPr>
            <w:r w:rsidRPr="004952C0">
              <w:t>60.0</w:t>
            </w:r>
          </w:p>
        </w:tc>
        <w:tc>
          <w:tcPr>
            <w:tcW w:w="924" w:type="pct"/>
            <w:tcBorders>
              <w:left w:val="nil"/>
              <w:right w:val="single" w:sz="2" w:space="0" w:color="auto"/>
            </w:tcBorders>
          </w:tcPr>
          <w:p w:rsidR="0045496E" w:rsidRPr="004952C0" w:rsidRDefault="0045496E" w:rsidP="005634D0">
            <w:pPr>
              <w:pStyle w:val="Tabletext"/>
              <w:jc w:val="center"/>
            </w:pPr>
            <w:r w:rsidRPr="004952C0">
              <w:t>64.0</w:t>
            </w:r>
          </w:p>
        </w:tc>
        <w:tc>
          <w:tcPr>
            <w:tcW w:w="924" w:type="pct"/>
            <w:tcBorders>
              <w:left w:val="single" w:sz="2" w:space="0" w:color="auto"/>
              <w:right w:val="nil"/>
            </w:tcBorders>
          </w:tcPr>
          <w:p w:rsidR="0045496E" w:rsidRPr="004952C0" w:rsidRDefault="008C45D7" w:rsidP="005634D0">
            <w:pPr>
              <w:pStyle w:val="Tabletext"/>
              <w:jc w:val="center"/>
            </w:pPr>
            <w:r w:rsidRPr="004952C0">
              <w:t>–</w:t>
            </w:r>
          </w:p>
        </w:tc>
        <w:tc>
          <w:tcPr>
            <w:tcW w:w="923" w:type="pct"/>
            <w:tcBorders>
              <w:left w:val="nil"/>
              <w:right w:val="nil"/>
            </w:tcBorders>
          </w:tcPr>
          <w:p w:rsidR="0045496E" w:rsidRPr="004952C0" w:rsidRDefault="008C45D7" w:rsidP="005634D0">
            <w:pPr>
              <w:pStyle w:val="Tabletext"/>
              <w:jc w:val="center"/>
            </w:pPr>
            <w:r w:rsidRPr="004952C0">
              <w:t>–</w:t>
            </w:r>
          </w:p>
        </w:tc>
      </w:tr>
      <w:tr w:rsidR="004952C0" w:rsidRPr="004952C0" w:rsidTr="005634D0">
        <w:tc>
          <w:tcPr>
            <w:tcW w:w="1305" w:type="pct"/>
            <w:tcBorders>
              <w:left w:val="nil"/>
              <w:bottom w:val="nil"/>
              <w:right w:val="single" w:sz="12" w:space="0" w:color="auto"/>
            </w:tcBorders>
          </w:tcPr>
          <w:p w:rsidR="0045496E" w:rsidRPr="004952C0" w:rsidRDefault="0045496E" w:rsidP="005634D0">
            <w:pPr>
              <w:pStyle w:val="Tabletext"/>
            </w:pPr>
            <w:r w:rsidRPr="004952C0">
              <w:t>Centrifugal backward</w:t>
            </w:r>
            <w:r w:rsidRPr="004952C0">
              <w:noBreakHyphen/>
            </w:r>
            <w:proofErr w:type="spellStart"/>
            <w:r w:rsidRPr="004952C0">
              <w:t>curved</w:t>
            </w:r>
            <w:proofErr w:type="spellEnd"/>
            <w:r w:rsidRPr="004952C0">
              <w:t xml:space="preserve"> fan with housing</w:t>
            </w:r>
          </w:p>
        </w:tc>
        <w:tc>
          <w:tcPr>
            <w:tcW w:w="924" w:type="pct"/>
            <w:tcBorders>
              <w:left w:val="single" w:sz="12" w:space="0" w:color="auto"/>
              <w:bottom w:val="nil"/>
              <w:right w:val="nil"/>
            </w:tcBorders>
          </w:tcPr>
          <w:p w:rsidR="0045496E" w:rsidRPr="004952C0" w:rsidRDefault="0045496E" w:rsidP="005634D0">
            <w:pPr>
              <w:pStyle w:val="Tabletext"/>
              <w:jc w:val="center"/>
            </w:pPr>
            <w:r w:rsidRPr="004952C0">
              <w:t>59.5</w:t>
            </w:r>
          </w:p>
        </w:tc>
        <w:tc>
          <w:tcPr>
            <w:tcW w:w="924" w:type="pct"/>
            <w:tcBorders>
              <w:left w:val="nil"/>
              <w:bottom w:val="nil"/>
              <w:right w:val="single" w:sz="2" w:space="0" w:color="auto"/>
            </w:tcBorders>
          </w:tcPr>
          <w:p w:rsidR="0045496E" w:rsidRPr="004952C0" w:rsidRDefault="0045496E" w:rsidP="005634D0">
            <w:pPr>
              <w:pStyle w:val="Tabletext"/>
              <w:jc w:val="center"/>
            </w:pPr>
            <w:r w:rsidRPr="004952C0">
              <w:t>64.0</w:t>
            </w:r>
          </w:p>
        </w:tc>
        <w:tc>
          <w:tcPr>
            <w:tcW w:w="924" w:type="pct"/>
            <w:tcBorders>
              <w:left w:val="single" w:sz="2" w:space="0" w:color="auto"/>
              <w:bottom w:val="nil"/>
              <w:right w:val="nil"/>
            </w:tcBorders>
          </w:tcPr>
          <w:p w:rsidR="0045496E" w:rsidRPr="004952C0" w:rsidRDefault="0045496E" w:rsidP="005634D0">
            <w:pPr>
              <w:pStyle w:val="Tabletext"/>
              <w:jc w:val="center"/>
            </w:pPr>
            <w:r w:rsidRPr="004952C0">
              <w:t>62.5</w:t>
            </w:r>
          </w:p>
        </w:tc>
        <w:tc>
          <w:tcPr>
            <w:tcW w:w="923" w:type="pct"/>
            <w:tcBorders>
              <w:left w:val="nil"/>
              <w:bottom w:val="nil"/>
              <w:right w:val="nil"/>
            </w:tcBorders>
          </w:tcPr>
          <w:p w:rsidR="0045496E" w:rsidRPr="004952C0" w:rsidRDefault="0045496E" w:rsidP="005634D0">
            <w:pPr>
              <w:pStyle w:val="Tabletext"/>
              <w:jc w:val="center"/>
            </w:pPr>
            <w:r w:rsidRPr="004952C0">
              <w:t>64.0</w:t>
            </w:r>
          </w:p>
        </w:tc>
      </w:tr>
      <w:tr w:rsidR="004952C0" w:rsidRPr="004952C0" w:rsidTr="005634D0">
        <w:tc>
          <w:tcPr>
            <w:tcW w:w="1305" w:type="pct"/>
            <w:tcBorders>
              <w:top w:val="nil"/>
              <w:left w:val="nil"/>
              <w:right w:val="single" w:sz="12" w:space="0" w:color="auto"/>
            </w:tcBorders>
          </w:tcPr>
          <w:p w:rsidR="0045496E" w:rsidRPr="004952C0" w:rsidRDefault="0045496E" w:rsidP="005634D0">
            <w:pPr>
              <w:pStyle w:val="Tabletext"/>
            </w:pPr>
            <w:r w:rsidRPr="004952C0">
              <w:t>Mixed</w:t>
            </w:r>
            <w:r w:rsidRPr="004952C0">
              <w:noBreakHyphen/>
            </w:r>
            <w:proofErr w:type="spellStart"/>
            <w:r w:rsidRPr="004952C0">
              <w:t>flow</w:t>
            </w:r>
            <w:proofErr w:type="spellEnd"/>
            <w:r w:rsidRPr="004952C0">
              <w:t xml:space="preserve"> fan </w:t>
            </w:r>
          </w:p>
        </w:tc>
        <w:tc>
          <w:tcPr>
            <w:tcW w:w="924" w:type="pct"/>
            <w:tcBorders>
              <w:top w:val="nil"/>
              <w:left w:val="single" w:sz="12" w:space="0" w:color="auto"/>
              <w:right w:val="nil"/>
            </w:tcBorders>
          </w:tcPr>
          <w:p w:rsidR="0045496E" w:rsidRPr="004952C0" w:rsidRDefault="0045496E" w:rsidP="005634D0">
            <w:pPr>
              <w:pStyle w:val="Tabletext"/>
              <w:jc w:val="center"/>
            </w:pPr>
            <w:r w:rsidRPr="004952C0">
              <w:t>48.5</w:t>
            </w:r>
          </w:p>
        </w:tc>
        <w:tc>
          <w:tcPr>
            <w:tcW w:w="924" w:type="pct"/>
            <w:tcBorders>
              <w:top w:val="nil"/>
              <w:left w:val="nil"/>
              <w:right w:val="single" w:sz="2" w:space="0" w:color="auto"/>
            </w:tcBorders>
          </w:tcPr>
          <w:p w:rsidR="0045496E" w:rsidRPr="004952C0" w:rsidRDefault="0045496E" w:rsidP="005634D0">
            <w:pPr>
              <w:pStyle w:val="Tabletext"/>
              <w:jc w:val="center"/>
            </w:pPr>
            <w:r w:rsidRPr="004952C0">
              <w:t>52.5</w:t>
            </w:r>
          </w:p>
        </w:tc>
        <w:tc>
          <w:tcPr>
            <w:tcW w:w="924" w:type="pct"/>
            <w:tcBorders>
              <w:top w:val="nil"/>
              <w:left w:val="single" w:sz="2" w:space="0" w:color="auto"/>
              <w:right w:val="nil"/>
            </w:tcBorders>
          </w:tcPr>
          <w:p w:rsidR="0045496E" w:rsidRPr="004952C0" w:rsidRDefault="0045496E" w:rsidP="005634D0">
            <w:pPr>
              <w:pStyle w:val="Tabletext"/>
              <w:jc w:val="center"/>
            </w:pPr>
            <w:r w:rsidRPr="004952C0">
              <w:t>60.0</w:t>
            </w:r>
          </w:p>
        </w:tc>
        <w:tc>
          <w:tcPr>
            <w:tcW w:w="923" w:type="pct"/>
            <w:tcBorders>
              <w:top w:val="nil"/>
              <w:left w:val="nil"/>
              <w:right w:val="nil"/>
            </w:tcBorders>
          </w:tcPr>
          <w:p w:rsidR="0045496E" w:rsidRPr="004952C0" w:rsidRDefault="0045496E" w:rsidP="005634D0">
            <w:pPr>
              <w:pStyle w:val="Tabletext"/>
              <w:jc w:val="center"/>
            </w:pPr>
            <w:r w:rsidRPr="004952C0">
              <w:t>65.0</w:t>
            </w:r>
          </w:p>
        </w:tc>
      </w:tr>
      <w:tr w:rsidR="0045496E" w:rsidRPr="004952C0" w:rsidTr="005634D0">
        <w:tc>
          <w:tcPr>
            <w:tcW w:w="1305" w:type="pct"/>
            <w:tcBorders>
              <w:top w:val="nil"/>
              <w:left w:val="nil"/>
              <w:bottom w:val="single" w:sz="12" w:space="0" w:color="auto"/>
              <w:right w:val="single" w:sz="12" w:space="0" w:color="auto"/>
            </w:tcBorders>
          </w:tcPr>
          <w:p w:rsidR="0045496E" w:rsidRPr="004952C0" w:rsidRDefault="0045496E" w:rsidP="005634D0">
            <w:pPr>
              <w:pStyle w:val="Tabletext"/>
            </w:pPr>
            <w:r w:rsidRPr="004952C0">
              <w:t>Cross</w:t>
            </w:r>
            <w:r w:rsidRPr="004952C0">
              <w:noBreakHyphen/>
            </w:r>
            <w:proofErr w:type="spellStart"/>
            <w:r w:rsidRPr="004952C0">
              <w:t>flow</w:t>
            </w:r>
            <w:proofErr w:type="spellEnd"/>
            <w:r w:rsidRPr="004952C0">
              <w:t xml:space="preserve"> fan</w:t>
            </w:r>
          </w:p>
        </w:tc>
        <w:tc>
          <w:tcPr>
            <w:tcW w:w="924" w:type="pct"/>
            <w:tcBorders>
              <w:top w:val="nil"/>
              <w:left w:val="single" w:sz="12" w:space="0" w:color="auto"/>
              <w:bottom w:val="single" w:sz="12" w:space="0" w:color="auto"/>
              <w:right w:val="nil"/>
            </w:tcBorders>
          </w:tcPr>
          <w:p w:rsidR="0045496E" w:rsidRPr="004952C0" w:rsidRDefault="0045496E" w:rsidP="005634D0">
            <w:pPr>
              <w:pStyle w:val="Tabletext"/>
              <w:jc w:val="center"/>
            </w:pPr>
            <w:r w:rsidRPr="004952C0">
              <w:t>–</w:t>
            </w:r>
          </w:p>
        </w:tc>
        <w:tc>
          <w:tcPr>
            <w:tcW w:w="924" w:type="pct"/>
            <w:tcBorders>
              <w:top w:val="nil"/>
              <w:left w:val="nil"/>
              <w:bottom w:val="single" w:sz="12" w:space="0" w:color="auto"/>
              <w:right w:val="single" w:sz="2" w:space="0" w:color="auto"/>
            </w:tcBorders>
          </w:tcPr>
          <w:p w:rsidR="0045496E" w:rsidRPr="004952C0" w:rsidRDefault="0045496E" w:rsidP="005634D0">
            <w:pPr>
              <w:pStyle w:val="Tabletext"/>
              <w:jc w:val="center"/>
            </w:pPr>
            <w:r w:rsidRPr="004952C0">
              <w:t>–</w:t>
            </w:r>
          </w:p>
        </w:tc>
        <w:tc>
          <w:tcPr>
            <w:tcW w:w="924" w:type="pct"/>
            <w:tcBorders>
              <w:top w:val="nil"/>
              <w:left w:val="single" w:sz="2" w:space="0" w:color="auto"/>
              <w:bottom w:val="single" w:sz="12" w:space="0" w:color="auto"/>
              <w:right w:val="nil"/>
            </w:tcBorders>
          </w:tcPr>
          <w:p w:rsidR="0045496E" w:rsidRPr="004952C0" w:rsidRDefault="0045496E" w:rsidP="005634D0">
            <w:pPr>
              <w:pStyle w:val="Tabletext"/>
              <w:jc w:val="center"/>
            </w:pPr>
            <w:r w:rsidRPr="004952C0">
              <w:t>17.0</w:t>
            </w:r>
          </w:p>
        </w:tc>
        <w:tc>
          <w:tcPr>
            <w:tcW w:w="923" w:type="pct"/>
            <w:tcBorders>
              <w:top w:val="nil"/>
              <w:left w:val="nil"/>
              <w:bottom w:val="single" w:sz="12" w:space="0" w:color="auto"/>
              <w:right w:val="nil"/>
            </w:tcBorders>
          </w:tcPr>
          <w:p w:rsidR="0045496E" w:rsidRPr="004952C0" w:rsidRDefault="0045496E" w:rsidP="005634D0">
            <w:pPr>
              <w:pStyle w:val="Tabletext"/>
              <w:jc w:val="center"/>
            </w:pPr>
            <w:r w:rsidRPr="004952C0">
              <w:t>21.0</w:t>
            </w:r>
          </w:p>
        </w:tc>
      </w:tr>
    </w:tbl>
    <w:p w:rsidR="0045496E" w:rsidRPr="004952C0" w:rsidRDefault="0045496E" w:rsidP="0045496E">
      <w:pPr>
        <w:spacing w:line="240" w:lineRule="auto"/>
        <w:rPr>
          <w:rFonts w:eastAsia="Times New Roman"/>
          <w:lang w:eastAsia="en-AU"/>
        </w:rPr>
      </w:pPr>
    </w:p>
    <w:p w:rsidR="0045496E" w:rsidRPr="004952C0" w:rsidRDefault="00FE4F8F" w:rsidP="0045496E">
      <w:pPr>
        <w:pStyle w:val="h1Chap"/>
      </w:pPr>
      <w:bookmarkStart w:id="142" w:name="_Toc420592144"/>
      <w:bookmarkStart w:id="143" w:name="_Toc427936087"/>
      <w:bookmarkStart w:id="144" w:name="_Toc431466325"/>
      <w:r w:rsidRPr="004952C0">
        <w:lastRenderedPageBreak/>
        <w:t>Schedule 6</w:t>
      </w:r>
      <w:r w:rsidR="0045496E" w:rsidRPr="004952C0">
        <w:t>—Small motor fan upgrades—regression coefficients and regression constant</w:t>
      </w:r>
      <w:bookmarkEnd w:id="142"/>
      <w:r w:rsidR="0045496E" w:rsidRPr="004952C0">
        <w:t>s</w:t>
      </w:r>
      <w:bookmarkEnd w:id="143"/>
      <w:bookmarkEnd w:id="144"/>
    </w:p>
    <w:p w:rsidR="0045496E" w:rsidRPr="004952C0" w:rsidRDefault="0045496E" w:rsidP="0045496E">
      <w:pPr>
        <w:rPr>
          <w:lang w:eastAsia="en-AU"/>
        </w:rPr>
      </w:pPr>
    </w:p>
    <w:p w:rsidR="0045496E" w:rsidRPr="004952C0" w:rsidRDefault="0045496E" w:rsidP="0045496E">
      <w:pPr>
        <w:pStyle w:val="tMain"/>
      </w:pPr>
      <w:r w:rsidRPr="004952C0">
        <w:tab/>
      </w:r>
      <w:r w:rsidRPr="004952C0">
        <w:tab/>
        <w:t>For equation 11 (section </w:t>
      </w:r>
      <w:r w:rsidR="00934AC6" w:rsidRPr="004952C0">
        <w:t>35</w:t>
      </w:r>
      <w:r w:rsidRPr="004952C0">
        <w:t xml:space="preserve">), for the </w:t>
      </w:r>
      <w:proofErr w:type="spellStart"/>
      <w:r w:rsidRPr="004952C0">
        <w:rPr>
          <w:i/>
        </w:rPr>
        <w:t>i</w:t>
      </w:r>
      <w:r w:rsidRPr="004952C0">
        <w:rPr>
          <w:vertAlign w:val="superscript"/>
        </w:rPr>
        <w:t>th</w:t>
      </w:r>
      <w:proofErr w:type="spellEnd"/>
      <w:r w:rsidRPr="004952C0">
        <w:t xml:space="preserve"> fan, if the motor input power </w:t>
      </w:r>
      <w:proofErr w:type="spellStart"/>
      <w:r w:rsidRPr="004952C0">
        <w:rPr>
          <w:i/>
        </w:rPr>
        <w:t>P</w:t>
      </w:r>
      <w:r w:rsidRPr="004952C0">
        <w:rPr>
          <w:i/>
          <w:vertAlign w:val="subscript"/>
        </w:rPr>
        <w:t>E,i</w:t>
      </w:r>
      <w:proofErr w:type="spellEnd"/>
      <w:r w:rsidRPr="004952C0">
        <w:rPr>
          <w:i/>
        </w:rPr>
        <w:t xml:space="preserve"> </w:t>
      </w:r>
      <w:r w:rsidRPr="004952C0">
        <w:t xml:space="preserve">falls within a range indicated in the table below, the regression coefficient </w:t>
      </w:r>
      <w:proofErr w:type="spellStart"/>
      <w:r w:rsidRPr="004952C0">
        <w:rPr>
          <w:i/>
        </w:rPr>
        <w:t>a</w:t>
      </w:r>
      <w:r w:rsidRPr="004952C0">
        <w:rPr>
          <w:i/>
          <w:vertAlign w:val="subscript"/>
        </w:rPr>
        <w:t>i</w:t>
      </w:r>
      <w:proofErr w:type="spellEnd"/>
      <w:r w:rsidRPr="004952C0">
        <w:t xml:space="preserve"> and the regression constant </w:t>
      </w:r>
      <w:r w:rsidRPr="004952C0">
        <w:rPr>
          <w:i/>
        </w:rPr>
        <w:t>b</w:t>
      </w:r>
      <w:r w:rsidRPr="004952C0">
        <w:rPr>
          <w:i/>
          <w:vertAlign w:val="subscript"/>
        </w:rPr>
        <w:t>i</w:t>
      </w:r>
      <w:r w:rsidRPr="004952C0">
        <w:t xml:space="preserve"> are given by the corresponding entry of the table:</w:t>
      </w:r>
    </w:p>
    <w:p w:rsidR="0045496E" w:rsidRPr="004952C0" w:rsidRDefault="0045496E" w:rsidP="0045496E">
      <w:pPr>
        <w:rPr>
          <w:lang w:eastAsia="en-AU"/>
        </w:rPr>
      </w:pPr>
    </w:p>
    <w:tbl>
      <w:tblPr>
        <w:tblW w:w="7650" w:type="dxa"/>
        <w:tblInd w:w="113" w:type="dxa"/>
        <w:tblBorders>
          <w:top w:val="single" w:sz="4" w:space="0" w:color="auto"/>
          <w:bottom w:val="single" w:sz="2" w:space="0" w:color="auto"/>
          <w:insideH w:val="single" w:sz="4" w:space="0" w:color="auto"/>
        </w:tblBorders>
        <w:tblLayout w:type="fixed"/>
        <w:tblLook w:val="0000"/>
      </w:tblPr>
      <w:tblGrid>
        <w:gridCol w:w="707"/>
        <w:gridCol w:w="2549"/>
        <w:gridCol w:w="2268"/>
        <w:gridCol w:w="2126"/>
      </w:tblGrid>
      <w:tr w:rsidR="004952C0" w:rsidRPr="004952C0" w:rsidTr="005634D0">
        <w:trPr>
          <w:tblHeader/>
        </w:trPr>
        <w:tc>
          <w:tcPr>
            <w:tcW w:w="7650" w:type="dxa"/>
            <w:gridSpan w:val="4"/>
            <w:tcBorders>
              <w:top w:val="single" w:sz="12" w:space="0" w:color="auto"/>
              <w:bottom w:val="single" w:sz="6" w:space="0" w:color="auto"/>
            </w:tcBorders>
            <w:vAlign w:val="center"/>
          </w:tcPr>
          <w:p w:rsidR="0045496E" w:rsidRPr="004952C0" w:rsidRDefault="0045496E" w:rsidP="005634D0">
            <w:pPr>
              <w:pStyle w:val="TableHeading"/>
              <w:jc w:val="center"/>
            </w:pPr>
            <w:r w:rsidRPr="004952C0">
              <w:t>Small motor fan upgrades:</w:t>
            </w:r>
          </w:p>
          <w:p w:rsidR="0045496E" w:rsidRPr="004952C0" w:rsidRDefault="0045496E" w:rsidP="00FA181A">
            <w:pPr>
              <w:pStyle w:val="TableHeading"/>
              <w:jc w:val="center"/>
            </w:pPr>
            <w:r w:rsidRPr="004952C0">
              <w:t>Regression coefficients and regression constants</w:t>
            </w:r>
          </w:p>
        </w:tc>
      </w:tr>
      <w:tr w:rsidR="004952C0" w:rsidRPr="004952C0" w:rsidTr="005634D0">
        <w:trPr>
          <w:tblHeader/>
        </w:trPr>
        <w:tc>
          <w:tcPr>
            <w:tcW w:w="707" w:type="dxa"/>
            <w:tcBorders>
              <w:top w:val="single" w:sz="6" w:space="0" w:color="auto"/>
              <w:bottom w:val="single" w:sz="12" w:space="0" w:color="auto"/>
            </w:tcBorders>
            <w:shd w:val="clear" w:color="auto" w:fill="auto"/>
          </w:tcPr>
          <w:p w:rsidR="0045496E" w:rsidRPr="004952C0" w:rsidRDefault="0045496E" w:rsidP="005634D0">
            <w:pPr>
              <w:pStyle w:val="TableHeading"/>
            </w:pPr>
            <w:r w:rsidRPr="004952C0">
              <w:t>Item</w:t>
            </w:r>
          </w:p>
        </w:tc>
        <w:tc>
          <w:tcPr>
            <w:tcW w:w="2549" w:type="dxa"/>
            <w:tcBorders>
              <w:top w:val="single" w:sz="6" w:space="0" w:color="auto"/>
              <w:bottom w:val="single" w:sz="12" w:space="0" w:color="auto"/>
            </w:tcBorders>
            <w:shd w:val="clear" w:color="auto" w:fill="auto"/>
          </w:tcPr>
          <w:p w:rsidR="0045496E" w:rsidRPr="004952C0" w:rsidRDefault="0045496E" w:rsidP="005634D0">
            <w:pPr>
              <w:pStyle w:val="TableHeading"/>
              <w:jc w:val="center"/>
            </w:pPr>
            <w:r w:rsidRPr="004952C0">
              <w:t>Motor input power (</w:t>
            </w:r>
            <w:proofErr w:type="spellStart"/>
            <w:r w:rsidRPr="004952C0">
              <w:rPr>
                <w:i/>
              </w:rPr>
              <w:t>P</w:t>
            </w:r>
            <w:r w:rsidRPr="004952C0">
              <w:rPr>
                <w:i/>
                <w:vertAlign w:val="subscript"/>
              </w:rPr>
              <w:t>E,i</w:t>
            </w:r>
            <w:proofErr w:type="spellEnd"/>
            <w:r w:rsidRPr="004952C0">
              <w:t>)</w:t>
            </w:r>
          </w:p>
        </w:tc>
        <w:tc>
          <w:tcPr>
            <w:tcW w:w="2268" w:type="dxa"/>
            <w:tcBorders>
              <w:top w:val="single" w:sz="6" w:space="0" w:color="auto"/>
              <w:bottom w:val="single" w:sz="12" w:space="0" w:color="auto"/>
            </w:tcBorders>
            <w:shd w:val="clear" w:color="auto" w:fill="auto"/>
          </w:tcPr>
          <w:p w:rsidR="0045496E" w:rsidRPr="004952C0" w:rsidRDefault="0045496E" w:rsidP="00FA181A">
            <w:pPr>
              <w:pStyle w:val="TableHeading"/>
              <w:jc w:val="center"/>
            </w:pPr>
            <w:r w:rsidRPr="004952C0">
              <w:t>Regression coefficient (</w:t>
            </w:r>
            <w:proofErr w:type="spellStart"/>
            <w:r w:rsidRPr="004952C0">
              <w:rPr>
                <w:i/>
              </w:rPr>
              <w:t>a</w:t>
            </w:r>
            <w:r w:rsidRPr="004952C0">
              <w:rPr>
                <w:i/>
                <w:vertAlign w:val="subscript"/>
              </w:rPr>
              <w:t>i</w:t>
            </w:r>
            <w:proofErr w:type="spellEnd"/>
            <w:r w:rsidRPr="004952C0">
              <w:t>)</w:t>
            </w:r>
          </w:p>
        </w:tc>
        <w:tc>
          <w:tcPr>
            <w:tcW w:w="2126" w:type="dxa"/>
            <w:tcBorders>
              <w:top w:val="single" w:sz="6" w:space="0" w:color="auto"/>
              <w:bottom w:val="single" w:sz="12" w:space="0" w:color="auto"/>
            </w:tcBorders>
          </w:tcPr>
          <w:p w:rsidR="0045496E" w:rsidRPr="004952C0" w:rsidRDefault="0045496E" w:rsidP="005634D0">
            <w:pPr>
              <w:pStyle w:val="TableHeading"/>
              <w:jc w:val="center"/>
            </w:pPr>
            <w:r w:rsidRPr="004952C0">
              <w:t>Regression constant (</w:t>
            </w:r>
            <w:r w:rsidRPr="004952C0">
              <w:rPr>
                <w:i/>
              </w:rPr>
              <w:t>b</w:t>
            </w:r>
            <w:r w:rsidRPr="004952C0">
              <w:rPr>
                <w:i/>
                <w:vertAlign w:val="subscript"/>
              </w:rPr>
              <w:t>i</w:t>
            </w:r>
            <w:r w:rsidRPr="004952C0">
              <w:t>) (watts)</w:t>
            </w:r>
          </w:p>
        </w:tc>
      </w:tr>
      <w:tr w:rsidR="004952C0" w:rsidRPr="004952C0" w:rsidTr="005634D0">
        <w:tc>
          <w:tcPr>
            <w:tcW w:w="707" w:type="dxa"/>
            <w:tcBorders>
              <w:top w:val="single" w:sz="12" w:space="0" w:color="auto"/>
              <w:bottom w:val="nil"/>
            </w:tcBorders>
            <w:shd w:val="clear" w:color="auto" w:fill="auto"/>
          </w:tcPr>
          <w:p w:rsidR="0045496E" w:rsidRPr="004952C0" w:rsidRDefault="0045496E" w:rsidP="005634D0">
            <w:pPr>
              <w:pStyle w:val="Tabletext"/>
              <w:jc w:val="center"/>
            </w:pPr>
            <w:r w:rsidRPr="004952C0">
              <w:t>1</w:t>
            </w:r>
          </w:p>
        </w:tc>
        <w:tc>
          <w:tcPr>
            <w:tcW w:w="2549" w:type="dxa"/>
            <w:tcBorders>
              <w:top w:val="single" w:sz="12" w:space="0" w:color="auto"/>
              <w:bottom w:val="nil"/>
            </w:tcBorders>
            <w:shd w:val="clear" w:color="auto" w:fill="auto"/>
          </w:tcPr>
          <w:p w:rsidR="0045496E" w:rsidRPr="004952C0" w:rsidRDefault="0045496E" w:rsidP="00F323C1">
            <w:pPr>
              <w:pStyle w:val="Tabletext"/>
              <w:jc w:val="center"/>
            </w:pPr>
            <w:proofErr w:type="spellStart"/>
            <w:r w:rsidRPr="004952C0">
              <w:rPr>
                <w:i/>
              </w:rPr>
              <w:t>P</w:t>
            </w:r>
            <w:r w:rsidRPr="004952C0">
              <w:rPr>
                <w:i/>
                <w:vertAlign w:val="subscript"/>
              </w:rPr>
              <w:t>E,i</w:t>
            </w:r>
            <w:proofErr w:type="spellEnd"/>
            <w:r w:rsidRPr="004952C0">
              <w:t xml:space="preserve"> ≤ 110 W</w:t>
            </w:r>
          </w:p>
        </w:tc>
        <w:tc>
          <w:tcPr>
            <w:tcW w:w="2268" w:type="dxa"/>
            <w:tcBorders>
              <w:top w:val="single" w:sz="12" w:space="0" w:color="auto"/>
              <w:bottom w:val="nil"/>
            </w:tcBorders>
            <w:shd w:val="clear" w:color="auto" w:fill="auto"/>
          </w:tcPr>
          <w:p w:rsidR="0045496E" w:rsidRPr="004952C0" w:rsidRDefault="0045496E" w:rsidP="005634D0">
            <w:pPr>
              <w:pStyle w:val="Tabletext"/>
              <w:jc w:val="center"/>
            </w:pPr>
            <w:r w:rsidRPr="004952C0">
              <w:t>1.7692</w:t>
            </w:r>
          </w:p>
        </w:tc>
        <w:tc>
          <w:tcPr>
            <w:tcW w:w="2126" w:type="dxa"/>
            <w:tcBorders>
              <w:top w:val="single" w:sz="12" w:space="0" w:color="auto"/>
              <w:bottom w:val="nil"/>
            </w:tcBorders>
          </w:tcPr>
          <w:p w:rsidR="0045496E" w:rsidRPr="004952C0" w:rsidRDefault="0045496E" w:rsidP="005634D0">
            <w:pPr>
              <w:pStyle w:val="Tabletext"/>
              <w:jc w:val="center"/>
            </w:pPr>
            <w:r w:rsidRPr="004952C0">
              <w:t>19.385</w:t>
            </w:r>
          </w:p>
        </w:tc>
      </w:tr>
      <w:tr w:rsidR="0045496E" w:rsidRPr="004952C0" w:rsidTr="005634D0">
        <w:tc>
          <w:tcPr>
            <w:tcW w:w="707" w:type="dxa"/>
            <w:tcBorders>
              <w:top w:val="nil"/>
              <w:bottom w:val="single" w:sz="12" w:space="0" w:color="auto"/>
            </w:tcBorders>
            <w:shd w:val="clear" w:color="auto" w:fill="auto"/>
          </w:tcPr>
          <w:p w:rsidR="0045496E" w:rsidRPr="004952C0" w:rsidRDefault="0045496E" w:rsidP="005634D0">
            <w:pPr>
              <w:pStyle w:val="Tabletext"/>
              <w:jc w:val="center"/>
            </w:pPr>
            <w:r w:rsidRPr="004952C0">
              <w:t>2</w:t>
            </w:r>
          </w:p>
        </w:tc>
        <w:tc>
          <w:tcPr>
            <w:tcW w:w="2549" w:type="dxa"/>
            <w:tcBorders>
              <w:top w:val="nil"/>
              <w:bottom w:val="single" w:sz="12" w:space="0" w:color="auto"/>
            </w:tcBorders>
            <w:shd w:val="clear" w:color="auto" w:fill="auto"/>
          </w:tcPr>
          <w:p w:rsidR="0045496E" w:rsidRPr="004952C0" w:rsidRDefault="0045496E" w:rsidP="005634D0">
            <w:pPr>
              <w:pStyle w:val="Tabletext"/>
              <w:jc w:val="center"/>
            </w:pPr>
            <w:r w:rsidRPr="004952C0">
              <w:t xml:space="preserve">110 W &lt; </w:t>
            </w:r>
            <w:proofErr w:type="spellStart"/>
            <w:r w:rsidRPr="004952C0">
              <w:rPr>
                <w:i/>
              </w:rPr>
              <w:t>P</w:t>
            </w:r>
            <w:r w:rsidRPr="004952C0">
              <w:rPr>
                <w:i/>
                <w:vertAlign w:val="subscript"/>
              </w:rPr>
              <w:t>E,i</w:t>
            </w:r>
            <w:proofErr w:type="spellEnd"/>
            <w:r w:rsidR="00F323C1" w:rsidRPr="004952C0">
              <w:t xml:space="preserve"> </w:t>
            </w:r>
            <w:r w:rsidRPr="004952C0">
              <w:t>≤ 175 W</w:t>
            </w:r>
          </w:p>
        </w:tc>
        <w:tc>
          <w:tcPr>
            <w:tcW w:w="2268" w:type="dxa"/>
            <w:tcBorders>
              <w:top w:val="nil"/>
              <w:bottom w:val="single" w:sz="12" w:space="0" w:color="auto"/>
            </w:tcBorders>
            <w:shd w:val="clear" w:color="auto" w:fill="auto"/>
          </w:tcPr>
          <w:p w:rsidR="0045496E" w:rsidRPr="004952C0" w:rsidRDefault="0045496E" w:rsidP="005634D0">
            <w:pPr>
              <w:pStyle w:val="Tabletext"/>
              <w:jc w:val="center"/>
            </w:pPr>
            <w:r w:rsidRPr="004952C0">
              <w:t>1.2698</w:t>
            </w:r>
          </w:p>
        </w:tc>
        <w:tc>
          <w:tcPr>
            <w:tcW w:w="2126" w:type="dxa"/>
            <w:tcBorders>
              <w:top w:val="nil"/>
              <w:bottom w:val="single" w:sz="12" w:space="0" w:color="auto"/>
            </w:tcBorders>
          </w:tcPr>
          <w:p w:rsidR="0045496E" w:rsidRPr="004952C0" w:rsidRDefault="0045496E" w:rsidP="005634D0">
            <w:pPr>
              <w:pStyle w:val="Tabletext"/>
              <w:jc w:val="center"/>
            </w:pPr>
            <w:r w:rsidRPr="004952C0">
              <w:t>6.453</w:t>
            </w:r>
          </w:p>
        </w:tc>
      </w:tr>
    </w:tbl>
    <w:p w:rsidR="0045496E" w:rsidRPr="004952C0" w:rsidRDefault="0045496E" w:rsidP="0045496E">
      <w:pPr>
        <w:rPr>
          <w:lang w:eastAsia="en-AU"/>
        </w:rPr>
      </w:pPr>
    </w:p>
    <w:p w:rsidR="0045496E" w:rsidRPr="004952C0" w:rsidRDefault="00FE4F8F" w:rsidP="0045496E">
      <w:pPr>
        <w:pStyle w:val="h1Chap"/>
      </w:pPr>
      <w:bookmarkStart w:id="145" w:name="_Toc420592145"/>
      <w:bookmarkStart w:id="146" w:name="_Toc431466326"/>
      <w:r w:rsidRPr="004952C0">
        <w:lastRenderedPageBreak/>
        <w:t>Schedule 7</w:t>
      </w:r>
      <w:r w:rsidR="0045496E" w:rsidRPr="004952C0">
        <w:t>—</w:t>
      </w:r>
      <w:proofErr w:type="gramStart"/>
      <w:r w:rsidR="0045496E" w:rsidRPr="004952C0">
        <w:t>Small</w:t>
      </w:r>
      <w:proofErr w:type="gramEnd"/>
      <w:r w:rsidR="0045496E" w:rsidRPr="004952C0">
        <w:t xml:space="preserve"> motor fan upgrades—control </w:t>
      </w:r>
      <w:bookmarkEnd w:id="145"/>
      <w:r w:rsidR="0045496E" w:rsidRPr="004952C0">
        <w:t>parameters</w:t>
      </w:r>
      <w:bookmarkEnd w:id="146"/>
    </w:p>
    <w:p w:rsidR="0045496E" w:rsidRPr="004952C0" w:rsidRDefault="0045496E" w:rsidP="0045496E">
      <w:pPr>
        <w:rPr>
          <w:lang w:eastAsia="en-AU"/>
        </w:rPr>
      </w:pPr>
    </w:p>
    <w:p w:rsidR="0045496E" w:rsidRPr="004952C0" w:rsidRDefault="0045496E" w:rsidP="0045496E">
      <w:pPr>
        <w:pStyle w:val="tMain"/>
      </w:pPr>
      <w:r w:rsidRPr="004952C0">
        <w:tab/>
      </w:r>
      <w:r w:rsidRPr="004952C0">
        <w:tab/>
        <w:t>For equation 11 (section </w:t>
      </w:r>
      <w:r w:rsidR="00934AC6" w:rsidRPr="004952C0">
        <w:t>35</w:t>
      </w:r>
      <w:r w:rsidRPr="004952C0">
        <w:t xml:space="preserve">), if the circumstances set out in an item of the table below apply in relation to the control system of the </w:t>
      </w:r>
      <w:proofErr w:type="spellStart"/>
      <w:r w:rsidRPr="004952C0">
        <w:rPr>
          <w:i/>
        </w:rPr>
        <w:t>i</w:t>
      </w:r>
      <w:r w:rsidRPr="004952C0">
        <w:rPr>
          <w:vertAlign w:val="superscript"/>
        </w:rPr>
        <w:t>th</w:t>
      </w:r>
      <w:proofErr w:type="spellEnd"/>
      <w:r w:rsidRPr="004952C0">
        <w:t xml:space="preserve"> fan that is modified or replaced as part of a small motor fan upgrade, the control parameter for the fan is the corresponding value given by the table:</w:t>
      </w:r>
    </w:p>
    <w:p w:rsidR="0045496E" w:rsidRPr="004952C0" w:rsidRDefault="0045496E" w:rsidP="0045496E">
      <w:pPr>
        <w:rPr>
          <w:lang w:eastAsia="en-AU"/>
        </w:rPr>
      </w:pPr>
    </w:p>
    <w:tbl>
      <w:tblPr>
        <w:tblW w:w="0" w:type="auto"/>
        <w:tblInd w:w="113" w:type="dxa"/>
        <w:tblBorders>
          <w:top w:val="single" w:sz="4" w:space="0" w:color="auto"/>
          <w:bottom w:val="single" w:sz="2" w:space="0" w:color="auto"/>
          <w:insideH w:val="single" w:sz="4" w:space="0" w:color="auto"/>
        </w:tblBorders>
        <w:tblLayout w:type="fixed"/>
        <w:tblLook w:val="0000"/>
      </w:tblPr>
      <w:tblGrid>
        <w:gridCol w:w="988"/>
        <w:gridCol w:w="5670"/>
        <w:gridCol w:w="2268"/>
      </w:tblGrid>
      <w:tr w:rsidR="004952C0" w:rsidRPr="004952C0" w:rsidTr="005634D0">
        <w:trPr>
          <w:tblHeader/>
        </w:trPr>
        <w:tc>
          <w:tcPr>
            <w:tcW w:w="8926" w:type="dxa"/>
            <w:gridSpan w:val="3"/>
            <w:tcBorders>
              <w:top w:val="single" w:sz="12" w:space="0" w:color="auto"/>
              <w:bottom w:val="single" w:sz="6" w:space="0" w:color="auto"/>
            </w:tcBorders>
            <w:vAlign w:val="center"/>
          </w:tcPr>
          <w:p w:rsidR="0045496E" w:rsidRPr="004952C0" w:rsidRDefault="0045496E" w:rsidP="005634D0">
            <w:pPr>
              <w:pStyle w:val="TableHeading"/>
              <w:jc w:val="center"/>
            </w:pPr>
            <w:r w:rsidRPr="004952C0">
              <w:t>Small motor fan upgrades:</w:t>
            </w:r>
          </w:p>
          <w:p w:rsidR="0045496E" w:rsidRPr="004952C0" w:rsidRDefault="0045496E" w:rsidP="005634D0">
            <w:pPr>
              <w:pStyle w:val="TableHeading"/>
              <w:jc w:val="center"/>
            </w:pPr>
            <w:r w:rsidRPr="004952C0">
              <w:t xml:space="preserve">Control parameters </w:t>
            </w:r>
          </w:p>
        </w:tc>
      </w:tr>
      <w:tr w:rsidR="004952C0" w:rsidRPr="004952C0" w:rsidTr="005634D0">
        <w:trPr>
          <w:tblHeader/>
        </w:trPr>
        <w:tc>
          <w:tcPr>
            <w:tcW w:w="988" w:type="dxa"/>
            <w:tcBorders>
              <w:top w:val="single" w:sz="6" w:space="0" w:color="auto"/>
              <w:bottom w:val="single" w:sz="12" w:space="0" w:color="auto"/>
            </w:tcBorders>
            <w:shd w:val="clear" w:color="auto" w:fill="auto"/>
            <w:vAlign w:val="center"/>
          </w:tcPr>
          <w:p w:rsidR="0045496E" w:rsidRPr="004952C0" w:rsidRDefault="0045496E" w:rsidP="005634D0">
            <w:pPr>
              <w:pStyle w:val="TableHeading"/>
            </w:pPr>
            <w:r w:rsidRPr="004952C0">
              <w:t>Item</w:t>
            </w:r>
          </w:p>
        </w:tc>
        <w:tc>
          <w:tcPr>
            <w:tcW w:w="5670" w:type="dxa"/>
            <w:tcBorders>
              <w:top w:val="single" w:sz="6" w:space="0" w:color="auto"/>
              <w:bottom w:val="single" w:sz="12" w:space="0" w:color="auto"/>
            </w:tcBorders>
            <w:shd w:val="clear" w:color="auto" w:fill="auto"/>
            <w:vAlign w:val="center"/>
          </w:tcPr>
          <w:p w:rsidR="0045496E" w:rsidRPr="004952C0" w:rsidRDefault="0045496E" w:rsidP="005634D0">
            <w:pPr>
              <w:pStyle w:val="TableHeading"/>
            </w:pPr>
            <w:r w:rsidRPr="004952C0">
              <w:t xml:space="preserve">Circumstances relating to control system of </w:t>
            </w:r>
            <w:proofErr w:type="spellStart"/>
            <w:r w:rsidRPr="004952C0">
              <w:rPr>
                <w:i/>
              </w:rPr>
              <w:t>i</w:t>
            </w:r>
            <w:r w:rsidRPr="004952C0">
              <w:rPr>
                <w:vertAlign w:val="superscript"/>
              </w:rPr>
              <w:t>th</w:t>
            </w:r>
            <w:proofErr w:type="spellEnd"/>
            <w:r w:rsidRPr="004952C0">
              <w:t xml:space="preserve"> fan</w:t>
            </w:r>
          </w:p>
        </w:tc>
        <w:tc>
          <w:tcPr>
            <w:tcW w:w="2268" w:type="dxa"/>
            <w:tcBorders>
              <w:top w:val="single" w:sz="6" w:space="0" w:color="auto"/>
              <w:bottom w:val="single" w:sz="12" w:space="0" w:color="auto"/>
            </w:tcBorders>
          </w:tcPr>
          <w:p w:rsidR="0045496E" w:rsidRPr="004952C0" w:rsidRDefault="0045496E" w:rsidP="005634D0">
            <w:pPr>
              <w:pStyle w:val="TableHeading"/>
              <w:jc w:val="center"/>
            </w:pPr>
            <w:r w:rsidRPr="004952C0">
              <w:t>Control parameter (</w:t>
            </w:r>
            <w:proofErr w:type="spellStart"/>
            <w:r w:rsidRPr="004952C0">
              <w:rPr>
                <w:i/>
              </w:rPr>
              <w:t>CP</w:t>
            </w:r>
            <w:r w:rsidRPr="004952C0">
              <w:rPr>
                <w:i/>
                <w:vertAlign w:val="subscript"/>
              </w:rPr>
              <w:t>i</w:t>
            </w:r>
            <w:proofErr w:type="spellEnd"/>
            <w:r w:rsidRPr="004952C0">
              <w:t>)</w:t>
            </w:r>
          </w:p>
        </w:tc>
      </w:tr>
      <w:tr w:rsidR="004952C0" w:rsidRPr="004952C0" w:rsidTr="005634D0">
        <w:tc>
          <w:tcPr>
            <w:tcW w:w="988" w:type="dxa"/>
            <w:tcBorders>
              <w:top w:val="single" w:sz="12" w:space="0" w:color="auto"/>
              <w:bottom w:val="single" w:sz="4" w:space="0" w:color="auto"/>
            </w:tcBorders>
            <w:shd w:val="clear" w:color="auto" w:fill="auto"/>
          </w:tcPr>
          <w:p w:rsidR="0045496E" w:rsidRPr="004952C0" w:rsidRDefault="0045496E" w:rsidP="005634D0">
            <w:pPr>
              <w:pStyle w:val="Tabletext"/>
            </w:pPr>
            <w:r w:rsidRPr="004952C0">
              <w:t>1</w:t>
            </w:r>
          </w:p>
        </w:tc>
        <w:tc>
          <w:tcPr>
            <w:tcW w:w="5670" w:type="dxa"/>
            <w:tcBorders>
              <w:top w:val="single" w:sz="12" w:space="0" w:color="auto"/>
              <w:bottom w:val="single" w:sz="4" w:space="0" w:color="auto"/>
            </w:tcBorders>
            <w:shd w:val="clear" w:color="auto" w:fill="auto"/>
            <w:vAlign w:val="center"/>
          </w:tcPr>
          <w:p w:rsidR="0045496E" w:rsidRPr="004952C0" w:rsidRDefault="0045496E" w:rsidP="005634D0">
            <w:pPr>
              <w:pStyle w:val="Tabletext"/>
            </w:pPr>
            <w:r w:rsidRPr="004952C0">
              <w:t xml:space="preserve">For the </w:t>
            </w:r>
            <w:proofErr w:type="spellStart"/>
            <w:r w:rsidRPr="004952C0">
              <w:rPr>
                <w:i/>
              </w:rPr>
              <w:t>i</w:t>
            </w:r>
            <w:r w:rsidRPr="004952C0">
              <w:rPr>
                <w:vertAlign w:val="superscript"/>
              </w:rPr>
              <w:t>th</w:t>
            </w:r>
            <w:proofErr w:type="spellEnd"/>
            <w:r w:rsidRPr="004952C0">
              <w:t xml:space="preserve"> fan:</w:t>
            </w:r>
          </w:p>
          <w:p w:rsidR="0045496E" w:rsidRPr="004952C0" w:rsidRDefault="0045496E" w:rsidP="005634D0">
            <w:pPr>
              <w:keepLines/>
              <w:spacing w:before="60" w:line="240" w:lineRule="atLeast"/>
              <w:ind w:left="425" w:hanging="425"/>
              <w:rPr>
                <w:sz w:val="20"/>
              </w:rPr>
            </w:pPr>
            <w:r w:rsidRPr="004952C0">
              <w:rPr>
                <w:sz w:val="20"/>
              </w:rPr>
              <w:t>(a)</w:t>
            </w:r>
            <w:r w:rsidRPr="004952C0">
              <w:rPr>
                <w:sz w:val="20"/>
              </w:rPr>
              <w:tab/>
              <w:t>the fan after modification or replacement has a control system consisting of a variable speed drive; and</w:t>
            </w:r>
          </w:p>
          <w:p w:rsidR="0045496E" w:rsidRPr="004952C0" w:rsidRDefault="0045496E" w:rsidP="005634D0">
            <w:pPr>
              <w:keepLines/>
              <w:spacing w:before="60" w:line="240" w:lineRule="atLeast"/>
              <w:ind w:left="425" w:hanging="425"/>
              <w:rPr>
                <w:sz w:val="20"/>
              </w:rPr>
            </w:pPr>
            <w:r w:rsidRPr="004952C0">
              <w:rPr>
                <w:sz w:val="20"/>
              </w:rPr>
              <w:t>(b)</w:t>
            </w:r>
            <w:r w:rsidRPr="004952C0">
              <w:rPr>
                <w:sz w:val="20"/>
              </w:rPr>
              <w:tab/>
            </w:r>
            <w:proofErr w:type="gramStart"/>
            <w:r w:rsidRPr="004952C0">
              <w:rPr>
                <w:sz w:val="20"/>
              </w:rPr>
              <w:t>the</w:t>
            </w:r>
            <w:proofErr w:type="gramEnd"/>
            <w:r w:rsidRPr="004952C0">
              <w:rPr>
                <w:sz w:val="20"/>
              </w:rPr>
              <w:t xml:space="preserve"> fan before modification or replacement did not have a control system.</w:t>
            </w:r>
          </w:p>
          <w:p w:rsidR="0045496E" w:rsidRPr="004952C0" w:rsidRDefault="0045496E" w:rsidP="005634D0">
            <w:pPr>
              <w:keepLines/>
              <w:spacing w:before="60" w:line="240" w:lineRule="atLeast"/>
              <w:ind w:left="425" w:hanging="425"/>
              <w:rPr>
                <w:sz w:val="20"/>
              </w:rPr>
            </w:pPr>
          </w:p>
        </w:tc>
        <w:tc>
          <w:tcPr>
            <w:tcW w:w="2268" w:type="dxa"/>
            <w:tcBorders>
              <w:top w:val="single" w:sz="12" w:space="0" w:color="auto"/>
              <w:bottom w:val="single" w:sz="4" w:space="0" w:color="auto"/>
            </w:tcBorders>
          </w:tcPr>
          <w:p w:rsidR="0045496E" w:rsidRPr="004952C0" w:rsidRDefault="0045496E" w:rsidP="005634D0">
            <w:pPr>
              <w:pStyle w:val="Tabletext"/>
              <w:jc w:val="center"/>
            </w:pPr>
            <w:r w:rsidRPr="004952C0">
              <w:t>0.8</w:t>
            </w:r>
          </w:p>
        </w:tc>
      </w:tr>
      <w:tr w:rsidR="004952C0" w:rsidRPr="004952C0" w:rsidTr="005634D0">
        <w:tc>
          <w:tcPr>
            <w:tcW w:w="988" w:type="dxa"/>
            <w:tcBorders>
              <w:top w:val="single" w:sz="4" w:space="0" w:color="auto"/>
              <w:bottom w:val="single" w:sz="4" w:space="0" w:color="auto"/>
            </w:tcBorders>
            <w:shd w:val="clear" w:color="auto" w:fill="auto"/>
          </w:tcPr>
          <w:p w:rsidR="0045496E" w:rsidRPr="004952C0" w:rsidRDefault="0045496E" w:rsidP="005634D0">
            <w:pPr>
              <w:pStyle w:val="Tabletext"/>
            </w:pPr>
            <w:r w:rsidRPr="004952C0">
              <w:t>2</w:t>
            </w:r>
          </w:p>
        </w:tc>
        <w:tc>
          <w:tcPr>
            <w:tcW w:w="5670" w:type="dxa"/>
            <w:tcBorders>
              <w:top w:val="single" w:sz="4" w:space="0" w:color="auto"/>
              <w:bottom w:val="single" w:sz="4" w:space="0" w:color="auto"/>
            </w:tcBorders>
            <w:shd w:val="clear" w:color="auto" w:fill="auto"/>
            <w:vAlign w:val="center"/>
          </w:tcPr>
          <w:p w:rsidR="0045496E" w:rsidRPr="004952C0" w:rsidRDefault="0045496E" w:rsidP="005634D0">
            <w:pPr>
              <w:pStyle w:val="Tabletext"/>
              <w:rPr>
                <w:b/>
              </w:rPr>
            </w:pPr>
            <w:r w:rsidRPr="004952C0">
              <w:t xml:space="preserve">For the </w:t>
            </w:r>
            <w:proofErr w:type="spellStart"/>
            <w:r w:rsidRPr="004952C0">
              <w:rPr>
                <w:i/>
              </w:rPr>
              <w:t>i</w:t>
            </w:r>
            <w:r w:rsidRPr="004952C0">
              <w:rPr>
                <w:vertAlign w:val="superscript"/>
              </w:rPr>
              <w:t>th</w:t>
            </w:r>
            <w:proofErr w:type="spellEnd"/>
            <w:r w:rsidRPr="004952C0">
              <w:t xml:space="preserve"> fan:</w:t>
            </w:r>
          </w:p>
          <w:p w:rsidR="0045496E" w:rsidRPr="004952C0" w:rsidRDefault="0045496E" w:rsidP="005634D0">
            <w:pPr>
              <w:keepLines/>
              <w:spacing w:before="60" w:line="240" w:lineRule="atLeast"/>
              <w:ind w:left="425" w:hanging="425"/>
              <w:rPr>
                <w:sz w:val="20"/>
              </w:rPr>
            </w:pPr>
            <w:r w:rsidRPr="004952C0">
              <w:rPr>
                <w:sz w:val="20"/>
              </w:rPr>
              <w:t>(a)</w:t>
            </w:r>
            <w:r w:rsidRPr="004952C0">
              <w:rPr>
                <w:sz w:val="20"/>
              </w:rPr>
              <w:tab/>
              <w:t>the fan after modification or replacement has a control system consisting of a multi</w:t>
            </w:r>
            <w:r w:rsidRPr="004952C0">
              <w:rPr>
                <w:sz w:val="20"/>
              </w:rPr>
              <w:noBreakHyphen/>
            </w:r>
            <w:proofErr w:type="spellStart"/>
            <w:r w:rsidRPr="004952C0">
              <w:rPr>
                <w:sz w:val="20"/>
              </w:rPr>
              <w:t>speed</w:t>
            </w:r>
            <w:proofErr w:type="spellEnd"/>
            <w:r w:rsidRPr="004952C0">
              <w:rPr>
                <w:sz w:val="20"/>
              </w:rPr>
              <w:t xml:space="preserve"> control or a switching control; and</w:t>
            </w:r>
          </w:p>
          <w:p w:rsidR="0045496E" w:rsidRPr="004952C0" w:rsidRDefault="0045496E" w:rsidP="005634D0">
            <w:pPr>
              <w:keepLines/>
              <w:spacing w:before="60" w:line="240" w:lineRule="atLeast"/>
              <w:ind w:left="425" w:hanging="425"/>
              <w:rPr>
                <w:sz w:val="20"/>
              </w:rPr>
            </w:pPr>
            <w:r w:rsidRPr="004952C0">
              <w:rPr>
                <w:sz w:val="20"/>
              </w:rPr>
              <w:t>(b)</w:t>
            </w:r>
            <w:r w:rsidRPr="004952C0">
              <w:rPr>
                <w:sz w:val="20"/>
              </w:rPr>
              <w:tab/>
            </w:r>
            <w:proofErr w:type="gramStart"/>
            <w:r w:rsidRPr="004952C0">
              <w:rPr>
                <w:sz w:val="20"/>
              </w:rPr>
              <w:t>the</w:t>
            </w:r>
            <w:proofErr w:type="gramEnd"/>
            <w:r w:rsidRPr="004952C0">
              <w:rPr>
                <w:sz w:val="20"/>
              </w:rPr>
              <w:t xml:space="preserve"> fan before modification or replacement did not have a control system.</w:t>
            </w:r>
          </w:p>
          <w:p w:rsidR="0045496E" w:rsidRPr="004952C0" w:rsidRDefault="0045496E" w:rsidP="005634D0">
            <w:pPr>
              <w:keepLines/>
              <w:spacing w:before="60" w:line="240" w:lineRule="atLeast"/>
              <w:ind w:left="425" w:hanging="425"/>
              <w:rPr>
                <w:sz w:val="20"/>
              </w:rPr>
            </w:pPr>
          </w:p>
        </w:tc>
        <w:tc>
          <w:tcPr>
            <w:tcW w:w="2268" w:type="dxa"/>
            <w:tcBorders>
              <w:top w:val="single" w:sz="4" w:space="0" w:color="auto"/>
              <w:bottom w:val="single" w:sz="4" w:space="0" w:color="auto"/>
            </w:tcBorders>
          </w:tcPr>
          <w:p w:rsidR="0045496E" w:rsidRPr="004952C0" w:rsidRDefault="0045496E" w:rsidP="005634D0">
            <w:pPr>
              <w:pStyle w:val="Tabletext"/>
              <w:jc w:val="center"/>
            </w:pPr>
            <w:r w:rsidRPr="004952C0">
              <w:t>0.9</w:t>
            </w:r>
          </w:p>
        </w:tc>
      </w:tr>
      <w:tr w:rsidR="004952C0" w:rsidRPr="004952C0" w:rsidTr="005634D0">
        <w:tc>
          <w:tcPr>
            <w:tcW w:w="988" w:type="dxa"/>
            <w:tcBorders>
              <w:top w:val="single" w:sz="4" w:space="0" w:color="auto"/>
              <w:bottom w:val="single" w:sz="4" w:space="0" w:color="auto"/>
            </w:tcBorders>
            <w:shd w:val="clear" w:color="auto" w:fill="auto"/>
          </w:tcPr>
          <w:p w:rsidR="0045496E" w:rsidRPr="004952C0" w:rsidRDefault="0045496E" w:rsidP="005634D0">
            <w:pPr>
              <w:pStyle w:val="Tabletext"/>
            </w:pPr>
            <w:r w:rsidRPr="004952C0">
              <w:t>3</w:t>
            </w:r>
          </w:p>
        </w:tc>
        <w:tc>
          <w:tcPr>
            <w:tcW w:w="5670" w:type="dxa"/>
            <w:tcBorders>
              <w:top w:val="single" w:sz="4" w:space="0" w:color="auto"/>
              <w:bottom w:val="single" w:sz="4" w:space="0" w:color="auto"/>
            </w:tcBorders>
            <w:shd w:val="clear" w:color="auto" w:fill="auto"/>
            <w:vAlign w:val="center"/>
          </w:tcPr>
          <w:p w:rsidR="0045496E" w:rsidRPr="004952C0" w:rsidRDefault="0045496E" w:rsidP="005634D0">
            <w:pPr>
              <w:pStyle w:val="Tabletext"/>
            </w:pPr>
            <w:r w:rsidRPr="004952C0">
              <w:t xml:space="preserve">For the </w:t>
            </w:r>
            <w:proofErr w:type="spellStart"/>
            <w:r w:rsidRPr="004952C0">
              <w:rPr>
                <w:i/>
              </w:rPr>
              <w:t>i</w:t>
            </w:r>
            <w:r w:rsidRPr="004952C0">
              <w:rPr>
                <w:vertAlign w:val="superscript"/>
              </w:rPr>
              <w:t>th</w:t>
            </w:r>
            <w:proofErr w:type="spellEnd"/>
            <w:r w:rsidRPr="004952C0">
              <w:t xml:space="preserve"> fan:</w:t>
            </w:r>
          </w:p>
          <w:p w:rsidR="0045496E" w:rsidRPr="004952C0" w:rsidRDefault="0045496E" w:rsidP="005634D0">
            <w:pPr>
              <w:keepLines/>
              <w:spacing w:before="60" w:line="240" w:lineRule="atLeast"/>
              <w:ind w:left="425" w:hanging="425"/>
              <w:rPr>
                <w:sz w:val="20"/>
              </w:rPr>
            </w:pPr>
            <w:r w:rsidRPr="004952C0">
              <w:rPr>
                <w:sz w:val="20"/>
              </w:rPr>
              <w:t>(a)</w:t>
            </w:r>
            <w:r w:rsidRPr="004952C0">
              <w:rPr>
                <w:sz w:val="20"/>
              </w:rPr>
              <w:tab/>
              <w:t>the fan after modification or replacement has a control system consisting of a variable speed drive; and</w:t>
            </w:r>
          </w:p>
          <w:p w:rsidR="0045496E" w:rsidRPr="004952C0" w:rsidRDefault="0045496E" w:rsidP="005634D0">
            <w:pPr>
              <w:keepLines/>
              <w:spacing w:before="60" w:line="240" w:lineRule="atLeast"/>
              <w:ind w:left="425" w:hanging="425"/>
              <w:rPr>
                <w:sz w:val="20"/>
              </w:rPr>
            </w:pPr>
            <w:r w:rsidRPr="004952C0">
              <w:rPr>
                <w:sz w:val="20"/>
              </w:rPr>
              <w:t>(b)</w:t>
            </w:r>
            <w:r w:rsidRPr="004952C0">
              <w:rPr>
                <w:sz w:val="20"/>
              </w:rPr>
              <w:tab/>
            </w:r>
            <w:proofErr w:type="gramStart"/>
            <w:r w:rsidRPr="004952C0">
              <w:rPr>
                <w:sz w:val="20"/>
              </w:rPr>
              <w:t>the</w:t>
            </w:r>
            <w:proofErr w:type="gramEnd"/>
            <w:r w:rsidRPr="004952C0">
              <w:rPr>
                <w:sz w:val="20"/>
              </w:rPr>
              <w:t xml:space="preserve"> fan before modification or replacement had a control system consisting of a multi</w:t>
            </w:r>
            <w:r w:rsidRPr="004952C0">
              <w:rPr>
                <w:sz w:val="20"/>
              </w:rPr>
              <w:noBreakHyphen/>
            </w:r>
            <w:proofErr w:type="spellStart"/>
            <w:r w:rsidRPr="004952C0">
              <w:rPr>
                <w:sz w:val="20"/>
              </w:rPr>
              <w:t>speed</w:t>
            </w:r>
            <w:proofErr w:type="spellEnd"/>
            <w:r w:rsidRPr="004952C0">
              <w:rPr>
                <w:sz w:val="20"/>
              </w:rPr>
              <w:t xml:space="preserve"> control or a switching control.</w:t>
            </w:r>
          </w:p>
          <w:p w:rsidR="0045496E" w:rsidRPr="004952C0" w:rsidRDefault="0045496E" w:rsidP="005634D0">
            <w:pPr>
              <w:keepLines/>
              <w:spacing w:before="60" w:line="240" w:lineRule="atLeast"/>
              <w:ind w:left="425" w:hanging="425"/>
              <w:rPr>
                <w:sz w:val="20"/>
              </w:rPr>
            </w:pPr>
          </w:p>
        </w:tc>
        <w:tc>
          <w:tcPr>
            <w:tcW w:w="2268" w:type="dxa"/>
            <w:tcBorders>
              <w:top w:val="single" w:sz="4" w:space="0" w:color="auto"/>
              <w:bottom w:val="single" w:sz="4" w:space="0" w:color="auto"/>
            </w:tcBorders>
          </w:tcPr>
          <w:p w:rsidR="0045496E" w:rsidRPr="004952C0" w:rsidRDefault="0045496E" w:rsidP="005634D0">
            <w:pPr>
              <w:pStyle w:val="Tabletext"/>
              <w:jc w:val="center"/>
            </w:pPr>
            <w:r w:rsidRPr="004952C0">
              <w:t>0.9</w:t>
            </w:r>
          </w:p>
        </w:tc>
      </w:tr>
      <w:tr w:rsidR="0045496E" w:rsidRPr="004952C0" w:rsidTr="005634D0">
        <w:tc>
          <w:tcPr>
            <w:tcW w:w="988" w:type="dxa"/>
            <w:tcBorders>
              <w:top w:val="single" w:sz="4" w:space="0" w:color="auto"/>
              <w:bottom w:val="single" w:sz="12" w:space="0" w:color="auto"/>
            </w:tcBorders>
            <w:shd w:val="clear" w:color="auto" w:fill="auto"/>
          </w:tcPr>
          <w:p w:rsidR="0045496E" w:rsidRPr="004952C0" w:rsidRDefault="0045496E" w:rsidP="005634D0">
            <w:pPr>
              <w:pStyle w:val="Tabletext"/>
            </w:pPr>
            <w:r w:rsidRPr="004952C0">
              <w:t>4</w:t>
            </w:r>
          </w:p>
        </w:tc>
        <w:tc>
          <w:tcPr>
            <w:tcW w:w="5670" w:type="dxa"/>
            <w:tcBorders>
              <w:top w:val="single" w:sz="4" w:space="0" w:color="auto"/>
              <w:bottom w:val="single" w:sz="12" w:space="0" w:color="auto"/>
            </w:tcBorders>
            <w:shd w:val="clear" w:color="auto" w:fill="auto"/>
            <w:vAlign w:val="center"/>
          </w:tcPr>
          <w:p w:rsidR="0045496E" w:rsidRPr="004952C0" w:rsidRDefault="0045496E" w:rsidP="005634D0">
            <w:pPr>
              <w:pStyle w:val="Tabletext"/>
            </w:pPr>
            <w:r w:rsidRPr="004952C0">
              <w:t>Any other case</w:t>
            </w:r>
          </w:p>
          <w:p w:rsidR="0045496E" w:rsidRPr="004952C0" w:rsidRDefault="0045496E" w:rsidP="005634D0">
            <w:pPr>
              <w:pStyle w:val="Tabletext"/>
            </w:pPr>
          </w:p>
        </w:tc>
        <w:tc>
          <w:tcPr>
            <w:tcW w:w="2268" w:type="dxa"/>
            <w:tcBorders>
              <w:top w:val="single" w:sz="4" w:space="0" w:color="auto"/>
              <w:bottom w:val="single" w:sz="12" w:space="0" w:color="auto"/>
            </w:tcBorders>
          </w:tcPr>
          <w:p w:rsidR="0045496E" w:rsidRPr="004952C0" w:rsidRDefault="0045496E" w:rsidP="005634D0">
            <w:pPr>
              <w:pStyle w:val="Tabletext"/>
              <w:jc w:val="center"/>
            </w:pPr>
            <w:r w:rsidRPr="004952C0">
              <w:t>1</w:t>
            </w:r>
          </w:p>
        </w:tc>
      </w:tr>
    </w:tbl>
    <w:p w:rsidR="0045496E" w:rsidRPr="004952C0" w:rsidRDefault="0045496E" w:rsidP="0045496E"/>
    <w:p w:rsidR="003D12BC" w:rsidRPr="004952C0" w:rsidRDefault="003D12BC" w:rsidP="0045496E"/>
    <w:sectPr w:rsidR="003D12BC" w:rsidRPr="004952C0" w:rsidSect="00B1356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616" w:rsidRDefault="00791616">
      <w:r>
        <w:separator/>
      </w:r>
    </w:p>
  </w:endnote>
  <w:endnote w:type="continuationSeparator" w:id="0">
    <w:p w:rsidR="00791616" w:rsidRDefault="007916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616" w:rsidRDefault="007916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7939"/>
      <w:docPartObj>
        <w:docPartGallery w:val="Page Numbers (Bottom of Page)"/>
        <w:docPartUnique/>
      </w:docPartObj>
    </w:sdtPr>
    <w:sdtContent>
      <w:p w:rsidR="00791616" w:rsidRDefault="004F3B1F" w:rsidP="009818F6">
        <w:pPr>
          <w:pStyle w:val="Footer"/>
          <w:pBdr>
            <w:top w:val="single" w:sz="4" w:space="1" w:color="auto"/>
          </w:pBdr>
          <w:jc w:val="right"/>
        </w:pPr>
        <w:fldSimple w:instr=" PAGE   \* MERGEFORMAT ">
          <w:r w:rsidR="00FA1AFD">
            <w:rPr>
              <w:noProof/>
            </w:rPr>
            <w:t>38</w:t>
          </w:r>
        </w:fldSimple>
      </w:p>
    </w:sdtContent>
  </w:sdt>
  <w:p w:rsidR="00791616" w:rsidRDefault="004F3B1F" w:rsidP="009818F6">
    <w:pPr>
      <w:pStyle w:val="Header"/>
    </w:pPr>
    <w:fldSimple w:instr=" STYLEREF  ShortT  \* MERGEFORMAT ">
      <w:r w:rsidR="00FA1AFD">
        <w:rPr>
          <w:noProof/>
        </w:rPr>
        <w:t>Carbon Credits (Carbon Farming Initiative—Refrigeration and Ventilation Fans) Methodology Determination 2015</w:t>
      </w:r>
    </w:fldSimple>
  </w:p>
  <w:p w:rsidR="00791616" w:rsidRDefault="00791616" w:rsidP="009818F6">
    <w:pPr>
      <w:pStyle w:val="Header"/>
    </w:pPr>
  </w:p>
  <w:p w:rsidR="00791616" w:rsidRPr="00A8338C" w:rsidRDefault="00791616" w:rsidP="00A8338C">
    <w:pPr>
      <w:pStyle w:val="Footer"/>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616" w:rsidRDefault="007916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616" w:rsidRDefault="00791616">
      <w:r>
        <w:separator/>
      </w:r>
    </w:p>
  </w:footnote>
  <w:footnote w:type="continuationSeparator" w:id="0">
    <w:p w:rsidR="00791616" w:rsidRDefault="00791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616" w:rsidRDefault="007916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616" w:rsidRDefault="007916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616" w:rsidRDefault="007916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8FA819C"/>
    <w:lvl w:ilvl="0">
      <w:start w:val="1"/>
      <w:numFmt w:val="decimal"/>
      <w:lvlText w:val="%1."/>
      <w:lvlJc w:val="left"/>
      <w:pPr>
        <w:tabs>
          <w:tab w:val="num" w:pos="1492"/>
        </w:tabs>
        <w:ind w:left="1492" w:hanging="360"/>
      </w:pPr>
    </w:lvl>
  </w:abstractNum>
  <w:abstractNum w:abstractNumId="1">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nsid w:val="FFFFFF7F"/>
    <w:multiLevelType w:val="singleLevel"/>
    <w:tmpl w:val="FDA2FC86"/>
    <w:lvl w:ilvl="0">
      <w:start w:val="1"/>
      <w:numFmt w:val="decimal"/>
      <w:lvlText w:val="%1."/>
      <w:lvlJc w:val="left"/>
      <w:pPr>
        <w:tabs>
          <w:tab w:val="num" w:pos="643"/>
        </w:tabs>
        <w:ind w:left="643" w:hanging="360"/>
      </w:pPr>
    </w:lvl>
  </w:abstractNum>
  <w:abstractNum w:abstractNumId="4">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70055E"/>
    <w:lvl w:ilvl="0">
      <w:start w:val="1"/>
      <w:numFmt w:val="decimal"/>
      <w:lvlText w:val="%1."/>
      <w:lvlJc w:val="left"/>
      <w:pPr>
        <w:tabs>
          <w:tab w:val="num" w:pos="360"/>
        </w:tabs>
        <w:ind w:left="360" w:hanging="360"/>
      </w:pPr>
    </w:lvl>
  </w:abstractNum>
  <w:abstractNum w:abstractNumId="9">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nsid w:val="03981AE4"/>
    <w:multiLevelType w:val="hybridMultilevel"/>
    <w:tmpl w:val="8318C87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nsid w:val="0E563D1F"/>
    <w:multiLevelType w:val="hybridMultilevel"/>
    <w:tmpl w:val="FC28265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144968AB"/>
    <w:multiLevelType w:val="hybridMultilevel"/>
    <w:tmpl w:val="63F8A2E4"/>
    <w:lvl w:ilvl="0" w:tplc="0C090001">
      <w:start w:val="1"/>
      <w:numFmt w:val="bullet"/>
      <w:lvlText w:val=""/>
      <w:lvlJc w:val="left"/>
      <w:pPr>
        <w:ind w:left="1139" w:hanging="360"/>
      </w:pPr>
      <w:rPr>
        <w:rFonts w:ascii="Symbol" w:hAnsi="Symbol" w:hint="default"/>
      </w:rPr>
    </w:lvl>
    <w:lvl w:ilvl="1" w:tplc="0C090003" w:tentative="1">
      <w:start w:val="1"/>
      <w:numFmt w:val="bullet"/>
      <w:lvlText w:val="o"/>
      <w:lvlJc w:val="left"/>
      <w:pPr>
        <w:ind w:left="1859" w:hanging="360"/>
      </w:pPr>
      <w:rPr>
        <w:rFonts w:ascii="Courier New" w:hAnsi="Courier New" w:cs="Courier New" w:hint="default"/>
      </w:rPr>
    </w:lvl>
    <w:lvl w:ilvl="2" w:tplc="0C090005" w:tentative="1">
      <w:start w:val="1"/>
      <w:numFmt w:val="bullet"/>
      <w:lvlText w:val=""/>
      <w:lvlJc w:val="left"/>
      <w:pPr>
        <w:ind w:left="2579" w:hanging="360"/>
      </w:pPr>
      <w:rPr>
        <w:rFonts w:ascii="Wingdings" w:hAnsi="Wingdings" w:hint="default"/>
      </w:rPr>
    </w:lvl>
    <w:lvl w:ilvl="3" w:tplc="0C090001" w:tentative="1">
      <w:start w:val="1"/>
      <w:numFmt w:val="bullet"/>
      <w:lvlText w:val=""/>
      <w:lvlJc w:val="left"/>
      <w:pPr>
        <w:ind w:left="3299" w:hanging="360"/>
      </w:pPr>
      <w:rPr>
        <w:rFonts w:ascii="Symbol" w:hAnsi="Symbol" w:hint="default"/>
      </w:rPr>
    </w:lvl>
    <w:lvl w:ilvl="4" w:tplc="0C090003" w:tentative="1">
      <w:start w:val="1"/>
      <w:numFmt w:val="bullet"/>
      <w:lvlText w:val="o"/>
      <w:lvlJc w:val="left"/>
      <w:pPr>
        <w:ind w:left="4019" w:hanging="360"/>
      </w:pPr>
      <w:rPr>
        <w:rFonts w:ascii="Courier New" w:hAnsi="Courier New" w:cs="Courier New" w:hint="default"/>
      </w:rPr>
    </w:lvl>
    <w:lvl w:ilvl="5" w:tplc="0C090005" w:tentative="1">
      <w:start w:val="1"/>
      <w:numFmt w:val="bullet"/>
      <w:lvlText w:val=""/>
      <w:lvlJc w:val="left"/>
      <w:pPr>
        <w:ind w:left="4739" w:hanging="360"/>
      </w:pPr>
      <w:rPr>
        <w:rFonts w:ascii="Wingdings" w:hAnsi="Wingdings" w:hint="default"/>
      </w:rPr>
    </w:lvl>
    <w:lvl w:ilvl="6" w:tplc="0C090001" w:tentative="1">
      <w:start w:val="1"/>
      <w:numFmt w:val="bullet"/>
      <w:lvlText w:val=""/>
      <w:lvlJc w:val="left"/>
      <w:pPr>
        <w:ind w:left="5459" w:hanging="360"/>
      </w:pPr>
      <w:rPr>
        <w:rFonts w:ascii="Symbol" w:hAnsi="Symbol" w:hint="default"/>
      </w:rPr>
    </w:lvl>
    <w:lvl w:ilvl="7" w:tplc="0C090003" w:tentative="1">
      <w:start w:val="1"/>
      <w:numFmt w:val="bullet"/>
      <w:lvlText w:val="o"/>
      <w:lvlJc w:val="left"/>
      <w:pPr>
        <w:ind w:left="6179" w:hanging="360"/>
      </w:pPr>
      <w:rPr>
        <w:rFonts w:ascii="Courier New" w:hAnsi="Courier New" w:cs="Courier New" w:hint="default"/>
      </w:rPr>
    </w:lvl>
    <w:lvl w:ilvl="8" w:tplc="0C090005" w:tentative="1">
      <w:start w:val="1"/>
      <w:numFmt w:val="bullet"/>
      <w:lvlText w:val=""/>
      <w:lvlJc w:val="left"/>
      <w:pPr>
        <w:ind w:left="6899" w:hanging="360"/>
      </w:pPr>
      <w:rPr>
        <w:rFonts w:ascii="Wingdings" w:hAnsi="Wingdings" w:hint="default"/>
      </w:rPr>
    </w:lvl>
  </w:abstractNum>
  <w:abstractNum w:abstractNumId="14">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spacing w:val="0"/>
        <w:kern w:val="0"/>
        <w:position w:val="0"/>
        <w:u w:val="none"/>
        <w:effect w:val="none"/>
        <w:vertAlign w:val="baseline"/>
        <w:em w:val="none"/>
        <w:specVanish w:val="0"/>
      </w:rPr>
    </w:lvl>
    <w:lvl w:ilvl="8">
      <w:start w:val="1"/>
      <w:numFmt w:val="upperLetter"/>
      <w:lvlText w:val="(%9)"/>
      <w:lvlJc w:val="left"/>
      <w:pPr>
        <w:ind w:left="0" w:firstLine="0"/>
      </w:pPr>
      <w:rPr>
        <w:rFonts w:hint="default"/>
      </w:rPr>
    </w:lvl>
  </w:abstractNum>
  <w:abstractNum w:abstractNumId="15">
    <w:nsid w:val="1B680A01"/>
    <w:multiLevelType w:val="hybridMultilevel"/>
    <w:tmpl w:val="FE34BA16"/>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6">
    <w:nsid w:val="1CAA4A3D"/>
    <w:multiLevelType w:val="hybridMultilevel"/>
    <w:tmpl w:val="7556C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6D6ADE"/>
    <w:multiLevelType w:val="hybridMultilevel"/>
    <w:tmpl w:val="498293D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4410F88"/>
    <w:multiLevelType w:val="hybridMultilevel"/>
    <w:tmpl w:val="1BFE3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27043A"/>
    <w:multiLevelType w:val="hybridMultilevel"/>
    <w:tmpl w:val="A5E2454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5">
    <w:nsid w:val="38EC62F7"/>
    <w:multiLevelType w:val="hybridMultilevel"/>
    <w:tmpl w:val="B50C44E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7">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8">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2CD6627"/>
    <w:multiLevelType w:val="hybridMultilevel"/>
    <w:tmpl w:val="7794D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79A29BA"/>
    <w:multiLevelType w:val="hybridMultilevel"/>
    <w:tmpl w:val="FDCC1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B280CD2"/>
    <w:multiLevelType w:val="hybridMultilevel"/>
    <w:tmpl w:val="EDF2F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3D857DD"/>
    <w:multiLevelType w:val="hybridMultilevel"/>
    <w:tmpl w:val="29643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1D74DEE"/>
    <w:multiLevelType w:val="hybridMultilevel"/>
    <w:tmpl w:val="FFD64546"/>
    <w:lvl w:ilvl="0" w:tplc="0F9AFDC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6BF6C88"/>
    <w:multiLevelType w:val="hybridMultilevel"/>
    <w:tmpl w:val="C0D683FA"/>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45">
    <w:nsid w:val="6C0837D8"/>
    <w:multiLevelType w:val="hybridMultilevel"/>
    <w:tmpl w:val="0B505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CF07DE7"/>
    <w:multiLevelType w:val="hybridMultilevel"/>
    <w:tmpl w:val="ACDABF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CF96D7D"/>
    <w:multiLevelType w:val="hybridMultilevel"/>
    <w:tmpl w:val="5AAA9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4"/>
  </w:num>
  <w:num w:numId="4">
    <w:abstractNumId w:val="49"/>
  </w:num>
  <w:num w:numId="5">
    <w:abstractNumId w:val="39"/>
  </w:num>
  <w:num w:numId="6">
    <w:abstractNumId w:val="29"/>
  </w:num>
  <w:num w:numId="7">
    <w:abstractNumId w:val="21"/>
  </w:num>
  <w:num w:numId="8">
    <w:abstractNumId w:val="28"/>
  </w:num>
  <w:num w:numId="9">
    <w:abstractNumId w:val="50"/>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20"/>
  </w:num>
  <w:num w:numId="21">
    <w:abstractNumId w:val="26"/>
  </w:num>
  <w:num w:numId="22">
    <w:abstractNumId w:val="13"/>
  </w:num>
  <w:num w:numId="23">
    <w:abstractNumId w:val="15"/>
  </w:num>
  <w:num w:numId="24">
    <w:abstractNumId w:val="44"/>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3"/>
  </w:num>
  <w:num w:numId="29">
    <w:abstractNumId w:val="32"/>
  </w:num>
  <w:num w:numId="30">
    <w:abstractNumId w:val="11"/>
  </w:num>
  <w:num w:numId="31">
    <w:abstractNumId w:val="35"/>
  </w:num>
  <w:num w:numId="32">
    <w:abstractNumId w:val="17"/>
  </w:num>
  <w:num w:numId="33">
    <w:abstractNumId w:val="47"/>
  </w:num>
  <w:num w:numId="34">
    <w:abstractNumId w:val="18"/>
  </w:num>
  <w:num w:numId="35">
    <w:abstractNumId w:val="31"/>
  </w:num>
  <w:num w:numId="36">
    <w:abstractNumId w:val="46"/>
  </w:num>
  <w:num w:numId="37">
    <w:abstractNumId w:val="45"/>
  </w:num>
  <w:num w:numId="38">
    <w:abstractNumId w:val="19"/>
  </w:num>
  <w:num w:numId="39">
    <w:abstractNumId w:val="4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7804"/>
  <w:stylePaneSortMethod w:val="0000"/>
  <w:defaultTabStop w:val="425"/>
  <w:drawingGridHorizontalSpacing w:val="11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docVars>
    <w:docVar w:name="StyleWS" w:val="bWSLetter"/>
  </w:docVars>
  <w:rsids>
    <w:rsidRoot w:val="008678EB"/>
    <w:rsid w:val="00002024"/>
    <w:rsid w:val="0000387E"/>
    <w:rsid w:val="000039D7"/>
    <w:rsid w:val="0000738C"/>
    <w:rsid w:val="0001124F"/>
    <w:rsid w:val="00012088"/>
    <w:rsid w:val="00012B72"/>
    <w:rsid w:val="00014257"/>
    <w:rsid w:val="00023904"/>
    <w:rsid w:val="00023DAB"/>
    <w:rsid w:val="000246E6"/>
    <w:rsid w:val="000248C7"/>
    <w:rsid w:val="00024E8F"/>
    <w:rsid w:val="000258A0"/>
    <w:rsid w:val="00026BD7"/>
    <w:rsid w:val="0003066C"/>
    <w:rsid w:val="00031189"/>
    <w:rsid w:val="00031806"/>
    <w:rsid w:val="000320F2"/>
    <w:rsid w:val="00032799"/>
    <w:rsid w:val="00036295"/>
    <w:rsid w:val="00036984"/>
    <w:rsid w:val="0003757F"/>
    <w:rsid w:val="0003764D"/>
    <w:rsid w:val="00040413"/>
    <w:rsid w:val="00041037"/>
    <w:rsid w:val="00041E62"/>
    <w:rsid w:val="0004359B"/>
    <w:rsid w:val="0004373B"/>
    <w:rsid w:val="0004479F"/>
    <w:rsid w:val="000447F6"/>
    <w:rsid w:val="00044D8C"/>
    <w:rsid w:val="000450DD"/>
    <w:rsid w:val="000453D0"/>
    <w:rsid w:val="0004573B"/>
    <w:rsid w:val="00046216"/>
    <w:rsid w:val="00050008"/>
    <w:rsid w:val="00050066"/>
    <w:rsid w:val="00050664"/>
    <w:rsid w:val="00051826"/>
    <w:rsid w:val="00051BD1"/>
    <w:rsid w:val="00051EA8"/>
    <w:rsid w:val="0005423E"/>
    <w:rsid w:val="000553B7"/>
    <w:rsid w:val="00056020"/>
    <w:rsid w:val="00056707"/>
    <w:rsid w:val="000568F2"/>
    <w:rsid w:val="00057DAD"/>
    <w:rsid w:val="00060287"/>
    <w:rsid w:val="000612D9"/>
    <w:rsid w:val="00063C97"/>
    <w:rsid w:val="00064F51"/>
    <w:rsid w:val="00066A91"/>
    <w:rsid w:val="0007023A"/>
    <w:rsid w:val="00072B1C"/>
    <w:rsid w:val="000731B2"/>
    <w:rsid w:val="00074438"/>
    <w:rsid w:val="00074AB4"/>
    <w:rsid w:val="00074F2C"/>
    <w:rsid w:val="00075A6E"/>
    <w:rsid w:val="000813F8"/>
    <w:rsid w:val="00082BCD"/>
    <w:rsid w:val="0008328C"/>
    <w:rsid w:val="00090D8B"/>
    <w:rsid w:val="00090FBF"/>
    <w:rsid w:val="00091ADC"/>
    <w:rsid w:val="000967FA"/>
    <w:rsid w:val="00097203"/>
    <w:rsid w:val="000974E1"/>
    <w:rsid w:val="000978C5"/>
    <w:rsid w:val="000A25C2"/>
    <w:rsid w:val="000A3FFF"/>
    <w:rsid w:val="000A4314"/>
    <w:rsid w:val="000A5606"/>
    <w:rsid w:val="000A71D4"/>
    <w:rsid w:val="000A7903"/>
    <w:rsid w:val="000B042A"/>
    <w:rsid w:val="000B12F1"/>
    <w:rsid w:val="000B16AF"/>
    <w:rsid w:val="000B177D"/>
    <w:rsid w:val="000B27A4"/>
    <w:rsid w:val="000B2B15"/>
    <w:rsid w:val="000B4DA5"/>
    <w:rsid w:val="000B5DCB"/>
    <w:rsid w:val="000C0141"/>
    <w:rsid w:val="000C2287"/>
    <w:rsid w:val="000C22A6"/>
    <w:rsid w:val="000C2440"/>
    <w:rsid w:val="000C271C"/>
    <w:rsid w:val="000C303C"/>
    <w:rsid w:val="000C5B26"/>
    <w:rsid w:val="000C61CF"/>
    <w:rsid w:val="000D0F13"/>
    <w:rsid w:val="000D1E2B"/>
    <w:rsid w:val="000D2D22"/>
    <w:rsid w:val="000D2FFA"/>
    <w:rsid w:val="000D40E2"/>
    <w:rsid w:val="000D5664"/>
    <w:rsid w:val="000D5F02"/>
    <w:rsid w:val="000D628D"/>
    <w:rsid w:val="000D7205"/>
    <w:rsid w:val="000E12AF"/>
    <w:rsid w:val="000E2406"/>
    <w:rsid w:val="000E245F"/>
    <w:rsid w:val="000E2AF3"/>
    <w:rsid w:val="000E2E9E"/>
    <w:rsid w:val="000E3553"/>
    <w:rsid w:val="000E4D39"/>
    <w:rsid w:val="000E750C"/>
    <w:rsid w:val="000F0319"/>
    <w:rsid w:val="000F081D"/>
    <w:rsid w:val="000F2EBE"/>
    <w:rsid w:val="000F31F8"/>
    <w:rsid w:val="000F39FE"/>
    <w:rsid w:val="000F6CC2"/>
    <w:rsid w:val="00101B67"/>
    <w:rsid w:val="00102896"/>
    <w:rsid w:val="00107C55"/>
    <w:rsid w:val="00107E81"/>
    <w:rsid w:val="001104D5"/>
    <w:rsid w:val="00110E27"/>
    <w:rsid w:val="0011343D"/>
    <w:rsid w:val="00113F77"/>
    <w:rsid w:val="00117D16"/>
    <w:rsid w:val="00121A23"/>
    <w:rsid w:val="00123118"/>
    <w:rsid w:val="00124559"/>
    <w:rsid w:val="001245D0"/>
    <w:rsid w:val="001268E1"/>
    <w:rsid w:val="001300B0"/>
    <w:rsid w:val="00130B6C"/>
    <w:rsid w:val="001369B9"/>
    <w:rsid w:val="00137A06"/>
    <w:rsid w:val="0014051F"/>
    <w:rsid w:val="00140EBC"/>
    <w:rsid w:val="00142EC4"/>
    <w:rsid w:val="0014387D"/>
    <w:rsid w:val="001443B4"/>
    <w:rsid w:val="001447E1"/>
    <w:rsid w:val="00144830"/>
    <w:rsid w:val="00144E82"/>
    <w:rsid w:val="00146181"/>
    <w:rsid w:val="001476F6"/>
    <w:rsid w:val="001532D6"/>
    <w:rsid w:val="00154AA1"/>
    <w:rsid w:val="0016128A"/>
    <w:rsid w:val="001616EF"/>
    <w:rsid w:val="00161D9C"/>
    <w:rsid w:val="00163CCC"/>
    <w:rsid w:val="00170675"/>
    <w:rsid w:val="00171281"/>
    <w:rsid w:val="00172839"/>
    <w:rsid w:val="00174847"/>
    <w:rsid w:val="0017505D"/>
    <w:rsid w:val="001776B2"/>
    <w:rsid w:val="00182E3C"/>
    <w:rsid w:val="00182E6C"/>
    <w:rsid w:val="0018363F"/>
    <w:rsid w:val="00184159"/>
    <w:rsid w:val="00184268"/>
    <w:rsid w:val="00184B5E"/>
    <w:rsid w:val="00190AB5"/>
    <w:rsid w:val="00194039"/>
    <w:rsid w:val="00195069"/>
    <w:rsid w:val="00196DA5"/>
    <w:rsid w:val="001979DC"/>
    <w:rsid w:val="00197F1A"/>
    <w:rsid w:val="001A0D5E"/>
    <w:rsid w:val="001A14E3"/>
    <w:rsid w:val="001A15AC"/>
    <w:rsid w:val="001A2B32"/>
    <w:rsid w:val="001A562A"/>
    <w:rsid w:val="001A5CB2"/>
    <w:rsid w:val="001B0571"/>
    <w:rsid w:val="001B0B41"/>
    <w:rsid w:val="001B2D72"/>
    <w:rsid w:val="001B4173"/>
    <w:rsid w:val="001B5E38"/>
    <w:rsid w:val="001B644D"/>
    <w:rsid w:val="001B7191"/>
    <w:rsid w:val="001B7250"/>
    <w:rsid w:val="001B7C15"/>
    <w:rsid w:val="001C0768"/>
    <w:rsid w:val="001C1A73"/>
    <w:rsid w:val="001C3392"/>
    <w:rsid w:val="001C3788"/>
    <w:rsid w:val="001C3F36"/>
    <w:rsid w:val="001C4AFA"/>
    <w:rsid w:val="001C68DB"/>
    <w:rsid w:val="001C6AD2"/>
    <w:rsid w:val="001D01F9"/>
    <w:rsid w:val="001D07AE"/>
    <w:rsid w:val="001D1888"/>
    <w:rsid w:val="001D46DC"/>
    <w:rsid w:val="001D6A2B"/>
    <w:rsid w:val="001E0960"/>
    <w:rsid w:val="001E1B02"/>
    <w:rsid w:val="001E46CE"/>
    <w:rsid w:val="001E4824"/>
    <w:rsid w:val="001E647F"/>
    <w:rsid w:val="001F373E"/>
    <w:rsid w:val="001F43D4"/>
    <w:rsid w:val="001F4EEA"/>
    <w:rsid w:val="001F50EC"/>
    <w:rsid w:val="001F5AF2"/>
    <w:rsid w:val="00201A33"/>
    <w:rsid w:val="00202053"/>
    <w:rsid w:val="002020BD"/>
    <w:rsid w:val="0020328F"/>
    <w:rsid w:val="00206469"/>
    <w:rsid w:val="00210328"/>
    <w:rsid w:val="00210C28"/>
    <w:rsid w:val="0021145F"/>
    <w:rsid w:val="0021302B"/>
    <w:rsid w:val="00213788"/>
    <w:rsid w:val="002146BA"/>
    <w:rsid w:val="0021764C"/>
    <w:rsid w:val="00217A90"/>
    <w:rsid w:val="00217C89"/>
    <w:rsid w:val="002201FD"/>
    <w:rsid w:val="002202BA"/>
    <w:rsid w:val="00220F1C"/>
    <w:rsid w:val="00221A40"/>
    <w:rsid w:val="002221BC"/>
    <w:rsid w:val="002227B5"/>
    <w:rsid w:val="002233FB"/>
    <w:rsid w:val="00223A01"/>
    <w:rsid w:val="00224BFF"/>
    <w:rsid w:val="00225D68"/>
    <w:rsid w:val="0022621E"/>
    <w:rsid w:val="002274CF"/>
    <w:rsid w:val="002309B3"/>
    <w:rsid w:val="00232329"/>
    <w:rsid w:val="002323A6"/>
    <w:rsid w:val="00233BC0"/>
    <w:rsid w:val="00234173"/>
    <w:rsid w:val="00235E1E"/>
    <w:rsid w:val="00240E3E"/>
    <w:rsid w:val="00240E9E"/>
    <w:rsid w:val="0024155A"/>
    <w:rsid w:val="00241798"/>
    <w:rsid w:val="002432A9"/>
    <w:rsid w:val="00243924"/>
    <w:rsid w:val="00245AAC"/>
    <w:rsid w:val="00246A83"/>
    <w:rsid w:val="00246C4C"/>
    <w:rsid w:val="002472BC"/>
    <w:rsid w:val="00254817"/>
    <w:rsid w:val="00255070"/>
    <w:rsid w:val="0025786D"/>
    <w:rsid w:val="00257896"/>
    <w:rsid w:val="00260797"/>
    <w:rsid w:val="00264270"/>
    <w:rsid w:val="00265192"/>
    <w:rsid w:val="00266DC8"/>
    <w:rsid w:val="00267757"/>
    <w:rsid w:val="00270466"/>
    <w:rsid w:val="00271A41"/>
    <w:rsid w:val="00273E5C"/>
    <w:rsid w:val="00274E2B"/>
    <w:rsid w:val="00280B8E"/>
    <w:rsid w:val="002832F4"/>
    <w:rsid w:val="00284CBA"/>
    <w:rsid w:val="0028502C"/>
    <w:rsid w:val="002855B2"/>
    <w:rsid w:val="002902F2"/>
    <w:rsid w:val="00293143"/>
    <w:rsid w:val="00293320"/>
    <w:rsid w:val="00294058"/>
    <w:rsid w:val="00294245"/>
    <w:rsid w:val="00294DE8"/>
    <w:rsid w:val="002A0596"/>
    <w:rsid w:val="002A18C9"/>
    <w:rsid w:val="002A3283"/>
    <w:rsid w:val="002A3A81"/>
    <w:rsid w:val="002A505C"/>
    <w:rsid w:val="002A5156"/>
    <w:rsid w:val="002A5322"/>
    <w:rsid w:val="002A655E"/>
    <w:rsid w:val="002A6992"/>
    <w:rsid w:val="002A69DC"/>
    <w:rsid w:val="002A7E6F"/>
    <w:rsid w:val="002B0EAC"/>
    <w:rsid w:val="002B1C17"/>
    <w:rsid w:val="002B3521"/>
    <w:rsid w:val="002B7338"/>
    <w:rsid w:val="002C1442"/>
    <w:rsid w:val="002C3465"/>
    <w:rsid w:val="002D11EF"/>
    <w:rsid w:val="002D19AA"/>
    <w:rsid w:val="002E1852"/>
    <w:rsid w:val="002E1AC0"/>
    <w:rsid w:val="002E2E64"/>
    <w:rsid w:val="002E39E0"/>
    <w:rsid w:val="002E41A4"/>
    <w:rsid w:val="002E7EE0"/>
    <w:rsid w:val="002F0C47"/>
    <w:rsid w:val="002F242B"/>
    <w:rsid w:val="002F3455"/>
    <w:rsid w:val="002F4A68"/>
    <w:rsid w:val="002F664A"/>
    <w:rsid w:val="002F6C23"/>
    <w:rsid w:val="00301367"/>
    <w:rsid w:val="00301C22"/>
    <w:rsid w:val="00303667"/>
    <w:rsid w:val="00303714"/>
    <w:rsid w:val="00305B2A"/>
    <w:rsid w:val="00306EFA"/>
    <w:rsid w:val="0031117B"/>
    <w:rsid w:val="003127F8"/>
    <w:rsid w:val="0031539D"/>
    <w:rsid w:val="00321884"/>
    <w:rsid w:val="00322BDC"/>
    <w:rsid w:val="00322CCD"/>
    <w:rsid w:val="0032420F"/>
    <w:rsid w:val="003257CA"/>
    <w:rsid w:val="0032598E"/>
    <w:rsid w:val="00327822"/>
    <w:rsid w:val="0032784C"/>
    <w:rsid w:val="00331757"/>
    <w:rsid w:val="0033258A"/>
    <w:rsid w:val="00332C68"/>
    <w:rsid w:val="00333A4F"/>
    <w:rsid w:val="00335540"/>
    <w:rsid w:val="003404F8"/>
    <w:rsid w:val="00340AA4"/>
    <w:rsid w:val="003460DC"/>
    <w:rsid w:val="00346CC7"/>
    <w:rsid w:val="0034760F"/>
    <w:rsid w:val="00350078"/>
    <w:rsid w:val="00350664"/>
    <w:rsid w:val="0035186D"/>
    <w:rsid w:val="00352B83"/>
    <w:rsid w:val="00354E4F"/>
    <w:rsid w:val="00360628"/>
    <w:rsid w:val="00363ADD"/>
    <w:rsid w:val="00364922"/>
    <w:rsid w:val="00367330"/>
    <w:rsid w:val="0036787F"/>
    <w:rsid w:val="00370780"/>
    <w:rsid w:val="00371E2D"/>
    <w:rsid w:val="00377DAC"/>
    <w:rsid w:val="00380FB2"/>
    <w:rsid w:val="00382276"/>
    <w:rsid w:val="0039016F"/>
    <w:rsid w:val="00390549"/>
    <w:rsid w:val="00390A97"/>
    <w:rsid w:val="00390B03"/>
    <w:rsid w:val="003939A2"/>
    <w:rsid w:val="00397009"/>
    <w:rsid w:val="0039749E"/>
    <w:rsid w:val="00397871"/>
    <w:rsid w:val="003A080E"/>
    <w:rsid w:val="003A14A8"/>
    <w:rsid w:val="003A34AE"/>
    <w:rsid w:val="003A3AF1"/>
    <w:rsid w:val="003A4CFF"/>
    <w:rsid w:val="003A6158"/>
    <w:rsid w:val="003A644D"/>
    <w:rsid w:val="003A7005"/>
    <w:rsid w:val="003A72A8"/>
    <w:rsid w:val="003B114C"/>
    <w:rsid w:val="003B3415"/>
    <w:rsid w:val="003B3DB9"/>
    <w:rsid w:val="003B4E23"/>
    <w:rsid w:val="003B5E1E"/>
    <w:rsid w:val="003B7386"/>
    <w:rsid w:val="003B7703"/>
    <w:rsid w:val="003B777A"/>
    <w:rsid w:val="003C0CEA"/>
    <w:rsid w:val="003C1E61"/>
    <w:rsid w:val="003C2E57"/>
    <w:rsid w:val="003C32EE"/>
    <w:rsid w:val="003C452F"/>
    <w:rsid w:val="003C55D6"/>
    <w:rsid w:val="003C75B8"/>
    <w:rsid w:val="003D10A7"/>
    <w:rsid w:val="003D12BC"/>
    <w:rsid w:val="003D1FE2"/>
    <w:rsid w:val="003D260B"/>
    <w:rsid w:val="003D305B"/>
    <w:rsid w:val="003D7C75"/>
    <w:rsid w:val="003E0AF3"/>
    <w:rsid w:val="003E1765"/>
    <w:rsid w:val="003E2DCB"/>
    <w:rsid w:val="003E3108"/>
    <w:rsid w:val="003E352A"/>
    <w:rsid w:val="003E37D8"/>
    <w:rsid w:val="003E49CC"/>
    <w:rsid w:val="003E6641"/>
    <w:rsid w:val="003E7BF9"/>
    <w:rsid w:val="003F1B85"/>
    <w:rsid w:val="003F58A1"/>
    <w:rsid w:val="003F61C0"/>
    <w:rsid w:val="003F7EF1"/>
    <w:rsid w:val="0040186F"/>
    <w:rsid w:val="00402812"/>
    <w:rsid w:val="004040B2"/>
    <w:rsid w:val="00404E41"/>
    <w:rsid w:val="00405A06"/>
    <w:rsid w:val="0040665C"/>
    <w:rsid w:val="00406727"/>
    <w:rsid w:val="00406C4A"/>
    <w:rsid w:val="004077A2"/>
    <w:rsid w:val="00407A73"/>
    <w:rsid w:val="00411F89"/>
    <w:rsid w:val="00412EE5"/>
    <w:rsid w:val="0041367F"/>
    <w:rsid w:val="00416635"/>
    <w:rsid w:val="004209C2"/>
    <w:rsid w:val="00422316"/>
    <w:rsid w:val="00423DA5"/>
    <w:rsid w:val="00430D5F"/>
    <w:rsid w:val="00432380"/>
    <w:rsid w:val="004327A6"/>
    <w:rsid w:val="00433AE2"/>
    <w:rsid w:val="00435726"/>
    <w:rsid w:val="00435DA0"/>
    <w:rsid w:val="00436098"/>
    <w:rsid w:val="00436219"/>
    <w:rsid w:val="00436C5C"/>
    <w:rsid w:val="00440826"/>
    <w:rsid w:val="00441379"/>
    <w:rsid w:val="00441401"/>
    <w:rsid w:val="00442227"/>
    <w:rsid w:val="004428F7"/>
    <w:rsid w:val="00442D45"/>
    <w:rsid w:val="0044312B"/>
    <w:rsid w:val="00444507"/>
    <w:rsid w:val="00444584"/>
    <w:rsid w:val="00445D78"/>
    <w:rsid w:val="004503EC"/>
    <w:rsid w:val="00451E11"/>
    <w:rsid w:val="00452C13"/>
    <w:rsid w:val="00452F4B"/>
    <w:rsid w:val="004530A6"/>
    <w:rsid w:val="00453F44"/>
    <w:rsid w:val="0045496E"/>
    <w:rsid w:val="00454CAA"/>
    <w:rsid w:val="004563BD"/>
    <w:rsid w:val="00456801"/>
    <w:rsid w:val="0046060C"/>
    <w:rsid w:val="00462750"/>
    <w:rsid w:val="00463E97"/>
    <w:rsid w:val="004667C8"/>
    <w:rsid w:val="004678FA"/>
    <w:rsid w:val="00470B15"/>
    <w:rsid w:val="00471062"/>
    <w:rsid w:val="00475CF2"/>
    <w:rsid w:val="00476141"/>
    <w:rsid w:val="00476C74"/>
    <w:rsid w:val="00477BB5"/>
    <w:rsid w:val="004803D4"/>
    <w:rsid w:val="00487B34"/>
    <w:rsid w:val="00491433"/>
    <w:rsid w:val="00492B45"/>
    <w:rsid w:val="00492DBD"/>
    <w:rsid w:val="004938A3"/>
    <w:rsid w:val="00493C06"/>
    <w:rsid w:val="004952C0"/>
    <w:rsid w:val="00495FD0"/>
    <w:rsid w:val="004971E4"/>
    <w:rsid w:val="004A37E5"/>
    <w:rsid w:val="004A3831"/>
    <w:rsid w:val="004A4641"/>
    <w:rsid w:val="004A7840"/>
    <w:rsid w:val="004B0100"/>
    <w:rsid w:val="004B21E1"/>
    <w:rsid w:val="004B3F27"/>
    <w:rsid w:val="004B4EA7"/>
    <w:rsid w:val="004B550E"/>
    <w:rsid w:val="004B5B4A"/>
    <w:rsid w:val="004B644E"/>
    <w:rsid w:val="004C1309"/>
    <w:rsid w:val="004C144E"/>
    <w:rsid w:val="004C1838"/>
    <w:rsid w:val="004C1A87"/>
    <w:rsid w:val="004C5AFE"/>
    <w:rsid w:val="004C6902"/>
    <w:rsid w:val="004D256F"/>
    <w:rsid w:val="004D38CC"/>
    <w:rsid w:val="004D5D08"/>
    <w:rsid w:val="004E1067"/>
    <w:rsid w:val="004E3EF4"/>
    <w:rsid w:val="004E79BB"/>
    <w:rsid w:val="004F0122"/>
    <w:rsid w:val="004F075B"/>
    <w:rsid w:val="004F17F7"/>
    <w:rsid w:val="004F2FAE"/>
    <w:rsid w:val="004F3B1F"/>
    <w:rsid w:val="004F40BD"/>
    <w:rsid w:val="004F5362"/>
    <w:rsid w:val="004F7EE2"/>
    <w:rsid w:val="00500012"/>
    <w:rsid w:val="00502404"/>
    <w:rsid w:val="00502DD0"/>
    <w:rsid w:val="00502E7C"/>
    <w:rsid w:val="00504002"/>
    <w:rsid w:val="00505FCA"/>
    <w:rsid w:val="00506D95"/>
    <w:rsid w:val="00507791"/>
    <w:rsid w:val="00511A4E"/>
    <w:rsid w:val="00511EAF"/>
    <w:rsid w:val="00512ED1"/>
    <w:rsid w:val="00514EE2"/>
    <w:rsid w:val="00517E97"/>
    <w:rsid w:val="00521933"/>
    <w:rsid w:val="00521D82"/>
    <w:rsid w:val="005270B3"/>
    <w:rsid w:val="005276E4"/>
    <w:rsid w:val="00531C0C"/>
    <w:rsid w:val="00532B96"/>
    <w:rsid w:val="00532D74"/>
    <w:rsid w:val="00533C83"/>
    <w:rsid w:val="005352DD"/>
    <w:rsid w:val="00535BE4"/>
    <w:rsid w:val="005361FA"/>
    <w:rsid w:val="00536929"/>
    <w:rsid w:val="00537B4E"/>
    <w:rsid w:val="00540465"/>
    <w:rsid w:val="00542292"/>
    <w:rsid w:val="00542577"/>
    <w:rsid w:val="00542C26"/>
    <w:rsid w:val="00543C83"/>
    <w:rsid w:val="00547E30"/>
    <w:rsid w:val="0055370A"/>
    <w:rsid w:val="00554B06"/>
    <w:rsid w:val="005556A2"/>
    <w:rsid w:val="00557D67"/>
    <w:rsid w:val="00562634"/>
    <w:rsid w:val="005634D0"/>
    <w:rsid w:val="00564585"/>
    <w:rsid w:val="00571266"/>
    <w:rsid w:val="00571ACA"/>
    <w:rsid w:val="00574D2B"/>
    <w:rsid w:val="00582202"/>
    <w:rsid w:val="00582C28"/>
    <w:rsid w:val="00583629"/>
    <w:rsid w:val="005844FE"/>
    <w:rsid w:val="00584F3F"/>
    <w:rsid w:val="0058653A"/>
    <w:rsid w:val="00586C23"/>
    <w:rsid w:val="005902E6"/>
    <w:rsid w:val="00592607"/>
    <w:rsid w:val="00594537"/>
    <w:rsid w:val="00595849"/>
    <w:rsid w:val="005A0240"/>
    <w:rsid w:val="005A0814"/>
    <w:rsid w:val="005A17C1"/>
    <w:rsid w:val="005A1E39"/>
    <w:rsid w:val="005A2D36"/>
    <w:rsid w:val="005A6EA9"/>
    <w:rsid w:val="005B185F"/>
    <w:rsid w:val="005B29AD"/>
    <w:rsid w:val="005B42FE"/>
    <w:rsid w:val="005B5048"/>
    <w:rsid w:val="005B52E3"/>
    <w:rsid w:val="005B5536"/>
    <w:rsid w:val="005B619B"/>
    <w:rsid w:val="005B63B2"/>
    <w:rsid w:val="005B7033"/>
    <w:rsid w:val="005C3E89"/>
    <w:rsid w:val="005C45B2"/>
    <w:rsid w:val="005D1FCA"/>
    <w:rsid w:val="005D4CA5"/>
    <w:rsid w:val="005D7104"/>
    <w:rsid w:val="005D7C25"/>
    <w:rsid w:val="005D7F81"/>
    <w:rsid w:val="005E017E"/>
    <w:rsid w:val="005E0910"/>
    <w:rsid w:val="005E4601"/>
    <w:rsid w:val="005E736A"/>
    <w:rsid w:val="005F1DF4"/>
    <w:rsid w:val="005F253E"/>
    <w:rsid w:val="005F27EF"/>
    <w:rsid w:val="005F60DB"/>
    <w:rsid w:val="005F6961"/>
    <w:rsid w:val="006006CF"/>
    <w:rsid w:val="0060227A"/>
    <w:rsid w:val="00602E88"/>
    <w:rsid w:val="00604125"/>
    <w:rsid w:val="00605ADC"/>
    <w:rsid w:val="00606718"/>
    <w:rsid w:val="00606ADD"/>
    <w:rsid w:val="006075CC"/>
    <w:rsid w:val="006075E0"/>
    <w:rsid w:val="00610DA3"/>
    <w:rsid w:val="006122E1"/>
    <w:rsid w:val="006147BE"/>
    <w:rsid w:val="006161F8"/>
    <w:rsid w:val="00616491"/>
    <w:rsid w:val="00623FA5"/>
    <w:rsid w:val="0062440A"/>
    <w:rsid w:val="0062512C"/>
    <w:rsid w:val="0063445A"/>
    <w:rsid w:val="006376CC"/>
    <w:rsid w:val="00637C2E"/>
    <w:rsid w:val="00641007"/>
    <w:rsid w:val="00642695"/>
    <w:rsid w:val="00642C1E"/>
    <w:rsid w:val="0064408B"/>
    <w:rsid w:val="006448E4"/>
    <w:rsid w:val="0064647A"/>
    <w:rsid w:val="0064667D"/>
    <w:rsid w:val="00646D73"/>
    <w:rsid w:val="0065130D"/>
    <w:rsid w:val="0065277F"/>
    <w:rsid w:val="00652BBE"/>
    <w:rsid w:val="0065413D"/>
    <w:rsid w:val="006574AB"/>
    <w:rsid w:val="00657727"/>
    <w:rsid w:val="00662B72"/>
    <w:rsid w:val="00663ADA"/>
    <w:rsid w:val="00665AEC"/>
    <w:rsid w:val="00666AB2"/>
    <w:rsid w:val="0066733F"/>
    <w:rsid w:val="00670D56"/>
    <w:rsid w:val="00672936"/>
    <w:rsid w:val="006738A8"/>
    <w:rsid w:val="00673A76"/>
    <w:rsid w:val="006775C7"/>
    <w:rsid w:val="00677B1D"/>
    <w:rsid w:val="0068239C"/>
    <w:rsid w:val="006829B7"/>
    <w:rsid w:val="00683C68"/>
    <w:rsid w:val="0068442B"/>
    <w:rsid w:val="00685DC9"/>
    <w:rsid w:val="00692892"/>
    <w:rsid w:val="006948D4"/>
    <w:rsid w:val="006961BC"/>
    <w:rsid w:val="006A0E83"/>
    <w:rsid w:val="006A1353"/>
    <w:rsid w:val="006A1924"/>
    <w:rsid w:val="006A1E8F"/>
    <w:rsid w:val="006A2BE4"/>
    <w:rsid w:val="006A37A5"/>
    <w:rsid w:val="006A401D"/>
    <w:rsid w:val="006A44B5"/>
    <w:rsid w:val="006A45FF"/>
    <w:rsid w:val="006A61F6"/>
    <w:rsid w:val="006B12EF"/>
    <w:rsid w:val="006B17DB"/>
    <w:rsid w:val="006B404D"/>
    <w:rsid w:val="006C030F"/>
    <w:rsid w:val="006C03C9"/>
    <w:rsid w:val="006C0DB5"/>
    <w:rsid w:val="006C1EA8"/>
    <w:rsid w:val="006C2821"/>
    <w:rsid w:val="006C2838"/>
    <w:rsid w:val="006C33DC"/>
    <w:rsid w:val="006C4A30"/>
    <w:rsid w:val="006C7992"/>
    <w:rsid w:val="006C7EEA"/>
    <w:rsid w:val="006D0A68"/>
    <w:rsid w:val="006D315F"/>
    <w:rsid w:val="006D3348"/>
    <w:rsid w:val="006D3A64"/>
    <w:rsid w:val="006D5641"/>
    <w:rsid w:val="006D6000"/>
    <w:rsid w:val="006D7611"/>
    <w:rsid w:val="006D7E5D"/>
    <w:rsid w:val="006E12A9"/>
    <w:rsid w:val="006E2406"/>
    <w:rsid w:val="006E39C9"/>
    <w:rsid w:val="006F05FC"/>
    <w:rsid w:val="006F166C"/>
    <w:rsid w:val="006F1BB4"/>
    <w:rsid w:val="006F30B2"/>
    <w:rsid w:val="006F335D"/>
    <w:rsid w:val="006F39FC"/>
    <w:rsid w:val="006F3F95"/>
    <w:rsid w:val="006F59B9"/>
    <w:rsid w:val="006F6CBF"/>
    <w:rsid w:val="006F7EF6"/>
    <w:rsid w:val="00700043"/>
    <w:rsid w:val="00701277"/>
    <w:rsid w:val="00701FD7"/>
    <w:rsid w:val="00702934"/>
    <w:rsid w:val="007042B4"/>
    <w:rsid w:val="00710190"/>
    <w:rsid w:val="00711DAC"/>
    <w:rsid w:val="00713554"/>
    <w:rsid w:val="00717745"/>
    <w:rsid w:val="00717748"/>
    <w:rsid w:val="00720B8F"/>
    <w:rsid w:val="00720C50"/>
    <w:rsid w:val="00722E06"/>
    <w:rsid w:val="00723795"/>
    <w:rsid w:val="0072459D"/>
    <w:rsid w:val="007249E6"/>
    <w:rsid w:val="00724AC8"/>
    <w:rsid w:val="0072656B"/>
    <w:rsid w:val="007275FE"/>
    <w:rsid w:val="007305BD"/>
    <w:rsid w:val="0073065D"/>
    <w:rsid w:val="00730DC0"/>
    <w:rsid w:val="00732A07"/>
    <w:rsid w:val="007330A3"/>
    <w:rsid w:val="007341AA"/>
    <w:rsid w:val="007351F3"/>
    <w:rsid w:val="00736B55"/>
    <w:rsid w:val="00736F58"/>
    <w:rsid w:val="00740882"/>
    <w:rsid w:val="00741738"/>
    <w:rsid w:val="0074483B"/>
    <w:rsid w:val="0074565C"/>
    <w:rsid w:val="00746DC8"/>
    <w:rsid w:val="00747096"/>
    <w:rsid w:val="00747AD3"/>
    <w:rsid w:val="00750847"/>
    <w:rsid w:val="00754E6A"/>
    <w:rsid w:val="00754F3A"/>
    <w:rsid w:val="007551B7"/>
    <w:rsid w:val="00755758"/>
    <w:rsid w:val="007557A9"/>
    <w:rsid w:val="00757BFF"/>
    <w:rsid w:val="00762804"/>
    <w:rsid w:val="00763B1C"/>
    <w:rsid w:val="00763E4D"/>
    <w:rsid w:val="0076481B"/>
    <w:rsid w:val="0076604F"/>
    <w:rsid w:val="007661CD"/>
    <w:rsid w:val="00767F90"/>
    <w:rsid w:val="007701BF"/>
    <w:rsid w:val="0077116C"/>
    <w:rsid w:val="0077308C"/>
    <w:rsid w:val="007735B4"/>
    <w:rsid w:val="00774156"/>
    <w:rsid w:val="00774600"/>
    <w:rsid w:val="007758C3"/>
    <w:rsid w:val="00775C14"/>
    <w:rsid w:val="007760FD"/>
    <w:rsid w:val="00776501"/>
    <w:rsid w:val="00777BB6"/>
    <w:rsid w:val="007844B1"/>
    <w:rsid w:val="00785341"/>
    <w:rsid w:val="007856B2"/>
    <w:rsid w:val="007913B7"/>
    <w:rsid w:val="00791616"/>
    <w:rsid w:val="00791E52"/>
    <w:rsid w:val="00791EBB"/>
    <w:rsid w:val="007934F1"/>
    <w:rsid w:val="007963EC"/>
    <w:rsid w:val="00797355"/>
    <w:rsid w:val="007A15D9"/>
    <w:rsid w:val="007A27ED"/>
    <w:rsid w:val="007A2B63"/>
    <w:rsid w:val="007A337B"/>
    <w:rsid w:val="007A4C5E"/>
    <w:rsid w:val="007A4ED3"/>
    <w:rsid w:val="007A5A4C"/>
    <w:rsid w:val="007A6FD4"/>
    <w:rsid w:val="007B0407"/>
    <w:rsid w:val="007B1945"/>
    <w:rsid w:val="007B1C64"/>
    <w:rsid w:val="007B5D87"/>
    <w:rsid w:val="007C1C1D"/>
    <w:rsid w:val="007C31EF"/>
    <w:rsid w:val="007C370C"/>
    <w:rsid w:val="007C5D94"/>
    <w:rsid w:val="007C6401"/>
    <w:rsid w:val="007C6E3D"/>
    <w:rsid w:val="007D0FEF"/>
    <w:rsid w:val="007D4BA5"/>
    <w:rsid w:val="007D5192"/>
    <w:rsid w:val="007D6E07"/>
    <w:rsid w:val="007D7127"/>
    <w:rsid w:val="007D729A"/>
    <w:rsid w:val="007D798D"/>
    <w:rsid w:val="007E227B"/>
    <w:rsid w:val="007E238A"/>
    <w:rsid w:val="007E344C"/>
    <w:rsid w:val="007E6966"/>
    <w:rsid w:val="007E753F"/>
    <w:rsid w:val="007F096A"/>
    <w:rsid w:val="007F11B3"/>
    <w:rsid w:val="007F1771"/>
    <w:rsid w:val="007F1B95"/>
    <w:rsid w:val="007F434A"/>
    <w:rsid w:val="007F59C4"/>
    <w:rsid w:val="007F5F9A"/>
    <w:rsid w:val="0080020C"/>
    <w:rsid w:val="00805150"/>
    <w:rsid w:val="0080541C"/>
    <w:rsid w:val="00806905"/>
    <w:rsid w:val="008077BA"/>
    <w:rsid w:val="00810255"/>
    <w:rsid w:val="00812F65"/>
    <w:rsid w:val="008145A8"/>
    <w:rsid w:val="0081483E"/>
    <w:rsid w:val="00814DB1"/>
    <w:rsid w:val="00817211"/>
    <w:rsid w:val="0081779B"/>
    <w:rsid w:val="008205BA"/>
    <w:rsid w:val="00821543"/>
    <w:rsid w:val="0082171E"/>
    <w:rsid w:val="00822056"/>
    <w:rsid w:val="00822DE4"/>
    <w:rsid w:val="00823BD8"/>
    <w:rsid w:val="00824B62"/>
    <w:rsid w:val="00827838"/>
    <w:rsid w:val="00827A02"/>
    <w:rsid w:val="00830890"/>
    <w:rsid w:val="00831BAE"/>
    <w:rsid w:val="0083235A"/>
    <w:rsid w:val="00832B3D"/>
    <w:rsid w:val="00832BF7"/>
    <w:rsid w:val="00836F00"/>
    <w:rsid w:val="00840270"/>
    <w:rsid w:val="0085022B"/>
    <w:rsid w:val="00851E2D"/>
    <w:rsid w:val="00852794"/>
    <w:rsid w:val="00855DE5"/>
    <w:rsid w:val="00856E2A"/>
    <w:rsid w:val="00857B1F"/>
    <w:rsid w:val="00857B4E"/>
    <w:rsid w:val="00857DD4"/>
    <w:rsid w:val="00862F94"/>
    <w:rsid w:val="00863979"/>
    <w:rsid w:val="00866271"/>
    <w:rsid w:val="008671B1"/>
    <w:rsid w:val="008678EB"/>
    <w:rsid w:val="00870824"/>
    <w:rsid w:val="0087136F"/>
    <w:rsid w:val="00872A40"/>
    <w:rsid w:val="00873E84"/>
    <w:rsid w:val="008752A7"/>
    <w:rsid w:val="00876AE2"/>
    <w:rsid w:val="008801E0"/>
    <w:rsid w:val="00880AB9"/>
    <w:rsid w:val="008814E8"/>
    <w:rsid w:val="00884C25"/>
    <w:rsid w:val="008858BF"/>
    <w:rsid w:val="00886D9E"/>
    <w:rsid w:val="00890383"/>
    <w:rsid w:val="00895A75"/>
    <w:rsid w:val="00895AFA"/>
    <w:rsid w:val="00897CA7"/>
    <w:rsid w:val="008A1585"/>
    <w:rsid w:val="008A17E3"/>
    <w:rsid w:val="008A186C"/>
    <w:rsid w:val="008A28B4"/>
    <w:rsid w:val="008A2B3B"/>
    <w:rsid w:val="008A4262"/>
    <w:rsid w:val="008A7702"/>
    <w:rsid w:val="008B23EF"/>
    <w:rsid w:val="008B3176"/>
    <w:rsid w:val="008B3541"/>
    <w:rsid w:val="008B3830"/>
    <w:rsid w:val="008B3BA5"/>
    <w:rsid w:val="008B5D95"/>
    <w:rsid w:val="008B5F5D"/>
    <w:rsid w:val="008B63E9"/>
    <w:rsid w:val="008C45D7"/>
    <w:rsid w:val="008C5924"/>
    <w:rsid w:val="008C6C78"/>
    <w:rsid w:val="008C7668"/>
    <w:rsid w:val="008D2D47"/>
    <w:rsid w:val="008D3199"/>
    <w:rsid w:val="008D3B2B"/>
    <w:rsid w:val="008D5F94"/>
    <w:rsid w:val="008D6654"/>
    <w:rsid w:val="008D6A9D"/>
    <w:rsid w:val="008D7573"/>
    <w:rsid w:val="008E1C73"/>
    <w:rsid w:val="008E2157"/>
    <w:rsid w:val="008E24DA"/>
    <w:rsid w:val="008E38D7"/>
    <w:rsid w:val="008E400D"/>
    <w:rsid w:val="008E7859"/>
    <w:rsid w:val="008F01D7"/>
    <w:rsid w:val="008F3A94"/>
    <w:rsid w:val="008F58D2"/>
    <w:rsid w:val="00901ADB"/>
    <w:rsid w:val="00902A2B"/>
    <w:rsid w:val="00903370"/>
    <w:rsid w:val="00904115"/>
    <w:rsid w:val="0090466A"/>
    <w:rsid w:val="00905441"/>
    <w:rsid w:val="009065AF"/>
    <w:rsid w:val="00907BC5"/>
    <w:rsid w:val="00910CDE"/>
    <w:rsid w:val="009112BF"/>
    <w:rsid w:val="00911B67"/>
    <w:rsid w:val="009121A5"/>
    <w:rsid w:val="00912F84"/>
    <w:rsid w:val="00913D7D"/>
    <w:rsid w:val="00914B10"/>
    <w:rsid w:val="00915D39"/>
    <w:rsid w:val="0091668E"/>
    <w:rsid w:val="0091674D"/>
    <w:rsid w:val="00917469"/>
    <w:rsid w:val="009218BA"/>
    <w:rsid w:val="009227CB"/>
    <w:rsid w:val="009249F0"/>
    <w:rsid w:val="00931500"/>
    <w:rsid w:val="00931772"/>
    <w:rsid w:val="009317A2"/>
    <w:rsid w:val="0093199E"/>
    <w:rsid w:val="009319D5"/>
    <w:rsid w:val="00931F4C"/>
    <w:rsid w:val="00933869"/>
    <w:rsid w:val="00934AC6"/>
    <w:rsid w:val="00934EEF"/>
    <w:rsid w:val="0093569B"/>
    <w:rsid w:val="009359F9"/>
    <w:rsid w:val="00936B90"/>
    <w:rsid w:val="00942289"/>
    <w:rsid w:val="0094296B"/>
    <w:rsid w:val="00942E34"/>
    <w:rsid w:val="00945645"/>
    <w:rsid w:val="009511A8"/>
    <w:rsid w:val="00952109"/>
    <w:rsid w:val="00952DF1"/>
    <w:rsid w:val="0095384A"/>
    <w:rsid w:val="00953ABB"/>
    <w:rsid w:val="00955302"/>
    <w:rsid w:val="00955CEB"/>
    <w:rsid w:val="00956EC2"/>
    <w:rsid w:val="00960A60"/>
    <w:rsid w:val="00962A76"/>
    <w:rsid w:val="00964196"/>
    <w:rsid w:val="00964675"/>
    <w:rsid w:val="009646BA"/>
    <w:rsid w:val="00964948"/>
    <w:rsid w:val="00966A5D"/>
    <w:rsid w:val="009676EF"/>
    <w:rsid w:val="009679CE"/>
    <w:rsid w:val="009703BC"/>
    <w:rsid w:val="009729CF"/>
    <w:rsid w:val="009735C1"/>
    <w:rsid w:val="00974EE4"/>
    <w:rsid w:val="009768DD"/>
    <w:rsid w:val="00976F7A"/>
    <w:rsid w:val="00977571"/>
    <w:rsid w:val="0097758B"/>
    <w:rsid w:val="009778BB"/>
    <w:rsid w:val="009817E2"/>
    <w:rsid w:val="009818F6"/>
    <w:rsid w:val="0098190A"/>
    <w:rsid w:val="00981B44"/>
    <w:rsid w:val="00982D68"/>
    <w:rsid w:val="0098596B"/>
    <w:rsid w:val="00986E53"/>
    <w:rsid w:val="009917F3"/>
    <w:rsid w:val="00993854"/>
    <w:rsid w:val="00994158"/>
    <w:rsid w:val="00994F4D"/>
    <w:rsid w:val="00995458"/>
    <w:rsid w:val="00996158"/>
    <w:rsid w:val="00997491"/>
    <w:rsid w:val="009A0F10"/>
    <w:rsid w:val="009A274B"/>
    <w:rsid w:val="009A3870"/>
    <w:rsid w:val="009A44B8"/>
    <w:rsid w:val="009A53B7"/>
    <w:rsid w:val="009A583B"/>
    <w:rsid w:val="009B0BA1"/>
    <w:rsid w:val="009B27CC"/>
    <w:rsid w:val="009B36F4"/>
    <w:rsid w:val="009B4188"/>
    <w:rsid w:val="009C2429"/>
    <w:rsid w:val="009C2745"/>
    <w:rsid w:val="009C6F1A"/>
    <w:rsid w:val="009C7898"/>
    <w:rsid w:val="009D0176"/>
    <w:rsid w:val="009D0428"/>
    <w:rsid w:val="009D1B86"/>
    <w:rsid w:val="009D2244"/>
    <w:rsid w:val="009D6251"/>
    <w:rsid w:val="009D7DF2"/>
    <w:rsid w:val="009E012E"/>
    <w:rsid w:val="009E1396"/>
    <w:rsid w:val="009E18A4"/>
    <w:rsid w:val="009E21F4"/>
    <w:rsid w:val="009E2AF5"/>
    <w:rsid w:val="009E3D81"/>
    <w:rsid w:val="009E5AE6"/>
    <w:rsid w:val="009E5F58"/>
    <w:rsid w:val="009E7EF5"/>
    <w:rsid w:val="009F02DE"/>
    <w:rsid w:val="009F123C"/>
    <w:rsid w:val="009F2A52"/>
    <w:rsid w:val="009F3A92"/>
    <w:rsid w:val="009F6BF2"/>
    <w:rsid w:val="009F6C7A"/>
    <w:rsid w:val="009F75F7"/>
    <w:rsid w:val="00A0120A"/>
    <w:rsid w:val="00A02AE8"/>
    <w:rsid w:val="00A033AF"/>
    <w:rsid w:val="00A03D2A"/>
    <w:rsid w:val="00A0518E"/>
    <w:rsid w:val="00A1077C"/>
    <w:rsid w:val="00A11EA3"/>
    <w:rsid w:val="00A14C78"/>
    <w:rsid w:val="00A170DC"/>
    <w:rsid w:val="00A17DED"/>
    <w:rsid w:val="00A20BA9"/>
    <w:rsid w:val="00A20C49"/>
    <w:rsid w:val="00A21C86"/>
    <w:rsid w:val="00A22771"/>
    <w:rsid w:val="00A22C2F"/>
    <w:rsid w:val="00A2382C"/>
    <w:rsid w:val="00A23B4A"/>
    <w:rsid w:val="00A246D3"/>
    <w:rsid w:val="00A24756"/>
    <w:rsid w:val="00A252F3"/>
    <w:rsid w:val="00A265A4"/>
    <w:rsid w:val="00A27BD6"/>
    <w:rsid w:val="00A27BEA"/>
    <w:rsid w:val="00A3232A"/>
    <w:rsid w:val="00A362C4"/>
    <w:rsid w:val="00A3639A"/>
    <w:rsid w:val="00A37220"/>
    <w:rsid w:val="00A4053E"/>
    <w:rsid w:val="00A41D37"/>
    <w:rsid w:val="00A42666"/>
    <w:rsid w:val="00A42BDB"/>
    <w:rsid w:val="00A42F93"/>
    <w:rsid w:val="00A44801"/>
    <w:rsid w:val="00A44F49"/>
    <w:rsid w:val="00A452CE"/>
    <w:rsid w:val="00A4629C"/>
    <w:rsid w:val="00A46D59"/>
    <w:rsid w:val="00A4781F"/>
    <w:rsid w:val="00A550C9"/>
    <w:rsid w:val="00A5656D"/>
    <w:rsid w:val="00A56B83"/>
    <w:rsid w:val="00A607E1"/>
    <w:rsid w:val="00A60A98"/>
    <w:rsid w:val="00A644D6"/>
    <w:rsid w:val="00A66511"/>
    <w:rsid w:val="00A6751D"/>
    <w:rsid w:val="00A6773E"/>
    <w:rsid w:val="00A67FE0"/>
    <w:rsid w:val="00A7572D"/>
    <w:rsid w:val="00A7589E"/>
    <w:rsid w:val="00A77A5B"/>
    <w:rsid w:val="00A80659"/>
    <w:rsid w:val="00A81153"/>
    <w:rsid w:val="00A81445"/>
    <w:rsid w:val="00A81C2C"/>
    <w:rsid w:val="00A82DA0"/>
    <w:rsid w:val="00A83173"/>
    <w:rsid w:val="00A8320B"/>
    <w:rsid w:val="00A8338C"/>
    <w:rsid w:val="00A853AC"/>
    <w:rsid w:val="00A8563B"/>
    <w:rsid w:val="00A87458"/>
    <w:rsid w:val="00A874C1"/>
    <w:rsid w:val="00A91D56"/>
    <w:rsid w:val="00A96D0D"/>
    <w:rsid w:val="00A97217"/>
    <w:rsid w:val="00AA1056"/>
    <w:rsid w:val="00AA1B9A"/>
    <w:rsid w:val="00AA27E9"/>
    <w:rsid w:val="00AA5EE8"/>
    <w:rsid w:val="00AA6844"/>
    <w:rsid w:val="00AA795C"/>
    <w:rsid w:val="00AB0252"/>
    <w:rsid w:val="00AB0FDC"/>
    <w:rsid w:val="00AB20E2"/>
    <w:rsid w:val="00AB24D7"/>
    <w:rsid w:val="00AB2961"/>
    <w:rsid w:val="00AB3A76"/>
    <w:rsid w:val="00AB46FA"/>
    <w:rsid w:val="00AB55B1"/>
    <w:rsid w:val="00AB6123"/>
    <w:rsid w:val="00AC227D"/>
    <w:rsid w:val="00AC386C"/>
    <w:rsid w:val="00AC3DD4"/>
    <w:rsid w:val="00AC4663"/>
    <w:rsid w:val="00AC4C6F"/>
    <w:rsid w:val="00AC5CE2"/>
    <w:rsid w:val="00AC6197"/>
    <w:rsid w:val="00AC77A3"/>
    <w:rsid w:val="00AC7BFF"/>
    <w:rsid w:val="00AC7C2C"/>
    <w:rsid w:val="00AD012D"/>
    <w:rsid w:val="00AD0267"/>
    <w:rsid w:val="00AD0B2A"/>
    <w:rsid w:val="00AD1D0C"/>
    <w:rsid w:val="00AD1F6D"/>
    <w:rsid w:val="00AD2D6F"/>
    <w:rsid w:val="00AD5E13"/>
    <w:rsid w:val="00AD69C3"/>
    <w:rsid w:val="00AD6B86"/>
    <w:rsid w:val="00AD7BE4"/>
    <w:rsid w:val="00AD7C65"/>
    <w:rsid w:val="00AE0494"/>
    <w:rsid w:val="00AE0499"/>
    <w:rsid w:val="00AE2B1C"/>
    <w:rsid w:val="00AE5361"/>
    <w:rsid w:val="00AE585F"/>
    <w:rsid w:val="00AE7EAC"/>
    <w:rsid w:val="00AF0943"/>
    <w:rsid w:val="00AF1FE5"/>
    <w:rsid w:val="00AF2EE9"/>
    <w:rsid w:val="00AF61A3"/>
    <w:rsid w:val="00B0289B"/>
    <w:rsid w:val="00B02D55"/>
    <w:rsid w:val="00B035A6"/>
    <w:rsid w:val="00B035DD"/>
    <w:rsid w:val="00B03609"/>
    <w:rsid w:val="00B041FA"/>
    <w:rsid w:val="00B0477A"/>
    <w:rsid w:val="00B05049"/>
    <w:rsid w:val="00B07066"/>
    <w:rsid w:val="00B106B0"/>
    <w:rsid w:val="00B11161"/>
    <w:rsid w:val="00B1128A"/>
    <w:rsid w:val="00B1184D"/>
    <w:rsid w:val="00B11DFD"/>
    <w:rsid w:val="00B1217F"/>
    <w:rsid w:val="00B12B69"/>
    <w:rsid w:val="00B131A2"/>
    <w:rsid w:val="00B13564"/>
    <w:rsid w:val="00B14C0F"/>
    <w:rsid w:val="00B213B0"/>
    <w:rsid w:val="00B2253C"/>
    <w:rsid w:val="00B241A8"/>
    <w:rsid w:val="00B242D8"/>
    <w:rsid w:val="00B26513"/>
    <w:rsid w:val="00B307F1"/>
    <w:rsid w:val="00B321B6"/>
    <w:rsid w:val="00B325D7"/>
    <w:rsid w:val="00B341E0"/>
    <w:rsid w:val="00B34972"/>
    <w:rsid w:val="00B34B31"/>
    <w:rsid w:val="00B3769C"/>
    <w:rsid w:val="00B427F4"/>
    <w:rsid w:val="00B429AE"/>
    <w:rsid w:val="00B43046"/>
    <w:rsid w:val="00B435E8"/>
    <w:rsid w:val="00B4554B"/>
    <w:rsid w:val="00B457F2"/>
    <w:rsid w:val="00B50554"/>
    <w:rsid w:val="00B515EC"/>
    <w:rsid w:val="00B52136"/>
    <w:rsid w:val="00B56F54"/>
    <w:rsid w:val="00B57BDA"/>
    <w:rsid w:val="00B609FB"/>
    <w:rsid w:val="00B63CFC"/>
    <w:rsid w:val="00B65044"/>
    <w:rsid w:val="00B66073"/>
    <w:rsid w:val="00B67AB5"/>
    <w:rsid w:val="00B67F74"/>
    <w:rsid w:val="00B71339"/>
    <w:rsid w:val="00B72B3B"/>
    <w:rsid w:val="00B7356B"/>
    <w:rsid w:val="00B74C48"/>
    <w:rsid w:val="00B775FD"/>
    <w:rsid w:val="00B77725"/>
    <w:rsid w:val="00B81F73"/>
    <w:rsid w:val="00B83263"/>
    <w:rsid w:val="00B83E51"/>
    <w:rsid w:val="00B85F75"/>
    <w:rsid w:val="00B911C5"/>
    <w:rsid w:val="00B92593"/>
    <w:rsid w:val="00B9319C"/>
    <w:rsid w:val="00B9396B"/>
    <w:rsid w:val="00B949E1"/>
    <w:rsid w:val="00B95097"/>
    <w:rsid w:val="00B95E9B"/>
    <w:rsid w:val="00B9645B"/>
    <w:rsid w:val="00B9648D"/>
    <w:rsid w:val="00B97EC5"/>
    <w:rsid w:val="00BA017E"/>
    <w:rsid w:val="00BA3BEA"/>
    <w:rsid w:val="00BA538F"/>
    <w:rsid w:val="00BB0081"/>
    <w:rsid w:val="00BB66BB"/>
    <w:rsid w:val="00BB6C06"/>
    <w:rsid w:val="00BC08D8"/>
    <w:rsid w:val="00BC16DD"/>
    <w:rsid w:val="00BC1CEF"/>
    <w:rsid w:val="00BC5541"/>
    <w:rsid w:val="00BC5BAD"/>
    <w:rsid w:val="00BC65C3"/>
    <w:rsid w:val="00BD028E"/>
    <w:rsid w:val="00BD1DEF"/>
    <w:rsid w:val="00BD3EFC"/>
    <w:rsid w:val="00BD4771"/>
    <w:rsid w:val="00BD5460"/>
    <w:rsid w:val="00BE07C2"/>
    <w:rsid w:val="00BE2F59"/>
    <w:rsid w:val="00BE32E1"/>
    <w:rsid w:val="00BE3866"/>
    <w:rsid w:val="00BE4B17"/>
    <w:rsid w:val="00BE4D1D"/>
    <w:rsid w:val="00BE53B5"/>
    <w:rsid w:val="00BE5C95"/>
    <w:rsid w:val="00BE5ECB"/>
    <w:rsid w:val="00BF0B49"/>
    <w:rsid w:val="00BF0B71"/>
    <w:rsid w:val="00BF267A"/>
    <w:rsid w:val="00BF3151"/>
    <w:rsid w:val="00BF4CF3"/>
    <w:rsid w:val="00BF5A69"/>
    <w:rsid w:val="00BF652A"/>
    <w:rsid w:val="00C0016B"/>
    <w:rsid w:val="00C009EB"/>
    <w:rsid w:val="00C015F9"/>
    <w:rsid w:val="00C0452A"/>
    <w:rsid w:val="00C04EEC"/>
    <w:rsid w:val="00C10D9D"/>
    <w:rsid w:val="00C11F0F"/>
    <w:rsid w:val="00C15E51"/>
    <w:rsid w:val="00C24192"/>
    <w:rsid w:val="00C24200"/>
    <w:rsid w:val="00C24437"/>
    <w:rsid w:val="00C24AC8"/>
    <w:rsid w:val="00C25A23"/>
    <w:rsid w:val="00C25DDA"/>
    <w:rsid w:val="00C30B6A"/>
    <w:rsid w:val="00C30FB5"/>
    <w:rsid w:val="00C32253"/>
    <w:rsid w:val="00C3317E"/>
    <w:rsid w:val="00C354F5"/>
    <w:rsid w:val="00C405D5"/>
    <w:rsid w:val="00C411B3"/>
    <w:rsid w:val="00C419C9"/>
    <w:rsid w:val="00C4311A"/>
    <w:rsid w:val="00C43FB3"/>
    <w:rsid w:val="00C448DB"/>
    <w:rsid w:val="00C46149"/>
    <w:rsid w:val="00C463DF"/>
    <w:rsid w:val="00C4706E"/>
    <w:rsid w:val="00C4756B"/>
    <w:rsid w:val="00C512E0"/>
    <w:rsid w:val="00C51861"/>
    <w:rsid w:val="00C53AF7"/>
    <w:rsid w:val="00C557D7"/>
    <w:rsid w:val="00C55AEA"/>
    <w:rsid w:val="00C645A9"/>
    <w:rsid w:val="00C65A78"/>
    <w:rsid w:val="00C662E0"/>
    <w:rsid w:val="00C6757C"/>
    <w:rsid w:val="00C70056"/>
    <w:rsid w:val="00C70F97"/>
    <w:rsid w:val="00C746A5"/>
    <w:rsid w:val="00C758A5"/>
    <w:rsid w:val="00C75BDA"/>
    <w:rsid w:val="00C76F48"/>
    <w:rsid w:val="00C77B6F"/>
    <w:rsid w:val="00C823F0"/>
    <w:rsid w:val="00C84119"/>
    <w:rsid w:val="00C857AB"/>
    <w:rsid w:val="00C9220A"/>
    <w:rsid w:val="00C9236E"/>
    <w:rsid w:val="00C94D8D"/>
    <w:rsid w:val="00C9544E"/>
    <w:rsid w:val="00C958CD"/>
    <w:rsid w:val="00C977D7"/>
    <w:rsid w:val="00CA18FA"/>
    <w:rsid w:val="00CA2F3E"/>
    <w:rsid w:val="00CA373B"/>
    <w:rsid w:val="00CA38F1"/>
    <w:rsid w:val="00CA5952"/>
    <w:rsid w:val="00CA63C6"/>
    <w:rsid w:val="00CA65B2"/>
    <w:rsid w:val="00CA6694"/>
    <w:rsid w:val="00CA7091"/>
    <w:rsid w:val="00CA72BF"/>
    <w:rsid w:val="00CB06E9"/>
    <w:rsid w:val="00CB0DAA"/>
    <w:rsid w:val="00CB1905"/>
    <w:rsid w:val="00CB5128"/>
    <w:rsid w:val="00CB6981"/>
    <w:rsid w:val="00CC0A47"/>
    <w:rsid w:val="00CC1713"/>
    <w:rsid w:val="00CC1C01"/>
    <w:rsid w:val="00CC46C4"/>
    <w:rsid w:val="00CC4FB2"/>
    <w:rsid w:val="00CC525F"/>
    <w:rsid w:val="00CC64F7"/>
    <w:rsid w:val="00CC66AF"/>
    <w:rsid w:val="00CC6E28"/>
    <w:rsid w:val="00CC7A76"/>
    <w:rsid w:val="00CC7D50"/>
    <w:rsid w:val="00CD3942"/>
    <w:rsid w:val="00CD41BB"/>
    <w:rsid w:val="00CD41FC"/>
    <w:rsid w:val="00CD52AD"/>
    <w:rsid w:val="00CD63EE"/>
    <w:rsid w:val="00CD718B"/>
    <w:rsid w:val="00CD7982"/>
    <w:rsid w:val="00CE0E1B"/>
    <w:rsid w:val="00CE45B5"/>
    <w:rsid w:val="00CE4770"/>
    <w:rsid w:val="00CE53C6"/>
    <w:rsid w:val="00CE558C"/>
    <w:rsid w:val="00CF0278"/>
    <w:rsid w:val="00CF08E8"/>
    <w:rsid w:val="00CF0D0C"/>
    <w:rsid w:val="00CF1717"/>
    <w:rsid w:val="00D037C8"/>
    <w:rsid w:val="00D07184"/>
    <w:rsid w:val="00D102A8"/>
    <w:rsid w:val="00D11105"/>
    <w:rsid w:val="00D11416"/>
    <w:rsid w:val="00D1186A"/>
    <w:rsid w:val="00D11A96"/>
    <w:rsid w:val="00D11DCF"/>
    <w:rsid w:val="00D130AB"/>
    <w:rsid w:val="00D14D2D"/>
    <w:rsid w:val="00D15268"/>
    <w:rsid w:val="00D1660C"/>
    <w:rsid w:val="00D17C79"/>
    <w:rsid w:val="00D227F9"/>
    <w:rsid w:val="00D22A70"/>
    <w:rsid w:val="00D27131"/>
    <w:rsid w:val="00D27AE6"/>
    <w:rsid w:val="00D30634"/>
    <w:rsid w:val="00D30A99"/>
    <w:rsid w:val="00D34349"/>
    <w:rsid w:val="00D36752"/>
    <w:rsid w:val="00D45207"/>
    <w:rsid w:val="00D45CD7"/>
    <w:rsid w:val="00D50D82"/>
    <w:rsid w:val="00D518B9"/>
    <w:rsid w:val="00D524DD"/>
    <w:rsid w:val="00D52A07"/>
    <w:rsid w:val="00D5358F"/>
    <w:rsid w:val="00D54101"/>
    <w:rsid w:val="00D56D04"/>
    <w:rsid w:val="00D60882"/>
    <w:rsid w:val="00D613F8"/>
    <w:rsid w:val="00D614BB"/>
    <w:rsid w:val="00D62499"/>
    <w:rsid w:val="00D62BA8"/>
    <w:rsid w:val="00D62F69"/>
    <w:rsid w:val="00D65D78"/>
    <w:rsid w:val="00D67027"/>
    <w:rsid w:val="00D67B29"/>
    <w:rsid w:val="00D71798"/>
    <w:rsid w:val="00D7186D"/>
    <w:rsid w:val="00D71B3C"/>
    <w:rsid w:val="00D7497D"/>
    <w:rsid w:val="00D74CD2"/>
    <w:rsid w:val="00D76421"/>
    <w:rsid w:val="00D76B53"/>
    <w:rsid w:val="00D77B2A"/>
    <w:rsid w:val="00D80172"/>
    <w:rsid w:val="00D868F7"/>
    <w:rsid w:val="00D87FA9"/>
    <w:rsid w:val="00D90E96"/>
    <w:rsid w:val="00D91AFB"/>
    <w:rsid w:val="00D95B92"/>
    <w:rsid w:val="00D96B05"/>
    <w:rsid w:val="00D97A81"/>
    <w:rsid w:val="00DA1C23"/>
    <w:rsid w:val="00DA6C95"/>
    <w:rsid w:val="00DA741B"/>
    <w:rsid w:val="00DA7D4E"/>
    <w:rsid w:val="00DB089C"/>
    <w:rsid w:val="00DB0F1A"/>
    <w:rsid w:val="00DB2B70"/>
    <w:rsid w:val="00DB33AC"/>
    <w:rsid w:val="00DB51E8"/>
    <w:rsid w:val="00DB6A32"/>
    <w:rsid w:val="00DC0106"/>
    <w:rsid w:val="00DC1DD3"/>
    <w:rsid w:val="00DC26AB"/>
    <w:rsid w:val="00DC3E13"/>
    <w:rsid w:val="00DC41A4"/>
    <w:rsid w:val="00DC4F3F"/>
    <w:rsid w:val="00DC518B"/>
    <w:rsid w:val="00DC51B8"/>
    <w:rsid w:val="00DC5391"/>
    <w:rsid w:val="00DC7F39"/>
    <w:rsid w:val="00DD179D"/>
    <w:rsid w:val="00DD1855"/>
    <w:rsid w:val="00DD19B7"/>
    <w:rsid w:val="00DD220B"/>
    <w:rsid w:val="00DD2247"/>
    <w:rsid w:val="00DD3161"/>
    <w:rsid w:val="00DD320E"/>
    <w:rsid w:val="00DD409F"/>
    <w:rsid w:val="00DD7FCE"/>
    <w:rsid w:val="00DE0439"/>
    <w:rsid w:val="00DE0924"/>
    <w:rsid w:val="00DE2A48"/>
    <w:rsid w:val="00DE398E"/>
    <w:rsid w:val="00DE4D9D"/>
    <w:rsid w:val="00DE54F4"/>
    <w:rsid w:val="00DE6D67"/>
    <w:rsid w:val="00DE781C"/>
    <w:rsid w:val="00DF3F16"/>
    <w:rsid w:val="00DF4B1F"/>
    <w:rsid w:val="00DF6B41"/>
    <w:rsid w:val="00DF6D02"/>
    <w:rsid w:val="00E03555"/>
    <w:rsid w:val="00E04773"/>
    <w:rsid w:val="00E05CDC"/>
    <w:rsid w:val="00E062EC"/>
    <w:rsid w:val="00E071E3"/>
    <w:rsid w:val="00E10469"/>
    <w:rsid w:val="00E1180C"/>
    <w:rsid w:val="00E126A8"/>
    <w:rsid w:val="00E1350C"/>
    <w:rsid w:val="00E1361E"/>
    <w:rsid w:val="00E1642F"/>
    <w:rsid w:val="00E17760"/>
    <w:rsid w:val="00E21569"/>
    <w:rsid w:val="00E223E4"/>
    <w:rsid w:val="00E22F10"/>
    <w:rsid w:val="00E23FBF"/>
    <w:rsid w:val="00E2481F"/>
    <w:rsid w:val="00E24EB7"/>
    <w:rsid w:val="00E2567C"/>
    <w:rsid w:val="00E25A0B"/>
    <w:rsid w:val="00E25D0C"/>
    <w:rsid w:val="00E2648E"/>
    <w:rsid w:val="00E2756B"/>
    <w:rsid w:val="00E3004D"/>
    <w:rsid w:val="00E3018C"/>
    <w:rsid w:val="00E33CBE"/>
    <w:rsid w:val="00E365BC"/>
    <w:rsid w:val="00E42D25"/>
    <w:rsid w:val="00E456B7"/>
    <w:rsid w:val="00E456D4"/>
    <w:rsid w:val="00E45FC2"/>
    <w:rsid w:val="00E45FCC"/>
    <w:rsid w:val="00E4776F"/>
    <w:rsid w:val="00E500A9"/>
    <w:rsid w:val="00E53E2D"/>
    <w:rsid w:val="00E61DB3"/>
    <w:rsid w:val="00E61FD2"/>
    <w:rsid w:val="00E664E9"/>
    <w:rsid w:val="00E66BB6"/>
    <w:rsid w:val="00E66C13"/>
    <w:rsid w:val="00E67D61"/>
    <w:rsid w:val="00E7051C"/>
    <w:rsid w:val="00E70D20"/>
    <w:rsid w:val="00E71606"/>
    <w:rsid w:val="00E71857"/>
    <w:rsid w:val="00E721F7"/>
    <w:rsid w:val="00E751CC"/>
    <w:rsid w:val="00E75C0C"/>
    <w:rsid w:val="00E75FEF"/>
    <w:rsid w:val="00E76371"/>
    <w:rsid w:val="00E77A18"/>
    <w:rsid w:val="00E856A9"/>
    <w:rsid w:val="00E85790"/>
    <w:rsid w:val="00E86BC7"/>
    <w:rsid w:val="00E86D84"/>
    <w:rsid w:val="00E91055"/>
    <w:rsid w:val="00E91CA9"/>
    <w:rsid w:val="00E929A7"/>
    <w:rsid w:val="00E95A42"/>
    <w:rsid w:val="00E95AD0"/>
    <w:rsid w:val="00EA1C89"/>
    <w:rsid w:val="00EA2681"/>
    <w:rsid w:val="00EA4FF1"/>
    <w:rsid w:val="00EA58A4"/>
    <w:rsid w:val="00EA59A7"/>
    <w:rsid w:val="00EB115A"/>
    <w:rsid w:val="00EB1CE8"/>
    <w:rsid w:val="00EB3BA0"/>
    <w:rsid w:val="00EB46A7"/>
    <w:rsid w:val="00EB580C"/>
    <w:rsid w:val="00EB5CA2"/>
    <w:rsid w:val="00EB6664"/>
    <w:rsid w:val="00EC06B0"/>
    <w:rsid w:val="00EC1DDF"/>
    <w:rsid w:val="00EC3426"/>
    <w:rsid w:val="00EC4093"/>
    <w:rsid w:val="00EC4D77"/>
    <w:rsid w:val="00EC4E1C"/>
    <w:rsid w:val="00EC5B48"/>
    <w:rsid w:val="00EC69E0"/>
    <w:rsid w:val="00EC79FB"/>
    <w:rsid w:val="00ED045B"/>
    <w:rsid w:val="00ED3F58"/>
    <w:rsid w:val="00ED7A59"/>
    <w:rsid w:val="00EE00DC"/>
    <w:rsid w:val="00EE0535"/>
    <w:rsid w:val="00EE21DA"/>
    <w:rsid w:val="00EE252D"/>
    <w:rsid w:val="00EE2A83"/>
    <w:rsid w:val="00EE2D3F"/>
    <w:rsid w:val="00EE37C9"/>
    <w:rsid w:val="00EE402F"/>
    <w:rsid w:val="00EE4BAD"/>
    <w:rsid w:val="00EE5F56"/>
    <w:rsid w:val="00EE680B"/>
    <w:rsid w:val="00EF12B6"/>
    <w:rsid w:val="00EF158B"/>
    <w:rsid w:val="00EF28F0"/>
    <w:rsid w:val="00EF2A67"/>
    <w:rsid w:val="00EF3ED7"/>
    <w:rsid w:val="00EF577F"/>
    <w:rsid w:val="00F00132"/>
    <w:rsid w:val="00F00AF4"/>
    <w:rsid w:val="00F01417"/>
    <w:rsid w:val="00F0212C"/>
    <w:rsid w:val="00F024CD"/>
    <w:rsid w:val="00F026C7"/>
    <w:rsid w:val="00F02887"/>
    <w:rsid w:val="00F036E7"/>
    <w:rsid w:val="00F03CBA"/>
    <w:rsid w:val="00F044A4"/>
    <w:rsid w:val="00F05AF8"/>
    <w:rsid w:val="00F071AA"/>
    <w:rsid w:val="00F07FCE"/>
    <w:rsid w:val="00F1019A"/>
    <w:rsid w:val="00F10AF5"/>
    <w:rsid w:val="00F11AA5"/>
    <w:rsid w:val="00F11C68"/>
    <w:rsid w:val="00F1633B"/>
    <w:rsid w:val="00F17518"/>
    <w:rsid w:val="00F21F18"/>
    <w:rsid w:val="00F23209"/>
    <w:rsid w:val="00F23306"/>
    <w:rsid w:val="00F24565"/>
    <w:rsid w:val="00F258D4"/>
    <w:rsid w:val="00F27A4B"/>
    <w:rsid w:val="00F323C1"/>
    <w:rsid w:val="00F32661"/>
    <w:rsid w:val="00F363D1"/>
    <w:rsid w:val="00F3690F"/>
    <w:rsid w:val="00F36BF5"/>
    <w:rsid w:val="00F36BF7"/>
    <w:rsid w:val="00F43FA3"/>
    <w:rsid w:val="00F44370"/>
    <w:rsid w:val="00F44911"/>
    <w:rsid w:val="00F44F07"/>
    <w:rsid w:val="00F47AAB"/>
    <w:rsid w:val="00F52D76"/>
    <w:rsid w:val="00F53EDE"/>
    <w:rsid w:val="00F53F72"/>
    <w:rsid w:val="00F54777"/>
    <w:rsid w:val="00F55476"/>
    <w:rsid w:val="00F56B03"/>
    <w:rsid w:val="00F64434"/>
    <w:rsid w:val="00F64C55"/>
    <w:rsid w:val="00F6659C"/>
    <w:rsid w:val="00F673E0"/>
    <w:rsid w:val="00F67704"/>
    <w:rsid w:val="00F67BF6"/>
    <w:rsid w:val="00F70555"/>
    <w:rsid w:val="00F7166E"/>
    <w:rsid w:val="00F71C56"/>
    <w:rsid w:val="00F71EAD"/>
    <w:rsid w:val="00F72871"/>
    <w:rsid w:val="00F72BBC"/>
    <w:rsid w:val="00F73D96"/>
    <w:rsid w:val="00F73E89"/>
    <w:rsid w:val="00F74A75"/>
    <w:rsid w:val="00F75E3A"/>
    <w:rsid w:val="00F76C83"/>
    <w:rsid w:val="00F813C4"/>
    <w:rsid w:val="00F81A21"/>
    <w:rsid w:val="00F81D57"/>
    <w:rsid w:val="00F8292D"/>
    <w:rsid w:val="00F82AEF"/>
    <w:rsid w:val="00F85AEC"/>
    <w:rsid w:val="00F86E27"/>
    <w:rsid w:val="00F874F7"/>
    <w:rsid w:val="00F87CFE"/>
    <w:rsid w:val="00F87E5A"/>
    <w:rsid w:val="00F9005A"/>
    <w:rsid w:val="00F91213"/>
    <w:rsid w:val="00F917BC"/>
    <w:rsid w:val="00F91E13"/>
    <w:rsid w:val="00F92E9A"/>
    <w:rsid w:val="00F9743A"/>
    <w:rsid w:val="00F9749E"/>
    <w:rsid w:val="00FA07AA"/>
    <w:rsid w:val="00FA181A"/>
    <w:rsid w:val="00FA1AFD"/>
    <w:rsid w:val="00FA5921"/>
    <w:rsid w:val="00FA59B5"/>
    <w:rsid w:val="00FA5BB2"/>
    <w:rsid w:val="00FA6A0E"/>
    <w:rsid w:val="00FB0858"/>
    <w:rsid w:val="00FB2137"/>
    <w:rsid w:val="00FB2733"/>
    <w:rsid w:val="00FB358A"/>
    <w:rsid w:val="00FB5EB3"/>
    <w:rsid w:val="00FC08C9"/>
    <w:rsid w:val="00FC10AD"/>
    <w:rsid w:val="00FC2581"/>
    <w:rsid w:val="00FC3003"/>
    <w:rsid w:val="00FC3534"/>
    <w:rsid w:val="00FC370C"/>
    <w:rsid w:val="00FC5410"/>
    <w:rsid w:val="00FC6116"/>
    <w:rsid w:val="00FC7871"/>
    <w:rsid w:val="00FC788D"/>
    <w:rsid w:val="00FC7ECE"/>
    <w:rsid w:val="00FD1BA2"/>
    <w:rsid w:val="00FD279E"/>
    <w:rsid w:val="00FD3A91"/>
    <w:rsid w:val="00FD3F90"/>
    <w:rsid w:val="00FD5602"/>
    <w:rsid w:val="00FD5716"/>
    <w:rsid w:val="00FD5E85"/>
    <w:rsid w:val="00FD6428"/>
    <w:rsid w:val="00FD6C39"/>
    <w:rsid w:val="00FD7094"/>
    <w:rsid w:val="00FD7512"/>
    <w:rsid w:val="00FE005B"/>
    <w:rsid w:val="00FE4F8F"/>
    <w:rsid w:val="00FE522A"/>
    <w:rsid w:val="00FE63E0"/>
    <w:rsid w:val="00FE7F88"/>
    <w:rsid w:val="00FF167D"/>
    <w:rsid w:val="00FF1EB0"/>
    <w:rsid w:val="00FF2177"/>
    <w:rsid w:val="00FF41CB"/>
    <w:rsid w:val="00FF5F38"/>
    <w:rsid w:val="00FF71E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rsid w:val="0041367F"/>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791EBB"/>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791EBB"/>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791EBB"/>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791EBB"/>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791EBB"/>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791EBB"/>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791EBB"/>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791EBB"/>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791EBB"/>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c"/>
    <w:basedOn w:val="OPCParaBase"/>
    <w:next w:val="Normal"/>
    <w:qFormat/>
    <w:rsid w:val="0041367F"/>
    <w:pPr>
      <w:keepNext/>
      <w:keepLines/>
      <w:pageBreakBefore/>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41367F"/>
    <w:pPr>
      <w:keepNext/>
      <w:keepLines/>
      <w:pageBreakBefore/>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sd"/>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tblInd w:w="0" w:type="dxa"/>
      <w:tblCellMar>
        <w:top w:w="0" w:type="dxa"/>
        <w:left w:w="108" w:type="dxa"/>
        <w:bottom w:w="0" w:type="dxa"/>
        <w:right w:w="108" w:type="dxa"/>
      </w:tblCellMar>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semiHidden/>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rsid w:val="00D67B29"/>
    <w:pPr>
      <w:tabs>
        <w:tab w:val="right" w:pos="1985"/>
      </w:tabs>
      <w:spacing w:before="40" w:line="240" w:lineRule="auto"/>
      <w:ind w:left="2098" w:hanging="2098"/>
    </w:pPr>
  </w:style>
  <w:style w:type="paragraph" w:customStyle="1" w:styleId="tSubsub">
    <w:name w:val="t_Subsub"/>
    <w:aliases w:val="paragraph(sub-sub),aaa"/>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ssh"/>
    <w:basedOn w:val="OPCParaBase"/>
    <w:next w:val="tMain"/>
    <w:qFormat/>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subsectionChar">
    <w:name w:val="subsection Char"/>
    <w:aliases w:val="ss Char"/>
    <w:link w:val="tMain"/>
    <w:locked/>
    <w:rsid w:val="00DD3161"/>
    <w:rPr>
      <w:sz w:val="22"/>
    </w:rPr>
  </w:style>
  <w:style w:type="paragraph" w:customStyle="1" w:styleId="tFormula">
    <w:name w:val="t_Formula"/>
    <w:basedOn w:val="tPara"/>
    <w:qFormat/>
    <w:rsid w:val="00271A41"/>
    <w:pPr>
      <w:tabs>
        <w:tab w:val="clear" w:pos="1531"/>
        <w:tab w:val="center" w:pos="3969"/>
        <w:tab w:val="right" w:pos="8789"/>
      </w:tabs>
      <w:spacing w:before="120" w:after="60"/>
      <w:ind w:left="1134" w:hanging="1134"/>
    </w:pPr>
    <w:rPr>
      <w:b/>
      <w:i/>
    </w:rPr>
  </w:style>
  <w:style w:type="paragraph" w:customStyle="1" w:styleId="tParameter">
    <w:name w:val="t_Parameter"/>
    <w:basedOn w:val="tSubpara"/>
    <w:rsid w:val="00EE2D3F"/>
    <w:pPr>
      <w:tabs>
        <w:tab w:val="clear" w:pos="1985"/>
        <w:tab w:val="left" w:pos="1871"/>
      </w:tabs>
      <w:spacing w:before="80"/>
      <w:ind w:hanging="964"/>
    </w:pPr>
  </w:style>
  <w:style w:type="character" w:customStyle="1" w:styleId="SOTextChar">
    <w:name w:val="SO Text Char"/>
    <w:aliases w:val="sot Char"/>
    <w:link w:val="SOText"/>
    <w:rsid w:val="00CE45B5"/>
    <w:rPr>
      <w:rFonts w:eastAsia="Calibri"/>
      <w:sz w:val="22"/>
    </w:rPr>
  </w:style>
  <w:style w:type="paragraph" w:customStyle="1" w:styleId="definition">
    <w:name w:val="definition"/>
    <w:basedOn w:val="Normal"/>
    <w:rsid w:val="00B72B3B"/>
    <w:pPr>
      <w:spacing w:before="100" w:beforeAutospacing="1" w:after="100" w:afterAutospacing="1" w:line="240" w:lineRule="auto"/>
    </w:pPr>
    <w:rPr>
      <w:rFonts w:eastAsia="Times New Roman"/>
      <w:sz w:val="24"/>
      <w:szCs w:val="24"/>
      <w:lang w:eastAsia="en-AU"/>
    </w:rPr>
  </w:style>
  <w:style w:type="paragraph" w:customStyle="1" w:styleId="acthead5">
    <w:name w:val="acthead5"/>
    <w:basedOn w:val="Normal"/>
    <w:rsid w:val="00B72B3B"/>
    <w:pPr>
      <w:spacing w:before="100" w:beforeAutospacing="1" w:after="100" w:afterAutospacing="1" w:line="240" w:lineRule="auto"/>
    </w:pPr>
    <w:rPr>
      <w:rFonts w:eastAsia="Times New Roman"/>
      <w:sz w:val="24"/>
      <w:szCs w:val="24"/>
      <w:lang w:eastAsia="en-AU"/>
    </w:rPr>
  </w:style>
  <w:style w:type="character" w:customStyle="1" w:styleId="charsectno0">
    <w:name w:val="charsectno"/>
    <w:basedOn w:val="DefaultParagraphFont"/>
    <w:rsid w:val="00B72B3B"/>
  </w:style>
  <w:style w:type="paragraph" w:customStyle="1" w:styleId="paragraphsub">
    <w:name w:val="paragraphsub"/>
    <w:basedOn w:val="Normal"/>
    <w:rsid w:val="00B72B3B"/>
    <w:pPr>
      <w:spacing w:before="100" w:beforeAutospacing="1" w:after="100" w:afterAutospacing="1" w:line="240" w:lineRule="auto"/>
    </w:pPr>
    <w:rPr>
      <w:rFonts w:eastAsia="Times New Roman"/>
      <w:sz w:val="24"/>
      <w:szCs w:val="24"/>
      <w:lang w:eastAsia="en-AU"/>
    </w:rPr>
  </w:style>
  <w:style w:type="paragraph" w:customStyle="1" w:styleId="Default">
    <w:name w:val="Default"/>
    <w:rsid w:val="00031806"/>
    <w:pPr>
      <w:autoSpaceDE w:val="0"/>
      <w:autoSpaceDN w:val="0"/>
      <w:adjustRightInd w:val="0"/>
    </w:pPr>
    <w:rPr>
      <w:color w:val="000000"/>
      <w:sz w:val="24"/>
      <w:szCs w:val="24"/>
    </w:rPr>
  </w:style>
  <w:style w:type="character" w:customStyle="1" w:styleId="paragraphChar">
    <w:name w:val="paragraph Char"/>
    <w:aliases w:val="a Char"/>
    <w:basedOn w:val="DefaultParagraphFont"/>
    <w:link w:val="tPara"/>
    <w:locked/>
    <w:rsid w:val="00202053"/>
    <w:rPr>
      <w:sz w:val="22"/>
    </w:rPr>
  </w:style>
  <w:style w:type="paragraph" w:customStyle="1" w:styleId="t1Main">
    <w:name w:val="t1_Main"/>
    <w:rsid w:val="0045496E"/>
    <w:pPr>
      <w:tabs>
        <w:tab w:val="right" w:pos="851"/>
      </w:tabs>
      <w:spacing w:before="80" w:after="100" w:line="260" w:lineRule="exact"/>
      <w:ind w:left="964" w:hanging="964"/>
    </w:pPr>
    <w:rPr>
      <w:sz w:val="24"/>
      <w:szCs w:val="24"/>
    </w:rPr>
  </w:style>
  <w:style w:type="paragraph" w:customStyle="1" w:styleId="t1Amendingwords">
    <w:name w:val="t1_Amending_words"/>
    <w:basedOn w:val="t1Main"/>
    <w:qFormat/>
    <w:rsid w:val="0045496E"/>
    <w:pPr>
      <w:tabs>
        <w:tab w:val="clear" w:pos="851"/>
      </w:tabs>
      <w:ind w:firstLine="0"/>
    </w:pPr>
    <w:rPr>
      <w:i/>
    </w:rPr>
  </w:style>
  <w:style w:type="paragraph" w:customStyle="1" w:styleId="t1Defn">
    <w:name w:val="t1_Defn"/>
    <w:basedOn w:val="t1Main"/>
    <w:rsid w:val="0045496E"/>
    <w:pPr>
      <w:tabs>
        <w:tab w:val="clear" w:pos="851"/>
      </w:tabs>
      <w:ind w:firstLine="0"/>
    </w:pPr>
  </w:style>
  <w:style w:type="paragraph" w:customStyle="1" w:styleId="t2Para">
    <w:name w:val="t2_Para"/>
    <w:basedOn w:val="t1Main"/>
    <w:qFormat/>
    <w:rsid w:val="0045496E"/>
    <w:pPr>
      <w:keepLines/>
      <w:tabs>
        <w:tab w:val="clear" w:pos="851"/>
        <w:tab w:val="right" w:pos="1531"/>
      </w:tabs>
      <w:spacing w:before="0"/>
      <w:ind w:left="1701" w:hanging="1701"/>
    </w:pPr>
  </w:style>
  <w:style w:type="paragraph" w:customStyle="1" w:styleId="t3Subpara">
    <w:name w:val="t3_Subpara"/>
    <w:basedOn w:val="t1Main"/>
    <w:qFormat/>
    <w:rsid w:val="0045496E"/>
    <w:pPr>
      <w:keepLines/>
      <w:tabs>
        <w:tab w:val="clear" w:pos="851"/>
        <w:tab w:val="right" w:pos="2211"/>
      </w:tabs>
      <w:spacing w:before="0"/>
      <w:ind w:left="2410" w:hanging="2410"/>
    </w:pPr>
  </w:style>
  <w:style w:type="paragraph" w:customStyle="1" w:styleId="t4Subsub">
    <w:name w:val="t4_Subsub"/>
    <w:basedOn w:val="t1Main"/>
    <w:qFormat/>
    <w:rsid w:val="0045496E"/>
    <w:pPr>
      <w:tabs>
        <w:tab w:val="clear" w:pos="851"/>
        <w:tab w:val="right" w:pos="2948"/>
      </w:tabs>
      <w:spacing w:before="0"/>
      <w:ind w:left="3119" w:hanging="3119"/>
    </w:pPr>
  </w:style>
  <w:style w:type="paragraph" w:customStyle="1" w:styleId="Teststyle">
    <w:name w:val="_Test_style"/>
    <w:basedOn w:val="tPara"/>
    <w:rsid w:val="0045496E"/>
  </w:style>
  <w:style w:type="paragraph" w:customStyle="1" w:styleId="subsectionhead">
    <w:name w:val="subsectionhead"/>
    <w:basedOn w:val="Normal"/>
    <w:rsid w:val="0045496E"/>
    <w:pPr>
      <w:spacing w:before="100" w:beforeAutospacing="1" w:after="100" w:afterAutospacing="1" w:line="240" w:lineRule="auto"/>
    </w:pPr>
    <w:rPr>
      <w:rFonts w:eastAsia="Times New Roman"/>
      <w:sz w:val="24"/>
      <w:szCs w:val="24"/>
      <w:lang w:eastAsia="en-AU"/>
    </w:rPr>
  </w:style>
  <w:style w:type="paragraph" w:customStyle="1" w:styleId="ttDraftExposure">
    <w:name w:val="tt_Draft_Exposure"/>
    <w:basedOn w:val="Normal"/>
    <w:rsid w:val="000F6CC2"/>
    <w:pPr>
      <w:jc w:val="center"/>
    </w:pPr>
    <w:rPr>
      <w:b/>
      <w:sz w:val="26"/>
    </w:rPr>
  </w:style>
  <w:style w:type="paragraph" w:customStyle="1" w:styleId="tdefn0">
    <w:name w:val="tdefn"/>
    <w:basedOn w:val="Normal"/>
    <w:rsid w:val="00EF12B6"/>
    <w:pPr>
      <w:spacing w:before="100" w:beforeAutospacing="1" w:after="100" w:afterAutospacing="1" w:line="240" w:lineRule="auto"/>
    </w:pPr>
    <w:rPr>
      <w:rFonts w:eastAsia="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143661907">
      <w:bodyDiv w:val="1"/>
      <w:marLeft w:val="0"/>
      <w:marRight w:val="0"/>
      <w:marTop w:val="0"/>
      <w:marBottom w:val="0"/>
      <w:divBdr>
        <w:top w:val="none" w:sz="0" w:space="0" w:color="auto"/>
        <w:left w:val="none" w:sz="0" w:space="0" w:color="auto"/>
        <w:bottom w:val="none" w:sz="0" w:space="0" w:color="auto"/>
        <w:right w:val="none" w:sz="0" w:space="0" w:color="auto"/>
      </w:divBdr>
      <w:divsChild>
        <w:div w:id="579876584">
          <w:marLeft w:val="0"/>
          <w:marRight w:val="0"/>
          <w:marTop w:val="0"/>
          <w:marBottom w:val="0"/>
          <w:divBdr>
            <w:top w:val="none" w:sz="0" w:space="0" w:color="auto"/>
            <w:left w:val="none" w:sz="0" w:space="0" w:color="auto"/>
            <w:bottom w:val="none" w:sz="0" w:space="0" w:color="auto"/>
            <w:right w:val="none" w:sz="0" w:space="0" w:color="auto"/>
          </w:divBdr>
          <w:divsChild>
            <w:div w:id="1290211353">
              <w:marLeft w:val="0"/>
              <w:marRight w:val="0"/>
              <w:marTop w:val="0"/>
              <w:marBottom w:val="0"/>
              <w:divBdr>
                <w:top w:val="none" w:sz="0" w:space="0" w:color="auto"/>
                <w:left w:val="none" w:sz="0" w:space="0" w:color="auto"/>
                <w:bottom w:val="none" w:sz="0" w:space="0" w:color="auto"/>
                <w:right w:val="none" w:sz="0" w:space="0" w:color="auto"/>
              </w:divBdr>
              <w:divsChild>
                <w:div w:id="1909073010">
                  <w:marLeft w:val="0"/>
                  <w:marRight w:val="0"/>
                  <w:marTop w:val="0"/>
                  <w:marBottom w:val="0"/>
                  <w:divBdr>
                    <w:top w:val="none" w:sz="0" w:space="0" w:color="auto"/>
                    <w:left w:val="none" w:sz="0" w:space="0" w:color="auto"/>
                    <w:bottom w:val="none" w:sz="0" w:space="0" w:color="auto"/>
                    <w:right w:val="none" w:sz="0" w:space="0" w:color="auto"/>
                  </w:divBdr>
                  <w:divsChild>
                    <w:div w:id="167064632">
                      <w:marLeft w:val="0"/>
                      <w:marRight w:val="0"/>
                      <w:marTop w:val="0"/>
                      <w:marBottom w:val="0"/>
                      <w:divBdr>
                        <w:top w:val="none" w:sz="0" w:space="0" w:color="auto"/>
                        <w:left w:val="none" w:sz="0" w:space="0" w:color="auto"/>
                        <w:bottom w:val="none" w:sz="0" w:space="0" w:color="auto"/>
                        <w:right w:val="none" w:sz="0" w:space="0" w:color="auto"/>
                      </w:divBdr>
                      <w:divsChild>
                        <w:div w:id="1226911751">
                          <w:marLeft w:val="0"/>
                          <w:marRight w:val="0"/>
                          <w:marTop w:val="0"/>
                          <w:marBottom w:val="0"/>
                          <w:divBdr>
                            <w:top w:val="single" w:sz="6" w:space="0" w:color="828282"/>
                            <w:left w:val="single" w:sz="6" w:space="0" w:color="828282"/>
                            <w:bottom w:val="single" w:sz="6" w:space="0" w:color="828282"/>
                            <w:right w:val="single" w:sz="6" w:space="0" w:color="828282"/>
                          </w:divBdr>
                          <w:divsChild>
                            <w:div w:id="280262006">
                              <w:marLeft w:val="0"/>
                              <w:marRight w:val="0"/>
                              <w:marTop w:val="0"/>
                              <w:marBottom w:val="0"/>
                              <w:divBdr>
                                <w:top w:val="none" w:sz="0" w:space="0" w:color="auto"/>
                                <w:left w:val="none" w:sz="0" w:space="0" w:color="auto"/>
                                <w:bottom w:val="none" w:sz="0" w:space="0" w:color="auto"/>
                                <w:right w:val="none" w:sz="0" w:space="0" w:color="auto"/>
                              </w:divBdr>
                              <w:divsChild>
                                <w:div w:id="1282492224">
                                  <w:marLeft w:val="0"/>
                                  <w:marRight w:val="0"/>
                                  <w:marTop w:val="0"/>
                                  <w:marBottom w:val="0"/>
                                  <w:divBdr>
                                    <w:top w:val="none" w:sz="0" w:space="0" w:color="auto"/>
                                    <w:left w:val="none" w:sz="0" w:space="0" w:color="auto"/>
                                    <w:bottom w:val="none" w:sz="0" w:space="0" w:color="auto"/>
                                    <w:right w:val="none" w:sz="0" w:space="0" w:color="auto"/>
                                  </w:divBdr>
                                  <w:divsChild>
                                    <w:div w:id="773090624">
                                      <w:marLeft w:val="0"/>
                                      <w:marRight w:val="0"/>
                                      <w:marTop w:val="0"/>
                                      <w:marBottom w:val="0"/>
                                      <w:divBdr>
                                        <w:top w:val="none" w:sz="0" w:space="0" w:color="auto"/>
                                        <w:left w:val="none" w:sz="0" w:space="0" w:color="auto"/>
                                        <w:bottom w:val="none" w:sz="0" w:space="0" w:color="auto"/>
                                        <w:right w:val="none" w:sz="0" w:space="0" w:color="auto"/>
                                      </w:divBdr>
                                      <w:divsChild>
                                        <w:div w:id="788933119">
                                          <w:marLeft w:val="0"/>
                                          <w:marRight w:val="0"/>
                                          <w:marTop w:val="0"/>
                                          <w:marBottom w:val="0"/>
                                          <w:divBdr>
                                            <w:top w:val="none" w:sz="0" w:space="0" w:color="auto"/>
                                            <w:left w:val="none" w:sz="0" w:space="0" w:color="auto"/>
                                            <w:bottom w:val="none" w:sz="0" w:space="0" w:color="auto"/>
                                            <w:right w:val="none" w:sz="0" w:space="0" w:color="auto"/>
                                          </w:divBdr>
                                          <w:divsChild>
                                            <w:div w:id="1417509147">
                                              <w:marLeft w:val="0"/>
                                              <w:marRight w:val="0"/>
                                              <w:marTop w:val="0"/>
                                              <w:marBottom w:val="0"/>
                                              <w:divBdr>
                                                <w:top w:val="none" w:sz="0" w:space="0" w:color="auto"/>
                                                <w:left w:val="none" w:sz="0" w:space="0" w:color="auto"/>
                                                <w:bottom w:val="none" w:sz="0" w:space="0" w:color="auto"/>
                                                <w:right w:val="none" w:sz="0" w:space="0" w:color="auto"/>
                                              </w:divBdr>
                                              <w:divsChild>
                                                <w:div w:id="178476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85511">
      <w:bodyDiv w:val="1"/>
      <w:marLeft w:val="0"/>
      <w:marRight w:val="0"/>
      <w:marTop w:val="0"/>
      <w:marBottom w:val="0"/>
      <w:divBdr>
        <w:top w:val="none" w:sz="0" w:space="0" w:color="auto"/>
        <w:left w:val="none" w:sz="0" w:space="0" w:color="auto"/>
        <w:bottom w:val="none" w:sz="0" w:space="0" w:color="auto"/>
        <w:right w:val="none" w:sz="0" w:space="0" w:color="auto"/>
      </w:divBdr>
      <w:divsChild>
        <w:div w:id="847594271">
          <w:marLeft w:val="0"/>
          <w:marRight w:val="0"/>
          <w:marTop w:val="0"/>
          <w:marBottom w:val="0"/>
          <w:divBdr>
            <w:top w:val="none" w:sz="0" w:space="0" w:color="auto"/>
            <w:left w:val="none" w:sz="0" w:space="0" w:color="auto"/>
            <w:bottom w:val="none" w:sz="0" w:space="0" w:color="auto"/>
            <w:right w:val="none" w:sz="0" w:space="0" w:color="auto"/>
          </w:divBdr>
          <w:divsChild>
            <w:div w:id="1936357222">
              <w:marLeft w:val="0"/>
              <w:marRight w:val="0"/>
              <w:marTop w:val="0"/>
              <w:marBottom w:val="0"/>
              <w:divBdr>
                <w:top w:val="none" w:sz="0" w:space="0" w:color="auto"/>
                <w:left w:val="none" w:sz="0" w:space="0" w:color="auto"/>
                <w:bottom w:val="none" w:sz="0" w:space="0" w:color="auto"/>
                <w:right w:val="none" w:sz="0" w:space="0" w:color="auto"/>
              </w:divBdr>
              <w:divsChild>
                <w:div w:id="1625840863">
                  <w:marLeft w:val="0"/>
                  <w:marRight w:val="0"/>
                  <w:marTop w:val="0"/>
                  <w:marBottom w:val="0"/>
                  <w:divBdr>
                    <w:top w:val="none" w:sz="0" w:space="0" w:color="auto"/>
                    <w:left w:val="none" w:sz="0" w:space="0" w:color="auto"/>
                    <w:bottom w:val="none" w:sz="0" w:space="0" w:color="auto"/>
                    <w:right w:val="none" w:sz="0" w:space="0" w:color="auto"/>
                  </w:divBdr>
                  <w:divsChild>
                    <w:div w:id="1602643794">
                      <w:marLeft w:val="0"/>
                      <w:marRight w:val="0"/>
                      <w:marTop w:val="0"/>
                      <w:marBottom w:val="0"/>
                      <w:divBdr>
                        <w:top w:val="none" w:sz="0" w:space="0" w:color="auto"/>
                        <w:left w:val="none" w:sz="0" w:space="0" w:color="auto"/>
                        <w:bottom w:val="none" w:sz="0" w:space="0" w:color="auto"/>
                        <w:right w:val="none" w:sz="0" w:space="0" w:color="auto"/>
                      </w:divBdr>
                      <w:divsChild>
                        <w:div w:id="510754434">
                          <w:marLeft w:val="0"/>
                          <w:marRight w:val="0"/>
                          <w:marTop w:val="0"/>
                          <w:marBottom w:val="0"/>
                          <w:divBdr>
                            <w:top w:val="single" w:sz="6" w:space="0" w:color="828282"/>
                            <w:left w:val="single" w:sz="6" w:space="0" w:color="828282"/>
                            <w:bottom w:val="single" w:sz="6" w:space="0" w:color="828282"/>
                            <w:right w:val="single" w:sz="6" w:space="0" w:color="828282"/>
                          </w:divBdr>
                          <w:divsChild>
                            <w:div w:id="1111169927">
                              <w:marLeft w:val="0"/>
                              <w:marRight w:val="0"/>
                              <w:marTop w:val="0"/>
                              <w:marBottom w:val="0"/>
                              <w:divBdr>
                                <w:top w:val="none" w:sz="0" w:space="0" w:color="auto"/>
                                <w:left w:val="none" w:sz="0" w:space="0" w:color="auto"/>
                                <w:bottom w:val="none" w:sz="0" w:space="0" w:color="auto"/>
                                <w:right w:val="none" w:sz="0" w:space="0" w:color="auto"/>
                              </w:divBdr>
                              <w:divsChild>
                                <w:div w:id="1116103435">
                                  <w:marLeft w:val="0"/>
                                  <w:marRight w:val="0"/>
                                  <w:marTop w:val="0"/>
                                  <w:marBottom w:val="0"/>
                                  <w:divBdr>
                                    <w:top w:val="none" w:sz="0" w:space="0" w:color="auto"/>
                                    <w:left w:val="none" w:sz="0" w:space="0" w:color="auto"/>
                                    <w:bottom w:val="none" w:sz="0" w:space="0" w:color="auto"/>
                                    <w:right w:val="none" w:sz="0" w:space="0" w:color="auto"/>
                                  </w:divBdr>
                                  <w:divsChild>
                                    <w:div w:id="523254186">
                                      <w:marLeft w:val="0"/>
                                      <w:marRight w:val="0"/>
                                      <w:marTop w:val="0"/>
                                      <w:marBottom w:val="0"/>
                                      <w:divBdr>
                                        <w:top w:val="none" w:sz="0" w:space="0" w:color="auto"/>
                                        <w:left w:val="none" w:sz="0" w:space="0" w:color="auto"/>
                                        <w:bottom w:val="none" w:sz="0" w:space="0" w:color="auto"/>
                                        <w:right w:val="none" w:sz="0" w:space="0" w:color="auto"/>
                                      </w:divBdr>
                                      <w:divsChild>
                                        <w:div w:id="1564871728">
                                          <w:marLeft w:val="0"/>
                                          <w:marRight w:val="0"/>
                                          <w:marTop w:val="0"/>
                                          <w:marBottom w:val="0"/>
                                          <w:divBdr>
                                            <w:top w:val="none" w:sz="0" w:space="0" w:color="auto"/>
                                            <w:left w:val="none" w:sz="0" w:space="0" w:color="auto"/>
                                            <w:bottom w:val="none" w:sz="0" w:space="0" w:color="auto"/>
                                            <w:right w:val="none" w:sz="0" w:space="0" w:color="auto"/>
                                          </w:divBdr>
                                          <w:divsChild>
                                            <w:div w:id="1587417058">
                                              <w:marLeft w:val="0"/>
                                              <w:marRight w:val="0"/>
                                              <w:marTop w:val="0"/>
                                              <w:marBottom w:val="0"/>
                                              <w:divBdr>
                                                <w:top w:val="none" w:sz="0" w:space="0" w:color="auto"/>
                                                <w:left w:val="none" w:sz="0" w:space="0" w:color="auto"/>
                                                <w:bottom w:val="none" w:sz="0" w:space="0" w:color="auto"/>
                                                <w:right w:val="none" w:sz="0" w:space="0" w:color="auto"/>
                                              </w:divBdr>
                                              <w:divsChild>
                                                <w:div w:id="6168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382026926">
      <w:bodyDiv w:val="1"/>
      <w:marLeft w:val="0"/>
      <w:marRight w:val="0"/>
      <w:marTop w:val="0"/>
      <w:marBottom w:val="0"/>
      <w:divBdr>
        <w:top w:val="none" w:sz="0" w:space="0" w:color="auto"/>
        <w:left w:val="none" w:sz="0" w:space="0" w:color="auto"/>
        <w:bottom w:val="none" w:sz="0" w:space="0" w:color="auto"/>
        <w:right w:val="none" w:sz="0" w:space="0" w:color="auto"/>
      </w:divBdr>
      <w:divsChild>
        <w:div w:id="886185933">
          <w:marLeft w:val="0"/>
          <w:marRight w:val="0"/>
          <w:marTop w:val="0"/>
          <w:marBottom w:val="0"/>
          <w:divBdr>
            <w:top w:val="none" w:sz="0" w:space="0" w:color="auto"/>
            <w:left w:val="none" w:sz="0" w:space="0" w:color="auto"/>
            <w:bottom w:val="none" w:sz="0" w:space="0" w:color="auto"/>
            <w:right w:val="none" w:sz="0" w:space="0" w:color="auto"/>
          </w:divBdr>
          <w:divsChild>
            <w:div w:id="1527017328">
              <w:marLeft w:val="0"/>
              <w:marRight w:val="0"/>
              <w:marTop w:val="0"/>
              <w:marBottom w:val="0"/>
              <w:divBdr>
                <w:top w:val="none" w:sz="0" w:space="0" w:color="auto"/>
                <w:left w:val="none" w:sz="0" w:space="0" w:color="auto"/>
                <w:bottom w:val="none" w:sz="0" w:space="0" w:color="auto"/>
                <w:right w:val="none" w:sz="0" w:space="0" w:color="auto"/>
              </w:divBdr>
              <w:divsChild>
                <w:div w:id="1837458458">
                  <w:marLeft w:val="0"/>
                  <w:marRight w:val="0"/>
                  <w:marTop w:val="0"/>
                  <w:marBottom w:val="0"/>
                  <w:divBdr>
                    <w:top w:val="none" w:sz="0" w:space="0" w:color="auto"/>
                    <w:left w:val="none" w:sz="0" w:space="0" w:color="auto"/>
                    <w:bottom w:val="none" w:sz="0" w:space="0" w:color="auto"/>
                    <w:right w:val="none" w:sz="0" w:space="0" w:color="auto"/>
                  </w:divBdr>
                  <w:divsChild>
                    <w:div w:id="1726753634">
                      <w:marLeft w:val="0"/>
                      <w:marRight w:val="0"/>
                      <w:marTop w:val="0"/>
                      <w:marBottom w:val="0"/>
                      <w:divBdr>
                        <w:top w:val="none" w:sz="0" w:space="0" w:color="auto"/>
                        <w:left w:val="none" w:sz="0" w:space="0" w:color="auto"/>
                        <w:bottom w:val="none" w:sz="0" w:space="0" w:color="auto"/>
                        <w:right w:val="none" w:sz="0" w:space="0" w:color="auto"/>
                      </w:divBdr>
                      <w:divsChild>
                        <w:div w:id="133447190">
                          <w:marLeft w:val="0"/>
                          <w:marRight w:val="0"/>
                          <w:marTop w:val="0"/>
                          <w:marBottom w:val="0"/>
                          <w:divBdr>
                            <w:top w:val="single" w:sz="6" w:space="0" w:color="828282"/>
                            <w:left w:val="single" w:sz="6" w:space="0" w:color="828282"/>
                            <w:bottom w:val="single" w:sz="6" w:space="0" w:color="828282"/>
                            <w:right w:val="single" w:sz="6" w:space="0" w:color="828282"/>
                          </w:divBdr>
                          <w:divsChild>
                            <w:div w:id="385569791">
                              <w:marLeft w:val="0"/>
                              <w:marRight w:val="0"/>
                              <w:marTop w:val="0"/>
                              <w:marBottom w:val="0"/>
                              <w:divBdr>
                                <w:top w:val="none" w:sz="0" w:space="0" w:color="auto"/>
                                <w:left w:val="none" w:sz="0" w:space="0" w:color="auto"/>
                                <w:bottom w:val="none" w:sz="0" w:space="0" w:color="auto"/>
                                <w:right w:val="none" w:sz="0" w:space="0" w:color="auto"/>
                              </w:divBdr>
                              <w:divsChild>
                                <w:div w:id="1084182077">
                                  <w:marLeft w:val="0"/>
                                  <w:marRight w:val="0"/>
                                  <w:marTop w:val="0"/>
                                  <w:marBottom w:val="0"/>
                                  <w:divBdr>
                                    <w:top w:val="none" w:sz="0" w:space="0" w:color="auto"/>
                                    <w:left w:val="none" w:sz="0" w:space="0" w:color="auto"/>
                                    <w:bottom w:val="none" w:sz="0" w:space="0" w:color="auto"/>
                                    <w:right w:val="none" w:sz="0" w:space="0" w:color="auto"/>
                                  </w:divBdr>
                                  <w:divsChild>
                                    <w:div w:id="196503304">
                                      <w:marLeft w:val="0"/>
                                      <w:marRight w:val="0"/>
                                      <w:marTop w:val="0"/>
                                      <w:marBottom w:val="0"/>
                                      <w:divBdr>
                                        <w:top w:val="none" w:sz="0" w:space="0" w:color="auto"/>
                                        <w:left w:val="none" w:sz="0" w:space="0" w:color="auto"/>
                                        <w:bottom w:val="none" w:sz="0" w:space="0" w:color="auto"/>
                                        <w:right w:val="none" w:sz="0" w:space="0" w:color="auto"/>
                                      </w:divBdr>
                                      <w:divsChild>
                                        <w:div w:id="742801336">
                                          <w:marLeft w:val="0"/>
                                          <w:marRight w:val="0"/>
                                          <w:marTop w:val="0"/>
                                          <w:marBottom w:val="0"/>
                                          <w:divBdr>
                                            <w:top w:val="none" w:sz="0" w:space="0" w:color="auto"/>
                                            <w:left w:val="none" w:sz="0" w:space="0" w:color="auto"/>
                                            <w:bottom w:val="none" w:sz="0" w:space="0" w:color="auto"/>
                                            <w:right w:val="none" w:sz="0" w:space="0" w:color="auto"/>
                                          </w:divBdr>
                                          <w:divsChild>
                                            <w:div w:id="451167481">
                                              <w:marLeft w:val="0"/>
                                              <w:marRight w:val="0"/>
                                              <w:marTop w:val="0"/>
                                              <w:marBottom w:val="0"/>
                                              <w:divBdr>
                                                <w:top w:val="none" w:sz="0" w:space="0" w:color="auto"/>
                                                <w:left w:val="none" w:sz="0" w:space="0" w:color="auto"/>
                                                <w:bottom w:val="none" w:sz="0" w:space="0" w:color="auto"/>
                                                <w:right w:val="none" w:sz="0" w:space="0" w:color="auto"/>
                                              </w:divBdr>
                                              <w:divsChild>
                                                <w:div w:id="4661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564167">
      <w:bodyDiv w:val="1"/>
      <w:marLeft w:val="0"/>
      <w:marRight w:val="0"/>
      <w:marTop w:val="0"/>
      <w:marBottom w:val="0"/>
      <w:divBdr>
        <w:top w:val="none" w:sz="0" w:space="0" w:color="auto"/>
        <w:left w:val="none" w:sz="0" w:space="0" w:color="auto"/>
        <w:bottom w:val="none" w:sz="0" w:space="0" w:color="auto"/>
        <w:right w:val="none" w:sz="0" w:space="0" w:color="auto"/>
      </w:divBdr>
    </w:div>
    <w:div w:id="468475185">
      <w:bodyDiv w:val="1"/>
      <w:marLeft w:val="0"/>
      <w:marRight w:val="0"/>
      <w:marTop w:val="0"/>
      <w:marBottom w:val="0"/>
      <w:divBdr>
        <w:top w:val="none" w:sz="0" w:space="0" w:color="auto"/>
        <w:left w:val="none" w:sz="0" w:space="0" w:color="auto"/>
        <w:bottom w:val="none" w:sz="0" w:space="0" w:color="auto"/>
        <w:right w:val="none" w:sz="0" w:space="0" w:color="auto"/>
      </w:divBdr>
      <w:divsChild>
        <w:div w:id="1809933773">
          <w:marLeft w:val="0"/>
          <w:marRight w:val="0"/>
          <w:marTop w:val="0"/>
          <w:marBottom w:val="0"/>
          <w:divBdr>
            <w:top w:val="none" w:sz="0" w:space="0" w:color="auto"/>
            <w:left w:val="none" w:sz="0" w:space="0" w:color="auto"/>
            <w:bottom w:val="none" w:sz="0" w:space="0" w:color="auto"/>
            <w:right w:val="none" w:sz="0" w:space="0" w:color="auto"/>
          </w:divBdr>
          <w:divsChild>
            <w:div w:id="1884362256">
              <w:marLeft w:val="0"/>
              <w:marRight w:val="0"/>
              <w:marTop w:val="0"/>
              <w:marBottom w:val="0"/>
              <w:divBdr>
                <w:top w:val="none" w:sz="0" w:space="0" w:color="auto"/>
                <w:left w:val="none" w:sz="0" w:space="0" w:color="auto"/>
                <w:bottom w:val="none" w:sz="0" w:space="0" w:color="auto"/>
                <w:right w:val="none" w:sz="0" w:space="0" w:color="auto"/>
              </w:divBdr>
              <w:divsChild>
                <w:div w:id="1434402933">
                  <w:marLeft w:val="0"/>
                  <w:marRight w:val="0"/>
                  <w:marTop w:val="0"/>
                  <w:marBottom w:val="0"/>
                  <w:divBdr>
                    <w:top w:val="none" w:sz="0" w:space="0" w:color="auto"/>
                    <w:left w:val="none" w:sz="0" w:space="0" w:color="auto"/>
                    <w:bottom w:val="none" w:sz="0" w:space="0" w:color="auto"/>
                    <w:right w:val="none" w:sz="0" w:space="0" w:color="auto"/>
                  </w:divBdr>
                  <w:divsChild>
                    <w:div w:id="793795512">
                      <w:marLeft w:val="0"/>
                      <w:marRight w:val="0"/>
                      <w:marTop w:val="0"/>
                      <w:marBottom w:val="0"/>
                      <w:divBdr>
                        <w:top w:val="none" w:sz="0" w:space="0" w:color="auto"/>
                        <w:left w:val="none" w:sz="0" w:space="0" w:color="auto"/>
                        <w:bottom w:val="none" w:sz="0" w:space="0" w:color="auto"/>
                        <w:right w:val="none" w:sz="0" w:space="0" w:color="auto"/>
                      </w:divBdr>
                      <w:divsChild>
                        <w:div w:id="1733770609">
                          <w:marLeft w:val="0"/>
                          <w:marRight w:val="0"/>
                          <w:marTop w:val="0"/>
                          <w:marBottom w:val="0"/>
                          <w:divBdr>
                            <w:top w:val="single" w:sz="6" w:space="0" w:color="828282"/>
                            <w:left w:val="single" w:sz="6" w:space="0" w:color="828282"/>
                            <w:bottom w:val="single" w:sz="6" w:space="0" w:color="828282"/>
                            <w:right w:val="single" w:sz="6" w:space="0" w:color="828282"/>
                          </w:divBdr>
                          <w:divsChild>
                            <w:div w:id="2136676096">
                              <w:marLeft w:val="0"/>
                              <w:marRight w:val="0"/>
                              <w:marTop w:val="0"/>
                              <w:marBottom w:val="0"/>
                              <w:divBdr>
                                <w:top w:val="none" w:sz="0" w:space="0" w:color="auto"/>
                                <w:left w:val="none" w:sz="0" w:space="0" w:color="auto"/>
                                <w:bottom w:val="none" w:sz="0" w:space="0" w:color="auto"/>
                                <w:right w:val="none" w:sz="0" w:space="0" w:color="auto"/>
                              </w:divBdr>
                              <w:divsChild>
                                <w:div w:id="774666662">
                                  <w:marLeft w:val="0"/>
                                  <w:marRight w:val="0"/>
                                  <w:marTop w:val="0"/>
                                  <w:marBottom w:val="0"/>
                                  <w:divBdr>
                                    <w:top w:val="none" w:sz="0" w:space="0" w:color="auto"/>
                                    <w:left w:val="none" w:sz="0" w:space="0" w:color="auto"/>
                                    <w:bottom w:val="none" w:sz="0" w:space="0" w:color="auto"/>
                                    <w:right w:val="none" w:sz="0" w:space="0" w:color="auto"/>
                                  </w:divBdr>
                                  <w:divsChild>
                                    <w:div w:id="894586123">
                                      <w:marLeft w:val="0"/>
                                      <w:marRight w:val="0"/>
                                      <w:marTop w:val="0"/>
                                      <w:marBottom w:val="0"/>
                                      <w:divBdr>
                                        <w:top w:val="none" w:sz="0" w:space="0" w:color="auto"/>
                                        <w:left w:val="none" w:sz="0" w:space="0" w:color="auto"/>
                                        <w:bottom w:val="none" w:sz="0" w:space="0" w:color="auto"/>
                                        <w:right w:val="none" w:sz="0" w:space="0" w:color="auto"/>
                                      </w:divBdr>
                                      <w:divsChild>
                                        <w:div w:id="109326731">
                                          <w:marLeft w:val="0"/>
                                          <w:marRight w:val="0"/>
                                          <w:marTop w:val="0"/>
                                          <w:marBottom w:val="0"/>
                                          <w:divBdr>
                                            <w:top w:val="none" w:sz="0" w:space="0" w:color="auto"/>
                                            <w:left w:val="none" w:sz="0" w:space="0" w:color="auto"/>
                                            <w:bottom w:val="none" w:sz="0" w:space="0" w:color="auto"/>
                                            <w:right w:val="none" w:sz="0" w:space="0" w:color="auto"/>
                                          </w:divBdr>
                                          <w:divsChild>
                                            <w:div w:id="1330866137">
                                              <w:marLeft w:val="0"/>
                                              <w:marRight w:val="0"/>
                                              <w:marTop w:val="0"/>
                                              <w:marBottom w:val="0"/>
                                              <w:divBdr>
                                                <w:top w:val="none" w:sz="0" w:space="0" w:color="auto"/>
                                                <w:left w:val="none" w:sz="0" w:space="0" w:color="auto"/>
                                                <w:bottom w:val="none" w:sz="0" w:space="0" w:color="auto"/>
                                                <w:right w:val="none" w:sz="0" w:space="0" w:color="auto"/>
                                              </w:divBdr>
                                              <w:divsChild>
                                                <w:div w:id="5366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3015048">
      <w:bodyDiv w:val="1"/>
      <w:marLeft w:val="0"/>
      <w:marRight w:val="0"/>
      <w:marTop w:val="0"/>
      <w:marBottom w:val="0"/>
      <w:divBdr>
        <w:top w:val="none" w:sz="0" w:space="0" w:color="auto"/>
        <w:left w:val="none" w:sz="0" w:space="0" w:color="auto"/>
        <w:bottom w:val="none" w:sz="0" w:space="0" w:color="auto"/>
        <w:right w:val="none" w:sz="0" w:space="0" w:color="auto"/>
      </w:divBdr>
      <w:divsChild>
        <w:div w:id="335040685">
          <w:marLeft w:val="0"/>
          <w:marRight w:val="0"/>
          <w:marTop w:val="0"/>
          <w:marBottom w:val="0"/>
          <w:divBdr>
            <w:top w:val="none" w:sz="0" w:space="0" w:color="auto"/>
            <w:left w:val="none" w:sz="0" w:space="0" w:color="auto"/>
            <w:bottom w:val="none" w:sz="0" w:space="0" w:color="auto"/>
            <w:right w:val="none" w:sz="0" w:space="0" w:color="auto"/>
          </w:divBdr>
          <w:divsChild>
            <w:div w:id="2070153701">
              <w:marLeft w:val="0"/>
              <w:marRight w:val="0"/>
              <w:marTop w:val="0"/>
              <w:marBottom w:val="0"/>
              <w:divBdr>
                <w:top w:val="none" w:sz="0" w:space="0" w:color="auto"/>
                <w:left w:val="none" w:sz="0" w:space="0" w:color="auto"/>
                <w:bottom w:val="none" w:sz="0" w:space="0" w:color="auto"/>
                <w:right w:val="none" w:sz="0" w:space="0" w:color="auto"/>
              </w:divBdr>
              <w:divsChild>
                <w:div w:id="616256201">
                  <w:marLeft w:val="0"/>
                  <w:marRight w:val="0"/>
                  <w:marTop w:val="0"/>
                  <w:marBottom w:val="0"/>
                  <w:divBdr>
                    <w:top w:val="none" w:sz="0" w:space="0" w:color="auto"/>
                    <w:left w:val="none" w:sz="0" w:space="0" w:color="auto"/>
                    <w:bottom w:val="none" w:sz="0" w:space="0" w:color="auto"/>
                    <w:right w:val="none" w:sz="0" w:space="0" w:color="auto"/>
                  </w:divBdr>
                  <w:divsChild>
                    <w:div w:id="430660916">
                      <w:marLeft w:val="0"/>
                      <w:marRight w:val="0"/>
                      <w:marTop w:val="0"/>
                      <w:marBottom w:val="0"/>
                      <w:divBdr>
                        <w:top w:val="none" w:sz="0" w:space="0" w:color="auto"/>
                        <w:left w:val="none" w:sz="0" w:space="0" w:color="auto"/>
                        <w:bottom w:val="none" w:sz="0" w:space="0" w:color="auto"/>
                        <w:right w:val="none" w:sz="0" w:space="0" w:color="auto"/>
                      </w:divBdr>
                      <w:divsChild>
                        <w:div w:id="366373239">
                          <w:marLeft w:val="0"/>
                          <w:marRight w:val="0"/>
                          <w:marTop w:val="0"/>
                          <w:marBottom w:val="0"/>
                          <w:divBdr>
                            <w:top w:val="single" w:sz="6" w:space="0" w:color="828282"/>
                            <w:left w:val="single" w:sz="6" w:space="0" w:color="828282"/>
                            <w:bottom w:val="single" w:sz="6" w:space="0" w:color="828282"/>
                            <w:right w:val="single" w:sz="6" w:space="0" w:color="828282"/>
                          </w:divBdr>
                          <w:divsChild>
                            <w:div w:id="1273513362">
                              <w:marLeft w:val="0"/>
                              <w:marRight w:val="0"/>
                              <w:marTop w:val="0"/>
                              <w:marBottom w:val="0"/>
                              <w:divBdr>
                                <w:top w:val="none" w:sz="0" w:space="0" w:color="auto"/>
                                <w:left w:val="none" w:sz="0" w:space="0" w:color="auto"/>
                                <w:bottom w:val="none" w:sz="0" w:space="0" w:color="auto"/>
                                <w:right w:val="none" w:sz="0" w:space="0" w:color="auto"/>
                              </w:divBdr>
                              <w:divsChild>
                                <w:div w:id="1801340351">
                                  <w:marLeft w:val="0"/>
                                  <w:marRight w:val="0"/>
                                  <w:marTop w:val="0"/>
                                  <w:marBottom w:val="0"/>
                                  <w:divBdr>
                                    <w:top w:val="none" w:sz="0" w:space="0" w:color="auto"/>
                                    <w:left w:val="none" w:sz="0" w:space="0" w:color="auto"/>
                                    <w:bottom w:val="none" w:sz="0" w:space="0" w:color="auto"/>
                                    <w:right w:val="none" w:sz="0" w:space="0" w:color="auto"/>
                                  </w:divBdr>
                                  <w:divsChild>
                                    <w:div w:id="897670940">
                                      <w:marLeft w:val="0"/>
                                      <w:marRight w:val="0"/>
                                      <w:marTop w:val="0"/>
                                      <w:marBottom w:val="0"/>
                                      <w:divBdr>
                                        <w:top w:val="none" w:sz="0" w:space="0" w:color="auto"/>
                                        <w:left w:val="none" w:sz="0" w:space="0" w:color="auto"/>
                                        <w:bottom w:val="none" w:sz="0" w:space="0" w:color="auto"/>
                                        <w:right w:val="none" w:sz="0" w:space="0" w:color="auto"/>
                                      </w:divBdr>
                                      <w:divsChild>
                                        <w:div w:id="1589382747">
                                          <w:marLeft w:val="0"/>
                                          <w:marRight w:val="0"/>
                                          <w:marTop w:val="0"/>
                                          <w:marBottom w:val="0"/>
                                          <w:divBdr>
                                            <w:top w:val="none" w:sz="0" w:space="0" w:color="auto"/>
                                            <w:left w:val="none" w:sz="0" w:space="0" w:color="auto"/>
                                            <w:bottom w:val="none" w:sz="0" w:space="0" w:color="auto"/>
                                            <w:right w:val="none" w:sz="0" w:space="0" w:color="auto"/>
                                          </w:divBdr>
                                          <w:divsChild>
                                            <w:div w:id="1421487206">
                                              <w:marLeft w:val="0"/>
                                              <w:marRight w:val="0"/>
                                              <w:marTop w:val="0"/>
                                              <w:marBottom w:val="0"/>
                                              <w:divBdr>
                                                <w:top w:val="none" w:sz="0" w:space="0" w:color="auto"/>
                                                <w:left w:val="none" w:sz="0" w:space="0" w:color="auto"/>
                                                <w:bottom w:val="none" w:sz="0" w:space="0" w:color="auto"/>
                                                <w:right w:val="none" w:sz="0" w:space="0" w:color="auto"/>
                                              </w:divBdr>
                                              <w:divsChild>
                                                <w:div w:id="4819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839716">
      <w:bodyDiv w:val="1"/>
      <w:marLeft w:val="0"/>
      <w:marRight w:val="0"/>
      <w:marTop w:val="0"/>
      <w:marBottom w:val="0"/>
      <w:divBdr>
        <w:top w:val="none" w:sz="0" w:space="0" w:color="auto"/>
        <w:left w:val="none" w:sz="0" w:space="0" w:color="auto"/>
        <w:bottom w:val="none" w:sz="0" w:space="0" w:color="auto"/>
        <w:right w:val="none" w:sz="0" w:space="0" w:color="auto"/>
      </w:divBdr>
      <w:divsChild>
        <w:div w:id="74859390">
          <w:marLeft w:val="0"/>
          <w:marRight w:val="0"/>
          <w:marTop w:val="0"/>
          <w:marBottom w:val="0"/>
          <w:divBdr>
            <w:top w:val="none" w:sz="0" w:space="0" w:color="auto"/>
            <w:left w:val="none" w:sz="0" w:space="0" w:color="auto"/>
            <w:bottom w:val="none" w:sz="0" w:space="0" w:color="auto"/>
            <w:right w:val="none" w:sz="0" w:space="0" w:color="auto"/>
          </w:divBdr>
          <w:divsChild>
            <w:div w:id="326516137">
              <w:marLeft w:val="0"/>
              <w:marRight w:val="0"/>
              <w:marTop w:val="0"/>
              <w:marBottom w:val="0"/>
              <w:divBdr>
                <w:top w:val="none" w:sz="0" w:space="0" w:color="auto"/>
                <w:left w:val="none" w:sz="0" w:space="0" w:color="auto"/>
                <w:bottom w:val="none" w:sz="0" w:space="0" w:color="auto"/>
                <w:right w:val="none" w:sz="0" w:space="0" w:color="auto"/>
              </w:divBdr>
              <w:divsChild>
                <w:div w:id="2020813864">
                  <w:marLeft w:val="0"/>
                  <w:marRight w:val="0"/>
                  <w:marTop w:val="0"/>
                  <w:marBottom w:val="0"/>
                  <w:divBdr>
                    <w:top w:val="none" w:sz="0" w:space="0" w:color="auto"/>
                    <w:left w:val="none" w:sz="0" w:space="0" w:color="auto"/>
                    <w:bottom w:val="none" w:sz="0" w:space="0" w:color="auto"/>
                    <w:right w:val="none" w:sz="0" w:space="0" w:color="auto"/>
                  </w:divBdr>
                  <w:divsChild>
                    <w:div w:id="1035041350">
                      <w:marLeft w:val="0"/>
                      <w:marRight w:val="0"/>
                      <w:marTop w:val="0"/>
                      <w:marBottom w:val="0"/>
                      <w:divBdr>
                        <w:top w:val="none" w:sz="0" w:space="0" w:color="auto"/>
                        <w:left w:val="none" w:sz="0" w:space="0" w:color="auto"/>
                        <w:bottom w:val="none" w:sz="0" w:space="0" w:color="auto"/>
                        <w:right w:val="none" w:sz="0" w:space="0" w:color="auto"/>
                      </w:divBdr>
                      <w:divsChild>
                        <w:div w:id="255865291">
                          <w:marLeft w:val="0"/>
                          <w:marRight w:val="0"/>
                          <w:marTop w:val="0"/>
                          <w:marBottom w:val="0"/>
                          <w:divBdr>
                            <w:top w:val="single" w:sz="6" w:space="0" w:color="828282"/>
                            <w:left w:val="single" w:sz="6" w:space="0" w:color="828282"/>
                            <w:bottom w:val="single" w:sz="6" w:space="0" w:color="828282"/>
                            <w:right w:val="single" w:sz="6" w:space="0" w:color="828282"/>
                          </w:divBdr>
                          <w:divsChild>
                            <w:div w:id="2116170999">
                              <w:marLeft w:val="0"/>
                              <w:marRight w:val="0"/>
                              <w:marTop w:val="0"/>
                              <w:marBottom w:val="0"/>
                              <w:divBdr>
                                <w:top w:val="none" w:sz="0" w:space="0" w:color="auto"/>
                                <w:left w:val="none" w:sz="0" w:space="0" w:color="auto"/>
                                <w:bottom w:val="none" w:sz="0" w:space="0" w:color="auto"/>
                                <w:right w:val="none" w:sz="0" w:space="0" w:color="auto"/>
                              </w:divBdr>
                              <w:divsChild>
                                <w:div w:id="1385566863">
                                  <w:marLeft w:val="0"/>
                                  <w:marRight w:val="0"/>
                                  <w:marTop w:val="0"/>
                                  <w:marBottom w:val="0"/>
                                  <w:divBdr>
                                    <w:top w:val="none" w:sz="0" w:space="0" w:color="auto"/>
                                    <w:left w:val="none" w:sz="0" w:space="0" w:color="auto"/>
                                    <w:bottom w:val="none" w:sz="0" w:space="0" w:color="auto"/>
                                    <w:right w:val="none" w:sz="0" w:space="0" w:color="auto"/>
                                  </w:divBdr>
                                  <w:divsChild>
                                    <w:div w:id="109328150">
                                      <w:marLeft w:val="0"/>
                                      <w:marRight w:val="0"/>
                                      <w:marTop w:val="0"/>
                                      <w:marBottom w:val="0"/>
                                      <w:divBdr>
                                        <w:top w:val="none" w:sz="0" w:space="0" w:color="auto"/>
                                        <w:left w:val="none" w:sz="0" w:space="0" w:color="auto"/>
                                        <w:bottom w:val="none" w:sz="0" w:space="0" w:color="auto"/>
                                        <w:right w:val="none" w:sz="0" w:space="0" w:color="auto"/>
                                      </w:divBdr>
                                      <w:divsChild>
                                        <w:div w:id="872889031">
                                          <w:marLeft w:val="0"/>
                                          <w:marRight w:val="0"/>
                                          <w:marTop w:val="0"/>
                                          <w:marBottom w:val="0"/>
                                          <w:divBdr>
                                            <w:top w:val="none" w:sz="0" w:space="0" w:color="auto"/>
                                            <w:left w:val="none" w:sz="0" w:space="0" w:color="auto"/>
                                            <w:bottom w:val="none" w:sz="0" w:space="0" w:color="auto"/>
                                            <w:right w:val="none" w:sz="0" w:space="0" w:color="auto"/>
                                          </w:divBdr>
                                          <w:divsChild>
                                            <w:div w:id="1237931786">
                                              <w:marLeft w:val="0"/>
                                              <w:marRight w:val="0"/>
                                              <w:marTop w:val="0"/>
                                              <w:marBottom w:val="0"/>
                                              <w:divBdr>
                                                <w:top w:val="none" w:sz="0" w:space="0" w:color="auto"/>
                                                <w:left w:val="none" w:sz="0" w:space="0" w:color="auto"/>
                                                <w:bottom w:val="none" w:sz="0" w:space="0" w:color="auto"/>
                                                <w:right w:val="none" w:sz="0" w:space="0" w:color="auto"/>
                                              </w:divBdr>
                                              <w:divsChild>
                                                <w:div w:id="6629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421592">
      <w:bodyDiv w:val="1"/>
      <w:marLeft w:val="0"/>
      <w:marRight w:val="0"/>
      <w:marTop w:val="0"/>
      <w:marBottom w:val="0"/>
      <w:divBdr>
        <w:top w:val="none" w:sz="0" w:space="0" w:color="auto"/>
        <w:left w:val="none" w:sz="0" w:space="0" w:color="auto"/>
        <w:bottom w:val="none" w:sz="0" w:space="0" w:color="auto"/>
        <w:right w:val="none" w:sz="0" w:space="0" w:color="auto"/>
      </w:divBdr>
      <w:divsChild>
        <w:div w:id="1728992808">
          <w:marLeft w:val="0"/>
          <w:marRight w:val="0"/>
          <w:marTop w:val="0"/>
          <w:marBottom w:val="0"/>
          <w:divBdr>
            <w:top w:val="none" w:sz="0" w:space="0" w:color="auto"/>
            <w:left w:val="none" w:sz="0" w:space="0" w:color="auto"/>
            <w:bottom w:val="none" w:sz="0" w:space="0" w:color="auto"/>
            <w:right w:val="none" w:sz="0" w:space="0" w:color="auto"/>
          </w:divBdr>
          <w:divsChild>
            <w:div w:id="1143739893">
              <w:marLeft w:val="0"/>
              <w:marRight w:val="0"/>
              <w:marTop w:val="0"/>
              <w:marBottom w:val="0"/>
              <w:divBdr>
                <w:top w:val="none" w:sz="0" w:space="0" w:color="auto"/>
                <w:left w:val="none" w:sz="0" w:space="0" w:color="auto"/>
                <w:bottom w:val="none" w:sz="0" w:space="0" w:color="auto"/>
                <w:right w:val="none" w:sz="0" w:space="0" w:color="auto"/>
              </w:divBdr>
              <w:divsChild>
                <w:div w:id="15010895">
                  <w:marLeft w:val="0"/>
                  <w:marRight w:val="0"/>
                  <w:marTop w:val="0"/>
                  <w:marBottom w:val="0"/>
                  <w:divBdr>
                    <w:top w:val="none" w:sz="0" w:space="0" w:color="auto"/>
                    <w:left w:val="none" w:sz="0" w:space="0" w:color="auto"/>
                    <w:bottom w:val="none" w:sz="0" w:space="0" w:color="auto"/>
                    <w:right w:val="none" w:sz="0" w:space="0" w:color="auto"/>
                  </w:divBdr>
                  <w:divsChild>
                    <w:div w:id="17315200">
                      <w:marLeft w:val="0"/>
                      <w:marRight w:val="0"/>
                      <w:marTop w:val="0"/>
                      <w:marBottom w:val="0"/>
                      <w:divBdr>
                        <w:top w:val="none" w:sz="0" w:space="0" w:color="auto"/>
                        <w:left w:val="none" w:sz="0" w:space="0" w:color="auto"/>
                        <w:bottom w:val="none" w:sz="0" w:space="0" w:color="auto"/>
                        <w:right w:val="none" w:sz="0" w:space="0" w:color="auto"/>
                      </w:divBdr>
                      <w:divsChild>
                        <w:div w:id="1097754234">
                          <w:marLeft w:val="0"/>
                          <w:marRight w:val="0"/>
                          <w:marTop w:val="0"/>
                          <w:marBottom w:val="0"/>
                          <w:divBdr>
                            <w:top w:val="single" w:sz="6" w:space="0" w:color="828282"/>
                            <w:left w:val="single" w:sz="6" w:space="0" w:color="828282"/>
                            <w:bottom w:val="single" w:sz="6" w:space="0" w:color="828282"/>
                            <w:right w:val="single" w:sz="6" w:space="0" w:color="828282"/>
                          </w:divBdr>
                          <w:divsChild>
                            <w:div w:id="1085767050">
                              <w:marLeft w:val="0"/>
                              <w:marRight w:val="0"/>
                              <w:marTop w:val="0"/>
                              <w:marBottom w:val="0"/>
                              <w:divBdr>
                                <w:top w:val="none" w:sz="0" w:space="0" w:color="auto"/>
                                <w:left w:val="none" w:sz="0" w:space="0" w:color="auto"/>
                                <w:bottom w:val="none" w:sz="0" w:space="0" w:color="auto"/>
                                <w:right w:val="none" w:sz="0" w:space="0" w:color="auto"/>
                              </w:divBdr>
                              <w:divsChild>
                                <w:div w:id="196545915">
                                  <w:marLeft w:val="0"/>
                                  <w:marRight w:val="0"/>
                                  <w:marTop w:val="0"/>
                                  <w:marBottom w:val="0"/>
                                  <w:divBdr>
                                    <w:top w:val="none" w:sz="0" w:space="0" w:color="auto"/>
                                    <w:left w:val="none" w:sz="0" w:space="0" w:color="auto"/>
                                    <w:bottom w:val="none" w:sz="0" w:space="0" w:color="auto"/>
                                    <w:right w:val="none" w:sz="0" w:space="0" w:color="auto"/>
                                  </w:divBdr>
                                  <w:divsChild>
                                    <w:div w:id="1602177006">
                                      <w:marLeft w:val="0"/>
                                      <w:marRight w:val="0"/>
                                      <w:marTop w:val="0"/>
                                      <w:marBottom w:val="0"/>
                                      <w:divBdr>
                                        <w:top w:val="none" w:sz="0" w:space="0" w:color="auto"/>
                                        <w:left w:val="none" w:sz="0" w:space="0" w:color="auto"/>
                                        <w:bottom w:val="none" w:sz="0" w:space="0" w:color="auto"/>
                                        <w:right w:val="none" w:sz="0" w:space="0" w:color="auto"/>
                                      </w:divBdr>
                                      <w:divsChild>
                                        <w:div w:id="848644257">
                                          <w:marLeft w:val="0"/>
                                          <w:marRight w:val="0"/>
                                          <w:marTop w:val="0"/>
                                          <w:marBottom w:val="0"/>
                                          <w:divBdr>
                                            <w:top w:val="none" w:sz="0" w:space="0" w:color="auto"/>
                                            <w:left w:val="none" w:sz="0" w:space="0" w:color="auto"/>
                                            <w:bottom w:val="none" w:sz="0" w:space="0" w:color="auto"/>
                                            <w:right w:val="none" w:sz="0" w:space="0" w:color="auto"/>
                                          </w:divBdr>
                                          <w:divsChild>
                                            <w:div w:id="434322517">
                                              <w:marLeft w:val="0"/>
                                              <w:marRight w:val="0"/>
                                              <w:marTop w:val="0"/>
                                              <w:marBottom w:val="0"/>
                                              <w:divBdr>
                                                <w:top w:val="none" w:sz="0" w:space="0" w:color="auto"/>
                                                <w:left w:val="none" w:sz="0" w:space="0" w:color="auto"/>
                                                <w:bottom w:val="none" w:sz="0" w:space="0" w:color="auto"/>
                                                <w:right w:val="none" w:sz="0" w:space="0" w:color="auto"/>
                                              </w:divBdr>
                                              <w:divsChild>
                                                <w:div w:id="332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755187">
      <w:bodyDiv w:val="1"/>
      <w:marLeft w:val="0"/>
      <w:marRight w:val="0"/>
      <w:marTop w:val="0"/>
      <w:marBottom w:val="0"/>
      <w:divBdr>
        <w:top w:val="none" w:sz="0" w:space="0" w:color="auto"/>
        <w:left w:val="none" w:sz="0" w:space="0" w:color="auto"/>
        <w:bottom w:val="none" w:sz="0" w:space="0" w:color="auto"/>
        <w:right w:val="none" w:sz="0" w:space="0" w:color="auto"/>
      </w:divBdr>
      <w:divsChild>
        <w:div w:id="1443110029">
          <w:marLeft w:val="0"/>
          <w:marRight w:val="0"/>
          <w:marTop w:val="0"/>
          <w:marBottom w:val="0"/>
          <w:divBdr>
            <w:top w:val="none" w:sz="0" w:space="0" w:color="auto"/>
            <w:left w:val="none" w:sz="0" w:space="0" w:color="auto"/>
            <w:bottom w:val="none" w:sz="0" w:space="0" w:color="auto"/>
            <w:right w:val="none" w:sz="0" w:space="0" w:color="auto"/>
          </w:divBdr>
          <w:divsChild>
            <w:div w:id="60102947">
              <w:marLeft w:val="0"/>
              <w:marRight w:val="0"/>
              <w:marTop w:val="0"/>
              <w:marBottom w:val="0"/>
              <w:divBdr>
                <w:top w:val="none" w:sz="0" w:space="0" w:color="auto"/>
                <w:left w:val="none" w:sz="0" w:space="0" w:color="auto"/>
                <w:bottom w:val="none" w:sz="0" w:space="0" w:color="auto"/>
                <w:right w:val="none" w:sz="0" w:space="0" w:color="auto"/>
              </w:divBdr>
              <w:divsChild>
                <w:div w:id="1580552665">
                  <w:marLeft w:val="0"/>
                  <w:marRight w:val="0"/>
                  <w:marTop w:val="0"/>
                  <w:marBottom w:val="0"/>
                  <w:divBdr>
                    <w:top w:val="none" w:sz="0" w:space="0" w:color="auto"/>
                    <w:left w:val="none" w:sz="0" w:space="0" w:color="auto"/>
                    <w:bottom w:val="none" w:sz="0" w:space="0" w:color="auto"/>
                    <w:right w:val="none" w:sz="0" w:space="0" w:color="auto"/>
                  </w:divBdr>
                  <w:divsChild>
                    <w:div w:id="1129399440">
                      <w:marLeft w:val="0"/>
                      <w:marRight w:val="0"/>
                      <w:marTop w:val="0"/>
                      <w:marBottom w:val="0"/>
                      <w:divBdr>
                        <w:top w:val="none" w:sz="0" w:space="0" w:color="auto"/>
                        <w:left w:val="none" w:sz="0" w:space="0" w:color="auto"/>
                        <w:bottom w:val="none" w:sz="0" w:space="0" w:color="auto"/>
                        <w:right w:val="none" w:sz="0" w:space="0" w:color="auto"/>
                      </w:divBdr>
                      <w:divsChild>
                        <w:div w:id="1920862774">
                          <w:marLeft w:val="0"/>
                          <w:marRight w:val="0"/>
                          <w:marTop w:val="0"/>
                          <w:marBottom w:val="0"/>
                          <w:divBdr>
                            <w:top w:val="single" w:sz="6" w:space="0" w:color="828282"/>
                            <w:left w:val="single" w:sz="6" w:space="0" w:color="828282"/>
                            <w:bottom w:val="single" w:sz="6" w:space="0" w:color="828282"/>
                            <w:right w:val="single" w:sz="6" w:space="0" w:color="828282"/>
                          </w:divBdr>
                          <w:divsChild>
                            <w:div w:id="1825853061">
                              <w:marLeft w:val="0"/>
                              <w:marRight w:val="0"/>
                              <w:marTop w:val="0"/>
                              <w:marBottom w:val="0"/>
                              <w:divBdr>
                                <w:top w:val="none" w:sz="0" w:space="0" w:color="auto"/>
                                <w:left w:val="none" w:sz="0" w:space="0" w:color="auto"/>
                                <w:bottom w:val="none" w:sz="0" w:space="0" w:color="auto"/>
                                <w:right w:val="none" w:sz="0" w:space="0" w:color="auto"/>
                              </w:divBdr>
                              <w:divsChild>
                                <w:div w:id="1793089235">
                                  <w:marLeft w:val="0"/>
                                  <w:marRight w:val="0"/>
                                  <w:marTop w:val="0"/>
                                  <w:marBottom w:val="0"/>
                                  <w:divBdr>
                                    <w:top w:val="none" w:sz="0" w:space="0" w:color="auto"/>
                                    <w:left w:val="none" w:sz="0" w:space="0" w:color="auto"/>
                                    <w:bottom w:val="none" w:sz="0" w:space="0" w:color="auto"/>
                                    <w:right w:val="none" w:sz="0" w:space="0" w:color="auto"/>
                                  </w:divBdr>
                                  <w:divsChild>
                                    <w:div w:id="2078818818">
                                      <w:marLeft w:val="0"/>
                                      <w:marRight w:val="0"/>
                                      <w:marTop w:val="0"/>
                                      <w:marBottom w:val="0"/>
                                      <w:divBdr>
                                        <w:top w:val="none" w:sz="0" w:space="0" w:color="auto"/>
                                        <w:left w:val="none" w:sz="0" w:space="0" w:color="auto"/>
                                        <w:bottom w:val="none" w:sz="0" w:space="0" w:color="auto"/>
                                        <w:right w:val="none" w:sz="0" w:space="0" w:color="auto"/>
                                      </w:divBdr>
                                      <w:divsChild>
                                        <w:div w:id="1071662488">
                                          <w:marLeft w:val="0"/>
                                          <w:marRight w:val="0"/>
                                          <w:marTop w:val="0"/>
                                          <w:marBottom w:val="0"/>
                                          <w:divBdr>
                                            <w:top w:val="none" w:sz="0" w:space="0" w:color="auto"/>
                                            <w:left w:val="none" w:sz="0" w:space="0" w:color="auto"/>
                                            <w:bottom w:val="none" w:sz="0" w:space="0" w:color="auto"/>
                                            <w:right w:val="none" w:sz="0" w:space="0" w:color="auto"/>
                                          </w:divBdr>
                                          <w:divsChild>
                                            <w:div w:id="928781839">
                                              <w:marLeft w:val="0"/>
                                              <w:marRight w:val="0"/>
                                              <w:marTop w:val="0"/>
                                              <w:marBottom w:val="0"/>
                                              <w:divBdr>
                                                <w:top w:val="none" w:sz="0" w:space="0" w:color="auto"/>
                                                <w:left w:val="none" w:sz="0" w:space="0" w:color="auto"/>
                                                <w:bottom w:val="none" w:sz="0" w:space="0" w:color="auto"/>
                                                <w:right w:val="none" w:sz="0" w:space="0" w:color="auto"/>
                                              </w:divBdr>
                                              <w:divsChild>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903564">
      <w:bodyDiv w:val="1"/>
      <w:marLeft w:val="0"/>
      <w:marRight w:val="0"/>
      <w:marTop w:val="0"/>
      <w:marBottom w:val="0"/>
      <w:divBdr>
        <w:top w:val="none" w:sz="0" w:space="0" w:color="auto"/>
        <w:left w:val="none" w:sz="0" w:space="0" w:color="auto"/>
        <w:bottom w:val="none" w:sz="0" w:space="0" w:color="auto"/>
        <w:right w:val="none" w:sz="0" w:space="0" w:color="auto"/>
      </w:divBdr>
      <w:divsChild>
        <w:div w:id="1819763291">
          <w:marLeft w:val="0"/>
          <w:marRight w:val="0"/>
          <w:marTop w:val="0"/>
          <w:marBottom w:val="0"/>
          <w:divBdr>
            <w:top w:val="none" w:sz="0" w:space="0" w:color="auto"/>
            <w:left w:val="none" w:sz="0" w:space="0" w:color="auto"/>
            <w:bottom w:val="none" w:sz="0" w:space="0" w:color="auto"/>
            <w:right w:val="none" w:sz="0" w:space="0" w:color="auto"/>
          </w:divBdr>
          <w:divsChild>
            <w:div w:id="359400641">
              <w:marLeft w:val="0"/>
              <w:marRight w:val="0"/>
              <w:marTop w:val="0"/>
              <w:marBottom w:val="0"/>
              <w:divBdr>
                <w:top w:val="none" w:sz="0" w:space="0" w:color="auto"/>
                <w:left w:val="none" w:sz="0" w:space="0" w:color="auto"/>
                <w:bottom w:val="none" w:sz="0" w:space="0" w:color="auto"/>
                <w:right w:val="none" w:sz="0" w:space="0" w:color="auto"/>
              </w:divBdr>
              <w:divsChild>
                <w:div w:id="24596056">
                  <w:marLeft w:val="0"/>
                  <w:marRight w:val="0"/>
                  <w:marTop w:val="0"/>
                  <w:marBottom w:val="0"/>
                  <w:divBdr>
                    <w:top w:val="none" w:sz="0" w:space="0" w:color="auto"/>
                    <w:left w:val="none" w:sz="0" w:space="0" w:color="auto"/>
                    <w:bottom w:val="none" w:sz="0" w:space="0" w:color="auto"/>
                    <w:right w:val="none" w:sz="0" w:space="0" w:color="auto"/>
                  </w:divBdr>
                  <w:divsChild>
                    <w:div w:id="1093238699">
                      <w:marLeft w:val="0"/>
                      <w:marRight w:val="0"/>
                      <w:marTop w:val="0"/>
                      <w:marBottom w:val="0"/>
                      <w:divBdr>
                        <w:top w:val="none" w:sz="0" w:space="0" w:color="auto"/>
                        <w:left w:val="none" w:sz="0" w:space="0" w:color="auto"/>
                        <w:bottom w:val="none" w:sz="0" w:space="0" w:color="auto"/>
                        <w:right w:val="none" w:sz="0" w:space="0" w:color="auto"/>
                      </w:divBdr>
                      <w:divsChild>
                        <w:div w:id="1217277860">
                          <w:marLeft w:val="0"/>
                          <w:marRight w:val="0"/>
                          <w:marTop w:val="0"/>
                          <w:marBottom w:val="0"/>
                          <w:divBdr>
                            <w:top w:val="none" w:sz="0" w:space="0" w:color="auto"/>
                            <w:left w:val="none" w:sz="0" w:space="0" w:color="auto"/>
                            <w:bottom w:val="none" w:sz="0" w:space="0" w:color="auto"/>
                            <w:right w:val="none" w:sz="0" w:space="0" w:color="auto"/>
                          </w:divBdr>
                          <w:divsChild>
                            <w:div w:id="1369449183">
                              <w:marLeft w:val="0"/>
                              <w:marRight w:val="0"/>
                              <w:marTop w:val="0"/>
                              <w:marBottom w:val="0"/>
                              <w:divBdr>
                                <w:top w:val="single" w:sz="6" w:space="0" w:color="828282"/>
                                <w:left w:val="single" w:sz="6" w:space="0" w:color="828282"/>
                                <w:bottom w:val="single" w:sz="6" w:space="0" w:color="828282"/>
                                <w:right w:val="single" w:sz="6" w:space="0" w:color="828282"/>
                              </w:divBdr>
                              <w:divsChild>
                                <w:div w:id="1429620763">
                                  <w:marLeft w:val="0"/>
                                  <w:marRight w:val="0"/>
                                  <w:marTop w:val="0"/>
                                  <w:marBottom w:val="0"/>
                                  <w:divBdr>
                                    <w:top w:val="none" w:sz="0" w:space="0" w:color="auto"/>
                                    <w:left w:val="none" w:sz="0" w:space="0" w:color="auto"/>
                                    <w:bottom w:val="none" w:sz="0" w:space="0" w:color="auto"/>
                                    <w:right w:val="none" w:sz="0" w:space="0" w:color="auto"/>
                                  </w:divBdr>
                                  <w:divsChild>
                                    <w:div w:id="1725567279">
                                      <w:marLeft w:val="0"/>
                                      <w:marRight w:val="0"/>
                                      <w:marTop w:val="0"/>
                                      <w:marBottom w:val="0"/>
                                      <w:divBdr>
                                        <w:top w:val="none" w:sz="0" w:space="0" w:color="auto"/>
                                        <w:left w:val="none" w:sz="0" w:space="0" w:color="auto"/>
                                        <w:bottom w:val="none" w:sz="0" w:space="0" w:color="auto"/>
                                        <w:right w:val="none" w:sz="0" w:space="0" w:color="auto"/>
                                      </w:divBdr>
                                      <w:divsChild>
                                        <w:div w:id="1872574567">
                                          <w:marLeft w:val="0"/>
                                          <w:marRight w:val="0"/>
                                          <w:marTop w:val="0"/>
                                          <w:marBottom w:val="0"/>
                                          <w:divBdr>
                                            <w:top w:val="none" w:sz="0" w:space="0" w:color="auto"/>
                                            <w:left w:val="none" w:sz="0" w:space="0" w:color="auto"/>
                                            <w:bottom w:val="none" w:sz="0" w:space="0" w:color="auto"/>
                                            <w:right w:val="none" w:sz="0" w:space="0" w:color="auto"/>
                                          </w:divBdr>
                                          <w:divsChild>
                                            <w:div w:id="1691563818">
                                              <w:marLeft w:val="0"/>
                                              <w:marRight w:val="0"/>
                                              <w:marTop w:val="0"/>
                                              <w:marBottom w:val="0"/>
                                              <w:divBdr>
                                                <w:top w:val="none" w:sz="0" w:space="0" w:color="auto"/>
                                                <w:left w:val="none" w:sz="0" w:space="0" w:color="auto"/>
                                                <w:bottom w:val="none" w:sz="0" w:space="0" w:color="auto"/>
                                                <w:right w:val="none" w:sz="0" w:space="0" w:color="auto"/>
                                              </w:divBdr>
                                              <w:divsChild>
                                                <w:div w:id="1782917085">
                                                  <w:marLeft w:val="0"/>
                                                  <w:marRight w:val="0"/>
                                                  <w:marTop w:val="0"/>
                                                  <w:marBottom w:val="0"/>
                                                  <w:divBdr>
                                                    <w:top w:val="none" w:sz="0" w:space="0" w:color="auto"/>
                                                    <w:left w:val="none" w:sz="0" w:space="0" w:color="auto"/>
                                                    <w:bottom w:val="none" w:sz="0" w:space="0" w:color="auto"/>
                                                    <w:right w:val="none" w:sz="0" w:space="0" w:color="auto"/>
                                                  </w:divBdr>
                                                  <w:divsChild>
                                                    <w:div w:id="1196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889933">
      <w:bodyDiv w:val="1"/>
      <w:marLeft w:val="0"/>
      <w:marRight w:val="0"/>
      <w:marTop w:val="0"/>
      <w:marBottom w:val="0"/>
      <w:divBdr>
        <w:top w:val="none" w:sz="0" w:space="0" w:color="auto"/>
        <w:left w:val="none" w:sz="0" w:space="0" w:color="auto"/>
        <w:bottom w:val="none" w:sz="0" w:space="0" w:color="auto"/>
        <w:right w:val="none" w:sz="0" w:space="0" w:color="auto"/>
      </w:divBdr>
      <w:divsChild>
        <w:div w:id="2089573298">
          <w:marLeft w:val="0"/>
          <w:marRight w:val="0"/>
          <w:marTop w:val="0"/>
          <w:marBottom w:val="0"/>
          <w:divBdr>
            <w:top w:val="none" w:sz="0" w:space="0" w:color="auto"/>
            <w:left w:val="none" w:sz="0" w:space="0" w:color="auto"/>
            <w:bottom w:val="none" w:sz="0" w:space="0" w:color="auto"/>
            <w:right w:val="none" w:sz="0" w:space="0" w:color="auto"/>
          </w:divBdr>
          <w:divsChild>
            <w:div w:id="1002051395">
              <w:marLeft w:val="0"/>
              <w:marRight w:val="0"/>
              <w:marTop w:val="0"/>
              <w:marBottom w:val="0"/>
              <w:divBdr>
                <w:top w:val="none" w:sz="0" w:space="0" w:color="auto"/>
                <w:left w:val="none" w:sz="0" w:space="0" w:color="auto"/>
                <w:bottom w:val="none" w:sz="0" w:space="0" w:color="auto"/>
                <w:right w:val="none" w:sz="0" w:space="0" w:color="auto"/>
              </w:divBdr>
              <w:divsChild>
                <w:div w:id="732200603">
                  <w:marLeft w:val="0"/>
                  <w:marRight w:val="0"/>
                  <w:marTop w:val="0"/>
                  <w:marBottom w:val="0"/>
                  <w:divBdr>
                    <w:top w:val="none" w:sz="0" w:space="0" w:color="auto"/>
                    <w:left w:val="none" w:sz="0" w:space="0" w:color="auto"/>
                    <w:bottom w:val="none" w:sz="0" w:space="0" w:color="auto"/>
                    <w:right w:val="none" w:sz="0" w:space="0" w:color="auto"/>
                  </w:divBdr>
                  <w:divsChild>
                    <w:div w:id="14819141">
                      <w:marLeft w:val="0"/>
                      <w:marRight w:val="0"/>
                      <w:marTop w:val="0"/>
                      <w:marBottom w:val="0"/>
                      <w:divBdr>
                        <w:top w:val="none" w:sz="0" w:space="0" w:color="auto"/>
                        <w:left w:val="none" w:sz="0" w:space="0" w:color="auto"/>
                        <w:bottom w:val="none" w:sz="0" w:space="0" w:color="auto"/>
                        <w:right w:val="none" w:sz="0" w:space="0" w:color="auto"/>
                      </w:divBdr>
                      <w:divsChild>
                        <w:div w:id="1733384128">
                          <w:marLeft w:val="0"/>
                          <w:marRight w:val="0"/>
                          <w:marTop w:val="0"/>
                          <w:marBottom w:val="0"/>
                          <w:divBdr>
                            <w:top w:val="single" w:sz="6" w:space="0" w:color="828282"/>
                            <w:left w:val="single" w:sz="6" w:space="0" w:color="828282"/>
                            <w:bottom w:val="single" w:sz="6" w:space="0" w:color="828282"/>
                            <w:right w:val="single" w:sz="6" w:space="0" w:color="828282"/>
                          </w:divBdr>
                          <w:divsChild>
                            <w:div w:id="1655332990">
                              <w:marLeft w:val="0"/>
                              <w:marRight w:val="0"/>
                              <w:marTop w:val="0"/>
                              <w:marBottom w:val="0"/>
                              <w:divBdr>
                                <w:top w:val="none" w:sz="0" w:space="0" w:color="auto"/>
                                <w:left w:val="none" w:sz="0" w:space="0" w:color="auto"/>
                                <w:bottom w:val="none" w:sz="0" w:space="0" w:color="auto"/>
                                <w:right w:val="none" w:sz="0" w:space="0" w:color="auto"/>
                              </w:divBdr>
                              <w:divsChild>
                                <w:div w:id="1683437781">
                                  <w:marLeft w:val="0"/>
                                  <w:marRight w:val="0"/>
                                  <w:marTop w:val="0"/>
                                  <w:marBottom w:val="0"/>
                                  <w:divBdr>
                                    <w:top w:val="none" w:sz="0" w:space="0" w:color="auto"/>
                                    <w:left w:val="none" w:sz="0" w:space="0" w:color="auto"/>
                                    <w:bottom w:val="none" w:sz="0" w:space="0" w:color="auto"/>
                                    <w:right w:val="none" w:sz="0" w:space="0" w:color="auto"/>
                                  </w:divBdr>
                                  <w:divsChild>
                                    <w:div w:id="1113789841">
                                      <w:marLeft w:val="0"/>
                                      <w:marRight w:val="0"/>
                                      <w:marTop w:val="0"/>
                                      <w:marBottom w:val="0"/>
                                      <w:divBdr>
                                        <w:top w:val="none" w:sz="0" w:space="0" w:color="auto"/>
                                        <w:left w:val="none" w:sz="0" w:space="0" w:color="auto"/>
                                        <w:bottom w:val="none" w:sz="0" w:space="0" w:color="auto"/>
                                        <w:right w:val="none" w:sz="0" w:space="0" w:color="auto"/>
                                      </w:divBdr>
                                      <w:divsChild>
                                        <w:div w:id="1215003071">
                                          <w:marLeft w:val="0"/>
                                          <w:marRight w:val="0"/>
                                          <w:marTop w:val="0"/>
                                          <w:marBottom w:val="0"/>
                                          <w:divBdr>
                                            <w:top w:val="none" w:sz="0" w:space="0" w:color="auto"/>
                                            <w:left w:val="none" w:sz="0" w:space="0" w:color="auto"/>
                                            <w:bottom w:val="none" w:sz="0" w:space="0" w:color="auto"/>
                                            <w:right w:val="none" w:sz="0" w:space="0" w:color="auto"/>
                                          </w:divBdr>
                                          <w:divsChild>
                                            <w:div w:id="1456826727">
                                              <w:marLeft w:val="0"/>
                                              <w:marRight w:val="0"/>
                                              <w:marTop w:val="0"/>
                                              <w:marBottom w:val="0"/>
                                              <w:divBdr>
                                                <w:top w:val="none" w:sz="0" w:space="0" w:color="auto"/>
                                                <w:left w:val="none" w:sz="0" w:space="0" w:color="auto"/>
                                                <w:bottom w:val="none" w:sz="0" w:space="0" w:color="auto"/>
                                                <w:right w:val="none" w:sz="0" w:space="0" w:color="auto"/>
                                              </w:divBdr>
                                              <w:divsChild>
                                                <w:div w:id="9465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643675">
      <w:bodyDiv w:val="1"/>
      <w:marLeft w:val="0"/>
      <w:marRight w:val="0"/>
      <w:marTop w:val="0"/>
      <w:marBottom w:val="0"/>
      <w:divBdr>
        <w:top w:val="none" w:sz="0" w:space="0" w:color="auto"/>
        <w:left w:val="none" w:sz="0" w:space="0" w:color="auto"/>
        <w:bottom w:val="none" w:sz="0" w:space="0" w:color="auto"/>
        <w:right w:val="none" w:sz="0" w:space="0" w:color="auto"/>
      </w:divBdr>
      <w:divsChild>
        <w:div w:id="1225291577">
          <w:marLeft w:val="0"/>
          <w:marRight w:val="0"/>
          <w:marTop w:val="0"/>
          <w:marBottom w:val="0"/>
          <w:divBdr>
            <w:top w:val="none" w:sz="0" w:space="0" w:color="auto"/>
            <w:left w:val="none" w:sz="0" w:space="0" w:color="auto"/>
            <w:bottom w:val="none" w:sz="0" w:space="0" w:color="auto"/>
            <w:right w:val="none" w:sz="0" w:space="0" w:color="auto"/>
          </w:divBdr>
          <w:divsChild>
            <w:div w:id="1072778250">
              <w:marLeft w:val="0"/>
              <w:marRight w:val="0"/>
              <w:marTop w:val="0"/>
              <w:marBottom w:val="0"/>
              <w:divBdr>
                <w:top w:val="none" w:sz="0" w:space="0" w:color="auto"/>
                <w:left w:val="none" w:sz="0" w:space="0" w:color="auto"/>
                <w:bottom w:val="none" w:sz="0" w:space="0" w:color="auto"/>
                <w:right w:val="none" w:sz="0" w:space="0" w:color="auto"/>
              </w:divBdr>
              <w:divsChild>
                <w:div w:id="311062691">
                  <w:marLeft w:val="0"/>
                  <w:marRight w:val="0"/>
                  <w:marTop w:val="0"/>
                  <w:marBottom w:val="0"/>
                  <w:divBdr>
                    <w:top w:val="none" w:sz="0" w:space="0" w:color="auto"/>
                    <w:left w:val="none" w:sz="0" w:space="0" w:color="auto"/>
                    <w:bottom w:val="none" w:sz="0" w:space="0" w:color="auto"/>
                    <w:right w:val="none" w:sz="0" w:space="0" w:color="auto"/>
                  </w:divBdr>
                  <w:divsChild>
                    <w:div w:id="1779565855">
                      <w:marLeft w:val="0"/>
                      <w:marRight w:val="0"/>
                      <w:marTop w:val="0"/>
                      <w:marBottom w:val="0"/>
                      <w:divBdr>
                        <w:top w:val="none" w:sz="0" w:space="0" w:color="auto"/>
                        <w:left w:val="none" w:sz="0" w:space="0" w:color="auto"/>
                        <w:bottom w:val="none" w:sz="0" w:space="0" w:color="auto"/>
                        <w:right w:val="none" w:sz="0" w:space="0" w:color="auto"/>
                      </w:divBdr>
                      <w:divsChild>
                        <w:div w:id="1608151361">
                          <w:marLeft w:val="0"/>
                          <w:marRight w:val="0"/>
                          <w:marTop w:val="0"/>
                          <w:marBottom w:val="0"/>
                          <w:divBdr>
                            <w:top w:val="single" w:sz="6" w:space="0" w:color="828282"/>
                            <w:left w:val="single" w:sz="6" w:space="0" w:color="828282"/>
                            <w:bottom w:val="single" w:sz="6" w:space="0" w:color="828282"/>
                            <w:right w:val="single" w:sz="6" w:space="0" w:color="828282"/>
                          </w:divBdr>
                          <w:divsChild>
                            <w:div w:id="1749502443">
                              <w:marLeft w:val="0"/>
                              <w:marRight w:val="0"/>
                              <w:marTop w:val="0"/>
                              <w:marBottom w:val="0"/>
                              <w:divBdr>
                                <w:top w:val="none" w:sz="0" w:space="0" w:color="auto"/>
                                <w:left w:val="none" w:sz="0" w:space="0" w:color="auto"/>
                                <w:bottom w:val="none" w:sz="0" w:space="0" w:color="auto"/>
                                <w:right w:val="none" w:sz="0" w:space="0" w:color="auto"/>
                              </w:divBdr>
                              <w:divsChild>
                                <w:div w:id="833640280">
                                  <w:marLeft w:val="0"/>
                                  <w:marRight w:val="0"/>
                                  <w:marTop w:val="0"/>
                                  <w:marBottom w:val="0"/>
                                  <w:divBdr>
                                    <w:top w:val="none" w:sz="0" w:space="0" w:color="auto"/>
                                    <w:left w:val="none" w:sz="0" w:space="0" w:color="auto"/>
                                    <w:bottom w:val="none" w:sz="0" w:space="0" w:color="auto"/>
                                    <w:right w:val="none" w:sz="0" w:space="0" w:color="auto"/>
                                  </w:divBdr>
                                  <w:divsChild>
                                    <w:div w:id="669988045">
                                      <w:marLeft w:val="0"/>
                                      <w:marRight w:val="0"/>
                                      <w:marTop w:val="0"/>
                                      <w:marBottom w:val="0"/>
                                      <w:divBdr>
                                        <w:top w:val="none" w:sz="0" w:space="0" w:color="auto"/>
                                        <w:left w:val="none" w:sz="0" w:space="0" w:color="auto"/>
                                        <w:bottom w:val="none" w:sz="0" w:space="0" w:color="auto"/>
                                        <w:right w:val="none" w:sz="0" w:space="0" w:color="auto"/>
                                      </w:divBdr>
                                      <w:divsChild>
                                        <w:div w:id="66659175">
                                          <w:marLeft w:val="0"/>
                                          <w:marRight w:val="0"/>
                                          <w:marTop w:val="0"/>
                                          <w:marBottom w:val="0"/>
                                          <w:divBdr>
                                            <w:top w:val="none" w:sz="0" w:space="0" w:color="auto"/>
                                            <w:left w:val="none" w:sz="0" w:space="0" w:color="auto"/>
                                            <w:bottom w:val="none" w:sz="0" w:space="0" w:color="auto"/>
                                            <w:right w:val="none" w:sz="0" w:space="0" w:color="auto"/>
                                          </w:divBdr>
                                          <w:divsChild>
                                            <w:div w:id="1201162232">
                                              <w:marLeft w:val="0"/>
                                              <w:marRight w:val="0"/>
                                              <w:marTop w:val="0"/>
                                              <w:marBottom w:val="0"/>
                                              <w:divBdr>
                                                <w:top w:val="none" w:sz="0" w:space="0" w:color="auto"/>
                                                <w:left w:val="none" w:sz="0" w:space="0" w:color="auto"/>
                                                <w:bottom w:val="none" w:sz="0" w:space="0" w:color="auto"/>
                                                <w:right w:val="none" w:sz="0" w:space="0" w:color="auto"/>
                                              </w:divBdr>
                                              <w:divsChild>
                                                <w:div w:id="20317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1600186">
      <w:bodyDiv w:val="1"/>
      <w:marLeft w:val="0"/>
      <w:marRight w:val="0"/>
      <w:marTop w:val="0"/>
      <w:marBottom w:val="0"/>
      <w:divBdr>
        <w:top w:val="none" w:sz="0" w:space="0" w:color="auto"/>
        <w:left w:val="none" w:sz="0" w:space="0" w:color="auto"/>
        <w:bottom w:val="none" w:sz="0" w:space="0" w:color="auto"/>
        <w:right w:val="none" w:sz="0" w:space="0" w:color="auto"/>
      </w:divBdr>
      <w:divsChild>
        <w:div w:id="424495586">
          <w:marLeft w:val="0"/>
          <w:marRight w:val="0"/>
          <w:marTop w:val="0"/>
          <w:marBottom w:val="0"/>
          <w:divBdr>
            <w:top w:val="none" w:sz="0" w:space="0" w:color="auto"/>
            <w:left w:val="none" w:sz="0" w:space="0" w:color="auto"/>
            <w:bottom w:val="none" w:sz="0" w:space="0" w:color="auto"/>
            <w:right w:val="none" w:sz="0" w:space="0" w:color="auto"/>
          </w:divBdr>
          <w:divsChild>
            <w:div w:id="1046563205">
              <w:marLeft w:val="0"/>
              <w:marRight w:val="0"/>
              <w:marTop w:val="0"/>
              <w:marBottom w:val="0"/>
              <w:divBdr>
                <w:top w:val="none" w:sz="0" w:space="0" w:color="auto"/>
                <w:left w:val="none" w:sz="0" w:space="0" w:color="auto"/>
                <w:bottom w:val="none" w:sz="0" w:space="0" w:color="auto"/>
                <w:right w:val="none" w:sz="0" w:space="0" w:color="auto"/>
              </w:divBdr>
              <w:divsChild>
                <w:div w:id="1104303068">
                  <w:marLeft w:val="0"/>
                  <w:marRight w:val="0"/>
                  <w:marTop w:val="0"/>
                  <w:marBottom w:val="0"/>
                  <w:divBdr>
                    <w:top w:val="none" w:sz="0" w:space="0" w:color="auto"/>
                    <w:left w:val="none" w:sz="0" w:space="0" w:color="auto"/>
                    <w:bottom w:val="none" w:sz="0" w:space="0" w:color="auto"/>
                    <w:right w:val="none" w:sz="0" w:space="0" w:color="auto"/>
                  </w:divBdr>
                  <w:divsChild>
                    <w:div w:id="420222175">
                      <w:marLeft w:val="0"/>
                      <w:marRight w:val="0"/>
                      <w:marTop w:val="0"/>
                      <w:marBottom w:val="0"/>
                      <w:divBdr>
                        <w:top w:val="none" w:sz="0" w:space="0" w:color="auto"/>
                        <w:left w:val="none" w:sz="0" w:space="0" w:color="auto"/>
                        <w:bottom w:val="none" w:sz="0" w:space="0" w:color="auto"/>
                        <w:right w:val="none" w:sz="0" w:space="0" w:color="auto"/>
                      </w:divBdr>
                      <w:divsChild>
                        <w:div w:id="108594454">
                          <w:marLeft w:val="0"/>
                          <w:marRight w:val="0"/>
                          <w:marTop w:val="0"/>
                          <w:marBottom w:val="0"/>
                          <w:divBdr>
                            <w:top w:val="single" w:sz="6" w:space="0" w:color="828282"/>
                            <w:left w:val="single" w:sz="6" w:space="0" w:color="828282"/>
                            <w:bottom w:val="single" w:sz="6" w:space="0" w:color="828282"/>
                            <w:right w:val="single" w:sz="6" w:space="0" w:color="828282"/>
                          </w:divBdr>
                          <w:divsChild>
                            <w:div w:id="522788379">
                              <w:marLeft w:val="0"/>
                              <w:marRight w:val="0"/>
                              <w:marTop w:val="0"/>
                              <w:marBottom w:val="0"/>
                              <w:divBdr>
                                <w:top w:val="none" w:sz="0" w:space="0" w:color="auto"/>
                                <w:left w:val="none" w:sz="0" w:space="0" w:color="auto"/>
                                <w:bottom w:val="none" w:sz="0" w:space="0" w:color="auto"/>
                                <w:right w:val="none" w:sz="0" w:space="0" w:color="auto"/>
                              </w:divBdr>
                              <w:divsChild>
                                <w:div w:id="1333021315">
                                  <w:marLeft w:val="0"/>
                                  <w:marRight w:val="0"/>
                                  <w:marTop w:val="0"/>
                                  <w:marBottom w:val="0"/>
                                  <w:divBdr>
                                    <w:top w:val="none" w:sz="0" w:space="0" w:color="auto"/>
                                    <w:left w:val="none" w:sz="0" w:space="0" w:color="auto"/>
                                    <w:bottom w:val="none" w:sz="0" w:space="0" w:color="auto"/>
                                    <w:right w:val="none" w:sz="0" w:space="0" w:color="auto"/>
                                  </w:divBdr>
                                  <w:divsChild>
                                    <w:div w:id="752698802">
                                      <w:marLeft w:val="0"/>
                                      <w:marRight w:val="0"/>
                                      <w:marTop w:val="0"/>
                                      <w:marBottom w:val="0"/>
                                      <w:divBdr>
                                        <w:top w:val="none" w:sz="0" w:space="0" w:color="auto"/>
                                        <w:left w:val="none" w:sz="0" w:space="0" w:color="auto"/>
                                        <w:bottom w:val="none" w:sz="0" w:space="0" w:color="auto"/>
                                        <w:right w:val="none" w:sz="0" w:space="0" w:color="auto"/>
                                      </w:divBdr>
                                      <w:divsChild>
                                        <w:div w:id="2113472413">
                                          <w:marLeft w:val="0"/>
                                          <w:marRight w:val="0"/>
                                          <w:marTop w:val="0"/>
                                          <w:marBottom w:val="0"/>
                                          <w:divBdr>
                                            <w:top w:val="none" w:sz="0" w:space="0" w:color="auto"/>
                                            <w:left w:val="none" w:sz="0" w:space="0" w:color="auto"/>
                                            <w:bottom w:val="none" w:sz="0" w:space="0" w:color="auto"/>
                                            <w:right w:val="none" w:sz="0" w:space="0" w:color="auto"/>
                                          </w:divBdr>
                                          <w:divsChild>
                                            <w:div w:id="1439831872">
                                              <w:marLeft w:val="0"/>
                                              <w:marRight w:val="0"/>
                                              <w:marTop w:val="0"/>
                                              <w:marBottom w:val="0"/>
                                              <w:divBdr>
                                                <w:top w:val="none" w:sz="0" w:space="0" w:color="auto"/>
                                                <w:left w:val="none" w:sz="0" w:space="0" w:color="auto"/>
                                                <w:bottom w:val="none" w:sz="0" w:space="0" w:color="auto"/>
                                                <w:right w:val="none" w:sz="0" w:space="0" w:color="auto"/>
                                              </w:divBdr>
                                              <w:divsChild>
                                                <w:div w:id="9073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870228">
      <w:bodyDiv w:val="1"/>
      <w:marLeft w:val="0"/>
      <w:marRight w:val="0"/>
      <w:marTop w:val="0"/>
      <w:marBottom w:val="0"/>
      <w:divBdr>
        <w:top w:val="none" w:sz="0" w:space="0" w:color="auto"/>
        <w:left w:val="none" w:sz="0" w:space="0" w:color="auto"/>
        <w:bottom w:val="none" w:sz="0" w:space="0" w:color="auto"/>
        <w:right w:val="none" w:sz="0" w:space="0" w:color="auto"/>
      </w:divBdr>
      <w:divsChild>
        <w:div w:id="590086977">
          <w:marLeft w:val="0"/>
          <w:marRight w:val="0"/>
          <w:marTop w:val="0"/>
          <w:marBottom w:val="0"/>
          <w:divBdr>
            <w:top w:val="none" w:sz="0" w:space="0" w:color="auto"/>
            <w:left w:val="none" w:sz="0" w:space="0" w:color="auto"/>
            <w:bottom w:val="none" w:sz="0" w:space="0" w:color="auto"/>
            <w:right w:val="none" w:sz="0" w:space="0" w:color="auto"/>
          </w:divBdr>
          <w:divsChild>
            <w:div w:id="997464043">
              <w:marLeft w:val="0"/>
              <w:marRight w:val="0"/>
              <w:marTop w:val="0"/>
              <w:marBottom w:val="0"/>
              <w:divBdr>
                <w:top w:val="none" w:sz="0" w:space="0" w:color="auto"/>
                <w:left w:val="none" w:sz="0" w:space="0" w:color="auto"/>
                <w:bottom w:val="none" w:sz="0" w:space="0" w:color="auto"/>
                <w:right w:val="none" w:sz="0" w:space="0" w:color="auto"/>
              </w:divBdr>
              <w:divsChild>
                <w:div w:id="1074006251">
                  <w:marLeft w:val="0"/>
                  <w:marRight w:val="0"/>
                  <w:marTop w:val="0"/>
                  <w:marBottom w:val="0"/>
                  <w:divBdr>
                    <w:top w:val="none" w:sz="0" w:space="0" w:color="auto"/>
                    <w:left w:val="none" w:sz="0" w:space="0" w:color="auto"/>
                    <w:bottom w:val="none" w:sz="0" w:space="0" w:color="auto"/>
                    <w:right w:val="none" w:sz="0" w:space="0" w:color="auto"/>
                  </w:divBdr>
                  <w:divsChild>
                    <w:div w:id="497235506">
                      <w:marLeft w:val="0"/>
                      <w:marRight w:val="0"/>
                      <w:marTop w:val="0"/>
                      <w:marBottom w:val="0"/>
                      <w:divBdr>
                        <w:top w:val="none" w:sz="0" w:space="0" w:color="auto"/>
                        <w:left w:val="none" w:sz="0" w:space="0" w:color="auto"/>
                        <w:bottom w:val="none" w:sz="0" w:space="0" w:color="auto"/>
                        <w:right w:val="none" w:sz="0" w:space="0" w:color="auto"/>
                      </w:divBdr>
                      <w:divsChild>
                        <w:div w:id="1983733487">
                          <w:marLeft w:val="0"/>
                          <w:marRight w:val="0"/>
                          <w:marTop w:val="0"/>
                          <w:marBottom w:val="0"/>
                          <w:divBdr>
                            <w:top w:val="single" w:sz="6" w:space="0" w:color="828282"/>
                            <w:left w:val="single" w:sz="6" w:space="0" w:color="828282"/>
                            <w:bottom w:val="single" w:sz="6" w:space="0" w:color="828282"/>
                            <w:right w:val="single" w:sz="6" w:space="0" w:color="828282"/>
                          </w:divBdr>
                          <w:divsChild>
                            <w:div w:id="152989834">
                              <w:marLeft w:val="0"/>
                              <w:marRight w:val="0"/>
                              <w:marTop w:val="0"/>
                              <w:marBottom w:val="0"/>
                              <w:divBdr>
                                <w:top w:val="none" w:sz="0" w:space="0" w:color="auto"/>
                                <w:left w:val="none" w:sz="0" w:space="0" w:color="auto"/>
                                <w:bottom w:val="none" w:sz="0" w:space="0" w:color="auto"/>
                                <w:right w:val="none" w:sz="0" w:space="0" w:color="auto"/>
                              </w:divBdr>
                              <w:divsChild>
                                <w:div w:id="466629749">
                                  <w:marLeft w:val="0"/>
                                  <w:marRight w:val="0"/>
                                  <w:marTop w:val="0"/>
                                  <w:marBottom w:val="0"/>
                                  <w:divBdr>
                                    <w:top w:val="none" w:sz="0" w:space="0" w:color="auto"/>
                                    <w:left w:val="none" w:sz="0" w:space="0" w:color="auto"/>
                                    <w:bottom w:val="none" w:sz="0" w:space="0" w:color="auto"/>
                                    <w:right w:val="none" w:sz="0" w:space="0" w:color="auto"/>
                                  </w:divBdr>
                                  <w:divsChild>
                                    <w:div w:id="2019770383">
                                      <w:marLeft w:val="0"/>
                                      <w:marRight w:val="0"/>
                                      <w:marTop w:val="0"/>
                                      <w:marBottom w:val="0"/>
                                      <w:divBdr>
                                        <w:top w:val="none" w:sz="0" w:space="0" w:color="auto"/>
                                        <w:left w:val="none" w:sz="0" w:space="0" w:color="auto"/>
                                        <w:bottom w:val="none" w:sz="0" w:space="0" w:color="auto"/>
                                        <w:right w:val="none" w:sz="0" w:space="0" w:color="auto"/>
                                      </w:divBdr>
                                      <w:divsChild>
                                        <w:div w:id="847596966">
                                          <w:marLeft w:val="0"/>
                                          <w:marRight w:val="0"/>
                                          <w:marTop w:val="0"/>
                                          <w:marBottom w:val="0"/>
                                          <w:divBdr>
                                            <w:top w:val="none" w:sz="0" w:space="0" w:color="auto"/>
                                            <w:left w:val="none" w:sz="0" w:space="0" w:color="auto"/>
                                            <w:bottom w:val="none" w:sz="0" w:space="0" w:color="auto"/>
                                            <w:right w:val="none" w:sz="0" w:space="0" w:color="auto"/>
                                          </w:divBdr>
                                          <w:divsChild>
                                            <w:div w:id="121389245">
                                              <w:marLeft w:val="0"/>
                                              <w:marRight w:val="0"/>
                                              <w:marTop w:val="0"/>
                                              <w:marBottom w:val="0"/>
                                              <w:divBdr>
                                                <w:top w:val="none" w:sz="0" w:space="0" w:color="auto"/>
                                                <w:left w:val="none" w:sz="0" w:space="0" w:color="auto"/>
                                                <w:bottom w:val="none" w:sz="0" w:space="0" w:color="auto"/>
                                                <w:right w:val="none" w:sz="0" w:space="0" w:color="auto"/>
                                              </w:divBdr>
                                              <w:divsChild>
                                                <w:div w:id="11161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FC6050A2A012EB41BF3E1B5BC4089852" ma:contentTypeVersion="" ma:contentTypeDescription="PDMS Documentation Content Type" ma:contentTypeScope="" ma:versionID="e3024b264857c758f0f89f9a6ebfda32">
  <xsd:schema xmlns:xsd="http://www.w3.org/2001/XMLSchema" xmlns:xs="http://www.w3.org/2001/XMLSchema" xmlns:p="http://schemas.microsoft.com/office/2006/metadata/properties" xmlns:ns2="E93D59CB-9FBF-49A7-AF50-FDACF6C2287A" targetNamespace="http://schemas.microsoft.com/office/2006/metadata/properties" ma:root="true" ma:fieldsID="f31365badd0b0ca35892f1092b2286b7" ns2:_="">
    <xsd:import namespace="E93D59CB-9FBF-49A7-AF50-FDACF6C2287A"/>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D59CB-9FBF-49A7-AF50-FDACF6C2287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93D59CB-9FBF-49A7-AF50-FDACF6C2287A" xsi:nil="true"/>
    <pdms_AttachedBy xmlns="E93D59CB-9FBF-49A7-AF50-FDACF6C2287A" xsi:nil="true"/>
    <pdms_Reason xmlns="E93D59CB-9FBF-49A7-AF50-FDACF6C2287A" xsi:nil="true"/>
    <pdms_SecurityClassification xmlns="E93D59CB-9FBF-49A7-AF50-FDACF6C2287A" xsi:nil="true"/>
    <pdms_DocumentType xmlns="E93D59CB-9FBF-49A7-AF50-FDACF6C2287A"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47E41CD-F251-434C-AC50-37B4E2329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D59CB-9FBF-49A7-AF50-FDACF6C22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3.xml><?xml version="1.0" encoding="utf-8"?>
<ds:datastoreItem xmlns:ds="http://schemas.openxmlformats.org/officeDocument/2006/customXml" ds:itemID="{BE6AE70A-B07C-4AEE-AB59-5DC33234C26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E93D59CB-9FBF-49A7-AF50-FDACF6C2287A"/>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CF669CE7-289F-4DAC-8F9A-48F820F8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11926</Words>
  <Characters>63207</Characters>
  <Application>Microsoft Office Word</Application>
  <DocSecurity>0</DocSecurity>
  <Lines>526</Lines>
  <Paragraphs>149</Paragraphs>
  <ScaleCrop>false</ScaleCrop>
  <HeadingPairs>
    <vt:vector size="2" baseType="variant">
      <vt:variant>
        <vt:lpstr>Title</vt:lpstr>
      </vt:variant>
      <vt:variant>
        <vt:i4>1</vt:i4>
      </vt:variant>
    </vt:vector>
  </HeadingPairs>
  <TitlesOfParts>
    <vt:vector size="1" baseType="lpstr">
      <vt:lpstr>20151001 Refrigeration and ventilation fans v 5.3 [for Minister]</vt:lpstr>
    </vt:vector>
  </TitlesOfParts>
  <Company>Australian Government Solicitor</Company>
  <LinksUpToDate>false</LinksUpToDate>
  <CharactersWithSpaces>74984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20151001 Refrigeration and ventilation fans v 5.3 [for Minister]</dc:title>
  <dc:creator>Graham</dc:creator>
  <cp:lastModifiedBy>A18510</cp:lastModifiedBy>
  <cp:revision>7</cp:revision>
  <cp:lastPrinted>2015-09-29T05:03:00Z</cp:lastPrinted>
  <dcterms:created xsi:type="dcterms:W3CDTF">2015-10-28T23:09:00Z</dcterms:created>
  <dcterms:modified xsi:type="dcterms:W3CDTF">2015-10-28T23:19:00Z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RecordPoint_RecordNumberSubmitted">
    <vt:lpwstr/>
  </property>
  <property fmtid="{D5CDD505-2E9C-101B-9397-08002B2CF9AE}" pid="5" name="RecordPoint_ActiveItemSiteId">
    <vt:lpwstr>{65a9c67d-8621-4daf-8c18-51b91f4b20f6}</vt:lpwstr>
  </property>
  <property fmtid="{D5CDD505-2E9C-101B-9397-08002B2CF9AE}" pid="6" name="RecordPoint_ActiveItemListId">
    <vt:lpwstr>{678eb0e5-6715-4dcc-a270-df338d924cb8}</vt:lpwstr>
  </property>
  <property fmtid="{D5CDD505-2E9C-101B-9397-08002B2CF9AE}" pid="7" name="ContentTypeId">
    <vt:lpwstr>0x010100266966F133664895A6EE3632470D45F50100FC6050A2A012EB41BF3E1B5BC4089852</vt:lpwstr>
  </property>
  <property fmtid="{D5CDD505-2E9C-101B-9397-08002B2CF9AE}" pid="8" name="RecordPoint_ActiveItemUniqueId">
    <vt:lpwstr>{d16e1d30-6c3d-47c3-9976-a409cfc7a189}</vt:lpwstr>
  </property>
  <property fmtid="{D5CDD505-2E9C-101B-9397-08002B2CF9AE}" pid="9" name="RecordPoint_SubmissionCompleted">
    <vt:lpwstr/>
  </property>
  <property fmtid="{D5CDD505-2E9C-101B-9397-08002B2CF9AE}" pid="10" name="RecordPoint_ActiveItemWebId">
    <vt:lpwstr>{477fa1b6-0443-4a23-9b80-6d3c61e37946}</vt:lpwstr>
  </property>
  <property fmtid="{D5CDD505-2E9C-101B-9397-08002B2CF9AE}" pid="11" name="RecordPoint_WorkflowType">
    <vt:lpwstr>ActiveSubmitStub</vt:lpwstr>
  </property>
  <property fmtid="{D5CDD505-2E9C-101B-9397-08002B2CF9AE}" pid="12" name="RecordPoint_SubmissionDate">
    <vt:lpwstr/>
  </property>
  <property fmtid="{D5CDD505-2E9C-101B-9397-08002B2CF9AE}" pid="13" name="RecordPoint_RecordFormat">
    <vt:lpwstr/>
  </property>
  <property fmtid="{D5CDD505-2E9C-101B-9397-08002B2CF9AE}" pid="14" name="RecordPoint_ActiveItemMoved">
    <vt:lpwstr/>
  </property>
  <property fmtid="{D5CDD505-2E9C-101B-9397-08002B2CF9AE}" pid="15" name="ObjectiveRef">
    <vt:lpwstr>Removed</vt:lpwstr>
  </property>
  <property fmtid="{D5CDD505-2E9C-101B-9397-08002B2CF9AE}" pid="16" name="LeadingLawyers">
    <vt:lpwstr>Removed</vt:lpwstr>
  </property>
  <property fmtid="{D5CDD505-2E9C-101B-9397-08002B2CF9AE}" pid="17" name="WSFooter">
    <vt:lpwstr>18055379</vt:lpwstr>
  </property>
</Properties>
</file>