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D6EC9" w:rsidRDefault="00DA186E" w:rsidP="00715914">
      <w:pPr>
        <w:rPr>
          <w:sz w:val="28"/>
        </w:rPr>
      </w:pPr>
      <w:r w:rsidRPr="00FD6EC9">
        <w:rPr>
          <w:noProof/>
          <w:lang w:eastAsia="en-AU"/>
        </w:rPr>
        <w:drawing>
          <wp:inline distT="0" distB="0" distL="0" distR="0" wp14:anchorId="57BD8057" wp14:editId="1BF16133">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FD6EC9" w:rsidRDefault="000357B7" w:rsidP="00715914">
      <w:pPr>
        <w:pStyle w:val="ShortT"/>
      </w:pPr>
      <w:r w:rsidRPr="00FD6EC9">
        <w:t>Asian Infrastructure Investment Bank (Privileges and Immunities) Regulation</w:t>
      </w:r>
      <w:r w:rsidR="00FD6EC9" w:rsidRPr="00FD6EC9">
        <w:t> </w:t>
      </w:r>
      <w:r w:rsidRPr="00FD6EC9">
        <w:t>2015</w:t>
      </w:r>
    </w:p>
    <w:p w:rsidR="00715914" w:rsidRPr="00FD6EC9" w:rsidRDefault="00715914" w:rsidP="00715914"/>
    <w:p w:rsidR="00715914" w:rsidRPr="00FD6EC9" w:rsidRDefault="001C5F34" w:rsidP="006475DA">
      <w:pPr>
        <w:pStyle w:val="InstNo"/>
      </w:pPr>
      <w:r w:rsidRPr="00FD6EC9">
        <w:t>Select Legislative Instrument</w:t>
      </w:r>
      <w:r w:rsidR="008861ED" w:rsidRPr="00FD6EC9">
        <w:t xml:space="preserve"> </w:t>
      </w:r>
      <w:bookmarkStart w:id="0" w:name="BKCheck15B_1"/>
      <w:bookmarkEnd w:id="0"/>
      <w:r w:rsidR="000357B7" w:rsidRPr="00FD6EC9">
        <w:fldChar w:fldCharType="begin"/>
      </w:r>
      <w:r w:rsidR="000357B7" w:rsidRPr="00FD6EC9">
        <w:instrText xml:space="preserve"> DOCPROPERTY  ActNo </w:instrText>
      </w:r>
      <w:r w:rsidR="000357B7" w:rsidRPr="00FD6EC9">
        <w:fldChar w:fldCharType="separate"/>
      </w:r>
      <w:r w:rsidR="0093271D">
        <w:t>No. 175, 2015</w:t>
      </w:r>
      <w:r w:rsidR="000357B7" w:rsidRPr="00FD6EC9">
        <w:fldChar w:fldCharType="end"/>
      </w:r>
    </w:p>
    <w:p w:rsidR="00541148" w:rsidRPr="00FD6EC9" w:rsidRDefault="00541148" w:rsidP="002D0C00">
      <w:pPr>
        <w:pStyle w:val="SignCoverPageStart"/>
        <w:spacing w:before="240"/>
        <w:rPr>
          <w:szCs w:val="22"/>
        </w:rPr>
      </w:pPr>
      <w:r w:rsidRPr="00FD6EC9">
        <w:rPr>
          <w:szCs w:val="22"/>
        </w:rPr>
        <w:t>I, the Honourable Paul de Jersey AC QC, Administrator of the Government of the Commonwealth of Australia, acting with the advice of the Federal Executive Council, make the following regulation.</w:t>
      </w:r>
    </w:p>
    <w:p w:rsidR="00541148" w:rsidRPr="00FD6EC9" w:rsidRDefault="00541148" w:rsidP="002D0C00">
      <w:pPr>
        <w:keepNext/>
        <w:spacing w:before="720" w:line="240" w:lineRule="atLeast"/>
        <w:ind w:right="397"/>
        <w:jc w:val="both"/>
        <w:rPr>
          <w:szCs w:val="22"/>
        </w:rPr>
      </w:pPr>
      <w:r w:rsidRPr="00FD6EC9">
        <w:rPr>
          <w:szCs w:val="22"/>
        </w:rPr>
        <w:t xml:space="preserve">Dated </w:t>
      </w:r>
      <w:bookmarkStart w:id="1" w:name="BKCheck15B_2"/>
      <w:bookmarkEnd w:id="1"/>
      <w:r w:rsidRPr="00FD6EC9">
        <w:rPr>
          <w:szCs w:val="22"/>
        </w:rPr>
        <w:fldChar w:fldCharType="begin"/>
      </w:r>
      <w:r w:rsidRPr="00FD6EC9">
        <w:rPr>
          <w:szCs w:val="22"/>
        </w:rPr>
        <w:instrText xml:space="preserve"> DOCPROPERTY  DateMade </w:instrText>
      </w:r>
      <w:r w:rsidRPr="00FD6EC9">
        <w:rPr>
          <w:szCs w:val="22"/>
        </w:rPr>
        <w:fldChar w:fldCharType="separate"/>
      </w:r>
      <w:r w:rsidR="0093271D">
        <w:rPr>
          <w:szCs w:val="22"/>
        </w:rPr>
        <w:t>29 October 2015</w:t>
      </w:r>
      <w:r w:rsidRPr="00FD6EC9">
        <w:rPr>
          <w:szCs w:val="22"/>
        </w:rPr>
        <w:fldChar w:fldCharType="end"/>
      </w:r>
    </w:p>
    <w:p w:rsidR="00541148" w:rsidRPr="00FD6EC9" w:rsidRDefault="00541148" w:rsidP="002D0C00">
      <w:pPr>
        <w:keepNext/>
        <w:tabs>
          <w:tab w:val="left" w:pos="3402"/>
        </w:tabs>
        <w:spacing w:before="1080" w:line="300" w:lineRule="atLeast"/>
        <w:ind w:left="397" w:right="397"/>
        <w:jc w:val="right"/>
        <w:rPr>
          <w:szCs w:val="22"/>
        </w:rPr>
      </w:pPr>
      <w:r w:rsidRPr="00FD6EC9">
        <w:rPr>
          <w:szCs w:val="22"/>
        </w:rPr>
        <w:t>Paul de Jersey</w:t>
      </w:r>
    </w:p>
    <w:p w:rsidR="00541148" w:rsidRPr="00FD6EC9" w:rsidRDefault="00541148" w:rsidP="002D0C00">
      <w:pPr>
        <w:keepNext/>
        <w:tabs>
          <w:tab w:val="left" w:pos="3402"/>
        </w:tabs>
        <w:spacing w:line="300" w:lineRule="atLeast"/>
        <w:ind w:left="397" w:right="397"/>
        <w:jc w:val="right"/>
        <w:rPr>
          <w:szCs w:val="22"/>
        </w:rPr>
      </w:pPr>
      <w:r w:rsidRPr="00FD6EC9">
        <w:rPr>
          <w:szCs w:val="22"/>
        </w:rPr>
        <w:t>Administrator</w:t>
      </w:r>
    </w:p>
    <w:p w:rsidR="00541148" w:rsidRPr="00FD6EC9" w:rsidRDefault="00541148" w:rsidP="002D0C00">
      <w:pPr>
        <w:keepNext/>
        <w:tabs>
          <w:tab w:val="left" w:pos="3402"/>
        </w:tabs>
        <w:spacing w:before="840" w:after="1080" w:line="300" w:lineRule="atLeast"/>
        <w:ind w:right="397"/>
        <w:rPr>
          <w:szCs w:val="22"/>
        </w:rPr>
      </w:pPr>
      <w:r w:rsidRPr="00FD6EC9">
        <w:rPr>
          <w:szCs w:val="22"/>
        </w:rPr>
        <w:t>By His Excellency’s Command</w:t>
      </w:r>
    </w:p>
    <w:p w:rsidR="00541148" w:rsidRPr="00FD6EC9" w:rsidRDefault="00541148" w:rsidP="002D0C00">
      <w:pPr>
        <w:keepNext/>
        <w:tabs>
          <w:tab w:val="left" w:pos="3402"/>
        </w:tabs>
        <w:spacing w:before="480" w:line="300" w:lineRule="atLeast"/>
        <w:ind w:right="397"/>
        <w:rPr>
          <w:szCs w:val="22"/>
        </w:rPr>
      </w:pPr>
      <w:r w:rsidRPr="00FD6EC9">
        <w:rPr>
          <w:szCs w:val="22"/>
        </w:rPr>
        <w:t>Scott Morrison</w:t>
      </w:r>
    </w:p>
    <w:p w:rsidR="00541148" w:rsidRPr="00FD6EC9" w:rsidRDefault="00541148" w:rsidP="002D0C00">
      <w:pPr>
        <w:pStyle w:val="SignCoverPageEnd"/>
        <w:rPr>
          <w:szCs w:val="22"/>
        </w:rPr>
      </w:pPr>
      <w:r w:rsidRPr="00FD6EC9">
        <w:rPr>
          <w:szCs w:val="22"/>
        </w:rPr>
        <w:t>T</w:t>
      </w:r>
      <w:r w:rsidR="000A540E" w:rsidRPr="00FD6EC9">
        <w:rPr>
          <w:szCs w:val="22"/>
        </w:rPr>
        <w:t>r</w:t>
      </w:r>
      <w:r w:rsidRPr="00FD6EC9">
        <w:rPr>
          <w:szCs w:val="22"/>
        </w:rPr>
        <w:t>easurer</w:t>
      </w:r>
    </w:p>
    <w:p w:rsidR="00715914" w:rsidRPr="00FD6EC9" w:rsidRDefault="00715914" w:rsidP="00715914">
      <w:pPr>
        <w:pStyle w:val="Header"/>
        <w:tabs>
          <w:tab w:val="clear" w:pos="4150"/>
          <w:tab w:val="clear" w:pos="8307"/>
        </w:tabs>
      </w:pPr>
      <w:r w:rsidRPr="00FD6EC9">
        <w:rPr>
          <w:rStyle w:val="CharChapNo"/>
        </w:rPr>
        <w:t xml:space="preserve"> </w:t>
      </w:r>
      <w:r w:rsidRPr="00FD6EC9">
        <w:rPr>
          <w:rStyle w:val="CharChapText"/>
        </w:rPr>
        <w:t xml:space="preserve"> </w:t>
      </w:r>
    </w:p>
    <w:p w:rsidR="00715914" w:rsidRPr="00FD6EC9" w:rsidRDefault="00715914" w:rsidP="00715914">
      <w:pPr>
        <w:pStyle w:val="Header"/>
        <w:tabs>
          <w:tab w:val="clear" w:pos="4150"/>
          <w:tab w:val="clear" w:pos="8307"/>
        </w:tabs>
      </w:pPr>
      <w:r w:rsidRPr="00FD6EC9">
        <w:rPr>
          <w:rStyle w:val="CharPartNo"/>
        </w:rPr>
        <w:t xml:space="preserve"> </w:t>
      </w:r>
      <w:r w:rsidRPr="00FD6EC9">
        <w:rPr>
          <w:rStyle w:val="CharPartText"/>
        </w:rPr>
        <w:t xml:space="preserve"> </w:t>
      </w:r>
    </w:p>
    <w:p w:rsidR="00715914" w:rsidRPr="00FD6EC9" w:rsidRDefault="00715914" w:rsidP="00715914">
      <w:pPr>
        <w:pStyle w:val="Header"/>
        <w:tabs>
          <w:tab w:val="clear" w:pos="4150"/>
          <w:tab w:val="clear" w:pos="8307"/>
        </w:tabs>
      </w:pPr>
      <w:r w:rsidRPr="00FD6EC9">
        <w:rPr>
          <w:rStyle w:val="CharDivNo"/>
        </w:rPr>
        <w:t xml:space="preserve"> </w:t>
      </w:r>
      <w:r w:rsidRPr="00FD6EC9">
        <w:rPr>
          <w:rStyle w:val="CharDivText"/>
        </w:rPr>
        <w:t xml:space="preserve"> </w:t>
      </w:r>
    </w:p>
    <w:p w:rsidR="00715914" w:rsidRPr="00FD6EC9" w:rsidRDefault="00715914" w:rsidP="00715914">
      <w:pPr>
        <w:sectPr w:rsidR="00715914" w:rsidRPr="00FD6EC9" w:rsidSect="006F133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715914" w:rsidRPr="00FD6EC9" w:rsidRDefault="00715914" w:rsidP="00A44382">
      <w:pPr>
        <w:rPr>
          <w:sz w:val="36"/>
        </w:rPr>
      </w:pPr>
      <w:r w:rsidRPr="00FD6EC9">
        <w:rPr>
          <w:sz w:val="36"/>
        </w:rPr>
        <w:lastRenderedPageBreak/>
        <w:t>Contents</w:t>
      </w:r>
    </w:p>
    <w:bookmarkStart w:id="2" w:name="BKCheck15B_3"/>
    <w:bookmarkEnd w:id="2"/>
    <w:p w:rsidR="00637F0B" w:rsidRPr="00FD6EC9" w:rsidRDefault="00637F0B">
      <w:pPr>
        <w:pStyle w:val="TOC5"/>
        <w:rPr>
          <w:rFonts w:asciiTheme="minorHAnsi" w:eastAsiaTheme="minorEastAsia" w:hAnsiTheme="minorHAnsi" w:cstheme="minorBidi"/>
          <w:noProof/>
          <w:kern w:val="0"/>
          <w:sz w:val="22"/>
          <w:szCs w:val="22"/>
        </w:rPr>
      </w:pPr>
      <w:r w:rsidRPr="00FD6EC9">
        <w:rPr>
          <w:sz w:val="20"/>
        </w:rPr>
        <w:fldChar w:fldCharType="begin"/>
      </w:r>
      <w:r w:rsidRPr="00FD6EC9">
        <w:rPr>
          <w:sz w:val="20"/>
        </w:rPr>
        <w:instrText xml:space="preserve"> TOC \o "1-9" </w:instrText>
      </w:r>
      <w:r w:rsidRPr="00FD6EC9">
        <w:rPr>
          <w:sz w:val="20"/>
        </w:rPr>
        <w:fldChar w:fldCharType="separate"/>
      </w:r>
      <w:r w:rsidRPr="00FD6EC9">
        <w:rPr>
          <w:noProof/>
        </w:rPr>
        <w:t>1</w:t>
      </w:r>
      <w:r w:rsidRPr="00FD6EC9">
        <w:rPr>
          <w:noProof/>
        </w:rPr>
        <w:tab/>
        <w:t>Name</w:t>
      </w:r>
      <w:r w:rsidRPr="00FD6EC9">
        <w:rPr>
          <w:noProof/>
        </w:rPr>
        <w:tab/>
      </w:r>
      <w:r w:rsidRPr="00FD6EC9">
        <w:rPr>
          <w:noProof/>
        </w:rPr>
        <w:fldChar w:fldCharType="begin"/>
      </w:r>
      <w:r w:rsidRPr="00FD6EC9">
        <w:rPr>
          <w:noProof/>
        </w:rPr>
        <w:instrText xml:space="preserve"> PAGEREF _Toc433034758 \h </w:instrText>
      </w:r>
      <w:r w:rsidRPr="00FD6EC9">
        <w:rPr>
          <w:noProof/>
        </w:rPr>
      </w:r>
      <w:r w:rsidRPr="00FD6EC9">
        <w:rPr>
          <w:noProof/>
        </w:rPr>
        <w:fldChar w:fldCharType="separate"/>
      </w:r>
      <w:r w:rsidR="0093271D">
        <w:rPr>
          <w:noProof/>
        </w:rPr>
        <w:t>1</w:t>
      </w:r>
      <w:r w:rsidRPr="00FD6EC9">
        <w:rPr>
          <w:noProof/>
        </w:rPr>
        <w:fldChar w:fldCharType="end"/>
      </w:r>
    </w:p>
    <w:p w:rsidR="00637F0B" w:rsidRPr="00FD6EC9" w:rsidRDefault="00637F0B">
      <w:pPr>
        <w:pStyle w:val="TOC5"/>
        <w:rPr>
          <w:rFonts w:asciiTheme="minorHAnsi" w:eastAsiaTheme="minorEastAsia" w:hAnsiTheme="minorHAnsi" w:cstheme="minorBidi"/>
          <w:noProof/>
          <w:kern w:val="0"/>
          <w:sz w:val="22"/>
          <w:szCs w:val="22"/>
        </w:rPr>
      </w:pPr>
      <w:r w:rsidRPr="00FD6EC9">
        <w:rPr>
          <w:noProof/>
        </w:rPr>
        <w:t>2</w:t>
      </w:r>
      <w:r w:rsidRPr="00FD6EC9">
        <w:rPr>
          <w:noProof/>
        </w:rPr>
        <w:tab/>
        <w:t>Commencement</w:t>
      </w:r>
      <w:r w:rsidRPr="00FD6EC9">
        <w:rPr>
          <w:noProof/>
        </w:rPr>
        <w:tab/>
      </w:r>
      <w:r w:rsidRPr="00FD6EC9">
        <w:rPr>
          <w:noProof/>
        </w:rPr>
        <w:fldChar w:fldCharType="begin"/>
      </w:r>
      <w:r w:rsidRPr="00FD6EC9">
        <w:rPr>
          <w:noProof/>
        </w:rPr>
        <w:instrText xml:space="preserve"> PAGEREF _Toc433034759 \h </w:instrText>
      </w:r>
      <w:r w:rsidRPr="00FD6EC9">
        <w:rPr>
          <w:noProof/>
        </w:rPr>
      </w:r>
      <w:r w:rsidRPr="00FD6EC9">
        <w:rPr>
          <w:noProof/>
        </w:rPr>
        <w:fldChar w:fldCharType="separate"/>
      </w:r>
      <w:r w:rsidR="0093271D">
        <w:rPr>
          <w:noProof/>
        </w:rPr>
        <w:t>1</w:t>
      </w:r>
      <w:r w:rsidRPr="00FD6EC9">
        <w:rPr>
          <w:noProof/>
        </w:rPr>
        <w:fldChar w:fldCharType="end"/>
      </w:r>
    </w:p>
    <w:p w:rsidR="00637F0B" w:rsidRPr="00FD6EC9" w:rsidRDefault="00637F0B">
      <w:pPr>
        <w:pStyle w:val="TOC5"/>
        <w:rPr>
          <w:rFonts w:asciiTheme="minorHAnsi" w:eastAsiaTheme="minorEastAsia" w:hAnsiTheme="minorHAnsi" w:cstheme="minorBidi"/>
          <w:noProof/>
          <w:kern w:val="0"/>
          <w:sz w:val="22"/>
          <w:szCs w:val="22"/>
        </w:rPr>
      </w:pPr>
      <w:r w:rsidRPr="00FD6EC9">
        <w:rPr>
          <w:noProof/>
        </w:rPr>
        <w:t>3</w:t>
      </w:r>
      <w:r w:rsidRPr="00FD6EC9">
        <w:rPr>
          <w:noProof/>
        </w:rPr>
        <w:tab/>
        <w:t>Authority</w:t>
      </w:r>
      <w:r w:rsidRPr="00FD6EC9">
        <w:rPr>
          <w:noProof/>
        </w:rPr>
        <w:tab/>
      </w:r>
      <w:r w:rsidRPr="00FD6EC9">
        <w:rPr>
          <w:noProof/>
        </w:rPr>
        <w:fldChar w:fldCharType="begin"/>
      </w:r>
      <w:r w:rsidRPr="00FD6EC9">
        <w:rPr>
          <w:noProof/>
        </w:rPr>
        <w:instrText xml:space="preserve"> PAGEREF _Toc433034760 \h </w:instrText>
      </w:r>
      <w:r w:rsidRPr="00FD6EC9">
        <w:rPr>
          <w:noProof/>
        </w:rPr>
      </w:r>
      <w:r w:rsidRPr="00FD6EC9">
        <w:rPr>
          <w:noProof/>
        </w:rPr>
        <w:fldChar w:fldCharType="separate"/>
      </w:r>
      <w:r w:rsidR="0093271D">
        <w:rPr>
          <w:noProof/>
        </w:rPr>
        <w:t>1</w:t>
      </w:r>
      <w:r w:rsidRPr="00FD6EC9">
        <w:rPr>
          <w:noProof/>
        </w:rPr>
        <w:fldChar w:fldCharType="end"/>
      </w:r>
    </w:p>
    <w:p w:rsidR="00637F0B" w:rsidRPr="00FD6EC9" w:rsidRDefault="00637F0B">
      <w:pPr>
        <w:pStyle w:val="TOC5"/>
        <w:rPr>
          <w:rFonts w:asciiTheme="minorHAnsi" w:eastAsiaTheme="minorEastAsia" w:hAnsiTheme="minorHAnsi" w:cstheme="minorBidi"/>
          <w:noProof/>
          <w:kern w:val="0"/>
          <w:sz w:val="22"/>
          <w:szCs w:val="22"/>
        </w:rPr>
      </w:pPr>
      <w:r w:rsidRPr="00FD6EC9">
        <w:rPr>
          <w:noProof/>
        </w:rPr>
        <w:t>4</w:t>
      </w:r>
      <w:r w:rsidRPr="00FD6EC9">
        <w:rPr>
          <w:noProof/>
        </w:rPr>
        <w:tab/>
        <w:t>Privileges and immunities of the Bank</w:t>
      </w:r>
      <w:r w:rsidRPr="00FD6EC9">
        <w:rPr>
          <w:noProof/>
        </w:rPr>
        <w:tab/>
      </w:r>
      <w:r w:rsidRPr="00FD6EC9">
        <w:rPr>
          <w:noProof/>
        </w:rPr>
        <w:fldChar w:fldCharType="begin"/>
      </w:r>
      <w:r w:rsidRPr="00FD6EC9">
        <w:rPr>
          <w:noProof/>
        </w:rPr>
        <w:instrText xml:space="preserve"> PAGEREF _Toc433034761 \h </w:instrText>
      </w:r>
      <w:r w:rsidRPr="00FD6EC9">
        <w:rPr>
          <w:noProof/>
        </w:rPr>
      </w:r>
      <w:r w:rsidRPr="00FD6EC9">
        <w:rPr>
          <w:noProof/>
        </w:rPr>
        <w:fldChar w:fldCharType="separate"/>
      </w:r>
      <w:r w:rsidR="0093271D">
        <w:rPr>
          <w:noProof/>
        </w:rPr>
        <w:t>1</w:t>
      </w:r>
      <w:r w:rsidRPr="00FD6EC9">
        <w:rPr>
          <w:noProof/>
        </w:rPr>
        <w:fldChar w:fldCharType="end"/>
      </w:r>
    </w:p>
    <w:p w:rsidR="00637F0B" w:rsidRPr="00FD6EC9" w:rsidRDefault="00637F0B">
      <w:pPr>
        <w:pStyle w:val="TOC5"/>
        <w:rPr>
          <w:rFonts w:asciiTheme="minorHAnsi" w:eastAsiaTheme="minorEastAsia" w:hAnsiTheme="minorHAnsi" w:cstheme="minorBidi"/>
          <w:noProof/>
          <w:kern w:val="0"/>
          <w:sz w:val="22"/>
          <w:szCs w:val="22"/>
        </w:rPr>
      </w:pPr>
      <w:r w:rsidRPr="00FD6EC9">
        <w:rPr>
          <w:noProof/>
        </w:rPr>
        <w:t>5</w:t>
      </w:r>
      <w:r w:rsidRPr="00FD6EC9">
        <w:rPr>
          <w:noProof/>
        </w:rPr>
        <w:tab/>
        <w:t>Privileges and immunities of officers and employees of the Bank etc.</w:t>
      </w:r>
      <w:r w:rsidRPr="00FD6EC9">
        <w:rPr>
          <w:noProof/>
        </w:rPr>
        <w:tab/>
      </w:r>
      <w:r w:rsidRPr="00FD6EC9">
        <w:rPr>
          <w:noProof/>
        </w:rPr>
        <w:fldChar w:fldCharType="begin"/>
      </w:r>
      <w:r w:rsidRPr="00FD6EC9">
        <w:rPr>
          <w:noProof/>
        </w:rPr>
        <w:instrText xml:space="preserve"> PAGEREF _Toc433034762 \h </w:instrText>
      </w:r>
      <w:r w:rsidRPr="00FD6EC9">
        <w:rPr>
          <w:noProof/>
        </w:rPr>
      </w:r>
      <w:r w:rsidRPr="00FD6EC9">
        <w:rPr>
          <w:noProof/>
        </w:rPr>
        <w:fldChar w:fldCharType="separate"/>
      </w:r>
      <w:r w:rsidR="0093271D">
        <w:rPr>
          <w:noProof/>
        </w:rPr>
        <w:t>2</w:t>
      </w:r>
      <w:r w:rsidRPr="00FD6EC9">
        <w:rPr>
          <w:noProof/>
        </w:rPr>
        <w:fldChar w:fldCharType="end"/>
      </w:r>
    </w:p>
    <w:p w:rsidR="00637F0B" w:rsidRPr="00FD6EC9" w:rsidRDefault="00637F0B">
      <w:pPr>
        <w:pStyle w:val="TOC5"/>
        <w:rPr>
          <w:rFonts w:asciiTheme="minorHAnsi" w:eastAsiaTheme="minorEastAsia" w:hAnsiTheme="minorHAnsi" w:cstheme="minorBidi"/>
          <w:noProof/>
          <w:kern w:val="0"/>
          <w:sz w:val="22"/>
          <w:szCs w:val="22"/>
        </w:rPr>
      </w:pPr>
      <w:r w:rsidRPr="00FD6EC9">
        <w:rPr>
          <w:noProof/>
        </w:rPr>
        <w:t>6</w:t>
      </w:r>
      <w:r w:rsidRPr="00FD6EC9">
        <w:rPr>
          <w:noProof/>
        </w:rPr>
        <w:tab/>
        <w:t>Waiver of privileges and immunities</w:t>
      </w:r>
      <w:r w:rsidRPr="00FD6EC9">
        <w:rPr>
          <w:noProof/>
        </w:rPr>
        <w:tab/>
      </w:r>
      <w:r w:rsidRPr="00FD6EC9">
        <w:rPr>
          <w:noProof/>
        </w:rPr>
        <w:fldChar w:fldCharType="begin"/>
      </w:r>
      <w:r w:rsidRPr="00FD6EC9">
        <w:rPr>
          <w:noProof/>
        </w:rPr>
        <w:instrText xml:space="preserve"> PAGEREF _Toc433034763 \h </w:instrText>
      </w:r>
      <w:r w:rsidRPr="00FD6EC9">
        <w:rPr>
          <w:noProof/>
        </w:rPr>
      </w:r>
      <w:r w:rsidRPr="00FD6EC9">
        <w:rPr>
          <w:noProof/>
        </w:rPr>
        <w:fldChar w:fldCharType="separate"/>
      </w:r>
      <w:r w:rsidR="0093271D">
        <w:rPr>
          <w:noProof/>
        </w:rPr>
        <w:t>3</w:t>
      </w:r>
      <w:r w:rsidRPr="00FD6EC9">
        <w:rPr>
          <w:noProof/>
        </w:rPr>
        <w:fldChar w:fldCharType="end"/>
      </w:r>
    </w:p>
    <w:p w:rsidR="00637F0B" w:rsidRPr="00FD6EC9" w:rsidRDefault="00637F0B">
      <w:pPr>
        <w:pStyle w:val="TOC5"/>
        <w:rPr>
          <w:rFonts w:asciiTheme="minorHAnsi" w:eastAsiaTheme="minorEastAsia" w:hAnsiTheme="minorHAnsi" w:cstheme="minorBidi"/>
          <w:noProof/>
          <w:kern w:val="0"/>
          <w:sz w:val="22"/>
          <w:szCs w:val="22"/>
        </w:rPr>
      </w:pPr>
      <w:r w:rsidRPr="00FD6EC9">
        <w:rPr>
          <w:noProof/>
        </w:rPr>
        <w:t>7</w:t>
      </w:r>
      <w:r w:rsidRPr="00FD6EC9">
        <w:rPr>
          <w:noProof/>
        </w:rPr>
        <w:tab/>
        <w:t>Alternate Governor of the Bank</w:t>
      </w:r>
      <w:r w:rsidRPr="00FD6EC9">
        <w:rPr>
          <w:noProof/>
        </w:rPr>
        <w:tab/>
      </w:r>
      <w:r w:rsidRPr="00FD6EC9">
        <w:rPr>
          <w:noProof/>
        </w:rPr>
        <w:fldChar w:fldCharType="begin"/>
      </w:r>
      <w:r w:rsidRPr="00FD6EC9">
        <w:rPr>
          <w:noProof/>
        </w:rPr>
        <w:instrText xml:space="preserve"> PAGEREF _Toc433034764 \h </w:instrText>
      </w:r>
      <w:r w:rsidRPr="00FD6EC9">
        <w:rPr>
          <w:noProof/>
        </w:rPr>
      </w:r>
      <w:r w:rsidRPr="00FD6EC9">
        <w:rPr>
          <w:noProof/>
        </w:rPr>
        <w:fldChar w:fldCharType="separate"/>
      </w:r>
      <w:r w:rsidR="0093271D">
        <w:rPr>
          <w:noProof/>
        </w:rPr>
        <w:t>3</w:t>
      </w:r>
      <w:r w:rsidRPr="00FD6EC9">
        <w:rPr>
          <w:noProof/>
        </w:rPr>
        <w:fldChar w:fldCharType="end"/>
      </w:r>
    </w:p>
    <w:p w:rsidR="00637F0B" w:rsidRPr="00FD6EC9" w:rsidRDefault="00637F0B">
      <w:pPr>
        <w:pStyle w:val="TOC1"/>
        <w:rPr>
          <w:rFonts w:asciiTheme="minorHAnsi" w:eastAsiaTheme="minorEastAsia" w:hAnsiTheme="minorHAnsi" w:cstheme="minorBidi"/>
          <w:b w:val="0"/>
          <w:noProof/>
          <w:kern w:val="0"/>
          <w:sz w:val="22"/>
          <w:szCs w:val="22"/>
        </w:rPr>
      </w:pPr>
      <w:r w:rsidRPr="00FD6EC9">
        <w:rPr>
          <w:noProof/>
        </w:rPr>
        <w:t>Schedule</w:t>
      </w:r>
      <w:r w:rsidR="00FD6EC9" w:rsidRPr="00FD6EC9">
        <w:rPr>
          <w:noProof/>
        </w:rPr>
        <w:t> </w:t>
      </w:r>
      <w:r w:rsidRPr="00FD6EC9">
        <w:rPr>
          <w:noProof/>
        </w:rPr>
        <w:t>1—Privileges and immunities of the Bank</w:t>
      </w:r>
      <w:r w:rsidRPr="00FD6EC9">
        <w:rPr>
          <w:b w:val="0"/>
          <w:noProof/>
          <w:sz w:val="18"/>
        </w:rPr>
        <w:tab/>
      </w:r>
      <w:r w:rsidRPr="00FD6EC9">
        <w:rPr>
          <w:b w:val="0"/>
          <w:noProof/>
          <w:sz w:val="18"/>
        </w:rPr>
        <w:fldChar w:fldCharType="begin"/>
      </w:r>
      <w:r w:rsidRPr="00FD6EC9">
        <w:rPr>
          <w:b w:val="0"/>
          <w:noProof/>
          <w:sz w:val="18"/>
        </w:rPr>
        <w:instrText xml:space="preserve"> PAGEREF _Toc433034765 \h </w:instrText>
      </w:r>
      <w:r w:rsidRPr="00FD6EC9">
        <w:rPr>
          <w:b w:val="0"/>
          <w:noProof/>
          <w:sz w:val="18"/>
        </w:rPr>
      </w:r>
      <w:r w:rsidRPr="00FD6EC9">
        <w:rPr>
          <w:b w:val="0"/>
          <w:noProof/>
          <w:sz w:val="18"/>
        </w:rPr>
        <w:fldChar w:fldCharType="separate"/>
      </w:r>
      <w:r w:rsidR="0093271D">
        <w:rPr>
          <w:b w:val="0"/>
          <w:noProof/>
          <w:sz w:val="18"/>
        </w:rPr>
        <w:t>4</w:t>
      </w:r>
      <w:r w:rsidRPr="00FD6EC9">
        <w:rPr>
          <w:b w:val="0"/>
          <w:noProof/>
          <w:sz w:val="18"/>
        </w:rPr>
        <w:fldChar w:fldCharType="end"/>
      </w:r>
    </w:p>
    <w:p w:rsidR="00637F0B" w:rsidRPr="00FD6EC9" w:rsidRDefault="00637F0B">
      <w:pPr>
        <w:pStyle w:val="TOC5"/>
        <w:rPr>
          <w:rFonts w:asciiTheme="minorHAnsi" w:eastAsiaTheme="minorEastAsia" w:hAnsiTheme="minorHAnsi" w:cstheme="minorBidi"/>
          <w:noProof/>
          <w:kern w:val="0"/>
          <w:sz w:val="22"/>
          <w:szCs w:val="22"/>
        </w:rPr>
      </w:pPr>
      <w:r w:rsidRPr="00FD6EC9">
        <w:rPr>
          <w:noProof/>
        </w:rPr>
        <w:t>1</w:t>
      </w:r>
      <w:r w:rsidRPr="00FD6EC9">
        <w:rPr>
          <w:noProof/>
        </w:rPr>
        <w:tab/>
        <w:t>Privileges and immunities of the Bank</w:t>
      </w:r>
      <w:r w:rsidRPr="00FD6EC9">
        <w:rPr>
          <w:noProof/>
        </w:rPr>
        <w:tab/>
      </w:r>
      <w:r w:rsidRPr="00FD6EC9">
        <w:rPr>
          <w:noProof/>
        </w:rPr>
        <w:fldChar w:fldCharType="begin"/>
      </w:r>
      <w:r w:rsidRPr="00FD6EC9">
        <w:rPr>
          <w:noProof/>
        </w:rPr>
        <w:instrText xml:space="preserve"> PAGEREF _Toc433034766 \h </w:instrText>
      </w:r>
      <w:r w:rsidRPr="00FD6EC9">
        <w:rPr>
          <w:noProof/>
        </w:rPr>
      </w:r>
      <w:r w:rsidRPr="00FD6EC9">
        <w:rPr>
          <w:noProof/>
        </w:rPr>
        <w:fldChar w:fldCharType="separate"/>
      </w:r>
      <w:r w:rsidR="0093271D">
        <w:rPr>
          <w:noProof/>
        </w:rPr>
        <w:t>4</w:t>
      </w:r>
      <w:r w:rsidRPr="00FD6EC9">
        <w:rPr>
          <w:noProof/>
        </w:rPr>
        <w:fldChar w:fldCharType="end"/>
      </w:r>
    </w:p>
    <w:p w:rsidR="00637F0B" w:rsidRPr="00FD6EC9" w:rsidRDefault="00637F0B">
      <w:pPr>
        <w:pStyle w:val="TOC1"/>
        <w:rPr>
          <w:rFonts w:asciiTheme="minorHAnsi" w:eastAsiaTheme="minorEastAsia" w:hAnsiTheme="minorHAnsi" w:cstheme="minorBidi"/>
          <w:b w:val="0"/>
          <w:noProof/>
          <w:kern w:val="0"/>
          <w:sz w:val="22"/>
          <w:szCs w:val="22"/>
        </w:rPr>
      </w:pPr>
      <w:r w:rsidRPr="00FD6EC9">
        <w:rPr>
          <w:noProof/>
        </w:rPr>
        <w:t>Schedule</w:t>
      </w:r>
      <w:r w:rsidR="00FD6EC9" w:rsidRPr="00FD6EC9">
        <w:rPr>
          <w:noProof/>
        </w:rPr>
        <w:t> </w:t>
      </w:r>
      <w:r w:rsidRPr="00FD6EC9">
        <w:rPr>
          <w:noProof/>
        </w:rPr>
        <w:t>2—Privileges and immunities of officers and employees of the Bank etc.</w:t>
      </w:r>
      <w:r w:rsidRPr="00FD6EC9">
        <w:rPr>
          <w:b w:val="0"/>
          <w:noProof/>
          <w:sz w:val="18"/>
        </w:rPr>
        <w:tab/>
      </w:r>
      <w:r w:rsidRPr="00FD6EC9">
        <w:rPr>
          <w:b w:val="0"/>
          <w:noProof/>
          <w:sz w:val="18"/>
        </w:rPr>
        <w:fldChar w:fldCharType="begin"/>
      </w:r>
      <w:r w:rsidRPr="00FD6EC9">
        <w:rPr>
          <w:b w:val="0"/>
          <w:noProof/>
          <w:sz w:val="18"/>
        </w:rPr>
        <w:instrText xml:space="preserve"> PAGEREF _Toc433034767 \h </w:instrText>
      </w:r>
      <w:r w:rsidRPr="00FD6EC9">
        <w:rPr>
          <w:b w:val="0"/>
          <w:noProof/>
          <w:sz w:val="18"/>
        </w:rPr>
      </w:r>
      <w:r w:rsidRPr="00FD6EC9">
        <w:rPr>
          <w:b w:val="0"/>
          <w:noProof/>
          <w:sz w:val="18"/>
        </w:rPr>
        <w:fldChar w:fldCharType="separate"/>
      </w:r>
      <w:r w:rsidR="0093271D">
        <w:rPr>
          <w:b w:val="0"/>
          <w:noProof/>
          <w:sz w:val="18"/>
        </w:rPr>
        <w:t>6</w:t>
      </w:r>
      <w:r w:rsidRPr="00FD6EC9">
        <w:rPr>
          <w:b w:val="0"/>
          <w:noProof/>
          <w:sz w:val="18"/>
        </w:rPr>
        <w:fldChar w:fldCharType="end"/>
      </w:r>
    </w:p>
    <w:p w:rsidR="00637F0B" w:rsidRPr="00FD6EC9" w:rsidRDefault="00637F0B">
      <w:pPr>
        <w:pStyle w:val="TOC5"/>
        <w:rPr>
          <w:rFonts w:asciiTheme="minorHAnsi" w:eastAsiaTheme="minorEastAsia" w:hAnsiTheme="minorHAnsi" w:cstheme="minorBidi"/>
          <w:noProof/>
          <w:kern w:val="0"/>
          <w:sz w:val="22"/>
          <w:szCs w:val="22"/>
        </w:rPr>
      </w:pPr>
      <w:r w:rsidRPr="00FD6EC9">
        <w:rPr>
          <w:noProof/>
        </w:rPr>
        <w:t>1</w:t>
      </w:r>
      <w:r w:rsidRPr="00FD6EC9">
        <w:rPr>
          <w:noProof/>
        </w:rPr>
        <w:tab/>
        <w:t>General privileges and immunities of the officers and employees of the Bank etc.</w:t>
      </w:r>
      <w:r w:rsidRPr="00FD6EC9">
        <w:rPr>
          <w:noProof/>
        </w:rPr>
        <w:tab/>
      </w:r>
      <w:r w:rsidRPr="00FD6EC9">
        <w:rPr>
          <w:noProof/>
        </w:rPr>
        <w:fldChar w:fldCharType="begin"/>
      </w:r>
      <w:r w:rsidRPr="00FD6EC9">
        <w:rPr>
          <w:noProof/>
        </w:rPr>
        <w:instrText xml:space="preserve"> PAGEREF _Toc433034768 \h </w:instrText>
      </w:r>
      <w:r w:rsidRPr="00FD6EC9">
        <w:rPr>
          <w:noProof/>
        </w:rPr>
      </w:r>
      <w:r w:rsidRPr="00FD6EC9">
        <w:rPr>
          <w:noProof/>
        </w:rPr>
        <w:fldChar w:fldCharType="separate"/>
      </w:r>
      <w:r w:rsidR="0093271D">
        <w:rPr>
          <w:noProof/>
        </w:rPr>
        <w:t>6</w:t>
      </w:r>
      <w:r w:rsidRPr="00FD6EC9">
        <w:rPr>
          <w:noProof/>
        </w:rPr>
        <w:fldChar w:fldCharType="end"/>
      </w:r>
    </w:p>
    <w:p w:rsidR="00637F0B" w:rsidRPr="00FD6EC9" w:rsidRDefault="00637F0B">
      <w:pPr>
        <w:pStyle w:val="TOC5"/>
        <w:rPr>
          <w:rFonts w:asciiTheme="minorHAnsi" w:eastAsiaTheme="minorEastAsia" w:hAnsiTheme="minorHAnsi" w:cstheme="minorBidi"/>
          <w:noProof/>
          <w:kern w:val="0"/>
          <w:sz w:val="22"/>
          <w:szCs w:val="22"/>
        </w:rPr>
      </w:pPr>
      <w:r w:rsidRPr="00FD6EC9">
        <w:rPr>
          <w:noProof/>
        </w:rPr>
        <w:t>2</w:t>
      </w:r>
      <w:r w:rsidRPr="00FD6EC9">
        <w:rPr>
          <w:noProof/>
        </w:rPr>
        <w:tab/>
        <w:t>Taxation privileges and immunities of the officers and employees of the Bank etc.</w:t>
      </w:r>
      <w:r w:rsidRPr="00FD6EC9">
        <w:rPr>
          <w:noProof/>
        </w:rPr>
        <w:tab/>
      </w:r>
      <w:r w:rsidRPr="00FD6EC9">
        <w:rPr>
          <w:noProof/>
        </w:rPr>
        <w:fldChar w:fldCharType="begin"/>
      </w:r>
      <w:r w:rsidRPr="00FD6EC9">
        <w:rPr>
          <w:noProof/>
        </w:rPr>
        <w:instrText xml:space="preserve"> PAGEREF _Toc433034769 \h </w:instrText>
      </w:r>
      <w:r w:rsidRPr="00FD6EC9">
        <w:rPr>
          <w:noProof/>
        </w:rPr>
      </w:r>
      <w:r w:rsidRPr="00FD6EC9">
        <w:rPr>
          <w:noProof/>
        </w:rPr>
        <w:fldChar w:fldCharType="separate"/>
      </w:r>
      <w:r w:rsidR="0093271D">
        <w:rPr>
          <w:noProof/>
        </w:rPr>
        <w:t>7</w:t>
      </w:r>
      <w:r w:rsidRPr="00FD6EC9">
        <w:rPr>
          <w:noProof/>
        </w:rPr>
        <w:fldChar w:fldCharType="end"/>
      </w:r>
    </w:p>
    <w:p w:rsidR="00A802BC" w:rsidRPr="00FD6EC9" w:rsidRDefault="00637F0B" w:rsidP="00A44382">
      <w:pPr>
        <w:rPr>
          <w:sz w:val="20"/>
        </w:rPr>
      </w:pPr>
      <w:r w:rsidRPr="00FD6EC9">
        <w:rPr>
          <w:sz w:val="20"/>
        </w:rPr>
        <w:fldChar w:fldCharType="end"/>
      </w:r>
    </w:p>
    <w:p w:rsidR="00715914" w:rsidRPr="00FD6EC9" w:rsidRDefault="00715914" w:rsidP="00715914">
      <w:pPr>
        <w:sectPr w:rsidR="00715914" w:rsidRPr="00FD6EC9" w:rsidSect="006F1333">
          <w:headerReference w:type="even" r:id="rId16"/>
          <w:headerReference w:type="default" r:id="rId17"/>
          <w:footerReference w:type="even" r:id="rId18"/>
          <w:footerReference w:type="default" r:id="rId19"/>
          <w:headerReference w:type="first" r:id="rId20"/>
          <w:pgSz w:w="11907" w:h="16839"/>
          <w:pgMar w:top="2234" w:right="2410" w:bottom="4253" w:left="2410" w:header="720" w:footer="3402" w:gutter="0"/>
          <w:pgNumType w:fmt="lowerRoman" w:start="1"/>
          <w:cols w:space="708"/>
          <w:docGrid w:linePitch="360"/>
        </w:sectPr>
      </w:pPr>
    </w:p>
    <w:p w:rsidR="00715914" w:rsidRPr="00FD6EC9" w:rsidRDefault="00433ABB" w:rsidP="00715914">
      <w:pPr>
        <w:pStyle w:val="ActHead5"/>
      </w:pPr>
      <w:bookmarkStart w:id="3" w:name="_Toc433034758"/>
      <w:r w:rsidRPr="00FD6EC9">
        <w:rPr>
          <w:rStyle w:val="CharSectno"/>
        </w:rPr>
        <w:lastRenderedPageBreak/>
        <w:t>1</w:t>
      </w:r>
      <w:r w:rsidR="00715914" w:rsidRPr="00FD6EC9">
        <w:t xml:space="preserve">  </w:t>
      </w:r>
      <w:r w:rsidR="00CE493D" w:rsidRPr="00FD6EC9">
        <w:t>Name</w:t>
      </w:r>
      <w:bookmarkEnd w:id="3"/>
    </w:p>
    <w:p w:rsidR="00715914" w:rsidRPr="00FD6EC9" w:rsidRDefault="00715914" w:rsidP="00715914">
      <w:pPr>
        <w:pStyle w:val="subsection"/>
      </w:pPr>
      <w:r w:rsidRPr="00FD6EC9">
        <w:tab/>
      </w:r>
      <w:r w:rsidRPr="00FD6EC9">
        <w:tab/>
        <w:t xml:space="preserve">This </w:t>
      </w:r>
      <w:r w:rsidR="00CE493D" w:rsidRPr="00FD6EC9">
        <w:t xml:space="preserve">is the </w:t>
      </w:r>
      <w:r w:rsidR="000357B7" w:rsidRPr="00FD6EC9">
        <w:rPr>
          <w:i/>
        </w:rPr>
        <w:t>Asian Infrastructure Investment Bank (Privileges and Immunities) Regulation</w:t>
      </w:r>
      <w:r w:rsidR="00FD6EC9" w:rsidRPr="00FD6EC9">
        <w:rPr>
          <w:i/>
        </w:rPr>
        <w:t> </w:t>
      </w:r>
      <w:r w:rsidR="000357B7" w:rsidRPr="00FD6EC9">
        <w:rPr>
          <w:i/>
        </w:rPr>
        <w:t>2015</w:t>
      </w:r>
      <w:r w:rsidRPr="00FD6EC9">
        <w:t>.</w:t>
      </w:r>
    </w:p>
    <w:p w:rsidR="00715914" w:rsidRPr="00FD6EC9" w:rsidRDefault="00433ABB" w:rsidP="00715914">
      <w:pPr>
        <w:pStyle w:val="ActHead5"/>
      </w:pPr>
      <w:bookmarkStart w:id="4" w:name="_Toc433034759"/>
      <w:r w:rsidRPr="00FD6EC9">
        <w:rPr>
          <w:rStyle w:val="CharSectno"/>
        </w:rPr>
        <w:t>2</w:t>
      </w:r>
      <w:r w:rsidR="00715914" w:rsidRPr="00FD6EC9">
        <w:t xml:space="preserve">  Commencement</w:t>
      </w:r>
      <w:bookmarkEnd w:id="4"/>
    </w:p>
    <w:p w:rsidR="000357B7" w:rsidRPr="00FD6EC9" w:rsidRDefault="000357B7" w:rsidP="000357B7">
      <w:pPr>
        <w:pStyle w:val="subsection"/>
      </w:pPr>
      <w:r w:rsidRPr="00FD6EC9">
        <w:tab/>
        <w:t>(1)</w:t>
      </w:r>
      <w:r w:rsidRPr="00FD6EC9">
        <w:tab/>
        <w:t>Each provision of this instrument specified in column 1 of the table commences, or is taken to have commenced, in accordance with column 2 of the table. Any other statement in column 2 has effect according to its terms.</w:t>
      </w:r>
    </w:p>
    <w:p w:rsidR="000357B7" w:rsidRPr="00FD6EC9" w:rsidRDefault="000357B7" w:rsidP="000357B7">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0357B7" w:rsidRPr="00FD6EC9" w:rsidTr="006150CF">
        <w:trPr>
          <w:tblHeader/>
        </w:trPr>
        <w:tc>
          <w:tcPr>
            <w:tcW w:w="7111" w:type="dxa"/>
            <w:gridSpan w:val="3"/>
            <w:tcBorders>
              <w:top w:val="single" w:sz="12" w:space="0" w:color="auto"/>
              <w:bottom w:val="single" w:sz="2" w:space="0" w:color="auto"/>
            </w:tcBorders>
            <w:shd w:val="clear" w:color="auto" w:fill="auto"/>
            <w:hideMark/>
          </w:tcPr>
          <w:p w:rsidR="000357B7" w:rsidRPr="00FD6EC9" w:rsidRDefault="000357B7" w:rsidP="006150CF">
            <w:pPr>
              <w:pStyle w:val="TableHeading"/>
            </w:pPr>
            <w:r w:rsidRPr="00FD6EC9">
              <w:t>Commencement information</w:t>
            </w:r>
          </w:p>
        </w:tc>
      </w:tr>
      <w:tr w:rsidR="000357B7" w:rsidRPr="00FD6EC9" w:rsidTr="006150CF">
        <w:trPr>
          <w:tblHeader/>
        </w:trPr>
        <w:tc>
          <w:tcPr>
            <w:tcW w:w="1701" w:type="dxa"/>
            <w:tcBorders>
              <w:top w:val="single" w:sz="2" w:space="0" w:color="auto"/>
              <w:bottom w:val="single" w:sz="2" w:space="0" w:color="auto"/>
            </w:tcBorders>
            <w:shd w:val="clear" w:color="auto" w:fill="auto"/>
            <w:hideMark/>
          </w:tcPr>
          <w:p w:rsidR="000357B7" w:rsidRPr="00FD6EC9" w:rsidRDefault="000357B7" w:rsidP="006150CF">
            <w:pPr>
              <w:pStyle w:val="TableHeading"/>
            </w:pPr>
            <w:r w:rsidRPr="00FD6EC9">
              <w:t>Column 1</w:t>
            </w:r>
          </w:p>
        </w:tc>
        <w:tc>
          <w:tcPr>
            <w:tcW w:w="3828" w:type="dxa"/>
            <w:tcBorders>
              <w:top w:val="single" w:sz="2" w:space="0" w:color="auto"/>
              <w:bottom w:val="single" w:sz="2" w:space="0" w:color="auto"/>
            </w:tcBorders>
            <w:shd w:val="clear" w:color="auto" w:fill="auto"/>
            <w:hideMark/>
          </w:tcPr>
          <w:p w:rsidR="000357B7" w:rsidRPr="00FD6EC9" w:rsidRDefault="000357B7" w:rsidP="006150CF">
            <w:pPr>
              <w:pStyle w:val="TableHeading"/>
            </w:pPr>
            <w:r w:rsidRPr="00FD6EC9">
              <w:t>Column 2</w:t>
            </w:r>
          </w:p>
        </w:tc>
        <w:tc>
          <w:tcPr>
            <w:tcW w:w="1582" w:type="dxa"/>
            <w:tcBorders>
              <w:top w:val="single" w:sz="2" w:space="0" w:color="auto"/>
              <w:bottom w:val="single" w:sz="2" w:space="0" w:color="auto"/>
            </w:tcBorders>
            <w:shd w:val="clear" w:color="auto" w:fill="auto"/>
            <w:hideMark/>
          </w:tcPr>
          <w:p w:rsidR="000357B7" w:rsidRPr="00FD6EC9" w:rsidRDefault="000357B7" w:rsidP="006150CF">
            <w:pPr>
              <w:pStyle w:val="TableHeading"/>
            </w:pPr>
            <w:r w:rsidRPr="00FD6EC9">
              <w:t>Column 3</w:t>
            </w:r>
          </w:p>
        </w:tc>
      </w:tr>
      <w:tr w:rsidR="000357B7" w:rsidRPr="00FD6EC9" w:rsidTr="006150CF">
        <w:trPr>
          <w:tblHeader/>
        </w:trPr>
        <w:tc>
          <w:tcPr>
            <w:tcW w:w="1701" w:type="dxa"/>
            <w:tcBorders>
              <w:top w:val="single" w:sz="2" w:space="0" w:color="auto"/>
              <w:bottom w:val="single" w:sz="12" w:space="0" w:color="auto"/>
            </w:tcBorders>
            <w:shd w:val="clear" w:color="auto" w:fill="auto"/>
            <w:hideMark/>
          </w:tcPr>
          <w:p w:rsidR="000357B7" w:rsidRPr="00FD6EC9" w:rsidRDefault="000357B7" w:rsidP="006150CF">
            <w:pPr>
              <w:pStyle w:val="TableHeading"/>
            </w:pPr>
            <w:r w:rsidRPr="00FD6EC9">
              <w:t>Provisions</w:t>
            </w:r>
          </w:p>
        </w:tc>
        <w:tc>
          <w:tcPr>
            <w:tcW w:w="3828" w:type="dxa"/>
            <w:tcBorders>
              <w:top w:val="single" w:sz="2" w:space="0" w:color="auto"/>
              <w:bottom w:val="single" w:sz="12" w:space="0" w:color="auto"/>
            </w:tcBorders>
            <w:shd w:val="clear" w:color="auto" w:fill="auto"/>
            <w:hideMark/>
          </w:tcPr>
          <w:p w:rsidR="000357B7" w:rsidRPr="00FD6EC9" w:rsidRDefault="000357B7" w:rsidP="006150CF">
            <w:pPr>
              <w:pStyle w:val="TableHeading"/>
            </w:pPr>
            <w:r w:rsidRPr="00FD6EC9">
              <w:t>Commencement</w:t>
            </w:r>
          </w:p>
        </w:tc>
        <w:tc>
          <w:tcPr>
            <w:tcW w:w="1582" w:type="dxa"/>
            <w:tcBorders>
              <w:top w:val="single" w:sz="2" w:space="0" w:color="auto"/>
              <w:bottom w:val="single" w:sz="12" w:space="0" w:color="auto"/>
            </w:tcBorders>
            <w:shd w:val="clear" w:color="auto" w:fill="auto"/>
            <w:hideMark/>
          </w:tcPr>
          <w:p w:rsidR="000357B7" w:rsidRPr="00FD6EC9" w:rsidRDefault="000357B7" w:rsidP="006150CF">
            <w:pPr>
              <w:pStyle w:val="TableHeading"/>
            </w:pPr>
            <w:r w:rsidRPr="00FD6EC9">
              <w:t>Date/Details</w:t>
            </w:r>
          </w:p>
        </w:tc>
      </w:tr>
      <w:tr w:rsidR="000357B7" w:rsidRPr="00FD6EC9" w:rsidTr="006150CF">
        <w:tc>
          <w:tcPr>
            <w:tcW w:w="1701" w:type="dxa"/>
            <w:tcBorders>
              <w:top w:val="single" w:sz="12" w:space="0" w:color="auto"/>
              <w:bottom w:val="single" w:sz="12" w:space="0" w:color="auto"/>
            </w:tcBorders>
            <w:shd w:val="clear" w:color="auto" w:fill="auto"/>
            <w:hideMark/>
          </w:tcPr>
          <w:p w:rsidR="000357B7" w:rsidRPr="00FD6EC9" w:rsidRDefault="000357B7" w:rsidP="00D41D8E">
            <w:pPr>
              <w:pStyle w:val="Tabletext"/>
            </w:pPr>
            <w:r w:rsidRPr="00FD6EC9">
              <w:t>1.  The whole of this instrument</w:t>
            </w:r>
          </w:p>
        </w:tc>
        <w:tc>
          <w:tcPr>
            <w:tcW w:w="3828" w:type="dxa"/>
            <w:tcBorders>
              <w:top w:val="single" w:sz="12" w:space="0" w:color="auto"/>
              <w:bottom w:val="single" w:sz="12" w:space="0" w:color="auto"/>
            </w:tcBorders>
            <w:shd w:val="clear" w:color="auto" w:fill="auto"/>
            <w:hideMark/>
          </w:tcPr>
          <w:p w:rsidR="000357B7" w:rsidRPr="00FD6EC9" w:rsidRDefault="000357B7" w:rsidP="00D41D8E">
            <w:pPr>
              <w:pStyle w:val="Tabletext"/>
            </w:pPr>
            <w:r w:rsidRPr="00FD6EC9">
              <w:t>At the same time as sections</w:t>
            </w:r>
            <w:r w:rsidR="00FD6EC9" w:rsidRPr="00FD6EC9">
              <w:t> </w:t>
            </w:r>
            <w:r w:rsidRPr="00FD6EC9">
              <w:t xml:space="preserve">3 to 9 of the </w:t>
            </w:r>
            <w:r w:rsidRPr="00FD6EC9">
              <w:rPr>
                <w:i/>
              </w:rPr>
              <w:t>Asian Infrastructure Investment Bank Act 2015</w:t>
            </w:r>
            <w:r w:rsidRPr="00FD6EC9">
              <w:t xml:space="preserve"> commence.</w:t>
            </w:r>
          </w:p>
        </w:tc>
        <w:tc>
          <w:tcPr>
            <w:tcW w:w="1582" w:type="dxa"/>
            <w:tcBorders>
              <w:top w:val="single" w:sz="12" w:space="0" w:color="auto"/>
              <w:bottom w:val="single" w:sz="12" w:space="0" w:color="auto"/>
            </w:tcBorders>
            <w:shd w:val="clear" w:color="auto" w:fill="auto"/>
          </w:tcPr>
          <w:p w:rsidR="000357B7" w:rsidRPr="00FD6EC9" w:rsidRDefault="00635200" w:rsidP="00D41D8E">
            <w:pPr>
              <w:pStyle w:val="Tabletext"/>
            </w:pPr>
            <w:r>
              <w:t>25 December 2015</w:t>
            </w:r>
            <w:bookmarkStart w:id="5" w:name="_GoBack"/>
            <w:bookmarkEnd w:id="5"/>
          </w:p>
        </w:tc>
      </w:tr>
    </w:tbl>
    <w:p w:rsidR="000357B7" w:rsidRPr="00FD6EC9" w:rsidRDefault="000357B7" w:rsidP="000357B7">
      <w:pPr>
        <w:pStyle w:val="notetext"/>
      </w:pPr>
      <w:r w:rsidRPr="00FD6EC9">
        <w:rPr>
          <w:snapToGrid w:val="0"/>
          <w:lang w:eastAsia="en-US"/>
        </w:rPr>
        <w:t>Note:</w:t>
      </w:r>
      <w:r w:rsidRPr="00FD6EC9">
        <w:rPr>
          <w:snapToGrid w:val="0"/>
          <w:lang w:eastAsia="en-US"/>
        </w:rPr>
        <w:tab/>
        <w:t xml:space="preserve">This table relates only to the provisions of this </w:t>
      </w:r>
      <w:r w:rsidRPr="00FD6EC9">
        <w:t xml:space="preserve">instrument </w:t>
      </w:r>
      <w:r w:rsidRPr="00FD6EC9">
        <w:rPr>
          <w:snapToGrid w:val="0"/>
          <w:lang w:eastAsia="en-US"/>
        </w:rPr>
        <w:t xml:space="preserve">as originally made. It will not be amended to deal with any later amendments of this </w:t>
      </w:r>
      <w:r w:rsidRPr="00FD6EC9">
        <w:t>instrument</w:t>
      </w:r>
      <w:r w:rsidRPr="00FD6EC9">
        <w:rPr>
          <w:snapToGrid w:val="0"/>
          <w:lang w:eastAsia="en-US"/>
        </w:rPr>
        <w:t>.</w:t>
      </w:r>
    </w:p>
    <w:p w:rsidR="000357B7" w:rsidRPr="00FD6EC9" w:rsidRDefault="000357B7" w:rsidP="000357B7">
      <w:pPr>
        <w:pStyle w:val="subsection"/>
      </w:pPr>
      <w:r w:rsidRPr="00FD6EC9">
        <w:tab/>
        <w:t>(2)</w:t>
      </w:r>
      <w:r w:rsidRPr="00FD6EC9">
        <w:tab/>
        <w:t>Any information in column 3 of the table is not part of this instrument. Information may be inserted in this column, or information in it may be edited, in any published version of this instrument.</w:t>
      </w:r>
    </w:p>
    <w:p w:rsidR="00CE493D" w:rsidRPr="00FD6EC9" w:rsidRDefault="00433ABB" w:rsidP="00E85C54">
      <w:pPr>
        <w:pStyle w:val="ActHead5"/>
      </w:pPr>
      <w:bookmarkStart w:id="6" w:name="_Toc433034760"/>
      <w:r w:rsidRPr="00FD6EC9">
        <w:rPr>
          <w:rStyle w:val="CharSectno"/>
        </w:rPr>
        <w:t>3</w:t>
      </w:r>
      <w:r w:rsidR="00E85C54" w:rsidRPr="00FD6EC9">
        <w:t xml:space="preserve">  Authority</w:t>
      </w:r>
      <w:bookmarkEnd w:id="6"/>
    </w:p>
    <w:p w:rsidR="00E708D8" w:rsidRPr="00FD6EC9" w:rsidRDefault="00E85C54" w:rsidP="00E85C54">
      <w:pPr>
        <w:pStyle w:val="subsection"/>
      </w:pPr>
      <w:r w:rsidRPr="00FD6EC9">
        <w:tab/>
      </w:r>
      <w:r w:rsidRPr="00FD6EC9">
        <w:tab/>
        <w:t xml:space="preserve">This </w:t>
      </w:r>
      <w:r w:rsidR="000357B7" w:rsidRPr="00FD6EC9">
        <w:t xml:space="preserve">instrument </w:t>
      </w:r>
      <w:r w:rsidRPr="00FD6EC9">
        <w:t xml:space="preserve">is made under </w:t>
      </w:r>
      <w:r w:rsidR="001B39BC" w:rsidRPr="00FD6EC9">
        <w:t xml:space="preserve">the </w:t>
      </w:r>
      <w:r w:rsidR="000357B7" w:rsidRPr="00FD6EC9">
        <w:rPr>
          <w:i/>
        </w:rPr>
        <w:t>Asian Infrastructure Investment Bank Act 2015</w:t>
      </w:r>
      <w:r w:rsidR="00EC01C1" w:rsidRPr="00FD6EC9">
        <w:t>.</w:t>
      </w:r>
    </w:p>
    <w:p w:rsidR="00EE518C" w:rsidRPr="00FD6EC9" w:rsidRDefault="00433ABB" w:rsidP="00EE518C">
      <w:pPr>
        <w:pStyle w:val="ActHead5"/>
      </w:pPr>
      <w:bookmarkStart w:id="7" w:name="_Toc433034761"/>
      <w:r w:rsidRPr="00FD6EC9">
        <w:rPr>
          <w:rStyle w:val="CharSectno"/>
        </w:rPr>
        <w:t>4</w:t>
      </w:r>
      <w:r w:rsidR="00EE518C" w:rsidRPr="00FD6EC9">
        <w:t xml:space="preserve">  Privileges and immunities of the Bank</w:t>
      </w:r>
      <w:bookmarkEnd w:id="7"/>
    </w:p>
    <w:p w:rsidR="00EE518C" w:rsidRPr="00FD6EC9" w:rsidRDefault="00EE518C" w:rsidP="00EE518C">
      <w:pPr>
        <w:pStyle w:val="subsection"/>
      </w:pPr>
      <w:r w:rsidRPr="00FD6EC9">
        <w:tab/>
      </w:r>
      <w:r w:rsidRPr="00FD6EC9">
        <w:tab/>
        <w:t>The Bank has the privileges and immunities</w:t>
      </w:r>
      <w:r w:rsidR="00935412" w:rsidRPr="00FD6EC9">
        <w:t xml:space="preserve"> specified in Schedule</w:t>
      </w:r>
      <w:r w:rsidR="00FD6EC9" w:rsidRPr="00FD6EC9">
        <w:t> </w:t>
      </w:r>
      <w:r w:rsidR="00935412" w:rsidRPr="00FD6EC9">
        <w:t>1.</w:t>
      </w:r>
    </w:p>
    <w:p w:rsidR="00EE518C" w:rsidRPr="00FD6EC9" w:rsidRDefault="00EE518C" w:rsidP="00EE518C">
      <w:pPr>
        <w:pStyle w:val="notetext"/>
      </w:pPr>
      <w:r w:rsidRPr="00FD6EC9">
        <w:t>Note:</w:t>
      </w:r>
      <w:r w:rsidRPr="00FD6EC9">
        <w:tab/>
        <w:t xml:space="preserve">See also the </w:t>
      </w:r>
      <w:r w:rsidR="006372D3" w:rsidRPr="00FD6EC9">
        <w:rPr>
          <w:i/>
        </w:rPr>
        <w:t>International Organisations (Privileges and Immunities) (Asian Infrastructure Investment Bank) Regulation</w:t>
      </w:r>
      <w:r w:rsidR="00FD6EC9" w:rsidRPr="00FD6EC9">
        <w:rPr>
          <w:i/>
        </w:rPr>
        <w:t> </w:t>
      </w:r>
      <w:r w:rsidR="006372D3" w:rsidRPr="00FD6EC9">
        <w:rPr>
          <w:i/>
        </w:rPr>
        <w:t>2015</w:t>
      </w:r>
      <w:r w:rsidR="00DC6E90" w:rsidRPr="00FD6EC9">
        <w:t>,</w:t>
      </w:r>
      <w:r w:rsidR="00DB38ED" w:rsidRPr="00FD6EC9">
        <w:t xml:space="preserve"> which confers additional privileges and immunities on the Bank</w:t>
      </w:r>
      <w:r w:rsidR="006372D3" w:rsidRPr="00FD6EC9">
        <w:t>.</w:t>
      </w:r>
    </w:p>
    <w:p w:rsidR="007A6816" w:rsidRPr="00FD6EC9" w:rsidRDefault="00433ABB" w:rsidP="00914F9C">
      <w:pPr>
        <w:pStyle w:val="ActHead5"/>
      </w:pPr>
      <w:bookmarkStart w:id="8" w:name="_Toc433034762"/>
      <w:r w:rsidRPr="00FD6EC9">
        <w:rPr>
          <w:rStyle w:val="CharSectno"/>
        </w:rPr>
        <w:t>5</w:t>
      </w:r>
      <w:r w:rsidR="00914F9C" w:rsidRPr="00FD6EC9">
        <w:t xml:space="preserve">  Privileges and immunities of </w:t>
      </w:r>
      <w:r w:rsidR="00F93709" w:rsidRPr="00FD6EC9">
        <w:t>officers and employees</w:t>
      </w:r>
      <w:r w:rsidR="00816E85" w:rsidRPr="00FD6EC9">
        <w:t xml:space="preserve"> of the Bank etc.</w:t>
      </w:r>
      <w:bookmarkEnd w:id="8"/>
    </w:p>
    <w:p w:rsidR="00E96769" w:rsidRPr="00FD6EC9" w:rsidRDefault="00914F9C" w:rsidP="00914F9C">
      <w:pPr>
        <w:pStyle w:val="subsection"/>
      </w:pPr>
      <w:r w:rsidRPr="00FD6EC9">
        <w:tab/>
      </w:r>
      <w:r w:rsidR="00816E85" w:rsidRPr="00FD6EC9">
        <w:t>(1)</w:t>
      </w:r>
      <w:r w:rsidRPr="00FD6EC9">
        <w:tab/>
      </w:r>
      <w:r w:rsidR="00E96769" w:rsidRPr="00FD6EC9">
        <w:t xml:space="preserve">The following persons have the privileges and immunities specified in </w:t>
      </w:r>
      <w:r w:rsidR="00694725" w:rsidRPr="00FD6EC9">
        <w:t>clause</w:t>
      </w:r>
      <w:r w:rsidR="00FD6EC9" w:rsidRPr="00FD6EC9">
        <w:t> </w:t>
      </w:r>
      <w:r w:rsidR="00816E85" w:rsidRPr="00FD6EC9">
        <w:t xml:space="preserve">1 of </w:t>
      </w:r>
      <w:r w:rsidR="00E96769" w:rsidRPr="00FD6EC9">
        <w:t>Schedule</w:t>
      </w:r>
      <w:r w:rsidR="00FD6EC9" w:rsidRPr="00FD6EC9">
        <w:t> </w:t>
      </w:r>
      <w:r w:rsidR="00E96769" w:rsidRPr="00FD6EC9">
        <w:t>2:</w:t>
      </w:r>
    </w:p>
    <w:p w:rsidR="007A5B03" w:rsidRPr="00FD6EC9" w:rsidRDefault="00E96769" w:rsidP="00E96769">
      <w:pPr>
        <w:pStyle w:val="paragraph"/>
      </w:pPr>
      <w:r w:rsidRPr="00FD6EC9">
        <w:tab/>
        <w:t>(a)</w:t>
      </w:r>
      <w:r w:rsidRPr="00FD6EC9">
        <w:tab/>
      </w:r>
      <w:r w:rsidR="007A5B03" w:rsidRPr="00FD6EC9">
        <w:t>Governors of the Bank</w:t>
      </w:r>
      <w:r w:rsidRPr="00FD6EC9">
        <w:t>;</w:t>
      </w:r>
    </w:p>
    <w:p w:rsidR="00E96769" w:rsidRPr="00FD6EC9" w:rsidRDefault="00E96769" w:rsidP="00E96769">
      <w:pPr>
        <w:pStyle w:val="paragraph"/>
      </w:pPr>
      <w:r w:rsidRPr="00FD6EC9">
        <w:tab/>
        <w:t>(b)</w:t>
      </w:r>
      <w:r w:rsidRPr="00FD6EC9">
        <w:tab/>
        <w:t>Directors of the Bank;</w:t>
      </w:r>
    </w:p>
    <w:p w:rsidR="00E96769" w:rsidRPr="00FD6EC9" w:rsidRDefault="00E96769" w:rsidP="00E96769">
      <w:pPr>
        <w:pStyle w:val="paragraph"/>
      </w:pPr>
      <w:r w:rsidRPr="00FD6EC9">
        <w:tab/>
        <w:t>(c)</w:t>
      </w:r>
      <w:r w:rsidRPr="00FD6EC9">
        <w:tab/>
        <w:t>Alternate Directors of the Bank;</w:t>
      </w:r>
    </w:p>
    <w:p w:rsidR="00E96769" w:rsidRPr="00FD6EC9" w:rsidRDefault="00E96769" w:rsidP="00E96769">
      <w:pPr>
        <w:pStyle w:val="paragraph"/>
      </w:pPr>
      <w:r w:rsidRPr="00FD6EC9">
        <w:tab/>
        <w:t>(d)</w:t>
      </w:r>
      <w:r w:rsidRPr="00FD6EC9">
        <w:tab/>
        <w:t>the President of the Bank;</w:t>
      </w:r>
    </w:p>
    <w:p w:rsidR="00E96769" w:rsidRPr="00FD6EC9" w:rsidRDefault="00E96769" w:rsidP="00E96769">
      <w:pPr>
        <w:pStyle w:val="paragraph"/>
      </w:pPr>
      <w:r w:rsidRPr="00FD6EC9">
        <w:tab/>
        <w:t>(e)</w:t>
      </w:r>
      <w:r w:rsidRPr="00FD6EC9">
        <w:tab/>
        <w:t>Vice</w:t>
      </w:r>
      <w:r w:rsidR="00FD6EC9">
        <w:noBreakHyphen/>
      </w:r>
      <w:r w:rsidRPr="00FD6EC9">
        <w:t>Presidents of the Bank;</w:t>
      </w:r>
    </w:p>
    <w:p w:rsidR="00E96769" w:rsidRPr="00FD6EC9" w:rsidRDefault="00E96769" w:rsidP="00E96769">
      <w:pPr>
        <w:pStyle w:val="paragraph"/>
      </w:pPr>
      <w:r w:rsidRPr="00FD6EC9">
        <w:tab/>
        <w:t>(f)</w:t>
      </w:r>
      <w:r w:rsidRPr="00FD6EC9">
        <w:tab/>
        <w:t>other officers and employees of the Bank;</w:t>
      </w:r>
    </w:p>
    <w:p w:rsidR="00E96769" w:rsidRPr="00FD6EC9" w:rsidRDefault="00E96769" w:rsidP="00E96769">
      <w:pPr>
        <w:pStyle w:val="paragraph"/>
      </w:pPr>
      <w:r w:rsidRPr="00FD6EC9">
        <w:tab/>
        <w:t>(g)</w:t>
      </w:r>
      <w:r w:rsidRPr="00FD6EC9">
        <w:tab/>
        <w:t>experts and consultants performing missions or services for the Bank.</w:t>
      </w:r>
    </w:p>
    <w:p w:rsidR="00842BF0" w:rsidRPr="00FD6EC9" w:rsidRDefault="00842BF0" w:rsidP="00842BF0">
      <w:pPr>
        <w:pStyle w:val="subsection"/>
      </w:pPr>
      <w:r w:rsidRPr="00FD6EC9">
        <w:tab/>
      </w:r>
      <w:r w:rsidR="00540F05" w:rsidRPr="00FD6EC9">
        <w:t>(</w:t>
      </w:r>
      <w:r w:rsidR="00816E85" w:rsidRPr="00FD6EC9">
        <w:t>2</w:t>
      </w:r>
      <w:r w:rsidR="00540F05" w:rsidRPr="00FD6EC9">
        <w:t>)</w:t>
      </w:r>
      <w:r w:rsidRPr="00FD6EC9">
        <w:tab/>
        <w:t xml:space="preserve">The following persons </w:t>
      </w:r>
      <w:r w:rsidR="00816E85" w:rsidRPr="00FD6EC9">
        <w:t xml:space="preserve">have the privileges and immunities specified in </w:t>
      </w:r>
      <w:r w:rsidR="00694725" w:rsidRPr="00FD6EC9">
        <w:t>clause</w:t>
      </w:r>
      <w:r w:rsidR="00FD6EC9" w:rsidRPr="00FD6EC9">
        <w:t> </w:t>
      </w:r>
      <w:r w:rsidR="00816E85" w:rsidRPr="00FD6EC9">
        <w:t>2 of Schedule</w:t>
      </w:r>
      <w:r w:rsidR="00FD6EC9" w:rsidRPr="00FD6EC9">
        <w:t> </w:t>
      </w:r>
      <w:r w:rsidR="00816E85" w:rsidRPr="00FD6EC9">
        <w:t>2</w:t>
      </w:r>
      <w:r w:rsidRPr="00FD6EC9">
        <w:t>:</w:t>
      </w:r>
    </w:p>
    <w:p w:rsidR="00760730" w:rsidRPr="00FD6EC9" w:rsidRDefault="00760730" w:rsidP="00760730">
      <w:pPr>
        <w:pStyle w:val="paragraph"/>
      </w:pPr>
      <w:r w:rsidRPr="00FD6EC9">
        <w:tab/>
        <w:t>(</w:t>
      </w:r>
      <w:r w:rsidR="00842BF0" w:rsidRPr="00FD6EC9">
        <w:t>a</w:t>
      </w:r>
      <w:r w:rsidRPr="00FD6EC9">
        <w:t>)</w:t>
      </w:r>
      <w:r w:rsidRPr="00FD6EC9">
        <w:tab/>
        <w:t>Directors of the Bank;</w:t>
      </w:r>
    </w:p>
    <w:p w:rsidR="00760730" w:rsidRPr="00FD6EC9" w:rsidRDefault="00842BF0" w:rsidP="00760730">
      <w:pPr>
        <w:pStyle w:val="paragraph"/>
      </w:pPr>
      <w:r w:rsidRPr="00FD6EC9">
        <w:tab/>
        <w:t>(b</w:t>
      </w:r>
      <w:r w:rsidR="00760730" w:rsidRPr="00FD6EC9">
        <w:t>)</w:t>
      </w:r>
      <w:r w:rsidR="00760730" w:rsidRPr="00FD6EC9">
        <w:tab/>
        <w:t>Alternate Directors of the Bank;</w:t>
      </w:r>
    </w:p>
    <w:p w:rsidR="00760730" w:rsidRPr="00FD6EC9" w:rsidRDefault="00842BF0" w:rsidP="00760730">
      <w:pPr>
        <w:pStyle w:val="paragraph"/>
      </w:pPr>
      <w:r w:rsidRPr="00FD6EC9">
        <w:tab/>
        <w:t>(c</w:t>
      </w:r>
      <w:r w:rsidR="00760730" w:rsidRPr="00FD6EC9">
        <w:t>)</w:t>
      </w:r>
      <w:r w:rsidR="00760730" w:rsidRPr="00FD6EC9">
        <w:tab/>
        <w:t>the President of the Bank;</w:t>
      </w:r>
    </w:p>
    <w:p w:rsidR="00760730" w:rsidRPr="00FD6EC9" w:rsidRDefault="00842BF0" w:rsidP="00760730">
      <w:pPr>
        <w:pStyle w:val="paragraph"/>
      </w:pPr>
      <w:r w:rsidRPr="00FD6EC9">
        <w:tab/>
        <w:t>(d</w:t>
      </w:r>
      <w:r w:rsidR="00760730" w:rsidRPr="00FD6EC9">
        <w:t>)</w:t>
      </w:r>
      <w:r w:rsidR="00760730" w:rsidRPr="00FD6EC9">
        <w:tab/>
        <w:t>Vice</w:t>
      </w:r>
      <w:r w:rsidR="00FD6EC9">
        <w:noBreakHyphen/>
      </w:r>
      <w:r w:rsidR="00760730" w:rsidRPr="00FD6EC9">
        <w:t>Presidents of the Bank;</w:t>
      </w:r>
    </w:p>
    <w:p w:rsidR="00760730" w:rsidRPr="00FD6EC9" w:rsidRDefault="00842BF0" w:rsidP="00760730">
      <w:pPr>
        <w:pStyle w:val="paragraph"/>
      </w:pPr>
      <w:r w:rsidRPr="00FD6EC9">
        <w:tab/>
        <w:t>(e</w:t>
      </w:r>
      <w:r w:rsidR="00760730" w:rsidRPr="00FD6EC9">
        <w:t>)</w:t>
      </w:r>
      <w:r w:rsidR="00760730" w:rsidRPr="00FD6EC9">
        <w:tab/>
        <w:t>other officers and employees of the Bank;</w:t>
      </w:r>
    </w:p>
    <w:p w:rsidR="00914F9C" w:rsidRPr="00FD6EC9" w:rsidRDefault="00842BF0" w:rsidP="00760730">
      <w:pPr>
        <w:pStyle w:val="paragraph"/>
      </w:pPr>
      <w:r w:rsidRPr="00FD6EC9">
        <w:tab/>
        <w:t>(f</w:t>
      </w:r>
      <w:r w:rsidR="00760730" w:rsidRPr="00FD6EC9">
        <w:t>)</w:t>
      </w:r>
      <w:r w:rsidR="00760730" w:rsidRPr="00FD6EC9">
        <w:tab/>
        <w:t>experts and consultants performing missions or services for the Bank.</w:t>
      </w:r>
    </w:p>
    <w:p w:rsidR="00A25A4F" w:rsidRPr="00FD6EC9" w:rsidRDefault="00A25A4F" w:rsidP="00540F05">
      <w:pPr>
        <w:pStyle w:val="subsection"/>
      </w:pPr>
      <w:r w:rsidRPr="00FD6EC9">
        <w:tab/>
        <w:t>(3)</w:t>
      </w:r>
      <w:r w:rsidRPr="00FD6EC9">
        <w:tab/>
      </w:r>
      <w:r w:rsidR="00F7043B" w:rsidRPr="00FD6EC9">
        <w:t xml:space="preserve">Despite </w:t>
      </w:r>
      <w:r w:rsidR="00FD6EC9" w:rsidRPr="00FD6EC9">
        <w:t>subsection (</w:t>
      </w:r>
      <w:r w:rsidR="00F7043B" w:rsidRPr="00FD6EC9">
        <w:t>2), t</w:t>
      </w:r>
      <w:r w:rsidRPr="00FD6EC9">
        <w:t>he salary, emoluments and expenses received from the Bank by a person:</w:t>
      </w:r>
    </w:p>
    <w:p w:rsidR="00A25A4F" w:rsidRPr="00FD6EC9" w:rsidRDefault="00A25A4F" w:rsidP="00A25A4F">
      <w:pPr>
        <w:pStyle w:val="paragraph"/>
      </w:pPr>
      <w:r w:rsidRPr="00FD6EC9">
        <w:tab/>
        <w:t>(a)</w:t>
      </w:r>
      <w:r w:rsidRPr="00FD6EC9">
        <w:tab/>
        <w:t xml:space="preserve">on whom privileges and immunities are conferred by </w:t>
      </w:r>
      <w:r w:rsidR="00FD6EC9" w:rsidRPr="00FD6EC9">
        <w:t>subsection (</w:t>
      </w:r>
      <w:r w:rsidRPr="00FD6EC9">
        <w:t>2); and</w:t>
      </w:r>
    </w:p>
    <w:p w:rsidR="00A25A4F" w:rsidRPr="00FD6EC9" w:rsidRDefault="00A25A4F" w:rsidP="00A25A4F">
      <w:pPr>
        <w:pStyle w:val="paragraph"/>
      </w:pPr>
      <w:r w:rsidRPr="00FD6EC9">
        <w:tab/>
        <w:t>(b)</w:t>
      </w:r>
      <w:r w:rsidRPr="00FD6EC9">
        <w:tab/>
        <w:t xml:space="preserve">who is </w:t>
      </w:r>
      <w:r w:rsidR="00162935" w:rsidRPr="00FD6EC9">
        <w:t xml:space="preserve">an Australian </w:t>
      </w:r>
      <w:r w:rsidRPr="00FD6EC9">
        <w:t xml:space="preserve">resident within the meaning of the </w:t>
      </w:r>
      <w:r w:rsidR="00A0749F" w:rsidRPr="00FD6EC9">
        <w:rPr>
          <w:i/>
        </w:rPr>
        <w:t>Income Tax Assessment Act 199</w:t>
      </w:r>
      <w:r w:rsidR="00162935" w:rsidRPr="00FD6EC9">
        <w:rPr>
          <w:i/>
        </w:rPr>
        <w:t>7</w:t>
      </w:r>
      <w:r w:rsidRPr="00FD6EC9">
        <w:t>;</w:t>
      </w:r>
    </w:p>
    <w:p w:rsidR="00A25A4F" w:rsidRPr="00FD6EC9" w:rsidRDefault="00A25A4F" w:rsidP="00A25A4F">
      <w:pPr>
        <w:pStyle w:val="subsection2"/>
      </w:pPr>
      <w:r w:rsidRPr="00FD6EC9">
        <w:t>are not, to the extent to which they are for services rendered in Australia, exempt from taxation unless the person:</w:t>
      </w:r>
    </w:p>
    <w:p w:rsidR="00A25A4F" w:rsidRPr="00FD6EC9" w:rsidRDefault="00A25A4F" w:rsidP="00A25A4F">
      <w:pPr>
        <w:pStyle w:val="paragraph"/>
      </w:pPr>
      <w:r w:rsidRPr="00FD6EC9">
        <w:tab/>
        <w:t>(c)</w:t>
      </w:r>
      <w:r w:rsidRPr="00FD6EC9">
        <w:tab/>
        <w:t>is not an Australian citizen; and</w:t>
      </w:r>
    </w:p>
    <w:p w:rsidR="00A25A4F" w:rsidRPr="00FD6EC9" w:rsidRDefault="00A25A4F" w:rsidP="00A25A4F">
      <w:pPr>
        <w:pStyle w:val="paragraph"/>
      </w:pPr>
      <w:r w:rsidRPr="00FD6EC9">
        <w:tab/>
        <w:t>(d)</w:t>
      </w:r>
      <w:r w:rsidRPr="00FD6EC9">
        <w:tab/>
        <w:t xml:space="preserve">came to Australia solely for the purpose of participating in the work of the Bank or performing a mission </w:t>
      </w:r>
      <w:r w:rsidR="00A24CDF" w:rsidRPr="00FD6EC9">
        <w:t xml:space="preserve">or service for </w:t>
      </w:r>
      <w:r w:rsidRPr="00FD6EC9">
        <w:t>the Bank.</w:t>
      </w:r>
    </w:p>
    <w:p w:rsidR="00156B03" w:rsidRPr="00FD6EC9" w:rsidRDefault="00433ABB" w:rsidP="00156B03">
      <w:pPr>
        <w:pStyle w:val="ActHead5"/>
      </w:pPr>
      <w:bookmarkStart w:id="9" w:name="_Toc433034763"/>
      <w:r w:rsidRPr="00FD6EC9">
        <w:rPr>
          <w:rStyle w:val="CharSectno"/>
        </w:rPr>
        <w:t>6</w:t>
      </w:r>
      <w:r w:rsidR="00156B03" w:rsidRPr="00FD6EC9">
        <w:t xml:space="preserve">  Waiver of privileges and immunities</w:t>
      </w:r>
      <w:bookmarkEnd w:id="9"/>
    </w:p>
    <w:p w:rsidR="006150CF" w:rsidRPr="00FD6EC9" w:rsidRDefault="00156B03" w:rsidP="00E96769">
      <w:pPr>
        <w:pStyle w:val="subsection"/>
      </w:pPr>
      <w:r w:rsidRPr="00FD6EC9">
        <w:tab/>
      </w:r>
      <w:r w:rsidRPr="00FD6EC9">
        <w:tab/>
        <w:t>The Bank may waive any privileges or immunities to which</w:t>
      </w:r>
      <w:r w:rsidR="006150CF" w:rsidRPr="00FD6EC9">
        <w:t>:</w:t>
      </w:r>
    </w:p>
    <w:p w:rsidR="006150CF" w:rsidRPr="00FD6EC9" w:rsidRDefault="006150CF" w:rsidP="006150CF">
      <w:pPr>
        <w:pStyle w:val="paragraph"/>
      </w:pPr>
      <w:r w:rsidRPr="00FD6EC9">
        <w:tab/>
        <w:t>(a)</w:t>
      </w:r>
      <w:r w:rsidRPr="00FD6EC9">
        <w:tab/>
      </w:r>
      <w:r w:rsidR="00156B03" w:rsidRPr="00FD6EC9">
        <w:t>the Bank</w:t>
      </w:r>
      <w:r w:rsidRPr="00FD6EC9">
        <w:t>; or</w:t>
      </w:r>
    </w:p>
    <w:p w:rsidR="00816E85" w:rsidRPr="00FD6EC9" w:rsidRDefault="00816E85" w:rsidP="00816E85">
      <w:pPr>
        <w:pStyle w:val="paragraph"/>
      </w:pPr>
      <w:r w:rsidRPr="00FD6EC9">
        <w:tab/>
        <w:t>(b)</w:t>
      </w:r>
      <w:r w:rsidRPr="00FD6EC9">
        <w:tab/>
        <w:t>a Governor of the Bank;</w:t>
      </w:r>
      <w:r w:rsidR="00E27250" w:rsidRPr="00FD6EC9">
        <w:t xml:space="preserve"> or</w:t>
      </w:r>
    </w:p>
    <w:p w:rsidR="00816E85" w:rsidRPr="00FD6EC9" w:rsidRDefault="00816E85" w:rsidP="00816E85">
      <w:pPr>
        <w:pStyle w:val="paragraph"/>
      </w:pPr>
      <w:r w:rsidRPr="00FD6EC9">
        <w:tab/>
        <w:t>(c)</w:t>
      </w:r>
      <w:r w:rsidRPr="00FD6EC9">
        <w:tab/>
        <w:t>a Director of the Bank;</w:t>
      </w:r>
      <w:r w:rsidR="00E27250" w:rsidRPr="00FD6EC9">
        <w:t xml:space="preserve"> or</w:t>
      </w:r>
    </w:p>
    <w:p w:rsidR="00816E85" w:rsidRPr="00FD6EC9" w:rsidRDefault="00816E85" w:rsidP="00816E85">
      <w:pPr>
        <w:pStyle w:val="paragraph"/>
      </w:pPr>
      <w:r w:rsidRPr="00FD6EC9">
        <w:tab/>
        <w:t>(d)</w:t>
      </w:r>
      <w:r w:rsidRPr="00FD6EC9">
        <w:tab/>
        <w:t>an Alternate Director of the Bank;</w:t>
      </w:r>
      <w:r w:rsidR="00E27250" w:rsidRPr="00FD6EC9">
        <w:t xml:space="preserve"> or</w:t>
      </w:r>
    </w:p>
    <w:p w:rsidR="00816E85" w:rsidRPr="00FD6EC9" w:rsidRDefault="00816E85" w:rsidP="00816E85">
      <w:pPr>
        <w:pStyle w:val="paragraph"/>
      </w:pPr>
      <w:r w:rsidRPr="00FD6EC9">
        <w:tab/>
        <w:t>(e)</w:t>
      </w:r>
      <w:r w:rsidRPr="00FD6EC9">
        <w:tab/>
        <w:t>the President of the Bank;</w:t>
      </w:r>
      <w:r w:rsidR="00E27250" w:rsidRPr="00FD6EC9">
        <w:t xml:space="preserve"> or</w:t>
      </w:r>
    </w:p>
    <w:p w:rsidR="00816E85" w:rsidRPr="00FD6EC9" w:rsidRDefault="00816E85" w:rsidP="00816E85">
      <w:pPr>
        <w:pStyle w:val="paragraph"/>
      </w:pPr>
      <w:r w:rsidRPr="00FD6EC9">
        <w:tab/>
        <w:t>(f)</w:t>
      </w:r>
      <w:r w:rsidRPr="00FD6EC9">
        <w:tab/>
        <w:t>a Vice</w:t>
      </w:r>
      <w:r w:rsidR="00FD6EC9">
        <w:noBreakHyphen/>
      </w:r>
      <w:r w:rsidRPr="00FD6EC9">
        <w:t>President of the Bank;</w:t>
      </w:r>
      <w:r w:rsidR="00E27250" w:rsidRPr="00FD6EC9">
        <w:t xml:space="preserve"> or</w:t>
      </w:r>
    </w:p>
    <w:p w:rsidR="00816E85" w:rsidRPr="00FD6EC9" w:rsidRDefault="00816E85" w:rsidP="00816E85">
      <w:pPr>
        <w:pStyle w:val="paragraph"/>
      </w:pPr>
      <w:r w:rsidRPr="00FD6EC9">
        <w:tab/>
        <w:t>(g)</w:t>
      </w:r>
      <w:r w:rsidRPr="00FD6EC9">
        <w:tab/>
        <w:t>another officer or employee of the Bank;</w:t>
      </w:r>
      <w:r w:rsidR="00E27250" w:rsidRPr="00FD6EC9">
        <w:t xml:space="preserve"> or</w:t>
      </w:r>
    </w:p>
    <w:p w:rsidR="00816E85" w:rsidRPr="00FD6EC9" w:rsidRDefault="00816E85" w:rsidP="00816E85">
      <w:pPr>
        <w:pStyle w:val="paragraph"/>
      </w:pPr>
      <w:r w:rsidRPr="00FD6EC9">
        <w:tab/>
        <w:t>(h)</w:t>
      </w:r>
      <w:r w:rsidRPr="00FD6EC9">
        <w:tab/>
        <w:t>an expert or consultant performing a mission or service for the Bank;</w:t>
      </w:r>
    </w:p>
    <w:p w:rsidR="00156B03" w:rsidRPr="00FD6EC9" w:rsidRDefault="00156B03" w:rsidP="006150CF">
      <w:pPr>
        <w:pStyle w:val="subsection2"/>
      </w:pPr>
      <w:r w:rsidRPr="00FD6EC9">
        <w:t xml:space="preserve">is entitled by virtue of </w:t>
      </w:r>
      <w:r w:rsidR="00E96769" w:rsidRPr="00FD6EC9">
        <w:t xml:space="preserve">this </w:t>
      </w:r>
      <w:r w:rsidR="00816E85" w:rsidRPr="00FD6EC9">
        <w:t>instrument</w:t>
      </w:r>
      <w:r w:rsidRPr="00FD6EC9">
        <w:t>.</w:t>
      </w:r>
    </w:p>
    <w:p w:rsidR="00836DFB" w:rsidRPr="00FD6EC9" w:rsidRDefault="00433ABB" w:rsidP="00836DFB">
      <w:pPr>
        <w:pStyle w:val="ActHead5"/>
      </w:pPr>
      <w:bookmarkStart w:id="10" w:name="_Toc433034764"/>
      <w:r w:rsidRPr="00FD6EC9">
        <w:rPr>
          <w:rStyle w:val="CharSectno"/>
        </w:rPr>
        <w:t>7</w:t>
      </w:r>
      <w:r w:rsidR="00836DFB" w:rsidRPr="00FD6EC9">
        <w:t xml:space="preserve">  Alternate Governor of the Bank</w:t>
      </w:r>
      <w:bookmarkEnd w:id="10"/>
    </w:p>
    <w:p w:rsidR="00836DFB" w:rsidRPr="00FD6EC9" w:rsidRDefault="00836DFB" w:rsidP="00836DFB">
      <w:pPr>
        <w:pStyle w:val="subsection"/>
      </w:pPr>
      <w:r w:rsidRPr="00FD6EC9">
        <w:tab/>
      </w:r>
      <w:r w:rsidRPr="00FD6EC9">
        <w:tab/>
        <w:t>For the purposes of this instrument, an Alternate Governor of the Bank is taken to be a Governor of the Bank.</w:t>
      </w:r>
    </w:p>
    <w:p w:rsidR="006F695D" w:rsidRPr="00FD6EC9" w:rsidRDefault="006F695D">
      <w:pPr>
        <w:sectPr w:rsidR="006F695D" w:rsidRPr="00FD6EC9" w:rsidSect="006F1333">
          <w:headerReference w:type="even" r:id="rId21"/>
          <w:headerReference w:type="default" r:id="rId22"/>
          <w:footerReference w:type="even" r:id="rId23"/>
          <w:footerReference w:type="default" r:id="rId24"/>
          <w:footerReference w:type="first" r:id="rId25"/>
          <w:pgSz w:w="11907" w:h="16839" w:code="9"/>
          <w:pgMar w:top="2381" w:right="2410" w:bottom="4252" w:left="2410" w:header="720" w:footer="3402" w:gutter="0"/>
          <w:pgNumType w:start="1"/>
          <w:cols w:space="720"/>
          <w:docGrid w:linePitch="299"/>
        </w:sectPr>
      </w:pPr>
    </w:p>
    <w:p w:rsidR="006F695D" w:rsidRPr="00FD6EC9" w:rsidRDefault="006F695D" w:rsidP="006F695D">
      <w:pPr>
        <w:pStyle w:val="ActHead1"/>
      </w:pPr>
      <w:bookmarkStart w:id="11" w:name="_Toc433034765"/>
      <w:r w:rsidRPr="00FD6EC9">
        <w:rPr>
          <w:rStyle w:val="CharChapNo"/>
        </w:rPr>
        <w:t>Schedule</w:t>
      </w:r>
      <w:r w:rsidR="00FD6EC9" w:rsidRPr="00FD6EC9">
        <w:rPr>
          <w:rStyle w:val="CharChapNo"/>
        </w:rPr>
        <w:t> </w:t>
      </w:r>
      <w:r w:rsidRPr="00FD6EC9">
        <w:rPr>
          <w:rStyle w:val="CharChapNo"/>
        </w:rPr>
        <w:t>1</w:t>
      </w:r>
      <w:r w:rsidRPr="00FD6EC9">
        <w:t>—</w:t>
      </w:r>
      <w:r w:rsidRPr="00FD6EC9">
        <w:rPr>
          <w:rStyle w:val="CharChapText"/>
        </w:rPr>
        <w:t>Privileges and immunities of the Bank</w:t>
      </w:r>
      <w:bookmarkEnd w:id="11"/>
    </w:p>
    <w:p w:rsidR="006F695D" w:rsidRPr="00FD6EC9" w:rsidRDefault="006F695D" w:rsidP="006F695D">
      <w:pPr>
        <w:pStyle w:val="notemargin"/>
      </w:pPr>
      <w:r w:rsidRPr="00FD6EC9">
        <w:t>Note:</w:t>
      </w:r>
      <w:r w:rsidRPr="00FD6EC9">
        <w:tab/>
        <w:t>See section</w:t>
      </w:r>
      <w:r w:rsidR="00FD6EC9" w:rsidRPr="00FD6EC9">
        <w:t> </w:t>
      </w:r>
      <w:r w:rsidR="00433ABB" w:rsidRPr="00FD6EC9">
        <w:t>4</w:t>
      </w:r>
      <w:r w:rsidRPr="00FD6EC9">
        <w:t>.</w:t>
      </w:r>
    </w:p>
    <w:p w:rsidR="006F695D" w:rsidRPr="00FD6EC9" w:rsidRDefault="006F695D" w:rsidP="006F695D">
      <w:pPr>
        <w:pStyle w:val="Header"/>
      </w:pPr>
      <w:r w:rsidRPr="00FD6EC9">
        <w:rPr>
          <w:rStyle w:val="CharPartNo"/>
        </w:rPr>
        <w:t xml:space="preserve"> </w:t>
      </w:r>
      <w:r w:rsidRPr="00FD6EC9">
        <w:rPr>
          <w:rStyle w:val="CharPartText"/>
        </w:rPr>
        <w:t xml:space="preserve"> </w:t>
      </w:r>
    </w:p>
    <w:p w:rsidR="006F695D" w:rsidRPr="00FD6EC9" w:rsidRDefault="006F695D" w:rsidP="006F695D">
      <w:pPr>
        <w:pStyle w:val="Header"/>
      </w:pPr>
      <w:r w:rsidRPr="00FD6EC9">
        <w:rPr>
          <w:rStyle w:val="CharDivNo"/>
        </w:rPr>
        <w:t xml:space="preserve"> </w:t>
      </w:r>
      <w:r w:rsidRPr="00FD6EC9">
        <w:rPr>
          <w:rStyle w:val="CharDivText"/>
        </w:rPr>
        <w:t xml:space="preserve"> </w:t>
      </w:r>
    </w:p>
    <w:p w:rsidR="006F695D" w:rsidRPr="00FD6EC9" w:rsidRDefault="006F695D" w:rsidP="006F695D">
      <w:pPr>
        <w:pStyle w:val="ActHead5"/>
      </w:pPr>
      <w:bookmarkStart w:id="12" w:name="_Toc433034766"/>
      <w:r w:rsidRPr="00FD6EC9">
        <w:rPr>
          <w:rStyle w:val="CharSectno"/>
        </w:rPr>
        <w:t>1</w:t>
      </w:r>
      <w:r w:rsidRPr="00FD6EC9">
        <w:t xml:space="preserve">  Privileges and immunities of the Bank</w:t>
      </w:r>
      <w:bookmarkEnd w:id="12"/>
    </w:p>
    <w:p w:rsidR="006F695D" w:rsidRPr="00FD6EC9" w:rsidRDefault="006F695D" w:rsidP="006F695D">
      <w:pPr>
        <w:pStyle w:val="subsection"/>
      </w:pPr>
      <w:r w:rsidRPr="00FD6EC9">
        <w:tab/>
      </w:r>
      <w:r w:rsidRPr="00FD6EC9">
        <w:tab/>
        <w:t>The following table sets out privileges and immunities of the Bank.</w:t>
      </w:r>
    </w:p>
    <w:p w:rsidR="006F695D" w:rsidRPr="00FD6EC9" w:rsidRDefault="006F695D" w:rsidP="006F695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3"/>
      </w:tblGrid>
      <w:tr w:rsidR="006F695D" w:rsidRPr="00FD6EC9" w:rsidTr="00A93CC4">
        <w:trPr>
          <w:tblHeader/>
        </w:trPr>
        <w:tc>
          <w:tcPr>
            <w:tcW w:w="7087" w:type="dxa"/>
            <w:gridSpan w:val="2"/>
            <w:tcBorders>
              <w:top w:val="single" w:sz="12" w:space="0" w:color="auto"/>
              <w:bottom w:val="single" w:sz="2" w:space="0" w:color="auto"/>
            </w:tcBorders>
            <w:shd w:val="clear" w:color="auto" w:fill="auto"/>
          </w:tcPr>
          <w:p w:rsidR="006F695D" w:rsidRPr="00FD6EC9" w:rsidRDefault="006F695D" w:rsidP="00A93CC4">
            <w:pPr>
              <w:pStyle w:val="TableHeading"/>
            </w:pPr>
            <w:r w:rsidRPr="00FD6EC9">
              <w:t>Privileges and immunities</w:t>
            </w:r>
          </w:p>
        </w:tc>
      </w:tr>
      <w:tr w:rsidR="006F695D" w:rsidRPr="00FD6EC9" w:rsidTr="00A93CC4">
        <w:trPr>
          <w:tblHeader/>
        </w:trPr>
        <w:tc>
          <w:tcPr>
            <w:tcW w:w="714" w:type="dxa"/>
            <w:tcBorders>
              <w:top w:val="single" w:sz="2" w:space="0" w:color="auto"/>
              <w:bottom w:val="single" w:sz="12" w:space="0" w:color="auto"/>
            </w:tcBorders>
            <w:shd w:val="clear" w:color="auto" w:fill="auto"/>
          </w:tcPr>
          <w:p w:rsidR="006F695D" w:rsidRPr="00FD6EC9" w:rsidRDefault="006F695D" w:rsidP="00A93CC4">
            <w:pPr>
              <w:pStyle w:val="TableHeading"/>
            </w:pPr>
            <w:r w:rsidRPr="00FD6EC9">
              <w:t>Item</w:t>
            </w:r>
          </w:p>
        </w:tc>
        <w:tc>
          <w:tcPr>
            <w:tcW w:w="6373" w:type="dxa"/>
            <w:tcBorders>
              <w:top w:val="single" w:sz="2" w:space="0" w:color="auto"/>
              <w:bottom w:val="single" w:sz="12" w:space="0" w:color="auto"/>
            </w:tcBorders>
            <w:shd w:val="clear" w:color="auto" w:fill="auto"/>
          </w:tcPr>
          <w:p w:rsidR="006F695D" w:rsidRPr="00FD6EC9" w:rsidRDefault="006F695D" w:rsidP="00A93CC4">
            <w:pPr>
              <w:pStyle w:val="TableHeading"/>
            </w:pPr>
            <w:r w:rsidRPr="00FD6EC9">
              <w:t>Privilege or immunity</w:t>
            </w:r>
          </w:p>
        </w:tc>
      </w:tr>
      <w:tr w:rsidR="006F695D" w:rsidRPr="00FD6EC9" w:rsidTr="00A93CC4">
        <w:tc>
          <w:tcPr>
            <w:tcW w:w="714" w:type="dxa"/>
            <w:tcBorders>
              <w:top w:val="single" w:sz="12" w:space="0" w:color="auto"/>
            </w:tcBorders>
            <w:shd w:val="clear" w:color="auto" w:fill="auto"/>
          </w:tcPr>
          <w:p w:rsidR="006F695D" w:rsidRPr="00FD6EC9" w:rsidRDefault="00162935" w:rsidP="00A93CC4">
            <w:pPr>
              <w:pStyle w:val="Tabletext"/>
            </w:pPr>
            <w:r w:rsidRPr="00FD6EC9">
              <w:t>1</w:t>
            </w:r>
          </w:p>
        </w:tc>
        <w:tc>
          <w:tcPr>
            <w:tcW w:w="6373" w:type="dxa"/>
            <w:tcBorders>
              <w:top w:val="single" w:sz="12" w:space="0" w:color="auto"/>
            </w:tcBorders>
            <w:shd w:val="clear" w:color="auto" w:fill="auto"/>
          </w:tcPr>
          <w:p w:rsidR="00A93CC4" w:rsidRPr="00FD6EC9" w:rsidRDefault="006F695D" w:rsidP="00A93CC4">
            <w:pPr>
              <w:pStyle w:val="Tabletext"/>
            </w:pPr>
            <w:r w:rsidRPr="00FD6EC9">
              <w:t>Immunity of the Bank from suit and from other legal process</w:t>
            </w:r>
            <w:r w:rsidR="00A93CC4" w:rsidRPr="00FD6EC9">
              <w:t xml:space="preserve">, except in cases </w:t>
            </w:r>
            <w:r w:rsidR="00C96FCF" w:rsidRPr="00FD6EC9">
              <w:t xml:space="preserve">that arise </w:t>
            </w:r>
            <w:r w:rsidR="00A93CC4" w:rsidRPr="00FD6EC9">
              <w:t xml:space="preserve">out of, or in connection with, the exercise of </w:t>
            </w:r>
            <w:r w:rsidR="00F7043B" w:rsidRPr="00FD6EC9">
              <w:t>the Bank’s</w:t>
            </w:r>
            <w:r w:rsidR="00A93CC4" w:rsidRPr="00FD6EC9">
              <w:t xml:space="preserve"> powers:</w:t>
            </w:r>
          </w:p>
          <w:p w:rsidR="00A93CC4" w:rsidRPr="00FD6EC9" w:rsidRDefault="00A93CC4" w:rsidP="00A93CC4">
            <w:pPr>
              <w:pStyle w:val="Tablea"/>
            </w:pPr>
            <w:r w:rsidRPr="00FD6EC9">
              <w:t>(a) to raise funds, through borrowings or other means; or</w:t>
            </w:r>
          </w:p>
          <w:p w:rsidR="00A93CC4" w:rsidRPr="00FD6EC9" w:rsidRDefault="00A93CC4" w:rsidP="00A93CC4">
            <w:pPr>
              <w:pStyle w:val="Tablea"/>
            </w:pPr>
            <w:r w:rsidRPr="00FD6EC9">
              <w:t>(b) to guarantee obligations; or</w:t>
            </w:r>
          </w:p>
          <w:p w:rsidR="006F695D" w:rsidRPr="00FD6EC9" w:rsidRDefault="00A93CC4" w:rsidP="00A93CC4">
            <w:pPr>
              <w:pStyle w:val="Tablea"/>
            </w:pPr>
            <w:r w:rsidRPr="00FD6EC9">
              <w:t>(c) to buy and sell, or underwrite, the sale of securities</w:t>
            </w:r>
            <w:r w:rsidR="00C96FCF" w:rsidRPr="00FD6EC9">
              <w:t>;</w:t>
            </w:r>
          </w:p>
          <w:p w:rsidR="00C96FCF" w:rsidRPr="00FD6EC9" w:rsidRDefault="00C96FCF" w:rsidP="00C96FCF">
            <w:pPr>
              <w:pStyle w:val="Tabletext"/>
            </w:pPr>
            <w:r w:rsidRPr="00FD6EC9">
              <w:t>and that involve an action brought against the Bank in a court of competent jurisdiction in the territory of a country in which the Bank:</w:t>
            </w:r>
          </w:p>
          <w:p w:rsidR="00C96FCF" w:rsidRPr="00FD6EC9" w:rsidRDefault="00C96FCF" w:rsidP="00C96FCF">
            <w:pPr>
              <w:pStyle w:val="Tablea"/>
            </w:pPr>
            <w:r w:rsidRPr="00FD6EC9">
              <w:t>(d) has an office; or</w:t>
            </w:r>
          </w:p>
          <w:p w:rsidR="00C96FCF" w:rsidRPr="00FD6EC9" w:rsidRDefault="00C96FCF" w:rsidP="00C96FCF">
            <w:pPr>
              <w:pStyle w:val="Tablea"/>
            </w:pPr>
            <w:r w:rsidRPr="00FD6EC9">
              <w:t>(e) has appointed an agent for the purpose of accepting service or notice of process; or</w:t>
            </w:r>
          </w:p>
          <w:p w:rsidR="00C96FCF" w:rsidRPr="00FD6EC9" w:rsidRDefault="00C96FCF" w:rsidP="00C96FCF">
            <w:pPr>
              <w:pStyle w:val="Tablea"/>
            </w:pPr>
            <w:r w:rsidRPr="00FD6EC9">
              <w:t>(f) has issued or guaranteed securities.</w:t>
            </w:r>
          </w:p>
        </w:tc>
      </w:tr>
      <w:tr w:rsidR="00A93CC4" w:rsidRPr="00FD6EC9" w:rsidTr="00A93CC4">
        <w:tc>
          <w:tcPr>
            <w:tcW w:w="714" w:type="dxa"/>
            <w:shd w:val="clear" w:color="auto" w:fill="auto"/>
          </w:tcPr>
          <w:p w:rsidR="00A93CC4" w:rsidRPr="00FD6EC9" w:rsidRDefault="00162935" w:rsidP="00A93CC4">
            <w:pPr>
              <w:pStyle w:val="Tabletext"/>
            </w:pPr>
            <w:r w:rsidRPr="00FD6EC9">
              <w:t>2</w:t>
            </w:r>
          </w:p>
        </w:tc>
        <w:tc>
          <w:tcPr>
            <w:tcW w:w="6373" w:type="dxa"/>
            <w:shd w:val="clear" w:color="auto" w:fill="auto"/>
          </w:tcPr>
          <w:p w:rsidR="00BD02DB" w:rsidRPr="00FD6EC9" w:rsidRDefault="00BD02DB" w:rsidP="00A93CC4">
            <w:pPr>
              <w:pStyle w:val="Tabletext"/>
            </w:pPr>
            <w:r w:rsidRPr="00FD6EC9">
              <w:t>Despite item</w:t>
            </w:r>
            <w:r w:rsidR="00FD6EC9" w:rsidRPr="00FD6EC9">
              <w:t> </w:t>
            </w:r>
            <w:r w:rsidR="00C96FCF" w:rsidRPr="00FD6EC9">
              <w:t>1</w:t>
            </w:r>
            <w:r w:rsidRPr="00FD6EC9">
              <w:t>, immunity from suit and from other legal process brought against the Bank by:</w:t>
            </w:r>
          </w:p>
          <w:p w:rsidR="00A93CC4" w:rsidRPr="00FD6EC9" w:rsidRDefault="00C96FCF" w:rsidP="00BD02DB">
            <w:pPr>
              <w:pStyle w:val="Tablea"/>
            </w:pPr>
            <w:r w:rsidRPr="00FD6EC9">
              <w:t>(a) a</w:t>
            </w:r>
            <w:r w:rsidR="00BD02DB" w:rsidRPr="00FD6EC9">
              <w:t xml:space="preserve"> member</w:t>
            </w:r>
            <w:r w:rsidRPr="00FD6EC9">
              <w:t xml:space="preserve"> of the Bank</w:t>
            </w:r>
            <w:r w:rsidR="00BD02DB" w:rsidRPr="00FD6EC9">
              <w:t>; or</w:t>
            </w:r>
          </w:p>
          <w:p w:rsidR="00BD02DB" w:rsidRPr="00FD6EC9" w:rsidRDefault="00BD02DB" w:rsidP="00BD02DB">
            <w:pPr>
              <w:pStyle w:val="Tablea"/>
            </w:pPr>
            <w:r w:rsidRPr="00FD6EC9">
              <w:t>(b) a</w:t>
            </w:r>
            <w:r w:rsidR="00C96FCF" w:rsidRPr="00FD6EC9">
              <w:t>n</w:t>
            </w:r>
            <w:r w:rsidRPr="00FD6EC9">
              <w:t xml:space="preserve"> agency or instrumentality of a member</w:t>
            </w:r>
            <w:r w:rsidR="00C96FCF" w:rsidRPr="00FD6EC9">
              <w:t xml:space="preserve"> of the Bank</w:t>
            </w:r>
            <w:r w:rsidRPr="00FD6EC9">
              <w:t>; or</w:t>
            </w:r>
          </w:p>
          <w:p w:rsidR="00BD02DB" w:rsidRPr="00FD6EC9" w:rsidRDefault="00BD02DB" w:rsidP="00C96FCF">
            <w:pPr>
              <w:pStyle w:val="Tablea"/>
            </w:pPr>
            <w:r w:rsidRPr="00FD6EC9">
              <w:t xml:space="preserve">(c) an entity or person directly or indirectly acting for, or deriving claims from, a member </w:t>
            </w:r>
            <w:r w:rsidR="00C96FCF" w:rsidRPr="00FD6EC9">
              <w:t xml:space="preserve">of the Bank </w:t>
            </w:r>
            <w:r w:rsidRPr="00FD6EC9">
              <w:t>or an agency or instrumentality of a member</w:t>
            </w:r>
            <w:r w:rsidR="00C96FCF" w:rsidRPr="00FD6EC9">
              <w:t xml:space="preserve"> of the Bank</w:t>
            </w:r>
            <w:r w:rsidRPr="00FD6EC9">
              <w:t>.</w:t>
            </w:r>
          </w:p>
        </w:tc>
      </w:tr>
      <w:tr w:rsidR="00BD02DB" w:rsidRPr="00FD6EC9" w:rsidTr="00A93CC4">
        <w:tc>
          <w:tcPr>
            <w:tcW w:w="714" w:type="dxa"/>
            <w:shd w:val="clear" w:color="auto" w:fill="auto"/>
          </w:tcPr>
          <w:p w:rsidR="00BD02DB" w:rsidRPr="00FD6EC9" w:rsidRDefault="00162935" w:rsidP="00A93CC4">
            <w:pPr>
              <w:pStyle w:val="Tabletext"/>
            </w:pPr>
            <w:r w:rsidRPr="00FD6EC9">
              <w:t>3</w:t>
            </w:r>
          </w:p>
        </w:tc>
        <w:tc>
          <w:tcPr>
            <w:tcW w:w="6373" w:type="dxa"/>
            <w:shd w:val="clear" w:color="auto" w:fill="auto"/>
          </w:tcPr>
          <w:p w:rsidR="00BD02DB" w:rsidRPr="00FD6EC9" w:rsidRDefault="00BD02DB" w:rsidP="00162935">
            <w:pPr>
              <w:pStyle w:val="Tabletext"/>
            </w:pPr>
            <w:r w:rsidRPr="00FD6EC9">
              <w:t xml:space="preserve">Immunity of property and assets of the Bank from </w:t>
            </w:r>
            <w:r w:rsidR="00A25A4F" w:rsidRPr="00FD6EC9">
              <w:t>all forms of seizure, attachment or execution</w:t>
            </w:r>
            <w:r w:rsidR="00C96FCF" w:rsidRPr="00FD6EC9">
              <w:t>,</w:t>
            </w:r>
            <w:r w:rsidR="00A25A4F" w:rsidRPr="00FD6EC9">
              <w:t xml:space="preserve"> in </w:t>
            </w:r>
            <w:r w:rsidR="00C96FCF" w:rsidRPr="00FD6EC9">
              <w:t xml:space="preserve">relation to </w:t>
            </w:r>
            <w:r w:rsidR="00F7043B" w:rsidRPr="00FD6EC9">
              <w:t xml:space="preserve">a </w:t>
            </w:r>
            <w:r w:rsidR="00C96FCF" w:rsidRPr="00FD6EC9">
              <w:t xml:space="preserve">suit or other </w:t>
            </w:r>
            <w:r w:rsidR="00A25A4F" w:rsidRPr="00FD6EC9">
              <w:t>legal process</w:t>
            </w:r>
            <w:r w:rsidR="00C96FCF" w:rsidRPr="00FD6EC9">
              <w:t>,</w:t>
            </w:r>
            <w:r w:rsidR="00A25A4F" w:rsidRPr="00FD6EC9">
              <w:t xml:space="preserve"> before the delivery of final judgment against the Bank.</w:t>
            </w:r>
            <w:r w:rsidR="00162935" w:rsidRPr="00FD6EC9">
              <w:t xml:space="preserve"> This item applies to property and assets of the Bank regardless of where they are located or by whom they are held.</w:t>
            </w:r>
          </w:p>
        </w:tc>
      </w:tr>
      <w:tr w:rsidR="006F695D" w:rsidRPr="00FD6EC9" w:rsidTr="00A93CC4">
        <w:tc>
          <w:tcPr>
            <w:tcW w:w="714" w:type="dxa"/>
            <w:shd w:val="clear" w:color="auto" w:fill="auto"/>
          </w:tcPr>
          <w:p w:rsidR="006F695D" w:rsidRPr="00FD6EC9" w:rsidRDefault="00162935" w:rsidP="00A93CC4">
            <w:pPr>
              <w:pStyle w:val="Tabletext"/>
            </w:pPr>
            <w:r w:rsidRPr="00FD6EC9">
              <w:t>4</w:t>
            </w:r>
          </w:p>
        </w:tc>
        <w:tc>
          <w:tcPr>
            <w:tcW w:w="6373" w:type="dxa"/>
            <w:shd w:val="clear" w:color="auto" w:fill="auto"/>
          </w:tcPr>
          <w:p w:rsidR="006F695D" w:rsidRPr="00FD6EC9" w:rsidRDefault="00A25A4F" w:rsidP="00162935">
            <w:pPr>
              <w:pStyle w:val="Tabletext"/>
            </w:pPr>
            <w:r w:rsidRPr="00FD6EC9">
              <w:t>Immunity of property and assets of the Bank from search, requisition, confiscation, expropriation or any other form of taking or foreclosure by executive or legislative action.</w:t>
            </w:r>
            <w:r w:rsidR="00162935" w:rsidRPr="00FD6EC9">
              <w:t xml:space="preserve"> This item applies to property and assets of the Bank regardless of where they are located or by whom they are held.</w:t>
            </w:r>
          </w:p>
        </w:tc>
      </w:tr>
      <w:tr w:rsidR="006F695D" w:rsidRPr="00FD6EC9" w:rsidTr="00A93CC4">
        <w:tc>
          <w:tcPr>
            <w:tcW w:w="714" w:type="dxa"/>
            <w:shd w:val="clear" w:color="auto" w:fill="auto"/>
          </w:tcPr>
          <w:p w:rsidR="006F695D" w:rsidRPr="00FD6EC9" w:rsidRDefault="00162935" w:rsidP="00A93CC4">
            <w:pPr>
              <w:pStyle w:val="Tabletext"/>
            </w:pPr>
            <w:r w:rsidRPr="00FD6EC9">
              <w:t>5</w:t>
            </w:r>
          </w:p>
        </w:tc>
        <w:tc>
          <w:tcPr>
            <w:tcW w:w="6373" w:type="dxa"/>
            <w:shd w:val="clear" w:color="auto" w:fill="auto"/>
          </w:tcPr>
          <w:p w:rsidR="006F695D" w:rsidRPr="00FD6EC9" w:rsidRDefault="00C96FCF" w:rsidP="00C96FCF">
            <w:pPr>
              <w:pStyle w:val="Tabletext"/>
            </w:pPr>
            <w:r w:rsidRPr="00FD6EC9">
              <w:t>To the extent necessary to carry out the purpose and functions of the Bank effectively, and subject to the provisions of the Bank Agreement, e</w:t>
            </w:r>
            <w:r w:rsidR="006F695D" w:rsidRPr="00FD6EC9">
              <w:t>xemption of property and assets of the Bank from restrictions</w:t>
            </w:r>
            <w:r w:rsidR="00A93CC4" w:rsidRPr="00FD6EC9">
              <w:t>, regulations,</w:t>
            </w:r>
            <w:r w:rsidR="006F695D" w:rsidRPr="00FD6EC9">
              <w:t xml:space="preserve"> controls</w:t>
            </w:r>
            <w:r w:rsidR="00A93CC4" w:rsidRPr="00FD6EC9">
              <w:t xml:space="preserve"> and moratoria of any kind</w:t>
            </w:r>
            <w:r w:rsidR="006F695D" w:rsidRPr="00FD6EC9">
              <w:t>.</w:t>
            </w:r>
          </w:p>
        </w:tc>
      </w:tr>
      <w:tr w:rsidR="006F695D" w:rsidRPr="00FD6EC9" w:rsidTr="00A93CC4">
        <w:tc>
          <w:tcPr>
            <w:tcW w:w="714" w:type="dxa"/>
            <w:shd w:val="clear" w:color="auto" w:fill="auto"/>
          </w:tcPr>
          <w:p w:rsidR="006F695D" w:rsidRPr="00FD6EC9" w:rsidRDefault="00162935" w:rsidP="00A93CC4">
            <w:pPr>
              <w:pStyle w:val="Tabletext"/>
            </w:pPr>
            <w:r w:rsidRPr="00FD6EC9">
              <w:t>6</w:t>
            </w:r>
          </w:p>
        </w:tc>
        <w:tc>
          <w:tcPr>
            <w:tcW w:w="6373" w:type="dxa"/>
            <w:shd w:val="clear" w:color="auto" w:fill="auto"/>
          </w:tcPr>
          <w:p w:rsidR="006F695D" w:rsidRPr="00FD6EC9" w:rsidRDefault="006F695D" w:rsidP="00A0749F">
            <w:pPr>
              <w:pStyle w:val="Tabletext"/>
            </w:pPr>
            <w:r w:rsidRPr="00FD6EC9">
              <w:t xml:space="preserve">Inviolability of </w:t>
            </w:r>
            <w:r w:rsidR="00A93CC4" w:rsidRPr="00FD6EC9">
              <w:t xml:space="preserve">the Bank’s </w:t>
            </w:r>
            <w:r w:rsidRPr="00FD6EC9">
              <w:t>archives</w:t>
            </w:r>
            <w:r w:rsidR="00A93CC4" w:rsidRPr="00FD6EC9">
              <w:t xml:space="preserve"> and all documents </w:t>
            </w:r>
            <w:r w:rsidR="00A0749F" w:rsidRPr="00FD6EC9">
              <w:t>belonging to</w:t>
            </w:r>
            <w:r w:rsidR="00A93CC4" w:rsidRPr="00FD6EC9">
              <w:t xml:space="preserve"> the Bank</w:t>
            </w:r>
            <w:r w:rsidR="00A0749F" w:rsidRPr="00FD6EC9">
              <w:t>. This item applies to the Bank’s archives, and documents belonging to the Bank, regardless of where they are located or by whom they are held</w:t>
            </w:r>
            <w:r w:rsidRPr="00FD6EC9">
              <w:t>.</w:t>
            </w:r>
          </w:p>
        </w:tc>
      </w:tr>
      <w:tr w:rsidR="00162935" w:rsidRPr="00FD6EC9" w:rsidTr="00A93CC4">
        <w:tc>
          <w:tcPr>
            <w:tcW w:w="714" w:type="dxa"/>
            <w:shd w:val="clear" w:color="auto" w:fill="auto"/>
          </w:tcPr>
          <w:p w:rsidR="00162935" w:rsidRPr="00FD6EC9" w:rsidRDefault="00162935" w:rsidP="00A93CC4">
            <w:pPr>
              <w:pStyle w:val="Tabletext"/>
            </w:pPr>
            <w:r w:rsidRPr="00FD6EC9">
              <w:t>7</w:t>
            </w:r>
          </w:p>
        </w:tc>
        <w:tc>
          <w:tcPr>
            <w:tcW w:w="6373" w:type="dxa"/>
            <w:shd w:val="clear" w:color="auto" w:fill="auto"/>
          </w:tcPr>
          <w:p w:rsidR="00162935" w:rsidRPr="00FD6EC9" w:rsidRDefault="00162935" w:rsidP="00522DE3">
            <w:pPr>
              <w:pStyle w:val="Tabletext"/>
            </w:pPr>
            <w:r w:rsidRPr="00FD6EC9">
              <w:t xml:space="preserve">Inviolability of all documents </w:t>
            </w:r>
            <w:r w:rsidR="00A0749F" w:rsidRPr="00FD6EC9">
              <w:t>held by</w:t>
            </w:r>
            <w:r w:rsidRPr="00FD6EC9">
              <w:t xml:space="preserve"> the Bank</w:t>
            </w:r>
            <w:r w:rsidR="00522DE3" w:rsidRPr="00FD6EC9">
              <w:t>. This item applies to documents held by the Bank</w:t>
            </w:r>
            <w:r w:rsidRPr="00FD6EC9">
              <w:t xml:space="preserve"> regardless of where </w:t>
            </w:r>
            <w:r w:rsidR="00522DE3" w:rsidRPr="00FD6EC9">
              <w:t xml:space="preserve">they </w:t>
            </w:r>
            <w:r w:rsidRPr="00FD6EC9">
              <w:t>are located.</w:t>
            </w:r>
          </w:p>
        </w:tc>
      </w:tr>
      <w:tr w:rsidR="006F695D" w:rsidRPr="00FD6EC9" w:rsidTr="00A93CC4">
        <w:tc>
          <w:tcPr>
            <w:tcW w:w="714" w:type="dxa"/>
            <w:shd w:val="clear" w:color="auto" w:fill="auto"/>
          </w:tcPr>
          <w:p w:rsidR="006F695D" w:rsidRPr="00FD6EC9" w:rsidRDefault="00162935" w:rsidP="00A93CC4">
            <w:pPr>
              <w:pStyle w:val="Tabletext"/>
            </w:pPr>
            <w:r w:rsidRPr="00FD6EC9">
              <w:t>8</w:t>
            </w:r>
          </w:p>
        </w:tc>
        <w:tc>
          <w:tcPr>
            <w:tcW w:w="6373" w:type="dxa"/>
            <w:shd w:val="clear" w:color="auto" w:fill="auto"/>
          </w:tcPr>
          <w:p w:rsidR="006F695D" w:rsidRPr="00FD6EC9" w:rsidRDefault="006F695D" w:rsidP="00A93CC4">
            <w:pPr>
              <w:pStyle w:val="Tabletext"/>
            </w:pPr>
            <w:r w:rsidRPr="00FD6EC9">
              <w:t>Exemption from currency and exchange restrictions.</w:t>
            </w:r>
          </w:p>
        </w:tc>
      </w:tr>
      <w:tr w:rsidR="006F695D" w:rsidRPr="00FD6EC9" w:rsidTr="00A93CC4">
        <w:tc>
          <w:tcPr>
            <w:tcW w:w="714" w:type="dxa"/>
            <w:shd w:val="clear" w:color="auto" w:fill="auto"/>
          </w:tcPr>
          <w:p w:rsidR="006F695D" w:rsidRPr="00FD6EC9" w:rsidRDefault="00162935" w:rsidP="00A93CC4">
            <w:pPr>
              <w:pStyle w:val="Tabletext"/>
            </w:pPr>
            <w:r w:rsidRPr="00FD6EC9">
              <w:t>9</w:t>
            </w:r>
          </w:p>
        </w:tc>
        <w:tc>
          <w:tcPr>
            <w:tcW w:w="6373" w:type="dxa"/>
            <w:shd w:val="clear" w:color="auto" w:fill="auto"/>
          </w:tcPr>
          <w:p w:rsidR="006F695D" w:rsidRPr="00FD6EC9" w:rsidRDefault="006F695D" w:rsidP="00A93CC4">
            <w:pPr>
              <w:pStyle w:val="Tabletext"/>
            </w:pPr>
            <w:r w:rsidRPr="00FD6EC9">
              <w:t>The right to avail itself, for telegraphic communications sent by the Bank and containing only matter intended for publication by the press or for broadcasting (including communications addressed to or despatched from places outside Australia), of any reduced rates applicable in relation to telegraphic communications by the press.</w:t>
            </w:r>
          </w:p>
        </w:tc>
      </w:tr>
      <w:tr w:rsidR="006F695D" w:rsidRPr="00FD6EC9" w:rsidTr="00A93CC4">
        <w:tc>
          <w:tcPr>
            <w:tcW w:w="714" w:type="dxa"/>
            <w:tcBorders>
              <w:bottom w:val="single" w:sz="4" w:space="0" w:color="auto"/>
            </w:tcBorders>
            <w:shd w:val="clear" w:color="auto" w:fill="auto"/>
          </w:tcPr>
          <w:p w:rsidR="006F695D" w:rsidRPr="00FD6EC9" w:rsidRDefault="00162935" w:rsidP="00A93CC4">
            <w:pPr>
              <w:pStyle w:val="Tabletext"/>
            </w:pPr>
            <w:r w:rsidRPr="00FD6EC9">
              <w:t>10</w:t>
            </w:r>
          </w:p>
        </w:tc>
        <w:tc>
          <w:tcPr>
            <w:tcW w:w="6373" w:type="dxa"/>
            <w:tcBorders>
              <w:bottom w:val="single" w:sz="4" w:space="0" w:color="auto"/>
            </w:tcBorders>
            <w:shd w:val="clear" w:color="auto" w:fill="auto"/>
          </w:tcPr>
          <w:p w:rsidR="006F695D" w:rsidRPr="00FD6EC9" w:rsidRDefault="006F695D" w:rsidP="00A93CC4">
            <w:pPr>
              <w:pStyle w:val="Tabletext"/>
            </w:pPr>
            <w:r w:rsidRPr="00FD6EC9">
              <w:t>Absence of censorship for official correspondence and other official communications.</w:t>
            </w:r>
          </w:p>
        </w:tc>
      </w:tr>
      <w:tr w:rsidR="006F695D" w:rsidRPr="00FD6EC9" w:rsidTr="00A93CC4">
        <w:tc>
          <w:tcPr>
            <w:tcW w:w="714" w:type="dxa"/>
            <w:tcBorders>
              <w:bottom w:val="single" w:sz="12" w:space="0" w:color="auto"/>
            </w:tcBorders>
            <w:shd w:val="clear" w:color="auto" w:fill="auto"/>
          </w:tcPr>
          <w:p w:rsidR="006F695D" w:rsidRPr="00FD6EC9" w:rsidRDefault="00162935" w:rsidP="00A93CC4">
            <w:pPr>
              <w:pStyle w:val="Tabletext"/>
            </w:pPr>
            <w:r w:rsidRPr="00FD6EC9">
              <w:t>11</w:t>
            </w:r>
          </w:p>
        </w:tc>
        <w:tc>
          <w:tcPr>
            <w:tcW w:w="6373" w:type="dxa"/>
            <w:tcBorders>
              <w:bottom w:val="single" w:sz="12" w:space="0" w:color="auto"/>
            </w:tcBorders>
            <w:shd w:val="clear" w:color="auto" w:fill="auto"/>
          </w:tcPr>
          <w:p w:rsidR="006F695D" w:rsidRPr="00FD6EC9" w:rsidRDefault="006F695D" w:rsidP="00A93CC4">
            <w:pPr>
              <w:pStyle w:val="Tabletext"/>
            </w:pPr>
            <w:r w:rsidRPr="00FD6EC9">
              <w:t>The right to use codes and to send and receive correspondence and other papers and documents by couriers or in sealed bags and to have any such couriers or bags treated as diplomatic couriers or diplomatic bags, as the case may be.</w:t>
            </w:r>
          </w:p>
        </w:tc>
      </w:tr>
    </w:tbl>
    <w:p w:rsidR="006F695D" w:rsidRPr="00FD6EC9" w:rsidRDefault="006F695D" w:rsidP="006F695D">
      <w:pPr>
        <w:pStyle w:val="Tabletext"/>
      </w:pPr>
    </w:p>
    <w:p w:rsidR="006F695D" w:rsidRPr="00FD6EC9" w:rsidRDefault="006F695D" w:rsidP="006F695D">
      <w:pPr>
        <w:pStyle w:val="ActHead1"/>
        <w:pageBreakBefore/>
      </w:pPr>
      <w:bookmarkStart w:id="13" w:name="_Toc433034767"/>
      <w:r w:rsidRPr="00FD6EC9">
        <w:rPr>
          <w:rStyle w:val="CharChapNo"/>
        </w:rPr>
        <w:t>Schedule</w:t>
      </w:r>
      <w:r w:rsidR="00FD6EC9" w:rsidRPr="00FD6EC9">
        <w:rPr>
          <w:rStyle w:val="CharChapNo"/>
        </w:rPr>
        <w:t> </w:t>
      </w:r>
      <w:r w:rsidRPr="00FD6EC9">
        <w:rPr>
          <w:rStyle w:val="CharChapNo"/>
        </w:rPr>
        <w:t>2</w:t>
      </w:r>
      <w:r w:rsidRPr="00FD6EC9">
        <w:t>—</w:t>
      </w:r>
      <w:r w:rsidRPr="00FD6EC9">
        <w:rPr>
          <w:rStyle w:val="CharChapText"/>
        </w:rPr>
        <w:t>Privileges and immunities of officers and employees of the Bank etc.</w:t>
      </w:r>
      <w:bookmarkEnd w:id="13"/>
    </w:p>
    <w:p w:rsidR="006F695D" w:rsidRPr="00FD6EC9" w:rsidRDefault="006F695D" w:rsidP="006F695D">
      <w:pPr>
        <w:pStyle w:val="notemargin"/>
      </w:pPr>
      <w:r w:rsidRPr="00FD6EC9">
        <w:t>Note:</w:t>
      </w:r>
      <w:r w:rsidRPr="00FD6EC9">
        <w:tab/>
        <w:t>See section</w:t>
      </w:r>
      <w:r w:rsidR="00FD6EC9" w:rsidRPr="00FD6EC9">
        <w:t> </w:t>
      </w:r>
      <w:r w:rsidR="00433ABB" w:rsidRPr="00FD6EC9">
        <w:t>5</w:t>
      </w:r>
      <w:r w:rsidRPr="00FD6EC9">
        <w:t>.</w:t>
      </w:r>
    </w:p>
    <w:p w:rsidR="006F695D" w:rsidRPr="00FD6EC9" w:rsidRDefault="006F695D" w:rsidP="006F695D">
      <w:pPr>
        <w:pStyle w:val="Header"/>
      </w:pPr>
      <w:bookmarkStart w:id="14" w:name="f_Check_Lines_below"/>
      <w:bookmarkEnd w:id="14"/>
      <w:r w:rsidRPr="00FD6EC9">
        <w:rPr>
          <w:rStyle w:val="CharPartNo"/>
        </w:rPr>
        <w:t xml:space="preserve"> </w:t>
      </w:r>
      <w:r w:rsidRPr="00FD6EC9">
        <w:rPr>
          <w:rStyle w:val="CharPartText"/>
        </w:rPr>
        <w:t xml:space="preserve"> </w:t>
      </w:r>
    </w:p>
    <w:p w:rsidR="006F695D" w:rsidRPr="00FD6EC9" w:rsidRDefault="006F695D" w:rsidP="006F695D">
      <w:pPr>
        <w:pStyle w:val="Header"/>
      </w:pPr>
      <w:r w:rsidRPr="00FD6EC9">
        <w:rPr>
          <w:rStyle w:val="CharDivNo"/>
        </w:rPr>
        <w:t xml:space="preserve"> </w:t>
      </w:r>
      <w:r w:rsidRPr="00FD6EC9">
        <w:rPr>
          <w:rStyle w:val="CharDivText"/>
        </w:rPr>
        <w:t xml:space="preserve"> </w:t>
      </w:r>
    </w:p>
    <w:p w:rsidR="006F695D" w:rsidRPr="00FD6EC9" w:rsidRDefault="006F695D" w:rsidP="006F695D">
      <w:pPr>
        <w:pStyle w:val="ActHead5"/>
      </w:pPr>
      <w:bookmarkStart w:id="15" w:name="_Toc433034768"/>
      <w:r w:rsidRPr="00FD6EC9">
        <w:rPr>
          <w:rStyle w:val="CharSectno"/>
        </w:rPr>
        <w:t>1</w:t>
      </w:r>
      <w:r w:rsidRPr="00FD6EC9">
        <w:t xml:space="preserve">  General privileges and immunities of the officers and employees of the Bank etc.</w:t>
      </w:r>
      <w:bookmarkEnd w:id="15"/>
    </w:p>
    <w:p w:rsidR="006F695D" w:rsidRPr="00FD6EC9" w:rsidRDefault="006F695D" w:rsidP="006F695D">
      <w:pPr>
        <w:pStyle w:val="subsection"/>
      </w:pPr>
      <w:r w:rsidRPr="00FD6EC9">
        <w:tab/>
      </w:r>
      <w:r w:rsidRPr="00FD6EC9">
        <w:tab/>
        <w:t>The following table sets out the privileges and immunities referred to in subsection</w:t>
      </w:r>
      <w:r w:rsidR="00FD6EC9" w:rsidRPr="00FD6EC9">
        <w:t> </w:t>
      </w:r>
      <w:r w:rsidR="00433ABB" w:rsidRPr="00FD6EC9">
        <w:t>5</w:t>
      </w:r>
      <w:r w:rsidRPr="00FD6EC9">
        <w:t>(1).</w:t>
      </w:r>
    </w:p>
    <w:p w:rsidR="006F695D" w:rsidRPr="00FD6EC9" w:rsidRDefault="006F695D" w:rsidP="006F695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3"/>
      </w:tblGrid>
      <w:tr w:rsidR="006F695D" w:rsidRPr="00FD6EC9" w:rsidTr="00A93CC4">
        <w:trPr>
          <w:tblHeader/>
        </w:trPr>
        <w:tc>
          <w:tcPr>
            <w:tcW w:w="7087" w:type="dxa"/>
            <w:gridSpan w:val="2"/>
            <w:tcBorders>
              <w:top w:val="single" w:sz="12" w:space="0" w:color="auto"/>
              <w:bottom w:val="single" w:sz="2" w:space="0" w:color="auto"/>
            </w:tcBorders>
            <w:shd w:val="clear" w:color="auto" w:fill="auto"/>
          </w:tcPr>
          <w:p w:rsidR="006F695D" w:rsidRPr="00FD6EC9" w:rsidRDefault="006F695D" w:rsidP="00A93CC4">
            <w:pPr>
              <w:pStyle w:val="TableHeading"/>
            </w:pPr>
            <w:r w:rsidRPr="00FD6EC9">
              <w:t>Privileges and immunities</w:t>
            </w:r>
          </w:p>
        </w:tc>
      </w:tr>
      <w:tr w:rsidR="006F695D" w:rsidRPr="00FD6EC9" w:rsidTr="00A93CC4">
        <w:trPr>
          <w:tblHeader/>
        </w:trPr>
        <w:tc>
          <w:tcPr>
            <w:tcW w:w="714" w:type="dxa"/>
            <w:tcBorders>
              <w:top w:val="single" w:sz="2" w:space="0" w:color="auto"/>
              <w:bottom w:val="single" w:sz="12" w:space="0" w:color="auto"/>
            </w:tcBorders>
            <w:shd w:val="clear" w:color="auto" w:fill="auto"/>
          </w:tcPr>
          <w:p w:rsidR="006F695D" w:rsidRPr="00FD6EC9" w:rsidRDefault="006F695D" w:rsidP="00A93CC4">
            <w:pPr>
              <w:pStyle w:val="TableHeading"/>
            </w:pPr>
            <w:r w:rsidRPr="00FD6EC9">
              <w:t>Item</w:t>
            </w:r>
          </w:p>
        </w:tc>
        <w:tc>
          <w:tcPr>
            <w:tcW w:w="6373" w:type="dxa"/>
            <w:tcBorders>
              <w:top w:val="single" w:sz="2" w:space="0" w:color="auto"/>
              <w:bottom w:val="single" w:sz="12" w:space="0" w:color="auto"/>
            </w:tcBorders>
            <w:shd w:val="clear" w:color="auto" w:fill="auto"/>
          </w:tcPr>
          <w:p w:rsidR="006F695D" w:rsidRPr="00FD6EC9" w:rsidRDefault="006F695D" w:rsidP="00A93CC4">
            <w:pPr>
              <w:pStyle w:val="TableHeading"/>
            </w:pPr>
            <w:r w:rsidRPr="00FD6EC9">
              <w:t>Privilege or immunity</w:t>
            </w:r>
          </w:p>
        </w:tc>
      </w:tr>
      <w:tr w:rsidR="006F695D" w:rsidRPr="00FD6EC9" w:rsidTr="00A93CC4">
        <w:tc>
          <w:tcPr>
            <w:tcW w:w="714" w:type="dxa"/>
            <w:tcBorders>
              <w:top w:val="single" w:sz="12" w:space="0" w:color="auto"/>
            </w:tcBorders>
            <w:shd w:val="clear" w:color="auto" w:fill="auto"/>
          </w:tcPr>
          <w:p w:rsidR="006F695D" w:rsidRPr="00FD6EC9" w:rsidRDefault="006F695D" w:rsidP="00A93CC4">
            <w:pPr>
              <w:pStyle w:val="Tabletext"/>
            </w:pPr>
            <w:r w:rsidRPr="00FD6EC9">
              <w:t>1</w:t>
            </w:r>
          </w:p>
        </w:tc>
        <w:tc>
          <w:tcPr>
            <w:tcW w:w="6373" w:type="dxa"/>
            <w:tcBorders>
              <w:top w:val="single" w:sz="12" w:space="0" w:color="auto"/>
            </w:tcBorders>
            <w:shd w:val="clear" w:color="auto" w:fill="auto"/>
          </w:tcPr>
          <w:p w:rsidR="006F695D" w:rsidRPr="00FD6EC9" w:rsidRDefault="006F695D" w:rsidP="00A93CC4">
            <w:pPr>
              <w:pStyle w:val="Tabletext"/>
            </w:pPr>
            <w:r w:rsidRPr="00FD6EC9">
              <w:t>Immunity from suit and from other legal process in respect of acts and things done in the person’s capacity as:</w:t>
            </w:r>
          </w:p>
          <w:p w:rsidR="006F695D" w:rsidRPr="00FD6EC9" w:rsidRDefault="006F695D" w:rsidP="00A93CC4">
            <w:pPr>
              <w:pStyle w:val="Tablea"/>
            </w:pPr>
            <w:r w:rsidRPr="00FD6EC9">
              <w:t>(a) a Governor of the Bank; or</w:t>
            </w:r>
          </w:p>
          <w:p w:rsidR="006F695D" w:rsidRPr="00FD6EC9" w:rsidRDefault="006F695D" w:rsidP="00A93CC4">
            <w:pPr>
              <w:pStyle w:val="Tablea"/>
            </w:pPr>
            <w:r w:rsidRPr="00FD6EC9">
              <w:t>(b) a Director of the Bank; or</w:t>
            </w:r>
          </w:p>
          <w:p w:rsidR="006F695D" w:rsidRPr="00FD6EC9" w:rsidRDefault="006F695D" w:rsidP="00A93CC4">
            <w:pPr>
              <w:pStyle w:val="Tablea"/>
            </w:pPr>
            <w:r w:rsidRPr="00FD6EC9">
              <w:t>(c) an Alternate Director of the Bank; or</w:t>
            </w:r>
          </w:p>
          <w:p w:rsidR="006F695D" w:rsidRPr="00FD6EC9" w:rsidRDefault="006F695D" w:rsidP="00A93CC4">
            <w:pPr>
              <w:pStyle w:val="Tablea"/>
            </w:pPr>
            <w:r w:rsidRPr="00FD6EC9">
              <w:t>(d) the President of the Bank; or</w:t>
            </w:r>
          </w:p>
          <w:p w:rsidR="006F695D" w:rsidRPr="00FD6EC9" w:rsidRDefault="006F695D" w:rsidP="00A93CC4">
            <w:pPr>
              <w:pStyle w:val="Tablea"/>
            </w:pPr>
            <w:r w:rsidRPr="00FD6EC9">
              <w:t>(e) a Vice</w:t>
            </w:r>
            <w:r w:rsidR="00FD6EC9">
              <w:noBreakHyphen/>
            </w:r>
            <w:r w:rsidRPr="00FD6EC9">
              <w:t>President of the Bank; or</w:t>
            </w:r>
          </w:p>
          <w:p w:rsidR="006F695D" w:rsidRPr="00FD6EC9" w:rsidRDefault="006F695D" w:rsidP="00A93CC4">
            <w:pPr>
              <w:pStyle w:val="Tablea"/>
            </w:pPr>
            <w:r w:rsidRPr="00FD6EC9">
              <w:t>(f) another officer or employee of the Bank; or</w:t>
            </w:r>
          </w:p>
          <w:p w:rsidR="006F695D" w:rsidRPr="00FD6EC9" w:rsidRDefault="006F695D" w:rsidP="006F695D">
            <w:pPr>
              <w:pStyle w:val="Tablea"/>
            </w:pPr>
            <w:r w:rsidRPr="00FD6EC9">
              <w:t>(g) an expert or consultant performing a mission or service for the Bank.</w:t>
            </w:r>
          </w:p>
        </w:tc>
      </w:tr>
      <w:tr w:rsidR="006F695D" w:rsidRPr="00FD6EC9" w:rsidTr="00A93CC4">
        <w:tc>
          <w:tcPr>
            <w:tcW w:w="714" w:type="dxa"/>
            <w:shd w:val="clear" w:color="auto" w:fill="auto"/>
          </w:tcPr>
          <w:p w:rsidR="006F695D" w:rsidRPr="00FD6EC9" w:rsidRDefault="006F695D" w:rsidP="00A93CC4">
            <w:pPr>
              <w:pStyle w:val="Tabletext"/>
            </w:pPr>
            <w:r w:rsidRPr="00FD6EC9">
              <w:t>2</w:t>
            </w:r>
          </w:p>
        </w:tc>
        <w:tc>
          <w:tcPr>
            <w:tcW w:w="6373" w:type="dxa"/>
            <w:shd w:val="clear" w:color="auto" w:fill="auto"/>
          </w:tcPr>
          <w:p w:rsidR="006F695D" w:rsidRPr="00FD6EC9" w:rsidRDefault="006F695D" w:rsidP="00A93CC4">
            <w:pPr>
              <w:pStyle w:val="Tabletext"/>
            </w:pPr>
            <w:r w:rsidRPr="00FD6EC9">
              <w:t xml:space="preserve">Inviolability of </w:t>
            </w:r>
            <w:r w:rsidR="00A93CC4" w:rsidRPr="00FD6EC9">
              <w:t xml:space="preserve">official </w:t>
            </w:r>
            <w:r w:rsidRPr="00FD6EC9">
              <w:t>papers</w:t>
            </w:r>
            <w:r w:rsidR="00A93CC4" w:rsidRPr="00FD6EC9">
              <w:t>,</w:t>
            </w:r>
            <w:r w:rsidRPr="00FD6EC9">
              <w:t xml:space="preserve"> documents</w:t>
            </w:r>
            <w:r w:rsidR="00A93CC4" w:rsidRPr="00FD6EC9">
              <w:t xml:space="preserve"> and records</w:t>
            </w:r>
            <w:r w:rsidRPr="00FD6EC9">
              <w:t>.</w:t>
            </w:r>
          </w:p>
        </w:tc>
      </w:tr>
      <w:tr w:rsidR="006F695D" w:rsidRPr="00FD6EC9" w:rsidTr="00A93CC4">
        <w:tc>
          <w:tcPr>
            <w:tcW w:w="714" w:type="dxa"/>
            <w:shd w:val="clear" w:color="auto" w:fill="auto"/>
          </w:tcPr>
          <w:p w:rsidR="006F695D" w:rsidRPr="00FD6EC9" w:rsidRDefault="006F695D" w:rsidP="00A93CC4">
            <w:pPr>
              <w:pStyle w:val="Tabletext"/>
            </w:pPr>
            <w:r w:rsidRPr="00FD6EC9">
              <w:t>3</w:t>
            </w:r>
          </w:p>
        </w:tc>
        <w:tc>
          <w:tcPr>
            <w:tcW w:w="6373" w:type="dxa"/>
            <w:shd w:val="clear" w:color="auto" w:fill="auto"/>
          </w:tcPr>
          <w:p w:rsidR="006F695D" w:rsidRPr="00FD6EC9" w:rsidRDefault="006F695D" w:rsidP="00A93CC4">
            <w:pPr>
              <w:pStyle w:val="Tabletext"/>
            </w:pPr>
            <w:r w:rsidRPr="00FD6EC9">
              <w:t>Exemption from the application of laws relating to immigration and the registration of aliens.</w:t>
            </w:r>
          </w:p>
        </w:tc>
      </w:tr>
      <w:tr w:rsidR="006F695D" w:rsidRPr="00FD6EC9" w:rsidTr="00A93CC4">
        <w:tc>
          <w:tcPr>
            <w:tcW w:w="714" w:type="dxa"/>
            <w:shd w:val="clear" w:color="auto" w:fill="auto"/>
          </w:tcPr>
          <w:p w:rsidR="006F695D" w:rsidRPr="00FD6EC9" w:rsidRDefault="006F695D" w:rsidP="00A93CC4">
            <w:pPr>
              <w:pStyle w:val="Tabletext"/>
            </w:pPr>
            <w:r w:rsidRPr="00FD6EC9">
              <w:t>4</w:t>
            </w:r>
          </w:p>
        </w:tc>
        <w:tc>
          <w:tcPr>
            <w:tcW w:w="6373" w:type="dxa"/>
            <w:shd w:val="clear" w:color="auto" w:fill="auto"/>
          </w:tcPr>
          <w:p w:rsidR="006F695D" w:rsidRPr="00FD6EC9" w:rsidRDefault="006F695D" w:rsidP="00A93CC4">
            <w:pPr>
              <w:pStyle w:val="Tabletext"/>
            </w:pPr>
            <w:r w:rsidRPr="00FD6EC9">
              <w:t>Exemption from the obligation to perform national service.</w:t>
            </w:r>
          </w:p>
        </w:tc>
      </w:tr>
      <w:tr w:rsidR="006F695D" w:rsidRPr="00FD6EC9" w:rsidTr="00A93CC4">
        <w:tc>
          <w:tcPr>
            <w:tcW w:w="714" w:type="dxa"/>
            <w:tcBorders>
              <w:bottom w:val="single" w:sz="4" w:space="0" w:color="auto"/>
            </w:tcBorders>
            <w:shd w:val="clear" w:color="auto" w:fill="auto"/>
          </w:tcPr>
          <w:p w:rsidR="006F695D" w:rsidRPr="00FD6EC9" w:rsidRDefault="006F695D" w:rsidP="00A93CC4">
            <w:pPr>
              <w:pStyle w:val="Tabletext"/>
            </w:pPr>
            <w:r w:rsidRPr="00FD6EC9">
              <w:t>5</w:t>
            </w:r>
          </w:p>
        </w:tc>
        <w:tc>
          <w:tcPr>
            <w:tcW w:w="6373" w:type="dxa"/>
            <w:tcBorders>
              <w:bottom w:val="single" w:sz="4" w:space="0" w:color="auto"/>
            </w:tcBorders>
            <w:shd w:val="clear" w:color="auto" w:fill="auto"/>
          </w:tcPr>
          <w:p w:rsidR="006F695D" w:rsidRPr="00FD6EC9" w:rsidRDefault="006F695D" w:rsidP="00A93CC4">
            <w:pPr>
              <w:pStyle w:val="Tabletext"/>
            </w:pPr>
            <w:r w:rsidRPr="00FD6EC9">
              <w:t>Exemption from currency or exchange restrictions to such extent as is accorded to an official, of comparable rank, forming part of a diplomatic mission.</w:t>
            </w:r>
          </w:p>
        </w:tc>
      </w:tr>
      <w:tr w:rsidR="006F695D" w:rsidRPr="00FD6EC9" w:rsidTr="00A93CC4">
        <w:tc>
          <w:tcPr>
            <w:tcW w:w="714" w:type="dxa"/>
            <w:tcBorders>
              <w:bottom w:val="single" w:sz="12" w:space="0" w:color="auto"/>
            </w:tcBorders>
            <w:shd w:val="clear" w:color="auto" w:fill="auto"/>
          </w:tcPr>
          <w:p w:rsidR="006F695D" w:rsidRPr="00FD6EC9" w:rsidRDefault="006F695D" w:rsidP="00A93CC4">
            <w:pPr>
              <w:pStyle w:val="Tabletext"/>
            </w:pPr>
            <w:r w:rsidRPr="00FD6EC9">
              <w:t>6</w:t>
            </w:r>
          </w:p>
        </w:tc>
        <w:tc>
          <w:tcPr>
            <w:tcW w:w="6373" w:type="dxa"/>
            <w:tcBorders>
              <w:bottom w:val="single" w:sz="12" w:space="0" w:color="auto"/>
            </w:tcBorders>
            <w:shd w:val="clear" w:color="auto" w:fill="auto"/>
          </w:tcPr>
          <w:p w:rsidR="006F695D" w:rsidRPr="00FD6EC9" w:rsidRDefault="006F695D" w:rsidP="00A93CC4">
            <w:pPr>
              <w:pStyle w:val="Tabletext"/>
            </w:pPr>
            <w:r w:rsidRPr="00FD6EC9">
              <w:t>The like privileges and immunities in respect of personal baggage as are accorded to a diplomatic agent.</w:t>
            </w:r>
          </w:p>
        </w:tc>
      </w:tr>
    </w:tbl>
    <w:p w:rsidR="006F695D" w:rsidRPr="00FD6EC9" w:rsidRDefault="006F695D" w:rsidP="006F695D">
      <w:pPr>
        <w:pStyle w:val="Tabletext"/>
      </w:pPr>
    </w:p>
    <w:p w:rsidR="006F695D" w:rsidRPr="00FD6EC9" w:rsidRDefault="006F695D" w:rsidP="006F695D">
      <w:pPr>
        <w:pStyle w:val="ActHead5"/>
      </w:pPr>
      <w:bookmarkStart w:id="16" w:name="f_Check_Lines_above"/>
      <w:bookmarkStart w:id="17" w:name="_Toc433034769"/>
      <w:bookmarkEnd w:id="16"/>
      <w:r w:rsidRPr="00FD6EC9">
        <w:rPr>
          <w:rStyle w:val="CharSectno"/>
        </w:rPr>
        <w:t>2</w:t>
      </w:r>
      <w:r w:rsidRPr="00FD6EC9">
        <w:t xml:space="preserve">  Taxation privileges and immunities of the officers and employees of the Bank etc.</w:t>
      </w:r>
      <w:bookmarkEnd w:id="17"/>
    </w:p>
    <w:p w:rsidR="006F695D" w:rsidRPr="00FD6EC9" w:rsidRDefault="006F695D" w:rsidP="006F695D">
      <w:pPr>
        <w:pStyle w:val="subsection"/>
      </w:pPr>
      <w:r w:rsidRPr="00FD6EC9">
        <w:tab/>
      </w:r>
      <w:r w:rsidRPr="00FD6EC9">
        <w:tab/>
        <w:t>The following table sets out the privileges and immunities referred to in subsection</w:t>
      </w:r>
      <w:r w:rsidR="00FD6EC9" w:rsidRPr="00FD6EC9">
        <w:t> </w:t>
      </w:r>
      <w:r w:rsidR="00433ABB" w:rsidRPr="00FD6EC9">
        <w:t>5</w:t>
      </w:r>
      <w:r w:rsidRPr="00FD6EC9">
        <w:t>(2).</w:t>
      </w:r>
    </w:p>
    <w:p w:rsidR="006F695D" w:rsidRPr="00FD6EC9" w:rsidRDefault="006F695D" w:rsidP="006F695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3"/>
      </w:tblGrid>
      <w:tr w:rsidR="006F695D" w:rsidRPr="00FD6EC9" w:rsidTr="00A93CC4">
        <w:trPr>
          <w:tblHeader/>
        </w:trPr>
        <w:tc>
          <w:tcPr>
            <w:tcW w:w="7087" w:type="dxa"/>
            <w:gridSpan w:val="2"/>
            <w:tcBorders>
              <w:top w:val="single" w:sz="12" w:space="0" w:color="auto"/>
              <w:bottom w:val="single" w:sz="2" w:space="0" w:color="auto"/>
            </w:tcBorders>
            <w:shd w:val="clear" w:color="auto" w:fill="auto"/>
          </w:tcPr>
          <w:p w:rsidR="006F695D" w:rsidRPr="00FD6EC9" w:rsidRDefault="006F695D" w:rsidP="00A93CC4">
            <w:pPr>
              <w:pStyle w:val="TableHeading"/>
            </w:pPr>
            <w:r w:rsidRPr="00FD6EC9">
              <w:t>Privileges and immunities</w:t>
            </w:r>
          </w:p>
        </w:tc>
      </w:tr>
      <w:tr w:rsidR="006F695D" w:rsidRPr="00FD6EC9" w:rsidTr="00A93CC4">
        <w:trPr>
          <w:tblHeader/>
        </w:trPr>
        <w:tc>
          <w:tcPr>
            <w:tcW w:w="714" w:type="dxa"/>
            <w:tcBorders>
              <w:top w:val="single" w:sz="2" w:space="0" w:color="auto"/>
              <w:bottom w:val="single" w:sz="12" w:space="0" w:color="auto"/>
            </w:tcBorders>
            <w:shd w:val="clear" w:color="auto" w:fill="auto"/>
          </w:tcPr>
          <w:p w:rsidR="006F695D" w:rsidRPr="00FD6EC9" w:rsidRDefault="006F695D" w:rsidP="00A93CC4">
            <w:pPr>
              <w:pStyle w:val="TableHeading"/>
            </w:pPr>
            <w:r w:rsidRPr="00FD6EC9">
              <w:t>Item</w:t>
            </w:r>
          </w:p>
        </w:tc>
        <w:tc>
          <w:tcPr>
            <w:tcW w:w="6373" w:type="dxa"/>
            <w:tcBorders>
              <w:top w:val="single" w:sz="2" w:space="0" w:color="auto"/>
              <w:bottom w:val="single" w:sz="12" w:space="0" w:color="auto"/>
            </w:tcBorders>
            <w:shd w:val="clear" w:color="auto" w:fill="auto"/>
          </w:tcPr>
          <w:p w:rsidR="006F695D" w:rsidRPr="00FD6EC9" w:rsidRDefault="006F695D" w:rsidP="00A93CC4">
            <w:pPr>
              <w:pStyle w:val="TableHeading"/>
            </w:pPr>
            <w:r w:rsidRPr="00FD6EC9">
              <w:t>Privilege or immunity</w:t>
            </w:r>
          </w:p>
        </w:tc>
      </w:tr>
      <w:tr w:rsidR="006F695D" w:rsidRPr="00FD6EC9" w:rsidTr="00A93CC4">
        <w:tc>
          <w:tcPr>
            <w:tcW w:w="714" w:type="dxa"/>
            <w:tcBorders>
              <w:top w:val="single" w:sz="12" w:space="0" w:color="auto"/>
              <w:bottom w:val="single" w:sz="12" w:space="0" w:color="auto"/>
            </w:tcBorders>
            <w:shd w:val="clear" w:color="auto" w:fill="auto"/>
          </w:tcPr>
          <w:p w:rsidR="006F695D" w:rsidRPr="00FD6EC9" w:rsidRDefault="006F695D" w:rsidP="00A93CC4">
            <w:pPr>
              <w:pStyle w:val="Tabletext"/>
            </w:pPr>
            <w:r w:rsidRPr="00FD6EC9">
              <w:t>1</w:t>
            </w:r>
          </w:p>
        </w:tc>
        <w:tc>
          <w:tcPr>
            <w:tcW w:w="6373" w:type="dxa"/>
            <w:tcBorders>
              <w:top w:val="single" w:sz="12" w:space="0" w:color="auto"/>
              <w:bottom w:val="single" w:sz="12" w:space="0" w:color="auto"/>
            </w:tcBorders>
            <w:shd w:val="clear" w:color="auto" w:fill="auto"/>
          </w:tcPr>
          <w:p w:rsidR="006F695D" w:rsidRPr="00FD6EC9" w:rsidRDefault="006F695D" w:rsidP="00A93CC4">
            <w:pPr>
              <w:pStyle w:val="Tabletext"/>
            </w:pPr>
            <w:r w:rsidRPr="00FD6EC9">
              <w:t>Exemption from taxation on salaries, emoluments and expenses received from the Bank.</w:t>
            </w:r>
          </w:p>
        </w:tc>
      </w:tr>
    </w:tbl>
    <w:p w:rsidR="006F695D" w:rsidRPr="00FD6EC9" w:rsidRDefault="006F695D" w:rsidP="006F695D">
      <w:pPr>
        <w:pStyle w:val="Tabletext"/>
      </w:pPr>
    </w:p>
    <w:p w:rsidR="00D87120" w:rsidRPr="00FD6EC9" w:rsidRDefault="00D87120">
      <w:pPr>
        <w:sectPr w:rsidR="00D87120" w:rsidRPr="00FD6EC9" w:rsidSect="006F1333">
          <w:headerReference w:type="even" r:id="rId26"/>
          <w:headerReference w:type="default" r:id="rId27"/>
          <w:footerReference w:type="even" r:id="rId28"/>
          <w:footerReference w:type="default" r:id="rId29"/>
          <w:headerReference w:type="first" r:id="rId30"/>
          <w:footerReference w:type="first" r:id="rId31"/>
          <w:pgSz w:w="11907" w:h="16839" w:code="9"/>
          <w:pgMar w:top="2381" w:right="2410" w:bottom="4252" w:left="2410" w:header="720" w:footer="3402" w:gutter="0"/>
          <w:cols w:space="720"/>
          <w:docGrid w:linePitch="299"/>
        </w:sectPr>
      </w:pPr>
    </w:p>
    <w:p w:rsidR="006F695D" w:rsidRPr="00FD6EC9" w:rsidRDefault="006F695D" w:rsidP="00D87120"/>
    <w:sectPr w:rsidR="006F695D" w:rsidRPr="00FD6EC9" w:rsidSect="006F1333">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38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BB" w:rsidRDefault="00433ABB" w:rsidP="00715914">
      <w:pPr>
        <w:spacing w:line="240" w:lineRule="auto"/>
      </w:pPr>
      <w:r>
        <w:separator/>
      </w:r>
    </w:p>
  </w:endnote>
  <w:endnote w:type="continuationSeparator" w:id="0">
    <w:p w:rsidR="00433ABB" w:rsidRDefault="00433AB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6F1333" w:rsidRDefault="009F4672" w:rsidP="006F1333">
    <w:pPr>
      <w:pStyle w:val="Footer"/>
      <w:tabs>
        <w:tab w:val="clear" w:pos="4153"/>
        <w:tab w:val="clear" w:pos="8306"/>
        <w:tab w:val="center" w:pos="4150"/>
        <w:tab w:val="right" w:pos="8307"/>
      </w:tabs>
      <w:spacing w:before="120"/>
      <w:rPr>
        <w:i/>
        <w:sz w:val="18"/>
      </w:rPr>
    </w:pPr>
    <w:r w:rsidRPr="006F1333">
      <w:rPr>
        <w:i/>
        <w:sz w:val="18"/>
      </w:rPr>
      <w:t xml:space="preserve"> </w:t>
    </w:r>
    <w:r w:rsidR="006F1333" w:rsidRPr="006F1333">
      <w:rPr>
        <w:i/>
        <w:sz w:val="18"/>
      </w:rPr>
      <w:t>OPC61555 - B</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2B0EA5" w:rsidRDefault="009F4672" w:rsidP="009F46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F4672" w:rsidTr="00466C7A">
      <w:tc>
        <w:tcPr>
          <w:tcW w:w="1383" w:type="dxa"/>
        </w:tcPr>
        <w:p w:rsidR="009F4672" w:rsidRDefault="009F4672" w:rsidP="00466C7A">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3271D">
            <w:rPr>
              <w:i/>
              <w:sz w:val="18"/>
            </w:rPr>
            <w:t>No. 175, 2015</w:t>
          </w:r>
          <w:r w:rsidRPr="007A1328">
            <w:rPr>
              <w:i/>
              <w:sz w:val="18"/>
            </w:rPr>
            <w:fldChar w:fldCharType="end"/>
          </w:r>
        </w:p>
      </w:tc>
      <w:tc>
        <w:tcPr>
          <w:tcW w:w="5387" w:type="dxa"/>
        </w:tcPr>
        <w:p w:rsidR="009F4672" w:rsidRDefault="009F4672" w:rsidP="00466C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3271D">
            <w:rPr>
              <w:i/>
              <w:sz w:val="18"/>
            </w:rPr>
            <w:t>Asian Infrastructure Investment Bank (Privileges and Immunities) Regulation 2015</w:t>
          </w:r>
          <w:r w:rsidRPr="007A1328">
            <w:rPr>
              <w:i/>
              <w:sz w:val="18"/>
            </w:rPr>
            <w:fldChar w:fldCharType="end"/>
          </w:r>
        </w:p>
      </w:tc>
      <w:tc>
        <w:tcPr>
          <w:tcW w:w="533" w:type="dxa"/>
        </w:tcPr>
        <w:p w:rsidR="009F4672" w:rsidRDefault="009F4672" w:rsidP="00466C7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5200">
            <w:rPr>
              <w:i/>
              <w:noProof/>
              <w:sz w:val="18"/>
            </w:rPr>
            <w:t>7</w:t>
          </w:r>
          <w:r w:rsidRPr="00ED79B6">
            <w:rPr>
              <w:i/>
              <w:sz w:val="18"/>
            </w:rPr>
            <w:fldChar w:fldCharType="end"/>
          </w:r>
        </w:p>
      </w:tc>
    </w:tr>
  </w:tbl>
  <w:p w:rsidR="009F4672" w:rsidRPr="00ED79B6" w:rsidRDefault="006F1333" w:rsidP="006F1333">
    <w:pPr>
      <w:rPr>
        <w:i/>
        <w:sz w:val="18"/>
      </w:rPr>
    </w:pPr>
    <w:r w:rsidRPr="006F1333">
      <w:rPr>
        <w:rFonts w:cs="Times New Roman"/>
        <w:i/>
        <w:sz w:val="18"/>
      </w:rPr>
      <w:t>OPC61555 - B</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ED79B6" w:rsidRDefault="009F4672" w:rsidP="009F4672">
    <w:pPr>
      <w:pStyle w:val="Footer"/>
      <w:tabs>
        <w:tab w:val="clear" w:pos="4153"/>
        <w:tab w:val="clear" w:pos="8306"/>
        <w:tab w:val="center" w:pos="4150"/>
        <w:tab w:val="right" w:pos="8307"/>
      </w:tabs>
      <w:spacing w:before="12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6F1333" w:rsidRDefault="009F4672" w:rsidP="009F4672">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F4672" w:rsidRPr="006F1333" w:rsidTr="00466C7A">
      <w:tc>
        <w:tcPr>
          <w:tcW w:w="533" w:type="dxa"/>
        </w:tcPr>
        <w:p w:rsidR="009F4672" w:rsidRPr="006F1333" w:rsidRDefault="009F4672" w:rsidP="00466C7A">
          <w:pPr>
            <w:spacing w:line="0" w:lineRule="atLeast"/>
            <w:rPr>
              <w:rFonts w:cs="Times New Roman"/>
              <w:i/>
              <w:sz w:val="18"/>
            </w:rPr>
          </w:pPr>
          <w:r w:rsidRPr="006F1333">
            <w:rPr>
              <w:rFonts w:cs="Times New Roman"/>
              <w:i/>
              <w:sz w:val="18"/>
            </w:rPr>
            <w:fldChar w:fldCharType="begin"/>
          </w:r>
          <w:r w:rsidRPr="006F1333">
            <w:rPr>
              <w:rFonts w:cs="Times New Roman"/>
              <w:i/>
              <w:sz w:val="18"/>
            </w:rPr>
            <w:instrText xml:space="preserve"> PAGE </w:instrText>
          </w:r>
          <w:r w:rsidRPr="006F1333">
            <w:rPr>
              <w:rFonts w:cs="Times New Roman"/>
              <w:i/>
              <w:sz w:val="18"/>
            </w:rPr>
            <w:fldChar w:fldCharType="separate"/>
          </w:r>
          <w:r w:rsidR="004C4EC8">
            <w:rPr>
              <w:rFonts w:cs="Times New Roman"/>
              <w:i/>
              <w:noProof/>
              <w:sz w:val="18"/>
            </w:rPr>
            <w:t>7</w:t>
          </w:r>
          <w:r w:rsidRPr="006F1333">
            <w:rPr>
              <w:rFonts w:cs="Times New Roman"/>
              <w:i/>
              <w:sz w:val="18"/>
            </w:rPr>
            <w:fldChar w:fldCharType="end"/>
          </w:r>
        </w:p>
      </w:tc>
      <w:tc>
        <w:tcPr>
          <w:tcW w:w="5387" w:type="dxa"/>
        </w:tcPr>
        <w:p w:rsidR="009F4672" w:rsidRPr="006F1333" w:rsidRDefault="009F4672" w:rsidP="00466C7A">
          <w:pPr>
            <w:spacing w:line="0" w:lineRule="atLeast"/>
            <w:jc w:val="center"/>
            <w:rPr>
              <w:rFonts w:cs="Times New Roman"/>
              <w:i/>
              <w:sz w:val="18"/>
            </w:rPr>
          </w:pPr>
          <w:r w:rsidRPr="006F1333">
            <w:rPr>
              <w:rFonts w:cs="Times New Roman"/>
              <w:i/>
              <w:sz w:val="18"/>
            </w:rPr>
            <w:fldChar w:fldCharType="begin"/>
          </w:r>
          <w:r w:rsidRPr="006F1333">
            <w:rPr>
              <w:rFonts w:cs="Times New Roman"/>
              <w:i/>
              <w:sz w:val="18"/>
            </w:rPr>
            <w:instrText xml:space="preserve"> DOCPROPERTY ShortT </w:instrText>
          </w:r>
          <w:r w:rsidRPr="006F1333">
            <w:rPr>
              <w:rFonts w:cs="Times New Roman"/>
              <w:i/>
              <w:sz w:val="18"/>
            </w:rPr>
            <w:fldChar w:fldCharType="separate"/>
          </w:r>
          <w:r w:rsidR="0093271D">
            <w:rPr>
              <w:rFonts w:cs="Times New Roman"/>
              <w:i/>
              <w:sz w:val="18"/>
            </w:rPr>
            <w:t>Asian Infrastructure Investment Bank (Privileges and Immunities) Regulation 2015</w:t>
          </w:r>
          <w:r w:rsidRPr="006F1333">
            <w:rPr>
              <w:rFonts w:cs="Times New Roman"/>
              <w:i/>
              <w:sz w:val="18"/>
            </w:rPr>
            <w:fldChar w:fldCharType="end"/>
          </w:r>
        </w:p>
      </w:tc>
      <w:tc>
        <w:tcPr>
          <w:tcW w:w="1383" w:type="dxa"/>
        </w:tcPr>
        <w:p w:rsidR="009F4672" w:rsidRPr="006F1333" w:rsidRDefault="009F4672" w:rsidP="00466C7A">
          <w:pPr>
            <w:spacing w:line="0" w:lineRule="atLeast"/>
            <w:jc w:val="right"/>
            <w:rPr>
              <w:rFonts w:cs="Times New Roman"/>
              <w:i/>
              <w:sz w:val="18"/>
            </w:rPr>
          </w:pPr>
          <w:r w:rsidRPr="006F1333">
            <w:rPr>
              <w:rFonts w:cs="Times New Roman"/>
              <w:i/>
              <w:sz w:val="18"/>
            </w:rPr>
            <w:fldChar w:fldCharType="begin"/>
          </w:r>
          <w:r w:rsidRPr="006F1333">
            <w:rPr>
              <w:rFonts w:cs="Times New Roman"/>
              <w:i/>
              <w:sz w:val="18"/>
            </w:rPr>
            <w:instrText xml:space="preserve"> DOCPROPERTY ActNo </w:instrText>
          </w:r>
          <w:r w:rsidRPr="006F1333">
            <w:rPr>
              <w:rFonts w:cs="Times New Roman"/>
              <w:i/>
              <w:sz w:val="18"/>
            </w:rPr>
            <w:fldChar w:fldCharType="separate"/>
          </w:r>
          <w:r w:rsidR="0093271D">
            <w:rPr>
              <w:rFonts w:cs="Times New Roman"/>
              <w:i/>
              <w:sz w:val="18"/>
            </w:rPr>
            <w:t>No. 175, 2015</w:t>
          </w:r>
          <w:r w:rsidRPr="006F1333">
            <w:rPr>
              <w:rFonts w:cs="Times New Roman"/>
              <w:i/>
              <w:sz w:val="18"/>
            </w:rPr>
            <w:fldChar w:fldCharType="end"/>
          </w:r>
        </w:p>
      </w:tc>
    </w:tr>
  </w:tbl>
  <w:p w:rsidR="009F4672" w:rsidRPr="006F1333" w:rsidRDefault="006F1333" w:rsidP="006F1333">
    <w:pPr>
      <w:rPr>
        <w:rFonts w:cs="Times New Roman"/>
        <w:i/>
        <w:sz w:val="18"/>
      </w:rPr>
    </w:pPr>
    <w:r w:rsidRPr="006F1333">
      <w:rPr>
        <w:rFonts w:cs="Times New Roman"/>
        <w:i/>
        <w:sz w:val="18"/>
      </w:rPr>
      <w:t>OPC61555 - B</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2B0EA5" w:rsidRDefault="009F4672" w:rsidP="009F46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F4672" w:rsidTr="00466C7A">
      <w:tc>
        <w:tcPr>
          <w:tcW w:w="1383" w:type="dxa"/>
        </w:tcPr>
        <w:p w:rsidR="009F4672" w:rsidRDefault="009F4672" w:rsidP="00466C7A">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3271D">
            <w:rPr>
              <w:i/>
              <w:sz w:val="18"/>
            </w:rPr>
            <w:t>No. 175, 2015</w:t>
          </w:r>
          <w:r w:rsidRPr="007A1328">
            <w:rPr>
              <w:i/>
              <w:sz w:val="18"/>
            </w:rPr>
            <w:fldChar w:fldCharType="end"/>
          </w:r>
        </w:p>
      </w:tc>
      <w:tc>
        <w:tcPr>
          <w:tcW w:w="5387" w:type="dxa"/>
        </w:tcPr>
        <w:p w:rsidR="009F4672" w:rsidRDefault="009F4672" w:rsidP="00466C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3271D">
            <w:rPr>
              <w:i/>
              <w:sz w:val="18"/>
            </w:rPr>
            <w:t>Asian Infrastructure Investment Bank (Privileges and Immunities) Regulation 2015</w:t>
          </w:r>
          <w:r w:rsidRPr="007A1328">
            <w:rPr>
              <w:i/>
              <w:sz w:val="18"/>
            </w:rPr>
            <w:fldChar w:fldCharType="end"/>
          </w:r>
        </w:p>
      </w:tc>
      <w:tc>
        <w:tcPr>
          <w:tcW w:w="533" w:type="dxa"/>
        </w:tcPr>
        <w:p w:rsidR="009F4672" w:rsidRDefault="009F4672" w:rsidP="00466C7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C4EC8">
            <w:rPr>
              <w:i/>
              <w:noProof/>
              <w:sz w:val="18"/>
            </w:rPr>
            <w:t>7</w:t>
          </w:r>
          <w:r w:rsidRPr="00ED79B6">
            <w:rPr>
              <w:i/>
              <w:sz w:val="18"/>
            </w:rPr>
            <w:fldChar w:fldCharType="end"/>
          </w:r>
        </w:p>
      </w:tc>
    </w:tr>
  </w:tbl>
  <w:p w:rsidR="009F4672" w:rsidRPr="00ED79B6" w:rsidRDefault="006F1333" w:rsidP="006F1333">
    <w:pPr>
      <w:rPr>
        <w:i/>
        <w:sz w:val="18"/>
      </w:rPr>
    </w:pPr>
    <w:r w:rsidRPr="006F1333">
      <w:rPr>
        <w:rFonts w:cs="Times New Roman"/>
        <w:i/>
        <w:sz w:val="18"/>
      </w:rPr>
      <w:t>OPC61555 - B</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ED79B6" w:rsidRDefault="009F4672" w:rsidP="009F4672">
    <w:pPr>
      <w:pStyle w:val="Footer"/>
      <w:tabs>
        <w:tab w:val="clear" w:pos="4153"/>
        <w:tab w:val="clear" w:pos="8306"/>
        <w:tab w:val="center" w:pos="4150"/>
        <w:tab w:val="right" w:pos="8307"/>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Default="009F4672" w:rsidP="009F4672">
    <w:pPr>
      <w:pStyle w:val="Footer"/>
    </w:pPr>
  </w:p>
  <w:p w:rsidR="009F4672" w:rsidRPr="00E44C17" w:rsidRDefault="006F1333" w:rsidP="006F1333">
    <w:pPr>
      <w:pStyle w:val="Footer"/>
    </w:pPr>
    <w:r w:rsidRPr="006F1333">
      <w:rPr>
        <w:i/>
        <w:sz w:val="18"/>
      </w:rPr>
      <w:t>OPC61555 -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ED79B6" w:rsidRDefault="009F4672" w:rsidP="009F467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6F1333" w:rsidRDefault="009F4672" w:rsidP="009F4672">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F4672" w:rsidRPr="006F1333" w:rsidTr="00466C7A">
      <w:tc>
        <w:tcPr>
          <w:tcW w:w="533" w:type="dxa"/>
        </w:tcPr>
        <w:p w:rsidR="009F4672" w:rsidRPr="006F1333" w:rsidRDefault="009F4672" w:rsidP="00466C7A">
          <w:pPr>
            <w:spacing w:line="0" w:lineRule="atLeast"/>
            <w:rPr>
              <w:rFonts w:cs="Times New Roman"/>
              <w:i/>
              <w:sz w:val="18"/>
            </w:rPr>
          </w:pPr>
          <w:r w:rsidRPr="006F1333">
            <w:rPr>
              <w:rFonts w:cs="Times New Roman"/>
              <w:i/>
              <w:sz w:val="18"/>
            </w:rPr>
            <w:fldChar w:fldCharType="begin"/>
          </w:r>
          <w:r w:rsidRPr="006F1333">
            <w:rPr>
              <w:rFonts w:cs="Times New Roman"/>
              <w:i/>
              <w:sz w:val="18"/>
            </w:rPr>
            <w:instrText xml:space="preserve"> PAGE </w:instrText>
          </w:r>
          <w:r w:rsidRPr="006F1333">
            <w:rPr>
              <w:rFonts w:cs="Times New Roman"/>
              <w:i/>
              <w:sz w:val="18"/>
            </w:rPr>
            <w:fldChar w:fldCharType="separate"/>
          </w:r>
          <w:r w:rsidR="004C4EC8">
            <w:rPr>
              <w:rFonts w:cs="Times New Roman"/>
              <w:i/>
              <w:noProof/>
              <w:sz w:val="18"/>
            </w:rPr>
            <w:t>vii</w:t>
          </w:r>
          <w:r w:rsidRPr="006F1333">
            <w:rPr>
              <w:rFonts w:cs="Times New Roman"/>
              <w:i/>
              <w:sz w:val="18"/>
            </w:rPr>
            <w:fldChar w:fldCharType="end"/>
          </w:r>
        </w:p>
      </w:tc>
      <w:tc>
        <w:tcPr>
          <w:tcW w:w="5387" w:type="dxa"/>
        </w:tcPr>
        <w:p w:rsidR="009F4672" w:rsidRPr="006F1333" w:rsidRDefault="009F4672" w:rsidP="00466C7A">
          <w:pPr>
            <w:spacing w:line="0" w:lineRule="atLeast"/>
            <w:jc w:val="center"/>
            <w:rPr>
              <w:rFonts w:cs="Times New Roman"/>
              <w:i/>
              <w:sz w:val="18"/>
            </w:rPr>
          </w:pPr>
          <w:r w:rsidRPr="006F1333">
            <w:rPr>
              <w:rFonts w:cs="Times New Roman"/>
              <w:i/>
              <w:sz w:val="18"/>
            </w:rPr>
            <w:fldChar w:fldCharType="begin"/>
          </w:r>
          <w:r w:rsidRPr="006F1333">
            <w:rPr>
              <w:rFonts w:cs="Times New Roman"/>
              <w:i/>
              <w:sz w:val="18"/>
            </w:rPr>
            <w:instrText xml:space="preserve"> DOCPROPERTY ShortT </w:instrText>
          </w:r>
          <w:r w:rsidRPr="006F1333">
            <w:rPr>
              <w:rFonts w:cs="Times New Roman"/>
              <w:i/>
              <w:sz w:val="18"/>
            </w:rPr>
            <w:fldChar w:fldCharType="separate"/>
          </w:r>
          <w:r w:rsidR="0093271D">
            <w:rPr>
              <w:rFonts w:cs="Times New Roman"/>
              <w:i/>
              <w:sz w:val="18"/>
            </w:rPr>
            <w:t>Asian Infrastructure Investment Bank (Privileges and Immunities) Regulation 2015</w:t>
          </w:r>
          <w:r w:rsidRPr="006F1333">
            <w:rPr>
              <w:rFonts w:cs="Times New Roman"/>
              <w:i/>
              <w:sz w:val="18"/>
            </w:rPr>
            <w:fldChar w:fldCharType="end"/>
          </w:r>
        </w:p>
      </w:tc>
      <w:tc>
        <w:tcPr>
          <w:tcW w:w="1383" w:type="dxa"/>
        </w:tcPr>
        <w:p w:rsidR="009F4672" w:rsidRPr="006F1333" w:rsidRDefault="009F4672" w:rsidP="00466C7A">
          <w:pPr>
            <w:spacing w:line="0" w:lineRule="atLeast"/>
            <w:jc w:val="right"/>
            <w:rPr>
              <w:rFonts w:cs="Times New Roman"/>
              <w:i/>
              <w:sz w:val="18"/>
            </w:rPr>
          </w:pPr>
          <w:r w:rsidRPr="006F1333">
            <w:rPr>
              <w:rFonts w:cs="Times New Roman"/>
              <w:i/>
              <w:sz w:val="18"/>
            </w:rPr>
            <w:fldChar w:fldCharType="begin"/>
          </w:r>
          <w:r w:rsidRPr="006F1333">
            <w:rPr>
              <w:rFonts w:cs="Times New Roman"/>
              <w:i/>
              <w:sz w:val="18"/>
            </w:rPr>
            <w:instrText xml:space="preserve"> DOCPROPERTY ActNo </w:instrText>
          </w:r>
          <w:r w:rsidRPr="006F1333">
            <w:rPr>
              <w:rFonts w:cs="Times New Roman"/>
              <w:i/>
              <w:sz w:val="18"/>
            </w:rPr>
            <w:fldChar w:fldCharType="separate"/>
          </w:r>
          <w:r w:rsidR="0093271D">
            <w:rPr>
              <w:rFonts w:cs="Times New Roman"/>
              <w:i/>
              <w:sz w:val="18"/>
            </w:rPr>
            <w:t>No. 175, 2015</w:t>
          </w:r>
          <w:r w:rsidRPr="006F1333">
            <w:rPr>
              <w:rFonts w:cs="Times New Roman"/>
              <w:i/>
              <w:sz w:val="18"/>
            </w:rPr>
            <w:fldChar w:fldCharType="end"/>
          </w:r>
        </w:p>
      </w:tc>
    </w:tr>
  </w:tbl>
  <w:p w:rsidR="009F4672" w:rsidRPr="006F1333" w:rsidRDefault="006F1333" w:rsidP="006F1333">
    <w:pPr>
      <w:rPr>
        <w:rFonts w:cs="Times New Roman"/>
        <w:i/>
        <w:sz w:val="18"/>
      </w:rPr>
    </w:pPr>
    <w:r w:rsidRPr="006F1333">
      <w:rPr>
        <w:rFonts w:cs="Times New Roman"/>
        <w:i/>
        <w:sz w:val="18"/>
      </w:rPr>
      <w:t>OPC61555 -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2B0EA5" w:rsidRDefault="009F4672" w:rsidP="009F46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F4672" w:rsidTr="00466C7A">
      <w:tc>
        <w:tcPr>
          <w:tcW w:w="1383" w:type="dxa"/>
        </w:tcPr>
        <w:p w:rsidR="009F4672" w:rsidRDefault="009F4672" w:rsidP="00466C7A">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3271D">
            <w:rPr>
              <w:i/>
              <w:sz w:val="18"/>
            </w:rPr>
            <w:t>No. 175, 2015</w:t>
          </w:r>
          <w:r w:rsidRPr="007A1328">
            <w:rPr>
              <w:i/>
              <w:sz w:val="18"/>
            </w:rPr>
            <w:fldChar w:fldCharType="end"/>
          </w:r>
        </w:p>
      </w:tc>
      <w:tc>
        <w:tcPr>
          <w:tcW w:w="5387" w:type="dxa"/>
        </w:tcPr>
        <w:p w:rsidR="009F4672" w:rsidRDefault="009F4672" w:rsidP="00466C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3271D">
            <w:rPr>
              <w:i/>
              <w:sz w:val="18"/>
            </w:rPr>
            <w:t>Asian Infrastructure Investment Bank (Privileges and Immunities) Regulation 2015</w:t>
          </w:r>
          <w:r w:rsidRPr="007A1328">
            <w:rPr>
              <w:i/>
              <w:sz w:val="18"/>
            </w:rPr>
            <w:fldChar w:fldCharType="end"/>
          </w:r>
        </w:p>
      </w:tc>
      <w:tc>
        <w:tcPr>
          <w:tcW w:w="533" w:type="dxa"/>
        </w:tcPr>
        <w:p w:rsidR="009F4672" w:rsidRDefault="009F4672" w:rsidP="00466C7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5200">
            <w:rPr>
              <w:i/>
              <w:noProof/>
              <w:sz w:val="18"/>
            </w:rPr>
            <w:t>i</w:t>
          </w:r>
          <w:r w:rsidRPr="00ED79B6">
            <w:rPr>
              <w:i/>
              <w:sz w:val="18"/>
            </w:rPr>
            <w:fldChar w:fldCharType="end"/>
          </w:r>
        </w:p>
      </w:tc>
    </w:tr>
  </w:tbl>
  <w:p w:rsidR="009F4672" w:rsidRPr="00ED79B6" w:rsidRDefault="006F1333" w:rsidP="006F1333">
    <w:pPr>
      <w:rPr>
        <w:i/>
        <w:sz w:val="18"/>
      </w:rPr>
    </w:pPr>
    <w:r w:rsidRPr="006F1333">
      <w:rPr>
        <w:rFonts w:cs="Times New Roman"/>
        <w:i/>
        <w:sz w:val="18"/>
      </w:rPr>
      <w:t>OPC61555 -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6F1333" w:rsidRDefault="009F4672" w:rsidP="009F4672">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F4672" w:rsidRPr="006F1333" w:rsidTr="00466C7A">
      <w:tc>
        <w:tcPr>
          <w:tcW w:w="533" w:type="dxa"/>
        </w:tcPr>
        <w:p w:rsidR="009F4672" w:rsidRPr="006F1333" w:rsidRDefault="009F4672" w:rsidP="00466C7A">
          <w:pPr>
            <w:spacing w:line="0" w:lineRule="atLeast"/>
            <w:rPr>
              <w:rFonts w:cs="Times New Roman"/>
              <w:i/>
              <w:sz w:val="18"/>
            </w:rPr>
          </w:pPr>
          <w:r w:rsidRPr="006F1333">
            <w:rPr>
              <w:rFonts w:cs="Times New Roman"/>
              <w:i/>
              <w:sz w:val="18"/>
            </w:rPr>
            <w:fldChar w:fldCharType="begin"/>
          </w:r>
          <w:r w:rsidRPr="006F1333">
            <w:rPr>
              <w:rFonts w:cs="Times New Roman"/>
              <w:i/>
              <w:sz w:val="18"/>
            </w:rPr>
            <w:instrText xml:space="preserve"> PAGE </w:instrText>
          </w:r>
          <w:r w:rsidRPr="006F1333">
            <w:rPr>
              <w:rFonts w:cs="Times New Roman"/>
              <w:i/>
              <w:sz w:val="18"/>
            </w:rPr>
            <w:fldChar w:fldCharType="separate"/>
          </w:r>
          <w:r w:rsidR="00635200">
            <w:rPr>
              <w:rFonts w:cs="Times New Roman"/>
              <w:i/>
              <w:noProof/>
              <w:sz w:val="18"/>
            </w:rPr>
            <w:t>2</w:t>
          </w:r>
          <w:r w:rsidRPr="006F1333">
            <w:rPr>
              <w:rFonts w:cs="Times New Roman"/>
              <w:i/>
              <w:sz w:val="18"/>
            </w:rPr>
            <w:fldChar w:fldCharType="end"/>
          </w:r>
        </w:p>
      </w:tc>
      <w:tc>
        <w:tcPr>
          <w:tcW w:w="5387" w:type="dxa"/>
        </w:tcPr>
        <w:p w:rsidR="009F4672" w:rsidRPr="006F1333" w:rsidRDefault="009F4672" w:rsidP="00466C7A">
          <w:pPr>
            <w:spacing w:line="0" w:lineRule="atLeast"/>
            <w:jc w:val="center"/>
            <w:rPr>
              <w:rFonts w:cs="Times New Roman"/>
              <w:i/>
              <w:sz w:val="18"/>
            </w:rPr>
          </w:pPr>
          <w:r w:rsidRPr="006F1333">
            <w:rPr>
              <w:rFonts w:cs="Times New Roman"/>
              <w:i/>
              <w:sz w:val="18"/>
            </w:rPr>
            <w:fldChar w:fldCharType="begin"/>
          </w:r>
          <w:r w:rsidRPr="006F1333">
            <w:rPr>
              <w:rFonts w:cs="Times New Roman"/>
              <w:i/>
              <w:sz w:val="18"/>
            </w:rPr>
            <w:instrText xml:space="preserve"> DOCPROPERTY ShortT </w:instrText>
          </w:r>
          <w:r w:rsidRPr="006F1333">
            <w:rPr>
              <w:rFonts w:cs="Times New Roman"/>
              <w:i/>
              <w:sz w:val="18"/>
            </w:rPr>
            <w:fldChar w:fldCharType="separate"/>
          </w:r>
          <w:r w:rsidR="0093271D">
            <w:rPr>
              <w:rFonts w:cs="Times New Roman"/>
              <w:i/>
              <w:sz w:val="18"/>
            </w:rPr>
            <w:t>Asian Infrastructure Investment Bank (Privileges and Immunities) Regulation 2015</w:t>
          </w:r>
          <w:r w:rsidRPr="006F1333">
            <w:rPr>
              <w:rFonts w:cs="Times New Roman"/>
              <w:i/>
              <w:sz w:val="18"/>
            </w:rPr>
            <w:fldChar w:fldCharType="end"/>
          </w:r>
        </w:p>
      </w:tc>
      <w:tc>
        <w:tcPr>
          <w:tcW w:w="1383" w:type="dxa"/>
        </w:tcPr>
        <w:p w:rsidR="009F4672" w:rsidRPr="006F1333" w:rsidRDefault="009F4672" w:rsidP="00466C7A">
          <w:pPr>
            <w:spacing w:line="0" w:lineRule="atLeast"/>
            <w:jc w:val="right"/>
            <w:rPr>
              <w:rFonts w:cs="Times New Roman"/>
              <w:i/>
              <w:sz w:val="18"/>
            </w:rPr>
          </w:pPr>
          <w:r w:rsidRPr="006F1333">
            <w:rPr>
              <w:rFonts w:cs="Times New Roman"/>
              <w:i/>
              <w:sz w:val="18"/>
            </w:rPr>
            <w:fldChar w:fldCharType="begin"/>
          </w:r>
          <w:r w:rsidRPr="006F1333">
            <w:rPr>
              <w:rFonts w:cs="Times New Roman"/>
              <w:i/>
              <w:sz w:val="18"/>
            </w:rPr>
            <w:instrText xml:space="preserve"> DOCPROPERTY ActNo </w:instrText>
          </w:r>
          <w:r w:rsidRPr="006F1333">
            <w:rPr>
              <w:rFonts w:cs="Times New Roman"/>
              <w:i/>
              <w:sz w:val="18"/>
            </w:rPr>
            <w:fldChar w:fldCharType="separate"/>
          </w:r>
          <w:r w:rsidR="0093271D">
            <w:rPr>
              <w:rFonts w:cs="Times New Roman"/>
              <w:i/>
              <w:sz w:val="18"/>
            </w:rPr>
            <w:t>No. 175, 2015</w:t>
          </w:r>
          <w:r w:rsidRPr="006F1333">
            <w:rPr>
              <w:rFonts w:cs="Times New Roman"/>
              <w:i/>
              <w:sz w:val="18"/>
            </w:rPr>
            <w:fldChar w:fldCharType="end"/>
          </w:r>
        </w:p>
      </w:tc>
    </w:tr>
  </w:tbl>
  <w:p w:rsidR="009F4672" w:rsidRPr="006F1333" w:rsidRDefault="006F1333" w:rsidP="006F1333">
    <w:pPr>
      <w:rPr>
        <w:rFonts w:cs="Times New Roman"/>
        <w:i/>
        <w:sz w:val="18"/>
      </w:rPr>
    </w:pPr>
    <w:r w:rsidRPr="006F1333">
      <w:rPr>
        <w:rFonts w:cs="Times New Roman"/>
        <w:i/>
        <w:sz w:val="18"/>
      </w:rPr>
      <w:t>OPC61555 -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2B0EA5" w:rsidRDefault="009F4672" w:rsidP="009F46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F4672" w:rsidTr="00466C7A">
      <w:tc>
        <w:tcPr>
          <w:tcW w:w="1383" w:type="dxa"/>
        </w:tcPr>
        <w:p w:rsidR="009F4672" w:rsidRDefault="009F4672" w:rsidP="00466C7A">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3271D">
            <w:rPr>
              <w:i/>
              <w:sz w:val="18"/>
            </w:rPr>
            <w:t>No. 175, 2015</w:t>
          </w:r>
          <w:r w:rsidRPr="007A1328">
            <w:rPr>
              <w:i/>
              <w:sz w:val="18"/>
            </w:rPr>
            <w:fldChar w:fldCharType="end"/>
          </w:r>
        </w:p>
      </w:tc>
      <w:tc>
        <w:tcPr>
          <w:tcW w:w="5387" w:type="dxa"/>
        </w:tcPr>
        <w:p w:rsidR="009F4672" w:rsidRDefault="009F4672" w:rsidP="00466C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3271D">
            <w:rPr>
              <w:i/>
              <w:sz w:val="18"/>
            </w:rPr>
            <w:t>Asian Infrastructure Investment Bank (Privileges and Immunities) Regulation 2015</w:t>
          </w:r>
          <w:r w:rsidRPr="007A1328">
            <w:rPr>
              <w:i/>
              <w:sz w:val="18"/>
            </w:rPr>
            <w:fldChar w:fldCharType="end"/>
          </w:r>
        </w:p>
      </w:tc>
      <w:tc>
        <w:tcPr>
          <w:tcW w:w="533" w:type="dxa"/>
        </w:tcPr>
        <w:p w:rsidR="009F4672" w:rsidRDefault="009F4672" w:rsidP="00466C7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35200">
            <w:rPr>
              <w:i/>
              <w:noProof/>
              <w:sz w:val="18"/>
            </w:rPr>
            <w:t>1</w:t>
          </w:r>
          <w:r w:rsidRPr="00ED79B6">
            <w:rPr>
              <w:i/>
              <w:sz w:val="18"/>
            </w:rPr>
            <w:fldChar w:fldCharType="end"/>
          </w:r>
        </w:p>
      </w:tc>
    </w:tr>
  </w:tbl>
  <w:p w:rsidR="009F4672" w:rsidRPr="00ED79B6" w:rsidRDefault="006F1333" w:rsidP="006F1333">
    <w:pPr>
      <w:rPr>
        <w:i/>
        <w:sz w:val="18"/>
      </w:rPr>
    </w:pPr>
    <w:r w:rsidRPr="006F1333">
      <w:rPr>
        <w:rFonts w:cs="Times New Roman"/>
        <w:i/>
        <w:sz w:val="18"/>
      </w:rPr>
      <w:t>OPC61555 -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ED79B6" w:rsidRDefault="009F4672" w:rsidP="009F4672">
    <w:pPr>
      <w:pStyle w:val="Footer"/>
      <w:tabs>
        <w:tab w:val="clear" w:pos="4153"/>
        <w:tab w:val="clear" w:pos="8306"/>
        <w:tab w:val="center" w:pos="4150"/>
        <w:tab w:val="right" w:pos="8307"/>
      </w:tabs>
      <w:spacing w:before="1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72" w:rsidRPr="006F1333" w:rsidRDefault="009F4672" w:rsidP="009F4672">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F4672" w:rsidRPr="006F1333" w:rsidTr="00466C7A">
      <w:tc>
        <w:tcPr>
          <w:tcW w:w="533" w:type="dxa"/>
        </w:tcPr>
        <w:p w:rsidR="009F4672" w:rsidRPr="006F1333" w:rsidRDefault="009F4672" w:rsidP="00466C7A">
          <w:pPr>
            <w:spacing w:line="0" w:lineRule="atLeast"/>
            <w:rPr>
              <w:rFonts w:cs="Times New Roman"/>
              <w:i/>
              <w:sz w:val="18"/>
            </w:rPr>
          </w:pPr>
          <w:r w:rsidRPr="006F1333">
            <w:rPr>
              <w:rFonts w:cs="Times New Roman"/>
              <w:i/>
              <w:sz w:val="18"/>
            </w:rPr>
            <w:fldChar w:fldCharType="begin"/>
          </w:r>
          <w:r w:rsidRPr="006F1333">
            <w:rPr>
              <w:rFonts w:cs="Times New Roman"/>
              <w:i/>
              <w:sz w:val="18"/>
            </w:rPr>
            <w:instrText xml:space="preserve"> PAGE </w:instrText>
          </w:r>
          <w:r w:rsidRPr="006F1333">
            <w:rPr>
              <w:rFonts w:cs="Times New Roman"/>
              <w:i/>
              <w:sz w:val="18"/>
            </w:rPr>
            <w:fldChar w:fldCharType="separate"/>
          </w:r>
          <w:r w:rsidR="00635200">
            <w:rPr>
              <w:rFonts w:cs="Times New Roman"/>
              <w:i/>
              <w:noProof/>
              <w:sz w:val="18"/>
            </w:rPr>
            <w:t>6</w:t>
          </w:r>
          <w:r w:rsidRPr="006F1333">
            <w:rPr>
              <w:rFonts w:cs="Times New Roman"/>
              <w:i/>
              <w:sz w:val="18"/>
            </w:rPr>
            <w:fldChar w:fldCharType="end"/>
          </w:r>
        </w:p>
      </w:tc>
      <w:tc>
        <w:tcPr>
          <w:tcW w:w="5387" w:type="dxa"/>
        </w:tcPr>
        <w:p w:rsidR="009F4672" w:rsidRPr="006F1333" w:rsidRDefault="009F4672" w:rsidP="00466C7A">
          <w:pPr>
            <w:spacing w:line="0" w:lineRule="atLeast"/>
            <w:jc w:val="center"/>
            <w:rPr>
              <w:rFonts w:cs="Times New Roman"/>
              <w:i/>
              <w:sz w:val="18"/>
            </w:rPr>
          </w:pPr>
          <w:r w:rsidRPr="006F1333">
            <w:rPr>
              <w:rFonts w:cs="Times New Roman"/>
              <w:i/>
              <w:sz w:val="18"/>
            </w:rPr>
            <w:fldChar w:fldCharType="begin"/>
          </w:r>
          <w:r w:rsidRPr="006F1333">
            <w:rPr>
              <w:rFonts w:cs="Times New Roman"/>
              <w:i/>
              <w:sz w:val="18"/>
            </w:rPr>
            <w:instrText xml:space="preserve"> DOCPROPERTY ShortT </w:instrText>
          </w:r>
          <w:r w:rsidRPr="006F1333">
            <w:rPr>
              <w:rFonts w:cs="Times New Roman"/>
              <w:i/>
              <w:sz w:val="18"/>
            </w:rPr>
            <w:fldChar w:fldCharType="separate"/>
          </w:r>
          <w:r w:rsidR="0093271D">
            <w:rPr>
              <w:rFonts w:cs="Times New Roman"/>
              <w:i/>
              <w:sz w:val="18"/>
            </w:rPr>
            <w:t>Asian Infrastructure Investment Bank (Privileges and Immunities) Regulation 2015</w:t>
          </w:r>
          <w:r w:rsidRPr="006F1333">
            <w:rPr>
              <w:rFonts w:cs="Times New Roman"/>
              <w:i/>
              <w:sz w:val="18"/>
            </w:rPr>
            <w:fldChar w:fldCharType="end"/>
          </w:r>
        </w:p>
      </w:tc>
      <w:tc>
        <w:tcPr>
          <w:tcW w:w="1383" w:type="dxa"/>
        </w:tcPr>
        <w:p w:rsidR="009F4672" w:rsidRPr="006F1333" w:rsidRDefault="009F4672" w:rsidP="00466C7A">
          <w:pPr>
            <w:spacing w:line="0" w:lineRule="atLeast"/>
            <w:jc w:val="right"/>
            <w:rPr>
              <w:rFonts w:cs="Times New Roman"/>
              <w:i/>
              <w:sz w:val="18"/>
            </w:rPr>
          </w:pPr>
          <w:r w:rsidRPr="006F1333">
            <w:rPr>
              <w:rFonts w:cs="Times New Roman"/>
              <w:i/>
              <w:sz w:val="18"/>
            </w:rPr>
            <w:fldChar w:fldCharType="begin"/>
          </w:r>
          <w:r w:rsidRPr="006F1333">
            <w:rPr>
              <w:rFonts w:cs="Times New Roman"/>
              <w:i/>
              <w:sz w:val="18"/>
            </w:rPr>
            <w:instrText xml:space="preserve"> DOCPROPERTY ActNo </w:instrText>
          </w:r>
          <w:r w:rsidRPr="006F1333">
            <w:rPr>
              <w:rFonts w:cs="Times New Roman"/>
              <w:i/>
              <w:sz w:val="18"/>
            </w:rPr>
            <w:fldChar w:fldCharType="separate"/>
          </w:r>
          <w:r w:rsidR="0093271D">
            <w:rPr>
              <w:rFonts w:cs="Times New Roman"/>
              <w:i/>
              <w:sz w:val="18"/>
            </w:rPr>
            <w:t>No. 175, 2015</w:t>
          </w:r>
          <w:r w:rsidRPr="006F1333">
            <w:rPr>
              <w:rFonts w:cs="Times New Roman"/>
              <w:i/>
              <w:sz w:val="18"/>
            </w:rPr>
            <w:fldChar w:fldCharType="end"/>
          </w:r>
        </w:p>
      </w:tc>
    </w:tr>
  </w:tbl>
  <w:p w:rsidR="009F4672" w:rsidRPr="006F1333" w:rsidRDefault="006F1333" w:rsidP="006F1333">
    <w:pPr>
      <w:rPr>
        <w:rFonts w:cs="Times New Roman"/>
        <w:i/>
        <w:sz w:val="18"/>
      </w:rPr>
    </w:pPr>
    <w:r w:rsidRPr="006F1333">
      <w:rPr>
        <w:rFonts w:cs="Times New Roman"/>
        <w:i/>
        <w:sz w:val="18"/>
      </w:rPr>
      <w:t>OPC61555 -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BB" w:rsidRDefault="00433ABB" w:rsidP="00715914">
      <w:pPr>
        <w:spacing w:line="240" w:lineRule="auto"/>
      </w:pPr>
      <w:r>
        <w:separator/>
      </w:r>
    </w:p>
  </w:footnote>
  <w:footnote w:type="continuationSeparator" w:id="0">
    <w:p w:rsidR="00433ABB" w:rsidRDefault="00433AB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5F1388" w:rsidRDefault="00433ABB"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D675F1" w:rsidRDefault="00433ABB">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635200">
      <w:rPr>
        <w:noProof/>
        <w:sz w:val="20"/>
      </w:rPr>
      <w:t>Privileges and immunities of officers and employees of the Bank etc.</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635200">
      <w:rPr>
        <w:b/>
        <w:noProof/>
        <w:sz w:val="20"/>
      </w:rPr>
      <w:t>Schedule 2</w:t>
    </w:r>
    <w:r w:rsidRPr="00D675F1">
      <w:rPr>
        <w:b/>
        <w:sz w:val="20"/>
      </w:rPr>
      <w:fldChar w:fldCharType="end"/>
    </w:r>
  </w:p>
  <w:p w:rsidR="00433ABB" w:rsidRPr="00D675F1" w:rsidRDefault="00433ABB">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433ABB" w:rsidRPr="00D675F1" w:rsidRDefault="00433ABB">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433ABB" w:rsidRPr="00D675F1" w:rsidRDefault="00433ABB">
    <w:pPr>
      <w:jc w:val="right"/>
      <w:rPr>
        <w:b/>
      </w:rPr>
    </w:pPr>
  </w:p>
  <w:p w:rsidR="00433ABB" w:rsidRPr="00D675F1" w:rsidRDefault="00433ABB" w:rsidP="006F695D">
    <w:pPr>
      <w:pBdr>
        <w:bottom w:val="single" w:sz="6" w:space="1" w:color="auto"/>
      </w:pBdr>
      <w:spacing w:after="120"/>
      <w:jc w:val="right"/>
    </w:pPr>
    <w:r w:rsidRPr="00D675F1">
      <w:t xml:space="preserve">Clause </w:t>
    </w:r>
    <w:fldSimple w:instr=" STYLEREF CharSectno ">
      <w:r w:rsidR="00635200">
        <w:rPr>
          <w:noProof/>
        </w:rPr>
        <w:t>2</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Default="00433AB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Default="00433ABB"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93271D">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3271D">
      <w:rPr>
        <w:noProof/>
        <w:sz w:val="20"/>
      </w:rPr>
      <w:t>Privileges and immunities of officers and employees of the Bank etc.</w:t>
    </w:r>
    <w:r>
      <w:rPr>
        <w:sz w:val="20"/>
      </w:rPr>
      <w:fldChar w:fldCharType="end"/>
    </w:r>
  </w:p>
  <w:p w:rsidR="00433ABB" w:rsidRDefault="00433AB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33ABB" w:rsidRPr="007A1328" w:rsidRDefault="00433AB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33ABB" w:rsidRPr="007A1328" w:rsidRDefault="00433ABB" w:rsidP="00715914">
    <w:pPr>
      <w:rPr>
        <w:b/>
        <w:sz w:val="24"/>
      </w:rPr>
    </w:pPr>
  </w:p>
  <w:p w:rsidR="00433ABB" w:rsidRPr="007A1328" w:rsidRDefault="00433ABB" w:rsidP="006F695D">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3271D">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3271D">
      <w:rPr>
        <w:noProof/>
        <w:sz w:val="24"/>
      </w:rPr>
      <w:t>2</w:t>
    </w:r>
    <w:r w:rsidRPr="007A1328">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7A1328" w:rsidRDefault="00433ABB"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93271D">
      <w:rPr>
        <w:noProof/>
        <w:sz w:val="20"/>
      </w:rPr>
      <w:t>Privileges and immunities of officers and employees of the Bank etc.</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3271D">
      <w:rPr>
        <w:b/>
        <w:noProof/>
        <w:sz w:val="20"/>
      </w:rPr>
      <w:t>Schedule 2</w:t>
    </w:r>
    <w:r>
      <w:rPr>
        <w:b/>
        <w:sz w:val="20"/>
      </w:rPr>
      <w:fldChar w:fldCharType="end"/>
    </w:r>
  </w:p>
  <w:p w:rsidR="00433ABB" w:rsidRPr="007A1328" w:rsidRDefault="00433AB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33ABB" w:rsidRPr="007A1328" w:rsidRDefault="00433AB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33ABB" w:rsidRPr="007A1328" w:rsidRDefault="00433ABB" w:rsidP="00715914">
    <w:pPr>
      <w:jc w:val="right"/>
      <w:rPr>
        <w:b/>
        <w:sz w:val="24"/>
      </w:rPr>
    </w:pPr>
  </w:p>
  <w:p w:rsidR="00433ABB" w:rsidRPr="007A1328" w:rsidRDefault="00433ABB" w:rsidP="006F695D">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3271D">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3271D">
      <w:rPr>
        <w:noProof/>
        <w:sz w:val="24"/>
      </w:rPr>
      <w:t>2</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7A1328" w:rsidRDefault="00433ABB"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5F1388" w:rsidRDefault="00433ABB"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5F1388" w:rsidRDefault="00433ABB"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ED79B6" w:rsidRDefault="00433ABB"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ED79B6" w:rsidRDefault="00433ABB"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ED79B6" w:rsidRDefault="00433ABB"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D675F1" w:rsidRDefault="00433ABB">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rsidR="00433ABB" w:rsidRPr="00D675F1" w:rsidRDefault="00433ABB">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433ABB" w:rsidRPr="00D675F1" w:rsidRDefault="00433ABB">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433ABB" w:rsidRPr="00D675F1" w:rsidRDefault="00433ABB">
    <w:pPr>
      <w:rPr>
        <w:b/>
      </w:rPr>
    </w:pPr>
  </w:p>
  <w:p w:rsidR="00433ABB" w:rsidRPr="00D675F1" w:rsidRDefault="00433ABB" w:rsidP="006F695D">
    <w:pPr>
      <w:pBdr>
        <w:bottom w:val="single" w:sz="6" w:space="1" w:color="auto"/>
      </w:pBdr>
      <w:spacing w:after="120"/>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93271D">
      <w:rPr>
        <w:sz w:val="24"/>
      </w:rPr>
      <w:t>Section</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635200">
      <w:rPr>
        <w:noProof/>
        <w:sz w:val="24"/>
      </w:rPr>
      <w:t>5</w:t>
    </w:r>
    <w:r w:rsidRPr="00D675F1">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D675F1" w:rsidRDefault="00433ABB">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end"/>
    </w:r>
  </w:p>
  <w:p w:rsidR="00433ABB" w:rsidRPr="00D675F1" w:rsidRDefault="00433ABB">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433ABB" w:rsidRPr="00D675F1" w:rsidRDefault="00433ABB">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433ABB" w:rsidRPr="00D675F1" w:rsidRDefault="00433ABB">
    <w:pPr>
      <w:jc w:val="right"/>
      <w:rPr>
        <w:b/>
      </w:rPr>
    </w:pPr>
  </w:p>
  <w:p w:rsidR="00433ABB" w:rsidRPr="00D675F1" w:rsidRDefault="00433ABB" w:rsidP="006F695D">
    <w:pPr>
      <w:pBdr>
        <w:bottom w:val="single" w:sz="6" w:space="1" w:color="auto"/>
      </w:pBdr>
      <w:spacing w:after="120"/>
      <w:jc w:val="right"/>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93271D">
      <w:rPr>
        <w:sz w:val="24"/>
      </w:rPr>
      <w:t>Section</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635200">
      <w:rPr>
        <w:noProof/>
        <w:sz w:val="24"/>
      </w:rPr>
      <w:t>1</w:t>
    </w:r>
    <w:r w:rsidRPr="00D675F1">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B" w:rsidRPr="00D675F1" w:rsidRDefault="00433ABB">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635200">
      <w:rPr>
        <w:b/>
        <w:noProof/>
        <w:sz w:val="20"/>
      </w:rPr>
      <w:t>Schedule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635200">
      <w:rPr>
        <w:noProof/>
        <w:sz w:val="20"/>
      </w:rPr>
      <w:t>Privileges and immunities of officers and employees of the Bank etc.</w:t>
    </w:r>
    <w:r w:rsidRPr="00D675F1">
      <w:rPr>
        <w:sz w:val="20"/>
      </w:rPr>
      <w:fldChar w:fldCharType="end"/>
    </w:r>
  </w:p>
  <w:p w:rsidR="00433ABB" w:rsidRPr="00D675F1" w:rsidRDefault="00433ABB">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433ABB" w:rsidRPr="00D675F1" w:rsidRDefault="00433ABB">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433ABB" w:rsidRPr="00D675F1" w:rsidRDefault="00433ABB">
    <w:pPr>
      <w:rPr>
        <w:b/>
      </w:rPr>
    </w:pPr>
  </w:p>
  <w:p w:rsidR="00433ABB" w:rsidRPr="00D675F1" w:rsidRDefault="00433ABB" w:rsidP="006F695D">
    <w:pPr>
      <w:pBdr>
        <w:bottom w:val="single" w:sz="6" w:space="1" w:color="auto"/>
      </w:pBdr>
      <w:spacing w:after="120"/>
    </w:pPr>
    <w:r w:rsidRPr="00D675F1">
      <w:t xml:space="preserve">Clause </w:t>
    </w:r>
    <w:fldSimple w:instr=" STYLEREF CharSectno ">
      <w:r w:rsidR="00635200">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E49A34"/>
    <w:lvl w:ilvl="0">
      <w:start w:val="1"/>
      <w:numFmt w:val="decimal"/>
      <w:lvlText w:val="%1."/>
      <w:lvlJc w:val="left"/>
      <w:pPr>
        <w:tabs>
          <w:tab w:val="num" w:pos="1492"/>
        </w:tabs>
        <w:ind w:left="1492" w:hanging="360"/>
      </w:pPr>
    </w:lvl>
  </w:abstractNum>
  <w:abstractNum w:abstractNumId="1">
    <w:nsid w:val="FFFFFF7D"/>
    <w:multiLevelType w:val="singleLevel"/>
    <w:tmpl w:val="A7A62182"/>
    <w:lvl w:ilvl="0">
      <w:start w:val="1"/>
      <w:numFmt w:val="decimal"/>
      <w:lvlText w:val="%1."/>
      <w:lvlJc w:val="left"/>
      <w:pPr>
        <w:tabs>
          <w:tab w:val="num" w:pos="1209"/>
        </w:tabs>
        <w:ind w:left="1209" w:hanging="360"/>
      </w:pPr>
    </w:lvl>
  </w:abstractNum>
  <w:abstractNum w:abstractNumId="2">
    <w:nsid w:val="FFFFFF7E"/>
    <w:multiLevelType w:val="singleLevel"/>
    <w:tmpl w:val="9A02B066"/>
    <w:lvl w:ilvl="0">
      <w:start w:val="1"/>
      <w:numFmt w:val="decimal"/>
      <w:lvlText w:val="%1."/>
      <w:lvlJc w:val="left"/>
      <w:pPr>
        <w:tabs>
          <w:tab w:val="num" w:pos="926"/>
        </w:tabs>
        <w:ind w:left="926" w:hanging="360"/>
      </w:pPr>
    </w:lvl>
  </w:abstractNum>
  <w:abstractNum w:abstractNumId="3">
    <w:nsid w:val="FFFFFF7F"/>
    <w:multiLevelType w:val="singleLevel"/>
    <w:tmpl w:val="B2200608"/>
    <w:lvl w:ilvl="0">
      <w:start w:val="1"/>
      <w:numFmt w:val="decimal"/>
      <w:lvlText w:val="%1."/>
      <w:lvlJc w:val="left"/>
      <w:pPr>
        <w:tabs>
          <w:tab w:val="num" w:pos="643"/>
        </w:tabs>
        <w:ind w:left="643" w:hanging="360"/>
      </w:pPr>
    </w:lvl>
  </w:abstractNum>
  <w:abstractNum w:abstractNumId="4">
    <w:nsid w:val="FFFFFF80"/>
    <w:multiLevelType w:val="singleLevel"/>
    <w:tmpl w:val="4F829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1A0D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6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099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CE92EA"/>
    <w:lvl w:ilvl="0">
      <w:start w:val="1"/>
      <w:numFmt w:val="decimal"/>
      <w:lvlText w:val="%1."/>
      <w:lvlJc w:val="left"/>
      <w:pPr>
        <w:tabs>
          <w:tab w:val="num" w:pos="360"/>
        </w:tabs>
        <w:ind w:left="360" w:hanging="360"/>
      </w:pPr>
    </w:lvl>
  </w:abstractNum>
  <w:abstractNum w:abstractNumId="9">
    <w:nsid w:val="FFFFFF89"/>
    <w:multiLevelType w:val="singleLevel"/>
    <w:tmpl w:val="800CD8F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B7"/>
    <w:rsid w:val="000019A2"/>
    <w:rsid w:val="00002093"/>
    <w:rsid w:val="00004BF1"/>
    <w:rsid w:val="000136AF"/>
    <w:rsid w:val="00030CA8"/>
    <w:rsid w:val="00034097"/>
    <w:rsid w:val="000357B7"/>
    <w:rsid w:val="0005348C"/>
    <w:rsid w:val="00057C37"/>
    <w:rsid w:val="00061256"/>
    <w:rsid w:val="000614BF"/>
    <w:rsid w:val="00066E97"/>
    <w:rsid w:val="00097C35"/>
    <w:rsid w:val="000A00B8"/>
    <w:rsid w:val="000A540E"/>
    <w:rsid w:val="000A6C6A"/>
    <w:rsid w:val="000B5E07"/>
    <w:rsid w:val="000D05EF"/>
    <w:rsid w:val="000E2261"/>
    <w:rsid w:val="000E32BF"/>
    <w:rsid w:val="000E4706"/>
    <w:rsid w:val="000E4DF3"/>
    <w:rsid w:val="000F21C1"/>
    <w:rsid w:val="000F784C"/>
    <w:rsid w:val="0010745C"/>
    <w:rsid w:val="00112C34"/>
    <w:rsid w:val="00116547"/>
    <w:rsid w:val="001209CE"/>
    <w:rsid w:val="00121963"/>
    <w:rsid w:val="00121EB8"/>
    <w:rsid w:val="001311FD"/>
    <w:rsid w:val="00135D98"/>
    <w:rsid w:val="0014542C"/>
    <w:rsid w:val="001475B8"/>
    <w:rsid w:val="00156B03"/>
    <w:rsid w:val="0016125C"/>
    <w:rsid w:val="00162935"/>
    <w:rsid w:val="00166C2F"/>
    <w:rsid w:val="00190377"/>
    <w:rsid w:val="00192D25"/>
    <w:rsid w:val="001939E1"/>
    <w:rsid w:val="00195382"/>
    <w:rsid w:val="001B39BC"/>
    <w:rsid w:val="001B693A"/>
    <w:rsid w:val="001C5F34"/>
    <w:rsid w:val="001C69C4"/>
    <w:rsid w:val="001D37EF"/>
    <w:rsid w:val="001D7DA4"/>
    <w:rsid w:val="001E3590"/>
    <w:rsid w:val="001E3E0B"/>
    <w:rsid w:val="001E7407"/>
    <w:rsid w:val="001F0697"/>
    <w:rsid w:val="001F5D5E"/>
    <w:rsid w:val="001F6219"/>
    <w:rsid w:val="00206D85"/>
    <w:rsid w:val="00207D47"/>
    <w:rsid w:val="00214D06"/>
    <w:rsid w:val="0023028C"/>
    <w:rsid w:val="002348CF"/>
    <w:rsid w:val="00234958"/>
    <w:rsid w:val="0024010F"/>
    <w:rsid w:val="00240749"/>
    <w:rsid w:val="00241E2B"/>
    <w:rsid w:val="002564A4"/>
    <w:rsid w:val="00261029"/>
    <w:rsid w:val="002624EB"/>
    <w:rsid w:val="00285644"/>
    <w:rsid w:val="00287C6D"/>
    <w:rsid w:val="0029198D"/>
    <w:rsid w:val="00297ECB"/>
    <w:rsid w:val="002A33FD"/>
    <w:rsid w:val="002B0EA5"/>
    <w:rsid w:val="002B7B38"/>
    <w:rsid w:val="002C03C7"/>
    <w:rsid w:val="002C5909"/>
    <w:rsid w:val="002D043A"/>
    <w:rsid w:val="002D6224"/>
    <w:rsid w:val="002D7037"/>
    <w:rsid w:val="002D7EDD"/>
    <w:rsid w:val="002F4022"/>
    <w:rsid w:val="002F7C4F"/>
    <w:rsid w:val="003074B7"/>
    <w:rsid w:val="003229CD"/>
    <w:rsid w:val="003278F2"/>
    <w:rsid w:val="003415D3"/>
    <w:rsid w:val="00352B0F"/>
    <w:rsid w:val="003557F6"/>
    <w:rsid w:val="00360459"/>
    <w:rsid w:val="00372C84"/>
    <w:rsid w:val="00372FAD"/>
    <w:rsid w:val="00380BA6"/>
    <w:rsid w:val="0038268D"/>
    <w:rsid w:val="003C3EBF"/>
    <w:rsid w:val="003D0BFE"/>
    <w:rsid w:val="003D5700"/>
    <w:rsid w:val="004116CD"/>
    <w:rsid w:val="00417EB9"/>
    <w:rsid w:val="004214F6"/>
    <w:rsid w:val="00422464"/>
    <w:rsid w:val="00424CA9"/>
    <w:rsid w:val="00433ABB"/>
    <w:rsid w:val="0044291A"/>
    <w:rsid w:val="00444DB4"/>
    <w:rsid w:val="00477B8D"/>
    <w:rsid w:val="0049536B"/>
    <w:rsid w:val="00496382"/>
    <w:rsid w:val="00496F97"/>
    <w:rsid w:val="004C4EC8"/>
    <w:rsid w:val="004E3FAB"/>
    <w:rsid w:val="004E7BEC"/>
    <w:rsid w:val="004F4B72"/>
    <w:rsid w:val="00504DD3"/>
    <w:rsid w:val="0050600B"/>
    <w:rsid w:val="00516068"/>
    <w:rsid w:val="00516B8D"/>
    <w:rsid w:val="00522DE3"/>
    <w:rsid w:val="005253D0"/>
    <w:rsid w:val="00537FBC"/>
    <w:rsid w:val="00540F05"/>
    <w:rsid w:val="00541148"/>
    <w:rsid w:val="00546FD5"/>
    <w:rsid w:val="0056187F"/>
    <w:rsid w:val="005727C8"/>
    <w:rsid w:val="00584811"/>
    <w:rsid w:val="00593AA6"/>
    <w:rsid w:val="00594161"/>
    <w:rsid w:val="005941BA"/>
    <w:rsid w:val="00594749"/>
    <w:rsid w:val="0059723F"/>
    <w:rsid w:val="005A3F82"/>
    <w:rsid w:val="005A7899"/>
    <w:rsid w:val="005B0152"/>
    <w:rsid w:val="005B34DE"/>
    <w:rsid w:val="005B4067"/>
    <w:rsid w:val="005C3F41"/>
    <w:rsid w:val="005C6329"/>
    <w:rsid w:val="005D1AFC"/>
    <w:rsid w:val="005D2D09"/>
    <w:rsid w:val="005E16FE"/>
    <w:rsid w:val="005E6593"/>
    <w:rsid w:val="005E66FD"/>
    <w:rsid w:val="005F61C2"/>
    <w:rsid w:val="005F6B71"/>
    <w:rsid w:val="00600219"/>
    <w:rsid w:val="00600A4C"/>
    <w:rsid w:val="006065C4"/>
    <w:rsid w:val="006150CF"/>
    <w:rsid w:val="00635200"/>
    <w:rsid w:val="006372D3"/>
    <w:rsid w:val="00637F0B"/>
    <w:rsid w:val="006442D3"/>
    <w:rsid w:val="006475DA"/>
    <w:rsid w:val="00677CC2"/>
    <w:rsid w:val="006905DE"/>
    <w:rsid w:val="0069207B"/>
    <w:rsid w:val="00694725"/>
    <w:rsid w:val="006A0B6C"/>
    <w:rsid w:val="006C7F8C"/>
    <w:rsid w:val="006D02BD"/>
    <w:rsid w:val="006E5800"/>
    <w:rsid w:val="006E59E2"/>
    <w:rsid w:val="006F1333"/>
    <w:rsid w:val="006F318F"/>
    <w:rsid w:val="006F47C1"/>
    <w:rsid w:val="006F695D"/>
    <w:rsid w:val="00700B2C"/>
    <w:rsid w:val="0071014D"/>
    <w:rsid w:val="00713084"/>
    <w:rsid w:val="00715914"/>
    <w:rsid w:val="00723802"/>
    <w:rsid w:val="00731E00"/>
    <w:rsid w:val="007335E0"/>
    <w:rsid w:val="007440B7"/>
    <w:rsid w:val="007511A5"/>
    <w:rsid w:val="007553B3"/>
    <w:rsid w:val="00760730"/>
    <w:rsid w:val="007715C9"/>
    <w:rsid w:val="00774EDD"/>
    <w:rsid w:val="007757EC"/>
    <w:rsid w:val="007A5B03"/>
    <w:rsid w:val="007A6816"/>
    <w:rsid w:val="007B4DAF"/>
    <w:rsid w:val="007B5D76"/>
    <w:rsid w:val="007D519E"/>
    <w:rsid w:val="007E163D"/>
    <w:rsid w:val="0080577C"/>
    <w:rsid w:val="00811AA6"/>
    <w:rsid w:val="00814252"/>
    <w:rsid w:val="00816E85"/>
    <w:rsid w:val="00836DFB"/>
    <w:rsid w:val="00842BF0"/>
    <w:rsid w:val="00845FDF"/>
    <w:rsid w:val="00851BB5"/>
    <w:rsid w:val="0085365A"/>
    <w:rsid w:val="00856A31"/>
    <w:rsid w:val="008754D0"/>
    <w:rsid w:val="00877E19"/>
    <w:rsid w:val="00880C34"/>
    <w:rsid w:val="00884FDE"/>
    <w:rsid w:val="008861ED"/>
    <w:rsid w:val="008A34E8"/>
    <w:rsid w:val="008A73F5"/>
    <w:rsid w:val="008B45EE"/>
    <w:rsid w:val="008D0EE0"/>
    <w:rsid w:val="008F54E7"/>
    <w:rsid w:val="008F6E1F"/>
    <w:rsid w:val="00903422"/>
    <w:rsid w:val="00914F9C"/>
    <w:rsid w:val="00931C61"/>
    <w:rsid w:val="00932377"/>
    <w:rsid w:val="0093271D"/>
    <w:rsid w:val="009334DF"/>
    <w:rsid w:val="00935412"/>
    <w:rsid w:val="00936A68"/>
    <w:rsid w:val="00936BB1"/>
    <w:rsid w:val="00947A03"/>
    <w:rsid w:val="00947D5A"/>
    <w:rsid w:val="00950467"/>
    <w:rsid w:val="009532A5"/>
    <w:rsid w:val="00967AB4"/>
    <w:rsid w:val="00976A75"/>
    <w:rsid w:val="009868E9"/>
    <w:rsid w:val="009C5BD6"/>
    <w:rsid w:val="009C7795"/>
    <w:rsid w:val="009F4672"/>
    <w:rsid w:val="00A02323"/>
    <w:rsid w:val="00A0749F"/>
    <w:rsid w:val="00A22C98"/>
    <w:rsid w:val="00A231E2"/>
    <w:rsid w:val="00A24CDF"/>
    <w:rsid w:val="00A25A4F"/>
    <w:rsid w:val="00A44382"/>
    <w:rsid w:val="00A44840"/>
    <w:rsid w:val="00A570E6"/>
    <w:rsid w:val="00A64912"/>
    <w:rsid w:val="00A70A74"/>
    <w:rsid w:val="00A802BC"/>
    <w:rsid w:val="00A872DC"/>
    <w:rsid w:val="00A93CC4"/>
    <w:rsid w:val="00AC03E1"/>
    <w:rsid w:val="00AD5641"/>
    <w:rsid w:val="00AF06CF"/>
    <w:rsid w:val="00AF415A"/>
    <w:rsid w:val="00B029C2"/>
    <w:rsid w:val="00B07608"/>
    <w:rsid w:val="00B136FC"/>
    <w:rsid w:val="00B1535F"/>
    <w:rsid w:val="00B20503"/>
    <w:rsid w:val="00B21F29"/>
    <w:rsid w:val="00B32890"/>
    <w:rsid w:val="00B33B3C"/>
    <w:rsid w:val="00B35C63"/>
    <w:rsid w:val="00B41448"/>
    <w:rsid w:val="00B46132"/>
    <w:rsid w:val="00B52575"/>
    <w:rsid w:val="00B54457"/>
    <w:rsid w:val="00B63834"/>
    <w:rsid w:val="00B80199"/>
    <w:rsid w:val="00BA220B"/>
    <w:rsid w:val="00BD02DB"/>
    <w:rsid w:val="00BE719A"/>
    <w:rsid w:val="00BE720A"/>
    <w:rsid w:val="00BF08EB"/>
    <w:rsid w:val="00C31DE7"/>
    <w:rsid w:val="00C33FA4"/>
    <w:rsid w:val="00C42BF8"/>
    <w:rsid w:val="00C42E0D"/>
    <w:rsid w:val="00C50043"/>
    <w:rsid w:val="00C70B70"/>
    <w:rsid w:val="00C7573B"/>
    <w:rsid w:val="00C96FCF"/>
    <w:rsid w:val="00CA3096"/>
    <w:rsid w:val="00CB50CD"/>
    <w:rsid w:val="00CD61A1"/>
    <w:rsid w:val="00CE038B"/>
    <w:rsid w:val="00CE493D"/>
    <w:rsid w:val="00CE51C7"/>
    <w:rsid w:val="00CE6309"/>
    <w:rsid w:val="00CF0BB2"/>
    <w:rsid w:val="00CF3EE8"/>
    <w:rsid w:val="00D00024"/>
    <w:rsid w:val="00D00D6F"/>
    <w:rsid w:val="00D02616"/>
    <w:rsid w:val="00D040EE"/>
    <w:rsid w:val="00D05207"/>
    <w:rsid w:val="00D06D3D"/>
    <w:rsid w:val="00D13441"/>
    <w:rsid w:val="00D2127E"/>
    <w:rsid w:val="00D23C07"/>
    <w:rsid w:val="00D23F2B"/>
    <w:rsid w:val="00D32CE3"/>
    <w:rsid w:val="00D34E1A"/>
    <w:rsid w:val="00D41D8E"/>
    <w:rsid w:val="00D62F3D"/>
    <w:rsid w:val="00D675E2"/>
    <w:rsid w:val="00D70DFB"/>
    <w:rsid w:val="00D766DF"/>
    <w:rsid w:val="00D83C31"/>
    <w:rsid w:val="00D87120"/>
    <w:rsid w:val="00D93A50"/>
    <w:rsid w:val="00DA186E"/>
    <w:rsid w:val="00DB38ED"/>
    <w:rsid w:val="00DB6179"/>
    <w:rsid w:val="00DC4F88"/>
    <w:rsid w:val="00DC5300"/>
    <w:rsid w:val="00DC6E90"/>
    <w:rsid w:val="00DD29C8"/>
    <w:rsid w:val="00E05704"/>
    <w:rsid w:val="00E10719"/>
    <w:rsid w:val="00E2437F"/>
    <w:rsid w:val="00E27250"/>
    <w:rsid w:val="00E338EF"/>
    <w:rsid w:val="00E44C17"/>
    <w:rsid w:val="00E567B9"/>
    <w:rsid w:val="00E708D8"/>
    <w:rsid w:val="00E71E89"/>
    <w:rsid w:val="00E74DC7"/>
    <w:rsid w:val="00E75FF5"/>
    <w:rsid w:val="00E85C54"/>
    <w:rsid w:val="00E94D5E"/>
    <w:rsid w:val="00E96769"/>
    <w:rsid w:val="00E97F31"/>
    <w:rsid w:val="00EA4541"/>
    <w:rsid w:val="00EA7100"/>
    <w:rsid w:val="00EB22CA"/>
    <w:rsid w:val="00EC01C1"/>
    <w:rsid w:val="00EE518C"/>
    <w:rsid w:val="00EF0A50"/>
    <w:rsid w:val="00EF2E3A"/>
    <w:rsid w:val="00EF3217"/>
    <w:rsid w:val="00EF7BF5"/>
    <w:rsid w:val="00F00B84"/>
    <w:rsid w:val="00F033EC"/>
    <w:rsid w:val="00F06C88"/>
    <w:rsid w:val="00F072A7"/>
    <w:rsid w:val="00F077F6"/>
    <w:rsid w:val="00F078DC"/>
    <w:rsid w:val="00F32531"/>
    <w:rsid w:val="00F61B89"/>
    <w:rsid w:val="00F7043B"/>
    <w:rsid w:val="00F73BD6"/>
    <w:rsid w:val="00F83989"/>
    <w:rsid w:val="00F90E5C"/>
    <w:rsid w:val="00F93709"/>
    <w:rsid w:val="00F9632C"/>
    <w:rsid w:val="00FA5392"/>
    <w:rsid w:val="00FC00C5"/>
    <w:rsid w:val="00FD6EC9"/>
    <w:rsid w:val="00FD7AED"/>
    <w:rsid w:val="00FF2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6EC9"/>
    <w:pPr>
      <w:spacing w:line="260" w:lineRule="atLeast"/>
    </w:pPr>
    <w:rPr>
      <w:sz w:val="22"/>
    </w:rPr>
  </w:style>
  <w:style w:type="paragraph" w:styleId="Heading1">
    <w:name w:val="heading 1"/>
    <w:basedOn w:val="Normal"/>
    <w:next w:val="Normal"/>
    <w:link w:val="Heading1Char"/>
    <w:qFormat/>
    <w:rsid w:val="000A00B8"/>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A00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00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00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00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00B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00B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00B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A00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D6EC9"/>
  </w:style>
  <w:style w:type="paragraph" w:customStyle="1" w:styleId="OPCParaBase">
    <w:name w:val="OPCParaBase"/>
    <w:qFormat/>
    <w:rsid w:val="00FD6EC9"/>
    <w:pPr>
      <w:spacing w:line="260" w:lineRule="atLeast"/>
    </w:pPr>
    <w:rPr>
      <w:rFonts w:eastAsia="Times New Roman" w:cs="Times New Roman"/>
      <w:sz w:val="22"/>
      <w:lang w:eastAsia="en-AU"/>
    </w:rPr>
  </w:style>
  <w:style w:type="paragraph" w:customStyle="1" w:styleId="ShortT">
    <w:name w:val="ShortT"/>
    <w:basedOn w:val="OPCParaBase"/>
    <w:next w:val="Normal"/>
    <w:qFormat/>
    <w:rsid w:val="00FD6EC9"/>
    <w:pPr>
      <w:spacing w:line="240" w:lineRule="auto"/>
    </w:pPr>
    <w:rPr>
      <w:b/>
      <w:sz w:val="40"/>
    </w:rPr>
  </w:style>
  <w:style w:type="paragraph" w:customStyle="1" w:styleId="ActHead1">
    <w:name w:val="ActHead 1"/>
    <w:aliases w:val="c"/>
    <w:basedOn w:val="OPCParaBase"/>
    <w:next w:val="Normal"/>
    <w:qFormat/>
    <w:rsid w:val="00FD6EC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D6EC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D6EC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D6EC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D6EC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D6EC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D6EC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D6EC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D6EC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D6EC9"/>
  </w:style>
  <w:style w:type="paragraph" w:customStyle="1" w:styleId="Blocks">
    <w:name w:val="Blocks"/>
    <w:aliases w:val="bb"/>
    <w:basedOn w:val="OPCParaBase"/>
    <w:qFormat/>
    <w:rsid w:val="00FD6EC9"/>
    <w:pPr>
      <w:spacing w:line="240" w:lineRule="auto"/>
    </w:pPr>
    <w:rPr>
      <w:sz w:val="24"/>
    </w:rPr>
  </w:style>
  <w:style w:type="paragraph" w:customStyle="1" w:styleId="BoxText">
    <w:name w:val="BoxText"/>
    <w:aliases w:val="bt"/>
    <w:basedOn w:val="OPCParaBase"/>
    <w:qFormat/>
    <w:rsid w:val="00FD6EC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D6EC9"/>
    <w:rPr>
      <w:b/>
    </w:rPr>
  </w:style>
  <w:style w:type="paragraph" w:customStyle="1" w:styleId="BoxHeadItalic">
    <w:name w:val="BoxHeadItalic"/>
    <w:aliases w:val="bhi"/>
    <w:basedOn w:val="BoxText"/>
    <w:next w:val="BoxStep"/>
    <w:qFormat/>
    <w:rsid w:val="00FD6EC9"/>
    <w:rPr>
      <w:i/>
    </w:rPr>
  </w:style>
  <w:style w:type="paragraph" w:customStyle="1" w:styleId="BoxList">
    <w:name w:val="BoxList"/>
    <w:aliases w:val="bl"/>
    <w:basedOn w:val="BoxText"/>
    <w:qFormat/>
    <w:rsid w:val="00FD6EC9"/>
    <w:pPr>
      <w:ind w:left="1559" w:hanging="425"/>
    </w:pPr>
  </w:style>
  <w:style w:type="paragraph" w:customStyle="1" w:styleId="BoxNote">
    <w:name w:val="BoxNote"/>
    <w:aliases w:val="bn"/>
    <w:basedOn w:val="BoxText"/>
    <w:qFormat/>
    <w:rsid w:val="00FD6EC9"/>
    <w:pPr>
      <w:tabs>
        <w:tab w:val="left" w:pos="1985"/>
      </w:tabs>
      <w:spacing w:before="122" w:line="198" w:lineRule="exact"/>
      <w:ind w:left="2948" w:hanging="1814"/>
    </w:pPr>
    <w:rPr>
      <w:sz w:val="18"/>
    </w:rPr>
  </w:style>
  <w:style w:type="paragraph" w:customStyle="1" w:styleId="BoxPara">
    <w:name w:val="BoxPara"/>
    <w:aliases w:val="bp"/>
    <w:basedOn w:val="BoxText"/>
    <w:qFormat/>
    <w:rsid w:val="00FD6EC9"/>
    <w:pPr>
      <w:tabs>
        <w:tab w:val="right" w:pos="2268"/>
      </w:tabs>
      <w:ind w:left="2552" w:hanging="1418"/>
    </w:pPr>
  </w:style>
  <w:style w:type="paragraph" w:customStyle="1" w:styleId="BoxStep">
    <w:name w:val="BoxStep"/>
    <w:aliases w:val="bs"/>
    <w:basedOn w:val="BoxText"/>
    <w:qFormat/>
    <w:rsid w:val="00FD6EC9"/>
    <w:pPr>
      <w:ind w:left="1985" w:hanging="851"/>
    </w:pPr>
  </w:style>
  <w:style w:type="character" w:customStyle="1" w:styleId="CharAmPartNo">
    <w:name w:val="CharAmPartNo"/>
    <w:basedOn w:val="OPCCharBase"/>
    <w:uiPriority w:val="1"/>
    <w:qFormat/>
    <w:rsid w:val="00FD6EC9"/>
  </w:style>
  <w:style w:type="character" w:customStyle="1" w:styleId="CharAmPartText">
    <w:name w:val="CharAmPartText"/>
    <w:basedOn w:val="OPCCharBase"/>
    <w:uiPriority w:val="1"/>
    <w:qFormat/>
    <w:rsid w:val="00FD6EC9"/>
  </w:style>
  <w:style w:type="character" w:customStyle="1" w:styleId="CharAmSchNo">
    <w:name w:val="CharAmSchNo"/>
    <w:basedOn w:val="OPCCharBase"/>
    <w:uiPriority w:val="1"/>
    <w:qFormat/>
    <w:rsid w:val="00FD6EC9"/>
  </w:style>
  <w:style w:type="character" w:customStyle="1" w:styleId="CharAmSchText">
    <w:name w:val="CharAmSchText"/>
    <w:basedOn w:val="OPCCharBase"/>
    <w:uiPriority w:val="1"/>
    <w:qFormat/>
    <w:rsid w:val="00FD6EC9"/>
  </w:style>
  <w:style w:type="character" w:customStyle="1" w:styleId="CharBoldItalic">
    <w:name w:val="CharBoldItalic"/>
    <w:basedOn w:val="OPCCharBase"/>
    <w:uiPriority w:val="1"/>
    <w:qFormat/>
    <w:rsid w:val="00FD6EC9"/>
    <w:rPr>
      <w:b/>
      <w:i/>
    </w:rPr>
  </w:style>
  <w:style w:type="character" w:customStyle="1" w:styleId="CharChapNo">
    <w:name w:val="CharChapNo"/>
    <w:basedOn w:val="OPCCharBase"/>
    <w:qFormat/>
    <w:rsid w:val="00FD6EC9"/>
  </w:style>
  <w:style w:type="character" w:customStyle="1" w:styleId="CharChapText">
    <w:name w:val="CharChapText"/>
    <w:basedOn w:val="OPCCharBase"/>
    <w:qFormat/>
    <w:rsid w:val="00FD6EC9"/>
  </w:style>
  <w:style w:type="character" w:customStyle="1" w:styleId="CharDivNo">
    <w:name w:val="CharDivNo"/>
    <w:basedOn w:val="OPCCharBase"/>
    <w:qFormat/>
    <w:rsid w:val="00FD6EC9"/>
  </w:style>
  <w:style w:type="character" w:customStyle="1" w:styleId="CharDivText">
    <w:name w:val="CharDivText"/>
    <w:basedOn w:val="OPCCharBase"/>
    <w:qFormat/>
    <w:rsid w:val="00FD6EC9"/>
  </w:style>
  <w:style w:type="character" w:customStyle="1" w:styleId="CharItalic">
    <w:name w:val="CharItalic"/>
    <w:basedOn w:val="OPCCharBase"/>
    <w:uiPriority w:val="1"/>
    <w:qFormat/>
    <w:rsid w:val="00FD6EC9"/>
    <w:rPr>
      <w:i/>
    </w:rPr>
  </w:style>
  <w:style w:type="character" w:customStyle="1" w:styleId="CharPartNo">
    <w:name w:val="CharPartNo"/>
    <w:basedOn w:val="OPCCharBase"/>
    <w:qFormat/>
    <w:rsid w:val="00FD6EC9"/>
  </w:style>
  <w:style w:type="character" w:customStyle="1" w:styleId="CharPartText">
    <w:name w:val="CharPartText"/>
    <w:basedOn w:val="OPCCharBase"/>
    <w:qFormat/>
    <w:rsid w:val="00FD6EC9"/>
  </w:style>
  <w:style w:type="character" w:customStyle="1" w:styleId="CharSectno">
    <w:name w:val="CharSectno"/>
    <w:basedOn w:val="OPCCharBase"/>
    <w:qFormat/>
    <w:rsid w:val="00FD6EC9"/>
  </w:style>
  <w:style w:type="character" w:customStyle="1" w:styleId="CharSubdNo">
    <w:name w:val="CharSubdNo"/>
    <w:basedOn w:val="OPCCharBase"/>
    <w:uiPriority w:val="1"/>
    <w:qFormat/>
    <w:rsid w:val="00FD6EC9"/>
  </w:style>
  <w:style w:type="character" w:customStyle="1" w:styleId="CharSubdText">
    <w:name w:val="CharSubdText"/>
    <w:basedOn w:val="OPCCharBase"/>
    <w:uiPriority w:val="1"/>
    <w:qFormat/>
    <w:rsid w:val="00FD6EC9"/>
  </w:style>
  <w:style w:type="paragraph" w:customStyle="1" w:styleId="CTA--">
    <w:name w:val="CTA --"/>
    <w:basedOn w:val="OPCParaBase"/>
    <w:next w:val="Normal"/>
    <w:rsid w:val="00FD6EC9"/>
    <w:pPr>
      <w:spacing w:before="60" w:line="240" w:lineRule="atLeast"/>
      <w:ind w:left="142" w:hanging="142"/>
    </w:pPr>
    <w:rPr>
      <w:sz w:val="20"/>
    </w:rPr>
  </w:style>
  <w:style w:type="paragraph" w:customStyle="1" w:styleId="CTA-">
    <w:name w:val="CTA -"/>
    <w:basedOn w:val="OPCParaBase"/>
    <w:rsid w:val="00FD6EC9"/>
    <w:pPr>
      <w:spacing w:before="60" w:line="240" w:lineRule="atLeast"/>
      <w:ind w:left="85" w:hanging="85"/>
    </w:pPr>
    <w:rPr>
      <w:sz w:val="20"/>
    </w:rPr>
  </w:style>
  <w:style w:type="paragraph" w:customStyle="1" w:styleId="CTA---">
    <w:name w:val="CTA ---"/>
    <w:basedOn w:val="OPCParaBase"/>
    <w:next w:val="Normal"/>
    <w:rsid w:val="00FD6EC9"/>
    <w:pPr>
      <w:spacing w:before="60" w:line="240" w:lineRule="atLeast"/>
      <w:ind w:left="198" w:hanging="198"/>
    </w:pPr>
    <w:rPr>
      <w:sz w:val="20"/>
    </w:rPr>
  </w:style>
  <w:style w:type="paragraph" w:customStyle="1" w:styleId="CTA----">
    <w:name w:val="CTA ----"/>
    <w:basedOn w:val="OPCParaBase"/>
    <w:next w:val="Normal"/>
    <w:rsid w:val="00FD6EC9"/>
    <w:pPr>
      <w:spacing w:before="60" w:line="240" w:lineRule="atLeast"/>
      <w:ind w:left="255" w:hanging="255"/>
    </w:pPr>
    <w:rPr>
      <w:sz w:val="20"/>
    </w:rPr>
  </w:style>
  <w:style w:type="paragraph" w:customStyle="1" w:styleId="CTA1a">
    <w:name w:val="CTA 1(a)"/>
    <w:basedOn w:val="OPCParaBase"/>
    <w:rsid w:val="00FD6EC9"/>
    <w:pPr>
      <w:tabs>
        <w:tab w:val="right" w:pos="414"/>
      </w:tabs>
      <w:spacing w:before="40" w:line="240" w:lineRule="atLeast"/>
      <w:ind w:left="675" w:hanging="675"/>
    </w:pPr>
    <w:rPr>
      <w:sz w:val="20"/>
    </w:rPr>
  </w:style>
  <w:style w:type="paragraph" w:customStyle="1" w:styleId="CTA1ai">
    <w:name w:val="CTA 1(a)(i)"/>
    <w:basedOn w:val="OPCParaBase"/>
    <w:rsid w:val="00FD6EC9"/>
    <w:pPr>
      <w:tabs>
        <w:tab w:val="right" w:pos="1004"/>
      </w:tabs>
      <w:spacing w:before="40" w:line="240" w:lineRule="atLeast"/>
      <w:ind w:left="1253" w:hanging="1253"/>
    </w:pPr>
    <w:rPr>
      <w:sz w:val="20"/>
    </w:rPr>
  </w:style>
  <w:style w:type="paragraph" w:customStyle="1" w:styleId="CTA2a">
    <w:name w:val="CTA 2(a)"/>
    <w:basedOn w:val="OPCParaBase"/>
    <w:rsid w:val="00FD6EC9"/>
    <w:pPr>
      <w:tabs>
        <w:tab w:val="right" w:pos="482"/>
      </w:tabs>
      <w:spacing w:before="40" w:line="240" w:lineRule="atLeast"/>
      <w:ind w:left="748" w:hanging="748"/>
    </w:pPr>
    <w:rPr>
      <w:sz w:val="20"/>
    </w:rPr>
  </w:style>
  <w:style w:type="paragraph" w:customStyle="1" w:styleId="CTA2ai">
    <w:name w:val="CTA 2(a)(i)"/>
    <w:basedOn w:val="OPCParaBase"/>
    <w:rsid w:val="00FD6EC9"/>
    <w:pPr>
      <w:tabs>
        <w:tab w:val="right" w:pos="1089"/>
      </w:tabs>
      <w:spacing w:before="40" w:line="240" w:lineRule="atLeast"/>
      <w:ind w:left="1327" w:hanging="1327"/>
    </w:pPr>
    <w:rPr>
      <w:sz w:val="20"/>
    </w:rPr>
  </w:style>
  <w:style w:type="paragraph" w:customStyle="1" w:styleId="CTA3a">
    <w:name w:val="CTA 3(a)"/>
    <w:basedOn w:val="OPCParaBase"/>
    <w:rsid w:val="00FD6EC9"/>
    <w:pPr>
      <w:tabs>
        <w:tab w:val="right" w:pos="556"/>
      </w:tabs>
      <w:spacing w:before="40" w:line="240" w:lineRule="atLeast"/>
      <w:ind w:left="805" w:hanging="805"/>
    </w:pPr>
    <w:rPr>
      <w:sz w:val="20"/>
    </w:rPr>
  </w:style>
  <w:style w:type="paragraph" w:customStyle="1" w:styleId="CTA3ai">
    <w:name w:val="CTA 3(a)(i)"/>
    <w:basedOn w:val="OPCParaBase"/>
    <w:rsid w:val="00FD6EC9"/>
    <w:pPr>
      <w:tabs>
        <w:tab w:val="right" w:pos="1140"/>
      </w:tabs>
      <w:spacing w:before="40" w:line="240" w:lineRule="atLeast"/>
      <w:ind w:left="1361" w:hanging="1361"/>
    </w:pPr>
    <w:rPr>
      <w:sz w:val="20"/>
    </w:rPr>
  </w:style>
  <w:style w:type="paragraph" w:customStyle="1" w:styleId="CTA4a">
    <w:name w:val="CTA 4(a)"/>
    <w:basedOn w:val="OPCParaBase"/>
    <w:rsid w:val="00FD6EC9"/>
    <w:pPr>
      <w:tabs>
        <w:tab w:val="right" w:pos="624"/>
      </w:tabs>
      <w:spacing w:before="40" w:line="240" w:lineRule="atLeast"/>
      <w:ind w:left="873" w:hanging="873"/>
    </w:pPr>
    <w:rPr>
      <w:sz w:val="20"/>
    </w:rPr>
  </w:style>
  <w:style w:type="paragraph" w:customStyle="1" w:styleId="CTA4ai">
    <w:name w:val="CTA 4(a)(i)"/>
    <w:basedOn w:val="OPCParaBase"/>
    <w:rsid w:val="00FD6EC9"/>
    <w:pPr>
      <w:tabs>
        <w:tab w:val="right" w:pos="1213"/>
      </w:tabs>
      <w:spacing w:before="40" w:line="240" w:lineRule="atLeast"/>
      <w:ind w:left="1452" w:hanging="1452"/>
    </w:pPr>
    <w:rPr>
      <w:sz w:val="20"/>
    </w:rPr>
  </w:style>
  <w:style w:type="paragraph" w:customStyle="1" w:styleId="CTACAPS">
    <w:name w:val="CTA CAPS"/>
    <w:basedOn w:val="OPCParaBase"/>
    <w:rsid w:val="00FD6EC9"/>
    <w:pPr>
      <w:spacing w:before="60" w:line="240" w:lineRule="atLeast"/>
    </w:pPr>
    <w:rPr>
      <w:sz w:val="20"/>
    </w:rPr>
  </w:style>
  <w:style w:type="paragraph" w:customStyle="1" w:styleId="CTAright">
    <w:name w:val="CTA right"/>
    <w:basedOn w:val="OPCParaBase"/>
    <w:rsid w:val="00FD6EC9"/>
    <w:pPr>
      <w:spacing w:before="60" w:line="240" w:lineRule="auto"/>
      <w:jc w:val="right"/>
    </w:pPr>
    <w:rPr>
      <w:sz w:val="20"/>
    </w:rPr>
  </w:style>
  <w:style w:type="paragraph" w:customStyle="1" w:styleId="subsection">
    <w:name w:val="subsection"/>
    <w:aliases w:val="ss"/>
    <w:basedOn w:val="OPCParaBase"/>
    <w:link w:val="subsectionChar"/>
    <w:rsid w:val="00FD6EC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D6EC9"/>
    <w:pPr>
      <w:spacing w:before="180" w:line="240" w:lineRule="auto"/>
      <w:ind w:left="1134"/>
    </w:pPr>
  </w:style>
  <w:style w:type="paragraph" w:customStyle="1" w:styleId="EndNotespara">
    <w:name w:val="EndNotes(para)"/>
    <w:aliases w:val="eta"/>
    <w:basedOn w:val="OPCParaBase"/>
    <w:next w:val="EndNotessubpara"/>
    <w:rsid w:val="00FD6EC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D6EC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D6EC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D6EC9"/>
    <w:pPr>
      <w:tabs>
        <w:tab w:val="right" w:pos="1412"/>
      </w:tabs>
      <w:spacing w:before="60" w:line="240" w:lineRule="auto"/>
      <w:ind w:left="1525" w:hanging="1525"/>
    </w:pPr>
    <w:rPr>
      <w:sz w:val="20"/>
    </w:rPr>
  </w:style>
  <w:style w:type="paragraph" w:customStyle="1" w:styleId="Formula">
    <w:name w:val="Formula"/>
    <w:basedOn w:val="OPCParaBase"/>
    <w:rsid w:val="00FD6EC9"/>
    <w:pPr>
      <w:spacing w:line="240" w:lineRule="auto"/>
      <w:ind w:left="1134"/>
    </w:pPr>
    <w:rPr>
      <w:sz w:val="20"/>
    </w:rPr>
  </w:style>
  <w:style w:type="paragraph" w:styleId="Header">
    <w:name w:val="header"/>
    <w:basedOn w:val="OPCParaBase"/>
    <w:link w:val="HeaderChar"/>
    <w:unhideWhenUsed/>
    <w:rsid w:val="00FD6EC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D6EC9"/>
    <w:rPr>
      <w:rFonts w:eastAsia="Times New Roman" w:cs="Times New Roman"/>
      <w:sz w:val="16"/>
      <w:lang w:eastAsia="en-AU"/>
    </w:rPr>
  </w:style>
  <w:style w:type="paragraph" w:customStyle="1" w:styleId="House">
    <w:name w:val="House"/>
    <w:basedOn w:val="OPCParaBase"/>
    <w:rsid w:val="00FD6EC9"/>
    <w:pPr>
      <w:spacing w:line="240" w:lineRule="auto"/>
    </w:pPr>
    <w:rPr>
      <w:sz w:val="28"/>
    </w:rPr>
  </w:style>
  <w:style w:type="paragraph" w:customStyle="1" w:styleId="Item">
    <w:name w:val="Item"/>
    <w:aliases w:val="i"/>
    <w:basedOn w:val="OPCParaBase"/>
    <w:next w:val="ItemHead"/>
    <w:rsid w:val="00FD6EC9"/>
    <w:pPr>
      <w:keepLines/>
      <w:spacing w:before="80" w:line="240" w:lineRule="auto"/>
      <w:ind w:left="709"/>
    </w:pPr>
  </w:style>
  <w:style w:type="paragraph" w:customStyle="1" w:styleId="ItemHead">
    <w:name w:val="ItemHead"/>
    <w:aliases w:val="ih"/>
    <w:basedOn w:val="OPCParaBase"/>
    <w:next w:val="Item"/>
    <w:rsid w:val="00FD6EC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D6EC9"/>
    <w:pPr>
      <w:spacing w:line="240" w:lineRule="auto"/>
    </w:pPr>
    <w:rPr>
      <w:b/>
      <w:sz w:val="32"/>
    </w:rPr>
  </w:style>
  <w:style w:type="paragraph" w:customStyle="1" w:styleId="notedraft">
    <w:name w:val="note(draft)"/>
    <w:aliases w:val="nd"/>
    <w:basedOn w:val="OPCParaBase"/>
    <w:rsid w:val="00FD6EC9"/>
    <w:pPr>
      <w:spacing w:before="240" w:line="240" w:lineRule="auto"/>
      <w:ind w:left="284" w:hanging="284"/>
    </w:pPr>
    <w:rPr>
      <w:i/>
      <w:sz w:val="24"/>
    </w:rPr>
  </w:style>
  <w:style w:type="paragraph" w:customStyle="1" w:styleId="notemargin">
    <w:name w:val="note(margin)"/>
    <w:aliases w:val="nm"/>
    <w:basedOn w:val="OPCParaBase"/>
    <w:rsid w:val="00FD6EC9"/>
    <w:pPr>
      <w:tabs>
        <w:tab w:val="left" w:pos="709"/>
      </w:tabs>
      <w:spacing w:before="122" w:line="198" w:lineRule="exact"/>
      <w:ind w:left="709" w:hanging="709"/>
    </w:pPr>
    <w:rPr>
      <w:sz w:val="18"/>
    </w:rPr>
  </w:style>
  <w:style w:type="paragraph" w:customStyle="1" w:styleId="noteToPara">
    <w:name w:val="noteToPara"/>
    <w:aliases w:val="ntp"/>
    <w:basedOn w:val="OPCParaBase"/>
    <w:rsid w:val="00FD6EC9"/>
    <w:pPr>
      <w:spacing w:before="122" w:line="198" w:lineRule="exact"/>
      <w:ind w:left="2353" w:hanging="709"/>
    </w:pPr>
    <w:rPr>
      <w:sz w:val="18"/>
    </w:rPr>
  </w:style>
  <w:style w:type="paragraph" w:customStyle="1" w:styleId="noteParlAmend">
    <w:name w:val="note(ParlAmend)"/>
    <w:aliases w:val="npp"/>
    <w:basedOn w:val="OPCParaBase"/>
    <w:next w:val="ParlAmend"/>
    <w:rsid w:val="00FD6EC9"/>
    <w:pPr>
      <w:spacing w:line="240" w:lineRule="auto"/>
      <w:jc w:val="right"/>
    </w:pPr>
    <w:rPr>
      <w:rFonts w:ascii="Arial" w:hAnsi="Arial"/>
      <w:b/>
      <w:i/>
    </w:rPr>
  </w:style>
  <w:style w:type="paragraph" w:customStyle="1" w:styleId="notetext">
    <w:name w:val="note(text)"/>
    <w:aliases w:val="n"/>
    <w:basedOn w:val="OPCParaBase"/>
    <w:link w:val="notetextChar"/>
    <w:rsid w:val="00FD6EC9"/>
    <w:pPr>
      <w:spacing w:before="122" w:line="240" w:lineRule="auto"/>
      <w:ind w:left="1985" w:hanging="851"/>
    </w:pPr>
    <w:rPr>
      <w:sz w:val="18"/>
    </w:rPr>
  </w:style>
  <w:style w:type="paragraph" w:customStyle="1" w:styleId="Page1">
    <w:name w:val="Page1"/>
    <w:basedOn w:val="OPCParaBase"/>
    <w:rsid w:val="00FD6EC9"/>
    <w:pPr>
      <w:spacing w:before="5600" w:line="240" w:lineRule="auto"/>
    </w:pPr>
    <w:rPr>
      <w:b/>
      <w:sz w:val="32"/>
    </w:rPr>
  </w:style>
  <w:style w:type="paragraph" w:customStyle="1" w:styleId="PageBreak">
    <w:name w:val="PageBreak"/>
    <w:aliases w:val="pb"/>
    <w:basedOn w:val="OPCParaBase"/>
    <w:rsid w:val="00FD6EC9"/>
    <w:pPr>
      <w:spacing w:line="240" w:lineRule="auto"/>
    </w:pPr>
    <w:rPr>
      <w:sz w:val="20"/>
    </w:rPr>
  </w:style>
  <w:style w:type="paragraph" w:customStyle="1" w:styleId="paragraphsub">
    <w:name w:val="paragraph(sub)"/>
    <w:aliases w:val="aa"/>
    <w:basedOn w:val="OPCParaBase"/>
    <w:rsid w:val="00FD6EC9"/>
    <w:pPr>
      <w:tabs>
        <w:tab w:val="right" w:pos="1985"/>
      </w:tabs>
      <w:spacing w:before="40" w:line="240" w:lineRule="auto"/>
      <w:ind w:left="2098" w:hanging="2098"/>
    </w:pPr>
  </w:style>
  <w:style w:type="paragraph" w:customStyle="1" w:styleId="paragraphsub-sub">
    <w:name w:val="paragraph(sub-sub)"/>
    <w:aliases w:val="aaa"/>
    <w:basedOn w:val="OPCParaBase"/>
    <w:rsid w:val="00FD6EC9"/>
    <w:pPr>
      <w:tabs>
        <w:tab w:val="right" w:pos="2722"/>
      </w:tabs>
      <w:spacing w:before="40" w:line="240" w:lineRule="auto"/>
      <w:ind w:left="2835" w:hanging="2835"/>
    </w:pPr>
  </w:style>
  <w:style w:type="paragraph" w:customStyle="1" w:styleId="paragraph">
    <w:name w:val="paragraph"/>
    <w:aliases w:val="a"/>
    <w:basedOn w:val="OPCParaBase"/>
    <w:link w:val="paragraphChar"/>
    <w:rsid w:val="00FD6EC9"/>
    <w:pPr>
      <w:tabs>
        <w:tab w:val="right" w:pos="1531"/>
      </w:tabs>
      <w:spacing w:before="40" w:line="240" w:lineRule="auto"/>
      <w:ind w:left="1644" w:hanging="1644"/>
    </w:pPr>
  </w:style>
  <w:style w:type="paragraph" w:customStyle="1" w:styleId="ParlAmend">
    <w:name w:val="ParlAmend"/>
    <w:aliases w:val="pp"/>
    <w:basedOn w:val="OPCParaBase"/>
    <w:rsid w:val="00FD6EC9"/>
    <w:pPr>
      <w:spacing w:before="240" w:line="240" w:lineRule="atLeast"/>
      <w:ind w:hanging="567"/>
    </w:pPr>
    <w:rPr>
      <w:sz w:val="24"/>
    </w:rPr>
  </w:style>
  <w:style w:type="paragraph" w:customStyle="1" w:styleId="Penalty">
    <w:name w:val="Penalty"/>
    <w:basedOn w:val="OPCParaBase"/>
    <w:rsid w:val="00FD6EC9"/>
    <w:pPr>
      <w:tabs>
        <w:tab w:val="left" w:pos="2977"/>
      </w:tabs>
      <w:spacing w:before="180" w:line="240" w:lineRule="auto"/>
      <w:ind w:left="1985" w:hanging="851"/>
    </w:pPr>
  </w:style>
  <w:style w:type="paragraph" w:customStyle="1" w:styleId="Portfolio">
    <w:name w:val="Portfolio"/>
    <w:basedOn w:val="OPCParaBase"/>
    <w:rsid w:val="00FD6EC9"/>
    <w:pPr>
      <w:spacing w:line="240" w:lineRule="auto"/>
    </w:pPr>
    <w:rPr>
      <w:i/>
      <w:sz w:val="20"/>
    </w:rPr>
  </w:style>
  <w:style w:type="paragraph" w:customStyle="1" w:styleId="Preamble">
    <w:name w:val="Preamble"/>
    <w:basedOn w:val="OPCParaBase"/>
    <w:next w:val="Normal"/>
    <w:rsid w:val="00FD6EC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D6EC9"/>
    <w:pPr>
      <w:spacing w:line="240" w:lineRule="auto"/>
    </w:pPr>
    <w:rPr>
      <w:i/>
      <w:sz w:val="20"/>
    </w:rPr>
  </w:style>
  <w:style w:type="paragraph" w:customStyle="1" w:styleId="Session">
    <w:name w:val="Session"/>
    <w:basedOn w:val="OPCParaBase"/>
    <w:rsid w:val="00FD6EC9"/>
    <w:pPr>
      <w:spacing w:line="240" w:lineRule="auto"/>
    </w:pPr>
    <w:rPr>
      <w:sz w:val="28"/>
    </w:rPr>
  </w:style>
  <w:style w:type="paragraph" w:customStyle="1" w:styleId="Sponsor">
    <w:name w:val="Sponsor"/>
    <w:basedOn w:val="OPCParaBase"/>
    <w:rsid w:val="00FD6EC9"/>
    <w:pPr>
      <w:spacing w:line="240" w:lineRule="auto"/>
    </w:pPr>
    <w:rPr>
      <w:i/>
    </w:rPr>
  </w:style>
  <w:style w:type="paragraph" w:customStyle="1" w:styleId="Subitem">
    <w:name w:val="Subitem"/>
    <w:aliases w:val="iss"/>
    <w:basedOn w:val="OPCParaBase"/>
    <w:rsid w:val="00FD6EC9"/>
    <w:pPr>
      <w:spacing w:before="180" w:line="240" w:lineRule="auto"/>
      <w:ind w:left="709" w:hanging="709"/>
    </w:pPr>
  </w:style>
  <w:style w:type="paragraph" w:customStyle="1" w:styleId="SubitemHead">
    <w:name w:val="SubitemHead"/>
    <w:aliases w:val="issh"/>
    <w:basedOn w:val="OPCParaBase"/>
    <w:rsid w:val="00FD6EC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D6EC9"/>
    <w:pPr>
      <w:spacing w:before="40" w:line="240" w:lineRule="auto"/>
      <w:ind w:left="1134"/>
    </w:pPr>
  </w:style>
  <w:style w:type="paragraph" w:customStyle="1" w:styleId="SubsectionHead">
    <w:name w:val="SubsectionHead"/>
    <w:aliases w:val="ssh"/>
    <w:basedOn w:val="OPCParaBase"/>
    <w:next w:val="subsection"/>
    <w:rsid w:val="00FD6EC9"/>
    <w:pPr>
      <w:keepNext/>
      <w:keepLines/>
      <w:spacing w:before="240" w:line="240" w:lineRule="auto"/>
      <w:ind w:left="1134"/>
    </w:pPr>
    <w:rPr>
      <w:i/>
    </w:rPr>
  </w:style>
  <w:style w:type="paragraph" w:customStyle="1" w:styleId="Tablea">
    <w:name w:val="Table(a)"/>
    <w:aliases w:val="ta"/>
    <w:basedOn w:val="OPCParaBase"/>
    <w:rsid w:val="00FD6EC9"/>
    <w:pPr>
      <w:spacing w:before="60" w:line="240" w:lineRule="auto"/>
      <w:ind w:left="284" w:hanging="284"/>
    </w:pPr>
    <w:rPr>
      <w:sz w:val="20"/>
    </w:rPr>
  </w:style>
  <w:style w:type="paragraph" w:customStyle="1" w:styleId="TableAA">
    <w:name w:val="Table(AA)"/>
    <w:aliases w:val="taaa"/>
    <w:basedOn w:val="OPCParaBase"/>
    <w:rsid w:val="00FD6EC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D6EC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D6EC9"/>
    <w:pPr>
      <w:spacing w:before="60" w:line="240" w:lineRule="atLeast"/>
    </w:pPr>
    <w:rPr>
      <w:sz w:val="20"/>
    </w:rPr>
  </w:style>
  <w:style w:type="paragraph" w:customStyle="1" w:styleId="TLPBoxTextnote">
    <w:name w:val="TLPBoxText(note"/>
    <w:aliases w:val="right)"/>
    <w:basedOn w:val="OPCParaBase"/>
    <w:rsid w:val="00FD6EC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D6EC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D6EC9"/>
    <w:pPr>
      <w:spacing w:before="122" w:line="198" w:lineRule="exact"/>
      <w:ind w:left="1985" w:hanging="851"/>
      <w:jc w:val="right"/>
    </w:pPr>
    <w:rPr>
      <w:sz w:val="18"/>
    </w:rPr>
  </w:style>
  <w:style w:type="paragraph" w:customStyle="1" w:styleId="TLPTableBullet">
    <w:name w:val="TLPTableBullet"/>
    <w:aliases w:val="ttb"/>
    <w:basedOn w:val="OPCParaBase"/>
    <w:rsid w:val="00FD6EC9"/>
    <w:pPr>
      <w:spacing w:line="240" w:lineRule="exact"/>
      <w:ind w:left="284" w:hanging="284"/>
    </w:pPr>
    <w:rPr>
      <w:sz w:val="20"/>
    </w:rPr>
  </w:style>
  <w:style w:type="paragraph" w:styleId="TOC1">
    <w:name w:val="toc 1"/>
    <w:basedOn w:val="OPCParaBase"/>
    <w:next w:val="Normal"/>
    <w:uiPriority w:val="39"/>
    <w:unhideWhenUsed/>
    <w:rsid w:val="00FD6EC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D6EC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D6EC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D6EC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D6EC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D6EC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D6EC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D6EC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D6EC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D6EC9"/>
    <w:pPr>
      <w:keepLines/>
      <w:spacing w:before="240" w:after="120" w:line="240" w:lineRule="auto"/>
      <w:ind w:left="794"/>
    </w:pPr>
    <w:rPr>
      <w:b/>
      <w:kern w:val="28"/>
      <w:sz w:val="20"/>
    </w:rPr>
  </w:style>
  <w:style w:type="paragraph" w:customStyle="1" w:styleId="TofSectsHeading">
    <w:name w:val="TofSects(Heading)"/>
    <w:basedOn w:val="OPCParaBase"/>
    <w:rsid w:val="00FD6EC9"/>
    <w:pPr>
      <w:spacing w:before="240" w:after="120" w:line="240" w:lineRule="auto"/>
    </w:pPr>
    <w:rPr>
      <w:b/>
      <w:sz w:val="24"/>
    </w:rPr>
  </w:style>
  <w:style w:type="paragraph" w:customStyle="1" w:styleId="TofSectsSection">
    <w:name w:val="TofSects(Section)"/>
    <w:basedOn w:val="OPCParaBase"/>
    <w:rsid w:val="00FD6EC9"/>
    <w:pPr>
      <w:keepLines/>
      <w:spacing w:before="40" w:line="240" w:lineRule="auto"/>
      <w:ind w:left="1588" w:hanging="794"/>
    </w:pPr>
    <w:rPr>
      <w:kern w:val="28"/>
      <w:sz w:val="18"/>
    </w:rPr>
  </w:style>
  <w:style w:type="paragraph" w:customStyle="1" w:styleId="TofSectsSubdiv">
    <w:name w:val="TofSects(Subdiv)"/>
    <w:basedOn w:val="OPCParaBase"/>
    <w:rsid w:val="00FD6EC9"/>
    <w:pPr>
      <w:keepLines/>
      <w:spacing w:before="80" w:line="240" w:lineRule="auto"/>
      <w:ind w:left="1588" w:hanging="794"/>
    </w:pPr>
    <w:rPr>
      <w:kern w:val="28"/>
    </w:rPr>
  </w:style>
  <w:style w:type="paragraph" w:customStyle="1" w:styleId="WRStyle">
    <w:name w:val="WR Style"/>
    <w:aliases w:val="WR"/>
    <w:basedOn w:val="OPCParaBase"/>
    <w:rsid w:val="00FD6EC9"/>
    <w:pPr>
      <w:spacing w:before="240" w:line="240" w:lineRule="auto"/>
      <w:ind w:left="284" w:hanging="284"/>
    </w:pPr>
    <w:rPr>
      <w:b/>
      <w:i/>
      <w:kern w:val="28"/>
      <w:sz w:val="24"/>
    </w:rPr>
  </w:style>
  <w:style w:type="paragraph" w:customStyle="1" w:styleId="notepara">
    <w:name w:val="note(para)"/>
    <w:aliases w:val="na"/>
    <w:basedOn w:val="OPCParaBase"/>
    <w:rsid w:val="00FD6EC9"/>
    <w:pPr>
      <w:spacing w:before="40" w:line="198" w:lineRule="exact"/>
      <w:ind w:left="2354" w:hanging="369"/>
    </w:pPr>
    <w:rPr>
      <w:sz w:val="18"/>
    </w:rPr>
  </w:style>
  <w:style w:type="paragraph" w:styleId="Footer">
    <w:name w:val="footer"/>
    <w:link w:val="FooterChar"/>
    <w:rsid w:val="00FD6EC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D6EC9"/>
    <w:rPr>
      <w:rFonts w:eastAsia="Times New Roman" w:cs="Times New Roman"/>
      <w:sz w:val="22"/>
      <w:szCs w:val="24"/>
      <w:lang w:eastAsia="en-AU"/>
    </w:rPr>
  </w:style>
  <w:style w:type="character" w:styleId="LineNumber">
    <w:name w:val="line number"/>
    <w:basedOn w:val="OPCCharBase"/>
    <w:uiPriority w:val="99"/>
    <w:semiHidden/>
    <w:unhideWhenUsed/>
    <w:rsid w:val="00FD6EC9"/>
    <w:rPr>
      <w:sz w:val="16"/>
    </w:rPr>
  </w:style>
  <w:style w:type="table" w:customStyle="1" w:styleId="CFlag">
    <w:name w:val="CFlag"/>
    <w:basedOn w:val="TableNormal"/>
    <w:uiPriority w:val="99"/>
    <w:rsid w:val="00FD6EC9"/>
    <w:rPr>
      <w:rFonts w:eastAsia="Times New Roman" w:cs="Times New Roman"/>
      <w:lang w:eastAsia="en-AU"/>
    </w:rPr>
    <w:tblPr/>
  </w:style>
  <w:style w:type="paragraph" w:styleId="BalloonText">
    <w:name w:val="Balloon Text"/>
    <w:basedOn w:val="Normal"/>
    <w:link w:val="BalloonTextChar"/>
    <w:uiPriority w:val="99"/>
    <w:semiHidden/>
    <w:unhideWhenUsed/>
    <w:rsid w:val="00FD6E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C9"/>
    <w:rPr>
      <w:rFonts w:ascii="Tahoma" w:hAnsi="Tahoma" w:cs="Tahoma"/>
      <w:sz w:val="16"/>
      <w:szCs w:val="16"/>
    </w:rPr>
  </w:style>
  <w:style w:type="table" w:styleId="TableGrid">
    <w:name w:val="Table Grid"/>
    <w:basedOn w:val="TableNormal"/>
    <w:uiPriority w:val="59"/>
    <w:rsid w:val="00FD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D6EC9"/>
    <w:rPr>
      <w:b/>
      <w:sz w:val="28"/>
      <w:szCs w:val="32"/>
    </w:rPr>
  </w:style>
  <w:style w:type="paragraph" w:customStyle="1" w:styleId="TerritoryT">
    <w:name w:val="TerritoryT"/>
    <w:basedOn w:val="OPCParaBase"/>
    <w:next w:val="Normal"/>
    <w:rsid w:val="00FD6EC9"/>
    <w:rPr>
      <w:b/>
      <w:sz w:val="32"/>
    </w:rPr>
  </w:style>
  <w:style w:type="paragraph" w:customStyle="1" w:styleId="LegislationMadeUnder">
    <w:name w:val="LegislationMadeUnder"/>
    <w:basedOn w:val="OPCParaBase"/>
    <w:next w:val="Normal"/>
    <w:rsid w:val="00FD6EC9"/>
    <w:rPr>
      <w:i/>
      <w:sz w:val="32"/>
      <w:szCs w:val="32"/>
    </w:rPr>
  </w:style>
  <w:style w:type="paragraph" w:customStyle="1" w:styleId="SignCoverPageEnd">
    <w:name w:val="SignCoverPageEnd"/>
    <w:basedOn w:val="OPCParaBase"/>
    <w:next w:val="Normal"/>
    <w:rsid w:val="00FD6EC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D6EC9"/>
    <w:pPr>
      <w:pBdr>
        <w:top w:val="single" w:sz="4" w:space="1" w:color="auto"/>
      </w:pBdr>
      <w:spacing w:before="360"/>
      <w:ind w:right="397"/>
      <w:jc w:val="both"/>
    </w:pPr>
  </w:style>
  <w:style w:type="paragraph" w:customStyle="1" w:styleId="NotesHeading2">
    <w:name w:val="NotesHeading 2"/>
    <w:basedOn w:val="OPCParaBase"/>
    <w:next w:val="Normal"/>
    <w:rsid w:val="00FD6EC9"/>
    <w:rPr>
      <w:b/>
      <w:sz w:val="28"/>
      <w:szCs w:val="28"/>
    </w:rPr>
  </w:style>
  <w:style w:type="paragraph" w:customStyle="1" w:styleId="NotesHeading1">
    <w:name w:val="NotesHeading 1"/>
    <w:basedOn w:val="OPCParaBase"/>
    <w:next w:val="Normal"/>
    <w:rsid w:val="00FD6EC9"/>
    <w:rPr>
      <w:b/>
      <w:sz w:val="28"/>
      <w:szCs w:val="28"/>
    </w:rPr>
  </w:style>
  <w:style w:type="paragraph" w:customStyle="1" w:styleId="CompiledActNo">
    <w:name w:val="CompiledActNo"/>
    <w:basedOn w:val="OPCParaBase"/>
    <w:next w:val="Normal"/>
    <w:rsid w:val="00FD6EC9"/>
    <w:rPr>
      <w:b/>
      <w:sz w:val="24"/>
      <w:szCs w:val="24"/>
    </w:rPr>
  </w:style>
  <w:style w:type="paragraph" w:customStyle="1" w:styleId="ENotesText">
    <w:name w:val="ENotesText"/>
    <w:aliases w:val="Ent"/>
    <w:basedOn w:val="OPCParaBase"/>
    <w:next w:val="Normal"/>
    <w:rsid w:val="00FD6EC9"/>
    <w:pPr>
      <w:spacing w:before="120"/>
    </w:pPr>
  </w:style>
  <w:style w:type="paragraph" w:customStyle="1" w:styleId="CompiledMadeUnder">
    <w:name w:val="CompiledMadeUnder"/>
    <w:basedOn w:val="OPCParaBase"/>
    <w:next w:val="Normal"/>
    <w:rsid w:val="00FD6EC9"/>
    <w:rPr>
      <w:i/>
      <w:sz w:val="24"/>
      <w:szCs w:val="24"/>
    </w:rPr>
  </w:style>
  <w:style w:type="paragraph" w:customStyle="1" w:styleId="Paragraphsub-sub-sub">
    <w:name w:val="Paragraph(sub-sub-sub)"/>
    <w:aliases w:val="aaaa"/>
    <w:basedOn w:val="OPCParaBase"/>
    <w:rsid w:val="00FD6EC9"/>
    <w:pPr>
      <w:tabs>
        <w:tab w:val="right" w:pos="3402"/>
      </w:tabs>
      <w:spacing w:before="40" w:line="240" w:lineRule="auto"/>
      <w:ind w:left="3402" w:hanging="3402"/>
    </w:pPr>
  </w:style>
  <w:style w:type="paragraph" w:customStyle="1" w:styleId="TableTextEndNotes">
    <w:name w:val="TableTextEndNotes"/>
    <w:aliases w:val="Tten"/>
    <w:basedOn w:val="Normal"/>
    <w:rsid w:val="00FD6EC9"/>
    <w:pPr>
      <w:spacing w:before="60" w:line="240" w:lineRule="auto"/>
    </w:pPr>
    <w:rPr>
      <w:rFonts w:cs="Arial"/>
      <w:sz w:val="20"/>
      <w:szCs w:val="22"/>
    </w:rPr>
  </w:style>
  <w:style w:type="paragraph" w:customStyle="1" w:styleId="NoteToSubpara">
    <w:name w:val="NoteToSubpara"/>
    <w:aliases w:val="nts"/>
    <w:basedOn w:val="OPCParaBase"/>
    <w:rsid w:val="00FD6EC9"/>
    <w:pPr>
      <w:spacing w:before="40" w:line="198" w:lineRule="exact"/>
      <w:ind w:left="2835" w:hanging="709"/>
    </w:pPr>
    <w:rPr>
      <w:sz w:val="18"/>
    </w:rPr>
  </w:style>
  <w:style w:type="paragraph" w:customStyle="1" w:styleId="ENoteTableHeading">
    <w:name w:val="ENoteTableHeading"/>
    <w:aliases w:val="enth"/>
    <w:basedOn w:val="OPCParaBase"/>
    <w:rsid w:val="00FD6EC9"/>
    <w:pPr>
      <w:keepNext/>
      <w:spacing w:before="60" w:line="240" w:lineRule="atLeast"/>
    </w:pPr>
    <w:rPr>
      <w:rFonts w:ascii="Arial" w:hAnsi="Arial"/>
      <w:b/>
      <w:sz w:val="16"/>
    </w:rPr>
  </w:style>
  <w:style w:type="paragraph" w:customStyle="1" w:styleId="ENoteTTi">
    <w:name w:val="ENoteTTi"/>
    <w:aliases w:val="entti"/>
    <w:basedOn w:val="OPCParaBase"/>
    <w:rsid w:val="00FD6EC9"/>
    <w:pPr>
      <w:keepNext/>
      <w:spacing w:before="60" w:line="240" w:lineRule="atLeast"/>
      <w:ind w:left="170"/>
    </w:pPr>
    <w:rPr>
      <w:sz w:val="16"/>
    </w:rPr>
  </w:style>
  <w:style w:type="paragraph" w:customStyle="1" w:styleId="ENotesHeading1">
    <w:name w:val="ENotesHeading 1"/>
    <w:aliases w:val="Enh1"/>
    <w:basedOn w:val="OPCParaBase"/>
    <w:next w:val="Normal"/>
    <w:rsid w:val="00FD6EC9"/>
    <w:pPr>
      <w:spacing w:before="120"/>
      <w:outlineLvl w:val="1"/>
    </w:pPr>
    <w:rPr>
      <w:b/>
      <w:sz w:val="28"/>
      <w:szCs w:val="28"/>
    </w:rPr>
  </w:style>
  <w:style w:type="paragraph" w:customStyle="1" w:styleId="ENotesHeading2">
    <w:name w:val="ENotesHeading 2"/>
    <w:aliases w:val="Enh2"/>
    <w:basedOn w:val="OPCParaBase"/>
    <w:next w:val="Normal"/>
    <w:rsid w:val="00FD6EC9"/>
    <w:pPr>
      <w:spacing w:before="120" w:after="120"/>
      <w:outlineLvl w:val="2"/>
    </w:pPr>
    <w:rPr>
      <w:b/>
      <w:sz w:val="24"/>
      <w:szCs w:val="28"/>
    </w:rPr>
  </w:style>
  <w:style w:type="paragraph" w:customStyle="1" w:styleId="ENoteTTIndentHeading">
    <w:name w:val="ENoteTTIndentHeading"/>
    <w:aliases w:val="enTTHi"/>
    <w:basedOn w:val="OPCParaBase"/>
    <w:rsid w:val="00FD6EC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D6EC9"/>
    <w:pPr>
      <w:spacing w:before="60" w:line="240" w:lineRule="atLeast"/>
    </w:pPr>
    <w:rPr>
      <w:sz w:val="16"/>
    </w:rPr>
  </w:style>
  <w:style w:type="paragraph" w:customStyle="1" w:styleId="MadeunderText">
    <w:name w:val="MadeunderText"/>
    <w:basedOn w:val="OPCParaBase"/>
    <w:next w:val="CompiledMadeUnder"/>
    <w:rsid w:val="00FD6EC9"/>
    <w:pPr>
      <w:spacing w:before="240"/>
    </w:pPr>
    <w:rPr>
      <w:sz w:val="24"/>
      <w:szCs w:val="24"/>
    </w:rPr>
  </w:style>
  <w:style w:type="paragraph" w:customStyle="1" w:styleId="ENotesHeading3">
    <w:name w:val="ENotesHeading 3"/>
    <w:aliases w:val="Enh3"/>
    <w:basedOn w:val="OPCParaBase"/>
    <w:next w:val="Normal"/>
    <w:rsid w:val="00FD6EC9"/>
    <w:pPr>
      <w:keepNext/>
      <w:spacing w:before="120" w:line="240" w:lineRule="auto"/>
      <w:outlineLvl w:val="4"/>
    </w:pPr>
    <w:rPr>
      <w:b/>
      <w:szCs w:val="24"/>
    </w:rPr>
  </w:style>
  <w:style w:type="character" w:customStyle="1" w:styleId="CharSubPartTextCASA">
    <w:name w:val="CharSubPartText(CASA)"/>
    <w:basedOn w:val="OPCCharBase"/>
    <w:uiPriority w:val="1"/>
    <w:rsid w:val="00FD6EC9"/>
  </w:style>
  <w:style w:type="character" w:customStyle="1" w:styleId="CharSubPartNoCASA">
    <w:name w:val="CharSubPartNo(CASA)"/>
    <w:basedOn w:val="OPCCharBase"/>
    <w:uiPriority w:val="1"/>
    <w:rsid w:val="00FD6EC9"/>
  </w:style>
  <w:style w:type="paragraph" w:customStyle="1" w:styleId="ENoteTTIndentHeadingSub">
    <w:name w:val="ENoteTTIndentHeadingSub"/>
    <w:aliases w:val="enTTHis"/>
    <w:basedOn w:val="OPCParaBase"/>
    <w:rsid w:val="00FD6EC9"/>
    <w:pPr>
      <w:keepNext/>
      <w:spacing w:before="60" w:line="240" w:lineRule="atLeast"/>
      <w:ind w:left="340"/>
    </w:pPr>
    <w:rPr>
      <w:b/>
      <w:sz w:val="16"/>
    </w:rPr>
  </w:style>
  <w:style w:type="paragraph" w:customStyle="1" w:styleId="ENoteTTiSub">
    <w:name w:val="ENoteTTiSub"/>
    <w:aliases w:val="enttis"/>
    <w:basedOn w:val="OPCParaBase"/>
    <w:rsid w:val="00FD6EC9"/>
    <w:pPr>
      <w:keepNext/>
      <w:spacing w:before="60" w:line="240" w:lineRule="atLeast"/>
      <w:ind w:left="340"/>
    </w:pPr>
    <w:rPr>
      <w:sz w:val="16"/>
    </w:rPr>
  </w:style>
  <w:style w:type="paragraph" w:customStyle="1" w:styleId="SubDivisionMigration">
    <w:name w:val="SubDivisionMigration"/>
    <w:aliases w:val="sdm"/>
    <w:basedOn w:val="OPCParaBase"/>
    <w:rsid w:val="00FD6EC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D6EC9"/>
    <w:pPr>
      <w:keepNext/>
      <w:keepLines/>
      <w:spacing w:before="240" w:line="240" w:lineRule="auto"/>
      <w:ind w:left="1134" w:hanging="1134"/>
    </w:pPr>
    <w:rPr>
      <w:b/>
      <w:sz w:val="28"/>
    </w:rPr>
  </w:style>
  <w:style w:type="paragraph" w:customStyle="1" w:styleId="FreeForm">
    <w:name w:val="FreeForm"/>
    <w:rsid w:val="00190377"/>
    <w:rPr>
      <w:rFonts w:ascii="Arial" w:hAnsi="Arial"/>
      <w:sz w:val="22"/>
    </w:rPr>
  </w:style>
  <w:style w:type="paragraph" w:customStyle="1" w:styleId="SOText">
    <w:name w:val="SO Text"/>
    <w:aliases w:val="sot"/>
    <w:link w:val="SOTextChar"/>
    <w:rsid w:val="00FD6EC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D6EC9"/>
    <w:rPr>
      <w:sz w:val="22"/>
    </w:rPr>
  </w:style>
  <w:style w:type="paragraph" w:customStyle="1" w:styleId="SOTextNote">
    <w:name w:val="SO TextNote"/>
    <w:aliases w:val="sont"/>
    <w:basedOn w:val="SOText"/>
    <w:qFormat/>
    <w:rsid w:val="00FD6EC9"/>
    <w:pPr>
      <w:spacing w:before="122" w:line="198" w:lineRule="exact"/>
      <w:ind w:left="1843" w:hanging="709"/>
    </w:pPr>
    <w:rPr>
      <w:sz w:val="18"/>
    </w:rPr>
  </w:style>
  <w:style w:type="paragraph" w:customStyle="1" w:styleId="SOPara">
    <w:name w:val="SO Para"/>
    <w:aliases w:val="soa"/>
    <w:basedOn w:val="SOText"/>
    <w:link w:val="SOParaChar"/>
    <w:qFormat/>
    <w:rsid w:val="00FD6EC9"/>
    <w:pPr>
      <w:tabs>
        <w:tab w:val="right" w:pos="1786"/>
      </w:tabs>
      <w:spacing w:before="40"/>
      <w:ind w:left="2070" w:hanging="936"/>
    </w:pPr>
  </w:style>
  <w:style w:type="character" w:customStyle="1" w:styleId="SOParaChar">
    <w:name w:val="SO Para Char"/>
    <w:aliases w:val="soa Char"/>
    <w:basedOn w:val="DefaultParagraphFont"/>
    <w:link w:val="SOPara"/>
    <w:rsid w:val="00FD6EC9"/>
    <w:rPr>
      <w:sz w:val="22"/>
    </w:rPr>
  </w:style>
  <w:style w:type="paragraph" w:customStyle="1" w:styleId="FileName">
    <w:name w:val="FileName"/>
    <w:basedOn w:val="Normal"/>
    <w:rsid w:val="00FD6EC9"/>
  </w:style>
  <w:style w:type="paragraph" w:customStyle="1" w:styleId="TableHeading">
    <w:name w:val="TableHeading"/>
    <w:aliases w:val="th"/>
    <w:basedOn w:val="OPCParaBase"/>
    <w:next w:val="Tabletext"/>
    <w:rsid w:val="00FD6EC9"/>
    <w:pPr>
      <w:keepNext/>
      <w:spacing w:before="60" w:line="240" w:lineRule="atLeast"/>
    </w:pPr>
    <w:rPr>
      <w:b/>
      <w:sz w:val="20"/>
    </w:rPr>
  </w:style>
  <w:style w:type="paragraph" w:customStyle="1" w:styleId="SOHeadBold">
    <w:name w:val="SO HeadBold"/>
    <w:aliases w:val="sohb"/>
    <w:basedOn w:val="SOText"/>
    <w:next w:val="SOText"/>
    <w:link w:val="SOHeadBoldChar"/>
    <w:qFormat/>
    <w:rsid w:val="00FD6EC9"/>
    <w:rPr>
      <w:b/>
    </w:rPr>
  </w:style>
  <w:style w:type="character" w:customStyle="1" w:styleId="SOHeadBoldChar">
    <w:name w:val="SO HeadBold Char"/>
    <w:aliases w:val="sohb Char"/>
    <w:basedOn w:val="DefaultParagraphFont"/>
    <w:link w:val="SOHeadBold"/>
    <w:rsid w:val="00FD6EC9"/>
    <w:rPr>
      <w:b/>
      <w:sz w:val="22"/>
    </w:rPr>
  </w:style>
  <w:style w:type="paragraph" w:customStyle="1" w:styleId="SOHeadItalic">
    <w:name w:val="SO HeadItalic"/>
    <w:aliases w:val="sohi"/>
    <w:basedOn w:val="SOText"/>
    <w:next w:val="SOText"/>
    <w:link w:val="SOHeadItalicChar"/>
    <w:qFormat/>
    <w:rsid w:val="00FD6EC9"/>
    <w:rPr>
      <w:i/>
    </w:rPr>
  </w:style>
  <w:style w:type="character" w:customStyle="1" w:styleId="SOHeadItalicChar">
    <w:name w:val="SO HeadItalic Char"/>
    <w:aliases w:val="sohi Char"/>
    <w:basedOn w:val="DefaultParagraphFont"/>
    <w:link w:val="SOHeadItalic"/>
    <w:rsid w:val="00FD6EC9"/>
    <w:rPr>
      <w:i/>
      <w:sz w:val="22"/>
    </w:rPr>
  </w:style>
  <w:style w:type="paragraph" w:customStyle="1" w:styleId="SOBullet">
    <w:name w:val="SO Bullet"/>
    <w:aliases w:val="sotb"/>
    <w:basedOn w:val="SOText"/>
    <w:link w:val="SOBulletChar"/>
    <w:qFormat/>
    <w:rsid w:val="00FD6EC9"/>
    <w:pPr>
      <w:ind w:left="1559" w:hanging="425"/>
    </w:pPr>
  </w:style>
  <w:style w:type="character" w:customStyle="1" w:styleId="SOBulletChar">
    <w:name w:val="SO Bullet Char"/>
    <w:aliases w:val="sotb Char"/>
    <w:basedOn w:val="DefaultParagraphFont"/>
    <w:link w:val="SOBullet"/>
    <w:rsid w:val="00FD6EC9"/>
    <w:rPr>
      <w:sz w:val="22"/>
    </w:rPr>
  </w:style>
  <w:style w:type="paragraph" w:customStyle="1" w:styleId="SOBulletNote">
    <w:name w:val="SO BulletNote"/>
    <w:aliases w:val="sonb"/>
    <w:basedOn w:val="SOTextNote"/>
    <w:link w:val="SOBulletNoteChar"/>
    <w:qFormat/>
    <w:rsid w:val="00FD6EC9"/>
    <w:pPr>
      <w:tabs>
        <w:tab w:val="left" w:pos="1560"/>
      </w:tabs>
      <w:ind w:left="2268" w:hanging="1134"/>
    </w:pPr>
  </w:style>
  <w:style w:type="character" w:customStyle="1" w:styleId="SOBulletNoteChar">
    <w:name w:val="SO BulletNote Char"/>
    <w:aliases w:val="sonb Char"/>
    <w:basedOn w:val="DefaultParagraphFont"/>
    <w:link w:val="SOBulletNote"/>
    <w:rsid w:val="00FD6EC9"/>
    <w:rPr>
      <w:sz w:val="18"/>
    </w:rPr>
  </w:style>
  <w:style w:type="paragraph" w:customStyle="1" w:styleId="SOText2">
    <w:name w:val="SO Text2"/>
    <w:aliases w:val="sot2"/>
    <w:basedOn w:val="Normal"/>
    <w:next w:val="SOText"/>
    <w:link w:val="SOText2Char"/>
    <w:rsid w:val="00FD6EC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D6EC9"/>
    <w:rPr>
      <w:sz w:val="22"/>
    </w:rPr>
  </w:style>
  <w:style w:type="paragraph" w:customStyle="1" w:styleId="SubPartCASA">
    <w:name w:val="SubPart(CASA)"/>
    <w:aliases w:val="csp"/>
    <w:basedOn w:val="OPCParaBase"/>
    <w:next w:val="ActHead3"/>
    <w:rsid w:val="00FD6EC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357B7"/>
    <w:rPr>
      <w:rFonts w:eastAsia="Times New Roman" w:cs="Times New Roman"/>
      <w:sz w:val="22"/>
      <w:lang w:eastAsia="en-AU"/>
    </w:rPr>
  </w:style>
  <w:style w:type="character" w:customStyle="1" w:styleId="notetextChar">
    <w:name w:val="note(text) Char"/>
    <w:aliases w:val="n Char"/>
    <w:basedOn w:val="DefaultParagraphFont"/>
    <w:link w:val="notetext"/>
    <w:rsid w:val="000357B7"/>
    <w:rPr>
      <w:rFonts w:eastAsia="Times New Roman" w:cs="Times New Roman"/>
      <w:sz w:val="18"/>
      <w:lang w:eastAsia="en-AU"/>
    </w:rPr>
  </w:style>
  <w:style w:type="character" w:customStyle="1" w:styleId="Heading1Char">
    <w:name w:val="Heading 1 Char"/>
    <w:basedOn w:val="DefaultParagraphFont"/>
    <w:link w:val="Heading1"/>
    <w:rsid w:val="000A00B8"/>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0A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00B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A00B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A00B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A00B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A00B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A00B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A00B8"/>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0A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aliases w:val="a Char"/>
    <w:link w:val="paragraph"/>
    <w:rsid w:val="00B07608"/>
    <w:rPr>
      <w:rFonts w:eastAsia="Times New Roman" w:cs="Times New Roman"/>
      <w:sz w:val="22"/>
      <w:lang w:eastAsia="en-AU"/>
    </w:rPr>
  </w:style>
  <w:style w:type="character" w:customStyle="1" w:styleId="DefinitionChar">
    <w:name w:val="Definition Char"/>
    <w:aliases w:val="dd Char"/>
    <w:link w:val="Definition"/>
    <w:rsid w:val="00B07608"/>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6EC9"/>
    <w:pPr>
      <w:spacing w:line="260" w:lineRule="atLeast"/>
    </w:pPr>
    <w:rPr>
      <w:sz w:val="22"/>
    </w:rPr>
  </w:style>
  <w:style w:type="paragraph" w:styleId="Heading1">
    <w:name w:val="heading 1"/>
    <w:basedOn w:val="Normal"/>
    <w:next w:val="Normal"/>
    <w:link w:val="Heading1Char"/>
    <w:qFormat/>
    <w:rsid w:val="000A00B8"/>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A00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00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00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00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00B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00B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00B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A00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D6EC9"/>
  </w:style>
  <w:style w:type="paragraph" w:customStyle="1" w:styleId="OPCParaBase">
    <w:name w:val="OPCParaBase"/>
    <w:qFormat/>
    <w:rsid w:val="00FD6EC9"/>
    <w:pPr>
      <w:spacing w:line="260" w:lineRule="atLeast"/>
    </w:pPr>
    <w:rPr>
      <w:rFonts w:eastAsia="Times New Roman" w:cs="Times New Roman"/>
      <w:sz w:val="22"/>
      <w:lang w:eastAsia="en-AU"/>
    </w:rPr>
  </w:style>
  <w:style w:type="paragraph" w:customStyle="1" w:styleId="ShortT">
    <w:name w:val="ShortT"/>
    <w:basedOn w:val="OPCParaBase"/>
    <w:next w:val="Normal"/>
    <w:qFormat/>
    <w:rsid w:val="00FD6EC9"/>
    <w:pPr>
      <w:spacing w:line="240" w:lineRule="auto"/>
    </w:pPr>
    <w:rPr>
      <w:b/>
      <w:sz w:val="40"/>
    </w:rPr>
  </w:style>
  <w:style w:type="paragraph" w:customStyle="1" w:styleId="ActHead1">
    <w:name w:val="ActHead 1"/>
    <w:aliases w:val="c"/>
    <w:basedOn w:val="OPCParaBase"/>
    <w:next w:val="Normal"/>
    <w:qFormat/>
    <w:rsid w:val="00FD6EC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D6EC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D6EC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D6EC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D6EC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D6EC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D6EC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D6EC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D6EC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D6EC9"/>
  </w:style>
  <w:style w:type="paragraph" w:customStyle="1" w:styleId="Blocks">
    <w:name w:val="Blocks"/>
    <w:aliases w:val="bb"/>
    <w:basedOn w:val="OPCParaBase"/>
    <w:qFormat/>
    <w:rsid w:val="00FD6EC9"/>
    <w:pPr>
      <w:spacing w:line="240" w:lineRule="auto"/>
    </w:pPr>
    <w:rPr>
      <w:sz w:val="24"/>
    </w:rPr>
  </w:style>
  <w:style w:type="paragraph" w:customStyle="1" w:styleId="BoxText">
    <w:name w:val="BoxText"/>
    <w:aliases w:val="bt"/>
    <w:basedOn w:val="OPCParaBase"/>
    <w:qFormat/>
    <w:rsid w:val="00FD6EC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D6EC9"/>
    <w:rPr>
      <w:b/>
    </w:rPr>
  </w:style>
  <w:style w:type="paragraph" w:customStyle="1" w:styleId="BoxHeadItalic">
    <w:name w:val="BoxHeadItalic"/>
    <w:aliases w:val="bhi"/>
    <w:basedOn w:val="BoxText"/>
    <w:next w:val="BoxStep"/>
    <w:qFormat/>
    <w:rsid w:val="00FD6EC9"/>
    <w:rPr>
      <w:i/>
    </w:rPr>
  </w:style>
  <w:style w:type="paragraph" w:customStyle="1" w:styleId="BoxList">
    <w:name w:val="BoxList"/>
    <w:aliases w:val="bl"/>
    <w:basedOn w:val="BoxText"/>
    <w:qFormat/>
    <w:rsid w:val="00FD6EC9"/>
    <w:pPr>
      <w:ind w:left="1559" w:hanging="425"/>
    </w:pPr>
  </w:style>
  <w:style w:type="paragraph" w:customStyle="1" w:styleId="BoxNote">
    <w:name w:val="BoxNote"/>
    <w:aliases w:val="bn"/>
    <w:basedOn w:val="BoxText"/>
    <w:qFormat/>
    <w:rsid w:val="00FD6EC9"/>
    <w:pPr>
      <w:tabs>
        <w:tab w:val="left" w:pos="1985"/>
      </w:tabs>
      <w:spacing w:before="122" w:line="198" w:lineRule="exact"/>
      <w:ind w:left="2948" w:hanging="1814"/>
    </w:pPr>
    <w:rPr>
      <w:sz w:val="18"/>
    </w:rPr>
  </w:style>
  <w:style w:type="paragraph" w:customStyle="1" w:styleId="BoxPara">
    <w:name w:val="BoxPara"/>
    <w:aliases w:val="bp"/>
    <w:basedOn w:val="BoxText"/>
    <w:qFormat/>
    <w:rsid w:val="00FD6EC9"/>
    <w:pPr>
      <w:tabs>
        <w:tab w:val="right" w:pos="2268"/>
      </w:tabs>
      <w:ind w:left="2552" w:hanging="1418"/>
    </w:pPr>
  </w:style>
  <w:style w:type="paragraph" w:customStyle="1" w:styleId="BoxStep">
    <w:name w:val="BoxStep"/>
    <w:aliases w:val="bs"/>
    <w:basedOn w:val="BoxText"/>
    <w:qFormat/>
    <w:rsid w:val="00FD6EC9"/>
    <w:pPr>
      <w:ind w:left="1985" w:hanging="851"/>
    </w:pPr>
  </w:style>
  <w:style w:type="character" w:customStyle="1" w:styleId="CharAmPartNo">
    <w:name w:val="CharAmPartNo"/>
    <w:basedOn w:val="OPCCharBase"/>
    <w:uiPriority w:val="1"/>
    <w:qFormat/>
    <w:rsid w:val="00FD6EC9"/>
  </w:style>
  <w:style w:type="character" w:customStyle="1" w:styleId="CharAmPartText">
    <w:name w:val="CharAmPartText"/>
    <w:basedOn w:val="OPCCharBase"/>
    <w:uiPriority w:val="1"/>
    <w:qFormat/>
    <w:rsid w:val="00FD6EC9"/>
  </w:style>
  <w:style w:type="character" w:customStyle="1" w:styleId="CharAmSchNo">
    <w:name w:val="CharAmSchNo"/>
    <w:basedOn w:val="OPCCharBase"/>
    <w:uiPriority w:val="1"/>
    <w:qFormat/>
    <w:rsid w:val="00FD6EC9"/>
  </w:style>
  <w:style w:type="character" w:customStyle="1" w:styleId="CharAmSchText">
    <w:name w:val="CharAmSchText"/>
    <w:basedOn w:val="OPCCharBase"/>
    <w:uiPriority w:val="1"/>
    <w:qFormat/>
    <w:rsid w:val="00FD6EC9"/>
  </w:style>
  <w:style w:type="character" w:customStyle="1" w:styleId="CharBoldItalic">
    <w:name w:val="CharBoldItalic"/>
    <w:basedOn w:val="OPCCharBase"/>
    <w:uiPriority w:val="1"/>
    <w:qFormat/>
    <w:rsid w:val="00FD6EC9"/>
    <w:rPr>
      <w:b/>
      <w:i/>
    </w:rPr>
  </w:style>
  <w:style w:type="character" w:customStyle="1" w:styleId="CharChapNo">
    <w:name w:val="CharChapNo"/>
    <w:basedOn w:val="OPCCharBase"/>
    <w:qFormat/>
    <w:rsid w:val="00FD6EC9"/>
  </w:style>
  <w:style w:type="character" w:customStyle="1" w:styleId="CharChapText">
    <w:name w:val="CharChapText"/>
    <w:basedOn w:val="OPCCharBase"/>
    <w:qFormat/>
    <w:rsid w:val="00FD6EC9"/>
  </w:style>
  <w:style w:type="character" w:customStyle="1" w:styleId="CharDivNo">
    <w:name w:val="CharDivNo"/>
    <w:basedOn w:val="OPCCharBase"/>
    <w:qFormat/>
    <w:rsid w:val="00FD6EC9"/>
  </w:style>
  <w:style w:type="character" w:customStyle="1" w:styleId="CharDivText">
    <w:name w:val="CharDivText"/>
    <w:basedOn w:val="OPCCharBase"/>
    <w:qFormat/>
    <w:rsid w:val="00FD6EC9"/>
  </w:style>
  <w:style w:type="character" w:customStyle="1" w:styleId="CharItalic">
    <w:name w:val="CharItalic"/>
    <w:basedOn w:val="OPCCharBase"/>
    <w:uiPriority w:val="1"/>
    <w:qFormat/>
    <w:rsid w:val="00FD6EC9"/>
    <w:rPr>
      <w:i/>
    </w:rPr>
  </w:style>
  <w:style w:type="character" w:customStyle="1" w:styleId="CharPartNo">
    <w:name w:val="CharPartNo"/>
    <w:basedOn w:val="OPCCharBase"/>
    <w:qFormat/>
    <w:rsid w:val="00FD6EC9"/>
  </w:style>
  <w:style w:type="character" w:customStyle="1" w:styleId="CharPartText">
    <w:name w:val="CharPartText"/>
    <w:basedOn w:val="OPCCharBase"/>
    <w:qFormat/>
    <w:rsid w:val="00FD6EC9"/>
  </w:style>
  <w:style w:type="character" w:customStyle="1" w:styleId="CharSectno">
    <w:name w:val="CharSectno"/>
    <w:basedOn w:val="OPCCharBase"/>
    <w:qFormat/>
    <w:rsid w:val="00FD6EC9"/>
  </w:style>
  <w:style w:type="character" w:customStyle="1" w:styleId="CharSubdNo">
    <w:name w:val="CharSubdNo"/>
    <w:basedOn w:val="OPCCharBase"/>
    <w:uiPriority w:val="1"/>
    <w:qFormat/>
    <w:rsid w:val="00FD6EC9"/>
  </w:style>
  <w:style w:type="character" w:customStyle="1" w:styleId="CharSubdText">
    <w:name w:val="CharSubdText"/>
    <w:basedOn w:val="OPCCharBase"/>
    <w:uiPriority w:val="1"/>
    <w:qFormat/>
    <w:rsid w:val="00FD6EC9"/>
  </w:style>
  <w:style w:type="paragraph" w:customStyle="1" w:styleId="CTA--">
    <w:name w:val="CTA --"/>
    <w:basedOn w:val="OPCParaBase"/>
    <w:next w:val="Normal"/>
    <w:rsid w:val="00FD6EC9"/>
    <w:pPr>
      <w:spacing w:before="60" w:line="240" w:lineRule="atLeast"/>
      <w:ind w:left="142" w:hanging="142"/>
    </w:pPr>
    <w:rPr>
      <w:sz w:val="20"/>
    </w:rPr>
  </w:style>
  <w:style w:type="paragraph" w:customStyle="1" w:styleId="CTA-">
    <w:name w:val="CTA -"/>
    <w:basedOn w:val="OPCParaBase"/>
    <w:rsid w:val="00FD6EC9"/>
    <w:pPr>
      <w:spacing w:before="60" w:line="240" w:lineRule="atLeast"/>
      <w:ind w:left="85" w:hanging="85"/>
    </w:pPr>
    <w:rPr>
      <w:sz w:val="20"/>
    </w:rPr>
  </w:style>
  <w:style w:type="paragraph" w:customStyle="1" w:styleId="CTA---">
    <w:name w:val="CTA ---"/>
    <w:basedOn w:val="OPCParaBase"/>
    <w:next w:val="Normal"/>
    <w:rsid w:val="00FD6EC9"/>
    <w:pPr>
      <w:spacing w:before="60" w:line="240" w:lineRule="atLeast"/>
      <w:ind w:left="198" w:hanging="198"/>
    </w:pPr>
    <w:rPr>
      <w:sz w:val="20"/>
    </w:rPr>
  </w:style>
  <w:style w:type="paragraph" w:customStyle="1" w:styleId="CTA----">
    <w:name w:val="CTA ----"/>
    <w:basedOn w:val="OPCParaBase"/>
    <w:next w:val="Normal"/>
    <w:rsid w:val="00FD6EC9"/>
    <w:pPr>
      <w:spacing w:before="60" w:line="240" w:lineRule="atLeast"/>
      <w:ind w:left="255" w:hanging="255"/>
    </w:pPr>
    <w:rPr>
      <w:sz w:val="20"/>
    </w:rPr>
  </w:style>
  <w:style w:type="paragraph" w:customStyle="1" w:styleId="CTA1a">
    <w:name w:val="CTA 1(a)"/>
    <w:basedOn w:val="OPCParaBase"/>
    <w:rsid w:val="00FD6EC9"/>
    <w:pPr>
      <w:tabs>
        <w:tab w:val="right" w:pos="414"/>
      </w:tabs>
      <w:spacing w:before="40" w:line="240" w:lineRule="atLeast"/>
      <w:ind w:left="675" w:hanging="675"/>
    </w:pPr>
    <w:rPr>
      <w:sz w:val="20"/>
    </w:rPr>
  </w:style>
  <w:style w:type="paragraph" w:customStyle="1" w:styleId="CTA1ai">
    <w:name w:val="CTA 1(a)(i)"/>
    <w:basedOn w:val="OPCParaBase"/>
    <w:rsid w:val="00FD6EC9"/>
    <w:pPr>
      <w:tabs>
        <w:tab w:val="right" w:pos="1004"/>
      </w:tabs>
      <w:spacing w:before="40" w:line="240" w:lineRule="atLeast"/>
      <w:ind w:left="1253" w:hanging="1253"/>
    </w:pPr>
    <w:rPr>
      <w:sz w:val="20"/>
    </w:rPr>
  </w:style>
  <w:style w:type="paragraph" w:customStyle="1" w:styleId="CTA2a">
    <w:name w:val="CTA 2(a)"/>
    <w:basedOn w:val="OPCParaBase"/>
    <w:rsid w:val="00FD6EC9"/>
    <w:pPr>
      <w:tabs>
        <w:tab w:val="right" w:pos="482"/>
      </w:tabs>
      <w:spacing w:before="40" w:line="240" w:lineRule="atLeast"/>
      <w:ind w:left="748" w:hanging="748"/>
    </w:pPr>
    <w:rPr>
      <w:sz w:val="20"/>
    </w:rPr>
  </w:style>
  <w:style w:type="paragraph" w:customStyle="1" w:styleId="CTA2ai">
    <w:name w:val="CTA 2(a)(i)"/>
    <w:basedOn w:val="OPCParaBase"/>
    <w:rsid w:val="00FD6EC9"/>
    <w:pPr>
      <w:tabs>
        <w:tab w:val="right" w:pos="1089"/>
      </w:tabs>
      <w:spacing w:before="40" w:line="240" w:lineRule="atLeast"/>
      <w:ind w:left="1327" w:hanging="1327"/>
    </w:pPr>
    <w:rPr>
      <w:sz w:val="20"/>
    </w:rPr>
  </w:style>
  <w:style w:type="paragraph" w:customStyle="1" w:styleId="CTA3a">
    <w:name w:val="CTA 3(a)"/>
    <w:basedOn w:val="OPCParaBase"/>
    <w:rsid w:val="00FD6EC9"/>
    <w:pPr>
      <w:tabs>
        <w:tab w:val="right" w:pos="556"/>
      </w:tabs>
      <w:spacing w:before="40" w:line="240" w:lineRule="atLeast"/>
      <w:ind w:left="805" w:hanging="805"/>
    </w:pPr>
    <w:rPr>
      <w:sz w:val="20"/>
    </w:rPr>
  </w:style>
  <w:style w:type="paragraph" w:customStyle="1" w:styleId="CTA3ai">
    <w:name w:val="CTA 3(a)(i)"/>
    <w:basedOn w:val="OPCParaBase"/>
    <w:rsid w:val="00FD6EC9"/>
    <w:pPr>
      <w:tabs>
        <w:tab w:val="right" w:pos="1140"/>
      </w:tabs>
      <w:spacing w:before="40" w:line="240" w:lineRule="atLeast"/>
      <w:ind w:left="1361" w:hanging="1361"/>
    </w:pPr>
    <w:rPr>
      <w:sz w:val="20"/>
    </w:rPr>
  </w:style>
  <w:style w:type="paragraph" w:customStyle="1" w:styleId="CTA4a">
    <w:name w:val="CTA 4(a)"/>
    <w:basedOn w:val="OPCParaBase"/>
    <w:rsid w:val="00FD6EC9"/>
    <w:pPr>
      <w:tabs>
        <w:tab w:val="right" w:pos="624"/>
      </w:tabs>
      <w:spacing w:before="40" w:line="240" w:lineRule="atLeast"/>
      <w:ind w:left="873" w:hanging="873"/>
    </w:pPr>
    <w:rPr>
      <w:sz w:val="20"/>
    </w:rPr>
  </w:style>
  <w:style w:type="paragraph" w:customStyle="1" w:styleId="CTA4ai">
    <w:name w:val="CTA 4(a)(i)"/>
    <w:basedOn w:val="OPCParaBase"/>
    <w:rsid w:val="00FD6EC9"/>
    <w:pPr>
      <w:tabs>
        <w:tab w:val="right" w:pos="1213"/>
      </w:tabs>
      <w:spacing w:before="40" w:line="240" w:lineRule="atLeast"/>
      <w:ind w:left="1452" w:hanging="1452"/>
    </w:pPr>
    <w:rPr>
      <w:sz w:val="20"/>
    </w:rPr>
  </w:style>
  <w:style w:type="paragraph" w:customStyle="1" w:styleId="CTACAPS">
    <w:name w:val="CTA CAPS"/>
    <w:basedOn w:val="OPCParaBase"/>
    <w:rsid w:val="00FD6EC9"/>
    <w:pPr>
      <w:spacing w:before="60" w:line="240" w:lineRule="atLeast"/>
    </w:pPr>
    <w:rPr>
      <w:sz w:val="20"/>
    </w:rPr>
  </w:style>
  <w:style w:type="paragraph" w:customStyle="1" w:styleId="CTAright">
    <w:name w:val="CTA right"/>
    <w:basedOn w:val="OPCParaBase"/>
    <w:rsid w:val="00FD6EC9"/>
    <w:pPr>
      <w:spacing w:before="60" w:line="240" w:lineRule="auto"/>
      <w:jc w:val="right"/>
    </w:pPr>
    <w:rPr>
      <w:sz w:val="20"/>
    </w:rPr>
  </w:style>
  <w:style w:type="paragraph" w:customStyle="1" w:styleId="subsection">
    <w:name w:val="subsection"/>
    <w:aliases w:val="ss"/>
    <w:basedOn w:val="OPCParaBase"/>
    <w:link w:val="subsectionChar"/>
    <w:rsid w:val="00FD6EC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D6EC9"/>
    <w:pPr>
      <w:spacing w:before="180" w:line="240" w:lineRule="auto"/>
      <w:ind w:left="1134"/>
    </w:pPr>
  </w:style>
  <w:style w:type="paragraph" w:customStyle="1" w:styleId="EndNotespara">
    <w:name w:val="EndNotes(para)"/>
    <w:aliases w:val="eta"/>
    <w:basedOn w:val="OPCParaBase"/>
    <w:next w:val="EndNotessubpara"/>
    <w:rsid w:val="00FD6EC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D6EC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D6EC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D6EC9"/>
    <w:pPr>
      <w:tabs>
        <w:tab w:val="right" w:pos="1412"/>
      </w:tabs>
      <w:spacing w:before="60" w:line="240" w:lineRule="auto"/>
      <w:ind w:left="1525" w:hanging="1525"/>
    </w:pPr>
    <w:rPr>
      <w:sz w:val="20"/>
    </w:rPr>
  </w:style>
  <w:style w:type="paragraph" w:customStyle="1" w:styleId="Formula">
    <w:name w:val="Formula"/>
    <w:basedOn w:val="OPCParaBase"/>
    <w:rsid w:val="00FD6EC9"/>
    <w:pPr>
      <w:spacing w:line="240" w:lineRule="auto"/>
      <w:ind w:left="1134"/>
    </w:pPr>
    <w:rPr>
      <w:sz w:val="20"/>
    </w:rPr>
  </w:style>
  <w:style w:type="paragraph" w:styleId="Header">
    <w:name w:val="header"/>
    <w:basedOn w:val="OPCParaBase"/>
    <w:link w:val="HeaderChar"/>
    <w:unhideWhenUsed/>
    <w:rsid w:val="00FD6EC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D6EC9"/>
    <w:rPr>
      <w:rFonts w:eastAsia="Times New Roman" w:cs="Times New Roman"/>
      <w:sz w:val="16"/>
      <w:lang w:eastAsia="en-AU"/>
    </w:rPr>
  </w:style>
  <w:style w:type="paragraph" w:customStyle="1" w:styleId="House">
    <w:name w:val="House"/>
    <w:basedOn w:val="OPCParaBase"/>
    <w:rsid w:val="00FD6EC9"/>
    <w:pPr>
      <w:spacing w:line="240" w:lineRule="auto"/>
    </w:pPr>
    <w:rPr>
      <w:sz w:val="28"/>
    </w:rPr>
  </w:style>
  <w:style w:type="paragraph" w:customStyle="1" w:styleId="Item">
    <w:name w:val="Item"/>
    <w:aliases w:val="i"/>
    <w:basedOn w:val="OPCParaBase"/>
    <w:next w:val="ItemHead"/>
    <w:rsid w:val="00FD6EC9"/>
    <w:pPr>
      <w:keepLines/>
      <w:spacing w:before="80" w:line="240" w:lineRule="auto"/>
      <w:ind w:left="709"/>
    </w:pPr>
  </w:style>
  <w:style w:type="paragraph" w:customStyle="1" w:styleId="ItemHead">
    <w:name w:val="ItemHead"/>
    <w:aliases w:val="ih"/>
    <w:basedOn w:val="OPCParaBase"/>
    <w:next w:val="Item"/>
    <w:rsid w:val="00FD6EC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D6EC9"/>
    <w:pPr>
      <w:spacing w:line="240" w:lineRule="auto"/>
    </w:pPr>
    <w:rPr>
      <w:b/>
      <w:sz w:val="32"/>
    </w:rPr>
  </w:style>
  <w:style w:type="paragraph" w:customStyle="1" w:styleId="notedraft">
    <w:name w:val="note(draft)"/>
    <w:aliases w:val="nd"/>
    <w:basedOn w:val="OPCParaBase"/>
    <w:rsid w:val="00FD6EC9"/>
    <w:pPr>
      <w:spacing w:before="240" w:line="240" w:lineRule="auto"/>
      <w:ind w:left="284" w:hanging="284"/>
    </w:pPr>
    <w:rPr>
      <w:i/>
      <w:sz w:val="24"/>
    </w:rPr>
  </w:style>
  <w:style w:type="paragraph" w:customStyle="1" w:styleId="notemargin">
    <w:name w:val="note(margin)"/>
    <w:aliases w:val="nm"/>
    <w:basedOn w:val="OPCParaBase"/>
    <w:rsid w:val="00FD6EC9"/>
    <w:pPr>
      <w:tabs>
        <w:tab w:val="left" w:pos="709"/>
      </w:tabs>
      <w:spacing w:before="122" w:line="198" w:lineRule="exact"/>
      <w:ind w:left="709" w:hanging="709"/>
    </w:pPr>
    <w:rPr>
      <w:sz w:val="18"/>
    </w:rPr>
  </w:style>
  <w:style w:type="paragraph" w:customStyle="1" w:styleId="noteToPara">
    <w:name w:val="noteToPara"/>
    <w:aliases w:val="ntp"/>
    <w:basedOn w:val="OPCParaBase"/>
    <w:rsid w:val="00FD6EC9"/>
    <w:pPr>
      <w:spacing w:before="122" w:line="198" w:lineRule="exact"/>
      <w:ind w:left="2353" w:hanging="709"/>
    </w:pPr>
    <w:rPr>
      <w:sz w:val="18"/>
    </w:rPr>
  </w:style>
  <w:style w:type="paragraph" w:customStyle="1" w:styleId="noteParlAmend">
    <w:name w:val="note(ParlAmend)"/>
    <w:aliases w:val="npp"/>
    <w:basedOn w:val="OPCParaBase"/>
    <w:next w:val="ParlAmend"/>
    <w:rsid w:val="00FD6EC9"/>
    <w:pPr>
      <w:spacing w:line="240" w:lineRule="auto"/>
      <w:jc w:val="right"/>
    </w:pPr>
    <w:rPr>
      <w:rFonts w:ascii="Arial" w:hAnsi="Arial"/>
      <w:b/>
      <w:i/>
    </w:rPr>
  </w:style>
  <w:style w:type="paragraph" w:customStyle="1" w:styleId="notetext">
    <w:name w:val="note(text)"/>
    <w:aliases w:val="n"/>
    <w:basedOn w:val="OPCParaBase"/>
    <w:link w:val="notetextChar"/>
    <w:rsid w:val="00FD6EC9"/>
    <w:pPr>
      <w:spacing w:before="122" w:line="240" w:lineRule="auto"/>
      <w:ind w:left="1985" w:hanging="851"/>
    </w:pPr>
    <w:rPr>
      <w:sz w:val="18"/>
    </w:rPr>
  </w:style>
  <w:style w:type="paragraph" w:customStyle="1" w:styleId="Page1">
    <w:name w:val="Page1"/>
    <w:basedOn w:val="OPCParaBase"/>
    <w:rsid w:val="00FD6EC9"/>
    <w:pPr>
      <w:spacing w:before="5600" w:line="240" w:lineRule="auto"/>
    </w:pPr>
    <w:rPr>
      <w:b/>
      <w:sz w:val="32"/>
    </w:rPr>
  </w:style>
  <w:style w:type="paragraph" w:customStyle="1" w:styleId="PageBreak">
    <w:name w:val="PageBreak"/>
    <w:aliases w:val="pb"/>
    <w:basedOn w:val="OPCParaBase"/>
    <w:rsid w:val="00FD6EC9"/>
    <w:pPr>
      <w:spacing w:line="240" w:lineRule="auto"/>
    </w:pPr>
    <w:rPr>
      <w:sz w:val="20"/>
    </w:rPr>
  </w:style>
  <w:style w:type="paragraph" w:customStyle="1" w:styleId="paragraphsub">
    <w:name w:val="paragraph(sub)"/>
    <w:aliases w:val="aa"/>
    <w:basedOn w:val="OPCParaBase"/>
    <w:rsid w:val="00FD6EC9"/>
    <w:pPr>
      <w:tabs>
        <w:tab w:val="right" w:pos="1985"/>
      </w:tabs>
      <w:spacing w:before="40" w:line="240" w:lineRule="auto"/>
      <w:ind w:left="2098" w:hanging="2098"/>
    </w:pPr>
  </w:style>
  <w:style w:type="paragraph" w:customStyle="1" w:styleId="paragraphsub-sub">
    <w:name w:val="paragraph(sub-sub)"/>
    <w:aliases w:val="aaa"/>
    <w:basedOn w:val="OPCParaBase"/>
    <w:rsid w:val="00FD6EC9"/>
    <w:pPr>
      <w:tabs>
        <w:tab w:val="right" w:pos="2722"/>
      </w:tabs>
      <w:spacing w:before="40" w:line="240" w:lineRule="auto"/>
      <w:ind w:left="2835" w:hanging="2835"/>
    </w:pPr>
  </w:style>
  <w:style w:type="paragraph" w:customStyle="1" w:styleId="paragraph">
    <w:name w:val="paragraph"/>
    <w:aliases w:val="a"/>
    <w:basedOn w:val="OPCParaBase"/>
    <w:link w:val="paragraphChar"/>
    <w:rsid w:val="00FD6EC9"/>
    <w:pPr>
      <w:tabs>
        <w:tab w:val="right" w:pos="1531"/>
      </w:tabs>
      <w:spacing w:before="40" w:line="240" w:lineRule="auto"/>
      <w:ind w:left="1644" w:hanging="1644"/>
    </w:pPr>
  </w:style>
  <w:style w:type="paragraph" w:customStyle="1" w:styleId="ParlAmend">
    <w:name w:val="ParlAmend"/>
    <w:aliases w:val="pp"/>
    <w:basedOn w:val="OPCParaBase"/>
    <w:rsid w:val="00FD6EC9"/>
    <w:pPr>
      <w:spacing w:before="240" w:line="240" w:lineRule="atLeast"/>
      <w:ind w:hanging="567"/>
    </w:pPr>
    <w:rPr>
      <w:sz w:val="24"/>
    </w:rPr>
  </w:style>
  <w:style w:type="paragraph" w:customStyle="1" w:styleId="Penalty">
    <w:name w:val="Penalty"/>
    <w:basedOn w:val="OPCParaBase"/>
    <w:rsid w:val="00FD6EC9"/>
    <w:pPr>
      <w:tabs>
        <w:tab w:val="left" w:pos="2977"/>
      </w:tabs>
      <w:spacing w:before="180" w:line="240" w:lineRule="auto"/>
      <w:ind w:left="1985" w:hanging="851"/>
    </w:pPr>
  </w:style>
  <w:style w:type="paragraph" w:customStyle="1" w:styleId="Portfolio">
    <w:name w:val="Portfolio"/>
    <w:basedOn w:val="OPCParaBase"/>
    <w:rsid w:val="00FD6EC9"/>
    <w:pPr>
      <w:spacing w:line="240" w:lineRule="auto"/>
    </w:pPr>
    <w:rPr>
      <w:i/>
      <w:sz w:val="20"/>
    </w:rPr>
  </w:style>
  <w:style w:type="paragraph" w:customStyle="1" w:styleId="Preamble">
    <w:name w:val="Preamble"/>
    <w:basedOn w:val="OPCParaBase"/>
    <w:next w:val="Normal"/>
    <w:rsid w:val="00FD6EC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D6EC9"/>
    <w:pPr>
      <w:spacing w:line="240" w:lineRule="auto"/>
    </w:pPr>
    <w:rPr>
      <w:i/>
      <w:sz w:val="20"/>
    </w:rPr>
  </w:style>
  <w:style w:type="paragraph" w:customStyle="1" w:styleId="Session">
    <w:name w:val="Session"/>
    <w:basedOn w:val="OPCParaBase"/>
    <w:rsid w:val="00FD6EC9"/>
    <w:pPr>
      <w:spacing w:line="240" w:lineRule="auto"/>
    </w:pPr>
    <w:rPr>
      <w:sz w:val="28"/>
    </w:rPr>
  </w:style>
  <w:style w:type="paragraph" w:customStyle="1" w:styleId="Sponsor">
    <w:name w:val="Sponsor"/>
    <w:basedOn w:val="OPCParaBase"/>
    <w:rsid w:val="00FD6EC9"/>
    <w:pPr>
      <w:spacing w:line="240" w:lineRule="auto"/>
    </w:pPr>
    <w:rPr>
      <w:i/>
    </w:rPr>
  </w:style>
  <w:style w:type="paragraph" w:customStyle="1" w:styleId="Subitem">
    <w:name w:val="Subitem"/>
    <w:aliases w:val="iss"/>
    <w:basedOn w:val="OPCParaBase"/>
    <w:rsid w:val="00FD6EC9"/>
    <w:pPr>
      <w:spacing w:before="180" w:line="240" w:lineRule="auto"/>
      <w:ind w:left="709" w:hanging="709"/>
    </w:pPr>
  </w:style>
  <w:style w:type="paragraph" w:customStyle="1" w:styleId="SubitemHead">
    <w:name w:val="SubitemHead"/>
    <w:aliases w:val="issh"/>
    <w:basedOn w:val="OPCParaBase"/>
    <w:rsid w:val="00FD6EC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D6EC9"/>
    <w:pPr>
      <w:spacing w:before="40" w:line="240" w:lineRule="auto"/>
      <w:ind w:left="1134"/>
    </w:pPr>
  </w:style>
  <w:style w:type="paragraph" w:customStyle="1" w:styleId="SubsectionHead">
    <w:name w:val="SubsectionHead"/>
    <w:aliases w:val="ssh"/>
    <w:basedOn w:val="OPCParaBase"/>
    <w:next w:val="subsection"/>
    <w:rsid w:val="00FD6EC9"/>
    <w:pPr>
      <w:keepNext/>
      <w:keepLines/>
      <w:spacing w:before="240" w:line="240" w:lineRule="auto"/>
      <w:ind w:left="1134"/>
    </w:pPr>
    <w:rPr>
      <w:i/>
    </w:rPr>
  </w:style>
  <w:style w:type="paragraph" w:customStyle="1" w:styleId="Tablea">
    <w:name w:val="Table(a)"/>
    <w:aliases w:val="ta"/>
    <w:basedOn w:val="OPCParaBase"/>
    <w:rsid w:val="00FD6EC9"/>
    <w:pPr>
      <w:spacing w:before="60" w:line="240" w:lineRule="auto"/>
      <w:ind w:left="284" w:hanging="284"/>
    </w:pPr>
    <w:rPr>
      <w:sz w:val="20"/>
    </w:rPr>
  </w:style>
  <w:style w:type="paragraph" w:customStyle="1" w:styleId="TableAA">
    <w:name w:val="Table(AA)"/>
    <w:aliases w:val="taaa"/>
    <w:basedOn w:val="OPCParaBase"/>
    <w:rsid w:val="00FD6EC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D6EC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D6EC9"/>
    <w:pPr>
      <w:spacing w:before="60" w:line="240" w:lineRule="atLeast"/>
    </w:pPr>
    <w:rPr>
      <w:sz w:val="20"/>
    </w:rPr>
  </w:style>
  <w:style w:type="paragraph" w:customStyle="1" w:styleId="TLPBoxTextnote">
    <w:name w:val="TLPBoxText(note"/>
    <w:aliases w:val="right)"/>
    <w:basedOn w:val="OPCParaBase"/>
    <w:rsid w:val="00FD6EC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D6EC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D6EC9"/>
    <w:pPr>
      <w:spacing w:before="122" w:line="198" w:lineRule="exact"/>
      <w:ind w:left="1985" w:hanging="851"/>
      <w:jc w:val="right"/>
    </w:pPr>
    <w:rPr>
      <w:sz w:val="18"/>
    </w:rPr>
  </w:style>
  <w:style w:type="paragraph" w:customStyle="1" w:styleId="TLPTableBullet">
    <w:name w:val="TLPTableBullet"/>
    <w:aliases w:val="ttb"/>
    <w:basedOn w:val="OPCParaBase"/>
    <w:rsid w:val="00FD6EC9"/>
    <w:pPr>
      <w:spacing w:line="240" w:lineRule="exact"/>
      <w:ind w:left="284" w:hanging="284"/>
    </w:pPr>
    <w:rPr>
      <w:sz w:val="20"/>
    </w:rPr>
  </w:style>
  <w:style w:type="paragraph" w:styleId="TOC1">
    <w:name w:val="toc 1"/>
    <w:basedOn w:val="OPCParaBase"/>
    <w:next w:val="Normal"/>
    <w:uiPriority w:val="39"/>
    <w:unhideWhenUsed/>
    <w:rsid w:val="00FD6EC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D6EC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D6EC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D6EC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D6EC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D6EC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D6EC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D6EC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D6EC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D6EC9"/>
    <w:pPr>
      <w:keepLines/>
      <w:spacing w:before="240" w:after="120" w:line="240" w:lineRule="auto"/>
      <w:ind w:left="794"/>
    </w:pPr>
    <w:rPr>
      <w:b/>
      <w:kern w:val="28"/>
      <w:sz w:val="20"/>
    </w:rPr>
  </w:style>
  <w:style w:type="paragraph" w:customStyle="1" w:styleId="TofSectsHeading">
    <w:name w:val="TofSects(Heading)"/>
    <w:basedOn w:val="OPCParaBase"/>
    <w:rsid w:val="00FD6EC9"/>
    <w:pPr>
      <w:spacing w:before="240" w:after="120" w:line="240" w:lineRule="auto"/>
    </w:pPr>
    <w:rPr>
      <w:b/>
      <w:sz w:val="24"/>
    </w:rPr>
  </w:style>
  <w:style w:type="paragraph" w:customStyle="1" w:styleId="TofSectsSection">
    <w:name w:val="TofSects(Section)"/>
    <w:basedOn w:val="OPCParaBase"/>
    <w:rsid w:val="00FD6EC9"/>
    <w:pPr>
      <w:keepLines/>
      <w:spacing w:before="40" w:line="240" w:lineRule="auto"/>
      <w:ind w:left="1588" w:hanging="794"/>
    </w:pPr>
    <w:rPr>
      <w:kern w:val="28"/>
      <w:sz w:val="18"/>
    </w:rPr>
  </w:style>
  <w:style w:type="paragraph" w:customStyle="1" w:styleId="TofSectsSubdiv">
    <w:name w:val="TofSects(Subdiv)"/>
    <w:basedOn w:val="OPCParaBase"/>
    <w:rsid w:val="00FD6EC9"/>
    <w:pPr>
      <w:keepLines/>
      <w:spacing w:before="80" w:line="240" w:lineRule="auto"/>
      <w:ind w:left="1588" w:hanging="794"/>
    </w:pPr>
    <w:rPr>
      <w:kern w:val="28"/>
    </w:rPr>
  </w:style>
  <w:style w:type="paragraph" w:customStyle="1" w:styleId="WRStyle">
    <w:name w:val="WR Style"/>
    <w:aliases w:val="WR"/>
    <w:basedOn w:val="OPCParaBase"/>
    <w:rsid w:val="00FD6EC9"/>
    <w:pPr>
      <w:spacing w:before="240" w:line="240" w:lineRule="auto"/>
      <w:ind w:left="284" w:hanging="284"/>
    </w:pPr>
    <w:rPr>
      <w:b/>
      <w:i/>
      <w:kern w:val="28"/>
      <w:sz w:val="24"/>
    </w:rPr>
  </w:style>
  <w:style w:type="paragraph" w:customStyle="1" w:styleId="notepara">
    <w:name w:val="note(para)"/>
    <w:aliases w:val="na"/>
    <w:basedOn w:val="OPCParaBase"/>
    <w:rsid w:val="00FD6EC9"/>
    <w:pPr>
      <w:spacing w:before="40" w:line="198" w:lineRule="exact"/>
      <w:ind w:left="2354" w:hanging="369"/>
    </w:pPr>
    <w:rPr>
      <w:sz w:val="18"/>
    </w:rPr>
  </w:style>
  <w:style w:type="paragraph" w:styleId="Footer">
    <w:name w:val="footer"/>
    <w:link w:val="FooterChar"/>
    <w:rsid w:val="00FD6EC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D6EC9"/>
    <w:rPr>
      <w:rFonts w:eastAsia="Times New Roman" w:cs="Times New Roman"/>
      <w:sz w:val="22"/>
      <w:szCs w:val="24"/>
      <w:lang w:eastAsia="en-AU"/>
    </w:rPr>
  </w:style>
  <w:style w:type="character" w:styleId="LineNumber">
    <w:name w:val="line number"/>
    <w:basedOn w:val="OPCCharBase"/>
    <w:uiPriority w:val="99"/>
    <w:semiHidden/>
    <w:unhideWhenUsed/>
    <w:rsid w:val="00FD6EC9"/>
    <w:rPr>
      <w:sz w:val="16"/>
    </w:rPr>
  </w:style>
  <w:style w:type="table" w:customStyle="1" w:styleId="CFlag">
    <w:name w:val="CFlag"/>
    <w:basedOn w:val="TableNormal"/>
    <w:uiPriority w:val="99"/>
    <w:rsid w:val="00FD6EC9"/>
    <w:rPr>
      <w:rFonts w:eastAsia="Times New Roman" w:cs="Times New Roman"/>
      <w:lang w:eastAsia="en-AU"/>
    </w:rPr>
    <w:tblPr/>
  </w:style>
  <w:style w:type="paragraph" w:styleId="BalloonText">
    <w:name w:val="Balloon Text"/>
    <w:basedOn w:val="Normal"/>
    <w:link w:val="BalloonTextChar"/>
    <w:uiPriority w:val="99"/>
    <w:semiHidden/>
    <w:unhideWhenUsed/>
    <w:rsid w:val="00FD6E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C9"/>
    <w:rPr>
      <w:rFonts w:ascii="Tahoma" w:hAnsi="Tahoma" w:cs="Tahoma"/>
      <w:sz w:val="16"/>
      <w:szCs w:val="16"/>
    </w:rPr>
  </w:style>
  <w:style w:type="table" w:styleId="TableGrid">
    <w:name w:val="Table Grid"/>
    <w:basedOn w:val="TableNormal"/>
    <w:uiPriority w:val="59"/>
    <w:rsid w:val="00FD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D6EC9"/>
    <w:rPr>
      <w:b/>
      <w:sz w:val="28"/>
      <w:szCs w:val="32"/>
    </w:rPr>
  </w:style>
  <w:style w:type="paragraph" w:customStyle="1" w:styleId="TerritoryT">
    <w:name w:val="TerritoryT"/>
    <w:basedOn w:val="OPCParaBase"/>
    <w:next w:val="Normal"/>
    <w:rsid w:val="00FD6EC9"/>
    <w:rPr>
      <w:b/>
      <w:sz w:val="32"/>
    </w:rPr>
  </w:style>
  <w:style w:type="paragraph" w:customStyle="1" w:styleId="LegislationMadeUnder">
    <w:name w:val="LegislationMadeUnder"/>
    <w:basedOn w:val="OPCParaBase"/>
    <w:next w:val="Normal"/>
    <w:rsid w:val="00FD6EC9"/>
    <w:rPr>
      <w:i/>
      <w:sz w:val="32"/>
      <w:szCs w:val="32"/>
    </w:rPr>
  </w:style>
  <w:style w:type="paragraph" w:customStyle="1" w:styleId="SignCoverPageEnd">
    <w:name w:val="SignCoverPageEnd"/>
    <w:basedOn w:val="OPCParaBase"/>
    <w:next w:val="Normal"/>
    <w:rsid w:val="00FD6EC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D6EC9"/>
    <w:pPr>
      <w:pBdr>
        <w:top w:val="single" w:sz="4" w:space="1" w:color="auto"/>
      </w:pBdr>
      <w:spacing w:before="360"/>
      <w:ind w:right="397"/>
      <w:jc w:val="both"/>
    </w:pPr>
  </w:style>
  <w:style w:type="paragraph" w:customStyle="1" w:styleId="NotesHeading2">
    <w:name w:val="NotesHeading 2"/>
    <w:basedOn w:val="OPCParaBase"/>
    <w:next w:val="Normal"/>
    <w:rsid w:val="00FD6EC9"/>
    <w:rPr>
      <w:b/>
      <w:sz w:val="28"/>
      <w:szCs w:val="28"/>
    </w:rPr>
  </w:style>
  <w:style w:type="paragraph" w:customStyle="1" w:styleId="NotesHeading1">
    <w:name w:val="NotesHeading 1"/>
    <w:basedOn w:val="OPCParaBase"/>
    <w:next w:val="Normal"/>
    <w:rsid w:val="00FD6EC9"/>
    <w:rPr>
      <w:b/>
      <w:sz w:val="28"/>
      <w:szCs w:val="28"/>
    </w:rPr>
  </w:style>
  <w:style w:type="paragraph" w:customStyle="1" w:styleId="CompiledActNo">
    <w:name w:val="CompiledActNo"/>
    <w:basedOn w:val="OPCParaBase"/>
    <w:next w:val="Normal"/>
    <w:rsid w:val="00FD6EC9"/>
    <w:rPr>
      <w:b/>
      <w:sz w:val="24"/>
      <w:szCs w:val="24"/>
    </w:rPr>
  </w:style>
  <w:style w:type="paragraph" w:customStyle="1" w:styleId="ENotesText">
    <w:name w:val="ENotesText"/>
    <w:aliases w:val="Ent"/>
    <w:basedOn w:val="OPCParaBase"/>
    <w:next w:val="Normal"/>
    <w:rsid w:val="00FD6EC9"/>
    <w:pPr>
      <w:spacing w:before="120"/>
    </w:pPr>
  </w:style>
  <w:style w:type="paragraph" w:customStyle="1" w:styleId="CompiledMadeUnder">
    <w:name w:val="CompiledMadeUnder"/>
    <w:basedOn w:val="OPCParaBase"/>
    <w:next w:val="Normal"/>
    <w:rsid w:val="00FD6EC9"/>
    <w:rPr>
      <w:i/>
      <w:sz w:val="24"/>
      <w:szCs w:val="24"/>
    </w:rPr>
  </w:style>
  <w:style w:type="paragraph" w:customStyle="1" w:styleId="Paragraphsub-sub-sub">
    <w:name w:val="Paragraph(sub-sub-sub)"/>
    <w:aliases w:val="aaaa"/>
    <w:basedOn w:val="OPCParaBase"/>
    <w:rsid w:val="00FD6EC9"/>
    <w:pPr>
      <w:tabs>
        <w:tab w:val="right" w:pos="3402"/>
      </w:tabs>
      <w:spacing w:before="40" w:line="240" w:lineRule="auto"/>
      <w:ind w:left="3402" w:hanging="3402"/>
    </w:pPr>
  </w:style>
  <w:style w:type="paragraph" w:customStyle="1" w:styleId="TableTextEndNotes">
    <w:name w:val="TableTextEndNotes"/>
    <w:aliases w:val="Tten"/>
    <w:basedOn w:val="Normal"/>
    <w:rsid w:val="00FD6EC9"/>
    <w:pPr>
      <w:spacing w:before="60" w:line="240" w:lineRule="auto"/>
    </w:pPr>
    <w:rPr>
      <w:rFonts w:cs="Arial"/>
      <w:sz w:val="20"/>
      <w:szCs w:val="22"/>
    </w:rPr>
  </w:style>
  <w:style w:type="paragraph" w:customStyle="1" w:styleId="NoteToSubpara">
    <w:name w:val="NoteToSubpara"/>
    <w:aliases w:val="nts"/>
    <w:basedOn w:val="OPCParaBase"/>
    <w:rsid w:val="00FD6EC9"/>
    <w:pPr>
      <w:spacing w:before="40" w:line="198" w:lineRule="exact"/>
      <w:ind w:left="2835" w:hanging="709"/>
    </w:pPr>
    <w:rPr>
      <w:sz w:val="18"/>
    </w:rPr>
  </w:style>
  <w:style w:type="paragraph" w:customStyle="1" w:styleId="ENoteTableHeading">
    <w:name w:val="ENoteTableHeading"/>
    <w:aliases w:val="enth"/>
    <w:basedOn w:val="OPCParaBase"/>
    <w:rsid w:val="00FD6EC9"/>
    <w:pPr>
      <w:keepNext/>
      <w:spacing w:before="60" w:line="240" w:lineRule="atLeast"/>
    </w:pPr>
    <w:rPr>
      <w:rFonts w:ascii="Arial" w:hAnsi="Arial"/>
      <w:b/>
      <w:sz w:val="16"/>
    </w:rPr>
  </w:style>
  <w:style w:type="paragraph" w:customStyle="1" w:styleId="ENoteTTi">
    <w:name w:val="ENoteTTi"/>
    <w:aliases w:val="entti"/>
    <w:basedOn w:val="OPCParaBase"/>
    <w:rsid w:val="00FD6EC9"/>
    <w:pPr>
      <w:keepNext/>
      <w:spacing w:before="60" w:line="240" w:lineRule="atLeast"/>
      <w:ind w:left="170"/>
    </w:pPr>
    <w:rPr>
      <w:sz w:val="16"/>
    </w:rPr>
  </w:style>
  <w:style w:type="paragraph" w:customStyle="1" w:styleId="ENotesHeading1">
    <w:name w:val="ENotesHeading 1"/>
    <w:aliases w:val="Enh1"/>
    <w:basedOn w:val="OPCParaBase"/>
    <w:next w:val="Normal"/>
    <w:rsid w:val="00FD6EC9"/>
    <w:pPr>
      <w:spacing w:before="120"/>
      <w:outlineLvl w:val="1"/>
    </w:pPr>
    <w:rPr>
      <w:b/>
      <w:sz w:val="28"/>
      <w:szCs w:val="28"/>
    </w:rPr>
  </w:style>
  <w:style w:type="paragraph" w:customStyle="1" w:styleId="ENotesHeading2">
    <w:name w:val="ENotesHeading 2"/>
    <w:aliases w:val="Enh2"/>
    <w:basedOn w:val="OPCParaBase"/>
    <w:next w:val="Normal"/>
    <w:rsid w:val="00FD6EC9"/>
    <w:pPr>
      <w:spacing w:before="120" w:after="120"/>
      <w:outlineLvl w:val="2"/>
    </w:pPr>
    <w:rPr>
      <w:b/>
      <w:sz w:val="24"/>
      <w:szCs w:val="28"/>
    </w:rPr>
  </w:style>
  <w:style w:type="paragraph" w:customStyle="1" w:styleId="ENoteTTIndentHeading">
    <w:name w:val="ENoteTTIndentHeading"/>
    <w:aliases w:val="enTTHi"/>
    <w:basedOn w:val="OPCParaBase"/>
    <w:rsid w:val="00FD6EC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D6EC9"/>
    <w:pPr>
      <w:spacing w:before="60" w:line="240" w:lineRule="atLeast"/>
    </w:pPr>
    <w:rPr>
      <w:sz w:val="16"/>
    </w:rPr>
  </w:style>
  <w:style w:type="paragraph" w:customStyle="1" w:styleId="MadeunderText">
    <w:name w:val="MadeunderText"/>
    <w:basedOn w:val="OPCParaBase"/>
    <w:next w:val="CompiledMadeUnder"/>
    <w:rsid w:val="00FD6EC9"/>
    <w:pPr>
      <w:spacing w:before="240"/>
    </w:pPr>
    <w:rPr>
      <w:sz w:val="24"/>
      <w:szCs w:val="24"/>
    </w:rPr>
  </w:style>
  <w:style w:type="paragraph" w:customStyle="1" w:styleId="ENotesHeading3">
    <w:name w:val="ENotesHeading 3"/>
    <w:aliases w:val="Enh3"/>
    <w:basedOn w:val="OPCParaBase"/>
    <w:next w:val="Normal"/>
    <w:rsid w:val="00FD6EC9"/>
    <w:pPr>
      <w:keepNext/>
      <w:spacing w:before="120" w:line="240" w:lineRule="auto"/>
      <w:outlineLvl w:val="4"/>
    </w:pPr>
    <w:rPr>
      <w:b/>
      <w:szCs w:val="24"/>
    </w:rPr>
  </w:style>
  <w:style w:type="character" w:customStyle="1" w:styleId="CharSubPartTextCASA">
    <w:name w:val="CharSubPartText(CASA)"/>
    <w:basedOn w:val="OPCCharBase"/>
    <w:uiPriority w:val="1"/>
    <w:rsid w:val="00FD6EC9"/>
  </w:style>
  <w:style w:type="character" w:customStyle="1" w:styleId="CharSubPartNoCASA">
    <w:name w:val="CharSubPartNo(CASA)"/>
    <w:basedOn w:val="OPCCharBase"/>
    <w:uiPriority w:val="1"/>
    <w:rsid w:val="00FD6EC9"/>
  </w:style>
  <w:style w:type="paragraph" w:customStyle="1" w:styleId="ENoteTTIndentHeadingSub">
    <w:name w:val="ENoteTTIndentHeadingSub"/>
    <w:aliases w:val="enTTHis"/>
    <w:basedOn w:val="OPCParaBase"/>
    <w:rsid w:val="00FD6EC9"/>
    <w:pPr>
      <w:keepNext/>
      <w:spacing w:before="60" w:line="240" w:lineRule="atLeast"/>
      <w:ind w:left="340"/>
    </w:pPr>
    <w:rPr>
      <w:b/>
      <w:sz w:val="16"/>
    </w:rPr>
  </w:style>
  <w:style w:type="paragraph" w:customStyle="1" w:styleId="ENoteTTiSub">
    <w:name w:val="ENoteTTiSub"/>
    <w:aliases w:val="enttis"/>
    <w:basedOn w:val="OPCParaBase"/>
    <w:rsid w:val="00FD6EC9"/>
    <w:pPr>
      <w:keepNext/>
      <w:spacing w:before="60" w:line="240" w:lineRule="atLeast"/>
      <w:ind w:left="340"/>
    </w:pPr>
    <w:rPr>
      <w:sz w:val="16"/>
    </w:rPr>
  </w:style>
  <w:style w:type="paragraph" w:customStyle="1" w:styleId="SubDivisionMigration">
    <w:name w:val="SubDivisionMigration"/>
    <w:aliases w:val="sdm"/>
    <w:basedOn w:val="OPCParaBase"/>
    <w:rsid w:val="00FD6EC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D6EC9"/>
    <w:pPr>
      <w:keepNext/>
      <w:keepLines/>
      <w:spacing w:before="240" w:line="240" w:lineRule="auto"/>
      <w:ind w:left="1134" w:hanging="1134"/>
    </w:pPr>
    <w:rPr>
      <w:b/>
      <w:sz w:val="28"/>
    </w:rPr>
  </w:style>
  <w:style w:type="paragraph" w:customStyle="1" w:styleId="FreeForm">
    <w:name w:val="FreeForm"/>
    <w:rsid w:val="00190377"/>
    <w:rPr>
      <w:rFonts w:ascii="Arial" w:hAnsi="Arial"/>
      <w:sz w:val="22"/>
    </w:rPr>
  </w:style>
  <w:style w:type="paragraph" w:customStyle="1" w:styleId="SOText">
    <w:name w:val="SO Text"/>
    <w:aliases w:val="sot"/>
    <w:link w:val="SOTextChar"/>
    <w:rsid w:val="00FD6EC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D6EC9"/>
    <w:rPr>
      <w:sz w:val="22"/>
    </w:rPr>
  </w:style>
  <w:style w:type="paragraph" w:customStyle="1" w:styleId="SOTextNote">
    <w:name w:val="SO TextNote"/>
    <w:aliases w:val="sont"/>
    <w:basedOn w:val="SOText"/>
    <w:qFormat/>
    <w:rsid w:val="00FD6EC9"/>
    <w:pPr>
      <w:spacing w:before="122" w:line="198" w:lineRule="exact"/>
      <w:ind w:left="1843" w:hanging="709"/>
    </w:pPr>
    <w:rPr>
      <w:sz w:val="18"/>
    </w:rPr>
  </w:style>
  <w:style w:type="paragraph" w:customStyle="1" w:styleId="SOPara">
    <w:name w:val="SO Para"/>
    <w:aliases w:val="soa"/>
    <w:basedOn w:val="SOText"/>
    <w:link w:val="SOParaChar"/>
    <w:qFormat/>
    <w:rsid w:val="00FD6EC9"/>
    <w:pPr>
      <w:tabs>
        <w:tab w:val="right" w:pos="1786"/>
      </w:tabs>
      <w:spacing w:before="40"/>
      <w:ind w:left="2070" w:hanging="936"/>
    </w:pPr>
  </w:style>
  <w:style w:type="character" w:customStyle="1" w:styleId="SOParaChar">
    <w:name w:val="SO Para Char"/>
    <w:aliases w:val="soa Char"/>
    <w:basedOn w:val="DefaultParagraphFont"/>
    <w:link w:val="SOPara"/>
    <w:rsid w:val="00FD6EC9"/>
    <w:rPr>
      <w:sz w:val="22"/>
    </w:rPr>
  </w:style>
  <w:style w:type="paragraph" w:customStyle="1" w:styleId="FileName">
    <w:name w:val="FileName"/>
    <w:basedOn w:val="Normal"/>
    <w:rsid w:val="00FD6EC9"/>
  </w:style>
  <w:style w:type="paragraph" w:customStyle="1" w:styleId="TableHeading">
    <w:name w:val="TableHeading"/>
    <w:aliases w:val="th"/>
    <w:basedOn w:val="OPCParaBase"/>
    <w:next w:val="Tabletext"/>
    <w:rsid w:val="00FD6EC9"/>
    <w:pPr>
      <w:keepNext/>
      <w:spacing w:before="60" w:line="240" w:lineRule="atLeast"/>
    </w:pPr>
    <w:rPr>
      <w:b/>
      <w:sz w:val="20"/>
    </w:rPr>
  </w:style>
  <w:style w:type="paragraph" w:customStyle="1" w:styleId="SOHeadBold">
    <w:name w:val="SO HeadBold"/>
    <w:aliases w:val="sohb"/>
    <w:basedOn w:val="SOText"/>
    <w:next w:val="SOText"/>
    <w:link w:val="SOHeadBoldChar"/>
    <w:qFormat/>
    <w:rsid w:val="00FD6EC9"/>
    <w:rPr>
      <w:b/>
    </w:rPr>
  </w:style>
  <w:style w:type="character" w:customStyle="1" w:styleId="SOHeadBoldChar">
    <w:name w:val="SO HeadBold Char"/>
    <w:aliases w:val="sohb Char"/>
    <w:basedOn w:val="DefaultParagraphFont"/>
    <w:link w:val="SOHeadBold"/>
    <w:rsid w:val="00FD6EC9"/>
    <w:rPr>
      <w:b/>
      <w:sz w:val="22"/>
    </w:rPr>
  </w:style>
  <w:style w:type="paragraph" w:customStyle="1" w:styleId="SOHeadItalic">
    <w:name w:val="SO HeadItalic"/>
    <w:aliases w:val="sohi"/>
    <w:basedOn w:val="SOText"/>
    <w:next w:val="SOText"/>
    <w:link w:val="SOHeadItalicChar"/>
    <w:qFormat/>
    <w:rsid w:val="00FD6EC9"/>
    <w:rPr>
      <w:i/>
    </w:rPr>
  </w:style>
  <w:style w:type="character" w:customStyle="1" w:styleId="SOHeadItalicChar">
    <w:name w:val="SO HeadItalic Char"/>
    <w:aliases w:val="sohi Char"/>
    <w:basedOn w:val="DefaultParagraphFont"/>
    <w:link w:val="SOHeadItalic"/>
    <w:rsid w:val="00FD6EC9"/>
    <w:rPr>
      <w:i/>
      <w:sz w:val="22"/>
    </w:rPr>
  </w:style>
  <w:style w:type="paragraph" w:customStyle="1" w:styleId="SOBullet">
    <w:name w:val="SO Bullet"/>
    <w:aliases w:val="sotb"/>
    <w:basedOn w:val="SOText"/>
    <w:link w:val="SOBulletChar"/>
    <w:qFormat/>
    <w:rsid w:val="00FD6EC9"/>
    <w:pPr>
      <w:ind w:left="1559" w:hanging="425"/>
    </w:pPr>
  </w:style>
  <w:style w:type="character" w:customStyle="1" w:styleId="SOBulletChar">
    <w:name w:val="SO Bullet Char"/>
    <w:aliases w:val="sotb Char"/>
    <w:basedOn w:val="DefaultParagraphFont"/>
    <w:link w:val="SOBullet"/>
    <w:rsid w:val="00FD6EC9"/>
    <w:rPr>
      <w:sz w:val="22"/>
    </w:rPr>
  </w:style>
  <w:style w:type="paragraph" w:customStyle="1" w:styleId="SOBulletNote">
    <w:name w:val="SO BulletNote"/>
    <w:aliases w:val="sonb"/>
    <w:basedOn w:val="SOTextNote"/>
    <w:link w:val="SOBulletNoteChar"/>
    <w:qFormat/>
    <w:rsid w:val="00FD6EC9"/>
    <w:pPr>
      <w:tabs>
        <w:tab w:val="left" w:pos="1560"/>
      </w:tabs>
      <w:ind w:left="2268" w:hanging="1134"/>
    </w:pPr>
  </w:style>
  <w:style w:type="character" w:customStyle="1" w:styleId="SOBulletNoteChar">
    <w:name w:val="SO BulletNote Char"/>
    <w:aliases w:val="sonb Char"/>
    <w:basedOn w:val="DefaultParagraphFont"/>
    <w:link w:val="SOBulletNote"/>
    <w:rsid w:val="00FD6EC9"/>
    <w:rPr>
      <w:sz w:val="18"/>
    </w:rPr>
  </w:style>
  <w:style w:type="paragraph" w:customStyle="1" w:styleId="SOText2">
    <w:name w:val="SO Text2"/>
    <w:aliases w:val="sot2"/>
    <w:basedOn w:val="Normal"/>
    <w:next w:val="SOText"/>
    <w:link w:val="SOText2Char"/>
    <w:rsid w:val="00FD6EC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D6EC9"/>
    <w:rPr>
      <w:sz w:val="22"/>
    </w:rPr>
  </w:style>
  <w:style w:type="paragraph" w:customStyle="1" w:styleId="SubPartCASA">
    <w:name w:val="SubPart(CASA)"/>
    <w:aliases w:val="csp"/>
    <w:basedOn w:val="OPCParaBase"/>
    <w:next w:val="ActHead3"/>
    <w:rsid w:val="00FD6EC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357B7"/>
    <w:rPr>
      <w:rFonts w:eastAsia="Times New Roman" w:cs="Times New Roman"/>
      <w:sz w:val="22"/>
      <w:lang w:eastAsia="en-AU"/>
    </w:rPr>
  </w:style>
  <w:style w:type="character" w:customStyle="1" w:styleId="notetextChar">
    <w:name w:val="note(text) Char"/>
    <w:aliases w:val="n Char"/>
    <w:basedOn w:val="DefaultParagraphFont"/>
    <w:link w:val="notetext"/>
    <w:rsid w:val="000357B7"/>
    <w:rPr>
      <w:rFonts w:eastAsia="Times New Roman" w:cs="Times New Roman"/>
      <w:sz w:val="18"/>
      <w:lang w:eastAsia="en-AU"/>
    </w:rPr>
  </w:style>
  <w:style w:type="character" w:customStyle="1" w:styleId="Heading1Char">
    <w:name w:val="Heading 1 Char"/>
    <w:basedOn w:val="DefaultParagraphFont"/>
    <w:link w:val="Heading1"/>
    <w:rsid w:val="000A00B8"/>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0A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00B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A00B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A00B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A00B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A00B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A00B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A00B8"/>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0A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aliases w:val="a Char"/>
    <w:link w:val="paragraph"/>
    <w:rsid w:val="00B07608"/>
    <w:rPr>
      <w:rFonts w:eastAsia="Times New Roman" w:cs="Times New Roman"/>
      <w:sz w:val="22"/>
      <w:lang w:eastAsia="en-AU"/>
    </w:rPr>
  </w:style>
  <w:style w:type="character" w:customStyle="1" w:styleId="DefinitionChar">
    <w:name w:val="Definition Char"/>
    <w:aliases w:val="dd Char"/>
    <w:link w:val="Definition"/>
    <w:rsid w:val="00B07608"/>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E67F-F3A5-44EC-A8FB-4638BF8D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11</Pages>
  <Words>1415</Words>
  <Characters>8067</Characters>
  <Application>Microsoft Office Word</Application>
  <DocSecurity>4</DocSecurity>
  <PresentationFormat/>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2015-09-24T05:45:00Z</cp:lastPrinted>
  <dcterms:created xsi:type="dcterms:W3CDTF">2016-08-11T04:53:00Z</dcterms:created>
  <dcterms:modified xsi:type="dcterms:W3CDTF">2016-08-11T04:53:00Z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175, 2015</vt:lpwstr>
  </property>
  <property fmtid="{D5CDD505-2E9C-101B-9397-08002B2CF9AE}" pid="3" name="ShortT">
    <vt:lpwstr>Asian Infrastructure Investment Bank (Privileges and Immunities)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29 October 2015</vt:lpwstr>
  </property>
  <property fmtid="{D5CDD505-2E9C-101B-9397-08002B2CF9AE}" pid="9" name="Exco">
    <vt:lpwstr>Yes</vt:lpwstr>
  </property>
  <property fmtid="{D5CDD505-2E9C-101B-9397-08002B2CF9AE}" pid="10" name="Authority">
    <vt:lpwstr/>
  </property>
  <property fmtid="{D5CDD505-2E9C-101B-9397-08002B2CF9AE}" pid="11" name="ID">
    <vt:lpwstr>OPC61555</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B</vt:lpwstr>
  </property>
  <property fmtid="{D5CDD505-2E9C-101B-9397-08002B2CF9AE}" pid="17" name="CounterSign">
    <vt:lpwstr/>
  </property>
  <property fmtid="{D5CDD505-2E9C-101B-9397-08002B2CF9AE}" pid="18" name="ExcoDate">
    <vt:lpwstr>29 October 2015</vt:lpwstr>
  </property>
</Properties>
</file>