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C5D" w:rsidRPr="00AD5496" w:rsidRDefault="009A1C5D" w:rsidP="009A1C5D">
      <w:pPr>
        <w:jc w:val="center"/>
        <w:rPr>
          <w:rFonts w:ascii="Times New Roman" w:hAnsi="Times New Roman" w:cs="Times New Roman"/>
          <w:b/>
          <w:sz w:val="24"/>
          <w:szCs w:val="24"/>
        </w:rPr>
      </w:pPr>
      <w:bookmarkStart w:id="0" w:name="_GoBack"/>
      <w:bookmarkEnd w:id="0"/>
      <w:r w:rsidRPr="00AD5496">
        <w:rPr>
          <w:rFonts w:ascii="Times New Roman" w:hAnsi="Times New Roman" w:cs="Times New Roman"/>
          <w:b/>
          <w:sz w:val="24"/>
          <w:szCs w:val="24"/>
        </w:rPr>
        <w:t>Explanatory Statement</w:t>
      </w:r>
    </w:p>
    <w:p w:rsidR="00EA32B1" w:rsidRDefault="00EA32B1" w:rsidP="009A1C5D">
      <w:pPr>
        <w:jc w:val="center"/>
        <w:rPr>
          <w:rFonts w:ascii="Times New Roman" w:hAnsi="Times New Roman" w:cs="Times New Roman"/>
          <w:i/>
          <w:sz w:val="24"/>
          <w:szCs w:val="24"/>
        </w:rPr>
      </w:pPr>
      <w:r>
        <w:rPr>
          <w:rFonts w:ascii="Times New Roman" w:hAnsi="Times New Roman" w:cs="Times New Roman"/>
          <w:i/>
          <w:sz w:val="24"/>
          <w:szCs w:val="24"/>
        </w:rPr>
        <w:t>Customs Act 1901</w:t>
      </w:r>
    </w:p>
    <w:p w:rsidR="009A1C5D" w:rsidRPr="00AD5496" w:rsidRDefault="009A1C5D" w:rsidP="009A1C5D">
      <w:pPr>
        <w:jc w:val="center"/>
        <w:rPr>
          <w:rFonts w:ascii="Times New Roman" w:hAnsi="Times New Roman" w:cs="Times New Roman"/>
          <w:i/>
          <w:sz w:val="24"/>
          <w:szCs w:val="24"/>
        </w:rPr>
      </w:pPr>
      <w:r w:rsidRPr="00AD5496">
        <w:rPr>
          <w:rFonts w:ascii="Times New Roman" w:hAnsi="Times New Roman" w:cs="Times New Roman"/>
          <w:i/>
          <w:sz w:val="24"/>
          <w:szCs w:val="24"/>
        </w:rPr>
        <w:t xml:space="preserve">Customs (Extensions of Time and </w:t>
      </w:r>
      <w:r w:rsidR="00364CA2" w:rsidRPr="00AD5496">
        <w:rPr>
          <w:rFonts w:ascii="Times New Roman" w:hAnsi="Times New Roman" w:cs="Times New Roman"/>
          <w:i/>
          <w:sz w:val="24"/>
          <w:szCs w:val="24"/>
        </w:rPr>
        <w:t>Non</w:t>
      </w:r>
      <w:r w:rsidRPr="00AD5496">
        <w:rPr>
          <w:rFonts w:ascii="Times New Roman" w:hAnsi="Times New Roman" w:cs="Times New Roman"/>
          <w:i/>
          <w:sz w:val="24"/>
          <w:szCs w:val="24"/>
        </w:rPr>
        <w:t>-cooperation) Direction 2015</w:t>
      </w:r>
    </w:p>
    <w:p w:rsidR="009A1C5D" w:rsidRPr="00AD5496" w:rsidRDefault="009A1C5D" w:rsidP="009A1C5D">
      <w:pPr>
        <w:jc w:val="center"/>
        <w:rPr>
          <w:rFonts w:ascii="Times New Roman" w:hAnsi="Times New Roman" w:cs="Times New Roman"/>
          <w:sz w:val="24"/>
          <w:szCs w:val="24"/>
        </w:rPr>
      </w:pPr>
      <w:r w:rsidRPr="00AD5496">
        <w:rPr>
          <w:rFonts w:ascii="Times New Roman" w:hAnsi="Times New Roman" w:cs="Times New Roman"/>
          <w:sz w:val="24"/>
          <w:szCs w:val="24"/>
          <w:u w:val="single"/>
        </w:rPr>
        <w:t>Made by the Minister for Industry</w:t>
      </w:r>
      <w:r w:rsidR="00A1140F">
        <w:rPr>
          <w:rFonts w:ascii="Times New Roman" w:hAnsi="Times New Roman" w:cs="Times New Roman"/>
          <w:sz w:val="24"/>
          <w:szCs w:val="24"/>
          <w:u w:val="single"/>
        </w:rPr>
        <w:t>, Innovation</w:t>
      </w:r>
      <w:r w:rsidRPr="00AD5496">
        <w:rPr>
          <w:rFonts w:ascii="Times New Roman" w:hAnsi="Times New Roman" w:cs="Times New Roman"/>
          <w:sz w:val="24"/>
          <w:szCs w:val="24"/>
          <w:u w:val="single"/>
        </w:rPr>
        <w:t xml:space="preserve"> and Science</w:t>
      </w:r>
    </w:p>
    <w:p w:rsidR="009A1C5D" w:rsidRPr="00AD5496" w:rsidRDefault="00264245" w:rsidP="009A1C5D">
      <w:pPr>
        <w:rPr>
          <w:rFonts w:ascii="Times New Roman" w:hAnsi="Times New Roman" w:cs="Times New Roman"/>
          <w:b/>
          <w:sz w:val="24"/>
          <w:szCs w:val="24"/>
        </w:rPr>
      </w:pPr>
      <w:r w:rsidRPr="00AD5496">
        <w:rPr>
          <w:rFonts w:ascii="Times New Roman" w:hAnsi="Times New Roman" w:cs="Times New Roman"/>
          <w:b/>
          <w:sz w:val="24"/>
          <w:szCs w:val="24"/>
        </w:rPr>
        <w:t>Purpose</w:t>
      </w:r>
      <w:r w:rsidR="00EE5617">
        <w:rPr>
          <w:rFonts w:ascii="Times New Roman" w:hAnsi="Times New Roman" w:cs="Times New Roman"/>
          <w:b/>
          <w:sz w:val="24"/>
          <w:szCs w:val="24"/>
        </w:rPr>
        <w:t xml:space="preserve"> and Operation</w:t>
      </w:r>
    </w:p>
    <w:p w:rsidR="009A1C5D" w:rsidRPr="00AD5496" w:rsidRDefault="009A1C5D" w:rsidP="009A1C5D">
      <w:pPr>
        <w:rPr>
          <w:rFonts w:ascii="Times New Roman" w:hAnsi="Times New Roman" w:cs="Times New Roman"/>
          <w:sz w:val="24"/>
          <w:szCs w:val="24"/>
        </w:rPr>
      </w:pPr>
      <w:r w:rsidRPr="00AD5496">
        <w:rPr>
          <w:rFonts w:ascii="Times New Roman" w:hAnsi="Times New Roman" w:cs="Times New Roman"/>
          <w:sz w:val="24"/>
          <w:szCs w:val="24"/>
        </w:rPr>
        <w:t xml:space="preserve">The </w:t>
      </w:r>
      <w:r w:rsidRPr="00AD5496">
        <w:rPr>
          <w:rFonts w:ascii="Times New Roman" w:hAnsi="Times New Roman" w:cs="Times New Roman"/>
          <w:i/>
          <w:sz w:val="24"/>
          <w:szCs w:val="24"/>
        </w:rPr>
        <w:t xml:space="preserve">Customs (Extensions of Time and </w:t>
      </w:r>
      <w:r w:rsidR="00364CA2" w:rsidRPr="00AD5496">
        <w:rPr>
          <w:rFonts w:ascii="Times New Roman" w:hAnsi="Times New Roman" w:cs="Times New Roman"/>
          <w:i/>
          <w:sz w:val="24"/>
          <w:szCs w:val="24"/>
        </w:rPr>
        <w:t>Non</w:t>
      </w:r>
      <w:r w:rsidRPr="00AD5496">
        <w:rPr>
          <w:rFonts w:ascii="Times New Roman" w:hAnsi="Times New Roman" w:cs="Times New Roman"/>
          <w:i/>
          <w:sz w:val="24"/>
          <w:szCs w:val="24"/>
        </w:rPr>
        <w:t>-cooperation) Direction</w:t>
      </w:r>
      <w:r w:rsidR="00761557" w:rsidRPr="00AD5496">
        <w:rPr>
          <w:rFonts w:ascii="Times New Roman" w:hAnsi="Times New Roman" w:cs="Times New Roman"/>
          <w:i/>
          <w:sz w:val="24"/>
          <w:szCs w:val="24"/>
        </w:rPr>
        <w:t xml:space="preserve"> </w:t>
      </w:r>
      <w:r w:rsidRPr="00AD5496">
        <w:rPr>
          <w:rFonts w:ascii="Times New Roman" w:hAnsi="Times New Roman" w:cs="Times New Roman"/>
          <w:i/>
          <w:sz w:val="24"/>
          <w:szCs w:val="24"/>
        </w:rPr>
        <w:t>2015</w:t>
      </w:r>
      <w:r w:rsidRPr="00AD5496">
        <w:rPr>
          <w:rFonts w:ascii="Times New Roman" w:hAnsi="Times New Roman" w:cs="Times New Roman"/>
          <w:sz w:val="24"/>
          <w:szCs w:val="24"/>
        </w:rPr>
        <w:t xml:space="preserve"> (‘the </w:t>
      </w:r>
      <w:r w:rsidR="009035CE" w:rsidRPr="00AD5496">
        <w:rPr>
          <w:rFonts w:ascii="Times New Roman" w:hAnsi="Times New Roman" w:cs="Times New Roman"/>
          <w:sz w:val="24"/>
          <w:szCs w:val="24"/>
        </w:rPr>
        <w:t>Direction</w:t>
      </w:r>
      <w:r w:rsidR="00126806" w:rsidRPr="00AD5496">
        <w:rPr>
          <w:rFonts w:ascii="Times New Roman" w:hAnsi="Times New Roman" w:cs="Times New Roman"/>
          <w:sz w:val="24"/>
          <w:szCs w:val="24"/>
        </w:rPr>
        <w:t>’</w:t>
      </w:r>
      <w:r w:rsidRPr="00AD5496">
        <w:rPr>
          <w:rFonts w:ascii="Times New Roman" w:hAnsi="Times New Roman" w:cs="Times New Roman"/>
          <w:sz w:val="24"/>
          <w:szCs w:val="24"/>
        </w:rPr>
        <w:t xml:space="preserve">) is made under subsection 269TA(1) </w:t>
      </w:r>
      <w:r w:rsidR="00364CA2" w:rsidRPr="00AD5496">
        <w:rPr>
          <w:rFonts w:ascii="Times New Roman" w:hAnsi="Times New Roman" w:cs="Times New Roman"/>
          <w:sz w:val="24"/>
          <w:szCs w:val="24"/>
        </w:rPr>
        <w:t xml:space="preserve">of the </w:t>
      </w:r>
      <w:r w:rsidRPr="00AD5496">
        <w:rPr>
          <w:rFonts w:ascii="Times New Roman" w:hAnsi="Times New Roman" w:cs="Times New Roman"/>
          <w:i/>
          <w:sz w:val="24"/>
          <w:szCs w:val="24"/>
        </w:rPr>
        <w:t>Customs Act 1901</w:t>
      </w:r>
      <w:r w:rsidR="00BA0B88" w:rsidRPr="00AD5496">
        <w:rPr>
          <w:rFonts w:ascii="Times New Roman" w:hAnsi="Times New Roman" w:cs="Times New Roman"/>
          <w:sz w:val="24"/>
          <w:szCs w:val="24"/>
        </w:rPr>
        <w:t xml:space="preserve"> (</w:t>
      </w:r>
      <w:r w:rsidR="00377D22">
        <w:rPr>
          <w:rFonts w:ascii="Times New Roman" w:hAnsi="Times New Roman" w:cs="Times New Roman"/>
          <w:sz w:val="24"/>
          <w:szCs w:val="24"/>
        </w:rPr>
        <w:t>‘</w:t>
      </w:r>
      <w:r w:rsidR="00BA0B88" w:rsidRPr="00AD5496">
        <w:rPr>
          <w:rFonts w:ascii="Times New Roman" w:hAnsi="Times New Roman" w:cs="Times New Roman"/>
          <w:sz w:val="24"/>
          <w:szCs w:val="24"/>
        </w:rPr>
        <w:t>the Act</w:t>
      </w:r>
      <w:r w:rsidR="00377D22">
        <w:rPr>
          <w:rFonts w:ascii="Times New Roman" w:hAnsi="Times New Roman" w:cs="Times New Roman"/>
          <w:sz w:val="24"/>
          <w:szCs w:val="24"/>
        </w:rPr>
        <w:t>’</w:t>
      </w:r>
      <w:r w:rsidR="00BA0B88" w:rsidRPr="00AD5496">
        <w:rPr>
          <w:rFonts w:ascii="Times New Roman" w:hAnsi="Times New Roman" w:cs="Times New Roman"/>
          <w:sz w:val="24"/>
          <w:szCs w:val="24"/>
        </w:rPr>
        <w:t>)</w:t>
      </w:r>
      <w:r w:rsidRPr="00AD5496">
        <w:rPr>
          <w:rFonts w:ascii="Times New Roman" w:hAnsi="Times New Roman" w:cs="Times New Roman"/>
          <w:i/>
          <w:sz w:val="24"/>
          <w:szCs w:val="24"/>
        </w:rPr>
        <w:t>.</w:t>
      </w:r>
    </w:p>
    <w:p w:rsidR="009A1C5D" w:rsidRPr="00AD5496" w:rsidRDefault="009A1C5D" w:rsidP="009A1C5D">
      <w:pPr>
        <w:rPr>
          <w:rFonts w:ascii="Times New Roman" w:hAnsi="Times New Roman" w:cs="Times New Roman"/>
          <w:sz w:val="24"/>
          <w:szCs w:val="24"/>
        </w:rPr>
      </w:pPr>
      <w:r w:rsidRPr="00AD5496">
        <w:rPr>
          <w:rFonts w:ascii="Times New Roman" w:hAnsi="Times New Roman" w:cs="Times New Roman"/>
          <w:sz w:val="24"/>
          <w:szCs w:val="24"/>
        </w:rPr>
        <w:t xml:space="preserve">The </w:t>
      </w:r>
      <w:r w:rsidR="00A1140F">
        <w:rPr>
          <w:rFonts w:ascii="Times New Roman" w:hAnsi="Times New Roman" w:cs="Times New Roman"/>
          <w:sz w:val="24"/>
          <w:szCs w:val="24"/>
        </w:rPr>
        <w:t>D</w:t>
      </w:r>
      <w:r w:rsidRPr="00AD5496">
        <w:rPr>
          <w:rFonts w:ascii="Times New Roman" w:hAnsi="Times New Roman" w:cs="Times New Roman"/>
          <w:sz w:val="24"/>
          <w:szCs w:val="24"/>
        </w:rPr>
        <w:t xml:space="preserve">irection is a disallowable instrument for the purposes of the </w:t>
      </w:r>
      <w:r w:rsidRPr="00AD5496">
        <w:rPr>
          <w:rFonts w:ascii="Times New Roman" w:hAnsi="Times New Roman" w:cs="Times New Roman"/>
          <w:i/>
          <w:sz w:val="24"/>
          <w:szCs w:val="24"/>
        </w:rPr>
        <w:t>Legislative Instruments Act 2003</w:t>
      </w:r>
      <w:r w:rsidRPr="00AD5496">
        <w:rPr>
          <w:rFonts w:ascii="Times New Roman" w:hAnsi="Times New Roman" w:cs="Times New Roman"/>
          <w:sz w:val="24"/>
          <w:szCs w:val="24"/>
        </w:rPr>
        <w:t xml:space="preserve">. </w:t>
      </w:r>
    </w:p>
    <w:p w:rsidR="009035CE" w:rsidRPr="00AD5496" w:rsidRDefault="00932DA8">
      <w:pPr>
        <w:rPr>
          <w:rFonts w:ascii="Times New Roman" w:hAnsi="Times New Roman" w:cs="Times New Roman"/>
          <w:sz w:val="24"/>
          <w:szCs w:val="24"/>
        </w:rPr>
      </w:pPr>
      <w:r w:rsidRPr="00AD5496">
        <w:rPr>
          <w:rFonts w:ascii="Times New Roman" w:hAnsi="Times New Roman" w:cs="Times New Roman"/>
          <w:sz w:val="24"/>
          <w:szCs w:val="24"/>
        </w:rPr>
        <w:t xml:space="preserve">The purpose of the </w:t>
      </w:r>
      <w:r w:rsidR="009035CE" w:rsidRPr="00AD5496">
        <w:rPr>
          <w:rFonts w:ascii="Times New Roman" w:hAnsi="Times New Roman" w:cs="Times New Roman"/>
          <w:sz w:val="24"/>
          <w:szCs w:val="24"/>
        </w:rPr>
        <w:t>Direction</w:t>
      </w:r>
      <w:r w:rsidR="00126806" w:rsidRPr="00AD5496">
        <w:rPr>
          <w:rFonts w:ascii="Times New Roman" w:hAnsi="Times New Roman" w:cs="Times New Roman"/>
          <w:sz w:val="24"/>
          <w:szCs w:val="24"/>
        </w:rPr>
        <w:t xml:space="preserve"> </w:t>
      </w:r>
      <w:r w:rsidRPr="00AD5496">
        <w:rPr>
          <w:rFonts w:ascii="Times New Roman" w:hAnsi="Times New Roman" w:cs="Times New Roman"/>
          <w:sz w:val="24"/>
          <w:szCs w:val="24"/>
        </w:rPr>
        <w:t>is to direct the Commissioner of the Anti</w:t>
      </w:r>
      <w:r w:rsidRPr="00AD5496">
        <w:rPr>
          <w:rFonts w:ascii="Times New Roman" w:hAnsi="Times New Roman" w:cs="Times New Roman"/>
          <w:sz w:val="24"/>
          <w:szCs w:val="24"/>
        </w:rPr>
        <w:noBreakHyphen/>
        <w:t>Dumping Commission</w:t>
      </w:r>
      <w:r w:rsidR="00AC2D37">
        <w:rPr>
          <w:rFonts w:ascii="Times New Roman" w:hAnsi="Times New Roman" w:cs="Times New Roman"/>
          <w:sz w:val="24"/>
          <w:szCs w:val="24"/>
        </w:rPr>
        <w:t xml:space="preserve"> (‘the Commissioner’)</w:t>
      </w:r>
      <w:r w:rsidRPr="00AD5496">
        <w:rPr>
          <w:rFonts w:ascii="Times New Roman" w:hAnsi="Times New Roman" w:cs="Times New Roman"/>
          <w:sz w:val="24"/>
          <w:szCs w:val="24"/>
        </w:rPr>
        <w:t xml:space="preserve"> as to the general principles for carrying out or giving effect to the Commissioner’s powers relating to</w:t>
      </w:r>
      <w:r w:rsidR="009035CE" w:rsidRPr="00AD5496">
        <w:rPr>
          <w:rFonts w:ascii="Times New Roman" w:hAnsi="Times New Roman" w:cs="Times New Roman"/>
          <w:sz w:val="24"/>
          <w:szCs w:val="24"/>
        </w:rPr>
        <w:t>:</w:t>
      </w:r>
      <w:r w:rsidRPr="00AD5496">
        <w:rPr>
          <w:rFonts w:ascii="Times New Roman" w:hAnsi="Times New Roman" w:cs="Times New Roman"/>
          <w:sz w:val="24"/>
          <w:szCs w:val="24"/>
        </w:rPr>
        <w:t xml:space="preserve"> </w:t>
      </w:r>
    </w:p>
    <w:p w:rsidR="009035CE" w:rsidRPr="00AD5496" w:rsidRDefault="00932DA8">
      <w:pPr>
        <w:pStyle w:val="ListParagraph"/>
        <w:numPr>
          <w:ilvl w:val="0"/>
          <w:numId w:val="9"/>
        </w:numPr>
        <w:rPr>
          <w:rFonts w:ascii="Times New Roman" w:hAnsi="Times New Roman" w:cs="Times New Roman"/>
          <w:sz w:val="24"/>
          <w:szCs w:val="24"/>
        </w:rPr>
      </w:pPr>
      <w:r w:rsidRPr="00AD5496">
        <w:rPr>
          <w:rFonts w:ascii="Times New Roman" w:hAnsi="Times New Roman" w:cs="Times New Roman"/>
          <w:sz w:val="24"/>
          <w:szCs w:val="24"/>
        </w:rPr>
        <w:t>granting extensions of time for responses from interested parties (in relation to sections 269TC and 269SMG of the Act)</w:t>
      </w:r>
      <w:r w:rsidR="001C3786">
        <w:rPr>
          <w:rFonts w:ascii="Times New Roman" w:hAnsi="Times New Roman" w:cs="Times New Roman"/>
          <w:sz w:val="24"/>
          <w:szCs w:val="24"/>
        </w:rPr>
        <w:t>;</w:t>
      </w:r>
      <w:r w:rsidRPr="00AD5496">
        <w:rPr>
          <w:rFonts w:ascii="Times New Roman" w:hAnsi="Times New Roman" w:cs="Times New Roman"/>
          <w:sz w:val="24"/>
          <w:szCs w:val="24"/>
        </w:rPr>
        <w:t xml:space="preserve"> and </w:t>
      </w:r>
    </w:p>
    <w:p w:rsidR="00932DA8" w:rsidRPr="00AD5496" w:rsidRDefault="00932DA8" w:rsidP="00F10C0B">
      <w:pPr>
        <w:pStyle w:val="ListParagraph"/>
        <w:numPr>
          <w:ilvl w:val="0"/>
          <w:numId w:val="9"/>
        </w:numPr>
        <w:rPr>
          <w:rFonts w:ascii="Times New Roman" w:hAnsi="Times New Roman" w:cs="Times New Roman"/>
          <w:sz w:val="24"/>
          <w:szCs w:val="24"/>
        </w:rPr>
      </w:pPr>
      <w:r w:rsidRPr="00AD5496">
        <w:rPr>
          <w:rFonts w:ascii="Times New Roman" w:hAnsi="Times New Roman" w:cs="Times New Roman"/>
          <w:sz w:val="24"/>
          <w:szCs w:val="24"/>
        </w:rPr>
        <w:t>determining whether certain parties are not cooperating (in relation to sections 269T, 269TAACA</w:t>
      </w:r>
      <w:r w:rsidR="00F10C0B" w:rsidRPr="00AD5496">
        <w:rPr>
          <w:rFonts w:ascii="Times New Roman" w:hAnsi="Times New Roman" w:cs="Times New Roman"/>
          <w:sz w:val="24"/>
          <w:szCs w:val="24"/>
        </w:rPr>
        <w:t xml:space="preserve"> </w:t>
      </w:r>
      <w:r w:rsidRPr="00AD5496">
        <w:rPr>
          <w:rFonts w:ascii="Times New Roman" w:hAnsi="Times New Roman" w:cs="Times New Roman"/>
          <w:sz w:val="24"/>
          <w:szCs w:val="24"/>
        </w:rPr>
        <w:t>and 269SMG of the Act).</w:t>
      </w:r>
      <w:r w:rsidR="00EF7E3C" w:rsidRPr="00AD5496">
        <w:rPr>
          <w:rFonts w:ascii="Times New Roman" w:hAnsi="Times New Roman" w:cs="Times New Roman"/>
          <w:sz w:val="24"/>
          <w:szCs w:val="24"/>
        </w:rPr>
        <w:t xml:space="preserve">  </w:t>
      </w:r>
    </w:p>
    <w:p w:rsidR="00932DA8" w:rsidRPr="00AD5496" w:rsidRDefault="00126806" w:rsidP="009A1C5D">
      <w:pPr>
        <w:rPr>
          <w:rFonts w:ascii="Times New Roman" w:hAnsi="Times New Roman" w:cs="Times New Roman"/>
          <w:sz w:val="24"/>
          <w:szCs w:val="24"/>
        </w:rPr>
      </w:pPr>
      <w:r w:rsidRPr="00AD5496">
        <w:rPr>
          <w:rFonts w:ascii="Times New Roman" w:hAnsi="Times New Roman" w:cs="Times New Roman"/>
          <w:sz w:val="24"/>
          <w:szCs w:val="24"/>
        </w:rPr>
        <w:t>Unless otherwise noted, the terms used in this Explanatory Statement are the same as those defined in the Direction.</w:t>
      </w:r>
    </w:p>
    <w:p w:rsidR="000262B9" w:rsidRPr="00AD5496" w:rsidRDefault="000262B9" w:rsidP="000262B9">
      <w:pPr>
        <w:rPr>
          <w:rFonts w:ascii="Times New Roman" w:hAnsi="Times New Roman" w:cs="Times New Roman"/>
          <w:sz w:val="24"/>
          <w:szCs w:val="24"/>
        </w:rPr>
      </w:pPr>
      <w:r w:rsidRPr="00546E2C">
        <w:rPr>
          <w:rFonts w:ascii="Times New Roman" w:hAnsi="Times New Roman" w:cs="Times New Roman"/>
          <w:sz w:val="24"/>
          <w:szCs w:val="24"/>
        </w:rPr>
        <w:t xml:space="preserve">The objective of the directions </w:t>
      </w:r>
      <w:r w:rsidR="00CB014A">
        <w:rPr>
          <w:rFonts w:ascii="Times New Roman" w:hAnsi="Times New Roman" w:cs="Times New Roman"/>
          <w:sz w:val="24"/>
          <w:szCs w:val="24"/>
        </w:rPr>
        <w:t xml:space="preserve">in sections </w:t>
      </w:r>
      <w:r w:rsidR="003572AB" w:rsidRPr="00546E2C">
        <w:rPr>
          <w:rFonts w:ascii="Times New Roman" w:hAnsi="Times New Roman" w:cs="Times New Roman"/>
          <w:sz w:val="24"/>
          <w:szCs w:val="24"/>
        </w:rPr>
        <w:t xml:space="preserve">5-7 </w:t>
      </w:r>
      <w:r w:rsidRPr="00546E2C">
        <w:rPr>
          <w:rFonts w:ascii="Times New Roman" w:hAnsi="Times New Roman" w:cs="Times New Roman"/>
          <w:sz w:val="24"/>
          <w:szCs w:val="24"/>
        </w:rPr>
        <w:t xml:space="preserve">is to ensure that deadlines for submissions more broadly are adhered </w:t>
      </w:r>
      <w:r w:rsidR="00B90687" w:rsidRPr="00546E2C">
        <w:rPr>
          <w:rFonts w:ascii="Times New Roman" w:hAnsi="Times New Roman" w:cs="Times New Roman"/>
          <w:sz w:val="24"/>
          <w:szCs w:val="24"/>
        </w:rPr>
        <w:t xml:space="preserve">to </w:t>
      </w:r>
      <w:r w:rsidR="00D20B31" w:rsidRPr="00546E2C">
        <w:rPr>
          <w:rFonts w:ascii="Times New Roman" w:hAnsi="Times New Roman" w:cs="Times New Roman"/>
          <w:sz w:val="24"/>
          <w:szCs w:val="24"/>
        </w:rPr>
        <w:t>and do not prevent the investigation proceeding expeditiously.</w:t>
      </w:r>
      <w:r w:rsidRPr="00546E2C">
        <w:rPr>
          <w:rFonts w:ascii="Times New Roman" w:hAnsi="Times New Roman" w:cs="Times New Roman"/>
          <w:sz w:val="24"/>
          <w:szCs w:val="24"/>
        </w:rPr>
        <w:t xml:space="preserve"> </w:t>
      </w:r>
      <w:r w:rsidR="00546E2C" w:rsidRPr="00546E2C">
        <w:rPr>
          <w:rFonts w:ascii="Times New Roman" w:hAnsi="Times New Roman" w:cs="Times New Roman"/>
          <w:sz w:val="24"/>
          <w:szCs w:val="24"/>
        </w:rPr>
        <w:t xml:space="preserve">The objective of </w:t>
      </w:r>
      <w:r w:rsidR="00CB014A">
        <w:rPr>
          <w:rFonts w:ascii="Times New Roman" w:hAnsi="Times New Roman" w:cs="Times New Roman"/>
          <w:sz w:val="24"/>
          <w:szCs w:val="24"/>
        </w:rPr>
        <w:t xml:space="preserve">the </w:t>
      </w:r>
      <w:r w:rsidR="00546E2C" w:rsidRPr="00546E2C">
        <w:rPr>
          <w:rFonts w:ascii="Times New Roman" w:hAnsi="Times New Roman" w:cs="Times New Roman"/>
          <w:sz w:val="24"/>
          <w:szCs w:val="24"/>
        </w:rPr>
        <w:t xml:space="preserve">directions </w:t>
      </w:r>
      <w:r w:rsidR="00CB014A">
        <w:rPr>
          <w:rFonts w:ascii="Times New Roman" w:hAnsi="Times New Roman" w:cs="Times New Roman"/>
          <w:sz w:val="24"/>
          <w:szCs w:val="24"/>
        </w:rPr>
        <w:t xml:space="preserve">in sections </w:t>
      </w:r>
      <w:r w:rsidR="00546E2C">
        <w:rPr>
          <w:rFonts w:ascii="Times New Roman" w:hAnsi="Times New Roman" w:cs="Times New Roman"/>
          <w:sz w:val="24"/>
          <w:szCs w:val="24"/>
        </w:rPr>
        <w:t xml:space="preserve">8-10 </w:t>
      </w:r>
      <w:r w:rsidR="00546E2C" w:rsidRPr="00546E2C">
        <w:rPr>
          <w:rFonts w:ascii="Times New Roman" w:hAnsi="Times New Roman" w:cs="Times New Roman"/>
          <w:sz w:val="24"/>
          <w:szCs w:val="24"/>
        </w:rPr>
        <w:t xml:space="preserve">is </w:t>
      </w:r>
      <w:r w:rsidR="0099632B">
        <w:rPr>
          <w:rFonts w:ascii="Times New Roman" w:hAnsi="Times New Roman" w:cs="Times New Roman"/>
          <w:sz w:val="24"/>
          <w:szCs w:val="24"/>
        </w:rPr>
        <w:t>t</w:t>
      </w:r>
      <w:r w:rsidR="00546E2C" w:rsidRPr="00546E2C">
        <w:rPr>
          <w:rFonts w:ascii="Times New Roman" w:hAnsi="Times New Roman" w:cs="Times New Roman"/>
          <w:sz w:val="24"/>
          <w:szCs w:val="24"/>
        </w:rPr>
        <w:t>o provide the Commissioner with clearer guidance on the matters which should be considered when determining whether a party is ‘uncooperative’ under the Act and to ensure that non</w:t>
      </w:r>
      <w:r w:rsidR="00546E2C" w:rsidRPr="00546E2C">
        <w:rPr>
          <w:rFonts w:ascii="Times New Roman" w:hAnsi="Times New Roman" w:cs="Times New Roman"/>
          <w:sz w:val="24"/>
          <w:szCs w:val="24"/>
        </w:rPr>
        <w:noBreakHyphen/>
        <w:t>cooperation does not unnecessarily impact the timely and efficient conduct of a case.</w:t>
      </w:r>
    </w:p>
    <w:p w:rsidR="000262B9" w:rsidRPr="00AD5496" w:rsidRDefault="000262B9" w:rsidP="000262B9">
      <w:pPr>
        <w:rPr>
          <w:rFonts w:ascii="Times New Roman" w:hAnsi="Times New Roman" w:cs="Times New Roman"/>
          <w:sz w:val="24"/>
          <w:szCs w:val="24"/>
        </w:rPr>
      </w:pPr>
      <w:r w:rsidRPr="00AD5496">
        <w:rPr>
          <w:rFonts w:ascii="Times New Roman" w:hAnsi="Times New Roman" w:cs="Times New Roman"/>
          <w:sz w:val="24"/>
          <w:szCs w:val="24"/>
        </w:rPr>
        <w:t>In making th</w:t>
      </w:r>
      <w:r w:rsidR="00A1140F">
        <w:rPr>
          <w:rFonts w:ascii="Times New Roman" w:hAnsi="Times New Roman" w:cs="Times New Roman"/>
          <w:sz w:val="24"/>
          <w:szCs w:val="24"/>
        </w:rPr>
        <w:t>is</w:t>
      </w:r>
      <w:r w:rsidRPr="00AD5496">
        <w:rPr>
          <w:rFonts w:ascii="Times New Roman" w:hAnsi="Times New Roman" w:cs="Times New Roman"/>
          <w:sz w:val="24"/>
          <w:szCs w:val="24"/>
        </w:rPr>
        <w:t xml:space="preserve"> </w:t>
      </w:r>
      <w:r w:rsidR="00A1140F">
        <w:rPr>
          <w:rFonts w:ascii="Times New Roman" w:hAnsi="Times New Roman" w:cs="Times New Roman"/>
          <w:sz w:val="24"/>
          <w:szCs w:val="24"/>
        </w:rPr>
        <w:t>D</w:t>
      </w:r>
      <w:r w:rsidRPr="00AD5496">
        <w:rPr>
          <w:rFonts w:ascii="Times New Roman" w:hAnsi="Times New Roman" w:cs="Times New Roman"/>
          <w:sz w:val="24"/>
          <w:szCs w:val="24"/>
        </w:rPr>
        <w:t>irection, the Government acknowledges the value of a system that operates transparently and one in which parties have opportunities to defend their interests throughout the various stages of a case</w:t>
      </w:r>
      <w:r w:rsidR="00A1140F">
        <w:rPr>
          <w:rFonts w:ascii="Times New Roman" w:hAnsi="Times New Roman" w:cs="Times New Roman"/>
          <w:sz w:val="24"/>
          <w:szCs w:val="24"/>
        </w:rPr>
        <w:t>,</w:t>
      </w:r>
      <w:r w:rsidR="004E3D40" w:rsidRPr="004E3D40">
        <w:rPr>
          <w:rFonts w:ascii="Times New Roman" w:hAnsi="Times New Roman" w:cs="Times New Roman"/>
          <w:sz w:val="24"/>
          <w:szCs w:val="24"/>
        </w:rPr>
        <w:t xml:space="preserve"> </w:t>
      </w:r>
      <w:r w:rsidR="004E3D40" w:rsidRPr="009B70A2">
        <w:rPr>
          <w:rFonts w:ascii="Times New Roman" w:hAnsi="Times New Roman" w:cs="Times New Roman"/>
          <w:sz w:val="24"/>
          <w:szCs w:val="24"/>
        </w:rPr>
        <w:t>by providing relevant information within a reasonable timeframe</w:t>
      </w:r>
      <w:r w:rsidRPr="00AD5496">
        <w:rPr>
          <w:rFonts w:ascii="Times New Roman" w:hAnsi="Times New Roman" w:cs="Times New Roman"/>
          <w:sz w:val="24"/>
          <w:szCs w:val="24"/>
        </w:rPr>
        <w:t xml:space="preserve">. The Government acknowledges that extensions will sometimes be necessary in order for a party’s interests to be appropriately accounted for and that each request for an extension should be fully considered. </w:t>
      </w:r>
      <w:r w:rsidR="00F96722" w:rsidRPr="009B70A2">
        <w:rPr>
          <w:rFonts w:ascii="Times New Roman" w:hAnsi="Times New Roman" w:cs="Times New Roman"/>
          <w:sz w:val="24"/>
          <w:szCs w:val="24"/>
        </w:rPr>
        <w:t>The Government also acknowledges that there will be occasions where parties, acting in good faith, will provide information which is not wholly relevant or not fully supported, and that opportunities should be provided to address these deficiencies, if that is consistent with the timely and efficient conduct of the case.</w:t>
      </w:r>
    </w:p>
    <w:p w:rsidR="003E3628" w:rsidRDefault="003E3628" w:rsidP="006A2525">
      <w:pPr>
        <w:keepNext/>
        <w:widowControl w:val="0"/>
        <w:rPr>
          <w:rFonts w:ascii="Times New Roman" w:hAnsi="Times New Roman" w:cs="Times New Roman"/>
          <w:b/>
          <w:sz w:val="24"/>
          <w:szCs w:val="24"/>
        </w:rPr>
      </w:pPr>
      <w:r>
        <w:rPr>
          <w:rFonts w:ascii="Times New Roman" w:hAnsi="Times New Roman" w:cs="Times New Roman"/>
          <w:b/>
          <w:sz w:val="24"/>
          <w:szCs w:val="24"/>
        </w:rPr>
        <w:t>Authority</w:t>
      </w:r>
    </w:p>
    <w:p w:rsidR="003E3628" w:rsidRPr="004042E0" w:rsidRDefault="003E3628" w:rsidP="006A2525">
      <w:pPr>
        <w:keepNext/>
        <w:widowControl w:val="0"/>
        <w:rPr>
          <w:rFonts w:ascii="Times New Roman" w:hAnsi="Times New Roman" w:cs="Times New Roman"/>
          <w:sz w:val="24"/>
          <w:szCs w:val="24"/>
        </w:rPr>
      </w:pPr>
      <w:r w:rsidRPr="004042E0">
        <w:rPr>
          <w:rFonts w:ascii="Times New Roman" w:hAnsi="Times New Roman" w:cs="Times New Roman"/>
          <w:sz w:val="24"/>
          <w:szCs w:val="24"/>
        </w:rPr>
        <w:t>Under</w:t>
      </w:r>
      <w:r>
        <w:rPr>
          <w:rFonts w:ascii="Times New Roman" w:hAnsi="Times New Roman" w:cs="Times New Roman"/>
          <w:sz w:val="24"/>
          <w:szCs w:val="24"/>
        </w:rPr>
        <w:t xml:space="preserve"> subsection 269TA(1) </w:t>
      </w:r>
      <w:r w:rsidR="00425F00">
        <w:rPr>
          <w:rFonts w:ascii="Times New Roman" w:hAnsi="Times New Roman" w:cs="Times New Roman"/>
          <w:sz w:val="24"/>
          <w:szCs w:val="24"/>
        </w:rPr>
        <w:t>of the Act</w:t>
      </w:r>
      <w:r w:rsidR="00A1140F">
        <w:rPr>
          <w:rFonts w:ascii="Times New Roman" w:hAnsi="Times New Roman" w:cs="Times New Roman"/>
          <w:sz w:val="24"/>
          <w:szCs w:val="24"/>
        </w:rPr>
        <w:t>,</w:t>
      </w:r>
      <w:r w:rsidR="00425F00">
        <w:rPr>
          <w:rFonts w:ascii="Times New Roman" w:hAnsi="Times New Roman" w:cs="Times New Roman"/>
          <w:sz w:val="24"/>
          <w:szCs w:val="24"/>
        </w:rPr>
        <w:t xml:space="preserve"> the Minister may give the Commissioner directions in </w:t>
      </w:r>
      <w:r w:rsidR="00425F00">
        <w:rPr>
          <w:rFonts w:ascii="Times New Roman" w:hAnsi="Times New Roman" w:cs="Times New Roman"/>
          <w:sz w:val="24"/>
          <w:szCs w:val="24"/>
        </w:rPr>
        <w:lastRenderedPageBreak/>
        <w:t>connection with carrying out or giving effect to the Commissioner’s powers and duties.</w:t>
      </w:r>
    </w:p>
    <w:p w:rsidR="00EE5617" w:rsidRDefault="00EE5617" w:rsidP="00D2120B">
      <w:pPr>
        <w:rPr>
          <w:rFonts w:ascii="Times New Roman" w:hAnsi="Times New Roman" w:cs="Times New Roman"/>
          <w:b/>
          <w:sz w:val="24"/>
          <w:szCs w:val="24"/>
        </w:rPr>
      </w:pPr>
      <w:r>
        <w:rPr>
          <w:rFonts w:ascii="Times New Roman" w:hAnsi="Times New Roman" w:cs="Times New Roman"/>
          <w:b/>
          <w:sz w:val="24"/>
          <w:szCs w:val="24"/>
        </w:rPr>
        <w:t>Consultation</w:t>
      </w:r>
    </w:p>
    <w:p w:rsidR="00D06D03" w:rsidRPr="00741528" w:rsidRDefault="00AF062F" w:rsidP="009A1C5D">
      <w:pPr>
        <w:rPr>
          <w:rFonts w:ascii="Times New Roman" w:hAnsi="Times New Roman" w:cs="Times New Roman"/>
        </w:rPr>
      </w:pPr>
      <w:r w:rsidRPr="00AF062F">
        <w:rPr>
          <w:rFonts w:ascii="Times New Roman" w:hAnsi="Times New Roman" w:cs="Times New Roman"/>
        </w:rPr>
        <w:t xml:space="preserve">These reforms address concerns expressed </w:t>
      </w:r>
      <w:r>
        <w:rPr>
          <w:rFonts w:ascii="Times New Roman" w:hAnsi="Times New Roman" w:cs="Times New Roman"/>
        </w:rPr>
        <w:t xml:space="preserve">to the Government </w:t>
      </w:r>
      <w:r w:rsidRPr="00AF062F">
        <w:rPr>
          <w:rFonts w:ascii="Times New Roman" w:hAnsi="Times New Roman" w:cs="Times New Roman"/>
        </w:rPr>
        <w:t>by a number of Australian businesses</w:t>
      </w:r>
      <w:r>
        <w:rPr>
          <w:rFonts w:ascii="Times New Roman" w:hAnsi="Times New Roman" w:cs="Times New Roman"/>
        </w:rPr>
        <w:t xml:space="preserve"> </w:t>
      </w:r>
      <w:r w:rsidRPr="00AF062F">
        <w:rPr>
          <w:rFonts w:ascii="Times New Roman" w:hAnsi="Times New Roman" w:cs="Times New Roman"/>
        </w:rPr>
        <w:t>which have been involved in the anti</w:t>
      </w:r>
      <w:r w:rsidRPr="00AF062F">
        <w:rPr>
          <w:rFonts w:ascii="Times New Roman" w:hAnsi="Times New Roman" w:cs="Times New Roman"/>
        </w:rPr>
        <w:noBreakHyphen/>
        <w:t>dumping system.</w:t>
      </w:r>
      <w:r>
        <w:rPr>
          <w:rFonts w:ascii="Times New Roman" w:hAnsi="Times New Roman" w:cs="Times New Roman"/>
        </w:rPr>
        <w:t xml:space="preserve"> These concerns have been raised in a number of consultative processes</w:t>
      </w:r>
      <w:r w:rsidR="00741528">
        <w:rPr>
          <w:rFonts w:ascii="Times New Roman" w:hAnsi="Times New Roman" w:cs="Times New Roman"/>
        </w:rPr>
        <w:t>,</w:t>
      </w:r>
      <w:r>
        <w:rPr>
          <w:rFonts w:ascii="Times New Roman" w:hAnsi="Times New Roman" w:cs="Times New Roman"/>
        </w:rPr>
        <w:t xml:space="preserve"> such as </w:t>
      </w:r>
      <w:r w:rsidR="00741528">
        <w:rPr>
          <w:rFonts w:ascii="Times New Roman" w:hAnsi="Times New Roman" w:cs="Times New Roman"/>
        </w:rPr>
        <w:t xml:space="preserve">the recent </w:t>
      </w:r>
      <w:r w:rsidR="00741528" w:rsidRPr="00741528">
        <w:rPr>
          <w:rFonts w:ascii="Times New Roman" w:hAnsi="Times New Roman" w:cs="Times New Roman"/>
        </w:rPr>
        <w:t xml:space="preserve">Senate Economics Legislation Committee inquiry </w:t>
      </w:r>
      <w:r w:rsidR="00741528">
        <w:rPr>
          <w:rFonts w:ascii="Times New Roman" w:hAnsi="Times New Roman" w:cs="Times New Roman"/>
        </w:rPr>
        <w:t xml:space="preserve">on </w:t>
      </w:r>
      <w:r w:rsidR="00741528" w:rsidRPr="00741528">
        <w:rPr>
          <w:rFonts w:ascii="Times New Roman" w:hAnsi="Times New Roman" w:cs="Times New Roman"/>
        </w:rPr>
        <w:t xml:space="preserve">the </w:t>
      </w:r>
      <w:r w:rsidR="00741528" w:rsidRPr="006A2525">
        <w:rPr>
          <w:rFonts w:ascii="Times New Roman" w:hAnsi="Times New Roman" w:cs="Times New Roman"/>
          <w:i/>
        </w:rPr>
        <w:t>Customs Amendment (Anti-Dumping Measures) Bill (No. 1) 2015</w:t>
      </w:r>
      <w:r w:rsidR="00741528" w:rsidRPr="00741528">
        <w:rPr>
          <w:rFonts w:ascii="Times New Roman" w:hAnsi="Times New Roman" w:cs="Times New Roman"/>
        </w:rPr>
        <w:t xml:space="preserve"> and the </w:t>
      </w:r>
      <w:r w:rsidR="00741528" w:rsidRPr="006A2525">
        <w:rPr>
          <w:rFonts w:ascii="Times New Roman" w:hAnsi="Times New Roman" w:cs="Times New Roman"/>
          <w:i/>
        </w:rPr>
        <w:t>Customs Tariff (Anti-Dumping) Amendment Bill 2015</w:t>
      </w:r>
      <w:r w:rsidR="00741528">
        <w:rPr>
          <w:rFonts w:ascii="Times New Roman" w:hAnsi="Times New Roman" w:cs="Times New Roman"/>
        </w:rPr>
        <w:t xml:space="preserve">. </w:t>
      </w:r>
    </w:p>
    <w:p w:rsidR="00EA32B1" w:rsidRDefault="00EA32B1" w:rsidP="009A1C5D">
      <w:pPr>
        <w:rPr>
          <w:rFonts w:ascii="Times New Roman" w:hAnsi="Times New Roman" w:cs="Times New Roman"/>
          <w:b/>
          <w:sz w:val="24"/>
          <w:szCs w:val="24"/>
        </w:rPr>
      </w:pPr>
      <w:r>
        <w:rPr>
          <w:rFonts w:ascii="Times New Roman" w:hAnsi="Times New Roman" w:cs="Times New Roman"/>
          <w:b/>
          <w:sz w:val="24"/>
          <w:szCs w:val="24"/>
        </w:rPr>
        <w:t>Regulatory Impact</w:t>
      </w:r>
    </w:p>
    <w:p w:rsidR="00083FB0" w:rsidRDefault="00083FB0" w:rsidP="00083FB0">
      <w:pPr>
        <w:pStyle w:val="Default"/>
      </w:pPr>
      <w:r>
        <w:t xml:space="preserve">This Direction has a negligible regulatory impact (see the Explanatory Memorandum to </w:t>
      </w:r>
    </w:p>
    <w:p w:rsidR="00083FB0" w:rsidRPr="00A62639" w:rsidRDefault="00083FB0" w:rsidP="00083FB0">
      <w:pPr>
        <w:rPr>
          <w:rFonts w:ascii="Times New Roman" w:hAnsi="Times New Roman" w:cs="Times New Roman"/>
          <w:color w:val="000000"/>
          <w:sz w:val="24"/>
          <w:szCs w:val="24"/>
        </w:rPr>
      </w:pPr>
      <w:r w:rsidRPr="00A62639">
        <w:rPr>
          <w:rFonts w:ascii="Times New Roman" w:hAnsi="Times New Roman" w:cs="Times New Roman"/>
          <w:color w:val="000000"/>
          <w:sz w:val="24"/>
          <w:szCs w:val="24"/>
        </w:rPr>
        <w:t xml:space="preserve">Customs </w:t>
      </w:r>
      <w:r>
        <w:rPr>
          <w:rFonts w:ascii="Times New Roman" w:hAnsi="Times New Roman" w:cs="Times New Roman"/>
          <w:color w:val="000000"/>
          <w:sz w:val="24"/>
          <w:szCs w:val="24"/>
        </w:rPr>
        <w:t>A</w:t>
      </w:r>
      <w:r w:rsidRPr="00A62639">
        <w:rPr>
          <w:rFonts w:ascii="Times New Roman" w:hAnsi="Times New Roman" w:cs="Times New Roman"/>
          <w:color w:val="000000"/>
          <w:sz w:val="24"/>
          <w:szCs w:val="24"/>
        </w:rPr>
        <w:t>mendment (</w:t>
      </w:r>
      <w:r>
        <w:rPr>
          <w:rFonts w:ascii="Times New Roman" w:hAnsi="Times New Roman" w:cs="Times New Roman"/>
          <w:color w:val="000000"/>
          <w:sz w:val="24"/>
          <w:szCs w:val="24"/>
        </w:rPr>
        <w:t>A</w:t>
      </w:r>
      <w:r w:rsidRPr="00A62639">
        <w:rPr>
          <w:rFonts w:ascii="Times New Roman" w:hAnsi="Times New Roman" w:cs="Times New Roman"/>
          <w:color w:val="000000"/>
          <w:sz w:val="24"/>
          <w:szCs w:val="24"/>
        </w:rPr>
        <w:t>nti-</w:t>
      </w:r>
      <w:r>
        <w:rPr>
          <w:rFonts w:ascii="Times New Roman" w:hAnsi="Times New Roman" w:cs="Times New Roman"/>
          <w:color w:val="000000"/>
          <w:sz w:val="24"/>
          <w:szCs w:val="24"/>
        </w:rPr>
        <w:t>D</w:t>
      </w:r>
      <w:r w:rsidRPr="00A62639">
        <w:rPr>
          <w:rFonts w:ascii="Times New Roman" w:hAnsi="Times New Roman" w:cs="Times New Roman"/>
          <w:color w:val="000000"/>
          <w:sz w:val="24"/>
          <w:szCs w:val="24"/>
        </w:rPr>
        <w:t xml:space="preserve">umping </w:t>
      </w:r>
      <w:r>
        <w:rPr>
          <w:rFonts w:ascii="Times New Roman" w:hAnsi="Times New Roman" w:cs="Times New Roman"/>
          <w:color w:val="000000"/>
          <w:sz w:val="24"/>
          <w:szCs w:val="24"/>
        </w:rPr>
        <w:t>M</w:t>
      </w:r>
      <w:r w:rsidRPr="00A62639">
        <w:rPr>
          <w:rFonts w:ascii="Times New Roman" w:hAnsi="Times New Roman" w:cs="Times New Roman"/>
          <w:color w:val="000000"/>
          <w:sz w:val="24"/>
          <w:szCs w:val="24"/>
        </w:rPr>
        <w:t xml:space="preserve">easures) </w:t>
      </w:r>
      <w:r>
        <w:rPr>
          <w:rFonts w:ascii="Times New Roman" w:hAnsi="Times New Roman" w:cs="Times New Roman"/>
          <w:color w:val="000000"/>
          <w:sz w:val="24"/>
          <w:szCs w:val="24"/>
        </w:rPr>
        <w:t>B</w:t>
      </w:r>
      <w:r w:rsidRPr="00A62639">
        <w:rPr>
          <w:rFonts w:ascii="Times New Roman" w:hAnsi="Times New Roman" w:cs="Times New Roman"/>
          <w:color w:val="000000"/>
          <w:sz w:val="24"/>
          <w:szCs w:val="24"/>
        </w:rPr>
        <w:t>ill (no. 1) 2015</w:t>
      </w:r>
      <w:r>
        <w:rPr>
          <w:rFonts w:ascii="Times New Roman" w:hAnsi="Times New Roman" w:cs="Times New Roman"/>
          <w:color w:val="000000"/>
          <w:sz w:val="24"/>
          <w:szCs w:val="24"/>
        </w:rPr>
        <w:t>)</w:t>
      </w:r>
      <w:r w:rsidRPr="00A62639">
        <w:rPr>
          <w:rFonts w:ascii="Times New Roman" w:hAnsi="Times New Roman" w:cs="Times New Roman"/>
          <w:color w:val="000000"/>
          <w:sz w:val="24"/>
          <w:szCs w:val="24"/>
        </w:rPr>
        <w:t>.</w:t>
      </w:r>
    </w:p>
    <w:p w:rsidR="009A1C5D" w:rsidRPr="00AD5496" w:rsidRDefault="009A1C5D" w:rsidP="009A1C5D">
      <w:pPr>
        <w:rPr>
          <w:rFonts w:ascii="Times New Roman" w:hAnsi="Times New Roman" w:cs="Times New Roman"/>
          <w:b/>
          <w:sz w:val="24"/>
          <w:szCs w:val="24"/>
        </w:rPr>
      </w:pPr>
      <w:r w:rsidRPr="00AD5496">
        <w:rPr>
          <w:rFonts w:ascii="Times New Roman" w:hAnsi="Times New Roman" w:cs="Times New Roman"/>
          <w:b/>
          <w:sz w:val="24"/>
          <w:szCs w:val="24"/>
        </w:rPr>
        <w:t>Background</w:t>
      </w:r>
    </w:p>
    <w:p w:rsidR="009A1C5D" w:rsidRPr="00AD5496" w:rsidRDefault="009A1C5D" w:rsidP="00D2120B">
      <w:pPr>
        <w:rPr>
          <w:rFonts w:ascii="Times New Roman" w:hAnsi="Times New Roman" w:cs="Times New Roman"/>
          <w:sz w:val="24"/>
          <w:szCs w:val="24"/>
        </w:rPr>
      </w:pPr>
      <w:r w:rsidRPr="00AD5496">
        <w:rPr>
          <w:rFonts w:ascii="Times New Roman" w:hAnsi="Times New Roman" w:cs="Times New Roman"/>
          <w:sz w:val="24"/>
          <w:szCs w:val="24"/>
        </w:rPr>
        <w:t>On 15 December 2014, the Government announced a package of reforms to implement its remaining anti-dumping election commitments from 2013 and other changes to improve Australia’s anti</w:t>
      </w:r>
      <w:r w:rsidRPr="00AD5496">
        <w:rPr>
          <w:rFonts w:ascii="Times New Roman" w:hAnsi="Times New Roman" w:cs="Times New Roman"/>
          <w:sz w:val="24"/>
          <w:szCs w:val="24"/>
        </w:rPr>
        <w:noBreakHyphen/>
        <w:t xml:space="preserve">dumping and countervailing duty system. </w:t>
      </w:r>
    </w:p>
    <w:p w:rsidR="00DE04CC" w:rsidRPr="009760CF" w:rsidRDefault="008E54A4" w:rsidP="00710B75">
      <w:pPr>
        <w:rPr>
          <w:rFonts w:ascii="Times New Roman" w:hAnsi="Times New Roman" w:cs="Times New Roman"/>
          <w:sz w:val="24"/>
          <w:szCs w:val="24"/>
        </w:rPr>
      </w:pPr>
      <w:r w:rsidRPr="006A2525">
        <w:rPr>
          <w:rFonts w:ascii="Times New Roman" w:hAnsi="Times New Roman" w:cs="Times New Roman"/>
          <w:sz w:val="24"/>
          <w:szCs w:val="24"/>
        </w:rPr>
        <w:t xml:space="preserve">Under the Act, parties have various opportunities to provide the Commissioner with responses providing information or representing their interests. </w:t>
      </w:r>
      <w:r w:rsidR="009A1C5D" w:rsidRPr="009760CF">
        <w:rPr>
          <w:rFonts w:ascii="Times New Roman" w:hAnsi="Times New Roman" w:cs="Times New Roman"/>
          <w:sz w:val="24"/>
          <w:szCs w:val="24"/>
        </w:rPr>
        <w:t xml:space="preserve">The </w:t>
      </w:r>
      <w:r w:rsidR="00691C75" w:rsidRPr="009760CF">
        <w:rPr>
          <w:rFonts w:ascii="Times New Roman" w:hAnsi="Times New Roman" w:cs="Times New Roman"/>
          <w:sz w:val="24"/>
          <w:szCs w:val="24"/>
        </w:rPr>
        <w:t xml:space="preserve">Government’s </w:t>
      </w:r>
      <w:r w:rsidR="009A1C5D" w:rsidRPr="00A10BEA">
        <w:rPr>
          <w:rFonts w:ascii="Times New Roman" w:hAnsi="Times New Roman" w:cs="Times New Roman"/>
          <w:sz w:val="24"/>
          <w:szCs w:val="24"/>
        </w:rPr>
        <w:t xml:space="preserve">announcement indicated that </w:t>
      </w:r>
      <w:r w:rsidR="00377D22" w:rsidRPr="00A10BEA">
        <w:rPr>
          <w:rFonts w:ascii="Times New Roman" w:hAnsi="Times New Roman" w:cs="Times New Roman"/>
          <w:sz w:val="24"/>
          <w:szCs w:val="24"/>
        </w:rPr>
        <w:t xml:space="preserve">the </w:t>
      </w:r>
      <w:r w:rsidR="009A1C5D" w:rsidRPr="009760CF">
        <w:rPr>
          <w:rFonts w:ascii="Times New Roman" w:hAnsi="Times New Roman" w:cs="Times New Roman"/>
          <w:sz w:val="24"/>
          <w:szCs w:val="24"/>
        </w:rPr>
        <w:t xml:space="preserve">Commissioner </w:t>
      </w:r>
      <w:r w:rsidR="00F63D86" w:rsidRPr="009760CF">
        <w:rPr>
          <w:rFonts w:ascii="Times New Roman" w:hAnsi="Times New Roman" w:cs="Times New Roman"/>
          <w:sz w:val="24"/>
          <w:szCs w:val="24"/>
        </w:rPr>
        <w:t xml:space="preserve">would be directed </w:t>
      </w:r>
      <w:r w:rsidR="009A1C5D" w:rsidRPr="009760CF">
        <w:rPr>
          <w:rFonts w:ascii="Times New Roman" w:hAnsi="Times New Roman" w:cs="Times New Roman"/>
          <w:sz w:val="24"/>
          <w:szCs w:val="24"/>
        </w:rPr>
        <w:t>to take a more rigorous approach to enforcing deadline</w:t>
      </w:r>
      <w:r w:rsidR="00F63D86" w:rsidRPr="009760CF">
        <w:rPr>
          <w:rFonts w:ascii="Times New Roman" w:hAnsi="Times New Roman" w:cs="Times New Roman"/>
          <w:sz w:val="24"/>
          <w:szCs w:val="24"/>
        </w:rPr>
        <w:t>s</w:t>
      </w:r>
      <w:r w:rsidR="009A1C5D" w:rsidRPr="009760CF">
        <w:rPr>
          <w:rFonts w:ascii="Times New Roman" w:hAnsi="Times New Roman" w:cs="Times New Roman"/>
          <w:sz w:val="24"/>
          <w:szCs w:val="24"/>
        </w:rPr>
        <w:t xml:space="preserve"> for submissions and to only agree to extensions when necessary and reasonable. This complements other </w:t>
      </w:r>
      <w:r w:rsidR="004B051B" w:rsidRPr="009760CF">
        <w:rPr>
          <w:rFonts w:ascii="Times New Roman" w:hAnsi="Times New Roman" w:cs="Times New Roman"/>
          <w:sz w:val="24"/>
          <w:szCs w:val="24"/>
        </w:rPr>
        <w:t>G</w:t>
      </w:r>
      <w:r w:rsidR="009A1C5D" w:rsidRPr="009760CF">
        <w:rPr>
          <w:rFonts w:ascii="Times New Roman" w:hAnsi="Times New Roman" w:cs="Times New Roman"/>
          <w:sz w:val="24"/>
          <w:szCs w:val="24"/>
        </w:rPr>
        <w:t xml:space="preserve">overnment reforms which seek to reduce the overall timeframe available for providing submissions to 37 days, consistent with the World Trade Organization </w:t>
      </w:r>
      <w:r w:rsidR="00A31358" w:rsidRPr="009760CF">
        <w:rPr>
          <w:rFonts w:ascii="Times New Roman" w:hAnsi="Times New Roman" w:cs="Times New Roman"/>
          <w:sz w:val="24"/>
          <w:szCs w:val="24"/>
        </w:rPr>
        <w:t xml:space="preserve">(WTO) </w:t>
      </w:r>
      <w:r w:rsidR="009A1C5D" w:rsidRPr="009760CF">
        <w:rPr>
          <w:rFonts w:ascii="Times New Roman" w:hAnsi="Times New Roman" w:cs="Times New Roman"/>
          <w:sz w:val="24"/>
          <w:szCs w:val="24"/>
        </w:rPr>
        <w:t>agreements</w:t>
      </w:r>
      <w:r w:rsidR="00F63D86" w:rsidRPr="009760CF">
        <w:rPr>
          <w:rFonts w:ascii="Times New Roman" w:hAnsi="Times New Roman" w:cs="Times New Roman"/>
          <w:sz w:val="24"/>
          <w:szCs w:val="24"/>
        </w:rPr>
        <w:t xml:space="preserve">, including the </w:t>
      </w:r>
      <w:r w:rsidR="008E1745" w:rsidRPr="009760CF">
        <w:rPr>
          <w:rFonts w:ascii="Times New Roman" w:hAnsi="Times New Roman" w:cs="Times New Roman"/>
          <w:i/>
          <w:sz w:val="24"/>
          <w:szCs w:val="24"/>
        </w:rPr>
        <w:t>Customs </w:t>
      </w:r>
      <w:r w:rsidR="00710B75" w:rsidRPr="009760CF">
        <w:rPr>
          <w:rFonts w:ascii="Times New Roman" w:hAnsi="Times New Roman" w:cs="Times New Roman"/>
          <w:i/>
          <w:sz w:val="24"/>
          <w:szCs w:val="24"/>
        </w:rPr>
        <w:t>Amendment (Anti-dumping Measures) Act (No. 1) 2015</w:t>
      </w:r>
      <w:r w:rsidR="00710B75" w:rsidRPr="009760CF">
        <w:rPr>
          <w:rFonts w:ascii="Times New Roman" w:hAnsi="Times New Roman" w:cs="Times New Roman"/>
          <w:sz w:val="24"/>
          <w:szCs w:val="24"/>
        </w:rPr>
        <w:t>.</w:t>
      </w:r>
    </w:p>
    <w:p w:rsidR="009A1C5D" w:rsidRPr="00AD5496" w:rsidRDefault="00C61226" w:rsidP="00D2120B">
      <w:pPr>
        <w:rPr>
          <w:rFonts w:ascii="Times New Roman" w:hAnsi="Times New Roman" w:cs="Times New Roman"/>
          <w:sz w:val="24"/>
          <w:szCs w:val="24"/>
        </w:rPr>
      </w:pPr>
      <w:r w:rsidRPr="006A2525">
        <w:rPr>
          <w:rFonts w:ascii="Times New Roman" w:hAnsi="Times New Roman" w:cs="Times New Roman"/>
          <w:sz w:val="24"/>
          <w:szCs w:val="24"/>
        </w:rPr>
        <w:t xml:space="preserve">Additionally, various provisions of the Act relate to ‘non-cooperation’ by certain parties in certain circumstances. For example, under subsection 269T(1) of the Act, an exporter is uncooperative if the Commissioner is satisfied that the exporter failed to provide relevant information in a reasonable period; or if the Commissioner is satisfied that the exporter significantly impeded the conduct of the case. The consequences of such a determination can be significant. For example, if an exporter is considered uncooperative, the Act prescribes certain methods for calculating that exporter’s normal value and export price, which may result in a higher duty rate than other exporters. </w:t>
      </w:r>
      <w:r w:rsidR="009A1C5D" w:rsidRPr="009760CF">
        <w:rPr>
          <w:rFonts w:ascii="Times New Roman" w:hAnsi="Times New Roman" w:cs="Times New Roman"/>
          <w:sz w:val="24"/>
          <w:szCs w:val="24"/>
        </w:rPr>
        <w:t xml:space="preserve">The </w:t>
      </w:r>
      <w:r w:rsidRPr="009760CF">
        <w:rPr>
          <w:rFonts w:ascii="Times New Roman" w:hAnsi="Times New Roman" w:cs="Times New Roman"/>
          <w:sz w:val="24"/>
          <w:szCs w:val="24"/>
        </w:rPr>
        <w:t xml:space="preserve">Government’s </w:t>
      </w:r>
      <w:r w:rsidR="009A1C5D" w:rsidRPr="009760CF">
        <w:rPr>
          <w:rFonts w:ascii="Times New Roman" w:hAnsi="Times New Roman" w:cs="Times New Roman"/>
          <w:sz w:val="24"/>
          <w:szCs w:val="24"/>
        </w:rPr>
        <w:t xml:space="preserve">announcement also indicated that the Commissioner </w:t>
      </w:r>
      <w:r w:rsidR="00DE04CC" w:rsidRPr="009760CF">
        <w:rPr>
          <w:rFonts w:ascii="Times New Roman" w:hAnsi="Times New Roman" w:cs="Times New Roman"/>
          <w:sz w:val="24"/>
          <w:szCs w:val="24"/>
        </w:rPr>
        <w:t xml:space="preserve">would be directed </w:t>
      </w:r>
      <w:r w:rsidR="009A1C5D" w:rsidRPr="009760CF">
        <w:rPr>
          <w:rFonts w:ascii="Times New Roman" w:hAnsi="Times New Roman" w:cs="Times New Roman"/>
          <w:sz w:val="24"/>
          <w:szCs w:val="24"/>
        </w:rPr>
        <w:t xml:space="preserve">on the </w:t>
      </w:r>
      <w:r w:rsidR="009A1C5D" w:rsidRPr="00AD5496">
        <w:rPr>
          <w:rFonts w:ascii="Times New Roman" w:hAnsi="Times New Roman" w:cs="Times New Roman"/>
          <w:sz w:val="24"/>
          <w:szCs w:val="24"/>
        </w:rPr>
        <w:t xml:space="preserve">circumstances in which the relevant Minister </w:t>
      </w:r>
      <w:r w:rsidR="00DE04CC" w:rsidRPr="00AD5496">
        <w:rPr>
          <w:rFonts w:ascii="Times New Roman" w:hAnsi="Times New Roman" w:cs="Times New Roman"/>
          <w:sz w:val="24"/>
          <w:szCs w:val="24"/>
        </w:rPr>
        <w:t xml:space="preserve">would </w:t>
      </w:r>
      <w:r w:rsidR="009A1C5D" w:rsidRPr="00AD5496">
        <w:rPr>
          <w:rFonts w:ascii="Times New Roman" w:hAnsi="Times New Roman" w:cs="Times New Roman"/>
          <w:sz w:val="24"/>
          <w:szCs w:val="24"/>
        </w:rPr>
        <w:t xml:space="preserve">be satisfied that an exporter is uncooperative. </w:t>
      </w:r>
    </w:p>
    <w:p w:rsidR="009A1C5D" w:rsidRPr="00AD5496" w:rsidRDefault="00876753" w:rsidP="00D2120B">
      <w:pPr>
        <w:rPr>
          <w:rFonts w:ascii="Times New Roman" w:hAnsi="Times New Roman" w:cs="Times New Roman"/>
          <w:sz w:val="24"/>
          <w:szCs w:val="24"/>
        </w:rPr>
      </w:pPr>
      <w:r w:rsidRPr="00AD5496">
        <w:rPr>
          <w:rFonts w:ascii="Times New Roman" w:hAnsi="Times New Roman" w:cs="Times New Roman"/>
          <w:sz w:val="24"/>
          <w:szCs w:val="24"/>
        </w:rPr>
        <w:t xml:space="preserve">These reforms </w:t>
      </w:r>
      <w:r w:rsidR="00E75F89" w:rsidRPr="00AD5496">
        <w:rPr>
          <w:rFonts w:ascii="Times New Roman" w:hAnsi="Times New Roman" w:cs="Times New Roman"/>
          <w:sz w:val="24"/>
          <w:szCs w:val="24"/>
        </w:rPr>
        <w:t xml:space="preserve">address concerns </w:t>
      </w:r>
      <w:r w:rsidR="00A31358" w:rsidRPr="00AD5496">
        <w:rPr>
          <w:rFonts w:ascii="Times New Roman" w:hAnsi="Times New Roman" w:cs="Times New Roman"/>
          <w:sz w:val="24"/>
          <w:szCs w:val="24"/>
        </w:rPr>
        <w:t xml:space="preserve">expressed </w:t>
      </w:r>
      <w:r w:rsidR="00E75F89" w:rsidRPr="00AD5496">
        <w:rPr>
          <w:rFonts w:ascii="Times New Roman" w:hAnsi="Times New Roman" w:cs="Times New Roman"/>
          <w:sz w:val="24"/>
          <w:szCs w:val="24"/>
        </w:rPr>
        <w:t xml:space="preserve">by </w:t>
      </w:r>
      <w:r w:rsidRPr="00AD5496">
        <w:rPr>
          <w:rFonts w:ascii="Times New Roman" w:hAnsi="Times New Roman" w:cs="Times New Roman"/>
          <w:sz w:val="24"/>
          <w:szCs w:val="24"/>
        </w:rPr>
        <w:t>a number of Australian businesses which have been involved in the anti</w:t>
      </w:r>
      <w:r w:rsidRPr="00AD5496">
        <w:rPr>
          <w:rFonts w:ascii="Times New Roman" w:hAnsi="Times New Roman" w:cs="Times New Roman"/>
          <w:sz w:val="24"/>
          <w:szCs w:val="24"/>
        </w:rPr>
        <w:noBreakHyphen/>
        <w:t xml:space="preserve">dumping system. </w:t>
      </w:r>
      <w:r w:rsidR="009A1C5D" w:rsidRPr="00AD5496">
        <w:rPr>
          <w:rFonts w:ascii="Times New Roman" w:hAnsi="Times New Roman" w:cs="Times New Roman"/>
          <w:sz w:val="24"/>
          <w:szCs w:val="24"/>
        </w:rPr>
        <w:t xml:space="preserve">The Government believes that these reforms will encourage </w:t>
      </w:r>
      <w:r w:rsidR="00E75F89" w:rsidRPr="00AD5496">
        <w:rPr>
          <w:rFonts w:ascii="Times New Roman" w:hAnsi="Times New Roman" w:cs="Times New Roman"/>
          <w:sz w:val="24"/>
          <w:szCs w:val="24"/>
        </w:rPr>
        <w:t xml:space="preserve">all </w:t>
      </w:r>
      <w:r w:rsidR="009A1C5D" w:rsidRPr="00AD5496">
        <w:rPr>
          <w:rFonts w:ascii="Times New Roman" w:hAnsi="Times New Roman" w:cs="Times New Roman"/>
          <w:sz w:val="24"/>
          <w:szCs w:val="24"/>
        </w:rPr>
        <w:t xml:space="preserve">parties to provide prompt and full </w:t>
      </w:r>
      <w:r w:rsidRPr="00AD5496">
        <w:rPr>
          <w:rFonts w:ascii="Times New Roman" w:hAnsi="Times New Roman" w:cs="Times New Roman"/>
          <w:sz w:val="24"/>
          <w:szCs w:val="24"/>
        </w:rPr>
        <w:t xml:space="preserve">responses </w:t>
      </w:r>
      <w:r w:rsidR="009A1C5D" w:rsidRPr="00AD5496">
        <w:rPr>
          <w:rFonts w:ascii="Times New Roman" w:hAnsi="Times New Roman" w:cs="Times New Roman"/>
          <w:sz w:val="24"/>
          <w:szCs w:val="24"/>
        </w:rPr>
        <w:t>to the Commissioner and cooperate more fully in anti-dumping and countervailing duty cases</w:t>
      </w:r>
      <w:r w:rsidR="00A31358" w:rsidRPr="00AD5496">
        <w:rPr>
          <w:rFonts w:ascii="Times New Roman" w:hAnsi="Times New Roman" w:cs="Times New Roman"/>
          <w:sz w:val="24"/>
          <w:szCs w:val="24"/>
        </w:rPr>
        <w:t xml:space="preserve"> to </w:t>
      </w:r>
      <w:r w:rsidR="009A1C5D" w:rsidRPr="00AD5496">
        <w:rPr>
          <w:rFonts w:ascii="Times New Roman" w:hAnsi="Times New Roman" w:cs="Times New Roman"/>
          <w:sz w:val="24"/>
          <w:szCs w:val="24"/>
        </w:rPr>
        <w:t>improve the efficiency of Australia’s anti</w:t>
      </w:r>
      <w:r w:rsidR="009A1C5D" w:rsidRPr="00AD5496">
        <w:rPr>
          <w:rFonts w:ascii="Times New Roman" w:hAnsi="Times New Roman" w:cs="Times New Roman"/>
          <w:sz w:val="24"/>
          <w:szCs w:val="24"/>
        </w:rPr>
        <w:noBreakHyphen/>
        <w:t>dumping system.</w:t>
      </w:r>
      <w:r w:rsidR="00A31358" w:rsidRPr="00AD5496">
        <w:rPr>
          <w:rFonts w:ascii="Times New Roman" w:hAnsi="Times New Roman" w:cs="Times New Roman"/>
          <w:sz w:val="24"/>
          <w:szCs w:val="24"/>
        </w:rPr>
        <w:t xml:space="preserve"> Th</w:t>
      </w:r>
      <w:r w:rsidR="008569C5" w:rsidRPr="00AD5496">
        <w:rPr>
          <w:rFonts w:ascii="Times New Roman" w:hAnsi="Times New Roman" w:cs="Times New Roman"/>
          <w:sz w:val="24"/>
          <w:szCs w:val="24"/>
        </w:rPr>
        <w:t xml:space="preserve">ese </w:t>
      </w:r>
      <w:r w:rsidR="00A31358" w:rsidRPr="00AD5496">
        <w:rPr>
          <w:rFonts w:ascii="Times New Roman" w:hAnsi="Times New Roman" w:cs="Times New Roman"/>
          <w:sz w:val="24"/>
          <w:szCs w:val="24"/>
        </w:rPr>
        <w:t xml:space="preserve">reforms are consistent with the principles of transparency which underpin Australia’s anti-dumping system. </w:t>
      </w:r>
      <w:r w:rsidR="008569C5" w:rsidRPr="00AD5496">
        <w:rPr>
          <w:rFonts w:ascii="Times New Roman" w:hAnsi="Times New Roman" w:cs="Times New Roman"/>
          <w:sz w:val="24"/>
          <w:szCs w:val="24"/>
        </w:rPr>
        <w:t xml:space="preserve">The Government believes </w:t>
      </w:r>
      <w:r w:rsidR="008569C5" w:rsidRPr="00AD5496">
        <w:rPr>
          <w:rFonts w:ascii="Times New Roman" w:hAnsi="Times New Roman" w:cs="Times New Roman"/>
          <w:sz w:val="24"/>
          <w:szCs w:val="24"/>
        </w:rPr>
        <w:lastRenderedPageBreak/>
        <w:t xml:space="preserve">they strike </w:t>
      </w:r>
      <w:r w:rsidR="00A31358" w:rsidRPr="00AD5496">
        <w:rPr>
          <w:rFonts w:ascii="Times New Roman" w:hAnsi="Times New Roman" w:cs="Times New Roman"/>
          <w:sz w:val="24"/>
          <w:szCs w:val="24"/>
        </w:rPr>
        <w:t xml:space="preserve">a balance between providing </w:t>
      </w:r>
      <w:r w:rsidR="00C37D48" w:rsidRPr="00AD5496">
        <w:rPr>
          <w:rFonts w:ascii="Times New Roman" w:hAnsi="Times New Roman" w:cs="Times New Roman"/>
          <w:sz w:val="24"/>
          <w:szCs w:val="24"/>
        </w:rPr>
        <w:t xml:space="preserve">practical </w:t>
      </w:r>
      <w:r w:rsidR="008569C5" w:rsidRPr="00AD5496">
        <w:rPr>
          <w:rFonts w:ascii="Times New Roman" w:hAnsi="Times New Roman" w:cs="Times New Roman"/>
          <w:sz w:val="24"/>
          <w:szCs w:val="24"/>
        </w:rPr>
        <w:t xml:space="preserve">guidance </w:t>
      </w:r>
      <w:r w:rsidR="00A31358" w:rsidRPr="00AD5496">
        <w:rPr>
          <w:rFonts w:ascii="Times New Roman" w:hAnsi="Times New Roman" w:cs="Times New Roman"/>
          <w:sz w:val="24"/>
          <w:szCs w:val="24"/>
        </w:rPr>
        <w:t xml:space="preserve">to the Commissioner on the exercise of relevant powers and obligations under the Act, while ensuring </w:t>
      </w:r>
      <w:r w:rsidR="008569C5" w:rsidRPr="00AD5496">
        <w:rPr>
          <w:rFonts w:ascii="Times New Roman" w:hAnsi="Times New Roman" w:cs="Times New Roman"/>
          <w:sz w:val="24"/>
          <w:szCs w:val="24"/>
        </w:rPr>
        <w:t xml:space="preserve">that the Commissioner continues to consider each </w:t>
      </w:r>
      <w:r w:rsidR="006C4622" w:rsidRPr="00AD5496">
        <w:rPr>
          <w:rFonts w:ascii="Times New Roman" w:hAnsi="Times New Roman" w:cs="Times New Roman"/>
          <w:sz w:val="24"/>
          <w:szCs w:val="24"/>
        </w:rPr>
        <w:t>decision</w:t>
      </w:r>
      <w:r w:rsidR="008569C5" w:rsidRPr="00AD5496">
        <w:rPr>
          <w:rFonts w:ascii="Times New Roman" w:hAnsi="Times New Roman" w:cs="Times New Roman"/>
          <w:sz w:val="24"/>
          <w:szCs w:val="24"/>
        </w:rPr>
        <w:t xml:space="preserve"> on its merits and take into account </w:t>
      </w:r>
      <w:r w:rsidR="00013B7A" w:rsidRPr="00AD5496">
        <w:rPr>
          <w:rFonts w:ascii="Times New Roman" w:hAnsi="Times New Roman" w:cs="Times New Roman"/>
          <w:sz w:val="24"/>
          <w:szCs w:val="24"/>
        </w:rPr>
        <w:t>considerations which are relevant to the particular case</w:t>
      </w:r>
      <w:r w:rsidR="00471E62" w:rsidRPr="00AD5496">
        <w:rPr>
          <w:rFonts w:ascii="Times New Roman" w:hAnsi="Times New Roman" w:cs="Times New Roman"/>
          <w:sz w:val="24"/>
          <w:szCs w:val="24"/>
        </w:rPr>
        <w:t>.</w:t>
      </w:r>
    </w:p>
    <w:p w:rsidR="001C3786" w:rsidRDefault="001C3786" w:rsidP="009A1C5D">
      <w:pPr>
        <w:rPr>
          <w:rFonts w:ascii="Times New Roman" w:hAnsi="Times New Roman" w:cs="Times New Roman"/>
          <w:b/>
          <w:sz w:val="24"/>
          <w:szCs w:val="24"/>
          <w:u w:val="single"/>
        </w:rPr>
      </w:pPr>
    </w:p>
    <w:p w:rsidR="009A1C5D" w:rsidRPr="00AD5496" w:rsidRDefault="009A1C5D" w:rsidP="009A1C5D">
      <w:pPr>
        <w:rPr>
          <w:rFonts w:ascii="Times New Roman" w:hAnsi="Times New Roman" w:cs="Times New Roman"/>
          <w:b/>
          <w:sz w:val="24"/>
          <w:szCs w:val="24"/>
          <w:u w:val="single"/>
        </w:rPr>
      </w:pPr>
      <w:r w:rsidRPr="00AD5496">
        <w:rPr>
          <w:rFonts w:ascii="Times New Roman" w:hAnsi="Times New Roman" w:cs="Times New Roman"/>
          <w:b/>
          <w:sz w:val="24"/>
          <w:szCs w:val="24"/>
          <w:u w:val="single"/>
        </w:rPr>
        <w:t xml:space="preserve">Detailed explanation of the </w:t>
      </w:r>
      <w:r w:rsidR="004B051B">
        <w:rPr>
          <w:rFonts w:ascii="Times New Roman" w:hAnsi="Times New Roman" w:cs="Times New Roman"/>
          <w:b/>
          <w:sz w:val="24"/>
          <w:szCs w:val="24"/>
          <w:u w:val="single"/>
        </w:rPr>
        <w:t>D</w:t>
      </w:r>
      <w:r w:rsidRPr="00AD5496">
        <w:rPr>
          <w:rFonts w:ascii="Times New Roman" w:hAnsi="Times New Roman" w:cs="Times New Roman"/>
          <w:b/>
          <w:sz w:val="24"/>
          <w:szCs w:val="24"/>
          <w:u w:val="single"/>
        </w:rPr>
        <w:t>irection</w:t>
      </w:r>
    </w:p>
    <w:p w:rsidR="00AC2D37" w:rsidRPr="006A2525" w:rsidRDefault="000262B9" w:rsidP="00AC2D37">
      <w:pPr>
        <w:pStyle w:val="ListParagraph"/>
        <w:numPr>
          <w:ilvl w:val="0"/>
          <w:numId w:val="24"/>
        </w:numPr>
        <w:spacing w:before="240" w:after="240"/>
        <w:contextualSpacing w:val="0"/>
        <w:rPr>
          <w:rFonts w:ascii="Times New Roman" w:hAnsi="Times New Roman" w:cs="Times New Roman"/>
          <w:sz w:val="24"/>
          <w:szCs w:val="24"/>
        </w:rPr>
      </w:pPr>
      <w:r w:rsidRPr="00926F87">
        <w:rPr>
          <w:rFonts w:ascii="Times New Roman" w:hAnsi="Times New Roman" w:cs="Times New Roman"/>
          <w:b/>
          <w:sz w:val="24"/>
          <w:szCs w:val="24"/>
        </w:rPr>
        <w:t>Name of instrument</w:t>
      </w:r>
    </w:p>
    <w:p w:rsidR="00AC2D37" w:rsidRPr="006A2525" w:rsidRDefault="00AC2D37" w:rsidP="006A2525">
      <w:pPr>
        <w:rPr>
          <w:rFonts w:ascii="Times New Roman" w:hAnsi="Times New Roman" w:cs="Times New Roman"/>
          <w:sz w:val="24"/>
          <w:szCs w:val="24"/>
        </w:rPr>
      </w:pPr>
      <w:r>
        <w:rPr>
          <w:rFonts w:ascii="Times New Roman" w:hAnsi="Times New Roman" w:cs="Times New Roman"/>
          <w:sz w:val="24"/>
          <w:szCs w:val="24"/>
        </w:rPr>
        <w:t>This section sets out the title of the Direction</w:t>
      </w:r>
    </w:p>
    <w:p w:rsidR="000262B9" w:rsidRPr="00926F87" w:rsidRDefault="000262B9" w:rsidP="000262B9">
      <w:pPr>
        <w:pStyle w:val="ListParagraph"/>
        <w:numPr>
          <w:ilvl w:val="0"/>
          <w:numId w:val="24"/>
        </w:numPr>
        <w:spacing w:before="240" w:after="240"/>
        <w:contextualSpacing w:val="0"/>
        <w:rPr>
          <w:rFonts w:ascii="Times New Roman" w:hAnsi="Times New Roman" w:cs="Times New Roman"/>
          <w:sz w:val="24"/>
          <w:szCs w:val="24"/>
        </w:rPr>
      </w:pPr>
      <w:bookmarkStart w:id="1" w:name="_Toc426965801"/>
      <w:r w:rsidRPr="00926F87">
        <w:rPr>
          <w:rFonts w:ascii="Times New Roman" w:hAnsi="Times New Roman" w:cs="Times New Roman"/>
          <w:b/>
          <w:sz w:val="24"/>
          <w:szCs w:val="24"/>
        </w:rPr>
        <w:t>Authority</w:t>
      </w:r>
      <w:bookmarkEnd w:id="1"/>
    </w:p>
    <w:p w:rsidR="000262B9" w:rsidRPr="00926F87" w:rsidRDefault="000262B9" w:rsidP="009A1C5D">
      <w:pPr>
        <w:rPr>
          <w:rFonts w:ascii="Times New Roman" w:hAnsi="Times New Roman" w:cs="Times New Roman"/>
          <w:sz w:val="24"/>
          <w:szCs w:val="24"/>
        </w:rPr>
      </w:pPr>
      <w:r w:rsidRPr="00926F87">
        <w:rPr>
          <w:rFonts w:ascii="Times New Roman" w:hAnsi="Times New Roman" w:cs="Times New Roman"/>
          <w:sz w:val="24"/>
          <w:szCs w:val="24"/>
        </w:rPr>
        <w:t xml:space="preserve">This section provides that the Direction is made under subsection 269TA(1) of the </w:t>
      </w:r>
      <w:r w:rsidRPr="00926F87">
        <w:rPr>
          <w:rFonts w:ascii="Times New Roman" w:hAnsi="Times New Roman" w:cs="Times New Roman"/>
          <w:i/>
          <w:sz w:val="24"/>
          <w:szCs w:val="24"/>
        </w:rPr>
        <w:t>Customs Act 1901.</w:t>
      </w:r>
    </w:p>
    <w:p w:rsidR="000262B9" w:rsidRPr="006A2525" w:rsidRDefault="000262B9" w:rsidP="000262B9">
      <w:pPr>
        <w:pStyle w:val="ListParagraph"/>
        <w:numPr>
          <w:ilvl w:val="0"/>
          <w:numId w:val="24"/>
        </w:numPr>
        <w:spacing w:before="240" w:after="240"/>
        <w:contextualSpacing w:val="0"/>
        <w:rPr>
          <w:rFonts w:ascii="Times New Roman" w:hAnsi="Times New Roman" w:cs="Times New Roman"/>
          <w:sz w:val="24"/>
          <w:szCs w:val="24"/>
        </w:rPr>
      </w:pPr>
      <w:bookmarkStart w:id="2" w:name="_Toc426965802"/>
      <w:r w:rsidRPr="00926F87">
        <w:rPr>
          <w:rFonts w:ascii="Times New Roman" w:hAnsi="Times New Roman" w:cs="Times New Roman"/>
          <w:b/>
          <w:sz w:val="24"/>
          <w:szCs w:val="24"/>
        </w:rPr>
        <w:t>Commencement</w:t>
      </w:r>
      <w:bookmarkEnd w:id="2"/>
    </w:p>
    <w:p w:rsidR="00AC2D37" w:rsidRPr="006A2525" w:rsidRDefault="00AC2D37" w:rsidP="006A2525">
      <w:pPr>
        <w:spacing w:before="240" w:after="240"/>
        <w:rPr>
          <w:rFonts w:ascii="Times New Roman" w:hAnsi="Times New Roman" w:cs="Times New Roman"/>
          <w:sz w:val="24"/>
          <w:szCs w:val="24"/>
        </w:rPr>
      </w:pPr>
      <w:r>
        <w:rPr>
          <w:rFonts w:ascii="Times New Roman" w:hAnsi="Times New Roman" w:cs="Times New Roman"/>
          <w:sz w:val="24"/>
          <w:szCs w:val="24"/>
        </w:rPr>
        <w:t xml:space="preserve">This section </w:t>
      </w:r>
      <w:r w:rsidR="00F66A70">
        <w:rPr>
          <w:rFonts w:ascii="Times New Roman" w:hAnsi="Times New Roman" w:cs="Times New Roman"/>
          <w:sz w:val="24"/>
          <w:szCs w:val="24"/>
        </w:rPr>
        <w:t xml:space="preserve">provides that the Direction commences on commencement of Schedule 1 of the </w:t>
      </w:r>
      <w:r w:rsidR="00F66A70">
        <w:rPr>
          <w:rFonts w:ascii="Times New Roman" w:hAnsi="Times New Roman" w:cs="Times New Roman"/>
          <w:i/>
          <w:sz w:val="24"/>
          <w:szCs w:val="24"/>
        </w:rPr>
        <w:t>Customs Amendment (Anti-Dumping Measures) Act (No.1) 2015</w:t>
      </w:r>
      <w:r>
        <w:rPr>
          <w:rFonts w:ascii="Times New Roman" w:hAnsi="Times New Roman" w:cs="Times New Roman"/>
          <w:sz w:val="24"/>
          <w:szCs w:val="24"/>
        </w:rPr>
        <w:t>.</w:t>
      </w:r>
    </w:p>
    <w:p w:rsidR="00AC2D37" w:rsidRPr="006A2525" w:rsidRDefault="000262B9" w:rsidP="00AC2D37">
      <w:pPr>
        <w:pStyle w:val="ListParagraph"/>
        <w:numPr>
          <w:ilvl w:val="0"/>
          <w:numId w:val="24"/>
        </w:numPr>
        <w:spacing w:before="240" w:after="240"/>
        <w:contextualSpacing w:val="0"/>
        <w:rPr>
          <w:rFonts w:ascii="Times New Roman" w:hAnsi="Times New Roman" w:cs="Times New Roman"/>
          <w:sz w:val="24"/>
          <w:szCs w:val="24"/>
        </w:rPr>
      </w:pPr>
      <w:r w:rsidRPr="00926F87">
        <w:rPr>
          <w:rFonts w:ascii="Times New Roman" w:hAnsi="Times New Roman" w:cs="Times New Roman"/>
          <w:b/>
          <w:sz w:val="24"/>
          <w:szCs w:val="24"/>
        </w:rPr>
        <w:t>Definitions</w:t>
      </w:r>
    </w:p>
    <w:p w:rsidR="00AC2D37" w:rsidRPr="006A2525" w:rsidRDefault="00AC2D37" w:rsidP="006A2525">
      <w:pPr>
        <w:spacing w:before="240" w:after="240"/>
        <w:rPr>
          <w:rFonts w:ascii="Times New Roman" w:hAnsi="Times New Roman" w:cs="Times New Roman"/>
          <w:sz w:val="24"/>
          <w:szCs w:val="24"/>
        </w:rPr>
      </w:pPr>
      <w:r>
        <w:rPr>
          <w:rFonts w:ascii="Times New Roman" w:hAnsi="Times New Roman" w:cs="Times New Roman"/>
          <w:sz w:val="24"/>
          <w:szCs w:val="24"/>
        </w:rPr>
        <w:t>This section sets out the definitions for key terms used in the Direction.</w:t>
      </w:r>
    </w:p>
    <w:p w:rsidR="000262B9" w:rsidRPr="00926F87" w:rsidRDefault="000262B9" w:rsidP="000262B9">
      <w:pPr>
        <w:pStyle w:val="ListParagraph"/>
        <w:numPr>
          <w:ilvl w:val="0"/>
          <w:numId w:val="24"/>
        </w:numPr>
        <w:spacing w:before="240" w:after="240"/>
        <w:contextualSpacing w:val="0"/>
        <w:rPr>
          <w:rFonts w:ascii="Times New Roman" w:hAnsi="Times New Roman" w:cs="Times New Roman"/>
          <w:b/>
          <w:sz w:val="24"/>
          <w:szCs w:val="24"/>
        </w:rPr>
      </w:pPr>
      <w:r w:rsidRPr="00926F87">
        <w:rPr>
          <w:rFonts w:ascii="Times New Roman" w:hAnsi="Times New Roman" w:cs="Times New Roman"/>
          <w:b/>
          <w:sz w:val="24"/>
          <w:szCs w:val="24"/>
        </w:rPr>
        <w:t>Extensions of time – sections 269T</w:t>
      </w:r>
      <w:r w:rsidR="00DB073F">
        <w:rPr>
          <w:rFonts w:ascii="Times New Roman" w:hAnsi="Times New Roman" w:cs="Times New Roman"/>
          <w:b/>
          <w:sz w:val="24"/>
          <w:szCs w:val="24"/>
        </w:rPr>
        <w:t>C</w:t>
      </w:r>
      <w:r w:rsidRPr="00926F87">
        <w:rPr>
          <w:rFonts w:ascii="Times New Roman" w:hAnsi="Times New Roman" w:cs="Times New Roman"/>
          <w:b/>
          <w:sz w:val="24"/>
          <w:szCs w:val="24"/>
        </w:rPr>
        <w:t xml:space="preserve"> and 269SMG</w:t>
      </w:r>
    </w:p>
    <w:p w:rsidR="000845ED" w:rsidRPr="00926F87" w:rsidRDefault="000845ED" w:rsidP="009A1C5D">
      <w:pPr>
        <w:rPr>
          <w:rFonts w:ascii="Times New Roman" w:hAnsi="Times New Roman" w:cs="Times New Roman"/>
          <w:sz w:val="24"/>
          <w:szCs w:val="24"/>
        </w:rPr>
      </w:pPr>
      <w:r w:rsidRPr="00926F87">
        <w:rPr>
          <w:rFonts w:ascii="Times New Roman" w:hAnsi="Times New Roman" w:cs="Times New Roman"/>
          <w:sz w:val="24"/>
          <w:szCs w:val="24"/>
        </w:rPr>
        <w:t xml:space="preserve">Section 5 </w:t>
      </w:r>
      <w:r w:rsidR="00AC2D37">
        <w:rPr>
          <w:rFonts w:ascii="Times New Roman" w:hAnsi="Times New Roman" w:cs="Times New Roman"/>
          <w:sz w:val="24"/>
          <w:szCs w:val="24"/>
        </w:rPr>
        <w:t>stipulates</w:t>
      </w:r>
      <w:r w:rsidRPr="00926F87">
        <w:rPr>
          <w:rFonts w:ascii="Times New Roman" w:hAnsi="Times New Roman" w:cs="Times New Roman"/>
          <w:sz w:val="24"/>
          <w:szCs w:val="24"/>
        </w:rPr>
        <w:t xml:space="preserve"> </w:t>
      </w:r>
      <w:r w:rsidR="00EB1D38" w:rsidRPr="00926F87">
        <w:rPr>
          <w:rFonts w:ascii="Times New Roman" w:hAnsi="Times New Roman" w:cs="Times New Roman"/>
          <w:sz w:val="24"/>
          <w:szCs w:val="24"/>
        </w:rPr>
        <w:t>issues</w:t>
      </w:r>
      <w:r w:rsidRPr="00926F87">
        <w:rPr>
          <w:rFonts w:ascii="Times New Roman" w:hAnsi="Times New Roman" w:cs="Times New Roman"/>
          <w:sz w:val="24"/>
          <w:szCs w:val="24"/>
        </w:rPr>
        <w:t xml:space="preserve"> the Commissioner must take into account when considering extension of time requests.</w:t>
      </w:r>
    </w:p>
    <w:p w:rsidR="008F2ADD" w:rsidRDefault="00EB1D38" w:rsidP="000F2C02">
      <w:pPr>
        <w:rPr>
          <w:rFonts w:ascii="Times New Roman" w:hAnsi="Times New Roman" w:cs="Times New Roman"/>
          <w:sz w:val="24"/>
          <w:szCs w:val="24"/>
        </w:rPr>
      </w:pPr>
      <w:r w:rsidRPr="00926F87">
        <w:rPr>
          <w:rFonts w:ascii="Times New Roman" w:hAnsi="Times New Roman" w:cs="Times New Roman"/>
          <w:sz w:val="24"/>
          <w:szCs w:val="24"/>
        </w:rPr>
        <w:t>The Commissioner has the power to extend the period within which parties can lodge their responses</w:t>
      </w:r>
      <w:r w:rsidR="00F66A70">
        <w:rPr>
          <w:rFonts w:ascii="Times New Roman" w:hAnsi="Times New Roman" w:cs="Times New Roman"/>
          <w:sz w:val="24"/>
          <w:szCs w:val="24"/>
        </w:rPr>
        <w:t xml:space="preserve"> and </w:t>
      </w:r>
      <w:r w:rsidRPr="00926F87">
        <w:rPr>
          <w:rFonts w:ascii="Times New Roman" w:hAnsi="Times New Roman" w:cs="Times New Roman"/>
          <w:sz w:val="24"/>
          <w:szCs w:val="24"/>
        </w:rPr>
        <w:t>must consider all requests for extensions on their merits. The Commissioner must take into account all relevant considerations and evidence, the specific decision</w:t>
      </w:r>
      <w:r w:rsidRPr="00926F87">
        <w:rPr>
          <w:rFonts w:ascii="Times New Roman" w:hAnsi="Times New Roman" w:cs="Times New Roman"/>
          <w:sz w:val="24"/>
          <w:szCs w:val="24"/>
        </w:rPr>
        <w:noBreakHyphen/>
        <w:t>making and other criteria set out in the Act, and the broad obligation to conduct cases in a timely and efficient way.</w:t>
      </w:r>
    </w:p>
    <w:p w:rsidR="00A077E4" w:rsidRDefault="00B81CCB" w:rsidP="000F2C02">
      <w:pPr>
        <w:rPr>
          <w:rFonts w:ascii="Times New Roman" w:hAnsi="Times New Roman" w:cs="Times New Roman"/>
          <w:sz w:val="24"/>
          <w:szCs w:val="24"/>
        </w:rPr>
      </w:pPr>
      <w:r>
        <w:rPr>
          <w:rFonts w:ascii="Times New Roman" w:hAnsi="Times New Roman" w:cs="Times New Roman"/>
          <w:sz w:val="24"/>
          <w:szCs w:val="24"/>
        </w:rPr>
        <w:t>Subparagraph 5(b)(iii)(1</w:t>
      </w:r>
      <w:r w:rsidRPr="005B3347">
        <w:rPr>
          <w:rFonts w:ascii="Times New Roman" w:hAnsi="Times New Roman" w:cs="Times New Roman"/>
          <w:sz w:val="24"/>
          <w:szCs w:val="24"/>
        </w:rPr>
        <w:t xml:space="preserve">) </w:t>
      </w:r>
      <w:r w:rsidR="005B3347">
        <w:rPr>
          <w:rFonts w:ascii="Times New Roman" w:hAnsi="Times New Roman" w:cs="Times New Roman"/>
          <w:sz w:val="24"/>
          <w:szCs w:val="24"/>
        </w:rPr>
        <w:t>requires</w:t>
      </w:r>
      <w:r w:rsidR="005B3347" w:rsidRPr="005B3347">
        <w:rPr>
          <w:rFonts w:ascii="Times New Roman" w:hAnsi="Times New Roman" w:cs="Times New Roman"/>
          <w:sz w:val="24"/>
          <w:szCs w:val="24"/>
        </w:rPr>
        <w:t xml:space="preserve"> </w:t>
      </w:r>
      <w:r w:rsidR="00A077E4" w:rsidRPr="00CB407E">
        <w:rPr>
          <w:rFonts w:ascii="Times New Roman" w:hAnsi="Times New Roman" w:cs="Times New Roman"/>
          <w:sz w:val="24"/>
          <w:szCs w:val="24"/>
        </w:rPr>
        <w:t>that a</w:t>
      </w:r>
      <w:r w:rsidR="00B36913" w:rsidRPr="00CB407E">
        <w:rPr>
          <w:rFonts w:ascii="Times New Roman" w:hAnsi="Times New Roman" w:cs="Times New Roman"/>
          <w:sz w:val="24"/>
        </w:rPr>
        <w:t xml:space="preserve"> party </w:t>
      </w:r>
      <w:r w:rsidR="00B36913" w:rsidRPr="001975F7">
        <w:rPr>
          <w:rFonts w:ascii="Times New Roman" w:hAnsi="Times New Roman"/>
          <w:sz w:val="24"/>
        </w:rPr>
        <w:t xml:space="preserve">should provide the reasons it could not lodge within the original timeframe set by the Commissioner or under the Act, rather than providing only the reasons it cannot lodge </w:t>
      </w:r>
      <w:r w:rsidR="0093079D" w:rsidRPr="001975F7">
        <w:rPr>
          <w:rFonts w:ascii="Times New Roman" w:hAnsi="Times New Roman"/>
          <w:sz w:val="24"/>
        </w:rPr>
        <w:t xml:space="preserve">a response </w:t>
      </w:r>
      <w:r w:rsidR="00B36913" w:rsidRPr="001975F7">
        <w:rPr>
          <w:rFonts w:ascii="Times New Roman" w:hAnsi="Times New Roman"/>
          <w:sz w:val="24"/>
        </w:rPr>
        <w:t xml:space="preserve">in the time </w:t>
      </w:r>
      <w:r w:rsidR="0093079D" w:rsidRPr="001975F7">
        <w:rPr>
          <w:rFonts w:ascii="Times New Roman" w:hAnsi="Times New Roman"/>
          <w:sz w:val="24"/>
        </w:rPr>
        <w:t>which remains</w:t>
      </w:r>
      <w:r w:rsidR="00B36913" w:rsidRPr="001975F7">
        <w:rPr>
          <w:rFonts w:ascii="Times New Roman" w:hAnsi="Times New Roman"/>
          <w:sz w:val="24"/>
        </w:rPr>
        <w:t xml:space="preserve">.  </w:t>
      </w:r>
      <w:r w:rsidR="0093079D" w:rsidRPr="001975F7">
        <w:rPr>
          <w:rFonts w:ascii="Times New Roman" w:hAnsi="Times New Roman"/>
          <w:sz w:val="24"/>
        </w:rPr>
        <w:t xml:space="preserve">For example, a party might request an extension two days before the deadline </w:t>
      </w:r>
      <w:r w:rsidR="0080277E" w:rsidRPr="001975F7">
        <w:rPr>
          <w:rFonts w:ascii="Times New Roman" w:hAnsi="Times New Roman"/>
          <w:sz w:val="24"/>
        </w:rPr>
        <w:t xml:space="preserve">noting that it is not </w:t>
      </w:r>
      <w:r w:rsidR="0093079D" w:rsidRPr="001975F7">
        <w:rPr>
          <w:rFonts w:ascii="Times New Roman" w:hAnsi="Times New Roman"/>
          <w:sz w:val="24"/>
        </w:rPr>
        <w:t>able to draft a sufficient response in two days</w:t>
      </w:r>
      <w:r w:rsidR="0080277E" w:rsidRPr="001975F7">
        <w:rPr>
          <w:rFonts w:ascii="Times New Roman" w:hAnsi="Times New Roman"/>
          <w:sz w:val="24"/>
        </w:rPr>
        <w:t>. H</w:t>
      </w:r>
      <w:r w:rsidR="0093079D" w:rsidRPr="001975F7">
        <w:rPr>
          <w:rFonts w:ascii="Times New Roman" w:hAnsi="Times New Roman"/>
          <w:sz w:val="24"/>
        </w:rPr>
        <w:t xml:space="preserve">owever, </w:t>
      </w:r>
      <w:r w:rsidR="00290BFF" w:rsidRPr="001975F7">
        <w:rPr>
          <w:rFonts w:ascii="Times New Roman" w:hAnsi="Times New Roman"/>
          <w:sz w:val="24"/>
        </w:rPr>
        <w:t xml:space="preserve">to satisfy the Commissioner, </w:t>
      </w:r>
      <w:r w:rsidR="0093079D" w:rsidRPr="001975F7">
        <w:rPr>
          <w:rFonts w:ascii="Times New Roman" w:hAnsi="Times New Roman"/>
          <w:sz w:val="24"/>
        </w:rPr>
        <w:t xml:space="preserve">the party </w:t>
      </w:r>
      <w:r w:rsidR="00290BFF" w:rsidRPr="001975F7">
        <w:rPr>
          <w:rFonts w:ascii="Times New Roman" w:hAnsi="Times New Roman"/>
          <w:sz w:val="24"/>
        </w:rPr>
        <w:t xml:space="preserve">should </w:t>
      </w:r>
      <w:r w:rsidR="0093079D" w:rsidRPr="001975F7">
        <w:rPr>
          <w:rFonts w:ascii="Times New Roman" w:hAnsi="Times New Roman"/>
          <w:sz w:val="24"/>
        </w:rPr>
        <w:t xml:space="preserve">also explain why it was unable to </w:t>
      </w:r>
      <w:r w:rsidR="001D2C53" w:rsidRPr="001975F7">
        <w:rPr>
          <w:rFonts w:ascii="Times New Roman" w:hAnsi="Times New Roman"/>
          <w:sz w:val="24"/>
        </w:rPr>
        <w:t xml:space="preserve">draft a response in the preceding weeks. </w:t>
      </w:r>
    </w:p>
    <w:p w:rsidR="00F33A55" w:rsidRPr="00F33A55" w:rsidRDefault="005104CA" w:rsidP="00F33A55">
      <w:pPr>
        <w:rPr>
          <w:rFonts w:ascii="Times New Roman" w:hAnsi="Times New Roman" w:cs="Times New Roman"/>
          <w:sz w:val="24"/>
          <w:szCs w:val="24"/>
        </w:rPr>
      </w:pPr>
      <w:r>
        <w:rPr>
          <w:rFonts w:ascii="Times New Roman" w:hAnsi="Times New Roman" w:cs="Times New Roman"/>
          <w:sz w:val="24"/>
          <w:szCs w:val="24"/>
        </w:rPr>
        <w:t>Subparagraph 5(b)(iii)(2</w:t>
      </w:r>
      <w:r w:rsidRPr="005B3347">
        <w:rPr>
          <w:rFonts w:ascii="Times New Roman" w:hAnsi="Times New Roman" w:cs="Times New Roman"/>
          <w:sz w:val="24"/>
          <w:szCs w:val="24"/>
        </w:rPr>
        <w:t xml:space="preserve">) </w:t>
      </w:r>
      <w:r w:rsidR="00A077E4" w:rsidRPr="006A2525">
        <w:rPr>
          <w:rFonts w:ascii="Times New Roman" w:hAnsi="Times New Roman" w:cs="Times New Roman"/>
          <w:sz w:val="24"/>
          <w:szCs w:val="24"/>
        </w:rPr>
        <w:t>requires</w:t>
      </w:r>
      <w:r w:rsidR="00A077E4" w:rsidRPr="005B3347">
        <w:rPr>
          <w:rFonts w:ascii="Times New Roman" w:hAnsi="Times New Roman" w:cs="Times New Roman"/>
          <w:sz w:val="24"/>
          <w:szCs w:val="24"/>
        </w:rPr>
        <w:t xml:space="preserve"> that </w:t>
      </w:r>
      <w:r w:rsidR="00A077E4" w:rsidRPr="00F33A55">
        <w:rPr>
          <w:rFonts w:ascii="Times New Roman" w:hAnsi="Times New Roman" w:cs="Times New Roman"/>
          <w:sz w:val="24"/>
          <w:szCs w:val="24"/>
        </w:rPr>
        <w:t xml:space="preserve">when </w:t>
      </w:r>
      <w:r w:rsidR="001D2C53" w:rsidRPr="00F33A55">
        <w:rPr>
          <w:rFonts w:ascii="Times New Roman" w:hAnsi="Times New Roman"/>
          <w:sz w:val="24"/>
        </w:rPr>
        <w:t>considering</w:t>
      </w:r>
      <w:r w:rsidR="0080277E" w:rsidRPr="00F33A55">
        <w:rPr>
          <w:rFonts w:ascii="Times New Roman" w:hAnsi="Times New Roman"/>
          <w:sz w:val="24"/>
        </w:rPr>
        <w:t xml:space="preserve"> the reasons provided by parties</w:t>
      </w:r>
      <w:r w:rsidR="001C3786">
        <w:rPr>
          <w:rFonts w:ascii="Times New Roman" w:hAnsi="Times New Roman"/>
          <w:sz w:val="24"/>
        </w:rPr>
        <w:t>,</w:t>
      </w:r>
      <w:r w:rsidR="001D2C53" w:rsidRPr="00F33A55">
        <w:rPr>
          <w:rFonts w:ascii="Times New Roman" w:hAnsi="Times New Roman"/>
          <w:sz w:val="24"/>
        </w:rPr>
        <w:t xml:space="preserve"> especially business</w:t>
      </w:r>
      <w:r w:rsidR="00F55EA6" w:rsidRPr="00F33A55">
        <w:rPr>
          <w:rFonts w:ascii="Times New Roman" w:hAnsi="Times New Roman"/>
          <w:sz w:val="24"/>
        </w:rPr>
        <w:t>es</w:t>
      </w:r>
      <w:r w:rsidR="001C3786">
        <w:rPr>
          <w:rFonts w:ascii="Times New Roman" w:hAnsi="Times New Roman"/>
          <w:sz w:val="24"/>
        </w:rPr>
        <w:t>,</w:t>
      </w:r>
      <w:r w:rsidR="001D2C53" w:rsidRPr="00F33A55">
        <w:rPr>
          <w:rFonts w:ascii="Times New Roman" w:hAnsi="Times New Roman"/>
          <w:sz w:val="24"/>
        </w:rPr>
        <w:t xml:space="preserve"> the Commissioner </w:t>
      </w:r>
      <w:r w:rsidR="005B3347">
        <w:rPr>
          <w:rFonts w:ascii="Times New Roman" w:hAnsi="Times New Roman"/>
          <w:sz w:val="24"/>
        </w:rPr>
        <w:t xml:space="preserve">must </w:t>
      </w:r>
      <w:r w:rsidR="001D2C53" w:rsidRPr="00F33A55">
        <w:rPr>
          <w:rFonts w:ascii="Times New Roman" w:hAnsi="Times New Roman"/>
          <w:sz w:val="24"/>
        </w:rPr>
        <w:t xml:space="preserve">consider </w:t>
      </w:r>
      <w:r w:rsidR="009F77EB" w:rsidRPr="00F33A55">
        <w:rPr>
          <w:rFonts w:ascii="Times New Roman" w:hAnsi="Times New Roman"/>
          <w:sz w:val="24"/>
        </w:rPr>
        <w:t xml:space="preserve">ordinary business practices </w:t>
      </w:r>
      <w:r w:rsidR="001D2C53" w:rsidRPr="00F33A55">
        <w:rPr>
          <w:rFonts w:ascii="Times New Roman" w:hAnsi="Times New Roman"/>
          <w:sz w:val="24"/>
        </w:rPr>
        <w:t xml:space="preserve">and </w:t>
      </w:r>
      <w:r w:rsidR="009F77EB" w:rsidRPr="00F33A55">
        <w:rPr>
          <w:rFonts w:ascii="Times New Roman" w:hAnsi="Times New Roman"/>
          <w:sz w:val="24"/>
        </w:rPr>
        <w:t>commercial principles</w:t>
      </w:r>
      <w:r w:rsidR="001D2C53" w:rsidRPr="00F33A55">
        <w:rPr>
          <w:rFonts w:ascii="Times New Roman" w:hAnsi="Times New Roman"/>
          <w:sz w:val="24"/>
        </w:rPr>
        <w:t xml:space="preserve">. For example, if the reason provided by a party was simply </w:t>
      </w:r>
      <w:r w:rsidR="0080277E" w:rsidRPr="00F33A55">
        <w:rPr>
          <w:rFonts w:ascii="Times New Roman" w:hAnsi="Times New Roman"/>
          <w:sz w:val="24"/>
        </w:rPr>
        <w:t xml:space="preserve">that it had </w:t>
      </w:r>
      <w:r w:rsidR="0080277E" w:rsidRPr="00F33A55">
        <w:rPr>
          <w:rFonts w:ascii="Times New Roman" w:hAnsi="Times New Roman"/>
          <w:sz w:val="24"/>
        </w:rPr>
        <w:lastRenderedPageBreak/>
        <w:t xml:space="preserve">poor </w:t>
      </w:r>
      <w:r w:rsidR="001D2C53" w:rsidRPr="00F33A55">
        <w:rPr>
          <w:rFonts w:ascii="Times New Roman" w:hAnsi="Times New Roman"/>
          <w:sz w:val="24"/>
        </w:rPr>
        <w:t>administrative practices that may not</w:t>
      </w:r>
      <w:r w:rsidR="000B5C48">
        <w:rPr>
          <w:rFonts w:ascii="Times New Roman" w:hAnsi="Times New Roman"/>
          <w:sz w:val="24"/>
        </w:rPr>
        <w:t xml:space="preserve"> </w:t>
      </w:r>
      <w:r w:rsidR="001D2C53" w:rsidRPr="00F33A55">
        <w:rPr>
          <w:rFonts w:ascii="Times New Roman" w:hAnsi="Times New Roman"/>
          <w:sz w:val="24"/>
        </w:rPr>
        <w:t>constitute a sufficient reason.</w:t>
      </w:r>
      <w:r w:rsidR="00F33A55" w:rsidRPr="00F33A55">
        <w:rPr>
          <w:rFonts w:ascii="Times New Roman" w:hAnsi="Times New Roman"/>
          <w:sz w:val="24"/>
        </w:rPr>
        <w:t xml:space="preserve"> </w:t>
      </w:r>
      <w:r w:rsidR="00F33A55" w:rsidRPr="00F33A55">
        <w:rPr>
          <w:rFonts w:ascii="Times New Roman" w:hAnsi="Times New Roman" w:cs="Times New Roman"/>
          <w:sz w:val="24"/>
          <w:szCs w:val="24"/>
        </w:rPr>
        <w:t xml:space="preserve">The Commissioner will critically evaluate and consider the reasons </w:t>
      </w:r>
      <w:r w:rsidR="0039708C">
        <w:rPr>
          <w:rFonts w:ascii="Times New Roman" w:hAnsi="Times New Roman" w:cs="Times New Roman"/>
          <w:sz w:val="24"/>
          <w:szCs w:val="24"/>
        </w:rPr>
        <w:t xml:space="preserve">provided by the party, including </w:t>
      </w:r>
      <w:r w:rsidR="00F33A55" w:rsidRPr="00F33A55">
        <w:rPr>
          <w:rFonts w:ascii="Times New Roman" w:hAnsi="Times New Roman" w:cs="Times New Roman"/>
          <w:sz w:val="24"/>
          <w:szCs w:val="24"/>
        </w:rPr>
        <w:t xml:space="preserve">taking account any difficulties experienced by the party, especially small businesses with limited resources. </w:t>
      </w:r>
    </w:p>
    <w:p w:rsidR="009F77EB" w:rsidRPr="00AD5496" w:rsidRDefault="005104CA" w:rsidP="000F2C02">
      <w:pPr>
        <w:rPr>
          <w:rFonts w:ascii="Times New Roman" w:hAnsi="Times New Roman" w:cs="Times New Roman"/>
          <w:sz w:val="24"/>
          <w:szCs w:val="24"/>
        </w:rPr>
      </w:pPr>
      <w:r>
        <w:rPr>
          <w:rFonts w:ascii="Times New Roman" w:hAnsi="Times New Roman" w:cs="Times New Roman"/>
          <w:sz w:val="24"/>
          <w:szCs w:val="24"/>
        </w:rPr>
        <w:t xml:space="preserve">Subparagraph 5(b)(iii)(3) </w:t>
      </w:r>
      <w:r w:rsidR="005B3347">
        <w:rPr>
          <w:rFonts w:ascii="Times New Roman" w:hAnsi="Times New Roman" w:cs="Times New Roman"/>
          <w:sz w:val="24"/>
          <w:szCs w:val="24"/>
        </w:rPr>
        <w:t xml:space="preserve">requires </w:t>
      </w:r>
      <w:r w:rsidR="00A077E4">
        <w:rPr>
          <w:rFonts w:ascii="Times New Roman" w:hAnsi="Times New Roman" w:cs="Times New Roman"/>
          <w:sz w:val="24"/>
          <w:szCs w:val="24"/>
        </w:rPr>
        <w:t>that w</w:t>
      </w:r>
      <w:r w:rsidR="00C61853" w:rsidRPr="001975F7">
        <w:rPr>
          <w:rFonts w:ascii="Times New Roman" w:hAnsi="Times New Roman"/>
          <w:sz w:val="24"/>
        </w:rPr>
        <w:t>hen considering the reasons provided by a party</w:t>
      </w:r>
      <w:r w:rsidR="00290BFF" w:rsidRPr="001975F7">
        <w:rPr>
          <w:rFonts w:ascii="Times New Roman" w:hAnsi="Times New Roman"/>
          <w:sz w:val="24"/>
        </w:rPr>
        <w:t>,</w:t>
      </w:r>
      <w:r w:rsidR="00C61853" w:rsidRPr="001975F7">
        <w:rPr>
          <w:rFonts w:ascii="Times New Roman" w:hAnsi="Times New Roman"/>
          <w:sz w:val="24"/>
        </w:rPr>
        <w:t xml:space="preserve"> the Commissioner </w:t>
      </w:r>
      <w:r w:rsidR="005B3347">
        <w:rPr>
          <w:rFonts w:ascii="Times New Roman" w:hAnsi="Times New Roman"/>
          <w:sz w:val="24"/>
        </w:rPr>
        <w:t>must</w:t>
      </w:r>
      <w:r w:rsidR="005B3347" w:rsidRPr="001975F7">
        <w:rPr>
          <w:rFonts w:ascii="Times New Roman" w:hAnsi="Times New Roman"/>
          <w:sz w:val="24"/>
        </w:rPr>
        <w:t xml:space="preserve"> </w:t>
      </w:r>
      <w:r w:rsidR="00C61853" w:rsidRPr="001975F7">
        <w:rPr>
          <w:rFonts w:ascii="Times New Roman" w:hAnsi="Times New Roman"/>
          <w:sz w:val="24"/>
        </w:rPr>
        <w:t>take into account the relevant industry and the way it operates both in Australia and overseas. T</w:t>
      </w:r>
      <w:r w:rsidR="00B82443" w:rsidRPr="001975F7">
        <w:rPr>
          <w:rFonts w:ascii="Times New Roman" w:hAnsi="Times New Roman"/>
          <w:sz w:val="24"/>
        </w:rPr>
        <w:t>he</w:t>
      </w:r>
      <w:r w:rsidR="00C61853" w:rsidRPr="001975F7">
        <w:rPr>
          <w:rFonts w:ascii="Times New Roman" w:hAnsi="Times New Roman"/>
          <w:sz w:val="24"/>
        </w:rPr>
        <w:t xml:space="preserve"> Commissioner may form </w:t>
      </w:r>
      <w:r w:rsidR="00B82443" w:rsidRPr="001975F7">
        <w:rPr>
          <w:rFonts w:ascii="Times New Roman" w:hAnsi="Times New Roman"/>
          <w:sz w:val="24"/>
        </w:rPr>
        <w:t xml:space="preserve">this </w:t>
      </w:r>
      <w:r w:rsidR="00C61853" w:rsidRPr="001975F7">
        <w:rPr>
          <w:rFonts w:ascii="Times New Roman" w:hAnsi="Times New Roman"/>
          <w:sz w:val="24"/>
        </w:rPr>
        <w:t xml:space="preserve">understanding </w:t>
      </w:r>
      <w:r w:rsidR="00B82443" w:rsidRPr="001975F7">
        <w:rPr>
          <w:rFonts w:ascii="Times New Roman" w:hAnsi="Times New Roman"/>
          <w:sz w:val="24"/>
        </w:rPr>
        <w:t xml:space="preserve">through </w:t>
      </w:r>
      <w:r w:rsidR="00C61853" w:rsidRPr="001975F7">
        <w:rPr>
          <w:rFonts w:ascii="Times New Roman" w:hAnsi="Times New Roman"/>
          <w:sz w:val="24"/>
        </w:rPr>
        <w:t>the conduct of the investigation, experience</w:t>
      </w:r>
      <w:r w:rsidR="0080277E" w:rsidRPr="001975F7">
        <w:rPr>
          <w:rFonts w:ascii="Times New Roman" w:hAnsi="Times New Roman"/>
          <w:sz w:val="24"/>
        </w:rPr>
        <w:t>s</w:t>
      </w:r>
      <w:r w:rsidR="00C61853" w:rsidRPr="001975F7">
        <w:rPr>
          <w:rFonts w:ascii="Times New Roman" w:hAnsi="Times New Roman"/>
          <w:sz w:val="24"/>
        </w:rPr>
        <w:t xml:space="preserve"> dealing with local or overseas businesses </w:t>
      </w:r>
      <w:r w:rsidR="005B3347" w:rsidRPr="001975F7">
        <w:rPr>
          <w:rFonts w:ascii="Times New Roman" w:hAnsi="Times New Roman"/>
          <w:sz w:val="24"/>
        </w:rPr>
        <w:t xml:space="preserve">and experts </w:t>
      </w:r>
      <w:r w:rsidR="00C61853" w:rsidRPr="001975F7">
        <w:rPr>
          <w:rFonts w:ascii="Times New Roman" w:hAnsi="Times New Roman"/>
          <w:sz w:val="24"/>
        </w:rPr>
        <w:t>in that industry, or through other legitimate avenues.</w:t>
      </w:r>
      <w:r w:rsidR="00B82443" w:rsidRPr="001975F7">
        <w:rPr>
          <w:rFonts w:ascii="Times New Roman" w:hAnsi="Times New Roman"/>
          <w:sz w:val="24"/>
        </w:rPr>
        <w:t xml:space="preserve"> For example, if the reason provided by one business </w:t>
      </w:r>
      <w:r w:rsidR="00107C88" w:rsidRPr="001975F7">
        <w:rPr>
          <w:rFonts w:ascii="Times New Roman" w:hAnsi="Times New Roman"/>
          <w:sz w:val="24"/>
        </w:rPr>
        <w:t xml:space="preserve">is inconsistent </w:t>
      </w:r>
      <w:r w:rsidR="00B82443" w:rsidRPr="001975F7">
        <w:rPr>
          <w:rFonts w:ascii="Times New Roman" w:hAnsi="Times New Roman"/>
          <w:sz w:val="24"/>
        </w:rPr>
        <w:t xml:space="preserve">with the information </w:t>
      </w:r>
      <w:r w:rsidR="00107C88" w:rsidRPr="001975F7">
        <w:rPr>
          <w:rFonts w:ascii="Times New Roman" w:hAnsi="Times New Roman"/>
          <w:sz w:val="24"/>
        </w:rPr>
        <w:t xml:space="preserve">provided </w:t>
      </w:r>
      <w:r w:rsidR="00B82443" w:rsidRPr="001975F7">
        <w:rPr>
          <w:rFonts w:ascii="Times New Roman" w:hAnsi="Times New Roman"/>
          <w:sz w:val="24"/>
        </w:rPr>
        <w:t xml:space="preserve">by other businesses in the same country </w:t>
      </w:r>
      <w:r w:rsidR="005B3347">
        <w:rPr>
          <w:rFonts w:ascii="Times New Roman" w:hAnsi="Times New Roman"/>
          <w:sz w:val="24"/>
        </w:rPr>
        <w:t>and</w:t>
      </w:r>
      <w:r w:rsidR="00B82443" w:rsidRPr="001975F7">
        <w:rPr>
          <w:rFonts w:ascii="Times New Roman" w:hAnsi="Times New Roman"/>
          <w:sz w:val="24"/>
        </w:rPr>
        <w:t xml:space="preserve"> industry, it may not constitute a sufficient reason. </w:t>
      </w:r>
      <w:r w:rsidR="00687F5E" w:rsidRPr="00AD5496">
        <w:rPr>
          <w:rFonts w:ascii="Times New Roman" w:hAnsi="Times New Roman" w:cs="Times New Roman"/>
          <w:sz w:val="24"/>
          <w:szCs w:val="24"/>
        </w:rPr>
        <w:t>In contrast, if the reason was a recent natural disaster which disrupted the industry at a national level, then this may constitute a sufficient reason.</w:t>
      </w:r>
    </w:p>
    <w:p w:rsidR="009F77EB" w:rsidRPr="001975F7" w:rsidRDefault="005104CA" w:rsidP="000F2C02">
      <w:pPr>
        <w:rPr>
          <w:rFonts w:ascii="Times New Roman" w:hAnsi="Times New Roman"/>
          <w:sz w:val="24"/>
        </w:rPr>
      </w:pPr>
      <w:r>
        <w:rPr>
          <w:rFonts w:ascii="Times New Roman" w:hAnsi="Times New Roman" w:cs="Times New Roman"/>
          <w:sz w:val="24"/>
          <w:szCs w:val="24"/>
        </w:rPr>
        <w:t xml:space="preserve">Subparagraph 5(b)(iii)(4) </w:t>
      </w:r>
      <w:r w:rsidR="005B3347">
        <w:rPr>
          <w:rFonts w:ascii="Times New Roman" w:hAnsi="Times New Roman" w:cs="Times New Roman"/>
          <w:sz w:val="24"/>
          <w:szCs w:val="24"/>
        </w:rPr>
        <w:t xml:space="preserve">requires </w:t>
      </w:r>
      <w:r w:rsidR="00A077E4" w:rsidRPr="005B3347">
        <w:rPr>
          <w:rFonts w:ascii="Times New Roman" w:hAnsi="Times New Roman" w:cs="Times New Roman"/>
          <w:sz w:val="24"/>
          <w:szCs w:val="24"/>
        </w:rPr>
        <w:t>t</w:t>
      </w:r>
      <w:r w:rsidR="00A077E4">
        <w:rPr>
          <w:rFonts w:ascii="Times New Roman" w:hAnsi="Times New Roman" w:cs="Times New Roman"/>
          <w:sz w:val="24"/>
          <w:szCs w:val="24"/>
        </w:rPr>
        <w:t xml:space="preserve">hat </w:t>
      </w:r>
      <w:r w:rsidR="00107C88" w:rsidRPr="00AD5496">
        <w:rPr>
          <w:rFonts w:ascii="Times New Roman" w:hAnsi="Times New Roman" w:cs="Times New Roman"/>
          <w:sz w:val="24"/>
          <w:szCs w:val="24"/>
        </w:rPr>
        <w:t>w</w:t>
      </w:r>
      <w:r w:rsidR="00107C88" w:rsidRPr="001975F7">
        <w:rPr>
          <w:rFonts w:ascii="Times New Roman" w:hAnsi="Times New Roman"/>
          <w:sz w:val="24"/>
        </w:rPr>
        <w:t>hen considering the reasons provided by a party</w:t>
      </w:r>
      <w:r w:rsidR="0080277E" w:rsidRPr="001975F7">
        <w:rPr>
          <w:rFonts w:ascii="Times New Roman" w:hAnsi="Times New Roman"/>
          <w:sz w:val="24"/>
        </w:rPr>
        <w:t>,</w:t>
      </w:r>
      <w:r w:rsidR="00107C88" w:rsidRPr="001975F7">
        <w:rPr>
          <w:rFonts w:ascii="Times New Roman" w:hAnsi="Times New Roman"/>
          <w:sz w:val="24"/>
        </w:rPr>
        <w:t xml:space="preserve"> the Commissioner </w:t>
      </w:r>
      <w:r w:rsidR="006C5B8B">
        <w:rPr>
          <w:rFonts w:ascii="Times New Roman" w:hAnsi="Times New Roman"/>
          <w:sz w:val="24"/>
        </w:rPr>
        <w:t xml:space="preserve">must </w:t>
      </w:r>
      <w:r w:rsidR="00107C88" w:rsidRPr="001975F7">
        <w:rPr>
          <w:rFonts w:ascii="Times New Roman" w:hAnsi="Times New Roman"/>
          <w:sz w:val="24"/>
        </w:rPr>
        <w:t xml:space="preserve">take into account any information provided in </w:t>
      </w:r>
      <w:r w:rsidR="009F77EB" w:rsidRPr="001975F7">
        <w:rPr>
          <w:rFonts w:ascii="Times New Roman" w:hAnsi="Times New Roman"/>
          <w:sz w:val="24"/>
        </w:rPr>
        <w:t>previous correspondence from the party, previous dealings with the party, or information provided by other parties.</w:t>
      </w:r>
      <w:r w:rsidR="00107C88" w:rsidRPr="001975F7">
        <w:rPr>
          <w:rFonts w:ascii="Times New Roman" w:hAnsi="Times New Roman"/>
          <w:sz w:val="24"/>
        </w:rPr>
        <w:t xml:space="preserve"> For example, </w:t>
      </w:r>
      <w:r w:rsidR="00B62121" w:rsidRPr="001975F7">
        <w:rPr>
          <w:rFonts w:ascii="Times New Roman" w:hAnsi="Times New Roman"/>
          <w:sz w:val="24"/>
        </w:rPr>
        <w:t xml:space="preserve">if </w:t>
      </w:r>
      <w:r w:rsidR="000127DD" w:rsidRPr="001975F7">
        <w:rPr>
          <w:rFonts w:ascii="Times New Roman" w:hAnsi="Times New Roman"/>
          <w:sz w:val="24"/>
        </w:rPr>
        <w:t xml:space="preserve">a </w:t>
      </w:r>
      <w:r w:rsidR="00107C88" w:rsidRPr="001975F7">
        <w:rPr>
          <w:rFonts w:ascii="Times New Roman" w:hAnsi="Times New Roman"/>
          <w:sz w:val="24"/>
        </w:rPr>
        <w:t xml:space="preserve">letter </w:t>
      </w:r>
      <w:r w:rsidR="000127DD" w:rsidRPr="001975F7">
        <w:rPr>
          <w:rFonts w:ascii="Times New Roman" w:hAnsi="Times New Roman"/>
          <w:sz w:val="24"/>
        </w:rPr>
        <w:t xml:space="preserve">from </w:t>
      </w:r>
      <w:r w:rsidR="00977AEE" w:rsidRPr="001975F7">
        <w:rPr>
          <w:rFonts w:ascii="Times New Roman" w:hAnsi="Times New Roman"/>
          <w:sz w:val="24"/>
        </w:rPr>
        <w:t xml:space="preserve">a </w:t>
      </w:r>
      <w:r w:rsidR="0080277E" w:rsidRPr="001975F7">
        <w:rPr>
          <w:rFonts w:ascii="Times New Roman" w:hAnsi="Times New Roman"/>
          <w:sz w:val="24"/>
        </w:rPr>
        <w:t xml:space="preserve">party </w:t>
      </w:r>
      <w:r w:rsidR="00107C88" w:rsidRPr="001975F7">
        <w:rPr>
          <w:rFonts w:ascii="Times New Roman" w:hAnsi="Times New Roman"/>
          <w:sz w:val="24"/>
        </w:rPr>
        <w:t xml:space="preserve">to one of its customers </w:t>
      </w:r>
      <w:r w:rsidR="00290BFF" w:rsidRPr="001975F7">
        <w:rPr>
          <w:rFonts w:ascii="Times New Roman" w:hAnsi="Times New Roman"/>
          <w:sz w:val="24"/>
        </w:rPr>
        <w:t xml:space="preserve">sets out </w:t>
      </w:r>
      <w:r w:rsidR="00107C88" w:rsidRPr="001975F7">
        <w:rPr>
          <w:rFonts w:ascii="Times New Roman" w:hAnsi="Times New Roman"/>
          <w:sz w:val="24"/>
        </w:rPr>
        <w:t xml:space="preserve">a position </w:t>
      </w:r>
      <w:r w:rsidR="00C6167F" w:rsidRPr="001975F7">
        <w:rPr>
          <w:rFonts w:ascii="Times New Roman" w:hAnsi="Times New Roman"/>
          <w:sz w:val="24"/>
        </w:rPr>
        <w:t xml:space="preserve">or facts which are </w:t>
      </w:r>
      <w:r w:rsidR="00107C88" w:rsidRPr="001975F7">
        <w:rPr>
          <w:rFonts w:ascii="Times New Roman" w:hAnsi="Times New Roman"/>
          <w:sz w:val="24"/>
        </w:rPr>
        <w:t xml:space="preserve">different to the position </w:t>
      </w:r>
      <w:r w:rsidR="00C6167F" w:rsidRPr="001975F7">
        <w:rPr>
          <w:rFonts w:ascii="Times New Roman" w:hAnsi="Times New Roman"/>
          <w:sz w:val="24"/>
        </w:rPr>
        <w:t xml:space="preserve">or facts in its request to </w:t>
      </w:r>
      <w:r w:rsidR="00107C88" w:rsidRPr="001975F7">
        <w:rPr>
          <w:rFonts w:ascii="Times New Roman" w:hAnsi="Times New Roman"/>
          <w:sz w:val="24"/>
        </w:rPr>
        <w:t>the C</w:t>
      </w:r>
      <w:r w:rsidR="00B62121" w:rsidRPr="001975F7">
        <w:rPr>
          <w:rFonts w:ascii="Times New Roman" w:hAnsi="Times New Roman"/>
          <w:sz w:val="24"/>
        </w:rPr>
        <w:t xml:space="preserve">ommissioner, this may </w:t>
      </w:r>
      <w:r w:rsidR="0080277E" w:rsidRPr="001975F7">
        <w:rPr>
          <w:rFonts w:ascii="Times New Roman" w:hAnsi="Times New Roman"/>
          <w:sz w:val="24"/>
        </w:rPr>
        <w:t xml:space="preserve">mitigate </w:t>
      </w:r>
      <w:r w:rsidR="00B62121" w:rsidRPr="001975F7">
        <w:rPr>
          <w:rFonts w:ascii="Times New Roman" w:hAnsi="Times New Roman"/>
          <w:sz w:val="24"/>
        </w:rPr>
        <w:t xml:space="preserve">the </w:t>
      </w:r>
      <w:r w:rsidR="00EA0687" w:rsidRPr="001975F7">
        <w:rPr>
          <w:rFonts w:ascii="Times New Roman" w:hAnsi="Times New Roman"/>
          <w:sz w:val="24"/>
        </w:rPr>
        <w:t xml:space="preserve">Commissioner’s capacity to be satisfied that </w:t>
      </w:r>
      <w:r w:rsidR="0080277E" w:rsidRPr="001975F7">
        <w:rPr>
          <w:rFonts w:ascii="Times New Roman" w:hAnsi="Times New Roman"/>
          <w:sz w:val="24"/>
        </w:rPr>
        <w:t>a longer period is reasonably required</w:t>
      </w:r>
      <w:r w:rsidR="00B62121" w:rsidRPr="001975F7">
        <w:rPr>
          <w:rFonts w:ascii="Times New Roman" w:hAnsi="Times New Roman"/>
          <w:sz w:val="24"/>
        </w:rPr>
        <w:t>.</w:t>
      </w:r>
    </w:p>
    <w:p w:rsidR="009A1C5D" w:rsidRPr="00C423BB" w:rsidRDefault="009A1C5D" w:rsidP="00C423BB">
      <w:pPr>
        <w:pStyle w:val="ListParagraph"/>
        <w:numPr>
          <w:ilvl w:val="0"/>
          <w:numId w:val="24"/>
        </w:numPr>
        <w:spacing w:before="240" w:after="240"/>
        <w:contextualSpacing w:val="0"/>
        <w:rPr>
          <w:rFonts w:ascii="Times New Roman" w:hAnsi="Times New Roman"/>
          <w:b/>
          <w:sz w:val="24"/>
        </w:rPr>
      </w:pPr>
      <w:r w:rsidRPr="00C423BB">
        <w:rPr>
          <w:rFonts w:ascii="Times New Roman" w:hAnsi="Times New Roman"/>
          <w:b/>
          <w:sz w:val="24"/>
        </w:rPr>
        <w:t xml:space="preserve">Insufficient </w:t>
      </w:r>
      <w:r w:rsidR="00316145" w:rsidRPr="00C423BB">
        <w:rPr>
          <w:rFonts w:ascii="Times New Roman" w:hAnsi="Times New Roman"/>
          <w:b/>
          <w:sz w:val="24"/>
        </w:rPr>
        <w:t>responses</w:t>
      </w:r>
      <w:r w:rsidR="00552707">
        <w:rPr>
          <w:rFonts w:ascii="Times New Roman" w:hAnsi="Times New Roman" w:cs="Times New Roman"/>
          <w:b/>
          <w:sz w:val="24"/>
          <w:szCs w:val="24"/>
        </w:rPr>
        <w:t xml:space="preserve"> – section 296SMG</w:t>
      </w:r>
    </w:p>
    <w:p w:rsidR="0043401A" w:rsidRPr="003A72DD" w:rsidRDefault="0043401A" w:rsidP="003A72DD">
      <w:pPr>
        <w:rPr>
          <w:rFonts w:ascii="Times New Roman" w:hAnsi="Times New Roman" w:cs="Times New Roman"/>
          <w:sz w:val="24"/>
          <w:szCs w:val="24"/>
        </w:rPr>
      </w:pPr>
      <w:r w:rsidRPr="003A72DD">
        <w:rPr>
          <w:rFonts w:ascii="Times New Roman" w:hAnsi="Times New Roman" w:cs="Times New Roman"/>
          <w:sz w:val="24"/>
          <w:szCs w:val="24"/>
        </w:rPr>
        <w:t xml:space="preserve">There may be cases where a party’s response to the Commissioner is on time, but does not contain all the relevant information required by the Commissioner. For example, a party which has not been involved before in </w:t>
      </w:r>
      <w:r w:rsidR="004F230E" w:rsidRPr="003A72DD">
        <w:rPr>
          <w:rFonts w:ascii="Times New Roman" w:hAnsi="Times New Roman" w:cs="Times New Roman"/>
          <w:sz w:val="24"/>
          <w:szCs w:val="24"/>
        </w:rPr>
        <w:t xml:space="preserve">an </w:t>
      </w:r>
      <w:r w:rsidRPr="003A72DD">
        <w:rPr>
          <w:rFonts w:ascii="Times New Roman" w:hAnsi="Times New Roman" w:cs="Times New Roman"/>
          <w:sz w:val="24"/>
          <w:szCs w:val="24"/>
        </w:rPr>
        <w:t xml:space="preserve">investigation process may not fully understand the requirements of the investigation or relevant questionnaires. </w:t>
      </w:r>
    </w:p>
    <w:p w:rsidR="00105B5C" w:rsidRPr="003A72DD" w:rsidRDefault="00626604" w:rsidP="003A72DD">
      <w:pPr>
        <w:rPr>
          <w:rFonts w:ascii="Times New Roman" w:hAnsi="Times New Roman" w:cs="Times New Roman"/>
          <w:sz w:val="24"/>
          <w:szCs w:val="24"/>
        </w:rPr>
      </w:pPr>
      <w:r>
        <w:rPr>
          <w:rFonts w:ascii="Times New Roman" w:hAnsi="Times New Roman" w:cs="Times New Roman"/>
          <w:sz w:val="24"/>
          <w:szCs w:val="24"/>
        </w:rPr>
        <w:t xml:space="preserve">Subsection 6(a) relates to </w:t>
      </w:r>
      <w:r w:rsidR="004C139E" w:rsidRPr="003A72DD">
        <w:rPr>
          <w:rFonts w:ascii="Times New Roman" w:hAnsi="Times New Roman" w:cs="Times New Roman"/>
          <w:sz w:val="24"/>
          <w:szCs w:val="24"/>
        </w:rPr>
        <w:t>minor deficiencies</w:t>
      </w:r>
      <w:r w:rsidR="00486FA2" w:rsidRPr="003A72DD">
        <w:rPr>
          <w:rFonts w:ascii="Times New Roman" w:hAnsi="Times New Roman"/>
          <w:sz w:val="24"/>
        </w:rPr>
        <w:t xml:space="preserve"> (being deficiencies</w:t>
      </w:r>
      <w:r w:rsidR="00486FA2" w:rsidRPr="003A72DD">
        <w:rPr>
          <w:rFonts w:ascii="Times New Roman" w:hAnsi="Times New Roman" w:cs="Times New Roman"/>
          <w:sz w:val="24"/>
          <w:szCs w:val="24"/>
        </w:rPr>
        <w:t xml:space="preserve"> which the Commissioner believes could be </w:t>
      </w:r>
      <w:r w:rsidR="00953424" w:rsidRPr="003A72DD">
        <w:rPr>
          <w:rFonts w:ascii="Times New Roman" w:hAnsi="Times New Roman" w:cs="Times New Roman"/>
          <w:sz w:val="24"/>
          <w:szCs w:val="24"/>
        </w:rPr>
        <w:t xml:space="preserve">addressed quickly and </w:t>
      </w:r>
      <w:r w:rsidR="00486FA2" w:rsidRPr="003A72DD">
        <w:rPr>
          <w:rFonts w:ascii="Times New Roman" w:hAnsi="Times New Roman" w:cs="Times New Roman"/>
          <w:sz w:val="24"/>
          <w:szCs w:val="24"/>
        </w:rPr>
        <w:t>easily</w:t>
      </w:r>
      <w:r w:rsidR="007942EE" w:rsidRPr="003A72DD">
        <w:rPr>
          <w:rFonts w:ascii="Times New Roman" w:hAnsi="Times New Roman" w:cs="Times New Roman"/>
          <w:sz w:val="24"/>
          <w:szCs w:val="24"/>
        </w:rPr>
        <w:t xml:space="preserve"> by the party</w:t>
      </w:r>
      <w:r w:rsidR="00486FA2" w:rsidRPr="003A72DD">
        <w:rPr>
          <w:rFonts w:ascii="Times New Roman" w:hAnsi="Times New Roman" w:cs="Times New Roman"/>
          <w:sz w:val="24"/>
          <w:szCs w:val="24"/>
        </w:rPr>
        <w:t>)</w:t>
      </w:r>
      <w:r>
        <w:rPr>
          <w:rFonts w:ascii="Times New Roman" w:hAnsi="Times New Roman" w:cs="Times New Roman"/>
          <w:sz w:val="24"/>
          <w:szCs w:val="24"/>
        </w:rPr>
        <w:t xml:space="preserve">.  The </w:t>
      </w:r>
      <w:r w:rsidR="004C139E" w:rsidRPr="003A72DD">
        <w:rPr>
          <w:rFonts w:ascii="Times New Roman" w:hAnsi="Times New Roman" w:cs="Times New Roman"/>
          <w:sz w:val="24"/>
          <w:szCs w:val="24"/>
        </w:rPr>
        <w:t xml:space="preserve">Commissioner will provide the party with an opportunity to </w:t>
      </w:r>
      <w:r w:rsidR="00486FA2" w:rsidRPr="003A72DD">
        <w:rPr>
          <w:rFonts w:ascii="Times New Roman" w:hAnsi="Times New Roman" w:cs="Times New Roman"/>
          <w:sz w:val="24"/>
          <w:szCs w:val="24"/>
        </w:rPr>
        <w:t>address them.</w:t>
      </w:r>
      <w:r w:rsidR="0066588D" w:rsidRPr="003A72DD">
        <w:rPr>
          <w:rFonts w:ascii="Times New Roman" w:hAnsi="Times New Roman" w:cs="Times New Roman"/>
          <w:sz w:val="24"/>
          <w:szCs w:val="24"/>
        </w:rPr>
        <w:t xml:space="preserve"> </w:t>
      </w:r>
      <w:r w:rsidR="00B55FB2" w:rsidRPr="003A72DD">
        <w:rPr>
          <w:rFonts w:ascii="Times New Roman" w:hAnsi="Times New Roman" w:cs="Times New Roman"/>
          <w:sz w:val="24"/>
          <w:szCs w:val="24"/>
        </w:rPr>
        <w:t xml:space="preserve">For example, if a </w:t>
      </w:r>
      <w:r w:rsidR="000A09A3" w:rsidRPr="003A72DD">
        <w:rPr>
          <w:rFonts w:ascii="Times New Roman" w:hAnsi="Times New Roman" w:cs="Times New Roman"/>
          <w:sz w:val="24"/>
          <w:szCs w:val="24"/>
        </w:rPr>
        <w:t xml:space="preserve">business </w:t>
      </w:r>
      <w:r w:rsidR="00B55FB2" w:rsidRPr="003A72DD">
        <w:rPr>
          <w:rFonts w:ascii="Times New Roman" w:hAnsi="Times New Roman" w:cs="Times New Roman"/>
          <w:sz w:val="24"/>
          <w:szCs w:val="24"/>
        </w:rPr>
        <w:t>provides answers to a questionnaire which contain</w:t>
      </w:r>
      <w:r w:rsidR="006C5B8B">
        <w:rPr>
          <w:rFonts w:ascii="Times New Roman" w:hAnsi="Times New Roman" w:cs="Times New Roman"/>
          <w:sz w:val="24"/>
          <w:szCs w:val="24"/>
        </w:rPr>
        <w:t>s</w:t>
      </w:r>
      <w:r w:rsidR="00B55FB2" w:rsidRPr="003A72DD">
        <w:rPr>
          <w:rFonts w:ascii="Times New Roman" w:hAnsi="Times New Roman" w:cs="Times New Roman"/>
          <w:sz w:val="24"/>
          <w:szCs w:val="24"/>
        </w:rPr>
        <w:t xml:space="preserve"> </w:t>
      </w:r>
      <w:r w:rsidR="00BC7235" w:rsidRPr="003A72DD">
        <w:rPr>
          <w:rFonts w:ascii="Times New Roman" w:hAnsi="Times New Roman" w:cs="Times New Roman"/>
          <w:sz w:val="24"/>
          <w:szCs w:val="24"/>
        </w:rPr>
        <w:t xml:space="preserve">financial </w:t>
      </w:r>
      <w:r w:rsidR="00B55FB2" w:rsidRPr="003A72DD">
        <w:rPr>
          <w:rFonts w:ascii="Times New Roman" w:hAnsi="Times New Roman" w:cs="Times New Roman"/>
          <w:sz w:val="24"/>
          <w:szCs w:val="24"/>
        </w:rPr>
        <w:t xml:space="preserve">information but </w:t>
      </w:r>
      <w:r w:rsidR="000A09A3" w:rsidRPr="003A72DD">
        <w:rPr>
          <w:rFonts w:ascii="Times New Roman" w:hAnsi="Times New Roman" w:cs="Times New Roman"/>
          <w:sz w:val="24"/>
          <w:szCs w:val="24"/>
        </w:rPr>
        <w:t xml:space="preserve">the </w:t>
      </w:r>
      <w:r w:rsidR="00B55FB2" w:rsidRPr="003A72DD">
        <w:rPr>
          <w:rFonts w:ascii="Times New Roman" w:hAnsi="Times New Roman" w:cs="Times New Roman"/>
          <w:sz w:val="24"/>
          <w:szCs w:val="24"/>
        </w:rPr>
        <w:t>evidence supporting the information is insufficient</w:t>
      </w:r>
      <w:r w:rsidR="0066588D" w:rsidRPr="003A72DD">
        <w:rPr>
          <w:rFonts w:ascii="Times New Roman" w:hAnsi="Times New Roman" w:cs="Times New Roman"/>
          <w:sz w:val="24"/>
          <w:szCs w:val="24"/>
        </w:rPr>
        <w:t xml:space="preserve"> or incomplete</w:t>
      </w:r>
      <w:r w:rsidR="00B55FB2" w:rsidRPr="003A72DD">
        <w:rPr>
          <w:rFonts w:ascii="Times New Roman" w:hAnsi="Times New Roman" w:cs="Times New Roman"/>
          <w:sz w:val="24"/>
          <w:szCs w:val="24"/>
        </w:rPr>
        <w:t xml:space="preserve">, the Commissioner may request </w:t>
      </w:r>
      <w:r w:rsidR="00BC7235" w:rsidRPr="003A72DD">
        <w:rPr>
          <w:rFonts w:ascii="Times New Roman" w:hAnsi="Times New Roman" w:cs="Times New Roman"/>
          <w:sz w:val="24"/>
          <w:szCs w:val="24"/>
        </w:rPr>
        <w:t xml:space="preserve">that </w:t>
      </w:r>
      <w:r w:rsidR="00B55FB2" w:rsidRPr="003A72DD">
        <w:rPr>
          <w:rFonts w:ascii="Times New Roman" w:hAnsi="Times New Roman" w:cs="Times New Roman"/>
          <w:sz w:val="24"/>
          <w:szCs w:val="24"/>
        </w:rPr>
        <w:t>the party provide the additional evidence</w:t>
      </w:r>
      <w:r w:rsidR="00BC7235" w:rsidRPr="003A72DD">
        <w:rPr>
          <w:rFonts w:ascii="Times New Roman" w:hAnsi="Times New Roman" w:cs="Times New Roman"/>
          <w:sz w:val="24"/>
          <w:szCs w:val="24"/>
        </w:rPr>
        <w:t xml:space="preserve"> if it </w:t>
      </w:r>
      <w:r w:rsidR="000A09A3" w:rsidRPr="003A72DD">
        <w:rPr>
          <w:rFonts w:ascii="Times New Roman" w:hAnsi="Times New Roman" w:cs="Times New Roman"/>
          <w:sz w:val="24"/>
          <w:szCs w:val="24"/>
        </w:rPr>
        <w:t xml:space="preserve">can be easily </w:t>
      </w:r>
      <w:r w:rsidR="00BC7235" w:rsidRPr="003A72DD">
        <w:rPr>
          <w:rFonts w:ascii="Times New Roman" w:hAnsi="Times New Roman" w:cs="Times New Roman"/>
          <w:sz w:val="24"/>
          <w:szCs w:val="24"/>
        </w:rPr>
        <w:t xml:space="preserve">produced from the </w:t>
      </w:r>
      <w:r w:rsidR="000A09A3" w:rsidRPr="003A72DD">
        <w:rPr>
          <w:rFonts w:ascii="Times New Roman" w:hAnsi="Times New Roman" w:cs="Times New Roman"/>
          <w:sz w:val="24"/>
          <w:szCs w:val="24"/>
        </w:rPr>
        <w:t>business’ records</w:t>
      </w:r>
      <w:r w:rsidR="00B55FB2" w:rsidRPr="003A72DD">
        <w:rPr>
          <w:rFonts w:ascii="Times New Roman" w:hAnsi="Times New Roman" w:cs="Times New Roman"/>
          <w:sz w:val="24"/>
          <w:szCs w:val="24"/>
        </w:rPr>
        <w:t>.</w:t>
      </w:r>
      <w:r w:rsidR="00486FA2" w:rsidRPr="003A72DD">
        <w:rPr>
          <w:rFonts w:ascii="Times New Roman" w:hAnsi="Times New Roman" w:cs="Times New Roman"/>
          <w:sz w:val="24"/>
          <w:szCs w:val="24"/>
        </w:rPr>
        <w:t xml:space="preserve"> </w:t>
      </w:r>
    </w:p>
    <w:p w:rsidR="004C139E" w:rsidRPr="003A72DD" w:rsidRDefault="004C139E" w:rsidP="003A72DD">
      <w:pPr>
        <w:rPr>
          <w:rFonts w:ascii="Times New Roman" w:hAnsi="Times New Roman" w:cs="Times New Roman"/>
          <w:sz w:val="24"/>
          <w:szCs w:val="24"/>
        </w:rPr>
      </w:pPr>
      <w:r w:rsidRPr="003A72DD">
        <w:rPr>
          <w:rFonts w:ascii="Times New Roman" w:hAnsi="Times New Roman" w:cs="Times New Roman"/>
          <w:sz w:val="24"/>
          <w:szCs w:val="24"/>
        </w:rPr>
        <w:t xml:space="preserve">The Commissioner will set a reasonable timeframe for providing </w:t>
      </w:r>
      <w:r w:rsidR="00770630" w:rsidRPr="003A72DD">
        <w:rPr>
          <w:rFonts w:ascii="Times New Roman" w:hAnsi="Times New Roman" w:cs="Times New Roman"/>
          <w:sz w:val="24"/>
          <w:szCs w:val="24"/>
        </w:rPr>
        <w:t xml:space="preserve">the </w:t>
      </w:r>
      <w:r w:rsidRPr="003A72DD">
        <w:rPr>
          <w:rFonts w:ascii="Times New Roman" w:hAnsi="Times New Roman" w:cs="Times New Roman"/>
          <w:sz w:val="24"/>
          <w:szCs w:val="24"/>
        </w:rPr>
        <w:t>additional response</w:t>
      </w:r>
      <w:r w:rsidR="00000626" w:rsidRPr="003A72DD">
        <w:rPr>
          <w:rFonts w:ascii="Times New Roman" w:hAnsi="Times New Roman" w:cs="Times New Roman"/>
          <w:sz w:val="24"/>
          <w:szCs w:val="24"/>
        </w:rPr>
        <w:t>, which will take into account any explanation given by the party and the time already provided</w:t>
      </w:r>
      <w:r w:rsidR="00770630" w:rsidRPr="003A72DD">
        <w:rPr>
          <w:rFonts w:ascii="Times New Roman" w:hAnsi="Times New Roman" w:cs="Times New Roman"/>
          <w:sz w:val="24"/>
          <w:szCs w:val="24"/>
        </w:rPr>
        <w:t xml:space="preserve"> to the party to respond</w:t>
      </w:r>
      <w:r w:rsidRPr="003A72DD">
        <w:rPr>
          <w:rFonts w:ascii="Times New Roman" w:hAnsi="Times New Roman" w:cs="Times New Roman"/>
          <w:sz w:val="24"/>
          <w:szCs w:val="24"/>
        </w:rPr>
        <w:t xml:space="preserve">. </w:t>
      </w:r>
    </w:p>
    <w:p w:rsidR="00CD55A5" w:rsidRPr="003A72DD" w:rsidRDefault="00290BFF" w:rsidP="003A72DD">
      <w:pPr>
        <w:rPr>
          <w:rFonts w:ascii="Times New Roman" w:hAnsi="Times New Roman" w:cs="Times New Roman"/>
          <w:sz w:val="24"/>
          <w:szCs w:val="24"/>
        </w:rPr>
      </w:pPr>
      <w:r w:rsidRPr="003A72DD">
        <w:rPr>
          <w:rFonts w:ascii="Times New Roman" w:hAnsi="Times New Roman" w:cs="Times New Roman"/>
          <w:sz w:val="24"/>
          <w:szCs w:val="24"/>
        </w:rPr>
        <w:t xml:space="preserve">Providing a further opportunity to provide </w:t>
      </w:r>
      <w:r w:rsidR="00CD55A5" w:rsidRPr="003A72DD">
        <w:rPr>
          <w:rFonts w:ascii="Times New Roman" w:hAnsi="Times New Roman" w:cs="Times New Roman"/>
          <w:sz w:val="24"/>
          <w:szCs w:val="24"/>
        </w:rPr>
        <w:t>supplement</w:t>
      </w:r>
      <w:r w:rsidRPr="003A72DD">
        <w:rPr>
          <w:rFonts w:ascii="Times New Roman" w:hAnsi="Times New Roman" w:cs="Times New Roman"/>
          <w:sz w:val="24"/>
          <w:szCs w:val="24"/>
        </w:rPr>
        <w:t xml:space="preserve">ary material </w:t>
      </w:r>
      <w:r w:rsidR="00CD55A5" w:rsidRPr="003A72DD">
        <w:rPr>
          <w:rFonts w:ascii="Times New Roman" w:hAnsi="Times New Roman" w:cs="Times New Roman"/>
          <w:sz w:val="24"/>
          <w:szCs w:val="24"/>
        </w:rPr>
        <w:t xml:space="preserve">does not preclude the Commissioner from being satisfied that an exporter </w:t>
      </w:r>
      <w:r w:rsidR="00740C02" w:rsidRPr="003A72DD">
        <w:rPr>
          <w:rFonts w:ascii="Times New Roman" w:hAnsi="Times New Roman" w:cs="Times New Roman"/>
          <w:sz w:val="24"/>
          <w:szCs w:val="24"/>
        </w:rPr>
        <w:t xml:space="preserve">or other party </w:t>
      </w:r>
      <w:r w:rsidR="00CD55A5" w:rsidRPr="003A72DD">
        <w:rPr>
          <w:rFonts w:ascii="Times New Roman" w:hAnsi="Times New Roman" w:cs="Times New Roman"/>
          <w:sz w:val="24"/>
          <w:szCs w:val="24"/>
        </w:rPr>
        <w:t>has significantly impeded an investigation</w:t>
      </w:r>
      <w:r w:rsidR="009B4812" w:rsidRPr="003A72DD">
        <w:rPr>
          <w:rFonts w:ascii="Times New Roman" w:hAnsi="Times New Roman" w:cs="Times New Roman"/>
          <w:sz w:val="24"/>
          <w:szCs w:val="24"/>
        </w:rPr>
        <w:t xml:space="preserve"> under </w:t>
      </w:r>
      <w:r w:rsidR="0066588D" w:rsidRPr="003A72DD">
        <w:rPr>
          <w:rFonts w:ascii="Times New Roman" w:hAnsi="Times New Roman" w:cs="Times New Roman"/>
          <w:sz w:val="24"/>
          <w:szCs w:val="24"/>
        </w:rPr>
        <w:t>sub</w:t>
      </w:r>
      <w:r w:rsidR="009B4812" w:rsidRPr="003A72DD">
        <w:rPr>
          <w:rFonts w:ascii="Times New Roman" w:hAnsi="Times New Roman" w:cs="Times New Roman"/>
          <w:sz w:val="24"/>
          <w:szCs w:val="24"/>
        </w:rPr>
        <w:t>section 269T</w:t>
      </w:r>
      <w:r w:rsidR="0066588D" w:rsidRPr="003A72DD">
        <w:rPr>
          <w:rFonts w:ascii="Times New Roman" w:hAnsi="Times New Roman" w:cs="Times New Roman"/>
          <w:sz w:val="24"/>
          <w:szCs w:val="24"/>
        </w:rPr>
        <w:t>(1)</w:t>
      </w:r>
      <w:r w:rsidR="009B4812" w:rsidRPr="003A72DD">
        <w:rPr>
          <w:rFonts w:ascii="Times New Roman" w:hAnsi="Times New Roman" w:cs="Times New Roman"/>
          <w:sz w:val="24"/>
          <w:szCs w:val="24"/>
        </w:rPr>
        <w:t xml:space="preserve"> or </w:t>
      </w:r>
      <w:r w:rsidR="0066588D" w:rsidRPr="003A72DD">
        <w:rPr>
          <w:rFonts w:ascii="Times New Roman" w:hAnsi="Times New Roman" w:cs="Times New Roman"/>
          <w:sz w:val="24"/>
          <w:szCs w:val="24"/>
        </w:rPr>
        <w:t xml:space="preserve">section </w:t>
      </w:r>
      <w:r w:rsidR="009B4812" w:rsidRPr="003A72DD">
        <w:rPr>
          <w:rFonts w:ascii="Times New Roman" w:hAnsi="Times New Roman" w:cs="Times New Roman"/>
          <w:sz w:val="24"/>
          <w:szCs w:val="24"/>
        </w:rPr>
        <w:t>269TAACA</w:t>
      </w:r>
      <w:r w:rsidR="00636531" w:rsidRPr="003A72DD">
        <w:rPr>
          <w:rFonts w:ascii="Times New Roman" w:hAnsi="Times New Roman" w:cs="Times New Roman"/>
          <w:sz w:val="24"/>
          <w:szCs w:val="24"/>
        </w:rPr>
        <w:t xml:space="preserve"> of the Act</w:t>
      </w:r>
      <w:r w:rsidR="00CD55A5" w:rsidRPr="003A72DD">
        <w:rPr>
          <w:rFonts w:ascii="Times New Roman" w:hAnsi="Times New Roman" w:cs="Times New Roman"/>
          <w:sz w:val="24"/>
          <w:szCs w:val="24"/>
        </w:rPr>
        <w:t>.</w:t>
      </w:r>
    </w:p>
    <w:p w:rsidR="00290BFF" w:rsidRPr="003A72DD" w:rsidRDefault="00290BFF" w:rsidP="003A72DD">
      <w:pPr>
        <w:rPr>
          <w:rFonts w:ascii="Times New Roman" w:hAnsi="Times New Roman" w:cs="Times New Roman"/>
          <w:sz w:val="24"/>
          <w:szCs w:val="24"/>
        </w:rPr>
      </w:pPr>
      <w:r w:rsidRPr="003A72DD">
        <w:rPr>
          <w:rFonts w:ascii="Times New Roman" w:hAnsi="Times New Roman" w:cs="Times New Roman"/>
          <w:sz w:val="24"/>
          <w:szCs w:val="24"/>
        </w:rPr>
        <w:lastRenderedPageBreak/>
        <w:t xml:space="preserve">The Commissioner is not required to provide the party with a further extension of time. In fact, in the ordinary course of an investigation, a request for an extension will only be considered if it is made </w:t>
      </w:r>
      <w:r w:rsidR="001C3786" w:rsidRPr="003A72DD">
        <w:rPr>
          <w:rFonts w:ascii="Times New Roman" w:hAnsi="Times New Roman" w:cs="Times New Roman"/>
          <w:sz w:val="24"/>
          <w:szCs w:val="24"/>
        </w:rPr>
        <w:t xml:space="preserve">in writing </w:t>
      </w:r>
      <w:r w:rsidRPr="003A72DD">
        <w:rPr>
          <w:rFonts w:ascii="Times New Roman" w:hAnsi="Times New Roman" w:cs="Times New Roman"/>
          <w:sz w:val="24"/>
          <w:szCs w:val="24"/>
        </w:rPr>
        <w:t>by the party (as set out earlier).</w:t>
      </w:r>
    </w:p>
    <w:p w:rsidR="00797686" w:rsidRPr="003A72DD" w:rsidRDefault="00797686" w:rsidP="003A72DD">
      <w:pPr>
        <w:rPr>
          <w:rFonts w:ascii="Times New Roman" w:hAnsi="Times New Roman"/>
          <w:sz w:val="24"/>
        </w:rPr>
      </w:pPr>
      <w:r w:rsidRPr="003A72DD">
        <w:rPr>
          <w:rFonts w:ascii="Times New Roman" w:hAnsi="Times New Roman" w:cs="Times New Roman"/>
          <w:sz w:val="24"/>
          <w:szCs w:val="24"/>
        </w:rPr>
        <w:t>In some cases, the Commissioner may form the view that a response contains a minor deficiency, but an additional response is not necessary to the proper conduct of the case. For example, the additional information may be readily available to the Commissioner from other sources. In that case, the Commissioner may choose not to invite a further response from the party.</w:t>
      </w:r>
    </w:p>
    <w:p w:rsidR="001A3D7D" w:rsidRPr="003A72DD" w:rsidRDefault="00626604" w:rsidP="003A72DD">
      <w:pPr>
        <w:rPr>
          <w:rFonts w:ascii="Times New Roman" w:hAnsi="Times New Roman" w:cs="Times New Roman"/>
          <w:sz w:val="24"/>
          <w:szCs w:val="24"/>
        </w:rPr>
      </w:pPr>
      <w:r>
        <w:rPr>
          <w:rFonts w:ascii="Times New Roman" w:hAnsi="Times New Roman" w:cs="Times New Roman"/>
          <w:sz w:val="24"/>
          <w:szCs w:val="24"/>
        </w:rPr>
        <w:t xml:space="preserve">Subsection 6(b) relates to </w:t>
      </w:r>
      <w:r w:rsidR="00631332" w:rsidRPr="00576196">
        <w:rPr>
          <w:rFonts w:ascii="Times New Roman" w:hAnsi="Times New Roman" w:cs="Times New Roman"/>
          <w:sz w:val="24"/>
          <w:szCs w:val="24"/>
        </w:rPr>
        <w:t>major deficiencies</w:t>
      </w:r>
      <w:r w:rsidR="00631332" w:rsidRPr="003A72DD">
        <w:rPr>
          <w:rFonts w:ascii="Times New Roman" w:hAnsi="Times New Roman" w:cs="Times New Roman"/>
          <w:i/>
          <w:sz w:val="24"/>
          <w:szCs w:val="24"/>
        </w:rPr>
        <w:t xml:space="preserve"> </w:t>
      </w:r>
      <w:r w:rsidR="00631332" w:rsidRPr="003A72DD">
        <w:rPr>
          <w:rFonts w:ascii="Times New Roman" w:hAnsi="Times New Roman" w:cs="Times New Roman"/>
          <w:sz w:val="24"/>
          <w:szCs w:val="24"/>
        </w:rPr>
        <w:t>(being deficiencies which the Commissioner believes could not be addressed quickly and easily by the party)</w:t>
      </w:r>
      <w:r w:rsidR="001C3786">
        <w:rPr>
          <w:rFonts w:ascii="Times New Roman" w:hAnsi="Times New Roman" w:cs="Times New Roman"/>
          <w:sz w:val="24"/>
          <w:szCs w:val="24"/>
        </w:rPr>
        <w:t>.</w:t>
      </w:r>
      <w:r w:rsidR="00631332" w:rsidRPr="003A72DD">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631332" w:rsidRPr="003A72DD">
        <w:rPr>
          <w:rFonts w:ascii="Times New Roman" w:hAnsi="Times New Roman" w:cs="Times New Roman"/>
          <w:sz w:val="24"/>
          <w:szCs w:val="24"/>
        </w:rPr>
        <w:t xml:space="preserve">Commissioner </w:t>
      </w:r>
      <w:r>
        <w:rPr>
          <w:rFonts w:ascii="Times New Roman" w:hAnsi="Times New Roman" w:cs="Times New Roman"/>
          <w:sz w:val="24"/>
          <w:szCs w:val="24"/>
        </w:rPr>
        <w:t xml:space="preserve">will </w:t>
      </w:r>
      <w:r w:rsidR="00395466" w:rsidRPr="003A72DD">
        <w:rPr>
          <w:rFonts w:ascii="Times New Roman" w:hAnsi="Times New Roman" w:cs="Times New Roman"/>
          <w:sz w:val="24"/>
          <w:szCs w:val="24"/>
        </w:rPr>
        <w:t>notify the party of this view</w:t>
      </w:r>
      <w:r w:rsidR="00482A37" w:rsidRPr="003A72DD">
        <w:rPr>
          <w:rFonts w:ascii="Times New Roman" w:hAnsi="Times New Roman" w:cs="Times New Roman"/>
          <w:sz w:val="24"/>
          <w:szCs w:val="24"/>
        </w:rPr>
        <w:t xml:space="preserve"> as soon as practicable</w:t>
      </w:r>
      <w:r w:rsidR="00395466" w:rsidRPr="003A72DD">
        <w:rPr>
          <w:rFonts w:ascii="Times New Roman" w:hAnsi="Times New Roman" w:cs="Times New Roman"/>
          <w:sz w:val="24"/>
          <w:szCs w:val="24"/>
        </w:rPr>
        <w:t>.</w:t>
      </w:r>
      <w:r w:rsidR="00CB1809" w:rsidRPr="003A72DD">
        <w:rPr>
          <w:rFonts w:ascii="Times New Roman" w:hAnsi="Times New Roman" w:cs="Times New Roman"/>
          <w:sz w:val="24"/>
          <w:szCs w:val="24"/>
        </w:rPr>
        <w:t xml:space="preserve"> </w:t>
      </w:r>
      <w:r w:rsidR="00F075D6" w:rsidRPr="003A72DD">
        <w:rPr>
          <w:rFonts w:ascii="Times New Roman" w:hAnsi="Times New Roman" w:cs="Times New Roman"/>
          <w:sz w:val="24"/>
          <w:szCs w:val="24"/>
        </w:rPr>
        <w:t>For example, in investigation</w:t>
      </w:r>
      <w:r w:rsidR="00CB1809" w:rsidRPr="003A72DD">
        <w:rPr>
          <w:rFonts w:ascii="Times New Roman" w:hAnsi="Times New Roman" w:cs="Times New Roman"/>
          <w:sz w:val="24"/>
          <w:szCs w:val="24"/>
        </w:rPr>
        <w:t>s</w:t>
      </w:r>
      <w:r w:rsidR="00F075D6" w:rsidRPr="003A72DD">
        <w:rPr>
          <w:rFonts w:ascii="Times New Roman" w:hAnsi="Times New Roman" w:cs="Times New Roman"/>
          <w:sz w:val="24"/>
          <w:szCs w:val="24"/>
        </w:rPr>
        <w:t xml:space="preserve"> covering both allegedly dumped and subsidised goods, a party’s response </w:t>
      </w:r>
      <w:r w:rsidR="0043401A" w:rsidRPr="003A72DD">
        <w:rPr>
          <w:rFonts w:ascii="Times New Roman" w:hAnsi="Times New Roman" w:cs="Times New Roman"/>
          <w:sz w:val="24"/>
          <w:szCs w:val="24"/>
        </w:rPr>
        <w:t xml:space="preserve">would have </w:t>
      </w:r>
      <w:r w:rsidR="00F075D6" w:rsidRPr="003A72DD">
        <w:rPr>
          <w:rFonts w:ascii="Times New Roman" w:hAnsi="Times New Roman" w:cs="Times New Roman"/>
          <w:sz w:val="24"/>
          <w:szCs w:val="24"/>
        </w:rPr>
        <w:t xml:space="preserve">a major deficiency if it only addresses </w:t>
      </w:r>
      <w:r w:rsidR="001227E8" w:rsidRPr="003A72DD">
        <w:rPr>
          <w:rFonts w:ascii="Times New Roman" w:hAnsi="Times New Roman" w:cs="Times New Roman"/>
          <w:sz w:val="24"/>
          <w:szCs w:val="24"/>
        </w:rPr>
        <w:t xml:space="preserve">questions relating to </w:t>
      </w:r>
      <w:r w:rsidR="00F075D6" w:rsidRPr="003A72DD">
        <w:rPr>
          <w:rFonts w:ascii="Times New Roman" w:hAnsi="Times New Roman" w:cs="Times New Roman"/>
          <w:sz w:val="24"/>
          <w:szCs w:val="24"/>
        </w:rPr>
        <w:t xml:space="preserve">one of these </w:t>
      </w:r>
      <w:r w:rsidR="00290BFF" w:rsidRPr="003A72DD">
        <w:rPr>
          <w:rFonts w:ascii="Times New Roman" w:hAnsi="Times New Roman" w:cs="Times New Roman"/>
          <w:sz w:val="24"/>
          <w:szCs w:val="24"/>
        </w:rPr>
        <w:t xml:space="preserve">matters </w:t>
      </w:r>
      <w:r w:rsidR="00F075D6" w:rsidRPr="003A72DD">
        <w:rPr>
          <w:rFonts w:ascii="Times New Roman" w:hAnsi="Times New Roman" w:cs="Times New Roman"/>
          <w:sz w:val="24"/>
          <w:szCs w:val="24"/>
        </w:rPr>
        <w:t>rather than both.</w:t>
      </w:r>
    </w:p>
    <w:p w:rsidR="0088072A" w:rsidRPr="003A72DD" w:rsidRDefault="001A3D7D" w:rsidP="003A72DD">
      <w:pPr>
        <w:rPr>
          <w:rFonts w:ascii="Times New Roman" w:hAnsi="Times New Roman" w:cs="Times New Roman"/>
          <w:sz w:val="24"/>
          <w:szCs w:val="24"/>
        </w:rPr>
      </w:pPr>
      <w:r w:rsidRPr="003A72DD">
        <w:rPr>
          <w:rFonts w:ascii="Times New Roman" w:hAnsi="Times New Roman" w:cs="Times New Roman"/>
          <w:sz w:val="24"/>
          <w:szCs w:val="24"/>
        </w:rPr>
        <w:t xml:space="preserve">The Commissioner may </w:t>
      </w:r>
      <w:r w:rsidR="00CB1809" w:rsidRPr="003A72DD">
        <w:rPr>
          <w:rFonts w:ascii="Times New Roman" w:hAnsi="Times New Roman" w:cs="Times New Roman"/>
          <w:sz w:val="24"/>
          <w:szCs w:val="24"/>
        </w:rPr>
        <w:t xml:space="preserve">provide the party with </w:t>
      </w:r>
      <w:r w:rsidRPr="003A72DD">
        <w:rPr>
          <w:rFonts w:ascii="Times New Roman" w:hAnsi="Times New Roman" w:cs="Times New Roman"/>
          <w:sz w:val="24"/>
          <w:szCs w:val="24"/>
        </w:rPr>
        <w:t>a</w:t>
      </w:r>
      <w:r w:rsidR="0080601E" w:rsidRPr="003A72DD">
        <w:rPr>
          <w:rFonts w:ascii="Times New Roman" w:hAnsi="Times New Roman" w:cs="Times New Roman"/>
          <w:sz w:val="24"/>
          <w:szCs w:val="24"/>
        </w:rPr>
        <w:t xml:space="preserve">n </w:t>
      </w:r>
      <w:r w:rsidR="00541F4D" w:rsidRPr="003A72DD">
        <w:rPr>
          <w:rFonts w:ascii="Times New Roman" w:hAnsi="Times New Roman" w:cs="Times New Roman"/>
          <w:sz w:val="24"/>
          <w:szCs w:val="24"/>
        </w:rPr>
        <w:t xml:space="preserve">opportunity </w:t>
      </w:r>
      <w:r w:rsidR="0080601E" w:rsidRPr="003A72DD">
        <w:rPr>
          <w:rFonts w:ascii="Times New Roman" w:hAnsi="Times New Roman" w:cs="Times New Roman"/>
          <w:sz w:val="24"/>
          <w:szCs w:val="24"/>
        </w:rPr>
        <w:t xml:space="preserve">to provide </w:t>
      </w:r>
      <w:r w:rsidR="00541F4D" w:rsidRPr="003A72DD">
        <w:rPr>
          <w:rFonts w:ascii="Times New Roman" w:hAnsi="Times New Roman" w:cs="Times New Roman"/>
          <w:sz w:val="24"/>
          <w:szCs w:val="24"/>
        </w:rPr>
        <w:t xml:space="preserve">a supplementary </w:t>
      </w:r>
      <w:r w:rsidR="00334739" w:rsidRPr="003A72DD">
        <w:rPr>
          <w:rFonts w:ascii="Times New Roman" w:hAnsi="Times New Roman" w:cs="Times New Roman"/>
          <w:sz w:val="24"/>
          <w:szCs w:val="24"/>
        </w:rPr>
        <w:t xml:space="preserve">response to address a major deficiency, although the party is able to provide an additional response </w:t>
      </w:r>
      <w:r w:rsidR="001C721C" w:rsidRPr="003A72DD">
        <w:rPr>
          <w:rFonts w:ascii="Times New Roman" w:hAnsi="Times New Roman" w:cs="Times New Roman"/>
          <w:sz w:val="24"/>
          <w:szCs w:val="24"/>
        </w:rPr>
        <w:t xml:space="preserve">in any case </w:t>
      </w:r>
      <w:r w:rsidR="00334739" w:rsidRPr="003A72DD">
        <w:rPr>
          <w:rFonts w:ascii="Times New Roman" w:hAnsi="Times New Roman" w:cs="Times New Roman"/>
          <w:sz w:val="24"/>
          <w:szCs w:val="24"/>
        </w:rPr>
        <w:t>if it chooses.</w:t>
      </w:r>
      <w:r w:rsidR="00740C02" w:rsidRPr="003A72DD">
        <w:rPr>
          <w:rFonts w:ascii="Times New Roman" w:hAnsi="Times New Roman" w:cs="Times New Roman"/>
          <w:sz w:val="24"/>
          <w:szCs w:val="24"/>
        </w:rPr>
        <w:t xml:space="preserve"> </w:t>
      </w:r>
      <w:r w:rsidR="00B4234D" w:rsidRPr="003A72DD">
        <w:rPr>
          <w:rFonts w:ascii="Times New Roman" w:hAnsi="Times New Roman" w:cs="Times New Roman"/>
          <w:sz w:val="24"/>
          <w:szCs w:val="24"/>
        </w:rPr>
        <w:t xml:space="preserve">In determining whether or not to provide further time for a party to provide a response, </w:t>
      </w:r>
      <w:r w:rsidR="0080601E" w:rsidRPr="003A72DD">
        <w:rPr>
          <w:rFonts w:ascii="Times New Roman" w:hAnsi="Times New Roman" w:cs="Times New Roman"/>
          <w:sz w:val="24"/>
          <w:szCs w:val="24"/>
        </w:rPr>
        <w:t xml:space="preserve">the </w:t>
      </w:r>
      <w:r w:rsidR="00740C02" w:rsidRPr="003A72DD">
        <w:rPr>
          <w:rFonts w:ascii="Times New Roman" w:hAnsi="Times New Roman" w:cs="Times New Roman"/>
          <w:sz w:val="24"/>
          <w:szCs w:val="24"/>
        </w:rPr>
        <w:t xml:space="preserve">Commissioner </w:t>
      </w:r>
      <w:r w:rsidR="00602F10" w:rsidRPr="003A72DD">
        <w:rPr>
          <w:rFonts w:ascii="Times New Roman" w:hAnsi="Times New Roman" w:cs="Times New Roman"/>
          <w:sz w:val="24"/>
          <w:szCs w:val="24"/>
        </w:rPr>
        <w:t>may</w:t>
      </w:r>
      <w:r w:rsidR="00B4234D" w:rsidRPr="003A72DD">
        <w:rPr>
          <w:rFonts w:ascii="Times New Roman" w:hAnsi="Times New Roman" w:cs="Times New Roman"/>
          <w:sz w:val="24"/>
          <w:szCs w:val="24"/>
        </w:rPr>
        <w:t xml:space="preserve"> </w:t>
      </w:r>
      <w:r w:rsidR="00740C02" w:rsidRPr="003A72DD">
        <w:rPr>
          <w:rFonts w:ascii="Times New Roman" w:hAnsi="Times New Roman" w:cs="Times New Roman"/>
          <w:sz w:val="24"/>
          <w:szCs w:val="24"/>
        </w:rPr>
        <w:t>consider</w:t>
      </w:r>
      <w:r w:rsidR="002263D0" w:rsidRPr="003A72DD">
        <w:rPr>
          <w:rFonts w:ascii="Times New Roman" w:hAnsi="Times New Roman" w:cs="Times New Roman"/>
          <w:sz w:val="24"/>
          <w:szCs w:val="24"/>
        </w:rPr>
        <w:t xml:space="preserve"> </w:t>
      </w:r>
      <w:r w:rsidR="00956C9A" w:rsidRPr="003A72DD">
        <w:rPr>
          <w:rFonts w:ascii="Times New Roman" w:hAnsi="Times New Roman" w:cs="Times New Roman"/>
          <w:sz w:val="24"/>
          <w:szCs w:val="24"/>
        </w:rPr>
        <w:t xml:space="preserve">– among other things – </w:t>
      </w:r>
      <w:r w:rsidR="002263D0" w:rsidRPr="003A72DD">
        <w:rPr>
          <w:rFonts w:ascii="Times New Roman" w:hAnsi="Times New Roman" w:cs="Times New Roman"/>
          <w:sz w:val="24"/>
          <w:szCs w:val="24"/>
        </w:rPr>
        <w:t xml:space="preserve">the </w:t>
      </w:r>
      <w:r w:rsidR="0080601E" w:rsidRPr="003A72DD">
        <w:rPr>
          <w:rFonts w:ascii="Times New Roman" w:hAnsi="Times New Roman" w:cs="Times New Roman"/>
          <w:sz w:val="24"/>
          <w:szCs w:val="24"/>
        </w:rPr>
        <w:t xml:space="preserve">nature and scope of the deficiency, the </w:t>
      </w:r>
      <w:r w:rsidR="002263D0" w:rsidRPr="003A72DD">
        <w:rPr>
          <w:rFonts w:ascii="Times New Roman" w:hAnsi="Times New Roman" w:cs="Times New Roman"/>
          <w:sz w:val="24"/>
          <w:szCs w:val="24"/>
        </w:rPr>
        <w:t xml:space="preserve">obligation to conduct </w:t>
      </w:r>
      <w:r w:rsidR="00521210" w:rsidRPr="003A72DD">
        <w:rPr>
          <w:rFonts w:ascii="Times New Roman" w:hAnsi="Times New Roman" w:cs="Times New Roman"/>
          <w:sz w:val="24"/>
          <w:szCs w:val="24"/>
        </w:rPr>
        <w:t>cases</w:t>
      </w:r>
      <w:r w:rsidR="002263D0" w:rsidRPr="003A72DD">
        <w:rPr>
          <w:rFonts w:ascii="Times New Roman" w:hAnsi="Times New Roman" w:cs="Times New Roman"/>
          <w:sz w:val="24"/>
          <w:szCs w:val="24"/>
        </w:rPr>
        <w:t xml:space="preserve"> in a timely and efficient manner</w:t>
      </w:r>
      <w:r w:rsidR="0080601E" w:rsidRPr="003A72DD">
        <w:rPr>
          <w:rFonts w:ascii="Times New Roman" w:hAnsi="Times New Roman" w:cs="Times New Roman"/>
          <w:sz w:val="24"/>
          <w:szCs w:val="24"/>
        </w:rPr>
        <w:t xml:space="preserve"> and </w:t>
      </w:r>
      <w:r w:rsidR="002263D0" w:rsidRPr="003A72DD">
        <w:rPr>
          <w:rFonts w:ascii="Times New Roman" w:hAnsi="Times New Roman" w:cs="Times New Roman"/>
          <w:sz w:val="24"/>
          <w:szCs w:val="24"/>
        </w:rPr>
        <w:t xml:space="preserve">to avoid unnecessary delays, and </w:t>
      </w:r>
      <w:r w:rsidR="0080601E" w:rsidRPr="003A72DD">
        <w:rPr>
          <w:rFonts w:ascii="Times New Roman" w:hAnsi="Times New Roman" w:cs="Times New Roman"/>
          <w:sz w:val="24"/>
          <w:szCs w:val="24"/>
        </w:rPr>
        <w:t xml:space="preserve">the </w:t>
      </w:r>
      <w:r w:rsidR="0043401A" w:rsidRPr="003A72DD">
        <w:rPr>
          <w:rFonts w:ascii="Times New Roman" w:hAnsi="Times New Roman" w:cs="Times New Roman"/>
          <w:sz w:val="24"/>
          <w:szCs w:val="24"/>
        </w:rPr>
        <w:t xml:space="preserve">specific </w:t>
      </w:r>
      <w:r w:rsidR="0080601E" w:rsidRPr="003A72DD">
        <w:rPr>
          <w:rFonts w:ascii="Times New Roman" w:hAnsi="Times New Roman" w:cs="Times New Roman"/>
          <w:sz w:val="24"/>
          <w:szCs w:val="24"/>
        </w:rPr>
        <w:t xml:space="preserve">obligations </w:t>
      </w:r>
      <w:r w:rsidR="0043401A" w:rsidRPr="003A72DD">
        <w:rPr>
          <w:rFonts w:ascii="Times New Roman" w:hAnsi="Times New Roman" w:cs="Times New Roman"/>
          <w:sz w:val="24"/>
          <w:szCs w:val="24"/>
        </w:rPr>
        <w:t xml:space="preserve">imposed </w:t>
      </w:r>
      <w:r w:rsidR="0080601E" w:rsidRPr="003A72DD">
        <w:rPr>
          <w:rFonts w:ascii="Times New Roman" w:hAnsi="Times New Roman" w:cs="Times New Roman"/>
          <w:sz w:val="24"/>
          <w:szCs w:val="24"/>
        </w:rPr>
        <w:t xml:space="preserve">under the Act in relation to </w:t>
      </w:r>
      <w:r w:rsidR="002263D0" w:rsidRPr="003A72DD">
        <w:rPr>
          <w:rFonts w:ascii="Times New Roman" w:hAnsi="Times New Roman" w:cs="Times New Roman"/>
          <w:sz w:val="24"/>
          <w:szCs w:val="24"/>
        </w:rPr>
        <w:t>consider</w:t>
      </w:r>
      <w:r w:rsidR="0080601E" w:rsidRPr="003A72DD">
        <w:rPr>
          <w:rFonts w:ascii="Times New Roman" w:hAnsi="Times New Roman" w:cs="Times New Roman"/>
          <w:sz w:val="24"/>
          <w:szCs w:val="24"/>
        </w:rPr>
        <w:t>ing</w:t>
      </w:r>
      <w:r w:rsidR="002263D0" w:rsidRPr="003A72DD">
        <w:rPr>
          <w:rFonts w:ascii="Times New Roman" w:hAnsi="Times New Roman" w:cs="Times New Roman"/>
          <w:sz w:val="24"/>
          <w:szCs w:val="24"/>
        </w:rPr>
        <w:t xml:space="preserve"> </w:t>
      </w:r>
      <w:r w:rsidR="00D417A0" w:rsidRPr="003A72DD">
        <w:rPr>
          <w:rFonts w:ascii="Times New Roman" w:hAnsi="Times New Roman" w:cs="Times New Roman"/>
          <w:sz w:val="24"/>
          <w:szCs w:val="24"/>
        </w:rPr>
        <w:t xml:space="preserve">parties’ </w:t>
      </w:r>
      <w:r w:rsidR="002263D0" w:rsidRPr="003A72DD">
        <w:rPr>
          <w:rFonts w:ascii="Times New Roman" w:hAnsi="Times New Roman" w:cs="Times New Roman"/>
          <w:sz w:val="24"/>
          <w:szCs w:val="24"/>
        </w:rPr>
        <w:t xml:space="preserve">responses. </w:t>
      </w:r>
      <w:r w:rsidR="00740C02" w:rsidRPr="003A72DD">
        <w:rPr>
          <w:rFonts w:ascii="Times New Roman" w:hAnsi="Times New Roman" w:cs="Times New Roman"/>
          <w:sz w:val="24"/>
          <w:szCs w:val="24"/>
        </w:rPr>
        <w:t xml:space="preserve"> </w:t>
      </w:r>
    </w:p>
    <w:p w:rsidR="00740C02" w:rsidRPr="003A72DD" w:rsidRDefault="00740C02" w:rsidP="003A72DD">
      <w:pPr>
        <w:rPr>
          <w:rFonts w:ascii="Times New Roman" w:hAnsi="Times New Roman" w:cs="Times New Roman"/>
          <w:sz w:val="24"/>
          <w:szCs w:val="24"/>
        </w:rPr>
      </w:pPr>
      <w:r w:rsidRPr="003A72DD">
        <w:rPr>
          <w:rFonts w:ascii="Times New Roman" w:hAnsi="Times New Roman" w:cs="Times New Roman"/>
          <w:sz w:val="24"/>
          <w:szCs w:val="24"/>
        </w:rPr>
        <w:t xml:space="preserve">If the Commissioner does </w:t>
      </w:r>
      <w:r w:rsidR="0080601E" w:rsidRPr="003A72DD">
        <w:rPr>
          <w:rFonts w:ascii="Times New Roman" w:hAnsi="Times New Roman" w:cs="Times New Roman"/>
          <w:sz w:val="24"/>
          <w:szCs w:val="24"/>
        </w:rPr>
        <w:t xml:space="preserve">allow </w:t>
      </w:r>
      <w:r w:rsidR="0043401A" w:rsidRPr="003A72DD">
        <w:rPr>
          <w:rFonts w:ascii="Times New Roman" w:hAnsi="Times New Roman" w:cs="Times New Roman"/>
          <w:sz w:val="24"/>
          <w:szCs w:val="24"/>
        </w:rPr>
        <w:t xml:space="preserve">the party </w:t>
      </w:r>
      <w:r w:rsidR="001C721C" w:rsidRPr="003A72DD">
        <w:rPr>
          <w:rFonts w:ascii="Times New Roman" w:hAnsi="Times New Roman" w:cs="Times New Roman"/>
          <w:sz w:val="24"/>
          <w:szCs w:val="24"/>
        </w:rPr>
        <w:t xml:space="preserve">an opportunity to </w:t>
      </w:r>
      <w:r w:rsidR="00EE2B50" w:rsidRPr="003A72DD">
        <w:rPr>
          <w:rFonts w:ascii="Times New Roman" w:hAnsi="Times New Roman" w:cs="Times New Roman"/>
          <w:sz w:val="24"/>
          <w:szCs w:val="24"/>
        </w:rPr>
        <w:t xml:space="preserve">provide </w:t>
      </w:r>
      <w:r w:rsidR="001C721C" w:rsidRPr="003A72DD">
        <w:rPr>
          <w:rFonts w:ascii="Times New Roman" w:hAnsi="Times New Roman" w:cs="Times New Roman"/>
          <w:sz w:val="24"/>
          <w:szCs w:val="24"/>
        </w:rPr>
        <w:t xml:space="preserve">a supplementary </w:t>
      </w:r>
      <w:r w:rsidRPr="003A72DD">
        <w:rPr>
          <w:rFonts w:ascii="Times New Roman" w:hAnsi="Times New Roman" w:cs="Times New Roman"/>
          <w:sz w:val="24"/>
          <w:szCs w:val="24"/>
        </w:rPr>
        <w:t xml:space="preserve">response, it does not preclude the Commissioner from being satisfied that </w:t>
      </w:r>
      <w:r w:rsidR="0043401A" w:rsidRPr="003A72DD">
        <w:rPr>
          <w:rFonts w:ascii="Times New Roman" w:hAnsi="Times New Roman" w:cs="Times New Roman"/>
          <w:sz w:val="24"/>
          <w:szCs w:val="24"/>
        </w:rPr>
        <w:t xml:space="preserve">the </w:t>
      </w:r>
      <w:r w:rsidRPr="003A72DD">
        <w:rPr>
          <w:rFonts w:ascii="Times New Roman" w:hAnsi="Times New Roman" w:cs="Times New Roman"/>
          <w:sz w:val="24"/>
          <w:szCs w:val="24"/>
        </w:rPr>
        <w:t xml:space="preserve">party has significantly impeded an investigation under </w:t>
      </w:r>
      <w:r w:rsidR="00BD12B9" w:rsidRPr="003A72DD">
        <w:rPr>
          <w:rFonts w:ascii="Times New Roman" w:hAnsi="Times New Roman" w:cs="Times New Roman"/>
          <w:sz w:val="24"/>
          <w:szCs w:val="24"/>
        </w:rPr>
        <w:t>sub</w:t>
      </w:r>
      <w:r w:rsidRPr="003A72DD">
        <w:rPr>
          <w:rFonts w:ascii="Times New Roman" w:hAnsi="Times New Roman" w:cs="Times New Roman"/>
          <w:sz w:val="24"/>
          <w:szCs w:val="24"/>
        </w:rPr>
        <w:t>section 269T</w:t>
      </w:r>
      <w:r w:rsidR="00BD12B9" w:rsidRPr="003A72DD">
        <w:rPr>
          <w:rFonts w:ascii="Times New Roman" w:hAnsi="Times New Roman" w:cs="Times New Roman"/>
          <w:sz w:val="24"/>
          <w:szCs w:val="24"/>
        </w:rPr>
        <w:t>(1)</w:t>
      </w:r>
      <w:r w:rsidRPr="003A72DD">
        <w:rPr>
          <w:rFonts w:ascii="Times New Roman" w:hAnsi="Times New Roman" w:cs="Times New Roman"/>
          <w:sz w:val="24"/>
          <w:szCs w:val="24"/>
        </w:rPr>
        <w:t xml:space="preserve"> or </w:t>
      </w:r>
      <w:r w:rsidR="00BD12B9" w:rsidRPr="003A72DD">
        <w:rPr>
          <w:rFonts w:ascii="Times New Roman" w:hAnsi="Times New Roman" w:cs="Times New Roman"/>
          <w:sz w:val="24"/>
          <w:szCs w:val="24"/>
        </w:rPr>
        <w:t xml:space="preserve">section </w:t>
      </w:r>
      <w:r w:rsidRPr="003A72DD">
        <w:rPr>
          <w:rFonts w:ascii="Times New Roman" w:hAnsi="Times New Roman" w:cs="Times New Roman"/>
          <w:sz w:val="24"/>
          <w:szCs w:val="24"/>
        </w:rPr>
        <w:t>269TAACA of the Act.</w:t>
      </w:r>
    </w:p>
    <w:p w:rsidR="009A1C5D" w:rsidRPr="009A2C4B" w:rsidRDefault="00F54C26" w:rsidP="009A2C4B">
      <w:pPr>
        <w:pStyle w:val="ListParagraph"/>
        <w:numPr>
          <w:ilvl w:val="0"/>
          <w:numId w:val="24"/>
        </w:numPr>
        <w:spacing w:before="240" w:after="240"/>
        <w:contextualSpacing w:val="0"/>
        <w:rPr>
          <w:rFonts w:ascii="Times New Roman" w:hAnsi="Times New Roman"/>
          <w:b/>
          <w:sz w:val="24"/>
        </w:rPr>
      </w:pPr>
      <w:r w:rsidRPr="009A2C4B">
        <w:rPr>
          <w:rFonts w:ascii="Times New Roman" w:hAnsi="Times New Roman"/>
          <w:b/>
          <w:sz w:val="24"/>
        </w:rPr>
        <w:t>Considering l</w:t>
      </w:r>
      <w:r w:rsidR="009A1C5D" w:rsidRPr="009A2C4B">
        <w:rPr>
          <w:rFonts w:ascii="Times New Roman" w:hAnsi="Times New Roman"/>
          <w:b/>
          <w:sz w:val="24"/>
        </w:rPr>
        <w:t xml:space="preserve">ate </w:t>
      </w:r>
      <w:r w:rsidR="00316145" w:rsidRPr="009A2C4B">
        <w:rPr>
          <w:rFonts w:ascii="Times New Roman" w:hAnsi="Times New Roman"/>
          <w:b/>
          <w:sz w:val="24"/>
        </w:rPr>
        <w:t>responses</w:t>
      </w:r>
    </w:p>
    <w:p w:rsidR="004913F9" w:rsidRPr="003A72DD" w:rsidRDefault="00DC49D0" w:rsidP="003A72DD">
      <w:pPr>
        <w:rPr>
          <w:rFonts w:ascii="Times New Roman" w:hAnsi="Times New Roman" w:cs="Times New Roman"/>
          <w:sz w:val="24"/>
          <w:szCs w:val="24"/>
        </w:rPr>
      </w:pPr>
      <w:r w:rsidRPr="003A72DD">
        <w:rPr>
          <w:rFonts w:ascii="Times New Roman" w:hAnsi="Times New Roman" w:cs="Times New Roman"/>
          <w:sz w:val="24"/>
          <w:szCs w:val="24"/>
        </w:rPr>
        <w:t xml:space="preserve">In line with </w:t>
      </w:r>
      <w:r w:rsidR="002F3564" w:rsidRPr="003A72DD">
        <w:rPr>
          <w:rFonts w:ascii="Times New Roman" w:hAnsi="Times New Roman" w:cs="Times New Roman"/>
          <w:sz w:val="24"/>
          <w:szCs w:val="24"/>
        </w:rPr>
        <w:t xml:space="preserve">relevant </w:t>
      </w:r>
      <w:r w:rsidRPr="003A72DD">
        <w:rPr>
          <w:rFonts w:ascii="Times New Roman" w:hAnsi="Times New Roman" w:cs="Times New Roman"/>
          <w:sz w:val="24"/>
          <w:szCs w:val="24"/>
        </w:rPr>
        <w:t xml:space="preserve">provisions in </w:t>
      </w:r>
      <w:r w:rsidR="004913F9" w:rsidRPr="003A72DD">
        <w:rPr>
          <w:rFonts w:ascii="Times New Roman" w:hAnsi="Times New Roman" w:cs="Times New Roman"/>
          <w:sz w:val="24"/>
          <w:szCs w:val="24"/>
        </w:rPr>
        <w:t xml:space="preserve">the Act, the Commissioner is not obliged to consider late </w:t>
      </w:r>
      <w:r w:rsidRPr="003A72DD">
        <w:rPr>
          <w:rFonts w:ascii="Times New Roman" w:hAnsi="Times New Roman" w:cs="Times New Roman"/>
          <w:sz w:val="24"/>
          <w:szCs w:val="24"/>
        </w:rPr>
        <w:t xml:space="preserve">responses if that </w:t>
      </w:r>
      <w:r w:rsidR="004913F9" w:rsidRPr="003A72DD">
        <w:rPr>
          <w:rFonts w:ascii="Times New Roman" w:hAnsi="Times New Roman" w:cs="Times New Roman"/>
          <w:sz w:val="24"/>
          <w:szCs w:val="24"/>
        </w:rPr>
        <w:t xml:space="preserve">would </w:t>
      </w:r>
      <w:r w:rsidR="00A14491" w:rsidRPr="003A72DD">
        <w:rPr>
          <w:rFonts w:ascii="Times New Roman" w:hAnsi="Times New Roman" w:cs="Times New Roman"/>
          <w:sz w:val="24"/>
          <w:szCs w:val="24"/>
        </w:rPr>
        <w:t>delay a key aspect of the case</w:t>
      </w:r>
      <w:r w:rsidR="004913F9" w:rsidRPr="003A72DD">
        <w:rPr>
          <w:rFonts w:ascii="Times New Roman" w:hAnsi="Times New Roman" w:cs="Times New Roman"/>
          <w:sz w:val="24"/>
          <w:szCs w:val="24"/>
        </w:rPr>
        <w:t xml:space="preserve">. This is consistent with the obligation to conduct </w:t>
      </w:r>
      <w:r w:rsidR="00521210" w:rsidRPr="003A72DD">
        <w:rPr>
          <w:rFonts w:ascii="Times New Roman" w:hAnsi="Times New Roman" w:cs="Times New Roman"/>
          <w:sz w:val="24"/>
          <w:szCs w:val="24"/>
        </w:rPr>
        <w:t xml:space="preserve">cases </w:t>
      </w:r>
      <w:r w:rsidR="004913F9" w:rsidRPr="003A72DD">
        <w:rPr>
          <w:rFonts w:ascii="Times New Roman" w:hAnsi="Times New Roman" w:cs="Times New Roman"/>
          <w:sz w:val="24"/>
          <w:szCs w:val="24"/>
        </w:rPr>
        <w:t xml:space="preserve">in </w:t>
      </w:r>
      <w:r w:rsidR="00A14491" w:rsidRPr="003A72DD">
        <w:rPr>
          <w:rFonts w:ascii="Times New Roman" w:hAnsi="Times New Roman" w:cs="Times New Roman"/>
          <w:sz w:val="24"/>
          <w:szCs w:val="24"/>
        </w:rPr>
        <w:t xml:space="preserve">a </w:t>
      </w:r>
      <w:r w:rsidR="002F3564" w:rsidRPr="003A72DD">
        <w:rPr>
          <w:rFonts w:ascii="Times New Roman" w:hAnsi="Times New Roman" w:cs="Times New Roman"/>
          <w:sz w:val="24"/>
          <w:szCs w:val="24"/>
        </w:rPr>
        <w:t>timely and efficient manner and to avoid</w:t>
      </w:r>
      <w:r w:rsidR="004913F9" w:rsidRPr="003A72DD">
        <w:rPr>
          <w:rFonts w:ascii="Times New Roman" w:hAnsi="Times New Roman" w:cs="Times New Roman"/>
          <w:sz w:val="24"/>
          <w:szCs w:val="24"/>
        </w:rPr>
        <w:t xml:space="preserve"> unnecessary delay</w:t>
      </w:r>
      <w:r w:rsidR="002F3564" w:rsidRPr="003A72DD">
        <w:rPr>
          <w:rFonts w:ascii="Times New Roman" w:hAnsi="Times New Roman" w:cs="Times New Roman"/>
          <w:sz w:val="24"/>
          <w:szCs w:val="24"/>
        </w:rPr>
        <w:t>s</w:t>
      </w:r>
      <w:r w:rsidR="004913F9" w:rsidRPr="003A72DD">
        <w:rPr>
          <w:rFonts w:ascii="Times New Roman" w:hAnsi="Times New Roman" w:cs="Times New Roman"/>
          <w:sz w:val="24"/>
          <w:szCs w:val="24"/>
        </w:rPr>
        <w:t>.</w:t>
      </w:r>
      <w:r w:rsidR="003F553B" w:rsidRPr="003A72DD">
        <w:rPr>
          <w:rFonts w:ascii="Times New Roman" w:hAnsi="Times New Roman" w:cs="Times New Roman"/>
          <w:sz w:val="24"/>
          <w:szCs w:val="24"/>
        </w:rPr>
        <w:t xml:space="preserve"> For example, subsection 269TD(3) says that the Commissioner is not obliged to have regard to submissions received after a specified deadline if to do so would</w:t>
      </w:r>
      <w:r w:rsidR="0061324E" w:rsidRPr="003A72DD">
        <w:rPr>
          <w:rFonts w:ascii="Times New Roman" w:hAnsi="Times New Roman" w:cs="Times New Roman"/>
          <w:sz w:val="24"/>
          <w:szCs w:val="24"/>
        </w:rPr>
        <w:t>,</w:t>
      </w:r>
      <w:r w:rsidR="003F553B" w:rsidRPr="003A72DD">
        <w:rPr>
          <w:rFonts w:ascii="Times New Roman" w:hAnsi="Times New Roman" w:cs="Times New Roman"/>
          <w:sz w:val="24"/>
          <w:szCs w:val="24"/>
        </w:rPr>
        <w:t xml:space="preserve"> in the Commissioner’s opinion</w:t>
      </w:r>
      <w:r w:rsidR="0061324E" w:rsidRPr="003A72DD">
        <w:rPr>
          <w:rFonts w:ascii="Times New Roman" w:hAnsi="Times New Roman" w:cs="Times New Roman"/>
          <w:sz w:val="24"/>
          <w:szCs w:val="24"/>
        </w:rPr>
        <w:t>,</w:t>
      </w:r>
      <w:r w:rsidR="003F553B" w:rsidRPr="003A72DD">
        <w:rPr>
          <w:rFonts w:ascii="Times New Roman" w:hAnsi="Times New Roman" w:cs="Times New Roman"/>
          <w:sz w:val="24"/>
          <w:szCs w:val="24"/>
        </w:rPr>
        <w:t xml:space="preserve"> prevent the timely consideration of a preliminary affirmative determination.</w:t>
      </w:r>
    </w:p>
    <w:p w:rsidR="001A52A9" w:rsidRPr="001E434B" w:rsidRDefault="00AB29A1" w:rsidP="001E434B">
      <w:pPr>
        <w:rPr>
          <w:rFonts w:ascii="Times New Roman" w:hAnsi="Times New Roman" w:cs="Times New Roman"/>
          <w:sz w:val="24"/>
          <w:szCs w:val="24"/>
        </w:rPr>
      </w:pPr>
      <w:r>
        <w:rPr>
          <w:rFonts w:ascii="Times New Roman" w:hAnsi="Times New Roman" w:cs="Times New Roman"/>
          <w:sz w:val="24"/>
          <w:szCs w:val="24"/>
        </w:rPr>
        <w:t>Paragraph 7(</w:t>
      </w:r>
      <w:r w:rsidR="009A2C4B">
        <w:rPr>
          <w:rFonts w:ascii="Times New Roman" w:hAnsi="Times New Roman" w:cs="Times New Roman"/>
          <w:sz w:val="24"/>
          <w:szCs w:val="24"/>
        </w:rPr>
        <w:t>b</w:t>
      </w:r>
      <w:r>
        <w:rPr>
          <w:rFonts w:ascii="Times New Roman" w:hAnsi="Times New Roman" w:cs="Times New Roman"/>
          <w:sz w:val="24"/>
          <w:szCs w:val="24"/>
        </w:rPr>
        <w:t>)(</w:t>
      </w:r>
      <w:r w:rsidR="00BE601E">
        <w:rPr>
          <w:rFonts w:ascii="Times New Roman" w:hAnsi="Times New Roman" w:cs="Times New Roman"/>
          <w:sz w:val="24"/>
          <w:szCs w:val="24"/>
        </w:rPr>
        <w:t>i</w:t>
      </w:r>
      <w:r>
        <w:rPr>
          <w:rFonts w:ascii="Times New Roman" w:hAnsi="Times New Roman" w:cs="Times New Roman"/>
          <w:sz w:val="24"/>
          <w:szCs w:val="24"/>
        </w:rPr>
        <w:t xml:space="preserve">) requires that </w:t>
      </w:r>
      <w:r w:rsidR="000D42F2" w:rsidRPr="001E434B">
        <w:rPr>
          <w:rFonts w:ascii="Times New Roman" w:hAnsi="Times New Roman" w:cs="Times New Roman"/>
          <w:sz w:val="24"/>
          <w:szCs w:val="24"/>
        </w:rPr>
        <w:t>w</w:t>
      </w:r>
      <w:r w:rsidR="000D19C2" w:rsidRPr="001E434B">
        <w:rPr>
          <w:rFonts w:ascii="Times New Roman" w:hAnsi="Times New Roman" w:cs="Times New Roman"/>
          <w:sz w:val="24"/>
          <w:szCs w:val="24"/>
        </w:rPr>
        <w:t xml:space="preserve">hen making a decision whether to consider a late response or not, the </w:t>
      </w:r>
      <w:r w:rsidR="001A52A9" w:rsidRPr="001E434B">
        <w:rPr>
          <w:rFonts w:ascii="Times New Roman" w:hAnsi="Times New Roman" w:cs="Times New Roman"/>
          <w:sz w:val="24"/>
          <w:szCs w:val="24"/>
        </w:rPr>
        <w:t xml:space="preserve">Commissioner </w:t>
      </w:r>
      <w:r w:rsidR="00592F4D">
        <w:rPr>
          <w:rFonts w:ascii="Times New Roman" w:hAnsi="Times New Roman" w:cs="Times New Roman"/>
          <w:sz w:val="24"/>
          <w:szCs w:val="24"/>
        </w:rPr>
        <w:t xml:space="preserve">must </w:t>
      </w:r>
      <w:r w:rsidR="001A52A9" w:rsidRPr="001E434B">
        <w:rPr>
          <w:rFonts w:ascii="Times New Roman" w:hAnsi="Times New Roman" w:cs="Times New Roman"/>
          <w:sz w:val="24"/>
          <w:szCs w:val="24"/>
        </w:rPr>
        <w:t xml:space="preserve">consider the </w:t>
      </w:r>
      <w:r w:rsidR="000D19C2" w:rsidRPr="001E434B">
        <w:rPr>
          <w:rFonts w:ascii="Times New Roman" w:hAnsi="Times New Roman" w:cs="Times New Roman"/>
          <w:sz w:val="24"/>
          <w:szCs w:val="24"/>
        </w:rPr>
        <w:t xml:space="preserve">period </w:t>
      </w:r>
      <w:r w:rsidR="001A52A9" w:rsidRPr="001E434B">
        <w:rPr>
          <w:rFonts w:ascii="Times New Roman" w:hAnsi="Times New Roman" w:cs="Times New Roman"/>
          <w:sz w:val="24"/>
          <w:szCs w:val="24"/>
        </w:rPr>
        <w:t xml:space="preserve">remaining before the next </w:t>
      </w:r>
      <w:r w:rsidR="000D42F2" w:rsidRPr="001E434B">
        <w:rPr>
          <w:rFonts w:ascii="Times New Roman" w:hAnsi="Times New Roman" w:cs="Times New Roman"/>
          <w:sz w:val="24"/>
          <w:szCs w:val="24"/>
        </w:rPr>
        <w:t>key aspect of the case</w:t>
      </w:r>
      <w:r w:rsidR="001A52A9" w:rsidRPr="001E434B">
        <w:rPr>
          <w:rFonts w:ascii="Times New Roman" w:hAnsi="Times New Roman" w:cs="Times New Roman"/>
          <w:sz w:val="24"/>
          <w:szCs w:val="24"/>
        </w:rPr>
        <w:t xml:space="preserve"> and the resources </w:t>
      </w:r>
      <w:r w:rsidR="000D19C2" w:rsidRPr="001E434B">
        <w:rPr>
          <w:rFonts w:ascii="Times New Roman" w:hAnsi="Times New Roman" w:cs="Times New Roman"/>
          <w:sz w:val="24"/>
          <w:szCs w:val="24"/>
        </w:rPr>
        <w:t xml:space="preserve">required </w:t>
      </w:r>
      <w:r w:rsidR="001A52A9" w:rsidRPr="001E434B">
        <w:rPr>
          <w:rFonts w:ascii="Times New Roman" w:hAnsi="Times New Roman" w:cs="Times New Roman"/>
          <w:sz w:val="24"/>
          <w:szCs w:val="24"/>
        </w:rPr>
        <w:t xml:space="preserve">to </w:t>
      </w:r>
      <w:r w:rsidR="000D19C2" w:rsidRPr="001E434B">
        <w:rPr>
          <w:rFonts w:ascii="Times New Roman" w:hAnsi="Times New Roman" w:cs="Times New Roman"/>
          <w:sz w:val="24"/>
          <w:szCs w:val="24"/>
        </w:rPr>
        <w:t xml:space="preserve">consider and address the response </w:t>
      </w:r>
      <w:r w:rsidR="00A14491" w:rsidRPr="001E434B">
        <w:rPr>
          <w:rFonts w:ascii="Times New Roman" w:hAnsi="Times New Roman" w:cs="Times New Roman"/>
          <w:sz w:val="24"/>
          <w:szCs w:val="24"/>
        </w:rPr>
        <w:t xml:space="preserve">before that </w:t>
      </w:r>
      <w:r w:rsidR="000D42F2" w:rsidRPr="001E434B">
        <w:rPr>
          <w:rFonts w:ascii="Times New Roman" w:hAnsi="Times New Roman" w:cs="Times New Roman"/>
          <w:sz w:val="24"/>
          <w:szCs w:val="24"/>
        </w:rPr>
        <w:t>key aspect</w:t>
      </w:r>
      <w:r w:rsidR="001A52A9" w:rsidRPr="001E434B">
        <w:rPr>
          <w:rFonts w:ascii="Times New Roman" w:hAnsi="Times New Roman" w:cs="Times New Roman"/>
          <w:sz w:val="24"/>
          <w:szCs w:val="24"/>
        </w:rPr>
        <w:t xml:space="preserve">. </w:t>
      </w:r>
    </w:p>
    <w:p w:rsidR="000D19C2" w:rsidRPr="001E434B" w:rsidRDefault="00AB29A1" w:rsidP="001E434B">
      <w:pPr>
        <w:rPr>
          <w:rFonts w:ascii="Times New Roman" w:hAnsi="Times New Roman" w:cs="Times New Roman"/>
          <w:sz w:val="24"/>
          <w:szCs w:val="24"/>
        </w:rPr>
      </w:pPr>
      <w:r>
        <w:rPr>
          <w:rFonts w:ascii="Times New Roman" w:hAnsi="Times New Roman" w:cs="Times New Roman"/>
          <w:sz w:val="24"/>
          <w:szCs w:val="24"/>
        </w:rPr>
        <w:t>Paragraph 7(</w:t>
      </w:r>
      <w:r w:rsidR="009A2C4B">
        <w:rPr>
          <w:rFonts w:ascii="Times New Roman" w:hAnsi="Times New Roman" w:cs="Times New Roman"/>
          <w:sz w:val="24"/>
          <w:szCs w:val="24"/>
        </w:rPr>
        <w:t>b</w:t>
      </w:r>
      <w:r>
        <w:rPr>
          <w:rFonts w:ascii="Times New Roman" w:hAnsi="Times New Roman" w:cs="Times New Roman"/>
          <w:sz w:val="24"/>
          <w:szCs w:val="24"/>
        </w:rPr>
        <w:t>)(</w:t>
      </w:r>
      <w:r w:rsidR="00BE601E">
        <w:rPr>
          <w:rFonts w:ascii="Times New Roman" w:hAnsi="Times New Roman" w:cs="Times New Roman"/>
          <w:sz w:val="24"/>
          <w:szCs w:val="24"/>
        </w:rPr>
        <w:t>ii)</w:t>
      </w:r>
      <w:r>
        <w:rPr>
          <w:rFonts w:ascii="Times New Roman" w:hAnsi="Times New Roman" w:cs="Times New Roman"/>
          <w:sz w:val="24"/>
          <w:szCs w:val="24"/>
        </w:rPr>
        <w:t xml:space="preserve"> recognises that </w:t>
      </w:r>
      <w:r w:rsidR="000D19C2" w:rsidRPr="001E434B">
        <w:rPr>
          <w:rFonts w:ascii="Times New Roman" w:hAnsi="Times New Roman" w:cs="Times New Roman"/>
          <w:sz w:val="24"/>
          <w:szCs w:val="24"/>
        </w:rPr>
        <w:t xml:space="preserve">the information provided in </w:t>
      </w:r>
      <w:r w:rsidR="00A14491" w:rsidRPr="001E434B">
        <w:rPr>
          <w:rFonts w:ascii="Times New Roman" w:hAnsi="Times New Roman" w:cs="Times New Roman"/>
          <w:sz w:val="24"/>
          <w:szCs w:val="24"/>
        </w:rPr>
        <w:t xml:space="preserve">parties’ </w:t>
      </w:r>
      <w:r w:rsidR="000D19C2" w:rsidRPr="001E434B">
        <w:rPr>
          <w:rFonts w:ascii="Times New Roman" w:hAnsi="Times New Roman" w:cs="Times New Roman"/>
          <w:sz w:val="24"/>
          <w:szCs w:val="24"/>
        </w:rPr>
        <w:t xml:space="preserve">responses is variable and can range from clearly articulated data which is easy to use and understand to ambiguous </w:t>
      </w:r>
      <w:r w:rsidR="00BA2821" w:rsidRPr="001E434B">
        <w:rPr>
          <w:rFonts w:ascii="Times New Roman" w:hAnsi="Times New Roman" w:cs="Times New Roman"/>
          <w:sz w:val="24"/>
          <w:szCs w:val="24"/>
        </w:rPr>
        <w:t xml:space="preserve">or </w:t>
      </w:r>
      <w:r w:rsidR="00B2588D" w:rsidRPr="001E434B">
        <w:rPr>
          <w:rFonts w:ascii="Times New Roman" w:hAnsi="Times New Roman" w:cs="Times New Roman"/>
          <w:sz w:val="24"/>
          <w:szCs w:val="24"/>
        </w:rPr>
        <w:t xml:space="preserve">incomplete data </w:t>
      </w:r>
      <w:r w:rsidR="000D19C2" w:rsidRPr="001E434B">
        <w:rPr>
          <w:rFonts w:ascii="Times New Roman" w:hAnsi="Times New Roman" w:cs="Times New Roman"/>
          <w:sz w:val="24"/>
          <w:szCs w:val="24"/>
        </w:rPr>
        <w:t xml:space="preserve">which </w:t>
      </w:r>
      <w:r w:rsidR="00BA2821" w:rsidRPr="001E434B">
        <w:rPr>
          <w:rFonts w:ascii="Times New Roman" w:hAnsi="Times New Roman" w:cs="Times New Roman"/>
          <w:sz w:val="24"/>
          <w:szCs w:val="24"/>
        </w:rPr>
        <w:t xml:space="preserve">can be </w:t>
      </w:r>
      <w:r w:rsidR="000D19C2" w:rsidRPr="001E434B">
        <w:rPr>
          <w:rFonts w:ascii="Times New Roman" w:hAnsi="Times New Roman" w:cs="Times New Roman"/>
          <w:sz w:val="24"/>
          <w:szCs w:val="24"/>
        </w:rPr>
        <w:t xml:space="preserve">difficult to interpret. Additionally, the size of the data provided in responses is variable and depends on the party, the goods under consideration, the </w:t>
      </w:r>
      <w:r w:rsidR="000D19C2" w:rsidRPr="001E434B">
        <w:rPr>
          <w:rFonts w:ascii="Times New Roman" w:hAnsi="Times New Roman" w:cs="Times New Roman"/>
          <w:sz w:val="24"/>
          <w:szCs w:val="24"/>
        </w:rPr>
        <w:lastRenderedPageBreak/>
        <w:t xml:space="preserve">timeframe covered in the response and other factors. Conventionally, </w:t>
      </w:r>
      <w:r w:rsidR="00BA2821" w:rsidRPr="001E434B">
        <w:rPr>
          <w:rFonts w:ascii="Times New Roman" w:hAnsi="Times New Roman" w:cs="Times New Roman"/>
          <w:sz w:val="24"/>
          <w:szCs w:val="24"/>
        </w:rPr>
        <w:t xml:space="preserve">large </w:t>
      </w:r>
      <w:r w:rsidR="000D19C2" w:rsidRPr="001E434B">
        <w:rPr>
          <w:rFonts w:ascii="Times New Roman" w:hAnsi="Times New Roman" w:cs="Times New Roman"/>
          <w:sz w:val="24"/>
          <w:szCs w:val="24"/>
        </w:rPr>
        <w:t xml:space="preserve">amounts of </w:t>
      </w:r>
      <w:r w:rsidR="00BA2821" w:rsidRPr="001E434B">
        <w:rPr>
          <w:rFonts w:ascii="Times New Roman" w:hAnsi="Times New Roman" w:cs="Times New Roman"/>
          <w:sz w:val="24"/>
          <w:szCs w:val="24"/>
        </w:rPr>
        <w:t xml:space="preserve">ambiguous </w:t>
      </w:r>
      <w:r w:rsidR="000D19C2" w:rsidRPr="001E434B">
        <w:rPr>
          <w:rFonts w:ascii="Times New Roman" w:hAnsi="Times New Roman" w:cs="Times New Roman"/>
          <w:sz w:val="24"/>
          <w:szCs w:val="24"/>
        </w:rPr>
        <w:t xml:space="preserve">data will require </w:t>
      </w:r>
      <w:r w:rsidR="00BA2821" w:rsidRPr="001E434B">
        <w:rPr>
          <w:rFonts w:ascii="Times New Roman" w:hAnsi="Times New Roman" w:cs="Times New Roman"/>
          <w:sz w:val="24"/>
          <w:szCs w:val="24"/>
        </w:rPr>
        <w:t xml:space="preserve">greater </w:t>
      </w:r>
      <w:r w:rsidR="000D19C2" w:rsidRPr="001E434B">
        <w:rPr>
          <w:rFonts w:ascii="Times New Roman" w:hAnsi="Times New Roman" w:cs="Times New Roman"/>
          <w:sz w:val="24"/>
          <w:szCs w:val="24"/>
        </w:rPr>
        <w:t>resources and</w:t>
      </w:r>
      <w:r w:rsidR="00B2588D" w:rsidRPr="001E434B">
        <w:rPr>
          <w:rFonts w:ascii="Times New Roman" w:hAnsi="Times New Roman" w:cs="Times New Roman"/>
          <w:sz w:val="24"/>
          <w:szCs w:val="24"/>
        </w:rPr>
        <w:t xml:space="preserve"> </w:t>
      </w:r>
      <w:r w:rsidR="00A14491" w:rsidRPr="001E434B">
        <w:rPr>
          <w:rFonts w:ascii="Times New Roman" w:hAnsi="Times New Roman" w:cs="Times New Roman"/>
          <w:sz w:val="24"/>
          <w:szCs w:val="24"/>
        </w:rPr>
        <w:t xml:space="preserve">could lead to </w:t>
      </w:r>
      <w:r w:rsidR="00BA2821" w:rsidRPr="001E434B">
        <w:rPr>
          <w:rFonts w:ascii="Times New Roman" w:hAnsi="Times New Roman" w:cs="Times New Roman"/>
          <w:sz w:val="24"/>
          <w:szCs w:val="24"/>
        </w:rPr>
        <w:t xml:space="preserve">significant </w:t>
      </w:r>
      <w:r w:rsidR="00AE6BC1" w:rsidRPr="001E434B">
        <w:rPr>
          <w:rFonts w:ascii="Times New Roman" w:hAnsi="Times New Roman" w:cs="Times New Roman"/>
          <w:sz w:val="24"/>
          <w:szCs w:val="24"/>
        </w:rPr>
        <w:t>delays</w:t>
      </w:r>
      <w:r w:rsidR="000D19C2" w:rsidRPr="001E434B">
        <w:rPr>
          <w:rFonts w:ascii="Times New Roman" w:hAnsi="Times New Roman" w:cs="Times New Roman"/>
          <w:sz w:val="24"/>
          <w:szCs w:val="24"/>
        </w:rPr>
        <w:t>.</w:t>
      </w:r>
      <w:r w:rsidR="00B2588D" w:rsidRPr="001E434B">
        <w:rPr>
          <w:rFonts w:ascii="Times New Roman" w:hAnsi="Times New Roman" w:cs="Times New Roman"/>
          <w:sz w:val="24"/>
          <w:szCs w:val="24"/>
        </w:rPr>
        <w:t xml:space="preserve"> </w:t>
      </w:r>
    </w:p>
    <w:p w:rsidR="008F6E10" w:rsidRPr="001E434B" w:rsidRDefault="00AB29A1" w:rsidP="001E434B">
      <w:pPr>
        <w:rPr>
          <w:rFonts w:ascii="Times New Roman" w:hAnsi="Times New Roman" w:cs="Times New Roman"/>
          <w:sz w:val="24"/>
          <w:szCs w:val="24"/>
        </w:rPr>
      </w:pPr>
      <w:r>
        <w:rPr>
          <w:rFonts w:ascii="Times New Roman" w:hAnsi="Times New Roman" w:cs="Times New Roman"/>
          <w:sz w:val="24"/>
          <w:szCs w:val="24"/>
        </w:rPr>
        <w:t>Paragraph 7(</w:t>
      </w:r>
      <w:r w:rsidR="009A2C4B">
        <w:rPr>
          <w:rFonts w:ascii="Times New Roman" w:hAnsi="Times New Roman" w:cs="Times New Roman"/>
          <w:sz w:val="24"/>
          <w:szCs w:val="24"/>
        </w:rPr>
        <w:t>b</w:t>
      </w:r>
      <w:r>
        <w:rPr>
          <w:rFonts w:ascii="Times New Roman" w:hAnsi="Times New Roman" w:cs="Times New Roman"/>
          <w:sz w:val="24"/>
          <w:szCs w:val="24"/>
        </w:rPr>
        <w:t>)(</w:t>
      </w:r>
      <w:r w:rsidR="00BE601E">
        <w:rPr>
          <w:rFonts w:ascii="Times New Roman" w:hAnsi="Times New Roman" w:cs="Times New Roman"/>
          <w:sz w:val="24"/>
          <w:szCs w:val="24"/>
        </w:rPr>
        <w:t>iii)</w:t>
      </w:r>
      <w:r>
        <w:rPr>
          <w:rFonts w:ascii="Times New Roman" w:hAnsi="Times New Roman" w:cs="Times New Roman"/>
          <w:sz w:val="24"/>
          <w:szCs w:val="24"/>
        </w:rPr>
        <w:t xml:space="preserve"> </w:t>
      </w:r>
      <w:r w:rsidR="008F6E10" w:rsidRPr="001E434B">
        <w:rPr>
          <w:rFonts w:ascii="Times New Roman" w:hAnsi="Times New Roman" w:cs="Times New Roman"/>
          <w:sz w:val="24"/>
          <w:szCs w:val="24"/>
        </w:rPr>
        <w:t>similarly</w:t>
      </w:r>
      <w:r>
        <w:rPr>
          <w:rFonts w:ascii="Times New Roman" w:hAnsi="Times New Roman" w:cs="Times New Roman"/>
          <w:sz w:val="24"/>
          <w:szCs w:val="24"/>
        </w:rPr>
        <w:t xml:space="preserve"> recogni</w:t>
      </w:r>
      <w:r w:rsidR="00BE601E">
        <w:rPr>
          <w:rFonts w:ascii="Times New Roman" w:hAnsi="Times New Roman" w:cs="Times New Roman"/>
          <w:sz w:val="24"/>
          <w:szCs w:val="24"/>
        </w:rPr>
        <w:t>ses</w:t>
      </w:r>
      <w:r w:rsidR="008F6E10" w:rsidRPr="001E434B">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8F6E10" w:rsidRPr="001E434B">
        <w:rPr>
          <w:rFonts w:ascii="Times New Roman" w:hAnsi="Times New Roman" w:cs="Times New Roman"/>
          <w:sz w:val="24"/>
          <w:szCs w:val="24"/>
        </w:rPr>
        <w:t xml:space="preserve">responses may </w:t>
      </w:r>
      <w:r w:rsidR="003D2D16" w:rsidRPr="001E434B">
        <w:rPr>
          <w:rFonts w:ascii="Times New Roman" w:hAnsi="Times New Roman" w:cs="Times New Roman"/>
          <w:sz w:val="24"/>
          <w:szCs w:val="24"/>
        </w:rPr>
        <w:t xml:space="preserve">include </w:t>
      </w:r>
      <w:r w:rsidR="00A750AB" w:rsidRPr="001E434B">
        <w:rPr>
          <w:rFonts w:ascii="Times New Roman" w:hAnsi="Times New Roman" w:cs="Times New Roman"/>
          <w:sz w:val="24"/>
          <w:szCs w:val="24"/>
        </w:rPr>
        <w:t xml:space="preserve">parties’ </w:t>
      </w:r>
      <w:r w:rsidR="00BA2821" w:rsidRPr="001E434B">
        <w:rPr>
          <w:rFonts w:ascii="Times New Roman" w:hAnsi="Times New Roman" w:cs="Times New Roman"/>
          <w:sz w:val="24"/>
          <w:szCs w:val="24"/>
        </w:rPr>
        <w:t xml:space="preserve">views, </w:t>
      </w:r>
      <w:r w:rsidR="008F6E10" w:rsidRPr="001E434B">
        <w:rPr>
          <w:rFonts w:ascii="Times New Roman" w:hAnsi="Times New Roman" w:cs="Times New Roman"/>
          <w:sz w:val="24"/>
          <w:szCs w:val="24"/>
        </w:rPr>
        <w:t>assertions</w:t>
      </w:r>
      <w:r w:rsidR="00BA2821" w:rsidRPr="001E434B">
        <w:rPr>
          <w:rFonts w:ascii="Times New Roman" w:hAnsi="Times New Roman" w:cs="Times New Roman"/>
          <w:sz w:val="24"/>
          <w:szCs w:val="24"/>
        </w:rPr>
        <w:t xml:space="preserve"> or </w:t>
      </w:r>
      <w:r w:rsidR="00A750AB" w:rsidRPr="001E434B">
        <w:rPr>
          <w:rFonts w:ascii="Times New Roman" w:hAnsi="Times New Roman" w:cs="Times New Roman"/>
          <w:sz w:val="24"/>
          <w:szCs w:val="24"/>
        </w:rPr>
        <w:t xml:space="preserve">proposals. </w:t>
      </w:r>
      <w:r w:rsidR="00BA2821" w:rsidRPr="001E434B">
        <w:rPr>
          <w:rFonts w:ascii="Times New Roman" w:hAnsi="Times New Roman" w:cs="Times New Roman"/>
          <w:sz w:val="24"/>
          <w:szCs w:val="24"/>
        </w:rPr>
        <w:t xml:space="preserve">To verify them </w:t>
      </w:r>
      <w:r w:rsidR="008F6E10" w:rsidRPr="001E434B">
        <w:rPr>
          <w:rFonts w:ascii="Times New Roman" w:hAnsi="Times New Roman" w:cs="Times New Roman"/>
          <w:sz w:val="24"/>
          <w:szCs w:val="24"/>
        </w:rPr>
        <w:t>require</w:t>
      </w:r>
      <w:r w:rsidR="003D2D16" w:rsidRPr="001E434B">
        <w:rPr>
          <w:rFonts w:ascii="Times New Roman" w:hAnsi="Times New Roman" w:cs="Times New Roman"/>
          <w:sz w:val="24"/>
          <w:szCs w:val="24"/>
        </w:rPr>
        <w:t>s</w:t>
      </w:r>
      <w:r w:rsidR="008F6E10" w:rsidRPr="001E434B">
        <w:rPr>
          <w:rFonts w:ascii="Times New Roman" w:hAnsi="Times New Roman" w:cs="Times New Roman"/>
          <w:sz w:val="24"/>
          <w:szCs w:val="24"/>
        </w:rPr>
        <w:t xml:space="preserve"> </w:t>
      </w:r>
      <w:r w:rsidR="00BA2821" w:rsidRPr="001E434B">
        <w:rPr>
          <w:rFonts w:ascii="Times New Roman" w:hAnsi="Times New Roman" w:cs="Times New Roman"/>
          <w:sz w:val="24"/>
          <w:szCs w:val="24"/>
        </w:rPr>
        <w:t xml:space="preserve">varying degrees of </w:t>
      </w:r>
      <w:r w:rsidR="003D2D16" w:rsidRPr="001E434B">
        <w:rPr>
          <w:rFonts w:ascii="Times New Roman" w:hAnsi="Times New Roman" w:cs="Times New Roman"/>
          <w:sz w:val="24"/>
          <w:szCs w:val="24"/>
        </w:rPr>
        <w:t xml:space="preserve">additional questioning, </w:t>
      </w:r>
      <w:r w:rsidR="008F6E10" w:rsidRPr="001E434B">
        <w:rPr>
          <w:rFonts w:ascii="Times New Roman" w:hAnsi="Times New Roman" w:cs="Times New Roman"/>
          <w:sz w:val="24"/>
          <w:szCs w:val="24"/>
        </w:rPr>
        <w:t xml:space="preserve">research, information from third parties </w:t>
      </w:r>
      <w:r w:rsidR="00A750AB" w:rsidRPr="001E434B">
        <w:rPr>
          <w:rFonts w:ascii="Times New Roman" w:hAnsi="Times New Roman" w:cs="Times New Roman"/>
          <w:sz w:val="24"/>
          <w:szCs w:val="24"/>
        </w:rPr>
        <w:t xml:space="preserve">or specific expertise. </w:t>
      </w:r>
      <w:r w:rsidR="00BA2821" w:rsidRPr="001E434B">
        <w:rPr>
          <w:rFonts w:ascii="Times New Roman" w:hAnsi="Times New Roman" w:cs="Times New Roman"/>
          <w:sz w:val="24"/>
          <w:szCs w:val="24"/>
        </w:rPr>
        <w:t>This can be</w:t>
      </w:r>
      <w:r w:rsidR="003D2D16" w:rsidRPr="001E434B">
        <w:rPr>
          <w:rFonts w:ascii="Times New Roman" w:hAnsi="Times New Roman" w:cs="Times New Roman"/>
          <w:sz w:val="24"/>
          <w:szCs w:val="24"/>
        </w:rPr>
        <w:t xml:space="preserve"> resource intensive and time consuming and could lead to delays. </w:t>
      </w:r>
      <w:r w:rsidR="00BA2821" w:rsidRPr="001E434B">
        <w:rPr>
          <w:rFonts w:ascii="Times New Roman" w:hAnsi="Times New Roman" w:cs="Times New Roman"/>
          <w:sz w:val="24"/>
          <w:szCs w:val="24"/>
        </w:rPr>
        <w:t xml:space="preserve"> </w:t>
      </w:r>
    </w:p>
    <w:p w:rsidR="004913F9" w:rsidRPr="001E434B" w:rsidRDefault="00BE601E" w:rsidP="001E434B">
      <w:pPr>
        <w:rPr>
          <w:rFonts w:ascii="Times New Roman" w:hAnsi="Times New Roman" w:cs="Times New Roman"/>
          <w:sz w:val="24"/>
          <w:szCs w:val="24"/>
        </w:rPr>
      </w:pPr>
      <w:r>
        <w:rPr>
          <w:rFonts w:ascii="Times New Roman" w:hAnsi="Times New Roman" w:cs="Times New Roman"/>
          <w:sz w:val="24"/>
          <w:szCs w:val="24"/>
        </w:rPr>
        <w:t>Paragraph 7(b</w:t>
      </w:r>
      <w:r w:rsidR="00AB29A1">
        <w:rPr>
          <w:rFonts w:ascii="Times New Roman" w:hAnsi="Times New Roman" w:cs="Times New Roman"/>
          <w:sz w:val="24"/>
          <w:szCs w:val="24"/>
        </w:rPr>
        <w:t>)(</w:t>
      </w:r>
      <w:r w:rsidR="009A2C4B">
        <w:rPr>
          <w:rFonts w:ascii="Times New Roman" w:hAnsi="Times New Roman" w:cs="Times New Roman"/>
          <w:sz w:val="24"/>
          <w:szCs w:val="24"/>
        </w:rPr>
        <w:t>iv</w:t>
      </w:r>
      <w:r w:rsidR="00AB29A1">
        <w:rPr>
          <w:rFonts w:ascii="Times New Roman" w:hAnsi="Times New Roman" w:cs="Times New Roman"/>
          <w:sz w:val="24"/>
          <w:szCs w:val="24"/>
        </w:rPr>
        <w:t xml:space="preserve">) anticipates that </w:t>
      </w:r>
      <w:r w:rsidR="004C4A2B" w:rsidRPr="001E434B">
        <w:rPr>
          <w:rFonts w:ascii="Times New Roman" w:hAnsi="Times New Roman" w:cs="Times New Roman"/>
          <w:sz w:val="24"/>
          <w:szCs w:val="24"/>
        </w:rPr>
        <w:t xml:space="preserve">when responses are provided outside the timeframe set by the Commissioner or under the Act, a party will usually provide reasons </w:t>
      </w:r>
      <w:r w:rsidR="00A14491" w:rsidRPr="001E434B">
        <w:rPr>
          <w:rFonts w:ascii="Times New Roman" w:hAnsi="Times New Roman" w:cs="Times New Roman"/>
          <w:sz w:val="24"/>
          <w:szCs w:val="24"/>
        </w:rPr>
        <w:t xml:space="preserve">which </w:t>
      </w:r>
      <w:r w:rsidR="004C4A2B" w:rsidRPr="001E434B">
        <w:rPr>
          <w:rFonts w:ascii="Times New Roman" w:hAnsi="Times New Roman" w:cs="Times New Roman"/>
          <w:sz w:val="24"/>
          <w:szCs w:val="24"/>
        </w:rPr>
        <w:t>explain why the response is late. W</w:t>
      </w:r>
      <w:r w:rsidR="004913F9" w:rsidRPr="001E434B">
        <w:rPr>
          <w:rFonts w:ascii="Times New Roman" w:hAnsi="Times New Roman" w:cs="Times New Roman"/>
          <w:sz w:val="24"/>
          <w:szCs w:val="24"/>
        </w:rPr>
        <w:t>hen considering the reasons provided by a party</w:t>
      </w:r>
      <w:r w:rsidR="004C4A2B" w:rsidRPr="001E434B">
        <w:rPr>
          <w:rFonts w:ascii="Times New Roman" w:hAnsi="Times New Roman" w:cs="Times New Roman"/>
          <w:sz w:val="24"/>
          <w:szCs w:val="24"/>
        </w:rPr>
        <w:t>,</w:t>
      </w:r>
      <w:r w:rsidR="004913F9" w:rsidRPr="001E434B">
        <w:rPr>
          <w:rFonts w:ascii="Times New Roman" w:hAnsi="Times New Roman" w:cs="Times New Roman"/>
          <w:sz w:val="24"/>
          <w:szCs w:val="24"/>
        </w:rPr>
        <w:t xml:space="preserve"> the Commissioner </w:t>
      </w:r>
      <w:r w:rsidR="00592F4D">
        <w:rPr>
          <w:rFonts w:ascii="Times New Roman" w:hAnsi="Times New Roman" w:cs="Times New Roman"/>
          <w:sz w:val="24"/>
          <w:szCs w:val="24"/>
        </w:rPr>
        <w:t>must</w:t>
      </w:r>
      <w:r w:rsidR="00592F4D" w:rsidRPr="001E434B">
        <w:rPr>
          <w:rFonts w:ascii="Times New Roman" w:hAnsi="Times New Roman" w:cs="Times New Roman"/>
          <w:sz w:val="24"/>
          <w:szCs w:val="24"/>
        </w:rPr>
        <w:t xml:space="preserve"> </w:t>
      </w:r>
      <w:r w:rsidR="004913F9" w:rsidRPr="001E434B">
        <w:rPr>
          <w:rFonts w:ascii="Times New Roman" w:hAnsi="Times New Roman" w:cs="Times New Roman"/>
          <w:sz w:val="24"/>
          <w:szCs w:val="24"/>
        </w:rPr>
        <w:t xml:space="preserve">consider </w:t>
      </w:r>
      <w:r w:rsidR="003D2D16" w:rsidRPr="001E434B">
        <w:rPr>
          <w:rFonts w:ascii="Times New Roman" w:hAnsi="Times New Roman" w:cs="Times New Roman"/>
          <w:sz w:val="24"/>
          <w:szCs w:val="24"/>
        </w:rPr>
        <w:t xml:space="preserve">the matters referred to in </w:t>
      </w:r>
      <w:r w:rsidR="00AB29A1">
        <w:rPr>
          <w:rFonts w:ascii="Times New Roman" w:hAnsi="Times New Roman" w:cs="Times New Roman"/>
          <w:sz w:val="24"/>
          <w:szCs w:val="24"/>
        </w:rPr>
        <w:t xml:space="preserve">the above </w:t>
      </w:r>
      <w:r w:rsidR="003D2D16" w:rsidRPr="001E434B">
        <w:rPr>
          <w:rFonts w:ascii="Times New Roman" w:hAnsi="Times New Roman" w:cs="Times New Roman"/>
          <w:sz w:val="24"/>
          <w:szCs w:val="24"/>
        </w:rPr>
        <w:t>directions</w:t>
      </w:r>
      <w:r w:rsidR="00905BB8">
        <w:rPr>
          <w:rFonts w:ascii="Times New Roman" w:hAnsi="Times New Roman" w:cs="Times New Roman"/>
          <w:sz w:val="24"/>
          <w:szCs w:val="24"/>
        </w:rPr>
        <w:t>,</w:t>
      </w:r>
      <w:r w:rsidR="003D2D16" w:rsidRPr="001E434B">
        <w:rPr>
          <w:rFonts w:ascii="Times New Roman" w:hAnsi="Times New Roman" w:cs="Times New Roman"/>
          <w:sz w:val="24"/>
          <w:szCs w:val="24"/>
        </w:rPr>
        <w:t xml:space="preserve"> such as </w:t>
      </w:r>
      <w:r w:rsidR="004913F9" w:rsidRPr="001E434B">
        <w:rPr>
          <w:rFonts w:ascii="Times New Roman" w:hAnsi="Times New Roman" w:cs="Times New Roman"/>
          <w:sz w:val="24"/>
          <w:szCs w:val="24"/>
        </w:rPr>
        <w:t>ordinary business practices and commercial principles</w:t>
      </w:r>
      <w:r w:rsidR="003D2D16" w:rsidRPr="001E434B">
        <w:rPr>
          <w:rFonts w:ascii="Times New Roman" w:hAnsi="Times New Roman" w:cs="Times New Roman"/>
          <w:sz w:val="24"/>
          <w:szCs w:val="24"/>
        </w:rPr>
        <w:t>, the Commissioner’s understanding of the industry and the way it operates, and previous responses or information provided by the party</w:t>
      </w:r>
      <w:r w:rsidR="004913F9" w:rsidRPr="001E434B">
        <w:rPr>
          <w:rFonts w:ascii="Times New Roman" w:hAnsi="Times New Roman" w:cs="Times New Roman"/>
          <w:sz w:val="24"/>
          <w:szCs w:val="24"/>
        </w:rPr>
        <w:t xml:space="preserve">. </w:t>
      </w:r>
    </w:p>
    <w:p w:rsidR="004002C2" w:rsidRDefault="00FF331E" w:rsidP="004002C2">
      <w:pPr>
        <w:pStyle w:val="ListParagraph"/>
        <w:numPr>
          <w:ilvl w:val="0"/>
          <w:numId w:val="24"/>
        </w:numPr>
        <w:spacing w:before="240" w:after="240"/>
        <w:contextualSpacing w:val="0"/>
        <w:rPr>
          <w:rFonts w:ascii="Times New Roman" w:hAnsi="Times New Roman"/>
          <w:b/>
          <w:sz w:val="24"/>
        </w:rPr>
      </w:pPr>
      <w:r w:rsidRPr="009A2C4B">
        <w:rPr>
          <w:rFonts w:ascii="Times New Roman" w:hAnsi="Times New Roman"/>
          <w:b/>
          <w:sz w:val="24"/>
        </w:rPr>
        <w:t>Re</w:t>
      </w:r>
      <w:r w:rsidR="00B17C15" w:rsidRPr="009A2C4B">
        <w:rPr>
          <w:rFonts w:ascii="Times New Roman" w:hAnsi="Times New Roman"/>
          <w:b/>
          <w:sz w:val="24"/>
        </w:rPr>
        <w:t>levant information</w:t>
      </w:r>
      <w:r w:rsidR="0090460A" w:rsidRPr="009A2C4B">
        <w:rPr>
          <w:rFonts w:ascii="Times New Roman" w:hAnsi="Times New Roman"/>
          <w:b/>
          <w:sz w:val="24"/>
        </w:rPr>
        <w:t xml:space="preserve">– </w:t>
      </w:r>
      <w:r w:rsidR="00D24BD9" w:rsidRPr="009A2C4B">
        <w:rPr>
          <w:rFonts w:ascii="Times New Roman" w:hAnsi="Times New Roman"/>
          <w:b/>
          <w:sz w:val="24"/>
        </w:rPr>
        <w:t>sub</w:t>
      </w:r>
      <w:r w:rsidR="0090460A" w:rsidRPr="009A2C4B">
        <w:rPr>
          <w:rFonts w:ascii="Times New Roman" w:hAnsi="Times New Roman"/>
          <w:b/>
          <w:sz w:val="24"/>
        </w:rPr>
        <w:t>section 269T</w:t>
      </w:r>
      <w:r w:rsidR="00D24BD9" w:rsidRPr="009A2C4B">
        <w:rPr>
          <w:rFonts w:ascii="Times New Roman" w:hAnsi="Times New Roman"/>
          <w:b/>
          <w:sz w:val="24"/>
        </w:rPr>
        <w:t>(1)</w:t>
      </w:r>
    </w:p>
    <w:p w:rsidR="004002C2" w:rsidRDefault="004002C2" w:rsidP="006A2525">
      <w:pPr>
        <w:rPr>
          <w:rFonts w:ascii="Times New Roman" w:hAnsi="Times New Roman" w:cs="Times New Roman"/>
          <w:sz w:val="24"/>
          <w:szCs w:val="24"/>
        </w:rPr>
      </w:pPr>
      <w:r w:rsidRPr="006A2525">
        <w:rPr>
          <w:rFonts w:ascii="Times New Roman" w:hAnsi="Times New Roman" w:cs="Times New Roman"/>
          <w:sz w:val="24"/>
          <w:szCs w:val="24"/>
        </w:rPr>
        <w:t>It is a matter for the Commissioner as to whether the Commissioner is satisfied that the period within which the party provided a response is reasonable. However, the Act itself often regulates, in some way, the period for providing responses to the Commissioner. For example, paragraph 269TC(4)(c) provides a maximum period for interested parties to provide their initial submissions in a case, and paragraph 269TC(4)(e) provides a different maximum period for responses to a statement of essential facts.</w:t>
      </w:r>
    </w:p>
    <w:p w:rsidR="004002C2" w:rsidRDefault="00083FB0" w:rsidP="006A2525">
      <w:pPr>
        <w:rPr>
          <w:rFonts w:ascii="Times New Roman" w:hAnsi="Times New Roman" w:cs="Times New Roman"/>
          <w:sz w:val="24"/>
          <w:szCs w:val="24"/>
        </w:rPr>
      </w:pPr>
      <w:r>
        <w:rPr>
          <w:rFonts w:ascii="Times New Roman" w:hAnsi="Times New Roman" w:cs="Times New Roman"/>
          <w:sz w:val="24"/>
          <w:szCs w:val="24"/>
        </w:rPr>
        <w:t>S</w:t>
      </w:r>
      <w:r w:rsidR="003275AA">
        <w:rPr>
          <w:rFonts w:ascii="Times New Roman" w:hAnsi="Times New Roman" w:cs="Times New Roman"/>
          <w:sz w:val="24"/>
          <w:szCs w:val="24"/>
        </w:rPr>
        <w:t xml:space="preserve">ubsection 8(a) </w:t>
      </w:r>
      <w:r w:rsidR="003275AA" w:rsidRPr="00906436">
        <w:rPr>
          <w:rFonts w:ascii="Times New Roman" w:hAnsi="Times New Roman" w:cs="Times New Roman"/>
          <w:sz w:val="24"/>
          <w:szCs w:val="24"/>
        </w:rPr>
        <w:t>make</w:t>
      </w:r>
      <w:r w:rsidR="003275AA">
        <w:rPr>
          <w:rFonts w:ascii="Times New Roman" w:hAnsi="Times New Roman" w:cs="Times New Roman"/>
          <w:sz w:val="24"/>
          <w:szCs w:val="24"/>
        </w:rPr>
        <w:t>s</w:t>
      </w:r>
      <w:r w:rsidR="003275AA" w:rsidRPr="00906436">
        <w:rPr>
          <w:rFonts w:ascii="Times New Roman" w:hAnsi="Times New Roman" w:cs="Times New Roman"/>
          <w:sz w:val="24"/>
          <w:szCs w:val="24"/>
        </w:rPr>
        <w:t xml:space="preserve"> it clear that the Commissioner has provided a reasonable period for providing a response if that period complies with the various periods set out in the Act.</w:t>
      </w:r>
    </w:p>
    <w:p w:rsidR="003275AA" w:rsidRDefault="003275AA" w:rsidP="006A2525">
      <w:pPr>
        <w:rPr>
          <w:rFonts w:ascii="Times New Roman" w:hAnsi="Times New Roman" w:cs="Times New Roman"/>
          <w:sz w:val="24"/>
          <w:szCs w:val="24"/>
        </w:rPr>
      </w:pPr>
      <w:r>
        <w:rPr>
          <w:rFonts w:ascii="Times New Roman" w:hAnsi="Times New Roman" w:cs="Times New Roman"/>
          <w:sz w:val="24"/>
          <w:szCs w:val="24"/>
        </w:rPr>
        <w:t>Subsection 8(b) requires that a</w:t>
      </w:r>
      <w:r w:rsidRPr="00906436">
        <w:rPr>
          <w:rFonts w:ascii="Times New Roman" w:hAnsi="Times New Roman" w:cs="Times New Roman"/>
          <w:sz w:val="24"/>
          <w:szCs w:val="24"/>
        </w:rPr>
        <w:t xml:space="preserve"> party’s response must not only be received within a reasonable period, but must also contain relevant information. Some parties may choose not to respond, in which case it is clear that the party has not provided any relevant information.</w:t>
      </w:r>
    </w:p>
    <w:p w:rsidR="003275AA" w:rsidRPr="006A2525" w:rsidRDefault="00083FB0" w:rsidP="006A2525">
      <w:pPr>
        <w:rPr>
          <w:rFonts w:ascii="Times New Roman" w:hAnsi="Times New Roman" w:cs="Times New Roman"/>
          <w:sz w:val="24"/>
          <w:szCs w:val="24"/>
        </w:rPr>
      </w:pPr>
      <w:r w:rsidRPr="00906436">
        <w:rPr>
          <w:rFonts w:ascii="Times New Roman" w:hAnsi="Times New Roman" w:cs="Times New Roman"/>
          <w:sz w:val="24"/>
          <w:szCs w:val="24"/>
        </w:rPr>
        <w:t xml:space="preserve">While the majority of responses which are received by the Commissioner contain relevant information, sometimes there will not be a sufficient degree of relevant information. The specific test for these responses, as set out in the Act, is whether the Commissioner is satisfied that the party </w:t>
      </w:r>
      <w:r w:rsidRPr="00EE6F9C">
        <w:rPr>
          <w:rFonts w:ascii="Times New Roman" w:hAnsi="Times New Roman" w:cs="Times New Roman"/>
          <w:sz w:val="24"/>
          <w:szCs w:val="24"/>
        </w:rPr>
        <w:t>did not give</w:t>
      </w:r>
      <w:r w:rsidRPr="00906436">
        <w:rPr>
          <w:rFonts w:ascii="Times New Roman" w:hAnsi="Times New Roman" w:cs="Times New Roman"/>
          <w:sz w:val="24"/>
          <w:szCs w:val="24"/>
        </w:rPr>
        <w:t xml:space="preserve"> the Commissioner information which the Commissioner considers relevant to the case. Consequently</w:t>
      </w:r>
      <w:r>
        <w:rPr>
          <w:rFonts w:ascii="Times New Roman" w:hAnsi="Times New Roman" w:cs="Times New Roman"/>
          <w:sz w:val="24"/>
          <w:szCs w:val="24"/>
        </w:rPr>
        <w:t xml:space="preserve">, if </w:t>
      </w:r>
      <w:r w:rsidR="004B532F" w:rsidRPr="00906436">
        <w:rPr>
          <w:rFonts w:ascii="Times New Roman" w:hAnsi="Times New Roman" w:cs="Times New Roman"/>
          <w:sz w:val="24"/>
          <w:szCs w:val="24"/>
        </w:rPr>
        <w:t>in the Commissioner’s opinion,</w:t>
      </w:r>
      <w:r w:rsidR="003275AA" w:rsidRPr="00906436">
        <w:rPr>
          <w:rFonts w:ascii="Times New Roman" w:hAnsi="Times New Roman" w:cs="Times New Roman"/>
          <w:sz w:val="24"/>
          <w:szCs w:val="24"/>
        </w:rPr>
        <w:t xml:space="preserve"> information which is relevant to the case is missing, then the Commissioner could be satisfied that the party is uncooperative (noting earlier directions relating to deficiencies in parties’ responses). The Commissioner must consider each decision on its merits, especially given the potential outcomes for exporters. In particular, the Commissioner must consider not simply whether the information was relevant but whether the information was ‘relevant to the case’, which includes taking into account the degree to which information has or has not been provided as well as the nature of the information. For example, if a party has failed to provide an answer to a question in a questionnaire which is central to the case, then this may, of itself, be enough for the Commissioner to be satisfied that the party did not provide information which was relevant to the case. In contrast, if the party failed to provide an answer to a simple </w:t>
      </w:r>
      <w:r w:rsidR="003275AA" w:rsidRPr="00906436">
        <w:rPr>
          <w:rFonts w:ascii="Times New Roman" w:hAnsi="Times New Roman" w:cs="Times New Roman"/>
          <w:sz w:val="24"/>
          <w:szCs w:val="24"/>
        </w:rPr>
        <w:lastRenderedPageBreak/>
        <w:t>question, and the answer is readily available to the Commissioner from another source, then this may not, of itself, be enough to satisfy the Commissioner that the party did not provide information which was relevant to the case.</w:t>
      </w:r>
    </w:p>
    <w:p w:rsidR="005E6AD7" w:rsidRPr="009A2C4B" w:rsidRDefault="005E6AD7" w:rsidP="009A2C4B">
      <w:pPr>
        <w:pStyle w:val="ListParagraph"/>
        <w:numPr>
          <w:ilvl w:val="0"/>
          <w:numId w:val="24"/>
        </w:numPr>
        <w:spacing w:before="240" w:after="240"/>
        <w:contextualSpacing w:val="0"/>
        <w:rPr>
          <w:rFonts w:ascii="Times New Roman" w:hAnsi="Times New Roman"/>
          <w:b/>
          <w:sz w:val="24"/>
        </w:rPr>
      </w:pPr>
      <w:r>
        <w:rPr>
          <w:rFonts w:ascii="Times New Roman" w:hAnsi="Times New Roman"/>
          <w:b/>
          <w:sz w:val="24"/>
        </w:rPr>
        <w:t>Relevant information – subsection 269TAACA</w:t>
      </w:r>
    </w:p>
    <w:p w:rsidR="001C666A" w:rsidRPr="00906436" w:rsidRDefault="003275AA" w:rsidP="00906436">
      <w:pPr>
        <w:rPr>
          <w:rFonts w:ascii="Times New Roman" w:hAnsi="Times New Roman" w:cs="Times New Roman"/>
          <w:sz w:val="24"/>
          <w:szCs w:val="24"/>
        </w:rPr>
      </w:pPr>
      <w:r>
        <w:rPr>
          <w:rFonts w:ascii="Times New Roman" w:hAnsi="Times New Roman" w:cs="Times New Roman"/>
          <w:sz w:val="24"/>
          <w:szCs w:val="24"/>
        </w:rPr>
        <w:t xml:space="preserve">The details provided above in relation to section 8 of the Directions also apply to section 9 and the Directions provided regarding the provision of relevant information under </w:t>
      </w:r>
      <w:r w:rsidR="004B532F">
        <w:rPr>
          <w:rFonts w:ascii="Times New Roman" w:hAnsi="Times New Roman" w:cs="Times New Roman"/>
          <w:sz w:val="24"/>
          <w:szCs w:val="24"/>
        </w:rPr>
        <w:t>subsection</w:t>
      </w:r>
      <w:r>
        <w:rPr>
          <w:rFonts w:ascii="Times New Roman" w:hAnsi="Times New Roman" w:cs="Times New Roman"/>
          <w:sz w:val="24"/>
          <w:szCs w:val="24"/>
        </w:rPr>
        <w:t xml:space="preserve"> 269TAACA of the Act.</w:t>
      </w:r>
    </w:p>
    <w:p w:rsidR="009A1C5D" w:rsidRPr="009A2C4B" w:rsidRDefault="009A1C5D" w:rsidP="006A2525">
      <w:pPr>
        <w:pStyle w:val="ListParagraph"/>
        <w:keepNext/>
        <w:numPr>
          <w:ilvl w:val="0"/>
          <w:numId w:val="24"/>
        </w:numPr>
        <w:spacing w:before="240" w:after="240"/>
        <w:contextualSpacing w:val="0"/>
        <w:rPr>
          <w:rFonts w:ascii="Times New Roman" w:hAnsi="Times New Roman"/>
          <w:b/>
          <w:sz w:val="24"/>
        </w:rPr>
      </w:pPr>
      <w:r w:rsidRPr="009A2C4B">
        <w:rPr>
          <w:rFonts w:ascii="Times New Roman" w:hAnsi="Times New Roman"/>
          <w:b/>
          <w:sz w:val="24"/>
        </w:rPr>
        <w:t xml:space="preserve">Significantly impeded – </w:t>
      </w:r>
      <w:r w:rsidR="000F2C02" w:rsidRPr="009A2C4B">
        <w:rPr>
          <w:rFonts w:ascii="Times New Roman" w:hAnsi="Times New Roman"/>
          <w:b/>
          <w:sz w:val="24"/>
        </w:rPr>
        <w:t>sub</w:t>
      </w:r>
      <w:r w:rsidRPr="009A2C4B">
        <w:rPr>
          <w:rFonts w:ascii="Times New Roman" w:hAnsi="Times New Roman"/>
          <w:b/>
          <w:sz w:val="24"/>
        </w:rPr>
        <w:t>s</w:t>
      </w:r>
      <w:r w:rsidR="00C931B1" w:rsidRPr="009A2C4B">
        <w:rPr>
          <w:rFonts w:ascii="Times New Roman" w:hAnsi="Times New Roman"/>
          <w:b/>
          <w:sz w:val="24"/>
        </w:rPr>
        <w:t xml:space="preserve">ection </w:t>
      </w:r>
      <w:r w:rsidRPr="009A2C4B">
        <w:rPr>
          <w:rFonts w:ascii="Times New Roman" w:hAnsi="Times New Roman"/>
          <w:b/>
          <w:sz w:val="24"/>
        </w:rPr>
        <w:t>269T</w:t>
      </w:r>
      <w:r w:rsidR="000F2C02" w:rsidRPr="009A2C4B">
        <w:rPr>
          <w:rFonts w:ascii="Times New Roman" w:hAnsi="Times New Roman"/>
          <w:b/>
          <w:sz w:val="24"/>
        </w:rPr>
        <w:t>(1)</w:t>
      </w:r>
      <w:r w:rsidR="00C931B1" w:rsidRPr="009A2C4B">
        <w:rPr>
          <w:rFonts w:ascii="Times New Roman" w:hAnsi="Times New Roman"/>
          <w:b/>
          <w:sz w:val="24"/>
        </w:rPr>
        <w:t xml:space="preserve"> and </w:t>
      </w:r>
      <w:r w:rsidR="000F2C02" w:rsidRPr="009A2C4B">
        <w:rPr>
          <w:rFonts w:ascii="Times New Roman" w:hAnsi="Times New Roman"/>
          <w:b/>
          <w:sz w:val="24"/>
        </w:rPr>
        <w:t xml:space="preserve">section </w:t>
      </w:r>
      <w:r w:rsidR="002F29B2" w:rsidRPr="009A2C4B">
        <w:rPr>
          <w:rFonts w:ascii="Times New Roman" w:hAnsi="Times New Roman"/>
          <w:b/>
          <w:sz w:val="24"/>
        </w:rPr>
        <w:t>269TAACA</w:t>
      </w:r>
    </w:p>
    <w:p w:rsidR="008743F7" w:rsidRPr="00906436" w:rsidRDefault="00557427" w:rsidP="006A2525">
      <w:pPr>
        <w:keepNext/>
        <w:rPr>
          <w:rFonts w:ascii="Times New Roman" w:hAnsi="Times New Roman" w:cs="Times New Roman"/>
          <w:sz w:val="24"/>
          <w:szCs w:val="24"/>
        </w:rPr>
      </w:pPr>
      <w:r w:rsidRPr="00906436">
        <w:rPr>
          <w:rFonts w:ascii="Times New Roman" w:hAnsi="Times New Roman" w:cs="Times New Roman"/>
          <w:sz w:val="24"/>
          <w:szCs w:val="24"/>
        </w:rPr>
        <w:t>‘Significantly impeded’ is not specifically defined by the Act</w:t>
      </w:r>
      <w:r w:rsidR="00FA6C0B" w:rsidRPr="00906436">
        <w:rPr>
          <w:rFonts w:ascii="Times New Roman" w:hAnsi="Times New Roman" w:cs="Times New Roman"/>
          <w:sz w:val="24"/>
          <w:szCs w:val="24"/>
        </w:rPr>
        <w:t>. However</w:t>
      </w:r>
      <w:r w:rsidR="00A72133" w:rsidRPr="00906436">
        <w:rPr>
          <w:rFonts w:ascii="Times New Roman" w:hAnsi="Times New Roman" w:cs="Times New Roman"/>
          <w:sz w:val="24"/>
          <w:szCs w:val="24"/>
        </w:rPr>
        <w:t>,</w:t>
      </w:r>
      <w:r w:rsidR="00FA6C0B" w:rsidRPr="00906436">
        <w:rPr>
          <w:rFonts w:ascii="Times New Roman" w:hAnsi="Times New Roman" w:cs="Times New Roman"/>
          <w:sz w:val="24"/>
          <w:szCs w:val="24"/>
        </w:rPr>
        <w:t xml:space="preserve"> the term ‘significantly’ requires </w:t>
      </w:r>
      <w:r w:rsidR="00A72133" w:rsidRPr="00906436">
        <w:rPr>
          <w:rFonts w:ascii="Times New Roman" w:hAnsi="Times New Roman" w:cs="Times New Roman"/>
          <w:sz w:val="24"/>
          <w:szCs w:val="24"/>
        </w:rPr>
        <w:t xml:space="preserve">there to be </w:t>
      </w:r>
      <w:r w:rsidR="00FA6C0B" w:rsidRPr="00906436">
        <w:rPr>
          <w:rFonts w:ascii="Times New Roman" w:hAnsi="Times New Roman" w:cs="Times New Roman"/>
          <w:sz w:val="24"/>
          <w:szCs w:val="24"/>
        </w:rPr>
        <w:t xml:space="preserve">a serious degree of impediment, whether that takes the form of </w:t>
      </w:r>
      <w:r w:rsidR="00A72133" w:rsidRPr="00906436">
        <w:rPr>
          <w:rFonts w:ascii="Times New Roman" w:hAnsi="Times New Roman" w:cs="Times New Roman"/>
          <w:sz w:val="24"/>
          <w:szCs w:val="24"/>
        </w:rPr>
        <w:t xml:space="preserve">actions which have or would have the effect of creating delays, </w:t>
      </w:r>
      <w:r w:rsidR="00FA6C0B" w:rsidRPr="00906436">
        <w:rPr>
          <w:rFonts w:ascii="Times New Roman" w:hAnsi="Times New Roman" w:cs="Times New Roman"/>
          <w:sz w:val="24"/>
          <w:szCs w:val="24"/>
        </w:rPr>
        <w:t>misinformation or ambiguous information, actions or inaction</w:t>
      </w:r>
      <w:r w:rsidR="00A72133" w:rsidRPr="00906436">
        <w:rPr>
          <w:rFonts w:ascii="Times New Roman" w:hAnsi="Times New Roman" w:cs="Times New Roman"/>
          <w:sz w:val="24"/>
          <w:szCs w:val="24"/>
        </w:rPr>
        <w:t>,</w:t>
      </w:r>
      <w:r w:rsidR="00FA6C0B" w:rsidRPr="00906436">
        <w:rPr>
          <w:rFonts w:ascii="Times New Roman" w:hAnsi="Times New Roman" w:cs="Times New Roman"/>
          <w:sz w:val="24"/>
          <w:szCs w:val="24"/>
        </w:rPr>
        <w:t xml:space="preserve"> or some other form</w:t>
      </w:r>
      <w:r w:rsidRPr="00906436">
        <w:rPr>
          <w:rFonts w:ascii="Times New Roman" w:hAnsi="Times New Roman" w:cs="Times New Roman"/>
          <w:sz w:val="24"/>
          <w:szCs w:val="24"/>
        </w:rPr>
        <w:t>.</w:t>
      </w:r>
      <w:r w:rsidR="00FA6C0B" w:rsidRPr="00906436">
        <w:rPr>
          <w:rFonts w:ascii="Times New Roman" w:hAnsi="Times New Roman" w:cs="Times New Roman"/>
          <w:sz w:val="24"/>
          <w:szCs w:val="24"/>
        </w:rPr>
        <w:t xml:space="preserve"> </w:t>
      </w:r>
    </w:p>
    <w:p w:rsidR="00FA6C0B" w:rsidRPr="00FA023F" w:rsidRDefault="00FA023F" w:rsidP="00FA023F">
      <w:pPr>
        <w:rPr>
          <w:rFonts w:ascii="Times New Roman" w:hAnsi="Times New Roman" w:cs="Times New Roman"/>
          <w:sz w:val="24"/>
          <w:szCs w:val="24"/>
        </w:rPr>
      </w:pPr>
      <w:r>
        <w:rPr>
          <w:rFonts w:ascii="Times New Roman" w:hAnsi="Times New Roman" w:cs="Times New Roman"/>
          <w:sz w:val="24"/>
          <w:szCs w:val="24"/>
        </w:rPr>
        <w:t>S</w:t>
      </w:r>
      <w:r w:rsidR="00BE601E">
        <w:rPr>
          <w:rFonts w:ascii="Times New Roman" w:hAnsi="Times New Roman" w:cs="Times New Roman"/>
          <w:sz w:val="24"/>
          <w:szCs w:val="24"/>
        </w:rPr>
        <w:t>ubsection 10(a</w:t>
      </w:r>
      <w:r>
        <w:rPr>
          <w:rFonts w:ascii="Times New Roman" w:hAnsi="Times New Roman" w:cs="Times New Roman"/>
          <w:sz w:val="24"/>
          <w:szCs w:val="24"/>
        </w:rPr>
        <w:t xml:space="preserve">) requires </w:t>
      </w:r>
      <w:r w:rsidR="00FA6C0B" w:rsidRPr="00FA023F">
        <w:rPr>
          <w:rFonts w:ascii="Times New Roman" w:hAnsi="Times New Roman" w:cs="Times New Roman"/>
          <w:sz w:val="24"/>
          <w:szCs w:val="24"/>
        </w:rPr>
        <w:t xml:space="preserve">the Commissioner </w:t>
      </w:r>
      <w:r>
        <w:rPr>
          <w:rFonts w:ascii="Times New Roman" w:hAnsi="Times New Roman" w:cs="Times New Roman"/>
          <w:sz w:val="24"/>
          <w:szCs w:val="24"/>
        </w:rPr>
        <w:t xml:space="preserve">to </w:t>
      </w:r>
      <w:r w:rsidR="00FA6C0B" w:rsidRPr="00FA023F">
        <w:rPr>
          <w:rFonts w:ascii="Times New Roman" w:hAnsi="Times New Roman" w:cs="Times New Roman"/>
          <w:sz w:val="24"/>
          <w:szCs w:val="24"/>
        </w:rPr>
        <w:t xml:space="preserve">consider, as a starting point, any responses which have been provided by the party. The Commissioner should consider not only the information which has been provided but information which has been omitted. For example, </w:t>
      </w:r>
      <w:r w:rsidR="006C7E34" w:rsidRPr="00FA023F">
        <w:rPr>
          <w:rFonts w:ascii="Times New Roman" w:hAnsi="Times New Roman" w:cs="Times New Roman"/>
          <w:sz w:val="24"/>
          <w:szCs w:val="24"/>
        </w:rPr>
        <w:t>if a party provides falsified commercial information that</w:t>
      </w:r>
      <w:r w:rsidR="009E08BB" w:rsidRPr="00FA023F">
        <w:rPr>
          <w:rFonts w:ascii="Times New Roman" w:hAnsi="Times New Roman" w:cs="Times New Roman"/>
          <w:sz w:val="24"/>
          <w:szCs w:val="24"/>
        </w:rPr>
        <w:t xml:space="preserve"> </w:t>
      </w:r>
      <w:r w:rsidR="00FA6C0B" w:rsidRPr="00FA023F">
        <w:rPr>
          <w:rFonts w:ascii="Times New Roman" w:hAnsi="Times New Roman" w:cs="Times New Roman"/>
          <w:sz w:val="24"/>
          <w:szCs w:val="24"/>
        </w:rPr>
        <w:t xml:space="preserve">might, of itself, be sufficient reason for the Commissioner to be satisfied that the </w:t>
      </w:r>
      <w:r w:rsidR="00A72133" w:rsidRPr="00FA023F">
        <w:rPr>
          <w:rFonts w:ascii="Times New Roman" w:hAnsi="Times New Roman" w:cs="Times New Roman"/>
          <w:sz w:val="24"/>
          <w:szCs w:val="24"/>
        </w:rPr>
        <w:t>party significantly impeded the investigation.</w:t>
      </w:r>
      <w:r w:rsidR="009E08BB" w:rsidRPr="00FA023F">
        <w:rPr>
          <w:rFonts w:ascii="Times New Roman" w:hAnsi="Times New Roman" w:cs="Times New Roman"/>
          <w:sz w:val="24"/>
          <w:szCs w:val="24"/>
        </w:rPr>
        <w:t xml:space="preserve"> </w:t>
      </w:r>
    </w:p>
    <w:p w:rsidR="003E691E" w:rsidRPr="00FA023F" w:rsidRDefault="00BE601E" w:rsidP="00FA023F">
      <w:pPr>
        <w:rPr>
          <w:rFonts w:ascii="Times New Roman" w:hAnsi="Times New Roman" w:cs="Times New Roman"/>
          <w:sz w:val="24"/>
          <w:szCs w:val="24"/>
        </w:rPr>
      </w:pPr>
      <w:r>
        <w:rPr>
          <w:rFonts w:ascii="Times New Roman" w:hAnsi="Times New Roman" w:cs="Times New Roman"/>
          <w:sz w:val="24"/>
          <w:szCs w:val="24"/>
        </w:rPr>
        <w:t>Subsection 10(b</w:t>
      </w:r>
      <w:r w:rsidR="00FA023F">
        <w:rPr>
          <w:rFonts w:ascii="Times New Roman" w:hAnsi="Times New Roman" w:cs="Times New Roman"/>
          <w:sz w:val="24"/>
          <w:szCs w:val="24"/>
        </w:rPr>
        <w:t xml:space="preserve">) </w:t>
      </w:r>
      <w:r w:rsidR="0023151E">
        <w:rPr>
          <w:rFonts w:ascii="Times New Roman" w:hAnsi="Times New Roman" w:cs="Times New Roman"/>
          <w:sz w:val="24"/>
          <w:szCs w:val="24"/>
        </w:rPr>
        <w:t xml:space="preserve">requires </w:t>
      </w:r>
      <w:r w:rsidR="003E691E" w:rsidRPr="00FA023F">
        <w:rPr>
          <w:rFonts w:ascii="Times New Roman" w:hAnsi="Times New Roman" w:cs="Times New Roman"/>
          <w:sz w:val="24"/>
          <w:szCs w:val="24"/>
        </w:rPr>
        <w:t xml:space="preserve">the Commissioner </w:t>
      </w:r>
      <w:r w:rsidR="0023151E">
        <w:rPr>
          <w:rFonts w:ascii="Times New Roman" w:hAnsi="Times New Roman" w:cs="Times New Roman"/>
          <w:sz w:val="24"/>
          <w:szCs w:val="24"/>
        </w:rPr>
        <w:t xml:space="preserve">to </w:t>
      </w:r>
      <w:r w:rsidR="003E691E" w:rsidRPr="00FA023F">
        <w:rPr>
          <w:rFonts w:ascii="Times New Roman" w:hAnsi="Times New Roman" w:cs="Times New Roman"/>
          <w:sz w:val="24"/>
          <w:szCs w:val="24"/>
        </w:rPr>
        <w:t xml:space="preserve">consider the available material holistically. </w:t>
      </w:r>
      <w:r w:rsidR="009453FD" w:rsidRPr="00FA023F">
        <w:rPr>
          <w:rFonts w:ascii="Times New Roman" w:hAnsi="Times New Roman" w:cs="Times New Roman"/>
          <w:sz w:val="24"/>
          <w:szCs w:val="24"/>
        </w:rPr>
        <w:t xml:space="preserve">The Commissioner is not required to </w:t>
      </w:r>
      <w:r w:rsidR="00CD7573">
        <w:rPr>
          <w:rFonts w:ascii="Times New Roman" w:hAnsi="Times New Roman" w:cs="Times New Roman"/>
          <w:sz w:val="24"/>
          <w:szCs w:val="24"/>
        </w:rPr>
        <w:t xml:space="preserve">establish </w:t>
      </w:r>
      <w:r w:rsidR="009453FD" w:rsidRPr="00FA023F">
        <w:rPr>
          <w:rFonts w:ascii="Times New Roman" w:hAnsi="Times New Roman" w:cs="Times New Roman"/>
          <w:sz w:val="24"/>
          <w:szCs w:val="24"/>
        </w:rPr>
        <w:t xml:space="preserve">the intention of the party, but can draw conclusions from </w:t>
      </w:r>
      <w:r w:rsidR="00CB100F" w:rsidRPr="00FA023F">
        <w:rPr>
          <w:rFonts w:ascii="Times New Roman" w:hAnsi="Times New Roman" w:cs="Times New Roman"/>
          <w:sz w:val="24"/>
          <w:szCs w:val="24"/>
        </w:rPr>
        <w:t xml:space="preserve">all </w:t>
      </w:r>
      <w:r w:rsidR="009453FD" w:rsidRPr="00FA023F">
        <w:rPr>
          <w:rFonts w:ascii="Times New Roman" w:hAnsi="Times New Roman" w:cs="Times New Roman"/>
          <w:sz w:val="24"/>
          <w:szCs w:val="24"/>
        </w:rPr>
        <w:t xml:space="preserve">the available material. </w:t>
      </w:r>
      <w:r w:rsidR="003E691E" w:rsidRPr="00FA023F">
        <w:rPr>
          <w:rFonts w:ascii="Times New Roman" w:hAnsi="Times New Roman" w:cs="Times New Roman"/>
          <w:sz w:val="24"/>
          <w:szCs w:val="24"/>
        </w:rPr>
        <w:t>In</w:t>
      </w:r>
      <w:r w:rsidR="00FA6C0B" w:rsidRPr="00FA023F">
        <w:rPr>
          <w:rFonts w:ascii="Times New Roman" w:hAnsi="Times New Roman" w:cs="Times New Roman"/>
          <w:sz w:val="24"/>
          <w:szCs w:val="24"/>
        </w:rPr>
        <w:t xml:space="preserve"> some cases, </w:t>
      </w:r>
      <w:r w:rsidR="003E691E" w:rsidRPr="00FA023F">
        <w:rPr>
          <w:rFonts w:ascii="Times New Roman" w:hAnsi="Times New Roman" w:cs="Times New Roman"/>
          <w:sz w:val="24"/>
          <w:szCs w:val="24"/>
        </w:rPr>
        <w:t xml:space="preserve">the Commissioner may discern </w:t>
      </w:r>
      <w:r w:rsidR="00FA6C0B" w:rsidRPr="00FA023F">
        <w:rPr>
          <w:rFonts w:ascii="Times New Roman" w:hAnsi="Times New Roman" w:cs="Times New Roman"/>
          <w:sz w:val="24"/>
          <w:szCs w:val="24"/>
        </w:rPr>
        <w:t xml:space="preserve">a pattern of behaviour </w:t>
      </w:r>
      <w:r w:rsidR="003E691E" w:rsidRPr="00FA023F">
        <w:rPr>
          <w:rFonts w:ascii="Times New Roman" w:hAnsi="Times New Roman" w:cs="Times New Roman"/>
          <w:sz w:val="24"/>
          <w:szCs w:val="24"/>
        </w:rPr>
        <w:t xml:space="preserve">which has or would have the effect of significantly impeding a case. Conversely, a single response or action may be ameliorated when placed in the context of all the available material. </w:t>
      </w:r>
      <w:r w:rsidR="009E08BB" w:rsidRPr="00FA023F">
        <w:rPr>
          <w:rFonts w:ascii="Times New Roman" w:hAnsi="Times New Roman" w:cs="Times New Roman"/>
          <w:sz w:val="24"/>
          <w:szCs w:val="24"/>
        </w:rPr>
        <w:t xml:space="preserve">For example, a party may significantly impede an investigation by routinely providing </w:t>
      </w:r>
      <w:r w:rsidR="009453FD" w:rsidRPr="00FA023F">
        <w:rPr>
          <w:rFonts w:ascii="Times New Roman" w:hAnsi="Times New Roman" w:cs="Times New Roman"/>
          <w:sz w:val="24"/>
          <w:szCs w:val="24"/>
        </w:rPr>
        <w:t xml:space="preserve">incomplete </w:t>
      </w:r>
      <w:r w:rsidR="009E08BB" w:rsidRPr="00FA023F">
        <w:rPr>
          <w:rFonts w:ascii="Times New Roman" w:hAnsi="Times New Roman" w:cs="Times New Roman"/>
          <w:sz w:val="24"/>
          <w:szCs w:val="24"/>
        </w:rPr>
        <w:t xml:space="preserve">information which requires </w:t>
      </w:r>
      <w:r w:rsidR="00AE6ABA" w:rsidRPr="00FA023F">
        <w:rPr>
          <w:rFonts w:ascii="Times New Roman" w:hAnsi="Times New Roman" w:cs="Times New Roman"/>
          <w:sz w:val="24"/>
          <w:szCs w:val="24"/>
        </w:rPr>
        <w:t xml:space="preserve">amendment </w:t>
      </w:r>
      <w:r w:rsidR="009E08BB" w:rsidRPr="00FA023F">
        <w:rPr>
          <w:rFonts w:ascii="Times New Roman" w:hAnsi="Times New Roman" w:cs="Times New Roman"/>
          <w:sz w:val="24"/>
          <w:szCs w:val="24"/>
        </w:rPr>
        <w:t xml:space="preserve">or follow-up by the Commissioner. </w:t>
      </w:r>
    </w:p>
    <w:p w:rsidR="00985CC1" w:rsidRPr="00FA023F" w:rsidRDefault="0023151E" w:rsidP="00FA023F">
      <w:pPr>
        <w:rPr>
          <w:rFonts w:ascii="Times New Roman" w:hAnsi="Times New Roman" w:cs="Times New Roman"/>
          <w:sz w:val="24"/>
          <w:szCs w:val="24"/>
        </w:rPr>
      </w:pPr>
      <w:r>
        <w:rPr>
          <w:rFonts w:ascii="Times New Roman" w:hAnsi="Times New Roman" w:cs="Times New Roman"/>
          <w:sz w:val="24"/>
          <w:szCs w:val="24"/>
        </w:rPr>
        <w:t>S</w:t>
      </w:r>
      <w:r w:rsidR="00BE601E">
        <w:rPr>
          <w:rFonts w:ascii="Times New Roman" w:hAnsi="Times New Roman" w:cs="Times New Roman"/>
          <w:sz w:val="24"/>
          <w:szCs w:val="24"/>
        </w:rPr>
        <w:t>ubsection 10(c</w:t>
      </w:r>
      <w:r>
        <w:rPr>
          <w:rFonts w:ascii="Times New Roman" w:hAnsi="Times New Roman" w:cs="Times New Roman"/>
          <w:sz w:val="24"/>
          <w:szCs w:val="24"/>
        </w:rPr>
        <w:t xml:space="preserve">) </w:t>
      </w:r>
      <w:r w:rsidR="002A5939">
        <w:rPr>
          <w:rFonts w:ascii="Times New Roman" w:hAnsi="Times New Roman" w:cs="Times New Roman"/>
          <w:sz w:val="24"/>
          <w:szCs w:val="24"/>
        </w:rPr>
        <w:t xml:space="preserve">requires </w:t>
      </w:r>
      <w:r w:rsidR="007B3B32" w:rsidRPr="00FA023F">
        <w:rPr>
          <w:rFonts w:ascii="Times New Roman" w:hAnsi="Times New Roman" w:cs="Times New Roman"/>
          <w:sz w:val="24"/>
          <w:szCs w:val="24"/>
        </w:rPr>
        <w:t xml:space="preserve">the Commissioner </w:t>
      </w:r>
      <w:r w:rsidR="002A5939">
        <w:rPr>
          <w:rFonts w:ascii="Times New Roman" w:hAnsi="Times New Roman" w:cs="Times New Roman"/>
          <w:sz w:val="24"/>
          <w:szCs w:val="24"/>
        </w:rPr>
        <w:t xml:space="preserve">to </w:t>
      </w:r>
      <w:r w:rsidR="007B3B32" w:rsidRPr="00FA023F">
        <w:rPr>
          <w:rFonts w:ascii="Times New Roman" w:hAnsi="Times New Roman" w:cs="Times New Roman"/>
          <w:sz w:val="24"/>
          <w:szCs w:val="24"/>
        </w:rPr>
        <w:t xml:space="preserve">take into account material which </w:t>
      </w:r>
      <w:r w:rsidR="002A5939">
        <w:rPr>
          <w:rFonts w:ascii="Times New Roman" w:hAnsi="Times New Roman" w:cs="Times New Roman"/>
          <w:sz w:val="24"/>
          <w:szCs w:val="24"/>
        </w:rPr>
        <w:t xml:space="preserve">evinces an intention to significantly obstruct or delay a case, even though the Commissioner is not required to establish an intention. The material may not be conclusive of itself, but should be considered </w:t>
      </w:r>
      <w:r w:rsidR="00343211">
        <w:rPr>
          <w:rFonts w:ascii="Times New Roman" w:hAnsi="Times New Roman" w:cs="Times New Roman"/>
          <w:sz w:val="24"/>
          <w:szCs w:val="24"/>
        </w:rPr>
        <w:t xml:space="preserve">as part of a broader range of matters. </w:t>
      </w:r>
      <w:r w:rsidR="002A5939">
        <w:rPr>
          <w:rFonts w:ascii="Times New Roman" w:hAnsi="Times New Roman" w:cs="Times New Roman"/>
          <w:sz w:val="24"/>
          <w:szCs w:val="24"/>
        </w:rPr>
        <w:t>The Commissioner is required to take into</w:t>
      </w:r>
      <w:r w:rsidR="003275AA">
        <w:rPr>
          <w:rFonts w:ascii="Times New Roman" w:hAnsi="Times New Roman" w:cs="Times New Roman"/>
          <w:sz w:val="24"/>
          <w:szCs w:val="24"/>
        </w:rPr>
        <w:t xml:space="preserve"> account</w:t>
      </w:r>
      <w:r w:rsidR="002A5939">
        <w:rPr>
          <w:rFonts w:ascii="Times New Roman" w:hAnsi="Times New Roman" w:cs="Times New Roman"/>
          <w:sz w:val="24"/>
          <w:szCs w:val="24"/>
        </w:rPr>
        <w:t xml:space="preserve"> material which </w:t>
      </w:r>
      <w:r w:rsidR="007B3B32" w:rsidRPr="00FA023F">
        <w:rPr>
          <w:rFonts w:ascii="Times New Roman" w:hAnsi="Times New Roman" w:cs="Times New Roman"/>
          <w:sz w:val="24"/>
          <w:szCs w:val="24"/>
        </w:rPr>
        <w:t xml:space="preserve">is relevant </w:t>
      </w:r>
      <w:r w:rsidR="00E112EF" w:rsidRPr="00FA023F">
        <w:rPr>
          <w:rFonts w:ascii="Times New Roman" w:hAnsi="Times New Roman" w:cs="Times New Roman"/>
          <w:sz w:val="24"/>
          <w:szCs w:val="24"/>
        </w:rPr>
        <w:t>to the case</w:t>
      </w:r>
      <w:r w:rsidR="003275AA">
        <w:rPr>
          <w:rFonts w:ascii="Times New Roman" w:hAnsi="Times New Roman" w:cs="Times New Roman"/>
          <w:sz w:val="24"/>
          <w:szCs w:val="24"/>
        </w:rPr>
        <w:t>,</w:t>
      </w:r>
      <w:r w:rsidR="00E112EF" w:rsidRPr="00FA023F">
        <w:rPr>
          <w:rFonts w:ascii="Times New Roman" w:hAnsi="Times New Roman" w:cs="Times New Roman"/>
          <w:sz w:val="24"/>
          <w:szCs w:val="24"/>
        </w:rPr>
        <w:t xml:space="preserve"> </w:t>
      </w:r>
      <w:r w:rsidR="007B3B32" w:rsidRPr="00FA023F">
        <w:rPr>
          <w:rFonts w:ascii="Times New Roman" w:hAnsi="Times New Roman" w:cs="Times New Roman"/>
          <w:sz w:val="24"/>
          <w:szCs w:val="24"/>
        </w:rPr>
        <w:t xml:space="preserve">even if it is not provided directly by the party. For example, </w:t>
      </w:r>
      <w:r w:rsidR="009E08BB" w:rsidRPr="00FA023F">
        <w:rPr>
          <w:rFonts w:ascii="Times New Roman" w:hAnsi="Times New Roman" w:cs="Times New Roman"/>
          <w:sz w:val="24"/>
          <w:szCs w:val="24"/>
        </w:rPr>
        <w:t xml:space="preserve">if a party has sent correspondence to an importer or other party which expresses an intention to impede a case, then the Commissioner may consider this </w:t>
      </w:r>
      <w:r w:rsidR="00CB100F" w:rsidRPr="00FA023F">
        <w:rPr>
          <w:rFonts w:ascii="Times New Roman" w:hAnsi="Times New Roman" w:cs="Times New Roman"/>
          <w:sz w:val="24"/>
          <w:szCs w:val="24"/>
        </w:rPr>
        <w:t xml:space="preserve">when </w:t>
      </w:r>
      <w:r w:rsidR="009E08BB" w:rsidRPr="00FA023F">
        <w:rPr>
          <w:rFonts w:ascii="Times New Roman" w:hAnsi="Times New Roman" w:cs="Times New Roman"/>
          <w:sz w:val="24"/>
          <w:szCs w:val="24"/>
        </w:rPr>
        <w:t xml:space="preserve">determining whether or not the exporter has significantly impeded a case. </w:t>
      </w:r>
    </w:p>
    <w:p w:rsidR="00322A67" w:rsidRPr="009A2C4B" w:rsidRDefault="00322A67" w:rsidP="009A2C4B">
      <w:pPr>
        <w:pStyle w:val="ListParagraph"/>
        <w:numPr>
          <w:ilvl w:val="0"/>
          <w:numId w:val="24"/>
        </w:numPr>
        <w:spacing w:before="240" w:after="240"/>
        <w:contextualSpacing w:val="0"/>
        <w:rPr>
          <w:rFonts w:ascii="Times New Roman" w:hAnsi="Times New Roman"/>
          <w:b/>
          <w:sz w:val="24"/>
        </w:rPr>
      </w:pPr>
      <w:r w:rsidRPr="009A2C4B">
        <w:rPr>
          <w:rFonts w:ascii="Times New Roman" w:hAnsi="Times New Roman"/>
          <w:b/>
          <w:sz w:val="24"/>
        </w:rPr>
        <w:t>General powers – s</w:t>
      </w:r>
      <w:r w:rsidR="005C409E" w:rsidRPr="009A2C4B">
        <w:rPr>
          <w:rFonts w:ascii="Times New Roman" w:hAnsi="Times New Roman"/>
          <w:b/>
          <w:sz w:val="24"/>
        </w:rPr>
        <w:t xml:space="preserve">ection </w:t>
      </w:r>
      <w:r w:rsidRPr="009A2C4B">
        <w:rPr>
          <w:rFonts w:ascii="Times New Roman" w:hAnsi="Times New Roman"/>
          <w:b/>
          <w:sz w:val="24"/>
        </w:rPr>
        <w:t>269SMG</w:t>
      </w:r>
    </w:p>
    <w:p w:rsidR="00EA32B1" w:rsidRDefault="00A9267E">
      <w:pPr>
        <w:rPr>
          <w:rFonts w:ascii="Times New Roman" w:hAnsi="Times New Roman" w:cs="Times New Roman"/>
          <w:sz w:val="24"/>
          <w:szCs w:val="24"/>
        </w:rPr>
      </w:pPr>
      <w:r w:rsidRPr="00906436">
        <w:rPr>
          <w:rFonts w:ascii="Times New Roman" w:hAnsi="Times New Roman" w:cs="Times New Roman"/>
          <w:sz w:val="24"/>
          <w:szCs w:val="24"/>
        </w:rPr>
        <w:t>In some instances, the legislative source of the Commissioner’s power may be section 269SMG</w:t>
      </w:r>
      <w:r w:rsidR="00935644" w:rsidRPr="00906436">
        <w:rPr>
          <w:rFonts w:ascii="Times New Roman" w:hAnsi="Times New Roman" w:cs="Times New Roman"/>
          <w:sz w:val="24"/>
          <w:szCs w:val="24"/>
        </w:rPr>
        <w:t>,</w:t>
      </w:r>
      <w:r w:rsidRPr="00906436">
        <w:rPr>
          <w:rFonts w:ascii="Times New Roman" w:hAnsi="Times New Roman" w:cs="Times New Roman"/>
          <w:sz w:val="24"/>
          <w:szCs w:val="24"/>
        </w:rPr>
        <w:t xml:space="preserve"> which provides that the Commissioner has the power to do all things necessary or convenient to be done </w:t>
      </w:r>
      <w:r w:rsidR="00935644" w:rsidRPr="00906436">
        <w:rPr>
          <w:rFonts w:ascii="Times New Roman" w:hAnsi="Times New Roman" w:cs="Times New Roman"/>
          <w:sz w:val="24"/>
          <w:szCs w:val="24"/>
        </w:rPr>
        <w:t>in connection with the performance of the Commissioner’s functions.</w:t>
      </w:r>
      <w:r w:rsidR="00EA32B1">
        <w:rPr>
          <w:rFonts w:ascii="Times New Roman" w:hAnsi="Times New Roman" w:cs="Times New Roman"/>
          <w:sz w:val="24"/>
          <w:szCs w:val="24"/>
        </w:rPr>
        <w:br w:type="page"/>
      </w:r>
    </w:p>
    <w:p w:rsidR="00EA32B1" w:rsidRDefault="00EA32B1" w:rsidP="00EA32B1">
      <w:pPr>
        <w:spacing w:before="360" w:after="120" w:line="240" w:lineRule="auto"/>
        <w:jc w:val="center"/>
        <w:rPr>
          <w:rFonts w:ascii="Times New Roman" w:eastAsia="Times New Roman" w:hAnsi="Times New Roman" w:cs="Times New Roman"/>
          <w:b/>
          <w:sz w:val="28"/>
          <w:szCs w:val="28"/>
          <w:lang w:eastAsia="en-AU"/>
        </w:rPr>
      </w:pPr>
      <w:r w:rsidRPr="00EA32B1">
        <w:rPr>
          <w:rFonts w:ascii="Times New Roman" w:eastAsia="Times New Roman" w:hAnsi="Times New Roman" w:cs="Times New Roman"/>
          <w:b/>
          <w:sz w:val="28"/>
          <w:szCs w:val="28"/>
          <w:lang w:eastAsia="en-AU"/>
        </w:rPr>
        <w:lastRenderedPageBreak/>
        <w:t>Statement of Compatibility with Human Rights</w:t>
      </w:r>
    </w:p>
    <w:p w:rsidR="00EA32B1" w:rsidRPr="00EA32B1" w:rsidRDefault="00EA32B1" w:rsidP="00EA32B1">
      <w:pPr>
        <w:spacing w:before="360" w:after="120" w:line="240" w:lineRule="auto"/>
        <w:jc w:val="center"/>
        <w:rPr>
          <w:rFonts w:ascii="Times New Roman" w:eastAsia="Times New Roman" w:hAnsi="Times New Roman" w:cs="Times New Roman"/>
          <w:b/>
          <w:sz w:val="28"/>
          <w:szCs w:val="28"/>
          <w:lang w:eastAsia="en-AU"/>
        </w:rPr>
      </w:pPr>
    </w:p>
    <w:p w:rsidR="00EA32B1" w:rsidRPr="00EA32B1" w:rsidRDefault="00EA32B1" w:rsidP="00EA32B1">
      <w:pPr>
        <w:spacing w:before="120" w:after="120" w:line="240" w:lineRule="auto"/>
        <w:jc w:val="center"/>
        <w:rPr>
          <w:rFonts w:ascii="Times New Roman" w:eastAsia="Times New Roman" w:hAnsi="Times New Roman" w:cs="Times New Roman"/>
          <w:sz w:val="24"/>
          <w:szCs w:val="24"/>
          <w:lang w:eastAsia="en-AU"/>
        </w:rPr>
      </w:pPr>
      <w:r w:rsidRPr="00EA32B1">
        <w:rPr>
          <w:rFonts w:ascii="Times New Roman" w:eastAsia="Times New Roman" w:hAnsi="Times New Roman" w:cs="Times New Roman"/>
          <w:i/>
          <w:sz w:val="24"/>
          <w:szCs w:val="24"/>
          <w:lang w:eastAsia="en-AU"/>
        </w:rPr>
        <w:t>Prepared in accordance with Part 3 of the Human Rights (Parliamentary Scrutiny) Act 2011</w:t>
      </w:r>
    </w:p>
    <w:p w:rsidR="00EA32B1" w:rsidRPr="00EA32B1" w:rsidRDefault="00EA32B1" w:rsidP="00EA32B1">
      <w:pPr>
        <w:spacing w:before="120" w:after="120" w:line="240" w:lineRule="auto"/>
        <w:jc w:val="center"/>
        <w:rPr>
          <w:rFonts w:ascii="Times New Roman" w:eastAsia="Times New Roman" w:hAnsi="Times New Roman" w:cs="Times New Roman"/>
          <w:sz w:val="24"/>
          <w:szCs w:val="24"/>
          <w:lang w:eastAsia="en-AU"/>
        </w:rPr>
      </w:pPr>
    </w:p>
    <w:p w:rsidR="00EA32B1" w:rsidRPr="00AD5496" w:rsidRDefault="00EA32B1" w:rsidP="00EA32B1">
      <w:pPr>
        <w:jc w:val="center"/>
        <w:rPr>
          <w:rFonts w:ascii="Times New Roman" w:hAnsi="Times New Roman" w:cs="Times New Roman"/>
          <w:i/>
          <w:sz w:val="24"/>
          <w:szCs w:val="24"/>
        </w:rPr>
      </w:pPr>
      <w:r w:rsidRPr="00AD5496">
        <w:rPr>
          <w:rFonts w:ascii="Times New Roman" w:hAnsi="Times New Roman" w:cs="Times New Roman"/>
          <w:i/>
          <w:sz w:val="24"/>
          <w:szCs w:val="24"/>
        </w:rPr>
        <w:t>Customs (Extensions of Time and Non-cooperation) Direction 2015</w:t>
      </w:r>
    </w:p>
    <w:p w:rsidR="00EA32B1" w:rsidRPr="00EA32B1" w:rsidRDefault="00EA32B1" w:rsidP="00EA32B1">
      <w:pPr>
        <w:spacing w:before="120" w:after="120" w:line="240" w:lineRule="auto"/>
        <w:jc w:val="center"/>
        <w:rPr>
          <w:rFonts w:ascii="Times New Roman" w:eastAsia="Times New Roman" w:hAnsi="Times New Roman" w:cs="Times New Roman"/>
          <w:sz w:val="24"/>
          <w:szCs w:val="24"/>
          <w:lang w:eastAsia="en-AU"/>
        </w:rPr>
      </w:pPr>
    </w:p>
    <w:p w:rsidR="00EA32B1" w:rsidRPr="00EA32B1" w:rsidRDefault="00EA32B1" w:rsidP="00EA32B1">
      <w:pPr>
        <w:spacing w:before="120" w:after="120" w:line="240" w:lineRule="auto"/>
        <w:jc w:val="center"/>
        <w:rPr>
          <w:rFonts w:ascii="Times New Roman" w:eastAsia="Times New Roman" w:hAnsi="Times New Roman" w:cs="Times New Roman"/>
          <w:sz w:val="24"/>
          <w:szCs w:val="24"/>
          <w:lang w:eastAsia="en-AU"/>
        </w:rPr>
      </w:pPr>
      <w:r w:rsidRPr="00EA32B1">
        <w:rPr>
          <w:rFonts w:ascii="Times New Roman" w:eastAsia="Times New Roman" w:hAnsi="Times New Roman" w:cs="Times New Roman"/>
          <w:sz w:val="24"/>
          <w:szCs w:val="24"/>
          <w:lang w:eastAsia="en-AU"/>
        </w:rPr>
        <w:t xml:space="preserve">This Legislative Instrument is compatible with the human rights and freedoms recognised or declared in the international instruments listed in section 3 of the </w:t>
      </w:r>
      <w:r w:rsidRPr="00EA32B1">
        <w:rPr>
          <w:rFonts w:ascii="Times New Roman" w:eastAsia="Times New Roman" w:hAnsi="Times New Roman" w:cs="Times New Roman"/>
          <w:i/>
          <w:sz w:val="24"/>
          <w:szCs w:val="24"/>
          <w:lang w:eastAsia="en-AU"/>
        </w:rPr>
        <w:t>Human Rights (Parliamentary Scrutiny) Act 2011</w:t>
      </w:r>
      <w:r w:rsidRPr="00EA32B1">
        <w:rPr>
          <w:rFonts w:ascii="Times New Roman" w:eastAsia="Times New Roman" w:hAnsi="Times New Roman" w:cs="Times New Roman"/>
          <w:sz w:val="24"/>
          <w:szCs w:val="24"/>
          <w:lang w:eastAsia="en-AU"/>
        </w:rPr>
        <w:t>.</w:t>
      </w:r>
    </w:p>
    <w:p w:rsidR="00EA32B1" w:rsidRPr="00EA32B1" w:rsidRDefault="00EA32B1" w:rsidP="00EA32B1">
      <w:pPr>
        <w:spacing w:before="120" w:after="120" w:line="240" w:lineRule="auto"/>
        <w:jc w:val="center"/>
        <w:rPr>
          <w:rFonts w:ascii="Times New Roman" w:eastAsia="Times New Roman" w:hAnsi="Times New Roman" w:cs="Times New Roman"/>
          <w:sz w:val="24"/>
          <w:szCs w:val="24"/>
          <w:lang w:eastAsia="en-AU"/>
        </w:rPr>
      </w:pPr>
    </w:p>
    <w:p w:rsidR="008F6A12" w:rsidRDefault="008F6A12" w:rsidP="00EA32B1">
      <w:pPr>
        <w:spacing w:before="120" w:after="120" w:line="240" w:lineRule="auto"/>
        <w:jc w:val="both"/>
        <w:rPr>
          <w:rFonts w:ascii="Times New Roman" w:eastAsia="Times New Roman" w:hAnsi="Times New Roman" w:cs="Times New Roman"/>
          <w:b/>
          <w:sz w:val="24"/>
          <w:szCs w:val="24"/>
          <w:lang w:eastAsia="en-AU"/>
        </w:rPr>
      </w:pPr>
    </w:p>
    <w:p w:rsidR="00EA32B1" w:rsidRPr="008F6A12" w:rsidRDefault="00EA32B1" w:rsidP="00EA32B1">
      <w:pPr>
        <w:spacing w:before="120" w:after="120" w:line="240" w:lineRule="auto"/>
        <w:jc w:val="both"/>
        <w:rPr>
          <w:rFonts w:ascii="Times New Roman" w:eastAsia="Times New Roman" w:hAnsi="Times New Roman" w:cs="Times New Roman"/>
          <w:b/>
          <w:sz w:val="24"/>
          <w:szCs w:val="24"/>
          <w:lang w:eastAsia="en-AU"/>
        </w:rPr>
      </w:pPr>
      <w:r w:rsidRPr="008F6A12">
        <w:rPr>
          <w:rFonts w:ascii="Times New Roman" w:eastAsia="Times New Roman" w:hAnsi="Times New Roman" w:cs="Times New Roman"/>
          <w:b/>
          <w:sz w:val="24"/>
          <w:szCs w:val="24"/>
          <w:lang w:eastAsia="en-AU"/>
        </w:rPr>
        <w:t>Overview of the Legislative Instrument</w:t>
      </w:r>
    </w:p>
    <w:p w:rsidR="008F6A12" w:rsidRPr="00AD5496" w:rsidRDefault="008F6A12" w:rsidP="008F6A12">
      <w:pPr>
        <w:rPr>
          <w:rFonts w:ascii="Times New Roman" w:hAnsi="Times New Roman" w:cs="Times New Roman"/>
          <w:sz w:val="24"/>
          <w:szCs w:val="24"/>
        </w:rPr>
      </w:pPr>
      <w:r w:rsidRPr="00AD5496">
        <w:rPr>
          <w:rFonts w:ascii="Times New Roman" w:hAnsi="Times New Roman" w:cs="Times New Roman"/>
          <w:sz w:val="24"/>
          <w:szCs w:val="24"/>
        </w:rPr>
        <w:t>The purpose of the Direction is to direct the Commissioner of the Anti</w:t>
      </w:r>
      <w:r w:rsidRPr="00AD5496">
        <w:rPr>
          <w:rFonts w:ascii="Times New Roman" w:hAnsi="Times New Roman" w:cs="Times New Roman"/>
          <w:sz w:val="24"/>
          <w:szCs w:val="24"/>
        </w:rPr>
        <w:noBreakHyphen/>
        <w:t>Dumping Commission</w:t>
      </w:r>
      <w:r>
        <w:rPr>
          <w:rFonts w:ascii="Times New Roman" w:hAnsi="Times New Roman" w:cs="Times New Roman"/>
          <w:sz w:val="24"/>
          <w:szCs w:val="24"/>
        </w:rPr>
        <w:t xml:space="preserve"> (‘the Commissioner’)</w:t>
      </w:r>
      <w:r w:rsidRPr="00AD5496">
        <w:rPr>
          <w:rFonts w:ascii="Times New Roman" w:hAnsi="Times New Roman" w:cs="Times New Roman"/>
          <w:sz w:val="24"/>
          <w:szCs w:val="24"/>
        </w:rPr>
        <w:t xml:space="preserve"> as to the general principles for carrying out or giving effect to the Commissioner’s powers relating to: </w:t>
      </w:r>
    </w:p>
    <w:p w:rsidR="008F6A12" w:rsidRDefault="008F6A12" w:rsidP="006A2525">
      <w:pPr>
        <w:pStyle w:val="ListParagraph"/>
        <w:numPr>
          <w:ilvl w:val="0"/>
          <w:numId w:val="9"/>
        </w:numPr>
        <w:rPr>
          <w:rFonts w:ascii="Times New Roman" w:hAnsi="Times New Roman" w:cs="Times New Roman"/>
          <w:sz w:val="24"/>
          <w:szCs w:val="24"/>
        </w:rPr>
      </w:pPr>
      <w:r w:rsidRPr="00AD5496">
        <w:rPr>
          <w:rFonts w:ascii="Times New Roman" w:hAnsi="Times New Roman" w:cs="Times New Roman"/>
          <w:sz w:val="24"/>
          <w:szCs w:val="24"/>
        </w:rPr>
        <w:t>granting extensions of time for responses from interested parties (in relation to sections 269TC and 269SMG of the Act)</w:t>
      </w:r>
      <w:r w:rsidR="001C3786">
        <w:rPr>
          <w:rFonts w:ascii="Times New Roman" w:hAnsi="Times New Roman" w:cs="Times New Roman"/>
          <w:sz w:val="24"/>
          <w:szCs w:val="24"/>
        </w:rPr>
        <w:t>;</w:t>
      </w:r>
      <w:r w:rsidRPr="00AD5496">
        <w:rPr>
          <w:rFonts w:ascii="Times New Roman" w:hAnsi="Times New Roman" w:cs="Times New Roman"/>
          <w:sz w:val="24"/>
          <w:szCs w:val="24"/>
        </w:rPr>
        <w:t xml:space="preserve"> and </w:t>
      </w:r>
    </w:p>
    <w:p w:rsidR="008F6A12" w:rsidRDefault="008F6A12" w:rsidP="006A2525">
      <w:pPr>
        <w:pStyle w:val="ListParagraph"/>
        <w:numPr>
          <w:ilvl w:val="0"/>
          <w:numId w:val="9"/>
        </w:numPr>
        <w:rPr>
          <w:rFonts w:ascii="Times New Roman" w:hAnsi="Times New Roman" w:cs="Times New Roman"/>
          <w:sz w:val="24"/>
          <w:szCs w:val="24"/>
        </w:rPr>
      </w:pPr>
      <w:r w:rsidRPr="006A2525">
        <w:rPr>
          <w:rFonts w:ascii="Times New Roman" w:hAnsi="Times New Roman" w:cs="Times New Roman"/>
          <w:sz w:val="24"/>
          <w:szCs w:val="24"/>
        </w:rPr>
        <w:t>determining whether certain parties are not cooperating (in relation to sections 269T, 269TAACA and 269SMG of the Act).</w:t>
      </w:r>
    </w:p>
    <w:p w:rsidR="008F6A12" w:rsidRPr="006A2525" w:rsidRDefault="008F6A12" w:rsidP="006A2525">
      <w:pPr>
        <w:pStyle w:val="ListParagraph"/>
        <w:rPr>
          <w:rFonts w:ascii="Times New Roman" w:hAnsi="Times New Roman" w:cs="Times New Roman"/>
          <w:sz w:val="24"/>
          <w:szCs w:val="24"/>
        </w:rPr>
      </w:pPr>
    </w:p>
    <w:p w:rsidR="00EA32B1" w:rsidRPr="00EA32B1" w:rsidRDefault="00EA32B1" w:rsidP="00EA32B1">
      <w:pPr>
        <w:spacing w:before="120" w:after="120" w:line="240" w:lineRule="auto"/>
        <w:rPr>
          <w:rFonts w:ascii="Times New Roman" w:eastAsia="Times New Roman" w:hAnsi="Times New Roman" w:cs="Times New Roman"/>
          <w:b/>
          <w:sz w:val="24"/>
          <w:szCs w:val="24"/>
          <w:lang w:eastAsia="en-AU"/>
        </w:rPr>
      </w:pPr>
      <w:r w:rsidRPr="00EA32B1">
        <w:rPr>
          <w:rFonts w:ascii="Times New Roman" w:eastAsia="Times New Roman" w:hAnsi="Times New Roman" w:cs="Times New Roman"/>
          <w:b/>
          <w:sz w:val="24"/>
          <w:szCs w:val="24"/>
          <w:lang w:eastAsia="en-AU"/>
        </w:rPr>
        <w:t>Human rights implications</w:t>
      </w:r>
    </w:p>
    <w:p w:rsidR="00EA32B1" w:rsidRPr="00EA32B1" w:rsidRDefault="00EA32B1" w:rsidP="00EA32B1">
      <w:pPr>
        <w:spacing w:before="120" w:after="120" w:line="240" w:lineRule="auto"/>
        <w:rPr>
          <w:rFonts w:ascii="Times New Roman" w:eastAsia="Times New Roman" w:hAnsi="Times New Roman" w:cs="Times New Roman"/>
          <w:sz w:val="24"/>
          <w:szCs w:val="24"/>
          <w:lang w:eastAsia="en-AU"/>
        </w:rPr>
      </w:pPr>
      <w:r w:rsidRPr="00EA32B1">
        <w:rPr>
          <w:rFonts w:ascii="Times New Roman" w:eastAsia="Times New Roman" w:hAnsi="Times New Roman" w:cs="Times New Roman"/>
          <w:sz w:val="24"/>
          <w:szCs w:val="24"/>
          <w:lang w:eastAsia="en-AU"/>
        </w:rPr>
        <w:t xml:space="preserve">This </w:t>
      </w:r>
      <w:r>
        <w:rPr>
          <w:rFonts w:ascii="Times New Roman" w:eastAsia="Times New Roman" w:hAnsi="Times New Roman" w:cs="Times New Roman"/>
          <w:sz w:val="24"/>
          <w:szCs w:val="24"/>
          <w:lang w:eastAsia="en-AU"/>
        </w:rPr>
        <w:t>Direction</w:t>
      </w:r>
      <w:r w:rsidRPr="00EA32B1">
        <w:rPr>
          <w:rFonts w:ascii="Times New Roman" w:eastAsia="Times New Roman" w:hAnsi="Times New Roman" w:cs="Times New Roman"/>
          <w:sz w:val="24"/>
          <w:szCs w:val="24"/>
          <w:lang w:eastAsia="en-AU"/>
        </w:rPr>
        <w:t xml:space="preserve"> does not engage any of the applicable rights or freedoms.</w:t>
      </w:r>
    </w:p>
    <w:p w:rsidR="0038513A" w:rsidRDefault="0038513A" w:rsidP="00EA32B1">
      <w:pPr>
        <w:spacing w:before="120" w:after="120" w:line="240" w:lineRule="auto"/>
        <w:rPr>
          <w:rFonts w:ascii="Times New Roman" w:eastAsia="Times New Roman" w:hAnsi="Times New Roman" w:cs="Times New Roman"/>
          <w:b/>
          <w:sz w:val="24"/>
          <w:szCs w:val="24"/>
          <w:lang w:eastAsia="en-AU"/>
        </w:rPr>
      </w:pPr>
    </w:p>
    <w:p w:rsidR="00EA32B1" w:rsidRPr="00EA32B1" w:rsidRDefault="00EA32B1" w:rsidP="00EA32B1">
      <w:pPr>
        <w:spacing w:before="120" w:after="120" w:line="240" w:lineRule="auto"/>
        <w:rPr>
          <w:rFonts w:ascii="Times New Roman" w:eastAsia="Times New Roman" w:hAnsi="Times New Roman" w:cs="Times New Roman"/>
          <w:b/>
          <w:sz w:val="24"/>
          <w:szCs w:val="24"/>
          <w:lang w:eastAsia="en-AU"/>
        </w:rPr>
      </w:pPr>
      <w:r w:rsidRPr="00EA32B1">
        <w:rPr>
          <w:rFonts w:ascii="Times New Roman" w:eastAsia="Times New Roman" w:hAnsi="Times New Roman" w:cs="Times New Roman"/>
          <w:b/>
          <w:sz w:val="24"/>
          <w:szCs w:val="24"/>
          <w:lang w:eastAsia="en-AU"/>
        </w:rPr>
        <w:t>Conclusion</w:t>
      </w:r>
    </w:p>
    <w:p w:rsidR="00EA32B1" w:rsidRPr="00EA32B1" w:rsidRDefault="00EA32B1" w:rsidP="00EA32B1">
      <w:pPr>
        <w:spacing w:before="120" w:after="120" w:line="240" w:lineRule="auto"/>
        <w:rPr>
          <w:rFonts w:ascii="Times New Roman" w:eastAsia="Times New Roman" w:hAnsi="Times New Roman" w:cs="Times New Roman"/>
          <w:sz w:val="24"/>
          <w:szCs w:val="24"/>
          <w:lang w:eastAsia="en-AU"/>
        </w:rPr>
      </w:pPr>
      <w:r w:rsidRPr="00EA32B1">
        <w:rPr>
          <w:rFonts w:ascii="Times New Roman" w:eastAsia="Times New Roman" w:hAnsi="Times New Roman" w:cs="Times New Roman"/>
          <w:sz w:val="24"/>
          <w:szCs w:val="24"/>
          <w:lang w:eastAsia="en-AU"/>
        </w:rPr>
        <w:t xml:space="preserve">This </w:t>
      </w:r>
      <w:r>
        <w:rPr>
          <w:rFonts w:ascii="Times New Roman" w:eastAsia="Times New Roman" w:hAnsi="Times New Roman" w:cs="Times New Roman"/>
          <w:sz w:val="24"/>
          <w:szCs w:val="24"/>
          <w:lang w:eastAsia="en-AU"/>
        </w:rPr>
        <w:t>Direction</w:t>
      </w:r>
      <w:r w:rsidRPr="00EA32B1">
        <w:rPr>
          <w:rFonts w:ascii="Times New Roman" w:eastAsia="Times New Roman" w:hAnsi="Times New Roman" w:cs="Times New Roman"/>
          <w:sz w:val="24"/>
          <w:szCs w:val="24"/>
          <w:lang w:eastAsia="en-AU"/>
        </w:rPr>
        <w:t xml:space="preserve"> is compatible with human rights as it does not raise any human rights issues.</w:t>
      </w:r>
    </w:p>
    <w:p w:rsidR="00EA32B1" w:rsidRPr="00EA32B1" w:rsidRDefault="00EA32B1" w:rsidP="00EA32B1">
      <w:pPr>
        <w:spacing w:before="120" w:after="120" w:line="240" w:lineRule="auto"/>
        <w:jc w:val="center"/>
        <w:rPr>
          <w:rFonts w:ascii="Times New Roman" w:eastAsia="Times New Roman" w:hAnsi="Times New Roman" w:cs="Times New Roman"/>
          <w:sz w:val="24"/>
          <w:szCs w:val="24"/>
          <w:lang w:eastAsia="en-AU"/>
        </w:rPr>
      </w:pPr>
    </w:p>
    <w:p w:rsidR="00EA32B1" w:rsidRPr="00EA32B1" w:rsidRDefault="00EA32B1" w:rsidP="00EA32B1">
      <w:pPr>
        <w:spacing w:before="120" w:after="120" w:line="240" w:lineRule="auto"/>
        <w:jc w:val="center"/>
        <w:rPr>
          <w:rFonts w:ascii="Times New Roman" w:eastAsia="Times New Roman" w:hAnsi="Times New Roman" w:cs="Times New Roman"/>
          <w:b/>
          <w:sz w:val="24"/>
          <w:szCs w:val="24"/>
          <w:lang w:eastAsia="en-AU"/>
        </w:rPr>
      </w:pPr>
      <w:r w:rsidRPr="00EA32B1">
        <w:rPr>
          <w:rFonts w:ascii="Times New Roman" w:eastAsia="Times New Roman" w:hAnsi="Times New Roman" w:cs="Times New Roman"/>
          <w:b/>
          <w:sz w:val="24"/>
          <w:szCs w:val="24"/>
          <w:lang w:eastAsia="en-AU"/>
        </w:rPr>
        <w:t xml:space="preserve">The Hon </w:t>
      </w:r>
      <w:r w:rsidR="009760CF">
        <w:rPr>
          <w:rFonts w:ascii="Times New Roman" w:eastAsia="Times New Roman" w:hAnsi="Times New Roman" w:cs="Times New Roman"/>
          <w:b/>
          <w:sz w:val="24"/>
          <w:szCs w:val="24"/>
          <w:lang w:eastAsia="en-AU"/>
        </w:rPr>
        <w:t xml:space="preserve">Christopher Pyne </w:t>
      </w:r>
      <w:r w:rsidRPr="00EA32B1">
        <w:rPr>
          <w:rFonts w:ascii="Times New Roman" w:eastAsia="Times New Roman" w:hAnsi="Times New Roman" w:cs="Times New Roman"/>
          <w:b/>
          <w:sz w:val="24"/>
          <w:szCs w:val="24"/>
          <w:lang w:eastAsia="en-AU"/>
        </w:rPr>
        <w:t>MP</w:t>
      </w:r>
      <w:r w:rsidRPr="00EA32B1">
        <w:rPr>
          <w:rFonts w:ascii="Times New Roman" w:eastAsia="Times New Roman" w:hAnsi="Times New Roman" w:cs="Times New Roman"/>
          <w:b/>
          <w:sz w:val="24"/>
          <w:szCs w:val="24"/>
          <w:lang w:eastAsia="en-AU"/>
        </w:rPr>
        <w:br/>
        <w:t>Minister for Industry</w:t>
      </w:r>
      <w:r w:rsidR="009760CF">
        <w:rPr>
          <w:rFonts w:ascii="Times New Roman" w:eastAsia="Times New Roman" w:hAnsi="Times New Roman" w:cs="Times New Roman"/>
          <w:b/>
          <w:sz w:val="24"/>
          <w:szCs w:val="24"/>
          <w:lang w:eastAsia="en-AU"/>
        </w:rPr>
        <w:t>, Innovation</w:t>
      </w:r>
      <w:r w:rsidRPr="00EA32B1">
        <w:rPr>
          <w:rFonts w:ascii="Times New Roman" w:eastAsia="Times New Roman" w:hAnsi="Times New Roman" w:cs="Times New Roman"/>
          <w:b/>
          <w:sz w:val="24"/>
          <w:szCs w:val="24"/>
          <w:lang w:eastAsia="en-AU"/>
        </w:rPr>
        <w:t xml:space="preserve"> and Science</w:t>
      </w:r>
    </w:p>
    <w:p w:rsidR="00EA32B1" w:rsidRPr="00EA32B1" w:rsidRDefault="00EA32B1" w:rsidP="00EA32B1">
      <w:pPr>
        <w:spacing w:after="0" w:line="240" w:lineRule="auto"/>
        <w:rPr>
          <w:rFonts w:ascii="Times New Roman" w:eastAsia="Times New Roman" w:hAnsi="Times New Roman" w:cs="Times New Roman"/>
          <w:sz w:val="24"/>
          <w:szCs w:val="24"/>
          <w:lang w:eastAsia="en-AU"/>
        </w:rPr>
      </w:pPr>
    </w:p>
    <w:p w:rsidR="008B2B83" w:rsidRPr="001975F7" w:rsidRDefault="008B2B83" w:rsidP="00DA6B8F">
      <w:pPr>
        <w:rPr>
          <w:rFonts w:ascii="Times New Roman" w:hAnsi="Times New Roman"/>
          <w:sz w:val="24"/>
        </w:rPr>
      </w:pPr>
    </w:p>
    <w:sectPr w:rsidR="008B2B83" w:rsidRPr="001975F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504" w:rsidRDefault="00207504" w:rsidP="009A1C5D">
      <w:pPr>
        <w:spacing w:after="0" w:line="240" w:lineRule="auto"/>
      </w:pPr>
      <w:r>
        <w:separator/>
      </w:r>
    </w:p>
  </w:endnote>
  <w:endnote w:type="continuationSeparator" w:id="0">
    <w:p w:rsidR="00207504" w:rsidRDefault="00207504" w:rsidP="009A1C5D">
      <w:pPr>
        <w:spacing w:after="0" w:line="240" w:lineRule="auto"/>
      </w:pPr>
      <w:r>
        <w:continuationSeparator/>
      </w:r>
    </w:p>
  </w:endnote>
  <w:endnote w:type="continuationNotice" w:id="1">
    <w:p w:rsidR="00207504" w:rsidRDefault="002075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FB0" w:rsidRPr="00C645B8" w:rsidRDefault="00083FB0" w:rsidP="00334E49">
    <w:pPr>
      <w:pStyle w:val="Footer"/>
      <w:jc w:val="center"/>
      <w:rPr>
        <w:b/>
        <w:color w:val="4F81BD" w:themeColor="accent1"/>
      </w:rPr>
    </w:pPr>
  </w:p>
  <w:p w:rsidR="00276B73" w:rsidRDefault="00276B73" w:rsidP="00DB07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504" w:rsidRDefault="00207504" w:rsidP="009A1C5D">
      <w:pPr>
        <w:spacing w:after="0" w:line="240" w:lineRule="auto"/>
      </w:pPr>
      <w:r>
        <w:separator/>
      </w:r>
    </w:p>
  </w:footnote>
  <w:footnote w:type="continuationSeparator" w:id="0">
    <w:p w:rsidR="00207504" w:rsidRDefault="00207504" w:rsidP="009A1C5D">
      <w:pPr>
        <w:spacing w:after="0" w:line="240" w:lineRule="auto"/>
      </w:pPr>
      <w:r>
        <w:continuationSeparator/>
      </w:r>
    </w:p>
  </w:footnote>
  <w:footnote w:type="continuationNotice" w:id="1">
    <w:p w:rsidR="00207504" w:rsidRDefault="0020750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B73" w:rsidRDefault="00276B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A90"/>
    <w:multiLevelType w:val="hybridMultilevel"/>
    <w:tmpl w:val="CA74607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0AE36268"/>
    <w:multiLevelType w:val="hybridMultilevel"/>
    <w:tmpl w:val="08305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474F04"/>
    <w:multiLevelType w:val="hybridMultilevel"/>
    <w:tmpl w:val="B2142F1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35D05B0"/>
    <w:multiLevelType w:val="hybridMultilevel"/>
    <w:tmpl w:val="B2142F1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A6C67D2"/>
    <w:multiLevelType w:val="hybridMultilevel"/>
    <w:tmpl w:val="44E44D5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CC9703B"/>
    <w:multiLevelType w:val="hybridMultilevel"/>
    <w:tmpl w:val="E1AAE304"/>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22944C79"/>
    <w:multiLevelType w:val="hybridMultilevel"/>
    <w:tmpl w:val="E74E599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7">
    <w:nsid w:val="24BD1AAC"/>
    <w:multiLevelType w:val="hybridMultilevel"/>
    <w:tmpl w:val="276CD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6856574"/>
    <w:multiLevelType w:val="hybridMultilevel"/>
    <w:tmpl w:val="B2142F1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C4B773A"/>
    <w:multiLevelType w:val="hybridMultilevel"/>
    <w:tmpl w:val="B2142F1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E011EE8"/>
    <w:multiLevelType w:val="hybridMultilevel"/>
    <w:tmpl w:val="E33E7B3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F72596B"/>
    <w:multiLevelType w:val="hybridMultilevel"/>
    <w:tmpl w:val="44862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0532206"/>
    <w:multiLevelType w:val="hybridMultilevel"/>
    <w:tmpl w:val="B2B2EB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3D0320C"/>
    <w:multiLevelType w:val="hybridMultilevel"/>
    <w:tmpl w:val="CA74607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464A3947"/>
    <w:multiLevelType w:val="hybridMultilevel"/>
    <w:tmpl w:val="185CF7B0"/>
    <w:lvl w:ilvl="0" w:tplc="A6A244C2">
      <w:start w:val="1"/>
      <w:numFmt w:val="decimal"/>
      <w:lvlText w:val="%1."/>
      <w:lvlJc w:val="left"/>
      <w:pPr>
        <w:ind w:left="567" w:hanging="567"/>
      </w:pPr>
      <w:rPr>
        <w:rFonts w:hint="default"/>
        <w:b/>
      </w:rPr>
    </w:lvl>
    <w:lvl w:ilvl="1" w:tplc="0C090011">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E794FCF"/>
    <w:multiLevelType w:val="hybridMultilevel"/>
    <w:tmpl w:val="DCBA8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1E16C8F"/>
    <w:multiLevelType w:val="hybridMultilevel"/>
    <w:tmpl w:val="164E3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3B21132"/>
    <w:multiLevelType w:val="hybridMultilevel"/>
    <w:tmpl w:val="BDECB0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54CD0B37"/>
    <w:multiLevelType w:val="hybridMultilevel"/>
    <w:tmpl w:val="DFAA3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7CC7798"/>
    <w:multiLevelType w:val="hybridMultilevel"/>
    <w:tmpl w:val="B9A6BDE2"/>
    <w:lvl w:ilvl="0" w:tplc="0C09000F">
      <w:start w:val="1"/>
      <w:numFmt w:val="decimal"/>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3EE73B5"/>
    <w:multiLevelType w:val="hybridMultilevel"/>
    <w:tmpl w:val="82C64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2185487"/>
    <w:multiLevelType w:val="hybridMultilevel"/>
    <w:tmpl w:val="B2142F1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5FE59B4"/>
    <w:multiLevelType w:val="hybridMultilevel"/>
    <w:tmpl w:val="D90C6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78A4BC7"/>
    <w:multiLevelType w:val="multilevel"/>
    <w:tmpl w:val="B496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6"/>
  </w:num>
  <w:num w:numId="4">
    <w:abstractNumId w:val="18"/>
  </w:num>
  <w:num w:numId="5">
    <w:abstractNumId w:val="7"/>
  </w:num>
  <w:num w:numId="6">
    <w:abstractNumId w:val="22"/>
  </w:num>
  <w:num w:numId="7">
    <w:abstractNumId w:val="23"/>
  </w:num>
  <w:num w:numId="8">
    <w:abstractNumId w:val="15"/>
  </w:num>
  <w:num w:numId="9">
    <w:abstractNumId w:val="1"/>
  </w:num>
  <w:num w:numId="10">
    <w:abstractNumId w:val="2"/>
  </w:num>
  <w:num w:numId="11">
    <w:abstractNumId w:val="9"/>
  </w:num>
  <w:num w:numId="12">
    <w:abstractNumId w:val="3"/>
  </w:num>
  <w:num w:numId="13">
    <w:abstractNumId w:val="19"/>
  </w:num>
  <w:num w:numId="14">
    <w:abstractNumId w:val="5"/>
  </w:num>
  <w:num w:numId="15">
    <w:abstractNumId w:val="4"/>
  </w:num>
  <w:num w:numId="16">
    <w:abstractNumId w:val="21"/>
  </w:num>
  <w:num w:numId="17">
    <w:abstractNumId w:val="16"/>
  </w:num>
  <w:num w:numId="18">
    <w:abstractNumId w:val="8"/>
  </w:num>
  <w:num w:numId="19">
    <w:abstractNumId w:val="13"/>
  </w:num>
  <w:num w:numId="20">
    <w:abstractNumId w:val="0"/>
  </w:num>
  <w:num w:numId="21">
    <w:abstractNumId w:val="20"/>
  </w:num>
  <w:num w:numId="22">
    <w:abstractNumId w:val="17"/>
  </w:num>
  <w:num w:numId="23">
    <w:abstractNumId w:val="1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C5D"/>
    <w:rsid w:val="00000626"/>
    <w:rsid w:val="00004E0D"/>
    <w:rsid w:val="000127DD"/>
    <w:rsid w:val="00013B7A"/>
    <w:rsid w:val="000144D0"/>
    <w:rsid w:val="0001736C"/>
    <w:rsid w:val="0002529E"/>
    <w:rsid w:val="000262B9"/>
    <w:rsid w:val="00032319"/>
    <w:rsid w:val="000332B0"/>
    <w:rsid w:val="00035757"/>
    <w:rsid w:val="00037C4F"/>
    <w:rsid w:val="00052F7E"/>
    <w:rsid w:val="000604AC"/>
    <w:rsid w:val="00083FB0"/>
    <w:rsid w:val="000845ED"/>
    <w:rsid w:val="0008500E"/>
    <w:rsid w:val="000A09A3"/>
    <w:rsid w:val="000B5C48"/>
    <w:rsid w:val="000C085D"/>
    <w:rsid w:val="000C1864"/>
    <w:rsid w:val="000D19C2"/>
    <w:rsid w:val="000D27FB"/>
    <w:rsid w:val="000D42F2"/>
    <w:rsid w:val="000D5293"/>
    <w:rsid w:val="000E0BC3"/>
    <w:rsid w:val="000E500E"/>
    <w:rsid w:val="000F2C02"/>
    <w:rsid w:val="000F72F6"/>
    <w:rsid w:val="00105B5C"/>
    <w:rsid w:val="00107C88"/>
    <w:rsid w:val="00107E6C"/>
    <w:rsid w:val="0011353F"/>
    <w:rsid w:val="00116E50"/>
    <w:rsid w:val="001227E8"/>
    <w:rsid w:val="00126256"/>
    <w:rsid w:val="00126806"/>
    <w:rsid w:val="001441B8"/>
    <w:rsid w:val="001533E0"/>
    <w:rsid w:val="00155ECC"/>
    <w:rsid w:val="00156614"/>
    <w:rsid w:val="00181D88"/>
    <w:rsid w:val="00184F71"/>
    <w:rsid w:val="00190254"/>
    <w:rsid w:val="00193466"/>
    <w:rsid w:val="001968A0"/>
    <w:rsid w:val="001975F7"/>
    <w:rsid w:val="001A1352"/>
    <w:rsid w:val="001A3D7D"/>
    <w:rsid w:val="001A52A9"/>
    <w:rsid w:val="001A6F1B"/>
    <w:rsid w:val="001B6FEB"/>
    <w:rsid w:val="001C3786"/>
    <w:rsid w:val="001C65DF"/>
    <w:rsid w:val="001C666A"/>
    <w:rsid w:val="001C721C"/>
    <w:rsid w:val="001D2C53"/>
    <w:rsid w:val="001E434B"/>
    <w:rsid w:val="00204102"/>
    <w:rsid w:val="00207504"/>
    <w:rsid w:val="002218B3"/>
    <w:rsid w:val="002259C9"/>
    <w:rsid w:val="002263D0"/>
    <w:rsid w:val="0023151E"/>
    <w:rsid w:val="002537E5"/>
    <w:rsid w:val="00264245"/>
    <w:rsid w:val="002701AB"/>
    <w:rsid w:val="00276B73"/>
    <w:rsid w:val="00290BFF"/>
    <w:rsid w:val="002A5939"/>
    <w:rsid w:val="002E3939"/>
    <w:rsid w:val="002E6B36"/>
    <w:rsid w:val="002E6BB0"/>
    <w:rsid w:val="002E72C9"/>
    <w:rsid w:val="002F29B2"/>
    <w:rsid w:val="002F327A"/>
    <w:rsid w:val="002F3564"/>
    <w:rsid w:val="00316145"/>
    <w:rsid w:val="00320DC8"/>
    <w:rsid w:val="00321B85"/>
    <w:rsid w:val="00322A67"/>
    <w:rsid w:val="003233CB"/>
    <w:rsid w:val="003275AA"/>
    <w:rsid w:val="00334739"/>
    <w:rsid w:val="00334E49"/>
    <w:rsid w:val="00343211"/>
    <w:rsid w:val="0035403A"/>
    <w:rsid w:val="00354743"/>
    <w:rsid w:val="00356899"/>
    <w:rsid w:val="003572AB"/>
    <w:rsid w:val="003639B0"/>
    <w:rsid w:val="00364CA2"/>
    <w:rsid w:val="003652F8"/>
    <w:rsid w:val="00375FB7"/>
    <w:rsid w:val="00377D22"/>
    <w:rsid w:val="0038513A"/>
    <w:rsid w:val="00395466"/>
    <w:rsid w:val="00395834"/>
    <w:rsid w:val="0039708C"/>
    <w:rsid w:val="003A72DD"/>
    <w:rsid w:val="003A7331"/>
    <w:rsid w:val="003B68FD"/>
    <w:rsid w:val="003C41E3"/>
    <w:rsid w:val="003D1680"/>
    <w:rsid w:val="003D2D16"/>
    <w:rsid w:val="003E2D6F"/>
    <w:rsid w:val="003E3628"/>
    <w:rsid w:val="003E4110"/>
    <w:rsid w:val="003E691E"/>
    <w:rsid w:val="003F553B"/>
    <w:rsid w:val="004002C2"/>
    <w:rsid w:val="004042E0"/>
    <w:rsid w:val="00424997"/>
    <w:rsid w:val="00425622"/>
    <w:rsid w:val="00425F00"/>
    <w:rsid w:val="00433211"/>
    <w:rsid w:val="00433FE7"/>
    <w:rsid w:val="0043401A"/>
    <w:rsid w:val="00434D77"/>
    <w:rsid w:val="00442639"/>
    <w:rsid w:val="00444AE0"/>
    <w:rsid w:val="004700A7"/>
    <w:rsid w:val="00471E62"/>
    <w:rsid w:val="00477F80"/>
    <w:rsid w:val="00482A37"/>
    <w:rsid w:val="004849C9"/>
    <w:rsid w:val="00486FA2"/>
    <w:rsid w:val="004913F9"/>
    <w:rsid w:val="004B051B"/>
    <w:rsid w:val="004B162D"/>
    <w:rsid w:val="004B532F"/>
    <w:rsid w:val="004C10FA"/>
    <w:rsid w:val="004C139E"/>
    <w:rsid w:val="004C4A2B"/>
    <w:rsid w:val="004D2319"/>
    <w:rsid w:val="004E3D40"/>
    <w:rsid w:val="004F230E"/>
    <w:rsid w:val="004F6BB2"/>
    <w:rsid w:val="005104CA"/>
    <w:rsid w:val="00521210"/>
    <w:rsid w:val="00522E03"/>
    <w:rsid w:val="00537105"/>
    <w:rsid w:val="00541507"/>
    <w:rsid w:val="00541F4D"/>
    <w:rsid w:val="00541F5D"/>
    <w:rsid w:val="00546E2C"/>
    <w:rsid w:val="00550BD6"/>
    <w:rsid w:val="00552707"/>
    <w:rsid w:val="00557427"/>
    <w:rsid w:val="00574C58"/>
    <w:rsid w:val="00576196"/>
    <w:rsid w:val="00577669"/>
    <w:rsid w:val="00592F4D"/>
    <w:rsid w:val="005A4626"/>
    <w:rsid w:val="005A74FB"/>
    <w:rsid w:val="005B3347"/>
    <w:rsid w:val="005B7174"/>
    <w:rsid w:val="005C409E"/>
    <w:rsid w:val="005E337E"/>
    <w:rsid w:val="005E682F"/>
    <w:rsid w:val="005E6AD7"/>
    <w:rsid w:val="005E79A2"/>
    <w:rsid w:val="005F1ADA"/>
    <w:rsid w:val="005F3BAE"/>
    <w:rsid w:val="005F76F0"/>
    <w:rsid w:val="00602F10"/>
    <w:rsid w:val="006057FD"/>
    <w:rsid w:val="006129F3"/>
    <w:rsid w:val="0061324E"/>
    <w:rsid w:val="00626604"/>
    <w:rsid w:val="00631332"/>
    <w:rsid w:val="00634B13"/>
    <w:rsid w:val="00636531"/>
    <w:rsid w:val="0065411D"/>
    <w:rsid w:val="0066588D"/>
    <w:rsid w:val="00671434"/>
    <w:rsid w:val="006805CE"/>
    <w:rsid w:val="00687F5E"/>
    <w:rsid w:val="00691C75"/>
    <w:rsid w:val="006A2525"/>
    <w:rsid w:val="006C2AAC"/>
    <w:rsid w:val="006C4622"/>
    <w:rsid w:val="006C5B8B"/>
    <w:rsid w:val="006C7945"/>
    <w:rsid w:val="006C7E34"/>
    <w:rsid w:val="006D62D7"/>
    <w:rsid w:val="007102D9"/>
    <w:rsid w:val="00710B75"/>
    <w:rsid w:val="007206E0"/>
    <w:rsid w:val="00740C02"/>
    <w:rsid w:val="00741528"/>
    <w:rsid w:val="007534A5"/>
    <w:rsid w:val="00761557"/>
    <w:rsid w:val="0076766D"/>
    <w:rsid w:val="00770630"/>
    <w:rsid w:val="007748ED"/>
    <w:rsid w:val="007770D8"/>
    <w:rsid w:val="00781C45"/>
    <w:rsid w:val="007832E2"/>
    <w:rsid w:val="00790BDA"/>
    <w:rsid w:val="007942EE"/>
    <w:rsid w:val="00795355"/>
    <w:rsid w:val="00796AB7"/>
    <w:rsid w:val="00797686"/>
    <w:rsid w:val="007A0E11"/>
    <w:rsid w:val="007A2DA7"/>
    <w:rsid w:val="007B0BA1"/>
    <w:rsid w:val="007B3B32"/>
    <w:rsid w:val="007B57BC"/>
    <w:rsid w:val="007C5E62"/>
    <w:rsid w:val="007D43EB"/>
    <w:rsid w:val="007D60F3"/>
    <w:rsid w:val="007D771A"/>
    <w:rsid w:val="007F7786"/>
    <w:rsid w:val="00802155"/>
    <w:rsid w:val="0080277E"/>
    <w:rsid w:val="008050A5"/>
    <w:rsid w:val="0080601E"/>
    <w:rsid w:val="00822277"/>
    <w:rsid w:val="00847A46"/>
    <w:rsid w:val="008569C5"/>
    <w:rsid w:val="008743F7"/>
    <w:rsid w:val="00876753"/>
    <w:rsid w:val="0088072A"/>
    <w:rsid w:val="008860E4"/>
    <w:rsid w:val="00892CA5"/>
    <w:rsid w:val="008A6838"/>
    <w:rsid w:val="008B2B83"/>
    <w:rsid w:val="008D09D3"/>
    <w:rsid w:val="008D3DC9"/>
    <w:rsid w:val="008E0F20"/>
    <w:rsid w:val="008E1745"/>
    <w:rsid w:val="008E54A4"/>
    <w:rsid w:val="008F017E"/>
    <w:rsid w:val="008F2ADD"/>
    <w:rsid w:val="008F6A12"/>
    <w:rsid w:val="008F6E10"/>
    <w:rsid w:val="008F7A92"/>
    <w:rsid w:val="009035CE"/>
    <w:rsid w:val="0090460A"/>
    <w:rsid w:val="00905BB8"/>
    <w:rsid w:val="00906436"/>
    <w:rsid w:val="0091637B"/>
    <w:rsid w:val="0092508C"/>
    <w:rsid w:val="00926F87"/>
    <w:rsid w:val="0093079D"/>
    <w:rsid w:val="00932DA8"/>
    <w:rsid w:val="00935644"/>
    <w:rsid w:val="009453FD"/>
    <w:rsid w:val="00953424"/>
    <w:rsid w:val="00956C9A"/>
    <w:rsid w:val="009760CF"/>
    <w:rsid w:val="00977AEE"/>
    <w:rsid w:val="00985CC1"/>
    <w:rsid w:val="00991F0F"/>
    <w:rsid w:val="0099632B"/>
    <w:rsid w:val="009A1C5D"/>
    <w:rsid w:val="009A2C4B"/>
    <w:rsid w:val="009A72A9"/>
    <w:rsid w:val="009A72FF"/>
    <w:rsid w:val="009B4812"/>
    <w:rsid w:val="009B70A2"/>
    <w:rsid w:val="009D1538"/>
    <w:rsid w:val="009D4088"/>
    <w:rsid w:val="009E08BB"/>
    <w:rsid w:val="009E222B"/>
    <w:rsid w:val="009E330A"/>
    <w:rsid w:val="009E5F33"/>
    <w:rsid w:val="009F77EB"/>
    <w:rsid w:val="00A077E4"/>
    <w:rsid w:val="00A10BEA"/>
    <w:rsid w:val="00A1140F"/>
    <w:rsid w:val="00A14491"/>
    <w:rsid w:val="00A31358"/>
    <w:rsid w:val="00A35F04"/>
    <w:rsid w:val="00A42CDE"/>
    <w:rsid w:val="00A52ECA"/>
    <w:rsid w:val="00A564E3"/>
    <w:rsid w:val="00A64418"/>
    <w:rsid w:val="00A72133"/>
    <w:rsid w:val="00A750AB"/>
    <w:rsid w:val="00A81143"/>
    <w:rsid w:val="00A9267E"/>
    <w:rsid w:val="00AA28E8"/>
    <w:rsid w:val="00AA3981"/>
    <w:rsid w:val="00AB29A1"/>
    <w:rsid w:val="00AB485C"/>
    <w:rsid w:val="00AC2D37"/>
    <w:rsid w:val="00AC3377"/>
    <w:rsid w:val="00AC6DDD"/>
    <w:rsid w:val="00AD5496"/>
    <w:rsid w:val="00AD679D"/>
    <w:rsid w:val="00AE6ABA"/>
    <w:rsid w:val="00AE6BC1"/>
    <w:rsid w:val="00AE6E66"/>
    <w:rsid w:val="00AF062F"/>
    <w:rsid w:val="00AF2818"/>
    <w:rsid w:val="00AF34CE"/>
    <w:rsid w:val="00B0429D"/>
    <w:rsid w:val="00B07BE1"/>
    <w:rsid w:val="00B17C15"/>
    <w:rsid w:val="00B224F2"/>
    <w:rsid w:val="00B2588D"/>
    <w:rsid w:val="00B36913"/>
    <w:rsid w:val="00B4234D"/>
    <w:rsid w:val="00B50CA9"/>
    <w:rsid w:val="00B537CC"/>
    <w:rsid w:val="00B53B8D"/>
    <w:rsid w:val="00B55FB2"/>
    <w:rsid w:val="00B62121"/>
    <w:rsid w:val="00B81CCB"/>
    <w:rsid w:val="00B82443"/>
    <w:rsid w:val="00B83B91"/>
    <w:rsid w:val="00B85086"/>
    <w:rsid w:val="00B90687"/>
    <w:rsid w:val="00BA0B88"/>
    <w:rsid w:val="00BA2821"/>
    <w:rsid w:val="00BA3DE7"/>
    <w:rsid w:val="00BA60ED"/>
    <w:rsid w:val="00BB687D"/>
    <w:rsid w:val="00BC598C"/>
    <w:rsid w:val="00BC7235"/>
    <w:rsid w:val="00BD12B9"/>
    <w:rsid w:val="00BE0F71"/>
    <w:rsid w:val="00BE1C76"/>
    <w:rsid w:val="00BE601E"/>
    <w:rsid w:val="00BF6129"/>
    <w:rsid w:val="00C01D8A"/>
    <w:rsid w:val="00C10DE8"/>
    <w:rsid w:val="00C12AA8"/>
    <w:rsid w:val="00C2148D"/>
    <w:rsid w:val="00C238A4"/>
    <w:rsid w:val="00C37D48"/>
    <w:rsid w:val="00C423BB"/>
    <w:rsid w:val="00C61226"/>
    <w:rsid w:val="00C6167F"/>
    <w:rsid w:val="00C61853"/>
    <w:rsid w:val="00C61F8F"/>
    <w:rsid w:val="00C6305D"/>
    <w:rsid w:val="00C645B8"/>
    <w:rsid w:val="00C72A71"/>
    <w:rsid w:val="00C80B0F"/>
    <w:rsid w:val="00C81CB7"/>
    <w:rsid w:val="00C84B23"/>
    <w:rsid w:val="00C92DFF"/>
    <w:rsid w:val="00C931B1"/>
    <w:rsid w:val="00CA2850"/>
    <w:rsid w:val="00CA688D"/>
    <w:rsid w:val="00CB014A"/>
    <w:rsid w:val="00CB100F"/>
    <w:rsid w:val="00CB1809"/>
    <w:rsid w:val="00CB32F2"/>
    <w:rsid w:val="00CB407E"/>
    <w:rsid w:val="00CD55A5"/>
    <w:rsid w:val="00CD7573"/>
    <w:rsid w:val="00CE4A8A"/>
    <w:rsid w:val="00D016AD"/>
    <w:rsid w:val="00D06D03"/>
    <w:rsid w:val="00D12EF6"/>
    <w:rsid w:val="00D209FB"/>
    <w:rsid w:val="00D20B31"/>
    <w:rsid w:val="00D2120B"/>
    <w:rsid w:val="00D21B3B"/>
    <w:rsid w:val="00D22323"/>
    <w:rsid w:val="00D238EE"/>
    <w:rsid w:val="00D24BD9"/>
    <w:rsid w:val="00D25F5F"/>
    <w:rsid w:val="00D33BC8"/>
    <w:rsid w:val="00D34073"/>
    <w:rsid w:val="00D342D5"/>
    <w:rsid w:val="00D402C2"/>
    <w:rsid w:val="00D417A0"/>
    <w:rsid w:val="00D556EC"/>
    <w:rsid w:val="00D57937"/>
    <w:rsid w:val="00D6428B"/>
    <w:rsid w:val="00D92E27"/>
    <w:rsid w:val="00D967B7"/>
    <w:rsid w:val="00D97D47"/>
    <w:rsid w:val="00DA6B8F"/>
    <w:rsid w:val="00DB073F"/>
    <w:rsid w:val="00DB7E26"/>
    <w:rsid w:val="00DC49D0"/>
    <w:rsid w:val="00DD1228"/>
    <w:rsid w:val="00DD349E"/>
    <w:rsid w:val="00DE04CC"/>
    <w:rsid w:val="00DE7975"/>
    <w:rsid w:val="00E10205"/>
    <w:rsid w:val="00E112EF"/>
    <w:rsid w:val="00E15445"/>
    <w:rsid w:val="00E167E6"/>
    <w:rsid w:val="00E3147B"/>
    <w:rsid w:val="00E432EE"/>
    <w:rsid w:val="00E44294"/>
    <w:rsid w:val="00E473A5"/>
    <w:rsid w:val="00E61AAB"/>
    <w:rsid w:val="00E63504"/>
    <w:rsid w:val="00E70EFA"/>
    <w:rsid w:val="00E75F89"/>
    <w:rsid w:val="00E81BC0"/>
    <w:rsid w:val="00E92494"/>
    <w:rsid w:val="00EA0687"/>
    <w:rsid w:val="00EA0880"/>
    <w:rsid w:val="00EA32B1"/>
    <w:rsid w:val="00EB1D38"/>
    <w:rsid w:val="00EC52C5"/>
    <w:rsid w:val="00EC6BDB"/>
    <w:rsid w:val="00EE2B50"/>
    <w:rsid w:val="00EE5617"/>
    <w:rsid w:val="00EE6F9C"/>
    <w:rsid w:val="00EF4F43"/>
    <w:rsid w:val="00EF7E3C"/>
    <w:rsid w:val="00F071C2"/>
    <w:rsid w:val="00F075D6"/>
    <w:rsid w:val="00F10C0B"/>
    <w:rsid w:val="00F12C8C"/>
    <w:rsid w:val="00F13B01"/>
    <w:rsid w:val="00F210FA"/>
    <w:rsid w:val="00F26A64"/>
    <w:rsid w:val="00F3044A"/>
    <w:rsid w:val="00F312A1"/>
    <w:rsid w:val="00F33A55"/>
    <w:rsid w:val="00F52881"/>
    <w:rsid w:val="00F54C26"/>
    <w:rsid w:val="00F55EA6"/>
    <w:rsid w:val="00F62369"/>
    <w:rsid w:val="00F63D86"/>
    <w:rsid w:val="00F66A70"/>
    <w:rsid w:val="00F67ECE"/>
    <w:rsid w:val="00F72021"/>
    <w:rsid w:val="00F77415"/>
    <w:rsid w:val="00F800C1"/>
    <w:rsid w:val="00F831D8"/>
    <w:rsid w:val="00F865A4"/>
    <w:rsid w:val="00F96722"/>
    <w:rsid w:val="00FA023F"/>
    <w:rsid w:val="00FA4A51"/>
    <w:rsid w:val="00FA6C0B"/>
    <w:rsid w:val="00FC7A83"/>
    <w:rsid w:val="00FD0897"/>
    <w:rsid w:val="00FD5243"/>
    <w:rsid w:val="00FF33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C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C5D"/>
    <w:pPr>
      <w:ind w:left="720"/>
      <w:contextualSpacing/>
    </w:pPr>
  </w:style>
  <w:style w:type="character" w:styleId="Hyperlink">
    <w:name w:val="Hyperlink"/>
    <w:basedOn w:val="DefaultParagraphFont"/>
    <w:uiPriority w:val="99"/>
    <w:semiHidden/>
    <w:unhideWhenUsed/>
    <w:rsid w:val="009A1C5D"/>
    <w:rPr>
      <w:color w:val="0000FF"/>
      <w:u w:val="single"/>
    </w:rPr>
  </w:style>
  <w:style w:type="character" w:styleId="CommentReference">
    <w:name w:val="annotation reference"/>
    <w:basedOn w:val="DefaultParagraphFont"/>
    <w:uiPriority w:val="99"/>
    <w:unhideWhenUsed/>
    <w:rsid w:val="009A1C5D"/>
    <w:rPr>
      <w:sz w:val="16"/>
      <w:szCs w:val="16"/>
    </w:rPr>
  </w:style>
  <w:style w:type="paragraph" w:styleId="CommentText">
    <w:name w:val="annotation text"/>
    <w:basedOn w:val="Normal"/>
    <w:link w:val="CommentTextChar"/>
    <w:uiPriority w:val="99"/>
    <w:unhideWhenUsed/>
    <w:rsid w:val="009A1C5D"/>
    <w:pPr>
      <w:spacing w:line="240" w:lineRule="auto"/>
    </w:pPr>
    <w:rPr>
      <w:sz w:val="20"/>
      <w:szCs w:val="20"/>
    </w:rPr>
  </w:style>
  <w:style w:type="character" w:customStyle="1" w:styleId="CommentTextChar">
    <w:name w:val="Comment Text Char"/>
    <w:basedOn w:val="DefaultParagraphFont"/>
    <w:link w:val="CommentText"/>
    <w:uiPriority w:val="99"/>
    <w:rsid w:val="009A1C5D"/>
    <w:rPr>
      <w:sz w:val="20"/>
      <w:szCs w:val="20"/>
    </w:rPr>
  </w:style>
  <w:style w:type="paragraph" w:styleId="FootnoteText">
    <w:name w:val="footnote text"/>
    <w:basedOn w:val="Normal"/>
    <w:link w:val="FootnoteTextChar"/>
    <w:uiPriority w:val="99"/>
    <w:semiHidden/>
    <w:unhideWhenUsed/>
    <w:rsid w:val="009A1C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1C5D"/>
    <w:rPr>
      <w:sz w:val="20"/>
      <w:szCs w:val="20"/>
    </w:rPr>
  </w:style>
  <w:style w:type="character" w:styleId="FootnoteReference">
    <w:name w:val="footnote reference"/>
    <w:basedOn w:val="DefaultParagraphFont"/>
    <w:uiPriority w:val="99"/>
    <w:semiHidden/>
    <w:unhideWhenUsed/>
    <w:rsid w:val="009A1C5D"/>
    <w:rPr>
      <w:vertAlign w:val="superscript"/>
    </w:rPr>
  </w:style>
  <w:style w:type="paragraph" w:styleId="BalloonText">
    <w:name w:val="Balloon Text"/>
    <w:basedOn w:val="Normal"/>
    <w:link w:val="BalloonTextChar"/>
    <w:uiPriority w:val="99"/>
    <w:semiHidden/>
    <w:unhideWhenUsed/>
    <w:rsid w:val="009A1C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C5D"/>
    <w:rPr>
      <w:rFonts w:ascii="Tahoma" w:hAnsi="Tahoma" w:cs="Tahoma"/>
      <w:sz w:val="16"/>
      <w:szCs w:val="16"/>
    </w:rPr>
  </w:style>
  <w:style w:type="paragraph" w:styleId="Header">
    <w:name w:val="header"/>
    <w:basedOn w:val="Normal"/>
    <w:link w:val="HeaderChar"/>
    <w:uiPriority w:val="99"/>
    <w:unhideWhenUsed/>
    <w:rsid w:val="00EC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DB"/>
  </w:style>
  <w:style w:type="paragraph" w:styleId="Footer">
    <w:name w:val="footer"/>
    <w:basedOn w:val="Normal"/>
    <w:link w:val="FooterChar"/>
    <w:uiPriority w:val="99"/>
    <w:unhideWhenUsed/>
    <w:rsid w:val="00EC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DB"/>
  </w:style>
  <w:style w:type="paragraph" w:styleId="CommentSubject">
    <w:name w:val="annotation subject"/>
    <w:basedOn w:val="CommentText"/>
    <w:next w:val="CommentText"/>
    <w:link w:val="CommentSubjectChar"/>
    <w:uiPriority w:val="99"/>
    <w:semiHidden/>
    <w:unhideWhenUsed/>
    <w:rsid w:val="000144D0"/>
    <w:rPr>
      <w:b/>
      <w:bCs/>
    </w:rPr>
  </w:style>
  <w:style w:type="character" w:customStyle="1" w:styleId="CommentSubjectChar">
    <w:name w:val="Comment Subject Char"/>
    <w:basedOn w:val="CommentTextChar"/>
    <w:link w:val="CommentSubject"/>
    <w:uiPriority w:val="99"/>
    <w:semiHidden/>
    <w:rsid w:val="000144D0"/>
    <w:rPr>
      <w:b/>
      <w:bCs/>
      <w:sz w:val="20"/>
      <w:szCs w:val="20"/>
    </w:rPr>
  </w:style>
  <w:style w:type="table" w:styleId="TableGrid">
    <w:name w:val="Table Grid"/>
    <w:basedOn w:val="TableNormal"/>
    <w:uiPriority w:val="59"/>
    <w:rsid w:val="00363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0B75"/>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1975F7"/>
    <w:pPr>
      <w:spacing w:after="0" w:line="240" w:lineRule="auto"/>
    </w:pPr>
  </w:style>
  <w:style w:type="character" w:styleId="Strong">
    <w:name w:val="Strong"/>
    <w:basedOn w:val="DefaultParagraphFont"/>
    <w:uiPriority w:val="22"/>
    <w:qFormat/>
    <w:rsid w:val="007415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C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C5D"/>
    <w:pPr>
      <w:ind w:left="720"/>
      <w:contextualSpacing/>
    </w:pPr>
  </w:style>
  <w:style w:type="character" w:styleId="Hyperlink">
    <w:name w:val="Hyperlink"/>
    <w:basedOn w:val="DefaultParagraphFont"/>
    <w:uiPriority w:val="99"/>
    <w:semiHidden/>
    <w:unhideWhenUsed/>
    <w:rsid w:val="009A1C5D"/>
    <w:rPr>
      <w:color w:val="0000FF"/>
      <w:u w:val="single"/>
    </w:rPr>
  </w:style>
  <w:style w:type="character" w:styleId="CommentReference">
    <w:name w:val="annotation reference"/>
    <w:basedOn w:val="DefaultParagraphFont"/>
    <w:uiPriority w:val="99"/>
    <w:unhideWhenUsed/>
    <w:rsid w:val="009A1C5D"/>
    <w:rPr>
      <w:sz w:val="16"/>
      <w:szCs w:val="16"/>
    </w:rPr>
  </w:style>
  <w:style w:type="paragraph" w:styleId="CommentText">
    <w:name w:val="annotation text"/>
    <w:basedOn w:val="Normal"/>
    <w:link w:val="CommentTextChar"/>
    <w:uiPriority w:val="99"/>
    <w:unhideWhenUsed/>
    <w:rsid w:val="009A1C5D"/>
    <w:pPr>
      <w:spacing w:line="240" w:lineRule="auto"/>
    </w:pPr>
    <w:rPr>
      <w:sz w:val="20"/>
      <w:szCs w:val="20"/>
    </w:rPr>
  </w:style>
  <w:style w:type="character" w:customStyle="1" w:styleId="CommentTextChar">
    <w:name w:val="Comment Text Char"/>
    <w:basedOn w:val="DefaultParagraphFont"/>
    <w:link w:val="CommentText"/>
    <w:uiPriority w:val="99"/>
    <w:rsid w:val="009A1C5D"/>
    <w:rPr>
      <w:sz w:val="20"/>
      <w:szCs w:val="20"/>
    </w:rPr>
  </w:style>
  <w:style w:type="paragraph" w:styleId="FootnoteText">
    <w:name w:val="footnote text"/>
    <w:basedOn w:val="Normal"/>
    <w:link w:val="FootnoteTextChar"/>
    <w:uiPriority w:val="99"/>
    <w:semiHidden/>
    <w:unhideWhenUsed/>
    <w:rsid w:val="009A1C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1C5D"/>
    <w:rPr>
      <w:sz w:val="20"/>
      <w:szCs w:val="20"/>
    </w:rPr>
  </w:style>
  <w:style w:type="character" w:styleId="FootnoteReference">
    <w:name w:val="footnote reference"/>
    <w:basedOn w:val="DefaultParagraphFont"/>
    <w:uiPriority w:val="99"/>
    <w:semiHidden/>
    <w:unhideWhenUsed/>
    <w:rsid w:val="009A1C5D"/>
    <w:rPr>
      <w:vertAlign w:val="superscript"/>
    </w:rPr>
  </w:style>
  <w:style w:type="paragraph" w:styleId="BalloonText">
    <w:name w:val="Balloon Text"/>
    <w:basedOn w:val="Normal"/>
    <w:link w:val="BalloonTextChar"/>
    <w:uiPriority w:val="99"/>
    <w:semiHidden/>
    <w:unhideWhenUsed/>
    <w:rsid w:val="009A1C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C5D"/>
    <w:rPr>
      <w:rFonts w:ascii="Tahoma" w:hAnsi="Tahoma" w:cs="Tahoma"/>
      <w:sz w:val="16"/>
      <w:szCs w:val="16"/>
    </w:rPr>
  </w:style>
  <w:style w:type="paragraph" w:styleId="Header">
    <w:name w:val="header"/>
    <w:basedOn w:val="Normal"/>
    <w:link w:val="HeaderChar"/>
    <w:uiPriority w:val="99"/>
    <w:unhideWhenUsed/>
    <w:rsid w:val="00EC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DB"/>
  </w:style>
  <w:style w:type="paragraph" w:styleId="Footer">
    <w:name w:val="footer"/>
    <w:basedOn w:val="Normal"/>
    <w:link w:val="FooterChar"/>
    <w:uiPriority w:val="99"/>
    <w:unhideWhenUsed/>
    <w:rsid w:val="00EC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DB"/>
  </w:style>
  <w:style w:type="paragraph" w:styleId="CommentSubject">
    <w:name w:val="annotation subject"/>
    <w:basedOn w:val="CommentText"/>
    <w:next w:val="CommentText"/>
    <w:link w:val="CommentSubjectChar"/>
    <w:uiPriority w:val="99"/>
    <w:semiHidden/>
    <w:unhideWhenUsed/>
    <w:rsid w:val="000144D0"/>
    <w:rPr>
      <w:b/>
      <w:bCs/>
    </w:rPr>
  </w:style>
  <w:style w:type="character" w:customStyle="1" w:styleId="CommentSubjectChar">
    <w:name w:val="Comment Subject Char"/>
    <w:basedOn w:val="CommentTextChar"/>
    <w:link w:val="CommentSubject"/>
    <w:uiPriority w:val="99"/>
    <w:semiHidden/>
    <w:rsid w:val="000144D0"/>
    <w:rPr>
      <w:b/>
      <w:bCs/>
      <w:sz w:val="20"/>
      <w:szCs w:val="20"/>
    </w:rPr>
  </w:style>
  <w:style w:type="table" w:styleId="TableGrid">
    <w:name w:val="Table Grid"/>
    <w:basedOn w:val="TableNormal"/>
    <w:uiPriority w:val="59"/>
    <w:rsid w:val="00363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0B75"/>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1975F7"/>
    <w:pPr>
      <w:spacing w:after="0" w:line="240" w:lineRule="auto"/>
    </w:pPr>
  </w:style>
  <w:style w:type="character" w:styleId="Strong">
    <w:name w:val="Strong"/>
    <w:basedOn w:val="DefaultParagraphFont"/>
    <w:uiPriority w:val="22"/>
    <w:qFormat/>
    <w:rsid w:val="007415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226671">
      <w:bodyDiv w:val="1"/>
      <w:marLeft w:val="0"/>
      <w:marRight w:val="0"/>
      <w:marTop w:val="0"/>
      <w:marBottom w:val="0"/>
      <w:divBdr>
        <w:top w:val="none" w:sz="0" w:space="0" w:color="auto"/>
        <w:left w:val="none" w:sz="0" w:space="0" w:color="auto"/>
        <w:bottom w:val="none" w:sz="0" w:space="0" w:color="auto"/>
        <w:right w:val="none" w:sz="0" w:space="0" w:color="auto"/>
      </w:divBdr>
      <w:divsChild>
        <w:div w:id="518592566">
          <w:marLeft w:val="0"/>
          <w:marRight w:val="0"/>
          <w:marTop w:val="0"/>
          <w:marBottom w:val="0"/>
          <w:divBdr>
            <w:top w:val="none" w:sz="0" w:space="0" w:color="auto"/>
            <w:left w:val="none" w:sz="0" w:space="0" w:color="auto"/>
            <w:bottom w:val="none" w:sz="0" w:space="0" w:color="auto"/>
            <w:right w:val="none" w:sz="0" w:space="0" w:color="auto"/>
          </w:divBdr>
          <w:divsChild>
            <w:div w:id="1546211635">
              <w:marLeft w:val="0"/>
              <w:marRight w:val="0"/>
              <w:marTop w:val="0"/>
              <w:marBottom w:val="0"/>
              <w:divBdr>
                <w:top w:val="none" w:sz="0" w:space="0" w:color="auto"/>
                <w:left w:val="none" w:sz="0" w:space="0" w:color="auto"/>
                <w:bottom w:val="none" w:sz="0" w:space="0" w:color="auto"/>
                <w:right w:val="none" w:sz="0" w:space="0" w:color="auto"/>
              </w:divBdr>
              <w:divsChild>
                <w:div w:id="37897824">
                  <w:marLeft w:val="0"/>
                  <w:marRight w:val="0"/>
                  <w:marTop w:val="0"/>
                  <w:marBottom w:val="0"/>
                  <w:divBdr>
                    <w:top w:val="none" w:sz="0" w:space="0" w:color="auto"/>
                    <w:left w:val="none" w:sz="0" w:space="0" w:color="auto"/>
                    <w:bottom w:val="none" w:sz="0" w:space="0" w:color="auto"/>
                    <w:right w:val="none" w:sz="0" w:space="0" w:color="auto"/>
                  </w:divBdr>
                  <w:divsChild>
                    <w:div w:id="1284388284">
                      <w:marLeft w:val="0"/>
                      <w:marRight w:val="0"/>
                      <w:marTop w:val="0"/>
                      <w:marBottom w:val="0"/>
                      <w:divBdr>
                        <w:top w:val="none" w:sz="0" w:space="0" w:color="auto"/>
                        <w:left w:val="none" w:sz="0" w:space="0" w:color="auto"/>
                        <w:bottom w:val="none" w:sz="0" w:space="0" w:color="auto"/>
                        <w:right w:val="none" w:sz="0" w:space="0" w:color="auto"/>
                      </w:divBdr>
                      <w:divsChild>
                        <w:div w:id="10628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642056">
      <w:bodyDiv w:val="1"/>
      <w:marLeft w:val="0"/>
      <w:marRight w:val="0"/>
      <w:marTop w:val="0"/>
      <w:marBottom w:val="0"/>
      <w:divBdr>
        <w:top w:val="none" w:sz="0" w:space="0" w:color="auto"/>
        <w:left w:val="none" w:sz="0" w:space="0" w:color="auto"/>
        <w:bottom w:val="none" w:sz="0" w:space="0" w:color="auto"/>
        <w:right w:val="none" w:sz="0" w:space="0" w:color="auto"/>
      </w:divBdr>
    </w:div>
    <w:div w:id="176661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4CC84-0355-43CD-A36C-CCEF42437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3167</Words>
  <Characters>18053</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21178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O'Donnell, Lisa</dc:creator>
  <cp:lastModifiedBy>Gilkes, Amanda</cp:lastModifiedBy>
  <cp:revision>2</cp:revision>
  <dcterms:created xsi:type="dcterms:W3CDTF">2015-10-30T03:25:00Z</dcterms:created>
  <dcterms:modified xsi:type="dcterms:W3CDTF">2015-10-30T03:25:00Z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