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2A2" w:rsidRPr="00EC2AB3" w:rsidRDefault="00CF22A2" w:rsidP="00EC2AB3">
      <w:pPr>
        <w:rPr>
          <w:rFonts w:ascii="Arial" w:hAnsi="Arial"/>
        </w:rPr>
      </w:pPr>
    </w:p>
    <w:p w:rsidR="00CF22A2" w:rsidRPr="00CE0EB6" w:rsidRDefault="00DD313B" w:rsidP="00CE0EB6">
      <w:pPr>
        <w:rPr>
          <w:rFonts w:ascii="Arial" w:hAnsi="Arial" w:cs="Arial"/>
        </w:rPr>
      </w:pPr>
      <w:r w:rsidRPr="00CE0EB6">
        <w:rPr>
          <w:rFonts w:ascii="Arial" w:hAnsi="Arial" w:cs="Arial"/>
          <w:noProof/>
          <w:lang w:eastAsia="en-AU"/>
        </w:rPr>
        <w:drawing>
          <wp:inline distT="0" distB="0" distL="0" distR="0" wp14:anchorId="718D14F9" wp14:editId="4C6A7E7B">
            <wp:extent cx="1412240" cy="109855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2240" cy="1098550"/>
                    </a:xfrm>
                    <a:prstGeom prst="rect">
                      <a:avLst/>
                    </a:prstGeom>
                    <a:noFill/>
                    <a:ln>
                      <a:noFill/>
                    </a:ln>
                  </pic:spPr>
                </pic:pic>
              </a:graphicData>
            </a:graphic>
          </wp:inline>
        </w:drawing>
      </w:r>
      <w:r w:rsidR="00CF22A2" w:rsidRPr="00CE0EB6">
        <w:rPr>
          <w:rFonts w:ascii="Arial" w:hAnsi="Arial" w:cs="Arial"/>
        </w:rPr>
        <w:t> </w:t>
      </w:r>
    </w:p>
    <w:p w:rsidR="00CF22A2" w:rsidRPr="00CE0EB6" w:rsidRDefault="00CF22A2" w:rsidP="00CE0EB6">
      <w:pPr>
        <w:rPr>
          <w:rFonts w:ascii="Arial" w:hAnsi="Arial" w:cs="Arial"/>
        </w:rPr>
      </w:pPr>
      <w:r w:rsidRPr="00CE0EB6">
        <w:rPr>
          <w:rFonts w:ascii="Arial" w:hAnsi="Arial" w:cs="Arial"/>
        </w:rPr>
        <w:t> </w:t>
      </w:r>
    </w:p>
    <w:p w:rsidR="00CF22A2" w:rsidRPr="00CE0EB6" w:rsidRDefault="00CF22A2" w:rsidP="00CE0EB6">
      <w:pPr>
        <w:rPr>
          <w:rFonts w:ascii="Arial" w:hAnsi="Arial" w:cs="Arial"/>
        </w:rPr>
      </w:pPr>
      <w:r w:rsidRPr="00CE0EB6">
        <w:rPr>
          <w:rFonts w:ascii="Arial" w:hAnsi="Arial" w:cs="Arial"/>
        </w:rPr>
        <w:t> </w:t>
      </w:r>
    </w:p>
    <w:p w:rsidR="00CF22A2" w:rsidRPr="00CE0EB6" w:rsidRDefault="00CF22A2" w:rsidP="00CE0EB6">
      <w:pPr>
        <w:rPr>
          <w:rFonts w:ascii="Arial" w:hAnsi="Arial" w:cs="Arial"/>
        </w:rPr>
      </w:pPr>
      <w:r w:rsidRPr="00CE0EB6">
        <w:rPr>
          <w:rFonts w:ascii="Arial" w:hAnsi="Arial" w:cs="Arial"/>
        </w:rPr>
        <w:t> </w:t>
      </w:r>
    </w:p>
    <w:p w:rsidR="00CC70C2" w:rsidRPr="00EC2AB3" w:rsidRDefault="00CC70C2" w:rsidP="00EC2AB3">
      <w:pPr>
        <w:rPr>
          <w:rFonts w:ascii="Arial" w:hAnsi="Arial"/>
          <w:b/>
          <w:sz w:val="40"/>
        </w:rPr>
      </w:pPr>
      <w:r w:rsidRPr="00EC2AB3">
        <w:rPr>
          <w:rFonts w:ascii="Arial" w:hAnsi="Arial"/>
          <w:b/>
          <w:sz w:val="40"/>
        </w:rPr>
        <w:t xml:space="preserve">Customs (Extensions of Time and </w:t>
      </w:r>
      <w:r w:rsidR="00CF4804" w:rsidRPr="00EC2AB3">
        <w:rPr>
          <w:rFonts w:ascii="Arial" w:hAnsi="Arial"/>
          <w:b/>
          <w:sz w:val="40"/>
        </w:rPr>
        <w:t>Non</w:t>
      </w:r>
      <w:r w:rsidR="00CF4804" w:rsidRPr="00EC2AB3">
        <w:rPr>
          <w:rFonts w:ascii="Arial" w:hAnsi="Arial"/>
          <w:b/>
          <w:sz w:val="40"/>
        </w:rPr>
        <w:noBreakHyphen/>
      </w:r>
      <w:r w:rsidRPr="00EC2AB3">
        <w:rPr>
          <w:rFonts w:ascii="Arial" w:hAnsi="Arial"/>
          <w:b/>
          <w:sz w:val="40"/>
        </w:rPr>
        <w:t>cooperation) Direction 2015</w:t>
      </w:r>
    </w:p>
    <w:p w:rsidR="00CC70C2" w:rsidRPr="00EC2AB3" w:rsidRDefault="00CC70C2" w:rsidP="00EC2AB3">
      <w:pPr>
        <w:rPr>
          <w:rFonts w:ascii="Arial" w:hAnsi="Arial"/>
        </w:rPr>
      </w:pPr>
    </w:p>
    <w:p w:rsidR="00DD313B" w:rsidRPr="00CE0EB6" w:rsidRDefault="00DD313B" w:rsidP="00CE0EB6">
      <w:pPr>
        <w:rPr>
          <w:rFonts w:ascii="Arial" w:hAnsi="Arial" w:cs="Arial"/>
          <w:i/>
          <w:sz w:val="28"/>
          <w:szCs w:val="28"/>
        </w:rPr>
      </w:pPr>
      <w:r w:rsidRPr="00CE0EB6">
        <w:rPr>
          <w:rFonts w:ascii="Arial" w:hAnsi="Arial" w:cs="Arial"/>
          <w:i/>
          <w:sz w:val="28"/>
          <w:szCs w:val="28"/>
        </w:rPr>
        <w:t>Customs Act 1901</w:t>
      </w:r>
    </w:p>
    <w:p w:rsidR="00DD313B" w:rsidRPr="00CE0EB6" w:rsidRDefault="00DD313B" w:rsidP="00CE0EB6">
      <w:pPr>
        <w:rPr>
          <w:rFonts w:ascii="Arial" w:hAnsi="Arial" w:cs="Arial"/>
        </w:rPr>
      </w:pPr>
    </w:p>
    <w:p w:rsidR="00CC70C2" w:rsidRPr="00EC2AB3" w:rsidRDefault="00CC70C2" w:rsidP="00EC2AB3">
      <w:pPr>
        <w:rPr>
          <w:rFonts w:ascii="Arial" w:hAnsi="Arial"/>
        </w:rPr>
      </w:pPr>
    </w:p>
    <w:p w:rsidR="00CC70C2" w:rsidRPr="00EC2AB3" w:rsidRDefault="00CC70C2">
      <w:pPr>
        <w:rPr>
          <w:rFonts w:ascii="Arial" w:hAnsi="Arial"/>
        </w:rPr>
      </w:pPr>
      <w:r w:rsidRPr="00EC2AB3">
        <w:rPr>
          <w:rFonts w:ascii="Arial" w:hAnsi="Arial"/>
        </w:rPr>
        <w:t xml:space="preserve">I, </w:t>
      </w:r>
      <w:r w:rsidR="005E6725">
        <w:rPr>
          <w:rFonts w:ascii="Arial" w:hAnsi="Arial"/>
        </w:rPr>
        <w:t>CHRISTOPHER PYNE</w:t>
      </w:r>
      <w:r w:rsidRPr="00EC2AB3">
        <w:rPr>
          <w:rFonts w:ascii="Arial" w:hAnsi="Arial"/>
        </w:rPr>
        <w:t>, Minister for Industry</w:t>
      </w:r>
      <w:r w:rsidR="005E6725">
        <w:rPr>
          <w:rFonts w:ascii="Arial" w:hAnsi="Arial"/>
        </w:rPr>
        <w:t>, Innovation</w:t>
      </w:r>
      <w:r w:rsidRPr="00EC2AB3">
        <w:rPr>
          <w:rFonts w:ascii="Arial" w:hAnsi="Arial"/>
        </w:rPr>
        <w:t xml:space="preserve"> and Science</w:t>
      </w:r>
      <w:r w:rsidR="0067566C" w:rsidRPr="00EC2AB3">
        <w:rPr>
          <w:rFonts w:ascii="Arial" w:hAnsi="Arial"/>
        </w:rPr>
        <w:t>,</w:t>
      </w:r>
      <w:r w:rsidRPr="00EC2AB3">
        <w:rPr>
          <w:rFonts w:ascii="Arial" w:hAnsi="Arial"/>
        </w:rPr>
        <w:t xml:space="preserve"> make </w:t>
      </w:r>
      <w:r w:rsidR="008028D9" w:rsidRPr="00EC2AB3">
        <w:rPr>
          <w:rFonts w:ascii="Arial" w:hAnsi="Arial"/>
        </w:rPr>
        <w:t>this direction under subsection </w:t>
      </w:r>
      <w:r w:rsidRPr="00EC2AB3">
        <w:rPr>
          <w:rFonts w:ascii="Arial" w:hAnsi="Arial"/>
        </w:rPr>
        <w:t xml:space="preserve">269TA(1) of the </w:t>
      </w:r>
      <w:r w:rsidRPr="00D04560">
        <w:rPr>
          <w:rFonts w:ascii="Arial" w:hAnsi="Arial"/>
          <w:i/>
        </w:rPr>
        <w:t>Customs Act 1901</w:t>
      </w:r>
      <w:r w:rsidR="0067566C" w:rsidRPr="00EC2AB3">
        <w:rPr>
          <w:rFonts w:ascii="Arial" w:hAnsi="Arial"/>
        </w:rPr>
        <w:t>.</w:t>
      </w:r>
    </w:p>
    <w:p w:rsidR="00CC70C2" w:rsidRPr="00EC2AB3" w:rsidRDefault="00CC70C2" w:rsidP="00EC2AB3">
      <w:pPr>
        <w:rPr>
          <w:rFonts w:ascii="Arial" w:hAnsi="Arial"/>
        </w:rPr>
      </w:pPr>
    </w:p>
    <w:p w:rsidR="00CC70C2" w:rsidRPr="00EC2AB3" w:rsidRDefault="00CC70C2" w:rsidP="00EC2AB3">
      <w:pPr>
        <w:rPr>
          <w:rFonts w:ascii="Arial" w:hAnsi="Arial"/>
        </w:rPr>
      </w:pPr>
    </w:p>
    <w:p w:rsidR="00CC70C2" w:rsidRPr="00EC2AB3" w:rsidRDefault="00CC70C2" w:rsidP="00EC2AB3">
      <w:pPr>
        <w:rPr>
          <w:rFonts w:ascii="Arial" w:hAnsi="Arial"/>
        </w:rPr>
      </w:pPr>
      <w:r w:rsidRPr="00EC2AB3">
        <w:rPr>
          <w:rFonts w:ascii="Arial" w:hAnsi="Arial"/>
        </w:rPr>
        <w:t>Dated</w:t>
      </w:r>
      <w:bookmarkStart w:id="0" w:name="Year"/>
      <w:r w:rsidRPr="00EC2AB3">
        <w:rPr>
          <w:rFonts w:ascii="Arial" w:hAnsi="Arial"/>
        </w:rPr>
        <w:tab/>
      </w:r>
      <w:r w:rsidR="00B06C35">
        <w:rPr>
          <w:rFonts w:ascii="Arial" w:hAnsi="Arial"/>
        </w:rPr>
        <w:t xml:space="preserve">30 October </w:t>
      </w:r>
      <w:r w:rsidRPr="00EC2AB3">
        <w:rPr>
          <w:rFonts w:ascii="Arial" w:hAnsi="Arial"/>
        </w:rPr>
        <w:t>20</w:t>
      </w:r>
      <w:bookmarkEnd w:id="0"/>
      <w:r w:rsidRPr="00EC2AB3">
        <w:rPr>
          <w:rFonts w:ascii="Arial" w:hAnsi="Arial"/>
        </w:rPr>
        <w:t>15</w:t>
      </w:r>
    </w:p>
    <w:p w:rsidR="00CC70C2" w:rsidRPr="00EC2AB3" w:rsidRDefault="00CC70C2" w:rsidP="00EC2AB3">
      <w:pPr>
        <w:rPr>
          <w:rFonts w:ascii="Arial" w:hAnsi="Arial"/>
        </w:rPr>
      </w:pPr>
    </w:p>
    <w:p w:rsidR="00DD313B" w:rsidRPr="00EC2AB3" w:rsidRDefault="00DD313B" w:rsidP="00EC2AB3">
      <w:pPr>
        <w:rPr>
          <w:rFonts w:ascii="Arial" w:hAnsi="Arial"/>
        </w:rPr>
      </w:pPr>
    </w:p>
    <w:p w:rsidR="00DD313B" w:rsidRPr="00EC2AB3" w:rsidRDefault="00DD313B" w:rsidP="00EC2AB3">
      <w:pPr>
        <w:rPr>
          <w:rFonts w:ascii="Arial" w:hAnsi="Arial"/>
        </w:rPr>
      </w:pPr>
    </w:p>
    <w:p w:rsidR="00CC70C2" w:rsidRPr="00EC2AB3" w:rsidRDefault="00B06C35" w:rsidP="00EC2AB3">
      <w:pPr>
        <w:rPr>
          <w:rFonts w:ascii="Arial" w:hAnsi="Arial"/>
        </w:rPr>
      </w:pPr>
      <w:r>
        <w:rPr>
          <w:rFonts w:ascii="Arial" w:hAnsi="Arial"/>
        </w:rPr>
        <w:t>CHRISTOPHER PYNE</w:t>
      </w:r>
      <w:bookmarkStart w:id="1" w:name="_GoBack"/>
      <w:bookmarkEnd w:id="1"/>
    </w:p>
    <w:p w:rsidR="00CF22A2" w:rsidRPr="00EC2AB3" w:rsidRDefault="00CF22A2" w:rsidP="00EC2AB3">
      <w:pPr>
        <w:rPr>
          <w:rFonts w:ascii="Arial" w:hAnsi="Arial"/>
        </w:rPr>
      </w:pPr>
      <w:r w:rsidRPr="00EC2AB3">
        <w:rPr>
          <w:rFonts w:ascii="Arial" w:hAnsi="Arial"/>
        </w:rPr>
        <w:t>___________________________________________</w:t>
      </w:r>
    </w:p>
    <w:p w:rsidR="00CF22A2" w:rsidRPr="00EC2AB3" w:rsidRDefault="005E6725" w:rsidP="00EC2AB3">
      <w:pPr>
        <w:rPr>
          <w:rFonts w:ascii="Arial" w:hAnsi="Arial"/>
        </w:rPr>
      </w:pPr>
      <w:r>
        <w:rPr>
          <w:rFonts w:ascii="Arial" w:hAnsi="Arial"/>
        </w:rPr>
        <w:t>CHRISTOPHER PYNE</w:t>
      </w:r>
    </w:p>
    <w:p w:rsidR="00734F31" w:rsidRPr="00EC2AB3" w:rsidRDefault="00CF22A2" w:rsidP="00EC2AB3">
      <w:pPr>
        <w:rPr>
          <w:rFonts w:ascii="Arial" w:hAnsi="Arial"/>
        </w:rPr>
      </w:pPr>
      <w:r w:rsidRPr="00EC2AB3">
        <w:rPr>
          <w:rFonts w:ascii="Arial" w:hAnsi="Arial"/>
        </w:rPr>
        <w:t>Minister for Industry</w:t>
      </w:r>
      <w:r w:rsidR="005E6725">
        <w:rPr>
          <w:rFonts w:ascii="Arial" w:hAnsi="Arial"/>
        </w:rPr>
        <w:t>, Innovation</w:t>
      </w:r>
      <w:r w:rsidRPr="00EC2AB3">
        <w:rPr>
          <w:rFonts w:ascii="Arial" w:hAnsi="Arial"/>
        </w:rPr>
        <w:t xml:space="preserve"> and Science</w:t>
      </w:r>
      <w:r w:rsidR="00734F31" w:rsidRPr="00CE0EB6">
        <w:rPr>
          <w:rFonts w:ascii="Arial" w:hAnsi="Arial" w:cs="Arial"/>
        </w:rPr>
        <w:br w:type="page"/>
      </w:r>
    </w:p>
    <w:p w:rsidR="00DD313B" w:rsidRPr="00DD2853" w:rsidRDefault="00DD313B" w:rsidP="00CE0EB6">
      <w:pPr>
        <w:rPr>
          <w:rFonts w:ascii="Arial" w:hAnsi="Arial" w:cs="Arial"/>
          <w:sz w:val="24"/>
          <w:szCs w:val="24"/>
        </w:rPr>
      </w:pPr>
      <w:bookmarkStart w:id="2" w:name="_Toc426965800"/>
      <w:r w:rsidRPr="00DD2853">
        <w:rPr>
          <w:rFonts w:ascii="Arial" w:hAnsi="Arial" w:cs="Arial"/>
          <w:b/>
          <w:sz w:val="24"/>
          <w:szCs w:val="24"/>
        </w:rPr>
        <w:lastRenderedPageBreak/>
        <w:t>PART 1 - PRELIMINARY</w:t>
      </w:r>
    </w:p>
    <w:p w:rsidR="00734F31" w:rsidRPr="00DD2853" w:rsidRDefault="00734F31" w:rsidP="00EC2AB3">
      <w:pPr>
        <w:pStyle w:val="ListParagraph"/>
        <w:numPr>
          <w:ilvl w:val="0"/>
          <w:numId w:val="42"/>
        </w:numPr>
        <w:spacing w:before="240" w:after="240"/>
        <w:contextualSpacing w:val="0"/>
        <w:rPr>
          <w:rFonts w:ascii="Arial" w:hAnsi="Arial"/>
          <w:sz w:val="24"/>
          <w:szCs w:val="24"/>
        </w:rPr>
      </w:pPr>
      <w:r w:rsidRPr="00DD2853">
        <w:rPr>
          <w:rFonts w:ascii="Arial" w:hAnsi="Arial"/>
          <w:b/>
          <w:sz w:val="24"/>
          <w:szCs w:val="24"/>
        </w:rPr>
        <w:t>Name of instrument</w:t>
      </w:r>
      <w:bookmarkEnd w:id="2"/>
    </w:p>
    <w:p w:rsidR="00734F31" w:rsidRPr="00DD2853" w:rsidRDefault="00734F31" w:rsidP="00EC2AB3">
      <w:pPr>
        <w:ind w:left="567"/>
        <w:rPr>
          <w:rFonts w:ascii="Times New Roman" w:hAnsi="Times New Roman"/>
          <w:sz w:val="24"/>
          <w:szCs w:val="24"/>
        </w:rPr>
      </w:pPr>
      <w:r w:rsidRPr="00DD2853">
        <w:rPr>
          <w:rFonts w:ascii="Times New Roman" w:hAnsi="Times New Roman"/>
          <w:sz w:val="24"/>
          <w:szCs w:val="24"/>
        </w:rPr>
        <w:t xml:space="preserve">This </w:t>
      </w:r>
      <w:r w:rsidR="00DD313B" w:rsidRPr="00DD2853">
        <w:rPr>
          <w:rFonts w:ascii="Times New Roman" w:hAnsi="Times New Roman" w:cs="Times New Roman"/>
          <w:sz w:val="24"/>
          <w:szCs w:val="24"/>
        </w:rPr>
        <w:t>D</w:t>
      </w:r>
      <w:r w:rsidRPr="00DD2853">
        <w:rPr>
          <w:rFonts w:ascii="Times New Roman" w:hAnsi="Times New Roman" w:cs="Times New Roman"/>
          <w:sz w:val="24"/>
          <w:szCs w:val="24"/>
        </w:rPr>
        <w:t>irection</w:t>
      </w:r>
      <w:r w:rsidRPr="00DD2853">
        <w:rPr>
          <w:rFonts w:ascii="Times New Roman" w:hAnsi="Times New Roman"/>
          <w:sz w:val="24"/>
          <w:szCs w:val="24"/>
        </w:rPr>
        <w:t xml:space="preserve"> is the </w:t>
      </w:r>
      <w:r w:rsidRPr="00DD2853">
        <w:rPr>
          <w:rFonts w:ascii="Times New Roman" w:hAnsi="Times New Roman"/>
          <w:i/>
          <w:sz w:val="24"/>
          <w:szCs w:val="24"/>
        </w:rPr>
        <w:t xml:space="preserve">Customs (Extensions of Time and </w:t>
      </w:r>
      <w:r w:rsidR="0067566C" w:rsidRPr="00DD2853">
        <w:rPr>
          <w:rFonts w:ascii="Times New Roman" w:hAnsi="Times New Roman"/>
          <w:i/>
          <w:sz w:val="24"/>
          <w:szCs w:val="24"/>
        </w:rPr>
        <w:t>Non</w:t>
      </w:r>
      <w:r w:rsidR="0067566C" w:rsidRPr="00DD2853">
        <w:rPr>
          <w:rFonts w:ascii="Times New Roman" w:hAnsi="Times New Roman"/>
          <w:i/>
          <w:sz w:val="24"/>
          <w:szCs w:val="24"/>
        </w:rPr>
        <w:noBreakHyphen/>
      </w:r>
      <w:r w:rsidRPr="00DD2853">
        <w:rPr>
          <w:rFonts w:ascii="Times New Roman" w:hAnsi="Times New Roman"/>
          <w:i/>
          <w:sz w:val="24"/>
          <w:szCs w:val="24"/>
        </w:rPr>
        <w:t>cooperation) Direction 2015</w:t>
      </w:r>
      <w:r w:rsidRPr="00DD2853">
        <w:rPr>
          <w:rFonts w:ascii="Times New Roman" w:hAnsi="Times New Roman"/>
          <w:sz w:val="24"/>
          <w:szCs w:val="24"/>
        </w:rPr>
        <w:t>.</w:t>
      </w:r>
    </w:p>
    <w:p w:rsidR="00734F31" w:rsidRPr="00DD2853" w:rsidRDefault="00734F31" w:rsidP="00EC2AB3">
      <w:pPr>
        <w:pStyle w:val="ListParagraph"/>
        <w:numPr>
          <w:ilvl w:val="0"/>
          <w:numId w:val="42"/>
        </w:numPr>
        <w:spacing w:before="240" w:after="240"/>
        <w:contextualSpacing w:val="0"/>
        <w:rPr>
          <w:rFonts w:ascii="Arial" w:hAnsi="Arial"/>
          <w:sz w:val="24"/>
          <w:szCs w:val="24"/>
        </w:rPr>
      </w:pPr>
      <w:bookmarkStart w:id="3" w:name="_Toc426965801"/>
      <w:r w:rsidRPr="00DD2853">
        <w:rPr>
          <w:rFonts w:ascii="Arial" w:hAnsi="Arial"/>
          <w:b/>
          <w:sz w:val="24"/>
          <w:szCs w:val="24"/>
        </w:rPr>
        <w:t>Authority</w:t>
      </w:r>
      <w:bookmarkEnd w:id="3"/>
    </w:p>
    <w:p w:rsidR="005337C6" w:rsidRPr="00DD2853" w:rsidRDefault="00734F31" w:rsidP="00DD2853">
      <w:pPr>
        <w:pStyle w:val="ListParagraph"/>
        <w:numPr>
          <w:ilvl w:val="1"/>
          <w:numId w:val="44"/>
        </w:numPr>
        <w:spacing w:before="120" w:after="120"/>
        <w:ind w:left="993"/>
        <w:contextualSpacing w:val="0"/>
        <w:rPr>
          <w:rFonts w:ascii="Times New Roman" w:hAnsi="Times New Roman"/>
          <w:sz w:val="24"/>
          <w:szCs w:val="24"/>
        </w:rPr>
      </w:pPr>
      <w:r w:rsidRPr="00DD2853">
        <w:rPr>
          <w:rFonts w:ascii="Times New Roman" w:hAnsi="Times New Roman"/>
          <w:sz w:val="24"/>
          <w:szCs w:val="24"/>
        </w:rPr>
        <w:t xml:space="preserve">This </w:t>
      </w:r>
      <w:r w:rsidR="00DD313B" w:rsidRPr="00DD2853">
        <w:rPr>
          <w:rFonts w:ascii="Times New Roman" w:hAnsi="Times New Roman"/>
          <w:sz w:val="24"/>
          <w:szCs w:val="24"/>
        </w:rPr>
        <w:t>D</w:t>
      </w:r>
      <w:r w:rsidRPr="00DD2853">
        <w:rPr>
          <w:rFonts w:ascii="Times New Roman" w:hAnsi="Times New Roman"/>
          <w:sz w:val="24"/>
          <w:szCs w:val="24"/>
        </w:rPr>
        <w:t xml:space="preserve">irection is made under subsection 269TA(1) of the </w:t>
      </w:r>
      <w:r w:rsidR="00D16E6E" w:rsidRPr="00DD2853">
        <w:rPr>
          <w:rFonts w:ascii="Times New Roman" w:hAnsi="Times New Roman"/>
          <w:sz w:val="24"/>
          <w:szCs w:val="24"/>
        </w:rPr>
        <w:t>Act</w:t>
      </w:r>
      <w:r w:rsidR="00DD313B" w:rsidRPr="00DD2853">
        <w:rPr>
          <w:rFonts w:ascii="Times New Roman" w:hAnsi="Times New Roman"/>
          <w:sz w:val="24"/>
          <w:szCs w:val="24"/>
        </w:rPr>
        <w:t>.</w:t>
      </w:r>
    </w:p>
    <w:p w:rsidR="005337C6" w:rsidRPr="00DD2853" w:rsidRDefault="00DD313B" w:rsidP="00DD2853">
      <w:pPr>
        <w:pStyle w:val="ListParagraph"/>
        <w:numPr>
          <w:ilvl w:val="1"/>
          <w:numId w:val="44"/>
        </w:numPr>
        <w:spacing w:before="120" w:after="120"/>
        <w:ind w:left="993"/>
        <w:contextualSpacing w:val="0"/>
        <w:rPr>
          <w:rFonts w:ascii="Times New Roman" w:hAnsi="Times New Roman"/>
          <w:sz w:val="24"/>
          <w:szCs w:val="24"/>
        </w:rPr>
      </w:pPr>
      <w:r w:rsidRPr="00DD2853">
        <w:rPr>
          <w:rFonts w:ascii="Times New Roman" w:hAnsi="Times New Roman"/>
          <w:sz w:val="24"/>
          <w:szCs w:val="24"/>
        </w:rPr>
        <w:t xml:space="preserve">This Direction has the </w:t>
      </w:r>
      <w:r w:rsidR="00734F31" w:rsidRPr="00DD2853">
        <w:rPr>
          <w:rFonts w:ascii="Times New Roman" w:hAnsi="Times New Roman"/>
          <w:sz w:val="24"/>
          <w:szCs w:val="24"/>
        </w:rPr>
        <w:t>purpose of</w:t>
      </w:r>
      <w:r w:rsidR="00515EE6" w:rsidRPr="00DD2853">
        <w:rPr>
          <w:rFonts w:ascii="Times New Roman" w:hAnsi="Times New Roman"/>
          <w:sz w:val="24"/>
          <w:szCs w:val="24"/>
        </w:rPr>
        <w:t xml:space="preserve"> </w:t>
      </w:r>
      <w:r w:rsidR="00734F31" w:rsidRPr="00DD2853">
        <w:rPr>
          <w:rFonts w:ascii="Times New Roman" w:hAnsi="Times New Roman"/>
          <w:sz w:val="24"/>
          <w:szCs w:val="24"/>
        </w:rPr>
        <w:t>directing</w:t>
      </w:r>
      <w:r w:rsidR="00515EE6" w:rsidRPr="00DD2853">
        <w:rPr>
          <w:rFonts w:ascii="Times New Roman" w:hAnsi="Times New Roman"/>
          <w:sz w:val="24"/>
          <w:szCs w:val="24"/>
        </w:rPr>
        <w:t xml:space="preserve"> the Commissioner</w:t>
      </w:r>
      <w:r w:rsidR="00933D50" w:rsidRPr="004733AA">
        <w:rPr>
          <w:rFonts w:ascii="Times New Roman" w:hAnsi="Times New Roman"/>
          <w:sz w:val="24"/>
          <w:szCs w:val="24"/>
        </w:rPr>
        <w:t xml:space="preserve"> </w:t>
      </w:r>
      <w:r w:rsidRPr="00DD2853">
        <w:rPr>
          <w:rFonts w:ascii="Times New Roman" w:hAnsi="Times New Roman"/>
          <w:sz w:val="24"/>
          <w:szCs w:val="24"/>
        </w:rPr>
        <w:t xml:space="preserve">in </w:t>
      </w:r>
      <w:r w:rsidR="00515EE6" w:rsidRPr="00DD2853">
        <w:rPr>
          <w:rFonts w:ascii="Times New Roman" w:hAnsi="Times New Roman"/>
          <w:sz w:val="24"/>
          <w:szCs w:val="24"/>
        </w:rPr>
        <w:t>relati</w:t>
      </w:r>
      <w:r w:rsidRPr="00DD2853">
        <w:rPr>
          <w:rFonts w:ascii="Times New Roman" w:hAnsi="Times New Roman"/>
          <w:sz w:val="24"/>
          <w:szCs w:val="24"/>
        </w:rPr>
        <w:t>o</w:t>
      </w:r>
      <w:r w:rsidR="00515EE6" w:rsidRPr="00DD2853">
        <w:rPr>
          <w:rFonts w:ascii="Times New Roman" w:hAnsi="Times New Roman"/>
          <w:sz w:val="24"/>
          <w:szCs w:val="24"/>
        </w:rPr>
        <w:t>n to</w:t>
      </w:r>
      <w:r w:rsidRPr="00DD2853">
        <w:rPr>
          <w:rFonts w:ascii="Times New Roman" w:hAnsi="Times New Roman"/>
          <w:sz w:val="24"/>
          <w:szCs w:val="24"/>
        </w:rPr>
        <w:t>:</w:t>
      </w:r>
    </w:p>
    <w:p w:rsidR="005337C6" w:rsidRPr="00DD2853" w:rsidRDefault="00867E31" w:rsidP="00DD2853">
      <w:pPr>
        <w:pStyle w:val="ListParagraph"/>
        <w:numPr>
          <w:ilvl w:val="2"/>
          <w:numId w:val="44"/>
        </w:numPr>
        <w:spacing w:before="120" w:after="120"/>
        <w:contextualSpacing w:val="0"/>
        <w:rPr>
          <w:rFonts w:ascii="Times New Roman" w:hAnsi="Times New Roman"/>
          <w:sz w:val="24"/>
          <w:szCs w:val="24"/>
        </w:rPr>
      </w:pPr>
      <w:r w:rsidRPr="00DD2853">
        <w:rPr>
          <w:rFonts w:ascii="Times New Roman" w:hAnsi="Times New Roman"/>
          <w:sz w:val="24"/>
          <w:szCs w:val="24"/>
        </w:rPr>
        <w:t>granting</w:t>
      </w:r>
      <w:r w:rsidR="0026603C" w:rsidRPr="00DD2853">
        <w:rPr>
          <w:rFonts w:ascii="Times New Roman" w:hAnsi="Times New Roman"/>
          <w:sz w:val="24"/>
          <w:szCs w:val="24"/>
        </w:rPr>
        <w:t xml:space="preserve"> extensions of time</w:t>
      </w:r>
      <w:r w:rsidR="00D5612B" w:rsidRPr="00DD2853">
        <w:rPr>
          <w:rFonts w:ascii="Times New Roman" w:hAnsi="Times New Roman"/>
          <w:sz w:val="24"/>
          <w:szCs w:val="24"/>
        </w:rPr>
        <w:t xml:space="preserve"> under section 269SMG,</w:t>
      </w:r>
      <w:r w:rsidR="00C16C37">
        <w:rPr>
          <w:rFonts w:ascii="Times New Roman" w:hAnsi="Times New Roman"/>
          <w:sz w:val="24"/>
          <w:szCs w:val="24"/>
        </w:rPr>
        <w:t xml:space="preserve"> and</w:t>
      </w:r>
      <w:r w:rsidR="00D5612B" w:rsidRPr="00DD2853">
        <w:rPr>
          <w:rFonts w:ascii="Times New Roman" w:hAnsi="Times New Roman"/>
          <w:sz w:val="24"/>
          <w:szCs w:val="24"/>
        </w:rPr>
        <w:t xml:space="preserve"> subsections 269TC(6) and 269TC(9) of the Act</w:t>
      </w:r>
      <w:r w:rsidR="00FE5B30" w:rsidRPr="00DD2853">
        <w:rPr>
          <w:rFonts w:ascii="Times New Roman" w:hAnsi="Times New Roman"/>
          <w:sz w:val="24"/>
          <w:szCs w:val="24"/>
        </w:rPr>
        <w:t>; and</w:t>
      </w:r>
    </w:p>
    <w:p w:rsidR="00CB251E" w:rsidRPr="00DD2853" w:rsidRDefault="00DD313B" w:rsidP="00DD2853">
      <w:pPr>
        <w:pStyle w:val="ListParagraph"/>
        <w:numPr>
          <w:ilvl w:val="2"/>
          <w:numId w:val="44"/>
        </w:numPr>
        <w:spacing w:before="120" w:after="120"/>
        <w:contextualSpacing w:val="0"/>
        <w:rPr>
          <w:rFonts w:ascii="Times New Roman" w:hAnsi="Times New Roman"/>
          <w:sz w:val="24"/>
          <w:szCs w:val="24"/>
        </w:rPr>
      </w:pPr>
      <w:r w:rsidRPr="00DD2853">
        <w:rPr>
          <w:rFonts w:ascii="Times New Roman" w:hAnsi="Times New Roman"/>
          <w:sz w:val="24"/>
          <w:szCs w:val="24"/>
        </w:rPr>
        <w:t xml:space="preserve">making </w:t>
      </w:r>
      <w:r w:rsidR="00D16E6E" w:rsidRPr="00DD2853">
        <w:rPr>
          <w:rFonts w:ascii="Times New Roman" w:hAnsi="Times New Roman"/>
          <w:sz w:val="24"/>
          <w:szCs w:val="24"/>
        </w:rPr>
        <w:t xml:space="preserve">determinations </w:t>
      </w:r>
      <w:r w:rsidR="0096543E" w:rsidRPr="00DD2853">
        <w:rPr>
          <w:rFonts w:ascii="Times New Roman" w:hAnsi="Times New Roman"/>
          <w:sz w:val="24"/>
          <w:szCs w:val="24"/>
        </w:rPr>
        <w:t>about</w:t>
      </w:r>
      <w:r w:rsidR="00CB251E" w:rsidRPr="00DD2853">
        <w:rPr>
          <w:rFonts w:ascii="Times New Roman" w:hAnsi="Times New Roman"/>
          <w:sz w:val="24"/>
          <w:szCs w:val="24"/>
        </w:rPr>
        <w:t>:</w:t>
      </w:r>
    </w:p>
    <w:p w:rsidR="00CB251E" w:rsidRPr="00DD2853" w:rsidRDefault="0096543E" w:rsidP="00DD2853">
      <w:pPr>
        <w:pStyle w:val="ListParagraph"/>
        <w:numPr>
          <w:ilvl w:val="3"/>
          <w:numId w:val="44"/>
        </w:numPr>
        <w:spacing w:before="120" w:after="120"/>
        <w:contextualSpacing w:val="0"/>
        <w:rPr>
          <w:rFonts w:ascii="Times New Roman" w:hAnsi="Times New Roman" w:cs="Times New Roman"/>
          <w:sz w:val="24"/>
          <w:szCs w:val="24"/>
        </w:rPr>
      </w:pPr>
      <w:r w:rsidRPr="00DD2853">
        <w:rPr>
          <w:rFonts w:ascii="Times New Roman" w:hAnsi="Times New Roman" w:cs="Times New Roman"/>
          <w:sz w:val="24"/>
          <w:szCs w:val="24"/>
        </w:rPr>
        <w:t xml:space="preserve">uncooperative </w:t>
      </w:r>
      <w:r w:rsidR="00D16E6E" w:rsidRPr="00DD2853">
        <w:rPr>
          <w:rFonts w:ascii="Times New Roman" w:hAnsi="Times New Roman" w:cs="Times New Roman"/>
          <w:sz w:val="24"/>
          <w:szCs w:val="24"/>
        </w:rPr>
        <w:t xml:space="preserve">exporters </w:t>
      </w:r>
      <w:r w:rsidR="00CB251E" w:rsidRPr="00DD2853">
        <w:rPr>
          <w:rFonts w:ascii="Times New Roman" w:hAnsi="Times New Roman" w:cs="Times New Roman"/>
          <w:sz w:val="24"/>
          <w:szCs w:val="24"/>
        </w:rPr>
        <w:t xml:space="preserve">under subsection 269T(1) of the Act; </w:t>
      </w:r>
      <w:r w:rsidR="00D16E6E" w:rsidRPr="00DD2853">
        <w:rPr>
          <w:rFonts w:ascii="Times New Roman" w:hAnsi="Times New Roman" w:cs="Times New Roman"/>
          <w:sz w:val="24"/>
          <w:szCs w:val="24"/>
        </w:rPr>
        <w:t xml:space="preserve">or </w:t>
      </w:r>
    </w:p>
    <w:p w:rsidR="00515EE6" w:rsidRPr="00DD2853" w:rsidRDefault="00D16E6E" w:rsidP="00DD2853">
      <w:pPr>
        <w:pStyle w:val="ListParagraph"/>
        <w:numPr>
          <w:ilvl w:val="3"/>
          <w:numId w:val="44"/>
        </w:numPr>
        <w:spacing w:before="120" w:after="120"/>
        <w:contextualSpacing w:val="0"/>
        <w:rPr>
          <w:rFonts w:ascii="Times New Roman" w:hAnsi="Times New Roman" w:cs="Times New Roman"/>
          <w:sz w:val="24"/>
          <w:szCs w:val="24"/>
        </w:rPr>
      </w:pPr>
      <w:r w:rsidRPr="00DD2853">
        <w:rPr>
          <w:rFonts w:ascii="Times New Roman" w:hAnsi="Times New Roman" w:cs="Times New Roman"/>
          <w:sz w:val="24"/>
          <w:szCs w:val="24"/>
        </w:rPr>
        <w:t>non-cooperation by entities</w:t>
      </w:r>
      <w:r w:rsidR="00C23B3E" w:rsidRPr="00DD2853">
        <w:rPr>
          <w:rFonts w:ascii="Times New Roman" w:hAnsi="Times New Roman" w:cs="Times New Roman"/>
          <w:sz w:val="24"/>
          <w:szCs w:val="24"/>
        </w:rPr>
        <w:t xml:space="preserve"> </w:t>
      </w:r>
      <w:r w:rsidR="0026603C" w:rsidRPr="00DD2853">
        <w:rPr>
          <w:rFonts w:ascii="Times New Roman" w:hAnsi="Times New Roman" w:cs="Times New Roman"/>
          <w:sz w:val="24"/>
          <w:szCs w:val="24"/>
        </w:rPr>
        <w:t xml:space="preserve">under </w:t>
      </w:r>
      <w:r w:rsidR="00A62C07" w:rsidRPr="00DD2853">
        <w:rPr>
          <w:rFonts w:ascii="Times New Roman" w:hAnsi="Times New Roman" w:cs="Times New Roman"/>
          <w:sz w:val="24"/>
          <w:szCs w:val="24"/>
        </w:rPr>
        <w:t>section 269</w:t>
      </w:r>
      <w:r w:rsidR="006F0956" w:rsidRPr="00DD2853">
        <w:rPr>
          <w:rFonts w:ascii="Times New Roman" w:hAnsi="Times New Roman" w:cs="Times New Roman"/>
          <w:sz w:val="24"/>
          <w:szCs w:val="24"/>
        </w:rPr>
        <w:t>TAACA</w:t>
      </w:r>
      <w:r w:rsidR="00515EE6" w:rsidRPr="00DD2853">
        <w:rPr>
          <w:rFonts w:ascii="Times New Roman" w:hAnsi="Times New Roman" w:cs="Times New Roman"/>
          <w:sz w:val="24"/>
          <w:szCs w:val="24"/>
        </w:rPr>
        <w:t xml:space="preserve"> of the</w:t>
      </w:r>
      <w:r w:rsidR="0019515C" w:rsidRPr="00DD2853">
        <w:rPr>
          <w:rFonts w:ascii="Times New Roman" w:hAnsi="Times New Roman" w:cs="Times New Roman"/>
          <w:sz w:val="24"/>
          <w:szCs w:val="24"/>
        </w:rPr>
        <w:t xml:space="preserve"> Act.</w:t>
      </w:r>
    </w:p>
    <w:p w:rsidR="00D16E6E" w:rsidRPr="00DD2853" w:rsidRDefault="00D16E6E" w:rsidP="00EC2AB3">
      <w:pPr>
        <w:pStyle w:val="ListParagraph"/>
        <w:numPr>
          <w:ilvl w:val="0"/>
          <w:numId w:val="42"/>
        </w:numPr>
        <w:spacing w:before="240" w:after="240"/>
        <w:contextualSpacing w:val="0"/>
        <w:rPr>
          <w:rFonts w:ascii="Arial" w:hAnsi="Arial"/>
          <w:sz w:val="24"/>
          <w:szCs w:val="24"/>
        </w:rPr>
      </w:pPr>
      <w:bookmarkStart w:id="4" w:name="_Toc426965802"/>
      <w:bookmarkStart w:id="5" w:name="_Toc426965803"/>
      <w:r w:rsidRPr="00DD2853">
        <w:rPr>
          <w:rFonts w:ascii="Arial" w:hAnsi="Arial"/>
          <w:b/>
          <w:sz w:val="24"/>
          <w:szCs w:val="24"/>
        </w:rPr>
        <w:t>Commencement</w:t>
      </w:r>
      <w:bookmarkEnd w:id="4"/>
    </w:p>
    <w:p w:rsidR="00D16E6E" w:rsidRPr="00DD2853" w:rsidRDefault="00D16E6E" w:rsidP="00EC2AB3">
      <w:pPr>
        <w:ind w:left="567"/>
        <w:rPr>
          <w:rFonts w:ascii="Times New Roman" w:hAnsi="Times New Roman"/>
          <w:sz w:val="24"/>
          <w:szCs w:val="24"/>
        </w:rPr>
      </w:pPr>
      <w:r w:rsidRPr="00DD2853">
        <w:rPr>
          <w:rFonts w:ascii="Times New Roman" w:hAnsi="Times New Roman"/>
          <w:sz w:val="24"/>
          <w:szCs w:val="24"/>
        </w:rPr>
        <w:t xml:space="preserve">This </w:t>
      </w:r>
      <w:r w:rsidR="00DD313B" w:rsidRPr="00DD2853">
        <w:rPr>
          <w:rFonts w:ascii="Times New Roman" w:hAnsi="Times New Roman" w:cs="Times New Roman"/>
          <w:sz w:val="24"/>
          <w:szCs w:val="24"/>
        </w:rPr>
        <w:t>D</w:t>
      </w:r>
      <w:r w:rsidRPr="00DD2853">
        <w:rPr>
          <w:rFonts w:ascii="Times New Roman" w:hAnsi="Times New Roman" w:cs="Times New Roman"/>
          <w:sz w:val="24"/>
          <w:szCs w:val="24"/>
        </w:rPr>
        <w:t>irection</w:t>
      </w:r>
      <w:r w:rsidRPr="00DD2853">
        <w:rPr>
          <w:rFonts w:ascii="Times New Roman" w:hAnsi="Times New Roman"/>
          <w:sz w:val="24"/>
          <w:szCs w:val="24"/>
        </w:rPr>
        <w:t xml:space="preserve"> commences on </w:t>
      </w:r>
      <w:r w:rsidR="005D68E3" w:rsidRPr="00DD2853">
        <w:rPr>
          <w:rFonts w:ascii="Times New Roman" w:hAnsi="Times New Roman" w:cs="Times New Roman"/>
          <w:sz w:val="24"/>
          <w:szCs w:val="24"/>
        </w:rPr>
        <w:t xml:space="preserve">commencement of Schedule 1 of the </w:t>
      </w:r>
      <w:r w:rsidR="005D68E3" w:rsidRPr="00DD2853">
        <w:rPr>
          <w:rFonts w:ascii="Times New Roman" w:hAnsi="Times New Roman" w:cs="Times New Roman"/>
          <w:i/>
          <w:sz w:val="24"/>
          <w:szCs w:val="24"/>
        </w:rPr>
        <w:t>Customs Amendment (Anti-Dumping Measures) Act (No.1)</w:t>
      </w:r>
      <w:r w:rsidR="005D68E3" w:rsidRPr="00DD2853">
        <w:rPr>
          <w:rFonts w:ascii="Times New Roman" w:hAnsi="Times New Roman"/>
          <w:i/>
          <w:sz w:val="24"/>
          <w:szCs w:val="24"/>
        </w:rPr>
        <w:t xml:space="preserve"> 2015</w:t>
      </w:r>
      <w:r w:rsidRPr="00DD2853">
        <w:rPr>
          <w:rFonts w:ascii="Times New Roman" w:hAnsi="Times New Roman"/>
          <w:sz w:val="24"/>
          <w:szCs w:val="24"/>
        </w:rPr>
        <w:t xml:space="preserve">. </w:t>
      </w:r>
    </w:p>
    <w:bookmarkEnd w:id="5"/>
    <w:p w:rsidR="00CC70C2" w:rsidRPr="00DD2853" w:rsidRDefault="00CC70C2" w:rsidP="00EC2AB3">
      <w:pPr>
        <w:pStyle w:val="ListParagraph"/>
        <w:numPr>
          <w:ilvl w:val="0"/>
          <w:numId w:val="42"/>
        </w:numPr>
        <w:spacing w:before="240" w:after="240"/>
        <w:contextualSpacing w:val="0"/>
        <w:rPr>
          <w:rFonts w:ascii="Arial" w:hAnsi="Arial"/>
          <w:sz w:val="24"/>
          <w:szCs w:val="24"/>
        </w:rPr>
      </w:pPr>
      <w:r w:rsidRPr="00DD2853">
        <w:rPr>
          <w:rFonts w:ascii="Arial" w:hAnsi="Arial"/>
          <w:b/>
          <w:sz w:val="24"/>
          <w:szCs w:val="24"/>
        </w:rPr>
        <w:t>Definitions</w:t>
      </w:r>
    </w:p>
    <w:p w:rsidR="00CC70C2" w:rsidRPr="00DD2853" w:rsidRDefault="00CC70C2" w:rsidP="00EC2AB3">
      <w:pPr>
        <w:ind w:firstLine="567"/>
        <w:rPr>
          <w:rFonts w:ascii="Times New Roman" w:hAnsi="Times New Roman"/>
          <w:sz w:val="24"/>
          <w:szCs w:val="24"/>
        </w:rPr>
      </w:pPr>
      <w:r w:rsidRPr="00DD2853">
        <w:rPr>
          <w:rFonts w:ascii="Times New Roman" w:hAnsi="Times New Roman"/>
          <w:sz w:val="24"/>
          <w:szCs w:val="24"/>
        </w:rPr>
        <w:t xml:space="preserve">In this </w:t>
      </w:r>
      <w:r w:rsidR="00DD313B" w:rsidRPr="00DD2853">
        <w:rPr>
          <w:rFonts w:ascii="Times New Roman" w:hAnsi="Times New Roman" w:cs="Times New Roman"/>
          <w:sz w:val="24"/>
          <w:szCs w:val="24"/>
        </w:rPr>
        <w:t>D</w:t>
      </w:r>
      <w:r w:rsidRPr="00DD2853">
        <w:rPr>
          <w:rFonts w:ascii="Times New Roman" w:hAnsi="Times New Roman" w:cs="Times New Roman"/>
          <w:sz w:val="24"/>
          <w:szCs w:val="24"/>
        </w:rPr>
        <w:t>irection</w:t>
      </w:r>
      <w:r w:rsidRPr="00DD2853">
        <w:rPr>
          <w:rFonts w:ascii="Times New Roman" w:hAnsi="Times New Roman"/>
          <w:sz w:val="24"/>
          <w:szCs w:val="24"/>
        </w:rPr>
        <w:t>:</w:t>
      </w:r>
    </w:p>
    <w:p w:rsidR="00CC70C2" w:rsidRPr="00DD2853" w:rsidRDefault="00CC70C2" w:rsidP="00EC2AB3">
      <w:pPr>
        <w:rPr>
          <w:rFonts w:ascii="Times New Roman" w:hAnsi="Times New Roman"/>
          <w:sz w:val="24"/>
          <w:szCs w:val="24"/>
        </w:rPr>
      </w:pPr>
      <w:r w:rsidRPr="00DD2853">
        <w:rPr>
          <w:rFonts w:ascii="Times New Roman" w:hAnsi="Times New Roman"/>
          <w:sz w:val="24"/>
          <w:szCs w:val="24"/>
        </w:rPr>
        <w:tab/>
      </w:r>
      <w:r w:rsidRPr="00DD2853">
        <w:rPr>
          <w:rFonts w:ascii="Times New Roman" w:hAnsi="Times New Roman"/>
          <w:b/>
          <w:i/>
          <w:sz w:val="24"/>
          <w:szCs w:val="24"/>
        </w:rPr>
        <w:t>Act</w:t>
      </w:r>
      <w:r w:rsidRPr="00DD2853">
        <w:rPr>
          <w:rFonts w:ascii="Times New Roman" w:hAnsi="Times New Roman"/>
          <w:sz w:val="24"/>
          <w:szCs w:val="24"/>
        </w:rPr>
        <w:t xml:space="preserve"> means the </w:t>
      </w:r>
      <w:r w:rsidRPr="00D04560">
        <w:rPr>
          <w:rFonts w:ascii="Times New Roman" w:hAnsi="Times New Roman"/>
          <w:i/>
          <w:sz w:val="24"/>
          <w:szCs w:val="24"/>
        </w:rPr>
        <w:t>Customs Act 1901</w:t>
      </w:r>
      <w:r w:rsidRPr="00DD2853">
        <w:rPr>
          <w:rFonts w:ascii="Times New Roman" w:hAnsi="Times New Roman"/>
          <w:sz w:val="24"/>
          <w:szCs w:val="24"/>
        </w:rPr>
        <w:t>.</w:t>
      </w:r>
    </w:p>
    <w:p w:rsidR="00CC70C2" w:rsidRPr="00DD2853" w:rsidRDefault="00CC70C2" w:rsidP="00EC2AB3">
      <w:pPr>
        <w:rPr>
          <w:rFonts w:ascii="Times New Roman" w:hAnsi="Times New Roman"/>
          <w:sz w:val="24"/>
          <w:szCs w:val="24"/>
        </w:rPr>
      </w:pPr>
      <w:r w:rsidRPr="00DD2853">
        <w:rPr>
          <w:rFonts w:ascii="Times New Roman" w:hAnsi="Times New Roman"/>
          <w:sz w:val="24"/>
          <w:szCs w:val="24"/>
        </w:rPr>
        <w:tab/>
      </w:r>
      <w:r w:rsidRPr="00DD2853">
        <w:rPr>
          <w:rFonts w:ascii="Times New Roman" w:hAnsi="Times New Roman"/>
          <w:b/>
          <w:i/>
          <w:sz w:val="24"/>
          <w:szCs w:val="24"/>
        </w:rPr>
        <w:t>case</w:t>
      </w:r>
      <w:r w:rsidRPr="00DD2853">
        <w:rPr>
          <w:rFonts w:ascii="Times New Roman" w:hAnsi="Times New Roman"/>
          <w:sz w:val="24"/>
          <w:szCs w:val="24"/>
        </w:rPr>
        <w:t xml:space="preserve"> means an investigation, review or inquiry under Part XVB of the Act. </w:t>
      </w:r>
    </w:p>
    <w:p w:rsidR="00C04209" w:rsidRPr="00DD2853" w:rsidRDefault="00C04209" w:rsidP="00EC2AB3">
      <w:pPr>
        <w:ind w:left="720"/>
        <w:rPr>
          <w:rFonts w:ascii="Times New Roman" w:hAnsi="Times New Roman"/>
          <w:sz w:val="24"/>
          <w:szCs w:val="24"/>
        </w:rPr>
      </w:pPr>
      <w:r w:rsidRPr="00DD2853">
        <w:rPr>
          <w:rFonts w:ascii="Times New Roman" w:hAnsi="Times New Roman"/>
          <w:b/>
          <w:i/>
          <w:sz w:val="24"/>
          <w:szCs w:val="24"/>
        </w:rPr>
        <w:t>Commissioner</w:t>
      </w:r>
      <w:r w:rsidRPr="00DD2853">
        <w:rPr>
          <w:rFonts w:ascii="Times New Roman" w:hAnsi="Times New Roman"/>
          <w:sz w:val="24"/>
          <w:szCs w:val="24"/>
        </w:rPr>
        <w:t xml:space="preserve"> means the Commissioner of the Anti-Dumping Commission. </w:t>
      </w:r>
    </w:p>
    <w:p w:rsidR="00CC70C2" w:rsidRPr="00DD2853" w:rsidRDefault="00CC70C2" w:rsidP="00EC2AB3">
      <w:pPr>
        <w:ind w:left="720"/>
        <w:rPr>
          <w:rFonts w:ascii="Times New Roman" w:hAnsi="Times New Roman"/>
          <w:sz w:val="24"/>
          <w:szCs w:val="24"/>
        </w:rPr>
      </w:pPr>
      <w:r w:rsidRPr="00DD2853">
        <w:rPr>
          <w:rFonts w:ascii="Times New Roman" w:hAnsi="Times New Roman"/>
          <w:b/>
          <w:i/>
          <w:sz w:val="24"/>
          <w:szCs w:val="24"/>
        </w:rPr>
        <w:t>entity or entities</w:t>
      </w:r>
      <w:r w:rsidRPr="00DD2853">
        <w:rPr>
          <w:rFonts w:ascii="Times New Roman" w:hAnsi="Times New Roman"/>
          <w:sz w:val="24"/>
          <w:szCs w:val="24"/>
        </w:rPr>
        <w:t xml:space="preserve"> have the same meaning as ‘entities’ (in the singular for entity) given under </w:t>
      </w:r>
      <w:r w:rsidR="00D322F2" w:rsidRPr="00DD2853">
        <w:rPr>
          <w:rFonts w:ascii="Times New Roman" w:hAnsi="Times New Roman"/>
          <w:sz w:val="24"/>
          <w:szCs w:val="24"/>
        </w:rPr>
        <w:t>sub</w:t>
      </w:r>
      <w:r w:rsidRPr="00DD2853">
        <w:rPr>
          <w:rFonts w:ascii="Times New Roman" w:hAnsi="Times New Roman"/>
          <w:sz w:val="24"/>
          <w:szCs w:val="24"/>
        </w:rPr>
        <w:t>section 269TAACA(2) of the Act.</w:t>
      </w:r>
    </w:p>
    <w:p w:rsidR="00CC70C2" w:rsidRPr="00DD2853" w:rsidRDefault="00CC70C2" w:rsidP="00EC2AB3">
      <w:pPr>
        <w:spacing w:after="120"/>
        <w:ind w:left="709"/>
        <w:rPr>
          <w:rFonts w:ascii="Times New Roman" w:hAnsi="Times New Roman"/>
          <w:sz w:val="24"/>
          <w:szCs w:val="24"/>
        </w:rPr>
      </w:pPr>
      <w:r w:rsidRPr="00DD2853">
        <w:rPr>
          <w:rFonts w:ascii="Times New Roman" w:hAnsi="Times New Roman"/>
          <w:b/>
          <w:i/>
          <w:sz w:val="24"/>
          <w:szCs w:val="24"/>
        </w:rPr>
        <w:t>interested party</w:t>
      </w:r>
      <w:r w:rsidRPr="00DD2853">
        <w:rPr>
          <w:rFonts w:ascii="Times New Roman" w:hAnsi="Times New Roman"/>
          <w:sz w:val="24"/>
          <w:szCs w:val="24"/>
        </w:rPr>
        <w:t xml:space="preserve"> has the same meaning as </w:t>
      </w:r>
      <w:r w:rsidR="00D322F2" w:rsidRPr="00DD2853">
        <w:rPr>
          <w:rFonts w:ascii="Times New Roman" w:hAnsi="Times New Roman"/>
          <w:sz w:val="24"/>
          <w:szCs w:val="24"/>
        </w:rPr>
        <w:t xml:space="preserve">‘interested party’ </w:t>
      </w:r>
      <w:r w:rsidRPr="00DD2853">
        <w:rPr>
          <w:rFonts w:ascii="Times New Roman" w:hAnsi="Times New Roman"/>
          <w:sz w:val="24"/>
          <w:szCs w:val="24"/>
        </w:rPr>
        <w:t xml:space="preserve">under </w:t>
      </w:r>
      <w:r w:rsidR="003C5AB3" w:rsidRPr="00DD2853">
        <w:rPr>
          <w:rFonts w:ascii="Times New Roman" w:hAnsi="Times New Roman"/>
          <w:sz w:val="24"/>
          <w:szCs w:val="24"/>
        </w:rPr>
        <w:t>sub</w:t>
      </w:r>
      <w:r w:rsidRPr="00DD2853">
        <w:rPr>
          <w:rFonts w:ascii="Times New Roman" w:hAnsi="Times New Roman"/>
          <w:sz w:val="24"/>
          <w:szCs w:val="24"/>
        </w:rPr>
        <w:t>section 269T</w:t>
      </w:r>
      <w:r w:rsidR="003C5AB3" w:rsidRPr="00DD2853">
        <w:rPr>
          <w:rFonts w:ascii="Times New Roman" w:hAnsi="Times New Roman"/>
          <w:sz w:val="24"/>
          <w:szCs w:val="24"/>
        </w:rPr>
        <w:t>(1)</w:t>
      </w:r>
      <w:r w:rsidRPr="00CC5360">
        <w:rPr>
          <w:rFonts w:ascii="Times New Roman" w:hAnsi="Times New Roman" w:cs="Times New Roman"/>
          <w:sz w:val="24"/>
          <w:szCs w:val="24"/>
        </w:rPr>
        <w:t xml:space="preserve"> </w:t>
      </w:r>
      <w:r w:rsidRPr="00DD2853">
        <w:rPr>
          <w:rFonts w:ascii="Times New Roman" w:hAnsi="Times New Roman"/>
          <w:sz w:val="24"/>
          <w:szCs w:val="24"/>
        </w:rPr>
        <w:t>of the Act.</w:t>
      </w:r>
    </w:p>
    <w:p w:rsidR="00CC70C2" w:rsidRPr="00DD2853" w:rsidRDefault="00CC70C2" w:rsidP="00EC2AB3">
      <w:pPr>
        <w:ind w:left="720"/>
        <w:rPr>
          <w:rFonts w:ascii="Times New Roman" w:hAnsi="Times New Roman"/>
          <w:sz w:val="24"/>
          <w:szCs w:val="24"/>
        </w:rPr>
      </w:pPr>
      <w:r w:rsidRPr="00DD2853">
        <w:rPr>
          <w:rFonts w:ascii="Times New Roman" w:hAnsi="Times New Roman"/>
          <w:b/>
          <w:i/>
          <w:sz w:val="24"/>
          <w:szCs w:val="24"/>
        </w:rPr>
        <w:t>key aspect</w:t>
      </w:r>
      <w:r w:rsidRPr="00DD2853">
        <w:rPr>
          <w:rFonts w:ascii="Times New Roman" w:hAnsi="Times New Roman"/>
          <w:sz w:val="24"/>
          <w:szCs w:val="24"/>
        </w:rPr>
        <w:t xml:space="preserve"> means </w:t>
      </w:r>
      <w:r w:rsidR="005B25FC" w:rsidRPr="00DD2853">
        <w:rPr>
          <w:rFonts w:ascii="Times New Roman" w:hAnsi="Times New Roman"/>
          <w:sz w:val="24"/>
          <w:szCs w:val="24"/>
        </w:rPr>
        <w:t xml:space="preserve">the </w:t>
      </w:r>
      <w:r w:rsidR="007658DE" w:rsidRPr="00DD2853">
        <w:rPr>
          <w:rFonts w:ascii="Times New Roman" w:hAnsi="Times New Roman"/>
          <w:sz w:val="24"/>
          <w:szCs w:val="24"/>
        </w:rPr>
        <w:t xml:space="preserve">making, by the Commissioner, of a </w:t>
      </w:r>
      <w:r w:rsidR="00CF6535" w:rsidRPr="00DD2853">
        <w:rPr>
          <w:rFonts w:ascii="Times New Roman" w:hAnsi="Times New Roman"/>
          <w:sz w:val="24"/>
          <w:szCs w:val="24"/>
        </w:rPr>
        <w:t xml:space="preserve">preliminary affirmative determination, a </w:t>
      </w:r>
      <w:r w:rsidR="007658DE" w:rsidRPr="00DD2853">
        <w:rPr>
          <w:rFonts w:ascii="Times New Roman" w:hAnsi="Times New Roman"/>
          <w:sz w:val="24"/>
          <w:szCs w:val="24"/>
        </w:rPr>
        <w:t>statement of essential facts</w:t>
      </w:r>
      <w:r w:rsidR="00CF6535" w:rsidRPr="00DD2853">
        <w:rPr>
          <w:rFonts w:ascii="Times New Roman" w:hAnsi="Times New Roman"/>
          <w:sz w:val="24"/>
          <w:szCs w:val="24"/>
        </w:rPr>
        <w:t>, a report relating to the termination of a case,</w:t>
      </w:r>
      <w:r w:rsidR="007658DE" w:rsidRPr="00DD2853">
        <w:rPr>
          <w:rFonts w:ascii="Times New Roman" w:hAnsi="Times New Roman"/>
          <w:sz w:val="24"/>
          <w:szCs w:val="24"/>
        </w:rPr>
        <w:t xml:space="preserve"> or a </w:t>
      </w:r>
      <w:r w:rsidR="005B25FC" w:rsidRPr="00DD2853">
        <w:rPr>
          <w:rFonts w:ascii="Times New Roman" w:hAnsi="Times New Roman"/>
          <w:sz w:val="24"/>
          <w:szCs w:val="24"/>
        </w:rPr>
        <w:t>report</w:t>
      </w:r>
      <w:r w:rsidR="007658DE" w:rsidRPr="00DD2853">
        <w:rPr>
          <w:rFonts w:ascii="Times New Roman" w:hAnsi="Times New Roman"/>
          <w:sz w:val="24"/>
          <w:szCs w:val="24"/>
        </w:rPr>
        <w:t xml:space="preserve"> to the Minister.</w:t>
      </w:r>
    </w:p>
    <w:p w:rsidR="00CC70C2" w:rsidRPr="00DD2853" w:rsidRDefault="00CC70C2" w:rsidP="00EC2AB3">
      <w:pPr>
        <w:ind w:left="720"/>
        <w:rPr>
          <w:rFonts w:ascii="Times New Roman" w:hAnsi="Times New Roman"/>
          <w:sz w:val="24"/>
          <w:szCs w:val="24"/>
        </w:rPr>
      </w:pPr>
      <w:r w:rsidRPr="00DD2853">
        <w:rPr>
          <w:rFonts w:ascii="Times New Roman" w:hAnsi="Times New Roman"/>
          <w:b/>
          <w:i/>
          <w:sz w:val="24"/>
          <w:szCs w:val="24"/>
        </w:rPr>
        <w:lastRenderedPageBreak/>
        <w:t>legislated period</w:t>
      </w:r>
      <w:r w:rsidRPr="00DD2853">
        <w:rPr>
          <w:rFonts w:ascii="Times New Roman" w:hAnsi="Times New Roman"/>
          <w:sz w:val="24"/>
          <w:szCs w:val="24"/>
        </w:rPr>
        <w:t xml:space="preserve"> means a timeframe specified, determined or prescribed for submitting any kind of response relating to any case, including the period specified in the Commissioner’s notice or other correspondence to an interested party in any case.</w:t>
      </w:r>
    </w:p>
    <w:p w:rsidR="00CC70C2" w:rsidRPr="00DD2853" w:rsidRDefault="00CC70C2" w:rsidP="00EC2AB3">
      <w:pPr>
        <w:ind w:left="720"/>
        <w:rPr>
          <w:rFonts w:ascii="Times New Roman" w:hAnsi="Times New Roman"/>
          <w:sz w:val="24"/>
          <w:szCs w:val="24"/>
        </w:rPr>
      </w:pPr>
      <w:r w:rsidRPr="00DD2853">
        <w:rPr>
          <w:rFonts w:ascii="Times New Roman" w:hAnsi="Times New Roman"/>
          <w:b/>
          <w:i/>
          <w:sz w:val="24"/>
          <w:szCs w:val="24"/>
        </w:rPr>
        <w:t>non-cooperative entity</w:t>
      </w:r>
      <w:r w:rsidRPr="00DD2853">
        <w:rPr>
          <w:rFonts w:ascii="Times New Roman" w:hAnsi="Times New Roman"/>
          <w:sz w:val="24"/>
          <w:szCs w:val="24"/>
        </w:rPr>
        <w:t xml:space="preserve"> means an entity that </w:t>
      </w:r>
      <w:r w:rsidR="007658DE" w:rsidRPr="00DD2853">
        <w:rPr>
          <w:rFonts w:ascii="Times New Roman" w:hAnsi="Times New Roman"/>
          <w:sz w:val="24"/>
          <w:szCs w:val="24"/>
        </w:rPr>
        <w:t xml:space="preserve">the Commissioner is satisfied </w:t>
      </w:r>
      <w:r w:rsidRPr="00DD2853">
        <w:rPr>
          <w:rFonts w:ascii="Times New Roman" w:hAnsi="Times New Roman"/>
          <w:sz w:val="24"/>
          <w:szCs w:val="24"/>
        </w:rPr>
        <w:t xml:space="preserve">has </w:t>
      </w:r>
      <w:r w:rsidR="000849AE" w:rsidRPr="00DD2853">
        <w:rPr>
          <w:rFonts w:ascii="Times New Roman" w:hAnsi="Times New Roman"/>
          <w:sz w:val="24"/>
          <w:szCs w:val="24"/>
        </w:rPr>
        <w:t xml:space="preserve">either </w:t>
      </w:r>
      <w:r w:rsidRPr="00DD2853">
        <w:rPr>
          <w:rFonts w:ascii="Times New Roman" w:hAnsi="Times New Roman"/>
          <w:sz w:val="24"/>
          <w:szCs w:val="24"/>
        </w:rPr>
        <w:t xml:space="preserve">not </w:t>
      </w:r>
      <w:r w:rsidR="007658DE" w:rsidRPr="00DD2853">
        <w:rPr>
          <w:rFonts w:ascii="Times New Roman" w:hAnsi="Times New Roman"/>
          <w:sz w:val="24"/>
          <w:szCs w:val="24"/>
        </w:rPr>
        <w:t>provided information the Commissioner considers relevant to a case within a period the Commissioner considers reasonable</w:t>
      </w:r>
      <w:r w:rsidR="000849AE" w:rsidRPr="00DD2853">
        <w:rPr>
          <w:rFonts w:ascii="Times New Roman" w:hAnsi="Times New Roman"/>
          <w:sz w:val="24"/>
          <w:szCs w:val="24"/>
        </w:rPr>
        <w:t>,</w:t>
      </w:r>
      <w:r w:rsidR="007658DE" w:rsidRPr="00DD2853">
        <w:rPr>
          <w:rFonts w:ascii="Times New Roman" w:hAnsi="Times New Roman"/>
          <w:sz w:val="24"/>
          <w:szCs w:val="24"/>
        </w:rPr>
        <w:t xml:space="preserve"> or has significantly impeded the case.</w:t>
      </w:r>
      <w:r w:rsidRPr="00DD2853">
        <w:rPr>
          <w:rFonts w:ascii="Times New Roman" w:hAnsi="Times New Roman"/>
          <w:sz w:val="24"/>
          <w:szCs w:val="24"/>
        </w:rPr>
        <w:t xml:space="preserve"> </w:t>
      </w:r>
    </w:p>
    <w:p w:rsidR="00CC70C2" w:rsidRPr="00DD2853" w:rsidRDefault="00CC70C2" w:rsidP="00EC2AB3">
      <w:pPr>
        <w:ind w:left="720"/>
        <w:rPr>
          <w:rFonts w:ascii="Times New Roman" w:hAnsi="Times New Roman"/>
          <w:sz w:val="24"/>
          <w:szCs w:val="24"/>
        </w:rPr>
      </w:pPr>
      <w:r w:rsidRPr="00DD2853">
        <w:rPr>
          <w:rFonts w:ascii="Times New Roman" w:hAnsi="Times New Roman"/>
          <w:b/>
          <w:i/>
          <w:sz w:val="24"/>
          <w:szCs w:val="24"/>
        </w:rPr>
        <w:t>response</w:t>
      </w:r>
      <w:r w:rsidRPr="00DD2853">
        <w:rPr>
          <w:rFonts w:ascii="Times New Roman" w:hAnsi="Times New Roman"/>
          <w:sz w:val="24"/>
          <w:szCs w:val="24"/>
        </w:rPr>
        <w:t xml:space="preserve"> means any document or thing provided to the Commissioner in relation to any case, including submissions, information or answers to the questions in </w:t>
      </w:r>
      <w:r w:rsidRPr="00DD2853">
        <w:rPr>
          <w:rFonts w:ascii="Times New Roman" w:hAnsi="Times New Roman" w:cs="Times New Roman"/>
          <w:sz w:val="24"/>
          <w:szCs w:val="24"/>
        </w:rPr>
        <w:t>questionnaires</w:t>
      </w:r>
      <w:r w:rsidRPr="00DD2853">
        <w:rPr>
          <w:rFonts w:ascii="Times New Roman" w:hAnsi="Times New Roman"/>
          <w:sz w:val="24"/>
          <w:szCs w:val="24"/>
        </w:rPr>
        <w:t>.</w:t>
      </w:r>
    </w:p>
    <w:p w:rsidR="00CC70C2" w:rsidRPr="00DD2853" w:rsidRDefault="00CC70C2" w:rsidP="00EC2AB3">
      <w:pPr>
        <w:ind w:left="720"/>
        <w:rPr>
          <w:rFonts w:ascii="Times New Roman" w:hAnsi="Times New Roman"/>
          <w:sz w:val="24"/>
          <w:szCs w:val="24"/>
        </w:rPr>
      </w:pPr>
      <w:r w:rsidRPr="00DD2853">
        <w:rPr>
          <w:rFonts w:ascii="Times New Roman" w:hAnsi="Times New Roman"/>
          <w:b/>
          <w:i/>
          <w:sz w:val="24"/>
          <w:szCs w:val="24"/>
        </w:rPr>
        <w:t>uncooperative exporter</w:t>
      </w:r>
      <w:r w:rsidRPr="00DD2853">
        <w:rPr>
          <w:rFonts w:ascii="Times New Roman" w:hAnsi="Times New Roman"/>
          <w:sz w:val="24"/>
          <w:szCs w:val="24"/>
        </w:rPr>
        <w:t xml:space="preserve"> has the same meaning as </w:t>
      </w:r>
      <w:r w:rsidR="000849AE" w:rsidRPr="00DD2853">
        <w:rPr>
          <w:rFonts w:ascii="Times New Roman" w:hAnsi="Times New Roman"/>
          <w:sz w:val="24"/>
          <w:szCs w:val="24"/>
        </w:rPr>
        <w:t xml:space="preserve">‘uncooperative exporter’ </w:t>
      </w:r>
      <w:r w:rsidRPr="00DD2853">
        <w:rPr>
          <w:rFonts w:ascii="Times New Roman" w:hAnsi="Times New Roman"/>
          <w:sz w:val="24"/>
          <w:szCs w:val="24"/>
        </w:rPr>
        <w:t>under section 269T of the Act.</w:t>
      </w:r>
    </w:p>
    <w:p w:rsidR="00D16E6E" w:rsidRPr="00DD2853" w:rsidRDefault="00DD313B" w:rsidP="00CE0EB6">
      <w:pPr>
        <w:rPr>
          <w:rFonts w:ascii="Arial" w:hAnsi="Arial" w:cs="Arial"/>
          <w:sz w:val="24"/>
          <w:szCs w:val="24"/>
        </w:rPr>
      </w:pPr>
      <w:r w:rsidRPr="00DD2853">
        <w:rPr>
          <w:rFonts w:ascii="Arial" w:hAnsi="Arial" w:cs="Arial"/>
          <w:b/>
          <w:sz w:val="24"/>
          <w:szCs w:val="24"/>
        </w:rPr>
        <w:t xml:space="preserve">PART 2 - </w:t>
      </w:r>
      <w:r w:rsidR="00147634" w:rsidRPr="00DD2853">
        <w:rPr>
          <w:rFonts w:ascii="Arial" w:hAnsi="Arial" w:cs="Arial"/>
          <w:b/>
          <w:sz w:val="24"/>
          <w:szCs w:val="24"/>
        </w:rPr>
        <w:t>D</w:t>
      </w:r>
      <w:r w:rsidRPr="00DD2853">
        <w:rPr>
          <w:rFonts w:ascii="Arial" w:hAnsi="Arial" w:cs="Arial"/>
          <w:b/>
          <w:sz w:val="24"/>
          <w:szCs w:val="24"/>
        </w:rPr>
        <w:t>IRECTIONS</w:t>
      </w:r>
    </w:p>
    <w:p w:rsidR="00DC3ED1" w:rsidRDefault="00182C99" w:rsidP="0051476A">
      <w:pPr>
        <w:pStyle w:val="ListParagraph"/>
        <w:numPr>
          <w:ilvl w:val="0"/>
          <w:numId w:val="42"/>
        </w:numPr>
        <w:spacing w:before="240" w:after="240"/>
        <w:contextualSpacing w:val="0"/>
        <w:rPr>
          <w:rFonts w:ascii="Arial" w:hAnsi="Arial"/>
          <w:b/>
          <w:sz w:val="24"/>
          <w:szCs w:val="24"/>
        </w:rPr>
      </w:pPr>
      <w:r w:rsidRPr="00DD2853">
        <w:rPr>
          <w:rFonts w:ascii="Arial" w:hAnsi="Arial"/>
          <w:b/>
          <w:sz w:val="24"/>
          <w:szCs w:val="24"/>
        </w:rPr>
        <w:t>Extensions of time</w:t>
      </w:r>
      <w:r w:rsidR="00FF787D" w:rsidRPr="00DD2853">
        <w:rPr>
          <w:rFonts w:ascii="Arial" w:hAnsi="Arial"/>
          <w:b/>
          <w:sz w:val="24"/>
          <w:szCs w:val="24"/>
        </w:rPr>
        <w:t xml:space="preserve"> </w:t>
      </w:r>
      <w:r w:rsidR="006C1C08" w:rsidRPr="00DD2853">
        <w:rPr>
          <w:rFonts w:ascii="Arial" w:hAnsi="Arial"/>
          <w:b/>
          <w:sz w:val="24"/>
          <w:szCs w:val="24"/>
        </w:rPr>
        <w:t xml:space="preserve">– sections </w:t>
      </w:r>
      <w:r w:rsidR="00FF787D" w:rsidRPr="00DD2853">
        <w:rPr>
          <w:rFonts w:ascii="Arial" w:hAnsi="Arial"/>
          <w:b/>
          <w:sz w:val="24"/>
          <w:szCs w:val="24"/>
        </w:rPr>
        <w:t>269T</w:t>
      </w:r>
      <w:r w:rsidR="00C6664B" w:rsidRPr="00DD2853">
        <w:rPr>
          <w:rFonts w:ascii="Arial" w:hAnsi="Arial"/>
          <w:b/>
          <w:sz w:val="24"/>
          <w:szCs w:val="24"/>
        </w:rPr>
        <w:t>C</w:t>
      </w:r>
      <w:r w:rsidR="006C1C08" w:rsidRPr="00DD2853">
        <w:rPr>
          <w:rFonts w:ascii="Arial" w:hAnsi="Arial"/>
          <w:b/>
          <w:sz w:val="24"/>
          <w:szCs w:val="24"/>
        </w:rPr>
        <w:t xml:space="preserve"> and 269SMG</w:t>
      </w:r>
    </w:p>
    <w:p w:rsidR="00D3142A" w:rsidRDefault="00D3142A" w:rsidP="00DD2853">
      <w:pPr>
        <w:pStyle w:val="ListParagraph"/>
        <w:numPr>
          <w:ilvl w:val="0"/>
          <w:numId w:val="78"/>
        </w:numPr>
        <w:spacing w:before="120" w:after="120"/>
        <w:ind w:left="993"/>
        <w:contextualSpacing w:val="0"/>
        <w:rPr>
          <w:rFonts w:ascii="Times New Roman" w:hAnsi="Times New Roman" w:cs="Times New Roman"/>
          <w:sz w:val="24"/>
          <w:szCs w:val="24"/>
        </w:rPr>
      </w:pPr>
      <w:r w:rsidRPr="00354F10">
        <w:rPr>
          <w:rFonts w:ascii="Times New Roman" w:hAnsi="Times New Roman" w:cs="Times New Roman"/>
          <w:sz w:val="24"/>
          <w:szCs w:val="24"/>
        </w:rPr>
        <w:t>When</w:t>
      </w:r>
      <w:r>
        <w:rPr>
          <w:rFonts w:ascii="Times New Roman" w:hAnsi="Times New Roman" w:cs="Times New Roman"/>
          <w:sz w:val="24"/>
          <w:szCs w:val="24"/>
        </w:rPr>
        <w:t xml:space="preserve"> the Commissioner is:</w:t>
      </w:r>
    </w:p>
    <w:p w:rsidR="00D3142A" w:rsidRPr="00D3142A" w:rsidRDefault="00D3142A" w:rsidP="00DD2853">
      <w:pPr>
        <w:pStyle w:val="ListParagraph"/>
        <w:numPr>
          <w:ilvl w:val="0"/>
          <w:numId w:val="67"/>
        </w:numPr>
        <w:spacing w:before="120" w:after="120"/>
        <w:contextualSpacing w:val="0"/>
        <w:rPr>
          <w:rFonts w:ascii="Times New Roman" w:hAnsi="Times New Roman"/>
          <w:sz w:val="24"/>
          <w:szCs w:val="24"/>
        </w:rPr>
      </w:pPr>
      <w:r w:rsidRPr="00DD2853">
        <w:rPr>
          <w:rFonts w:ascii="Times New Roman" w:hAnsi="Times New Roman"/>
          <w:sz w:val="24"/>
          <w:szCs w:val="24"/>
        </w:rPr>
        <w:t xml:space="preserve">deciding if a longer period is reasonably required or practicable under subsections 269TC(6) and 269TC(9); or </w:t>
      </w:r>
    </w:p>
    <w:p w:rsidR="00D3142A" w:rsidRPr="00D3142A" w:rsidRDefault="00D3142A" w:rsidP="00DD2853">
      <w:pPr>
        <w:pStyle w:val="ListParagraph"/>
        <w:numPr>
          <w:ilvl w:val="0"/>
          <w:numId w:val="67"/>
        </w:numPr>
        <w:spacing w:before="120" w:after="120"/>
        <w:contextualSpacing w:val="0"/>
        <w:rPr>
          <w:rFonts w:ascii="Times New Roman" w:hAnsi="Times New Roman"/>
          <w:sz w:val="24"/>
          <w:szCs w:val="24"/>
        </w:rPr>
      </w:pPr>
      <w:r w:rsidRPr="00DD2853">
        <w:rPr>
          <w:rFonts w:ascii="Times New Roman" w:hAnsi="Times New Roman"/>
          <w:sz w:val="24"/>
          <w:szCs w:val="24"/>
        </w:rPr>
        <w:t>considering whether to allow any interested party a longer period to give any response (including under section 269SMG)</w:t>
      </w:r>
      <w:r w:rsidR="00C16C37">
        <w:rPr>
          <w:rFonts w:ascii="Times New Roman" w:hAnsi="Times New Roman"/>
          <w:sz w:val="24"/>
          <w:szCs w:val="24"/>
        </w:rPr>
        <w:t>;</w:t>
      </w:r>
    </w:p>
    <w:p w:rsidR="00DC3ED1" w:rsidRPr="00DD2853" w:rsidRDefault="00D3142A" w:rsidP="00DD2853">
      <w:pPr>
        <w:pStyle w:val="ListParagraph"/>
        <w:spacing w:before="120" w:after="120"/>
        <w:ind w:left="993"/>
        <w:contextualSpacing w:val="0"/>
        <w:rPr>
          <w:rFonts w:ascii="Times New Roman" w:hAnsi="Times New Roman"/>
          <w:sz w:val="24"/>
          <w:szCs w:val="24"/>
        </w:rPr>
      </w:pPr>
      <w:r>
        <w:rPr>
          <w:rFonts w:ascii="Times New Roman" w:hAnsi="Times New Roman" w:cs="Times New Roman"/>
          <w:sz w:val="24"/>
          <w:szCs w:val="24"/>
        </w:rPr>
        <w:t>t</w:t>
      </w:r>
      <w:r w:rsidR="00DC3ED1" w:rsidRPr="00DD2853">
        <w:rPr>
          <w:rFonts w:ascii="Times New Roman" w:hAnsi="Times New Roman"/>
          <w:sz w:val="24"/>
          <w:szCs w:val="24"/>
        </w:rPr>
        <w:t>he Commissioner must:</w:t>
      </w:r>
    </w:p>
    <w:p w:rsidR="00DC3ED1" w:rsidRPr="005B43AC" w:rsidRDefault="00DC3ED1" w:rsidP="00DD2853">
      <w:pPr>
        <w:pStyle w:val="ListParagraph"/>
        <w:numPr>
          <w:ilvl w:val="0"/>
          <w:numId w:val="81"/>
        </w:numPr>
        <w:spacing w:before="120" w:after="120"/>
        <w:ind w:left="2268"/>
        <w:contextualSpacing w:val="0"/>
        <w:rPr>
          <w:rFonts w:ascii="Times New Roman" w:hAnsi="Times New Roman" w:cs="Times New Roman"/>
          <w:sz w:val="24"/>
          <w:szCs w:val="24"/>
        </w:rPr>
      </w:pPr>
      <w:r w:rsidRPr="00D3142A">
        <w:rPr>
          <w:rFonts w:ascii="Times New Roman" w:hAnsi="Times New Roman" w:cs="Times New Roman"/>
          <w:sz w:val="24"/>
          <w:szCs w:val="24"/>
        </w:rPr>
        <w:t>take into account the responsibility to conduct cases in a timely and efficient manner;</w:t>
      </w:r>
      <w:r w:rsidRPr="005B43AC">
        <w:rPr>
          <w:rFonts w:ascii="Times New Roman" w:hAnsi="Times New Roman" w:cs="Times New Roman"/>
          <w:sz w:val="24"/>
          <w:szCs w:val="24"/>
        </w:rPr>
        <w:t xml:space="preserve"> </w:t>
      </w:r>
    </w:p>
    <w:p w:rsidR="00DC3ED1" w:rsidRPr="005B43AC" w:rsidRDefault="00DC3ED1" w:rsidP="00DD2853">
      <w:pPr>
        <w:pStyle w:val="ListParagraph"/>
        <w:numPr>
          <w:ilvl w:val="0"/>
          <w:numId w:val="81"/>
        </w:numPr>
        <w:spacing w:before="120" w:after="120"/>
        <w:ind w:left="2268"/>
        <w:contextualSpacing w:val="0"/>
        <w:rPr>
          <w:rFonts w:ascii="Times New Roman" w:hAnsi="Times New Roman" w:cs="Times New Roman"/>
          <w:sz w:val="24"/>
          <w:szCs w:val="24"/>
        </w:rPr>
      </w:pPr>
      <w:r w:rsidRPr="0081767F">
        <w:rPr>
          <w:rFonts w:ascii="Times New Roman" w:hAnsi="Times New Roman" w:cs="Times New Roman"/>
          <w:sz w:val="24"/>
          <w:szCs w:val="24"/>
        </w:rPr>
        <w:t>reject a request for a longer period if the request has not been made before the legislated period has ended;</w:t>
      </w:r>
      <w:r w:rsidR="005B43AC">
        <w:rPr>
          <w:rFonts w:ascii="Times New Roman" w:hAnsi="Times New Roman" w:cs="Times New Roman"/>
          <w:sz w:val="24"/>
          <w:szCs w:val="24"/>
        </w:rPr>
        <w:t xml:space="preserve"> and</w:t>
      </w:r>
    </w:p>
    <w:p w:rsidR="00D3142A" w:rsidRPr="0081767F" w:rsidRDefault="00DC3ED1" w:rsidP="00DD2853">
      <w:pPr>
        <w:pStyle w:val="ListParagraph"/>
        <w:numPr>
          <w:ilvl w:val="0"/>
          <w:numId w:val="81"/>
        </w:numPr>
        <w:spacing w:before="120" w:after="120"/>
        <w:ind w:left="2268"/>
        <w:contextualSpacing w:val="0"/>
        <w:rPr>
          <w:rFonts w:ascii="Times New Roman" w:hAnsi="Times New Roman" w:cs="Times New Roman"/>
          <w:sz w:val="24"/>
          <w:szCs w:val="24"/>
        </w:rPr>
      </w:pPr>
      <w:r w:rsidRPr="005B43AC">
        <w:rPr>
          <w:rFonts w:ascii="Times New Roman" w:hAnsi="Times New Roman" w:cs="Times New Roman"/>
          <w:sz w:val="24"/>
          <w:szCs w:val="24"/>
        </w:rPr>
        <w:t>in considering any reasons provided to support the request by any interested party</w:t>
      </w:r>
      <w:r w:rsidR="004C66D6">
        <w:rPr>
          <w:rFonts w:ascii="Times New Roman" w:hAnsi="Times New Roman" w:cs="Times New Roman"/>
          <w:sz w:val="24"/>
          <w:szCs w:val="24"/>
        </w:rPr>
        <w:t>, have regard to the matters specified at 5(b)</w:t>
      </w:r>
      <w:r w:rsidR="00D3142A" w:rsidRPr="0081767F">
        <w:rPr>
          <w:rFonts w:ascii="Times New Roman" w:hAnsi="Times New Roman" w:cs="Times New Roman"/>
          <w:sz w:val="24"/>
          <w:szCs w:val="24"/>
        </w:rPr>
        <w:t>.</w:t>
      </w:r>
    </w:p>
    <w:p w:rsidR="00DC3ED1" w:rsidRPr="00D3142A" w:rsidRDefault="00D3142A" w:rsidP="00DD2853">
      <w:pPr>
        <w:pStyle w:val="ListParagraph"/>
        <w:numPr>
          <w:ilvl w:val="0"/>
          <w:numId w:val="78"/>
        </w:numPr>
        <w:spacing w:before="120" w:after="120"/>
        <w:ind w:left="993"/>
        <w:contextualSpacing w:val="0"/>
        <w:rPr>
          <w:rFonts w:ascii="Times New Roman" w:hAnsi="Times New Roman"/>
          <w:sz w:val="24"/>
          <w:szCs w:val="24"/>
        </w:rPr>
      </w:pPr>
      <w:r>
        <w:rPr>
          <w:rFonts w:ascii="Times New Roman" w:hAnsi="Times New Roman"/>
          <w:sz w:val="24"/>
          <w:szCs w:val="24"/>
        </w:rPr>
        <w:t>When the Commissioner is considering any reasons provided to support the request by any interested parties under 5(a)(i)(3) or (ii)(3), the Commissioner must</w:t>
      </w:r>
      <w:r w:rsidR="00DC3ED1" w:rsidRPr="00D3142A">
        <w:rPr>
          <w:rFonts w:ascii="Times New Roman" w:hAnsi="Times New Roman"/>
          <w:sz w:val="24"/>
          <w:szCs w:val="24"/>
        </w:rPr>
        <w:t xml:space="preserve"> have regard to whether:</w:t>
      </w:r>
    </w:p>
    <w:p w:rsidR="00DC3ED1" w:rsidRPr="00FE79B2" w:rsidRDefault="00DC3ED1" w:rsidP="00DD2853">
      <w:pPr>
        <w:pStyle w:val="ListParagraph"/>
        <w:numPr>
          <w:ilvl w:val="0"/>
          <w:numId w:val="82"/>
        </w:numPr>
        <w:spacing w:before="120" w:after="120"/>
        <w:contextualSpacing w:val="0"/>
        <w:rPr>
          <w:rFonts w:ascii="Times New Roman" w:hAnsi="Times New Roman"/>
          <w:sz w:val="24"/>
          <w:szCs w:val="24"/>
        </w:rPr>
      </w:pPr>
      <w:r w:rsidRPr="005B43AC">
        <w:rPr>
          <w:rFonts w:ascii="Times New Roman" w:hAnsi="Times New Roman"/>
          <w:sz w:val="24"/>
          <w:szCs w:val="24"/>
        </w:rPr>
        <w:t>an interested</w:t>
      </w:r>
      <w:r w:rsidRPr="00FE79B2">
        <w:rPr>
          <w:rFonts w:ascii="Times New Roman" w:hAnsi="Times New Roman"/>
          <w:sz w:val="24"/>
          <w:szCs w:val="24"/>
        </w:rPr>
        <w:t xml:space="preserve"> party has provided reasons why it could not provide its response within the whole legislated period and not only the period remaining between the request and the end of the legislated period; </w:t>
      </w:r>
    </w:p>
    <w:p w:rsidR="00DC3ED1" w:rsidRPr="00FE79B2" w:rsidRDefault="00DC3ED1" w:rsidP="00DD2853">
      <w:pPr>
        <w:pStyle w:val="ListParagraph"/>
        <w:numPr>
          <w:ilvl w:val="0"/>
          <w:numId w:val="82"/>
        </w:numPr>
        <w:spacing w:before="120" w:after="120"/>
        <w:contextualSpacing w:val="0"/>
        <w:rPr>
          <w:rFonts w:ascii="Times New Roman" w:hAnsi="Times New Roman"/>
          <w:sz w:val="24"/>
          <w:szCs w:val="24"/>
        </w:rPr>
      </w:pPr>
      <w:r w:rsidRPr="00FE79B2">
        <w:rPr>
          <w:rFonts w:ascii="Times New Roman" w:hAnsi="Times New Roman"/>
          <w:sz w:val="24"/>
          <w:szCs w:val="24"/>
        </w:rPr>
        <w:t>the reasons provided are acceptable</w:t>
      </w:r>
      <w:r w:rsidRPr="00D3142A">
        <w:rPr>
          <w:rFonts w:ascii="Times New Roman" w:hAnsi="Times New Roman"/>
          <w:sz w:val="24"/>
          <w:szCs w:val="24"/>
        </w:rPr>
        <w:t>,</w:t>
      </w:r>
      <w:r w:rsidRPr="00FE79B2">
        <w:rPr>
          <w:rFonts w:ascii="Times New Roman" w:hAnsi="Times New Roman"/>
          <w:sz w:val="24"/>
          <w:szCs w:val="24"/>
        </w:rPr>
        <w:t xml:space="preserve"> taking into account ordinary business practices or ordinary commercial principles;</w:t>
      </w:r>
    </w:p>
    <w:p w:rsidR="00DC3ED1" w:rsidRPr="00FE79B2" w:rsidRDefault="00DC3ED1" w:rsidP="00DD2853">
      <w:pPr>
        <w:pStyle w:val="ListParagraph"/>
        <w:numPr>
          <w:ilvl w:val="0"/>
          <w:numId w:val="82"/>
        </w:numPr>
        <w:spacing w:before="120" w:after="120"/>
        <w:contextualSpacing w:val="0"/>
        <w:rPr>
          <w:rFonts w:ascii="Times New Roman" w:hAnsi="Times New Roman"/>
          <w:sz w:val="24"/>
          <w:szCs w:val="24"/>
        </w:rPr>
      </w:pPr>
      <w:r w:rsidRPr="00FE79B2">
        <w:rPr>
          <w:rFonts w:ascii="Times New Roman" w:hAnsi="Times New Roman"/>
          <w:sz w:val="24"/>
          <w:szCs w:val="24"/>
        </w:rPr>
        <w:lastRenderedPageBreak/>
        <w:t>the reasons provided are consistent with the Commissioner’s understanding of the relevant industry; and</w:t>
      </w:r>
    </w:p>
    <w:p w:rsidR="00111D3A" w:rsidRPr="00D04560" w:rsidRDefault="00DC3ED1" w:rsidP="00D04560">
      <w:pPr>
        <w:pStyle w:val="ListParagraph"/>
        <w:numPr>
          <w:ilvl w:val="0"/>
          <w:numId w:val="82"/>
        </w:numPr>
        <w:spacing w:before="120" w:after="120"/>
        <w:contextualSpacing w:val="0"/>
        <w:rPr>
          <w:rFonts w:ascii="Arial" w:hAnsi="Arial"/>
          <w:b/>
          <w:sz w:val="24"/>
          <w:szCs w:val="24"/>
        </w:rPr>
      </w:pPr>
      <w:r w:rsidRPr="00FE79B2">
        <w:rPr>
          <w:rFonts w:ascii="Times New Roman" w:hAnsi="Times New Roman"/>
          <w:sz w:val="24"/>
          <w:szCs w:val="24"/>
        </w:rPr>
        <w:t>the reasons provided are consistent with previous correspondence from the party</w:t>
      </w:r>
      <w:r w:rsidRPr="00D3142A">
        <w:rPr>
          <w:rFonts w:ascii="Times New Roman" w:hAnsi="Times New Roman"/>
          <w:sz w:val="24"/>
          <w:szCs w:val="24"/>
        </w:rPr>
        <w:t>,</w:t>
      </w:r>
      <w:r w:rsidRPr="00FE79B2">
        <w:rPr>
          <w:rFonts w:ascii="Times New Roman" w:hAnsi="Times New Roman"/>
          <w:sz w:val="24"/>
          <w:szCs w:val="24"/>
        </w:rPr>
        <w:t xml:space="preserve"> previous dealings with the party</w:t>
      </w:r>
      <w:r w:rsidRPr="00D3142A">
        <w:rPr>
          <w:rFonts w:ascii="Times New Roman" w:hAnsi="Times New Roman"/>
          <w:sz w:val="24"/>
          <w:szCs w:val="24"/>
        </w:rPr>
        <w:t>, or information provided by other interested parties</w:t>
      </w:r>
      <w:r w:rsidR="00D3142A">
        <w:rPr>
          <w:rFonts w:ascii="Times New Roman" w:hAnsi="Times New Roman"/>
          <w:sz w:val="24"/>
          <w:szCs w:val="24"/>
        </w:rPr>
        <w:t>,</w:t>
      </w:r>
    </w:p>
    <w:p w:rsidR="00414A19" w:rsidRPr="00DD2853" w:rsidRDefault="006F298A" w:rsidP="00830901">
      <w:pPr>
        <w:pStyle w:val="ListParagraph"/>
        <w:numPr>
          <w:ilvl w:val="0"/>
          <w:numId w:val="42"/>
        </w:numPr>
        <w:spacing w:before="240" w:after="240"/>
        <w:contextualSpacing w:val="0"/>
        <w:rPr>
          <w:rFonts w:ascii="Arial" w:hAnsi="Arial"/>
          <w:b/>
          <w:sz w:val="24"/>
          <w:szCs w:val="24"/>
        </w:rPr>
      </w:pPr>
      <w:r w:rsidRPr="00DD2853">
        <w:rPr>
          <w:rFonts w:ascii="Arial" w:hAnsi="Arial"/>
          <w:b/>
          <w:sz w:val="24"/>
          <w:szCs w:val="24"/>
        </w:rPr>
        <w:t>Insufficient responses</w:t>
      </w:r>
      <w:r w:rsidR="006C1C08" w:rsidRPr="00DD2853">
        <w:rPr>
          <w:rFonts w:ascii="Arial" w:hAnsi="Arial"/>
          <w:b/>
          <w:sz w:val="24"/>
          <w:szCs w:val="24"/>
        </w:rPr>
        <w:t xml:space="preserve"> – section </w:t>
      </w:r>
      <w:r w:rsidR="006C1C08" w:rsidRPr="00DD2853">
        <w:rPr>
          <w:rFonts w:ascii="Arial" w:hAnsi="Arial" w:cs="Arial"/>
          <w:b/>
          <w:sz w:val="24"/>
          <w:szCs w:val="24"/>
        </w:rPr>
        <w:t>296SMG</w:t>
      </w:r>
    </w:p>
    <w:p w:rsidR="007C3372" w:rsidRPr="00DD2853" w:rsidRDefault="00824D97" w:rsidP="009173FB">
      <w:pPr>
        <w:pStyle w:val="ListParagraph"/>
        <w:numPr>
          <w:ilvl w:val="0"/>
          <w:numId w:val="65"/>
        </w:numPr>
        <w:spacing w:before="120" w:after="120"/>
        <w:ind w:left="851" w:hanging="284"/>
        <w:rPr>
          <w:rFonts w:ascii="Times New Roman" w:hAnsi="Times New Roman"/>
          <w:sz w:val="24"/>
          <w:szCs w:val="24"/>
        </w:rPr>
      </w:pPr>
      <w:r w:rsidRPr="00DD2853">
        <w:rPr>
          <w:rFonts w:ascii="Times New Roman" w:hAnsi="Times New Roman" w:cs="Times New Roman"/>
          <w:sz w:val="24"/>
          <w:szCs w:val="24"/>
        </w:rPr>
        <w:t>If</w:t>
      </w:r>
      <w:r w:rsidR="007C3372" w:rsidRPr="00DD2853">
        <w:rPr>
          <w:rFonts w:ascii="Times New Roman" w:hAnsi="Times New Roman" w:cs="Times New Roman"/>
          <w:sz w:val="24"/>
          <w:szCs w:val="24"/>
        </w:rPr>
        <w:t>:</w:t>
      </w:r>
    </w:p>
    <w:p w:rsidR="00A970EF" w:rsidRPr="00DD2853" w:rsidRDefault="006F298A" w:rsidP="00DD2853">
      <w:pPr>
        <w:pStyle w:val="ListParagraph"/>
        <w:numPr>
          <w:ilvl w:val="0"/>
          <w:numId w:val="83"/>
        </w:numPr>
        <w:spacing w:before="120" w:after="120"/>
        <w:contextualSpacing w:val="0"/>
        <w:rPr>
          <w:rFonts w:ascii="Times New Roman" w:hAnsi="Times New Roman"/>
          <w:sz w:val="24"/>
          <w:szCs w:val="24"/>
        </w:rPr>
      </w:pPr>
      <w:r w:rsidRPr="00DD2853">
        <w:rPr>
          <w:rFonts w:ascii="Times New Roman" w:hAnsi="Times New Roman"/>
          <w:sz w:val="24"/>
          <w:szCs w:val="24"/>
        </w:rPr>
        <w:t xml:space="preserve">an interested party </w:t>
      </w:r>
      <w:r w:rsidR="001A6759" w:rsidRPr="00DD2853">
        <w:rPr>
          <w:rFonts w:ascii="Times New Roman" w:hAnsi="Times New Roman"/>
          <w:sz w:val="24"/>
          <w:szCs w:val="24"/>
        </w:rPr>
        <w:t xml:space="preserve">has </w:t>
      </w:r>
      <w:r w:rsidRPr="00DD2853">
        <w:rPr>
          <w:rFonts w:ascii="Times New Roman" w:hAnsi="Times New Roman"/>
          <w:sz w:val="24"/>
          <w:szCs w:val="24"/>
        </w:rPr>
        <w:t>provide</w:t>
      </w:r>
      <w:r w:rsidR="001A6759" w:rsidRPr="00DD2853">
        <w:rPr>
          <w:rFonts w:ascii="Times New Roman" w:hAnsi="Times New Roman"/>
          <w:sz w:val="24"/>
          <w:szCs w:val="24"/>
        </w:rPr>
        <w:t>d</w:t>
      </w:r>
      <w:r w:rsidRPr="00DD2853">
        <w:rPr>
          <w:rFonts w:ascii="Times New Roman" w:hAnsi="Times New Roman"/>
          <w:sz w:val="24"/>
          <w:szCs w:val="24"/>
        </w:rPr>
        <w:t xml:space="preserve"> a </w:t>
      </w:r>
      <w:r w:rsidR="00433EDD" w:rsidRPr="00DD2853">
        <w:rPr>
          <w:rFonts w:ascii="Times New Roman" w:hAnsi="Times New Roman"/>
          <w:sz w:val="24"/>
          <w:szCs w:val="24"/>
        </w:rPr>
        <w:t>response</w:t>
      </w:r>
      <w:r w:rsidRPr="00DD2853">
        <w:rPr>
          <w:rFonts w:ascii="Times New Roman" w:hAnsi="Times New Roman"/>
          <w:sz w:val="24"/>
          <w:szCs w:val="24"/>
        </w:rPr>
        <w:t xml:space="preserve"> within the </w:t>
      </w:r>
      <w:r w:rsidR="001A6759" w:rsidRPr="00DD2853">
        <w:rPr>
          <w:rFonts w:ascii="Times New Roman" w:hAnsi="Times New Roman"/>
          <w:sz w:val="24"/>
          <w:szCs w:val="24"/>
        </w:rPr>
        <w:t>legislated period</w:t>
      </w:r>
      <w:r w:rsidR="00261EC9" w:rsidRPr="00DD2853">
        <w:rPr>
          <w:rFonts w:ascii="Times New Roman" w:hAnsi="Times New Roman"/>
          <w:sz w:val="24"/>
          <w:szCs w:val="24"/>
        </w:rPr>
        <w:t>;</w:t>
      </w:r>
    </w:p>
    <w:p w:rsidR="00A970EF" w:rsidRPr="00DD2853" w:rsidRDefault="00261EC9" w:rsidP="00DD2853">
      <w:pPr>
        <w:pStyle w:val="ListParagraph"/>
        <w:numPr>
          <w:ilvl w:val="0"/>
          <w:numId w:val="83"/>
        </w:numPr>
        <w:spacing w:before="120" w:after="120"/>
        <w:contextualSpacing w:val="0"/>
        <w:rPr>
          <w:rFonts w:ascii="Times New Roman" w:hAnsi="Times New Roman"/>
          <w:sz w:val="24"/>
          <w:szCs w:val="24"/>
        </w:rPr>
      </w:pPr>
      <w:r w:rsidRPr="00DD2853">
        <w:rPr>
          <w:rFonts w:ascii="Times New Roman" w:hAnsi="Times New Roman"/>
          <w:sz w:val="24"/>
          <w:szCs w:val="24"/>
        </w:rPr>
        <w:t>that response</w:t>
      </w:r>
      <w:r w:rsidR="006F298A" w:rsidRPr="00DD2853">
        <w:rPr>
          <w:rFonts w:ascii="Times New Roman" w:hAnsi="Times New Roman"/>
          <w:sz w:val="24"/>
          <w:szCs w:val="24"/>
        </w:rPr>
        <w:t xml:space="preserve"> has deficiencies that could, in the Commissioner’s view, be </w:t>
      </w:r>
      <w:r w:rsidR="00111D3A">
        <w:rPr>
          <w:rFonts w:ascii="Times New Roman" w:hAnsi="Times New Roman"/>
          <w:sz w:val="24"/>
          <w:szCs w:val="24"/>
        </w:rPr>
        <w:t xml:space="preserve">quickly and </w:t>
      </w:r>
      <w:r w:rsidR="001A6759" w:rsidRPr="00DD2853">
        <w:rPr>
          <w:rFonts w:ascii="Times New Roman" w:hAnsi="Times New Roman"/>
          <w:sz w:val="24"/>
          <w:szCs w:val="24"/>
        </w:rPr>
        <w:t>easily</w:t>
      </w:r>
      <w:r w:rsidR="006F298A" w:rsidRPr="00DD2853">
        <w:rPr>
          <w:rFonts w:ascii="Times New Roman" w:hAnsi="Times New Roman"/>
          <w:sz w:val="24"/>
          <w:szCs w:val="24"/>
        </w:rPr>
        <w:t xml:space="preserve"> rectified in a</w:t>
      </w:r>
      <w:r w:rsidR="001A6759" w:rsidRPr="00DD2853">
        <w:rPr>
          <w:rFonts w:ascii="Times New Roman" w:hAnsi="Times New Roman"/>
          <w:sz w:val="24"/>
          <w:szCs w:val="24"/>
        </w:rPr>
        <w:t xml:space="preserve"> further</w:t>
      </w:r>
      <w:r w:rsidR="006F298A" w:rsidRPr="00DD2853">
        <w:rPr>
          <w:rFonts w:ascii="Times New Roman" w:hAnsi="Times New Roman"/>
          <w:sz w:val="24"/>
          <w:szCs w:val="24"/>
        </w:rPr>
        <w:t xml:space="preserve"> </w:t>
      </w:r>
      <w:r w:rsidRPr="00DD2853">
        <w:rPr>
          <w:rFonts w:ascii="Times New Roman" w:hAnsi="Times New Roman"/>
          <w:sz w:val="24"/>
          <w:szCs w:val="24"/>
        </w:rPr>
        <w:t xml:space="preserve">response; and </w:t>
      </w:r>
    </w:p>
    <w:p w:rsidR="00261EC9" w:rsidRPr="00DD2853" w:rsidRDefault="00261EC9" w:rsidP="00DD2853">
      <w:pPr>
        <w:pStyle w:val="ListParagraph"/>
        <w:numPr>
          <w:ilvl w:val="0"/>
          <w:numId w:val="83"/>
        </w:numPr>
        <w:spacing w:before="120" w:after="120"/>
        <w:contextualSpacing w:val="0"/>
        <w:rPr>
          <w:rFonts w:ascii="Times New Roman" w:hAnsi="Times New Roman"/>
          <w:sz w:val="24"/>
          <w:szCs w:val="24"/>
        </w:rPr>
      </w:pPr>
      <w:r w:rsidRPr="00DD2853">
        <w:rPr>
          <w:rFonts w:ascii="Times New Roman" w:hAnsi="Times New Roman"/>
          <w:sz w:val="24"/>
          <w:szCs w:val="24"/>
        </w:rPr>
        <w:t xml:space="preserve">the Commissioner considers </w:t>
      </w:r>
      <w:r w:rsidR="00AA123D" w:rsidRPr="00DD2853">
        <w:rPr>
          <w:rFonts w:ascii="Times New Roman" w:hAnsi="Times New Roman"/>
          <w:sz w:val="24"/>
          <w:szCs w:val="24"/>
        </w:rPr>
        <w:t xml:space="preserve">a </w:t>
      </w:r>
      <w:r w:rsidR="008A7BC6" w:rsidRPr="00DD2853">
        <w:rPr>
          <w:rFonts w:ascii="Times New Roman" w:hAnsi="Times New Roman"/>
          <w:sz w:val="24"/>
          <w:szCs w:val="24"/>
        </w:rPr>
        <w:t xml:space="preserve">further </w:t>
      </w:r>
      <w:r w:rsidRPr="00DD2853">
        <w:rPr>
          <w:rFonts w:ascii="Times New Roman" w:hAnsi="Times New Roman"/>
          <w:sz w:val="24"/>
          <w:szCs w:val="24"/>
        </w:rPr>
        <w:t>response may be relevant to the case</w:t>
      </w:r>
      <w:r w:rsidR="003B2094" w:rsidRPr="00DD2853">
        <w:rPr>
          <w:rFonts w:ascii="Times New Roman" w:hAnsi="Times New Roman"/>
          <w:sz w:val="24"/>
          <w:szCs w:val="24"/>
        </w:rPr>
        <w:t xml:space="preserve"> or necessary to the proper conduct of the case</w:t>
      </w:r>
      <w:r w:rsidR="006F298A" w:rsidRPr="00DD2853">
        <w:rPr>
          <w:rFonts w:ascii="Times New Roman" w:hAnsi="Times New Roman"/>
          <w:sz w:val="24"/>
          <w:szCs w:val="24"/>
        </w:rPr>
        <w:t xml:space="preserve">, </w:t>
      </w:r>
    </w:p>
    <w:p w:rsidR="007C3372" w:rsidRPr="00DD2853" w:rsidRDefault="00A970EF" w:rsidP="007C0AA6">
      <w:pPr>
        <w:ind w:left="851"/>
        <w:rPr>
          <w:rFonts w:ascii="Times New Roman" w:hAnsi="Times New Roman"/>
          <w:sz w:val="24"/>
          <w:szCs w:val="24"/>
        </w:rPr>
      </w:pPr>
      <w:r w:rsidRPr="00DD2853">
        <w:rPr>
          <w:rFonts w:ascii="Times New Roman" w:hAnsi="Times New Roman"/>
          <w:sz w:val="24"/>
          <w:szCs w:val="24"/>
        </w:rPr>
        <w:t xml:space="preserve">then </w:t>
      </w:r>
      <w:r w:rsidR="00261EC9" w:rsidRPr="00DD2853">
        <w:rPr>
          <w:rFonts w:ascii="Times New Roman" w:hAnsi="Times New Roman"/>
          <w:sz w:val="24"/>
          <w:szCs w:val="24"/>
        </w:rPr>
        <w:t>the</w:t>
      </w:r>
      <w:r w:rsidR="006F298A" w:rsidRPr="00DD2853">
        <w:rPr>
          <w:rFonts w:ascii="Times New Roman" w:hAnsi="Times New Roman"/>
          <w:sz w:val="24"/>
          <w:szCs w:val="24"/>
        </w:rPr>
        <w:t xml:space="preserve"> Commissioner should notify th</w:t>
      </w:r>
      <w:r w:rsidR="00C5625D" w:rsidRPr="00DD2853">
        <w:rPr>
          <w:rFonts w:ascii="Times New Roman" w:hAnsi="Times New Roman"/>
          <w:sz w:val="24"/>
          <w:szCs w:val="24"/>
        </w:rPr>
        <w:t>at</w:t>
      </w:r>
      <w:r w:rsidR="006F298A" w:rsidRPr="00DD2853">
        <w:rPr>
          <w:rFonts w:ascii="Times New Roman" w:hAnsi="Times New Roman"/>
          <w:sz w:val="24"/>
          <w:szCs w:val="24"/>
        </w:rPr>
        <w:t xml:space="preserve"> party of the deficiencies and request that they be addressed in a further </w:t>
      </w:r>
      <w:r w:rsidR="00261EC9" w:rsidRPr="00DD2853">
        <w:rPr>
          <w:rFonts w:ascii="Times New Roman" w:hAnsi="Times New Roman"/>
          <w:sz w:val="24"/>
          <w:szCs w:val="24"/>
        </w:rPr>
        <w:t>response</w:t>
      </w:r>
      <w:r w:rsidR="006F298A" w:rsidRPr="00DD2853">
        <w:rPr>
          <w:rFonts w:ascii="Times New Roman" w:hAnsi="Times New Roman"/>
          <w:sz w:val="24"/>
          <w:szCs w:val="24"/>
        </w:rPr>
        <w:t xml:space="preserve"> within a </w:t>
      </w:r>
      <w:r w:rsidR="00830901" w:rsidRPr="00DD2853">
        <w:rPr>
          <w:rFonts w:ascii="Times New Roman" w:hAnsi="Times New Roman"/>
          <w:sz w:val="24"/>
          <w:szCs w:val="24"/>
        </w:rPr>
        <w:t xml:space="preserve">reasonable </w:t>
      </w:r>
      <w:r w:rsidR="006F298A" w:rsidRPr="00DD2853">
        <w:rPr>
          <w:rFonts w:ascii="Times New Roman" w:hAnsi="Times New Roman"/>
          <w:sz w:val="24"/>
          <w:szCs w:val="24"/>
        </w:rPr>
        <w:t xml:space="preserve">timeframe </w:t>
      </w:r>
      <w:r w:rsidR="001A6759" w:rsidRPr="00DD2853">
        <w:rPr>
          <w:rFonts w:ascii="Times New Roman" w:hAnsi="Times New Roman"/>
          <w:sz w:val="24"/>
          <w:szCs w:val="24"/>
        </w:rPr>
        <w:t>specified by the Commissioner</w:t>
      </w:r>
      <w:r w:rsidR="007C3372" w:rsidRPr="00DD2853">
        <w:rPr>
          <w:rFonts w:ascii="Times New Roman" w:hAnsi="Times New Roman"/>
          <w:sz w:val="24"/>
          <w:szCs w:val="24"/>
        </w:rPr>
        <w:t>.</w:t>
      </w:r>
    </w:p>
    <w:p w:rsidR="007C3372" w:rsidRPr="00DD2853" w:rsidRDefault="00824D97" w:rsidP="009173FB">
      <w:pPr>
        <w:pStyle w:val="ListParagraph"/>
        <w:numPr>
          <w:ilvl w:val="0"/>
          <w:numId w:val="65"/>
        </w:numPr>
        <w:spacing w:before="120" w:after="120"/>
        <w:ind w:left="851" w:hanging="284"/>
        <w:rPr>
          <w:rFonts w:ascii="Times New Roman" w:hAnsi="Times New Roman"/>
          <w:sz w:val="24"/>
          <w:szCs w:val="24"/>
        </w:rPr>
      </w:pPr>
      <w:r w:rsidRPr="00DD2853">
        <w:rPr>
          <w:rFonts w:ascii="Times New Roman" w:hAnsi="Times New Roman" w:cs="Times New Roman"/>
          <w:sz w:val="24"/>
          <w:szCs w:val="24"/>
        </w:rPr>
        <w:t>If</w:t>
      </w:r>
      <w:r w:rsidR="007C3372" w:rsidRPr="00DD2853">
        <w:rPr>
          <w:rFonts w:ascii="Times New Roman" w:hAnsi="Times New Roman" w:cs="Times New Roman"/>
          <w:sz w:val="24"/>
          <w:szCs w:val="24"/>
        </w:rPr>
        <w:t>:</w:t>
      </w:r>
    </w:p>
    <w:p w:rsidR="006E7C49" w:rsidRPr="00DD2853" w:rsidRDefault="006E7C49" w:rsidP="00F61BE2">
      <w:pPr>
        <w:pStyle w:val="ListParagraph"/>
        <w:numPr>
          <w:ilvl w:val="1"/>
          <w:numId w:val="68"/>
        </w:numPr>
        <w:rPr>
          <w:rFonts w:ascii="Times New Roman" w:hAnsi="Times New Roman" w:cs="Times New Roman"/>
          <w:sz w:val="24"/>
          <w:szCs w:val="24"/>
        </w:rPr>
      </w:pPr>
      <w:r w:rsidRPr="00DD2853">
        <w:rPr>
          <w:rFonts w:ascii="Times New Roman" w:hAnsi="Times New Roman" w:cs="Times New Roman"/>
          <w:sz w:val="24"/>
          <w:szCs w:val="24"/>
        </w:rPr>
        <w:t>an interested party has provided a response within the legislated period;</w:t>
      </w:r>
    </w:p>
    <w:p w:rsidR="006E7C49" w:rsidRPr="00DD2853" w:rsidRDefault="006E7C49" w:rsidP="00F61BE2">
      <w:pPr>
        <w:pStyle w:val="ListParagraph"/>
        <w:numPr>
          <w:ilvl w:val="1"/>
          <w:numId w:val="68"/>
        </w:numPr>
        <w:rPr>
          <w:rFonts w:ascii="Times New Roman" w:hAnsi="Times New Roman" w:cs="Times New Roman"/>
          <w:sz w:val="24"/>
          <w:szCs w:val="24"/>
        </w:rPr>
      </w:pPr>
      <w:r w:rsidRPr="00DD2853">
        <w:rPr>
          <w:rFonts w:ascii="Times New Roman" w:hAnsi="Times New Roman" w:cs="Times New Roman"/>
          <w:sz w:val="24"/>
          <w:szCs w:val="24"/>
        </w:rPr>
        <w:t xml:space="preserve">that response has deficiencies that could not, in the Commissioner’s view, be rectified quickly and easily in a further response; and </w:t>
      </w:r>
    </w:p>
    <w:p w:rsidR="006E7C49" w:rsidRPr="00DD2853" w:rsidRDefault="006E7C49" w:rsidP="00F61BE2">
      <w:pPr>
        <w:pStyle w:val="ListParagraph"/>
        <w:numPr>
          <w:ilvl w:val="1"/>
          <w:numId w:val="68"/>
        </w:numPr>
        <w:rPr>
          <w:rFonts w:ascii="Times New Roman" w:hAnsi="Times New Roman" w:cs="Times New Roman"/>
          <w:sz w:val="24"/>
          <w:szCs w:val="24"/>
        </w:rPr>
      </w:pPr>
      <w:r w:rsidRPr="00DD2853">
        <w:rPr>
          <w:rFonts w:ascii="Times New Roman" w:hAnsi="Times New Roman" w:cs="Times New Roman"/>
          <w:sz w:val="24"/>
          <w:szCs w:val="24"/>
        </w:rPr>
        <w:t xml:space="preserve">the Commissioner considers a further response is relevant to the case or necessary to the proper conduct of the case, </w:t>
      </w:r>
    </w:p>
    <w:p w:rsidR="006E7C49" w:rsidRPr="00DD2853" w:rsidRDefault="006E7C49" w:rsidP="00D04560">
      <w:pPr>
        <w:ind w:left="567" w:firstLine="284"/>
        <w:rPr>
          <w:rFonts w:ascii="Times New Roman" w:hAnsi="Times New Roman"/>
          <w:sz w:val="24"/>
          <w:szCs w:val="24"/>
        </w:rPr>
      </w:pPr>
      <w:r w:rsidRPr="00DD2853">
        <w:rPr>
          <w:rFonts w:ascii="Times New Roman" w:hAnsi="Times New Roman"/>
          <w:sz w:val="24"/>
          <w:szCs w:val="24"/>
        </w:rPr>
        <w:t xml:space="preserve">then the Commissioner will notify the party of this view as soon as practicable. </w:t>
      </w:r>
    </w:p>
    <w:p w:rsidR="006F298A" w:rsidRPr="00DD2853" w:rsidRDefault="00261EC9" w:rsidP="00663DA9">
      <w:pPr>
        <w:ind w:left="720"/>
        <w:rPr>
          <w:rFonts w:ascii="Times New Roman" w:hAnsi="Times New Roman"/>
          <w:sz w:val="20"/>
          <w:szCs w:val="20"/>
        </w:rPr>
      </w:pPr>
      <w:r w:rsidRPr="00DD2853">
        <w:rPr>
          <w:rFonts w:ascii="Times New Roman" w:hAnsi="Times New Roman"/>
          <w:sz w:val="20"/>
          <w:szCs w:val="20"/>
        </w:rPr>
        <w:t xml:space="preserve">Note: </w:t>
      </w:r>
      <w:r w:rsidR="001A6759" w:rsidRPr="00DD2853">
        <w:rPr>
          <w:rFonts w:ascii="Times New Roman" w:hAnsi="Times New Roman"/>
          <w:sz w:val="20"/>
          <w:szCs w:val="20"/>
        </w:rPr>
        <w:t>In these circumstances t</w:t>
      </w:r>
      <w:r w:rsidR="006F298A" w:rsidRPr="00DD2853">
        <w:rPr>
          <w:rFonts w:ascii="Times New Roman" w:hAnsi="Times New Roman"/>
          <w:sz w:val="20"/>
          <w:szCs w:val="20"/>
        </w:rPr>
        <w:t>he Commissioner is not</w:t>
      </w:r>
      <w:r w:rsidRPr="00DD2853">
        <w:rPr>
          <w:rFonts w:ascii="Times New Roman" w:hAnsi="Times New Roman" w:cs="Times New Roman"/>
          <w:sz w:val="20"/>
          <w:szCs w:val="20"/>
        </w:rPr>
        <w:t>,</w:t>
      </w:r>
      <w:r w:rsidR="006F298A" w:rsidRPr="00DD2853">
        <w:rPr>
          <w:rFonts w:ascii="Times New Roman" w:hAnsi="Times New Roman"/>
          <w:sz w:val="20"/>
          <w:szCs w:val="20"/>
        </w:rPr>
        <w:t xml:space="preserve"> required to provide the interested party with a</w:t>
      </w:r>
      <w:r w:rsidR="001A6759" w:rsidRPr="00DD2853">
        <w:rPr>
          <w:rFonts w:ascii="Times New Roman" w:hAnsi="Times New Roman"/>
          <w:sz w:val="20"/>
          <w:szCs w:val="20"/>
        </w:rPr>
        <w:t>ny</w:t>
      </w:r>
      <w:r w:rsidR="006F298A" w:rsidRPr="00DD2853">
        <w:rPr>
          <w:rFonts w:ascii="Times New Roman" w:hAnsi="Times New Roman"/>
          <w:sz w:val="20"/>
          <w:szCs w:val="20"/>
        </w:rPr>
        <w:t xml:space="preserve"> further extension of time</w:t>
      </w:r>
      <w:r w:rsidRPr="00DD2853">
        <w:rPr>
          <w:rFonts w:ascii="Times New Roman" w:hAnsi="Times New Roman"/>
          <w:sz w:val="20"/>
          <w:szCs w:val="20"/>
        </w:rPr>
        <w:t xml:space="preserve"> and is not precluded from being satisfied that </w:t>
      </w:r>
      <w:r w:rsidR="007B2095" w:rsidRPr="00DD2853">
        <w:rPr>
          <w:rFonts w:ascii="Times New Roman" w:hAnsi="Times New Roman"/>
          <w:sz w:val="20"/>
          <w:szCs w:val="20"/>
        </w:rPr>
        <w:t xml:space="preserve">the </w:t>
      </w:r>
      <w:r w:rsidR="006F7290" w:rsidRPr="00DD2853">
        <w:rPr>
          <w:rFonts w:ascii="Times New Roman" w:hAnsi="Times New Roman"/>
          <w:sz w:val="20"/>
          <w:szCs w:val="20"/>
        </w:rPr>
        <w:t xml:space="preserve">party </w:t>
      </w:r>
      <w:r w:rsidRPr="00DD2853">
        <w:rPr>
          <w:rFonts w:ascii="Times New Roman" w:hAnsi="Times New Roman"/>
          <w:sz w:val="20"/>
          <w:szCs w:val="20"/>
        </w:rPr>
        <w:t>has significantly impeded an investigation</w:t>
      </w:r>
      <w:r w:rsidR="0091059E" w:rsidRPr="00DD2853">
        <w:rPr>
          <w:rFonts w:ascii="Times New Roman" w:hAnsi="Times New Roman"/>
          <w:sz w:val="20"/>
          <w:szCs w:val="20"/>
        </w:rPr>
        <w:t xml:space="preserve"> for the purposes of </w:t>
      </w:r>
      <w:r w:rsidR="002C081D" w:rsidRPr="00DD2853">
        <w:rPr>
          <w:rFonts w:ascii="Times New Roman" w:hAnsi="Times New Roman"/>
          <w:sz w:val="20"/>
          <w:szCs w:val="20"/>
        </w:rPr>
        <w:t>sub</w:t>
      </w:r>
      <w:r w:rsidR="0091059E" w:rsidRPr="00DD2853">
        <w:rPr>
          <w:rFonts w:ascii="Times New Roman" w:hAnsi="Times New Roman" w:cs="Times New Roman"/>
          <w:sz w:val="20"/>
          <w:szCs w:val="20"/>
        </w:rPr>
        <w:t>s</w:t>
      </w:r>
      <w:r w:rsidR="00AA123D" w:rsidRPr="00DD2853">
        <w:rPr>
          <w:rFonts w:ascii="Times New Roman" w:hAnsi="Times New Roman" w:cs="Times New Roman"/>
          <w:sz w:val="20"/>
          <w:szCs w:val="20"/>
        </w:rPr>
        <w:t>ection</w:t>
      </w:r>
      <w:r w:rsidR="00AA123D" w:rsidRPr="00DD2853">
        <w:rPr>
          <w:rFonts w:ascii="Times New Roman" w:hAnsi="Times New Roman"/>
          <w:sz w:val="20"/>
          <w:szCs w:val="20"/>
        </w:rPr>
        <w:t xml:space="preserve"> </w:t>
      </w:r>
      <w:r w:rsidR="0091059E" w:rsidRPr="00DD2853">
        <w:rPr>
          <w:rFonts w:ascii="Times New Roman" w:hAnsi="Times New Roman"/>
          <w:sz w:val="20"/>
          <w:szCs w:val="20"/>
        </w:rPr>
        <w:t>269T</w:t>
      </w:r>
      <w:r w:rsidR="002C081D" w:rsidRPr="00DD2853">
        <w:rPr>
          <w:rFonts w:ascii="Times New Roman" w:hAnsi="Times New Roman"/>
          <w:sz w:val="20"/>
          <w:szCs w:val="20"/>
        </w:rPr>
        <w:t>(1)</w:t>
      </w:r>
      <w:r w:rsidR="0091059E" w:rsidRPr="00DD2853">
        <w:rPr>
          <w:rFonts w:ascii="Times New Roman" w:hAnsi="Times New Roman"/>
          <w:sz w:val="20"/>
          <w:szCs w:val="20"/>
        </w:rPr>
        <w:t xml:space="preserve"> or </w:t>
      </w:r>
      <w:r w:rsidR="002C081D" w:rsidRPr="00DD2853">
        <w:rPr>
          <w:rFonts w:ascii="Times New Roman" w:hAnsi="Times New Roman"/>
          <w:sz w:val="20"/>
          <w:szCs w:val="20"/>
        </w:rPr>
        <w:t xml:space="preserve">section </w:t>
      </w:r>
      <w:r w:rsidR="0091059E" w:rsidRPr="00DD2853">
        <w:rPr>
          <w:rFonts w:ascii="Times New Roman" w:hAnsi="Times New Roman"/>
          <w:sz w:val="20"/>
          <w:szCs w:val="20"/>
        </w:rPr>
        <w:t>269TAACA</w:t>
      </w:r>
      <w:r w:rsidRPr="00DD2853">
        <w:rPr>
          <w:rFonts w:ascii="Times New Roman" w:hAnsi="Times New Roman"/>
          <w:sz w:val="20"/>
          <w:szCs w:val="20"/>
        </w:rPr>
        <w:t>.</w:t>
      </w:r>
      <w:r w:rsidR="006F298A" w:rsidRPr="00DD2853">
        <w:rPr>
          <w:rFonts w:ascii="Times New Roman" w:hAnsi="Times New Roman"/>
          <w:sz w:val="20"/>
          <w:szCs w:val="20"/>
        </w:rPr>
        <w:t xml:space="preserve"> </w:t>
      </w:r>
    </w:p>
    <w:p w:rsidR="00A970EF" w:rsidRPr="00DD2853" w:rsidRDefault="00DC74BF" w:rsidP="00261DCF">
      <w:pPr>
        <w:pStyle w:val="ListParagraph"/>
        <w:keepNext/>
        <w:numPr>
          <w:ilvl w:val="0"/>
          <w:numId w:val="42"/>
        </w:numPr>
        <w:spacing w:before="240" w:after="240"/>
        <w:contextualSpacing w:val="0"/>
        <w:rPr>
          <w:rFonts w:ascii="Arial" w:hAnsi="Arial"/>
          <w:b/>
          <w:sz w:val="24"/>
          <w:szCs w:val="24"/>
        </w:rPr>
      </w:pPr>
      <w:r w:rsidRPr="00DD2853">
        <w:rPr>
          <w:rFonts w:ascii="Arial" w:hAnsi="Arial"/>
          <w:b/>
          <w:sz w:val="24"/>
          <w:szCs w:val="24"/>
        </w:rPr>
        <w:t xml:space="preserve">Considering late </w:t>
      </w:r>
      <w:r w:rsidR="00C5625D" w:rsidRPr="00DD2853">
        <w:rPr>
          <w:rFonts w:ascii="Arial" w:hAnsi="Arial"/>
          <w:b/>
          <w:sz w:val="24"/>
          <w:szCs w:val="24"/>
        </w:rPr>
        <w:t>responses</w:t>
      </w:r>
    </w:p>
    <w:p w:rsidR="00A970EF" w:rsidRPr="00DD2853" w:rsidRDefault="00414A19" w:rsidP="00F61BE2">
      <w:pPr>
        <w:pStyle w:val="ListParagraph"/>
        <w:keepNext/>
        <w:numPr>
          <w:ilvl w:val="0"/>
          <w:numId w:val="69"/>
        </w:numPr>
        <w:spacing w:before="120" w:after="120"/>
        <w:contextualSpacing w:val="0"/>
        <w:rPr>
          <w:rFonts w:ascii="Times New Roman" w:hAnsi="Times New Roman" w:cs="Times New Roman"/>
          <w:sz w:val="24"/>
          <w:szCs w:val="24"/>
        </w:rPr>
      </w:pPr>
      <w:r w:rsidRPr="00DD2853">
        <w:rPr>
          <w:rFonts w:ascii="Times New Roman" w:hAnsi="Times New Roman" w:cs="Times New Roman"/>
          <w:sz w:val="24"/>
          <w:szCs w:val="24"/>
        </w:rPr>
        <w:t>If</w:t>
      </w:r>
      <w:r w:rsidRPr="00DD2853">
        <w:rPr>
          <w:rFonts w:ascii="Times New Roman" w:hAnsi="Times New Roman"/>
          <w:sz w:val="24"/>
          <w:szCs w:val="24"/>
        </w:rPr>
        <w:t xml:space="preserve"> </w:t>
      </w:r>
      <w:r w:rsidR="00C5625D" w:rsidRPr="00DD2853">
        <w:rPr>
          <w:rFonts w:ascii="Times New Roman" w:hAnsi="Times New Roman"/>
          <w:sz w:val="24"/>
          <w:szCs w:val="24"/>
        </w:rPr>
        <w:t xml:space="preserve">a response has been received </w:t>
      </w:r>
      <w:r w:rsidR="006147E6" w:rsidRPr="00DD2853">
        <w:rPr>
          <w:rFonts w:ascii="Times New Roman" w:hAnsi="Times New Roman"/>
          <w:sz w:val="24"/>
          <w:szCs w:val="24"/>
        </w:rPr>
        <w:t xml:space="preserve">by the Commissioner </w:t>
      </w:r>
      <w:r w:rsidR="00C5625D" w:rsidRPr="00DD2853">
        <w:rPr>
          <w:rFonts w:ascii="Times New Roman" w:hAnsi="Times New Roman"/>
          <w:sz w:val="24"/>
          <w:szCs w:val="24"/>
        </w:rPr>
        <w:t>outside the legislated period</w:t>
      </w:r>
      <w:r w:rsidR="00E31A27" w:rsidRPr="00DD2853">
        <w:rPr>
          <w:rFonts w:ascii="Times New Roman" w:hAnsi="Times New Roman"/>
          <w:sz w:val="24"/>
          <w:szCs w:val="24"/>
        </w:rPr>
        <w:t>,</w:t>
      </w:r>
      <w:r w:rsidR="00C5625D" w:rsidRPr="00DD2853">
        <w:rPr>
          <w:rFonts w:ascii="Times New Roman" w:hAnsi="Times New Roman"/>
          <w:sz w:val="24"/>
          <w:szCs w:val="24"/>
        </w:rPr>
        <w:t xml:space="preserve"> the Commissioner must, </w:t>
      </w:r>
      <w:r w:rsidR="006F298A" w:rsidRPr="00DD2853">
        <w:rPr>
          <w:rFonts w:ascii="Times New Roman" w:hAnsi="Times New Roman"/>
          <w:sz w:val="24"/>
          <w:szCs w:val="24"/>
        </w:rPr>
        <w:t xml:space="preserve">when determining whether </w:t>
      </w:r>
      <w:r w:rsidR="00C5625D" w:rsidRPr="00DD2853">
        <w:rPr>
          <w:rFonts w:ascii="Times New Roman" w:hAnsi="Times New Roman"/>
          <w:sz w:val="24"/>
          <w:szCs w:val="24"/>
        </w:rPr>
        <w:t>to have regard to</w:t>
      </w:r>
      <w:r w:rsidR="006F298A" w:rsidRPr="00DD2853">
        <w:rPr>
          <w:rFonts w:ascii="Times New Roman" w:hAnsi="Times New Roman"/>
          <w:sz w:val="24"/>
          <w:szCs w:val="24"/>
        </w:rPr>
        <w:t xml:space="preserve"> </w:t>
      </w:r>
      <w:r w:rsidR="00C5625D" w:rsidRPr="00DD2853">
        <w:rPr>
          <w:rFonts w:ascii="Times New Roman" w:hAnsi="Times New Roman"/>
          <w:sz w:val="24"/>
          <w:szCs w:val="24"/>
        </w:rPr>
        <w:t>th</w:t>
      </w:r>
      <w:r w:rsidR="006F298A" w:rsidRPr="00DD2853">
        <w:rPr>
          <w:rFonts w:ascii="Times New Roman" w:hAnsi="Times New Roman"/>
          <w:sz w:val="24"/>
          <w:szCs w:val="24"/>
        </w:rPr>
        <w:t>a</w:t>
      </w:r>
      <w:r w:rsidR="00C5625D" w:rsidRPr="00DD2853">
        <w:rPr>
          <w:rFonts w:ascii="Times New Roman" w:hAnsi="Times New Roman"/>
          <w:sz w:val="24"/>
          <w:szCs w:val="24"/>
        </w:rPr>
        <w:t>t</w:t>
      </w:r>
      <w:r w:rsidR="006F298A" w:rsidRPr="00DD2853">
        <w:rPr>
          <w:rFonts w:ascii="Times New Roman" w:hAnsi="Times New Roman"/>
          <w:sz w:val="24"/>
          <w:szCs w:val="24"/>
        </w:rPr>
        <w:t xml:space="preserve"> </w:t>
      </w:r>
      <w:r w:rsidR="00C5625D" w:rsidRPr="00DD2853">
        <w:rPr>
          <w:rFonts w:ascii="Times New Roman" w:hAnsi="Times New Roman"/>
          <w:sz w:val="24"/>
          <w:szCs w:val="24"/>
        </w:rPr>
        <w:t>response, consider if</w:t>
      </w:r>
      <w:r w:rsidR="003303D3" w:rsidRPr="00DD2853">
        <w:rPr>
          <w:rFonts w:ascii="Times New Roman" w:hAnsi="Times New Roman"/>
          <w:sz w:val="24"/>
          <w:szCs w:val="24"/>
        </w:rPr>
        <w:t xml:space="preserve"> taking the response into account would delay a key aspect of the case</w:t>
      </w:r>
      <w:r w:rsidR="000F1F23" w:rsidRPr="00DD2853">
        <w:rPr>
          <w:rFonts w:ascii="Times New Roman" w:hAnsi="Times New Roman" w:cs="Times New Roman"/>
          <w:sz w:val="24"/>
          <w:szCs w:val="24"/>
        </w:rPr>
        <w:t>.</w:t>
      </w:r>
    </w:p>
    <w:p w:rsidR="00A970EF" w:rsidRPr="00DD2853" w:rsidRDefault="000F1F23" w:rsidP="00F61BE2">
      <w:pPr>
        <w:pStyle w:val="ListParagraph"/>
        <w:numPr>
          <w:ilvl w:val="0"/>
          <w:numId w:val="69"/>
        </w:numPr>
        <w:spacing w:before="120" w:after="120"/>
        <w:contextualSpacing w:val="0"/>
        <w:rPr>
          <w:rFonts w:ascii="Times New Roman" w:hAnsi="Times New Roman"/>
          <w:sz w:val="24"/>
          <w:szCs w:val="24"/>
        </w:rPr>
      </w:pPr>
      <w:r w:rsidRPr="00DD2853">
        <w:rPr>
          <w:rFonts w:ascii="Times New Roman" w:hAnsi="Times New Roman" w:cs="Times New Roman"/>
          <w:sz w:val="24"/>
          <w:szCs w:val="24"/>
        </w:rPr>
        <w:t>I</w:t>
      </w:r>
      <w:r w:rsidR="003303D3" w:rsidRPr="00DD2853">
        <w:rPr>
          <w:rFonts w:ascii="Times New Roman" w:hAnsi="Times New Roman" w:cs="Times New Roman"/>
          <w:sz w:val="24"/>
          <w:szCs w:val="24"/>
        </w:rPr>
        <w:t xml:space="preserve">f </w:t>
      </w:r>
      <w:r w:rsidR="00A970EF" w:rsidRPr="00DD2853">
        <w:rPr>
          <w:rFonts w:ascii="Times New Roman" w:hAnsi="Times New Roman" w:cs="Times New Roman"/>
          <w:sz w:val="24"/>
          <w:szCs w:val="24"/>
        </w:rPr>
        <w:t>taking the response into account</w:t>
      </w:r>
      <w:r w:rsidR="00A970EF" w:rsidRPr="00DD2853">
        <w:rPr>
          <w:rFonts w:ascii="Times New Roman" w:hAnsi="Times New Roman"/>
          <w:sz w:val="24"/>
          <w:szCs w:val="24"/>
        </w:rPr>
        <w:t xml:space="preserve"> </w:t>
      </w:r>
      <w:r w:rsidR="003303D3" w:rsidRPr="00DD2853">
        <w:rPr>
          <w:rFonts w:ascii="Times New Roman" w:hAnsi="Times New Roman"/>
          <w:sz w:val="24"/>
          <w:szCs w:val="24"/>
        </w:rPr>
        <w:t>would delay a key aspect of the case, the Commissioner must consider</w:t>
      </w:r>
      <w:r w:rsidR="00C5625D" w:rsidRPr="00DD2853">
        <w:rPr>
          <w:rFonts w:ascii="Times New Roman" w:hAnsi="Times New Roman"/>
          <w:sz w:val="24"/>
          <w:szCs w:val="24"/>
        </w:rPr>
        <w:t>:</w:t>
      </w:r>
    </w:p>
    <w:p w:rsidR="00A970EF" w:rsidRPr="00DD2853" w:rsidRDefault="006F298A" w:rsidP="00F61BE2">
      <w:pPr>
        <w:pStyle w:val="ListParagraph"/>
        <w:numPr>
          <w:ilvl w:val="0"/>
          <w:numId w:val="71"/>
        </w:numPr>
        <w:spacing w:before="120" w:after="120"/>
        <w:contextualSpacing w:val="0"/>
        <w:rPr>
          <w:rFonts w:ascii="Times New Roman" w:hAnsi="Times New Roman"/>
          <w:sz w:val="24"/>
          <w:szCs w:val="24"/>
        </w:rPr>
      </w:pPr>
      <w:r w:rsidRPr="00DD2853">
        <w:rPr>
          <w:rFonts w:ascii="Times New Roman" w:hAnsi="Times New Roman"/>
          <w:sz w:val="24"/>
          <w:szCs w:val="24"/>
        </w:rPr>
        <w:t>the time remaining before the deadline for the next key aspect of the case – including making a preliminary affirmative determination or publishing a statement of essential facts;</w:t>
      </w:r>
    </w:p>
    <w:p w:rsidR="00A970EF" w:rsidRPr="00DD2853" w:rsidRDefault="006F298A" w:rsidP="00F61BE2">
      <w:pPr>
        <w:pStyle w:val="ListParagraph"/>
        <w:numPr>
          <w:ilvl w:val="0"/>
          <w:numId w:val="71"/>
        </w:numPr>
        <w:spacing w:before="120" w:after="120"/>
        <w:contextualSpacing w:val="0"/>
        <w:rPr>
          <w:rFonts w:ascii="Times New Roman" w:hAnsi="Times New Roman"/>
          <w:sz w:val="24"/>
          <w:szCs w:val="24"/>
        </w:rPr>
      </w:pPr>
      <w:r w:rsidRPr="00DD2853">
        <w:rPr>
          <w:rFonts w:ascii="Times New Roman" w:hAnsi="Times New Roman"/>
          <w:sz w:val="24"/>
          <w:szCs w:val="24"/>
        </w:rPr>
        <w:lastRenderedPageBreak/>
        <w:t xml:space="preserve">if data is provided in the submission, the quality and quantity of that data and the level of resources required to adequately </w:t>
      </w:r>
      <w:r w:rsidR="001C486F" w:rsidRPr="00DD2853">
        <w:rPr>
          <w:rFonts w:ascii="Times New Roman" w:hAnsi="Times New Roman"/>
          <w:sz w:val="24"/>
          <w:szCs w:val="24"/>
        </w:rPr>
        <w:t>consider</w:t>
      </w:r>
      <w:r w:rsidRPr="00DD2853">
        <w:rPr>
          <w:rFonts w:ascii="Times New Roman" w:hAnsi="Times New Roman"/>
          <w:sz w:val="24"/>
          <w:szCs w:val="24"/>
        </w:rPr>
        <w:t xml:space="preserve"> it;</w:t>
      </w:r>
    </w:p>
    <w:p w:rsidR="00A970EF" w:rsidRPr="00DD2853" w:rsidRDefault="006F298A" w:rsidP="00F61BE2">
      <w:pPr>
        <w:pStyle w:val="ListParagraph"/>
        <w:numPr>
          <w:ilvl w:val="0"/>
          <w:numId w:val="71"/>
        </w:numPr>
        <w:spacing w:before="120" w:after="120"/>
        <w:contextualSpacing w:val="0"/>
        <w:rPr>
          <w:rFonts w:ascii="Times New Roman" w:hAnsi="Times New Roman"/>
          <w:sz w:val="24"/>
          <w:szCs w:val="24"/>
        </w:rPr>
      </w:pPr>
      <w:r w:rsidRPr="00DD2853">
        <w:rPr>
          <w:rFonts w:ascii="Times New Roman" w:hAnsi="Times New Roman"/>
          <w:sz w:val="24"/>
          <w:szCs w:val="24"/>
        </w:rPr>
        <w:t xml:space="preserve">if assertions or proposals are provided in the submission, the seriousness, nature and </w:t>
      </w:r>
      <w:r w:rsidR="0011273C" w:rsidRPr="00CC5360">
        <w:rPr>
          <w:rFonts w:ascii="Times New Roman" w:hAnsi="Times New Roman" w:cs="Times New Roman"/>
          <w:sz w:val="24"/>
          <w:szCs w:val="24"/>
        </w:rPr>
        <w:t>timing</w:t>
      </w:r>
      <w:r w:rsidRPr="00DD2853">
        <w:rPr>
          <w:rFonts w:ascii="Times New Roman" w:hAnsi="Times New Roman"/>
          <w:sz w:val="24"/>
          <w:szCs w:val="24"/>
        </w:rPr>
        <w:t xml:space="preserve"> of those assertions in relation to the case and the resources required to adequately address or substantiate them; and</w:t>
      </w:r>
    </w:p>
    <w:p w:rsidR="006F298A" w:rsidRPr="00DD2853" w:rsidRDefault="006F298A" w:rsidP="00F61BE2">
      <w:pPr>
        <w:pStyle w:val="ListParagraph"/>
        <w:numPr>
          <w:ilvl w:val="0"/>
          <w:numId w:val="71"/>
        </w:numPr>
        <w:spacing w:before="120" w:after="120"/>
        <w:contextualSpacing w:val="0"/>
        <w:rPr>
          <w:rFonts w:ascii="Times New Roman" w:hAnsi="Times New Roman"/>
          <w:sz w:val="24"/>
          <w:szCs w:val="24"/>
        </w:rPr>
      </w:pPr>
      <w:r w:rsidRPr="00DD2853">
        <w:rPr>
          <w:rFonts w:ascii="Times New Roman" w:hAnsi="Times New Roman"/>
          <w:sz w:val="24"/>
          <w:szCs w:val="24"/>
        </w:rPr>
        <w:t xml:space="preserve">any reasons provided by the party to explain why the submission is late, taking into account </w:t>
      </w:r>
      <w:r w:rsidR="0011273C" w:rsidRPr="00CC5360">
        <w:rPr>
          <w:rFonts w:ascii="Times New Roman" w:hAnsi="Times New Roman" w:cs="Times New Roman"/>
          <w:sz w:val="24"/>
          <w:szCs w:val="24"/>
        </w:rPr>
        <w:t>the above</w:t>
      </w:r>
      <w:r w:rsidRPr="00DD2853">
        <w:rPr>
          <w:rFonts w:ascii="Times New Roman" w:hAnsi="Times New Roman"/>
          <w:sz w:val="24"/>
          <w:szCs w:val="24"/>
        </w:rPr>
        <w:t xml:space="preserve"> directions in relation to granting extensions.</w:t>
      </w:r>
    </w:p>
    <w:p w:rsidR="00CD2B88" w:rsidRPr="00DD2853" w:rsidRDefault="00CD2B88" w:rsidP="00261DCF">
      <w:pPr>
        <w:pStyle w:val="ListParagraph"/>
        <w:numPr>
          <w:ilvl w:val="0"/>
          <w:numId w:val="42"/>
        </w:numPr>
        <w:spacing w:before="240" w:after="240"/>
        <w:contextualSpacing w:val="0"/>
        <w:rPr>
          <w:rFonts w:ascii="Arial" w:hAnsi="Arial"/>
          <w:b/>
          <w:sz w:val="24"/>
          <w:szCs w:val="24"/>
        </w:rPr>
      </w:pPr>
      <w:r w:rsidRPr="00DD2853">
        <w:rPr>
          <w:rFonts w:ascii="Arial" w:hAnsi="Arial"/>
          <w:b/>
          <w:sz w:val="24"/>
          <w:szCs w:val="24"/>
        </w:rPr>
        <w:t xml:space="preserve">Relevant information </w:t>
      </w:r>
      <w:r w:rsidR="00A970EF" w:rsidRPr="00DD2853">
        <w:rPr>
          <w:rFonts w:ascii="Arial" w:hAnsi="Arial"/>
          <w:b/>
          <w:sz w:val="24"/>
          <w:szCs w:val="24"/>
        </w:rPr>
        <w:t xml:space="preserve">– section </w:t>
      </w:r>
      <w:r w:rsidR="000F1F23" w:rsidRPr="00DD2853">
        <w:rPr>
          <w:rFonts w:ascii="Arial" w:hAnsi="Arial"/>
          <w:b/>
          <w:sz w:val="24"/>
          <w:szCs w:val="24"/>
        </w:rPr>
        <w:t>269T</w:t>
      </w:r>
    </w:p>
    <w:p w:rsidR="00A970EF" w:rsidRPr="00DD2853" w:rsidRDefault="000F1F23" w:rsidP="00F61BE2">
      <w:pPr>
        <w:pStyle w:val="ListParagraph"/>
        <w:numPr>
          <w:ilvl w:val="0"/>
          <w:numId w:val="72"/>
        </w:numPr>
        <w:spacing w:before="120" w:after="120"/>
        <w:contextualSpacing w:val="0"/>
        <w:rPr>
          <w:rFonts w:ascii="Times New Roman" w:hAnsi="Times New Roman"/>
          <w:sz w:val="24"/>
          <w:szCs w:val="24"/>
        </w:rPr>
      </w:pPr>
      <w:r w:rsidRPr="00DD2853">
        <w:rPr>
          <w:rFonts w:ascii="Times New Roman" w:hAnsi="Times New Roman" w:cs="Times New Roman"/>
          <w:sz w:val="24"/>
          <w:szCs w:val="24"/>
        </w:rPr>
        <w:t>W</w:t>
      </w:r>
      <w:r w:rsidR="00A8284E" w:rsidRPr="00DD2853">
        <w:rPr>
          <w:rFonts w:ascii="Times New Roman" w:hAnsi="Times New Roman" w:cs="Times New Roman"/>
          <w:sz w:val="24"/>
          <w:szCs w:val="24"/>
        </w:rPr>
        <w:t>hen</w:t>
      </w:r>
      <w:r w:rsidR="00A8284E" w:rsidRPr="00DD2853">
        <w:rPr>
          <w:rFonts w:ascii="Times New Roman" w:hAnsi="Times New Roman"/>
          <w:sz w:val="24"/>
          <w:szCs w:val="24"/>
        </w:rPr>
        <w:t xml:space="preserve"> determining if an exporter is an uncooperative exporter, the Commissioner must consider the legislated period for providing a response to be a reasonable period</w:t>
      </w:r>
    </w:p>
    <w:p w:rsidR="006F298A" w:rsidRPr="00DD2853" w:rsidRDefault="000F1F23" w:rsidP="00F61BE2">
      <w:pPr>
        <w:pStyle w:val="ListParagraph"/>
        <w:numPr>
          <w:ilvl w:val="0"/>
          <w:numId w:val="72"/>
        </w:numPr>
        <w:spacing w:before="120" w:after="120"/>
        <w:contextualSpacing w:val="0"/>
        <w:rPr>
          <w:rFonts w:ascii="Times New Roman" w:hAnsi="Times New Roman"/>
          <w:sz w:val="24"/>
          <w:szCs w:val="24"/>
        </w:rPr>
      </w:pPr>
      <w:r w:rsidRPr="00DD2853">
        <w:rPr>
          <w:rFonts w:ascii="Times New Roman" w:hAnsi="Times New Roman" w:cs="Times New Roman"/>
          <w:sz w:val="24"/>
          <w:szCs w:val="24"/>
        </w:rPr>
        <w:t>T</w:t>
      </w:r>
      <w:r w:rsidR="00306677" w:rsidRPr="00DD2853">
        <w:rPr>
          <w:rFonts w:ascii="Times New Roman" w:hAnsi="Times New Roman" w:cs="Times New Roman"/>
          <w:sz w:val="24"/>
          <w:szCs w:val="24"/>
        </w:rPr>
        <w:t>he</w:t>
      </w:r>
      <w:r w:rsidR="00306677" w:rsidRPr="00DD2853">
        <w:rPr>
          <w:rFonts w:ascii="Times New Roman" w:hAnsi="Times New Roman"/>
          <w:sz w:val="24"/>
          <w:szCs w:val="24"/>
        </w:rPr>
        <w:t xml:space="preserve"> Commissioner must </w:t>
      </w:r>
      <w:r w:rsidR="000A07C4" w:rsidRPr="00DD2853">
        <w:rPr>
          <w:rFonts w:ascii="Times New Roman" w:hAnsi="Times New Roman"/>
          <w:sz w:val="24"/>
          <w:szCs w:val="24"/>
        </w:rPr>
        <w:t xml:space="preserve">determine </w:t>
      </w:r>
      <w:r w:rsidR="006F298A" w:rsidRPr="00DD2853">
        <w:rPr>
          <w:rFonts w:ascii="Times New Roman" w:hAnsi="Times New Roman"/>
          <w:sz w:val="24"/>
          <w:szCs w:val="24"/>
        </w:rPr>
        <w:t xml:space="preserve">an exporter </w:t>
      </w:r>
      <w:r w:rsidR="000A07C4" w:rsidRPr="00DD2853">
        <w:rPr>
          <w:rFonts w:ascii="Times New Roman" w:hAnsi="Times New Roman"/>
          <w:sz w:val="24"/>
          <w:szCs w:val="24"/>
        </w:rPr>
        <w:t xml:space="preserve">to be </w:t>
      </w:r>
      <w:r w:rsidR="006F298A" w:rsidRPr="00DD2853">
        <w:rPr>
          <w:rFonts w:ascii="Times New Roman" w:hAnsi="Times New Roman"/>
          <w:sz w:val="24"/>
          <w:szCs w:val="24"/>
        </w:rPr>
        <w:t>an uncooperative exporter</w:t>
      </w:r>
      <w:r w:rsidR="00306677" w:rsidRPr="00DD2853">
        <w:rPr>
          <w:rFonts w:ascii="Times New Roman" w:hAnsi="Times New Roman"/>
          <w:sz w:val="24"/>
          <w:szCs w:val="24"/>
        </w:rPr>
        <w:t>, on the basis that</w:t>
      </w:r>
      <w:r w:rsidR="00306677" w:rsidRPr="00DD2853">
        <w:rPr>
          <w:rFonts w:ascii="Times New Roman" w:hAnsi="Times New Roman" w:cs="Times New Roman"/>
          <w:sz w:val="24"/>
          <w:szCs w:val="24"/>
        </w:rPr>
        <w:t xml:space="preserve"> </w:t>
      </w:r>
      <w:r w:rsidR="00306677" w:rsidRPr="00DD2853">
        <w:rPr>
          <w:rFonts w:ascii="Times New Roman" w:hAnsi="Times New Roman"/>
          <w:sz w:val="24"/>
          <w:szCs w:val="24"/>
        </w:rPr>
        <w:t>no relevant information was provided in a reasonable period</w:t>
      </w:r>
      <w:r w:rsidR="000A07C4" w:rsidRPr="00DD2853">
        <w:rPr>
          <w:rFonts w:ascii="Times New Roman" w:hAnsi="Times New Roman"/>
          <w:sz w:val="24"/>
          <w:szCs w:val="24"/>
        </w:rPr>
        <w:t>,</w:t>
      </w:r>
      <w:r w:rsidR="00306677" w:rsidRPr="00DD2853">
        <w:rPr>
          <w:rFonts w:ascii="Times New Roman" w:hAnsi="Times New Roman"/>
          <w:sz w:val="24"/>
          <w:szCs w:val="24"/>
        </w:rPr>
        <w:t xml:space="preserve"> if that exporter</w:t>
      </w:r>
      <w:r w:rsidR="006F298A" w:rsidRPr="00DD2853">
        <w:rPr>
          <w:rFonts w:ascii="Times New Roman" w:hAnsi="Times New Roman"/>
          <w:sz w:val="24"/>
          <w:szCs w:val="24"/>
        </w:rPr>
        <w:t>:</w:t>
      </w:r>
    </w:p>
    <w:p w:rsidR="007C0AA6" w:rsidRDefault="00C16C37" w:rsidP="00F61BE2">
      <w:pPr>
        <w:pStyle w:val="ListParagraph"/>
        <w:numPr>
          <w:ilvl w:val="0"/>
          <w:numId w:val="74"/>
        </w:numPr>
        <w:spacing w:before="120" w:after="120"/>
        <w:contextualSpacing w:val="0"/>
        <w:rPr>
          <w:rFonts w:ascii="Times New Roman" w:hAnsi="Times New Roman"/>
          <w:sz w:val="24"/>
          <w:szCs w:val="24"/>
        </w:rPr>
      </w:pPr>
      <w:r>
        <w:rPr>
          <w:rFonts w:ascii="Times New Roman" w:hAnsi="Times New Roman"/>
          <w:sz w:val="24"/>
          <w:szCs w:val="24"/>
        </w:rPr>
        <w:t>f</w:t>
      </w:r>
      <w:r w:rsidR="00665713" w:rsidRPr="00DD2853">
        <w:rPr>
          <w:rFonts w:ascii="Times New Roman" w:hAnsi="Times New Roman"/>
          <w:sz w:val="24"/>
          <w:szCs w:val="24"/>
        </w:rPr>
        <w:t>ails</w:t>
      </w:r>
      <w:r>
        <w:rPr>
          <w:rFonts w:ascii="Times New Roman" w:hAnsi="Times New Roman"/>
          <w:sz w:val="24"/>
          <w:szCs w:val="24"/>
        </w:rPr>
        <w:t>,</w:t>
      </w:r>
      <w:r w:rsidR="00665713" w:rsidRPr="00DD2853">
        <w:rPr>
          <w:rFonts w:ascii="Times New Roman" w:hAnsi="Times New Roman"/>
          <w:sz w:val="24"/>
          <w:szCs w:val="24"/>
        </w:rPr>
        <w:t xml:space="preserve"> </w:t>
      </w:r>
      <w:r w:rsidR="007C0AA6">
        <w:rPr>
          <w:rFonts w:ascii="Times New Roman" w:hAnsi="Times New Roman"/>
          <w:sz w:val="24"/>
          <w:szCs w:val="24"/>
        </w:rPr>
        <w:t>within the legislated period</w:t>
      </w:r>
      <w:r>
        <w:rPr>
          <w:rFonts w:ascii="Times New Roman" w:hAnsi="Times New Roman"/>
          <w:sz w:val="24"/>
          <w:szCs w:val="24"/>
        </w:rPr>
        <w:t>, to</w:t>
      </w:r>
      <w:r w:rsidR="007C0AA6">
        <w:rPr>
          <w:rFonts w:ascii="Times New Roman" w:hAnsi="Times New Roman"/>
          <w:sz w:val="24"/>
          <w:szCs w:val="24"/>
        </w:rPr>
        <w:t xml:space="preserve">: </w:t>
      </w:r>
    </w:p>
    <w:p w:rsidR="007C0AA6" w:rsidRDefault="00665713" w:rsidP="00413B81">
      <w:pPr>
        <w:pStyle w:val="ListParagraph"/>
        <w:numPr>
          <w:ilvl w:val="1"/>
          <w:numId w:val="74"/>
        </w:numPr>
        <w:spacing w:before="120" w:after="120"/>
        <w:contextualSpacing w:val="0"/>
        <w:rPr>
          <w:rFonts w:ascii="Times New Roman" w:hAnsi="Times New Roman"/>
          <w:sz w:val="24"/>
          <w:szCs w:val="24"/>
        </w:rPr>
      </w:pPr>
      <w:r w:rsidRPr="00DD2853">
        <w:rPr>
          <w:rFonts w:ascii="Times New Roman" w:hAnsi="Times New Roman"/>
          <w:sz w:val="24"/>
          <w:szCs w:val="24"/>
        </w:rPr>
        <w:t>provide</w:t>
      </w:r>
      <w:r w:rsidR="007C0AA6">
        <w:rPr>
          <w:rFonts w:ascii="Times New Roman" w:hAnsi="Times New Roman"/>
          <w:sz w:val="24"/>
          <w:szCs w:val="24"/>
        </w:rPr>
        <w:t xml:space="preserve"> a response; or</w:t>
      </w:r>
      <w:r w:rsidRPr="00DD2853">
        <w:rPr>
          <w:rFonts w:ascii="Times New Roman" w:hAnsi="Times New Roman"/>
          <w:sz w:val="24"/>
          <w:szCs w:val="24"/>
        </w:rPr>
        <w:t xml:space="preserve"> </w:t>
      </w:r>
    </w:p>
    <w:p w:rsidR="00665713" w:rsidRPr="00413B81" w:rsidRDefault="007C0AA6" w:rsidP="00413B81">
      <w:pPr>
        <w:pStyle w:val="ListParagraph"/>
        <w:numPr>
          <w:ilvl w:val="1"/>
          <w:numId w:val="74"/>
        </w:numPr>
        <w:spacing w:before="120" w:after="120"/>
        <w:contextualSpacing w:val="0"/>
        <w:rPr>
          <w:rFonts w:ascii="Times New Roman" w:hAnsi="Times New Roman"/>
          <w:sz w:val="24"/>
          <w:szCs w:val="24"/>
        </w:rPr>
      </w:pPr>
      <w:r>
        <w:rPr>
          <w:rFonts w:ascii="Times New Roman" w:hAnsi="Times New Roman"/>
          <w:sz w:val="24"/>
          <w:szCs w:val="24"/>
        </w:rPr>
        <w:t>request a longer period to provide a response</w:t>
      </w:r>
      <w:r w:rsidR="00665713" w:rsidRPr="00413B81">
        <w:rPr>
          <w:rFonts w:ascii="Times New Roman" w:hAnsi="Times New Roman"/>
          <w:sz w:val="24"/>
          <w:szCs w:val="24"/>
        </w:rPr>
        <w:t>;</w:t>
      </w:r>
      <w:r w:rsidRPr="00413B81">
        <w:rPr>
          <w:rFonts w:ascii="Times New Roman" w:hAnsi="Times New Roman"/>
          <w:sz w:val="24"/>
          <w:szCs w:val="24"/>
        </w:rPr>
        <w:t xml:space="preserve"> or</w:t>
      </w:r>
    </w:p>
    <w:p w:rsidR="00244589" w:rsidRPr="00DD2853" w:rsidRDefault="00665713" w:rsidP="007C0AA6">
      <w:pPr>
        <w:pStyle w:val="ListParagraph"/>
        <w:numPr>
          <w:ilvl w:val="0"/>
          <w:numId w:val="74"/>
        </w:numPr>
        <w:spacing w:before="120" w:after="120"/>
        <w:contextualSpacing w:val="0"/>
        <w:rPr>
          <w:rFonts w:ascii="Times New Roman" w:hAnsi="Times New Roman"/>
          <w:sz w:val="24"/>
          <w:szCs w:val="24"/>
        </w:rPr>
      </w:pPr>
      <w:r w:rsidRPr="00DD2853">
        <w:rPr>
          <w:rFonts w:ascii="Times New Roman" w:hAnsi="Times New Roman"/>
          <w:sz w:val="24"/>
          <w:szCs w:val="24"/>
        </w:rPr>
        <w:t xml:space="preserve">provides a response within the legislated period </w:t>
      </w:r>
      <w:r w:rsidR="007C0AA6">
        <w:rPr>
          <w:rFonts w:ascii="Times New Roman" w:hAnsi="Times New Roman"/>
          <w:sz w:val="24"/>
          <w:szCs w:val="24"/>
        </w:rPr>
        <w:t>that</w:t>
      </w:r>
      <w:r w:rsidRPr="00DD2853">
        <w:rPr>
          <w:rFonts w:ascii="Times New Roman" w:hAnsi="Times New Roman"/>
          <w:sz w:val="24"/>
          <w:szCs w:val="24"/>
        </w:rPr>
        <w:t xml:space="preserve"> the Commissioner considers </w:t>
      </w:r>
      <w:r w:rsidR="000214B5" w:rsidRPr="00DD2853">
        <w:rPr>
          <w:rFonts w:ascii="Times New Roman" w:hAnsi="Times New Roman"/>
          <w:sz w:val="24"/>
          <w:szCs w:val="24"/>
        </w:rPr>
        <w:t>did not provide information relevant to the case</w:t>
      </w:r>
      <w:r w:rsidR="007C0AA6">
        <w:rPr>
          <w:rFonts w:ascii="Times New Roman" w:hAnsi="Times New Roman"/>
          <w:sz w:val="24"/>
          <w:szCs w:val="24"/>
        </w:rPr>
        <w:t>.</w:t>
      </w:r>
    </w:p>
    <w:p w:rsidR="006F2750" w:rsidRPr="00413B81" w:rsidRDefault="006F2750" w:rsidP="0081767F">
      <w:pPr>
        <w:pStyle w:val="ListParagraph"/>
        <w:numPr>
          <w:ilvl w:val="0"/>
          <w:numId w:val="42"/>
        </w:numPr>
        <w:spacing w:before="240" w:after="240"/>
        <w:contextualSpacing w:val="0"/>
        <w:rPr>
          <w:rFonts w:ascii="Arial" w:hAnsi="Arial"/>
          <w:b/>
          <w:sz w:val="24"/>
          <w:szCs w:val="24"/>
        </w:rPr>
      </w:pPr>
      <w:r w:rsidRPr="00413B81">
        <w:rPr>
          <w:rFonts w:ascii="Arial" w:hAnsi="Arial"/>
          <w:b/>
          <w:sz w:val="24"/>
          <w:szCs w:val="24"/>
        </w:rPr>
        <w:t>Relevant information – section 269TAACA</w:t>
      </w:r>
    </w:p>
    <w:p w:rsidR="006F2750" w:rsidRPr="0081767F" w:rsidRDefault="006F2750" w:rsidP="00F61BE2">
      <w:pPr>
        <w:pStyle w:val="ListParagraph"/>
        <w:numPr>
          <w:ilvl w:val="0"/>
          <w:numId w:val="75"/>
        </w:numPr>
        <w:spacing w:before="120" w:after="120"/>
        <w:contextualSpacing w:val="0"/>
        <w:rPr>
          <w:rFonts w:ascii="Times New Roman" w:hAnsi="Times New Roman"/>
        </w:rPr>
      </w:pPr>
      <w:r w:rsidRPr="0081767F">
        <w:rPr>
          <w:rFonts w:ascii="Times New Roman" w:hAnsi="Times New Roman" w:cs="Times New Roman"/>
        </w:rPr>
        <w:t>When</w:t>
      </w:r>
      <w:r w:rsidRPr="0081767F">
        <w:rPr>
          <w:rFonts w:ascii="Times New Roman" w:hAnsi="Times New Roman"/>
        </w:rPr>
        <w:t xml:space="preserve"> determining if an entity is a non-cooperative entity for the purposes of section 269TAACA, the Commissioner must consider the legislated period for providing a response to be a reasonable period.</w:t>
      </w:r>
    </w:p>
    <w:p w:rsidR="006F2750" w:rsidRPr="0081767F" w:rsidRDefault="00927985" w:rsidP="00F61BE2">
      <w:pPr>
        <w:pStyle w:val="ListParagraph"/>
        <w:numPr>
          <w:ilvl w:val="0"/>
          <w:numId w:val="75"/>
        </w:numPr>
        <w:spacing w:before="120" w:after="120"/>
        <w:contextualSpacing w:val="0"/>
        <w:rPr>
          <w:rFonts w:ascii="Times New Roman" w:hAnsi="Times New Roman"/>
        </w:rPr>
      </w:pPr>
      <w:r w:rsidRPr="0081767F">
        <w:rPr>
          <w:rFonts w:ascii="Times New Roman" w:hAnsi="Times New Roman" w:cs="Times New Roman"/>
        </w:rPr>
        <w:t>T</w:t>
      </w:r>
      <w:r w:rsidR="006F2750" w:rsidRPr="0081767F">
        <w:rPr>
          <w:rFonts w:ascii="Times New Roman" w:hAnsi="Times New Roman" w:cs="Times New Roman"/>
        </w:rPr>
        <w:t>he</w:t>
      </w:r>
      <w:r w:rsidR="006F2750" w:rsidRPr="0081767F">
        <w:rPr>
          <w:rFonts w:ascii="Times New Roman" w:hAnsi="Times New Roman"/>
        </w:rPr>
        <w:t xml:space="preserve"> Commissioner must determine an entity to be a non</w:t>
      </w:r>
      <w:r w:rsidR="006F2750" w:rsidRPr="0081767F">
        <w:rPr>
          <w:rFonts w:ascii="Times New Roman" w:hAnsi="Times New Roman"/>
        </w:rPr>
        <w:noBreakHyphen/>
        <w:t>cooperative entity</w:t>
      </w:r>
      <w:r w:rsidR="007C0AA6" w:rsidRPr="007C0AA6">
        <w:rPr>
          <w:rFonts w:ascii="Times New Roman" w:hAnsi="Times New Roman"/>
        </w:rPr>
        <w:t xml:space="preserve"> </w:t>
      </w:r>
      <w:r w:rsidR="007C0AA6" w:rsidRPr="0081767F">
        <w:rPr>
          <w:rFonts w:ascii="Times New Roman" w:hAnsi="Times New Roman"/>
        </w:rPr>
        <w:t>for the purposes of section 269TAACA</w:t>
      </w:r>
      <w:r w:rsidR="006F2750" w:rsidRPr="0081767F">
        <w:rPr>
          <w:rFonts w:ascii="Times New Roman" w:hAnsi="Times New Roman"/>
        </w:rPr>
        <w:t>, on the basis that no relevant information was provided in a reasonable period, if that entity:</w:t>
      </w:r>
    </w:p>
    <w:p w:rsidR="007C0AA6" w:rsidRDefault="00C16C37" w:rsidP="00F61BE2">
      <w:pPr>
        <w:pStyle w:val="ListParagraph"/>
        <w:numPr>
          <w:ilvl w:val="0"/>
          <w:numId w:val="77"/>
        </w:numPr>
        <w:spacing w:before="120" w:after="120"/>
        <w:contextualSpacing w:val="0"/>
        <w:rPr>
          <w:rFonts w:ascii="Times New Roman" w:hAnsi="Times New Roman"/>
        </w:rPr>
      </w:pPr>
      <w:r w:rsidRPr="0081767F">
        <w:rPr>
          <w:rFonts w:ascii="Times New Roman" w:hAnsi="Times New Roman"/>
        </w:rPr>
        <w:t>F</w:t>
      </w:r>
      <w:r w:rsidR="006F2750" w:rsidRPr="0081767F">
        <w:rPr>
          <w:rFonts w:ascii="Times New Roman" w:hAnsi="Times New Roman"/>
        </w:rPr>
        <w:t>ails</w:t>
      </w:r>
      <w:r>
        <w:rPr>
          <w:rFonts w:ascii="Times New Roman" w:hAnsi="Times New Roman"/>
        </w:rPr>
        <w:t>,</w:t>
      </w:r>
      <w:r w:rsidR="006F2750" w:rsidRPr="0081767F">
        <w:rPr>
          <w:rFonts w:ascii="Times New Roman" w:hAnsi="Times New Roman"/>
        </w:rPr>
        <w:t xml:space="preserve"> </w:t>
      </w:r>
      <w:r w:rsidR="007C0AA6">
        <w:rPr>
          <w:rFonts w:ascii="Times New Roman" w:hAnsi="Times New Roman"/>
        </w:rPr>
        <w:t>within the legislated period</w:t>
      </w:r>
      <w:r>
        <w:rPr>
          <w:rFonts w:ascii="Times New Roman" w:hAnsi="Times New Roman"/>
        </w:rPr>
        <w:t>, to</w:t>
      </w:r>
      <w:r w:rsidR="007C0AA6">
        <w:rPr>
          <w:rFonts w:ascii="Times New Roman" w:hAnsi="Times New Roman"/>
        </w:rPr>
        <w:t>:</w:t>
      </w:r>
    </w:p>
    <w:p w:rsidR="006F2750" w:rsidRPr="007C0AA6" w:rsidRDefault="006F2750" w:rsidP="00413B81">
      <w:pPr>
        <w:pStyle w:val="ListParagraph"/>
        <w:numPr>
          <w:ilvl w:val="1"/>
          <w:numId w:val="77"/>
        </w:numPr>
        <w:spacing w:before="120" w:after="120"/>
        <w:contextualSpacing w:val="0"/>
        <w:rPr>
          <w:rFonts w:ascii="Times New Roman" w:hAnsi="Times New Roman"/>
        </w:rPr>
      </w:pPr>
      <w:r w:rsidRPr="0081767F">
        <w:rPr>
          <w:rFonts w:ascii="Times New Roman" w:hAnsi="Times New Roman"/>
        </w:rPr>
        <w:t>provide a response</w:t>
      </w:r>
      <w:r w:rsidRPr="0081767F">
        <w:rPr>
          <w:rFonts w:ascii="Times New Roman" w:hAnsi="Times New Roman" w:cs="Times New Roman"/>
        </w:rPr>
        <w:t>;</w:t>
      </w:r>
      <w:r w:rsidR="007C0AA6">
        <w:rPr>
          <w:rFonts w:ascii="Times New Roman" w:hAnsi="Times New Roman" w:cs="Times New Roman"/>
        </w:rPr>
        <w:t xml:space="preserve"> or</w:t>
      </w:r>
    </w:p>
    <w:p w:rsidR="007C0AA6" w:rsidRPr="0081767F" w:rsidRDefault="007C0AA6" w:rsidP="00413B81">
      <w:pPr>
        <w:pStyle w:val="ListParagraph"/>
        <w:numPr>
          <w:ilvl w:val="1"/>
          <w:numId w:val="77"/>
        </w:numPr>
        <w:spacing w:before="120" w:after="120"/>
        <w:contextualSpacing w:val="0"/>
        <w:rPr>
          <w:rFonts w:ascii="Times New Roman" w:hAnsi="Times New Roman"/>
        </w:rPr>
      </w:pPr>
      <w:r>
        <w:rPr>
          <w:rFonts w:ascii="Times New Roman" w:hAnsi="Times New Roman"/>
          <w:sz w:val="24"/>
          <w:szCs w:val="24"/>
        </w:rPr>
        <w:t xml:space="preserve"> request a longer period to provide a response; or</w:t>
      </w:r>
    </w:p>
    <w:p w:rsidR="006F2750" w:rsidRPr="00DD2853" w:rsidRDefault="006F2750" w:rsidP="007C0AA6">
      <w:pPr>
        <w:pStyle w:val="ListParagraph"/>
        <w:numPr>
          <w:ilvl w:val="0"/>
          <w:numId w:val="77"/>
        </w:numPr>
        <w:spacing w:before="120" w:after="120"/>
        <w:contextualSpacing w:val="0"/>
        <w:rPr>
          <w:rFonts w:ascii="Times New Roman" w:hAnsi="Times New Roman"/>
          <w:sz w:val="24"/>
          <w:szCs w:val="24"/>
        </w:rPr>
      </w:pPr>
      <w:r w:rsidRPr="0081767F">
        <w:rPr>
          <w:rFonts w:ascii="Times New Roman" w:hAnsi="Times New Roman"/>
        </w:rPr>
        <w:t xml:space="preserve">provides a response within the legislated period </w:t>
      </w:r>
      <w:r w:rsidR="007C0AA6">
        <w:rPr>
          <w:rFonts w:ascii="Times New Roman" w:hAnsi="Times New Roman"/>
        </w:rPr>
        <w:t>that</w:t>
      </w:r>
      <w:r w:rsidRPr="0081767F">
        <w:rPr>
          <w:rFonts w:ascii="Times New Roman" w:hAnsi="Times New Roman"/>
        </w:rPr>
        <w:t xml:space="preserve"> the Commissioner considers did not provide information relevant to the case</w:t>
      </w:r>
      <w:r w:rsidR="007C0AA6">
        <w:rPr>
          <w:rFonts w:ascii="Times New Roman" w:hAnsi="Times New Roman"/>
        </w:rPr>
        <w:t>.</w:t>
      </w:r>
    </w:p>
    <w:p w:rsidR="006F298A" w:rsidRPr="00DD2853" w:rsidRDefault="006F298A" w:rsidP="00DD2853">
      <w:pPr>
        <w:pStyle w:val="ListParagraph"/>
        <w:keepNext/>
        <w:numPr>
          <w:ilvl w:val="0"/>
          <w:numId w:val="42"/>
        </w:numPr>
        <w:spacing w:before="240" w:after="240"/>
        <w:contextualSpacing w:val="0"/>
        <w:rPr>
          <w:rFonts w:ascii="Arial" w:hAnsi="Arial"/>
          <w:b/>
          <w:sz w:val="24"/>
          <w:szCs w:val="24"/>
        </w:rPr>
      </w:pPr>
      <w:r w:rsidRPr="00DD2853">
        <w:rPr>
          <w:rFonts w:ascii="Arial" w:hAnsi="Arial"/>
          <w:b/>
          <w:sz w:val="24"/>
          <w:szCs w:val="24"/>
        </w:rPr>
        <w:lastRenderedPageBreak/>
        <w:t>Significantly impeded – s</w:t>
      </w:r>
      <w:r w:rsidR="00E55A49" w:rsidRPr="00DD2853">
        <w:rPr>
          <w:rFonts w:ascii="Arial" w:hAnsi="Arial"/>
          <w:b/>
          <w:sz w:val="24"/>
          <w:szCs w:val="24"/>
        </w:rPr>
        <w:t xml:space="preserve">ections </w:t>
      </w:r>
      <w:r w:rsidRPr="00DD2853">
        <w:rPr>
          <w:rFonts w:ascii="Arial" w:hAnsi="Arial"/>
          <w:b/>
          <w:sz w:val="24"/>
          <w:szCs w:val="24"/>
        </w:rPr>
        <w:t>269T</w:t>
      </w:r>
      <w:r w:rsidR="00E55A49" w:rsidRPr="00DD2853">
        <w:rPr>
          <w:rFonts w:ascii="Arial" w:hAnsi="Arial"/>
          <w:b/>
          <w:sz w:val="24"/>
          <w:szCs w:val="24"/>
        </w:rPr>
        <w:t xml:space="preserve"> and </w:t>
      </w:r>
      <w:r w:rsidR="00F65F7B" w:rsidRPr="00DD2853">
        <w:rPr>
          <w:rFonts w:ascii="Arial" w:hAnsi="Arial"/>
          <w:b/>
          <w:sz w:val="24"/>
          <w:szCs w:val="24"/>
        </w:rPr>
        <w:t>269TAACA</w:t>
      </w:r>
    </w:p>
    <w:p w:rsidR="00991B83" w:rsidRPr="00DD2853" w:rsidRDefault="006F2750" w:rsidP="00DD2853">
      <w:pPr>
        <w:keepNext/>
        <w:ind w:left="567"/>
        <w:rPr>
          <w:rFonts w:ascii="Times New Roman" w:hAnsi="Times New Roman"/>
          <w:sz w:val="24"/>
          <w:szCs w:val="24"/>
        </w:rPr>
      </w:pPr>
      <w:r w:rsidRPr="00DD2853">
        <w:rPr>
          <w:rFonts w:ascii="Times New Roman" w:hAnsi="Times New Roman" w:cs="Times New Roman"/>
          <w:sz w:val="24"/>
          <w:szCs w:val="24"/>
        </w:rPr>
        <w:t>I</w:t>
      </w:r>
      <w:r w:rsidR="006F298A" w:rsidRPr="00DD2853">
        <w:rPr>
          <w:rFonts w:ascii="Times New Roman" w:hAnsi="Times New Roman" w:cs="Times New Roman"/>
          <w:sz w:val="24"/>
          <w:szCs w:val="24"/>
        </w:rPr>
        <w:t>n</w:t>
      </w:r>
      <w:r w:rsidR="006F298A" w:rsidRPr="00DD2853">
        <w:rPr>
          <w:rFonts w:ascii="Times New Roman" w:hAnsi="Times New Roman"/>
          <w:sz w:val="24"/>
          <w:szCs w:val="24"/>
        </w:rPr>
        <w:t xml:space="preserve"> determining whether or not an exporter</w:t>
      </w:r>
      <w:r w:rsidR="00241887" w:rsidRPr="00DD2853">
        <w:rPr>
          <w:rFonts w:ascii="Times New Roman" w:hAnsi="Times New Roman"/>
          <w:sz w:val="24"/>
          <w:szCs w:val="24"/>
        </w:rPr>
        <w:t xml:space="preserve"> or entity</w:t>
      </w:r>
      <w:r w:rsidR="006F298A" w:rsidRPr="00DD2853">
        <w:rPr>
          <w:rFonts w:ascii="Times New Roman" w:hAnsi="Times New Roman"/>
          <w:sz w:val="24"/>
          <w:szCs w:val="24"/>
        </w:rPr>
        <w:t xml:space="preserve"> has significantly impeded a case, the Commissioner </w:t>
      </w:r>
      <w:r w:rsidR="00455EB2" w:rsidRPr="00DD2853">
        <w:rPr>
          <w:rFonts w:ascii="Times New Roman" w:hAnsi="Times New Roman"/>
          <w:sz w:val="24"/>
          <w:szCs w:val="24"/>
        </w:rPr>
        <w:t xml:space="preserve">must </w:t>
      </w:r>
      <w:r w:rsidR="006F298A" w:rsidRPr="00DD2853">
        <w:rPr>
          <w:rFonts w:ascii="Times New Roman" w:hAnsi="Times New Roman"/>
          <w:sz w:val="24"/>
          <w:szCs w:val="24"/>
        </w:rPr>
        <w:t>take into account:</w:t>
      </w:r>
    </w:p>
    <w:p w:rsidR="00991B83" w:rsidRPr="00DD2853" w:rsidRDefault="00CD4719" w:rsidP="004F223F">
      <w:pPr>
        <w:pStyle w:val="ListParagraph"/>
        <w:numPr>
          <w:ilvl w:val="0"/>
          <w:numId w:val="60"/>
        </w:numPr>
        <w:spacing w:before="120" w:after="120"/>
        <w:contextualSpacing w:val="0"/>
        <w:rPr>
          <w:rFonts w:ascii="Times New Roman" w:hAnsi="Times New Roman"/>
          <w:sz w:val="24"/>
          <w:szCs w:val="24"/>
        </w:rPr>
      </w:pPr>
      <w:r w:rsidRPr="00DD2853">
        <w:rPr>
          <w:rFonts w:ascii="Times New Roman" w:hAnsi="Times New Roman"/>
          <w:sz w:val="24"/>
          <w:szCs w:val="24"/>
        </w:rPr>
        <w:t>any response provided by the exporter or entity to the Commissioner</w:t>
      </w:r>
      <w:r w:rsidR="00455EB2" w:rsidRPr="00DD2853">
        <w:rPr>
          <w:rFonts w:ascii="Times New Roman" w:hAnsi="Times New Roman"/>
          <w:sz w:val="24"/>
          <w:szCs w:val="24"/>
        </w:rPr>
        <w:t>, the timing of the response and</w:t>
      </w:r>
      <w:r w:rsidRPr="00DD2853">
        <w:rPr>
          <w:rFonts w:ascii="Times New Roman" w:hAnsi="Times New Roman" w:cs="Times New Roman"/>
          <w:sz w:val="24"/>
          <w:szCs w:val="24"/>
        </w:rPr>
        <w:t xml:space="preserve"> </w:t>
      </w:r>
      <w:r w:rsidR="00455EB2" w:rsidRPr="00DD2853">
        <w:rPr>
          <w:rFonts w:ascii="Times New Roman" w:hAnsi="Times New Roman" w:cs="Times New Roman"/>
          <w:sz w:val="24"/>
          <w:szCs w:val="24"/>
        </w:rPr>
        <w:t xml:space="preserve">any information </w:t>
      </w:r>
      <w:r w:rsidRPr="00DD2853">
        <w:rPr>
          <w:rFonts w:ascii="Times New Roman" w:hAnsi="Times New Roman" w:cs="Times New Roman"/>
          <w:sz w:val="24"/>
          <w:szCs w:val="24"/>
        </w:rPr>
        <w:t xml:space="preserve">omitted </w:t>
      </w:r>
      <w:r w:rsidR="00455EB2" w:rsidRPr="00DD2853">
        <w:rPr>
          <w:rFonts w:ascii="Times New Roman" w:hAnsi="Times New Roman" w:cs="Times New Roman"/>
          <w:sz w:val="24"/>
          <w:szCs w:val="24"/>
        </w:rPr>
        <w:t>from the response</w:t>
      </w:r>
      <w:r w:rsidRPr="00DD2853">
        <w:rPr>
          <w:rFonts w:ascii="Times New Roman" w:hAnsi="Times New Roman" w:cs="Times New Roman"/>
          <w:sz w:val="24"/>
          <w:szCs w:val="24"/>
        </w:rPr>
        <w:t>;</w:t>
      </w:r>
    </w:p>
    <w:p w:rsidR="00991B83" w:rsidRPr="00DD2853" w:rsidRDefault="006F298A" w:rsidP="004F223F">
      <w:pPr>
        <w:pStyle w:val="ListParagraph"/>
        <w:numPr>
          <w:ilvl w:val="0"/>
          <w:numId w:val="60"/>
        </w:numPr>
        <w:spacing w:before="120" w:after="120"/>
        <w:contextualSpacing w:val="0"/>
        <w:rPr>
          <w:rFonts w:ascii="Times New Roman" w:hAnsi="Times New Roman"/>
          <w:sz w:val="24"/>
          <w:szCs w:val="24"/>
        </w:rPr>
      </w:pPr>
      <w:r w:rsidRPr="00DD2853">
        <w:rPr>
          <w:rFonts w:ascii="Times New Roman" w:hAnsi="Times New Roman"/>
          <w:sz w:val="24"/>
          <w:szCs w:val="24"/>
        </w:rPr>
        <w:t xml:space="preserve">the actions </w:t>
      </w:r>
      <w:r w:rsidR="00241887" w:rsidRPr="00DD2853">
        <w:rPr>
          <w:rFonts w:ascii="Times New Roman" w:hAnsi="Times New Roman"/>
          <w:sz w:val="24"/>
          <w:szCs w:val="24"/>
        </w:rPr>
        <w:t xml:space="preserve">or omissions </w:t>
      </w:r>
      <w:r w:rsidRPr="00DD2853">
        <w:rPr>
          <w:rFonts w:ascii="Times New Roman" w:hAnsi="Times New Roman"/>
          <w:sz w:val="24"/>
          <w:szCs w:val="24"/>
        </w:rPr>
        <w:t>of the exporter</w:t>
      </w:r>
      <w:r w:rsidR="00241887" w:rsidRPr="00DD2853">
        <w:rPr>
          <w:rFonts w:ascii="Times New Roman" w:hAnsi="Times New Roman"/>
          <w:sz w:val="24"/>
          <w:szCs w:val="24"/>
        </w:rPr>
        <w:t xml:space="preserve"> or entity</w:t>
      </w:r>
      <w:r w:rsidRPr="00DD2853">
        <w:rPr>
          <w:rFonts w:ascii="Times New Roman" w:hAnsi="Times New Roman"/>
          <w:sz w:val="24"/>
          <w:szCs w:val="24"/>
        </w:rPr>
        <w:t xml:space="preserve"> during the conduct of this case and the reasonable or likely impacts of those actions</w:t>
      </w:r>
      <w:r w:rsidR="00F65F7B" w:rsidRPr="00DD2853">
        <w:rPr>
          <w:rFonts w:ascii="Times New Roman" w:hAnsi="Times New Roman"/>
          <w:sz w:val="24"/>
          <w:szCs w:val="24"/>
        </w:rPr>
        <w:t xml:space="preserve"> or omissions</w:t>
      </w:r>
      <w:r w:rsidRPr="00DD2853">
        <w:rPr>
          <w:rFonts w:ascii="Times New Roman" w:hAnsi="Times New Roman"/>
          <w:sz w:val="24"/>
          <w:szCs w:val="24"/>
        </w:rPr>
        <w:t>, regardless of intention;</w:t>
      </w:r>
      <w:r w:rsidR="00C16C37">
        <w:rPr>
          <w:rFonts w:ascii="Times New Roman" w:hAnsi="Times New Roman"/>
          <w:sz w:val="24"/>
          <w:szCs w:val="24"/>
        </w:rPr>
        <w:t xml:space="preserve"> and</w:t>
      </w:r>
    </w:p>
    <w:p w:rsidR="006F298A" w:rsidRPr="00DD2853" w:rsidRDefault="006F298A" w:rsidP="004F223F">
      <w:pPr>
        <w:pStyle w:val="ListParagraph"/>
        <w:numPr>
          <w:ilvl w:val="0"/>
          <w:numId w:val="60"/>
        </w:numPr>
        <w:spacing w:before="120" w:after="120"/>
        <w:contextualSpacing w:val="0"/>
        <w:rPr>
          <w:rFonts w:ascii="Times New Roman" w:hAnsi="Times New Roman"/>
          <w:sz w:val="24"/>
          <w:szCs w:val="24"/>
        </w:rPr>
      </w:pPr>
      <w:r w:rsidRPr="00DD2853">
        <w:rPr>
          <w:rFonts w:ascii="Times New Roman" w:hAnsi="Times New Roman"/>
          <w:sz w:val="24"/>
          <w:szCs w:val="24"/>
        </w:rPr>
        <w:t xml:space="preserve">any evidence which reasonably demonstrates an intention on the part of the exporter </w:t>
      </w:r>
      <w:r w:rsidR="00F65F7B" w:rsidRPr="00DD2853">
        <w:rPr>
          <w:rFonts w:ascii="Times New Roman" w:hAnsi="Times New Roman"/>
          <w:sz w:val="24"/>
          <w:szCs w:val="24"/>
        </w:rPr>
        <w:t xml:space="preserve">or entity </w:t>
      </w:r>
      <w:r w:rsidRPr="00DD2853">
        <w:rPr>
          <w:rFonts w:ascii="Times New Roman" w:hAnsi="Times New Roman"/>
          <w:sz w:val="24"/>
          <w:szCs w:val="24"/>
        </w:rPr>
        <w:t xml:space="preserve">to significantly </w:t>
      </w:r>
      <w:r w:rsidR="00F65F7B" w:rsidRPr="00DD2853">
        <w:rPr>
          <w:rFonts w:ascii="Times New Roman" w:hAnsi="Times New Roman"/>
          <w:sz w:val="24"/>
          <w:szCs w:val="24"/>
        </w:rPr>
        <w:t>obstruct or delay</w:t>
      </w:r>
      <w:r w:rsidRPr="00DD2853">
        <w:rPr>
          <w:rFonts w:ascii="Times New Roman" w:hAnsi="Times New Roman"/>
          <w:sz w:val="24"/>
          <w:szCs w:val="24"/>
        </w:rPr>
        <w:t xml:space="preserve"> the </w:t>
      </w:r>
      <w:r w:rsidRPr="00CC5360">
        <w:rPr>
          <w:rFonts w:ascii="Times New Roman" w:hAnsi="Times New Roman" w:cs="Times New Roman"/>
          <w:sz w:val="24"/>
          <w:szCs w:val="24"/>
        </w:rPr>
        <w:t>case</w:t>
      </w:r>
      <w:r w:rsidR="00406325" w:rsidRPr="00CC5360">
        <w:rPr>
          <w:rFonts w:ascii="Times New Roman" w:hAnsi="Times New Roman" w:cs="Times New Roman"/>
          <w:sz w:val="24"/>
          <w:szCs w:val="24"/>
        </w:rPr>
        <w:t>.</w:t>
      </w:r>
    </w:p>
    <w:p w:rsidR="00A8576C" w:rsidRPr="00DD2853" w:rsidRDefault="00A8576C" w:rsidP="004F223F">
      <w:pPr>
        <w:pStyle w:val="ListParagraph"/>
        <w:numPr>
          <w:ilvl w:val="0"/>
          <w:numId w:val="42"/>
        </w:numPr>
        <w:spacing w:before="240" w:after="240"/>
        <w:contextualSpacing w:val="0"/>
        <w:rPr>
          <w:rFonts w:ascii="Arial" w:hAnsi="Arial"/>
          <w:b/>
          <w:sz w:val="24"/>
          <w:szCs w:val="24"/>
        </w:rPr>
      </w:pPr>
      <w:r w:rsidRPr="00DD2853">
        <w:rPr>
          <w:rFonts w:ascii="Arial" w:hAnsi="Arial"/>
          <w:b/>
          <w:sz w:val="24"/>
          <w:szCs w:val="24"/>
        </w:rPr>
        <w:t>General powers – s</w:t>
      </w:r>
      <w:r w:rsidR="006A6C2E" w:rsidRPr="00DD2853">
        <w:rPr>
          <w:rFonts w:ascii="Arial" w:hAnsi="Arial"/>
          <w:b/>
          <w:sz w:val="24"/>
          <w:szCs w:val="24"/>
        </w:rPr>
        <w:t xml:space="preserve">ection </w:t>
      </w:r>
      <w:r w:rsidRPr="00DD2853">
        <w:rPr>
          <w:rFonts w:ascii="Arial" w:hAnsi="Arial"/>
          <w:b/>
          <w:sz w:val="24"/>
          <w:szCs w:val="24"/>
        </w:rPr>
        <w:t>269SMG</w:t>
      </w:r>
    </w:p>
    <w:p w:rsidR="00991B83" w:rsidRPr="00DD2853" w:rsidRDefault="00991B83" w:rsidP="004F223F">
      <w:pPr>
        <w:ind w:left="567"/>
        <w:rPr>
          <w:rFonts w:ascii="Times New Roman" w:hAnsi="Times New Roman"/>
          <w:sz w:val="24"/>
          <w:szCs w:val="24"/>
        </w:rPr>
      </w:pPr>
      <w:r w:rsidRPr="00DD2853">
        <w:rPr>
          <w:rFonts w:ascii="Times New Roman" w:hAnsi="Times New Roman" w:cs="Times New Roman"/>
          <w:sz w:val="24"/>
          <w:szCs w:val="24"/>
        </w:rPr>
        <w:t>I</w:t>
      </w:r>
      <w:r w:rsidR="006F298A" w:rsidRPr="00DD2853">
        <w:rPr>
          <w:rFonts w:ascii="Times New Roman" w:hAnsi="Times New Roman" w:cs="Times New Roman"/>
          <w:sz w:val="24"/>
          <w:szCs w:val="24"/>
        </w:rPr>
        <w:t>n</w:t>
      </w:r>
      <w:r w:rsidR="006F298A" w:rsidRPr="00DD2853">
        <w:rPr>
          <w:rFonts w:ascii="Times New Roman" w:hAnsi="Times New Roman"/>
          <w:sz w:val="24"/>
          <w:szCs w:val="24"/>
        </w:rPr>
        <w:t xml:space="preserve"> </w:t>
      </w:r>
      <w:r w:rsidR="00FF31E9" w:rsidRPr="00DD2853">
        <w:rPr>
          <w:rFonts w:ascii="Times New Roman" w:hAnsi="Times New Roman"/>
          <w:sz w:val="24"/>
          <w:szCs w:val="24"/>
        </w:rPr>
        <w:t xml:space="preserve">undertaking any </w:t>
      </w:r>
      <w:r w:rsidR="006F298A" w:rsidRPr="00DD2853">
        <w:rPr>
          <w:rFonts w:ascii="Times New Roman" w:hAnsi="Times New Roman"/>
          <w:sz w:val="24"/>
          <w:szCs w:val="24"/>
        </w:rPr>
        <w:t>assess</w:t>
      </w:r>
      <w:r w:rsidR="00FF31E9" w:rsidRPr="00DD2853">
        <w:rPr>
          <w:rFonts w:ascii="Times New Roman" w:hAnsi="Times New Roman"/>
          <w:sz w:val="24"/>
          <w:szCs w:val="24"/>
        </w:rPr>
        <w:t>ment or consideration of</w:t>
      </w:r>
      <w:r w:rsidR="006F298A" w:rsidRPr="00DD2853">
        <w:rPr>
          <w:rFonts w:ascii="Times New Roman" w:hAnsi="Times New Roman"/>
          <w:sz w:val="24"/>
          <w:szCs w:val="24"/>
        </w:rPr>
        <w:t xml:space="preserve"> the actions, </w:t>
      </w:r>
      <w:r w:rsidR="00FF31E9" w:rsidRPr="00DD2853">
        <w:rPr>
          <w:rFonts w:ascii="Times New Roman" w:hAnsi="Times New Roman"/>
          <w:sz w:val="24"/>
          <w:szCs w:val="24"/>
        </w:rPr>
        <w:t>omissions, or responses</w:t>
      </w:r>
      <w:r w:rsidR="006F298A" w:rsidRPr="00DD2853">
        <w:rPr>
          <w:rFonts w:ascii="Times New Roman" w:hAnsi="Times New Roman"/>
          <w:sz w:val="24"/>
          <w:szCs w:val="24"/>
        </w:rPr>
        <w:t xml:space="preserve"> </w:t>
      </w:r>
      <w:r w:rsidR="00FF31E9" w:rsidRPr="00DD2853">
        <w:rPr>
          <w:rFonts w:ascii="Times New Roman" w:hAnsi="Times New Roman"/>
          <w:sz w:val="24"/>
          <w:szCs w:val="24"/>
        </w:rPr>
        <w:t>of</w:t>
      </w:r>
      <w:r w:rsidR="006F298A" w:rsidRPr="00DD2853">
        <w:rPr>
          <w:rFonts w:ascii="Times New Roman" w:hAnsi="Times New Roman"/>
          <w:sz w:val="24"/>
          <w:szCs w:val="24"/>
        </w:rPr>
        <w:t xml:space="preserve"> an</w:t>
      </w:r>
      <w:r w:rsidR="00FF31E9" w:rsidRPr="00DD2853">
        <w:rPr>
          <w:rFonts w:ascii="Times New Roman" w:hAnsi="Times New Roman"/>
          <w:sz w:val="24"/>
          <w:szCs w:val="24"/>
        </w:rPr>
        <w:t xml:space="preserve">y interested parties </w:t>
      </w:r>
      <w:r w:rsidR="006F298A" w:rsidRPr="00DD2853">
        <w:rPr>
          <w:rFonts w:ascii="Times New Roman" w:hAnsi="Times New Roman"/>
          <w:sz w:val="24"/>
          <w:szCs w:val="24"/>
        </w:rPr>
        <w:t xml:space="preserve">in </w:t>
      </w:r>
      <w:r w:rsidR="00FF31E9" w:rsidRPr="00DD2853">
        <w:rPr>
          <w:rFonts w:ascii="Times New Roman" w:hAnsi="Times New Roman"/>
          <w:sz w:val="24"/>
          <w:szCs w:val="24"/>
        </w:rPr>
        <w:t>relation to a</w:t>
      </w:r>
      <w:r w:rsidR="006F298A" w:rsidRPr="00DD2853">
        <w:rPr>
          <w:rFonts w:ascii="Times New Roman" w:hAnsi="Times New Roman"/>
          <w:sz w:val="24"/>
          <w:szCs w:val="24"/>
        </w:rPr>
        <w:t xml:space="preserve"> case, </w:t>
      </w:r>
      <w:r w:rsidR="00FF31E9" w:rsidRPr="00DD2853">
        <w:rPr>
          <w:rFonts w:ascii="Times New Roman" w:hAnsi="Times New Roman"/>
          <w:sz w:val="24"/>
          <w:szCs w:val="24"/>
        </w:rPr>
        <w:t xml:space="preserve">before making any determination, </w:t>
      </w:r>
      <w:r w:rsidR="006F298A" w:rsidRPr="00DD2853">
        <w:rPr>
          <w:rFonts w:ascii="Times New Roman" w:hAnsi="Times New Roman"/>
          <w:sz w:val="24"/>
          <w:szCs w:val="24"/>
        </w:rPr>
        <w:t xml:space="preserve">the Commissioner </w:t>
      </w:r>
      <w:r w:rsidR="00DE7CF7" w:rsidRPr="00CC5360">
        <w:rPr>
          <w:rFonts w:ascii="Times New Roman" w:hAnsi="Times New Roman" w:cs="Times New Roman"/>
          <w:sz w:val="24"/>
          <w:szCs w:val="24"/>
        </w:rPr>
        <w:t xml:space="preserve">must </w:t>
      </w:r>
      <w:r w:rsidR="006F298A" w:rsidRPr="00DD2853">
        <w:rPr>
          <w:rFonts w:ascii="Times New Roman" w:hAnsi="Times New Roman"/>
          <w:sz w:val="24"/>
          <w:szCs w:val="24"/>
        </w:rPr>
        <w:t>take into account:</w:t>
      </w:r>
    </w:p>
    <w:p w:rsidR="00991B83" w:rsidRPr="00DD2853" w:rsidRDefault="006F298A" w:rsidP="004F223F">
      <w:pPr>
        <w:pStyle w:val="ListParagraph"/>
        <w:numPr>
          <w:ilvl w:val="0"/>
          <w:numId w:val="62"/>
        </w:numPr>
        <w:spacing w:before="120" w:after="120"/>
        <w:contextualSpacing w:val="0"/>
        <w:rPr>
          <w:rFonts w:ascii="Times New Roman" w:hAnsi="Times New Roman"/>
          <w:sz w:val="24"/>
          <w:szCs w:val="24"/>
        </w:rPr>
      </w:pPr>
      <w:r w:rsidRPr="00DD2853">
        <w:rPr>
          <w:rFonts w:ascii="Times New Roman" w:hAnsi="Times New Roman"/>
          <w:sz w:val="24"/>
          <w:szCs w:val="24"/>
        </w:rPr>
        <w:t xml:space="preserve">ordinary business practices; </w:t>
      </w:r>
    </w:p>
    <w:p w:rsidR="00991B83" w:rsidRPr="00DD2853" w:rsidRDefault="006F298A" w:rsidP="004F223F">
      <w:pPr>
        <w:pStyle w:val="ListParagraph"/>
        <w:numPr>
          <w:ilvl w:val="0"/>
          <w:numId w:val="62"/>
        </w:numPr>
        <w:spacing w:before="120" w:after="120"/>
        <w:contextualSpacing w:val="0"/>
        <w:rPr>
          <w:rFonts w:ascii="Times New Roman" w:hAnsi="Times New Roman"/>
          <w:sz w:val="24"/>
          <w:szCs w:val="24"/>
        </w:rPr>
      </w:pPr>
      <w:r w:rsidRPr="00DD2853">
        <w:rPr>
          <w:rFonts w:ascii="Times New Roman" w:hAnsi="Times New Roman"/>
          <w:sz w:val="24"/>
          <w:szCs w:val="24"/>
        </w:rPr>
        <w:t>ordinary commercial principles; and</w:t>
      </w:r>
    </w:p>
    <w:p w:rsidR="00481388" w:rsidRPr="00DD2853" w:rsidRDefault="006F298A" w:rsidP="004F223F">
      <w:pPr>
        <w:pStyle w:val="ListParagraph"/>
        <w:numPr>
          <w:ilvl w:val="0"/>
          <w:numId w:val="62"/>
        </w:numPr>
        <w:spacing w:before="120" w:after="120"/>
        <w:contextualSpacing w:val="0"/>
        <w:rPr>
          <w:rFonts w:ascii="Times New Roman" w:hAnsi="Times New Roman"/>
          <w:sz w:val="24"/>
          <w:szCs w:val="24"/>
        </w:rPr>
      </w:pPr>
      <w:r w:rsidRPr="00DD2853">
        <w:rPr>
          <w:rFonts w:ascii="Times New Roman" w:hAnsi="Times New Roman"/>
          <w:sz w:val="24"/>
          <w:szCs w:val="24"/>
        </w:rPr>
        <w:t>the relevant industry and the way it operates</w:t>
      </w:r>
      <w:r w:rsidR="004F223F" w:rsidRPr="00DD2853">
        <w:rPr>
          <w:rFonts w:ascii="Times New Roman" w:hAnsi="Times New Roman"/>
          <w:sz w:val="24"/>
          <w:szCs w:val="24"/>
        </w:rPr>
        <w:t>.</w:t>
      </w:r>
    </w:p>
    <w:sectPr w:rsidR="00481388" w:rsidRPr="00DD2853" w:rsidSect="00D04560">
      <w:headerReference w:type="default" r:id="rId10"/>
      <w:footerReference w:type="default" r:id="rId11"/>
      <w:pgSz w:w="11906" w:h="16838"/>
      <w:pgMar w:top="1276" w:right="144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234" w:rsidRDefault="00D71234" w:rsidP="00112577">
      <w:pPr>
        <w:spacing w:after="0" w:line="240" w:lineRule="auto"/>
      </w:pPr>
      <w:r>
        <w:separator/>
      </w:r>
    </w:p>
  </w:endnote>
  <w:endnote w:type="continuationSeparator" w:id="0">
    <w:p w:rsidR="00D71234" w:rsidRDefault="00D71234" w:rsidP="00112577">
      <w:pPr>
        <w:spacing w:after="0" w:line="240" w:lineRule="auto"/>
      </w:pPr>
      <w:r>
        <w:continuationSeparator/>
      </w:r>
    </w:p>
  </w:endnote>
  <w:endnote w:type="continuationNotice" w:id="1">
    <w:p w:rsidR="00D71234" w:rsidRDefault="00D71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3B" w:rsidRDefault="00DD313B" w:rsidP="00DD313B">
    <w:pPr>
      <w:spacing w:line="200" w:lineRule="exact"/>
      <w:ind w:right="360"/>
    </w:pPr>
  </w:p>
  <w:tbl>
    <w:tblPr>
      <w:tblW w:w="0" w:type="auto"/>
      <w:tblInd w:w="-106" w:type="dxa"/>
      <w:tblBorders>
        <w:top w:val="single" w:sz="4" w:space="0" w:color="auto"/>
      </w:tblBorders>
      <w:tblLayout w:type="fixed"/>
      <w:tblLook w:val="01E0" w:firstRow="1" w:lastRow="1" w:firstColumn="1" w:lastColumn="1" w:noHBand="0" w:noVBand="0"/>
    </w:tblPr>
    <w:tblGrid>
      <w:gridCol w:w="1134"/>
      <w:gridCol w:w="6095"/>
      <w:gridCol w:w="1134"/>
    </w:tblGrid>
    <w:tr w:rsidR="00DD313B" w:rsidTr="00DD313B">
      <w:tc>
        <w:tcPr>
          <w:tcW w:w="1134" w:type="dxa"/>
          <w:tcBorders>
            <w:top w:val="single" w:sz="4" w:space="0" w:color="auto"/>
            <w:left w:val="nil"/>
            <w:bottom w:val="nil"/>
            <w:right w:val="nil"/>
          </w:tcBorders>
          <w:hideMark/>
        </w:tcPr>
        <w:p w:rsidR="00DD313B" w:rsidRDefault="00DD313B">
          <w:pPr>
            <w:spacing w:line="240" w:lineRule="exact"/>
            <w:rPr>
              <w:rFonts w:ascii="Arial" w:hAnsi="Arial" w:cs="Arial"/>
              <w:sz w:val="24"/>
              <w:szCs w:val="24"/>
              <w:lang w:val="en-US"/>
            </w:rPr>
          </w:pPr>
          <w:r>
            <w:rPr>
              <w:rStyle w:val="PageNumber"/>
              <w:lang w:val="en-US"/>
            </w:rPr>
            <w:fldChar w:fldCharType="begin"/>
          </w:r>
          <w:r>
            <w:rPr>
              <w:rStyle w:val="PageNumber"/>
              <w:lang w:val="en-US"/>
            </w:rPr>
            <w:instrText xml:space="preserve">PAGE  </w:instrText>
          </w:r>
          <w:r>
            <w:rPr>
              <w:rStyle w:val="PageNumber"/>
              <w:lang w:val="en-US"/>
            </w:rPr>
            <w:fldChar w:fldCharType="separate"/>
          </w:r>
          <w:r w:rsidR="00B06C35">
            <w:rPr>
              <w:rStyle w:val="PageNumber"/>
              <w:noProof/>
              <w:lang w:val="en-US"/>
            </w:rPr>
            <w:t>6</w:t>
          </w:r>
          <w:r>
            <w:rPr>
              <w:rStyle w:val="PageNumber"/>
              <w:lang w:val="en-US"/>
            </w:rPr>
            <w:fldChar w:fldCharType="end"/>
          </w:r>
        </w:p>
      </w:tc>
      <w:tc>
        <w:tcPr>
          <w:tcW w:w="6095" w:type="dxa"/>
          <w:tcBorders>
            <w:top w:val="single" w:sz="4" w:space="0" w:color="auto"/>
            <w:left w:val="nil"/>
            <w:bottom w:val="nil"/>
            <w:right w:val="nil"/>
          </w:tcBorders>
          <w:hideMark/>
        </w:tcPr>
        <w:p w:rsidR="00DD313B" w:rsidRDefault="00DD313B">
          <w:pPr>
            <w:pStyle w:val="FooterCitation"/>
            <w:rPr>
              <w:lang w:val="en-US" w:eastAsia="en-US"/>
            </w:rPr>
          </w:pPr>
          <w:r>
            <w:rPr>
              <w:lang w:val="en-US" w:eastAsia="en-US"/>
            </w:rPr>
            <w:t>Customs (Extensions of time and Non-cooperation) Direction 2015</w:t>
          </w:r>
        </w:p>
      </w:tc>
      <w:tc>
        <w:tcPr>
          <w:tcW w:w="1134" w:type="dxa"/>
          <w:tcBorders>
            <w:top w:val="single" w:sz="4" w:space="0" w:color="auto"/>
            <w:left w:val="nil"/>
            <w:bottom w:val="nil"/>
            <w:right w:val="nil"/>
          </w:tcBorders>
        </w:tcPr>
        <w:p w:rsidR="00DD313B" w:rsidRDefault="00DD313B">
          <w:pPr>
            <w:spacing w:line="240" w:lineRule="exact"/>
            <w:jc w:val="right"/>
            <w:rPr>
              <w:rStyle w:val="PageNumber"/>
              <w:i/>
              <w:iCs/>
            </w:rPr>
          </w:pPr>
        </w:p>
      </w:tc>
    </w:tr>
  </w:tbl>
  <w:p w:rsidR="00DD313B" w:rsidRDefault="00DD313B" w:rsidP="00EC2AB3">
    <w:pPr>
      <w:pStyle w:val="Footer"/>
    </w:pPr>
  </w:p>
  <w:p w:rsidR="006147E6" w:rsidRDefault="006147E6" w:rsidP="00977ED0">
    <w:pPr>
      <w:pStyle w:val="Footer"/>
      <w:jc w:val="right"/>
    </w:pPr>
  </w:p>
  <w:p w:rsidR="006147E6" w:rsidRPr="00977ED0" w:rsidRDefault="006147E6" w:rsidP="00977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234" w:rsidRDefault="00D71234" w:rsidP="00112577">
      <w:pPr>
        <w:spacing w:after="0" w:line="240" w:lineRule="auto"/>
      </w:pPr>
      <w:r>
        <w:separator/>
      </w:r>
    </w:p>
  </w:footnote>
  <w:footnote w:type="continuationSeparator" w:id="0">
    <w:p w:rsidR="00D71234" w:rsidRDefault="00D71234" w:rsidP="00112577">
      <w:pPr>
        <w:spacing w:after="0" w:line="240" w:lineRule="auto"/>
      </w:pPr>
      <w:r>
        <w:continuationSeparator/>
      </w:r>
    </w:p>
  </w:footnote>
  <w:footnote w:type="continuationNotice" w:id="1">
    <w:p w:rsidR="00D71234" w:rsidRDefault="00D7123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7E6" w:rsidRPr="00112577" w:rsidRDefault="006147E6" w:rsidP="00112577">
    <w:pPr>
      <w:pStyle w:val="Header"/>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A90"/>
    <w:multiLevelType w:val="hybridMultilevel"/>
    <w:tmpl w:val="CA74607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11D71C1"/>
    <w:multiLevelType w:val="hybridMultilevel"/>
    <w:tmpl w:val="7A10205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AB7535"/>
    <w:multiLevelType w:val="hybridMultilevel"/>
    <w:tmpl w:val="A204256E"/>
    <w:lvl w:ilvl="0" w:tplc="0C090011">
      <w:start w:val="1"/>
      <w:numFmt w:val="decimal"/>
      <w:lvlText w:val="%1)"/>
      <w:lvlJc w:val="left"/>
      <w:pPr>
        <w:ind w:left="720" w:hanging="360"/>
      </w:pPr>
    </w:lvl>
    <w:lvl w:ilvl="1" w:tplc="0C09001B">
      <w:start w:val="1"/>
      <w:numFmt w:val="lowerRoman"/>
      <w:lvlText w:val="%2."/>
      <w:lvlJc w:val="right"/>
      <w:pPr>
        <w:ind w:left="1440" w:hanging="360"/>
      </w:pPr>
    </w:lvl>
    <w:lvl w:ilvl="2" w:tplc="9DFA1462">
      <w:start w:val="1"/>
      <w:numFmt w:val="lowerRoman"/>
      <w:lvlText w:val="%3."/>
      <w:lvlJc w:val="right"/>
      <w:pPr>
        <w:ind w:left="2268" w:hanging="567"/>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58F7C90"/>
    <w:multiLevelType w:val="hybridMultilevel"/>
    <w:tmpl w:val="0422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AF5ADC"/>
    <w:multiLevelType w:val="hybridMultilevel"/>
    <w:tmpl w:val="CA74607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0B474F04"/>
    <w:multiLevelType w:val="hybridMultilevel"/>
    <w:tmpl w:val="88687BE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9DFA1462">
      <w:start w:val="1"/>
      <w:numFmt w:val="lowerRoman"/>
      <w:lvlText w:val="%3."/>
      <w:lvlJc w:val="right"/>
      <w:pPr>
        <w:ind w:left="2268" w:hanging="567"/>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125BD1"/>
    <w:multiLevelType w:val="multilevel"/>
    <w:tmpl w:val="384E8C9C"/>
    <w:styleLink w:val="CABNETList"/>
    <w:lvl w:ilvl="0">
      <w:start w:val="1"/>
      <w:numFmt w:val="decimal"/>
      <w:lvlText w:val="%1."/>
      <w:lvlJc w:val="left"/>
      <w:pPr>
        <w:tabs>
          <w:tab w:val="num" w:pos="567"/>
        </w:tabs>
        <w:ind w:left="0" w:firstLine="0"/>
      </w:pPr>
      <w:rPr>
        <w:rFonts w:ascii="Verdana" w:hAnsi="Verdana"/>
        <w:sz w:val="22"/>
        <w:szCs w:val="24"/>
      </w:rPr>
    </w:lvl>
    <w:lvl w:ilvl="1">
      <w:start w:val="1"/>
      <w:numFmt w:val="lowerLetter"/>
      <w:lvlText w:val="(%2)"/>
      <w:lvlJc w:val="left"/>
      <w:pPr>
        <w:tabs>
          <w:tab w:val="num" w:pos="567"/>
        </w:tabs>
        <w:ind w:left="1134" w:hanging="567"/>
      </w:pPr>
      <w:rPr>
        <w:rFonts w:ascii="Verdana" w:hAnsi="Verdana" w:hint="default"/>
        <w:b w:val="0"/>
        <w:i w:val="0"/>
        <w:color w:val="auto"/>
        <w:sz w:val="22"/>
        <w:szCs w:val="24"/>
      </w:rPr>
    </w:lvl>
    <w:lvl w:ilvl="2">
      <w:start w:val="1"/>
      <w:numFmt w:val="lowerRoman"/>
      <w:lvlText w:val="(%3)"/>
      <w:lvlJc w:val="left"/>
      <w:pPr>
        <w:tabs>
          <w:tab w:val="num" w:pos="567"/>
        </w:tabs>
        <w:ind w:left="1701" w:hanging="567"/>
      </w:pPr>
      <w:rPr>
        <w:rFonts w:ascii="Verdana" w:hAnsi="Verdana" w:hint="default"/>
        <w:b w:val="0"/>
        <w:i w:val="0"/>
        <w:color w:val="auto"/>
        <w:sz w:val="22"/>
        <w:szCs w:val="24"/>
      </w:rPr>
    </w:lvl>
    <w:lvl w:ilvl="3">
      <w:start w:val="1"/>
      <w:numFmt w:val="upperLetter"/>
      <w:lvlText w:val="(%4)"/>
      <w:lvlJc w:val="left"/>
      <w:pPr>
        <w:tabs>
          <w:tab w:val="num" w:pos="567"/>
        </w:tabs>
        <w:ind w:left="2268" w:hanging="567"/>
      </w:pPr>
      <w:rPr>
        <w:rFonts w:ascii="Verdana" w:hAnsi="Verdana" w:hint="default"/>
        <w:b w:val="0"/>
        <w:i w:val="0"/>
        <w:color w:val="auto"/>
        <w:sz w:val="22"/>
        <w:szCs w:val="24"/>
      </w:rPr>
    </w:lvl>
    <w:lvl w:ilvl="4">
      <w:start w:val="1"/>
      <w:numFmt w:val="decimal"/>
      <w:lvlText w:val="(%5)"/>
      <w:lvlJc w:val="left"/>
      <w:pPr>
        <w:tabs>
          <w:tab w:val="num" w:pos="567"/>
        </w:tabs>
        <w:ind w:left="2835" w:hanging="567"/>
      </w:pPr>
      <w:rPr>
        <w:rFonts w:ascii="Verdana" w:hAnsi="Verdana" w:hint="default"/>
        <w:b w:val="0"/>
        <w:i w:val="0"/>
        <w:color w:val="auto"/>
        <w:sz w:val="22"/>
        <w:szCs w:val="24"/>
      </w:rPr>
    </w:lvl>
    <w:lvl w:ilvl="5">
      <w:start w:val="1"/>
      <w:numFmt w:val="none"/>
      <w:lvlText w:val="."/>
      <w:lvlJc w:val="left"/>
      <w:pPr>
        <w:tabs>
          <w:tab w:val="num" w:pos="567"/>
        </w:tabs>
        <w:ind w:left="3402" w:hanging="567"/>
      </w:pPr>
      <w:rPr>
        <w:rFonts w:ascii="Verdana" w:hAnsi="Verdana" w:hint="default"/>
        <w:b w:val="0"/>
        <w:i w:val="0"/>
        <w:color w:val="auto"/>
        <w:sz w:val="22"/>
        <w:szCs w:val="24"/>
      </w:rPr>
    </w:lvl>
    <w:lvl w:ilvl="6">
      <w:start w:val="1"/>
      <w:numFmt w:val="none"/>
      <w:lvlText w:val="%7."/>
      <w:lvlJc w:val="left"/>
      <w:pPr>
        <w:tabs>
          <w:tab w:val="num" w:pos="567"/>
        </w:tabs>
        <w:ind w:left="3969" w:hanging="567"/>
      </w:pPr>
      <w:rPr>
        <w:rFonts w:ascii="Verdana" w:hAnsi="Verdana" w:hint="default"/>
        <w:b w:val="0"/>
        <w:i w:val="0"/>
        <w:color w:val="auto"/>
        <w:sz w:val="22"/>
        <w:szCs w:val="24"/>
      </w:rPr>
    </w:lvl>
    <w:lvl w:ilvl="7">
      <w:start w:val="1"/>
      <w:numFmt w:val="none"/>
      <w:lvlText w:val="%8."/>
      <w:lvlJc w:val="left"/>
      <w:pPr>
        <w:tabs>
          <w:tab w:val="num" w:pos="567"/>
        </w:tabs>
        <w:ind w:left="4536" w:hanging="567"/>
      </w:pPr>
      <w:rPr>
        <w:rFonts w:ascii="Verdana" w:hAnsi="Verdana" w:hint="default"/>
        <w:b w:val="0"/>
        <w:i w:val="0"/>
        <w:color w:val="auto"/>
        <w:sz w:val="22"/>
        <w:szCs w:val="24"/>
      </w:rPr>
    </w:lvl>
    <w:lvl w:ilvl="8">
      <w:start w:val="1"/>
      <w:numFmt w:val="none"/>
      <w:lvlText w:val="%9."/>
      <w:lvlJc w:val="left"/>
      <w:pPr>
        <w:tabs>
          <w:tab w:val="num" w:pos="567"/>
        </w:tabs>
        <w:ind w:left="5103" w:hanging="567"/>
      </w:pPr>
      <w:rPr>
        <w:rFonts w:ascii="Verdana" w:hAnsi="Verdana" w:hint="default"/>
        <w:b w:val="0"/>
        <w:i w:val="0"/>
        <w:color w:val="auto"/>
        <w:sz w:val="22"/>
        <w:szCs w:val="24"/>
      </w:rPr>
    </w:lvl>
  </w:abstractNum>
  <w:abstractNum w:abstractNumId="7">
    <w:nsid w:val="13137109"/>
    <w:multiLevelType w:val="hybridMultilevel"/>
    <w:tmpl w:val="4D20185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7A63DB"/>
    <w:multiLevelType w:val="hybridMultilevel"/>
    <w:tmpl w:val="272074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4680931"/>
    <w:multiLevelType w:val="hybridMultilevel"/>
    <w:tmpl w:val="785CC038"/>
    <w:lvl w:ilvl="0" w:tplc="1B0CE904">
      <w:start w:val="1"/>
      <w:numFmt w:val="lowerRoman"/>
      <w:lvlText w:val="%1."/>
      <w:lvlJc w:val="right"/>
      <w:pPr>
        <w:ind w:left="1287" w:hanging="567"/>
      </w:pPr>
      <w:rPr>
        <w:rFonts w:hint="default"/>
      </w:rPr>
    </w:lvl>
    <w:lvl w:ilvl="1" w:tplc="0C090019" w:tentative="1">
      <w:start w:val="1"/>
      <w:numFmt w:val="lowerLetter"/>
      <w:lvlText w:val="%2."/>
      <w:lvlJc w:val="left"/>
      <w:pPr>
        <w:ind w:left="459" w:hanging="360"/>
      </w:pPr>
    </w:lvl>
    <w:lvl w:ilvl="2" w:tplc="0C09001B" w:tentative="1">
      <w:start w:val="1"/>
      <w:numFmt w:val="lowerRoman"/>
      <w:lvlText w:val="%3."/>
      <w:lvlJc w:val="right"/>
      <w:pPr>
        <w:ind w:left="1179" w:hanging="180"/>
      </w:pPr>
    </w:lvl>
    <w:lvl w:ilvl="3" w:tplc="0C09000F" w:tentative="1">
      <w:start w:val="1"/>
      <w:numFmt w:val="decimal"/>
      <w:lvlText w:val="%4."/>
      <w:lvlJc w:val="left"/>
      <w:pPr>
        <w:ind w:left="1899" w:hanging="360"/>
      </w:pPr>
    </w:lvl>
    <w:lvl w:ilvl="4" w:tplc="0C090019" w:tentative="1">
      <w:start w:val="1"/>
      <w:numFmt w:val="lowerLetter"/>
      <w:lvlText w:val="%5."/>
      <w:lvlJc w:val="left"/>
      <w:pPr>
        <w:ind w:left="2619" w:hanging="360"/>
      </w:pPr>
    </w:lvl>
    <w:lvl w:ilvl="5" w:tplc="0C09001B" w:tentative="1">
      <w:start w:val="1"/>
      <w:numFmt w:val="lowerRoman"/>
      <w:lvlText w:val="%6."/>
      <w:lvlJc w:val="right"/>
      <w:pPr>
        <w:ind w:left="3339" w:hanging="180"/>
      </w:pPr>
    </w:lvl>
    <w:lvl w:ilvl="6" w:tplc="0C09000F" w:tentative="1">
      <w:start w:val="1"/>
      <w:numFmt w:val="decimal"/>
      <w:lvlText w:val="%7."/>
      <w:lvlJc w:val="left"/>
      <w:pPr>
        <w:ind w:left="4059" w:hanging="360"/>
      </w:pPr>
    </w:lvl>
    <w:lvl w:ilvl="7" w:tplc="0C090019" w:tentative="1">
      <w:start w:val="1"/>
      <w:numFmt w:val="lowerLetter"/>
      <w:lvlText w:val="%8."/>
      <w:lvlJc w:val="left"/>
      <w:pPr>
        <w:ind w:left="4779" w:hanging="360"/>
      </w:pPr>
    </w:lvl>
    <w:lvl w:ilvl="8" w:tplc="0C09001B" w:tentative="1">
      <w:start w:val="1"/>
      <w:numFmt w:val="lowerRoman"/>
      <w:lvlText w:val="%9."/>
      <w:lvlJc w:val="right"/>
      <w:pPr>
        <w:ind w:left="5499" w:hanging="180"/>
      </w:pPr>
    </w:lvl>
  </w:abstractNum>
  <w:abstractNum w:abstractNumId="10">
    <w:nsid w:val="15F91539"/>
    <w:multiLevelType w:val="hybridMultilevel"/>
    <w:tmpl w:val="C04CA4D8"/>
    <w:lvl w:ilvl="0" w:tplc="91DAE3FC">
      <w:start w:val="1"/>
      <w:numFmt w:val="lowerRoman"/>
      <w:lvlText w:val="%1."/>
      <w:lvlJc w:val="left"/>
      <w:pPr>
        <w:ind w:left="1800"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590482"/>
    <w:multiLevelType w:val="hybridMultilevel"/>
    <w:tmpl w:val="5AAE4650"/>
    <w:lvl w:ilvl="0" w:tplc="6ED442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9365373"/>
    <w:multiLevelType w:val="hybridMultilevel"/>
    <w:tmpl w:val="31A4A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9770E3D"/>
    <w:multiLevelType w:val="hybridMultilevel"/>
    <w:tmpl w:val="F5A44E2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9FA3966"/>
    <w:multiLevelType w:val="hybridMultilevel"/>
    <w:tmpl w:val="678CC3A2"/>
    <w:lvl w:ilvl="0" w:tplc="6ED442B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1A6C67D2"/>
    <w:multiLevelType w:val="hybridMultilevel"/>
    <w:tmpl w:val="44E44D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E07ADC"/>
    <w:multiLevelType w:val="hybridMultilevel"/>
    <w:tmpl w:val="F0CA305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E277729"/>
    <w:multiLevelType w:val="hybridMultilevel"/>
    <w:tmpl w:val="259AE35A"/>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20744A9C"/>
    <w:multiLevelType w:val="hybridMultilevel"/>
    <w:tmpl w:val="259AE35A"/>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22944C79"/>
    <w:multiLevelType w:val="hybridMultilevel"/>
    <w:tmpl w:val="E74E599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nsid w:val="24993B1C"/>
    <w:multiLevelType w:val="hybridMultilevel"/>
    <w:tmpl w:val="409E7D14"/>
    <w:lvl w:ilvl="0" w:tplc="6C242608">
      <w:start w:val="1"/>
      <w:numFmt w:val="decimal"/>
      <w:lvlText w:val="%1)"/>
      <w:lvlJc w:val="left"/>
      <w:pPr>
        <w:ind w:left="1134" w:hanging="567"/>
      </w:pPr>
      <w:rPr>
        <w:rFonts w:hint="default"/>
      </w:rPr>
    </w:lvl>
    <w:lvl w:ilvl="1" w:tplc="02D89A76">
      <w:start w:val="1"/>
      <w:numFmt w:val="lowerLetter"/>
      <w:lvlText w:val="%2."/>
      <w:lvlJc w:val="left"/>
      <w:pPr>
        <w:ind w:left="1701" w:hanging="567"/>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nsid w:val="24BD1AAC"/>
    <w:multiLevelType w:val="hybridMultilevel"/>
    <w:tmpl w:val="276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6205E55"/>
    <w:multiLevelType w:val="hybridMultilevel"/>
    <w:tmpl w:val="3614E98A"/>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6856574"/>
    <w:multiLevelType w:val="hybridMultilevel"/>
    <w:tmpl w:val="B2142F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8EC2287"/>
    <w:multiLevelType w:val="hybridMultilevel"/>
    <w:tmpl w:val="A308E9C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28F03921"/>
    <w:multiLevelType w:val="multilevel"/>
    <w:tmpl w:val="B6CE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401D57"/>
    <w:multiLevelType w:val="hybridMultilevel"/>
    <w:tmpl w:val="09D445B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2B1D4418"/>
    <w:multiLevelType w:val="hybridMultilevel"/>
    <w:tmpl w:val="12EADE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B46602C"/>
    <w:multiLevelType w:val="hybridMultilevel"/>
    <w:tmpl w:val="259AE35A"/>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2BBF693B"/>
    <w:multiLevelType w:val="hybridMultilevel"/>
    <w:tmpl w:val="53766880"/>
    <w:lvl w:ilvl="0" w:tplc="0C090017">
      <w:start w:val="1"/>
      <w:numFmt w:val="lowerLetter"/>
      <w:lvlText w:val="%1)"/>
      <w:lvlJc w:val="left"/>
      <w:pPr>
        <w:ind w:left="2835" w:hanging="567"/>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nsid w:val="2C4B773A"/>
    <w:multiLevelType w:val="hybridMultilevel"/>
    <w:tmpl w:val="B2142F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2E011EE8"/>
    <w:multiLevelType w:val="hybridMultilevel"/>
    <w:tmpl w:val="E33E7B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2ECE43A3"/>
    <w:multiLevelType w:val="hybridMultilevel"/>
    <w:tmpl w:val="F6943C34"/>
    <w:lvl w:ilvl="0" w:tplc="0C09001B">
      <w:start w:val="1"/>
      <w:numFmt w:val="lowerRoman"/>
      <w:lvlText w:val="%1."/>
      <w:lvlJc w:val="righ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nsid w:val="2ED97E3D"/>
    <w:multiLevelType w:val="hybridMultilevel"/>
    <w:tmpl w:val="66F2E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EEE1A35"/>
    <w:multiLevelType w:val="hybridMultilevel"/>
    <w:tmpl w:val="A4C8135E"/>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nsid w:val="30532206"/>
    <w:multiLevelType w:val="hybridMultilevel"/>
    <w:tmpl w:val="B2B2EB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3170596D"/>
    <w:multiLevelType w:val="hybridMultilevel"/>
    <w:tmpl w:val="FC586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22D2633"/>
    <w:multiLevelType w:val="hybridMultilevel"/>
    <w:tmpl w:val="259AE35A"/>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3462487D"/>
    <w:multiLevelType w:val="multilevel"/>
    <w:tmpl w:val="6F5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4722BA2"/>
    <w:multiLevelType w:val="hybridMultilevel"/>
    <w:tmpl w:val="F6943C34"/>
    <w:lvl w:ilvl="0" w:tplc="0C09001B">
      <w:start w:val="1"/>
      <w:numFmt w:val="lowerRoman"/>
      <w:lvlText w:val="%1."/>
      <w:lvlJc w:val="righ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0">
    <w:nsid w:val="3ADF4AEA"/>
    <w:multiLevelType w:val="hybridMultilevel"/>
    <w:tmpl w:val="633EDF82"/>
    <w:lvl w:ilvl="0" w:tplc="3BBA998C">
      <w:start w:val="1"/>
      <w:numFmt w:val="decimal"/>
      <w:lvlText w:val="%1)"/>
      <w:lvlJc w:val="left"/>
      <w:pPr>
        <w:ind w:left="1134" w:hanging="567"/>
      </w:pPr>
      <w:rPr>
        <w:rFonts w:hint="default"/>
      </w:rPr>
    </w:lvl>
    <w:lvl w:ilvl="1" w:tplc="0C090017">
      <w:start w:val="1"/>
      <w:numFmt w:val="lowerLetter"/>
      <w:lvlText w:val="%2)"/>
      <w:lvlJc w:val="left"/>
      <w:pPr>
        <w:ind w:left="1440" w:hanging="360"/>
      </w:pPr>
    </w:lvl>
    <w:lvl w:ilvl="2" w:tplc="1B0CE904">
      <w:start w:val="1"/>
      <w:numFmt w:val="lowerRoman"/>
      <w:lvlText w:val="%3."/>
      <w:lvlJc w:val="right"/>
      <w:pPr>
        <w:ind w:left="2268" w:hanging="567"/>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3CFC4857"/>
    <w:multiLevelType w:val="hybridMultilevel"/>
    <w:tmpl w:val="A7B07758"/>
    <w:lvl w:ilvl="0" w:tplc="6F6ABAB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3D1E6E11"/>
    <w:multiLevelType w:val="hybridMultilevel"/>
    <w:tmpl w:val="272074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3D477C1E"/>
    <w:multiLevelType w:val="hybridMultilevel"/>
    <w:tmpl w:val="F0CA305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3F0A28B5"/>
    <w:multiLevelType w:val="hybridMultilevel"/>
    <w:tmpl w:val="D3782EEA"/>
    <w:lvl w:ilvl="0" w:tplc="0C09001B">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nsid w:val="3F9902BB"/>
    <w:multiLevelType w:val="hybridMultilevel"/>
    <w:tmpl w:val="F6408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406C3134"/>
    <w:multiLevelType w:val="hybridMultilevel"/>
    <w:tmpl w:val="88E43AC6"/>
    <w:lvl w:ilvl="0" w:tplc="6ED442B6">
      <w:start w:val="1"/>
      <w:numFmt w:val="decimal"/>
      <w:lvlText w:val="%1."/>
      <w:lvlJc w:val="left"/>
      <w:pPr>
        <w:ind w:left="567" w:hanging="567"/>
      </w:pPr>
      <w:rPr>
        <w:rFonts w:hint="default"/>
        <w:b/>
      </w:rPr>
    </w:lvl>
    <w:lvl w:ilvl="1" w:tplc="0C090011">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4077514E"/>
    <w:multiLevelType w:val="multilevel"/>
    <w:tmpl w:val="D90A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2033B50"/>
    <w:multiLevelType w:val="hybridMultilevel"/>
    <w:tmpl w:val="55C00A2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2D89A76">
      <w:start w:val="1"/>
      <w:numFmt w:val="lowerLetter"/>
      <w:lvlText w:val="%3."/>
      <w:lvlJc w:val="left"/>
      <w:pPr>
        <w:ind w:left="2268" w:hanging="567"/>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43D0320C"/>
    <w:multiLevelType w:val="hybridMultilevel"/>
    <w:tmpl w:val="CA74607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nsid w:val="464A3947"/>
    <w:multiLevelType w:val="hybridMultilevel"/>
    <w:tmpl w:val="185CF7B0"/>
    <w:lvl w:ilvl="0" w:tplc="A6A244C2">
      <w:start w:val="1"/>
      <w:numFmt w:val="decimal"/>
      <w:lvlText w:val="%1."/>
      <w:lvlJc w:val="left"/>
      <w:pPr>
        <w:ind w:left="567" w:hanging="567"/>
      </w:pPr>
      <w:rPr>
        <w:rFonts w:hint="default"/>
        <w:b/>
      </w:rPr>
    </w:lvl>
    <w:lvl w:ilvl="1" w:tplc="0C090011">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46D80ADF"/>
    <w:multiLevelType w:val="hybridMultilevel"/>
    <w:tmpl w:val="6D20BD7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475433EA"/>
    <w:multiLevelType w:val="hybridMultilevel"/>
    <w:tmpl w:val="F0CA305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486226CA"/>
    <w:multiLevelType w:val="hybridMultilevel"/>
    <w:tmpl w:val="259AE35A"/>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nsid w:val="49050D40"/>
    <w:multiLevelType w:val="hybridMultilevel"/>
    <w:tmpl w:val="5778E85A"/>
    <w:lvl w:ilvl="0" w:tplc="3BBA998C">
      <w:start w:val="1"/>
      <w:numFmt w:val="decimal"/>
      <w:lvlText w:val="%1)"/>
      <w:lvlJc w:val="left"/>
      <w:pPr>
        <w:ind w:left="1134" w:hanging="567"/>
      </w:pPr>
      <w:rPr>
        <w:rFonts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49AA489B"/>
    <w:multiLevelType w:val="hybridMultilevel"/>
    <w:tmpl w:val="409E7D14"/>
    <w:lvl w:ilvl="0" w:tplc="6C242608">
      <w:start w:val="1"/>
      <w:numFmt w:val="decimal"/>
      <w:lvlText w:val="%1)"/>
      <w:lvlJc w:val="left"/>
      <w:pPr>
        <w:ind w:left="1134" w:hanging="567"/>
      </w:pPr>
      <w:rPr>
        <w:rFonts w:hint="default"/>
      </w:rPr>
    </w:lvl>
    <w:lvl w:ilvl="1" w:tplc="02D89A76">
      <w:start w:val="1"/>
      <w:numFmt w:val="lowerLetter"/>
      <w:lvlText w:val="%2."/>
      <w:lvlJc w:val="left"/>
      <w:pPr>
        <w:ind w:left="1701" w:hanging="567"/>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6">
    <w:nsid w:val="49DD60D1"/>
    <w:multiLevelType w:val="hybridMultilevel"/>
    <w:tmpl w:val="27A2D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4B0F30AE"/>
    <w:multiLevelType w:val="hybridMultilevel"/>
    <w:tmpl w:val="71AE7B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4B51378F"/>
    <w:multiLevelType w:val="hybridMultilevel"/>
    <w:tmpl w:val="56EE75DA"/>
    <w:lvl w:ilvl="0" w:tplc="0C09001B">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nsid w:val="4D3B194C"/>
    <w:multiLevelType w:val="hybridMultilevel"/>
    <w:tmpl w:val="461626D8"/>
    <w:lvl w:ilvl="0" w:tplc="0C090011">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0">
    <w:nsid w:val="4ECB0019"/>
    <w:multiLevelType w:val="hybridMultilevel"/>
    <w:tmpl w:val="C264F74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nsid w:val="4F830ACC"/>
    <w:multiLevelType w:val="hybridMultilevel"/>
    <w:tmpl w:val="409E7D14"/>
    <w:lvl w:ilvl="0" w:tplc="6C242608">
      <w:start w:val="1"/>
      <w:numFmt w:val="decimal"/>
      <w:lvlText w:val="%1)"/>
      <w:lvlJc w:val="left"/>
      <w:pPr>
        <w:ind w:left="1134" w:hanging="567"/>
      </w:pPr>
      <w:rPr>
        <w:rFonts w:hint="default"/>
      </w:rPr>
    </w:lvl>
    <w:lvl w:ilvl="1" w:tplc="02D89A76">
      <w:start w:val="1"/>
      <w:numFmt w:val="lowerLetter"/>
      <w:lvlText w:val="%2."/>
      <w:lvlJc w:val="left"/>
      <w:pPr>
        <w:ind w:left="1701" w:hanging="567"/>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2">
    <w:nsid w:val="531101FC"/>
    <w:multiLevelType w:val="hybridMultilevel"/>
    <w:tmpl w:val="89B8BE84"/>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nsid w:val="536F14EE"/>
    <w:multiLevelType w:val="hybridMultilevel"/>
    <w:tmpl w:val="4A90DB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54CD0B37"/>
    <w:multiLevelType w:val="hybridMultilevel"/>
    <w:tmpl w:val="DFAA3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5634544A"/>
    <w:multiLevelType w:val="hybridMultilevel"/>
    <w:tmpl w:val="B3D6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579B2749"/>
    <w:multiLevelType w:val="multilevel"/>
    <w:tmpl w:val="384E8C9C"/>
    <w:numStyleLink w:val="CABNETList"/>
  </w:abstractNum>
  <w:abstractNum w:abstractNumId="67">
    <w:nsid w:val="58AD3FD8"/>
    <w:multiLevelType w:val="hybridMultilevel"/>
    <w:tmpl w:val="0C42B52A"/>
    <w:lvl w:ilvl="0" w:tplc="02D89A76">
      <w:start w:val="1"/>
      <w:numFmt w:val="lowerLetter"/>
      <w:lvlText w:val="%1."/>
      <w:lvlJc w:val="left"/>
      <w:pPr>
        <w:ind w:left="1701"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599B528A"/>
    <w:multiLevelType w:val="hybridMultilevel"/>
    <w:tmpl w:val="8848C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59EA3B7F"/>
    <w:multiLevelType w:val="hybridMultilevel"/>
    <w:tmpl w:val="11263DCA"/>
    <w:lvl w:ilvl="0" w:tplc="D03E834E">
      <w:start w:val="1"/>
      <w:numFmt w:val="lowerRoman"/>
      <w:lvlText w:val="%1."/>
      <w:lvlJc w:val="right"/>
      <w:pPr>
        <w:ind w:left="1571" w:hanging="360"/>
      </w:pPr>
      <w:rPr>
        <w:rFonts w:ascii="Times New Roman" w:hAnsi="Times New Roman"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0">
    <w:nsid w:val="603C190E"/>
    <w:multiLevelType w:val="hybridMultilevel"/>
    <w:tmpl w:val="C4E6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60A02D89"/>
    <w:multiLevelType w:val="hybridMultilevel"/>
    <w:tmpl w:val="1680B494"/>
    <w:lvl w:ilvl="0" w:tplc="0C09000F">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62662B43"/>
    <w:multiLevelType w:val="hybridMultilevel"/>
    <w:tmpl w:val="F0CA305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66410C2D"/>
    <w:multiLevelType w:val="hybridMultilevel"/>
    <w:tmpl w:val="93EC3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AA62725"/>
    <w:multiLevelType w:val="hybridMultilevel"/>
    <w:tmpl w:val="F0CA305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6C4F5B02"/>
    <w:multiLevelType w:val="hybridMultilevel"/>
    <w:tmpl w:val="5780359E"/>
    <w:lvl w:ilvl="0" w:tplc="B522794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6D453D2A"/>
    <w:multiLevelType w:val="hybridMultilevel"/>
    <w:tmpl w:val="80FE224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6F5B53B7"/>
    <w:multiLevelType w:val="hybridMultilevel"/>
    <w:tmpl w:val="D066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FFE3527"/>
    <w:multiLevelType w:val="hybridMultilevel"/>
    <w:tmpl w:val="A642B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718B35E0"/>
    <w:multiLevelType w:val="multilevel"/>
    <w:tmpl w:val="402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2C67242"/>
    <w:multiLevelType w:val="hybridMultilevel"/>
    <w:tmpl w:val="26F83F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7BA00625"/>
    <w:multiLevelType w:val="hybridMultilevel"/>
    <w:tmpl w:val="259AE35A"/>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nsid w:val="7EFC4B60"/>
    <w:multiLevelType w:val="hybridMultilevel"/>
    <w:tmpl w:val="409E7D14"/>
    <w:lvl w:ilvl="0" w:tplc="6C242608">
      <w:start w:val="1"/>
      <w:numFmt w:val="decimal"/>
      <w:lvlText w:val="%1)"/>
      <w:lvlJc w:val="left"/>
      <w:pPr>
        <w:ind w:left="1134" w:hanging="567"/>
      </w:pPr>
      <w:rPr>
        <w:rFonts w:hint="default"/>
      </w:rPr>
    </w:lvl>
    <w:lvl w:ilvl="1" w:tplc="02D89A76">
      <w:start w:val="1"/>
      <w:numFmt w:val="lowerLetter"/>
      <w:lvlText w:val="%2."/>
      <w:lvlJc w:val="left"/>
      <w:pPr>
        <w:ind w:left="1701" w:hanging="567"/>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77"/>
  </w:num>
  <w:num w:numId="2">
    <w:abstractNumId w:val="6"/>
  </w:num>
  <w:num w:numId="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6"/>
  </w:num>
  <w:num w:numId="6">
    <w:abstractNumId w:val="73"/>
  </w:num>
  <w:num w:numId="7">
    <w:abstractNumId w:val="12"/>
  </w:num>
  <w:num w:numId="8">
    <w:abstractNumId w:val="41"/>
  </w:num>
  <w:num w:numId="9">
    <w:abstractNumId w:val="45"/>
  </w:num>
  <w:num w:numId="10">
    <w:abstractNumId w:val="3"/>
  </w:num>
  <w:num w:numId="11">
    <w:abstractNumId w:val="31"/>
  </w:num>
  <w:num w:numId="12">
    <w:abstractNumId w:val="47"/>
  </w:num>
  <w:num w:numId="13">
    <w:abstractNumId w:val="79"/>
  </w:num>
  <w:num w:numId="14">
    <w:abstractNumId w:val="38"/>
  </w:num>
  <w:num w:numId="15">
    <w:abstractNumId w:val="25"/>
  </w:num>
  <w:num w:numId="16">
    <w:abstractNumId w:val="35"/>
  </w:num>
  <w:num w:numId="17">
    <w:abstractNumId w:val="19"/>
  </w:num>
  <w:num w:numId="18">
    <w:abstractNumId w:val="64"/>
  </w:num>
  <w:num w:numId="19">
    <w:abstractNumId w:val="21"/>
  </w:num>
  <w:num w:numId="20">
    <w:abstractNumId w:val="56"/>
  </w:num>
  <w:num w:numId="21">
    <w:abstractNumId w:val="63"/>
  </w:num>
  <w:num w:numId="22">
    <w:abstractNumId w:val="10"/>
  </w:num>
  <w:num w:numId="23">
    <w:abstractNumId w:val="65"/>
  </w:num>
  <w:num w:numId="24">
    <w:abstractNumId w:val="5"/>
  </w:num>
  <w:num w:numId="25">
    <w:abstractNumId w:val="15"/>
  </w:num>
  <w:num w:numId="26">
    <w:abstractNumId w:val="4"/>
  </w:num>
  <w:num w:numId="27">
    <w:abstractNumId w:val="49"/>
  </w:num>
  <w:num w:numId="28">
    <w:abstractNumId w:val="0"/>
  </w:num>
  <w:num w:numId="29">
    <w:abstractNumId w:val="70"/>
  </w:num>
  <w:num w:numId="30">
    <w:abstractNumId w:val="23"/>
  </w:num>
  <w:num w:numId="31">
    <w:abstractNumId w:val="71"/>
  </w:num>
  <w:num w:numId="32">
    <w:abstractNumId w:val="55"/>
  </w:num>
  <w:num w:numId="33">
    <w:abstractNumId w:val="7"/>
  </w:num>
  <w:num w:numId="34">
    <w:abstractNumId w:val="82"/>
  </w:num>
  <w:num w:numId="35">
    <w:abstractNumId w:val="67"/>
  </w:num>
  <w:num w:numId="36">
    <w:abstractNumId w:val="57"/>
  </w:num>
  <w:num w:numId="37">
    <w:abstractNumId w:val="68"/>
  </w:num>
  <w:num w:numId="38">
    <w:abstractNumId w:val="20"/>
  </w:num>
  <w:num w:numId="39">
    <w:abstractNumId w:val="48"/>
  </w:num>
  <w:num w:numId="40">
    <w:abstractNumId w:val="61"/>
  </w:num>
  <w:num w:numId="41">
    <w:abstractNumId w:val="80"/>
  </w:num>
  <w:num w:numId="42">
    <w:abstractNumId w:val="50"/>
  </w:num>
  <w:num w:numId="43">
    <w:abstractNumId w:val="54"/>
  </w:num>
  <w:num w:numId="44">
    <w:abstractNumId w:val="40"/>
  </w:num>
  <w:num w:numId="45">
    <w:abstractNumId w:val="11"/>
  </w:num>
  <w:num w:numId="46">
    <w:abstractNumId w:val="18"/>
  </w:num>
  <w:num w:numId="47">
    <w:abstractNumId w:val="43"/>
  </w:num>
  <w:num w:numId="48">
    <w:abstractNumId w:val="72"/>
  </w:num>
  <w:num w:numId="49">
    <w:abstractNumId w:val="17"/>
  </w:num>
  <w:num w:numId="50">
    <w:abstractNumId w:val="74"/>
  </w:num>
  <w:num w:numId="51">
    <w:abstractNumId w:val="81"/>
  </w:num>
  <w:num w:numId="52">
    <w:abstractNumId w:val="46"/>
  </w:num>
  <w:num w:numId="53">
    <w:abstractNumId w:val="78"/>
  </w:num>
  <w:num w:numId="54">
    <w:abstractNumId w:val="60"/>
  </w:num>
  <w:num w:numId="55">
    <w:abstractNumId w:val="14"/>
  </w:num>
  <w:num w:numId="56">
    <w:abstractNumId w:val="52"/>
  </w:num>
  <w:num w:numId="57">
    <w:abstractNumId w:val="16"/>
  </w:num>
  <w:num w:numId="58">
    <w:abstractNumId w:val="53"/>
  </w:num>
  <w:num w:numId="59">
    <w:abstractNumId w:val="8"/>
  </w:num>
  <w:num w:numId="60">
    <w:abstractNumId w:val="28"/>
  </w:num>
  <w:num w:numId="61">
    <w:abstractNumId w:val="42"/>
  </w:num>
  <w:num w:numId="62">
    <w:abstractNumId w:val="37"/>
  </w:num>
  <w:num w:numId="63">
    <w:abstractNumId w:val="75"/>
  </w:num>
  <w:num w:numId="64">
    <w:abstractNumId w:val="30"/>
  </w:num>
  <w:num w:numId="65">
    <w:abstractNumId w:val="34"/>
  </w:num>
  <w:num w:numId="66">
    <w:abstractNumId w:val="59"/>
  </w:num>
  <w:num w:numId="67">
    <w:abstractNumId w:val="32"/>
  </w:num>
  <w:num w:numId="68">
    <w:abstractNumId w:val="2"/>
  </w:num>
  <w:num w:numId="69">
    <w:abstractNumId w:val="27"/>
  </w:num>
  <w:num w:numId="70">
    <w:abstractNumId w:val="76"/>
  </w:num>
  <w:num w:numId="71">
    <w:abstractNumId w:val="62"/>
  </w:num>
  <w:num w:numId="72">
    <w:abstractNumId w:val="26"/>
  </w:num>
  <w:num w:numId="73">
    <w:abstractNumId w:val="13"/>
  </w:num>
  <w:num w:numId="74">
    <w:abstractNumId w:val="58"/>
  </w:num>
  <w:num w:numId="75">
    <w:abstractNumId w:val="1"/>
  </w:num>
  <w:num w:numId="76">
    <w:abstractNumId w:val="51"/>
  </w:num>
  <w:num w:numId="77">
    <w:abstractNumId w:val="44"/>
  </w:num>
  <w:num w:numId="78">
    <w:abstractNumId w:val="24"/>
  </w:num>
  <w:num w:numId="79">
    <w:abstractNumId w:val="9"/>
  </w:num>
  <w:num w:numId="80">
    <w:abstractNumId w:val="29"/>
  </w:num>
  <w:num w:numId="81">
    <w:abstractNumId w:val="22"/>
  </w:num>
  <w:num w:numId="82">
    <w:abstractNumId w:val="69"/>
  </w:num>
  <w:num w:numId="83">
    <w:abstractNumId w:val="3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05"/>
    <w:rsid w:val="00000D22"/>
    <w:rsid w:val="00002B92"/>
    <w:rsid w:val="00003419"/>
    <w:rsid w:val="00005718"/>
    <w:rsid w:val="00010867"/>
    <w:rsid w:val="00012CD4"/>
    <w:rsid w:val="00014CC2"/>
    <w:rsid w:val="00020883"/>
    <w:rsid w:val="000214B5"/>
    <w:rsid w:val="00022C7B"/>
    <w:rsid w:val="00043F50"/>
    <w:rsid w:val="000448B5"/>
    <w:rsid w:val="00045277"/>
    <w:rsid w:val="0004665C"/>
    <w:rsid w:val="0004749D"/>
    <w:rsid w:val="00060A4B"/>
    <w:rsid w:val="0006228F"/>
    <w:rsid w:val="0006277C"/>
    <w:rsid w:val="00064A39"/>
    <w:rsid w:val="000664D2"/>
    <w:rsid w:val="0006749E"/>
    <w:rsid w:val="000701C5"/>
    <w:rsid w:val="0007130E"/>
    <w:rsid w:val="0007204C"/>
    <w:rsid w:val="0007452F"/>
    <w:rsid w:val="000749DA"/>
    <w:rsid w:val="000849AE"/>
    <w:rsid w:val="000862E8"/>
    <w:rsid w:val="00086F33"/>
    <w:rsid w:val="000927FF"/>
    <w:rsid w:val="00093098"/>
    <w:rsid w:val="000933E2"/>
    <w:rsid w:val="00093780"/>
    <w:rsid w:val="000953E2"/>
    <w:rsid w:val="00096233"/>
    <w:rsid w:val="000A07C4"/>
    <w:rsid w:val="000A1657"/>
    <w:rsid w:val="000A487B"/>
    <w:rsid w:val="000A5EB3"/>
    <w:rsid w:val="000A79D2"/>
    <w:rsid w:val="000B2197"/>
    <w:rsid w:val="000B2C96"/>
    <w:rsid w:val="000B6D45"/>
    <w:rsid w:val="000D00F8"/>
    <w:rsid w:val="000D0EB5"/>
    <w:rsid w:val="000D161B"/>
    <w:rsid w:val="000D4AA3"/>
    <w:rsid w:val="000D784C"/>
    <w:rsid w:val="000E1E8C"/>
    <w:rsid w:val="000E747A"/>
    <w:rsid w:val="000F18EC"/>
    <w:rsid w:val="000F1F23"/>
    <w:rsid w:val="000F38D6"/>
    <w:rsid w:val="000F540A"/>
    <w:rsid w:val="00101AF6"/>
    <w:rsid w:val="0010322B"/>
    <w:rsid w:val="001119C6"/>
    <w:rsid w:val="00111AE7"/>
    <w:rsid w:val="00111D3A"/>
    <w:rsid w:val="00112577"/>
    <w:rsid w:val="0011273C"/>
    <w:rsid w:val="001157DA"/>
    <w:rsid w:val="00120D25"/>
    <w:rsid w:val="001247C3"/>
    <w:rsid w:val="00124A2F"/>
    <w:rsid w:val="00124D21"/>
    <w:rsid w:val="00132D45"/>
    <w:rsid w:val="00141445"/>
    <w:rsid w:val="001441B8"/>
    <w:rsid w:val="0014548A"/>
    <w:rsid w:val="001471F0"/>
    <w:rsid w:val="00147634"/>
    <w:rsid w:val="001576CE"/>
    <w:rsid w:val="0016458B"/>
    <w:rsid w:val="00165675"/>
    <w:rsid w:val="0017632A"/>
    <w:rsid w:val="00177685"/>
    <w:rsid w:val="00181A2C"/>
    <w:rsid w:val="00182C02"/>
    <w:rsid w:val="00182C99"/>
    <w:rsid w:val="0018774B"/>
    <w:rsid w:val="00192914"/>
    <w:rsid w:val="00193855"/>
    <w:rsid w:val="0019515C"/>
    <w:rsid w:val="00197D9F"/>
    <w:rsid w:val="001A1F47"/>
    <w:rsid w:val="001A6759"/>
    <w:rsid w:val="001B131D"/>
    <w:rsid w:val="001C486F"/>
    <w:rsid w:val="001C5AB9"/>
    <w:rsid w:val="001C5CDC"/>
    <w:rsid w:val="001D077A"/>
    <w:rsid w:val="001D20FD"/>
    <w:rsid w:val="001D6397"/>
    <w:rsid w:val="001E545E"/>
    <w:rsid w:val="001F193F"/>
    <w:rsid w:val="001F19AC"/>
    <w:rsid w:val="001F29E8"/>
    <w:rsid w:val="001F5CFE"/>
    <w:rsid w:val="001F75FF"/>
    <w:rsid w:val="001F7E21"/>
    <w:rsid w:val="00201037"/>
    <w:rsid w:val="00206354"/>
    <w:rsid w:val="002122CC"/>
    <w:rsid w:val="00214A7B"/>
    <w:rsid w:val="002237D8"/>
    <w:rsid w:val="002238EA"/>
    <w:rsid w:val="002252F0"/>
    <w:rsid w:val="00237BBA"/>
    <w:rsid w:val="002413BF"/>
    <w:rsid w:val="00241887"/>
    <w:rsid w:val="00244384"/>
    <w:rsid w:val="00244589"/>
    <w:rsid w:val="002461F0"/>
    <w:rsid w:val="002464D6"/>
    <w:rsid w:val="002464E8"/>
    <w:rsid w:val="00252EFD"/>
    <w:rsid w:val="00255706"/>
    <w:rsid w:val="00257BA4"/>
    <w:rsid w:val="00257DBE"/>
    <w:rsid w:val="00261DCF"/>
    <w:rsid w:val="00261EC9"/>
    <w:rsid w:val="00262C63"/>
    <w:rsid w:val="002632D6"/>
    <w:rsid w:val="0026603C"/>
    <w:rsid w:val="00266FCC"/>
    <w:rsid w:val="002671D8"/>
    <w:rsid w:val="00270516"/>
    <w:rsid w:val="00271085"/>
    <w:rsid w:val="0027305B"/>
    <w:rsid w:val="002906F1"/>
    <w:rsid w:val="002928FF"/>
    <w:rsid w:val="0029489D"/>
    <w:rsid w:val="002A140C"/>
    <w:rsid w:val="002A60F2"/>
    <w:rsid w:val="002B08E5"/>
    <w:rsid w:val="002B3322"/>
    <w:rsid w:val="002B4313"/>
    <w:rsid w:val="002B451C"/>
    <w:rsid w:val="002B670D"/>
    <w:rsid w:val="002B770B"/>
    <w:rsid w:val="002B7880"/>
    <w:rsid w:val="002C081D"/>
    <w:rsid w:val="002C115B"/>
    <w:rsid w:val="002D3378"/>
    <w:rsid w:val="002D38A9"/>
    <w:rsid w:val="002D42B0"/>
    <w:rsid w:val="002D5672"/>
    <w:rsid w:val="002D7BB5"/>
    <w:rsid w:val="002E1279"/>
    <w:rsid w:val="002E1A1C"/>
    <w:rsid w:val="002E4459"/>
    <w:rsid w:val="002E44A4"/>
    <w:rsid w:val="002E7532"/>
    <w:rsid w:val="002E77E5"/>
    <w:rsid w:val="002F2F4B"/>
    <w:rsid w:val="002F2FF6"/>
    <w:rsid w:val="003007CA"/>
    <w:rsid w:val="00302B7D"/>
    <w:rsid w:val="00306677"/>
    <w:rsid w:val="003068C1"/>
    <w:rsid w:val="00314708"/>
    <w:rsid w:val="00314FE6"/>
    <w:rsid w:val="003171B3"/>
    <w:rsid w:val="00317880"/>
    <w:rsid w:val="003200F6"/>
    <w:rsid w:val="00322306"/>
    <w:rsid w:val="003303D3"/>
    <w:rsid w:val="00334829"/>
    <w:rsid w:val="00337135"/>
    <w:rsid w:val="00337F24"/>
    <w:rsid w:val="00337F90"/>
    <w:rsid w:val="0034047D"/>
    <w:rsid w:val="00343567"/>
    <w:rsid w:val="003451F3"/>
    <w:rsid w:val="00353EF8"/>
    <w:rsid w:val="0036185F"/>
    <w:rsid w:val="0036383A"/>
    <w:rsid w:val="00371E2B"/>
    <w:rsid w:val="003759F4"/>
    <w:rsid w:val="0037697C"/>
    <w:rsid w:val="00377907"/>
    <w:rsid w:val="00383314"/>
    <w:rsid w:val="00385C5E"/>
    <w:rsid w:val="00386E4C"/>
    <w:rsid w:val="00393C92"/>
    <w:rsid w:val="003A247B"/>
    <w:rsid w:val="003A407B"/>
    <w:rsid w:val="003B2094"/>
    <w:rsid w:val="003B353A"/>
    <w:rsid w:val="003B3901"/>
    <w:rsid w:val="003B7B46"/>
    <w:rsid w:val="003B7FDC"/>
    <w:rsid w:val="003C1B29"/>
    <w:rsid w:val="003C4030"/>
    <w:rsid w:val="003C5AB3"/>
    <w:rsid w:val="003C5FD3"/>
    <w:rsid w:val="003C73D4"/>
    <w:rsid w:val="003C7405"/>
    <w:rsid w:val="003D1435"/>
    <w:rsid w:val="003D51F6"/>
    <w:rsid w:val="003E017C"/>
    <w:rsid w:val="003E3CB5"/>
    <w:rsid w:val="003E5ABF"/>
    <w:rsid w:val="003F2060"/>
    <w:rsid w:val="003F2712"/>
    <w:rsid w:val="003F5810"/>
    <w:rsid w:val="004004B7"/>
    <w:rsid w:val="00400EFC"/>
    <w:rsid w:val="004029E3"/>
    <w:rsid w:val="00406325"/>
    <w:rsid w:val="00406F5E"/>
    <w:rsid w:val="004074CE"/>
    <w:rsid w:val="00413B81"/>
    <w:rsid w:val="00413D20"/>
    <w:rsid w:val="00413EF0"/>
    <w:rsid w:val="004149D6"/>
    <w:rsid w:val="00414A19"/>
    <w:rsid w:val="00422FA1"/>
    <w:rsid w:val="00424D60"/>
    <w:rsid w:val="00426B15"/>
    <w:rsid w:val="00432E25"/>
    <w:rsid w:val="00433926"/>
    <w:rsid w:val="00433EDD"/>
    <w:rsid w:val="004407FD"/>
    <w:rsid w:val="00443C10"/>
    <w:rsid w:val="00444BD9"/>
    <w:rsid w:val="004464DC"/>
    <w:rsid w:val="00446767"/>
    <w:rsid w:val="00452E62"/>
    <w:rsid w:val="00455EB2"/>
    <w:rsid w:val="004578A2"/>
    <w:rsid w:val="00462C68"/>
    <w:rsid w:val="004733AA"/>
    <w:rsid w:val="00481388"/>
    <w:rsid w:val="00483E92"/>
    <w:rsid w:val="00484534"/>
    <w:rsid w:val="004918AA"/>
    <w:rsid w:val="00492F6F"/>
    <w:rsid w:val="004951F3"/>
    <w:rsid w:val="004A1887"/>
    <w:rsid w:val="004A366C"/>
    <w:rsid w:val="004B3DF0"/>
    <w:rsid w:val="004B44CB"/>
    <w:rsid w:val="004B611E"/>
    <w:rsid w:val="004B6557"/>
    <w:rsid w:val="004B6FA7"/>
    <w:rsid w:val="004B718F"/>
    <w:rsid w:val="004C0849"/>
    <w:rsid w:val="004C0EC9"/>
    <w:rsid w:val="004C59AA"/>
    <w:rsid w:val="004C66D6"/>
    <w:rsid w:val="004C73C9"/>
    <w:rsid w:val="004C77C0"/>
    <w:rsid w:val="004C7C45"/>
    <w:rsid w:val="004D4C6A"/>
    <w:rsid w:val="004E1D43"/>
    <w:rsid w:val="004E3749"/>
    <w:rsid w:val="004F0702"/>
    <w:rsid w:val="004F10AA"/>
    <w:rsid w:val="004F223F"/>
    <w:rsid w:val="004F6E6D"/>
    <w:rsid w:val="004F78A1"/>
    <w:rsid w:val="00503FFA"/>
    <w:rsid w:val="00504151"/>
    <w:rsid w:val="00506AB6"/>
    <w:rsid w:val="0051116A"/>
    <w:rsid w:val="00513C51"/>
    <w:rsid w:val="0051476A"/>
    <w:rsid w:val="00515EE6"/>
    <w:rsid w:val="0052674E"/>
    <w:rsid w:val="0053298E"/>
    <w:rsid w:val="005337C6"/>
    <w:rsid w:val="00535617"/>
    <w:rsid w:val="005420E8"/>
    <w:rsid w:val="00543A77"/>
    <w:rsid w:val="0054796A"/>
    <w:rsid w:val="0055014E"/>
    <w:rsid w:val="0055180B"/>
    <w:rsid w:val="00562AD5"/>
    <w:rsid w:val="00563D87"/>
    <w:rsid w:val="00564D8C"/>
    <w:rsid w:val="005665BF"/>
    <w:rsid w:val="00567146"/>
    <w:rsid w:val="00567CC2"/>
    <w:rsid w:val="0057309D"/>
    <w:rsid w:val="00575C0F"/>
    <w:rsid w:val="005767CC"/>
    <w:rsid w:val="00577062"/>
    <w:rsid w:val="00577467"/>
    <w:rsid w:val="005775FA"/>
    <w:rsid w:val="00581AA6"/>
    <w:rsid w:val="00590FF3"/>
    <w:rsid w:val="005A148F"/>
    <w:rsid w:val="005A1576"/>
    <w:rsid w:val="005A2B49"/>
    <w:rsid w:val="005A37FD"/>
    <w:rsid w:val="005A5CF9"/>
    <w:rsid w:val="005A7AF2"/>
    <w:rsid w:val="005B09AB"/>
    <w:rsid w:val="005B0E19"/>
    <w:rsid w:val="005B25FC"/>
    <w:rsid w:val="005B3183"/>
    <w:rsid w:val="005B43AC"/>
    <w:rsid w:val="005B6484"/>
    <w:rsid w:val="005C4128"/>
    <w:rsid w:val="005D0ADB"/>
    <w:rsid w:val="005D418C"/>
    <w:rsid w:val="005D68E3"/>
    <w:rsid w:val="005E0E7C"/>
    <w:rsid w:val="005E246E"/>
    <w:rsid w:val="005E39AE"/>
    <w:rsid w:val="005E66BE"/>
    <w:rsid w:val="005E6725"/>
    <w:rsid w:val="005E6CB1"/>
    <w:rsid w:val="005E7AA2"/>
    <w:rsid w:val="005F1B35"/>
    <w:rsid w:val="005F612F"/>
    <w:rsid w:val="006030B3"/>
    <w:rsid w:val="006075CC"/>
    <w:rsid w:val="006078EC"/>
    <w:rsid w:val="006147E6"/>
    <w:rsid w:val="006151DF"/>
    <w:rsid w:val="00622D95"/>
    <w:rsid w:val="00622DB6"/>
    <w:rsid w:val="00627DD1"/>
    <w:rsid w:val="00633BA0"/>
    <w:rsid w:val="00642E1B"/>
    <w:rsid w:val="00643320"/>
    <w:rsid w:val="00644D21"/>
    <w:rsid w:val="00644DDA"/>
    <w:rsid w:val="0065163C"/>
    <w:rsid w:val="00652937"/>
    <w:rsid w:val="00652C32"/>
    <w:rsid w:val="0066014E"/>
    <w:rsid w:val="006635F5"/>
    <w:rsid w:val="00663DA9"/>
    <w:rsid w:val="00665713"/>
    <w:rsid w:val="00665B2E"/>
    <w:rsid w:val="00666BE5"/>
    <w:rsid w:val="0067531D"/>
    <w:rsid w:val="0067566C"/>
    <w:rsid w:val="0067700C"/>
    <w:rsid w:val="00683DBF"/>
    <w:rsid w:val="00685BAB"/>
    <w:rsid w:val="0069226A"/>
    <w:rsid w:val="00692B20"/>
    <w:rsid w:val="006A3046"/>
    <w:rsid w:val="006A6C2E"/>
    <w:rsid w:val="006A6E91"/>
    <w:rsid w:val="006B01D2"/>
    <w:rsid w:val="006B0719"/>
    <w:rsid w:val="006B3227"/>
    <w:rsid w:val="006B4853"/>
    <w:rsid w:val="006B497C"/>
    <w:rsid w:val="006C1C08"/>
    <w:rsid w:val="006C4B8E"/>
    <w:rsid w:val="006D4F07"/>
    <w:rsid w:val="006D74D2"/>
    <w:rsid w:val="006E26C1"/>
    <w:rsid w:val="006E3FF7"/>
    <w:rsid w:val="006E45FB"/>
    <w:rsid w:val="006E72A5"/>
    <w:rsid w:val="006E7C49"/>
    <w:rsid w:val="006F0956"/>
    <w:rsid w:val="006F2750"/>
    <w:rsid w:val="006F298A"/>
    <w:rsid w:val="006F3370"/>
    <w:rsid w:val="006F7290"/>
    <w:rsid w:val="006F74EE"/>
    <w:rsid w:val="007050D6"/>
    <w:rsid w:val="00706F8F"/>
    <w:rsid w:val="00717433"/>
    <w:rsid w:val="00725BED"/>
    <w:rsid w:val="00727E71"/>
    <w:rsid w:val="00730EDA"/>
    <w:rsid w:val="007319D9"/>
    <w:rsid w:val="00734F31"/>
    <w:rsid w:val="00740E3C"/>
    <w:rsid w:val="00746633"/>
    <w:rsid w:val="00750E38"/>
    <w:rsid w:val="00753D1F"/>
    <w:rsid w:val="00756FE4"/>
    <w:rsid w:val="00763369"/>
    <w:rsid w:val="007658DE"/>
    <w:rsid w:val="00765B41"/>
    <w:rsid w:val="00771996"/>
    <w:rsid w:val="007767CE"/>
    <w:rsid w:val="00777ABA"/>
    <w:rsid w:val="0078074C"/>
    <w:rsid w:val="0078324E"/>
    <w:rsid w:val="007837E6"/>
    <w:rsid w:val="00783DF1"/>
    <w:rsid w:val="00784004"/>
    <w:rsid w:val="007873B5"/>
    <w:rsid w:val="007A31ED"/>
    <w:rsid w:val="007B021D"/>
    <w:rsid w:val="007B2095"/>
    <w:rsid w:val="007B44E6"/>
    <w:rsid w:val="007B472A"/>
    <w:rsid w:val="007C0AA6"/>
    <w:rsid w:val="007C3220"/>
    <w:rsid w:val="007C3372"/>
    <w:rsid w:val="007D349D"/>
    <w:rsid w:val="007E0687"/>
    <w:rsid w:val="007E25D8"/>
    <w:rsid w:val="007E660D"/>
    <w:rsid w:val="007E7C2A"/>
    <w:rsid w:val="007F2098"/>
    <w:rsid w:val="008028D9"/>
    <w:rsid w:val="00806F3A"/>
    <w:rsid w:val="008101F6"/>
    <w:rsid w:val="00810909"/>
    <w:rsid w:val="00812BB9"/>
    <w:rsid w:val="008152E5"/>
    <w:rsid w:val="008162F2"/>
    <w:rsid w:val="0081767F"/>
    <w:rsid w:val="0082084F"/>
    <w:rsid w:val="00824D97"/>
    <w:rsid w:val="00830901"/>
    <w:rsid w:val="008348DC"/>
    <w:rsid w:val="0083577D"/>
    <w:rsid w:val="00847DF6"/>
    <w:rsid w:val="00867E31"/>
    <w:rsid w:val="008761E0"/>
    <w:rsid w:val="0087734E"/>
    <w:rsid w:val="00883BB0"/>
    <w:rsid w:val="00884467"/>
    <w:rsid w:val="00892DA8"/>
    <w:rsid w:val="008931A6"/>
    <w:rsid w:val="008951E0"/>
    <w:rsid w:val="0089543C"/>
    <w:rsid w:val="008A2FB0"/>
    <w:rsid w:val="008A63F4"/>
    <w:rsid w:val="008A6BB9"/>
    <w:rsid w:val="008A7BC6"/>
    <w:rsid w:val="008B0964"/>
    <w:rsid w:val="008B0D21"/>
    <w:rsid w:val="008B35B0"/>
    <w:rsid w:val="008B482B"/>
    <w:rsid w:val="008B5800"/>
    <w:rsid w:val="008C0AC1"/>
    <w:rsid w:val="008C19D2"/>
    <w:rsid w:val="008C4261"/>
    <w:rsid w:val="008D3CB2"/>
    <w:rsid w:val="008D6FD9"/>
    <w:rsid w:val="008D7D4E"/>
    <w:rsid w:val="008E0D58"/>
    <w:rsid w:val="008F1173"/>
    <w:rsid w:val="008F61F3"/>
    <w:rsid w:val="008F6CE8"/>
    <w:rsid w:val="00902502"/>
    <w:rsid w:val="009050CC"/>
    <w:rsid w:val="00905A06"/>
    <w:rsid w:val="009075A4"/>
    <w:rsid w:val="0091052F"/>
    <w:rsid w:val="0091059E"/>
    <w:rsid w:val="00910760"/>
    <w:rsid w:val="009111EC"/>
    <w:rsid w:val="009161E9"/>
    <w:rsid w:val="009173FB"/>
    <w:rsid w:val="00921B37"/>
    <w:rsid w:val="00924343"/>
    <w:rsid w:val="00927985"/>
    <w:rsid w:val="00927FA2"/>
    <w:rsid w:val="00930130"/>
    <w:rsid w:val="00931679"/>
    <w:rsid w:val="00933D50"/>
    <w:rsid w:val="0094058C"/>
    <w:rsid w:val="009431B0"/>
    <w:rsid w:val="00944986"/>
    <w:rsid w:val="00947A1B"/>
    <w:rsid w:val="00950057"/>
    <w:rsid w:val="00950532"/>
    <w:rsid w:val="00951B21"/>
    <w:rsid w:val="00952F4A"/>
    <w:rsid w:val="00953912"/>
    <w:rsid w:val="0096543E"/>
    <w:rsid w:val="00967126"/>
    <w:rsid w:val="00973E56"/>
    <w:rsid w:val="00977570"/>
    <w:rsid w:val="00977E83"/>
    <w:rsid w:val="00977ED0"/>
    <w:rsid w:val="00983CEC"/>
    <w:rsid w:val="00991B83"/>
    <w:rsid w:val="00995959"/>
    <w:rsid w:val="009A2B96"/>
    <w:rsid w:val="009A7DFD"/>
    <w:rsid w:val="009B2906"/>
    <w:rsid w:val="009B4C00"/>
    <w:rsid w:val="009B6423"/>
    <w:rsid w:val="009C098F"/>
    <w:rsid w:val="009C1664"/>
    <w:rsid w:val="009C2C06"/>
    <w:rsid w:val="009D123F"/>
    <w:rsid w:val="009D62DD"/>
    <w:rsid w:val="009F0206"/>
    <w:rsid w:val="009F3926"/>
    <w:rsid w:val="009F74B7"/>
    <w:rsid w:val="00A05635"/>
    <w:rsid w:val="00A07441"/>
    <w:rsid w:val="00A10CCF"/>
    <w:rsid w:val="00A24042"/>
    <w:rsid w:val="00A26AC6"/>
    <w:rsid w:val="00A309CC"/>
    <w:rsid w:val="00A32CA5"/>
    <w:rsid w:val="00A43127"/>
    <w:rsid w:val="00A44E06"/>
    <w:rsid w:val="00A4596B"/>
    <w:rsid w:val="00A47C15"/>
    <w:rsid w:val="00A61C10"/>
    <w:rsid w:val="00A62C07"/>
    <w:rsid w:val="00A6452D"/>
    <w:rsid w:val="00A64E9D"/>
    <w:rsid w:val="00A7136B"/>
    <w:rsid w:val="00A72446"/>
    <w:rsid w:val="00A8284E"/>
    <w:rsid w:val="00A8576C"/>
    <w:rsid w:val="00A86B4B"/>
    <w:rsid w:val="00A879A3"/>
    <w:rsid w:val="00A926FC"/>
    <w:rsid w:val="00A92C04"/>
    <w:rsid w:val="00A92DBC"/>
    <w:rsid w:val="00A9498A"/>
    <w:rsid w:val="00A970EF"/>
    <w:rsid w:val="00AA121A"/>
    <w:rsid w:val="00AA123D"/>
    <w:rsid w:val="00AA277F"/>
    <w:rsid w:val="00AA5D6B"/>
    <w:rsid w:val="00AA7C28"/>
    <w:rsid w:val="00AB7605"/>
    <w:rsid w:val="00AC07DF"/>
    <w:rsid w:val="00AC14E0"/>
    <w:rsid w:val="00AC2F6D"/>
    <w:rsid w:val="00AC3FFD"/>
    <w:rsid w:val="00AD5139"/>
    <w:rsid w:val="00AD6A51"/>
    <w:rsid w:val="00AE11A9"/>
    <w:rsid w:val="00AE3B74"/>
    <w:rsid w:val="00AE7DB2"/>
    <w:rsid w:val="00AE7EA6"/>
    <w:rsid w:val="00AF47DB"/>
    <w:rsid w:val="00AF676D"/>
    <w:rsid w:val="00B03CAC"/>
    <w:rsid w:val="00B04229"/>
    <w:rsid w:val="00B06C35"/>
    <w:rsid w:val="00B079CF"/>
    <w:rsid w:val="00B1228A"/>
    <w:rsid w:val="00B13A51"/>
    <w:rsid w:val="00B20D0A"/>
    <w:rsid w:val="00B218EA"/>
    <w:rsid w:val="00B218F1"/>
    <w:rsid w:val="00B21959"/>
    <w:rsid w:val="00B22926"/>
    <w:rsid w:val="00B24DC8"/>
    <w:rsid w:val="00B42A54"/>
    <w:rsid w:val="00B44331"/>
    <w:rsid w:val="00B475C5"/>
    <w:rsid w:val="00B52A78"/>
    <w:rsid w:val="00B57730"/>
    <w:rsid w:val="00B65D7B"/>
    <w:rsid w:val="00B91B4F"/>
    <w:rsid w:val="00B93652"/>
    <w:rsid w:val="00BB0360"/>
    <w:rsid w:val="00BB2276"/>
    <w:rsid w:val="00BB36D4"/>
    <w:rsid w:val="00BB6441"/>
    <w:rsid w:val="00BD7203"/>
    <w:rsid w:val="00BE3C5E"/>
    <w:rsid w:val="00BE53D6"/>
    <w:rsid w:val="00BF2792"/>
    <w:rsid w:val="00BF3854"/>
    <w:rsid w:val="00BF3E0E"/>
    <w:rsid w:val="00BF44E0"/>
    <w:rsid w:val="00BF581A"/>
    <w:rsid w:val="00BF6378"/>
    <w:rsid w:val="00C03F19"/>
    <w:rsid w:val="00C04209"/>
    <w:rsid w:val="00C04316"/>
    <w:rsid w:val="00C127C6"/>
    <w:rsid w:val="00C16C37"/>
    <w:rsid w:val="00C23B3E"/>
    <w:rsid w:val="00C23F03"/>
    <w:rsid w:val="00C26A13"/>
    <w:rsid w:val="00C334D7"/>
    <w:rsid w:val="00C343BD"/>
    <w:rsid w:val="00C34C89"/>
    <w:rsid w:val="00C37A0D"/>
    <w:rsid w:val="00C40F58"/>
    <w:rsid w:val="00C4187D"/>
    <w:rsid w:val="00C5063E"/>
    <w:rsid w:val="00C50C3A"/>
    <w:rsid w:val="00C553ED"/>
    <w:rsid w:val="00C5625D"/>
    <w:rsid w:val="00C61AE4"/>
    <w:rsid w:val="00C6664B"/>
    <w:rsid w:val="00C72E66"/>
    <w:rsid w:val="00C75443"/>
    <w:rsid w:val="00C813C5"/>
    <w:rsid w:val="00C82B22"/>
    <w:rsid w:val="00C934AB"/>
    <w:rsid w:val="00CA330D"/>
    <w:rsid w:val="00CA76BB"/>
    <w:rsid w:val="00CB251E"/>
    <w:rsid w:val="00CB3C9F"/>
    <w:rsid w:val="00CB5290"/>
    <w:rsid w:val="00CC5360"/>
    <w:rsid w:val="00CC70C2"/>
    <w:rsid w:val="00CD1B75"/>
    <w:rsid w:val="00CD2B88"/>
    <w:rsid w:val="00CD4719"/>
    <w:rsid w:val="00CD7767"/>
    <w:rsid w:val="00CE0EB6"/>
    <w:rsid w:val="00CF22A2"/>
    <w:rsid w:val="00CF39C4"/>
    <w:rsid w:val="00CF4804"/>
    <w:rsid w:val="00CF5588"/>
    <w:rsid w:val="00CF6535"/>
    <w:rsid w:val="00CF73DC"/>
    <w:rsid w:val="00D01704"/>
    <w:rsid w:val="00D04560"/>
    <w:rsid w:val="00D129A2"/>
    <w:rsid w:val="00D15060"/>
    <w:rsid w:val="00D15341"/>
    <w:rsid w:val="00D15522"/>
    <w:rsid w:val="00D16E6E"/>
    <w:rsid w:val="00D20C36"/>
    <w:rsid w:val="00D2241D"/>
    <w:rsid w:val="00D247E7"/>
    <w:rsid w:val="00D25F4C"/>
    <w:rsid w:val="00D30131"/>
    <w:rsid w:val="00D30C4A"/>
    <w:rsid w:val="00D3142A"/>
    <w:rsid w:val="00D322F2"/>
    <w:rsid w:val="00D371DD"/>
    <w:rsid w:val="00D42179"/>
    <w:rsid w:val="00D43EDD"/>
    <w:rsid w:val="00D4409D"/>
    <w:rsid w:val="00D514EA"/>
    <w:rsid w:val="00D538E1"/>
    <w:rsid w:val="00D5612B"/>
    <w:rsid w:val="00D60FA7"/>
    <w:rsid w:val="00D64AA7"/>
    <w:rsid w:val="00D71234"/>
    <w:rsid w:val="00D7227C"/>
    <w:rsid w:val="00D726B3"/>
    <w:rsid w:val="00D748B2"/>
    <w:rsid w:val="00D75212"/>
    <w:rsid w:val="00D75581"/>
    <w:rsid w:val="00D77147"/>
    <w:rsid w:val="00D77771"/>
    <w:rsid w:val="00D83178"/>
    <w:rsid w:val="00D87351"/>
    <w:rsid w:val="00D87842"/>
    <w:rsid w:val="00D87B72"/>
    <w:rsid w:val="00D94303"/>
    <w:rsid w:val="00D961EE"/>
    <w:rsid w:val="00DA0501"/>
    <w:rsid w:val="00DA240D"/>
    <w:rsid w:val="00DA2F95"/>
    <w:rsid w:val="00DA5FFD"/>
    <w:rsid w:val="00DA75C1"/>
    <w:rsid w:val="00DB04CB"/>
    <w:rsid w:val="00DB7FAB"/>
    <w:rsid w:val="00DC15E9"/>
    <w:rsid w:val="00DC3ED1"/>
    <w:rsid w:val="00DC415B"/>
    <w:rsid w:val="00DC619A"/>
    <w:rsid w:val="00DC6787"/>
    <w:rsid w:val="00DC74BF"/>
    <w:rsid w:val="00DD2853"/>
    <w:rsid w:val="00DD313B"/>
    <w:rsid w:val="00DD70F3"/>
    <w:rsid w:val="00DE30CF"/>
    <w:rsid w:val="00DE440C"/>
    <w:rsid w:val="00DE7CF7"/>
    <w:rsid w:val="00DF139A"/>
    <w:rsid w:val="00DF4225"/>
    <w:rsid w:val="00DF4495"/>
    <w:rsid w:val="00DF61FD"/>
    <w:rsid w:val="00DF7ADA"/>
    <w:rsid w:val="00E03940"/>
    <w:rsid w:val="00E106F7"/>
    <w:rsid w:val="00E126FF"/>
    <w:rsid w:val="00E12E75"/>
    <w:rsid w:val="00E23393"/>
    <w:rsid w:val="00E30712"/>
    <w:rsid w:val="00E317F3"/>
    <w:rsid w:val="00E31A27"/>
    <w:rsid w:val="00E32794"/>
    <w:rsid w:val="00E3360A"/>
    <w:rsid w:val="00E35C25"/>
    <w:rsid w:val="00E37A89"/>
    <w:rsid w:val="00E4019D"/>
    <w:rsid w:val="00E41635"/>
    <w:rsid w:val="00E5313A"/>
    <w:rsid w:val="00E534D4"/>
    <w:rsid w:val="00E547FD"/>
    <w:rsid w:val="00E54DC7"/>
    <w:rsid w:val="00E55A49"/>
    <w:rsid w:val="00E57F76"/>
    <w:rsid w:val="00E704EE"/>
    <w:rsid w:val="00E71B93"/>
    <w:rsid w:val="00E723C7"/>
    <w:rsid w:val="00E803EC"/>
    <w:rsid w:val="00E81BB4"/>
    <w:rsid w:val="00E839C8"/>
    <w:rsid w:val="00E83D60"/>
    <w:rsid w:val="00E841BE"/>
    <w:rsid w:val="00E84E1C"/>
    <w:rsid w:val="00E8647C"/>
    <w:rsid w:val="00E8651B"/>
    <w:rsid w:val="00E86706"/>
    <w:rsid w:val="00E87578"/>
    <w:rsid w:val="00E925BF"/>
    <w:rsid w:val="00E97A78"/>
    <w:rsid w:val="00E97C2C"/>
    <w:rsid w:val="00EA34F8"/>
    <w:rsid w:val="00EA47F4"/>
    <w:rsid w:val="00EB0EEE"/>
    <w:rsid w:val="00EB12FC"/>
    <w:rsid w:val="00EB2F88"/>
    <w:rsid w:val="00EB68B4"/>
    <w:rsid w:val="00EC2AB3"/>
    <w:rsid w:val="00ED14E7"/>
    <w:rsid w:val="00ED1A3C"/>
    <w:rsid w:val="00ED36E5"/>
    <w:rsid w:val="00ED3C46"/>
    <w:rsid w:val="00EE111A"/>
    <w:rsid w:val="00EE4B90"/>
    <w:rsid w:val="00EE5096"/>
    <w:rsid w:val="00EF0DF8"/>
    <w:rsid w:val="00EF23B7"/>
    <w:rsid w:val="00EF4EE6"/>
    <w:rsid w:val="00EF57BD"/>
    <w:rsid w:val="00F00D99"/>
    <w:rsid w:val="00F016CA"/>
    <w:rsid w:val="00F05329"/>
    <w:rsid w:val="00F0533E"/>
    <w:rsid w:val="00F067D2"/>
    <w:rsid w:val="00F10B86"/>
    <w:rsid w:val="00F10C3B"/>
    <w:rsid w:val="00F25CAD"/>
    <w:rsid w:val="00F26874"/>
    <w:rsid w:val="00F34E44"/>
    <w:rsid w:val="00F3567B"/>
    <w:rsid w:val="00F36016"/>
    <w:rsid w:val="00F4253A"/>
    <w:rsid w:val="00F442F3"/>
    <w:rsid w:val="00F61BE2"/>
    <w:rsid w:val="00F62E57"/>
    <w:rsid w:val="00F65ECB"/>
    <w:rsid w:val="00F65EE6"/>
    <w:rsid w:val="00F65F7B"/>
    <w:rsid w:val="00F70936"/>
    <w:rsid w:val="00F715C6"/>
    <w:rsid w:val="00F739BE"/>
    <w:rsid w:val="00F743B7"/>
    <w:rsid w:val="00F7631C"/>
    <w:rsid w:val="00F76450"/>
    <w:rsid w:val="00F77ABB"/>
    <w:rsid w:val="00F80F5A"/>
    <w:rsid w:val="00F82111"/>
    <w:rsid w:val="00F82753"/>
    <w:rsid w:val="00F869BC"/>
    <w:rsid w:val="00F9095D"/>
    <w:rsid w:val="00F95D73"/>
    <w:rsid w:val="00F97F61"/>
    <w:rsid w:val="00FA0973"/>
    <w:rsid w:val="00FA18E1"/>
    <w:rsid w:val="00FA5382"/>
    <w:rsid w:val="00FB6E6B"/>
    <w:rsid w:val="00FC1F8B"/>
    <w:rsid w:val="00FD1284"/>
    <w:rsid w:val="00FD3E60"/>
    <w:rsid w:val="00FE21F6"/>
    <w:rsid w:val="00FE2DF9"/>
    <w:rsid w:val="00FE332B"/>
    <w:rsid w:val="00FE3D0E"/>
    <w:rsid w:val="00FE5B30"/>
    <w:rsid w:val="00FF22DE"/>
    <w:rsid w:val="00FF31E9"/>
    <w:rsid w:val="00FF7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51B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1B2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51B21"/>
    <w:pPr>
      <w:ind w:left="720"/>
      <w:contextualSpacing/>
    </w:pPr>
  </w:style>
  <w:style w:type="paragraph" w:styleId="BalloonText">
    <w:name w:val="Balloon Text"/>
    <w:basedOn w:val="Normal"/>
    <w:link w:val="BalloonTextChar"/>
    <w:uiPriority w:val="99"/>
    <w:semiHidden/>
    <w:unhideWhenUsed/>
    <w:rsid w:val="008A6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F4"/>
    <w:rPr>
      <w:rFonts w:ascii="Tahoma" w:hAnsi="Tahoma" w:cs="Tahoma"/>
      <w:sz w:val="16"/>
      <w:szCs w:val="16"/>
    </w:rPr>
  </w:style>
  <w:style w:type="numbering" w:customStyle="1" w:styleId="CABNETList">
    <w:name w:val="CABNET List"/>
    <w:rsid w:val="008A63F4"/>
    <w:pPr>
      <w:numPr>
        <w:numId w:val="2"/>
      </w:numPr>
    </w:pPr>
  </w:style>
  <w:style w:type="paragraph" w:customStyle="1" w:styleId="CABNETParagraph">
    <w:name w:val="CABNET Paragraph"/>
    <w:basedOn w:val="Normal"/>
    <w:link w:val="CABNETParagraphChar"/>
    <w:qFormat/>
    <w:rsid w:val="008A63F4"/>
    <w:pPr>
      <w:spacing w:before="120" w:after="120" w:line="240" w:lineRule="auto"/>
    </w:pPr>
    <w:rPr>
      <w:rFonts w:ascii="Verdana" w:hAnsi="Verdana"/>
    </w:rPr>
  </w:style>
  <w:style w:type="character" w:customStyle="1" w:styleId="CABNETParagraphChar">
    <w:name w:val="CABNET Paragraph Char"/>
    <w:basedOn w:val="DefaultParagraphFont"/>
    <w:link w:val="CABNETParagraph"/>
    <w:rsid w:val="008A63F4"/>
    <w:rPr>
      <w:rFonts w:ascii="Verdana" w:hAnsi="Verdana"/>
    </w:rPr>
  </w:style>
  <w:style w:type="character" w:styleId="Hyperlink">
    <w:name w:val="Hyperlink"/>
    <w:basedOn w:val="DefaultParagraphFont"/>
    <w:uiPriority w:val="99"/>
    <w:semiHidden/>
    <w:unhideWhenUsed/>
    <w:rsid w:val="00093780"/>
    <w:rPr>
      <w:color w:val="0000FF"/>
      <w:u w:val="single"/>
    </w:rPr>
  </w:style>
  <w:style w:type="paragraph" w:customStyle="1" w:styleId="CABNETParagraphAtt">
    <w:name w:val="CABNET Paragraph Att"/>
    <w:basedOn w:val="Normal"/>
    <w:link w:val="CABNETParagraphAttChar"/>
    <w:qFormat/>
    <w:rsid w:val="00F743B7"/>
    <w:pPr>
      <w:spacing w:before="120" w:after="120" w:line="240" w:lineRule="auto"/>
    </w:pPr>
    <w:rPr>
      <w:rFonts w:ascii="Verdana" w:eastAsia="Times New Roman" w:hAnsi="Verdana" w:cs="Times New Roman"/>
      <w:szCs w:val="24"/>
      <w:lang w:eastAsia="en-AU"/>
    </w:rPr>
  </w:style>
  <w:style w:type="character" w:customStyle="1" w:styleId="CABNETParagraphAttChar">
    <w:name w:val="CABNET Paragraph Att Char"/>
    <w:basedOn w:val="DefaultParagraphFont"/>
    <w:link w:val="CABNETParagraphAtt"/>
    <w:rsid w:val="00F743B7"/>
    <w:rPr>
      <w:rFonts w:ascii="Verdana" w:eastAsia="Times New Roman" w:hAnsi="Verdana" w:cs="Times New Roman"/>
      <w:szCs w:val="24"/>
      <w:lang w:eastAsia="en-AU"/>
    </w:rPr>
  </w:style>
  <w:style w:type="character" w:styleId="CommentReference">
    <w:name w:val="annotation reference"/>
    <w:basedOn w:val="DefaultParagraphFont"/>
    <w:uiPriority w:val="99"/>
    <w:unhideWhenUsed/>
    <w:rsid w:val="00642E1B"/>
    <w:rPr>
      <w:sz w:val="16"/>
      <w:szCs w:val="16"/>
    </w:rPr>
  </w:style>
  <w:style w:type="paragraph" w:styleId="CommentText">
    <w:name w:val="annotation text"/>
    <w:basedOn w:val="Normal"/>
    <w:link w:val="CommentTextChar"/>
    <w:uiPriority w:val="99"/>
    <w:unhideWhenUsed/>
    <w:rsid w:val="00642E1B"/>
    <w:pPr>
      <w:spacing w:line="240" w:lineRule="auto"/>
    </w:pPr>
    <w:rPr>
      <w:sz w:val="20"/>
      <w:szCs w:val="20"/>
    </w:rPr>
  </w:style>
  <w:style w:type="character" w:customStyle="1" w:styleId="CommentTextChar">
    <w:name w:val="Comment Text Char"/>
    <w:basedOn w:val="DefaultParagraphFont"/>
    <w:link w:val="CommentText"/>
    <w:uiPriority w:val="99"/>
    <w:rsid w:val="00642E1B"/>
    <w:rPr>
      <w:sz w:val="20"/>
      <w:szCs w:val="20"/>
    </w:rPr>
  </w:style>
  <w:style w:type="paragraph" w:styleId="CommentSubject">
    <w:name w:val="annotation subject"/>
    <w:basedOn w:val="CommentText"/>
    <w:next w:val="CommentText"/>
    <w:link w:val="CommentSubjectChar"/>
    <w:uiPriority w:val="99"/>
    <w:semiHidden/>
    <w:unhideWhenUsed/>
    <w:rsid w:val="00642E1B"/>
    <w:rPr>
      <w:b/>
      <w:bCs/>
    </w:rPr>
  </w:style>
  <w:style w:type="character" w:customStyle="1" w:styleId="CommentSubjectChar">
    <w:name w:val="Comment Subject Char"/>
    <w:basedOn w:val="CommentTextChar"/>
    <w:link w:val="CommentSubject"/>
    <w:uiPriority w:val="99"/>
    <w:semiHidden/>
    <w:rsid w:val="00642E1B"/>
    <w:rPr>
      <w:b/>
      <w:bCs/>
      <w:sz w:val="20"/>
      <w:szCs w:val="20"/>
    </w:rPr>
  </w:style>
  <w:style w:type="table" w:styleId="TableGrid">
    <w:name w:val="Table Grid"/>
    <w:basedOn w:val="TableNormal"/>
    <w:uiPriority w:val="59"/>
    <w:rsid w:val="000A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577"/>
  </w:style>
  <w:style w:type="paragraph" w:styleId="Footer">
    <w:name w:val="footer"/>
    <w:basedOn w:val="Normal"/>
    <w:link w:val="FooterChar"/>
    <w:uiPriority w:val="99"/>
    <w:unhideWhenUsed/>
    <w:rsid w:val="00112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577"/>
  </w:style>
  <w:style w:type="paragraph" w:styleId="FootnoteText">
    <w:name w:val="footnote text"/>
    <w:basedOn w:val="Normal"/>
    <w:link w:val="FootnoteTextChar"/>
    <w:uiPriority w:val="99"/>
    <w:semiHidden/>
    <w:unhideWhenUsed/>
    <w:rsid w:val="00CF55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5588"/>
    <w:rPr>
      <w:sz w:val="20"/>
      <w:szCs w:val="20"/>
    </w:rPr>
  </w:style>
  <w:style w:type="character" w:styleId="FootnoteReference">
    <w:name w:val="footnote reference"/>
    <w:basedOn w:val="DefaultParagraphFont"/>
    <w:uiPriority w:val="99"/>
    <w:semiHidden/>
    <w:unhideWhenUsed/>
    <w:rsid w:val="00CF5588"/>
    <w:rPr>
      <w:vertAlign w:val="superscript"/>
    </w:rPr>
  </w:style>
  <w:style w:type="paragraph" w:styleId="Revision">
    <w:name w:val="Revision"/>
    <w:hidden/>
    <w:uiPriority w:val="99"/>
    <w:semiHidden/>
    <w:rsid w:val="00483E92"/>
    <w:pPr>
      <w:spacing w:after="0" w:line="240" w:lineRule="auto"/>
    </w:pPr>
  </w:style>
  <w:style w:type="paragraph" w:customStyle="1" w:styleId="definition">
    <w:name w:val="definition"/>
    <w:basedOn w:val="Normal"/>
    <w:rsid w:val="009301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9301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9301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ing1">
    <w:name w:val="Heading1"/>
    <w:basedOn w:val="Normal"/>
    <w:link w:val="Heading1Char"/>
    <w:qFormat/>
    <w:rsid w:val="00734F31"/>
    <w:rPr>
      <w:rFonts w:ascii="Times New Roman" w:hAnsi="Times New Roman" w:cs="Times New Roman"/>
      <w:b/>
      <w:sz w:val="24"/>
      <w:szCs w:val="24"/>
    </w:rPr>
  </w:style>
  <w:style w:type="character" w:customStyle="1" w:styleId="Heading1Char">
    <w:name w:val="Heading1 Char"/>
    <w:basedOn w:val="DefaultParagraphFont"/>
    <w:link w:val="Heading1"/>
    <w:rsid w:val="00734F31"/>
    <w:rPr>
      <w:rFonts w:ascii="Times New Roman" w:hAnsi="Times New Roman" w:cs="Times New Roman"/>
      <w:b/>
      <w:sz w:val="24"/>
      <w:szCs w:val="24"/>
    </w:rPr>
  </w:style>
  <w:style w:type="paragraph" w:customStyle="1" w:styleId="FooterCitation">
    <w:name w:val="FooterCitation"/>
    <w:basedOn w:val="Footer"/>
    <w:uiPriority w:val="99"/>
    <w:rsid w:val="00DD313B"/>
    <w:pPr>
      <w:tabs>
        <w:tab w:val="clear" w:pos="4513"/>
        <w:tab w:val="clear" w:pos="9026"/>
        <w:tab w:val="center" w:pos="4153"/>
        <w:tab w:val="right" w:pos="8306"/>
      </w:tabs>
      <w:spacing w:before="20" w:line="240" w:lineRule="exact"/>
      <w:jc w:val="center"/>
    </w:pPr>
    <w:rPr>
      <w:rFonts w:ascii="Arial" w:eastAsia="Times New Roman" w:hAnsi="Arial" w:cs="Arial"/>
      <w:i/>
      <w:iCs/>
      <w:sz w:val="18"/>
      <w:szCs w:val="18"/>
      <w:lang w:eastAsia="en-AU"/>
    </w:rPr>
  </w:style>
  <w:style w:type="character" w:styleId="PageNumber">
    <w:name w:val="page number"/>
    <w:basedOn w:val="DefaultParagraphFont"/>
    <w:uiPriority w:val="99"/>
    <w:semiHidden/>
    <w:unhideWhenUsed/>
    <w:rsid w:val="00DD313B"/>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51B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1B2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51B21"/>
    <w:pPr>
      <w:ind w:left="720"/>
      <w:contextualSpacing/>
    </w:pPr>
  </w:style>
  <w:style w:type="paragraph" w:styleId="BalloonText">
    <w:name w:val="Balloon Text"/>
    <w:basedOn w:val="Normal"/>
    <w:link w:val="BalloonTextChar"/>
    <w:uiPriority w:val="99"/>
    <w:semiHidden/>
    <w:unhideWhenUsed/>
    <w:rsid w:val="008A6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F4"/>
    <w:rPr>
      <w:rFonts w:ascii="Tahoma" w:hAnsi="Tahoma" w:cs="Tahoma"/>
      <w:sz w:val="16"/>
      <w:szCs w:val="16"/>
    </w:rPr>
  </w:style>
  <w:style w:type="numbering" w:customStyle="1" w:styleId="CABNETList">
    <w:name w:val="CABNET List"/>
    <w:rsid w:val="008A63F4"/>
    <w:pPr>
      <w:numPr>
        <w:numId w:val="2"/>
      </w:numPr>
    </w:pPr>
  </w:style>
  <w:style w:type="paragraph" w:customStyle="1" w:styleId="CABNETParagraph">
    <w:name w:val="CABNET Paragraph"/>
    <w:basedOn w:val="Normal"/>
    <w:link w:val="CABNETParagraphChar"/>
    <w:qFormat/>
    <w:rsid w:val="008A63F4"/>
    <w:pPr>
      <w:spacing w:before="120" w:after="120" w:line="240" w:lineRule="auto"/>
    </w:pPr>
    <w:rPr>
      <w:rFonts w:ascii="Verdana" w:hAnsi="Verdana"/>
    </w:rPr>
  </w:style>
  <w:style w:type="character" w:customStyle="1" w:styleId="CABNETParagraphChar">
    <w:name w:val="CABNET Paragraph Char"/>
    <w:basedOn w:val="DefaultParagraphFont"/>
    <w:link w:val="CABNETParagraph"/>
    <w:rsid w:val="008A63F4"/>
    <w:rPr>
      <w:rFonts w:ascii="Verdana" w:hAnsi="Verdana"/>
    </w:rPr>
  </w:style>
  <w:style w:type="character" w:styleId="Hyperlink">
    <w:name w:val="Hyperlink"/>
    <w:basedOn w:val="DefaultParagraphFont"/>
    <w:uiPriority w:val="99"/>
    <w:semiHidden/>
    <w:unhideWhenUsed/>
    <w:rsid w:val="00093780"/>
    <w:rPr>
      <w:color w:val="0000FF"/>
      <w:u w:val="single"/>
    </w:rPr>
  </w:style>
  <w:style w:type="paragraph" w:customStyle="1" w:styleId="CABNETParagraphAtt">
    <w:name w:val="CABNET Paragraph Att"/>
    <w:basedOn w:val="Normal"/>
    <w:link w:val="CABNETParagraphAttChar"/>
    <w:qFormat/>
    <w:rsid w:val="00F743B7"/>
    <w:pPr>
      <w:spacing w:before="120" w:after="120" w:line="240" w:lineRule="auto"/>
    </w:pPr>
    <w:rPr>
      <w:rFonts w:ascii="Verdana" w:eastAsia="Times New Roman" w:hAnsi="Verdana" w:cs="Times New Roman"/>
      <w:szCs w:val="24"/>
      <w:lang w:eastAsia="en-AU"/>
    </w:rPr>
  </w:style>
  <w:style w:type="character" w:customStyle="1" w:styleId="CABNETParagraphAttChar">
    <w:name w:val="CABNET Paragraph Att Char"/>
    <w:basedOn w:val="DefaultParagraphFont"/>
    <w:link w:val="CABNETParagraphAtt"/>
    <w:rsid w:val="00F743B7"/>
    <w:rPr>
      <w:rFonts w:ascii="Verdana" w:eastAsia="Times New Roman" w:hAnsi="Verdana" w:cs="Times New Roman"/>
      <w:szCs w:val="24"/>
      <w:lang w:eastAsia="en-AU"/>
    </w:rPr>
  </w:style>
  <w:style w:type="character" w:styleId="CommentReference">
    <w:name w:val="annotation reference"/>
    <w:basedOn w:val="DefaultParagraphFont"/>
    <w:uiPriority w:val="99"/>
    <w:unhideWhenUsed/>
    <w:rsid w:val="00642E1B"/>
    <w:rPr>
      <w:sz w:val="16"/>
      <w:szCs w:val="16"/>
    </w:rPr>
  </w:style>
  <w:style w:type="paragraph" w:styleId="CommentText">
    <w:name w:val="annotation text"/>
    <w:basedOn w:val="Normal"/>
    <w:link w:val="CommentTextChar"/>
    <w:uiPriority w:val="99"/>
    <w:unhideWhenUsed/>
    <w:rsid w:val="00642E1B"/>
    <w:pPr>
      <w:spacing w:line="240" w:lineRule="auto"/>
    </w:pPr>
    <w:rPr>
      <w:sz w:val="20"/>
      <w:szCs w:val="20"/>
    </w:rPr>
  </w:style>
  <w:style w:type="character" w:customStyle="1" w:styleId="CommentTextChar">
    <w:name w:val="Comment Text Char"/>
    <w:basedOn w:val="DefaultParagraphFont"/>
    <w:link w:val="CommentText"/>
    <w:uiPriority w:val="99"/>
    <w:rsid w:val="00642E1B"/>
    <w:rPr>
      <w:sz w:val="20"/>
      <w:szCs w:val="20"/>
    </w:rPr>
  </w:style>
  <w:style w:type="paragraph" w:styleId="CommentSubject">
    <w:name w:val="annotation subject"/>
    <w:basedOn w:val="CommentText"/>
    <w:next w:val="CommentText"/>
    <w:link w:val="CommentSubjectChar"/>
    <w:uiPriority w:val="99"/>
    <w:semiHidden/>
    <w:unhideWhenUsed/>
    <w:rsid w:val="00642E1B"/>
    <w:rPr>
      <w:b/>
      <w:bCs/>
    </w:rPr>
  </w:style>
  <w:style w:type="character" w:customStyle="1" w:styleId="CommentSubjectChar">
    <w:name w:val="Comment Subject Char"/>
    <w:basedOn w:val="CommentTextChar"/>
    <w:link w:val="CommentSubject"/>
    <w:uiPriority w:val="99"/>
    <w:semiHidden/>
    <w:rsid w:val="00642E1B"/>
    <w:rPr>
      <w:b/>
      <w:bCs/>
      <w:sz w:val="20"/>
      <w:szCs w:val="20"/>
    </w:rPr>
  </w:style>
  <w:style w:type="table" w:styleId="TableGrid">
    <w:name w:val="Table Grid"/>
    <w:basedOn w:val="TableNormal"/>
    <w:uiPriority w:val="59"/>
    <w:rsid w:val="000A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577"/>
  </w:style>
  <w:style w:type="paragraph" w:styleId="Footer">
    <w:name w:val="footer"/>
    <w:basedOn w:val="Normal"/>
    <w:link w:val="FooterChar"/>
    <w:uiPriority w:val="99"/>
    <w:unhideWhenUsed/>
    <w:rsid w:val="00112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577"/>
  </w:style>
  <w:style w:type="paragraph" w:styleId="FootnoteText">
    <w:name w:val="footnote text"/>
    <w:basedOn w:val="Normal"/>
    <w:link w:val="FootnoteTextChar"/>
    <w:uiPriority w:val="99"/>
    <w:semiHidden/>
    <w:unhideWhenUsed/>
    <w:rsid w:val="00CF55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5588"/>
    <w:rPr>
      <w:sz w:val="20"/>
      <w:szCs w:val="20"/>
    </w:rPr>
  </w:style>
  <w:style w:type="character" w:styleId="FootnoteReference">
    <w:name w:val="footnote reference"/>
    <w:basedOn w:val="DefaultParagraphFont"/>
    <w:uiPriority w:val="99"/>
    <w:semiHidden/>
    <w:unhideWhenUsed/>
    <w:rsid w:val="00CF5588"/>
    <w:rPr>
      <w:vertAlign w:val="superscript"/>
    </w:rPr>
  </w:style>
  <w:style w:type="paragraph" w:styleId="Revision">
    <w:name w:val="Revision"/>
    <w:hidden/>
    <w:uiPriority w:val="99"/>
    <w:semiHidden/>
    <w:rsid w:val="00483E92"/>
    <w:pPr>
      <w:spacing w:after="0" w:line="240" w:lineRule="auto"/>
    </w:pPr>
  </w:style>
  <w:style w:type="paragraph" w:customStyle="1" w:styleId="definition">
    <w:name w:val="definition"/>
    <w:basedOn w:val="Normal"/>
    <w:rsid w:val="009301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9301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basedOn w:val="Normal"/>
    <w:rsid w:val="009301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ing1">
    <w:name w:val="Heading1"/>
    <w:basedOn w:val="Normal"/>
    <w:link w:val="Heading1Char"/>
    <w:qFormat/>
    <w:rsid w:val="00734F31"/>
    <w:rPr>
      <w:rFonts w:ascii="Times New Roman" w:hAnsi="Times New Roman" w:cs="Times New Roman"/>
      <w:b/>
      <w:sz w:val="24"/>
      <w:szCs w:val="24"/>
    </w:rPr>
  </w:style>
  <w:style w:type="character" w:customStyle="1" w:styleId="Heading1Char">
    <w:name w:val="Heading1 Char"/>
    <w:basedOn w:val="DefaultParagraphFont"/>
    <w:link w:val="Heading1"/>
    <w:rsid w:val="00734F31"/>
    <w:rPr>
      <w:rFonts w:ascii="Times New Roman" w:hAnsi="Times New Roman" w:cs="Times New Roman"/>
      <w:b/>
      <w:sz w:val="24"/>
      <w:szCs w:val="24"/>
    </w:rPr>
  </w:style>
  <w:style w:type="paragraph" w:customStyle="1" w:styleId="FooterCitation">
    <w:name w:val="FooterCitation"/>
    <w:basedOn w:val="Footer"/>
    <w:uiPriority w:val="99"/>
    <w:rsid w:val="00DD313B"/>
    <w:pPr>
      <w:tabs>
        <w:tab w:val="clear" w:pos="4513"/>
        <w:tab w:val="clear" w:pos="9026"/>
        <w:tab w:val="center" w:pos="4153"/>
        <w:tab w:val="right" w:pos="8306"/>
      </w:tabs>
      <w:spacing w:before="20" w:line="240" w:lineRule="exact"/>
      <w:jc w:val="center"/>
    </w:pPr>
    <w:rPr>
      <w:rFonts w:ascii="Arial" w:eastAsia="Times New Roman" w:hAnsi="Arial" w:cs="Arial"/>
      <w:i/>
      <w:iCs/>
      <w:sz w:val="18"/>
      <w:szCs w:val="18"/>
      <w:lang w:eastAsia="en-AU"/>
    </w:rPr>
  </w:style>
  <w:style w:type="character" w:styleId="PageNumber">
    <w:name w:val="page number"/>
    <w:basedOn w:val="DefaultParagraphFont"/>
    <w:uiPriority w:val="99"/>
    <w:semiHidden/>
    <w:unhideWhenUsed/>
    <w:rsid w:val="00DD313B"/>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60002">
      <w:bodyDiv w:val="1"/>
      <w:marLeft w:val="0"/>
      <w:marRight w:val="0"/>
      <w:marTop w:val="0"/>
      <w:marBottom w:val="0"/>
      <w:divBdr>
        <w:top w:val="none" w:sz="0" w:space="0" w:color="auto"/>
        <w:left w:val="none" w:sz="0" w:space="0" w:color="auto"/>
        <w:bottom w:val="none" w:sz="0" w:space="0" w:color="auto"/>
        <w:right w:val="none" w:sz="0" w:space="0" w:color="auto"/>
      </w:divBdr>
    </w:div>
    <w:div w:id="332144718">
      <w:bodyDiv w:val="1"/>
      <w:marLeft w:val="0"/>
      <w:marRight w:val="0"/>
      <w:marTop w:val="0"/>
      <w:marBottom w:val="0"/>
      <w:divBdr>
        <w:top w:val="none" w:sz="0" w:space="0" w:color="auto"/>
        <w:left w:val="none" w:sz="0" w:space="0" w:color="auto"/>
        <w:bottom w:val="none" w:sz="0" w:space="0" w:color="auto"/>
        <w:right w:val="none" w:sz="0" w:space="0" w:color="auto"/>
      </w:divBdr>
    </w:div>
    <w:div w:id="1064525237">
      <w:bodyDiv w:val="1"/>
      <w:marLeft w:val="0"/>
      <w:marRight w:val="0"/>
      <w:marTop w:val="0"/>
      <w:marBottom w:val="0"/>
      <w:divBdr>
        <w:top w:val="none" w:sz="0" w:space="0" w:color="auto"/>
        <w:left w:val="none" w:sz="0" w:space="0" w:color="auto"/>
        <w:bottom w:val="none" w:sz="0" w:space="0" w:color="auto"/>
        <w:right w:val="none" w:sz="0" w:space="0" w:color="auto"/>
      </w:divBdr>
    </w:div>
    <w:div w:id="1582057404">
      <w:bodyDiv w:val="1"/>
      <w:marLeft w:val="0"/>
      <w:marRight w:val="0"/>
      <w:marTop w:val="0"/>
      <w:marBottom w:val="0"/>
      <w:divBdr>
        <w:top w:val="none" w:sz="0" w:space="0" w:color="auto"/>
        <w:left w:val="none" w:sz="0" w:space="0" w:color="auto"/>
        <w:bottom w:val="none" w:sz="0" w:space="0" w:color="auto"/>
        <w:right w:val="none" w:sz="0" w:space="0" w:color="auto"/>
      </w:divBdr>
      <w:divsChild>
        <w:div w:id="708577827">
          <w:marLeft w:val="0"/>
          <w:marRight w:val="0"/>
          <w:marTop w:val="0"/>
          <w:marBottom w:val="0"/>
          <w:divBdr>
            <w:top w:val="none" w:sz="0" w:space="0" w:color="auto"/>
            <w:left w:val="none" w:sz="0" w:space="0" w:color="auto"/>
            <w:bottom w:val="none" w:sz="0" w:space="0" w:color="auto"/>
            <w:right w:val="none" w:sz="0" w:space="0" w:color="auto"/>
          </w:divBdr>
          <w:divsChild>
            <w:div w:id="152376936">
              <w:marLeft w:val="0"/>
              <w:marRight w:val="0"/>
              <w:marTop w:val="0"/>
              <w:marBottom w:val="0"/>
              <w:divBdr>
                <w:top w:val="none" w:sz="0" w:space="0" w:color="auto"/>
                <w:left w:val="none" w:sz="0" w:space="0" w:color="auto"/>
                <w:bottom w:val="none" w:sz="0" w:space="0" w:color="auto"/>
                <w:right w:val="none" w:sz="0" w:space="0" w:color="auto"/>
              </w:divBdr>
              <w:divsChild>
                <w:div w:id="355886551">
                  <w:marLeft w:val="0"/>
                  <w:marRight w:val="0"/>
                  <w:marTop w:val="0"/>
                  <w:marBottom w:val="0"/>
                  <w:divBdr>
                    <w:top w:val="none" w:sz="0" w:space="0" w:color="auto"/>
                    <w:left w:val="none" w:sz="0" w:space="0" w:color="auto"/>
                    <w:bottom w:val="none" w:sz="0" w:space="0" w:color="auto"/>
                    <w:right w:val="none" w:sz="0" w:space="0" w:color="auto"/>
                  </w:divBdr>
                  <w:divsChild>
                    <w:div w:id="581986055">
                      <w:marLeft w:val="0"/>
                      <w:marRight w:val="0"/>
                      <w:marTop w:val="0"/>
                      <w:marBottom w:val="0"/>
                      <w:divBdr>
                        <w:top w:val="none" w:sz="0" w:space="0" w:color="auto"/>
                        <w:left w:val="none" w:sz="0" w:space="0" w:color="auto"/>
                        <w:bottom w:val="none" w:sz="0" w:space="0" w:color="auto"/>
                        <w:right w:val="none" w:sz="0" w:space="0" w:color="auto"/>
                      </w:divBdr>
                      <w:divsChild>
                        <w:div w:id="62140310">
                          <w:marLeft w:val="0"/>
                          <w:marRight w:val="0"/>
                          <w:marTop w:val="0"/>
                          <w:marBottom w:val="0"/>
                          <w:divBdr>
                            <w:top w:val="none" w:sz="0" w:space="0" w:color="auto"/>
                            <w:left w:val="none" w:sz="0" w:space="0" w:color="auto"/>
                            <w:bottom w:val="none" w:sz="0" w:space="0" w:color="auto"/>
                            <w:right w:val="none" w:sz="0" w:space="0" w:color="auto"/>
                          </w:divBdr>
                          <w:divsChild>
                            <w:div w:id="1792164392">
                              <w:marLeft w:val="0"/>
                              <w:marRight w:val="0"/>
                              <w:marTop w:val="0"/>
                              <w:marBottom w:val="0"/>
                              <w:divBdr>
                                <w:top w:val="none" w:sz="0" w:space="0" w:color="auto"/>
                                <w:left w:val="none" w:sz="0" w:space="0" w:color="auto"/>
                                <w:bottom w:val="none" w:sz="0" w:space="0" w:color="auto"/>
                                <w:right w:val="none" w:sz="0" w:space="0" w:color="auto"/>
                              </w:divBdr>
                              <w:divsChild>
                                <w:div w:id="2055227933">
                                  <w:marLeft w:val="0"/>
                                  <w:marRight w:val="0"/>
                                  <w:marTop w:val="0"/>
                                  <w:marBottom w:val="0"/>
                                  <w:divBdr>
                                    <w:top w:val="none" w:sz="0" w:space="0" w:color="auto"/>
                                    <w:left w:val="none" w:sz="0" w:space="0" w:color="auto"/>
                                    <w:bottom w:val="none" w:sz="0" w:space="0" w:color="auto"/>
                                    <w:right w:val="none" w:sz="0" w:space="0" w:color="auto"/>
                                  </w:divBdr>
                                  <w:divsChild>
                                    <w:div w:id="243997107">
                                      <w:marLeft w:val="0"/>
                                      <w:marRight w:val="0"/>
                                      <w:marTop w:val="0"/>
                                      <w:marBottom w:val="0"/>
                                      <w:divBdr>
                                        <w:top w:val="none" w:sz="0" w:space="0" w:color="auto"/>
                                        <w:left w:val="none" w:sz="0" w:space="0" w:color="auto"/>
                                        <w:bottom w:val="none" w:sz="0" w:space="0" w:color="auto"/>
                                        <w:right w:val="none" w:sz="0" w:space="0" w:color="auto"/>
                                      </w:divBdr>
                                      <w:divsChild>
                                        <w:div w:id="1742947560">
                                          <w:marLeft w:val="0"/>
                                          <w:marRight w:val="0"/>
                                          <w:marTop w:val="75"/>
                                          <w:marBottom w:val="0"/>
                                          <w:divBdr>
                                            <w:top w:val="none" w:sz="0" w:space="0" w:color="auto"/>
                                            <w:left w:val="none" w:sz="0" w:space="0" w:color="auto"/>
                                            <w:bottom w:val="none" w:sz="0" w:space="0" w:color="auto"/>
                                            <w:right w:val="none" w:sz="0" w:space="0" w:color="auto"/>
                                          </w:divBdr>
                                          <w:divsChild>
                                            <w:div w:id="18398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501759">
      <w:bodyDiv w:val="1"/>
      <w:marLeft w:val="0"/>
      <w:marRight w:val="0"/>
      <w:marTop w:val="0"/>
      <w:marBottom w:val="0"/>
      <w:divBdr>
        <w:top w:val="none" w:sz="0" w:space="0" w:color="auto"/>
        <w:left w:val="none" w:sz="0" w:space="0" w:color="auto"/>
        <w:bottom w:val="none" w:sz="0" w:space="0" w:color="auto"/>
        <w:right w:val="none" w:sz="0" w:space="0" w:color="auto"/>
      </w:divBdr>
      <w:divsChild>
        <w:div w:id="1743067301">
          <w:marLeft w:val="0"/>
          <w:marRight w:val="0"/>
          <w:marTop w:val="0"/>
          <w:marBottom w:val="0"/>
          <w:divBdr>
            <w:top w:val="none" w:sz="0" w:space="0" w:color="auto"/>
            <w:left w:val="none" w:sz="0" w:space="0" w:color="auto"/>
            <w:bottom w:val="none" w:sz="0" w:space="0" w:color="auto"/>
            <w:right w:val="none" w:sz="0" w:space="0" w:color="auto"/>
          </w:divBdr>
          <w:divsChild>
            <w:div w:id="1574924295">
              <w:marLeft w:val="0"/>
              <w:marRight w:val="0"/>
              <w:marTop w:val="0"/>
              <w:marBottom w:val="0"/>
              <w:divBdr>
                <w:top w:val="none" w:sz="0" w:space="0" w:color="auto"/>
                <w:left w:val="none" w:sz="0" w:space="0" w:color="auto"/>
                <w:bottom w:val="none" w:sz="0" w:space="0" w:color="auto"/>
                <w:right w:val="none" w:sz="0" w:space="0" w:color="auto"/>
              </w:divBdr>
              <w:divsChild>
                <w:div w:id="970135569">
                  <w:marLeft w:val="0"/>
                  <w:marRight w:val="0"/>
                  <w:marTop w:val="0"/>
                  <w:marBottom w:val="0"/>
                  <w:divBdr>
                    <w:top w:val="none" w:sz="0" w:space="0" w:color="auto"/>
                    <w:left w:val="none" w:sz="0" w:space="0" w:color="auto"/>
                    <w:bottom w:val="none" w:sz="0" w:space="0" w:color="auto"/>
                    <w:right w:val="none" w:sz="0" w:space="0" w:color="auto"/>
                  </w:divBdr>
                  <w:divsChild>
                    <w:div w:id="1221944462">
                      <w:marLeft w:val="0"/>
                      <w:marRight w:val="0"/>
                      <w:marTop w:val="0"/>
                      <w:marBottom w:val="0"/>
                      <w:divBdr>
                        <w:top w:val="none" w:sz="0" w:space="0" w:color="auto"/>
                        <w:left w:val="none" w:sz="0" w:space="0" w:color="auto"/>
                        <w:bottom w:val="none" w:sz="0" w:space="0" w:color="auto"/>
                        <w:right w:val="none" w:sz="0" w:space="0" w:color="auto"/>
                      </w:divBdr>
                      <w:divsChild>
                        <w:div w:id="459419840">
                          <w:marLeft w:val="0"/>
                          <w:marRight w:val="0"/>
                          <w:marTop w:val="0"/>
                          <w:marBottom w:val="0"/>
                          <w:divBdr>
                            <w:top w:val="none" w:sz="0" w:space="0" w:color="auto"/>
                            <w:left w:val="none" w:sz="0" w:space="0" w:color="auto"/>
                            <w:bottom w:val="none" w:sz="0" w:space="0" w:color="auto"/>
                            <w:right w:val="none" w:sz="0" w:space="0" w:color="auto"/>
                          </w:divBdr>
                          <w:divsChild>
                            <w:div w:id="199636856">
                              <w:marLeft w:val="0"/>
                              <w:marRight w:val="0"/>
                              <w:marTop w:val="0"/>
                              <w:marBottom w:val="0"/>
                              <w:divBdr>
                                <w:top w:val="single" w:sz="6" w:space="0" w:color="828282"/>
                                <w:left w:val="single" w:sz="6" w:space="0" w:color="828282"/>
                                <w:bottom w:val="single" w:sz="6" w:space="0" w:color="828282"/>
                                <w:right w:val="single" w:sz="6" w:space="0" w:color="828282"/>
                              </w:divBdr>
                              <w:divsChild>
                                <w:div w:id="202989341">
                                  <w:marLeft w:val="0"/>
                                  <w:marRight w:val="0"/>
                                  <w:marTop w:val="0"/>
                                  <w:marBottom w:val="0"/>
                                  <w:divBdr>
                                    <w:top w:val="none" w:sz="0" w:space="0" w:color="auto"/>
                                    <w:left w:val="none" w:sz="0" w:space="0" w:color="auto"/>
                                    <w:bottom w:val="none" w:sz="0" w:space="0" w:color="auto"/>
                                    <w:right w:val="none" w:sz="0" w:space="0" w:color="auto"/>
                                  </w:divBdr>
                                  <w:divsChild>
                                    <w:div w:id="1718778559">
                                      <w:marLeft w:val="0"/>
                                      <w:marRight w:val="0"/>
                                      <w:marTop w:val="0"/>
                                      <w:marBottom w:val="0"/>
                                      <w:divBdr>
                                        <w:top w:val="none" w:sz="0" w:space="0" w:color="auto"/>
                                        <w:left w:val="none" w:sz="0" w:space="0" w:color="auto"/>
                                        <w:bottom w:val="none" w:sz="0" w:space="0" w:color="auto"/>
                                        <w:right w:val="none" w:sz="0" w:space="0" w:color="auto"/>
                                      </w:divBdr>
                                      <w:divsChild>
                                        <w:div w:id="1810827865">
                                          <w:marLeft w:val="0"/>
                                          <w:marRight w:val="0"/>
                                          <w:marTop w:val="0"/>
                                          <w:marBottom w:val="0"/>
                                          <w:divBdr>
                                            <w:top w:val="none" w:sz="0" w:space="0" w:color="auto"/>
                                            <w:left w:val="none" w:sz="0" w:space="0" w:color="auto"/>
                                            <w:bottom w:val="none" w:sz="0" w:space="0" w:color="auto"/>
                                            <w:right w:val="none" w:sz="0" w:space="0" w:color="auto"/>
                                          </w:divBdr>
                                          <w:divsChild>
                                            <w:div w:id="1854880852">
                                              <w:marLeft w:val="0"/>
                                              <w:marRight w:val="0"/>
                                              <w:marTop w:val="0"/>
                                              <w:marBottom w:val="0"/>
                                              <w:divBdr>
                                                <w:top w:val="none" w:sz="0" w:space="0" w:color="auto"/>
                                                <w:left w:val="none" w:sz="0" w:space="0" w:color="auto"/>
                                                <w:bottom w:val="none" w:sz="0" w:space="0" w:color="auto"/>
                                                <w:right w:val="none" w:sz="0" w:space="0" w:color="auto"/>
                                              </w:divBdr>
                                              <w:divsChild>
                                                <w:div w:id="1749426428">
                                                  <w:marLeft w:val="0"/>
                                                  <w:marRight w:val="0"/>
                                                  <w:marTop w:val="0"/>
                                                  <w:marBottom w:val="0"/>
                                                  <w:divBdr>
                                                    <w:top w:val="none" w:sz="0" w:space="0" w:color="auto"/>
                                                    <w:left w:val="none" w:sz="0" w:space="0" w:color="auto"/>
                                                    <w:bottom w:val="none" w:sz="0" w:space="0" w:color="auto"/>
                                                    <w:right w:val="none" w:sz="0" w:space="0" w:color="auto"/>
                                                  </w:divBdr>
                                                  <w:divsChild>
                                                    <w:div w:id="5684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4125-98F7-4253-AE99-BF9C0C81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Salveron, Jose</dc:creator>
  <cp:lastModifiedBy>Gilkes, Amanda</cp:lastModifiedBy>
  <cp:revision>3</cp:revision>
  <cp:lastPrinted>2015-09-17T23:27:00Z</cp:lastPrinted>
  <dcterms:created xsi:type="dcterms:W3CDTF">2015-10-30T03:26:00Z</dcterms:created>
  <dcterms:modified xsi:type="dcterms:W3CDTF">2015-10-30T03:30:00Z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