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50C0" w:rsidRPr="00762B2E" w:rsidRDefault="007160D6" w:rsidP="001B03A5">
      <w:pPr>
        <w:jc w:val="center"/>
        <w:rPr>
          <w:rFonts w:ascii="Times New Roman" w:hAnsi="Times New Roman" w:cs="Times New Roman"/>
          <w:b/>
          <w:sz w:val="24"/>
          <w:szCs w:val="24"/>
        </w:rPr>
      </w:pPr>
      <w:bookmarkStart w:id="0" w:name="_GoBack"/>
      <w:bookmarkEnd w:id="0"/>
      <w:r w:rsidRPr="00762B2E">
        <w:rPr>
          <w:rFonts w:ascii="Times New Roman" w:hAnsi="Times New Roman" w:cs="Times New Roman"/>
          <w:b/>
          <w:sz w:val="24"/>
          <w:szCs w:val="24"/>
        </w:rPr>
        <w:t>Explanatory Statement</w:t>
      </w:r>
    </w:p>
    <w:p w:rsidR="00651B34" w:rsidRPr="00762B2E" w:rsidRDefault="00651B34" w:rsidP="00D5064B">
      <w:pPr>
        <w:jc w:val="center"/>
        <w:rPr>
          <w:rFonts w:ascii="Times New Roman" w:hAnsi="Times New Roman" w:cs="Times New Roman"/>
          <w:i/>
          <w:sz w:val="24"/>
          <w:szCs w:val="24"/>
        </w:rPr>
      </w:pPr>
      <w:r w:rsidRPr="00762B2E">
        <w:rPr>
          <w:rFonts w:ascii="Times New Roman" w:hAnsi="Times New Roman" w:cs="Times New Roman"/>
          <w:i/>
          <w:sz w:val="24"/>
          <w:szCs w:val="24"/>
        </w:rPr>
        <w:t xml:space="preserve">Customs (Preliminary Affirmative </w:t>
      </w:r>
      <w:r w:rsidR="007160D6" w:rsidRPr="00762B2E">
        <w:rPr>
          <w:rFonts w:ascii="Times New Roman" w:hAnsi="Times New Roman" w:cs="Times New Roman"/>
          <w:i/>
          <w:sz w:val="24"/>
          <w:szCs w:val="24"/>
        </w:rPr>
        <w:t>Determinations</w:t>
      </w:r>
      <w:r w:rsidRPr="00762B2E">
        <w:rPr>
          <w:rFonts w:ascii="Times New Roman" w:hAnsi="Times New Roman" w:cs="Times New Roman"/>
          <w:i/>
          <w:sz w:val="24"/>
          <w:szCs w:val="24"/>
        </w:rPr>
        <w:t>) Direction 2015</w:t>
      </w:r>
    </w:p>
    <w:p w:rsidR="007160D6" w:rsidRPr="00F31D93" w:rsidRDefault="007160D6" w:rsidP="003D44EE">
      <w:pPr>
        <w:jc w:val="center"/>
        <w:rPr>
          <w:rFonts w:ascii="Times New Roman" w:hAnsi="Times New Roman" w:cs="Times New Roman"/>
          <w:sz w:val="24"/>
          <w:szCs w:val="24"/>
          <w:u w:val="single"/>
        </w:rPr>
      </w:pPr>
      <w:r w:rsidRPr="00762B2E">
        <w:rPr>
          <w:rFonts w:ascii="Times New Roman" w:hAnsi="Times New Roman" w:cs="Times New Roman"/>
          <w:sz w:val="24"/>
          <w:szCs w:val="24"/>
          <w:u w:val="single"/>
        </w:rPr>
        <w:t>Made by the Minister for Industry</w:t>
      </w:r>
      <w:r w:rsidR="003D44EE">
        <w:rPr>
          <w:rFonts w:ascii="Times New Roman" w:hAnsi="Times New Roman" w:cs="Times New Roman"/>
          <w:sz w:val="24"/>
          <w:szCs w:val="24"/>
          <w:u w:val="single"/>
        </w:rPr>
        <w:t>, Innovation</w:t>
      </w:r>
      <w:r w:rsidRPr="00762B2E">
        <w:rPr>
          <w:rFonts w:ascii="Times New Roman" w:hAnsi="Times New Roman" w:cs="Times New Roman"/>
          <w:sz w:val="24"/>
          <w:szCs w:val="24"/>
          <w:u w:val="single"/>
        </w:rPr>
        <w:t xml:space="preserve"> and Science</w:t>
      </w:r>
    </w:p>
    <w:p w:rsidR="007160D6" w:rsidRPr="00762B2E" w:rsidRDefault="007160D6" w:rsidP="007160D6">
      <w:pPr>
        <w:rPr>
          <w:rFonts w:ascii="Times New Roman" w:hAnsi="Times New Roman" w:cs="Times New Roman"/>
          <w:b/>
          <w:sz w:val="24"/>
          <w:szCs w:val="24"/>
        </w:rPr>
      </w:pPr>
      <w:r w:rsidRPr="00762B2E">
        <w:rPr>
          <w:rFonts w:ascii="Times New Roman" w:hAnsi="Times New Roman" w:cs="Times New Roman"/>
          <w:b/>
          <w:sz w:val="24"/>
          <w:szCs w:val="24"/>
        </w:rPr>
        <w:t>Purpose</w:t>
      </w:r>
      <w:r w:rsidR="003D44EE">
        <w:rPr>
          <w:rFonts w:ascii="Times New Roman" w:hAnsi="Times New Roman" w:cs="Times New Roman"/>
          <w:b/>
          <w:sz w:val="24"/>
          <w:szCs w:val="24"/>
        </w:rPr>
        <w:t xml:space="preserve"> and Operation</w:t>
      </w:r>
    </w:p>
    <w:p w:rsidR="00913C4B" w:rsidRPr="00762B2E" w:rsidRDefault="00913C4B" w:rsidP="00913C4B">
      <w:pPr>
        <w:rPr>
          <w:rFonts w:ascii="Times New Roman" w:hAnsi="Times New Roman" w:cs="Times New Roman"/>
          <w:sz w:val="24"/>
          <w:szCs w:val="24"/>
        </w:rPr>
      </w:pPr>
      <w:r w:rsidRPr="00762B2E">
        <w:rPr>
          <w:rFonts w:ascii="Times New Roman" w:hAnsi="Times New Roman" w:cs="Times New Roman"/>
          <w:sz w:val="24"/>
          <w:szCs w:val="24"/>
        </w:rPr>
        <w:t>Th</w:t>
      </w:r>
      <w:r w:rsidR="00651B34" w:rsidRPr="00762B2E">
        <w:rPr>
          <w:rFonts w:ascii="Times New Roman" w:hAnsi="Times New Roman" w:cs="Times New Roman"/>
          <w:sz w:val="24"/>
          <w:szCs w:val="24"/>
        </w:rPr>
        <w:t xml:space="preserve">e </w:t>
      </w:r>
      <w:r w:rsidR="008A00E6" w:rsidRPr="00762B2E">
        <w:rPr>
          <w:rFonts w:ascii="Times New Roman" w:hAnsi="Times New Roman" w:cs="Times New Roman"/>
          <w:i/>
          <w:sz w:val="24"/>
          <w:szCs w:val="24"/>
        </w:rPr>
        <w:t>Customs (Preliminary Affirmative Determinations) Direction 2015</w:t>
      </w:r>
      <w:r w:rsidR="008A00E6" w:rsidRPr="00762B2E">
        <w:rPr>
          <w:rFonts w:ascii="Times New Roman" w:hAnsi="Times New Roman" w:cs="Times New Roman"/>
          <w:sz w:val="24"/>
          <w:szCs w:val="24"/>
        </w:rPr>
        <w:t xml:space="preserve"> (‘the Direction’) </w:t>
      </w:r>
      <w:r w:rsidR="00651B34" w:rsidRPr="00762B2E">
        <w:rPr>
          <w:rFonts w:ascii="Times New Roman" w:hAnsi="Times New Roman" w:cs="Times New Roman"/>
          <w:sz w:val="24"/>
          <w:szCs w:val="24"/>
        </w:rPr>
        <w:t xml:space="preserve">is </w:t>
      </w:r>
      <w:r w:rsidRPr="00762B2E">
        <w:rPr>
          <w:rFonts w:ascii="Times New Roman" w:hAnsi="Times New Roman" w:cs="Times New Roman"/>
          <w:sz w:val="24"/>
          <w:szCs w:val="24"/>
        </w:rPr>
        <w:t xml:space="preserve">made under </w:t>
      </w:r>
      <w:r w:rsidR="00F21A22" w:rsidRPr="00762B2E">
        <w:rPr>
          <w:rFonts w:ascii="Times New Roman" w:hAnsi="Times New Roman" w:cs="Times New Roman"/>
          <w:sz w:val="24"/>
          <w:szCs w:val="24"/>
        </w:rPr>
        <w:t>sub</w:t>
      </w:r>
      <w:r w:rsidRPr="00762B2E">
        <w:rPr>
          <w:rFonts w:ascii="Times New Roman" w:hAnsi="Times New Roman" w:cs="Times New Roman"/>
          <w:sz w:val="24"/>
          <w:szCs w:val="24"/>
        </w:rPr>
        <w:t xml:space="preserve">section </w:t>
      </w:r>
      <w:r w:rsidR="008A00E6" w:rsidRPr="00762B2E">
        <w:rPr>
          <w:rFonts w:ascii="Times New Roman" w:hAnsi="Times New Roman" w:cs="Times New Roman"/>
          <w:sz w:val="24"/>
          <w:szCs w:val="24"/>
        </w:rPr>
        <w:t>269TA(1)</w:t>
      </w:r>
      <w:r w:rsidRPr="00762B2E">
        <w:rPr>
          <w:rFonts w:ascii="Times New Roman" w:hAnsi="Times New Roman" w:cs="Times New Roman"/>
          <w:sz w:val="24"/>
          <w:szCs w:val="24"/>
        </w:rPr>
        <w:t xml:space="preserve"> of the </w:t>
      </w:r>
      <w:r w:rsidRPr="00762B2E">
        <w:rPr>
          <w:rFonts w:ascii="Times New Roman" w:hAnsi="Times New Roman" w:cs="Times New Roman"/>
          <w:i/>
          <w:sz w:val="24"/>
          <w:szCs w:val="24"/>
        </w:rPr>
        <w:t>Customs Act 1901</w:t>
      </w:r>
      <w:r w:rsidRPr="00762B2E">
        <w:rPr>
          <w:rFonts w:ascii="Times New Roman" w:hAnsi="Times New Roman" w:cs="Times New Roman"/>
          <w:sz w:val="24"/>
          <w:szCs w:val="24"/>
        </w:rPr>
        <w:t xml:space="preserve"> (‘the Act’).</w:t>
      </w:r>
    </w:p>
    <w:p w:rsidR="00913C4B" w:rsidRPr="00762B2E" w:rsidRDefault="00913C4B" w:rsidP="00913C4B">
      <w:pPr>
        <w:rPr>
          <w:rFonts w:ascii="Times New Roman" w:hAnsi="Times New Roman" w:cs="Times New Roman"/>
          <w:sz w:val="24"/>
          <w:szCs w:val="24"/>
        </w:rPr>
      </w:pPr>
      <w:r w:rsidRPr="00762B2E">
        <w:rPr>
          <w:rFonts w:ascii="Times New Roman" w:hAnsi="Times New Roman" w:cs="Times New Roman"/>
          <w:sz w:val="24"/>
          <w:szCs w:val="24"/>
        </w:rPr>
        <w:t>Th</w:t>
      </w:r>
      <w:r w:rsidR="00651B34" w:rsidRPr="00762B2E">
        <w:rPr>
          <w:rFonts w:ascii="Times New Roman" w:hAnsi="Times New Roman" w:cs="Times New Roman"/>
          <w:sz w:val="24"/>
          <w:szCs w:val="24"/>
        </w:rPr>
        <w:t xml:space="preserve">e </w:t>
      </w:r>
      <w:r w:rsidR="003D44EE">
        <w:rPr>
          <w:rFonts w:ascii="Times New Roman" w:hAnsi="Times New Roman" w:cs="Times New Roman"/>
          <w:sz w:val="24"/>
          <w:szCs w:val="24"/>
        </w:rPr>
        <w:t>D</w:t>
      </w:r>
      <w:r w:rsidR="00651B34" w:rsidRPr="00762B2E">
        <w:rPr>
          <w:rFonts w:ascii="Times New Roman" w:hAnsi="Times New Roman" w:cs="Times New Roman"/>
          <w:sz w:val="24"/>
          <w:szCs w:val="24"/>
        </w:rPr>
        <w:t>irection</w:t>
      </w:r>
      <w:r w:rsidRPr="00762B2E">
        <w:rPr>
          <w:rFonts w:ascii="Times New Roman" w:hAnsi="Times New Roman" w:cs="Times New Roman"/>
          <w:sz w:val="24"/>
          <w:szCs w:val="24"/>
        </w:rPr>
        <w:t xml:space="preserve"> is a disallowable instrument for the purposes of the </w:t>
      </w:r>
      <w:r w:rsidRPr="00762B2E">
        <w:rPr>
          <w:rFonts w:ascii="Times New Roman" w:hAnsi="Times New Roman" w:cs="Times New Roman"/>
          <w:i/>
          <w:sz w:val="24"/>
          <w:szCs w:val="24"/>
        </w:rPr>
        <w:t>Legislative Instruments Act 2003</w:t>
      </w:r>
      <w:r w:rsidRPr="00762B2E">
        <w:rPr>
          <w:rFonts w:ascii="Times New Roman" w:hAnsi="Times New Roman" w:cs="Times New Roman"/>
          <w:sz w:val="24"/>
          <w:szCs w:val="24"/>
        </w:rPr>
        <w:t xml:space="preserve">. </w:t>
      </w:r>
    </w:p>
    <w:p w:rsidR="00F21A22" w:rsidRPr="00F21A22" w:rsidRDefault="00F21A22" w:rsidP="00633213">
      <w:pPr>
        <w:rPr>
          <w:rFonts w:ascii="Times New Roman" w:hAnsi="Times New Roman" w:cs="Times New Roman"/>
          <w:sz w:val="24"/>
          <w:szCs w:val="24"/>
        </w:rPr>
      </w:pPr>
      <w:r w:rsidRPr="00AD5496">
        <w:rPr>
          <w:rFonts w:ascii="Times New Roman" w:hAnsi="Times New Roman" w:cs="Times New Roman"/>
          <w:sz w:val="24"/>
          <w:szCs w:val="24"/>
        </w:rPr>
        <w:t>The purpose of the Direction is to direct the Commissioner</w:t>
      </w:r>
      <w:r w:rsidR="00A25701">
        <w:rPr>
          <w:rFonts w:ascii="Times New Roman" w:hAnsi="Times New Roman" w:cs="Times New Roman"/>
          <w:sz w:val="24"/>
          <w:szCs w:val="24"/>
        </w:rPr>
        <w:t xml:space="preserve"> </w:t>
      </w:r>
      <w:r w:rsidRPr="00AD5496">
        <w:rPr>
          <w:rFonts w:ascii="Times New Roman" w:hAnsi="Times New Roman" w:cs="Times New Roman"/>
          <w:sz w:val="24"/>
          <w:szCs w:val="24"/>
        </w:rPr>
        <w:t>as to the general principles for carrying out or giving effect to the Commissioner’s powers relating to</w:t>
      </w:r>
      <w:r>
        <w:rPr>
          <w:rFonts w:ascii="Times New Roman" w:hAnsi="Times New Roman" w:cs="Times New Roman"/>
          <w:sz w:val="24"/>
          <w:szCs w:val="24"/>
        </w:rPr>
        <w:t xml:space="preserve"> </w:t>
      </w:r>
      <w:r w:rsidRPr="00F21A22">
        <w:rPr>
          <w:rFonts w:ascii="Times New Roman" w:hAnsi="Times New Roman" w:cs="Times New Roman"/>
          <w:sz w:val="24"/>
          <w:szCs w:val="24"/>
        </w:rPr>
        <w:t>the making of a preliminary affirmative determination under section 269TD of the Act.</w:t>
      </w:r>
    </w:p>
    <w:p w:rsidR="00F21A22" w:rsidRPr="00AD5496" w:rsidRDefault="00F21A22" w:rsidP="00F21A22">
      <w:pPr>
        <w:rPr>
          <w:rFonts w:ascii="Times New Roman" w:hAnsi="Times New Roman" w:cs="Times New Roman"/>
          <w:sz w:val="24"/>
          <w:szCs w:val="24"/>
        </w:rPr>
      </w:pPr>
      <w:r w:rsidRPr="00AD5496">
        <w:rPr>
          <w:rFonts w:ascii="Times New Roman" w:hAnsi="Times New Roman" w:cs="Times New Roman"/>
          <w:sz w:val="24"/>
          <w:szCs w:val="24"/>
        </w:rPr>
        <w:t>Unless otherwise noted, the terms used in this Explanatory Statement are the same as those defined in the Direction.</w:t>
      </w:r>
    </w:p>
    <w:p w:rsidR="003D44EE" w:rsidRDefault="003D44EE" w:rsidP="008650C0">
      <w:pPr>
        <w:rPr>
          <w:rFonts w:ascii="Times New Roman" w:hAnsi="Times New Roman" w:cs="Times New Roman"/>
          <w:b/>
          <w:sz w:val="24"/>
          <w:szCs w:val="24"/>
        </w:rPr>
      </w:pPr>
      <w:r>
        <w:rPr>
          <w:rFonts w:ascii="Times New Roman" w:hAnsi="Times New Roman" w:cs="Times New Roman"/>
          <w:b/>
          <w:sz w:val="24"/>
          <w:szCs w:val="24"/>
        </w:rPr>
        <w:t>Authority</w:t>
      </w:r>
    </w:p>
    <w:p w:rsidR="003D44EE" w:rsidRPr="00F31D93" w:rsidRDefault="003D44EE" w:rsidP="008650C0">
      <w:pPr>
        <w:rPr>
          <w:rFonts w:ascii="Times New Roman" w:hAnsi="Times New Roman" w:cs="Times New Roman"/>
          <w:sz w:val="24"/>
          <w:szCs w:val="24"/>
        </w:rPr>
      </w:pPr>
      <w:r>
        <w:rPr>
          <w:rFonts w:ascii="Times New Roman" w:hAnsi="Times New Roman" w:cs="Times New Roman"/>
          <w:sz w:val="24"/>
          <w:szCs w:val="24"/>
        </w:rPr>
        <w:t>Under subsection 269TA(1) of the Act, the Minister may give the Commissioner directions in connection with carrying out or giving effect to the Commissioner’s powers and duties.</w:t>
      </w:r>
    </w:p>
    <w:p w:rsidR="003D44EE" w:rsidRDefault="003D44EE" w:rsidP="008650C0">
      <w:pPr>
        <w:rPr>
          <w:rFonts w:ascii="Times New Roman" w:hAnsi="Times New Roman" w:cs="Times New Roman"/>
          <w:b/>
          <w:sz w:val="24"/>
          <w:szCs w:val="24"/>
        </w:rPr>
      </w:pPr>
      <w:r>
        <w:rPr>
          <w:rFonts w:ascii="Times New Roman" w:hAnsi="Times New Roman" w:cs="Times New Roman"/>
          <w:b/>
          <w:sz w:val="24"/>
          <w:szCs w:val="24"/>
        </w:rPr>
        <w:t>Consultation</w:t>
      </w:r>
    </w:p>
    <w:p w:rsidR="003D44EE" w:rsidRPr="00F31D93" w:rsidRDefault="003D44EE" w:rsidP="008650C0">
      <w:pPr>
        <w:rPr>
          <w:rFonts w:ascii="Times New Roman" w:hAnsi="Times New Roman" w:cs="Times New Roman"/>
          <w:sz w:val="24"/>
          <w:szCs w:val="24"/>
        </w:rPr>
      </w:pPr>
      <w:r>
        <w:rPr>
          <w:rFonts w:ascii="Times New Roman" w:hAnsi="Times New Roman" w:cs="Times New Roman"/>
          <w:sz w:val="24"/>
          <w:szCs w:val="24"/>
        </w:rPr>
        <w:t xml:space="preserve">These reforms address concerns expressed to the Government by a number of Australian businesses which have been involved in the anti-dumping system. These concerns have been raised in a number of consultative processes, including the Senate Economic Legislation Committee inquiry on the </w:t>
      </w:r>
      <w:r>
        <w:rPr>
          <w:rFonts w:ascii="Times New Roman" w:hAnsi="Times New Roman" w:cs="Times New Roman"/>
          <w:i/>
          <w:sz w:val="24"/>
          <w:szCs w:val="24"/>
        </w:rPr>
        <w:t>Customs Amendment (Anti-Dumping Measures) Bill (No. 1)</w:t>
      </w:r>
      <w:r>
        <w:rPr>
          <w:rFonts w:ascii="Times New Roman" w:hAnsi="Times New Roman" w:cs="Times New Roman"/>
          <w:sz w:val="24"/>
          <w:szCs w:val="24"/>
        </w:rPr>
        <w:t xml:space="preserve"> and the </w:t>
      </w:r>
      <w:r>
        <w:rPr>
          <w:rFonts w:ascii="Times New Roman" w:hAnsi="Times New Roman" w:cs="Times New Roman"/>
          <w:i/>
          <w:sz w:val="24"/>
          <w:szCs w:val="24"/>
        </w:rPr>
        <w:t>Customs Tariff (Anti-Dumping) Amendment Bill 2015</w:t>
      </w:r>
      <w:r>
        <w:rPr>
          <w:rFonts w:ascii="Times New Roman" w:hAnsi="Times New Roman" w:cs="Times New Roman"/>
          <w:sz w:val="24"/>
          <w:szCs w:val="24"/>
        </w:rPr>
        <w:t>.</w:t>
      </w:r>
    </w:p>
    <w:p w:rsidR="003D44EE" w:rsidRDefault="003D44EE" w:rsidP="008650C0">
      <w:pPr>
        <w:rPr>
          <w:rFonts w:ascii="Times New Roman" w:hAnsi="Times New Roman" w:cs="Times New Roman"/>
          <w:b/>
          <w:sz w:val="24"/>
          <w:szCs w:val="24"/>
        </w:rPr>
      </w:pPr>
      <w:r>
        <w:rPr>
          <w:rFonts w:ascii="Times New Roman" w:hAnsi="Times New Roman" w:cs="Times New Roman"/>
          <w:b/>
          <w:sz w:val="24"/>
          <w:szCs w:val="24"/>
        </w:rPr>
        <w:t>Regulatory Impact</w:t>
      </w:r>
    </w:p>
    <w:p w:rsidR="00A62639" w:rsidRDefault="003D44EE" w:rsidP="00A62639">
      <w:pPr>
        <w:pStyle w:val="Default"/>
      </w:pPr>
      <w:r>
        <w:t>This Direction has a negligible regulatory impact</w:t>
      </w:r>
      <w:r w:rsidR="00A62639">
        <w:t xml:space="preserve"> (see the Explanatory Memorandum to </w:t>
      </w:r>
    </w:p>
    <w:p w:rsidR="003D44EE" w:rsidRPr="00A62639" w:rsidRDefault="00A62639" w:rsidP="00A62639">
      <w:pPr>
        <w:rPr>
          <w:rFonts w:ascii="Times New Roman" w:hAnsi="Times New Roman" w:cs="Times New Roman"/>
          <w:color w:val="000000"/>
          <w:sz w:val="24"/>
          <w:szCs w:val="24"/>
        </w:rPr>
      </w:pPr>
      <w:r w:rsidRPr="00A62639">
        <w:rPr>
          <w:rFonts w:ascii="Times New Roman" w:hAnsi="Times New Roman" w:cs="Times New Roman"/>
          <w:color w:val="000000"/>
          <w:sz w:val="24"/>
          <w:szCs w:val="24"/>
        </w:rPr>
        <w:t xml:space="preserve">Customs </w:t>
      </w:r>
      <w:r>
        <w:rPr>
          <w:rFonts w:ascii="Times New Roman" w:hAnsi="Times New Roman" w:cs="Times New Roman"/>
          <w:color w:val="000000"/>
          <w:sz w:val="24"/>
          <w:szCs w:val="24"/>
        </w:rPr>
        <w:t>A</w:t>
      </w:r>
      <w:r w:rsidRPr="00A62639">
        <w:rPr>
          <w:rFonts w:ascii="Times New Roman" w:hAnsi="Times New Roman" w:cs="Times New Roman"/>
          <w:color w:val="000000"/>
          <w:sz w:val="24"/>
          <w:szCs w:val="24"/>
        </w:rPr>
        <w:t>mendment (</w:t>
      </w:r>
      <w:r>
        <w:rPr>
          <w:rFonts w:ascii="Times New Roman" w:hAnsi="Times New Roman" w:cs="Times New Roman"/>
          <w:color w:val="000000"/>
          <w:sz w:val="24"/>
          <w:szCs w:val="24"/>
        </w:rPr>
        <w:t>A</w:t>
      </w:r>
      <w:r w:rsidRPr="00A62639">
        <w:rPr>
          <w:rFonts w:ascii="Times New Roman" w:hAnsi="Times New Roman" w:cs="Times New Roman"/>
          <w:color w:val="000000"/>
          <w:sz w:val="24"/>
          <w:szCs w:val="24"/>
        </w:rPr>
        <w:t>nti-</w:t>
      </w:r>
      <w:r>
        <w:rPr>
          <w:rFonts w:ascii="Times New Roman" w:hAnsi="Times New Roman" w:cs="Times New Roman"/>
          <w:color w:val="000000"/>
          <w:sz w:val="24"/>
          <w:szCs w:val="24"/>
        </w:rPr>
        <w:t>D</w:t>
      </w:r>
      <w:r w:rsidRPr="00A62639">
        <w:rPr>
          <w:rFonts w:ascii="Times New Roman" w:hAnsi="Times New Roman" w:cs="Times New Roman"/>
          <w:color w:val="000000"/>
          <w:sz w:val="24"/>
          <w:szCs w:val="24"/>
        </w:rPr>
        <w:t xml:space="preserve">umping </w:t>
      </w:r>
      <w:r>
        <w:rPr>
          <w:rFonts w:ascii="Times New Roman" w:hAnsi="Times New Roman" w:cs="Times New Roman"/>
          <w:color w:val="000000"/>
          <w:sz w:val="24"/>
          <w:szCs w:val="24"/>
        </w:rPr>
        <w:t>M</w:t>
      </w:r>
      <w:r w:rsidRPr="00A62639">
        <w:rPr>
          <w:rFonts w:ascii="Times New Roman" w:hAnsi="Times New Roman" w:cs="Times New Roman"/>
          <w:color w:val="000000"/>
          <w:sz w:val="24"/>
          <w:szCs w:val="24"/>
        </w:rPr>
        <w:t xml:space="preserve">easures) </w:t>
      </w:r>
      <w:r>
        <w:rPr>
          <w:rFonts w:ascii="Times New Roman" w:hAnsi="Times New Roman" w:cs="Times New Roman"/>
          <w:color w:val="000000"/>
          <w:sz w:val="24"/>
          <w:szCs w:val="24"/>
        </w:rPr>
        <w:t>B</w:t>
      </w:r>
      <w:r w:rsidRPr="00A62639">
        <w:rPr>
          <w:rFonts w:ascii="Times New Roman" w:hAnsi="Times New Roman" w:cs="Times New Roman"/>
          <w:color w:val="000000"/>
          <w:sz w:val="24"/>
          <w:szCs w:val="24"/>
        </w:rPr>
        <w:t>ill (no. 1) 2015</w:t>
      </w:r>
      <w:r w:rsidR="008B0224">
        <w:rPr>
          <w:rFonts w:ascii="Times New Roman" w:hAnsi="Times New Roman" w:cs="Times New Roman"/>
          <w:color w:val="000000"/>
          <w:sz w:val="24"/>
          <w:szCs w:val="24"/>
        </w:rPr>
        <w:t>)</w:t>
      </w:r>
      <w:r w:rsidR="003D44EE" w:rsidRPr="00A62639">
        <w:rPr>
          <w:rFonts w:ascii="Times New Roman" w:hAnsi="Times New Roman" w:cs="Times New Roman"/>
          <w:color w:val="000000"/>
          <w:sz w:val="24"/>
          <w:szCs w:val="24"/>
        </w:rPr>
        <w:t>.</w:t>
      </w:r>
    </w:p>
    <w:p w:rsidR="008650C0" w:rsidRPr="00762B2E" w:rsidRDefault="008650C0" w:rsidP="008650C0">
      <w:pPr>
        <w:rPr>
          <w:rFonts w:ascii="Times New Roman" w:hAnsi="Times New Roman" w:cs="Times New Roman"/>
          <w:b/>
          <w:sz w:val="24"/>
          <w:szCs w:val="24"/>
        </w:rPr>
      </w:pPr>
      <w:r w:rsidRPr="00762B2E">
        <w:rPr>
          <w:rFonts w:ascii="Times New Roman" w:hAnsi="Times New Roman" w:cs="Times New Roman"/>
          <w:b/>
          <w:sz w:val="24"/>
          <w:szCs w:val="24"/>
        </w:rPr>
        <w:t xml:space="preserve">Background </w:t>
      </w:r>
    </w:p>
    <w:p w:rsidR="008650C0" w:rsidRPr="00762B2E" w:rsidRDefault="008650C0" w:rsidP="00626A51">
      <w:pPr>
        <w:rPr>
          <w:rFonts w:ascii="Times New Roman" w:hAnsi="Times New Roman" w:cs="Times New Roman"/>
          <w:sz w:val="24"/>
          <w:szCs w:val="24"/>
        </w:rPr>
      </w:pPr>
      <w:r w:rsidRPr="00762B2E">
        <w:rPr>
          <w:rFonts w:ascii="Times New Roman" w:hAnsi="Times New Roman" w:cs="Times New Roman"/>
          <w:sz w:val="24"/>
          <w:szCs w:val="24"/>
        </w:rPr>
        <w:t>On 15 December 2014, the Government announced a package of reforms to implement its remaining anti-dumping election commitments from 2013 and other changes to improve Australia’s anti</w:t>
      </w:r>
      <w:r w:rsidRPr="00762B2E">
        <w:rPr>
          <w:rFonts w:ascii="Times New Roman" w:hAnsi="Times New Roman" w:cs="Times New Roman"/>
          <w:sz w:val="24"/>
          <w:szCs w:val="24"/>
        </w:rPr>
        <w:noBreakHyphen/>
        <w:t xml:space="preserve">dumping and countervailing duty system. </w:t>
      </w:r>
    </w:p>
    <w:p w:rsidR="008650C0" w:rsidRPr="00762B2E" w:rsidRDefault="008650C0" w:rsidP="00626A51">
      <w:pPr>
        <w:rPr>
          <w:rFonts w:ascii="Times New Roman" w:hAnsi="Times New Roman" w:cs="Times New Roman"/>
          <w:sz w:val="24"/>
          <w:szCs w:val="24"/>
        </w:rPr>
      </w:pPr>
      <w:r w:rsidRPr="00762B2E">
        <w:rPr>
          <w:rFonts w:ascii="Times New Roman" w:hAnsi="Times New Roman" w:cs="Times New Roman"/>
          <w:sz w:val="24"/>
          <w:szCs w:val="24"/>
        </w:rPr>
        <w:t xml:space="preserve">The announcement indicated that </w:t>
      </w:r>
      <w:r w:rsidR="00F21A22" w:rsidRPr="00762B2E">
        <w:rPr>
          <w:rFonts w:ascii="Times New Roman" w:hAnsi="Times New Roman" w:cs="Times New Roman"/>
          <w:sz w:val="24"/>
          <w:szCs w:val="24"/>
        </w:rPr>
        <w:t>the Anti</w:t>
      </w:r>
      <w:r w:rsidR="00F21A22" w:rsidRPr="00762B2E">
        <w:rPr>
          <w:rFonts w:ascii="Times New Roman" w:hAnsi="Times New Roman" w:cs="Times New Roman"/>
          <w:sz w:val="24"/>
          <w:szCs w:val="24"/>
        </w:rPr>
        <w:noBreakHyphen/>
        <w:t>Dumping Commissioner would be directed</w:t>
      </w:r>
      <w:r w:rsidR="00FC5094" w:rsidRPr="00762B2E">
        <w:rPr>
          <w:rFonts w:ascii="Times New Roman" w:hAnsi="Times New Roman" w:cs="Times New Roman"/>
          <w:sz w:val="24"/>
          <w:szCs w:val="24"/>
        </w:rPr>
        <w:t xml:space="preserve"> to, </w:t>
      </w:r>
      <w:r w:rsidRPr="00762B2E">
        <w:rPr>
          <w:rFonts w:ascii="Times New Roman" w:hAnsi="Times New Roman" w:cs="Times New Roman"/>
          <w:sz w:val="24"/>
          <w:szCs w:val="24"/>
        </w:rPr>
        <w:t xml:space="preserve">wherever possible, </w:t>
      </w:r>
      <w:r w:rsidR="00FC5094" w:rsidRPr="00762B2E">
        <w:rPr>
          <w:rFonts w:ascii="Times New Roman" w:hAnsi="Times New Roman" w:cs="Times New Roman"/>
          <w:sz w:val="24"/>
          <w:szCs w:val="24"/>
        </w:rPr>
        <w:t xml:space="preserve">impose </w:t>
      </w:r>
      <w:r w:rsidRPr="00762B2E">
        <w:rPr>
          <w:rFonts w:ascii="Times New Roman" w:hAnsi="Times New Roman" w:cs="Times New Roman"/>
          <w:sz w:val="24"/>
          <w:szCs w:val="24"/>
        </w:rPr>
        <w:t xml:space="preserve">provisional measures at day 60 of an investigation. Under the Act, provisional measures can only be imposed once a preliminary affirmative determination has </w:t>
      </w:r>
      <w:r w:rsidRPr="00762B2E">
        <w:rPr>
          <w:rFonts w:ascii="Times New Roman" w:hAnsi="Times New Roman" w:cs="Times New Roman"/>
          <w:sz w:val="24"/>
          <w:szCs w:val="24"/>
        </w:rPr>
        <w:lastRenderedPageBreak/>
        <w:t>been made by the Commissioner and a preliminary affirmative determination cannot be made earlier than the 60</w:t>
      </w:r>
      <w:r w:rsidRPr="00762B2E">
        <w:rPr>
          <w:rFonts w:ascii="Times New Roman" w:hAnsi="Times New Roman" w:cs="Times New Roman"/>
          <w:sz w:val="24"/>
          <w:szCs w:val="24"/>
          <w:vertAlign w:val="superscript"/>
        </w:rPr>
        <w:t>th</w:t>
      </w:r>
      <w:r w:rsidRPr="00762B2E">
        <w:rPr>
          <w:rFonts w:ascii="Times New Roman" w:hAnsi="Times New Roman" w:cs="Times New Roman"/>
          <w:sz w:val="24"/>
          <w:szCs w:val="24"/>
        </w:rPr>
        <w:t xml:space="preserve"> day of the investigation. </w:t>
      </w:r>
    </w:p>
    <w:p w:rsidR="008650C0" w:rsidRPr="00762B2E" w:rsidRDefault="00FC5094" w:rsidP="00626A51">
      <w:pPr>
        <w:rPr>
          <w:rFonts w:ascii="Times New Roman" w:hAnsi="Times New Roman" w:cs="Times New Roman"/>
          <w:sz w:val="24"/>
          <w:szCs w:val="24"/>
        </w:rPr>
      </w:pPr>
      <w:r w:rsidRPr="00762B2E">
        <w:rPr>
          <w:rFonts w:ascii="Times New Roman" w:hAnsi="Times New Roman" w:cs="Times New Roman"/>
          <w:sz w:val="24"/>
          <w:szCs w:val="24"/>
        </w:rPr>
        <w:t>These reforms address concerns expressed by a number of Australian businesses which have been involved in the anti</w:t>
      </w:r>
      <w:r w:rsidRPr="00762B2E">
        <w:rPr>
          <w:rFonts w:ascii="Times New Roman" w:hAnsi="Times New Roman" w:cs="Times New Roman"/>
          <w:sz w:val="24"/>
          <w:szCs w:val="24"/>
        </w:rPr>
        <w:noBreakHyphen/>
        <w:t xml:space="preserve">dumping system. </w:t>
      </w:r>
      <w:r w:rsidR="008650C0" w:rsidRPr="00762B2E">
        <w:rPr>
          <w:rFonts w:ascii="Times New Roman" w:hAnsi="Times New Roman" w:cs="Times New Roman"/>
          <w:sz w:val="24"/>
          <w:szCs w:val="24"/>
        </w:rPr>
        <w:t xml:space="preserve">The Government believes that these reforms will improve the provision of timely relief to an injured Australian industry; and that these reforms will encourage parties, especially overseas exporters, to provide prompt and full </w:t>
      </w:r>
      <w:r w:rsidRPr="00762B2E">
        <w:rPr>
          <w:rFonts w:ascii="Times New Roman" w:hAnsi="Times New Roman" w:cs="Times New Roman"/>
          <w:sz w:val="24"/>
          <w:szCs w:val="24"/>
        </w:rPr>
        <w:t xml:space="preserve">responses </w:t>
      </w:r>
      <w:r w:rsidR="008650C0" w:rsidRPr="00762B2E">
        <w:rPr>
          <w:rFonts w:ascii="Times New Roman" w:hAnsi="Times New Roman" w:cs="Times New Roman"/>
          <w:sz w:val="24"/>
          <w:szCs w:val="24"/>
        </w:rPr>
        <w:t>to the Commissioner.</w:t>
      </w:r>
    </w:p>
    <w:p w:rsidR="008650C0" w:rsidRPr="00762B2E" w:rsidRDefault="008650C0" w:rsidP="00626A51">
      <w:pPr>
        <w:rPr>
          <w:rFonts w:ascii="Times New Roman" w:hAnsi="Times New Roman" w:cs="Times New Roman"/>
          <w:sz w:val="24"/>
          <w:szCs w:val="24"/>
        </w:rPr>
      </w:pPr>
      <w:r w:rsidRPr="00762B2E">
        <w:rPr>
          <w:rFonts w:ascii="Times New Roman" w:hAnsi="Times New Roman" w:cs="Times New Roman"/>
          <w:sz w:val="24"/>
          <w:szCs w:val="24"/>
        </w:rPr>
        <w:t xml:space="preserve">It is the Government’s intention that, when provisional measures are not imposed, the Commissioner will publish a </w:t>
      </w:r>
      <w:r w:rsidR="00A25701">
        <w:rPr>
          <w:rFonts w:ascii="Times New Roman" w:hAnsi="Times New Roman" w:cs="Times New Roman"/>
          <w:sz w:val="24"/>
          <w:szCs w:val="24"/>
        </w:rPr>
        <w:t>S</w:t>
      </w:r>
      <w:r w:rsidRPr="00762B2E">
        <w:rPr>
          <w:rFonts w:ascii="Times New Roman" w:hAnsi="Times New Roman" w:cs="Times New Roman"/>
          <w:sz w:val="24"/>
          <w:szCs w:val="24"/>
        </w:rPr>
        <w:t xml:space="preserve">tatus </w:t>
      </w:r>
      <w:r w:rsidR="00A25701">
        <w:rPr>
          <w:rFonts w:ascii="Times New Roman" w:hAnsi="Times New Roman" w:cs="Times New Roman"/>
          <w:sz w:val="24"/>
          <w:szCs w:val="24"/>
        </w:rPr>
        <w:t>R</w:t>
      </w:r>
      <w:r w:rsidRPr="00762B2E">
        <w:rPr>
          <w:rFonts w:ascii="Times New Roman" w:hAnsi="Times New Roman" w:cs="Times New Roman"/>
          <w:sz w:val="24"/>
          <w:szCs w:val="24"/>
        </w:rPr>
        <w:t xml:space="preserve">eport outlining why a preliminary affirmative determination was not made at that time. This will assist parties to identify </w:t>
      </w:r>
      <w:r w:rsidR="00CD5BC2">
        <w:rPr>
          <w:rFonts w:ascii="Times New Roman" w:hAnsi="Times New Roman" w:cs="Times New Roman"/>
          <w:sz w:val="24"/>
          <w:szCs w:val="24"/>
        </w:rPr>
        <w:t xml:space="preserve">information which is </w:t>
      </w:r>
      <w:r w:rsidRPr="00762B2E">
        <w:rPr>
          <w:rFonts w:ascii="Times New Roman" w:hAnsi="Times New Roman" w:cs="Times New Roman"/>
          <w:sz w:val="24"/>
          <w:szCs w:val="24"/>
        </w:rPr>
        <w:t xml:space="preserve">relevant to the investigation. This does not preclude a determination being made later. </w:t>
      </w:r>
    </w:p>
    <w:p w:rsidR="001B18D1" w:rsidRPr="00AB70CD" w:rsidRDefault="001B18D1" w:rsidP="00D5064B">
      <w:pPr>
        <w:rPr>
          <w:rFonts w:ascii="Times New Roman" w:hAnsi="Times New Roman" w:cs="Times New Roman"/>
          <w:b/>
          <w:sz w:val="24"/>
          <w:szCs w:val="24"/>
        </w:rPr>
      </w:pPr>
    </w:p>
    <w:p w:rsidR="006101AD" w:rsidRPr="00951A37" w:rsidRDefault="006101AD" w:rsidP="00D5064B">
      <w:pPr>
        <w:rPr>
          <w:rFonts w:ascii="Times New Roman" w:hAnsi="Times New Roman" w:cs="Times New Roman"/>
          <w:b/>
          <w:sz w:val="24"/>
          <w:szCs w:val="24"/>
          <w:u w:val="single"/>
        </w:rPr>
      </w:pPr>
      <w:r w:rsidRPr="00951A37">
        <w:rPr>
          <w:rFonts w:ascii="Times New Roman" w:hAnsi="Times New Roman" w:cs="Times New Roman"/>
          <w:b/>
          <w:sz w:val="24"/>
          <w:szCs w:val="24"/>
          <w:u w:val="single"/>
        </w:rPr>
        <w:t xml:space="preserve">Detailed explanation of the </w:t>
      </w:r>
      <w:r w:rsidR="00DF6064">
        <w:rPr>
          <w:rFonts w:ascii="Times New Roman" w:hAnsi="Times New Roman" w:cs="Times New Roman"/>
          <w:b/>
          <w:sz w:val="24"/>
          <w:szCs w:val="24"/>
          <w:u w:val="single"/>
        </w:rPr>
        <w:t>D</w:t>
      </w:r>
      <w:r w:rsidR="00626A51" w:rsidRPr="00951A37">
        <w:rPr>
          <w:rFonts w:ascii="Times New Roman" w:hAnsi="Times New Roman" w:cs="Times New Roman"/>
          <w:b/>
          <w:sz w:val="24"/>
          <w:szCs w:val="24"/>
          <w:u w:val="single"/>
        </w:rPr>
        <w:t>irection</w:t>
      </w:r>
    </w:p>
    <w:p w:rsidR="00DF6064" w:rsidRPr="00F31D93" w:rsidRDefault="00DF6064" w:rsidP="00F31D93">
      <w:pPr>
        <w:pStyle w:val="ListParagraph"/>
        <w:numPr>
          <w:ilvl w:val="0"/>
          <w:numId w:val="21"/>
        </w:numPr>
        <w:ind w:left="426"/>
        <w:rPr>
          <w:rFonts w:ascii="Times New Roman" w:hAnsi="Times New Roman" w:cs="Times New Roman"/>
          <w:b/>
          <w:sz w:val="24"/>
          <w:szCs w:val="24"/>
        </w:rPr>
      </w:pPr>
      <w:r w:rsidRPr="00F31D93">
        <w:rPr>
          <w:rFonts w:ascii="Times New Roman" w:hAnsi="Times New Roman" w:cs="Times New Roman"/>
          <w:b/>
          <w:sz w:val="24"/>
          <w:szCs w:val="24"/>
        </w:rPr>
        <w:t>Name of Instrument</w:t>
      </w:r>
    </w:p>
    <w:p w:rsidR="00DF6064" w:rsidRDefault="00DF6064" w:rsidP="009254D8">
      <w:pPr>
        <w:rPr>
          <w:rFonts w:ascii="Times New Roman" w:hAnsi="Times New Roman" w:cs="Times New Roman"/>
          <w:sz w:val="24"/>
          <w:szCs w:val="24"/>
        </w:rPr>
      </w:pPr>
      <w:r>
        <w:rPr>
          <w:rFonts w:ascii="Times New Roman" w:hAnsi="Times New Roman" w:cs="Times New Roman"/>
          <w:sz w:val="24"/>
          <w:szCs w:val="24"/>
        </w:rPr>
        <w:t>This section outlines the title of the Direction.</w:t>
      </w:r>
    </w:p>
    <w:p w:rsidR="00DF6064" w:rsidRDefault="00DF6064" w:rsidP="00F31D93">
      <w:pPr>
        <w:pStyle w:val="ListParagraph"/>
        <w:numPr>
          <w:ilvl w:val="0"/>
          <w:numId w:val="21"/>
        </w:numPr>
        <w:ind w:left="426"/>
        <w:rPr>
          <w:rFonts w:ascii="Times New Roman" w:hAnsi="Times New Roman" w:cs="Times New Roman"/>
          <w:b/>
          <w:sz w:val="24"/>
          <w:szCs w:val="24"/>
        </w:rPr>
      </w:pPr>
      <w:r w:rsidRPr="00F31D93">
        <w:rPr>
          <w:rFonts w:ascii="Times New Roman" w:hAnsi="Times New Roman" w:cs="Times New Roman"/>
          <w:b/>
          <w:sz w:val="24"/>
          <w:szCs w:val="24"/>
        </w:rPr>
        <w:t>Authority</w:t>
      </w:r>
    </w:p>
    <w:p w:rsidR="009254D8" w:rsidRPr="00F31D93" w:rsidRDefault="009254D8" w:rsidP="009254D8">
      <w:pPr>
        <w:rPr>
          <w:rFonts w:ascii="Times New Roman" w:hAnsi="Times New Roman" w:cs="Times New Roman"/>
          <w:i/>
          <w:sz w:val="24"/>
          <w:szCs w:val="24"/>
        </w:rPr>
      </w:pPr>
      <w:r>
        <w:rPr>
          <w:rFonts w:ascii="Times New Roman" w:hAnsi="Times New Roman" w:cs="Times New Roman"/>
          <w:sz w:val="24"/>
          <w:szCs w:val="24"/>
        </w:rPr>
        <w:t xml:space="preserve">This section provides that the Direction is made under subsection 269TA(1) of the </w:t>
      </w:r>
      <w:r>
        <w:rPr>
          <w:rFonts w:ascii="Times New Roman" w:hAnsi="Times New Roman" w:cs="Times New Roman"/>
          <w:i/>
          <w:sz w:val="24"/>
          <w:szCs w:val="24"/>
        </w:rPr>
        <w:t>Customs Act 1901.</w:t>
      </w:r>
    </w:p>
    <w:p w:rsidR="00DF6064" w:rsidRDefault="00DF6064" w:rsidP="00F31D93">
      <w:pPr>
        <w:pStyle w:val="ListParagraph"/>
        <w:numPr>
          <w:ilvl w:val="0"/>
          <w:numId w:val="21"/>
        </w:numPr>
        <w:ind w:left="426"/>
        <w:rPr>
          <w:rFonts w:ascii="Times New Roman" w:hAnsi="Times New Roman" w:cs="Times New Roman"/>
          <w:b/>
          <w:sz w:val="24"/>
          <w:szCs w:val="24"/>
        </w:rPr>
      </w:pPr>
      <w:r>
        <w:rPr>
          <w:rFonts w:ascii="Times New Roman" w:hAnsi="Times New Roman" w:cs="Times New Roman"/>
          <w:b/>
          <w:sz w:val="24"/>
          <w:szCs w:val="24"/>
        </w:rPr>
        <w:t>Commencement</w:t>
      </w:r>
    </w:p>
    <w:p w:rsidR="009254D8" w:rsidRPr="00F31D93" w:rsidRDefault="009254D8" w:rsidP="009254D8">
      <w:pPr>
        <w:rPr>
          <w:rFonts w:ascii="Times New Roman" w:hAnsi="Times New Roman" w:cs="Times New Roman"/>
          <w:sz w:val="24"/>
          <w:szCs w:val="24"/>
        </w:rPr>
      </w:pPr>
      <w:r w:rsidRPr="00F31D93">
        <w:rPr>
          <w:rFonts w:ascii="Times New Roman" w:hAnsi="Times New Roman" w:cs="Times New Roman"/>
          <w:sz w:val="24"/>
          <w:szCs w:val="24"/>
        </w:rPr>
        <w:t xml:space="preserve">This section </w:t>
      </w:r>
      <w:r>
        <w:rPr>
          <w:rFonts w:ascii="Times New Roman" w:hAnsi="Times New Roman" w:cs="Times New Roman"/>
          <w:sz w:val="24"/>
          <w:szCs w:val="24"/>
        </w:rPr>
        <w:t xml:space="preserve">provides that the Direction commences on commencement of Schedule 1 of the </w:t>
      </w:r>
      <w:r>
        <w:rPr>
          <w:rFonts w:ascii="Times New Roman" w:hAnsi="Times New Roman" w:cs="Times New Roman"/>
          <w:i/>
          <w:sz w:val="24"/>
          <w:szCs w:val="24"/>
        </w:rPr>
        <w:t>Customs Amendment (Anti-Dumping Measures) Act (No.1) 2015.</w:t>
      </w:r>
    </w:p>
    <w:p w:rsidR="00DF6064" w:rsidRDefault="00DF6064" w:rsidP="00F31D93">
      <w:pPr>
        <w:pStyle w:val="ListParagraph"/>
        <w:numPr>
          <w:ilvl w:val="0"/>
          <w:numId w:val="21"/>
        </w:numPr>
        <w:ind w:left="426"/>
        <w:rPr>
          <w:rFonts w:ascii="Times New Roman" w:hAnsi="Times New Roman" w:cs="Times New Roman"/>
          <w:b/>
          <w:sz w:val="24"/>
          <w:szCs w:val="24"/>
        </w:rPr>
      </w:pPr>
      <w:r>
        <w:rPr>
          <w:rFonts w:ascii="Times New Roman" w:hAnsi="Times New Roman" w:cs="Times New Roman"/>
          <w:b/>
          <w:sz w:val="24"/>
          <w:szCs w:val="24"/>
        </w:rPr>
        <w:t>Application</w:t>
      </w:r>
    </w:p>
    <w:p w:rsidR="009254D8" w:rsidRPr="00F31D93" w:rsidRDefault="009254D8" w:rsidP="009254D8">
      <w:pPr>
        <w:rPr>
          <w:rFonts w:ascii="Times New Roman" w:hAnsi="Times New Roman" w:cs="Times New Roman"/>
          <w:sz w:val="24"/>
          <w:szCs w:val="24"/>
        </w:rPr>
      </w:pPr>
      <w:r>
        <w:rPr>
          <w:rFonts w:ascii="Times New Roman" w:hAnsi="Times New Roman" w:cs="Times New Roman"/>
          <w:sz w:val="24"/>
          <w:szCs w:val="24"/>
        </w:rPr>
        <w:t xml:space="preserve">This section outlines </w:t>
      </w:r>
      <w:r w:rsidR="00A25701">
        <w:rPr>
          <w:rFonts w:ascii="Times New Roman" w:hAnsi="Times New Roman" w:cs="Times New Roman"/>
          <w:sz w:val="24"/>
          <w:szCs w:val="24"/>
        </w:rPr>
        <w:t xml:space="preserve">the </w:t>
      </w:r>
      <w:r>
        <w:rPr>
          <w:rFonts w:ascii="Times New Roman" w:hAnsi="Times New Roman" w:cs="Times New Roman"/>
          <w:sz w:val="24"/>
          <w:szCs w:val="24"/>
        </w:rPr>
        <w:t xml:space="preserve">investigations </w:t>
      </w:r>
      <w:r w:rsidR="00A25701">
        <w:rPr>
          <w:rFonts w:ascii="Times New Roman" w:hAnsi="Times New Roman" w:cs="Times New Roman"/>
          <w:sz w:val="24"/>
          <w:szCs w:val="24"/>
        </w:rPr>
        <w:t xml:space="preserve">to which </w:t>
      </w:r>
      <w:r>
        <w:rPr>
          <w:rFonts w:ascii="Times New Roman" w:hAnsi="Times New Roman" w:cs="Times New Roman"/>
          <w:sz w:val="24"/>
          <w:szCs w:val="24"/>
        </w:rPr>
        <w:t>the Direction applies.</w:t>
      </w:r>
    </w:p>
    <w:p w:rsidR="00DF6064" w:rsidRDefault="00DF6064" w:rsidP="00F31D93">
      <w:pPr>
        <w:pStyle w:val="ListParagraph"/>
        <w:numPr>
          <w:ilvl w:val="0"/>
          <w:numId w:val="21"/>
        </w:numPr>
        <w:ind w:left="426"/>
        <w:rPr>
          <w:rFonts w:ascii="Times New Roman" w:hAnsi="Times New Roman" w:cs="Times New Roman"/>
          <w:b/>
          <w:sz w:val="24"/>
          <w:szCs w:val="24"/>
        </w:rPr>
      </w:pPr>
      <w:r>
        <w:rPr>
          <w:rFonts w:ascii="Times New Roman" w:hAnsi="Times New Roman" w:cs="Times New Roman"/>
          <w:b/>
          <w:sz w:val="24"/>
          <w:szCs w:val="24"/>
        </w:rPr>
        <w:t>Definitions</w:t>
      </w:r>
    </w:p>
    <w:p w:rsidR="009254D8" w:rsidRPr="00F31D93" w:rsidRDefault="009254D8" w:rsidP="009254D8">
      <w:pPr>
        <w:rPr>
          <w:rFonts w:ascii="Times New Roman" w:hAnsi="Times New Roman" w:cs="Times New Roman"/>
          <w:sz w:val="24"/>
          <w:szCs w:val="24"/>
        </w:rPr>
      </w:pPr>
      <w:r>
        <w:rPr>
          <w:rFonts w:ascii="Times New Roman" w:hAnsi="Times New Roman" w:cs="Times New Roman"/>
          <w:sz w:val="24"/>
          <w:szCs w:val="24"/>
        </w:rPr>
        <w:t>This section sets out the definitions of the key terms used in the Direction.</w:t>
      </w:r>
    </w:p>
    <w:p w:rsidR="00DF6064" w:rsidRDefault="009254D8" w:rsidP="00F31D93">
      <w:pPr>
        <w:pStyle w:val="ListParagraph"/>
        <w:numPr>
          <w:ilvl w:val="0"/>
          <w:numId w:val="21"/>
        </w:numPr>
        <w:ind w:left="426"/>
        <w:rPr>
          <w:rFonts w:ascii="Times New Roman" w:hAnsi="Times New Roman" w:cs="Times New Roman"/>
          <w:b/>
          <w:sz w:val="24"/>
          <w:szCs w:val="24"/>
        </w:rPr>
      </w:pPr>
      <w:r>
        <w:rPr>
          <w:rFonts w:ascii="Times New Roman" w:hAnsi="Times New Roman" w:cs="Times New Roman"/>
          <w:b/>
          <w:sz w:val="24"/>
          <w:szCs w:val="24"/>
        </w:rPr>
        <w:t xml:space="preserve">Provision </w:t>
      </w:r>
      <w:r w:rsidR="00562D44">
        <w:rPr>
          <w:rFonts w:ascii="Times New Roman" w:hAnsi="Times New Roman" w:cs="Times New Roman"/>
          <w:b/>
          <w:sz w:val="24"/>
          <w:szCs w:val="24"/>
        </w:rPr>
        <w:t>of</w:t>
      </w:r>
      <w:r>
        <w:rPr>
          <w:rFonts w:ascii="Times New Roman" w:hAnsi="Times New Roman" w:cs="Times New Roman"/>
          <w:b/>
          <w:sz w:val="24"/>
          <w:szCs w:val="24"/>
        </w:rPr>
        <w:t xml:space="preserve"> preliminary affirmative determination or </w:t>
      </w:r>
      <w:r w:rsidR="00A25701">
        <w:rPr>
          <w:rFonts w:ascii="Times New Roman" w:hAnsi="Times New Roman" w:cs="Times New Roman"/>
          <w:b/>
          <w:sz w:val="24"/>
          <w:szCs w:val="24"/>
        </w:rPr>
        <w:t>S</w:t>
      </w:r>
      <w:r>
        <w:rPr>
          <w:rFonts w:ascii="Times New Roman" w:hAnsi="Times New Roman" w:cs="Times New Roman"/>
          <w:b/>
          <w:sz w:val="24"/>
          <w:szCs w:val="24"/>
        </w:rPr>
        <w:t xml:space="preserve">tatus </w:t>
      </w:r>
      <w:r w:rsidR="00A25701">
        <w:rPr>
          <w:rFonts w:ascii="Times New Roman" w:hAnsi="Times New Roman" w:cs="Times New Roman"/>
          <w:b/>
          <w:sz w:val="24"/>
          <w:szCs w:val="24"/>
        </w:rPr>
        <w:t>R</w:t>
      </w:r>
      <w:r>
        <w:rPr>
          <w:rFonts w:ascii="Times New Roman" w:hAnsi="Times New Roman" w:cs="Times New Roman"/>
          <w:b/>
          <w:sz w:val="24"/>
          <w:szCs w:val="24"/>
        </w:rPr>
        <w:t>eport</w:t>
      </w:r>
    </w:p>
    <w:p w:rsidR="00E3110B" w:rsidRDefault="00361245" w:rsidP="00E3110B">
      <w:pPr>
        <w:ind w:left="68"/>
        <w:rPr>
          <w:rFonts w:ascii="Times New Roman" w:hAnsi="Times New Roman" w:cs="Times New Roman"/>
          <w:sz w:val="24"/>
          <w:szCs w:val="24"/>
        </w:rPr>
      </w:pPr>
      <w:r>
        <w:rPr>
          <w:rFonts w:ascii="Times New Roman" w:hAnsi="Times New Roman" w:cs="Times New Roman"/>
          <w:sz w:val="24"/>
          <w:szCs w:val="24"/>
        </w:rPr>
        <w:t xml:space="preserve">Section 6 requires that on </w:t>
      </w:r>
      <w:r w:rsidR="00E3110B">
        <w:rPr>
          <w:rFonts w:ascii="Times New Roman" w:hAnsi="Times New Roman" w:cs="Times New Roman"/>
          <w:sz w:val="24"/>
          <w:szCs w:val="24"/>
        </w:rPr>
        <w:t xml:space="preserve">a date that is </w:t>
      </w:r>
      <w:r>
        <w:rPr>
          <w:rFonts w:ascii="Times New Roman" w:hAnsi="Times New Roman" w:cs="Times New Roman"/>
          <w:sz w:val="24"/>
          <w:szCs w:val="24"/>
        </w:rPr>
        <w:t>60 day</w:t>
      </w:r>
      <w:r w:rsidR="00E3110B">
        <w:rPr>
          <w:rFonts w:ascii="Times New Roman" w:hAnsi="Times New Roman" w:cs="Times New Roman"/>
          <w:sz w:val="24"/>
          <w:szCs w:val="24"/>
        </w:rPr>
        <w:t>s</w:t>
      </w:r>
      <w:r>
        <w:rPr>
          <w:rFonts w:ascii="Times New Roman" w:hAnsi="Times New Roman" w:cs="Times New Roman"/>
          <w:sz w:val="24"/>
          <w:szCs w:val="24"/>
        </w:rPr>
        <w:t xml:space="preserve"> after </w:t>
      </w:r>
      <w:r w:rsidR="00E3110B">
        <w:rPr>
          <w:rFonts w:ascii="Times New Roman" w:hAnsi="Times New Roman" w:cs="Times New Roman"/>
          <w:sz w:val="24"/>
          <w:szCs w:val="24"/>
        </w:rPr>
        <w:t xml:space="preserve">the </w:t>
      </w:r>
      <w:r>
        <w:rPr>
          <w:rFonts w:ascii="Times New Roman" w:hAnsi="Times New Roman" w:cs="Times New Roman"/>
          <w:sz w:val="24"/>
          <w:szCs w:val="24"/>
        </w:rPr>
        <w:t xml:space="preserve">initiation of </w:t>
      </w:r>
      <w:r w:rsidR="00E3110B">
        <w:rPr>
          <w:rFonts w:ascii="Times New Roman" w:hAnsi="Times New Roman" w:cs="Times New Roman"/>
          <w:sz w:val="24"/>
          <w:szCs w:val="24"/>
        </w:rPr>
        <w:t xml:space="preserve">an anti-dumping or countervailing duty investigation, the </w:t>
      </w:r>
      <w:r>
        <w:rPr>
          <w:rFonts w:ascii="Times New Roman" w:hAnsi="Times New Roman" w:cs="Times New Roman"/>
          <w:sz w:val="24"/>
          <w:szCs w:val="24"/>
        </w:rPr>
        <w:t xml:space="preserve">Commissioner </w:t>
      </w:r>
      <w:r w:rsidR="00E3110B">
        <w:rPr>
          <w:rFonts w:ascii="Times New Roman" w:hAnsi="Times New Roman" w:cs="Times New Roman"/>
          <w:sz w:val="24"/>
          <w:szCs w:val="24"/>
        </w:rPr>
        <w:t xml:space="preserve">must </w:t>
      </w:r>
      <w:r>
        <w:rPr>
          <w:rFonts w:ascii="Times New Roman" w:hAnsi="Times New Roman" w:cs="Times New Roman"/>
          <w:sz w:val="24"/>
          <w:szCs w:val="24"/>
        </w:rPr>
        <w:t xml:space="preserve">either make a preliminary affirmative determination </w:t>
      </w:r>
      <w:r w:rsidR="00E3110B">
        <w:rPr>
          <w:rFonts w:ascii="Times New Roman" w:hAnsi="Times New Roman" w:cs="Times New Roman"/>
          <w:sz w:val="24"/>
          <w:szCs w:val="24"/>
        </w:rPr>
        <w:t xml:space="preserve">or publish a </w:t>
      </w:r>
      <w:r w:rsidR="00A25701">
        <w:rPr>
          <w:rFonts w:ascii="Times New Roman" w:hAnsi="Times New Roman" w:cs="Times New Roman"/>
          <w:sz w:val="24"/>
          <w:szCs w:val="24"/>
        </w:rPr>
        <w:t>S</w:t>
      </w:r>
      <w:r w:rsidR="00E3110B">
        <w:rPr>
          <w:rFonts w:ascii="Times New Roman" w:hAnsi="Times New Roman" w:cs="Times New Roman"/>
          <w:sz w:val="24"/>
          <w:szCs w:val="24"/>
        </w:rPr>
        <w:t xml:space="preserve">tatus </w:t>
      </w:r>
      <w:r w:rsidR="00A25701">
        <w:rPr>
          <w:rFonts w:ascii="Times New Roman" w:hAnsi="Times New Roman" w:cs="Times New Roman"/>
          <w:sz w:val="24"/>
          <w:szCs w:val="24"/>
        </w:rPr>
        <w:t>R</w:t>
      </w:r>
      <w:r w:rsidR="00E3110B">
        <w:rPr>
          <w:rFonts w:ascii="Times New Roman" w:hAnsi="Times New Roman" w:cs="Times New Roman"/>
          <w:sz w:val="24"/>
          <w:szCs w:val="24"/>
        </w:rPr>
        <w:t>eport.</w:t>
      </w:r>
    </w:p>
    <w:p w:rsidR="00562D44" w:rsidRPr="00F9015A" w:rsidRDefault="00562D44" w:rsidP="00562D44">
      <w:pPr>
        <w:rPr>
          <w:rFonts w:ascii="Times New Roman" w:hAnsi="Times New Roman" w:cs="Times New Roman"/>
          <w:sz w:val="24"/>
          <w:szCs w:val="24"/>
        </w:rPr>
      </w:pPr>
      <w:r w:rsidRPr="00F9015A">
        <w:rPr>
          <w:rFonts w:ascii="Times New Roman" w:hAnsi="Times New Roman" w:cs="Times New Roman"/>
          <w:sz w:val="24"/>
          <w:szCs w:val="24"/>
        </w:rPr>
        <w:t xml:space="preserve">In order to </w:t>
      </w:r>
      <w:r w:rsidR="00A25701">
        <w:rPr>
          <w:rFonts w:ascii="Times New Roman" w:hAnsi="Times New Roman" w:cs="Times New Roman"/>
          <w:sz w:val="24"/>
          <w:szCs w:val="24"/>
        </w:rPr>
        <w:t xml:space="preserve">meet the standard required </w:t>
      </w:r>
      <w:r w:rsidR="009A4AFF">
        <w:rPr>
          <w:rFonts w:ascii="Times New Roman" w:hAnsi="Times New Roman" w:cs="Times New Roman"/>
          <w:sz w:val="24"/>
          <w:szCs w:val="24"/>
        </w:rPr>
        <w:t xml:space="preserve">to </w:t>
      </w:r>
      <w:r w:rsidRPr="00F9015A">
        <w:rPr>
          <w:rFonts w:ascii="Times New Roman" w:hAnsi="Times New Roman" w:cs="Times New Roman"/>
          <w:sz w:val="24"/>
          <w:szCs w:val="24"/>
        </w:rPr>
        <w:t>make a preliminary affirmative determination, in line with subsection 269TD(1) of the Act, there must be more than the mere existence of grounds</w:t>
      </w:r>
      <w:r w:rsidR="00A25701">
        <w:rPr>
          <w:rFonts w:ascii="Times New Roman" w:hAnsi="Times New Roman" w:cs="Times New Roman"/>
          <w:sz w:val="24"/>
          <w:szCs w:val="24"/>
        </w:rPr>
        <w:t>. The</w:t>
      </w:r>
      <w:r w:rsidRPr="00F9015A">
        <w:rPr>
          <w:rFonts w:ascii="Times New Roman" w:hAnsi="Times New Roman" w:cs="Times New Roman"/>
          <w:sz w:val="24"/>
          <w:szCs w:val="24"/>
        </w:rPr>
        <w:t xml:space="preserve"> Act requires the</w:t>
      </w:r>
      <w:r>
        <w:rPr>
          <w:rFonts w:ascii="Times New Roman" w:hAnsi="Times New Roman" w:cs="Times New Roman"/>
          <w:sz w:val="24"/>
          <w:szCs w:val="24"/>
        </w:rPr>
        <w:t xml:space="preserve"> Commissioner to be satisfied that the</w:t>
      </w:r>
      <w:r w:rsidRPr="00F9015A">
        <w:rPr>
          <w:rFonts w:ascii="Times New Roman" w:hAnsi="Times New Roman" w:cs="Times New Roman"/>
          <w:sz w:val="24"/>
          <w:szCs w:val="24"/>
        </w:rPr>
        <w:t xml:space="preserve"> grounds</w:t>
      </w:r>
      <w:r>
        <w:rPr>
          <w:rFonts w:ascii="Times New Roman" w:hAnsi="Times New Roman" w:cs="Times New Roman"/>
          <w:sz w:val="24"/>
          <w:szCs w:val="24"/>
        </w:rPr>
        <w:t xml:space="preserve"> appear</w:t>
      </w:r>
      <w:r w:rsidRPr="00F9015A">
        <w:rPr>
          <w:rFonts w:ascii="Times New Roman" w:hAnsi="Times New Roman" w:cs="Times New Roman"/>
          <w:sz w:val="24"/>
          <w:szCs w:val="24"/>
        </w:rPr>
        <w:t xml:space="preserve"> to be </w:t>
      </w:r>
      <w:r w:rsidRPr="00F9015A">
        <w:rPr>
          <w:rFonts w:ascii="Times New Roman" w:hAnsi="Times New Roman" w:cs="Times New Roman"/>
          <w:sz w:val="24"/>
          <w:szCs w:val="24"/>
        </w:rPr>
        <w:lastRenderedPageBreak/>
        <w:t>‘sufficient’. However, the standard is not so high that it requires the Commissioner to be unequivocally satisfied that there are sufficient grounds for publishing a dumping or countervailing duty notice.</w:t>
      </w:r>
    </w:p>
    <w:p w:rsidR="00E3110B" w:rsidRPr="00275BB7" w:rsidRDefault="00E3110B" w:rsidP="00E3110B">
      <w:pPr>
        <w:ind w:left="68"/>
        <w:rPr>
          <w:rFonts w:ascii="Times New Roman" w:hAnsi="Times New Roman" w:cs="Times New Roman"/>
          <w:b/>
          <w:sz w:val="24"/>
          <w:szCs w:val="24"/>
        </w:rPr>
      </w:pPr>
      <w:r w:rsidRPr="00275BB7">
        <w:rPr>
          <w:rFonts w:ascii="Times New Roman" w:hAnsi="Times New Roman" w:cs="Times New Roman"/>
          <w:sz w:val="24"/>
          <w:szCs w:val="24"/>
        </w:rPr>
        <w:t xml:space="preserve">As part of </w:t>
      </w:r>
      <w:r>
        <w:rPr>
          <w:rFonts w:ascii="Times New Roman" w:hAnsi="Times New Roman" w:cs="Times New Roman"/>
          <w:sz w:val="24"/>
          <w:szCs w:val="24"/>
        </w:rPr>
        <w:t xml:space="preserve">a Status </w:t>
      </w:r>
      <w:r w:rsidR="00A25701">
        <w:rPr>
          <w:rFonts w:ascii="Times New Roman" w:hAnsi="Times New Roman" w:cs="Times New Roman"/>
          <w:sz w:val="24"/>
          <w:szCs w:val="24"/>
        </w:rPr>
        <w:t>R</w:t>
      </w:r>
      <w:r w:rsidRPr="00275BB7">
        <w:rPr>
          <w:rFonts w:ascii="Times New Roman" w:hAnsi="Times New Roman" w:cs="Times New Roman"/>
          <w:sz w:val="24"/>
          <w:szCs w:val="24"/>
        </w:rPr>
        <w:t xml:space="preserve">eport, the Commissioner must indicate any further information the Commissioner requires to make a preliminary affirmative determination, where relevant. </w:t>
      </w:r>
    </w:p>
    <w:p w:rsidR="00E3110B" w:rsidRPr="00275BB7" w:rsidRDefault="00E3110B" w:rsidP="00E3110B">
      <w:pPr>
        <w:rPr>
          <w:rFonts w:ascii="Times New Roman" w:hAnsi="Times New Roman" w:cs="Times New Roman"/>
          <w:sz w:val="24"/>
          <w:szCs w:val="24"/>
        </w:rPr>
      </w:pPr>
      <w:r w:rsidRPr="00275BB7">
        <w:rPr>
          <w:rFonts w:ascii="Times New Roman" w:hAnsi="Times New Roman" w:cs="Times New Roman"/>
          <w:sz w:val="24"/>
          <w:szCs w:val="24"/>
        </w:rPr>
        <w:t xml:space="preserve">The report shall be </w:t>
      </w:r>
      <w:r w:rsidR="00A25701">
        <w:rPr>
          <w:rFonts w:ascii="Times New Roman" w:hAnsi="Times New Roman" w:cs="Times New Roman"/>
          <w:sz w:val="24"/>
          <w:szCs w:val="24"/>
        </w:rPr>
        <w:t xml:space="preserve">published </w:t>
      </w:r>
      <w:r w:rsidRPr="00275BB7">
        <w:rPr>
          <w:rFonts w:ascii="Times New Roman" w:hAnsi="Times New Roman" w:cs="Times New Roman"/>
          <w:sz w:val="24"/>
          <w:szCs w:val="24"/>
        </w:rPr>
        <w:t>on the public record, available through the Anti</w:t>
      </w:r>
      <w:r w:rsidRPr="00275BB7">
        <w:rPr>
          <w:rFonts w:ascii="Times New Roman" w:hAnsi="Times New Roman" w:cs="Times New Roman"/>
          <w:sz w:val="24"/>
          <w:szCs w:val="24"/>
        </w:rPr>
        <w:noBreakHyphen/>
        <w:t xml:space="preserve">Dumping Commission’s website. </w:t>
      </w:r>
    </w:p>
    <w:p w:rsidR="00361245" w:rsidRPr="00E3110B" w:rsidRDefault="00E3110B" w:rsidP="00361245">
      <w:pPr>
        <w:rPr>
          <w:rFonts w:ascii="Times New Roman" w:hAnsi="Times New Roman" w:cs="Times New Roman"/>
          <w:b/>
          <w:sz w:val="24"/>
          <w:szCs w:val="24"/>
        </w:rPr>
      </w:pPr>
      <w:r w:rsidRPr="00275BB7">
        <w:rPr>
          <w:rFonts w:ascii="Times New Roman" w:hAnsi="Times New Roman" w:cs="Times New Roman"/>
          <w:sz w:val="24"/>
          <w:szCs w:val="24"/>
        </w:rPr>
        <w:t>If the Commissioner publishes a report, it does not preclude the Commissioner from subsequently making a preliminary affirmative determination, providing the Commissioner has reached the requisite level of satisfaction required by subsection 269TD(1).</w:t>
      </w:r>
    </w:p>
    <w:p w:rsidR="00E3110B" w:rsidRPr="00F31D93" w:rsidRDefault="009254D8" w:rsidP="00F31D93">
      <w:pPr>
        <w:pStyle w:val="ListParagraph"/>
        <w:numPr>
          <w:ilvl w:val="0"/>
          <w:numId w:val="21"/>
        </w:numPr>
        <w:ind w:left="425" w:hanging="357"/>
        <w:contextualSpacing w:val="0"/>
        <w:rPr>
          <w:rFonts w:ascii="Times New Roman" w:hAnsi="Times New Roman" w:cs="Times New Roman"/>
          <w:b/>
          <w:sz w:val="24"/>
          <w:szCs w:val="24"/>
        </w:rPr>
      </w:pPr>
      <w:r>
        <w:rPr>
          <w:rFonts w:ascii="Times New Roman" w:hAnsi="Times New Roman" w:cs="Times New Roman"/>
          <w:b/>
          <w:sz w:val="24"/>
          <w:szCs w:val="24"/>
        </w:rPr>
        <w:t xml:space="preserve">Relevant matters – </w:t>
      </w:r>
      <w:r w:rsidR="00AB70CD">
        <w:rPr>
          <w:rFonts w:ascii="Times New Roman" w:hAnsi="Times New Roman" w:cs="Times New Roman"/>
          <w:b/>
          <w:sz w:val="24"/>
          <w:szCs w:val="24"/>
        </w:rPr>
        <w:t>paragraph</w:t>
      </w:r>
      <w:r>
        <w:rPr>
          <w:rFonts w:ascii="Times New Roman" w:hAnsi="Times New Roman" w:cs="Times New Roman"/>
          <w:b/>
          <w:sz w:val="24"/>
          <w:szCs w:val="24"/>
        </w:rPr>
        <w:t xml:space="preserve"> 269TC(2)(b)</w:t>
      </w:r>
    </w:p>
    <w:p w:rsidR="00E3110B" w:rsidRPr="00F31D93" w:rsidRDefault="00E3110B" w:rsidP="00E3110B">
      <w:pPr>
        <w:rPr>
          <w:rFonts w:ascii="Times New Roman" w:hAnsi="Times New Roman" w:cs="Times New Roman"/>
          <w:sz w:val="24"/>
          <w:szCs w:val="24"/>
        </w:rPr>
      </w:pPr>
      <w:r>
        <w:rPr>
          <w:rFonts w:ascii="Times New Roman" w:hAnsi="Times New Roman" w:cs="Times New Roman"/>
          <w:sz w:val="24"/>
          <w:szCs w:val="24"/>
        </w:rPr>
        <w:t>Section 7 stipulates that, w</w:t>
      </w:r>
      <w:r w:rsidRPr="00E3110B">
        <w:rPr>
          <w:rFonts w:ascii="Times New Roman" w:hAnsi="Times New Roman" w:cs="Times New Roman"/>
          <w:sz w:val="24"/>
          <w:szCs w:val="24"/>
        </w:rPr>
        <w:t>hile always operating according to the legislative requirements in the Act, the Commissioner should consider, as a relevant matter</w:t>
      </w:r>
      <w:r w:rsidR="00C61D6B">
        <w:rPr>
          <w:rFonts w:ascii="Times New Roman" w:hAnsi="Times New Roman" w:cs="Times New Roman"/>
          <w:sz w:val="24"/>
          <w:szCs w:val="24"/>
        </w:rPr>
        <w:t>, a key objective of the Government’s reforms, namely,</w:t>
      </w:r>
      <w:r w:rsidRPr="00E3110B">
        <w:rPr>
          <w:rFonts w:ascii="Times New Roman" w:hAnsi="Times New Roman" w:cs="Times New Roman"/>
          <w:sz w:val="24"/>
          <w:szCs w:val="24"/>
        </w:rPr>
        <w:t xml:space="preserve"> the desirability of providing relief to an injured Australian industry, where warranted, as quickly as possible. </w:t>
      </w:r>
    </w:p>
    <w:p w:rsidR="009254D8" w:rsidRDefault="009254D8" w:rsidP="00F31D93">
      <w:pPr>
        <w:pStyle w:val="ListParagraph"/>
        <w:keepNext/>
        <w:numPr>
          <w:ilvl w:val="0"/>
          <w:numId w:val="21"/>
        </w:numPr>
        <w:ind w:left="426"/>
        <w:rPr>
          <w:rFonts w:ascii="Times New Roman" w:hAnsi="Times New Roman" w:cs="Times New Roman"/>
          <w:b/>
          <w:sz w:val="24"/>
          <w:szCs w:val="24"/>
        </w:rPr>
      </w:pPr>
      <w:r>
        <w:rPr>
          <w:rFonts w:ascii="Times New Roman" w:hAnsi="Times New Roman" w:cs="Times New Roman"/>
          <w:b/>
          <w:sz w:val="24"/>
          <w:szCs w:val="24"/>
        </w:rPr>
        <w:t>Considering late responses – section 269TD(3)</w:t>
      </w:r>
    </w:p>
    <w:p w:rsidR="00E3110B" w:rsidRPr="00F31D93" w:rsidRDefault="00E3110B" w:rsidP="00F31D93">
      <w:pPr>
        <w:keepNext/>
        <w:rPr>
          <w:rFonts w:ascii="Times New Roman" w:hAnsi="Times New Roman" w:cs="Times New Roman"/>
          <w:b/>
          <w:sz w:val="24"/>
          <w:szCs w:val="24"/>
        </w:rPr>
      </w:pPr>
      <w:r w:rsidRPr="00F9015A">
        <w:rPr>
          <w:rFonts w:ascii="Times New Roman" w:hAnsi="Times New Roman" w:cs="Times New Roman"/>
          <w:sz w:val="24"/>
          <w:szCs w:val="24"/>
        </w:rPr>
        <w:t xml:space="preserve">While always operating according to the legislative requirements in the Act, this </w:t>
      </w:r>
      <w:r w:rsidR="00137ABD">
        <w:rPr>
          <w:rFonts w:ascii="Times New Roman" w:hAnsi="Times New Roman" w:cs="Times New Roman"/>
          <w:sz w:val="24"/>
          <w:szCs w:val="24"/>
        </w:rPr>
        <w:t>D</w:t>
      </w:r>
      <w:r w:rsidRPr="00F9015A">
        <w:rPr>
          <w:rFonts w:ascii="Times New Roman" w:hAnsi="Times New Roman" w:cs="Times New Roman"/>
          <w:sz w:val="24"/>
          <w:szCs w:val="24"/>
        </w:rPr>
        <w:t xml:space="preserve">irection ensures that </w:t>
      </w:r>
      <w:r>
        <w:rPr>
          <w:rFonts w:ascii="Times New Roman" w:hAnsi="Times New Roman" w:cs="Times New Roman"/>
          <w:sz w:val="24"/>
          <w:szCs w:val="24"/>
        </w:rPr>
        <w:t xml:space="preserve">when having regard to a late submission, </w:t>
      </w:r>
      <w:r w:rsidRPr="00F9015A">
        <w:rPr>
          <w:rFonts w:ascii="Times New Roman" w:hAnsi="Times New Roman" w:cs="Times New Roman"/>
          <w:sz w:val="24"/>
          <w:szCs w:val="24"/>
        </w:rPr>
        <w:t>the Commissioner’s consideration of a preliminary affirmative determination is treated as a priority during the investigation process.</w:t>
      </w:r>
    </w:p>
    <w:p w:rsidR="00E3110B" w:rsidRDefault="00BE57FF" w:rsidP="00F31D93">
      <w:pPr>
        <w:pStyle w:val="ListParagraph"/>
        <w:numPr>
          <w:ilvl w:val="0"/>
          <w:numId w:val="21"/>
        </w:numPr>
        <w:ind w:left="425" w:hanging="357"/>
        <w:contextualSpacing w:val="0"/>
        <w:rPr>
          <w:rFonts w:ascii="Times New Roman" w:hAnsi="Times New Roman" w:cs="Times New Roman"/>
          <w:b/>
          <w:sz w:val="24"/>
          <w:szCs w:val="24"/>
        </w:rPr>
      </w:pPr>
      <w:r w:rsidRPr="00BE57FF">
        <w:rPr>
          <w:rFonts w:ascii="Times New Roman" w:hAnsi="Times New Roman" w:cs="Times New Roman"/>
          <w:b/>
          <w:sz w:val="24"/>
          <w:szCs w:val="24"/>
        </w:rPr>
        <w:t>Reconsideration of making a preliminary affirmative determination</w:t>
      </w:r>
      <w:r w:rsidR="009254D8">
        <w:rPr>
          <w:rFonts w:ascii="Times New Roman" w:hAnsi="Times New Roman" w:cs="Times New Roman"/>
          <w:b/>
          <w:sz w:val="24"/>
          <w:szCs w:val="24"/>
        </w:rPr>
        <w:t xml:space="preserve"> – section 269TDAA</w:t>
      </w:r>
    </w:p>
    <w:p w:rsidR="00E3110B" w:rsidRDefault="0012379A" w:rsidP="00F60D8E">
      <w:pPr>
        <w:rPr>
          <w:rFonts w:ascii="Times New Roman" w:hAnsi="Times New Roman" w:cs="Times New Roman"/>
          <w:sz w:val="24"/>
          <w:szCs w:val="24"/>
          <w:u w:val="single"/>
        </w:rPr>
      </w:pPr>
      <w:r w:rsidRPr="00F9015A">
        <w:rPr>
          <w:rFonts w:ascii="Times New Roman" w:hAnsi="Times New Roman" w:cs="Times New Roman"/>
          <w:sz w:val="24"/>
          <w:szCs w:val="24"/>
        </w:rPr>
        <w:t xml:space="preserve">Section 269TD precludes the Commissioner from making a preliminary affirmative determination earlier than 60 days after the date of initiation of an investigation. However, the Commissioner is not limited to making a determination at or around that point. The Act envisages that the Commissioner can make a determination at some later point in the investigation. At a practical level, there may be more or better information available to the Commissioner later in the investigation. This </w:t>
      </w:r>
      <w:r w:rsidR="00137ABD">
        <w:rPr>
          <w:rFonts w:ascii="Times New Roman" w:hAnsi="Times New Roman" w:cs="Times New Roman"/>
          <w:sz w:val="24"/>
          <w:szCs w:val="24"/>
        </w:rPr>
        <w:t>D</w:t>
      </w:r>
      <w:r w:rsidR="00E3110B" w:rsidRPr="00F9015A">
        <w:rPr>
          <w:rFonts w:ascii="Times New Roman" w:hAnsi="Times New Roman" w:cs="Times New Roman"/>
          <w:sz w:val="24"/>
          <w:szCs w:val="24"/>
        </w:rPr>
        <w:t>irection instructs the Commissioner to reconsider making a preliminary affirmative determination at some later point in the investigation, taking into account any further information received by the Commissioner, prior to the publication of the Statement of Essential Facts. The Commissioner must apply the test in subsection 269TD(1), namely, the Commissioner must be satisfied that there either appear to be sufficient grounds for the publication of a dumping or countervailing duty notice in respect of the goods described in the Australian industry’s application, or it appears there will be sufficient grounds after the importation of those goods into Australia.</w:t>
      </w:r>
    </w:p>
    <w:p w:rsidR="003D44EE" w:rsidRDefault="003D44EE">
      <w:pPr>
        <w:rPr>
          <w:rFonts w:ascii="Times New Roman" w:hAnsi="Times New Roman" w:cs="Times New Roman"/>
          <w:sz w:val="24"/>
          <w:szCs w:val="24"/>
        </w:rPr>
      </w:pPr>
      <w:r>
        <w:rPr>
          <w:rFonts w:ascii="Times New Roman" w:hAnsi="Times New Roman" w:cs="Times New Roman"/>
          <w:sz w:val="24"/>
          <w:szCs w:val="24"/>
        </w:rPr>
        <w:br w:type="page"/>
      </w:r>
    </w:p>
    <w:p w:rsidR="003D44EE" w:rsidRDefault="003D44EE" w:rsidP="003D44EE">
      <w:pPr>
        <w:spacing w:before="360" w:after="120" w:line="240" w:lineRule="auto"/>
        <w:jc w:val="center"/>
        <w:rPr>
          <w:rFonts w:ascii="Times New Roman" w:eastAsia="Times New Roman" w:hAnsi="Times New Roman" w:cs="Times New Roman"/>
          <w:b/>
          <w:sz w:val="28"/>
          <w:szCs w:val="28"/>
          <w:lang w:eastAsia="en-AU"/>
        </w:rPr>
      </w:pPr>
      <w:r w:rsidRPr="00EA32B1">
        <w:rPr>
          <w:rFonts w:ascii="Times New Roman" w:eastAsia="Times New Roman" w:hAnsi="Times New Roman" w:cs="Times New Roman"/>
          <w:b/>
          <w:sz w:val="28"/>
          <w:szCs w:val="28"/>
          <w:lang w:eastAsia="en-AU"/>
        </w:rPr>
        <w:lastRenderedPageBreak/>
        <w:t>Statement of Compatibility with Human Rights</w:t>
      </w:r>
    </w:p>
    <w:p w:rsidR="003D44EE" w:rsidRPr="00EA32B1" w:rsidRDefault="003D44EE" w:rsidP="003D44EE">
      <w:pPr>
        <w:spacing w:before="360" w:after="120" w:line="240" w:lineRule="auto"/>
        <w:jc w:val="center"/>
        <w:rPr>
          <w:rFonts w:ascii="Times New Roman" w:eastAsia="Times New Roman" w:hAnsi="Times New Roman" w:cs="Times New Roman"/>
          <w:b/>
          <w:sz w:val="28"/>
          <w:szCs w:val="28"/>
          <w:lang w:eastAsia="en-AU"/>
        </w:rPr>
      </w:pPr>
    </w:p>
    <w:p w:rsidR="003D44EE" w:rsidRPr="00EA32B1" w:rsidRDefault="003D44EE" w:rsidP="003D44EE">
      <w:pPr>
        <w:spacing w:before="120" w:after="120" w:line="240" w:lineRule="auto"/>
        <w:jc w:val="center"/>
        <w:rPr>
          <w:rFonts w:ascii="Times New Roman" w:eastAsia="Times New Roman" w:hAnsi="Times New Roman" w:cs="Times New Roman"/>
          <w:sz w:val="24"/>
          <w:szCs w:val="24"/>
          <w:lang w:eastAsia="en-AU"/>
        </w:rPr>
      </w:pPr>
      <w:r w:rsidRPr="00EA32B1">
        <w:rPr>
          <w:rFonts w:ascii="Times New Roman" w:eastAsia="Times New Roman" w:hAnsi="Times New Roman" w:cs="Times New Roman"/>
          <w:i/>
          <w:sz w:val="24"/>
          <w:szCs w:val="24"/>
          <w:lang w:eastAsia="en-AU"/>
        </w:rPr>
        <w:t>Prepared in accordance with Part 3 of the Human Rights (Parliamentary Scrutiny) Act 2011</w:t>
      </w:r>
    </w:p>
    <w:p w:rsidR="003D44EE" w:rsidRPr="00EA32B1" w:rsidRDefault="003D44EE" w:rsidP="003D44EE">
      <w:pPr>
        <w:spacing w:before="120" w:after="120" w:line="240" w:lineRule="auto"/>
        <w:jc w:val="center"/>
        <w:rPr>
          <w:rFonts w:ascii="Times New Roman" w:eastAsia="Times New Roman" w:hAnsi="Times New Roman" w:cs="Times New Roman"/>
          <w:sz w:val="24"/>
          <w:szCs w:val="24"/>
          <w:lang w:eastAsia="en-AU"/>
        </w:rPr>
      </w:pPr>
    </w:p>
    <w:p w:rsidR="003D44EE" w:rsidRPr="00AD5496" w:rsidRDefault="003D44EE" w:rsidP="003D44EE">
      <w:pPr>
        <w:jc w:val="center"/>
        <w:rPr>
          <w:rFonts w:ascii="Times New Roman" w:hAnsi="Times New Roman" w:cs="Times New Roman"/>
          <w:i/>
          <w:sz w:val="24"/>
          <w:szCs w:val="24"/>
        </w:rPr>
      </w:pPr>
      <w:r w:rsidRPr="00AD5496">
        <w:rPr>
          <w:rFonts w:ascii="Times New Roman" w:hAnsi="Times New Roman" w:cs="Times New Roman"/>
          <w:i/>
          <w:sz w:val="24"/>
          <w:szCs w:val="24"/>
        </w:rPr>
        <w:t>Customs (</w:t>
      </w:r>
      <w:r>
        <w:rPr>
          <w:rFonts w:ascii="Times New Roman" w:hAnsi="Times New Roman" w:cs="Times New Roman"/>
          <w:i/>
          <w:sz w:val="24"/>
          <w:szCs w:val="24"/>
        </w:rPr>
        <w:t>Preliminary Affirmative Determinations</w:t>
      </w:r>
      <w:r w:rsidRPr="00AD5496">
        <w:rPr>
          <w:rFonts w:ascii="Times New Roman" w:hAnsi="Times New Roman" w:cs="Times New Roman"/>
          <w:i/>
          <w:sz w:val="24"/>
          <w:szCs w:val="24"/>
        </w:rPr>
        <w:t>) Direction 2015</w:t>
      </w:r>
    </w:p>
    <w:p w:rsidR="003D44EE" w:rsidRPr="00EA32B1" w:rsidRDefault="003D44EE" w:rsidP="003D44EE">
      <w:pPr>
        <w:spacing w:before="120" w:after="120" w:line="240" w:lineRule="auto"/>
        <w:jc w:val="center"/>
        <w:rPr>
          <w:rFonts w:ascii="Times New Roman" w:eastAsia="Times New Roman" w:hAnsi="Times New Roman" w:cs="Times New Roman"/>
          <w:sz w:val="24"/>
          <w:szCs w:val="24"/>
          <w:lang w:eastAsia="en-AU"/>
        </w:rPr>
      </w:pPr>
    </w:p>
    <w:p w:rsidR="003D44EE" w:rsidRPr="00EA32B1" w:rsidRDefault="003D44EE" w:rsidP="003D44EE">
      <w:pPr>
        <w:spacing w:before="120" w:after="120" w:line="240" w:lineRule="auto"/>
        <w:jc w:val="center"/>
        <w:rPr>
          <w:rFonts w:ascii="Times New Roman" w:eastAsia="Times New Roman" w:hAnsi="Times New Roman" w:cs="Times New Roman"/>
          <w:sz w:val="24"/>
          <w:szCs w:val="24"/>
          <w:lang w:eastAsia="en-AU"/>
        </w:rPr>
      </w:pPr>
      <w:r w:rsidRPr="00EA32B1">
        <w:rPr>
          <w:rFonts w:ascii="Times New Roman" w:eastAsia="Times New Roman" w:hAnsi="Times New Roman" w:cs="Times New Roman"/>
          <w:sz w:val="24"/>
          <w:szCs w:val="24"/>
          <w:lang w:eastAsia="en-AU"/>
        </w:rPr>
        <w:t xml:space="preserve">This Legislative Instrument is compatible with the human rights and freedoms recognised or declared in the international instruments listed in section 3 of the </w:t>
      </w:r>
      <w:r w:rsidRPr="00EA32B1">
        <w:rPr>
          <w:rFonts w:ascii="Times New Roman" w:eastAsia="Times New Roman" w:hAnsi="Times New Roman" w:cs="Times New Roman"/>
          <w:i/>
          <w:sz w:val="24"/>
          <w:szCs w:val="24"/>
          <w:lang w:eastAsia="en-AU"/>
        </w:rPr>
        <w:t>Human Rights (Parliamentary Scrutiny) Act 2011</w:t>
      </w:r>
      <w:r w:rsidRPr="00EA32B1">
        <w:rPr>
          <w:rFonts w:ascii="Times New Roman" w:eastAsia="Times New Roman" w:hAnsi="Times New Roman" w:cs="Times New Roman"/>
          <w:sz w:val="24"/>
          <w:szCs w:val="24"/>
          <w:lang w:eastAsia="en-AU"/>
        </w:rPr>
        <w:t>.</w:t>
      </w:r>
    </w:p>
    <w:p w:rsidR="003D44EE" w:rsidRPr="00EA32B1" w:rsidRDefault="003D44EE" w:rsidP="003D44EE">
      <w:pPr>
        <w:spacing w:before="120" w:after="120" w:line="240" w:lineRule="auto"/>
        <w:jc w:val="center"/>
        <w:rPr>
          <w:rFonts w:ascii="Times New Roman" w:eastAsia="Times New Roman" w:hAnsi="Times New Roman" w:cs="Times New Roman"/>
          <w:sz w:val="24"/>
          <w:szCs w:val="24"/>
          <w:lang w:eastAsia="en-AU"/>
        </w:rPr>
      </w:pPr>
    </w:p>
    <w:p w:rsidR="003D44EE" w:rsidRDefault="003D44EE" w:rsidP="003D44EE">
      <w:pPr>
        <w:spacing w:before="120" w:after="120" w:line="240" w:lineRule="auto"/>
        <w:jc w:val="both"/>
        <w:rPr>
          <w:rFonts w:ascii="Times New Roman" w:eastAsia="Times New Roman" w:hAnsi="Times New Roman" w:cs="Times New Roman"/>
          <w:b/>
          <w:sz w:val="24"/>
          <w:szCs w:val="24"/>
          <w:lang w:eastAsia="en-AU"/>
        </w:rPr>
      </w:pPr>
      <w:r w:rsidRPr="00EA32B1">
        <w:rPr>
          <w:rFonts w:ascii="Times New Roman" w:eastAsia="Times New Roman" w:hAnsi="Times New Roman" w:cs="Times New Roman"/>
          <w:b/>
          <w:sz w:val="24"/>
          <w:szCs w:val="24"/>
          <w:lang w:eastAsia="en-AU"/>
        </w:rPr>
        <w:t>Overview of the Legislative Instrument</w:t>
      </w:r>
    </w:p>
    <w:p w:rsidR="00137ABD" w:rsidRPr="00F21A22" w:rsidRDefault="00137ABD" w:rsidP="00137ABD">
      <w:pPr>
        <w:rPr>
          <w:rFonts w:ascii="Times New Roman" w:hAnsi="Times New Roman" w:cs="Times New Roman"/>
          <w:sz w:val="24"/>
          <w:szCs w:val="24"/>
        </w:rPr>
      </w:pPr>
      <w:r w:rsidRPr="00AD5496">
        <w:rPr>
          <w:rFonts w:ascii="Times New Roman" w:hAnsi="Times New Roman" w:cs="Times New Roman"/>
          <w:sz w:val="24"/>
          <w:szCs w:val="24"/>
        </w:rPr>
        <w:t>The purpose of the Direction is to direct the Commissioner of the Anti</w:t>
      </w:r>
      <w:r w:rsidRPr="00AD5496">
        <w:rPr>
          <w:rFonts w:ascii="Times New Roman" w:hAnsi="Times New Roman" w:cs="Times New Roman"/>
          <w:sz w:val="24"/>
          <w:szCs w:val="24"/>
        </w:rPr>
        <w:noBreakHyphen/>
        <w:t>Dumping Commission</w:t>
      </w:r>
      <w:r>
        <w:rPr>
          <w:rFonts w:ascii="Times New Roman" w:hAnsi="Times New Roman" w:cs="Times New Roman"/>
          <w:sz w:val="24"/>
          <w:szCs w:val="24"/>
        </w:rPr>
        <w:t xml:space="preserve"> </w:t>
      </w:r>
      <w:r w:rsidRPr="00AD5496">
        <w:rPr>
          <w:rFonts w:ascii="Times New Roman" w:hAnsi="Times New Roman" w:cs="Times New Roman"/>
          <w:sz w:val="24"/>
          <w:szCs w:val="24"/>
        </w:rPr>
        <w:t xml:space="preserve"> as to the general principles for carrying out or giving effect to the Commissioner’s powers relating to</w:t>
      </w:r>
      <w:r>
        <w:rPr>
          <w:rFonts w:ascii="Times New Roman" w:hAnsi="Times New Roman" w:cs="Times New Roman"/>
          <w:sz w:val="24"/>
          <w:szCs w:val="24"/>
        </w:rPr>
        <w:t xml:space="preserve"> </w:t>
      </w:r>
      <w:r w:rsidRPr="00F21A22">
        <w:rPr>
          <w:rFonts w:ascii="Times New Roman" w:hAnsi="Times New Roman" w:cs="Times New Roman"/>
          <w:sz w:val="24"/>
          <w:szCs w:val="24"/>
        </w:rPr>
        <w:t>the making of a preliminary affirmative determination under section 269TD of the Act.</w:t>
      </w:r>
    </w:p>
    <w:p w:rsidR="003D44EE" w:rsidRPr="00EA32B1" w:rsidRDefault="003D44EE" w:rsidP="003D44EE">
      <w:pPr>
        <w:spacing w:before="120" w:after="120" w:line="240" w:lineRule="auto"/>
        <w:rPr>
          <w:rFonts w:ascii="Times New Roman" w:eastAsia="Times New Roman" w:hAnsi="Times New Roman" w:cs="Times New Roman"/>
          <w:b/>
          <w:sz w:val="24"/>
          <w:szCs w:val="24"/>
          <w:lang w:eastAsia="en-AU"/>
        </w:rPr>
      </w:pPr>
      <w:r w:rsidRPr="00EA32B1">
        <w:rPr>
          <w:rFonts w:ascii="Times New Roman" w:eastAsia="Times New Roman" w:hAnsi="Times New Roman" w:cs="Times New Roman"/>
          <w:b/>
          <w:sz w:val="24"/>
          <w:szCs w:val="24"/>
          <w:lang w:eastAsia="en-AU"/>
        </w:rPr>
        <w:t>Human rights implications</w:t>
      </w:r>
    </w:p>
    <w:p w:rsidR="003D44EE" w:rsidRPr="00EA32B1" w:rsidRDefault="003D44EE" w:rsidP="003D44EE">
      <w:pPr>
        <w:spacing w:before="120" w:after="120" w:line="240" w:lineRule="auto"/>
        <w:rPr>
          <w:rFonts w:ascii="Times New Roman" w:eastAsia="Times New Roman" w:hAnsi="Times New Roman" w:cs="Times New Roman"/>
          <w:sz w:val="24"/>
          <w:szCs w:val="24"/>
          <w:lang w:eastAsia="en-AU"/>
        </w:rPr>
      </w:pPr>
      <w:r w:rsidRPr="00EA32B1">
        <w:rPr>
          <w:rFonts w:ascii="Times New Roman" w:eastAsia="Times New Roman" w:hAnsi="Times New Roman" w:cs="Times New Roman"/>
          <w:sz w:val="24"/>
          <w:szCs w:val="24"/>
          <w:lang w:eastAsia="en-AU"/>
        </w:rPr>
        <w:t xml:space="preserve">This </w:t>
      </w:r>
      <w:r>
        <w:rPr>
          <w:rFonts w:ascii="Times New Roman" w:eastAsia="Times New Roman" w:hAnsi="Times New Roman" w:cs="Times New Roman"/>
          <w:sz w:val="24"/>
          <w:szCs w:val="24"/>
          <w:lang w:eastAsia="en-AU"/>
        </w:rPr>
        <w:t>Direction</w:t>
      </w:r>
      <w:r w:rsidRPr="00EA32B1">
        <w:rPr>
          <w:rFonts w:ascii="Times New Roman" w:eastAsia="Times New Roman" w:hAnsi="Times New Roman" w:cs="Times New Roman"/>
          <w:sz w:val="24"/>
          <w:szCs w:val="24"/>
          <w:lang w:eastAsia="en-AU"/>
        </w:rPr>
        <w:t xml:space="preserve"> does not engage any of the applicable rights or freedoms.</w:t>
      </w:r>
    </w:p>
    <w:p w:rsidR="003D44EE" w:rsidRPr="00EA32B1" w:rsidRDefault="003D44EE" w:rsidP="003D44EE">
      <w:pPr>
        <w:spacing w:before="120" w:after="120" w:line="240" w:lineRule="auto"/>
        <w:rPr>
          <w:rFonts w:ascii="Times New Roman" w:eastAsia="Times New Roman" w:hAnsi="Times New Roman" w:cs="Times New Roman"/>
          <w:b/>
          <w:sz w:val="24"/>
          <w:szCs w:val="24"/>
          <w:lang w:eastAsia="en-AU"/>
        </w:rPr>
      </w:pPr>
      <w:r w:rsidRPr="00EA32B1">
        <w:rPr>
          <w:rFonts w:ascii="Times New Roman" w:eastAsia="Times New Roman" w:hAnsi="Times New Roman" w:cs="Times New Roman"/>
          <w:b/>
          <w:sz w:val="24"/>
          <w:szCs w:val="24"/>
          <w:lang w:eastAsia="en-AU"/>
        </w:rPr>
        <w:t>Conclusion</w:t>
      </w:r>
    </w:p>
    <w:p w:rsidR="003D44EE" w:rsidRPr="00EA32B1" w:rsidRDefault="003D44EE" w:rsidP="003D44EE">
      <w:pPr>
        <w:spacing w:before="120" w:after="120" w:line="240" w:lineRule="auto"/>
        <w:rPr>
          <w:rFonts w:ascii="Times New Roman" w:eastAsia="Times New Roman" w:hAnsi="Times New Roman" w:cs="Times New Roman"/>
          <w:sz w:val="24"/>
          <w:szCs w:val="24"/>
          <w:lang w:eastAsia="en-AU"/>
        </w:rPr>
      </w:pPr>
      <w:r w:rsidRPr="00EA32B1">
        <w:rPr>
          <w:rFonts w:ascii="Times New Roman" w:eastAsia="Times New Roman" w:hAnsi="Times New Roman" w:cs="Times New Roman"/>
          <w:sz w:val="24"/>
          <w:szCs w:val="24"/>
          <w:lang w:eastAsia="en-AU"/>
        </w:rPr>
        <w:t xml:space="preserve">This </w:t>
      </w:r>
      <w:r>
        <w:rPr>
          <w:rFonts w:ascii="Times New Roman" w:eastAsia="Times New Roman" w:hAnsi="Times New Roman" w:cs="Times New Roman"/>
          <w:sz w:val="24"/>
          <w:szCs w:val="24"/>
          <w:lang w:eastAsia="en-AU"/>
        </w:rPr>
        <w:t>Direction</w:t>
      </w:r>
      <w:r w:rsidRPr="00EA32B1">
        <w:rPr>
          <w:rFonts w:ascii="Times New Roman" w:eastAsia="Times New Roman" w:hAnsi="Times New Roman" w:cs="Times New Roman"/>
          <w:sz w:val="24"/>
          <w:szCs w:val="24"/>
          <w:lang w:eastAsia="en-AU"/>
        </w:rPr>
        <w:t xml:space="preserve"> is compatible with human rights as it does not raise any human rights issues.</w:t>
      </w:r>
    </w:p>
    <w:p w:rsidR="003D44EE" w:rsidRPr="00EA32B1" w:rsidRDefault="003D44EE" w:rsidP="003D44EE">
      <w:pPr>
        <w:spacing w:before="120" w:after="120" w:line="240" w:lineRule="auto"/>
        <w:jc w:val="center"/>
        <w:rPr>
          <w:rFonts w:ascii="Times New Roman" w:eastAsia="Times New Roman" w:hAnsi="Times New Roman" w:cs="Times New Roman"/>
          <w:sz w:val="24"/>
          <w:szCs w:val="24"/>
          <w:lang w:eastAsia="en-AU"/>
        </w:rPr>
      </w:pPr>
    </w:p>
    <w:p w:rsidR="003D44EE" w:rsidRPr="00EA32B1" w:rsidRDefault="003D44EE" w:rsidP="003D44EE">
      <w:pPr>
        <w:spacing w:before="120" w:after="120" w:line="240" w:lineRule="auto"/>
        <w:jc w:val="center"/>
        <w:rPr>
          <w:rFonts w:ascii="Times New Roman" w:eastAsia="Times New Roman" w:hAnsi="Times New Roman" w:cs="Times New Roman"/>
          <w:b/>
          <w:sz w:val="24"/>
          <w:szCs w:val="24"/>
          <w:lang w:eastAsia="en-AU"/>
        </w:rPr>
      </w:pPr>
      <w:r w:rsidRPr="00EA32B1">
        <w:rPr>
          <w:rFonts w:ascii="Times New Roman" w:eastAsia="Times New Roman" w:hAnsi="Times New Roman" w:cs="Times New Roman"/>
          <w:b/>
          <w:sz w:val="24"/>
          <w:szCs w:val="24"/>
          <w:lang w:eastAsia="en-AU"/>
        </w:rPr>
        <w:t xml:space="preserve">The Hon </w:t>
      </w:r>
      <w:r>
        <w:rPr>
          <w:rFonts w:ascii="Times New Roman" w:eastAsia="Times New Roman" w:hAnsi="Times New Roman" w:cs="Times New Roman"/>
          <w:b/>
          <w:sz w:val="24"/>
          <w:szCs w:val="24"/>
          <w:lang w:eastAsia="en-AU"/>
        </w:rPr>
        <w:t xml:space="preserve">Christopher Pyne </w:t>
      </w:r>
      <w:r w:rsidRPr="00EA32B1">
        <w:rPr>
          <w:rFonts w:ascii="Times New Roman" w:eastAsia="Times New Roman" w:hAnsi="Times New Roman" w:cs="Times New Roman"/>
          <w:b/>
          <w:sz w:val="24"/>
          <w:szCs w:val="24"/>
          <w:lang w:eastAsia="en-AU"/>
        </w:rPr>
        <w:t>MP</w:t>
      </w:r>
      <w:r w:rsidRPr="00EA32B1">
        <w:rPr>
          <w:rFonts w:ascii="Times New Roman" w:eastAsia="Times New Roman" w:hAnsi="Times New Roman" w:cs="Times New Roman"/>
          <w:b/>
          <w:sz w:val="24"/>
          <w:szCs w:val="24"/>
          <w:lang w:eastAsia="en-AU"/>
        </w:rPr>
        <w:br/>
        <w:t>Minister for Industry</w:t>
      </w:r>
      <w:r>
        <w:rPr>
          <w:rFonts w:ascii="Times New Roman" w:eastAsia="Times New Roman" w:hAnsi="Times New Roman" w:cs="Times New Roman"/>
          <w:b/>
          <w:sz w:val="24"/>
          <w:szCs w:val="24"/>
          <w:lang w:eastAsia="en-AU"/>
        </w:rPr>
        <w:t>, Innovation</w:t>
      </w:r>
      <w:r w:rsidRPr="00EA32B1">
        <w:rPr>
          <w:rFonts w:ascii="Times New Roman" w:eastAsia="Times New Roman" w:hAnsi="Times New Roman" w:cs="Times New Roman"/>
          <w:b/>
          <w:sz w:val="24"/>
          <w:szCs w:val="24"/>
          <w:lang w:eastAsia="en-AU"/>
        </w:rPr>
        <w:t xml:space="preserve"> and Science</w:t>
      </w:r>
    </w:p>
    <w:p w:rsidR="003D44EE" w:rsidRPr="00F31D93" w:rsidRDefault="003D44EE">
      <w:pPr>
        <w:rPr>
          <w:rFonts w:ascii="Times New Roman" w:hAnsi="Times New Roman" w:cs="Times New Roman"/>
          <w:b/>
          <w:sz w:val="24"/>
          <w:szCs w:val="24"/>
        </w:rPr>
      </w:pPr>
    </w:p>
    <w:sectPr w:rsidR="003D44EE" w:rsidRPr="00F31D93" w:rsidSect="003B01F3">
      <w:headerReference w:type="default" r:id="rId9"/>
      <w:footerReference w:type="default" r:id="rId10"/>
      <w:pgSz w:w="11906" w:h="16838"/>
      <w:pgMar w:top="1560" w:right="1440" w:bottom="156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61AC" w:rsidRDefault="003561AC" w:rsidP="00112577">
      <w:pPr>
        <w:spacing w:after="0" w:line="240" w:lineRule="auto"/>
      </w:pPr>
      <w:r>
        <w:separator/>
      </w:r>
    </w:p>
  </w:endnote>
  <w:endnote w:type="continuationSeparator" w:id="0">
    <w:p w:rsidR="003561AC" w:rsidRDefault="003561AC" w:rsidP="00112577">
      <w:pPr>
        <w:spacing w:after="0" w:line="240" w:lineRule="auto"/>
      </w:pPr>
      <w:r>
        <w:continuationSeparator/>
      </w:r>
    </w:p>
  </w:endnote>
  <w:endnote w:type="continuationNotice" w:id="1">
    <w:p w:rsidR="003561AC" w:rsidRDefault="003561A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577" w:rsidRDefault="00112577" w:rsidP="00112577">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61AC" w:rsidRDefault="003561AC" w:rsidP="00112577">
      <w:pPr>
        <w:spacing w:after="0" w:line="240" w:lineRule="auto"/>
      </w:pPr>
      <w:r>
        <w:separator/>
      </w:r>
    </w:p>
  </w:footnote>
  <w:footnote w:type="continuationSeparator" w:id="0">
    <w:p w:rsidR="003561AC" w:rsidRDefault="003561AC" w:rsidP="00112577">
      <w:pPr>
        <w:spacing w:after="0" w:line="240" w:lineRule="auto"/>
      </w:pPr>
      <w:r>
        <w:continuationSeparator/>
      </w:r>
    </w:p>
  </w:footnote>
  <w:footnote w:type="continuationNotice" w:id="1">
    <w:p w:rsidR="003561AC" w:rsidRDefault="003561AC">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577" w:rsidRPr="00112577" w:rsidRDefault="00112577" w:rsidP="00112577">
    <w:pPr>
      <w:pStyle w:val="Header"/>
      <w:jc w:val="center"/>
      <w:rPr>
        <w:b/>
        <w:color w:val="FF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76A90"/>
    <w:multiLevelType w:val="hybridMultilevel"/>
    <w:tmpl w:val="CA74607E"/>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
    <w:nsid w:val="04C65F13"/>
    <w:multiLevelType w:val="hybridMultilevel"/>
    <w:tmpl w:val="E33E7B3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nsid w:val="058F7C90"/>
    <w:multiLevelType w:val="hybridMultilevel"/>
    <w:tmpl w:val="0422C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AE36268"/>
    <w:multiLevelType w:val="hybridMultilevel"/>
    <w:tmpl w:val="08305B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3125BD1"/>
    <w:multiLevelType w:val="multilevel"/>
    <w:tmpl w:val="384E8C9C"/>
    <w:styleLink w:val="CABNETList"/>
    <w:lvl w:ilvl="0">
      <w:start w:val="1"/>
      <w:numFmt w:val="decimal"/>
      <w:lvlText w:val="%1."/>
      <w:lvlJc w:val="left"/>
      <w:pPr>
        <w:tabs>
          <w:tab w:val="num" w:pos="567"/>
        </w:tabs>
        <w:ind w:left="0" w:firstLine="0"/>
      </w:pPr>
      <w:rPr>
        <w:rFonts w:ascii="Verdana" w:hAnsi="Verdana"/>
        <w:sz w:val="22"/>
        <w:szCs w:val="24"/>
      </w:rPr>
    </w:lvl>
    <w:lvl w:ilvl="1">
      <w:start w:val="1"/>
      <w:numFmt w:val="lowerLetter"/>
      <w:lvlText w:val="(%2)"/>
      <w:lvlJc w:val="left"/>
      <w:pPr>
        <w:tabs>
          <w:tab w:val="num" w:pos="567"/>
        </w:tabs>
        <w:ind w:left="1134" w:hanging="567"/>
      </w:pPr>
      <w:rPr>
        <w:rFonts w:ascii="Verdana" w:hAnsi="Verdana" w:hint="default"/>
        <w:b w:val="0"/>
        <w:i w:val="0"/>
        <w:color w:val="auto"/>
        <w:sz w:val="22"/>
        <w:szCs w:val="24"/>
      </w:rPr>
    </w:lvl>
    <w:lvl w:ilvl="2">
      <w:start w:val="1"/>
      <w:numFmt w:val="lowerRoman"/>
      <w:lvlText w:val="(%3)"/>
      <w:lvlJc w:val="left"/>
      <w:pPr>
        <w:tabs>
          <w:tab w:val="num" w:pos="567"/>
        </w:tabs>
        <w:ind w:left="1701" w:hanging="567"/>
      </w:pPr>
      <w:rPr>
        <w:rFonts w:ascii="Verdana" w:hAnsi="Verdana" w:hint="default"/>
        <w:b w:val="0"/>
        <w:i w:val="0"/>
        <w:color w:val="auto"/>
        <w:sz w:val="22"/>
        <w:szCs w:val="24"/>
      </w:rPr>
    </w:lvl>
    <w:lvl w:ilvl="3">
      <w:start w:val="1"/>
      <w:numFmt w:val="upperLetter"/>
      <w:lvlText w:val="(%4)"/>
      <w:lvlJc w:val="left"/>
      <w:pPr>
        <w:tabs>
          <w:tab w:val="num" w:pos="567"/>
        </w:tabs>
        <w:ind w:left="2268" w:hanging="567"/>
      </w:pPr>
      <w:rPr>
        <w:rFonts w:ascii="Verdana" w:hAnsi="Verdana" w:hint="default"/>
        <w:b w:val="0"/>
        <w:i w:val="0"/>
        <w:color w:val="auto"/>
        <w:sz w:val="22"/>
        <w:szCs w:val="24"/>
      </w:rPr>
    </w:lvl>
    <w:lvl w:ilvl="4">
      <w:start w:val="1"/>
      <w:numFmt w:val="decimal"/>
      <w:lvlText w:val="(%5)"/>
      <w:lvlJc w:val="left"/>
      <w:pPr>
        <w:tabs>
          <w:tab w:val="num" w:pos="567"/>
        </w:tabs>
        <w:ind w:left="2835" w:hanging="567"/>
      </w:pPr>
      <w:rPr>
        <w:rFonts w:ascii="Verdana" w:hAnsi="Verdana" w:hint="default"/>
        <w:b w:val="0"/>
        <w:i w:val="0"/>
        <w:color w:val="auto"/>
        <w:sz w:val="22"/>
        <w:szCs w:val="24"/>
      </w:rPr>
    </w:lvl>
    <w:lvl w:ilvl="5">
      <w:start w:val="1"/>
      <w:numFmt w:val="none"/>
      <w:lvlText w:val="."/>
      <w:lvlJc w:val="left"/>
      <w:pPr>
        <w:tabs>
          <w:tab w:val="num" w:pos="567"/>
        </w:tabs>
        <w:ind w:left="3402" w:hanging="567"/>
      </w:pPr>
      <w:rPr>
        <w:rFonts w:ascii="Verdana" w:hAnsi="Verdana" w:hint="default"/>
        <w:b w:val="0"/>
        <w:i w:val="0"/>
        <w:color w:val="auto"/>
        <w:sz w:val="22"/>
        <w:szCs w:val="24"/>
      </w:rPr>
    </w:lvl>
    <w:lvl w:ilvl="6">
      <w:start w:val="1"/>
      <w:numFmt w:val="none"/>
      <w:lvlText w:val="%7."/>
      <w:lvlJc w:val="left"/>
      <w:pPr>
        <w:tabs>
          <w:tab w:val="num" w:pos="567"/>
        </w:tabs>
        <w:ind w:left="3969" w:hanging="567"/>
      </w:pPr>
      <w:rPr>
        <w:rFonts w:ascii="Verdana" w:hAnsi="Verdana" w:hint="default"/>
        <w:b w:val="0"/>
        <w:i w:val="0"/>
        <w:color w:val="auto"/>
        <w:sz w:val="22"/>
        <w:szCs w:val="24"/>
      </w:rPr>
    </w:lvl>
    <w:lvl w:ilvl="7">
      <w:start w:val="1"/>
      <w:numFmt w:val="none"/>
      <w:lvlText w:val="%8."/>
      <w:lvlJc w:val="left"/>
      <w:pPr>
        <w:tabs>
          <w:tab w:val="num" w:pos="567"/>
        </w:tabs>
        <w:ind w:left="4536" w:hanging="567"/>
      </w:pPr>
      <w:rPr>
        <w:rFonts w:ascii="Verdana" w:hAnsi="Verdana" w:hint="default"/>
        <w:b w:val="0"/>
        <w:i w:val="0"/>
        <w:color w:val="auto"/>
        <w:sz w:val="22"/>
        <w:szCs w:val="24"/>
      </w:rPr>
    </w:lvl>
    <w:lvl w:ilvl="8">
      <w:start w:val="1"/>
      <w:numFmt w:val="none"/>
      <w:lvlText w:val="%9."/>
      <w:lvlJc w:val="left"/>
      <w:pPr>
        <w:tabs>
          <w:tab w:val="num" w:pos="567"/>
        </w:tabs>
        <w:ind w:left="5103" w:hanging="567"/>
      </w:pPr>
      <w:rPr>
        <w:rFonts w:ascii="Verdana" w:hAnsi="Verdana" w:hint="default"/>
        <w:b w:val="0"/>
        <w:i w:val="0"/>
        <w:color w:val="auto"/>
        <w:sz w:val="22"/>
        <w:szCs w:val="24"/>
      </w:rPr>
    </w:lvl>
  </w:abstractNum>
  <w:abstractNum w:abstractNumId="5">
    <w:nsid w:val="19365373"/>
    <w:multiLevelType w:val="hybridMultilevel"/>
    <w:tmpl w:val="31A4AD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A02696D"/>
    <w:multiLevelType w:val="hybridMultilevel"/>
    <w:tmpl w:val="7DCC6810"/>
    <w:lvl w:ilvl="0" w:tplc="678251F4">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1CC9703B"/>
    <w:multiLevelType w:val="hybridMultilevel"/>
    <w:tmpl w:val="E1AAE304"/>
    <w:lvl w:ilvl="0" w:tplc="0C090015">
      <w:start w:val="1"/>
      <w:numFmt w:val="upp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nsid w:val="2E011EE8"/>
    <w:multiLevelType w:val="hybridMultilevel"/>
    <w:tmpl w:val="E33E7B3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nsid w:val="2ED97E3D"/>
    <w:multiLevelType w:val="hybridMultilevel"/>
    <w:tmpl w:val="66F2E9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3170596D"/>
    <w:multiLevelType w:val="hybridMultilevel"/>
    <w:tmpl w:val="FC5860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36620A7"/>
    <w:multiLevelType w:val="hybridMultilevel"/>
    <w:tmpl w:val="BF861C6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3CFC4857"/>
    <w:multiLevelType w:val="hybridMultilevel"/>
    <w:tmpl w:val="A7B07758"/>
    <w:lvl w:ilvl="0" w:tplc="6F6ABAB8">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3F9902BB"/>
    <w:multiLevelType w:val="hybridMultilevel"/>
    <w:tmpl w:val="F64084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4AC07DFD"/>
    <w:multiLevelType w:val="hybridMultilevel"/>
    <w:tmpl w:val="3192299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579B2749"/>
    <w:multiLevelType w:val="multilevel"/>
    <w:tmpl w:val="384E8C9C"/>
    <w:numStyleLink w:val="CABNETList"/>
  </w:abstractNum>
  <w:abstractNum w:abstractNumId="16">
    <w:nsid w:val="632842DE"/>
    <w:multiLevelType w:val="multilevel"/>
    <w:tmpl w:val="E8B04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3EE73B5"/>
    <w:multiLevelType w:val="hybridMultilevel"/>
    <w:tmpl w:val="82C647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66410C2D"/>
    <w:multiLevelType w:val="hybridMultilevel"/>
    <w:tmpl w:val="93EC30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6F5B53B7"/>
    <w:multiLevelType w:val="hybridMultilevel"/>
    <w:tmpl w:val="D0664E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1B164C1"/>
    <w:multiLevelType w:val="hybridMultilevel"/>
    <w:tmpl w:val="632C0E0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9"/>
  </w:num>
  <w:num w:numId="2">
    <w:abstractNumId w:val="4"/>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10"/>
  </w:num>
  <w:num w:numId="6">
    <w:abstractNumId w:val="18"/>
  </w:num>
  <w:num w:numId="7">
    <w:abstractNumId w:val="5"/>
  </w:num>
  <w:num w:numId="8">
    <w:abstractNumId w:val="12"/>
  </w:num>
  <w:num w:numId="9">
    <w:abstractNumId w:val="13"/>
  </w:num>
  <w:num w:numId="10">
    <w:abstractNumId w:val="2"/>
  </w:num>
  <w:num w:numId="11">
    <w:abstractNumId w:val="16"/>
  </w:num>
  <w:num w:numId="12">
    <w:abstractNumId w:val="8"/>
  </w:num>
  <w:num w:numId="13">
    <w:abstractNumId w:val="11"/>
  </w:num>
  <w:num w:numId="14">
    <w:abstractNumId w:val="1"/>
  </w:num>
  <w:num w:numId="15">
    <w:abstractNumId w:val="14"/>
  </w:num>
  <w:num w:numId="16">
    <w:abstractNumId w:val="6"/>
  </w:num>
  <w:num w:numId="17">
    <w:abstractNumId w:val="3"/>
  </w:num>
  <w:num w:numId="18">
    <w:abstractNumId w:val="7"/>
  </w:num>
  <w:num w:numId="19">
    <w:abstractNumId w:val="0"/>
  </w:num>
  <w:num w:numId="20">
    <w:abstractNumId w:val="17"/>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405"/>
    <w:rsid w:val="00002B92"/>
    <w:rsid w:val="00002DDE"/>
    <w:rsid w:val="00005718"/>
    <w:rsid w:val="00012CD4"/>
    <w:rsid w:val="00014CC2"/>
    <w:rsid w:val="00020883"/>
    <w:rsid w:val="00022C7B"/>
    <w:rsid w:val="00040AED"/>
    <w:rsid w:val="00045277"/>
    <w:rsid w:val="00046050"/>
    <w:rsid w:val="0004749D"/>
    <w:rsid w:val="00060A4B"/>
    <w:rsid w:val="00073D96"/>
    <w:rsid w:val="000749DA"/>
    <w:rsid w:val="000765B8"/>
    <w:rsid w:val="00092180"/>
    <w:rsid w:val="000927FF"/>
    <w:rsid w:val="000933E2"/>
    <w:rsid w:val="00093780"/>
    <w:rsid w:val="000953E2"/>
    <w:rsid w:val="000A35DB"/>
    <w:rsid w:val="000A79D2"/>
    <w:rsid w:val="000B2197"/>
    <w:rsid w:val="000B2592"/>
    <w:rsid w:val="000B6D45"/>
    <w:rsid w:val="000D00F8"/>
    <w:rsid w:val="000D1CCB"/>
    <w:rsid w:val="000D66F6"/>
    <w:rsid w:val="000E6BA5"/>
    <w:rsid w:val="000E747A"/>
    <w:rsid w:val="000F2576"/>
    <w:rsid w:val="000F38D6"/>
    <w:rsid w:val="000F540A"/>
    <w:rsid w:val="001033B0"/>
    <w:rsid w:val="00106057"/>
    <w:rsid w:val="00112577"/>
    <w:rsid w:val="00113B05"/>
    <w:rsid w:val="001157DA"/>
    <w:rsid w:val="00120D25"/>
    <w:rsid w:val="0012379A"/>
    <w:rsid w:val="00124A2F"/>
    <w:rsid w:val="00132D45"/>
    <w:rsid w:val="00133DF5"/>
    <w:rsid w:val="00137ABD"/>
    <w:rsid w:val="00145563"/>
    <w:rsid w:val="001471F0"/>
    <w:rsid w:val="0016458B"/>
    <w:rsid w:val="0016551F"/>
    <w:rsid w:val="00165675"/>
    <w:rsid w:val="00170781"/>
    <w:rsid w:val="0017632A"/>
    <w:rsid w:val="001829AF"/>
    <w:rsid w:val="001854AB"/>
    <w:rsid w:val="0019515C"/>
    <w:rsid w:val="00197D9F"/>
    <w:rsid w:val="001A1F47"/>
    <w:rsid w:val="001A7620"/>
    <w:rsid w:val="001B03A5"/>
    <w:rsid w:val="001B18D1"/>
    <w:rsid w:val="001B511C"/>
    <w:rsid w:val="001D20FD"/>
    <w:rsid w:val="001D6397"/>
    <w:rsid w:val="001E1EFD"/>
    <w:rsid w:val="001E545E"/>
    <w:rsid w:val="001E7202"/>
    <w:rsid w:val="001F193F"/>
    <w:rsid w:val="001F19AC"/>
    <w:rsid w:val="001F29E8"/>
    <w:rsid w:val="001F7E21"/>
    <w:rsid w:val="00214A7B"/>
    <w:rsid w:val="0024090E"/>
    <w:rsid w:val="002413BF"/>
    <w:rsid w:val="00242589"/>
    <w:rsid w:val="00244384"/>
    <w:rsid w:val="002464D6"/>
    <w:rsid w:val="002464E8"/>
    <w:rsid w:val="00252D8E"/>
    <w:rsid w:val="00252EFD"/>
    <w:rsid w:val="00255706"/>
    <w:rsid w:val="00257BA4"/>
    <w:rsid w:val="002632D6"/>
    <w:rsid w:val="0026603C"/>
    <w:rsid w:val="002671D8"/>
    <w:rsid w:val="0027305B"/>
    <w:rsid w:val="00276A94"/>
    <w:rsid w:val="002906F1"/>
    <w:rsid w:val="002A140C"/>
    <w:rsid w:val="002A5CE1"/>
    <w:rsid w:val="002B270E"/>
    <w:rsid w:val="002B3322"/>
    <w:rsid w:val="002B451C"/>
    <w:rsid w:val="002B641A"/>
    <w:rsid w:val="002B670D"/>
    <w:rsid w:val="002B770B"/>
    <w:rsid w:val="002D1FE3"/>
    <w:rsid w:val="002D3378"/>
    <w:rsid w:val="002D5672"/>
    <w:rsid w:val="002E1A1C"/>
    <w:rsid w:val="002E34B1"/>
    <w:rsid w:val="002E4971"/>
    <w:rsid w:val="002E7532"/>
    <w:rsid w:val="002E77E5"/>
    <w:rsid w:val="002F2F96"/>
    <w:rsid w:val="002F7847"/>
    <w:rsid w:val="00301644"/>
    <w:rsid w:val="003070C6"/>
    <w:rsid w:val="00314FE6"/>
    <w:rsid w:val="003171B3"/>
    <w:rsid w:val="00317880"/>
    <w:rsid w:val="00326F30"/>
    <w:rsid w:val="00337F24"/>
    <w:rsid w:val="00337F90"/>
    <w:rsid w:val="0034047D"/>
    <w:rsid w:val="00343567"/>
    <w:rsid w:val="00347842"/>
    <w:rsid w:val="003561AC"/>
    <w:rsid w:val="00361245"/>
    <w:rsid w:val="0036383A"/>
    <w:rsid w:val="00383314"/>
    <w:rsid w:val="00385C5E"/>
    <w:rsid w:val="003A247B"/>
    <w:rsid w:val="003B01F3"/>
    <w:rsid w:val="003C4030"/>
    <w:rsid w:val="003C7405"/>
    <w:rsid w:val="003C7607"/>
    <w:rsid w:val="003D1435"/>
    <w:rsid w:val="003D44EE"/>
    <w:rsid w:val="003E017C"/>
    <w:rsid w:val="003F2BA1"/>
    <w:rsid w:val="003F4358"/>
    <w:rsid w:val="003F5810"/>
    <w:rsid w:val="0040038C"/>
    <w:rsid w:val="004004B7"/>
    <w:rsid w:val="004029E3"/>
    <w:rsid w:val="00403EC4"/>
    <w:rsid w:val="00406F5E"/>
    <w:rsid w:val="004149D6"/>
    <w:rsid w:val="00415914"/>
    <w:rsid w:val="00417660"/>
    <w:rsid w:val="00422FA1"/>
    <w:rsid w:val="00426B15"/>
    <w:rsid w:val="00433926"/>
    <w:rsid w:val="00443C10"/>
    <w:rsid w:val="00444BD9"/>
    <w:rsid w:val="004464DC"/>
    <w:rsid w:val="00452E62"/>
    <w:rsid w:val="004578A2"/>
    <w:rsid w:val="00462C68"/>
    <w:rsid w:val="00474D80"/>
    <w:rsid w:val="00481388"/>
    <w:rsid w:val="0048192D"/>
    <w:rsid w:val="004918AA"/>
    <w:rsid w:val="00495253"/>
    <w:rsid w:val="004A1887"/>
    <w:rsid w:val="004A366C"/>
    <w:rsid w:val="004A4185"/>
    <w:rsid w:val="004B44CB"/>
    <w:rsid w:val="004B6FA7"/>
    <w:rsid w:val="004C0849"/>
    <w:rsid w:val="004C0EC9"/>
    <w:rsid w:val="004C59AA"/>
    <w:rsid w:val="004C7086"/>
    <w:rsid w:val="004C77C0"/>
    <w:rsid w:val="004C7C45"/>
    <w:rsid w:val="004D773D"/>
    <w:rsid w:val="004E3749"/>
    <w:rsid w:val="004F10AA"/>
    <w:rsid w:val="00501A0E"/>
    <w:rsid w:val="00513C51"/>
    <w:rsid w:val="00515EE6"/>
    <w:rsid w:val="0053298E"/>
    <w:rsid w:val="00543A77"/>
    <w:rsid w:val="00562AD5"/>
    <w:rsid w:val="00562D44"/>
    <w:rsid w:val="00563D87"/>
    <w:rsid w:val="00565E4E"/>
    <w:rsid w:val="00567CC2"/>
    <w:rsid w:val="005752A4"/>
    <w:rsid w:val="005767CC"/>
    <w:rsid w:val="00577062"/>
    <w:rsid w:val="00581AA6"/>
    <w:rsid w:val="00590FF3"/>
    <w:rsid w:val="005A148F"/>
    <w:rsid w:val="005A1576"/>
    <w:rsid w:val="005A2B49"/>
    <w:rsid w:val="005A7AF2"/>
    <w:rsid w:val="005B16C6"/>
    <w:rsid w:val="005B3183"/>
    <w:rsid w:val="005D418C"/>
    <w:rsid w:val="005E246E"/>
    <w:rsid w:val="005E6CB1"/>
    <w:rsid w:val="005E7AA2"/>
    <w:rsid w:val="005F1B35"/>
    <w:rsid w:val="006074C6"/>
    <w:rsid w:val="006078EC"/>
    <w:rsid w:val="006101AD"/>
    <w:rsid w:val="00612DA1"/>
    <w:rsid w:val="006151DF"/>
    <w:rsid w:val="0062030A"/>
    <w:rsid w:val="00626A51"/>
    <w:rsid w:val="00627DD1"/>
    <w:rsid w:val="00633213"/>
    <w:rsid w:val="00633BA0"/>
    <w:rsid w:val="00642E1B"/>
    <w:rsid w:val="00651B34"/>
    <w:rsid w:val="00652C32"/>
    <w:rsid w:val="00654CCF"/>
    <w:rsid w:val="0066014E"/>
    <w:rsid w:val="00663421"/>
    <w:rsid w:val="00672E18"/>
    <w:rsid w:val="00683A7E"/>
    <w:rsid w:val="00690061"/>
    <w:rsid w:val="006930B5"/>
    <w:rsid w:val="00697125"/>
    <w:rsid w:val="006A6E91"/>
    <w:rsid w:val="006B0719"/>
    <w:rsid w:val="006B104D"/>
    <w:rsid w:val="006B3140"/>
    <w:rsid w:val="006B3227"/>
    <w:rsid w:val="006B4853"/>
    <w:rsid w:val="006C4B8E"/>
    <w:rsid w:val="006C744F"/>
    <w:rsid w:val="006D7B76"/>
    <w:rsid w:val="006E26C1"/>
    <w:rsid w:val="006E3A19"/>
    <w:rsid w:val="006E72A5"/>
    <w:rsid w:val="006F0956"/>
    <w:rsid w:val="006F3370"/>
    <w:rsid w:val="006F3B1D"/>
    <w:rsid w:val="00703AF0"/>
    <w:rsid w:val="007046D0"/>
    <w:rsid w:val="00706F8F"/>
    <w:rsid w:val="007160D6"/>
    <w:rsid w:val="00717433"/>
    <w:rsid w:val="00724526"/>
    <w:rsid w:val="00727E71"/>
    <w:rsid w:val="007325A9"/>
    <w:rsid w:val="00740E3C"/>
    <w:rsid w:val="00746633"/>
    <w:rsid w:val="00750E38"/>
    <w:rsid w:val="007617AC"/>
    <w:rsid w:val="00762B2E"/>
    <w:rsid w:val="00771A33"/>
    <w:rsid w:val="00773F1F"/>
    <w:rsid w:val="00777ABA"/>
    <w:rsid w:val="0078310B"/>
    <w:rsid w:val="0078324E"/>
    <w:rsid w:val="00783DF1"/>
    <w:rsid w:val="00796980"/>
    <w:rsid w:val="007A3620"/>
    <w:rsid w:val="007A727E"/>
    <w:rsid w:val="007B021D"/>
    <w:rsid w:val="007B44E6"/>
    <w:rsid w:val="007B6564"/>
    <w:rsid w:val="007C3220"/>
    <w:rsid w:val="007D349D"/>
    <w:rsid w:val="007E2D99"/>
    <w:rsid w:val="007E7C2A"/>
    <w:rsid w:val="00807845"/>
    <w:rsid w:val="008101F6"/>
    <w:rsid w:val="008162F2"/>
    <w:rsid w:val="0082084F"/>
    <w:rsid w:val="008348DC"/>
    <w:rsid w:val="00844312"/>
    <w:rsid w:val="008633D6"/>
    <w:rsid w:val="008650C0"/>
    <w:rsid w:val="00867E31"/>
    <w:rsid w:val="008761E0"/>
    <w:rsid w:val="00884467"/>
    <w:rsid w:val="0089211D"/>
    <w:rsid w:val="00892DA8"/>
    <w:rsid w:val="008931A6"/>
    <w:rsid w:val="008A00E6"/>
    <w:rsid w:val="008A2FB0"/>
    <w:rsid w:val="008A63F4"/>
    <w:rsid w:val="008B0224"/>
    <w:rsid w:val="008B0D21"/>
    <w:rsid w:val="008B482B"/>
    <w:rsid w:val="008B5800"/>
    <w:rsid w:val="008C0AC1"/>
    <w:rsid w:val="008C19D2"/>
    <w:rsid w:val="008D4341"/>
    <w:rsid w:val="008D6FD9"/>
    <w:rsid w:val="008D7D4E"/>
    <w:rsid w:val="008E0F24"/>
    <w:rsid w:val="008E7A59"/>
    <w:rsid w:val="008F27D0"/>
    <w:rsid w:val="008F6CE8"/>
    <w:rsid w:val="00902502"/>
    <w:rsid w:val="009050CC"/>
    <w:rsid w:val="009075A4"/>
    <w:rsid w:val="00913C4B"/>
    <w:rsid w:val="00921B37"/>
    <w:rsid w:val="00924343"/>
    <w:rsid w:val="009254D8"/>
    <w:rsid w:val="00931679"/>
    <w:rsid w:val="00944986"/>
    <w:rsid w:val="00951A37"/>
    <w:rsid w:val="00951B21"/>
    <w:rsid w:val="00952F4A"/>
    <w:rsid w:val="00953912"/>
    <w:rsid w:val="0096480C"/>
    <w:rsid w:val="00975EF8"/>
    <w:rsid w:val="00977E83"/>
    <w:rsid w:val="009842A1"/>
    <w:rsid w:val="0099563D"/>
    <w:rsid w:val="00995959"/>
    <w:rsid w:val="00995F08"/>
    <w:rsid w:val="009A2B96"/>
    <w:rsid w:val="009A4AFF"/>
    <w:rsid w:val="009A65CD"/>
    <w:rsid w:val="009C1664"/>
    <w:rsid w:val="009C363C"/>
    <w:rsid w:val="009D123F"/>
    <w:rsid w:val="009E6A21"/>
    <w:rsid w:val="009F0206"/>
    <w:rsid w:val="009F3926"/>
    <w:rsid w:val="009F6844"/>
    <w:rsid w:val="00A05635"/>
    <w:rsid w:val="00A10CCF"/>
    <w:rsid w:val="00A17585"/>
    <w:rsid w:val="00A2048E"/>
    <w:rsid w:val="00A24042"/>
    <w:rsid w:val="00A25701"/>
    <w:rsid w:val="00A32CA5"/>
    <w:rsid w:val="00A4596B"/>
    <w:rsid w:val="00A4596F"/>
    <w:rsid w:val="00A46462"/>
    <w:rsid w:val="00A62639"/>
    <w:rsid w:val="00A62C07"/>
    <w:rsid w:val="00A64D4F"/>
    <w:rsid w:val="00A67FB7"/>
    <w:rsid w:val="00A86B4B"/>
    <w:rsid w:val="00A90D54"/>
    <w:rsid w:val="00A92C04"/>
    <w:rsid w:val="00A95E30"/>
    <w:rsid w:val="00AA121A"/>
    <w:rsid w:val="00AA7C28"/>
    <w:rsid w:val="00AB70CD"/>
    <w:rsid w:val="00AC07DF"/>
    <w:rsid w:val="00AC14E0"/>
    <w:rsid w:val="00AD0B80"/>
    <w:rsid w:val="00AD25F1"/>
    <w:rsid w:val="00AD3AEF"/>
    <w:rsid w:val="00AD6A51"/>
    <w:rsid w:val="00AF47DB"/>
    <w:rsid w:val="00B079CF"/>
    <w:rsid w:val="00B20D0A"/>
    <w:rsid w:val="00B218EA"/>
    <w:rsid w:val="00B475C5"/>
    <w:rsid w:val="00B6147E"/>
    <w:rsid w:val="00B62C39"/>
    <w:rsid w:val="00B65D7B"/>
    <w:rsid w:val="00B93E3F"/>
    <w:rsid w:val="00B95494"/>
    <w:rsid w:val="00BB5A38"/>
    <w:rsid w:val="00BB6441"/>
    <w:rsid w:val="00BD7203"/>
    <w:rsid w:val="00BE334D"/>
    <w:rsid w:val="00BE57FF"/>
    <w:rsid w:val="00BF2792"/>
    <w:rsid w:val="00BF3854"/>
    <w:rsid w:val="00BF44E0"/>
    <w:rsid w:val="00BF581A"/>
    <w:rsid w:val="00C03F19"/>
    <w:rsid w:val="00C06627"/>
    <w:rsid w:val="00C23B3E"/>
    <w:rsid w:val="00C23F03"/>
    <w:rsid w:val="00C272A8"/>
    <w:rsid w:val="00C334D7"/>
    <w:rsid w:val="00C337DC"/>
    <w:rsid w:val="00C40F58"/>
    <w:rsid w:val="00C465B0"/>
    <w:rsid w:val="00C46F24"/>
    <w:rsid w:val="00C46F8F"/>
    <w:rsid w:val="00C50C3A"/>
    <w:rsid w:val="00C553ED"/>
    <w:rsid w:val="00C61D6B"/>
    <w:rsid w:val="00C72E66"/>
    <w:rsid w:val="00C75443"/>
    <w:rsid w:val="00C7647D"/>
    <w:rsid w:val="00C813C5"/>
    <w:rsid w:val="00CA69AB"/>
    <w:rsid w:val="00CB16D0"/>
    <w:rsid w:val="00CD5BC2"/>
    <w:rsid w:val="00CD6D31"/>
    <w:rsid w:val="00CF73DC"/>
    <w:rsid w:val="00D01704"/>
    <w:rsid w:val="00D0693A"/>
    <w:rsid w:val="00D15060"/>
    <w:rsid w:val="00D15522"/>
    <w:rsid w:val="00D247E7"/>
    <w:rsid w:val="00D30131"/>
    <w:rsid w:val="00D30C4A"/>
    <w:rsid w:val="00D371DD"/>
    <w:rsid w:val="00D43EDD"/>
    <w:rsid w:val="00D4409D"/>
    <w:rsid w:val="00D5064B"/>
    <w:rsid w:val="00D57FBF"/>
    <w:rsid w:val="00D63133"/>
    <w:rsid w:val="00D748B2"/>
    <w:rsid w:val="00D75212"/>
    <w:rsid w:val="00D75581"/>
    <w:rsid w:val="00D80E97"/>
    <w:rsid w:val="00D87B72"/>
    <w:rsid w:val="00D93B29"/>
    <w:rsid w:val="00DA0501"/>
    <w:rsid w:val="00DA1F2E"/>
    <w:rsid w:val="00DA240D"/>
    <w:rsid w:val="00DA75C1"/>
    <w:rsid w:val="00DB6E5A"/>
    <w:rsid w:val="00DB7FAB"/>
    <w:rsid w:val="00DC6787"/>
    <w:rsid w:val="00DD21BE"/>
    <w:rsid w:val="00DE30CF"/>
    <w:rsid w:val="00DF4495"/>
    <w:rsid w:val="00DF6064"/>
    <w:rsid w:val="00E03940"/>
    <w:rsid w:val="00E126FF"/>
    <w:rsid w:val="00E23393"/>
    <w:rsid w:val="00E3110B"/>
    <w:rsid w:val="00E4019D"/>
    <w:rsid w:val="00E57F76"/>
    <w:rsid w:val="00E81BB4"/>
    <w:rsid w:val="00E83D60"/>
    <w:rsid w:val="00E84E1C"/>
    <w:rsid w:val="00E85C55"/>
    <w:rsid w:val="00E8647C"/>
    <w:rsid w:val="00E86E83"/>
    <w:rsid w:val="00E925BF"/>
    <w:rsid w:val="00E97A78"/>
    <w:rsid w:val="00EA1326"/>
    <w:rsid w:val="00EA34F8"/>
    <w:rsid w:val="00EB12FC"/>
    <w:rsid w:val="00EB2F88"/>
    <w:rsid w:val="00EC7DCB"/>
    <w:rsid w:val="00ED1A3C"/>
    <w:rsid w:val="00EE111A"/>
    <w:rsid w:val="00EE5096"/>
    <w:rsid w:val="00EF57BD"/>
    <w:rsid w:val="00F00D99"/>
    <w:rsid w:val="00F016CA"/>
    <w:rsid w:val="00F067D2"/>
    <w:rsid w:val="00F21A22"/>
    <w:rsid w:val="00F260CE"/>
    <w:rsid w:val="00F31D93"/>
    <w:rsid w:val="00F3567B"/>
    <w:rsid w:val="00F36016"/>
    <w:rsid w:val="00F60D8E"/>
    <w:rsid w:val="00F62E73"/>
    <w:rsid w:val="00F65EE6"/>
    <w:rsid w:val="00F715C6"/>
    <w:rsid w:val="00F71DB4"/>
    <w:rsid w:val="00F739BE"/>
    <w:rsid w:val="00F743B7"/>
    <w:rsid w:val="00F82753"/>
    <w:rsid w:val="00F850AC"/>
    <w:rsid w:val="00F869BC"/>
    <w:rsid w:val="00F9015A"/>
    <w:rsid w:val="00F9095D"/>
    <w:rsid w:val="00F95D73"/>
    <w:rsid w:val="00F97F61"/>
    <w:rsid w:val="00FA18E1"/>
    <w:rsid w:val="00FA4DAD"/>
    <w:rsid w:val="00FA5D51"/>
    <w:rsid w:val="00FB6E6B"/>
    <w:rsid w:val="00FC5094"/>
    <w:rsid w:val="00FD3E60"/>
    <w:rsid w:val="00FE2DF9"/>
    <w:rsid w:val="00FE3D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951B2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51B21"/>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951B21"/>
    <w:pPr>
      <w:ind w:left="720"/>
      <w:contextualSpacing/>
    </w:pPr>
  </w:style>
  <w:style w:type="paragraph" w:styleId="BalloonText">
    <w:name w:val="Balloon Text"/>
    <w:basedOn w:val="Normal"/>
    <w:link w:val="BalloonTextChar"/>
    <w:uiPriority w:val="99"/>
    <w:semiHidden/>
    <w:unhideWhenUsed/>
    <w:rsid w:val="008A63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63F4"/>
    <w:rPr>
      <w:rFonts w:ascii="Tahoma" w:hAnsi="Tahoma" w:cs="Tahoma"/>
      <w:sz w:val="16"/>
      <w:szCs w:val="16"/>
    </w:rPr>
  </w:style>
  <w:style w:type="numbering" w:customStyle="1" w:styleId="CABNETList">
    <w:name w:val="CABNET List"/>
    <w:rsid w:val="008A63F4"/>
    <w:pPr>
      <w:numPr>
        <w:numId w:val="2"/>
      </w:numPr>
    </w:pPr>
  </w:style>
  <w:style w:type="paragraph" w:customStyle="1" w:styleId="CABNETParagraph">
    <w:name w:val="CABNET Paragraph"/>
    <w:basedOn w:val="Normal"/>
    <w:link w:val="CABNETParagraphChar"/>
    <w:qFormat/>
    <w:rsid w:val="008A63F4"/>
    <w:pPr>
      <w:spacing w:before="120" w:after="120" w:line="240" w:lineRule="auto"/>
    </w:pPr>
    <w:rPr>
      <w:rFonts w:ascii="Verdana" w:hAnsi="Verdana"/>
    </w:rPr>
  </w:style>
  <w:style w:type="character" w:customStyle="1" w:styleId="CABNETParagraphChar">
    <w:name w:val="CABNET Paragraph Char"/>
    <w:basedOn w:val="DefaultParagraphFont"/>
    <w:link w:val="CABNETParagraph"/>
    <w:rsid w:val="008A63F4"/>
    <w:rPr>
      <w:rFonts w:ascii="Verdana" w:hAnsi="Verdana"/>
    </w:rPr>
  </w:style>
  <w:style w:type="character" w:styleId="Hyperlink">
    <w:name w:val="Hyperlink"/>
    <w:basedOn w:val="DefaultParagraphFont"/>
    <w:uiPriority w:val="99"/>
    <w:semiHidden/>
    <w:unhideWhenUsed/>
    <w:rsid w:val="00093780"/>
    <w:rPr>
      <w:color w:val="0000FF"/>
      <w:u w:val="single"/>
    </w:rPr>
  </w:style>
  <w:style w:type="paragraph" w:customStyle="1" w:styleId="CABNETParagraphAtt">
    <w:name w:val="CABNET Paragraph Att"/>
    <w:basedOn w:val="Normal"/>
    <w:link w:val="CABNETParagraphAttChar"/>
    <w:qFormat/>
    <w:rsid w:val="00F743B7"/>
    <w:pPr>
      <w:spacing w:before="120" w:after="120" w:line="240" w:lineRule="auto"/>
    </w:pPr>
    <w:rPr>
      <w:rFonts w:ascii="Verdana" w:eastAsia="Times New Roman" w:hAnsi="Verdana" w:cs="Times New Roman"/>
      <w:szCs w:val="24"/>
      <w:lang w:eastAsia="en-AU"/>
    </w:rPr>
  </w:style>
  <w:style w:type="character" w:customStyle="1" w:styleId="CABNETParagraphAttChar">
    <w:name w:val="CABNET Paragraph Att Char"/>
    <w:basedOn w:val="DefaultParagraphFont"/>
    <w:link w:val="CABNETParagraphAtt"/>
    <w:rsid w:val="00F743B7"/>
    <w:rPr>
      <w:rFonts w:ascii="Verdana" w:eastAsia="Times New Roman" w:hAnsi="Verdana" w:cs="Times New Roman"/>
      <w:szCs w:val="24"/>
      <w:lang w:eastAsia="en-AU"/>
    </w:rPr>
  </w:style>
  <w:style w:type="character" w:styleId="CommentReference">
    <w:name w:val="annotation reference"/>
    <w:basedOn w:val="DefaultParagraphFont"/>
    <w:uiPriority w:val="99"/>
    <w:semiHidden/>
    <w:unhideWhenUsed/>
    <w:rsid w:val="00642E1B"/>
    <w:rPr>
      <w:sz w:val="16"/>
      <w:szCs w:val="16"/>
    </w:rPr>
  </w:style>
  <w:style w:type="paragraph" w:styleId="CommentText">
    <w:name w:val="annotation text"/>
    <w:basedOn w:val="Normal"/>
    <w:link w:val="CommentTextChar"/>
    <w:uiPriority w:val="99"/>
    <w:semiHidden/>
    <w:unhideWhenUsed/>
    <w:rsid w:val="00642E1B"/>
    <w:pPr>
      <w:spacing w:line="240" w:lineRule="auto"/>
    </w:pPr>
    <w:rPr>
      <w:sz w:val="20"/>
      <w:szCs w:val="20"/>
    </w:rPr>
  </w:style>
  <w:style w:type="character" w:customStyle="1" w:styleId="CommentTextChar">
    <w:name w:val="Comment Text Char"/>
    <w:basedOn w:val="DefaultParagraphFont"/>
    <w:link w:val="CommentText"/>
    <w:uiPriority w:val="99"/>
    <w:semiHidden/>
    <w:rsid w:val="00642E1B"/>
    <w:rPr>
      <w:sz w:val="20"/>
      <w:szCs w:val="20"/>
    </w:rPr>
  </w:style>
  <w:style w:type="paragraph" w:styleId="CommentSubject">
    <w:name w:val="annotation subject"/>
    <w:basedOn w:val="CommentText"/>
    <w:next w:val="CommentText"/>
    <w:link w:val="CommentSubjectChar"/>
    <w:uiPriority w:val="99"/>
    <w:semiHidden/>
    <w:unhideWhenUsed/>
    <w:rsid w:val="00642E1B"/>
    <w:rPr>
      <w:b/>
      <w:bCs/>
    </w:rPr>
  </w:style>
  <w:style w:type="character" w:customStyle="1" w:styleId="CommentSubjectChar">
    <w:name w:val="Comment Subject Char"/>
    <w:basedOn w:val="CommentTextChar"/>
    <w:link w:val="CommentSubject"/>
    <w:uiPriority w:val="99"/>
    <w:semiHidden/>
    <w:rsid w:val="00642E1B"/>
    <w:rPr>
      <w:b/>
      <w:bCs/>
      <w:sz w:val="20"/>
      <w:szCs w:val="20"/>
    </w:rPr>
  </w:style>
  <w:style w:type="table" w:styleId="TableGrid">
    <w:name w:val="Table Grid"/>
    <w:basedOn w:val="TableNormal"/>
    <w:uiPriority w:val="59"/>
    <w:rsid w:val="000A79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125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2577"/>
  </w:style>
  <w:style w:type="paragraph" w:styleId="Footer">
    <w:name w:val="footer"/>
    <w:basedOn w:val="Normal"/>
    <w:link w:val="FooterChar"/>
    <w:uiPriority w:val="99"/>
    <w:unhideWhenUsed/>
    <w:rsid w:val="001125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2577"/>
  </w:style>
  <w:style w:type="paragraph" w:styleId="Revision">
    <w:name w:val="Revision"/>
    <w:hidden/>
    <w:uiPriority w:val="99"/>
    <w:semiHidden/>
    <w:rsid w:val="00276A94"/>
    <w:pPr>
      <w:spacing w:after="0" w:line="240" w:lineRule="auto"/>
    </w:pPr>
  </w:style>
  <w:style w:type="paragraph" w:customStyle="1" w:styleId="Heading1">
    <w:name w:val="Heading1"/>
    <w:basedOn w:val="Normal"/>
    <w:link w:val="Heading1Char"/>
    <w:qFormat/>
    <w:rsid w:val="001B03A5"/>
    <w:rPr>
      <w:rFonts w:ascii="Times New Roman" w:hAnsi="Times New Roman" w:cs="Times New Roman"/>
      <w:b/>
      <w:sz w:val="24"/>
      <w:szCs w:val="24"/>
    </w:rPr>
  </w:style>
  <w:style w:type="character" w:customStyle="1" w:styleId="Heading1Char">
    <w:name w:val="Heading1 Char"/>
    <w:basedOn w:val="DefaultParagraphFont"/>
    <w:link w:val="Heading1"/>
    <w:rsid w:val="001B03A5"/>
    <w:rPr>
      <w:rFonts w:ascii="Times New Roman" w:hAnsi="Times New Roman" w:cs="Times New Roman"/>
      <w:b/>
      <w:sz w:val="24"/>
      <w:szCs w:val="24"/>
    </w:rPr>
  </w:style>
  <w:style w:type="paragraph" w:customStyle="1" w:styleId="Default">
    <w:name w:val="Default"/>
    <w:rsid w:val="00A62639"/>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951B2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51B21"/>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951B21"/>
    <w:pPr>
      <w:ind w:left="720"/>
      <w:contextualSpacing/>
    </w:pPr>
  </w:style>
  <w:style w:type="paragraph" w:styleId="BalloonText">
    <w:name w:val="Balloon Text"/>
    <w:basedOn w:val="Normal"/>
    <w:link w:val="BalloonTextChar"/>
    <w:uiPriority w:val="99"/>
    <w:semiHidden/>
    <w:unhideWhenUsed/>
    <w:rsid w:val="008A63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63F4"/>
    <w:rPr>
      <w:rFonts w:ascii="Tahoma" w:hAnsi="Tahoma" w:cs="Tahoma"/>
      <w:sz w:val="16"/>
      <w:szCs w:val="16"/>
    </w:rPr>
  </w:style>
  <w:style w:type="numbering" w:customStyle="1" w:styleId="CABNETList">
    <w:name w:val="CABNET List"/>
    <w:rsid w:val="008A63F4"/>
    <w:pPr>
      <w:numPr>
        <w:numId w:val="2"/>
      </w:numPr>
    </w:pPr>
  </w:style>
  <w:style w:type="paragraph" w:customStyle="1" w:styleId="CABNETParagraph">
    <w:name w:val="CABNET Paragraph"/>
    <w:basedOn w:val="Normal"/>
    <w:link w:val="CABNETParagraphChar"/>
    <w:qFormat/>
    <w:rsid w:val="008A63F4"/>
    <w:pPr>
      <w:spacing w:before="120" w:after="120" w:line="240" w:lineRule="auto"/>
    </w:pPr>
    <w:rPr>
      <w:rFonts w:ascii="Verdana" w:hAnsi="Verdana"/>
    </w:rPr>
  </w:style>
  <w:style w:type="character" w:customStyle="1" w:styleId="CABNETParagraphChar">
    <w:name w:val="CABNET Paragraph Char"/>
    <w:basedOn w:val="DefaultParagraphFont"/>
    <w:link w:val="CABNETParagraph"/>
    <w:rsid w:val="008A63F4"/>
    <w:rPr>
      <w:rFonts w:ascii="Verdana" w:hAnsi="Verdana"/>
    </w:rPr>
  </w:style>
  <w:style w:type="character" w:styleId="Hyperlink">
    <w:name w:val="Hyperlink"/>
    <w:basedOn w:val="DefaultParagraphFont"/>
    <w:uiPriority w:val="99"/>
    <w:semiHidden/>
    <w:unhideWhenUsed/>
    <w:rsid w:val="00093780"/>
    <w:rPr>
      <w:color w:val="0000FF"/>
      <w:u w:val="single"/>
    </w:rPr>
  </w:style>
  <w:style w:type="paragraph" w:customStyle="1" w:styleId="CABNETParagraphAtt">
    <w:name w:val="CABNET Paragraph Att"/>
    <w:basedOn w:val="Normal"/>
    <w:link w:val="CABNETParagraphAttChar"/>
    <w:qFormat/>
    <w:rsid w:val="00F743B7"/>
    <w:pPr>
      <w:spacing w:before="120" w:after="120" w:line="240" w:lineRule="auto"/>
    </w:pPr>
    <w:rPr>
      <w:rFonts w:ascii="Verdana" w:eastAsia="Times New Roman" w:hAnsi="Verdana" w:cs="Times New Roman"/>
      <w:szCs w:val="24"/>
      <w:lang w:eastAsia="en-AU"/>
    </w:rPr>
  </w:style>
  <w:style w:type="character" w:customStyle="1" w:styleId="CABNETParagraphAttChar">
    <w:name w:val="CABNET Paragraph Att Char"/>
    <w:basedOn w:val="DefaultParagraphFont"/>
    <w:link w:val="CABNETParagraphAtt"/>
    <w:rsid w:val="00F743B7"/>
    <w:rPr>
      <w:rFonts w:ascii="Verdana" w:eastAsia="Times New Roman" w:hAnsi="Verdana" w:cs="Times New Roman"/>
      <w:szCs w:val="24"/>
      <w:lang w:eastAsia="en-AU"/>
    </w:rPr>
  </w:style>
  <w:style w:type="character" w:styleId="CommentReference">
    <w:name w:val="annotation reference"/>
    <w:basedOn w:val="DefaultParagraphFont"/>
    <w:uiPriority w:val="99"/>
    <w:semiHidden/>
    <w:unhideWhenUsed/>
    <w:rsid w:val="00642E1B"/>
    <w:rPr>
      <w:sz w:val="16"/>
      <w:szCs w:val="16"/>
    </w:rPr>
  </w:style>
  <w:style w:type="paragraph" w:styleId="CommentText">
    <w:name w:val="annotation text"/>
    <w:basedOn w:val="Normal"/>
    <w:link w:val="CommentTextChar"/>
    <w:uiPriority w:val="99"/>
    <w:semiHidden/>
    <w:unhideWhenUsed/>
    <w:rsid w:val="00642E1B"/>
    <w:pPr>
      <w:spacing w:line="240" w:lineRule="auto"/>
    </w:pPr>
    <w:rPr>
      <w:sz w:val="20"/>
      <w:szCs w:val="20"/>
    </w:rPr>
  </w:style>
  <w:style w:type="character" w:customStyle="1" w:styleId="CommentTextChar">
    <w:name w:val="Comment Text Char"/>
    <w:basedOn w:val="DefaultParagraphFont"/>
    <w:link w:val="CommentText"/>
    <w:uiPriority w:val="99"/>
    <w:semiHidden/>
    <w:rsid w:val="00642E1B"/>
    <w:rPr>
      <w:sz w:val="20"/>
      <w:szCs w:val="20"/>
    </w:rPr>
  </w:style>
  <w:style w:type="paragraph" w:styleId="CommentSubject">
    <w:name w:val="annotation subject"/>
    <w:basedOn w:val="CommentText"/>
    <w:next w:val="CommentText"/>
    <w:link w:val="CommentSubjectChar"/>
    <w:uiPriority w:val="99"/>
    <w:semiHidden/>
    <w:unhideWhenUsed/>
    <w:rsid w:val="00642E1B"/>
    <w:rPr>
      <w:b/>
      <w:bCs/>
    </w:rPr>
  </w:style>
  <w:style w:type="character" w:customStyle="1" w:styleId="CommentSubjectChar">
    <w:name w:val="Comment Subject Char"/>
    <w:basedOn w:val="CommentTextChar"/>
    <w:link w:val="CommentSubject"/>
    <w:uiPriority w:val="99"/>
    <w:semiHidden/>
    <w:rsid w:val="00642E1B"/>
    <w:rPr>
      <w:b/>
      <w:bCs/>
      <w:sz w:val="20"/>
      <w:szCs w:val="20"/>
    </w:rPr>
  </w:style>
  <w:style w:type="table" w:styleId="TableGrid">
    <w:name w:val="Table Grid"/>
    <w:basedOn w:val="TableNormal"/>
    <w:uiPriority w:val="59"/>
    <w:rsid w:val="000A79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125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2577"/>
  </w:style>
  <w:style w:type="paragraph" w:styleId="Footer">
    <w:name w:val="footer"/>
    <w:basedOn w:val="Normal"/>
    <w:link w:val="FooterChar"/>
    <w:uiPriority w:val="99"/>
    <w:unhideWhenUsed/>
    <w:rsid w:val="001125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2577"/>
  </w:style>
  <w:style w:type="paragraph" w:styleId="Revision">
    <w:name w:val="Revision"/>
    <w:hidden/>
    <w:uiPriority w:val="99"/>
    <w:semiHidden/>
    <w:rsid w:val="00276A94"/>
    <w:pPr>
      <w:spacing w:after="0" w:line="240" w:lineRule="auto"/>
    </w:pPr>
  </w:style>
  <w:style w:type="paragraph" w:customStyle="1" w:styleId="Heading1">
    <w:name w:val="Heading1"/>
    <w:basedOn w:val="Normal"/>
    <w:link w:val="Heading1Char"/>
    <w:qFormat/>
    <w:rsid w:val="001B03A5"/>
    <w:rPr>
      <w:rFonts w:ascii="Times New Roman" w:hAnsi="Times New Roman" w:cs="Times New Roman"/>
      <w:b/>
      <w:sz w:val="24"/>
      <w:szCs w:val="24"/>
    </w:rPr>
  </w:style>
  <w:style w:type="character" w:customStyle="1" w:styleId="Heading1Char">
    <w:name w:val="Heading1 Char"/>
    <w:basedOn w:val="DefaultParagraphFont"/>
    <w:link w:val="Heading1"/>
    <w:rsid w:val="001B03A5"/>
    <w:rPr>
      <w:rFonts w:ascii="Times New Roman" w:hAnsi="Times New Roman" w:cs="Times New Roman"/>
      <w:b/>
      <w:sz w:val="24"/>
      <w:szCs w:val="24"/>
    </w:rPr>
  </w:style>
  <w:style w:type="paragraph" w:customStyle="1" w:styleId="Default">
    <w:name w:val="Default"/>
    <w:rsid w:val="00A6263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1004182">
      <w:bodyDiv w:val="1"/>
      <w:marLeft w:val="0"/>
      <w:marRight w:val="0"/>
      <w:marTop w:val="0"/>
      <w:marBottom w:val="0"/>
      <w:divBdr>
        <w:top w:val="none" w:sz="0" w:space="0" w:color="auto"/>
        <w:left w:val="none" w:sz="0" w:space="0" w:color="auto"/>
        <w:bottom w:val="none" w:sz="0" w:space="0" w:color="auto"/>
        <w:right w:val="none" w:sz="0" w:space="0" w:color="auto"/>
      </w:divBdr>
      <w:divsChild>
        <w:div w:id="2010981106">
          <w:marLeft w:val="0"/>
          <w:marRight w:val="0"/>
          <w:marTop w:val="0"/>
          <w:marBottom w:val="0"/>
          <w:divBdr>
            <w:top w:val="none" w:sz="0" w:space="0" w:color="auto"/>
            <w:left w:val="none" w:sz="0" w:space="0" w:color="auto"/>
            <w:bottom w:val="none" w:sz="0" w:space="0" w:color="auto"/>
            <w:right w:val="none" w:sz="0" w:space="0" w:color="auto"/>
          </w:divBdr>
          <w:divsChild>
            <w:div w:id="2122989602">
              <w:marLeft w:val="0"/>
              <w:marRight w:val="0"/>
              <w:marTop w:val="0"/>
              <w:marBottom w:val="0"/>
              <w:divBdr>
                <w:top w:val="none" w:sz="0" w:space="0" w:color="auto"/>
                <w:left w:val="none" w:sz="0" w:space="0" w:color="auto"/>
                <w:bottom w:val="none" w:sz="0" w:space="0" w:color="auto"/>
                <w:right w:val="none" w:sz="0" w:space="0" w:color="auto"/>
              </w:divBdr>
              <w:divsChild>
                <w:div w:id="408428316">
                  <w:marLeft w:val="0"/>
                  <w:marRight w:val="0"/>
                  <w:marTop w:val="0"/>
                  <w:marBottom w:val="0"/>
                  <w:divBdr>
                    <w:top w:val="none" w:sz="0" w:space="0" w:color="auto"/>
                    <w:left w:val="none" w:sz="0" w:space="0" w:color="auto"/>
                    <w:bottom w:val="none" w:sz="0" w:space="0" w:color="auto"/>
                    <w:right w:val="none" w:sz="0" w:space="0" w:color="auto"/>
                  </w:divBdr>
                  <w:divsChild>
                    <w:div w:id="862521939">
                      <w:marLeft w:val="0"/>
                      <w:marRight w:val="0"/>
                      <w:marTop w:val="0"/>
                      <w:marBottom w:val="0"/>
                      <w:divBdr>
                        <w:top w:val="none" w:sz="0" w:space="0" w:color="auto"/>
                        <w:left w:val="none" w:sz="0" w:space="0" w:color="auto"/>
                        <w:bottom w:val="none" w:sz="0" w:space="0" w:color="auto"/>
                        <w:right w:val="none" w:sz="0" w:space="0" w:color="auto"/>
                      </w:divBdr>
                      <w:divsChild>
                        <w:div w:id="1763799526">
                          <w:marLeft w:val="0"/>
                          <w:marRight w:val="0"/>
                          <w:marTop w:val="0"/>
                          <w:marBottom w:val="0"/>
                          <w:divBdr>
                            <w:top w:val="none" w:sz="0" w:space="0" w:color="auto"/>
                            <w:left w:val="none" w:sz="0" w:space="0" w:color="auto"/>
                            <w:bottom w:val="none" w:sz="0" w:space="0" w:color="auto"/>
                            <w:right w:val="none" w:sz="0" w:space="0" w:color="auto"/>
                          </w:divBdr>
                          <w:divsChild>
                            <w:div w:id="627391044">
                              <w:marLeft w:val="0"/>
                              <w:marRight w:val="0"/>
                              <w:marTop w:val="0"/>
                              <w:marBottom w:val="0"/>
                              <w:divBdr>
                                <w:top w:val="none" w:sz="0" w:space="0" w:color="auto"/>
                                <w:left w:val="none" w:sz="0" w:space="0" w:color="auto"/>
                                <w:bottom w:val="none" w:sz="0" w:space="0" w:color="auto"/>
                                <w:right w:val="none" w:sz="0" w:space="0" w:color="auto"/>
                              </w:divBdr>
                              <w:divsChild>
                                <w:div w:id="498232732">
                                  <w:marLeft w:val="0"/>
                                  <w:marRight w:val="0"/>
                                  <w:marTop w:val="0"/>
                                  <w:marBottom w:val="0"/>
                                  <w:divBdr>
                                    <w:top w:val="none" w:sz="0" w:space="0" w:color="auto"/>
                                    <w:left w:val="none" w:sz="0" w:space="0" w:color="auto"/>
                                    <w:bottom w:val="none" w:sz="0" w:space="0" w:color="auto"/>
                                    <w:right w:val="none" w:sz="0" w:space="0" w:color="auto"/>
                                  </w:divBdr>
                                  <w:divsChild>
                                    <w:div w:id="1680038472">
                                      <w:marLeft w:val="0"/>
                                      <w:marRight w:val="0"/>
                                      <w:marTop w:val="0"/>
                                      <w:marBottom w:val="0"/>
                                      <w:divBdr>
                                        <w:top w:val="none" w:sz="0" w:space="0" w:color="auto"/>
                                        <w:left w:val="none" w:sz="0" w:space="0" w:color="auto"/>
                                        <w:bottom w:val="none" w:sz="0" w:space="0" w:color="auto"/>
                                        <w:right w:val="none" w:sz="0" w:space="0" w:color="auto"/>
                                      </w:divBdr>
                                      <w:divsChild>
                                        <w:div w:id="1882546492">
                                          <w:marLeft w:val="0"/>
                                          <w:marRight w:val="0"/>
                                          <w:marTop w:val="75"/>
                                          <w:marBottom w:val="0"/>
                                          <w:divBdr>
                                            <w:top w:val="none" w:sz="0" w:space="0" w:color="auto"/>
                                            <w:left w:val="none" w:sz="0" w:space="0" w:color="auto"/>
                                            <w:bottom w:val="none" w:sz="0" w:space="0" w:color="auto"/>
                                            <w:right w:val="none" w:sz="0" w:space="0" w:color="auto"/>
                                          </w:divBdr>
                                          <w:divsChild>
                                            <w:div w:id="90908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3785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BBF282-40AE-42F1-828D-AFA81FDF8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1157</Words>
  <Characters>6597</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INDUSTRY</Company>
  <LinksUpToDate>false</LinksUpToDate>
  <CharactersWithSpaces>7739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Salveron, Jose</dc:creator>
  <cp:lastModifiedBy>Gilkes, Amanda</cp:lastModifiedBy>
  <cp:revision>2</cp:revision>
  <cp:lastPrinted>2015-09-30T00:12:00Z</cp:lastPrinted>
  <dcterms:created xsi:type="dcterms:W3CDTF">2015-10-30T00:18:00Z</dcterms:created>
  <dcterms:modified xsi:type="dcterms:W3CDTF">2015-10-30T00:18:00Z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ies>
</file>