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52" w:rsidRDefault="00801852" w:rsidP="00801852">
      <w:pPr>
        <w:tabs>
          <w:tab w:val="left" w:pos="5670"/>
        </w:tabs>
        <w:spacing w:after="240"/>
        <w:ind w:left="-1134" w:right="-285"/>
        <w:jc w:val="center"/>
        <w:rPr>
          <w:b/>
          <w:bCs/>
        </w:rPr>
      </w:pPr>
      <w:r>
        <w:rPr>
          <w:b/>
          <w:bCs/>
          <w:u w:val="single"/>
        </w:rPr>
        <w:t>EXPLANATORY STATEMENT</w:t>
      </w:r>
    </w:p>
    <w:p w:rsidR="00801852" w:rsidRDefault="00801852" w:rsidP="00801852">
      <w:pPr>
        <w:tabs>
          <w:tab w:val="left" w:pos="5670"/>
        </w:tabs>
        <w:spacing w:after="240"/>
        <w:ind w:left="-1134" w:right="-285"/>
        <w:jc w:val="center"/>
        <w:rPr>
          <w:b/>
          <w:i/>
          <w:iCs/>
        </w:rPr>
      </w:pPr>
      <w:r w:rsidRPr="00964681">
        <w:rPr>
          <w:b/>
          <w:i/>
          <w:iCs/>
        </w:rPr>
        <w:t>Agricultural and Veterinary Chemicals Code (Pre-application</w:t>
      </w:r>
      <w:r>
        <w:rPr>
          <w:b/>
          <w:i/>
          <w:iCs/>
        </w:rPr>
        <w:t xml:space="preserve"> Assistance Fee) Instrument 2015</w:t>
      </w:r>
    </w:p>
    <w:p w:rsidR="00801852" w:rsidRDefault="00801852" w:rsidP="00801852">
      <w:pPr>
        <w:spacing w:after="240"/>
        <w:ind w:left="-1134" w:right="-285"/>
        <w:rPr>
          <w:szCs w:val="24"/>
        </w:rPr>
      </w:pPr>
      <w:r>
        <w:t xml:space="preserve">The </w:t>
      </w:r>
      <w:r>
        <w:rPr>
          <w:i/>
          <w:iCs/>
        </w:rPr>
        <w:t>Agricultural and Veterinary Chemicals Code Act 1994</w:t>
      </w:r>
      <w:r>
        <w:t xml:space="preserve"> (Act) provides, within a Code set out in the Schedule to the Act (</w:t>
      </w:r>
      <w:proofErr w:type="spellStart"/>
      <w:r>
        <w:t>Agvet</w:t>
      </w:r>
      <w:proofErr w:type="spellEnd"/>
      <w:r>
        <w:t xml:space="preserve"> Code), a </w:t>
      </w:r>
      <w:r w:rsidRPr="00B124EA">
        <w:rPr>
          <w:szCs w:val="24"/>
        </w:rPr>
        <w:t xml:space="preserve">regulatory scheme for agricultural and veterinary chemicals.  </w:t>
      </w:r>
    </w:p>
    <w:p w:rsidR="00801852" w:rsidRDefault="00801852" w:rsidP="00801852">
      <w:pPr>
        <w:pStyle w:val="ttMakingWords"/>
        <w:ind w:left="-1134" w:right="-285"/>
      </w:pPr>
      <w:r>
        <w:t xml:space="preserve">If a person makes an application to the Australian Pesticides and Veterinary Medicines Authority (APVMA) for assistance (pre-application assistance) in preparing or making an application to the APVMA under the </w:t>
      </w:r>
      <w:proofErr w:type="spellStart"/>
      <w:r>
        <w:t>Agvet</w:t>
      </w:r>
      <w:proofErr w:type="spellEnd"/>
      <w:r>
        <w:t xml:space="preserve"> Code or the </w:t>
      </w:r>
      <w:r>
        <w:rPr>
          <w:i/>
        </w:rPr>
        <w:t xml:space="preserve">Agricultural and Veterinary Chemicals Code Regulations 1995 </w:t>
      </w:r>
      <w:r>
        <w:t>(</w:t>
      </w:r>
      <w:proofErr w:type="spellStart"/>
      <w:r>
        <w:t>Agvet</w:t>
      </w:r>
      <w:proofErr w:type="spellEnd"/>
      <w:r>
        <w:t xml:space="preserve"> Regulations), the APVMA may provide the pre-application assistance: regulation 8AT of the </w:t>
      </w:r>
      <w:proofErr w:type="spellStart"/>
      <w:r>
        <w:t>Agvet</w:t>
      </w:r>
      <w:proofErr w:type="spellEnd"/>
      <w:r>
        <w:t xml:space="preserve"> Regulations. </w:t>
      </w:r>
    </w:p>
    <w:p w:rsidR="00801852" w:rsidRPr="008E355D" w:rsidRDefault="00801852" w:rsidP="00801852">
      <w:pPr>
        <w:pStyle w:val="ttMakingWords"/>
        <w:ind w:left="-1134" w:right="-285"/>
      </w:pPr>
      <w:r>
        <w:t xml:space="preserve">The </w:t>
      </w:r>
      <w:proofErr w:type="spellStart"/>
      <w:r>
        <w:t>Agvet</w:t>
      </w:r>
      <w:proofErr w:type="spellEnd"/>
      <w:r>
        <w:t xml:space="preserve"> Regulations may prescribe the fees to be paid in respect of the doing of </w:t>
      </w:r>
      <w:proofErr w:type="spellStart"/>
      <w:r>
        <w:t>any thing</w:t>
      </w:r>
      <w:proofErr w:type="spellEnd"/>
      <w:r>
        <w:t xml:space="preserve"> by the APVMA under the </w:t>
      </w:r>
      <w:proofErr w:type="spellStart"/>
      <w:r>
        <w:t>Agvet</w:t>
      </w:r>
      <w:proofErr w:type="spellEnd"/>
      <w:r>
        <w:t xml:space="preserve"> Code or the </w:t>
      </w:r>
      <w:proofErr w:type="spellStart"/>
      <w:r>
        <w:t>Agvet</w:t>
      </w:r>
      <w:proofErr w:type="spellEnd"/>
      <w:r>
        <w:t xml:space="preserve"> Regulations: subsection 164(1) of the </w:t>
      </w:r>
      <w:proofErr w:type="spellStart"/>
      <w:r>
        <w:t>Agvet</w:t>
      </w:r>
      <w:proofErr w:type="spellEnd"/>
      <w:r>
        <w:t xml:space="preserve"> Code. Regulation 69B of the </w:t>
      </w:r>
      <w:proofErr w:type="spellStart"/>
      <w:r>
        <w:t>Agvet</w:t>
      </w:r>
      <w:proofErr w:type="spellEnd"/>
      <w:r>
        <w:t xml:space="preserve"> Regulations provides for the fees payable in respect of pre-application assistance provided by the APVMA under regulation 8AT. In particular, </w:t>
      </w:r>
      <w:proofErr w:type="spellStart"/>
      <w:r>
        <w:t>subregulation</w:t>
      </w:r>
      <w:proofErr w:type="spellEnd"/>
      <w:r>
        <w:t> </w:t>
      </w:r>
      <w:proofErr w:type="gramStart"/>
      <w:r>
        <w:t>69B(</w:t>
      </w:r>
      <w:proofErr w:type="gramEnd"/>
      <w:r>
        <w:t xml:space="preserve">3) of the </w:t>
      </w:r>
      <w:proofErr w:type="spellStart"/>
      <w:r>
        <w:t>Agvet</w:t>
      </w:r>
      <w:proofErr w:type="spellEnd"/>
      <w:r>
        <w:t xml:space="preserve"> Regulations </w:t>
      </w:r>
      <w:r w:rsidRPr="008E355D">
        <w:t>prescribes the fee of $192.50 (GST inclusive) for one unit, or a part of one unit, that is payable in respect of pre-application assistance</w:t>
      </w:r>
      <w:r>
        <w:t>.</w:t>
      </w:r>
    </w:p>
    <w:p w:rsidR="00801852" w:rsidRDefault="00801852" w:rsidP="00801852">
      <w:pPr>
        <w:pStyle w:val="ttMakingWords"/>
        <w:ind w:left="-1134" w:right="-285"/>
      </w:pPr>
      <w:r>
        <w:t xml:space="preserve">The APVMA may make a legislative instrument setting out criteria for working out which fee applies under the </w:t>
      </w:r>
      <w:proofErr w:type="spellStart"/>
      <w:r>
        <w:t>Agvet</w:t>
      </w:r>
      <w:proofErr w:type="spellEnd"/>
      <w:r>
        <w:t xml:space="preserve"> Regulations in a particular case: subsection 164(1A) of the </w:t>
      </w:r>
      <w:proofErr w:type="spellStart"/>
      <w:r>
        <w:t>Agvet</w:t>
      </w:r>
      <w:proofErr w:type="spellEnd"/>
      <w:r>
        <w:t xml:space="preserve"> Code.  This instrument, the </w:t>
      </w:r>
      <w:r>
        <w:rPr>
          <w:i/>
        </w:rPr>
        <w:t xml:space="preserve">Agricultural and Veterinary Chemicals Code (Pre-application Assistance Fee) Instrument 2015 </w:t>
      </w:r>
      <w:r>
        <w:t>(Instrument), is made under subsection 164(1A).</w:t>
      </w:r>
    </w:p>
    <w:p w:rsidR="00801852" w:rsidRDefault="00801852" w:rsidP="00801852">
      <w:pPr>
        <w:pStyle w:val="ttMakingWords"/>
        <w:ind w:left="-1134" w:right="-285"/>
        <w:rPr>
          <w:rFonts w:eastAsia="Calibri"/>
        </w:rPr>
      </w:pPr>
      <w:r>
        <w:rPr>
          <w:rFonts w:eastAsia="Calibri"/>
        </w:rPr>
        <w:t xml:space="preserve">The Instrument revokes the </w:t>
      </w:r>
      <w:r>
        <w:rPr>
          <w:rFonts w:eastAsia="Calibri"/>
          <w:i/>
        </w:rPr>
        <w:t xml:space="preserve">Agricultural and Veterinary Chemicals Code Regulations (Pre-application Assistance Fee) Instrument 2014 </w:t>
      </w:r>
      <w:r>
        <w:rPr>
          <w:rFonts w:eastAsia="Calibri"/>
        </w:rPr>
        <w:t>(2014 Instrument) in respect of applications for pre-application assistance made on and after the commencement of the Instrument.  The 2014 Instrument continues to apply in respect of applications for pre-application assistance made before the commencement of this Instrument.</w:t>
      </w:r>
    </w:p>
    <w:p w:rsidR="00801852" w:rsidRDefault="00801852" w:rsidP="00801852">
      <w:pPr>
        <w:pStyle w:val="ttMakingWords"/>
        <w:ind w:left="-1134" w:right="-285"/>
        <w:rPr>
          <w:rFonts w:eastAsia="Calibri"/>
          <w:b/>
          <w:i/>
        </w:rPr>
      </w:pPr>
      <w:r>
        <w:rPr>
          <w:rFonts w:eastAsia="Calibri"/>
        </w:rPr>
        <w:t xml:space="preserve">The new Instrument sets out, in a table, the criteria for working out which unit-based fee applies under the </w:t>
      </w:r>
      <w:proofErr w:type="spellStart"/>
      <w:r>
        <w:rPr>
          <w:rFonts w:eastAsia="Calibri"/>
        </w:rPr>
        <w:t>Agvet</w:t>
      </w:r>
      <w:proofErr w:type="spellEnd"/>
      <w:r>
        <w:rPr>
          <w:rFonts w:eastAsia="Calibri"/>
        </w:rPr>
        <w:t xml:space="preserve"> Regulations in a particular case.  It also provides examples of the application of the criteria in particular cases.  The fee that applies in a particular case depends, in part, on whether Tier 1, Tier 2 or Tier 3 pre-application assistance is provided by the APVMA.</w:t>
      </w:r>
    </w:p>
    <w:p w:rsidR="00801852" w:rsidRDefault="00801852" w:rsidP="00801852">
      <w:pPr>
        <w:pStyle w:val="ttMakingWords"/>
        <w:ind w:left="-1134" w:right="-285"/>
        <w:rPr>
          <w:rFonts w:eastAsia="Calibri"/>
          <w:b/>
          <w:i/>
        </w:rPr>
      </w:pPr>
      <w:r>
        <w:rPr>
          <w:rFonts w:eastAsia="Calibri"/>
          <w:b/>
          <w:i/>
        </w:rPr>
        <w:t>Tier 1 pre-application assistance</w:t>
      </w:r>
    </w:p>
    <w:p w:rsidR="00801852" w:rsidRDefault="00801852" w:rsidP="00801852">
      <w:pPr>
        <w:pStyle w:val="ttMakingWords"/>
        <w:ind w:left="-1134" w:right="-285"/>
        <w:rPr>
          <w:rFonts w:eastAsia="Calibri"/>
        </w:rPr>
      </w:pPr>
      <w:r>
        <w:rPr>
          <w:rFonts w:eastAsia="Calibri"/>
        </w:rPr>
        <w:t xml:space="preserve">Tier 1 pre-application assistance is for applicants seeking guidance in the </w:t>
      </w:r>
      <w:r w:rsidRPr="000A6B62">
        <w:rPr>
          <w:rFonts w:eastAsia="Calibri"/>
          <w:b/>
        </w:rPr>
        <w:t>early stages of preparing for the making of an application</w:t>
      </w:r>
      <w:r>
        <w:rPr>
          <w:rFonts w:eastAsia="Calibri"/>
        </w:rPr>
        <w:t xml:space="preserve">. It is to assist applicants in clarifying the </w:t>
      </w:r>
      <w:r w:rsidRPr="002C6462">
        <w:rPr>
          <w:rFonts w:eastAsia="Calibri"/>
          <w:b/>
        </w:rPr>
        <w:t>types of regulatory assessments likely to be conducted</w:t>
      </w:r>
      <w:r>
        <w:rPr>
          <w:rFonts w:eastAsia="Calibri"/>
        </w:rPr>
        <w:t xml:space="preserve"> for a particular submission to inform that applicant in collating relevant </w:t>
      </w:r>
      <w:r w:rsidRPr="002C6462">
        <w:rPr>
          <w:rFonts w:eastAsia="Calibri"/>
        </w:rPr>
        <w:t>information and data</w:t>
      </w:r>
      <w:r>
        <w:rPr>
          <w:rFonts w:eastAsia="Calibri"/>
        </w:rPr>
        <w:t xml:space="preserve"> likely to be necessary. It aims to provide </w:t>
      </w:r>
      <w:r w:rsidRPr="00AE114E">
        <w:rPr>
          <w:rFonts w:eastAsia="Calibri"/>
        </w:rPr>
        <w:t>assistance</w:t>
      </w:r>
      <w:r w:rsidRPr="00674CBA">
        <w:rPr>
          <w:rFonts w:eastAsia="Calibri"/>
        </w:rPr>
        <w:t xml:space="preserve"> </w:t>
      </w:r>
      <w:r>
        <w:rPr>
          <w:rFonts w:eastAsia="Calibri"/>
        </w:rPr>
        <w:t>to applicants in:</w:t>
      </w:r>
    </w:p>
    <w:p w:rsidR="00801852" w:rsidRDefault="00801852" w:rsidP="00801852">
      <w:pPr>
        <w:pStyle w:val="ttMakingWords"/>
        <w:ind w:left="-1134" w:right="-285"/>
        <w:rPr>
          <w:rFonts w:eastAsia="Calibri"/>
        </w:rPr>
      </w:pPr>
    </w:p>
    <w:p w:rsidR="00801852" w:rsidRPr="00D948ED" w:rsidRDefault="00801852" w:rsidP="00801852">
      <w:pPr>
        <w:pStyle w:val="NumberedLista1"/>
        <w:numPr>
          <w:ilvl w:val="1"/>
          <w:numId w:val="1"/>
        </w:numPr>
        <w:tabs>
          <w:tab w:val="clear" w:pos="850"/>
          <w:tab w:val="num" w:pos="425"/>
        </w:tabs>
        <w:ind w:left="425"/>
        <w:rPr>
          <w:rFonts w:ascii="Times New Roman" w:eastAsia="Calibri" w:hAnsi="Times New Roman" w:cs="Times New Roman"/>
          <w:sz w:val="24"/>
        </w:rPr>
      </w:pPr>
      <w:r w:rsidRPr="00D948ED">
        <w:rPr>
          <w:rFonts w:ascii="Times New Roman" w:eastAsia="Calibri" w:hAnsi="Times New Roman" w:cs="Times New Roman"/>
          <w:sz w:val="24"/>
        </w:rPr>
        <w:t xml:space="preserve">the types of </w:t>
      </w:r>
      <w:r>
        <w:rPr>
          <w:rFonts w:ascii="Times New Roman" w:eastAsia="Calibri" w:hAnsi="Times New Roman" w:cs="Times New Roman"/>
          <w:sz w:val="24"/>
        </w:rPr>
        <w:t xml:space="preserve">regulatory assessments </w:t>
      </w:r>
      <w:r w:rsidRPr="00D948ED">
        <w:rPr>
          <w:rFonts w:ascii="Times New Roman" w:eastAsia="Calibri" w:hAnsi="Times New Roman" w:cs="Times New Roman"/>
          <w:sz w:val="24"/>
        </w:rPr>
        <w:t xml:space="preserve">that may be </w:t>
      </w:r>
      <w:r>
        <w:rPr>
          <w:rFonts w:ascii="Times New Roman" w:eastAsia="Calibri" w:hAnsi="Times New Roman" w:cs="Times New Roman"/>
          <w:sz w:val="24"/>
        </w:rPr>
        <w:t>likely to be conducted in</w:t>
      </w:r>
      <w:r w:rsidRPr="00D948ED">
        <w:rPr>
          <w:rFonts w:ascii="Times New Roman" w:eastAsia="Calibri" w:hAnsi="Times New Roman" w:cs="Times New Roman"/>
          <w:sz w:val="24"/>
        </w:rPr>
        <w:t xml:space="preserve"> a</w:t>
      </w:r>
      <w:r>
        <w:rPr>
          <w:rFonts w:ascii="Times New Roman" w:eastAsia="Calibri" w:hAnsi="Times New Roman" w:cs="Times New Roman"/>
          <w:sz w:val="24"/>
        </w:rPr>
        <w:t xml:space="preserve"> particular</w:t>
      </w:r>
      <w:r w:rsidRPr="00D948ED">
        <w:rPr>
          <w:rFonts w:ascii="Times New Roman" w:eastAsia="Calibri" w:hAnsi="Times New Roman" w:cs="Times New Roman"/>
          <w:sz w:val="24"/>
        </w:rPr>
        <w:t xml:space="preserve"> application</w:t>
      </w:r>
      <w:r>
        <w:rPr>
          <w:rFonts w:ascii="Times New Roman" w:eastAsia="Calibri" w:hAnsi="Times New Roman" w:cs="Times New Roman"/>
          <w:sz w:val="24"/>
        </w:rPr>
        <w:t xml:space="preserve"> as it relates to the </w:t>
      </w:r>
      <w:r w:rsidRPr="00D948ED">
        <w:rPr>
          <w:rFonts w:ascii="Times New Roman" w:eastAsia="Calibri" w:hAnsi="Times New Roman" w:cs="Times New Roman"/>
          <w:sz w:val="24"/>
        </w:rPr>
        <w:t>item, module levels, timeframes</w:t>
      </w:r>
      <w:r>
        <w:rPr>
          <w:rFonts w:ascii="Times New Roman" w:eastAsia="Calibri" w:hAnsi="Times New Roman" w:cs="Times New Roman"/>
          <w:sz w:val="24"/>
        </w:rPr>
        <w:t xml:space="preserve"> and </w:t>
      </w:r>
      <w:r w:rsidRPr="00D948ED">
        <w:rPr>
          <w:rFonts w:ascii="Times New Roman" w:eastAsia="Calibri" w:hAnsi="Times New Roman" w:cs="Times New Roman"/>
          <w:sz w:val="24"/>
        </w:rPr>
        <w:t>fees</w:t>
      </w:r>
      <w:r>
        <w:rPr>
          <w:rFonts w:ascii="Times New Roman" w:eastAsia="Calibri" w:hAnsi="Times New Roman" w:cs="Times New Roman"/>
          <w:sz w:val="24"/>
        </w:rPr>
        <w:t xml:space="preserve"> for assessment.</w:t>
      </w:r>
    </w:p>
    <w:p w:rsidR="00801852" w:rsidRPr="00674CBA" w:rsidRDefault="00801852" w:rsidP="00801852">
      <w:pPr>
        <w:pStyle w:val="NumberedLista1"/>
        <w:numPr>
          <w:ilvl w:val="1"/>
          <w:numId w:val="1"/>
        </w:numPr>
        <w:tabs>
          <w:tab w:val="clear" w:pos="850"/>
          <w:tab w:val="num" w:pos="425"/>
        </w:tabs>
        <w:ind w:left="425"/>
        <w:rPr>
          <w:rFonts w:ascii="Times New Roman" w:eastAsia="Calibri" w:hAnsi="Times New Roman" w:cs="Times New Roman"/>
          <w:sz w:val="24"/>
        </w:rPr>
      </w:pPr>
      <w:proofErr w:type="gramStart"/>
      <w:r w:rsidRPr="00674CBA">
        <w:rPr>
          <w:rFonts w:ascii="Times New Roman" w:eastAsia="Calibri" w:hAnsi="Times New Roman" w:cs="Times New Roman"/>
          <w:sz w:val="24"/>
        </w:rPr>
        <w:lastRenderedPageBreak/>
        <w:t>relevance</w:t>
      </w:r>
      <w:proofErr w:type="gramEnd"/>
      <w:r w:rsidRPr="00674CBA">
        <w:rPr>
          <w:rFonts w:ascii="Times New Roman" w:eastAsia="Calibri" w:hAnsi="Times New Roman" w:cs="Times New Roman"/>
          <w:sz w:val="24"/>
        </w:rPr>
        <w:t xml:space="preserve"> of the efficacy criteria</w:t>
      </w:r>
      <w:r>
        <w:rPr>
          <w:rFonts w:ascii="Times New Roman" w:eastAsia="Calibri" w:hAnsi="Times New Roman" w:cs="Times New Roman"/>
          <w:sz w:val="24"/>
        </w:rPr>
        <w:t>.</w:t>
      </w:r>
    </w:p>
    <w:p w:rsidR="00801852" w:rsidRDefault="00801852" w:rsidP="00801852">
      <w:pPr>
        <w:pStyle w:val="NumberedLista1"/>
        <w:numPr>
          <w:ilvl w:val="1"/>
          <w:numId w:val="1"/>
        </w:numPr>
        <w:tabs>
          <w:tab w:val="clear" w:pos="850"/>
          <w:tab w:val="num" w:pos="425"/>
        </w:tabs>
        <w:ind w:left="425"/>
        <w:rPr>
          <w:rFonts w:ascii="Times New Roman" w:eastAsia="Calibri" w:hAnsi="Times New Roman" w:cs="Times New Roman"/>
          <w:sz w:val="24"/>
        </w:rPr>
      </w:pPr>
      <w:proofErr w:type="gramStart"/>
      <w:r w:rsidRPr="00674CBA">
        <w:rPr>
          <w:rFonts w:ascii="Times New Roman" w:eastAsia="Calibri" w:hAnsi="Times New Roman" w:cs="Times New Roman"/>
          <w:sz w:val="24"/>
        </w:rPr>
        <w:t>clarification</w:t>
      </w:r>
      <w:proofErr w:type="gramEnd"/>
      <w:r w:rsidRPr="00674CBA">
        <w:rPr>
          <w:rFonts w:ascii="Times New Roman" w:eastAsia="Calibri" w:hAnsi="Times New Roman" w:cs="Times New Roman"/>
          <w:sz w:val="24"/>
        </w:rPr>
        <w:t xml:space="preserve"> of guidance </w:t>
      </w:r>
      <w:r>
        <w:rPr>
          <w:rFonts w:ascii="Times New Roman" w:eastAsia="Calibri" w:hAnsi="Times New Roman" w:cs="Times New Roman"/>
          <w:sz w:val="24"/>
        </w:rPr>
        <w:t xml:space="preserve">documents available </w:t>
      </w:r>
      <w:r w:rsidRPr="00674CBA">
        <w:rPr>
          <w:rFonts w:ascii="Times New Roman" w:eastAsia="Calibri" w:hAnsi="Times New Roman" w:cs="Times New Roman"/>
          <w:sz w:val="24"/>
        </w:rPr>
        <w:t>on the APVMA website</w:t>
      </w:r>
      <w:r>
        <w:rPr>
          <w:rFonts w:ascii="Times New Roman" w:eastAsia="Calibri" w:hAnsi="Times New Roman" w:cs="Times New Roman"/>
          <w:sz w:val="24"/>
        </w:rPr>
        <w:t>.</w:t>
      </w:r>
    </w:p>
    <w:p w:rsidR="00801852" w:rsidRDefault="00801852" w:rsidP="00801852">
      <w:pPr>
        <w:spacing w:after="240"/>
        <w:ind w:left="-1134" w:right="-285"/>
        <w:rPr>
          <w:rFonts w:eastAsia="Calibri"/>
          <w:szCs w:val="24"/>
        </w:rPr>
      </w:pPr>
      <w:r>
        <w:rPr>
          <w:rFonts w:eastAsia="Calibri"/>
        </w:rPr>
        <w:t xml:space="preserve">Tier 1 pre-application assistance </w:t>
      </w:r>
      <w:r w:rsidRPr="000A6B62">
        <w:rPr>
          <w:rFonts w:eastAsia="Calibri"/>
          <w:b/>
        </w:rPr>
        <w:t>DOES NOT provide assistance</w:t>
      </w:r>
      <w:r>
        <w:rPr>
          <w:rFonts w:eastAsia="Calibri"/>
        </w:rPr>
        <w:t xml:space="preserve"> on specific aspects of information or data that may be contained in a submission. Technical assistance in the relevance of particular studies, study design and generating data are provided by Tiers 2 and 3 as described below</w:t>
      </w:r>
      <w:r>
        <w:rPr>
          <w:rFonts w:eastAsia="Calibri"/>
          <w:szCs w:val="24"/>
        </w:rPr>
        <w:t>.</w:t>
      </w:r>
    </w:p>
    <w:p w:rsidR="00801852" w:rsidRDefault="00801852" w:rsidP="00801852">
      <w:pPr>
        <w:spacing w:after="240"/>
        <w:ind w:left="-1134" w:right="-285"/>
        <w:rPr>
          <w:rFonts w:eastAsia="Calibri"/>
          <w:b/>
          <w:i/>
          <w:szCs w:val="24"/>
        </w:rPr>
      </w:pPr>
      <w:r>
        <w:rPr>
          <w:rFonts w:eastAsia="Calibri"/>
          <w:b/>
          <w:i/>
          <w:szCs w:val="24"/>
        </w:rPr>
        <w:t>Tier 2 pre-application assistance</w:t>
      </w:r>
    </w:p>
    <w:p w:rsidR="00801852" w:rsidRDefault="00801852" w:rsidP="00801852">
      <w:pPr>
        <w:pStyle w:val="ttMakingWords"/>
        <w:ind w:left="-1134" w:right="-285"/>
        <w:rPr>
          <w:rFonts w:eastAsia="Calibri"/>
        </w:rPr>
      </w:pPr>
      <w:r>
        <w:rPr>
          <w:rFonts w:eastAsia="Calibri"/>
        </w:rPr>
        <w:t xml:space="preserve">Tier 2 pre-application assistance includes all the aspects of Tier 1 with further provision for applicants who are seeking guidance in matters relating to the </w:t>
      </w:r>
      <w:r w:rsidRPr="000642F8">
        <w:rPr>
          <w:rFonts w:eastAsia="Calibri"/>
          <w:b/>
        </w:rPr>
        <w:t>type</w:t>
      </w:r>
      <w:r>
        <w:rPr>
          <w:rFonts w:eastAsia="Calibri"/>
          <w:b/>
        </w:rPr>
        <w:t>s</w:t>
      </w:r>
      <w:r w:rsidRPr="000642F8">
        <w:rPr>
          <w:rFonts w:eastAsia="Calibri"/>
          <w:b/>
        </w:rPr>
        <w:t xml:space="preserve"> of information and data that may be appropriate</w:t>
      </w:r>
      <w:r>
        <w:rPr>
          <w:rFonts w:eastAsia="Calibri"/>
        </w:rPr>
        <w:t xml:space="preserve"> in a particular submission. It aims to provide </w:t>
      </w:r>
      <w:r w:rsidRPr="002C6462">
        <w:rPr>
          <w:rFonts w:eastAsia="Calibri"/>
        </w:rPr>
        <w:t>assistance</w:t>
      </w:r>
      <w:r>
        <w:rPr>
          <w:rFonts w:eastAsia="Calibri"/>
        </w:rPr>
        <w:t xml:space="preserve"> to applicants on:</w:t>
      </w:r>
    </w:p>
    <w:p w:rsidR="00801852" w:rsidRDefault="00801852" w:rsidP="00801852">
      <w:pPr>
        <w:pStyle w:val="NumberedLista1"/>
        <w:ind w:left="425"/>
        <w:rPr>
          <w:rFonts w:ascii="Times New Roman" w:eastAsia="Calibri" w:hAnsi="Times New Roman" w:cs="Times New Roman"/>
          <w:sz w:val="24"/>
        </w:rPr>
      </w:pPr>
    </w:p>
    <w:p w:rsidR="00801852" w:rsidRPr="00674CBA" w:rsidRDefault="00801852" w:rsidP="00801852">
      <w:pPr>
        <w:pStyle w:val="NumberedLista1"/>
        <w:numPr>
          <w:ilvl w:val="0"/>
          <w:numId w:val="3"/>
        </w:numPr>
        <w:rPr>
          <w:rFonts w:ascii="Times New Roman" w:eastAsia="Calibri" w:hAnsi="Times New Roman" w:cs="Times New Roman"/>
          <w:sz w:val="24"/>
        </w:rPr>
      </w:pPr>
      <w:proofErr w:type="gramStart"/>
      <w:r w:rsidRPr="00674CBA">
        <w:rPr>
          <w:rFonts w:ascii="Times New Roman" w:eastAsia="Calibri" w:hAnsi="Times New Roman" w:cs="Times New Roman"/>
          <w:sz w:val="24"/>
        </w:rPr>
        <w:t>the</w:t>
      </w:r>
      <w:proofErr w:type="gramEnd"/>
      <w:r w:rsidRPr="00674CB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types </w:t>
      </w:r>
      <w:r w:rsidRPr="00674CBA">
        <w:rPr>
          <w:rFonts w:ascii="Times New Roman" w:eastAsia="Calibri" w:hAnsi="Times New Roman" w:cs="Times New Roman"/>
          <w:sz w:val="24"/>
        </w:rPr>
        <w:t xml:space="preserve">of </w:t>
      </w:r>
      <w:r>
        <w:rPr>
          <w:rFonts w:ascii="Times New Roman" w:eastAsia="Calibri" w:hAnsi="Times New Roman" w:cs="Times New Roman"/>
          <w:sz w:val="24"/>
        </w:rPr>
        <w:t xml:space="preserve">supporting </w:t>
      </w:r>
      <w:r w:rsidRPr="00674CBA">
        <w:rPr>
          <w:rFonts w:ascii="Times New Roman" w:eastAsia="Calibri" w:hAnsi="Times New Roman" w:cs="Times New Roman"/>
          <w:sz w:val="24"/>
        </w:rPr>
        <w:t xml:space="preserve">information </w:t>
      </w:r>
      <w:r>
        <w:rPr>
          <w:rFonts w:ascii="Times New Roman" w:eastAsia="Calibri" w:hAnsi="Times New Roman" w:cs="Times New Roman"/>
          <w:sz w:val="24"/>
        </w:rPr>
        <w:t xml:space="preserve">and data </w:t>
      </w:r>
      <w:r w:rsidRPr="00674CBA">
        <w:rPr>
          <w:rFonts w:ascii="Times New Roman" w:eastAsia="Calibri" w:hAnsi="Times New Roman" w:cs="Times New Roman"/>
          <w:sz w:val="24"/>
        </w:rPr>
        <w:t xml:space="preserve">that may be </w:t>
      </w:r>
      <w:r>
        <w:rPr>
          <w:rFonts w:ascii="Times New Roman" w:eastAsia="Calibri" w:hAnsi="Times New Roman" w:cs="Times New Roman"/>
          <w:sz w:val="24"/>
        </w:rPr>
        <w:t>appropriate in a particular application.</w:t>
      </w:r>
    </w:p>
    <w:p w:rsidR="00801852" w:rsidRDefault="00801852" w:rsidP="00801852">
      <w:pPr>
        <w:pStyle w:val="NumberedLista1"/>
        <w:numPr>
          <w:ilvl w:val="0"/>
          <w:numId w:val="3"/>
        </w:numPr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>the</w:t>
      </w:r>
      <w:proofErr w:type="gramEnd"/>
      <w:r w:rsidRPr="00DB4318">
        <w:rPr>
          <w:rFonts w:ascii="Times New Roman" w:eastAsia="Calibri" w:hAnsi="Times New Roman" w:cs="Times New Roman"/>
          <w:sz w:val="24"/>
        </w:rPr>
        <w:t xml:space="preserve"> types of trials that </w:t>
      </w:r>
      <w:r>
        <w:rPr>
          <w:rFonts w:ascii="Times New Roman" w:eastAsia="Calibri" w:hAnsi="Times New Roman" w:cs="Times New Roman"/>
          <w:sz w:val="24"/>
        </w:rPr>
        <w:t>may</w:t>
      </w:r>
      <w:r w:rsidRPr="00DB4318">
        <w:rPr>
          <w:rFonts w:ascii="Times New Roman" w:eastAsia="Calibri" w:hAnsi="Times New Roman" w:cs="Times New Roman"/>
          <w:sz w:val="24"/>
        </w:rPr>
        <w:t xml:space="preserve"> be undertaken, including specific guidelines that could be considered in generating data</w:t>
      </w:r>
      <w:r>
        <w:rPr>
          <w:rFonts w:ascii="Times New Roman" w:eastAsia="Calibri" w:hAnsi="Times New Roman" w:cs="Times New Roman"/>
          <w:sz w:val="24"/>
        </w:rPr>
        <w:t>.</w:t>
      </w:r>
    </w:p>
    <w:p w:rsidR="00801852" w:rsidRPr="00DB4318" w:rsidRDefault="00801852" w:rsidP="00801852">
      <w:pPr>
        <w:pStyle w:val="NumberedLista1"/>
        <w:numPr>
          <w:ilvl w:val="0"/>
          <w:numId w:val="3"/>
        </w:numPr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>the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</w:t>
      </w:r>
      <w:r w:rsidRPr="00DB4318">
        <w:rPr>
          <w:rFonts w:ascii="Times New Roman" w:eastAsia="Calibri" w:hAnsi="Times New Roman" w:cs="Times New Roman"/>
          <w:sz w:val="24"/>
        </w:rPr>
        <w:t xml:space="preserve">relevance </w:t>
      </w:r>
      <w:r w:rsidRPr="00674CBA">
        <w:rPr>
          <w:rFonts w:ascii="Times New Roman" w:eastAsia="Calibri" w:hAnsi="Times New Roman" w:cs="Times New Roman"/>
          <w:sz w:val="24"/>
        </w:rPr>
        <w:t>or suitability of overseas data and/or assessment reports</w:t>
      </w:r>
      <w:r>
        <w:rPr>
          <w:rFonts w:ascii="Times New Roman" w:eastAsia="Calibri" w:hAnsi="Times New Roman" w:cs="Times New Roman"/>
          <w:sz w:val="24"/>
        </w:rPr>
        <w:t>.</w:t>
      </w:r>
    </w:p>
    <w:p w:rsidR="00801852" w:rsidRPr="00674CBA" w:rsidRDefault="00801852" w:rsidP="00801852">
      <w:pPr>
        <w:pStyle w:val="NumberedLista1"/>
        <w:numPr>
          <w:ilvl w:val="0"/>
          <w:numId w:val="3"/>
        </w:numPr>
        <w:rPr>
          <w:rFonts w:ascii="Times New Roman" w:eastAsia="Calibri" w:hAnsi="Times New Roman" w:cs="Times New Roman"/>
          <w:sz w:val="24"/>
        </w:rPr>
      </w:pPr>
      <w:proofErr w:type="gramStart"/>
      <w:r w:rsidRPr="00674CBA">
        <w:rPr>
          <w:rFonts w:ascii="Times New Roman" w:eastAsia="Calibri" w:hAnsi="Times New Roman" w:cs="Times New Roman"/>
          <w:sz w:val="24"/>
        </w:rPr>
        <w:t>a</w:t>
      </w:r>
      <w:proofErr w:type="gramEnd"/>
      <w:r w:rsidRPr="00674CBA">
        <w:rPr>
          <w:rFonts w:ascii="Times New Roman" w:eastAsia="Calibri" w:hAnsi="Times New Roman" w:cs="Times New Roman"/>
          <w:sz w:val="24"/>
        </w:rPr>
        <w:t xml:space="preserve"> scientific matter relevant to a specific application</w:t>
      </w:r>
      <w:r>
        <w:rPr>
          <w:rFonts w:ascii="Times New Roman" w:eastAsia="Calibri" w:hAnsi="Times New Roman" w:cs="Times New Roman"/>
          <w:sz w:val="24"/>
        </w:rPr>
        <w:t>.</w:t>
      </w:r>
    </w:p>
    <w:p w:rsidR="00801852" w:rsidRDefault="00801852" w:rsidP="00801852">
      <w:pPr>
        <w:pStyle w:val="NumberedLista1"/>
        <w:numPr>
          <w:ilvl w:val="0"/>
          <w:numId w:val="3"/>
        </w:numPr>
        <w:rPr>
          <w:rFonts w:ascii="Times New Roman" w:eastAsia="Calibri" w:hAnsi="Times New Roman" w:cs="Times New Roman"/>
          <w:sz w:val="24"/>
        </w:rPr>
      </w:pPr>
      <w:proofErr w:type="gramStart"/>
      <w:r w:rsidRPr="00674CBA">
        <w:rPr>
          <w:rFonts w:ascii="Times New Roman" w:eastAsia="Calibri" w:hAnsi="Times New Roman" w:cs="Times New Roman"/>
          <w:sz w:val="24"/>
        </w:rPr>
        <w:t>a</w:t>
      </w:r>
      <w:proofErr w:type="gramEnd"/>
      <w:r w:rsidRPr="00674CBA">
        <w:rPr>
          <w:rFonts w:ascii="Times New Roman" w:eastAsia="Calibri" w:hAnsi="Times New Roman" w:cs="Times New Roman"/>
          <w:sz w:val="24"/>
        </w:rPr>
        <w:t xml:space="preserve"> specific aspect </w:t>
      </w:r>
      <w:r>
        <w:rPr>
          <w:rFonts w:ascii="Times New Roman" w:eastAsia="Calibri" w:hAnsi="Times New Roman" w:cs="Times New Roman"/>
          <w:sz w:val="24"/>
        </w:rPr>
        <w:t>of the conduct and design of a study.</w:t>
      </w:r>
    </w:p>
    <w:p w:rsidR="00801852" w:rsidRPr="00674CBA" w:rsidRDefault="00801852" w:rsidP="00801852">
      <w:pPr>
        <w:pStyle w:val="NumberedLista1"/>
        <w:numPr>
          <w:ilvl w:val="0"/>
          <w:numId w:val="3"/>
        </w:numPr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>d</w:t>
      </w:r>
      <w:r w:rsidRPr="00674CBA">
        <w:rPr>
          <w:rFonts w:ascii="Times New Roman" w:eastAsia="Calibri" w:hAnsi="Times New Roman" w:cs="Times New Roman"/>
          <w:sz w:val="24"/>
        </w:rPr>
        <w:t>evelopment</w:t>
      </w:r>
      <w:proofErr w:type="gramEnd"/>
      <w:r w:rsidRPr="00674CBA">
        <w:rPr>
          <w:rFonts w:ascii="Times New Roman" w:eastAsia="Calibri" w:hAnsi="Times New Roman" w:cs="Times New Roman"/>
          <w:sz w:val="24"/>
        </w:rPr>
        <w:t xml:space="preserve"> of an agreed project plan for a </w:t>
      </w:r>
      <w:proofErr w:type="spellStart"/>
      <w:r w:rsidRPr="00674CBA">
        <w:rPr>
          <w:rFonts w:ascii="Times New Roman" w:eastAsia="Calibri" w:hAnsi="Times New Roman" w:cs="Times New Roman"/>
          <w:sz w:val="24"/>
        </w:rPr>
        <w:t>ti</w:t>
      </w:r>
      <w:r>
        <w:rPr>
          <w:rFonts w:ascii="Times New Roman" w:eastAsia="Calibri" w:hAnsi="Times New Roman" w:cs="Times New Roman"/>
          <w:sz w:val="24"/>
        </w:rPr>
        <w:t>meshift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application (including Global Joint R</w:t>
      </w:r>
      <w:r w:rsidRPr="00674CBA">
        <w:rPr>
          <w:rFonts w:ascii="Times New Roman" w:eastAsia="Calibri" w:hAnsi="Times New Roman" w:cs="Times New Roman"/>
          <w:sz w:val="24"/>
        </w:rPr>
        <w:t>eview applications).</w:t>
      </w:r>
    </w:p>
    <w:p w:rsidR="00801852" w:rsidRDefault="00801852" w:rsidP="00801852">
      <w:pPr>
        <w:spacing w:after="240"/>
        <w:ind w:left="-1134" w:right="-285"/>
        <w:rPr>
          <w:b/>
          <w:i/>
        </w:rPr>
      </w:pPr>
    </w:p>
    <w:p w:rsidR="00801852" w:rsidRDefault="00801852" w:rsidP="00801852">
      <w:pPr>
        <w:spacing w:after="240"/>
        <w:ind w:left="-1134" w:right="-285"/>
        <w:rPr>
          <w:b/>
          <w:i/>
        </w:rPr>
      </w:pPr>
      <w:r>
        <w:rPr>
          <w:b/>
          <w:i/>
        </w:rPr>
        <w:t>Tier 3 pre-application assistance</w:t>
      </w:r>
    </w:p>
    <w:p w:rsidR="00801852" w:rsidRDefault="00801852" w:rsidP="00801852">
      <w:pPr>
        <w:pStyle w:val="ttMakingWords"/>
        <w:ind w:left="-1134" w:right="-285"/>
        <w:rPr>
          <w:rFonts w:eastAsia="Calibri"/>
        </w:rPr>
      </w:pPr>
      <w:r>
        <w:rPr>
          <w:rFonts w:eastAsia="Calibri"/>
        </w:rPr>
        <w:t xml:space="preserve">Tier 3 pre-application assistance includes all the aspects of Tier 1 and Tier 2 with further provision for applicants seeking </w:t>
      </w:r>
      <w:r w:rsidRPr="000642F8">
        <w:rPr>
          <w:rFonts w:eastAsia="Calibri"/>
          <w:b/>
        </w:rPr>
        <w:t>appraisal of the</w:t>
      </w:r>
      <w:r>
        <w:rPr>
          <w:rFonts w:eastAsia="Calibri"/>
          <w:b/>
        </w:rPr>
        <w:t xml:space="preserve"> specifics of conducting studies</w:t>
      </w:r>
      <w:r>
        <w:rPr>
          <w:rFonts w:eastAsia="Calibri"/>
        </w:rPr>
        <w:t xml:space="preserve"> and finalisation of project plans for Global Joint Reviews. It aims to provide </w:t>
      </w:r>
      <w:r w:rsidRPr="002C6462">
        <w:rPr>
          <w:rFonts w:eastAsia="Calibri"/>
        </w:rPr>
        <w:t>assistance</w:t>
      </w:r>
      <w:r>
        <w:rPr>
          <w:rFonts w:eastAsia="Calibri"/>
        </w:rPr>
        <w:t xml:space="preserve"> to applicants on:</w:t>
      </w:r>
    </w:p>
    <w:p w:rsidR="00801852" w:rsidRDefault="00801852" w:rsidP="00801852">
      <w:pPr>
        <w:spacing w:after="240"/>
        <w:ind w:left="-1134" w:right="-285"/>
        <w:rPr>
          <w:szCs w:val="24"/>
        </w:rPr>
      </w:pPr>
    </w:p>
    <w:p w:rsidR="00801852" w:rsidRPr="00DB4318" w:rsidRDefault="00801852" w:rsidP="00801852">
      <w:pPr>
        <w:pStyle w:val="ListParagraph"/>
        <w:numPr>
          <w:ilvl w:val="0"/>
          <w:numId w:val="4"/>
        </w:numPr>
        <w:spacing w:after="240"/>
        <w:ind w:right="-285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appraisal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of </w:t>
      </w:r>
      <w:r w:rsidRPr="00DB4318">
        <w:rPr>
          <w:rFonts w:ascii="Times New Roman" w:hAnsi="Times New Roman" w:cs="Times New Roman"/>
          <w:sz w:val="24"/>
          <w:szCs w:val="24"/>
          <w:lang w:eastAsia="en-US"/>
        </w:rPr>
        <w:t>a trial protocol</w:t>
      </w:r>
      <w:r>
        <w:rPr>
          <w:rFonts w:ascii="Times New Roman" w:hAnsi="Times New Roman" w:cs="Times New Roman"/>
          <w:sz w:val="24"/>
          <w:szCs w:val="24"/>
          <w:lang w:eastAsia="en-US"/>
        </w:rPr>
        <w:t>(s)</w:t>
      </w:r>
      <w:r w:rsidRPr="00DB43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before commencement of studies.</w:t>
      </w:r>
    </w:p>
    <w:p w:rsidR="00801852" w:rsidRDefault="00801852" w:rsidP="00801852">
      <w:pPr>
        <w:pStyle w:val="ListParagraph"/>
        <w:numPr>
          <w:ilvl w:val="0"/>
          <w:numId w:val="4"/>
        </w:numPr>
        <w:spacing w:after="240"/>
        <w:ind w:right="-285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DB4318">
        <w:rPr>
          <w:rFonts w:ascii="Times New Roman" w:hAnsi="Times New Roman" w:cs="Times New Roman"/>
          <w:sz w:val="24"/>
          <w:szCs w:val="24"/>
          <w:lang w:eastAsia="en-US"/>
        </w:rPr>
        <w:t>a</w:t>
      </w:r>
      <w:proofErr w:type="gramEnd"/>
      <w:r w:rsidRPr="00DB4318">
        <w:rPr>
          <w:rFonts w:ascii="Times New Roman" w:hAnsi="Times New Roman" w:cs="Times New Roman"/>
          <w:sz w:val="24"/>
          <w:szCs w:val="24"/>
          <w:lang w:eastAsia="en-US"/>
        </w:rPr>
        <w:t xml:space="preserve"> proposed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new </w:t>
      </w:r>
      <w:r w:rsidRPr="00DB4318">
        <w:rPr>
          <w:rFonts w:ascii="Times New Roman" w:hAnsi="Times New Roman" w:cs="Times New Roman"/>
          <w:sz w:val="24"/>
          <w:szCs w:val="24"/>
          <w:lang w:eastAsia="en-US"/>
        </w:rPr>
        <w:t xml:space="preserve">methodology </w:t>
      </w:r>
      <w:r>
        <w:rPr>
          <w:rFonts w:ascii="Times New Roman" w:hAnsi="Times New Roman" w:cs="Times New Roman"/>
          <w:sz w:val="24"/>
          <w:szCs w:val="24"/>
          <w:lang w:eastAsia="en-US"/>
        </w:rPr>
        <w:t>or variations to an existing guideline in generating data to support an application.</w:t>
      </w:r>
    </w:p>
    <w:p w:rsidR="00801852" w:rsidRPr="00DB4318" w:rsidRDefault="00801852" w:rsidP="00801852">
      <w:pPr>
        <w:pStyle w:val="ListParagraph"/>
        <w:numPr>
          <w:ilvl w:val="0"/>
          <w:numId w:val="4"/>
        </w:numPr>
        <w:spacing w:after="240"/>
        <w:ind w:right="-285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finalisation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of </w:t>
      </w:r>
      <w:r w:rsidRPr="00DB4318">
        <w:rPr>
          <w:rFonts w:ascii="Times New Roman" w:hAnsi="Times New Roman" w:cs="Times New Roman"/>
          <w:sz w:val="24"/>
          <w:szCs w:val="24"/>
          <w:lang w:eastAsia="en-US"/>
        </w:rPr>
        <w:t xml:space="preserve">project plans for </w:t>
      </w:r>
      <w:r>
        <w:rPr>
          <w:rFonts w:ascii="Times New Roman" w:hAnsi="Times New Roman" w:cs="Times New Roman"/>
          <w:sz w:val="24"/>
          <w:szCs w:val="24"/>
          <w:lang w:eastAsia="en-US"/>
        </w:rPr>
        <w:t>G</w:t>
      </w:r>
      <w:r w:rsidRPr="00DB4318">
        <w:rPr>
          <w:rFonts w:ascii="Times New Roman" w:hAnsi="Times New Roman" w:cs="Times New Roman"/>
          <w:sz w:val="24"/>
          <w:szCs w:val="24"/>
          <w:lang w:eastAsia="en-US"/>
        </w:rPr>
        <w:t xml:space="preserve">lobal </w:t>
      </w:r>
      <w:r>
        <w:rPr>
          <w:rFonts w:ascii="Times New Roman" w:hAnsi="Times New Roman" w:cs="Times New Roman"/>
          <w:sz w:val="24"/>
          <w:szCs w:val="24"/>
          <w:lang w:eastAsia="en-US"/>
        </w:rPr>
        <w:t>J</w:t>
      </w:r>
      <w:r w:rsidRPr="00DB4318">
        <w:rPr>
          <w:rFonts w:ascii="Times New Roman" w:hAnsi="Times New Roman" w:cs="Times New Roman"/>
          <w:sz w:val="24"/>
          <w:szCs w:val="24"/>
          <w:lang w:eastAsia="en-US"/>
        </w:rPr>
        <w:t xml:space="preserve">oint </w:t>
      </w:r>
      <w:r>
        <w:rPr>
          <w:rFonts w:ascii="Times New Roman" w:hAnsi="Times New Roman" w:cs="Times New Roman"/>
          <w:sz w:val="24"/>
          <w:szCs w:val="24"/>
          <w:lang w:eastAsia="en-US"/>
        </w:rPr>
        <w:t>R</w:t>
      </w:r>
      <w:r w:rsidRPr="00DB4318">
        <w:rPr>
          <w:rFonts w:ascii="Times New Roman" w:hAnsi="Times New Roman" w:cs="Times New Roman"/>
          <w:sz w:val="24"/>
          <w:szCs w:val="24"/>
          <w:lang w:eastAsia="en-US"/>
        </w:rPr>
        <w:t>eviews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01852" w:rsidRDefault="00801852" w:rsidP="00801852">
      <w:pPr>
        <w:rPr>
          <w:b/>
        </w:rPr>
      </w:pPr>
      <w:r>
        <w:rPr>
          <w:b/>
        </w:rPr>
        <w:br w:type="page"/>
      </w:r>
    </w:p>
    <w:p w:rsidR="00801852" w:rsidRPr="00674CBA" w:rsidRDefault="00801852" w:rsidP="00801852">
      <w:pPr>
        <w:spacing w:after="240"/>
        <w:ind w:left="-1134" w:right="-285"/>
        <w:rPr>
          <w:b/>
        </w:rPr>
      </w:pPr>
      <w:r>
        <w:rPr>
          <w:b/>
        </w:rPr>
        <w:lastRenderedPageBreak/>
        <w:t>Regulatory impact</w:t>
      </w:r>
    </w:p>
    <w:p w:rsidR="00801852" w:rsidRDefault="00801852" w:rsidP="00801852">
      <w:pPr>
        <w:spacing w:after="240"/>
        <w:ind w:left="-1134" w:right="-285"/>
      </w:pPr>
      <w:r w:rsidRPr="00305C70">
        <w:t xml:space="preserve">No Regulatory Impact Statement has been prepared for the </w:t>
      </w:r>
      <w:r>
        <w:t>Instrument. The Office of B</w:t>
      </w:r>
      <w:r w:rsidRPr="00305C70">
        <w:t xml:space="preserve">est Practice Regulations was consulted about this </w:t>
      </w:r>
      <w:r>
        <w:t>Instrument</w:t>
      </w:r>
      <w:r w:rsidRPr="00305C70">
        <w:t xml:space="preserve"> and has advised that no further analysis (in the form of a Regulatory Impact Statement) is </w:t>
      </w:r>
      <w:r>
        <w:t>required (OBPR ID: 19488</w:t>
      </w:r>
      <w:r w:rsidRPr="00305C70">
        <w:t>).</w:t>
      </w:r>
    </w:p>
    <w:p w:rsidR="00801852" w:rsidRDefault="00801852" w:rsidP="00801852">
      <w:pPr>
        <w:spacing w:after="240"/>
        <w:ind w:left="-1134" w:right="-285"/>
        <w:rPr>
          <w:b/>
        </w:rPr>
      </w:pPr>
      <w:r w:rsidRPr="00101D07">
        <w:rPr>
          <w:b/>
        </w:rPr>
        <w:t>Public consultation</w:t>
      </w:r>
    </w:p>
    <w:p w:rsidR="00801852" w:rsidRDefault="00801852" w:rsidP="00801852">
      <w:pPr>
        <w:spacing w:after="240"/>
        <w:ind w:left="-1134" w:right="-285"/>
        <w:rPr>
          <w:b/>
        </w:rPr>
      </w:pPr>
      <w:r w:rsidRPr="008267EB">
        <w:rPr>
          <w:szCs w:val="24"/>
          <w:lang w:eastAsia="en-AU"/>
        </w:rPr>
        <w:t xml:space="preserve">This </w:t>
      </w:r>
      <w:r>
        <w:rPr>
          <w:szCs w:val="24"/>
          <w:lang w:eastAsia="en-AU"/>
        </w:rPr>
        <w:t>Instrument</w:t>
      </w:r>
      <w:r w:rsidRPr="008267EB">
        <w:rPr>
          <w:szCs w:val="24"/>
          <w:lang w:eastAsia="en-AU"/>
        </w:rPr>
        <w:t xml:space="preserve"> was release</w:t>
      </w:r>
      <w:r>
        <w:rPr>
          <w:szCs w:val="24"/>
          <w:lang w:eastAsia="en-AU"/>
        </w:rPr>
        <w:t>d as a draft for consultation on the APVMA website.  P</w:t>
      </w:r>
      <w:r w:rsidRPr="008267EB">
        <w:rPr>
          <w:szCs w:val="24"/>
          <w:lang w:eastAsia="en-AU"/>
        </w:rPr>
        <w:t xml:space="preserve">ublic consultation </w:t>
      </w:r>
      <w:r>
        <w:rPr>
          <w:szCs w:val="24"/>
          <w:lang w:eastAsia="en-AU"/>
        </w:rPr>
        <w:t xml:space="preserve">was sought from </w:t>
      </w:r>
      <w:r>
        <w:rPr>
          <w:szCs w:val="24"/>
          <w:lang w:eastAsia="en-AU"/>
        </w:rPr>
        <w:t>7</w:t>
      </w:r>
      <w:r w:rsidRPr="00801852">
        <w:rPr>
          <w:szCs w:val="24"/>
          <w:lang w:eastAsia="en-AU"/>
        </w:rPr>
        <w:t xml:space="preserve"> </w:t>
      </w:r>
      <w:r>
        <w:rPr>
          <w:szCs w:val="24"/>
          <w:lang w:eastAsia="en-AU"/>
        </w:rPr>
        <w:t>September 2015 to 28</w:t>
      </w:r>
      <w:bookmarkStart w:id="0" w:name="_GoBack"/>
      <w:bookmarkEnd w:id="0"/>
      <w:r w:rsidRPr="00801852">
        <w:rPr>
          <w:szCs w:val="24"/>
          <w:lang w:eastAsia="en-AU"/>
        </w:rPr>
        <w:t xml:space="preserve"> September 2015.</w:t>
      </w:r>
      <w:r>
        <w:rPr>
          <w:szCs w:val="24"/>
          <w:lang w:eastAsia="en-AU"/>
        </w:rPr>
        <w:t xml:space="preserve"> </w:t>
      </w:r>
      <w:r w:rsidRPr="008267EB">
        <w:rPr>
          <w:szCs w:val="24"/>
          <w:lang w:eastAsia="en-AU"/>
        </w:rPr>
        <w:t>Industry and community stakeholder groups</w:t>
      </w:r>
      <w:r>
        <w:rPr>
          <w:szCs w:val="24"/>
          <w:lang w:eastAsia="en-AU"/>
        </w:rPr>
        <w:t xml:space="preserve"> were informed of the release. </w:t>
      </w:r>
      <w:r w:rsidRPr="008267EB">
        <w:rPr>
          <w:szCs w:val="24"/>
          <w:lang w:eastAsia="en-AU"/>
        </w:rPr>
        <w:t xml:space="preserve">Comments provided with respect to the content of the </w:t>
      </w:r>
      <w:r>
        <w:rPr>
          <w:szCs w:val="24"/>
          <w:lang w:eastAsia="en-AU"/>
        </w:rPr>
        <w:t>Instrument were taken into account in finalising the Instrument</w:t>
      </w:r>
      <w:r w:rsidRPr="008267EB">
        <w:rPr>
          <w:szCs w:val="24"/>
          <w:lang w:eastAsia="en-AU"/>
        </w:rPr>
        <w:t>.</w:t>
      </w:r>
    </w:p>
    <w:p w:rsidR="00801852" w:rsidRDefault="00801852" w:rsidP="00801852">
      <w:pPr>
        <w:spacing w:after="240"/>
        <w:ind w:left="-1134" w:right="-285"/>
        <w:rPr>
          <w:b/>
        </w:rPr>
      </w:pPr>
    </w:p>
    <w:p w:rsidR="00801852" w:rsidRDefault="00801852" w:rsidP="00801852">
      <w:pPr>
        <w:ind w:left="-1134" w:right="-285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801852" w:rsidRPr="00907E37" w:rsidRDefault="00801852" w:rsidP="00801852">
      <w:pPr>
        <w:spacing w:after="240"/>
        <w:ind w:left="-1134" w:right="-285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STATEMENT OF COMPATIBILITY WITH HUMAN RIGHTS</w:t>
      </w:r>
    </w:p>
    <w:p w:rsidR="00801852" w:rsidRPr="00907E37" w:rsidRDefault="00801852" w:rsidP="00801852">
      <w:pPr>
        <w:spacing w:after="240"/>
        <w:ind w:left="-1134" w:right="-285"/>
        <w:rPr>
          <w:rFonts w:eastAsia="Calibri"/>
          <w:szCs w:val="24"/>
        </w:rPr>
      </w:pPr>
      <w:r w:rsidRPr="00907E37">
        <w:rPr>
          <w:rFonts w:eastAsia="Calibri"/>
          <w:i/>
          <w:szCs w:val="24"/>
        </w:rPr>
        <w:t>Prepared in accordance with Part 3 of the Human Rights (Parliamentary Scrutiny) Act 2011</w:t>
      </w:r>
    </w:p>
    <w:p w:rsidR="00801852" w:rsidRPr="00CE26A2" w:rsidRDefault="00801852" w:rsidP="00801852">
      <w:pPr>
        <w:spacing w:after="240"/>
        <w:ind w:left="-1134" w:right="-285"/>
        <w:rPr>
          <w:b/>
          <w:i/>
        </w:rPr>
      </w:pPr>
      <w:r w:rsidRPr="0015419E">
        <w:rPr>
          <w:b/>
          <w:bCs/>
          <w:i/>
        </w:rPr>
        <w:t>Agricultural and Veterinary Chemicals</w:t>
      </w:r>
      <w:r w:rsidRPr="0015419E">
        <w:rPr>
          <w:b/>
          <w:i/>
        </w:rPr>
        <w:t xml:space="preserve"> </w:t>
      </w:r>
      <w:r>
        <w:rPr>
          <w:b/>
          <w:i/>
        </w:rPr>
        <w:t xml:space="preserve">Code Act </w:t>
      </w:r>
      <w:r w:rsidRPr="0015419E">
        <w:rPr>
          <w:b/>
          <w:i/>
        </w:rPr>
        <w:t>(</w:t>
      </w:r>
      <w:r>
        <w:rPr>
          <w:b/>
          <w:i/>
        </w:rPr>
        <w:t>Pre-application Assistance Fee</w:t>
      </w:r>
      <w:r w:rsidRPr="0015419E">
        <w:rPr>
          <w:b/>
          <w:i/>
        </w:rPr>
        <w:t xml:space="preserve">) </w:t>
      </w:r>
      <w:r>
        <w:rPr>
          <w:b/>
          <w:i/>
        </w:rPr>
        <w:t>Instrument 2015</w:t>
      </w:r>
    </w:p>
    <w:p w:rsidR="00801852" w:rsidRPr="00907E37" w:rsidRDefault="00801852" w:rsidP="00801852">
      <w:pPr>
        <w:spacing w:after="240"/>
        <w:ind w:left="-1134" w:right="-285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This </w:t>
      </w:r>
      <w:r w:rsidRPr="00907E37">
        <w:rPr>
          <w:rFonts w:eastAsia="Calibri"/>
          <w:szCs w:val="24"/>
        </w:rPr>
        <w:t xml:space="preserve">Legislative Instrument is compatible with the human rights and freedoms recognised or declared in the international instruments listed in section 3 of the </w:t>
      </w:r>
      <w:r w:rsidRPr="00907E37">
        <w:rPr>
          <w:rFonts w:eastAsia="Calibri"/>
          <w:i/>
          <w:szCs w:val="24"/>
        </w:rPr>
        <w:t>Human Rights (Parliamentary Scrutiny) Act 2011</w:t>
      </w:r>
      <w:r w:rsidRPr="00907E37">
        <w:rPr>
          <w:rFonts w:eastAsia="Calibri"/>
          <w:szCs w:val="24"/>
        </w:rPr>
        <w:t>.</w:t>
      </w:r>
    </w:p>
    <w:p w:rsidR="00801852" w:rsidRPr="00907E37" w:rsidRDefault="00801852" w:rsidP="00801852">
      <w:pPr>
        <w:spacing w:after="240"/>
        <w:ind w:left="-1134" w:right="-285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Overview of the </w:t>
      </w:r>
      <w:r w:rsidRPr="00907E37">
        <w:rPr>
          <w:rFonts w:eastAsia="Calibri"/>
          <w:b/>
          <w:szCs w:val="24"/>
        </w:rPr>
        <w:t>Legislative Instrument</w:t>
      </w:r>
    </w:p>
    <w:p w:rsidR="00801852" w:rsidRDefault="00801852" w:rsidP="00801852">
      <w:pPr>
        <w:spacing w:after="240"/>
        <w:ind w:left="-1134" w:right="-285"/>
        <w:rPr>
          <w:rFonts w:eastAsia="Calibri"/>
          <w:szCs w:val="24"/>
        </w:rPr>
      </w:pPr>
      <w:r>
        <w:rPr>
          <w:rFonts w:eastAsia="Calibri"/>
          <w:szCs w:val="24"/>
        </w:rPr>
        <w:t>The purpose of this Instrument is to:</w:t>
      </w:r>
    </w:p>
    <w:p w:rsidR="00801852" w:rsidRDefault="00801852" w:rsidP="00801852">
      <w:pPr>
        <w:pStyle w:val="ListParagraph"/>
        <w:numPr>
          <w:ilvl w:val="0"/>
          <w:numId w:val="2"/>
        </w:numPr>
        <w:spacing w:after="240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revoke the </w:t>
      </w:r>
      <w:r>
        <w:rPr>
          <w:rFonts w:ascii="Times New Roman" w:hAnsi="Times New Roman" w:cs="Times New Roman"/>
          <w:i/>
          <w:sz w:val="24"/>
          <w:szCs w:val="24"/>
        </w:rPr>
        <w:t xml:space="preserve">Agricultural and Veterinary Chemicals Code Regulations (Pre-application Assistance Fee) Instrument 2014 </w:t>
      </w:r>
      <w:r>
        <w:rPr>
          <w:rFonts w:ascii="Times New Roman" w:hAnsi="Times New Roman" w:cs="Times New Roman"/>
          <w:sz w:val="24"/>
          <w:szCs w:val="24"/>
        </w:rPr>
        <w:t>– which does not engage any of the applicable rights of freedoms – in respect of applications for pre-application assistance made before the commencement of this Legislative Instrument; and</w:t>
      </w:r>
    </w:p>
    <w:p w:rsidR="00801852" w:rsidRPr="008D0B18" w:rsidRDefault="00801852" w:rsidP="00801852">
      <w:pPr>
        <w:pStyle w:val="ListParagraph"/>
        <w:numPr>
          <w:ilvl w:val="0"/>
          <w:numId w:val="2"/>
        </w:numPr>
        <w:spacing w:after="240"/>
        <w:ind w:right="-28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 the criteria for working out which pre-application assistance fee applies under the </w:t>
      </w:r>
      <w:r>
        <w:rPr>
          <w:rFonts w:ascii="Times New Roman" w:hAnsi="Times New Roman" w:cs="Times New Roman"/>
          <w:i/>
          <w:sz w:val="24"/>
          <w:szCs w:val="24"/>
        </w:rPr>
        <w:t xml:space="preserve">Agricultural and Veterinary Chemicals Code Regulations 1995 </w:t>
      </w:r>
      <w:r>
        <w:rPr>
          <w:rFonts w:ascii="Times New Roman" w:hAnsi="Times New Roman" w:cs="Times New Roman"/>
          <w:sz w:val="24"/>
          <w:szCs w:val="24"/>
        </w:rPr>
        <w:t>in a particular case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01852" w:rsidRDefault="00801852" w:rsidP="00801852">
      <w:pPr>
        <w:spacing w:after="240"/>
        <w:ind w:left="-1134" w:right="-285"/>
      </w:pPr>
      <w:r>
        <w:rPr>
          <w:b/>
          <w:u w:val="single"/>
        </w:rPr>
        <w:t>Human rights implications</w:t>
      </w:r>
      <w:r>
        <w:t>.</w:t>
      </w:r>
    </w:p>
    <w:p w:rsidR="00801852" w:rsidRDefault="00801852" w:rsidP="00801852">
      <w:pPr>
        <w:spacing w:after="240"/>
        <w:ind w:left="-1134" w:right="-285"/>
      </w:pPr>
      <w:r>
        <w:t>The Instrument does not engage any of the applicable rights or freedoms.</w:t>
      </w:r>
    </w:p>
    <w:p w:rsidR="00801852" w:rsidRDefault="00801852" w:rsidP="00801852">
      <w:pPr>
        <w:spacing w:after="240"/>
        <w:ind w:left="-1134" w:right="-285"/>
      </w:pPr>
      <w:r>
        <w:rPr>
          <w:b/>
          <w:u w:val="single"/>
        </w:rPr>
        <w:t>Conclusion</w:t>
      </w:r>
    </w:p>
    <w:p w:rsidR="00801852" w:rsidRDefault="00801852" w:rsidP="00801852">
      <w:pPr>
        <w:spacing w:after="240"/>
        <w:ind w:left="-1134" w:right="-285"/>
      </w:pPr>
      <w:r>
        <w:t>The Instrument is compatible with human rights as it does not raise any human rights issues.</w:t>
      </w:r>
    </w:p>
    <w:p w:rsidR="00801852" w:rsidRDefault="00801852" w:rsidP="00801852">
      <w:pPr>
        <w:spacing w:after="240"/>
        <w:ind w:left="-1134" w:right="-285"/>
      </w:pPr>
    </w:p>
    <w:p w:rsidR="00801852" w:rsidRPr="00FF425C" w:rsidRDefault="00801852" w:rsidP="00801852">
      <w:pPr>
        <w:pStyle w:val="PlainParagraph"/>
        <w:spacing w:before="0" w:after="240" w:line="240" w:lineRule="auto"/>
        <w:ind w:left="-1134" w:right="-285"/>
      </w:pPr>
    </w:p>
    <w:p w:rsidR="00617856" w:rsidRDefault="00801852"/>
    <w:sectPr w:rsidR="00617856" w:rsidSect="00A819F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8C" w:rsidRDefault="00801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8C" w:rsidRDefault="00801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8C" w:rsidRDefault="0080185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8C" w:rsidRDefault="00801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8C" w:rsidRDefault="00801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8C" w:rsidRDefault="008018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C9E"/>
    <w:multiLevelType w:val="hybridMultilevel"/>
    <w:tmpl w:val="12B4F07C"/>
    <w:lvl w:ilvl="0" w:tplc="4AEE1D62">
      <w:start w:val="1"/>
      <w:numFmt w:val="lowerLetter"/>
      <w:lvlText w:val="(%1)"/>
      <w:lvlJc w:val="left"/>
      <w:pPr>
        <w:ind w:left="-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F3534CF"/>
    <w:multiLevelType w:val="multilevel"/>
    <w:tmpl w:val="17E03F5A"/>
    <w:lvl w:ilvl="0">
      <w:start w:val="1"/>
      <w:numFmt w:val="lowerLetter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" w15:restartNumberingAfterBreak="0">
    <w:nsid w:val="60EF0D47"/>
    <w:multiLevelType w:val="multilevel"/>
    <w:tmpl w:val="BF38734A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425"/>
      </w:pPr>
    </w:lvl>
    <w:lvl w:ilvl="5">
      <w:start w:val="1"/>
      <w:numFmt w:val="lowerLetter"/>
      <w:lvlText w:val="%6)"/>
      <w:lvlJc w:val="left"/>
      <w:pPr>
        <w:tabs>
          <w:tab w:val="num" w:pos="2126"/>
        </w:tabs>
        <w:ind w:left="2126" w:hanging="425"/>
      </w:pPr>
    </w:lvl>
    <w:lvl w:ilvl="6">
      <w:start w:val="1"/>
      <w:numFmt w:val="lowerLetter"/>
      <w:lvlText w:val="%7)"/>
      <w:lvlJc w:val="left"/>
      <w:pPr>
        <w:tabs>
          <w:tab w:val="num" w:pos="2551"/>
        </w:tabs>
        <w:ind w:left="2551" w:hanging="425"/>
      </w:pPr>
    </w:lvl>
    <w:lvl w:ilvl="7">
      <w:start w:val="1"/>
      <w:numFmt w:val="lowerLetter"/>
      <w:lvlText w:val="%8)"/>
      <w:lvlJc w:val="left"/>
      <w:pPr>
        <w:tabs>
          <w:tab w:val="num" w:pos="2977"/>
        </w:tabs>
        <w:ind w:left="2977" w:hanging="426"/>
      </w:pPr>
    </w:lvl>
    <w:lvl w:ilvl="8">
      <w:start w:val="1"/>
      <w:numFmt w:val="lowerLetter"/>
      <w:lvlText w:val="%9)"/>
      <w:lvlJc w:val="left"/>
      <w:pPr>
        <w:tabs>
          <w:tab w:val="num" w:pos="3402"/>
        </w:tabs>
        <w:ind w:left="3402" w:hanging="425"/>
      </w:pPr>
    </w:lvl>
  </w:abstractNum>
  <w:abstractNum w:abstractNumId="3" w15:restartNumberingAfterBreak="0">
    <w:nsid w:val="7EFA0C85"/>
    <w:multiLevelType w:val="hybridMultilevel"/>
    <w:tmpl w:val="DAAC9B2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52"/>
    <w:rsid w:val="00036905"/>
    <w:rsid w:val="00801852"/>
    <w:rsid w:val="0096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D20A4-B9E6-4DBA-BC06-32A5253F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9" w:unhideWhenUsed="1"/>
    <w:lsdException w:name="footer" w:semiHidden="1" w:uiPriority="2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Paragraph">
    <w:name w:val="Plain Paragraph"/>
    <w:aliases w:val="PP"/>
    <w:basedOn w:val="Normal"/>
    <w:link w:val="PlainParagraphChar"/>
    <w:qFormat/>
    <w:rsid w:val="00801852"/>
    <w:p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29"/>
    <w:rsid w:val="00801852"/>
    <w:pPr>
      <w:tabs>
        <w:tab w:val="right" w:pos="8220"/>
      </w:tabs>
      <w:spacing w:line="200" w:lineRule="atLeast"/>
    </w:pPr>
    <w:rPr>
      <w:rFonts w:ascii="Arial" w:hAnsi="Arial" w:cs="Arial"/>
      <w:sz w:val="16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29"/>
    <w:rsid w:val="00801852"/>
    <w:rPr>
      <w:rFonts w:ascii="Arial" w:eastAsia="Times New Roman" w:hAnsi="Arial" w:cs="Arial"/>
      <w:sz w:val="16"/>
      <w:lang w:eastAsia="en-AU"/>
    </w:rPr>
  </w:style>
  <w:style w:type="paragraph" w:styleId="Header">
    <w:name w:val="header"/>
    <w:basedOn w:val="Normal"/>
    <w:link w:val="HeaderChar"/>
    <w:uiPriority w:val="29"/>
    <w:rsid w:val="00801852"/>
    <w:pPr>
      <w:tabs>
        <w:tab w:val="right" w:pos="8220"/>
      </w:tabs>
      <w:spacing w:line="200" w:lineRule="atLeast"/>
    </w:pPr>
    <w:rPr>
      <w:rFonts w:ascii="Arial" w:hAnsi="Arial" w:cs="Arial"/>
      <w:sz w:val="20"/>
      <w:szCs w:val="22"/>
      <w:lang w:eastAsia="en-AU"/>
    </w:rPr>
  </w:style>
  <w:style w:type="character" w:customStyle="1" w:styleId="HeaderChar">
    <w:name w:val="Header Char"/>
    <w:basedOn w:val="DefaultParagraphFont"/>
    <w:link w:val="Header"/>
    <w:uiPriority w:val="29"/>
    <w:rsid w:val="00801852"/>
    <w:rPr>
      <w:rFonts w:ascii="Arial" w:eastAsia="Times New Roman" w:hAnsi="Arial" w:cs="Arial"/>
      <w:sz w:val="20"/>
      <w:lang w:eastAsia="en-AU"/>
    </w:rPr>
  </w:style>
  <w:style w:type="paragraph" w:customStyle="1" w:styleId="NumberedLista1">
    <w:name w:val="Numbered List: a) 1"/>
    <w:aliases w:val="a)"/>
    <w:basedOn w:val="Normal"/>
    <w:uiPriority w:val="8"/>
    <w:qFormat/>
    <w:rsid w:val="00801852"/>
    <w:p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styleId="ListParagraph">
    <w:name w:val="List Paragraph"/>
    <w:basedOn w:val="Normal"/>
    <w:uiPriority w:val="98"/>
    <w:rsid w:val="00801852"/>
    <w:pPr>
      <w:ind w:left="720"/>
    </w:pPr>
    <w:rPr>
      <w:rFonts w:ascii="Arial" w:hAnsi="Arial" w:cs="Arial"/>
      <w:sz w:val="22"/>
      <w:szCs w:val="22"/>
      <w:lang w:eastAsia="en-AU"/>
    </w:rPr>
  </w:style>
  <w:style w:type="character" w:customStyle="1" w:styleId="PlainParagraphChar">
    <w:name w:val="Plain Paragraph Char"/>
    <w:aliases w:val="PP Char"/>
    <w:basedOn w:val="DefaultParagraphFont"/>
    <w:link w:val="PlainParagraph"/>
    <w:rsid w:val="00801852"/>
    <w:rPr>
      <w:rFonts w:ascii="Arial" w:eastAsia="Times New Roman" w:hAnsi="Arial" w:cs="Arial"/>
      <w:lang w:eastAsia="en-AU"/>
    </w:rPr>
  </w:style>
  <w:style w:type="paragraph" w:customStyle="1" w:styleId="ttMakingWords">
    <w:name w:val="tt_Making_Words"/>
    <w:basedOn w:val="Normal"/>
    <w:qFormat/>
    <w:rsid w:val="00801852"/>
    <w:pPr>
      <w:spacing w:before="360"/>
      <w:jc w:val="both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Zeng</dc:creator>
  <cp:keywords/>
  <dc:description/>
  <cp:lastModifiedBy>HE, Zeng</cp:lastModifiedBy>
  <cp:revision>1</cp:revision>
  <dcterms:created xsi:type="dcterms:W3CDTF">2015-10-22T00:49:00Z</dcterms:created>
  <dcterms:modified xsi:type="dcterms:W3CDTF">2015-10-22T00:50:00Z</dcterms:modified>
</cp:coreProperties>
</file>