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C2" w:rsidRDefault="00AC02C2" w:rsidP="001A5AF5">
      <w:pPr>
        <w:pStyle w:val="Title"/>
        <w:spacing w:before="200" w:after="0" w:line="252" w:lineRule="auto"/>
      </w:pPr>
      <w:bookmarkStart w:id="0" w:name="_GoBack"/>
      <w:bookmarkEnd w:id="0"/>
    </w:p>
    <w:p w:rsidR="005B0E3A" w:rsidRDefault="005B0E3A" w:rsidP="001A5AF5">
      <w:pPr>
        <w:spacing w:before="200" w:after="0" w:line="252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221371">
        <w:rPr>
          <w:b/>
          <w:color w:val="000000"/>
          <w:spacing w:val="-1"/>
          <w:sz w:val="28"/>
        </w:rPr>
        <w:t>ASIC CORPORATIONS</w:t>
      </w:r>
      <w:r w:rsidR="005652C5">
        <w:rPr>
          <w:b/>
          <w:color w:val="000000"/>
          <w:spacing w:val="-1"/>
          <w:sz w:val="28"/>
        </w:rPr>
        <w:t xml:space="preserve"> (AMENDMENT) INSTRUMENT 2015/999</w:t>
      </w:r>
      <w:r>
        <w:rPr>
          <w:b/>
          <w:color w:val="000000"/>
          <w:spacing w:val="-1"/>
          <w:sz w:val="28"/>
        </w:rPr>
        <w:t xml:space="preserve"> </w:t>
      </w:r>
    </w:p>
    <w:p w:rsidR="005B0E3A" w:rsidRDefault="005B0E3A" w:rsidP="001A5AF5">
      <w:pPr>
        <w:pStyle w:val="BodyText"/>
        <w:spacing w:line="252" w:lineRule="auto"/>
        <w:jc w:val="center"/>
      </w:pPr>
      <w:r>
        <w:t>Prepared by the Australian Securities and Investments Commission</w:t>
      </w:r>
    </w:p>
    <w:p w:rsidR="005B0E3A" w:rsidRDefault="005B0E3A" w:rsidP="001A5AF5">
      <w:pPr>
        <w:spacing w:before="200" w:after="0" w:line="252" w:lineRule="auto"/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:rsidR="005B0E3A" w:rsidRDefault="005B0E3A" w:rsidP="001A5AF5">
      <w:pPr>
        <w:pStyle w:val="BodyText"/>
        <w:spacing w:line="252" w:lineRule="auto"/>
      </w:pPr>
      <w:r>
        <w:t xml:space="preserve">The Australian Securities and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Commission</w:t>
      </w:r>
      <w:r>
        <w:t xml:space="preserve"> (ASIC) </w:t>
      </w:r>
      <w:r>
        <w:rPr>
          <w:spacing w:val="-1"/>
        </w:rPr>
        <w:t>makes</w:t>
      </w:r>
      <w:r>
        <w:t xml:space="preserve"> </w:t>
      </w:r>
      <w:r w:rsidR="00E65F5B">
        <w:rPr>
          <w:i/>
        </w:rPr>
        <w:t xml:space="preserve">ASIC Corporations </w:t>
      </w:r>
      <w:r w:rsidR="003E5FA8">
        <w:rPr>
          <w:i/>
        </w:rPr>
        <w:t>(Amendment) Instrument 2015/999</w:t>
      </w:r>
      <w:r w:rsidR="00E65F5B">
        <w:rPr>
          <w:i/>
        </w:rPr>
        <w:t xml:space="preserve"> </w:t>
      </w:r>
      <w:r>
        <w:rPr>
          <w:color w:val="000000"/>
          <w:spacing w:val="-1"/>
        </w:rPr>
        <w:t xml:space="preserve">under </w:t>
      </w:r>
      <w:r w:rsidR="00E65F5B">
        <w:rPr>
          <w:color w:val="000000"/>
          <w:spacing w:val="-1"/>
        </w:rPr>
        <w:t xml:space="preserve">subsections 283GA(1), 601QA(1), 741(1), 926A(2), 992B(1) and 1020F(1) and paragraph 911A(2)(l) of the </w:t>
      </w:r>
      <w:r w:rsidR="0035312D">
        <w:rPr>
          <w:i/>
          <w:color w:val="000000"/>
          <w:spacing w:val="-1"/>
        </w:rPr>
        <w:t>Corporations Act 2001.</w:t>
      </w:r>
    </w:p>
    <w:p w:rsidR="00E65F5B" w:rsidRDefault="00E65F5B" w:rsidP="001A5AF5">
      <w:pPr>
        <w:spacing w:before="200" w:after="0" w:line="252" w:lineRule="auto"/>
      </w:pPr>
      <w:r>
        <w:rPr>
          <w:i/>
        </w:rPr>
        <w:t xml:space="preserve">ASIC Corporations </w:t>
      </w:r>
      <w:r w:rsidR="005652C5">
        <w:rPr>
          <w:i/>
        </w:rPr>
        <w:t>(Amendment) Instrument 2015/999</w:t>
      </w:r>
      <w:r w:rsidR="00DC5CFE">
        <w:rPr>
          <w:i/>
        </w:rPr>
        <w:t xml:space="preserve"> </w:t>
      </w:r>
      <w:r w:rsidR="005B0E3A" w:rsidRPr="00D503B8">
        <w:t>amends</w:t>
      </w:r>
      <w:r>
        <w:t xml:space="preserve"> </w:t>
      </w:r>
      <w:r w:rsidR="00D218A1">
        <w:t>ASIC Class Order [CO14/1001</w:t>
      </w:r>
      <w:r>
        <w:t xml:space="preserve">] </w:t>
      </w:r>
      <w:r>
        <w:rPr>
          <w:i/>
        </w:rPr>
        <w:t>Employee incentive schemes: Unlisted bodies</w:t>
      </w:r>
      <w:r w:rsidR="005B0E3A" w:rsidRPr="00D503B8">
        <w:t xml:space="preserve">. Under subsection 33(3) of the </w:t>
      </w:r>
      <w:r w:rsidR="005B0E3A" w:rsidRPr="00E65F5B">
        <w:rPr>
          <w:i/>
        </w:rPr>
        <w:t>Acts Interpretation Act</w:t>
      </w:r>
      <w:r w:rsidR="005B0E3A" w:rsidRPr="00D503B8">
        <w:t xml:space="preserve"> </w:t>
      </w:r>
      <w:r w:rsidR="005B0E3A" w:rsidRPr="00E65F5B">
        <w:rPr>
          <w:i/>
        </w:rPr>
        <w:t xml:space="preserve">1901 </w:t>
      </w:r>
      <w:r w:rsidR="005B0E3A" w:rsidRPr="00D503B8">
        <w:t xml:space="preserve">(as in force as at 1 January 2005 and as applicable to the relevant powers because of section 5C of the </w:t>
      </w:r>
      <w:r w:rsidRPr="00E65F5B">
        <w:rPr>
          <w:i/>
        </w:rPr>
        <w:t xml:space="preserve">Corporations </w:t>
      </w:r>
      <w:r w:rsidR="005B0E3A" w:rsidRPr="00E65F5B">
        <w:rPr>
          <w:i/>
        </w:rPr>
        <w:t>Act</w:t>
      </w:r>
      <w:r w:rsidRPr="00E65F5B">
        <w:rPr>
          <w:i/>
        </w:rPr>
        <w:t xml:space="preserve"> 2001</w:t>
      </w:r>
      <w:r w:rsidR="005B0E3A" w:rsidRPr="00D503B8">
        <w:t>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5B0E3A" w:rsidRPr="006907DF" w:rsidRDefault="005B0E3A" w:rsidP="001A5AF5">
      <w:pPr>
        <w:pStyle w:val="ListParagraph"/>
        <w:numPr>
          <w:ilvl w:val="0"/>
          <w:numId w:val="15"/>
        </w:numPr>
        <w:spacing w:before="200" w:after="0" w:line="252" w:lineRule="auto"/>
        <w:contextualSpacing w:val="0"/>
        <w:rPr>
          <w:rFonts w:eastAsia="Arial" w:hAnsi="Arial" w:cs="Arial"/>
          <w:b/>
          <w:szCs w:val="24"/>
        </w:rPr>
      </w:pPr>
      <w:bookmarkStart w:id="1" w:name="1._Background"/>
      <w:bookmarkEnd w:id="1"/>
      <w:r w:rsidRPr="006907DF">
        <w:rPr>
          <w:b/>
        </w:rPr>
        <w:t>Background</w:t>
      </w:r>
    </w:p>
    <w:p w:rsidR="00355087" w:rsidRDefault="00D218A1" w:rsidP="00D218A1">
      <w:pPr>
        <w:spacing w:before="200" w:after="0" w:line="252" w:lineRule="auto"/>
      </w:pPr>
      <w:r>
        <w:t>In October 2015</w:t>
      </w:r>
      <w:r w:rsidR="00AA5C7A">
        <w:t xml:space="preserve">, ASIC </w:t>
      </w:r>
      <w:r>
        <w:t xml:space="preserve">made </w:t>
      </w:r>
      <w:r>
        <w:rPr>
          <w:i/>
        </w:rPr>
        <w:t xml:space="preserve">ASIC Corporations (Amendment) Instrument 2015/943 </w:t>
      </w:r>
      <w:r w:rsidR="00AA5C7A">
        <w:t xml:space="preserve">which </w:t>
      </w:r>
      <w:r w:rsidR="003E5FA8">
        <w:t xml:space="preserve">made minor amendments to </w:t>
      </w:r>
      <w:r>
        <w:t xml:space="preserve">[CO14/1001]. </w:t>
      </w:r>
      <w:r w:rsidR="00355087">
        <w:t>[CO14/1001] provide</w:t>
      </w:r>
      <w:r>
        <w:t>s</w:t>
      </w:r>
      <w:r w:rsidR="00355087">
        <w:t xml:space="preserve"> relief to unlisted bodies who operate an employee incentive scheme from the requirement to comply with a range of requirements and restrictions under the Corporations Act relating to disclosure, financial services licensing, managed investment schemes, advertising, hawking and on-sale of securities. </w:t>
      </w:r>
    </w:p>
    <w:p w:rsidR="005B0E3A" w:rsidRPr="006907DF" w:rsidRDefault="00AA5C7A" w:rsidP="001A5AF5">
      <w:pPr>
        <w:spacing w:before="200" w:after="0" w:line="252" w:lineRule="auto"/>
        <w:rPr>
          <w:b/>
          <w:sz w:val="24"/>
          <w:szCs w:val="24"/>
        </w:rPr>
      </w:pPr>
      <w:r>
        <w:t xml:space="preserve">The explanatory statement to </w:t>
      </w:r>
      <w:r w:rsidR="00D218A1">
        <w:rPr>
          <w:i/>
        </w:rPr>
        <w:t xml:space="preserve">ASIC Corporations (Amendment) Instrument 2015/943 </w:t>
      </w:r>
      <w:r w:rsidR="00D218A1">
        <w:t>released in October 2015</w:t>
      </w:r>
      <w:r>
        <w:t xml:space="preserve"> provides further detail on the </w:t>
      </w:r>
      <w:r w:rsidR="00D218A1">
        <w:t>operation of that instrument</w:t>
      </w:r>
      <w:r>
        <w:t xml:space="preserve">. This explanatory statement sets out </w:t>
      </w:r>
      <w:r w:rsidR="00D218A1">
        <w:t>the purpose and operation of this additional</w:t>
      </w:r>
      <w:r>
        <w:t xml:space="preserve"> amending instrument. </w:t>
      </w:r>
    </w:p>
    <w:p w:rsidR="005B0E3A" w:rsidRPr="006907DF" w:rsidRDefault="005B0E3A" w:rsidP="001A5AF5">
      <w:pPr>
        <w:pStyle w:val="ListParagraph"/>
        <w:numPr>
          <w:ilvl w:val="0"/>
          <w:numId w:val="15"/>
        </w:numPr>
        <w:spacing w:before="200" w:after="0" w:line="252" w:lineRule="auto"/>
        <w:contextualSpacing w:val="0"/>
        <w:rPr>
          <w:rFonts w:eastAsia="Arial"/>
          <w:b/>
          <w:bCs/>
        </w:rPr>
      </w:pPr>
      <w:bookmarkStart w:id="2" w:name="2._Purpose_of_the_class_order_"/>
      <w:bookmarkEnd w:id="2"/>
      <w:r w:rsidRPr="006907DF">
        <w:rPr>
          <w:b/>
          <w:spacing w:val="-1"/>
        </w:rPr>
        <w:t>Purpose</w:t>
      </w:r>
      <w:r w:rsidRPr="006907DF">
        <w:rPr>
          <w:b/>
        </w:rPr>
        <w:t xml:space="preserve"> of </w:t>
      </w:r>
      <w:r w:rsidRPr="006907DF">
        <w:rPr>
          <w:b/>
          <w:spacing w:val="-1"/>
        </w:rPr>
        <w:t>the</w:t>
      </w:r>
      <w:r w:rsidRPr="006907DF">
        <w:rPr>
          <w:b/>
        </w:rPr>
        <w:t xml:space="preserve"> </w:t>
      </w:r>
      <w:r w:rsidRPr="006907DF">
        <w:rPr>
          <w:b/>
          <w:spacing w:val="-1"/>
        </w:rPr>
        <w:t>instrument</w:t>
      </w:r>
    </w:p>
    <w:p w:rsidR="005B0E3A" w:rsidRDefault="00301D29" w:rsidP="001A5AF5">
      <w:pPr>
        <w:spacing w:before="200" w:after="0" w:line="252" w:lineRule="auto"/>
        <w:rPr>
          <w:sz w:val="24"/>
          <w:szCs w:val="24"/>
        </w:rPr>
      </w:pPr>
      <w:r>
        <w:t xml:space="preserve">The purpose of </w:t>
      </w:r>
      <w:r>
        <w:rPr>
          <w:i/>
        </w:rPr>
        <w:t>ASIC Corporations</w:t>
      </w:r>
      <w:r w:rsidR="00994874">
        <w:rPr>
          <w:i/>
        </w:rPr>
        <w:t xml:space="preserve"> (Amendment) Instrument 2015/999</w:t>
      </w:r>
      <w:r>
        <w:rPr>
          <w:i/>
        </w:rPr>
        <w:t xml:space="preserve"> </w:t>
      </w:r>
      <w:r>
        <w:t xml:space="preserve">is to </w:t>
      </w:r>
      <w:r w:rsidR="00384126">
        <w:t>remove</w:t>
      </w:r>
      <w:r w:rsidR="00D218A1">
        <w:t xml:space="preserve"> a reference </w:t>
      </w:r>
      <w:r w:rsidR="00384126">
        <w:t xml:space="preserve">in [CO14/1001] </w:t>
      </w:r>
      <w:r w:rsidR="00D218A1">
        <w:t>to</w:t>
      </w:r>
      <w:r w:rsidR="005420B9">
        <w:t xml:space="preserve"> a listed company</w:t>
      </w:r>
      <w:r w:rsidR="00D218A1">
        <w:t xml:space="preserve"> </w:t>
      </w:r>
      <w:r w:rsidR="00994874">
        <w:t xml:space="preserve">which was inadvertently inserted as a result of the operation of </w:t>
      </w:r>
      <w:r w:rsidR="00994874">
        <w:rPr>
          <w:i/>
        </w:rPr>
        <w:t xml:space="preserve">ASIC Corporations (Amendment) Instrument 2015/943. </w:t>
      </w:r>
      <w:r w:rsidR="00384126">
        <w:t xml:space="preserve">[CO14/1001] deals exclusively with unlisted companies and not listed companies. </w:t>
      </w:r>
      <w:r w:rsidR="003A2832">
        <w:t xml:space="preserve"> </w:t>
      </w:r>
      <w:r>
        <w:t xml:space="preserve"> </w:t>
      </w:r>
    </w:p>
    <w:p w:rsidR="005B0E3A" w:rsidRPr="00384126" w:rsidRDefault="005B0E3A" w:rsidP="001A5AF5">
      <w:pPr>
        <w:pStyle w:val="ListParagraph"/>
        <w:numPr>
          <w:ilvl w:val="0"/>
          <w:numId w:val="15"/>
        </w:numPr>
        <w:spacing w:before="200" w:after="0" w:line="252" w:lineRule="auto"/>
        <w:contextualSpacing w:val="0"/>
        <w:rPr>
          <w:rFonts w:eastAsia="Arial"/>
          <w:b/>
          <w:bCs/>
        </w:rPr>
      </w:pPr>
      <w:bookmarkStart w:id="3" w:name="3._Operation_of_the_class_order_"/>
      <w:bookmarkEnd w:id="3"/>
      <w:r w:rsidRPr="00E23497">
        <w:rPr>
          <w:b/>
          <w:spacing w:val="-1"/>
        </w:rPr>
        <w:t>Operation</w:t>
      </w:r>
      <w:r w:rsidRPr="00E23497">
        <w:rPr>
          <w:b/>
        </w:rPr>
        <w:t xml:space="preserve"> </w:t>
      </w:r>
      <w:r w:rsidRPr="00E23497">
        <w:rPr>
          <w:b/>
          <w:spacing w:val="-1"/>
        </w:rPr>
        <w:t>of</w:t>
      </w:r>
      <w:r w:rsidRPr="00E23497">
        <w:rPr>
          <w:b/>
        </w:rPr>
        <w:t xml:space="preserve"> </w:t>
      </w:r>
      <w:r w:rsidRPr="00E23497">
        <w:rPr>
          <w:b/>
          <w:spacing w:val="-1"/>
        </w:rPr>
        <w:t>the</w:t>
      </w:r>
      <w:r w:rsidRPr="00E23497">
        <w:rPr>
          <w:b/>
        </w:rPr>
        <w:t xml:space="preserve"> instrument</w:t>
      </w:r>
    </w:p>
    <w:p w:rsidR="00384126" w:rsidRPr="00384126" w:rsidRDefault="00384126" w:rsidP="00384126">
      <w:pPr>
        <w:spacing w:before="200" w:after="0" w:line="252" w:lineRule="auto"/>
        <w:rPr>
          <w:rFonts w:eastAsia="Arial"/>
          <w:bCs/>
        </w:rPr>
      </w:pPr>
      <w:r>
        <w:rPr>
          <w:i/>
        </w:rPr>
        <w:t>ASIC Corporations (Amendment) Instrument 2015/999</w:t>
      </w:r>
      <w:r>
        <w:t xml:space="preserve"> amends </w:t>
      </w:r>
      <w:r w:rsidRPr="005420B9">
        <w:t xml:space="preserve">paragraph </w:t>
      </w:r>
      <w:r w:rsidR="005420B9" w:rsidRPr="005420B9">
        <w:t>28</w:t>
      </w:r>
      <w:r>
        <w:t xml:space="preserve"> of [CO14/1001] to refer to</w:t>
      </w:r>
      <w:r w:rsidR="005420B9">
        <w:t xml:space="preserve"> an</w:t>
      </w:r>
      <w:r>
        <w:t xml:space="preserve"> unlisted </w:t>
      </w:r>
      <w:r w:rsidR="005420B9">
        <w:t xml:space="preserve">body </w:t>
      </w:r>
      <w:r>
        <w:t xml:space="preserve">instead of </w:t>
      </w:r>
      <w:r w:rsidR="005420B9">
        <w:t xml:space="preserve">a </w:t>
      </w:r>
      <w:r>
        <w:t xml:space="preserve">listed </w:t>
      </w:r>
      <w:r w:rsidR="005420B9">
        <w:t>body</w:t>
      </w:r>
      <w:r>
        <w:t xml:space="preserve">. </w:t>
      </w:r>
    </w:p>
    <w:p w:rsidR="005B0E3A" w:rsidRPr="004749A2" w:rsidRDefault="005B0E3A" w:rsidP="001A5AF5">
      <w:pPr>
        <w:pStyle w:val="ListParagraph"/>
        <w:numPr>
          <w:ilvl w:val="0"/>
          <w:numId w:val="15"/>
        </w:numPr>
        <w:spacing w:before="200" w:after="0" w:line="252" w:lineRule="auto"/>
        <w:contextualSpacing w:val="0"/>
        <w:rPr>
          <w:rFonts w:eastAsia="Arial"/>
          <w:b/>
          <w:bCs/>
        </w:rPr>
      </w:pPr>
      <w:bookmarkStart w:id="4" w:name="4._Documents_incorporated_by_reference"/>
      <w:bookmarkStart w:id="5" w:name="5._Consultation"/>
      <w:bookmarkEnd w:id="4"/>
      <w:bookmarkEnd w:id="5"/>
      <w:r w:rsidRPr="004749A2">
        <w:rPr>
          <w:b/>
        </w:rPr>
        <w:t>Consultation</w:t>
      </w:r>
    </w:p>
    <w:p w:rsidR="005B0E3A" w:rsidRDefault="00384126" w:rsidP="001A5AF5">
      <w:pPr>
        <w:spacing w:before="200" w:after="0" w:line="252" w:lineRule="auto"/>
      </w:pPr>
      <w:r>
        <w:t>C</w:t>
      </w:r>
      <w:r w:rsidR="004749A2">
        <w:t>onsultation was not cond</w:t>
      </w:r>
      <w:r>
        <w:t xml:space="preserve">ucted in relation to </w:t>
      </w:r>
      <w:r>
        <w:rPr>
          <w:i/>
        </w:rPr>
        <w:t>ASIC Corporations (Amendment) Instrument 2015/999</w:t>
      </w:r>
      <w:r>
        <w:t>, because the amendment is</w:t>
      </w:r>
      <w:r w:rsidR="004749A2">
        <w:t xml:space="preserve"> </w:t>
      </w:r>
      <w:r w:rsidR="0043132A">
        <w:t>minor and machinery in nature</w:t>
      </w:r>
      <w:r>
        <w:t xml:space="preserve">. </w:t>
      </w:r>
    </w:p>
    <w:p w:rsidR="005B0E3A" w:rsidRDefault="005B0E3A" w:rsidP="001A6916">
      <w:pPr>
        <w:pStyle w:val="Bodytextplain"/>
        <w:spacing w:line="252" w:lineRule="auto"/>
        <w:ind w:left="0"/>
        <w:sectPr w:rsidR="005B0E3A" w:rsidSect="00A33E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:rsidR="000076D6" w:rsidRDefault="000076D6" w:rsidP="001A5AF5">
      <w:pPr>
        <w:spacing w:before="200" w:after="0" w:line="252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DA03D" wp14:editId="1718E701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0076D6" w:rsidRPr="00247F54" w:rsidRDefault="0035312D" w:rsidP="000076D6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i/>
                              </w:rPr>
                              <w:t>ASIC Corporations</w:t>
                            </w:r>
                            <w:r w:rsidR="00384126">
                              <w:rPr>
                                <w:i/>
                              </w:rPr>
                              <w:t xml:space="preserve"> (Amendment) Instrument 2015/999</w:t>
                            </w:r>
                          </w:p>
                          <w:p w:rsidR="000076D6" w:rsidRPr="00247F54" w:rsidRDefault="0035312D" w:rsidP="0035312D">
                            <w:pPr>
                              <w:spacing w:before="120" w:after="120"/>
                            </w:pPr>
                            <w:r>
                              <w:rPr>
                                <w:i/>
                              </w:rPr>
                              <w:t xml:space="preserve">ASIC Corporations (Amendment) Instrument </w:t>
                            </w:r>
                            <w:r w:rsidR="00384126">
                              <w:rPr>
                                <w:i/>
                              </w:rPr>
                              <w:t>2015/999</w:t>
                            </w:r>
                            <w:r>
                              <w:t xml:space="preserve">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:rsidR="000076D6" w:rsidRPr="00782FFB" w:rsidRDefault="00782FFB" w:rsidP="000076D6">
                            <w:pPr>
                              <w:spacing w:before="120" w:after="120"/>
                            </w:pPr>
                            <w:r>
                              <w:rPr>
                                <w:i/>
                              </w:rPr>
                              <w:t>ASIC Corporations</w:t>
                            </w:r>
                            <w:r w:rsidR="00384126">
                              <w:rPr>
                                <w:i/>
                              </w:rPr>
                              <w:t xml:space="preserve"> (Amendment) Instrument 2015/999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makes </w:t>
                            </w:r>
                            <w:r w:rsidR="00384126">
                              <w:t xml:space="preserve">a </w:t>
                            </w:r>
                            <w:r>
                              <w:t xml:space="preserve">minor and machinery amendment to </w:t>
                            </w:r>
                            <w:r w:rsidRPr="00782FFB">
                              <w:t>ASIC</w:t>
                            </w:r>
                            <w:r>
                              <w:t xml:space="preserve"> Class Order </w:t>
                            </w:r>
                            <w:r w:rsidR="00384126">
                              <w:t>[</w:t>
                            </w:r>
                            <w:r>
                              <w:t>CO14/1001]</w:t>
                            </w:r>
                            <w:r w:rsidR="00384126">
                              <w:t xml:space="preserve"> </w:t>
                            </w:r>
                            <w:r w:rsidR="00384126">
                              <w:rPr>
                                <w:i/>
                              </w:rPr>
                              <w:t xml:space="preserve">Employee incentive schemes: Unlisted bodies </w:t>
                            </w:r>
                            <w:r w:rsidR="00384126">
                              <w:t>to correct a typographical error. [CO14/1001] applies</w:t>
                            </w:r>
                            <w:r>
                              <w:t xml:space="preserve"> to employee incentive schemes of unlisted bodies, and give</w:t>
                            </w:r>
                            <w:r w:rsidR="00384126">
                              <w:t>s</w:t>
                            </w:r>
                            <w:r>
                              <w:t xml:space="preserve"> relief from requirements in the </w:t>
                            </w:r>
                            <w:r>
                              <w:rPr>
                                <w:i/>
                              </w:rPr>
                              <w:t>Corporations Act 2001</w:t>
                            </w:r>
                            <w:r>
                              <w:t xml:space="preserve"> in relation to product disclosure, financial services licensing, hawking and advertising in connection with offers of financial products made under an employee incentive scheme.</w:t>
                            </w:r>
                          </w:p>
                          <w:p w:rsidR="000076D6" w:rsidRPr="00883DB6" w:rsidRDefault="000076D6" w:rsidP="000076D6">
                            <w:pPr>
                              <w:spacing w:before="120" w:after="120"/>
                            </w:pP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:rsidR="000076D6" w:rsidRPr="00247F54" w:rsidRDefault="00782FFB" w:rsidP="000076D6">
                            <w:pPr>
                              <w:spacing w:before="120" w:after="120"/>
                            </w:pPr>
                            <w:r>
                              <w:rPr>
                                <w:i/>
                              </w:rPr>
                              <w:t>ASIC Corporations</w:t>
                            </w:r>
                            <w:r w:rsidR="00384126">
                              <w:rPr>
                                <w:i/>
                              </w:rPr>
                              <w:t xml:space="preserve"> (Amendment) Instrument 2015/999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076D6" w:rsidRPr="00247F54">
                              <w:t>does not engage any of the applicable rights or freedoms.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</w:pP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:rsidR="000076D6" w:rsidRPr="00247F54" w:rsidRDefault="00782FFB" w:rsidP="000076D6">
                            <w:pPr>
                              <w:spacing w:before="120" w:after="120"/>
                            </w:pPr>
                            <w:r>
                              <w:rPr>
                                <w:i/>
                              </w:rPr>
                              <w:t>ASIC Corporations</w:t>
                            </w:r>
                            <w:r w:rsidR="00384126">
                              <w:rPr>
                                <w:i/>
                              </w:rPr>
                              <w:t xml:space="preserve"> (Amendment) Instrument 2015/999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076D6" w:rsidRPr="00247F54">
                              <w:t>is compatible with human rights as it does not raise any human rights issues.</w:t>
                            </w:r>
                          </w:p>
                          <w:p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E4135E" w:rsidRDefault="00782FFB" w:rsidP="000076D6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Australian Securities and Investments Com</w:t>
                            </w:r>
                            <w:r w:rsidR="001A5AF5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:rsidR="000076D6" w:rsidRPr="00247F54" w:rsidRDefault="0035312D" w:rsidP="000076D6">
                      <w:pPr>
                        <w:spacing w:before="120" w:after="120"/>
                        <w:jc w:val="center"/>
                      </w:pPr>
                      <w:r>
                        <w:rPr>
                          <w:i/>
                        </w:rPr>
                        <w:t>ASIC Corporations</w:t>
                      </w:r>
                      <w:r w:rsidR="00384126">
                        <w:rPr>
                          <w:i/>
                        </w:rPr>
                        <w:t xml:space="preserve"> (Amendment) Instrument 2015/999</w:t>
                      </w:r>
                    </w:p>
                    <w:p w:rsidR="000076D6" w:rsidRPr="00247F54" w:rsidRDefault="0035312D" w:rsidP="0035312D">
                      <w:pPr>
                        <w:spacing w:before="120" w:after="120"/>
                      </w:pPr>
                      <w:r>
                        <w:rPr>
                          <w:i/>
                        </w:rPr>
                        <w:t xml:space="preserve">ASIC Corporations (Amendment) Instrument </w:t>
                      </w:r>
                      <w:r w:rsidR="00384126">
                        <w:rPr>
                          <w:i/>
                        </w:rPr>
                        <w:t>2015/999</w:t>
                      </w:r>
                      <w:r>
                        <w:t xml:space="preserve">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:rsidR="000076D6" w:rsidRPr="00782FFB" w:rsidRDefault="00782FFB" w:rsidP="000076D6">
                      <w:pPr>
                        <w:spacing w:before="120" w:after="120"/>
                      </w:pPr>
                      <w:r>
                        <w:rPr>
                          <w:i/>
                        </w:rPr>
                        <w:t>ASIC Corporations</w:t>
                      </w:r>
                      <w:r w:rsidR="00384126">
                        <w:rPr>
                          <w:i/>
                        </w:rPr>
                        <w:t xml:space="preserve"> (Amendment) Instrument 2015/999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makes </w:t>
                      </w:r>
                      <w:r w:rsidR="00384126">
                        <w:t xml:space="preserve">a </w:t>
                      </w:r>
                      <w:r>
                        <w:t xml:space="preserve">minor and machinery amendment to </w:t>
                      </w:r>
                      <w:r w:rsidRPr="00782FFB">
                        <w:t>ASIC</w:t>
                      </w:r>
                      <w:r>
                        <w:t xml:space="preserve"> Class Order </w:t>
                      </w:r>
                      <w:r w:rsidR="00384126">
                        <w:t>[</w:t>
                      </w:r>
                      <w:r>
                        <w:t>CO14/1001]</w:t>
                      </w:r>
                      <w:r w:rsidR="00384126">
                        <w:t xml:space="preserve"> </w:t>
                      </w:r>
                      <w:r w:rsidR="00384126">
                        <w:rPr>
                          <w:i/>
                        </w:rPr>
                        <w:t xml:space="preserve">Employee incentive schemes: Unlisted bodies </w:t>
                      </w:r>
                      <w:r w:rsidR="00384126">
                        <w:t>to correct a typographical error. [CO14/1001] applies</w:t>
                      </w:r>
                      <w:r>
                        <w:t xml:space="preserve"> to employee incentive schemes of unlisted bodies, and give</w:t>
                      </w:r>
                      <w:r w:rsidR="00384126">
                        <w:t>s</w:t>
                      </w:r>
                      <w:r>
                        <w:t xml:space="preserve"> relief from requirements in the </w:t>
                      </w:r>
                      <w:r>
                        <w:rPr>
                          <w:i/>
                        </w:rPr>
                        <w:t>Corporations Act 2001</w:t>
                      </w:r>
                      <w:r>
                        <w:t xml:space="preserve"> in relation to product disclosure, financial services licensing, hawking and advertising in connection with offers of financial products made under an employee incentive scheme.</w:t>
                      </w:r>
                    </w:p>
                    <w:p w:rsidR="000076D6" w:rsidRPr="00883DB6" w:rsidRDefault="000076D6" w:rsidP="000076D6">
                      <w:pPr>
                        <w:spacing w:before="120" w:after="120"/>
                      </w:pPr>
                    </w:p>
                    <w:p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:rsidR="000076D6" w:rsidRPr="00247F54" w:rsidRDefault="00782FFB" w:rsidP="000076D6">
                      <w:pPr>
                        <w:spacing w:before="120" w:after="120"/>
                      </w:pPr>
                      <w:r>
                        <w:rPr>
                          <w:i/>
                        </w:rPr>
                        <w:t>ASIC Corporations</w:t>
                      </w:r>
                      <w:r w:rsidR="00384126">
                        <w:rPr>
                          <w:i/>
                        </w:rPr>
                        <w:t xml:space="preserve"> (Amendment) Instrument 2015/999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0076D6" w:rsidRPr="00247F54">
                        <w:t>does not engage any of the applicable rights or freedoms.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</w:pPr>
                    </w:p>
                    <w:p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:rsidR="000076D6" w:rsidRPr="00247F54" w:rsidRDefault="00782FFB" w:rsidP="000076D6">
                      <w:pPr>
                        <w:spacing w:before="120" w:after="120"/>
                      </w:pPr>
                      <w:r>
                        <w:rPr>
                          <w:i/>
                        </w:rPr>
                        <w:t>ASIC Corporations</w:t>
                      </w:r>
                      <w:r w:rsidR="00384126">
                        <w:rPr>
                          <w:i/>
                        </w:rPr>
                        <w:t xml:space="preserve"> (Amendment) Instrument 2015/999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0076D6" w:rsidRPr="00247F54">
                        <w:t>is compatible with human rights as it does not raise any human rights issues.</w:t>
                      </w:r>
                    </w:p>
                    <w:p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E4135E" w:rsidRDefault="00782FFB" w:rsidP="000076D6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</w:rPr>
                        <w:t>Australian Securities and Investments Com</w:t>
                      </w:r>
                      <w:r w:rsidR="001A5AF5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ission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B3" w:rsidRDefault="00CF43B3">
      <w:pPr>
        <w:spacing w:after="0"/>
      </w:pPr>
      <w:r>
        <w:separator/>
      </w:r>
    </w:p>
  </w:endnote>
  <w:endnote w:type="continuationSeparator" w:id="0">
    <w:p w:rsidR="00CF43B3" w:rsidRDefault="00CF43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C27A4B" w:rsidRDefault="002039C9">
    <w:pPr>
      <w:pStyle w:val="Footer"/>
      <w:ind w:right="360"/>
    </w:pPr>
  </w:p>
  <w:p w:rsidR="00C27A4B" w:rsidRDefault="002039C9"/>
  <w:p w:rsidR="00C27A4B" w:rsidRDefault="002039C9"/>
  <w:p w:rsidR="00C27A4B" w:rsidRDefault="002039C9"/>
  <w:p w:rsidR="00C27A4B" w:rsidRDefault="002039C9"/>
  <w:p w:rsidR="00C27A4B" w:rsidRDefault="002039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06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916" w:rsidRDefault="001A691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916" w:rsidRDefault="001A6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B3" w:rsidRDefault="00CF43B3">
      <w:pPr>
        <w:spacing w:after="0"/>
      </w:pPr>
      <w:r>
        <w:separator/>
      </w:r>
    </w:p>
  </w:footnote>
  <w:footnote w:type="continuationSeparator" w:id="0">
    <w:p w:rsidR="00CF43B3" w:rsidRDefault="00CF43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2039C9"/>
  <w:p w:rsidR="00C27A4B" w:rsidRDefault="002039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E245A7">
    <w:pPr>
      <w:pStyle w:val="Footer"/>
      <w:pBdr>
        <w:bottom w:val="single" w:sz="4" w:space="1" w:color="117DC7"/>
      </w:pBdr>
      <w:jc w:val="right"/>
      <w:rPr>
        <w:color w:val="117DC7"/>
      </w:rPr>
    </w:pPr>
    <w:r>
      <w:t>Explanatory statement: ASIC Corporatio</w:t>
    </w:r>
    <w:r w:rsidR="005652C5">
      <w:t>ns (Amendment) Instrument 15/999</w:t>
    </w:r>
  </w:p>
  <w:p w:rsidR="00C27A4B" w:rsidRDefault="002039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9">
    <w:nsid w:val="42085C5C"/>
    <w:multiLevelType w:val="hybridMultilevel"/>
    <w:tmpl w:val="576C4480"/>
    <w:lvl w:ilvl="0" w:tplc="0F0CA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4">
    <w:nsid w:val="6FCE70E0"/>
    <w:multiLevelType w:val="hybridMultilevel"/>
    <w:tmpl w:val="9738C996"/>
    <w:lvl w:ilvl="0" w:tplc="0C09000F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76D6"/>
    <w:rsid w:val="000B4D6E"/>
    <w:rsid w:val="000D596F"/>
    <w:rsid w:val="00120F90"/>
    <w:rsid w:val="001A5AF5"/>
    <w:rsid w:val="001A6916"/>
    <w:rsid w:val="001E4414"/>
    <w:rsid w:val="002039C9"/>
    <w:rsid w:val="00221371"/>
    <w:rsid w:val="00246B04"/>
    <w:rsid w:val="00263061"/>
    <w:rsid w:val="00264366"/>
    <w:rsid w:val="002B61DD"/>
    <w:rsid w:val="00301D29"/>
    <w:rsid w:val="0031721A"/>
    <w:rsid w:val="00346D30"/>
    <w:rsid w:val="0035312D"/>
    <w:rsid w:val="00355087"/>
    <w:rsid w:val="00384126"/>
    <w:rsid w:val="00386AFD"/>
    <w:rsid w:val="003A2832"/>
    <w:rsid w:val="003E5FA8"/>
    <w:rsid w:val="0043132A"/>
    <w:rsid w:val="004749A2"/>
    <w:rsid w:val="00497E5F"/>
    <w:rsid w:val="004B2C53"/>
    <w:rsid w:val="00515152"/>
    <w:rsid w:val="005420B9"/>
    <w:rsid w:val="005652C5"/>
    <w:rsid w:val="00573C60"/>
    <w:rsid w:val="00593642"/>
    <w:rsid w:val="005953D4"/>
    <w:rsid w:val="005B0E3A"/>
    <w:rsid w:val="005D077E"/>
    <w:rsid w:val="005D0F8F"/>
    <w:rsid w:val="006203D3"/>
    <w:rsid w:val="006907DF"/>
    <w:rsid w:val="00782FFB"/>
    <w:rsid w:val="008042F5"/>
    <w:rsid w:val="00855505"/>
    <w:rsid w:val="008A15C0"/>
    <w:rsid w:val="008E7821"/>
    <w:rsid w:val="00994874"/>
    <w:rsid w:val="00A01EF7"/>
    <w:rsid w:val="00A4151D"/>
    <w:rsid w:val="00AA5C7A"/>
    <w:rsid w:val="00AC02C2"/>
    <w:rsid w:val="00BA5E73"/>
    <w:rsid w:val="00CC2D11"/>
    <w:rsid w:val="00CF43B3"/>
    <w:rsid w:val="00CF4ED1"/>
    <w:rsid w:val="00D218A1"/>
    <w:rsid w:val="00DC15C4"/>
    <w:rsid w:val="00DC5CFE"/>
    <w:rsid w:val="00DD49AA"/>
    <w:rsid w:val="00E23497"/>
    <w:rsid w:val="00E245A7"/>
    <w:rsid w:val="00E26C77"/>
    <w:rsid w:val="00E65F5B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uiPriority w:val="99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uiPriority w:val="99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F561-C0CC-47A8-B21F-764092EE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merrill.murray</cp:lastModifiedBy>
  <cp:revision>2</cp:revision>
  <cp:lastPrinted>2015-11-02T23:05:00Z</cp:lastPrinted>
  <dcterms:created xsi:type="dcterms:W3CDTF">2015-11-02T23:05:00Z</dcterms:created>
  <dcterms:modified xsi:type="dcterms:W3CDTF">2015-11-02T23:05:00Z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A4642379</vt:lpwstr>
  </property>
  <property fmtid="{D5CDD505-2E9C-101B-9397-08002B2CF9AE}" pid="4" name="Objective-Title">
    <vt:lpwstr>Explanatory Statement to amending instrument 2015-999 - 20151102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2015-11-02T00:03:06Z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2015-11-02T04:13:11Z</vt:filetime>
  </property>
  <property fmtid="{D5CDD505-2E9C-101B-9397-08002B2CF9AE}" pid="11" name="Objective-Owner">
    <vt:lpwstr>Jessica Reid</vt:lpwstr>
  </property>
  <property fmtid="{D5CDD505-2E9C-101B-9397-08002B2CF9AE}" pid="12" name="Objective-Path">
    <vt:lpwstr>BCS:ASIC:REGULATION &amp; COMPLIANCE:Business Activity Projects:Corporations Projects:Corporate Governance:ESS:EIS Phase 3 - Post Publication Folders:Amended COs and RG:</vt:lpwstr>
  </property>
  <property fmtid="{D5CDD505-2E9C-101B-9397-08002B2CF9AE}" pid="13" name="Objective-Parent">
    <vt:lpwstr>Amended COs and RG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2012 - 004545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