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2F" w:rsidRPr="001E7F78" w:rsidRDefault="0097528E" w:rsidP="00C35EB1">
      <w:pPr>
        <w:pStyle w:val="Title"/>
        <w:rPr>
          <w:rFonts w:ascii="Times New Roman" w:hAnsi="Times New Roman"/>
          <w:lang w:eastAsia="en-US"/>
        </w:rPr>
      </w:pPr>
      <w:bookmarkStart w:id="0" w:name="_GoBack"/>
      <w:bookmarkEnd w:id="0"/>
      <w:r w:rsidRPr="001E7F78">
        <w:rPr>
          <w:rFonts w:ascii="Times New Roman" w:hAnsi="Times New Roman"/>
          <w:lang w:eastAsia="en-US"/>
        </w:rPr>
        <w:t>Explanatory Statement</w:t>
      </w:r>
    </w:p>
    <w:p w:rsidR="00FC232F" w:rsidRPr="001E7F78" w:rsidRDefault="00FC232F" w:rsidP="00C35EB1">
      <w:pPr>
        <w:rPr>
          <w:szCs w:val="20"/>
        </w:rPr>
      </w:pPr>
    </w:p>
    <w:p w:rsidR="006E5BE2" w:rsidRPr="001E7F78" w:rsidRDefault="006E5BE2" w:rsidP="001E7F78">
      <w:pPr>
        <w:pStyle w:val="Heading1"/>
      </w:pPr>
      <w:bookmarkStart w:id="1" w:name="OLE_LINK26"/>
      <w:bookmarkStart w:id="2" w:name="OLE_LINK27"/>
      <w:r w:rsidRPr="001E7F78">
        <w:t>Radiocommunications Act 1992</w:t>
      </w:r>
    </w:p>
    <w:p w:rsidR="006E5BE2" w:rsidRPr="001E7F78" w:rsidRDefault="006E5BE2" w:rsidP="001E7F78">
      <w:pPr>
        <w:pStyle w:val="Heading1"/>
      </w:pPr>
      <w:r w:rsidRPr="001E7F78">
        <w:t>Acts Interpretation Act 1901</w:t>
      </w:r>
    </w:p>
    <w:p w:rsidR="0036770D" w:rsidRPr="001E7F78" w:rsidRDefault="0036770D" w:rsidP="001E7F78">
      <w:pPr>
        <w:pStyle w:val="BodyText3"/>
        <w:rPr>
          <w:lang w:val="en-AU"/>
        </w:rPr>
      </w:pPr>
      <w:bookmarkStart w:id="3" w:name="OLE_LINK9"/>
      <w:bookmarkStart w:id="4" w:name="OLE_LINK10"/>
      <w:bookmarkStart w:id="5" w:name="OLE_LINK11"/>
      <w:bookmarkStart w:id="6" w:name="OLE_LINK12"/>
      <w:bookmarkEnd w:id="1"/>
      <w:bookmarkEnd w:id="2"/>
    </w:p>
    <w:p w:rsidR="0036770D" w:rsidRPr="001E7F78" w:rsidRDefault="0036770D" w:rsidP="001E7F78">
      <w:pPr>
        <w:ind w:right="-57"/>
        <w:jc w:val="center"/>
        <w:rPr>
          <w:b/>
          <w:sz w:val="28"/>
          <w:szCs w:val="28"/>
        </w:rPr>
      </w:pPr>
      <w:r w:rsidRPr="001E7F78">
        <w:rPr>
          <w:b/>
          <w:sz w:val="28"/>
          <w:szCs w:val="28"/>
        </w:rPr>
        <w:t>Radiocommunications (</w:t>
      </w:r>
      <w:r w:rsidR="000C65C3">
        <w:rPr>
          <w:b/>
          <w:sz w:val="28"/>
          <w:szCs w:val="28"/>
        </w:rPr>
        <w:t>Class of Services</w:t>
      </w:r>
      <w:r w:rsidRPr="001E7F78">
        <w:rPr>
          <w:b/>
          <w:sz w:val="28"/>
          <w:szCs w:val="28"/>
        </w:rPr>
        <w:t xml:space="preserve">) </w:t>
      </w:r>
      <w:r w:rsidR="000C65C3">
        <w:rPr>
          <w:b/>
          <w:sz w:val="28"/>
          <w:szCs w:val="28"/>
        </w:rPr>
        <w:t>Amendment (Removal of 27</w:t>
      </w:r>
      <w:r w:rsidR="00912933">
        <w:rPr>
          <w:b/>
          <w:sz w:val="28"/>
          <w:szCs w:val="28"/>
        </w:rPr>
        <w:t> </w:t>
      </w:r>
      <w:r w:rsidR="000C65C3">
        <w:rPr>
          <w:b/>
          <w:sz w:val="28"/>
          <w:szCs w:val="28"/>
        </w:rPr>
        <w:t xml:space="preserve">GHz Band) Determination </w:t>
      </w:r>
      <w:r w:rsidR="004B18BB">
        <w:rPr>
          <w:b/>
          <w:sz w:val="28"/>
          <w:szCs w:val="28"/>
        </w:rPr>
        <w:t>2015</w:t>
      </w:r>
    </w:p>
    <w:bookmarkEnd w:id="3"/>
    <w:bookmarkEnd w:id="4"/>
    <w:bookmarkEnd w:id="6"/>
    <w:p w:rsidR="00FC232F" w:rsidRPr="001E7F78" w:rsidRDefault="00FC232F" w:rsidP="001E7F78">
      <w:pPr>
        <w:pStyle w:val="BodyText3"/>
        <w:rPr>
          <w:lang w:val="en-AU"/>
        </w:rPr>
      </w:pPr>
    </w:p>
    <w:bookmarkEnd w:id="5"/>
    <w:p w:rsidR="00FC232F" w:rsidRPr="001E7F78" w:rsidRDefault="00FC232F" w:rsidP="001E7F78">
      <w:pPr>
        <w:jc w:val="center"/>
      </w:pPr>
      <w:r w:rsidRPr="001E7F78">
        <w:t xml:space="preserve">Issued by the authority of the Minister for </w:t>
      </w:r>
      <w:r w:rsidR="00126846" w:rsidRPr="001E7F78">
        <w:t>Communications</w:t>
      </w:r>
    </w:p>
    <w:p w:rsidR="00C35EB1" w:rsidRPr="001E7F78" w:rsidRDefault="00C35EB1" w:rsidP="001E7F78">
      <w:pPr>
        <w:rPr>
          <w:szCs w:val="20"/>
        </w:rPr>
      </w:pPr>
    </w:p>
    <w:p w:rsidR="00812D5F" w:rsidRPr="001E7F78" w:rsidRDefault="00812D5F" w:rsidP="001E7F78">
      <w:pPr>
        <w:rPr>
          <w:szCs w:val="20"/>
        </w:rPr>
      </w:pPr>
    </w:p>
    <w:p w:rsidR="005A7F7A" w:rsidRPr="001E7F78" w:rsidRDefault="0097528E" w:rsidP="001E7F78">
      <w:pPr>
        <w:rPr>
          <w:szCs w:val="20"/>
          <w:u w:val="single"/>
        </w:rPr>
      </w:pPr>
      <w:r w:rsidRPr="001E7F78">
        <w:rPr>
          <w:u w:val="single"/>
        </w:rPr>
        <w:t xml:space="preserve">Legislative </w:t>
      </w:r>
      <w:r w:rsidR="005A7F7A" w:rsidRPr="001E7F78">
        <w:rPr>
          <w:szCs w:val="20"/>
          <w:u w:val="single"/>
        </w:rPr>
        <w:t xml:space="preserve">Authority </w:t>
      </w:r>
    </w:p>
    <w:p w:rsidR="005A7F7A" w:rsidRPr="001E7F78" w:rsidRDefault="005A7F7A" w:rsidP="001E7F78"/>
    <w:p w:rsidR="005A7F7A" w:rsidRPr="001E7F78" w:rsidRDefault="005A7F7A" w:rsidP="001E7F78">
      <w:r w:rsidRPr="001E7F78">
        <w:t>S</w:t>
      </w:r>
      <w:r w:rsidR="00B42E76" w:rsidRPr="001E7F78">
        <w:t>ubs</w:t>
      </w:r>
      <w:r w:rsidRPr="001E7F78">
        <w:t>ection</w:t>
      </w:r>
      <w:r w:rsidR="00126846" w:rsidRPr="001E7F78">
        <w:t> </w:t>
      </w:r>
      <w:r w:rsidR="000C65C3">
        <w:t>82(3)</w:t>
      </w:r>
      <w:r w:rsidRPr="001E7F78">
        <w:t xml:space="preserve"> of the </w:t>
      </w:r>
      <w:r w:rsidRPr="001E7F78">
        <w:rPr>
          <w:i/>
        </w:rPr>
        <w:t>Radiocommunications Act</w:t>
      </w:r>
      <w:r w:rsidR="00126846" w:rsidRPr="001E7F78">
        <w:rPr>
          <w:i/>
        </w:rPr>
        <w:t> </w:t>
      </w:r>
      <w:r w:rsidRPr="001E7F78">
        <w:rPr>
          <w:i/>
        </w:rPr>
        <w:t xml:space="preserve">1992 </w:t>
      </w:r>
      <w:r w:rsidRPr="001E7F78">
        <w:t xml:space="preserve">(Act) provides that the Minister for </w:t>
      </w:r>
      <w:r w:rsidR="00126846" w:rsidRPr="001E7F78">
        <w:t xml:space="preserve">Communications </w:t>
      </w:r>
      <w:r w:rsidRPr="001E7F78">
        <w:t>(Minister) may</w:t>
      </w:r>
      <w:r w:rsidR="000C65C3">
        <w:t xml:space="preserve"> determine a class of services for which reissuing spectrum licences to the same licensees would be in the public interest</w:t>
      </w:r>
      <w:r w:rsidRPr="001E7F78">
        <w:t>.</w:t>
      </w:r>
      <w:r w:rsidR="00005579" w:rsidRPr="001E7F78">
        <w:t xml:space="preserve"> S</w:t>
      </w:r>
      <w:r w:rsidR="00B42E76" w:rsidRPr="001E7F78">
        <w:t>ubs</w:t>
      </w:r>
      <w:r w:rsidR="00005579" w:rsidRPr="001E7F78">
        <w:t>ection</w:t>
      </w:r>
      <w:r w:rsidR="00126846" w:rsidRPr="001E7F78">
        <w:t> </w:t>
      </w:r>
      <w:r w:rsidR="00005579" w:rsidRPr="001E7F78">
        <w:t xml:space="preserve">33(3) of the </w:t>
      </w:r>
      <w:r w:rsidR="00005579" w:rsidRPr="001E7F78">
        <w:rPr>
          <w:i/>
        </w:rPr>
        <w:t>Acts</w:t>
      </w:r>
      <w:r w:rsidR="00E24FD9" w:rsidRPr="001E7F78">
        <w:rPr>
          <w:i/>
        </w:rPr>
        <w:t> </w:t>
      </w:r>
      <w:r w:rsidR="00005579" w:rsidRPr="001E7F78">
        <w:rPr>
          <w:i/>
        </w:rPr>
        <w:t>Interpretation Act</w:t>
      </w:r>
      <w:r w:rsidR="00126846" w:rsidRPr="001E7F78">
        <w:rPr>
          <w:i/>
        </w:rPr>
        <w:t> </w:t>
      </w:r>
      <w:r w:rsidR="00005579" w:rsidRPr="001E7F78">
        <w:rPr>
          <w:i/>
        </w:rPr>
        <w:t>1901</w:t>
      </w:r>
      <w:r w:rsidR="00005579" w:rsidRPr="001E7F78">
        <w:t xml:space="preserve"> </w:t>
      </w:r>
      <w:r w:rsidR="004B18BB">
        <w:t xml:space="preserve">relevantly </w:t>
      </w:r>
      <w:r w:rsidR="00005579" w:rsidRPr="001E7F78">
        <w:t xml:space="preserve">provides the Minister with the power to </w:t>
      </w:r>
      <w:r w:rsidR="000C65C3">
        <w:t xml:space="preserve">amend </w:t>
      </w:r>
      <w:r w:rsidR="00005579" w:rsidRPr="001E7F78">
        <w:t xml:space="preserve">any </w:t>
      </w:r>
      <w:r w:rsidR="004B18BB">
        <w:t xml:space="preserve">notice made under subsection </w:t>
      </w:r>
      <w:r w:rsidR="000C65C3">
        <w:t>82(3) of the</w:t>
      </w:r>
      <w:r w:rsidR="004B18BB">
        <w:t xml:space="preserve"> </w:t>
      </w:r>
      <w:r w:rsidR="00005579" w:rsidRPr="001E7F78">
        <w:t>Act.</w:t>
      </w:r>
    </w:p>
    <w:p w:rsidR="005A7F7A" w:rsidRPr="001E7F78" w:rsidRDefault="005A7F7A" w:rsidP="001E7F78"/>
    <w:p w:rsidR="005A7F7A" w:rsidRPr="001E7F78" w:rsidRDefault="005A7F7A" w:rsidP="001E7F78">
      <w:pPr>
        <w:rPr>
          <w:szCs w:val="20"/>
          <w:u w:val="single"/>
        </w:rPr>
      </w:pPr>
      <w:r w:rsidRPr="001E7F78">
        <w:rPr>
          <w:szCs w:val="20"/>
          <w:u w:val="single"/>
        </w:rPr>
        <w:t>Purpose</w:t>
      </w:r>
    </w:p>
    <w:p w:rsidR="005A7F7A" w:rsidRPr="001E7F78" w:rsidRDefault="005A7F7A" w:rsidP="001E7F78"/>
    <w:p w:rsidR="006C3276" w:rsidRPr="001E7F78" w:rsidRDefault="005A7F7A" w:rsidP="006C3276">
      <w:r w:rsidRPr="001E7F78">
        <w:t xml:space="preserve">The purpose of this </w:t>
      </w:r>
      <w:r w:rsidR="00005579" w:rsidRPr="001E7F78">
        <w:t>Notice</w:t>
      </w:r>
      <w:r w:rsidRPr="001E7F78">
        <w:t xml:space="preserve"> is to </w:t>
      </w:r>
      <w:r w:rsidR="000C65C3">
        <w:t>amend</w:t>
      </w:r>
      <w:r w:rsidR="004B18BB">
        <w:t xml:space="preserve"> </w:t>
      </w:r>
      <w:r w:rsidR="00005579" w:rsidRPr="001E7F78">
        <w:t xml:space="preserve">the </w:t>
      </w:r>
      <w:r w:rsidR="00005579" w:rsidRPr="001E7F78">
        <w:rPr>
          <w:i/>
        </w:rPr>
        <w:t>Radiocommunications (</w:t>
      </w:r>
      <w:r w:rsidR="000C65C3">
        <w:rPr>
          <w:i/>
        </w:rPr>
        <w:t>Class of Services</w:t>
      </w:r>
      <w:r w:rsidR="00005579" w:rsidRPr="001E7F78">
        <w:rPr>
          <w:i/>
        </w:rPr>
        <w:t xml:space="preserve">) </w:t>
      </w:r>
      <w:r w:rsidR="000C65C3">
        <w:rPr>
          <w:i/>
        </w:rPr>
        <w:t>Determination 2012</w:t>
      </w:r>
      <w:r w:rsidR="00812D5F" w:rsidRPr="001E7F78">
        <w:t xml:space="preserve"> </w:t>
      </w:r>
      <w:r w:rsidR="00005579" w:rsidRPr="001E7F78">
        <w:t>(</w:t>
      </w:r>
      <w:r w:rsidR="000C65C3">
        <w:t>Class of Services Determination</w:t>
      </w:r>
      <w:r w:rsidR="00005579" w:rsidRPr="001E7F78">
        <w:t>).</w:t>
      </w:r>
    </w:p>
    <w:p w:rsidR="006C3276" w:rsidRDefault="006C3276" w:rsidP="001E7F78"/>
    <w:p w:rsidR="00382E60" w:rsidRDefault="008757B3" w:rsidP="001E7F78">
      <w:r>
        <w:t xml:space="preserve">The </w:t>
      </w:r>
      <w:r w:rsidR="000C65C3">
        <w:t xml:space="preserve">Class of Services Determination </w:t>
      </w:r>
      <w:r>
        <w:t xml:space="preserve">allows the ACMA to </w:t>
      </w:r>
      <w:r w:rsidR="000C65C3">
        <w:t>re-</w:t>
      </w:r>
      <w:r>
        <w:t xml:space="preserve">issue spectrum licences </w:t>
      </w:r>
      <w:r w:rsidR="0094268B">
        <w:t>used to provide</w:t>
      </w:r>
      <w:r w:rsidR="000C65C3">
        <w:t xml:space="preserve"> certain classes of services to existing licensees without following procedures determined under section 60 of the Act. Relevantly, the Class of Services Determination empowers the ACMA to re-issue spectrum licences authorising </w:t>
      </w:r>
      <w:r>
        <w:t>the operation of radiocommunications devices using the parts of the spectrum between 26.5 GHz and 27.5 GHz (the 27 GHz band)</w:t>
      </w:r>
      <w:r w:rsidR="00366061">
        <w:t xml:space="preserve">, </w:t>
      </w:r>
      <w:r w:rsidR="00F13CB4">
        <w:t>where those licences have been used to provide satellite services</w:t>
      </w:r>
      <w:r>
        <w:t>.</w:t>
      </w:r>
    </w:p>
    <w:p w:rsidR="00382E60" w:rsidRDefault="00382E60" w:rsidP="001E7F78"/>
    <w:p w:rsidR="008757B3" w:rsidRDefault="008757B3" w:rsidP="001E7F78">
      <w:r>
        <w:t xml:space="preserve">The </w:t>
      </w:r>
      <w:r w:rsidR="00F13CB4">
        <w:t xml:space="preserve">ACMA is preparing to issue apparatus licences rather than spectrum licences for the 27 GHz band. The amendment </w:t>
      </w:r>
      <w:r>
        <w:t xml:space="preserve">of the </w:t>
      </w:r>
      <w:r w:rsidR="00F13CB4">
        <w:t xml:space="preserve">Class of Services Determination to remove satellite services in this band will facilitate that process, ensuring that it is clear that </w:t>
      </w:r>
      <w:r w:rsidR="00066C96">
        <w:t>the Minister is no longer satisfied that</w:t>
      </w:r>
      <w:r w:rsidR="00F13CB4">
        <w:t xml:space="preserve"> </w:t>
      </w:r>
      <w:r w:rsidR="00066C96">
        <w:t xml:space="preserve">it is in the public interest for </w:t>
      </w:r>
      <w:r w:rsidR="00F13CB4">
        <w:t xml:space="preserve">spectrum licences </w:t>
      </w:r>
      <w:r w:rsidR="00066C96">
        <w:t xml:space="preserve">to </w:t>
      </w:r>
      <w:r w:rsidR="00F13CB4">
        <w:t>be re</w:t>
      </w:r>
      <w:r w:rsidR="00066C96">
        <w:t>-</w:t>
      </w:r>
      <w:r w:rsidR="00F13CB4">
        <w:t>issued</w:t>
      </w:r>
      <w:r w:rsidR="00534696">
        <w:t xml:space="preserve"> in the band</w:t>
      </w:r>
      <w:r w:rsidR="00F13CB4">
        <w:t>.</w:t>
      </w:r>
    </w:p>
    <w:p w:rsidR="005A7F7A" w:rsidRPr="001E7F78" w:rsidRDefault="005A7F7A" w:rsidP="001E7F78"/>
    <w:p w:rsidR="00F9176D" w:rsidRPr="001E7F78" w:rsidRDefault="00F9176D" w:rsidP="001E7F78">
      <w:pPr>
        <w:rPr>
          <w:szCs w:val="20"/>
          <w:u w:val="single"/>
        </w:rPr>
      </w:pPr>
      <w:r w:rsidRPr="00776A3E">
        <w:rPr>
          <w:szCs w:val="20"/>
          <w:u w:val="single"/>
        </w:rPr>
        <w:t>Background</w:t>
      </w:r>
    </w:p>
    <w:p w:rsidR="00F9176D" w:rsidRPr="001E7F78" w:rsidRDefault="00F9176D" w:rsidP="001E7F78"/>
    <w:p w:rsidR="0025687D" w:rsidRDefault="00066C96" w:rsidP="001E7F78">
      <w:r>
        <w:t xml:space="preserve">The Class of Services Determination was </w:t>
      </w:r>
      <w:r w:rsidR="00FC1412">
        <w:t xml:space="preserve">made </w:t>
      </w:r>
      <w:r>
        <w:t xml:space="preserve">in 2012 by the then Minister for Broadband, Communications and the Digital Economy under subsection 82(3) of the Act. This lists six classes of services in different spectrum bands where the Minister considered that it would be in the public interest for spectrum licences used to provide these services to be re-issued to the existing licensees. This allows the ACMA to re-issue relevant spectrum licences without following procedures </w:t>
      </w:r>
      <w:r>
        <w:lastRenderedPageBreak/>
        <w:t>determined under section 60 of the Act, which the ACMA make to set market processes for the allocation of spectrum licences (e.g. by auction).</w:t>
      </w:r>
    </w:p>
    <w:p w:rsidR="00066C96" w:rsidRDefault="00066C96" w:rsidP="001E7F78"/>
    <w:p w:rsidR="00066C96" w:rsidRDefault="00066C96" w:rsidP="001E7F78">
      <w:r>
        <w:t xml:space="preserve">Separately, the Minister is repealing the </w:t>
      </w:r>
      <w:r w:rsidRPr="001E7F78">
        <w:rPr>
          <w:i/>
        </w:rPr>
        <w:t>Radiocommunications (Spectrum Designation) Notice No. 1 of 2000</w:t>
      </w:r>
      <w:r w:rsidRPr="001E7F78">
        <w:t xml:space="preserve"> </w:t>
      </w:r>
      <w:r>
        <w:t xml:space="preserve">dated 31 May 2000 </w:t>
      </w:r>
      <w:r w:rsidRPr="001E7F78">
        <w:t>(Designation Notice)</w:t>
      </w:r>
      <w:r>
        <w:t>. The Designation Notice requires the ACMA to licence the band by issuing spectrum licences rather than apparatus licences. The Designation Notice is being repealed as the ACMA is preparing to issue apparatus licences in the 27 GHz band that will commence after current spectrum licences expire.</w:t>
      </w:r>
    </w:p>
    <w:p w:rsidR="00066C96" w:rsidRDefault="00066C96" w:rsidP="001E7F78"/>
    <w:p w:rsidR="00BB77DA" w:rsidRDefault="00D1422A" w:rsidP="001E7F78">
      <w:r w:rsidRPr="001E7F78">
        <w:t>S</w:t>
      </w:r>
      <w:r w:rsidR="00BB77DA" w:rsidRPr="001E7F78">
        <w:t xml:space="preserve">pectrum licences </w:t>
      </w:r>
      <w:r w:rsidR="00B07457" w:rsidRPr="001E7F78">
        <w:t xml:space="preserve">in </w:t>
      </w:r>
      <w:r w:rsidR="00BB77DA" w:rsidRPr="001E7F78">
        <w:t xml:space="preserve">the </w:t>
      </w:r>
      <w:r w:rsidR="00812D5F" w:rsidRPr="001E7F78">
        <w:t xml:space="preserve">27 GHz </w:t>
      </w:r>
      <w:r w:rsidRPr="001E7F78">
        <w:t>band</w:t>
      </w:r>
      <w:r w:rsidR="00620E73" w:rsidRPr="001E7F78">
        <w:t xml:space="preserve"> </w:t>
      </w:r>
      <w:r w:rsidRPr="001E7F78">
        <w:t xml:space="preserve">are currently </w:t>
      </w:r>
      <w:r w:rsidR="00AA20F9">
        <w:t>held</w:t>
      </w:r>
      <w:r w:rsidR="00AA20F9" w:rsidRPr="001E7F78">
        <w:t xml:space="preserve"> </w:t>
      </w:r>
      <w:r w:rsidR="00AA20F9">
        <w:t xml:space="preserve">by </w:t>
      </w:r>
      <w:r w:rsidR="00F47BBA" w:rsidRPr="001E7F78">
        <w:t>XYZed LMDS Pty </w:t>
      </w:r>
      <w:r w:rsidR="008724A0" w:rsidRPr="001E7F78">
        <w:t>Ltd</w:t>
      </w:r>
      <w:r w:rsidR="00F47BBA" w:rsidRPr="001E7F78">
        <w:t>, IPSTAR Australia Pty Ltd and NBN Co </w:t>
      </w:r>
      <w:r w:rsidR="008724A0" w:rsidRPr="001E7F78">
        <w:t>Ltd</w:t>
      </w:r>
      <w:r w:rsidRPr="001E7F78">
        <w:t xml:space="preserve"> and </w:t>
      </w:r>
      <w:r w:rsidR="00620E73" w:rsidRPr="001E7F78">
        <w:t xml:space="preserve">expire on </w:t>
      </w:r>
      <w:r w:rsidR="00F47BBA" w:rsidRPr="001E7F78">
        <w:t>17</w:t>
      </w:r>
      <w:r w:rsidR="004C2E20" w:rsidRPr="001E7F78">
        <w:t> </w:t>
      </w:r>
      <w:r w:rsidR="00F47BBA" w:rsidRPr="001E7F78">
        <w:t>January</w:t>
      </w:r>
      <w:r w:rsidR="004C2E20" w:rsidRPr="001E7F78">
        <w:t> </w:t>
      </w:r>
      <w:r w:rsidR="00F47BBA" w:rsidRPr="001E7F78">
        <w:t>2016</w:t>
      </w:r>
      <w:r w:rsidR="007E69B5" w:rsidRPr="001E7F78">
        <w:t>.</w:t>
      </w:r>
    </w:p>
    <w:p w:rsidR="00382E60" w:rsidRDefault="00382E60" w:rsidP="001E7F78"/>
    <w:p w:rsidR="00382E60" w:rsidRDefault="000F39F9" w:rsidP="001E7F78">
      <w:r w:rsidRPr="00F45A3D">
        <w:t xml:space="preserve">There is </w:t>
      </w:r>
      <w:r>
        <w:t xml:space="preserve">currently </w:t>
      </w:r>
      <w:r w:rsidRPr="00F45A3D">
        <w:t xml:space="preserve">little demand for spectrum licences in the </w:t>
      </w:r>
      <w:r>
        <w:t xml:space="preserve">27 GHz </w:t>
      </w:r>
      <w:r w:rsidRPr="00F45A3D">
        <w:t>band</w:t>
      </w:r>
      <w:r>
        <w:t xml:space="preserve">. Reverting the 27 GHz band from wide area spectrum licencing to </w:t>
      </w:r>
      <w:r w:rsidRPr="001E7F78">
        <w:t>site</w:t>
      </w:r>
      <w:r>
        <w:noBreakHyphen/>
      </w:r>
      <w:r w:rsidRPr="001E7F78">
        <w:t xml:space="preserve">specific apparatus licensing </w:t>
      </w:r>
      <w:r>
        <w:t>will allow current licensees to continue to deliver services while making it possible for new services to be provided using this spectrum. That is, the spectrum may be put to more productive use in the economy.</w:t>
      </w:r>
    </w:p>
    <w:p w:rsidR="007D21C6" w:rsidRDefault="007D21C6" w:rsidP="001E7F78"/>
    <w:p w:rsidR="007D21C6" w:rsidRDefault="007D21C6" w:rsidP="001E7F78">
      <w:r>
        <w:t xml:space="preserve">This </w:t>
      </w:r>
      <w:r w:rsidR="00066C96">
        <w:t>Determination</w:t>
      </w:r>
      <w:r>
        <w:t xml:space="preserve"> is a legislative instrument for the purposes of the </w:t>
      </w:r>
      <w:r>
        <w:rPr>
          <w:i/>
        </w:rPr>
        <w:t xml:space="preserve">Legislative Instruments Act 2003 </w:t>
      </w:r>
      <w:r>
        <w:t xml:space="preserve">(LIA). As it is a solely </w:t>
      </w:r>
      <w:r w:rsidR="00066C96">
        <w:t>amending</w:t>
      </w:r>
      <w:r>
        <w:t xml:space="preserve"> instrument, it will be repealed by section 48A of the LIA on the day after it commences.</w:t>
      </w:r>
    </w:p>
    <w:p w:rsidR="000F39F9" w:rsidRDefault="000F39F9" w:rsidP="001E7F78"/>
    <w:p w:rsidR="0097528E" w:rsidRPr="001E7F78" w:rsidRDefault="0097528E" w:rsidP="001E7F78">
      <w:pPr>
        <w:rPr>
          <w:szCs w:val="20"/>
          <w:u w:val="single"/>
        </w:rPr>
      </w:pPr>
      <w:r w:rsidRPr="001E7F78">
        <w:rPr>
          <w:szCs w:val="20"/>
          <w:u w:val="single"/>
        </w:rPr>
        <w:t>Regulation Impact Statement</w:t>
      </w:r>
    </w:p>
    <w:p w:rsidR="0097528E" w:rsidRPr="001E7F78" w:rsidRDefault="0097528E" w:rsidP="001E7F78"/>
    <w:p w:rsidR="0097528E" w:rsidRPr="001E7F78" w:rsidRDefault="0097528E" w:rsidP="001E7F78">
      <w:pPr>
        <w:outlineLvl w:val="0"/>
        <w:rPr>
          <w:bCs/>
        </w:rPr>
      </w:pPr>
      <w:r w:rsidRPr="001E7F78">
        <w:rPr>
          <w:bCs/>
        </w:rPr>
        <w:t>The Office of Best Practice Regulation</w:t>
      </w:r>
      <w:r w:rsidR="00912933">
        <w:rPr>
          <w:bCs/>
        </w:rPr>
        <w:t xml:space="preserve"> (OBPR)</w:t>
      </w:r>
      <w:r w:rsidRPr="001E7F78">
        <w:rPr>
          <w:bCs/>
        </w:rPr>
        <w:t xml:space="preserve"> </w:t>
      </w:r>
      <w:r w:rsidR="00382E60">
        <w:rPr>
          <w:bCs/>
        </w:rPr>
        <w:t>advised</w:t>
      </w:r>
      <w:r w:rsidRPr="001E7F78">
        <w:rPr>
          <w:bCs/>
        </w:rPr>
        <w:t xml:space="preserve"> that a Regulation Impact Statement is not required for the </w:t>
      </w:r>
      <w:r w:rsidR="00534696">
        <w:rPr>
          <w:bCs/>
        </w:rPr>
        <w:t>Determination</w:t>
      </w:r>
      <w:r w:rsidR="00382E60">
        <w:rPr>
          <w:bCs/>
        </w:rPr>
        <w:t xml:space="preserve"> (OBPR reference number </w:t>
      </w:r>
      <w:r w:rsidR="00912933" w:rsidRPr="00315DD4">
        <w:rPr>
          <w:bCs/>
        </w:rPr>
        <w:t>19151</w:t>
      </w:r>
      <w:r w:rsidR="00382E60">
        <w:rPr>
          <w:bCs/>
        </w:rPr>
        <w:t>)</w:t>
      </w:r>
      <w:r w:rsidRPr="001E7F78">
        <w:rPr>
          <w:bCs/>
        </w:rPr>
        <w:t>.</w:t>
      </w:r>
    </w:p>
    <w:p w:rsidR="0097528E" w:rsidRPr="001E7F78" w:rsidRDefault="0097528E" w:rsidP="001E7F78"/>
    <w:p w:rsidR="0097528E" w:rsidRPr="001E7F78" w:rsidRDefault="0097528E" w:rsidP="001E7F78">
      <w:pPr>
        <w:keepNext/>
        <w:keepLines/>
        <w:rPr>
          <w:szCs w:val="20"/>
          <w:u w:val="single"/>
        </w:rPr>
      </w:pPr>
      <w:r w:rsidRPr="001E7F78">
        <w:rPr>
          <w:szCs w:val="20"/>
          <w:u w:val="single"/>
        </w:rPr>
        <w:t>Statement of Compatibility with Human Rights</w:t>
      </w:r>
    </w:p>
    <w:p w:rsidR="0097528E" w:rsidRPr="001E7F78" w:rsidRDefault="0097528E" w:rsidP="001E7F78">
      <w:pPr>
        <w:keepNext/>
        <w:keepLines/>
      </w:pPr>
    </w:p>
    <w:p w:rsidR="0097528E" w:rsidRPr="001E7F78" w:rsidRDefault="0097528E" w:rsidP="001E7F78">
      <w:pPr>
        <w:keepNext/>
        <w:keepLines/>
        <w:outlineLvl w:val="0"/>
        <w:rPr>
          <w:bCs/>
        </w:rPr>
      </w:pPr>
      <w:r w:rsidRPr="001E7F78">
        <w:rPr>
          <w:bCs/>
        </w:rPr>
        <w:t xml:space="preserve">This statement of compatibility is prepared in accordance with Part 3 of the </w:t>
      </w:r>
      <w:r w:rsidR="00912933">
        <w:rPr>
          <w:bCs/>
          <w:i/>
        </w:rPr>
        <w:t>Human </w:t>
      </w:r>
      <w:r w:rsidRPr="001E7F78">
        <w:rPr>
          <w:bCs/>
          <w:i/>
        </w:rPr>
        <w:t>Rights (Parliamentary Scrutiny) Act 2011</w:t>
      </w:r>
      <w:r w:rsidRPr="001E7F78">
        <w:rPr>
          <w:bCs/>
        </w:rPr>
        <w:t>.</w:t>
      </w:r>
    </w:p>
    <w:p w:rsidR="0097528E" w:rsidRPr="001E7F78" w:rsidRDefault="0097528E" w:rsidP="001E7F78">
      <w:pPr>
        <w:keepNext/>
        <w:keepLines/>
        <w:outlineLvl w:val="0"/>
        <w:rPr>
          <w:bCs/>
        </w:rPr>
      </w:pPr>
    </w:p>
    <w:p w:rsidR="0097528E" w:rsidRPr="001E7F78" w:rsidRDefault="0097528E" w:rsidP="001E7F78">
      <w:pPr>
        <w:keepLines/>
        <w:outlineLvl w:val="0"/>
      </w:pPr>
      <w:r w:rsidRPr="001E7F78">
        <w:t>This Notice is compatible with human rights as it does not raise any human rights issues.</w:t>
      </w:r>
    </w:p>
    <w:p w:rsidR="0097528E" w:rsidRPr="001E7F78" w:rsidRDefault="0097528E" w:rsidP="001E7F78"/>
    <w:p w:rsidR="00F9176D" w:rsidRPr="001E7F78" w:rsidRDefault="006672D6" w:rsidP="001E7F78">
      <w:pPr>
        <w:rPr>
          <w:szCs w:val="20"/>
          <w:u w:val="single"/>
        </w:rPr>
      </w:pPr>
      <w:r w:rsidRPr="001E7F78">
        <w:rPr>
          <w:szCs w:val="20"/>
          <w:u w:val="single"/>
        </w:rPr>
        <w:t>Consultation</w:t>
      </w:r>
    </w:p>
    <w:p w:rsidR="00F9176D" w:rsidRPr="001E7F78" w:rsidRDefault="00F9176D" w:rsidP="001E7F78"/>
    <w:p w:rsidR="00A516AF" w:rsidRPr="001E7F78" w:rsidRDefault="00DE7A42" w:rsidP="001E7F78">
      <w:r w:rsidRPr="001E7F78">
        <w:t xml:space="preserve">The </w:t>
      </w:r>
      <w:r w:rsidR="006F29C3" w:rsidRPr="001E7F78">
        <w:t>ACMA</w:t>
      </w:r>
      <w:r w:rsidRPr="001E7F78">
        <w:t xml:space="preserve"> has undertaken a review of </w:t>
      </w:r>
      <w:r w:rsidR="00A93F36" w:rsidRPr="001E7F78">
        <w:t xml:space="preserve">the </w:t>
      </w:r>
      <w:r w:rsidR="00F47BBA" w:rsidRPr="001E7F78">
        <w:t>27 GHz</w:t>
      </w:r>
      <w:r w:rsidR="00D1422A" w:rsidRPr="001E7F78">
        <w:t xml:space="preserve"> band.</w:t>
      </w:r>
    </w:p>
    <w:p w:rsidR="00A516AF" w:rsidRPr="001E7F78" w:rsidRDefault="00A516AF" w:rsidP="001E7F78"/>
    <w:p w:rsidR="00854F6A" w:rsidRPr="001E7F78" w:rsidRDefault="00D1422A" w:rsidP="001E7F78">
      <w:r w:rsidRPr="001E7F78">
        <w:t xml:space="preserve">In </w:t>
      </w:r>
      <w:r w:rsidR="00F47BBA" w:rsidRPr="001E7F78">
        <w:t>August 2014</w:t>
      </w:r>
      <w:r w:rsidR="00E87E7D" w:rsidRPr="001E7F78">
        <w:t>,</w:t>
      </w:r>
      <w:r w:rsidR="00A516AF" w:rsidRPr="001E7F78">
        <w:t xml:space="preserve"> </w:t>
      </w:r>
      <w:r w:rsidR="00DC1E23" w:rsidRPr="001E7F78">
        <w:t xml:space="preserve">the </w:t>
      </w:r>
      <w:r w:rsidR="00A516AF" w:rsidRPr="001E7F78">
        <w:t xml:space="preserve">ACMA released the discussion paper, </w:t>
      </w:r>
      <w:r w:rsidRPr="001E7F78">
        <w:rPr>
          <w:i/>
        </w:rPr>
        <w:t xml:space="preserve">Review of Licensing Arrangements in the </w:t>
      </w:r>
      <w:r w:rsidR="00F47BBA" w:rsidRPr="001E7F78">
        <w:rPr>
          <w:i/>
        </w:rPr>
        <w:t>27 GHz Band</w:t>
      </w:r>
      <w:r w:rsidR="00A93F36" w:rsidRPr="001E7F78">
        <w:rPr>
          <w:i/>
        </w:rPr>
        <w:t xml:space="preserve"> </w:t>
      </w:r>
      <w:r w:rsidR="00A93F36" w:rsidRPr="001E7F78">
        <w:t>(</w:t>
      </w:r>
      <w:r w:rsidR="00F47BBA" w:rsidRPr="001E7F78">
        <w:t>t</w:t>
      </w:r>
      <w:r w:rsidR="00A93F36" w:rsidRPr="001E7F78">
        <w:t xml:space="preserve">he </w:t>
      </w:r>
      <w:r w:rsidRPr="001E7F78">
        <w:t>Consultation</w:t>
      </w:r>
      <w:r w:rsidR="00A93F36" w:rsidRPr="001E7F78">
        <w:t xml:space="preserve"> Paper)</w:t>
      </w:r>
      <w:r w:rsidR="00854F6A" w:rsidRPr="001E7F78">
        <w:t>. The</w:t>
      </w:r>
      <w:r w:rsidR="00A516AF" w:rsidRPr="001E7F78">
        <w:t xml:space="preserve"> </w:t>
      </w:r>
      <w:r w:rsidR="00854F6A" w:rsidRPr="001E7F78">
        <w:t xml:space="preserve">Consultation Paper </w:t>
      </w:r>
      <w:r w:rsidR="00A516AF" w:rsidRPr="001E7F78">
        <w:t>review</w:t>
      </w:r>
      <w:r w:rsidR="00854F6A" w:rsidRPr="001E7F78">
        <w:t>ed</w:t>
      </w:r>
      <w:r w:rsidR="00A516AF" w:rsidRPr="001E7F78">
        <w:t xml:space="preserve"> </w:t>
      </w:r>
      <w:r w:rsidR="00854F6A" w:rsidRPr="001E7F78">
        <w:t>the</w:t>
      </w:r>
      <w:r w:rsidR="00A516AF" w:rsidRPr="001E7F78">
        <w:t xml:space="preserve"> spectrum management arrangements in the </w:t>
      </w:r>
      <w:r w:rsidR="00F47BBA" w:rsidRPr="001E7F78">
        <w:t>27 GHz</w:t>
      </w:r>
      <w:r w:rsidR="0097528E" w:rsidRPr="001E7F78">
        <w:t xml:space="preserve"> </w:t>
      </w:r>
      <w:r w:rsidR="00F47BBA" w:rsidRPr="001E7F78">
        <w:t>band</w:t>
      </w:r>
      <w:r w:rsidR="00854F6A" w:rsidRPr="001E7F78">
        <w:t xml:space="preserve"> and put forward a preliminary view that a reversion from spectrum to apparatus licensing would be the most high value use of the bands</w:t>
      </w:r>
      <w:r w:rsidR="00A516AF" w:rsidRPr="001E7F78">
        <w:t xml:space="preserve">. The purpose of the </w:t>
      </w:r>
      <w:r w:rsidR="00854F6A" w:rsidRPr="001E7F78">
        <w:t>Consultation Paper</w:t>
      </w:r>
      <w:r w:rsidR="00A516AF" w:rsidRPr="001E7F78">
        <w:t xml:space="preserve"> was to stimulate discussion and gather information from stakeholders to assist </w:t>
      </w:r>
      <w:r w:rsidR="006F29C3" w:rsidRPr="001E7F78">
        <w:t xml:space="preserve">the </w:t>
      </w:r>
      <w:r w:rsidR="00A516AF" w:rsidRPr="001E7F78">
        <w:t xml:space="preserve">ACMA </w:t>
      </w:r>
      <w:r w:rsidR="00854F6A" w:rsidRPr="001E7F78">
        <w:t>in determining</w:t>
      </w:r>
      <w:r w:rsidR="002E10DB" w:rsidRPr="001E7F78">
        <w:t>/identify</w:t>
      </w:r>
      <w:r w:rsidR="00854F6A" w:rsidRPr="001E7F78">
        <w:t xml:space="preserve"> </w:t>
      </w:r>
      <w:r w:rsidRPr="001E7F78">
        <w:t xml:space="preserve">the most appropriate </w:t>
      </w:r>
      <w:r w:rsidRPr="001E7F78">
        <w:lastRenderedPageBreak/>
        <w:t xml:space="preserve">licensing </w:t>
      </w:r>
      <w:r w:rsidR="00366061" w:rsidRPr="001E7F78">
        <w:t>arrangements, which</w:t>
      </w:r>
      <w:r w:rsidR="002E10DB" w:rsidRPr="001E7F78">
        <w:t xml:space="preserve"> will maximise the overall public benefit and derive the highest value use from the spectrum </w:t>
      </w:r>
      <w:r w:rsidRPr="001E7F78">
        <w:t>in the future</w:t>
      </w:r>
      <w:r w:rsidR="00A516AF" w:rsidRPr="001E7F78">
        <w:t xml:space="preserve">. </w:t>
      </w:r>
      <w:r w:rsidR="002E10DB" w:rsidRPr="001E7F78">
        <w:t xml:space="preserve"> </w:t>
      </w:r>
    </w:p>
    <w:p w:rsidR="00854F6A" w:rsidRPr="001E7F78" w:rsidRDefault="00854F6A" w:rsidP="001E7F78"/>
    <w:p w:rsidR="00A516AF" w:rsidRPr="001E7F78" w:rsidRDefault="00A516AF" w:rsidP="001E7F78">
      <w:r w:rsidRPr="001E7F78">
        <w:t xml:space="preserve">The </w:t>
      </w:r>
      <w:r w:rsidR="00854F6A" w:rsidRPr="001E7F78">
        <w:t xml:space="preserve">Consultation Paper stated that the </w:t>
      </w:r>
      <w:r w:rsidR="00D1422A" w:rsidRPr="001E7F78">
        <w:t xml:space="preserve">technical framework for spectrum licences in the </w:t>
      </w:r>
      <w:r w:rsidR="00F47BBA" w:rsidRPr="001E7F78">
        <w:t>27 GHz</w:t>
      </w:r>
      <w:r w:rsidRPr="001E7F78">
        <w:t xml:space="preserve"> band </w:t>
      </w:r>
      <w:r w:rsidR="00055130" w:rsidRPr="001E7F78">
        <w:t>was optimised for Local Multipoint Distribution Services (LMDS). However, this technology has not been widely deployed either in Australia or internationally</w:t>
      </w:r>
      <w:r w:rsidR="00111442" w:rsidRPr="001E7F78">
        <w:t xml:space="preserve">. In </w:t>
      </w:r>
      <w:r w:rsidR="00366061" w:rsidRPr="001E7F78">
        <w:t>Australia,</w:t>
      </w:r>
      <w:r w:rsidR="00055130" w:rsidRPr="001E7F78">
        <w:t xml:space="preserve"> </w:t>
      </w:r>
      <w:r w:rsidR="00111442" w:rsidRPr="001E7F78">
        <w:t xml:space="preserve">the 27 GHz band is currently used for satellite services. </w:t>
      </w:r>
      <w:r w:rsidR="00126846" w:rsidRPr="001E7F78">
        <w:t>The ACMA’s analysis indicates that the 27 GHz band is currently under</w:t>
      </w:r>
      <w:r w:rsidR="00126846" w:rsidRPr="001E7F78">
        <w:noBreakHyphen/>
        <w:t xml:space="preserve">utilised, but demand for access to the band by a range of services, including space research, is increasing. </w:t>
      </w:r>
    </w:p>
    <w:p w:rsidR="00A516AF" w:rsidRPr="001E7F78" w:rsidRDefault="00A516AF" w:rsidP="001E7F78"/>
    <w:p w:rsidR="000F39F9" w:rsidRDefault="00055130" w:rsidP="001E7F78">
      <w:r w:rsidRPr="001E7F78">
        <w:t>After the release of the Consultation Paper</w:t>
      </w:r>
      <w:r w:rsidR="00FC3A1B" w:rsidRPr="001E7F78">
        <w:t>,</w:t>
      </w:r>
      <w:r w:rsidR="00B16F47" w:rsidRPr="001E7F78">
        <w:t xml:space="preserve"> the ACMA </w:t>
      </w:r>
      <w:r w:rsidRPr="001E7F78">
        <w:t xml:space="preserve">received </w:t>
      </w:r>
      <w:r w:rsidR="00126846" w:rsidRPr="001E7F78">
        <w:t xml:space="preserve">seven </w:t>
      </w:r>
      <w:r w:rsidRPr="001E7F78">
        <w:t xml:space="preserve">submissions. </w:t>
      </w:r>
      <w:r w:rsidR="006672D6" w:rsidRPr="001E7F78">
        <w:t xml:space="preserve">These have been published on the ACMA website at www.acma.gov.au. </w:t>
      </w:r>
      <w:r w:rsidR="00126846" w:rsidRPr="001E7F78">
        <w:t>All</w:t>
      </w:r>
      <w:r w:rsidRPr="001E7F78">
        <w:t xml:space="preserve"> </w:t>
      </w:r>
      <w:r w:rsidR="006672D6" w:rsidRPr="001E7F78">
        <w:t xml:space="preserve">submissions </w:t>
      </w:r>
      <w:r w:rsidRPr="001E7F78">
        <w:t xml:space="preserve">agreed with the ACMA’s view that licensing arrangements in the </w:t>
      </w:r>
      <w:r w:rsidR="00126846" w:rsidRPr="001E7F78">
        <w:t>27 GHz</w:t>
      </w:r>
      <w:r w:rsidRPr="001E7F78">
        <w:t xml:space="preserve"> band should change from s</w:t>
      </w:r>
      <w:r w:rsidR="000F39F9">
        <w:t>pectrum to apparatus licensing.</w:t>
      </w:r>
    </w:p>
    <w:p w:rsidR="000F39F9" w:rsidRDefault="000F39F9" w:rsidP="001E7F78"/>
    <w:p w:rsidR="00DC1E23" w:rsidRPr="001E7F78" w:rsidRDefault="00055130" w:rsidP="001E7F78">
      <w:r w:rsidRPr="001E7F78">
        <w:t xml:space="preserve">The ACMA </w:t>
      </w:r>
      <w:r w:rsidR="000F39F9">
        <w:t xml:space="preserve">separately </w:t>
      </w:r>
      <w:r w:rsidRPr="001E7F78">
        <w:t>consulted with the incumbent</w:t>
      </w:r>
      <w:r w:rsidR="00B16F47" w:rsidRPr="001E7F78">
        <w:t xml:space="preserve"> spectrum licence holde</w:t>
      </w:r>
      <w:r w:rsidR="00FC3A1B" w:rsidRPr="001E7F78">
        <w:t>r</w:t>
      </w:r>
      <w:r w:rsidR="00B16F47" w:rsidRPr="001E7F78">
        <w:t>s, seeking their views on the future of the spectrum licences.</w:t>
      </w:r>
      <w:r w:rsidR="005E2129" w:rsidRPr="001E7F78">
        <w:t xml:space="preserve"> </w:t>
      </w:r>
      <w:r w:rsidR="00F95556">
        <w:t>I</w:t>
      </w:r>
      <w:r w:rsidR="00111442" w:rsidRPr="001E7F78">
        <w:t>ncumbent spectrum licence holders</w:t>
      </w:r>
      <w:r w:rsidR="005E2129" w:rsidRPr="001E7F78">
        <w:t xml:space="preserve"> did not oppose a reversion to apparatus licensing </w:t>
      </w:r>
      <w:r w:rsidR="00111442" w:rsidRPr="001E7F78">
        <w:t xml:space="preserve">in the 27 GHz band </w:t>
      </w:r>
      <w:r w:rsidR="005E2129" w:rsidRPr="001E7F78">
        <w:t xml:space="preserve">provided continuity of service could be assured. </w:t>
      </w:r>
    </w:p>
    <w:p w:rsidR="00D75227" w:rsidRPr="001E7F78" w:rsidRDefault="00D75227" w:rsidP="001E7F78">
      <w:pPr>
        <w:rPr>
          <w:i/>
        </w:rPr>
      </w:pPr>
    </w:p>
    <w:p w:rsidR="00DC1E23" w:rsidRPr="001E7F78" w:rsidRDefault="00DB4DFB" w:rsidP="001E7F78">
      <w:pPr>
        <w:keepLines/>
      </w:pPr>
      <w:r w:rsidRPr="001E7F78">
        <w:t>T</w:t>
      </w:r>
      <w:r w:rsidR="005E2129" w:rsidRPr="001E7F78">
        <w:t xml:space="preserve">he ACMA considers the best utilisation of the </w:t>
      </w:r>
      <w:r w:rsidR="00126846" w:rsidRPr="001E7F78">
        <w:t>27 GHz</w:t>
      </w:r>
      <w:r w:rsidR="005E2129" w:rsidRPr="001E7F78">
        <w:t xml:space="preserve"> band is to revert to apparatus licensing</w:t>
      </w:r>
      <w:r w:rsidR="005A7F7A" w:rsidRPr="001E7F78">
        <w:t>, following the expiry of the existing spectrum licences</w:t>
      </w:r>
      <w:r w:rsidR="005E2129" w:rsidRPr="001E7F78">
        <w:t xml:space="preserve">. International spectrum allocation suggests there is growing demand to use the </w:t>
      </w:r>
      <w:r w:rsidR="00126846" w:rsidRPr="001E7F78">
        <w:t>27 GHz</w:t>
      </w:r>
      <w:r w:rsidR="005E2129" w:rsidRPr="001E7F78">
        <w:t xml:space="preserve"> band for fixed services and fixed satellite services. </w:t>
      </w:r>
      <w:r w:rsidRPr="001E7F78">
        <w:t>It is the ACMA’s view that s</w:t>
      </w:r>
      <w:r w:rsidR="005E2129" w:rsidRPr="001E7F78">
        <w:t xml:space="preserve">ite-specific apparatus licensing allows for </w:t>
      </w:r>
      <w:r w:rsidRPr="001E7F78">
        <w:t>a</w:t>
      </w:r>
      <w:r w:rsidR="005E2129" w:rsidRPr="001E7F78">
        <w:t xml:space="preserve"> more </w:t>
      </w:r>
      <w:r w:rsidRPr="001E7F78">
        <w:t xml:space="preserve">varied and </w:t>
      </w:r>
      <w:r w:rsidR="005E2129" w:rsidRPr="001E7F78">
        <w:t>cost</w:t>
      </w:r>
      <w:r w:rsidR="00126846" w:rsidRPr="001E7F78">
        <w:noBreakHyphen/>
      </w:r>
      <w:r w:rsidR="005E2129" w:rsidRPr="001E7F78">
        <w:t xml:space="preserve">effective use of the </w:t>
      </w:r>
      <w:r w:rsidR="00126846" w:rsidRPr="001E7F78">
        <w:t>27 GHz</w:t>
      </w:r>
      <w:r w:rsidR="005E2129" w:rsidRPr="001E7F78">
        <w:t xml:space="preserve"> band than area</w:t>
      </w:r>
      <w:r w:rsidR="00126846" w:rsidRPr="001E7F78">
        <w:noBreakHyphen/>
      </w:r>
      <w:r w:rsidR="005E2129" w:rsidRPr="001E7F78">
        <w:t xml:space="preserve">wide spectrum licensing. </w:t>
      </w:r>
    </w:p>
    <w:p w:rsidR="005E2129" w:rsidRPr="001E7F78" w:rsidRDefault="005E2129" w:rsidP="001E7F78"/>
    <w:p w:rsidR="000A3090" w:rsidRDefault="00A93F36" w:rsidP="001E7F78">
      <w:r w:rsidRPr="001E7F78">
        <w:t xml:space="preserve">In accordance with </w:t>
      </w:r>
      <w:r w:rsidR="006313AB">
        <w:t>sub</w:t>
      </w:r>
      <w:r w:rsidRPr="001E7F78">
        <w:t>section</w:t>
      </w:r>
      <w:r w:rsidR="00126846" w:rsidRPr="001E7F78">
        <w:t> </w:t>
      </w:r>
      <w:r w:rsidRPr="001E7F78">
        <w:t xml:space="preserve">36(3) of the Act, on </w:t>
      </w:r>
      <w:r w:rsidR="00126846" w:rsidRPr="001E7F78">
        <w:t>7 July 2015</w:t>
      </w:r>
      <w:r w:rsidRPr="001E7F78">
        <w:t xml:space="preserve">, the ACMA recommended to the </w:t>
      </w:r>
      <w:r w:rsidR="000F39F9">
        <w:t>former</w:t>
      </w:r>
      <w:r w:rsidR="00327F22">
        <w:t xml:space="preserve"> </w:t>
      </w:r>
      <w:r w:rsidRPr="001E7F78">
        <w:t xml:space="preserve">Minister that the Designation Notice be </w:t>
      </w:r>
      <w:r w:rsidR="008757B3">
        <w:t>repealed</w:t>
      </w:r>
      <w:r w:rsidRPr="001E7F78">
        <w:t>.</w:t>
      </w:r>
      <w:r w:rsidR="005A7F7A" w:rsidRPr="001E7F78">
        <w:t xml:space="preserve"> The Minister has accepted the ACMA’s recommendati</w:t>
      </w:r>
      <w:r w:rsidR="00005579" w:rsidRPr="001E7F78">
        <w:t>on</w:t>
      </w:r>
      <w:r w:rsidR="000A3090">
        <w:t xml:space="preserve">, and is making the </w:t>
      </w:r>
      <w:r w:rsidR="000A3090">
        <w:rPr>
          <w:i/>
        </w:rPr>
        <w:t xml:space="preserve">Radiocommunications (Spectrum Designation—27 GHz Band) Repeal Notice 2015 </w:t>
      </w:r>
      <w:r w:rsidR="000A3090">
        <w:t>to repeal the Designation Notice</w:t>
      </w:r>
      <w:r w:rsidR="005A7F7A" w:rsidRPr="001E7F78">
        <w:t>.</w:t>
      </w:r>
    </w:p>
    <w:p w:rsidR="000A3090" w:rsidRDefault="000A3090" w:rsidP="001E7F78"/>
    <w:p w:rsidR="00A93F36" w:rsidRPr="001E7F78" w:rsidRDefault="00066C96" w:rsidP="001E7F78">
      <w:r>
        <w:t>The Minister is consequentially making this Determination to</w:t>
      </w:r>
      <w:r w:rsidR="000A3090">
        <w:t xml:space="preserve"> amend the Class of Services Determination to</w:t>
      </w:r>
      <w:r>
        <w:t xml:space="preserve"> ensure that it is clear that the Minister is no longer satisfied that it is in the public interest for spectrum licences to be re-issued in the band.</w:t>
      </w:r>
    </w:p>
    <w:p w:rsidR="00985877" w:rsidRPr="001E7F78" w:rsidRDefault="00985877" w:rsidP="001E7F78"/>
    <w:p w:rsidR="00985877" w:rsidRPr="00F37981" w:rsidRDefault="005E4A7E" w:rsidP="001E7F78">
      <w:pPr>
        <w:rPr>
          <w:color w:val="000000"/>
        </w:rPr>
      </w:pPr>
      <w:r w:rsidRPr="001E7F78">
        <w:t>T</w:t>
      </w:r>
      <w:r w:rsidR="00985877" w:rsidRPr="001E7F78">
        <w:t xml:space="preserve">he ACMA will </w:t>
      </w:r>
      <w:r w:rsidR="00985877" w:rsidRPr="00F37981">
        <w:rPr>
          <w:color w:val="000000"/>
        </w:rPr>
        <w:t xml:space="preserve">work with incumbent spectrum licensees </w:t>
      </w:r>
      <w:r w:rsidR="003632F7" w:rsidRPr="00F37981">
        <w:rPr>
          <w:color w:val="000000"/>
        </w:rPr>
        <w:t xml:space="preserve">to enable the transition </w:t>
      </w:r>
      <w:r w:rsidR="00985877" w:rsidRPr="00F37981">
        <w:rPr>
          <w:color w:val="000000"/>
        </w:rPr>
        <w:t xml:space="preserve">to apparatus licences in the </w:t>
      </w:r>
      <w:r w:rsidR="00126846" w:rsidRPr="00F37981">
        <w:rPr>
          <w:color w:val="000000"/>
        </w:rPr>
        <w:t>27 GHz</w:t>
      </w:r>
      <w:r w:rsidR="00985877" w:rsidRPr="00F37981">
        <w:rPr>
          <w:color w:val="000000"/>
        </w:rPr>
        <w:t xml:space="preserve"> band</w:t>
      </w:r>
      <w:r w:rsidR="003632F7" w:rsidRPr="00F37981">
        <w:rPr>
          <w:color w:val="000000"/>
        </w:rPr>
        <w:t xml:space="preserve"> to ensure continuity of service where this is sought by current licensees</w:t>
      </w:r>
      <w:r w:rsidR="00985877" w:rsidRPr="00F37981">
        <w:rPr>
          <w:color w:val="000000"/>
        </w:rPr>
        <w:t>.</w:t>
      </w:r>
    </w:p>
    <w:p w:rsidR="00133734" w:rsidRPr="001E7F78" w:rsidRDefault="00133734" w:rsidP="001E7F78">
      <w:pPr>
        <w:outlineLvl w:val="0"/>
        <w:rPr>
          <w:bCs/>
        </w:rPr>
      </w:pPr>
    </w:p>
    <w:p w:rsidR="00113FB2" w:rsidRPr="001E7F78" w:rsidRDefault="008757B3" w:rsidP="001E7F78">
      <w:pPr>
        <w:rPr>
          <w:szCs w:val="20"/>
          <w:u w:val="single"/>
        </w:rPr>
      </w:pPr>
      <w:r>
        <w:rPr>
          <w:b/>
          <w:bCs/>
        </w:rPr>
        <w:br w:type="page"/>
      </w:r>
      <w:r w:rsidR="007D21C6">
        <w:rPr>
          <w:szCs w:val="20"/>
          <w:u w:val="single"/>
        </w:rPr>
        <w:lastRenderedPageBreak/>
        <w:t>Notes on Sections</w:t>
      </w:r>
      <w:r w:rsidR="00113FB2" w:rsidRPr="001E7F78">
        <w:rPr>
          <w:szCs w:val="20"/>
          <w:u w:val="single"/>
        </w:rPr>
        <w:t xml:space="preserve"> </w:t>
      </w:r>
    </w:p>
    <w:p w:rsidR="00346137" w:rsidRPr="001E7F78" w:rsidRDefault="00346137" w:rsidP="001E7F78"/>
    <w:p w:rsidR="0022514B" w:rsidRPr="001E7F78" w:rsidRDefault="00324A21" w:rsidP="001E7F78">
      <w:pPr>
        <w:outlineLvl w:val="0"/>
        <w:rPr>
          <w:u w:val="single"/>
        </w:rPr>
      </w:pPr>
      <w:r w:rsidRPr="001E7F78">
        <w:rPr>
          <w:u w:val="single"/>
        </w:rPr>
        <w:t>Section</w:t>
      </w:r>
      <w:r w:rsidR="00346137" w:rsidRPr="001E7F78">
        <w:rPr>
          <w:u w:val="single"/>
        </w:rPr>
        <w:t xml:space="preserve"> 1</w:t>
      </w:r>
      <w:r w:rsidR="0022514B" w:rsidRPr="001E7F78">
        <w:rPr>
          <w:u w:val="single"/>
        </w:rPr>
        <w:t xml:space="preserve"> </w:t>
      </w:r>
      <w:r w:rsidR="00776A3E" w:rsidRPr="001E7F78">
        <w:rPr>
          <w:u w:val="single"/>
        </w:rPr>
        <w:t>–</w:t>
      </w:r>
      <w:r w:rsidR="0022514B" w:rsidRPr="001E7F78">
        <w:rPr>
          <w:u w:val="single"/>
        </w:rPr>
        <w:t xml:space="preserve"> Name</w:t>
      </w:r>
    </w:p>
    <w:p w:rsidR="0022514B" w:rsidRPr="001E7F78" w:rsidRDefault="0022514B" w:rsidP="001E7F78">
      <w:pPr>
        <w:outlineLvl w:val="0"/>
      </w:pPr>
    </w:p>
    <w:p w:rsidR="0022514B" w:rsidRPr="001E7F78" w:rsidRDefault="00324A21" w:rsidP="001E7F78">
      <w:pPr>
        <w:tabs>
          <w:tab w:val="left" w:pos="0"/>
        </w:tabs>
        <w:outlineLvl w:val="0"/>
        <w:rPr>
          <w:i/>
        </w:rPr>
      </w:pPr>
      <w:r w:rsidRPr="001E7F78">
        <w:t>Section</w:t>
      </w:r>
      <w:r w:rsidR="0022514B" w:rsidRPr="001E7F78">
        <w:t xml:space="preserve"> 1</w:t>
      </w:r>
      <w:r w:rsidR="00346137" w:rsidRPr="001E7F78">
        <w:t xml:space="preserve"> provides </w:t>
      </w:r>
      <w:r w:rsidR="0022514B" w:rsidRPr="001E7F78">
        <w:t xml:space="preserve">that the name of the </w:t>
      </w:r>
      <w:r w:rsidR="008757B3">
        <w:t>Notice</w:t>
      </w:r>
      <w:r w:rsidR="00366061">
        <w:t xml:space="preserve"> </w:t>
      </w:r>
      <w:r w:rsidR="00DC1E23" w:rsidRPr="001E7F78">
        <w:t xml:space="preserve">is the </w:t>
      </w:r>
      <w:r w:rsidR="00D16A6E" w:rsidRPr="001E7F78">
        <w:rPr>
          <w:i/>
        </w:rPr>
        <w:t>Radiocommunications (</w:t>
      </w:r>
      <w:r w:rsidR="00066C96">
        <w:rPr>
          <w:i/>
        </w:rPr>
        <w:t>Class of Services</w:t>
      </w:r>
      <w:r w:rsidR="00D16A6E" w:rsidRPr="001E7F78">
        <w:rPr>
          <w:i/>
        </w:rPr>
        <w:t xml:space="preserve">) </w:t>
      </w:r>
      <w:r w:rsidR="00066C96">
        <w:rPr>
          <w:i/>
        </w:rPr>
        <w:t xml:space="preserve">Amendment (Removal of 27 GHz Band) Determination </w:t>
      </w:r>
      <w:r w:rsidR="00F47BBA" w:rsidRPr="001E7F78">
        <w:rPr>
          <w:i/>
        </w:rPr>
        <w:t>2015</w:t>
      </w:r>
      <w:r w:rsidR="00DC1E23" w:rsidRPr="001E7F78">
        <w:rPr>
          <w:i/>
        </w:rPr>
        <w:t>.</w:t>
      </w:r>
    </w:p>
    <w:p w:rsidR="005D5352" w:rsidRPr="001E7F78" w:rsidRDefault="005D5352" w:rsidP="001E7F78"/>
    <w:p w:rsidR="0022514B" w:rsidRPr="001E7F78" w:rsidRDefault="00324A21" w:rsidP="001E7F78">
      <w:pPr>
        <w:rPr>
          <w:u w:val="single"/>
        </w:rPr>
      </w:pPr>
      <w:r w:rsidRPr="001E7F78">
        <w:rPr>
          <w:u w:val="single"/>
        </w:rPr>
        <w:t>Section</w:t>
      </w:r>
      <w:r w:rsidR="0022514B" w:rsidRPr="001E7F78">
        <w:rPr>
          <w:u w:val="single"/>
        </w:rPr>
        <w:t xml:space="preserve"> 2 </w:t>
      </w:r>
      <w:r w:rsidR="00776A3E" w:rsidRPr="001E7F78">
        <w:rPr>
          <w:u w:val="single"/>
        </w:rPr>
        <w:t>–</w:t>
      </w:r>
      <w:r w:rsidR="0022514B" w:rsidRPr="001E7F78">
        <w:rPr>
          <w:u w:val="single"/>
        </w:rPr>
        <w:t xml:space="preserve"> Commencement</w:t>
      </w:r>
    </w:p>
    <w:p w:rsidR="0022514B" w:rsidRPr="001E7F78" w:rsidRDefault="0022514B" w:rsidP="001E7F78"/>
    <w:p w:rsidR="005D5352" w:rsidRPr="001E7F78" w:rsidRDefault="00324A21" w:rsidP="001E7F78">
      <w:r w:rsidRPr="001E7F78">
        <w:t>Section</w:t>
      </w:r>
      <w:r w:rsidR="005D5352" w:rsidRPr="001E7F78">
        <w:t xml:space="preserve"> 2 provides that </w:t>
      </w:r>
      <w:r w:rsidR="007D21C6">
        <w:t xml:space="preserve">the </w:t>
      </w:r>
      <w:r w:rsidR="00066C96">
        <w:t>Determination</w:t>
      </w:r>
      <w:r w:rsidR="005D5352" w:rsidRPr="001E7F78">
        <w:t xml:space="preserve"> </w:t>
      </w:r>
      <w:r w:rsidR="007D21C6">
        <w:t xml:space="preserve">will </w:t>
      </w:r>
      <w:r w:rsidR="0022514B" w:rsidRPr="001E7F78">
        <w:t xml:space="preserve">commence on </w:t>
      </w:r>
      <w:r w:rsidR="00066C96">
        <w:t>the day after it is registered on the Federal Register of Legislative Instruments</w:t>
      </w:r>
      <w:r w:rsidR="00DC1E23" w:rsidRPr="001E7F78">
        <w:t>.</w:t>
      </w:r>
    </w:p>
    <w:p w:rsidR="005D5352" w:rsidRPr="001E7F78" w:rsidRDefault="005D5352" w:rsidP="001E7F78"/>
    <w:p w:rsidR="00814852" w:rsidRDefault="00324A21" w:rsidP="001E7F78">
      <w:pPr>
        <w:rPr>
          <w:u w:val="single"/>
        </w:rPr>
      </w:pPr>
      <w:bookmarkStart w:id="7" w:name="OLE_LINK1"/>
      <w:bookmarkStart w:id="8" w:name="OLE_LINK2"/>
      <w:r w:rsidRPr="001E7F78">
        <w:rPr>
          <w:u w:val="single"/>
        </w:rPr>
        <w:t>Section</w:t>
      </w:r>
      <w:r w:rsidR="00814852" w:rsidRPr="001E7F78">
        <w:rPr>
          <w:u w:val="single"/>
        </w:rPr>
        <w:t xml:space="preserve"> </w:t>
      </w:r>
      <w:r w:rsidR="00DC1E23" w:rsidRPr="001E7F78">
        <w:rPr>
          <w:u w:val="single"/>
        </w:rPr>
        <w:t>3</w:t>
      </w:r>
      <w:r w:rsidR="00814852" w:rsidRPr="001E7F78">
        <w:rPr>
          <w:u w:val="single"/>
        </w:rPr>
        <w:t xml:space="preserve"> </w:t>
      </w:r>
      <w:r w:rsidR="00C3046D" w:rsidRPr="001E7F78">
        <w:rPr>
          <w:u w:val="single"/>
        </w:rPr>
        <w:t>–</w:t>
      </w:r>
      <w:r w:rsidR="00814852" w:rsidRPr="001E7F78">
        <w:rPr>
          <w:u w:val="single"/>
        </w:rPr>
        <w:t xml:space="preserve"> </w:t>
      </w:r>
      <w:r w:rsidR="00776A3E">
        <w:rPr>
          <w:u w:val="single"/>
        </w:rPr>
        <w:t>Schedules</w:t>
      </w:r>
    </w:p>
    <w:p w:rsidR="00C3046D" w:rsidRDefault="00C3046D" w:rsidP="001E7F78"/>
    <w:p w:rsidR="00776A3E" w:rsidRDefault="00776A3E" w:rsidP="001E7F78">
      <w:r>
        <w:t>Section 3 provides that each instrument that is specified in a Schedule to this Determination is amended or repealed as set out by the applicable item, and all other items in a Schedule to this Determination have effect according to their terms.</w:t>
      </w:r>
    </w:p>
    <w:p w:rsidR="00776A3E" w:rsidRDefault="00776A3E" w:rsidP="001E7F78"/>
    <w:p w:rsidR="00776A3E" w:rsidRPr="00776A3E" w:rsidRDefault="00776A3E" w:rsidP="001E7F78">
      <w:pPr>
        <w:rPr>
          <w:b/>
        </w:rPr>
      </w:pPr>
      <w:r>
        <w:rPr>
          <w:b/>
        </w:rPr>
        <w:t>Schedule 1—Amendments</w:t>
      </w:r>
    </w:p>
    <w:p w:rsidR="00776A3E" w:rsidRDefault="00776A3E" w:rsidP="001E7F78"/>
    <w:p w:rsidR="00776A3E" w:rsidRPr="00776A3E" w:rsidRDefault="00776A3E" w:rsidP="001E7F78">
      <w:pPr>
        <w:rPr>
          <w:b/>
          <w:i/>
        </w:rPr>
      </w:pPr>
      <w:r>
        <w:rPr>
          <w:b/>
          <w:i/>
        </w:rPr>
        <w:t>Radiocommunications (Class of Services) Determination 2012</w:t>
      </w:r>
    </w:p>
    <w:p w:rsidR="00776A3E" w:rsidRDefault="00776A3E" w:rsidP="001E7F78"/>
    <w:p w:rsidR="00776A3E" w:rsidRPr="00776A3E" w:rsidRDefault="00776A3E" w:rsidP="001E7F78">
      <w:pPr>
        <w:rPr>
          <w:u w:val="single"/>
        </w:rPr>
      </w:pPr>
      <w:r>
        <w:rPr>
          <w:u w:val="single"/>
        </w:rPr>
        <w:t>Item 1 – Section 6</w:t>
      </w:r>
    </w:p>
    <w:p w:rsidR="00776A3E" w:rsidRPr="001E7F78" w:rsidRDefault="00776A3E" w:rsidP="001E7F78"/>
    <w:p w:rsidR="00616C6A" w:rsidRDefault="00776A3E" w:rsidP="006E2A54">
      <w:r>
        <w:t xml:space="preserve">Item 1 of Schedule 1 </w:t>
      </w:r>
      <w:r w:rsidR="006E2A54">
        <w:t xml:space="preserve">amends </w:t>
      </w:r>
      <w:r>
        <w:t xml:space="preserve">section 6 of </w:t>
      </w:r>
      <w:r w:rsidR="00C3046D" w:rsidRPr="001E7F78">
        <w:t>the</w:t>
      </w:r>
      <w:r w:rsidR="00470312">
        <w:t xml:space="preserve"> </w:t>
      </w:r>
      <w:r w:rsidR="006E2A54">
        <w:t>Class of Services Determination.</w:t>
      </w:r>
      <w:bookmarkEnd w:id="7"/>
      <w:bookmarkEnd w:id="8"/>
      <w:r w:rsidR="006E2A54">
        <w:t xml:space="preserve"> The amendment omits satellite services provided in the 27 GHz band.</w:t>
      </w:r>
    </w:p>
    <w:p w:rsidR="006E2A54" w:rsidRDefault="006E2A54" w:rsidP="006E2A54"/>
    <w:p w:rsidR="006E2A54" w:rsidRPr="001E7F78" w:rsidRDefault="006E2A54" w:rsidP="006E2A54">
      <w:r>
        <w:t>This amendment has the effect of ensuring that it is clear that the Minister is no longer satisfied that it is in the public interest for spectrum licences to be re-issued in the band. This is because apparatus licences are planned to be issued in this band rather than spectrum licences.</w:t>
      </w:r>
    </w:p>
    <w:sectPr w:rsidR="006E2A54" w:rsidRPr="001E7F78" w:rsidSect="00606B1A">
      <w:headerReference w:type="even" r:id="rId12"/>
      <w:headerReference w:type="default" r:id="rId13"/>
      <w:footerReference w:type="even" r:id="rId14"/>
      <w:footerReference w:type="default" r:id="rId15"/>
      <w:pgSz w:w="11907" w:h="16840" w:code="9"/>
      <w:pgMar w:top="1582" w:right="2160" w:bottom="1871" w:left="1729" w:header="720" w:footer="720"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E11" w:rsidRDefault="00FF0E11">
      <w:r>
        <w:separator/>
      </w:r>
    </w:p>
  </w:endnote>
  <w:endnote w:type="continuationSeparator" w:id="0">
    <w:p w:rsidR="00FF0E11" w:rsidRDefault="00FF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04" w:rsidRDefault="00BE6904" w:rsidP="00FC2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04" w:rsidRDefault="00BE6904" w:rsidP="00FC23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04" w:rsidRDefault="00BE6904" w:rsidP="00FC23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E11" w:rsidRDefault="00FF0E11">
      <w:r>
        <w:separator/>
      </w:r>
    </w:p>
  </w:footnote>
  <w:footnote w:type="continuationSeparator" w:id="0">
    <w:p w:rsidR="00FF0E11" w:rsidRDefault="00FF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04" w:rsidRDefault="00BE6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21.9pt;height:168.75pt;rotation:315;z-index:-251658752;mso-position-horizontal:center;mso-position-horizontal-relative:margin;mso-position-vertical:center;mso-position-vertical-relative:margin" o:allowincell="f" fillcolor="silver" stroked="f">
          <v:fill opacity=".5"/>
          <v:textpath style="font-family:&quot;Trebuchet MS&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04" w:rsidRDefault="00BE6904">
    <w:pPr>
      <w:pStyle w:val="Header"/>
    </w:pPr>
    <w:r>
      <w:tab/>
    </w:r>
    <w:r>
      <w:rPr>
        <w:rStyle w:val="PageNumber"/>
      </w:rPr>
      <w:fldChar w:fldCharType="begin"/>
    </w:r>
    <w:r>
      <w:rPr>
        <w:rStyle w:val="PageNumber"/>
      </w:rPr>
      <w:instrText xml:space="preserve"> PAGE </w:instrText>
    </w:r>
    <w:r>
      <w:rPr>
        <w:rStyle w:val="PageNumber"/>
      </w:rPr>
      <w:fldChar w:fldCharType="separate"/>
    </w:r>
    <w:r w:rsidR="007711B7">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A1972"/>
    <w:multiLevelType w:val="hybridMultilevel"/>
    <w:tmpl w:val="CBB20DF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12639"/>
    <w:multiLevelType w:val="hybridMultilevel"/>
    <w:tmpl w:val="0D8AE51A"/>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6B14245"/>
    <w:multiLevelType w:val="hybridMultilevel"/>
    <w:tmpl w:val="2668C416"/>
    <w:lvl w:ilvl="0" w:tplc="0C090001">
      <w:start w:val="1"/>
      <w:numFmt w:val="bullet"/>
      <w:lvlText w:val=""/>
      <w:lvlJc w:val="left"/>
      <w:pPr>
        <w:tabs>
          <w:tab w:val="num" w:pos="747"/>
        </w:tabs>
        <w:ind w:left="747" w:hanging="360"/>
      </w:pPr>
      <w:rPr>
        <w:rFonts w:ascii="Symbol" w:hAnsi="Symbol" w:hint="default"/>
      </w:rPr>
    </w:lvl>
    <w:lvl w:ilvl="1" w:tplc="0C090003" w:tentative="1">
      <w:start w:val="1"/>
      <w:numFmt w:val="bullet"/>
      <w:lvlText w:val="o"/>
      <w:lvlJc w:val="left"/>
      <w:pPr>
        <w:tabs>
          <w:tab w:val="num" w:pos="1467"/>
        </w:tabs>
        <w:ind w:left="1467" w:hanging="360"/>
      </w:pPr>
      <w:rPr>
        <w:rFonts w:ascii="Courier New" w:hAnsi="Courier New" w:cs="Courier New" w:hint="default"/>
      </w:rPr>
    </w:lvl>
    <w:lvl w:ilvl="2" w:tplc="0C090005" w:tentative="1">
      <w:start w:val="1"/>
      <w:numFmt w:val="bullet"/>
      <w:lvlText w:val=""/>
      <w:lvlJc w:val="left"/>
      <w:pPr>
        <w:tabs>
          <w:tab w:val="num" w:pos="2187"/>
        </w:tabs>
        <w:ind w:left="2187" w:hanging="360"/>
      </w:pPr>
      <w:rPr>
        <w:rFonts w:ascii="Wingdings" w:hAnsi="Wingdings" w:hint="default"/>
      </w:rPr>
    </w:lvl>
    <w:lvl w:ilvl="3" w:tplc="0C090001" w:tentative="1">
      <w:start w:val="1"/>
      <w:numFmt w:val="bullet"/>
      <w:lvlText w:val=""/>
      <w:lvlJc w:val="left"/>
      <w:pPr>
        <w:tabs>
          <w:tab w:val="num" w:pos="2907"/>
        </w:tabs>
        <w:ind w:left="2907" w:hanging="360"/>
      </w:pPr>
      <w:rPr>
        <w:rFonts w:ascii="Symbol" w:hAnsi="Symbol" w:hint="default"/>
      </w:rPr>
    </w:lvl>
    <w:lvl w:ilvl="4" w:tplc="0C090003" w:tentative="1">
      <w:start w:val="1"/>
      <w:numFmt w:val="bullet"/>
      <w:lvlText w:val="o"/>
      <w:lvlJc w:val="left"/>
      <w:pPr>
        <w:tabs>
          <w:tab w:val="num" w:pos="3627"/>
        </w:tabs>
        <w:ind w:left="3627" w:hanging="360"/>
      </w:pPr>
      <w:rPr>
        <w:rFonts w:ascii="Courier New" w:hAnsi="Courier New" w:cs="Courier New" w:hint="default"/>
      </w:rPr>
    </w:lvl>
    <w:lvl w:ilvl="5" w:tplc="0C090005" w:tentative="1">
      <w:start w:val="1"/>
      <w:numFmt w:val="bullet"/>
      <w:lvlText w:val=""/>
      <w:lvlJc w:val="left"/>
      <w:pPr>
        <w:tabs>
          <w:tab w:val="num" w:pos="4347"/>
        </w:tabs>
        <w:ind w:left="4347" w:hanging="360"/>
      </w:pPr>
      <w:rPr>
        <w:rFonts w:ascii="Wingdings" w:hAnsi="Wingdings" w:hint="default"/>
      </w:rPr>
    </w:lvl>
    <w:lvl w:ilvl="6" w:tplc="0C090001" w:tentative="1">
      <w:start w:val="1"/>
      <w:numFmt w:val="bullet"/>
      <w:lvlText w:val=""/>
      <w:lvlJc w:val="left"/>
      <w:pPr>
        <w:tabs>
          <w:tab w:val="num" w:pos="5067"/>
        </w:tabs>
        <w:ind w:left="5067" w:hanging="360"/>
      </w:pPr>
      <w:rPr>
        <w:rFonts w:ascii="Symbol" w:hAnsi="Symbol" w:hint="default"/>
      </w:rPr>
    </w:lvl>
    <w:lvl w:ilvl="7" w:tplc="0C090003" w:tentative="1">
      <w:start w:val="1"/>
      <w:numFmt w:val="bullet"/>
      <w:lvlText w:val="o"/>
      <w:lvlJc w:val="left"/>
      <w:pPr>
        <w:tabs>
          <w:tab w:val="num" w:pos="5787"/>
        </w:tabs>
        <w:ind w:left="5787" w:hanging="360"/>
      </w:pPr>
      <w:rPr>
        <w:rFonts w:ascii="Courier New" w:hAnsi="Courier New" w:cs="Courier New" w:hint="default"/>
      </w:rPr>
    </w:lvl>
    <w:lvl w:ilvl="8" w:tplc="0C090005" w:tentative="1">
      <w:start w:val="1"/>
      <w:numFmt w:val="bullet"/>
      <w:lvlText w:val=""/>
      <w:lvlJc w:val="left"/>
      <w:pPr>
        <w:tabs>
          <w:tab w:val="num" w:pos="6507"/>
        </w:tabs>
        <w:ind w:left="6507" w:hanging="360"/>
      </w:pPr>
      <w:rPr>
        <w:rFonts w:ascii="Wingdings" w:hAnsi="Wingdings" w:hint="default"/>
      </w:rPr>
    </w:lvl>
  </w:abstractNum>
  <w:abstractNum w:abstractNumId="3" w15:restartNumberingAfterBreak="0">
    <w:nsid w:val="62C2712B"/>
    <w:multiLevelType w:val="hybridMultilevel"/>
    <w:tmpl w:val="748A5522"/>
    <w:lvl w:ilvl="0" w:tplc="284C3E68">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AD94B9C"/>
    <w:multiLevelType w:val="hybridMultilevel"/>
    <w:tmpl w:val="679EAE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09630E"/>
    <w:multiLevelType w:val="hybridMultilevel"/>
    <w:tmpl w:val="B2DC3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2F"/>
    <w:rsid w:val="00005579"/>
    <w:rsid w:val="0001501D"/>
    <w:rsid w:val="00021FF7"/>
    <w:rsid w:val="00026FE9"/>
    <w:rsid w:val="00035D56"/>
    <w:rsid w:val="00041705"/>
    <w:rsid w:val="00047003"/>
    <w:rsid w:val="000508E2"/>
    <w:rsid w:val="00050E60"/>
    <w:rsid w:val="00052F01"/>
    <w:rsid w:val="00055130"/>
    <w:rsid w:val="00056B0D"/>
    <w:rsid w:val="00060E04"/>
    <w:rsid w:val="00060FA1"/>
    <w:rsid w:val="00066C96"/>
    <w:rsid w:val="00070853"/>
    <w:rsid w:val="000750BF"/>
    <w:rsid w:val="00094D66"/>
    <w:rsid w:val="000A3090"/>
    <w:rsid w:val="000A649F"/>
    <w:rsid w:val="000B3E71"/>
    <w:rsid w:val="000B407A"/>
    <w:rsid w:val="000C2724"/>
    <w:rsid w:val="000C65C3"/>
    <w:rsid w:val="000D4DCD"/>
    <w:rsid w:val="000E398E"/>
    <w:rsid w:val="000E535E"/>
    <w:rsid w:val="000E582B"/>
    <w:rsid w:val="000F1C17"/>
    <w:rsid w:val="000F2E3F"/>
    <w:rsid w:val="000F39F9"/>
    <w:rsid w:val="00111442"/>
    <w:rsid w:val="00113FB2"/>
    <w:rsid w:val="0012166E"/>
    <w:rsid w:val="0012396D"/>
    <w:rsid w:val="0012462C"/>
    <w:rsid w:val="00126846"/>
    <w:rsid w:val="001312F9"/>
    <w:rsid w:val="00133734"/>
    <w:rsid w:val="00161335"/>
    <w:rsid w:val="001651F3"/>
    <w:rsid w:val="00174D31"/>
    <w:rsid w:val="00176A67"/>
    <w:rsid w:val="0018129F"/>
    <w:rsid w:val="001835FB"/>
    <w:rsid w:val="001919DF"/>
    <w:rsid w:val="00194076"/>
    <w:rsid w:val="00195227"/>
    <w:rsid w:val="001A20B6"/>
    <w:rsid w:val="001A46D9"/>
    <w:rsid w:val="001B1BC6"/>
    <w:rsid w:val="001B49A2"/>
    <w:rsid w:val="001C7F8C"/>
    <w:rsid w:val="001D05C1"/>
    <w:rsid w:val="001D4C88"/>
    <w:rsid w:val="001E1E14"/>
    <w:rsid w:val="001E5BF5"/>
    <w:rsid w:val="001E7F78"/>
    <w:rsid w:val="001F445E"/>
    <w:rsid w:val="001F5FC8"/>
    <w:rsid w:val="0022514B"/>
    <w:rsid w:val="00235387"/>
    <w:rsid w:val="00235830"/>
    <w:rsid w:val="002373D4"/>
    <w:rsid w:val="00244D6D"/>
    <w:rsid w:val="0025687D"/>
    <w:rsid w:val="00270E27"/>
    <w:rsid w:val="00276B8F"/>
    <w:rsid w:val="00292037"/>
    <w:rsid w:val="00295F67"/>
    <w:rsid w:val="002D21FF"/>
    <w:rsid w:val="002E10DB"/>
    <w:rsid w:val="002E1528"/>
    <w:rsid w:val="002E75D5"/>
    <w:rsid w:val="002E7DB7"/>
    <w:rsid w:val="0031090C"/>
    <w:rsid w:val="00310D3E"/>
    <w:rsid w:val="00324A21"/>
    <w:rsid w:val="00325CDA"/>
    <w:rsid w:val="00327F22"/>
    <w:rsid w:val="00346137"/>
    <w:rsid w:val="00347AC2"/>
    <w:rsid w:val="00347D27"/>
    <w:rsid w:val="00350CCA"/>
    <w:rsid w:val="00353449"/>
    <w:rsid w:val="003632F7"/>
    <w:rsid w:val="00366061"/>
    <w:rsid w:val="0036770D"/>
    <w:rsid w:val="00382E60"/>
    <w:rsid w:val="00397251"/>
    <w:rsid w:val="003C0734"/>
    <w:rsid w:val="003F001D"/>
    <w:rsid w:val="003F26A2"/>
    <w:rsid w:val="00437970"/>
    <w:rsid w:val="00441150"/>
    <w:rsid w:val="00444C02"/>
    <w:rsid w:val="004476B4"/>
    <w:rsid w:val="00454F50"/>
    <w:rsid w:val="00460C12"/>
    <w:rsid w:val="004632AD"/>
    <w:rsid w:val="00467C2A"/>
    <w:rsid w:val="00470312"/>
    <w:rsid w:val="00483299"/>
    <w:rsid w:val="004A2153"/>
    <w:rsid w:val="004A3CF7"/>
    <w:rsid w:val="004A5FC2"/>
    <w:rsid w:val="004B1166"/>
    <w:rsid w:val="004B18BB"/>
    <w:rsid w:val="004C2E20"/>
    <w:rsid w:val="004C61F1"/>
    <w:rsid w:val="004C7D22"/>
    <w:rsid w:val="004D2EA1"/>
    <w:rsid w:val="004E574F"/>
    <w:rsid w:val="004E57E0"/>
    <w:rsid w:val="004E5C48"/>
    <w:rsid w:val="004E75E4"/>
    <w:rsid w:val="00511E54"/>
    <w:rsid w:val="005232E8"/>
    <w:rsid w:val="00524451"/>
    <w:rsid w:val="005339DA"/>
    <w:rsid w:val="00534696"/>
    <w:rsid w:val="00545EB0"/>
    <w:rsid w:val="0055600C"/>
    <w:rsid w:val="00574D1E"/>
    <w:rsid w:val="005767CC"/>
    <w:rsid w:val="00596FA3"/>
    <w:rsid w:val="005A1F90"/>
    <w:rsid w:val="005A67F1"/>
    <w:rsid w:val="005A7F7A"/>
    <w:rsid w:val="005B64D3"/>
    <w:rsid w:val="005C1259"/>
    <w:rsid w:val="005C19D0"/>
    <w:rsid w:val="005D5352"/>
    <w:rsid w:val="005E2129"/>
    <w:rsid w:val="005E4A7E"/>
    <w:rsid w:val="005E591B"/>
    <w:rsid w:val="00603184"/>
    <w:rsid w:val="00605068"/>
    <w:rsid w:val="0060617C"/>
    <w:rsid w:val="00606B1A"/>
    <w:rsid w:val="006103DA"/>
    <w:rsid w:val="00616C6A"/>
    <w:rsid w:val="00620E73"/>
    <w:rsid w:val="006313AB"/>
    <w:rsid w:val="006319B4"/>
    <w:rsid w:val="0063367A"/>
    <w:rsid w:val="006672D6"/>
    <w:rsid w:val="00671799"/>
    <w:rsid w:val="006938C3"/>
    <w:rsid w:val="00697DE4"/>
    <w:rsid w:val="006C3276"/>
    <w:rsid w:val="006D50D3"/>
    <w:rsid w:val="006D532E"/>
    <w:rsid w:val="006E2A54"/>
    <w:rsid w:val="006E4F7B"/>
    <w:rsid w:val="006E5BE2"/>
    <w:rsid w:val="006F1D1C"/>
    <w:rsid w:val="006F29C3"/>
    <w:rsid w:val="006F3E6D"/>
    <w:rsid w:val="00700119"/>
    <w:rsid w:val="00700DD5"/>
    <w:rsid w:val="00717EBA"/>
    <w:rsid w:val="00720FB7"/>
    <w:rsid w:val="007403A8"/>
    <w:rsid w:val="00761E2D"/>
    <w:rsid w:val="007711B7"/>
    <w:rsid w:val="0077266C"/>
    <w:rsid w:val="00774ECA"/>
    <w:rsid w:val="007759C0"/>
    <w:rsid w:val="007769D6"/>
    <w:rsid w:val="00776A3E"/>
    <w:rsid w:val="00781FEE"/>
    <w:rsid w:val="00782806"/>
    <w:rsid w:val="00791833"/>
    <w:rsid w:val="0079375D"/>
    <w:rsid w:val="007A0999"/>
    <w:rsid w:val="007B73D8"/>
    <w:rsid w:val="007D21C6"/>
    <w:rsid w:val="007E4B65"/>
    <w:rsid w:val="007E69B5"/>
    <w:rsid w:val="007F14E6"/>
    <w:rsid w:val="007F417F"/>
    <w:rsid w:val="007F6240"/>
    <w:rsid w:val="008004C9"/>
    <w:rsid w:val="00800F33"/>
    <w:rsid w:val="00803EF5"/>
    <w:rsid w:val="00812D5F"/>
    <w:rsid w:val="00812E3B"/>
    <w:rsid w:val="00814852"/>
    <w:rsid w:val="008163BB"/>
    <w:rsid w:val="0084360F"/>
    <w:rsid w:val="00850A10"/>
    <w:rsid w:val="008515F5"/>
    <w:rsid w:val="00854F6A"/>
    <w:rsid w:val="0085507F"/>
    <w:rsid w:val="0085694A"/>
    <w:rsid w:val="00870DC9"/>
    <w:rsid w:val="008724A0"/>
    <w:rsid w:val="008757B3"/>
    <w:rsid w:val="008866F5"/>
    <w:rsid w:val="0089617A"/>
    <w:rsid w:val="00897395"/>
    <w:rsid w:val="008A1091"/>
    <w:rsid w:val="008A31AC"/>
    <w:rsid w:val="008B76A8"/>
    <w:rsid w:val="008D3547"/>
    <w:rsid w:val="008E523C"/>
    <w:rsid w:val="008F7165"/>
    <w:rsid w:val="00904F26"/>
    <w:rsid w:val="00912615"/>
    <w:rsid w:val="00912933"/>
    <w:rsid w:val="0093515C"/>
    <w:rsid w:val="0094234E"/>
    <w:rsid w:val="0094268B"/>
    <w:rsid w:val="009518EC"/>
    <w:rsid w:val="009637EA"/>
    <w:rsid w:val="009651A2"/>
    <w:rsid w:val="009661BD"/>
    <w:rsid w:val="00970368"/>
    <w:rsid w:val="00974110"/>
    <w:rsid w:val="0097528E"/>
    <w:rsid w:val="00981287"/>
    <w:rsid w:val="00985877"/>
    <w:rsid w:val="009A0974"/>
    <w:rsid w:val="009D3F68"/>
    <w:rsid w:val="009E51D1"/>
    <w:rsid w:val="009E53B9"/>
    <w:rsid w:val="009F6BFE"/>
    <w:rsid w:val="00A220A2"/>
    <w:rsid w:val="00A270C9"/>
    <w:rsid w:val="00A335F2"/>
    <w:rsid w:val="00A516AF"/>
    <w:rsid w:val="00A51875"/>
    <w:rsid w:val="00A531DC"/>
    <w:rsid w:val="00A60B7F"/>
    <w:rsid w:val="00A67286"/>
    <w:rsid w:val="00A93F36"/>
    <w:rsid w:val="00A96B9F"/>
    <w:rsid w:val="00AA20F9"/>
    <w:rsid w:val="00AA3C8C"/>
    <w:rsid w:val="00AB3A5D"/>
    <w:rsid w:val="00AB7C31"/>
    <w:rsid w:val="00AC531F"/>
    <w:rsid w:val="00AD4B04"/>
    <w:rsid w:val="00AD4B5F"/>
    <w:rsid w:val="00AF33AD"/>
    <w:rsid w:val="00AF3AB2"/>
    <w:rsid w:val="00B00487"/>
    <w:rsid w:val="00B07457"/>
    <w:rsid w:val="00B10E69"/>
    <w:rsid w:val="00B16F47"/>
    <w:rsid w:val="00B22032"/>
    <w:rsid w:val="00B224F2"/>
    <w:rsid w:val="00B33A43"/>
    <w:rsid w:val="00B41B0B"/>
    <w:rsid w:val="00B42E76"/>
    <w:rsid w:val="00B45E34"/>
    <w:rsid w:val="00B46482"/>
    <w:rsid w:val="00B50C33"/>
    <w:rsid w:val="00BB233D"/>
    <w:rsid w:val="00BB77DA"/>
    <w:rsid w:val="00BC1059"/>
    <w:rsid w:val="00BC13C5"/>
    <w:rsid w:val="00BC3DF5"/>
    <w:rsid w:val="00BE55AD"/>
    <w:rsid w:val="00BE6904"/>
    <w:rsid w:val="00BF530E"/>
    <w:rsid w:val="00BF5E06"/>
    <w:rsid w:val="00C02C35"/>
    <w:rsid w:val="00C04E2C"/>
    <w:rsid w:val="00C11930"/>
    <w:rsid w:val="00C148FA"/>
    <w:rsid w:val="00C23163"/>
    <w:rsid w:val="00C3046D"/>
    <w:rsid w:val="00C35EB1"/>
    <w:rsid w:val="00C50DBA"/>
    <w:rsid w:val="00C53E4E"/>
    <w:rsid w:val="00C63626"/>
    <w:rsid w:val="00C63EFC"/>
    <w:rsid w:val="00C65EE9"/>
    <w:rsid w:val="00C76C9A"/>
    <w:rsid w:val="00C83E51"/>
    <w:rsid w:val="00C95765"/>
    <w:rsid w:val="00CB2D25"/>
    <w:rsid w:val="00CD046D"/>
    <w:rsid w:val="00CE60BF"/>
    <w:rsid w:val="00CE6212"/>
    <w:rsid w:val="00CF32AA"/>
    <w:rsid w:val="00D05E6C"/>
    <w:rsid w:val="00D1422A"/>
    <w:rsid w:val="00D16A6E"/>
    <w:rsid w:val="00D55905"/>
    <w:rsid w:val="00D66BC2"/>
    <w:rsid w:val="00D674F0"/>
    <w:rsid w:val="00D728AD"/>
    <w:rsid w:val="00D75092"/>
    <w:rsid w:val="00D75227"/>
    <w:rsid w:val="00DB1704"/>
    <w:rsid w:val="00DB4DFB"/>
    <w:rsid w:val="00DB5795"/>
    <w:rsid w:val="00DB5AB5"/>
    <w:rsid w:val="00DC1514"/>
    <w:rsid w:val="00DC1E23"/>
    <w:rsid w:val="00DC510D"/>
    <w:rsid w:val="00DE573B"/>
    <w:rsid w:val="00DE6AE7"/>
    <w:rsid w:val="00DE759E"/>
    <w:rsid w:val="00DE7A42"/>
    <w:rsid w:val="00E22539"/>
    <w:rsid w:val="00E24FD9"/>
    <w:rsid w:val="00E40472"/>
    <w:rsid w:val="00E4197F"/>
    <w:rsid w:val="00E42B80"/>
    <w:rsid w:val="00E5474F"/>
    <w:rsid w:val="00E62B72"/>
    <w:rsid w:val="00E6585C"/>
    <w:rsid w:val="00E71E4D"/>
    <w:rsid w:val="00E76324"/>
    <w:rsid w:val="00E87E7D"/>
    <w:rsid w:val="00E91880"/>
    <w:rsid w:val="00E91AB2"/>
    <w:rsid w:val="00EA124F"/>
    <w:rsid w:val="00ED776F"/>
    <w:rsid w:val="00EE24D1"/>
    <w:rsid w:val="00F13CB4"/>
    <w:rsid w:val="00F32260"/>
    <w:rsid w:val="00F35946"/>
    <w:rsid w:val="00F37981"/>
    <w:rsid w:val="00F441E4"/>
    <w:rsid w:val="00F47BBA"/>
    <w:rsid w:val="00F72BBE"/>
    <w:rsid w:val="00F84101"/>
    <w:rsid w:val="00F904EA"/>
    <w:rsid w:val="00F9176D"/>
    <w:rsid w:val="00F95556"/>
    <w:rsid w:val="00FA727B"/>
    <w:rsid w:val="00FB17F9"/>
    <w:rsid w:val="00FC1412"/>
    <w:rsid w:val="00FC232F"/>
    <w:rsid w:val="00FC3A1B"/>
    <w:rsid w:val="00FD7211"/>
    <w:rsid w:val="00FF0E11"/>
    <w:rsid w:val="00FF7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6D"/>
    <w:rPr>
      <w:sz w:val="24"/>
      <w:szCs w:val="24"/>
    </w:rPr>
  </w:style>
  <w:style w:type="paragraph" w:styleId="Heading1">
    <w:name w:val="heading 1"/>
    <w:basedOn w:val="Normal"/>
    <w:next w:val="Normal"/>
    <w:link w:val="Heading1Char"/>
    <w:qFormat/>
    <w:rsid w:val="0097528E"/>
    <w:pPr>
      <w:keepNext/>
      <w:jc w:val="center"/>
      <w:outlineLvl w:val="0"/>
    </w:pPr>
    <w:rPr>
      <w:i/>
      <w:szCs w:val="20"/>
    </w:rPr>
  </w:style>
  <w:style w:type="paragraph" w:styleId="Heading2">
    <w:name w:val="heading 2"/>
    <w:basedOn w:val="Normal"/>
    <w:next w:val="Normal"/>
    <w:qFormat/>
    <w:rsid w:val="00FC232F"/>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C232F"/>
    <w:pPr>
      <w:tabs>
        <w:tab w:val="center" w:pos="4153"/>
        <w:tab w:val="right" w:pos="8306"/>
      </w:tabs>
    </w:pPr>
  </w:style>
  <w:style w:type="character" w:styleId="PageNumber">
    <w:name w:val="page number"/>
    <w:rsid w:val="00FC232F"/>
    <w:rPr>
      <w:rFonts w:cs="Times New Roman"/>
    </w:rPr>
  </w:style>
  <w:style w:type="paragraph" w:styleId="Title">
    <w:name w:val="Title"/>
    <w:basedOn w:val="Normal"/>
    <w:link w:val="TitleChar"/>
    <w:qFormat/>
    <w:rsid w:val="00FC232F"/>
    <w:pPr>
      <w:jc w:val="center"/>
    </w:pPr>
    <w:rPr>
      <w:rFonts w:ascii="Times" w:hAnsi="Times"/>
      <w:b/>
      <w:szCs w:val="20"/>
      <w:u w:val="single"/>
    </w:rPr>
  </w:style>
  <w:style w:type="paragraph" w:styleId="Footer">
    <w:name w:val="footer"/>
    <w:basedOn w:val="Normal"/>
    <w:rsid w:val="00FC232F"/>
    <w:pPr>
      <w:tabs>
        <w:tab w:val="center" w:pos="4153"/>
        <w:tab w:val="right" w:pos="8306"/>
      </w:tabs>
    </w:pPr>
  </w:style>
  <w:style w:type="paragraph" w:styleId="BalloonText">
    <w:name w:val="Balloon Text"/>
    <w:basedOn w:val="Normal"/>
    <w:semiHidden/>
    <w:rsid w:val="00325CDA"/>
    <w:rPr>
      <w:rFonts w:ascii="Tahoma" w:hAnsi="Tahoma" w:cs="Tahoma"/>
      <w:sz w:val="16"/>
      <w:szCs w:val="16"/>
    </w:rPr>
  </w:style>
  <w:style w:type="character" w:styleId="CommentReference">
    <w:name w:val="annotation reference"/>
    <w:semiHidden/>
    <w:rsid w:val="00026FE9"/>
    <w:rPr>
      <w:sz w:val="16"/>
      <w:szCs w:val="16"/>
    </w:rPr>
  </w:style>
  <w:style w:type="paragraph" w:styleId="CommentText">
    <w:name w:val="annotation text"/>
    <w:basedOn w:val="Normal"/>
    <w:semiHidden/>
    <w:rsid w:val="00026FE9"/>
    <w:rPr>
      <w:sz w:val="20"/>
      <w:szCs w:val="20"/>
    </w:rPr>
  </w:style>
  <w:style w:type="paragraph" w:styleId="CommentSubject">
    <w:name w:val="annotation subject"/>
    <w:basedOn w:val="CommentText"/>
    <w:next w:val="CommentText"/>
    <w:semiHidden/>
    <w:rsid w:val="00026FE9"/>
    <w:rPr>
      <w:b/>
      <w:bCs/>
    </w:rPr>
  </w:style>
  <w:style w:type="paragraph" w:styleId="NormalWeb">
    <w:name w:val="Normal (Web)"/>
    <w:basedOn w:val="Normal"/>
    <w:rsid w:val="00F441E4"/>
    <w:pPr>
      <w:spacing w:after="240"/>
    </w:pPr>
  </w:style>
  <w:style w:type="paragraph" w:styleId="DocumentMap">
    <w:name w:val="Document Map"/>
    <w:basedOn w:val="Normal"/>
    <w:semiHidden/>
    <w:rsid w:val="00060FA1"/>
    <w:pPr>
      <w:shd w:val="clear" w:color="auto" w:fill="000080"/>
    </w:pPr>
    <w:rPr>
      <w:rFonts w:ascii="Tahoma" w:hAnsi="Tahoma" w:cs="Tahoma"/>
      <w:sz w:val="20"/>
      <w:szCs w:val="20"/>
    </w:rPr>
  </w:style>
  <w:style w:type="paragraph" w:customStyle="1" w:styleId="citation">
    <w:name w:val="citation"/>
    <w:basedOn w:val="Normal"/>
    <w:rsid w:val="0018129F"/>
    <w:pPr>
      <w:tabs>
        <w:tab w:val="left" w:pos="540"/>
      </w:tabs>
      <w:spacing w:before="240" w:line="300" w:lineRule="atLeast"/>
      <w:jc w:val="center"/>
    </w:pPr>
    <w:rPr>
      <w:rFonts w:ascii="Times" w:hAnsi="Times"/>
      <w:i/>
      <w:sz w:val="26"/>
      <w:szCs w:val="20"/>
    </w:rPr>
  </w:style>
  <w:style w:type="paragraph" w:styleId="FootnoteText">
    <w:name w:val="footnote text"/>
    <w:basedOn w:val="Normal"/>
    <w:semiHidden/>
    <w:rsid w:val="00A516AF"/>
    <w:rPr>
      <w:sz w:val="20"/>
      <w:szCs w:val="20"/>
    </w:rPr>
  </w:style>
  <w:style w:type="character" w:styleId="FootnoteReference">
    <w:name w:val="footnote reference"/>
    <w:semiHidden/>
    <w:rsid w:val="00A516AF"/>
    <w:rPr>
      <w:vertAlign w:val="superscript"/>
    </w:rPr>
  </w:style>
  <w:style w:type="character" w:styleId="Hyperlink">
    <w:name w:val="Hyperlink"/>
    <w:rsid w:val="00A516AF"/>
    <w:rPr>
      <w:color w:val="0000FF"/>
      <w:u w:val="single"/>
    </w:rPr>
  </w:style>
  <w:style w:type="paragraph" w:customStyle="1" w:styleId="Default">
    <w:name w:val="Default"/>
    <w:rsid w:val="00113FB2"/>
    <w:pPr>
      <w:autoSpaceDE w:val="0"/>
      <w:autoSpaceDN w:val="0"/>
      <w:adjustRightInd w:val="0"/>
    </w:pPr>
    <w:rPr>
      <w:rFonts w:eastAsia="MS Mincho"/>
      <w:color w:val="000000"/>
      <w:sz w:val="24"/>
      <w:szCs w:val="24"/>
    </w:rPr>
  </w:style>
  <w:style w:type="paragraph" w:customStyle="1" w:styleId="Abc-Text">
    <w:name w:val="Abc - Text"/>
    <w:basedOn w:val="Normal"/>
    <w:link w:val="Abc-TextChar"/>
    <w:unhideWhenUsed/>
    <w:qFormat/>
    <w:locked/>
    <w:rsid w:val="00126846"/>
    <w:pPr>
      <w:spacing w:before="240"/>
    </w:pPr>
    <w:rPr>
      <w:rFonts w:eastAsia="Calibri"/>
      <w:color w:val="000000"/>
    </w:rPr>
  </w:style>
  <w:style w:type="character" w:customStyle="1" w:styleId="Abc-TextChar">
    <w:name w:val="Abc - Text Char"/>
    <w:link w:val="Abc-Text"/>
    <w:rsid w:val="00126846"/>
    <w:rPr>
      <w:rFonts w:eastAsia="Calibri"/>
      <w:color w:val="000000"/>
      <w:sz w:val="24"/>
      <w:szCs w:val="24"/>
    </w:rPr>
  </w:style>
  <w:style w:type="paragraph" w:styleId="Revision">
    <w:name w:val="Revision"/>
    <w:hidden/>
    <w:uiPriority w:val="99"/>
    <w:semiHidden/>
    <w:rsid w:val="00E24FD9"/>
    <w:rPr>
      <w:sz w:val="24"/>
      <w:szCs w:val="24"/>
    </w:rPr>
  </w:style>
  <w:style w:type="character" w:customStyle="1" w:styleId="TitleChar">
    <w:name w:val="Title Char"/>
    <w:link w:val="Title"/>
    <w:rsid w:val="0097528E"/>
    <w:rPr>
      <w:rFonts w:ascii="Times" w:hAnsi="Times"/>
      <w:b/>
      <w:sz w:val="24"/>
      <w:u w:val="single"/>
    </w:rPr>
  </w:style>
  <w:style w:type="character" w:customStyle="1" w:styleId="Heading1Char">
    <w:name w:val="Heading 1 Char"/>
    <w:link w:val="Heading1"/>
    <w:rsid w:val="0097528E"/>
    <w:rPr>
      <w:i/>
      <w:sz w:val="24"/>
    </w:rPr>
  </w:style>
  <w:style w:type="paragraph" w:styleId="BodyText3">
    <w:name w:val="Body Text 3"/>
    <w:basedOn w:val="Normal"/>
    <w:link w:val="BodyText3Char"/>
    <w:rsid w:val="0097528E"/>
    <w:rPr>
      <w:szCs w:val="20"/>
      <w:u w:val="single"/>
      <w:lang w:val="en-GB" w:eastAsia="en-US"/>
    </w:rPr>
  </w:style>
  <w:style w:type="character" w:customStyle="1" w:styleId="BodyText3Char">
    <w:name w:val="Body Text 3 Char"/>
    <w:link w:val="BodyText3"/>
    <w:rsid w:val="0097528E"/>
    <w:rPr>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50055">
      <w:bodyDiv w:val="1"/>
      <w:marLeft w:val="0"/>
      <w:marRight w:val="0"/>
      <w:marTop w:val="0"/>
      <w:marBottom w:val="0"/>
      <w:divBdr>
        <w:top w:val="none" w:sz="0" w:space="0" w:color="auto"/>
        <w:left w:val="none" w:sz="0" w:space="0" w:color="auto"/>
        <w:bottom w:val="none" w:sz="0" w:space="0" w:color="auto"/>
        <w:right w:val="none" w:sz="0" w:space="0" w:color="auto"/>
      </w:divBdr>
    </w:div>
    <w:div w:id="1405028088">
      <w:bodyDiv w:val="1"/>
      <w:marLeft w:val="0"/>
      <w:marRight w:val="0"/>
      <w:marTop w:val="0"/>
      <w:marBottom w:val="0"/>
      <w:divBdr>
        <w:top w:val="none" w:sz="0" w:space="0" w:color="auto"/>
        <w:left w:val="none" w:sz="0" w:space="0" w:color="auto"/>
        <w:bottom w:val="none" w:sz="0" w:space="0" w:color="auto"/>
        <w:right w:val="none" w:sz="0" w:space="0" w:color="auto"/>
      </w:divBdr>
    </w:div>
    <w:div w:id="17027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6db304413f3491626ea06610bad2c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1B79-664F-409C-803F-892ACBE2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965A57-8262-4446-AFFF-DA15AE2784ED}">
  <ds:schemaRefs>
    <ds:schemaRef ds:uri="http://schemas.microsoft.com/sharepoint/v3/contenttype/forms"/>
  </ds:schemaRefs>
</ds:datastoreItem>
</file>

<file path=customXml/itemProps3.xml><?xml version="1.0" encoding="utf-8"?>
<ds:datastoreItem xmlns:ds="http://schemas.openxmlformats.org/officeDocument/2006/customXml" ds:itemID="{B3312EBC-38BA-4E85-B613-C234314B26EA}">
  <ds:schemaRefs>
    <ds:schemaRef ds:uri="http://schemas.microsoft.com/office/2006/metadata/longProperties"/>
  </ds:schemaRefs>
</ds:datastoreItem>
</file>

<file path=customXml/itemProps4.xml><?xml version="1.0" encoding="utf-8"?>
<ds:datastoreItem xmlns:ds="http://schemas.openxmlformats.org/officeDocument/2006/customXml" ds:itemID="{4611C1FF-D23E-480D-9A04-86E1F39844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C60610-D736-4BD4-B68E-BF20B9CC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CE7C4E95.dotm</Template>
  <TotalTime>0</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Tab 2 - Explanatory Statement -</vt:lpstr>
    </vt:vector>
  </TitlesOfParts>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2 - Explanatory Statement -</dc:title>
  <dc:subject/>
  <dc:creator/>
  <cp:keywords/>
  <cp:lastModifiedBy/>
  <cp:revision>1</cp:revision>
  <cp:lastPrinted>2010-06-25T03:29:00Z</cp:lastPrinted>
  <dcterms:created xsi:type="dcterms:W3CDTF">2015-11-09T02:16:00Z</dcterms:created>
  <dcterms:modified xsi:type="dcterms:W3CDTF">2015-11-09T02:16:00Z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2</vt:lpwstr>
  </property>
</Properties>
</file>