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Performance and Accountability (Section 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73239">
        <w:rPr>
          <w:i/>
          <w:sz w:val="24"/>
        </w:rPr>
        <w:t>4</w:t>
      </w:r>
      <w:r w:rsidR="00BE1474">
        <w:rPr>
          <w:i/>
          <w:sz w:val="24"/>
        </w:rPr>
        <w:t>-201</w:t>
      </w:r>
      <w:r w:rsidR="00C73239">
        <w:rPr>
          <w:i/>
          <w:sz w:val="24"/>
        </w:rPr>
        <w:t>5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402D0F">
        <w:rPr>
          <w:i/>
          <w:sz w:val="24"/>
        </w:rPr>
        <w:t xml:space="preserve"> </w:t>
      </w:r>
      <w:r w:rsidR="00A26AA3">
        <w:rPr>
          <w:i/>
          <w:sz w:val="24"/>
        </w:rPr>
        <w:t>4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Pr="001872DB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1872DB">
        <w:rPr>
          <w:b w:val="0"/>
          <w:bCs w:val="0"/>
          <w:sz w:val="22"/>
          <w:szCs w:val="22"/>
        </w:rPr>
        <w:t>The</w:t>
      </w:r>
      <w:r w:rsidR="00DB076C" w:rsidRPr="001872DB">
        <w:rPr>
          <w:b w:val="0"/>
          <w:bCs w:val="0"/>
          <w:sz w:val="22"/>
          <w:szCs w:val="22"/>
        </w:rPr>
        <w:t xml:space="preserve"> amendment</w:t>
      </w:r>
      <w:r w:rsidRPr="001872DB">
        <w:rPr>
          <w:b w:val="0"/>
          <w:bCs w:val="0"/>
          <w:sz w:val="22"/>
          <w:szCs w:val="22"/>
        </w:rPr>
        <w:t xml:space="preserve"> </w:t>
      </w:r>
      <w:r w:rsidR="00B57E08" w:rsidRPr="001872DB">
        <w:rPr>
          <w:b w:val="0"/>
          <w:bCs w:val="0"/>
          <w:sz w:val="22"/>
          <w:szCs w:val="22"/>
        </w:rPr>
        <w:t>d</w:t>
      </w:r>
      <w:r w:rsidRPr="001872DB">
        <w:rPr>
          <w:b w:val="0"/>
          <w:bCs w:val="0"/>
          <w:sz w:val="22"/>
          <w:szCs w:val="22"/>
        </w:rPr>
        <w:t xml:space="preserve">etermination is made under section </w:t>
      </w:r>
      <w:r w:rsidR="00B57E08" w:rsidRPr="001872DB">
        <w:rPr>
          <w:b w:val="0"/>
          <w:bCs w:val="0"/>
          <w:sz w:val="22"/>
          <w:szCs w:val="22"/>
        </w:rPr>
        <w:t>75</w:t>
      </w:r>
      <w:r w:rsidRPr="001872DB">
        <w:rPr>
          <w:b w:val="0"/>
          <w:bCs w:val="0"/>
          <w:sz w:val="22"/>
          <w:szCs w:val="22"/>
        </w:rPr>
        <w:t xml:space="preserve"> of the </w:t>
      </w:r>
      <w:r w:rsidR="00B57E08" w:rsidRPr="001872DB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1872DB">
        <w:rPr>
          <w:b w:val="0"/>
          <w:sz w:val="22"/>
          <w:szCs w:val="22"/>
        </w:rPr>
        <w:t>(PGPA Act)</w:t>
      </w:r>
      <w:r w:rsidRPr="001872DB">
        <w:rPr>
          <w:b w:val="0"/>
          <w:bCs w:val="0"/>
          <w:sz w:val="22"/>
          <w:szCs w:val="22"/>
        </w:rPr>
        <w:t xml:space="preserve"> to</w:t>
      </w:r>
      <w:r w:rsidR="00DB076C" w:rsidRPr="001872DB">
        <w:rPr>
          <w:b w:val="0"/>
          <w:bCs w:val="0"/>
          <w:sz w:val="22"/>
          <w:szCs w:val="22"/>
        </w:rPr>
        <w:t xml:space="preserve"> </w:t>
      </w:r>
      <w:r w:rsidR="002F3EA9">
        <w:rPr>
          <w:b w:val="0"/>
          <w:bCs w:val="0"/>
          <w:sz w:val="22"/>
          <w:szCs w:val="22"/>
        </w:rPr>
        <w:t xml:space="preserve">further </w:t>
      </w:r>
      <w:r w:rsidR="00DB076C" w:rsidRPr="001872DB">
        <w:rPr>
          <w:b w:val="0"/>
          <w:bCs w:val="0"/>
          <w:sz w:val="22"/>
          <w:szCs w:val="22"/>
        </w:rPr>
        <w:t xml:space="preserve">amend </w:t>
      </w:r>
      <w:r w:rsidR="00DB076C" w:rsidRPr="001872DB">
        <w:rPr>
          <w:b w:val="0"/>
          <w:bCs w:val="0"/>
          <w:i/>
          <w:sz w:val="22"/>
          <w:szCs w:val="22"/>
        </w:rPr>
        <w:t>Public Governance, Performance and Accountability (Section 75 Transfers) Determination 201</w:t>
      </w:r>
      <w:r w:rsidR="00C73239" w:rsidRPr="001872DB">
        <w:rPr>
          <w:b w:val="0"/>
          <w:bCs w:val="0"/>
          <w:i/>
          <w:sz w:val="22"/>
          <w:szCs w:val="22"/>
        </w:rPr>
        <w:t>4</w:t>
      </w:r>
      <w:r w:rsidR="00DB076C" w:rsidRPr="001872DB">
        <w:rPr>
          <w:b w:val="0"/>
          <w:bCs w:val="0"/>
          <w:i/>
          <w:sz w:val="22"/>
          <w:szCs w:val="22"/>
        </w:rPr>
        <w:t>-201</w:t>
      </w:r>
      <w:r w:rsidR="00C73239" w:rsidRPr="001872DB">
        <w:rPr>
          <w:b w:val="0"/>
          <w:bCs w:val="0"/>
          <w:i/>
          <w:sz w:val="22"/>
          <w:szCs w:val="22"/>
        </w:rPr>
        <w:t>5</w:t>
      </w:r>
      <w:r w:rsidR="000A1BB7" w:rsidRPr="001872DB">
        <w:rPr>
          <w:b w:val="0"/>
          <w:bCs w:val="0"/>
          <w:i/>
          <w:sz w:val="22"/>
          <w:szCs w:val="22"/>
        </w:rPr>
        <w:t xml:space="preserve"> </w:t>
      </w:r>
      <w:r w:rsidR="000A1BB7" w:rsidRPr="001872DB">
        <w:rPr>
          <w:b w:val="0"/>
          <w:bCs w:val="0"/>
          <w:sz w:val="22"/>
          <w:szCs w:val="22"/>
        </w:rPr>
        <w:t>(the primary determination)</w:t>
      </w:r>
      <w:r w:rsidR="00DB076C" w:rsidRPr="001872DB">
        <w:rPr>
          <w:b w:val="0"/>
          <w:bCs w:val="0"/>
          <w:sz w:val="22"/>
          <w:szCs w:val="22"/>
        </w:rPr>
        <w:t xml:space="preserve">, dated </w:t>
      </w:r>
      <w:r w:rsidR="004A0E33" w:rsidRPr="001872DB">
        <w:rPr>
          <w:b w:val="0"/>
          <w:bCs w:val="0"/>
          <w:sz w:val="22"/>
          <w:szCs w:val="22"/>
        </w:rPr>
        <w:t>30</w:t>
      </w:r>
      <w:r w:rsidR="00C73239" w:rsidRPr="001872DB">
        <w:rPr>
          <w:b w:val="0"/>
          <w:bCs w:val="0"/>
          <w:sz w:val="22"/>
          <w:szCs w:val="22"/>
        </w:rPr>
        <w:t> </w:t>
      </w:r>
      <w:r w:rsidR="004A0E33" w:rsidRPr="001872DB">
        <w:rPr>
          <w:b w:val="0"/>
          <w:bCs w:val="0"/>
          <w:sz w:val="22"/>
          <w:szCs w:val="22"/>
        </w:rPr>
        <w:t>January</w:t>
      </w:r>
      <w:r w:rsidR="00C73239" w:rsidRPr="001872DB">
        <w:rPr>
          <w:b w:val="0"/>
          <w:bCs w:val="0"/>
          <w:sz w:val="22"/>
          <w:szCs w:val="22"/>
        </w:rPr>
        <w:t> 2015</w:t>
      </w:r>
      <w:r w:rsidR="00DB076C" w:rsidRPr="001872DB">
        <w:rPr>
          <w:b w:val="0"/>
          <w:bCs w:val="0"/>
          <w:sz w:val="22"/>
          <w:szCs w:val="22"/>
        </w:rPr>
        <w:t>,</w:t>
      </w:r>
      <w:r w:rsidRPr="001872DB">
        <w:rPr>
          <w:b w:val="0"/>
          <w:bCs w:val="0"/>
          <w:sz w:val="22"/>
          <w:szCs w:val="22"/>
        </w:rPr>
        <w:t xml:space="preserve"> </w:t>
      </w:r>
      <w:r w:rsidR="00D67D64" w:rsidRPr="00DC633A">
        <w:rPr>
          <w:b w:val="0"/>
          <w:bCs w:val="0"/>
          <w:sz w:val="22"/>
          <w:szCs w:val="22"/>
        </w:rPr>
        <w:t xml:space="preserve">and amended by </w:t>
      </w:r>
      <w:r w:rsidR="00D67D64" w:rsidRPr="00DC633A">
        <w:rPr>
          <w:b w:val="0"/>
          <w:bCs w:val="0"/>
          <w:i/>
          <w:sz w:val="22"/>
          <w:szCs w:val="22"/>
        </w:rPr>
        <w:t>Public Governance, Performance and Accountability (Section 75 Transfe</w:t>
      </w:r>
      <w:r w:rsidR="00D67D64">
        <w:rPr>
          <w:b w:val="0"/>
          <w:bCs w:val="0"/>
          <w:i/>
          <w:sz w:val="22"/>
          <w:szCs w:val="22"/>
        </w:rPr>
        <w:t>rs) Amendment Determination 2014-2015</w:t>
      </w:r>
      <w:r w:rsidR="00D67D64" w:rsidRPr="00DC633A">
        <w:rPr>
          <w:b w:val="0"/>
          <w:bCs w:val="0"/>
          <w:i/>
          <w:sz w:val="22"/>
          <w:szCs w:val="22"/>
        </w:rPr>
        <w:t xml:space="preserve"> (No. 1)</w:t>
      </w:r>
      <w:r w:rsidR="00D67D64" w:rsidRPr="00DC633A">
        <w:rPr>
          <w:b w:val="0"/>
          <w:bCs w:val="0"/>
          <w:sz w:val="22"/>
          <w:szCs w:val="22"/>
        </w:rPr>
        <w:t xml:space="preserve">, dated </w:t>
      </w:r>
      <w:r w:rsidR="00D67D64">
        <w:rPr>
          <w:b w:val="0"/>
          <w:bCs w:val="0"/>
          <w:sz w:val="22"/>
          <w:szCs w:val="22"/>
        </w:rPr>
        <w:t>27 March 2015</w:t>
      </w:r>
      <w:r w:rsidR="00D67D64" w:rsidRPr="00DC633A">
        <w:rPr>
          <w:b w:val="0"/>
          <w:bCs w:val="0"/>
          <w:sz w:val="22"/>
          <w:szCs w:val="22"/>
        </w:rPr>
        <w:t xml:space="preserve">, </w:t>
      </w:r>
      <w:r w:rsidR="00D67D64" w:rsidRPr="00DC633A">
        <w:rPr>
          <w:b w:val="0"/>
          <w:bCs w:val="0"/>
          <w:i/>
          <w:sz w:val="22"/>
          <w:szCs w:val="22"/>
        </w:rPr>
        <w:t>Public Governance, Performance and Accountability (Section 75 Transfe</w:t>
      </w:r>
      <w:r w:rsidR="00D67D64">
        <w:rPr>
          <w:b w:val="0"/>
          <w:bCs w:val="0"/>
          <w:i/>
          <w:sz w:val="22"/>
          <w:szCs w:val="22"/>
        </w:rPr>
        <w:t>rs) Amendment Determination 2014-2015</w:t>
      </w:r>
      <w:r w:rsidR="00D67D64" w:rsidRPr="00DC633A">
        <w:rPr>
          <w:b w:val="0"/>
          <w:bCs w:val="0"/>
          <w:i/>
          <w:sz w:val="22"/>
          <w:szCs w:val="22"/>
        </w:rPr>
        <w:t xml:space="preserve"> (No. 2)</w:t>
      </w:r>
      <w:r w:rsidR="00D67D64" w:rsidRPr="00DC633A">
        <w:rPr>
          <w:b w:val="0"/>
          <w:bCs w:val="0"/>
          <w:sz w:val="22"/>
          <w:szCs w:val="22"/>
        </w:rPr>
        <w:t xml:space="preserve">, dated </w:t>
      </w:r>
      <w:r w:rsidR="00D67D64">
        <w:rPr>
          <w:b w:val="0"/>
          <w:bCs w:val="0"/>
          <w:sz w:val="22"/>
          <w:szCs w:val="22"/>
        </w:rPr>
        <w:t>30 October</w:t>
      </w:r>
      <w:r w:rsidR="00D67D64" w:rsidRPr="00DC633A">
        <w:rPr>
          <w:b w:val="0"/>
          <w:bCs w:val="0"/>
          <w:sz w:val="22"/>
          <w:szCs w:val="22"/>
        </w:rPr>
        <w:t xml:space="preserve"> 2015</w:t>
      </w:r>
      <w:r w:rsidR="00D67D64">
        <w:rPr>
          <w:b w:val="0"/>
          <w:bCs w:val="0"/>
          <w:sz w:val="22"/>
          <w:szCs w:val="22"/>
        </w:rPr>
        <w:t>,</w:t>
      </w:r>
      <w:r w:rsidR="00A26AA3">
        <w:rPr>
          <w:b w:val="0"/>
          <w:bCs w:val="0"/>
          <w:sz w:val="22"/>
          <w:szCs w:val="22"/>
        </w:rPr>
        <w:t xml:space="preserve"> and</w:t>
      </w:r>
      <w:r w:rsidR="00D67D64">
        <w:rPr>
          <w:b w:val="0"/>
          <w:bCs w:val="0"/>
          <w:sz w:val="22"/>
          <w:szCs w:val="22"/>
        </w:rPr>
        <w:t xml:space="preserve"> </w:t>
      </w:r>
      <w:r w:rsidR="00A26AA3" w:rsidRPr="00DC633A">
        <w:rPr>
          <w:b w:val="0"/>
          <w:bCs w:val="0"/>
          <w:i/>
          <w:sz w:val="22"/>
          <w:szCs w:val="22"/>
        </w:rPr>
        <w:t>Public Governance, Performance and Accountability (Section 75 Transfe</w:t>
      </w:r>
      <w:r w:rsidR="00A26AA3">
        <w:rPr>
          <w:b w:val="0"/>
          <w:bCs w:val="0"/>
          <w:i/>
          <w:sz w:val="22"/>
          <w:szCs w:val="22"/>
        </w:rPr>
        <w:t>rs) Amendment Determination 2014-2015</w:t>
      </w:r>
      <w:r w:rsidR="00A26AA3" w:rsidRPr="00DC633A">
        <w:rPr>
          <w:b w:val="0"/>
          <w:bCs w:val="0"/>
          <w:i/>
          <w:sz w:val="22"/>
          <w:szCs w:val="22"/>
        </w:rPr>
        <w:t xml:space="preserve"> (No. </w:t>
      </w:r>
      <w:r w:rsidR="00A26AA3">
        <w:rPr>
          <w:b w:val="0"/>
          <w:bCs w:val="0"/>
          <w:i/>
          <w:sz w:val="22"/>
          <w:szCs w:val="22"/>
        </w:rPr>
        <w:t>3</w:t>
      </w:r>
      <w:r w:rsidR="00A26AA3" w:rsidRPr="00DC633A">
        <w:rPr>
          <w:b w:val="0"/>
          <w:bCs w:val="0"/>
          <w:i/>
          <w:sz w:val="22"/>
          <w:szCs w:val="22"/>
        </w:rPr>
        <w:t>)</w:t>
      </w:r>
      <w:r w:rsidR="00A26AA3">
        <w:rPr>
          <w:b w:val="0"/>
          <w:bCs w:val="0"/>
          <w:i/>
          <w:sz w:val="22"/>
          <w:szCs w:val="22"/>
        </w:rPr>
        <w:t xml:space="preserve">, </w:t>
      </w:r>
      <w:r w:rsidR="00A26AA3">
        <w:rPr>
          <w:b w:val="0"/>
          <w:bCs w:val="0"/>
          <w:sz w:val="22"/>
          <w:szCs w:val="22"/>
        </w:rPr>
        <w:t xml:space="preserve">dated 5 November 2015, </w:t>
      </w:r>
      <w:r w:rsidR="00DB076C" w:rsidRPr="001872DB">
        <w:rPr>
          <w:b w:val="0"/>
          <w:bCs w:val="0"/>
          <w:sz w:val="22"/>
          <w:szCs w:val="22"/>
        </w:rPr>
        <w:t xml:space="preserve">to </w:t>
      </w:r>
      <w:r w:rsidRPr="001872DB">
        <w:rPr>
          <w:b w:val="0"/>
          <w:bCs w:val="0"/>
          <w:sz w:val="22"/>
          <w:szCs w:val="22"/>
        </w:rPr>
        <w:t xml:space="preserve">adjust amounts appropriated to </w:t>
      </w:r>
      <w:r w:rsidR="00542A41" w:rsidRPr="001872DB">
        <w:rPr>
          <w:b w:val="0"/>
          <w:bCs w:val="0"/>
          <w:sz w:val="22"/>
          <w:szCs w:val="22"/>
        </w:rPr>
        <w:t>non-corporate Commonwealth</w:t>
      </w:r>
      <w:r w:rsidRPr="001872DB">
        <w:rPr>
          <w:b w:val="0"/>
          <w:bCs w:val="0"/>
          <w:sz w:val="22"/>
          <w:szCs w:val="22"/>
        </w:rPr>
        <w:t xml:space="preserve"> </w:t>
      </w:r>
      <w:r w:rsidR="00D80EE8" w:rsidRPr="001872DB">
        <w:rPr>
          <w:b w:val="0"/>
          <w:bCs w:val="0"/>
          <w:sz w:val="22"/>
          <w:szCs w:val="22"/>
        </w:rPr>
        <w:t>entit</w:t>
      </w:r>
      <w:r w:rsidR="0037012D" w:rsidRPr="001872DB">
        <w:rPr>
          <w:b w:val="0"/>
          <w:bCs w:val="0"/>
          <w:sz w:val="22"/>
          <w:szCs w:val="22"/>
        </w:rPr>
        <w:t>ies</w:t>
      </w:r>
      <w:r w:rsidR="003B4CEC" w:rsidRPr="001872DB">
        <w:rPr>
          <w:b w:val="0"/>
          <w:bCs w:val="0"/>
          <w:sz w:val="22"/>
          <w:szCs w:val="22"/>
        </w:rPr>
        <w:t>, in response to the Administrative Arrangements Order</w:t>
      </w:r>
      <w:r w:rsidR="00387DC1" w:rsidRPr="001872DB">
        <w:rPr>
          <w:b w:val="0"/>
          <w:bCs w:val="0"/>
          <w:sz w:val="22"/>
          <w:szCs w:val="22"/>
        </w:rPr>
        <w:t xml:space="preserve"> </w:t>
      </w:r>
      <w:r w:rsidR="00926765">
        <w:rPr>
          <w:b w:val="0"/>
          <w:bCs w:val="0"/>
          <w:sz w:val="22"/>
          <w:szCs w:val="22"/>
        </w:rPr>
        <w:t xml:space="preserve">(AAO) </w:t>
      </w:r>
      <w:r w:rsidR="00387DC1" w:rsidRPr="001872DB">
        <w:rPr>
          <w:b w:val="0"/>
          <w:bCs w:val="0"/>
          <w:sz w:val="22"/>
          <w:szCs w:val="22"/>
        </w:rPr>
        <w:t xml:space="preserve">made on </w:t>
      </w:r>
      <w:r w:rsidR="00060E05">
        <w:rPr>
          <w:b w:val="0"/>
          <w:bCs w:val="0"/>
          <w:sz w:val="22"/>
          <w:szCs w:val="22"/>
        </w:rPr>
        <w:t>30</w:t>
      </w:r>
      <w:r w:rsidR="00387DC1" w:rsidRPr="001872DB">
        <w:rPr>
          <w:b w:val="0"/>
          <w:bCs w:val="0"/>
          <w:sz w:val="22"/>
          <w:szCs w:val="22"/>
        </w:rPr>
        <w:t> </w:t>
      </w:r>
      <w:r w:rsidR="00E15DDA" w:rsidRPr="001872DB">
        <w:rPr>
          <w:b w:val="0"/>
          <w:bCs w:val="0"/>
          <w:sz w:val="22"/>
          <w:szCs w:val="22"/>
        </w:rPr>
        <w:t>September</w:t>
      </w:r>
      <w:r w:rsidR="003B1A7C" w:rsidRPr="001872DB">
        <w:rPr>
          <w:b w:val="0"/>
          <w:bCs w:val="0"/>
          <w:sz w:val="22"/>
          <w:szCs w:val="22"/>
        </w:rPr>
        <w:t> </w:t>
      </w:r>
      <w:r w:rsidR="003B4CEC" w:rsidRPr="001872DB">
        <w:rPr>
          <w:b w:val="0"/>
          <w:bCs w:val="0"/>
          <w:sz w:val="22"/>
          <w:szCs w:val="22"/>
        </w:rPr>
        <w:t>201</w:t>
      </w:r>
      <w:r w:rsidR="00E15DDA" w:rsidRPr="001872DB">
        <w:rPr>
          <w:b w:val="0"/>
          <w:bCs w:val="0"/>
          <w:sz w:val="22"/>
          <w:szCs w:val="22"/>
        </w:rPr>
        <w:t>5</w:t>
      </w:r>
      <w:r w:rsidR="00A05029">
        <w:rPr>
          <w:b w:val="0"/>
          <w:bCs w:val="0"/>
          <w:sz w:val="22"/>
          <w:szCs w:val="22"/>
        </w:rPr>
        <w:t xml:space="preserve"> and the smaller government agenda</w:t>
      </w:r>
      <w:r w:rsidR="00DB407E">
        <w:rPr>
          <w:b w:val="0"/>
          <w:bCs w:val="0"/>
          <w:sz w:val="22"/>
          <w:szCs w:val="22"/>
        </w:rPr>
        <w:t>.</w:t>
      </w:r>
      <w:r w:rsidR="003B4CEC" w:rsidRPr="001872DB">
        <w:rPr>
          <w:b w:val="0"/>
          <w:bCs w:val="0"/>
          <w:sz w:val="22"/>
          <w:szCs w:val="22"/>
        </w:rPr>
        <w:t xml:space="preserve"> </w:t>
      </w:r>
    </w:p>
    <w:p w:rsidR="00CE189D" w:rsidRDefault="00387DC1" w:rsidP="002F3EA9">
      <w:pPr>
        <w:pStyle w:val="Heading3"/>
        <w:keepNext w:val="0"/>
        <w:rPr>
          <w:b w:val="0"/>
          <w:bCs w:val="0"/>
          <w:sz w:val="22"/>
          <w:szCs w:val="22"/>
        </w:rPr>
      </w:pPr>
      <w:r w:rsidRPr="006C6175">
        <w:rPr>
          <w:b w:val="0"/>
          <w:bCs w:val="0"/>
          <w:sz w:val="22"/>
          <w:szCs w:val="22"/>
        </w:rPr>
        <w:t>The</w:t>
      </w:r>
      <w:r w:rsidR="006F2C2B" w:rsidRPr="006C6175">
        <w:rPr>
          <w:b w:val="0"/>
          <w:bCs w:val="0"/>
          <w:sz w:val="22"/>
          <w:szCs w:val="22"/>
        </w:rPr>
        <w:t xml:space="preserve"> amendment</w:t>
      </w:r>
      <w:r w:rsidRPr="006C6175">
        <w:rPr>
          <w:b w:val="0"/>
          <w:bCs w:val="0"/>
          <w:sz w:val="22"/>
          <w:szCs w:val="22"/>
        </w:rPr>
        <w:t xml:space="preserve"> determination </w:t>
      </w:r>
      <w:r w:rsidR="006E6010" w:rsidRPr="006C6175">
        <w:rPr>
          <w:b w:val="0"/>
          <w:bCs w:val="0"/>
          <w:sz w:val="22"/>
          <w:szCs w:val="22"/>
        </w:rPr>
        <w:t xml:space="preserve">modifies </w:t>
      </w:r>
      <w:r w:rsidR="006C6175" w:rsidRPr="006C6175">
        <w:rPr>
          <w:b w:val="0"/>
          <w:bCs w:val="0"/>
          <w:sz w:val="22"/>
          <w:szCs w:val="22"/>
        </w:rPr>
        <w:t xml:space="preserve">the </w:t>
      </w:r>
      <w:r w:rsidR="00A1067B" w:rsidRPr="006C6175">
        <w:rPr>
          <w:b w:val="0"/>
          <w:bCs w:val="0"/>
          <w:sz w:val="22"/>
          <w:szCs w:val="22"/>
        </w:rPr>
        <w:t>2014-2015</w:t>
      </w:r>
      <w:r w:rsidR="004131E0" w:rsidRPr="006C6175">
        <w:rPr>
          <w:b w:val="0"/>
          <w:bCs w:val="0"/>
          <w:sz w:val="22"/>
          <w:szCs w:val="22"/>
        </w:rPr>
        <w:t xml:space="preserve"> </w:t>
      </w:r>
      <w:r w:rsidR="006C6175" w:rsidRPr="006C6175">
        <w:rPr>
          <w:b w:val="0"/>
          <w:bCs w:val="0"/>
          <w:sz w:val="22"/>
          <w:szCs w:val="22"/>
        </w:rPr>
        <w:t xml:space="preserve">Appropriation Acts </w:t>
      </w:r>
      <w:r w:rsidR="004131E0" w:rsidRPr="006C6175">
        <w:rPr>
          <w:b w:val="0"/>
          <w:bCs w:val="0"/>
          <w:sz w:val="22"/>
          <w:szCs w:val="22"/>
        </w:rPr>
        <w:t>to</w:t>
      </w:r>
      <w:r w:rsidR="00DB407E" w:rsidRPr="006C6175">
        <w:rPr>
          <w:b w:val="0"/>
          <w:bCs w:val="0"/>
          <w:sz w:val="22"/>
          <w:szCs w:val="22"/>
        </w:rPr>
        <w:t xml:space="preserve"> support functions</w:t>
      </w:r>
      <w:r w:rsidR="00DB407E">
        <w:rPr>
          <w:b w:val="0"/>
          <w:bCs w:val="0"/>
          <w:sz w:val="22"/>
          <w:szCs w:val="22"/>
        </w:rPr>
        <w:t xml:space="preserve"> transferring</w:t>
      </w:r>
      <w:r w:rsidR="00CE189D">
        <w:rPr>
          <w:b w:val="0"/>
          <w:bCs w:val="0"/>
          <w:sz w:val="22"/>
          <w:szCs w:val="22"/>
        </w:rPr>
        <w:t>:</w:t>
      </w:r>
    </w:p>
    <w:p w:rsidR="00B56B58" w:rsidRDefault="00B56B58" w:rsidP="00B56B58">
      <w:pPr>
        <w:pStyle w:val="Heading3"/>
        <w:keepNext w:val="0"/>
        <w:numPr>
          <w:ilvl w:val="0"/>
          <w:numId w:val="9"/>
        </w:numPr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from</w:t>
      </w:r>
      <w:proofErr w:type="gramEnd"/>
      <w:r>
        <w:rPr>
          <w:b w:val="0"/>
          <w:bCs w:val="0"/>
          <w:sz w:val="22"/>
          <w:szCs w:val="22"/>
        </w:rPr>
        <w:t xml:space="preserve"> the Department of Human Services to the Department of Health in relation to Medicare provider compliance; </w:t>
      </w:r>
    </w:p>
    <w:p w:rsidR="00CE189D" w:rsidRDefault="003043AC" w:rsidP="00CE189D">
      <w:pPr>
        <w:pStyle w:val="Heading3"/>
        <w:keepNext w:val="0"/>
        <w:numPr>
          <w:ilvl w:val="0"/>
          <w:numId w:val="9"/>
        </w:numPr>
        <w:rPr>
          <w:b w:val="0"/>
          <w:bCs w:val="0"/>
          <w:sz w:val="22"/>
          <w:szCs w:val="22"/>
        </w:rPr>
      </w:pPr>
      <w:r w:rsidRPr="001872DB">
        <w:rPr>
          <w:b w:val="0"/>
          <w:bCs w:val="0"/>
          <w:sz w:val="22"/>
          <w:szCs w:val="22"/>
        </w:rPr>
        <w:t>from the</w:t>
      </w:r>
      <w:r w:rsidR="003B2928" w:rsidRPr="001872DB">
        <w:rPr>
          <w:b w:val="0"/>
          <w:bCs w:val="0"/>
          <w:sz w:val="22"/>
          <w:szCs w:val="22"/>
        </w:rPr>
        <w:t xml:space="preserve"> Department</w:t>
      </w:r>
      <w:r w:rsidR="00A26AA3">
        <w:rPr>
          <w:b w:val="0"/>
          <w:bCs w:val="0"/>
          <w:sz w:val="22"/>
          <w:szCs w:val="22"/>
        </w:rPr>
        <w:t xml:space="preserve"> of </w:t>
      </w:r>
      <w:r w:rsidR="00CE189D">
        <w:rPr>
          <w:b w:val="0"/>
          <w:bCs w:val="0"/>
          <w:sz w:val="22"/>
          <w:szCs w:val="22"/>
        </w:rPr>
        <w:t xml:space="preserve">Infrastructure and Regional Development to the Department of Industry, Innovation and Science </w:t>
      </w:r>
      <w:r w:rsidR="00A26AA3">
        <w:rPr>
          <w:b w:val="0"/>
          <w:bCs w:val="0"/>
          <w:sz w:val="22"/>
          <w:szCs w:val="22"/>
        </w:rPr>
        <w:t>i</w:t>
      </w:r>
      <w:r w:rsidR="00926765">
        <w:rPr>
          <w:b w:val="0"/>
          <w:bCs w:val="0"/>
          <w:sz w:val="22"/>
          <w:szCs w:val="22"/>
        </w:rPr>
        <w:t xml:space="preserve">n relation to </w:t>
      </w:r>
      <w:r w:rsidR="00CE189D">
        <w:rPr>
          <w:b w:val="0"/>
          <w:bCs w:val="0"/>
          <w:sz w:val="22"/>
          <w:szCs w:val="22"/>
        </w:rPr>
        <w:t>Northern Australia</w:t>
      </w:r>
      <w:r w:rsidR="00844AF9">
        <w:rPr>
          <w:b w:val="0"/>
          <w:bCs w:val="0"/>
          <w:sz w:val="22"/>
          <w:szCs w:val="22"/>
        </w:rPr>
        <w:t xml:space="preserve"> policy and coordination</w:t>
      </w:r>
      <w:r w:rsidR="00CE189D">
        <w:rPr>
          <w:b w:val="0"/>
          <w:bCs w:val="0"/>
          <w:sz w:val="22"/>
          <w:szCs w:val="22"/>
        </w:rPr>
        <w:t xml:space="preserve">; </w:t>
      </w:r>
      <w:r w:rsidR="00B56B58">
        <w:rPr>
          <w:b w:val="0"/>
          <w:bCs w:val="0"/>
          <w:sz w:val="22"/>
          <w:szCs w:val="22"/>
        </w:rPr>
        <w:t>and</w:t>
      </w:r>
    </w:p>
    <w:p w:rsidR="00CE189D" w:rsidRPr="00CE189D" w:rsidRDefault="00CE189D" w:rsidP="00CE189D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gramStart"/>
      <w:r w:rsidRPr="00CE189D">
        <w:rPr>
          <w:sz w:val="22"/>
          <w:szCs w:val="22"/>
        </w:rPr>
        <w:t>from</w:t>
      </w:r>
      <w:proofErr w:type="gramEnd"/>
      <w:r w:rsidRPr="00CE189D">
        <w:rPr>
          <w:sz w:val="22"/>
          <w:szCs w:val="22"/>
        </w:rPr>
        <w:t xml:space="preserve"> the </w:t>
      </w:r>
      <w:r>
        <w:rPr>
          <w:sz w:val="22"/>
          <w:szCs w:val="22"/>
        </w:rPr>
        <w:t>Migration Review Tribunal and Refugee Review Tribunal</w:t>
      </w:r>
      <w:r w:rsidR="009E52AD">
        <w:rPr>
          <w:sz w:val="22"/>
          <w:szCs w:val="22"/>
        </w:rPr>
        <w:t xml:space="preserve"> (MRT-RRT)</w:t>
      </w:r>
      <w:r w:rsidR="00621C47">
        <w:rPr>
          <w:sz w:val="22"/>
          <w:szCs w:val="22"/>
        </w:rPr>
        <w:t xml:space="preserve"> </w:t>
      </w:r>
      <w:r>
        <w:rPr>
          <w:sz w:val="22"/>
          <w:szCs w:val="22"/>
        </w:rPr>
        <w:t>to the Administrative Appeals Tribunal</w:t>
      </w:r>
      <w:r w:rsidR="009E52AD">
        <w:rPr>
          <w:sz w:val="22"/>
          <w:szCs w:val="22"/>
        </w:rPr>
        <w:t xml:space="preserve"> (AAT)</w:t>
      </w:r>
      <w:r>
        <w:rPr>
          <w:sz w:val="22"/>
          <w:szCs w:val="22"/>
        </w:rPr>
        <w:t xml:space="preserve"> </w:t>
      </w:r>
      <w:r w:rsidR="009E52AD">
        <w:rPr>
          <w:sz w:val="22"/>
          <w:szCs w:val="22"/>
        </w:rPr>
        <w:t>following the amalgamation of the MRT-RRT with the AAT on 1 July 2015</w:t>
      </w:r>
      <w:r>
        <w:rPr>
          <w:sz w:val="22"/>
          <w:szCs w:val="22"/>
        </w:rPr>
        <w:t>.</w:t>
      </w:r>
    </w:p>
    <w:p w:rsidR="00CE189D" w:rsidRPr="00CE189D" w:rsidRDefault="00CE189D" w:rsidP="00CE189D"/>
    <w:p w:rsidR="004131E0" w:rsidRPr="001872DB" w:rsidRDefault="004131E0" w:rsidP="004131E0">
      <w:pPr>
        <w:rPr>
          <w:sz w:val="22"/>
          <w:szCs w:val="22"/>
        </w:rPr>
      </w:pPr>
      <w:r w:rsidRPr="001872DB">
        <w:rPr>
          <w:sz w:val="22"/>
          <w:szCs w:val="22"/>
        </w:rPr>
        <w:t>The 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</w:t>
      </w:r>
      <w:r w:rsidR="00DB076C">
        <w:rPr>
          <w:b w:val="0"/>
          <w:iCs/>
          <w:sz w:val="22"/>
          <w:szCs w:val="22"/>
        </w:rPr>
        <w:t xml:space="preserve">amendment </w:t>
      </w:r>
      <w:r>
        <w:rPr>
          <w:b w:val="0"/>
          <w:iCs/>
          <w:sz w:val="22"/>
          <w:szCs w:val="22"/>
        </w:rPr>
        <w:t xml:space="preserve">determination commences </w:t>
      </w:r>
      <w:r w:rsidR="00005E70" w:rsidRPr="0064620C">
        <w:rPr>
          <w:b w:val="0"/>
          <w:iCs/>
          <w:sz w:val="22"/>
          <w:szCs w:val="22"/>
        </w:rPr>
        <w:t xml:space="preserve">on </w:t>
      </w:r>
      <w:r w:rsidR="000E14BA">
        <w:rPr>
          <w:b w:val="0"/>
          <w:iCs/>
          <w:sz w:val="22"/>
          <w:szCs w:val="22"/>
        </w:rPr>
        <w:t>11</w:t>
      </w:r>
      <w:r w:rsidR="00A26AA3">
        <w:rPr>
          <w:b w:val="0"/>
          <w:iCs/>
          <w:sz w:val="22"/>
          <w:szCs w:val="22"/>
        </w:rPr>
        <w:t xml:space="preserve"> </w:t>
      </w:r>
      <w:r w:rsidR="003043AC">
        <w:rPr>
          <w:b w:val="0"/>
          <w:iCs/>
          <w:sz w:val="22"/>
          <w:szCs w:val="22"/>
        </w:rPr>
        <w:t>November 2015</w:t>
      </w:r>
      <w:r>
        <w:rPr>
          <w:b w:val="0"/>
          <w:iCs/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Default="00146C4C" w:rsidP="00146C4C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</w:t>
      </w:r>
      <w:r w:rsidR="00B57E08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 </w:t>
      </w:r>
      <w:r w:rsidRPr="00D33E29">
        <w:rPr>
          <w:b w:val="0"/>
          <w:sz w:val="22"/>
          <w:szCs w:val="22"/>
        </w:rPr>
        <w:t xml:space="preserve">of the </w:t>
      </w:r>
      <w:r w:rsidR="00B57E08">
        <w:rPr>
          <w:b w:val="0"/>
          <w:sz w:val="22"/>
          <w:szCs w:val="22"/>
        </w:rPr>
        <w:t>PGPA</w:t>
      </w:r>
      <w:r w:rsidRPr="00D33E29">
        <w:rPr>
          <w:b w:val="0"/>
          <w:sz w:val="22"/>
          <w:szCs w:val="22"/>
        </w:rPr>
        <w:t xml:space="preserve">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are </w:t>
      </w:r>
      <w:r w:rsidR="005E5958">
        <w:rPr>
          <w:b w:val="0"/>
          <w:sz w:val="22"/>
          <w:szCs w:val="22"/>
        </w:rPr>
        <w:t>modified</w:t>
      </w:r>
      <w:r w:rsidRPr="00D33E2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 xml:space="preserve">in relation to the transfer of a function from one </w:t>
      </w:r>
      <w:r w:rsidR="00AA67D7">
        <w:rPr>
          <w:b w:val="0"/>
          <w:sz w:val="22"/>
          <w:szCs w:val="22"/>
        </w:rPr>
        <w:t>non-corporate Commonwealth entity</w:t>
      </w:r>
      <w:r w:rsidRPr="00D33E29">
        <w:rPr>
          <w:b w:val="0"/>
          <w:sz w:val="22"/>
          <w:szCs w:val="22"/>
        </w:rPr>
        <w:t xml:space="preserve"> to another.</w:t>
      </w:r>
    </w:p>
    <w:p w:rsidR="00146C4C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</w:t>
      </w:r>
      <w:r w:rsidR="00B57E08">
        <w:rPr>
          <w:b w:val="0"/>
          <w:sz w:val="22"/>
          <w:szCs w:val="22"/>
        </w:rPr>
        <w:t>107</w:t>
      </w:r>
      <w:r w:rsidRPr="00CB13FF"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 w:rsidRPr="00CB13FF">
        <w:rPr>
          <w:b w:val="0"/>
          <w:sz w:val="22"/>
          <w:szCs w:val="22"/>
        </w:rPr>
        <w:t xml:space="preserve"> Act, the Finance Minister has delegated the power to mak</w:t>
      </w:r>
      <w:r w:rsidR="00B57E08">
        <w:rPr>
          <w:b w:val="0"/>
          <w:sz w:val="22"/>
          <w:szCs w:val="22"/>
        </w:rPr>
        <w:t>e determinations under section 75</w:t>
      </w:r>
      <w:r w:rsidRPr="00CB13FF">
        <w:rPr>
          <w:b w:val="0"/>
          <w:sz w:val="22"/>
          <w:szCs w:val="22"/>
        </w:rPr>
        <w:t xml:space="preserve"> to </w:t>
      </w:r>
      <w:r>
        <w:rPr>
          <w:b w:val="0"/>
          <w:sz w:val="22"/>
          <w:szCs w:val="22"/>
        </w:rPr>
        <w:t xml:space="preserve">the Secretary of the Department of Finance. Under section </w:t>
      </w:r>
      <w:r w:rsidR="00B57E08">
        <w:rPr>
          <w:b w:val="0"/>
          <w:sz w:val="22"/>
          <w:szCs w:val="22"/>
        </w:rPr>
        <w:t>109</w:t>
      </w:r>
      <w:r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>
        <w:rPr>
          <w:b w:val="0"/>
          <w:sz w:val="22"/>
          <w:szCs w:val="22"/>
        </w:rPr>
        <w:t xml:space="preserve">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>
        <w:rPr>
          <w:b w:val="0"/>
          <w:sz w:val="22"/>
          <w:szCs w:val="22"/>
        </w:rPr>
        <w:t>determination</w:t>
      </w:r>
      <w:r>
        <w:rPr>
          <w:b w:val="0"/>
          <w:sz w:val="22"/>
          <w:szCs w:val="22"/>
        </w:rPr>
        <w:t>.</w:t>
      </w:r>
    </w:p>
    <w:p w:rsidR="00146C4C" w:rsidRDefault="00146C4C" w:rsidP="00146C4C">
      <w:pPr>
        <w:spacing w:after="120"/>
        <w:rPr>
          <w:sz w:val="22"/>
          <w:szCs w:val="22"/>
        </w:rPr>
      </w:pPr>
      <w:r w:rsidRPr="001F0E57">
        <w:rPr>
          <w:sz w:val="22"/>
          <w:szCs w:val="22"/>
        </w:rPr>
        <w:t xml:space="preserve">The </w:t>
      </w:r>
      <w:r w:rsidR="00DB076C">
        <w:rPr>
          <w:sz w:val="22"/>
          <w:szCs w:val="22"/>
        </w:rPr>
        <w:t xml:space="preserve">amendment </w:t>
      </w:r>
      <w:r w:rsidR="00B57E08" w:rsidRPr="001F0E57">
        <w:rPr>
          <w:sz w:val="22"/>
          <w:szCs w:val="22"/>
        </w:rPr>
        <w:t>determination</w:t>
      </w:r>
      <w:r w:rsidRPr="001F0E57">
        <w:rPr>
          <w:sz w:val="22"/>
          <w:szCs w:val="22"/>
        </w:rPr>
        <w:t xml:space="preserve"> is a legislative instrument for the purposes of section 5 of the </w:t>
      </w:r>
      <w:r w:rsidRPr="001F0E57">
        <w:rPr>
          <w:i/>
          <w:sz w:val="22"/>
          <w:szCs w:val="22"/>
        </w:rPr>
        <w:t>Legislative Instruments Act 2003</w:t>
      </w:r>
      <w:r w:rsidRPr="001F0E57">
        <w:rPr>
          <w:sz w:val="22"/>
          <w:szCs w:val="22"/>
        </w:rPr>
        <w:t>.</w:t>
      </w:r>
      <w:r w:rsidR="003711AC" w:rsidRPr="001F0E57">
        <w:rPr>
          <w:sz w:val="22"/>
          <w:szCs w:val="22"/>
        </w:rPr>
        <w:t xml:space="preserve"> The</w:t>
      </w:r>
      <w:r w:rsidR="003711AC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3711AC">
        <w:rPr>
          <w:sz w:val="22"/>
          <w:szCs w:val="22"/>
        </w:rPr>
        <w:t xml:space="preserve">determination amends </w:t>
      </w:r>
      <w:r w:rsidR="003711AC" w:rsidRPr="003711AC">
        <w:rPr>
          <w:i/>
          <w:sz w:val="22"/>
          <w:szCs w:val="22"/>
        </w:rPr>
        <w:t>Public Governance, Performance and Accountability (Section 75 Transfers) Determination 201</w:t>
      </w:r>
      <w:r w:rsidR="000A1BB7">
        <w:rPr>
          <w:i/>
          <w:sz w:val="22"/>
          <w:szCs w:val="22"/>
        </w:rPr>
        <w:t>4</w:t>
      </w:r>
      <w:r w:rsidR="003711AC" w:rsidRPr="003711AC">
        <w:rPr>
          <w:i/>
          <w:sz w:val="22"/>
          <w:szCs w:val="22"/>
        </w:rPr>
        <w:t>-201</w:t>
      </w:r>
      <w:r w:rsidR="000A1BB7">
        <w:rPr>
          <w:i/>
          <w:sz w:val="22"/>
          <w:szCs w:val="22"/>
        </w:rPr>
        <w:t>5</w:t>
      </w:r>
      <w:r w:rsidR="00B9002C" w:rsidRPr="00B9002C">
        <w:rPr>
          <w:sz w:val="22"/>
          <w:szCs w:val="22"/>
        </w:rPr>
        <w:t xml:space="preserve">, which is a legislative instrument for the purposes of section 5 of the </w:t>
      </w:r>
      <w:r w:rsidR="00B9002C" w:rsidRPr="00B9002C">
        <w:rPr>
          <w:i/>
          <w:sz w:val="22"/>
          <w:szCs w:val="22"/>
        </w:rPr>
        <w:t>L</w:t>
      </w:r>
      <w:r w:rsidR="00B9002C">
        <w:rPr>
          <w:i/>
          <w:sz w:val="22"/>
          <w:szCs w:val="22"/>
        </w:rPr>
        <w:t>egislative Instruments Act 2003</w:t>
      </w:r>
      <w:r w:rsidR="00B9002C" w:rsidRPr="00B9002C">
        <w:rPr>
          <w:sz w:val="22"/>
          <w:szCs w:val="22"/>
        </w:rPr>
        <w:t>.</w:t>
      </w:r>
    </w:p>
    <w:p w:rsidR="00146C4C" w:rsidRDefault="00146C4C" w:rsidP="00146C4C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>
        <w:rPr>
          <w:sz w:val="22"/>
          <w:szCs w:val="22"/>
        </w:rPr>
        <w:t>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B57E08">
        <w:rPr>
          <w:sz w:val="22"/>
          <w:szCs w:val="22"/>
        </w:rPr>
        <w:t>on 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from disallowance under subsection 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Pr="00D33E29">
        <w:rPr>
          <w:iCs/>
          <w:sz w:val="22"/>
          <w:szCs w:val="22"/>
        </w:rPr>
        <w:t>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46C4C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C6175">
        <w:rPr>
          <w:sz w:val="22"/>
          <w:szCs w:val="22"/>
        </w:rPr>
        <w:t>entities</w:t>
      </w:r>
      <w:r>
        <w:rPr>
          <w:sz w:val="22"/>
          <w:szCs w:val="22"/>
        </w:rPr>
        <w:t xml:space="preserve"> </w:t>
      </w:r>
      <w:r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Pr="008C6DCC">
        <w:rPr>
          <w:sz w:val="22"/>
          <w:szCs w:val="22"/>
        </w:rPr>
        <w:t xml:space="preserve">. </w:t>
      </w:r>
    </w:p>
    <w:p w:rsidR="00146C4C" w:rsidRDefault="00146C4C" w:rsidP="00146C4C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6C6175">
        <w:rPr>
          <w:sz w:val="22"/>
          <w:szCs w:val="22"/>
        </w:rPr>
        <w:t>Modifications</w:t>
      </w:r>
    </w:p>
    <w:p w:rsidR="001A1B9F" w:rsidRDefault="00376855" w:rsidP="009A00D1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FA56A9">
        <w:rPr>
          <w:sz w:val="22"/>
          <w:szCs w:val="22"/>
        </w:rPr>
        <w:t>Item</w:t>
      </w:r>
      <w:r>
        <w:rPr>
          <w:sz w:val="22"/>
          <w:szCs w:val="22"/>
        </w:rPr>
        <w:t>s</w:t>
      </w:r>
      <w:r w:rsidRPr="00FA56A9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and 2 </w:t>
      </w:r>
      <w:r w:rsidRPr="00FA56A9">
        <w:rPr>
          <w:sz w:val="22"/>
          <w:szCs w:val="22"/>
        </w:rPr>
        <w:t xml:space="preserve">of the amendment determination </w:t>
      </w:r>
      <w:r>
        <w:rPr>
          <w:sz w:val="22"/>
          <w:szCs w:val="22"/>
        </w:rPr>
        <w:t>modify and add specified items to the table in</w:t>
      </w:r>
      <w:r w:rsidR="002814C2" w:rsidRPr="00FA56A9">
        <w:rPr>
          <w:sz w:val="22"/>
          <w:szCs w:val="22"/>
        </w:rPr>
        <w:t xml:space="preserve"> subsection 5(4)</w:t>
      </w:r>
      <w:r w:rsidR="00174901">
        <w:rPr>
          <w:sz w:val="22"/>
          <w:szCs w:val="22"/>
        </w:rPr>
        <w:t xml:space="preserve"> of the pr</w:t>
      </w:r>
      <w:r w:rsidR="00033BBA">
        <w:rPr>
          <w:sz w:val="22"/>
          <w:szCs w:val="22"/>
        </w:rPr>
        <w:t>imary</w:t>
      </w:r>
      <w:r w:rsidR="00174901">
        <w:rPr>
          <w:sz w:val="22"/>
          <w:szCs w:val="22"/>
        </w:rPr>
        <w:t xml:space="preserve"> determination</w:t>
      </w:r>
      <w:r>
        <w:rPr>
          <w:sz w:val="22"/>
          <w:szCs w:val="22"/>
        </w:rPr>
        <w:t xml:space="preserve">. </w:t>
      </w:r>
      <w:r w:rsidRPr="00B82D13">
        <w:rPr>
          <w:sz w:val="22"/>
          <w:szCs w:val="22"/>
        </w:rPr>
        <w:t xml:space="preserve">The </w:t>
      </w:r>
      <w:r>
        <w:rPr>
          <w:sz w:val="22"/>
          <w:szCs w:val="22"/>
        </w:rPr>
        <w:t>items in the table</w:t>
      </w:r>
      <w:r w:rsidRPr="00B82D13">
        <w:rPr>
          <w:i/>
          <w:sz w:val="22"/>
          <w:szCs w:val="22"/>
        </w:rPr>
        <w:t xml:space="preserve"> </w:t>
      </w:r>
      <w:r w:rsidRPr="00B82D13">
        <w:rPr>
          <w:sz w:val="22"/>
          <w:szCs w:val="22"/>
        </w:rPr>
        <w:t>affect</w:t>
      </w:r>
      <w:r>
        <w:rPr>
          <w:sz w:val="22"/>
          <w:szCs w:val="22"/>
        </w:rPr>
        <w:t>s</w:t>
      </w:r>
      <w:r w:rsidRPr="00B82D13">
        <w:rPr>
          <w:sz w:val="22"/>
          <w:szCs w:val="22"/>
        </w:rPr>
        <w:t xml:space="preserve"> relevant appropriation items </w:t>
      </w:r>
      <w:r w:rsidR="004B7B9F" w:rsidRPr="00FA56A9">
        <w:rPr>
          <w:sz w:val="22"/>
          <w:szCs w:val="22"/>
        </w:rPr>
        <w:t>in Schedule 1</w:t>
      </w:r>
      <w:r w:rsidR="00174901">
        <w:rPr>
          <w:sz w:val="22"/>
          <w:szCs w:val="22"/>
        </w:rPr>
        <w:t xml:space="preserve"> to</w:t>
      </w:r>
      <w:r w:rsidR="004B7B9F" w:rsidRPr="00FA56A9">
        <w:rPr>
          <w:sz w:val="22"/>
          <w:szCs w:val="22"/>
        </w:rPr>
        <w:t xml:space="preserve"> </w:t>
      </w:r>
      <w:r w:rsidR="004B7B9F" w:rsidRPr="00FA56A9">
        <w:rPr>
          <w:i/>
          <w:sz w:val="22"/>
          <w:szCs w:val="22"/>
        </w:rPr>
        <w:t>Appropriation Act (No. 1) 2014-2015</w:t>
      </w:r>
      <w:r w:rsidRPr="00376855">
        <w:rPr>
          <w:sz w:val="22"/>
          <w:szCs w:val="22"/>
        </w:rPr>
        <w:t xml:space="preserve"> </w:t>
      </w:r>
      <w:r w:rsidRPr="00B82D13">
        <w:rPr>
          <w:sz w:val="22"/>
          <w:szCs w:val="22"/>
        </w:rPr>
        <w:t xml:space="preserve">in the following way, which </w:t>
      </w:r>
      <w:r w:rsidRPr="00B82D13">
        <w:rPr>
          <w:iCs/>
          <w:sz w:val="22"/>
          <w:szCs w:val="22"/>
        </w:rPr>
        <w:t xml:space="preserve">results in no change to the total amount appropriated by Parliament. </w:t>
      </w:r>
      <w:r w:rsidR="00F42F96" w:rsidRPr="00B82D13">
        <w:rPr>
          <w:sz w:val="22"/>
          <w:szCs w:val="22"/>
        </w:rPr>
        <w:t>A positive amount reflects an increase in an appropriation item, and a negative amount reflects a decrease in an appropriation item.</w:t>
      </w:r>
    </w:p>
    <w:p w:rsidR="009A00D1" w:rsidRPr="009A00D1" w:rsidRDefault="000730CB" w:rsidP="009A00D1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A610A3">
        <w:rPr>
          <w:sz w:val="22"/>
          <w:szCs w:val="22"/>
        </w:rPr>
        <w:t xml:space="preserve">The table in the amendment determination provides an aggregate of appropriation items for each affected entity, rather than the individual items. </w:t>
      </w:r>
      <w:r w:rsidRPr="009A00D1">
        <w:rPr>
          <w:sz w:val="22"/>
          <w:szCs w:val="22"/>
        </w:rPr>
        <w:t xml:space="preserve">While the table in the amendment determination is stated in the $thousands ($’000), the </w:t>
      </w:r>
      <w:r w:rsidRPr="00A610A3">
        <w:rPr>
          <w:sz w:val="22"/>
          <w:szCs w:val="22"/>
        </w:rPr>
        <w:t>table below sets out the individual transfer amounts</w:t>
      </w:r>
      <w:r>
        <w:rPr>
          <w:sz w:val="22"/>
          <w:szCs w:val="22"/>
        </w:rPr>
        <w:t xml:space="preserve"> in dollars</w:t>
      </w:r>
      <w:r w:rsidR="00F42F96">
        <w:rPr>
          <w:sz w:val="22"/>
          <w:szCs w:val="22"/>
        </w:rPr>
        <w:t xml:space="preserve"> for each appropriation item listed</w:t>
      </w:r>
      <w:r w:rsidRPr="00A610A3">
        <w:rPr>
          <w:sz w:val="22"/>
          <w:szCs w:val="22"/>
        </w:rPr>
        <w:t xml:space="preserve">. 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835"/>
        <w:gridCol w:w="1985"/>
        <w:gridCol w:w="1559"/>
        <w:gridCol w:w="1306"/>
        <w:gridCol w:w="1529"/>
      </w:tblGrid>
      <w:tr w:rsidR="00AC20B1" w:rsidRPr="00AC20B1" w:rsidTr="00D02417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864C2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 xml:space="preserve">Primary </w:t>
            </w:r>
            <w:r w:rsidRPr="0078186F">
              <w:rPr>
                <w:b/>
                <w:bCs/>
                <w:color w:val="000000"/>
                <w:sz w:val="22"/>
                <w:lang w:eastAsia="en-AU"/>
              </w:rPr>
              <w:t xml:space="preserve">Determination </w:t>
            </w:r>
            <w:r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Transfer</w:t>
            </w:r>
            <w:r>
              <w:rPr>
                <w:b/>
                <w:bCs/>
                <w:color w:val="000000"/>
                <w:lang w:eastAsia="en-AU"/>
              </w:rPr>
              <w:t xml:space="preserve"> Increase (+) / decrease (-)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864C2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 xml:space="preserve">Amendment </w:t>
            </w:r>
            <w:r w:rsidRPr="0078186F">
              <w:rPr>
                <w:b/>
                <w:bCs/>
                <w:color w:val="000000"/>
                <w:sz w:val="22"/>
                <w:lang w:eastAsia="en-AU"/>
              </w:rPr>
              <w:t xml:space="preserve">Determination </w:t>
            </w:r>
            <w:r w:rsidRPr="00AC20B1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AC20B1" w:rsidRPr="00AC20B1" w:rsidTr="00D02417">
        <w:trPr>
          <w:trHeight w:val="52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10</w:t>
            </w:r>
          </w:p>
        </w:tc>
        <w:tc>
          <w:tcPr>
            <w:tcW w:w="283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 of Industry</w:t>
            </w:r>
            <w:r w:rsidR="0078186F">
              <w:rPr>
                <w:color w:val="000000"/>
                <w:lang w:eastAsia="en-AU"/>
              </w:rPr>
              <w:t>, Innovation</w:t>
            </w:r>
            <w:r w:rsidRPr="00AC20B1">
              <w:rPr>
                <w:color w:val="000000"/>
                <w:lang w:eastAsia="en-AU"/>
              </w:rPr>
              <w:t xml:space="preserve"> and Science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-34,359,000</w:t>
            </w:r>
          </w:p>
        </w:tc>
        <w:tc>
          <w:tcPr>
            <w:tcW w:w="1306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+</w:t>
            </w:r>
            <w:r w:rsidRPr="00AC20B1">
              <w:rPr>
                <w:color w:val="000000"/>
                <w:lang w:eastAsia="en-AU"/>
              </w:rPr>
              <w:t>296</w:t>
            </w:r>
            <w:r>
              <w:rPr>
                <w:color w:val="000000"/>
                <w:lang w:eastAsia="en-AU"/>
              </w:rPr>
              <w:t>,</w:t>
            </w:r>
            <w:r w:rsidRPr="00AC20B1">
              <w:rPr>
                <w:color w:val="000000"/>
                <w:lang w:eastAsia="en-AU"/>
              </w:rPr>
              <w:t>000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b/>
                <w:color w:val="000000"/>
                <w:lang w:eastAsia="en-AU"/>
              </w:rPr>
            </w:pPr>
            <w:r w:rsidRPr="00AC20B1">
              <w:rPr>
                <w:b/>
                <w:color w:val="000000"/>
                <w:lang w:eastAsia="en-AU"/>
              </w:rPr>
              <w:t>-34,063,000</w:t>
            </w:r>
          </w:p>
        </w:tc>
      </w:tr>
      <w:tr w:rsidR="00AC20B1" w:rsidRPr="00AC20B1" w:rsidTr="00D0241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19</w:t>
            </w:r>
          </w:p>
        </w:tc>
        <w:tc>
          <w:tcPr>
            <w:tcW w:w="283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Administrative Appeals Tribunal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0</w:t>
            </w:r>
          </w:p>
        </w:tc>
        <w:tc>
          <w:tcPr>
            <w:tcW w:w="1306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+</w:t>
            </w:r>
            <w:r w:rsidRPr="00AC20B1">
              <w:rPr>
                <w:color w:val="000000"/>
                <w:lang w:eastAsia="en-AU"/>
              </w:rPr>
              <w:t>20</w:t>
            </w:r>
            <w:r>
              <w:rPr>
                <w:color w:val="000000"/>
                <w:lang w:eastAsia="en-AU"/>
              </w:rPr>
              <w:t>,855,</w:t>
            </w:r>
            <w:r w:rsidRPr="00AC20B1">
              <w:rPr>
                <w:color w:val="000000"/>
                <w:lang w:eastAsia="en-AU"/>
              </w:rPr>
              <w:t>446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b/>
                <w:color w:val="000000"/>
                <w:lang w:eastAsia="en-AU"/>
              </w:rPr>
            </w:pPr>
            <w:r w:rsidRPr="00AC20B1">
              <w:rPr>
                <w:b/>
                <w:color w:val="000000"/>
                <w:lang w:eastAsia="en-AU"/>
              </w:rPr>
              <w:t>+20,855,446</w:t>
            </w:r>
          </w:p>
        </w:tc>
      </w:tr>
      <w:tr w:rsidR="00AC20B1" w:rsidRPr="00AC20B1" w:rsidTr="00D02417">
        <w:trPr>
          <w:trHeight w:val="52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20</w:t>
            </w:r>
          </w:p>
        </w:tc>
        <w:tc>
          <w:tcPr>
            <w:tcW w:w="283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Migration Review Tribunal and Refugee Review Tribunal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0</w:t>
            </w:r>
          </w:p>
        </w:tc>
        <w:tc>
          <w:tcPr>
            <w:tcW w:w="1306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-20</w:t>
            </w:r>
            <w:r>
              <w:rPr>
                <w:color w:val="000000"/>
                <w:lang w:eastAsia="en-AU"/>
              </w:rPr>
              <w:t>,855,</w:t>
            </w:r>
            <w:r w:rsidRPr="00AC20B1">
              <w:rPr>
                <w:color w:val="000000"/>
                <w:lang w:eastAsia="en-AU"/>
              </w:rPr>
              <w:t>446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b/>
                <w:color w:val="000000"/>
                <w:lang w:eastAsia="en-AU"/>
              </w:rPr>
            </w:pPr>
            <w:r w:rsidRPr="00AC20B1">
              <w:rPr>
                <w:b/>
                <w:color w:val="000000"/>
                <w:lang w:eastAsia="en-AU"/>
              </w:rPr>
              <w:t>-20,855,446</w:t>
            </w:r>
          </w:p>
        </w:tc>
      </w:tr>
      <w:tr w:rsidR="00AC20B1" w:rsidRPr="00AC20B1" w:rsidTr="00D0241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21</w:t>
            </w:r>
          </w:p>
        </w:tc>
        <w:tc>
          <w:tcPr>
            <w:tcW w:w="283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 of Health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0</w:t>
            </w:r>
          </w:p>
        </w:tc>
        <w:tc>
          <w:tcPr>
            <w:tcW w:w="1306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+</w:t>
            </w:r>
            <w:r w:rsidRPr="00AC20B1">
              <w:rPr>
                <w:color w:val="000000"/>
                <w:lang w:eastAsia="en-AU"/>
              </w:rPr>
              <w:t>8</w:t>
            </w:r>
            <w:r>
              <w:rPr>
                <w:color w:val="000000"/>
                <w:lang w:eastAsia="en-AU"/>
              </w:rPr>
              <w:t>,814,</w:t>
            </w:r>
            <w:r w:rsidRPr="00AC20B1">
              <w:rPr>
                <w:color w:val="000000"/>
                <w:lang w:eastAsia="en-AU"/>
              </w:rPr>
              <w:t>000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b/>
                <w:color w:val="000000"/>
                <w:lang w:eastAsia="en-AU"/>
              </w:rPr>
            </w:pPr>
            <w:r w:rsidRPr="00AC20B1">
              <w:rPr>
                <w:b/>
                <w:color w:val="000000"/>
                <w:lang w:eastAsia="en-AU"/>
              </w:rPr>
              <w:t>+8,814,000</w:t>
            </w:r>
          </w:p>
        </w:tc>
      </w:tr>
      <w:tr w:rsidR="00AC20B1" w:rsidRPr="00AC20B1" w:rsidTr="00D0241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22</w:t>
            </w:r>
          </w:p>
        </w:tc>
        <w:tc>
          <w:tcPr>
            <w:tcW w:w="283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 of Human Services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0</w:t>
            </w:r>
          </w:p>
        </w:tc>
        <w:tc>
          <w:tcPr>
            <w:tcW w:w="1306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-8</w:t>
            </w:r>
            <w:r>
              <w:rPr>
                <w:color w:val="000000"/>
                <w:lang w:eastAsia="en-AU"/>
              </w:rPr>
              <w:t>,814,</w:t>
            </w:r>
            <w:r w:rsidRPr="00AC20B1">
              <w:rPr>
                <w:color w:val="000000"/>
                <w:lang w:eastAsia="en-AU"/>
              </w:rPr>
              <w:t>000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b/>
                <w:color w:val="000000"/>
                <w:lang w:eastAsia="en-AU"/>
              </w:rPr>
            </w:pPr>
            <w:r w:rsidRPr="00AC20B1">
              <w:rPr>
                <w:b/>
                <w:color w:val="000000"/>
                <w:lang w:eastAsia="en-AU"/>
              </w:rPr>
              <w:t>-8,814,000</w:t>
            </w:r>
          </w:p>
        </w:tc>
      </w:tr>
      <w:tr w:rsidR="00AC20B1" w:rsidRPr="00AC20B1" w:rsidTr="00D02417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 of Infrastructure and Regional Development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0</w:t>
            </w:r>
          </w:p>
        </w:tc>
        <w:tc>
          <w:tcPr>
            <w:tcW w:w="1306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-296,</w:t>
            </w:r>
            <w:r w:rsidRPr="00AC20B1">
              <w:rPr>
                <w:color w:val="000000"/>
                <w:lang w:eastAsia="en-AU"/>
              </w:rPr>
              <w:t>000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AC20B1" w:rsidRPr="00AC20B1" w:rsidRDefault="00AC20B1" w:rsidP="00AC20B1">
            <w:pPr>
              <w:jc w:val="right"/>
              <w:rPr>
                <w:b/>
                <w:color w:val="000000"/>
                <w:lang w:eastAsia="en-AU"/>
              </w:rPr>
            </w:pPr>
            <w:r w:rsidRPr="00AC20B1">
              <w:rPr>
                <w:b/>
                <w:color w:val="000000"/>
                <w:lang w:eastAsia="en-AU"/>
              </w:rPr>
              <w:t>-296,000</w:t>
            </w:r>
          </w:p>
        </w:tc>
      </w:tr>
    </w:tbl>
    <w:p w:rsidR="000337D8" w:rsidRDefault="000337D8" w:rsidP="000337D8">
      <w:pPr>
        <w:pStyle w:val="ListParagraph"/>
        <w:keepNext/>
        <w:keepLines/>
        <w:tabs>
          <w:tab w:val="left" w:pos="567"/>
        </w:tabs>
        <w:ind w:left="0"/>
        <w:contextualSpacing w:val="0"/>
        <w:rPr>
          <w:iCs/>
          <w:sz w:val="22"/>
          <w:szCs w:val="22"/>
        </w:rPr>
      </w:pPr>
    </w:p>
    <w:p w:rsidR="00F83807" w:rsidRPr="00F83807" w:rsidRDefault="00E967AE" w:rsidP="00F83807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0337D8">
        <w:rPr>
          <w:iCs/>
          <w:sz w:val="22"/>
          <w:szCs w:val="22"/>
        </w:rPr>
        <w:t xml:space="preserve">Item </w:t>
      </w:r>
      <w:r w:rsidR="004B7B9F" w:rsidRPr="000337D8">
        <w:rPr>
          <w:iCs/>
          <w:sz w:val="22"/>
          <w:szCs w:val="22"/>
        </w:rPr>
        <w:t>3</w:t>
      </w:r>
      <w:r w:rsidR="000E69A5" w:rsidRPr="000337D8">
        <w:rPr>
          <w:iCs/>
          <w:sz w:val="22"/>
          <w:szCs w:val="22"/>
        </w:rPr>
        <w:t xml:space="preserve"> of the amendment determination </w:t>
      </w:r>
      <w:r w:rsidRPr="000337D8">
        <w:rPr>
          <w:iCs/>
          <w:sz w:val="22"/>
          <w:szCs w:val="22"/>
        </w:rPr>
        <w:t>adds</w:t>
      </w:r>
      <w:r w:rsidR="004B7B9F" w:rsidRPr="000337D8">
        <w:rPr>
          <w:iCs/>
          <w:sz w:val="22"/>
          <w:szCs w:val="22"/>
        </w:rPr>
        <w:t xml:space="preserve"> items to the end of the table at subsection 7(2)</w:t>
      </w:r>
      <w:r w:rsidR="000E69A5" w:rsidRPr="000337D8">
        <w:rPr>
          <w:iCs/>
          <w:sz w:val="22"/>
          <w:szCs w:val="22"/>
        </w:rPr>
        <w:t xml:space="preserve"> of</w:t>
      </w:r>
      <w:r w:rsidR="000E69A5" w:rsidRPr="000337D8">
        <w:rPr>
          <w:sz w:val="22"/>
          <w:szCs w:val="22"/>
        </w:rPr>
        <w:t xml:space="preserve"> the primary determination</w:t>
      </w:r>
      <w:r w:rsidR="00851D2F" w:rsidRPr="000337D8">
        <w:rPr>
          <w:sz w:val="22"/>
          <w:szCs w:val="22"/>
        </w:rPr>
        <w:t xml:space="preserve">. </w:t>
      </w:r>
      <w:r w:rsidR="000E69A5" w:rsidRPr="000337D8">
        <w:rPr>
          <w:sz w:val="22"/>
          <w:szCs w:val="22"/>
        </w:rPr>
        <w:t xml:space="preserve">The items in the table affect relevant appropriation items in Schedule 1 to the </w:t>
      </w:r>
      <w:r w:rsidR="000E69A5" w:rsidRPr="000337D8">
        <w:rPr>
          <w:i/>
          <w:sz w:val="22"/>
          <w:szCs w:val="22"/>
        </w:rPr>
        <w:t xml:space="preserve">Appropriation Act (No. 3) 2014-2015 </w:t>
      </w:r>
      <w:r w:rsidR="000E69A5" w:rsidRPr="000337D8">
        <w:rPr>
          <w:sz w:val="22"/>
          <w:szCs w:val="22"/>
        </w:rPr>
        <w:t>in the following way</w:t>
      </w:r>
      <w:r w:rsidR="005B64E7" w:rsidRPr="000337D8">
        <w:rPr>
          <w:sz w:val="22"/>
          <w:szCs w:val="22"/>
        </w:rPr>
        <w:t>, which results in no change to the total amount appropriated by Parliament. A positive amount reflects an increase in an appropriation item, and a negative amount reflects a decrease in an appropriation item.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835"/>
        <w:gridCol w:w="1985"/>
        <w:gridCol w:w="1417"/>
        <w:gridCol w:w="1448"/>
        <w:gridCol w:w="1529"/>
      </w:tblGrid>
      <w:tr w:rsidR="00AC20B1" w:rsidRPr="00AC20B1" w:rsidTr="00864C21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AC20B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D0241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864C21" w:rsidP="0078186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Transfer to</w:t>
            </w:r>
            <w:r w:rsidR="00AC20B1">
              <w:rPr>
                <w:b/>
                <w:bCs/>
                <w:color w:val="000000"/>
                <w:lang w:eastAsia="en-AU"/>
              </w:rPr>
              <w:t xml:space="preserve"> ($</w:t>
            </w:r>
            <w:r w:rsidR="0078186F">
              <w:rPr>
                <w:b/>
                <w:bCs/>
                <w:color w:val="000000"/>
                <w:lang w:eastAsia="en-AU"/>
              </w:rPr>
              <w:t>’000</w:t>
            </w:r>
            <w:r w:rsidR="00AC20B1">
              <w:rPr>
                <w:b/>
                <w:bCs/>
                <w:color w:val="000000"/>
                <w:lang w:eastAsia="en-AU"/>
              </w:rPr>
              <w:t>)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AC20B1" w:rsidRDefault="00AC20B1" w:rsidP="00864C2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Transfer</w:t>
            </w:r>
            <w:r w:rsidR="00864C21">
              <w:rPr>
                <w:b/>
                <w:bCs/>
                <w:color w:val="000000"/>
                <w:lang w:eastAsia="en-AU"/>
              </w:rPr>
              <w:t xml:space="preserve"> from ($’000)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20B1" w:rsidRPr="00E15D9A" w:rsidRDefault="00AC20B1" w:rsidP="00864C2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E15D9A">
              <w:rPr>
                <w:b/>
                <w:bCs/>
                <w:color w:val="000000"/>
                <w:sz w:val="22"/>
                <w:lang w:eastAsia="en-AU"/>
              </w:rPr>
              <w:t>Amendment Determination</w:t>
            </w:r>
            <w:r w:rsidRPr="00E15D9A">
              <w:rPr>
                <w:b/>
                <w:bCs/>
                <w:color w:val="000000"/>
                <w:lang w:eastAsia="en-AU"/>
              </w:rPr>
              <w:t xml:space="preserve"> ($</w:t>
            </w:r>
            <w:r w:rsidR="0078186F" w:rsidRPr="00E15D9A">
              <w:rPr>
                <w:b/>
                <w:bCs/>
                <w:color w:val="000000"/>
                <w:lang w:eastAsia="en-AU"/>
              </w:rPr>
              <w:t>’000</w:t>
            </w:r>
            <w:r w:rsidRPr="00E15D9A">
              <w:rPr>
                <w:b/>
                <w:bCs/>
                <w:color w:val="000000"/>
                <w:lang w:eastAsia="en-AU"/>
              </w:rPr>
              <w:t>)</w:t>
            </w:r>
          </w:p>
        </w:tc>
      </w:tr>
      <w:tr w:rsidR="0078186F" w:rsidRPr="00AC20B1" w:rsidTr="00864C21">
        <w:trPr>
          <w:trHeight w:val="52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78186F" w:rsidP="00D0241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</w:t>
            </w:r>
          </w:p>
        </w:tc>
        <w:tc>
          <w:tcPr>
            <w:tcW w:w="283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78186F" w:rsidP="00AC20B1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Administrative Appeals Tribunal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78186F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41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864C21" w:rsidP="00AC20B1">
            <w:pPr>
              <w:jc w:val="right"/>
              <w:rPr>
                <w:color w:val="000000"/>
                <w:lang w:eastAsia="en-AU"/>
              </w:rPr>
            </w:pPr>
            <w:r>
              <w:t>+</w:t>
            </w:r>
            <w:r w:rsidRPr="00F261E9">
              <w:t>23,429</w:t>
            </w:r>
          </w:p>
        </w:tc>
        <w:tc>
          <w:tcPr>
            <w:tcW w:w="144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F261E9" w:rsidRDefault="00864C21" w:rsidP="0078186F">
            <w:pPr>
              <w:jc w:val="right"/>
            </w:pPr>
            <w:r>
              <w:t>0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E15D9A" w:rsidRDefault="0078186F" w:rsidP="0078186F">
            <w:pPr>
              <w:jc w:val="right"/>
              <w:rPr>
                <w:b/>
              </w:rPr>
            </w:pPr>
            <w:r w:rsidRPr="00E15D9A">
              <w:rPr>
                <w:b/>
              </w:rPr>
              <w:t>+23,429</w:t>
            </w:r>
          </w:p>
        </w:tc>
      </w:tr>
      <w:tr w:rsidR="0078186F" w:rsidRPr="00AC20B1" w:rsidTr="00864C21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78186F" w:rsidP="00D0241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</w:t>
            </w:r>
          </w:p>
        </w:tc>
        <w:tc>
          <w:tcPr>
            <w:tcW w:w="283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78186F" w:rsidP="00AC20B1">
            <w:pPr>
              <w:rPr>
                <w:color w:val="000000"/>
                <w:lang w:eastAsia="en-AU"/>
              </w:rPr>
            </w:pPr>
            <w:r>
              <w:t>Migration Review Tribunal and Refugee Review Tribunal</w:t>
            </w:r>
          </w:p>
        </w:tc>
        <w:tc>
          <w:tcPr>
            <w:tcW w:w="198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78186F" w:rsidP="00D02417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41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AC20B1" w:rsidRDefault="0078186F" w:rsidP="00AC20B1">
            <w:pPr>
              <w:jc w:val="right"/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0</w:t>
            </w:r>
          </w:p>
        </w:tc>
        <w:tc>
          <w:tcPr>
            <w:tcW w:w="144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F261E9" w:rsidRDefault="0078186F" w:rsidP="0078186F">
            <w:pPr>
              <w:jc w:val="right"/>
            </w:pPr>
            <w:r w:rsidRPr="00F261E9">
              <w:t>-23,429</w:t>
            </w:r>
          </w:p>
        </w:tc>
        <w:tc>
          <w:tcPr>
            <w:tcW w:w="152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78186F" w:rsidRPr="00E15D9A" w:rsidRDefault="0078186F" w:rsidP="0078186F">
            <w:pPr>
              <w:jc w:val="right"/>
              <w:rPr>
                <w:b/>
              </w:rPr>
            </w:pPr>
            <w:r w:rsidRPr="00E15D9A">
              <w:rPr>
                <w:b/>
              </w:rPr>
              <w:t>-23,429</w:t>
            </w:r>
          </w:p>
        </w:tc>
      </w:tr>
    </w:tbl>
    <w:p w:rsidR="00B16A06" w:rsidRDefault="00B16A06" w:rsidP="004131E0"/>
    <w:sectPr w:rsidR="00B16A06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CCA"/>
    <w:multiLevelType w:val="hybridMultilevel"/>
    <w:tmpl w:val="E996D9C4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5B28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CE0D33"/>
    <w:multiLevelType w:val="hybridMultilevel"/>
    <w:tmpl w:val="FEE8C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72D14"/>
    <w:multiLevelType w:val="multilevel"/>
    <w:tmpl w:val="274E4F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C2250FE"/>
    <w:multiLevelType w:val="hybridMultilevel"/>
    <w:tmpl w:val="CB5AD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72535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B027B1A"/>
    <w:multiLevelType w:val="hybridMultilevel"/>
    <w:tmpl w:val="DAE65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6DE"/>
    <w:multiLevelType w:val="hybridMultilevel"/>
    <w:tmpl w:val="CC48905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363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7D8"/>
    <w:rsid w:val="00033BBA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8DF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0E05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0CB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18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A0C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4BA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9A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8B0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68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4FB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3D5"/>
    <w:rsid w:val="00172773"/>
    <w:rsid w:val="00172984"/>
    <w:rsid w:val="00172A1D"/>
    <w:rsid w:val="00172E0C"/>
    <w:rsid w:val="0017334D"/>
    <w:rsid w:val="00174677"/>
    <w:rsid w:val="00174901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2DB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B9F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556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6A3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4B0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051A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B92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37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6BFE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4C2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4EB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D7B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848"/>
    <w:rsid w:val="002D6ACC"/>
    <w:rsid w:val="002D6BC0"/>
    <w:rsid w:val="002D6FD5"/>
    <w:rsid w:val="002D7870"/>
    <w:rsid w:val="002D7CF0"/>
    <w:rsid w:val="002E0111"/>
    <w:rsid w:val="002E023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EA9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3AC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7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17F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5C5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855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728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CCA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574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1E0"/>
    <w:rsid w:val="00413406"/>
    <w:rsid w:val="004137DF"/>
    <w:rsid w:val="00414123"/>
    <w:rsid w:val="0041429A"/>
    <w:rsid w:val="00414565"/>
    <w:rsid w:val="00415167"/>
    <w:rsid w:val="0041567C"/>
    <w:rsid w:val="0041567D"/>
    <w:rsid w:val="0041580C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4B18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82"/>
    <w:rsid w:val="0047219A"/>
    <w:rsid w:val="00472CD8"/>
    <w:rsid w:val="00472D4C"/>
    <w:rsid w:val="00473410"/>
    <w:rsid w:val="004737D2"/>
    <w:rsid w:val="00473AAA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2315"/>
    <w:rsid w:val="00483228"/>
    <w:rsid w:val="00483305"/>
    <w:rsid w:val="00483840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4D2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3DE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9F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696"/>
    <w:rsid w:val="00560D68"/>
    <w:rsid w:val="00561685"/>
    <w:rsid w:val="00561D6E"/>
    <w:rsid w:val="0056287D"/>
    <w:rsid w:val="00562AA4"/>
    <w:rsid w:val="00562BAF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4E7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9DC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58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47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01F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18A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175"/>
    <w:rsid w:val="006C6EE6"/>
    <w:rsid w:val="006C6EF5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2CDD"/>
    <w:rsid w:val="006E30B4"/>
    <w:rsid w:val="006E385B"/>
    <w:rsid w:val="006E3EA7"/>
    <w:rsid w:val="006E4019"/>
    <w:rsid w:val="006E4403"/>
    <w:rsid w:val="006E47DE"/>
    <w:rsid w:val="006E480D"/>
    <w:rsid w:val="006E4CE9"/>
    <w:rsid w:val="006E5627"/>
    <w:rsid w:val="006E5C8A"/>
    <w:rsid w:val="006E5D96"/>
    <w:rsid w:val="006E6010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C2B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5D1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1B1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E02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855"/>
    <w:rsid w:val="00780EC5"/>
    <w:rsid w:val="00780EE8"/>
    <w:rsid w:val="007810A5"/>
    <w:rsid w:val="00781294"/>
    <w:rsid w:val="00781296"/>
    <w:rsid w:val="0078182B"/>
    <w:rsid w:val="0078186F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BB5"/>
    <w:rsid w:val="007E0DAD"/>
    <w:rsid w:val="007E136D"/>
    <w:rsid w:val="007E18CD"/>
    <w:rsid w:val="007E2A04"/>
    <w:rsid w:val="007E2CB2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30C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AF9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1D2F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C21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1335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765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917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D23"/>
    <w:rsid w:val="00995E91"/>
    <w:rsid w:val="009962B7"/>
    <w:rsid w:val="00996B86"/>
    <w:rsid w:val="00997244"/>
    <w:rsid w:val="0099739A"/>
    <w:rsid w:val="009976AA"/>
    <w:rsid w:val="00997F07"/>
    <w:rsid w:val="009A00D1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471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2AD"/>
    <w:rsid w:val="009E536E"/>
    <w:rsid w:val="009E5532"/>
    <w:rsid w:val="009E66CF"/>
    <w:rsid w:val="009E6D08"/>
    <w:rsid w:val="009E737F"/>
    <w:rsid w:val="009E7756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29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67B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6AA3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085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33F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5DC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B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C88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FA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06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B58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53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C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2BA9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6E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1C3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0CB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0F41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5E80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89D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D83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417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5C5F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2E7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636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D86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D64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953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07E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2F37"/>
    <w:rsid w:val="00DE301F"/>
    <w:rsid w:val="00DE3457"/>
    <w:rsid w:val="00DE34CE"/>
    <w:rsid w:val="00DE35A8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7C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D9A"/>
    <w:rsid w:val="00E15DDA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49F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4F19"/>
    <w:rsid w:val="00E4502F"/>
    <w:rsid w:val="00E450E9"/>
    <w:rsid w:val="00E45D2B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CB0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7AE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B721F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2F96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93B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89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807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5E89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6A9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E7F11"/>
    <w:rsid w:val="00FF03C5"/>
    <w:rsid w:val="00FF0577"/>
    <w:rsid w:val="00FF07CB"/>
    <w:rsid w:val="00FF0ACA"/>
    <w:rsid w:val="00FF0B98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570E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uiPriority w:val="99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D198C-10EA-44F1-AED8-EB31DBB3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wojang</cp:lastModifiedBy>
  <cp:revision>8</cp:revision>
  <cp:lastPrinted>2015-11-10T00:00:00Z</cp:lastPrinted>
  <dcterms:created xsi:type="dcterms:W3CDTF">2015-11-10T07:14:00Z</dcterms:created>
  <dcterms:modified xsi:type="dcterms:W3CDTF">2015-11-10T10:07:00Z</dcterms:modified>
</cp:coreProperties>
</file>