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11" w:rsidRDefault="0095169D" w:rsidP="00F3717F">
      <w:pPr>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EXPLANATORY</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z w:val="28"/>
          <w:szCs w:val="28"/>
        </w:rPr>
        <w:t>STATE</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ENT</w:t>
      </w:r>
    </w:p>
    <w:p w:rsidR="00ED6411" w:rsidRPr="00F3717F" w:rsidRDefault="00ED6411" w:rsidP="00F3717F">
      <w:pPr>
        <w:spacing w:after="0" w:line="200" w:lineRule="exact"/>
        <w:rPr>
          <w:rFonts w:ascii="Times New Roman" w:hAnsi="Times New Roman" w:cs="Times New Roman"/>
          <w:sz w:val="24"/>
          <w:szCs w:val="24"/>
        </w:rPr>
      </w:pPr>
    </w:p>
    <w:p w:rsidR="00ED6411" w:rsidRPr="00F3717F" w:rsidRDefault="0095169D" w:rsidP="00F3717F">
      <w:pPr>
        <w:spacing w:after="0" w:line="240" w:lineRule="auto"/>
        <w:ind w:right="-20"/>
        <w:rPr>
          <w:rFonts w:ascii="Times New Roman" w:eastAsia="Times New Roman" w:hAnsi="Times New Roman" w:cs="Times New Roman"/>
          <w:sz w:val="24"/>
          <w:szCs w:val="24"/>
        </w:rPr>
      </w:pPr>
      <w:r w:rsidRPr="00F3717F">
        <w:rPr>
          <w:rFonts w:ascii="Times New Roman" w:eastAsia="Times New Roman" w:hAnsi="Times New Roman" w:cs="Times New Roman"/>
          <w:b/>
          <w:bCs/>
          <w:sz w:val="24"/>
          <w:szCs w:val="24"/>
        </w:rPr>
        <w:t xml:space="preserve">Objective </w:t>
      </w:r>
      <w:r w:rsidRPr="00F3717F">
        <w:rPr>
          <w:rFonts w:ascii="Times New Roman" w:eastAsia="Times New Roman" w:hAnsi="Times New Roman" w:cs="Times New Roman"/>
          <w:b/>
          <w:bCs/>
          <w:spacing w:val="-1"/>
          <w:sz w:val="24"/>
          <w:szCs w:val="24"/>
        </w:rPr>
        <w:t>o</w:t>
      </w:r>
      <w:r w:rsidRPr="00F3717F">
        <w:rPr>
          <w:rFonts w:ascii="Times New Roman" w:eastAsia="Times New Roman" w:hAnsi="Times New Roman" w:cs="Times New Roman"/>
          <w:b/>
          <w:bCs/>
          <w:sz w:val="24"/>
          <w:szCs w:val="24"/>
        </w:rPr>
        <w:t>f the Directions</w:t>
      </w:r>
    </w:p>
    <w:p w:rsidR="00ED6411" w:rsidRPr="00F3717F" w:rsidRDefault="00ED6411" w:rsidP="00F3717F">
      <w:pPr>
        <w:spacing w:before="18" w:after="0" w:line="220" w:lineRule="exact"/>
        <w:rPr>
          <w:rFonts w:ascii="Times New Roman" w:hAnsi="Times New Roman" w:cs="Times New Roman"/>
          <w:sz w:val="24"/>
          <w:szCs w:val="24"/>
        </w:rPr>
      </w:pP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 xml:space="preserve">As stated in the </w:t>
      </w:r>
      <w:r w:rsidR="002E4556" w:rsidRPr="00F3717F">
        <w:rPr>
          <w:rFonts w:ascii="Times New Roman" w:hAnsi="Times New Roman" w:cs="Times New Roman"/>
          <w:i/>
          <w:sz w:val="24"/>
          <w:szCs w:val="24"/>
        </w:rPr>
        <w:t>Medical Research</w:t>
      </w:r>
      <w:r w:rsidR="002E4556" w:rsidRPr="00F3717F">
        <w:rPr>
          <w:rFonts w:ascii="Times New Roman" w:hAnsi="Times New Roman" w:cs="Times New Roman"/>
          <w:sz w:val="24"/>
          <w:szCs w:val="24"/>
        </w:rPr>
        <w:t xml:space="preserve"> </w:t>
      </w:r>
      <w:r w:rsidRPr="00F3717F">
        <w:rPr>
          <w:rFonts w:ascii="Times New Roman" w:hAnsi="Times New Roman" w:cs="Times New Roman"/>
          <w:i/>
          <w:sz w:val="24"/>
          <w:szCs w:val="24"/>
        </w:rPr>
        <w:t xml:space="preserve">Future </w:t>
      </w:r>
      <w:r w:rsidRPr="00F3717F">
        <w:rPr>
          <w:rFonts w:ascii="Times New Roman" w:hAnsi="Times New Roman" w:cs="Times New Roman"/>
          <w:i/>
          <w:spacing w:val="-1"/>
          <w:sz w:val="24"/>
          <w:szCs w:val="24"/>
        </w:rPr>
        <w:t>F</w:t>
      </w:r>
      <w:r w:rsidRPr="00F3717F">
        <w:rPr>
          <w:rFonts w:ascii="Times New Roman" w:hAnsi="Times New Roman" w:cs="Times New Roman"/>
          <w:i/>
          <w:sz w:val="24"/>
          <w:szCs w:val="24"/>
        </w:rPr>
        <w:t>und Act 20</w:t>
      </w:r>
      <w:r w:rsidR="002E4556" w:rsidRPr="00F3717F">
        <w:rPr>
          <w:rFonts w:ascii="Times New Roman" w:hAnsi="Times New Roman" w:cs="Times New Roman"/>
          <w:i/>
          <w:sz w:val="24"/>
          <w:szCs w:val="24"/>
        </w:rPr>
        <w:t>15</w:t>
      </w:r>
      <w:r w:rsidRPr="00F3717F">
        <w:rPr>
          <w:rFonts w:ascii="Times New Roman" w:hAnsi="Times New Roman" w:cs="Times New Roman"/>
          <w:i/>
          <w:spacing w:val="-1"/>
          <w:sz w:val="24"/>
          <w:szCs w:val="24"/>
        </w:rPr>
        <w:t xml:space="preserve"> </w:t>
      </w:r>
      <w:r w:rsidRPr="00F3717F">
        <w:rPr>
          <w:rFonts w:ascii="Times New Roman" w:hAnsi="Times New Roman" w:cs="Times New Roman"/>
          <w:sz w:val="24"/>
          <w:szCs w:val="24"/>
        </w:rPr>
        <w:t xml:space="preserve">(the Act), the Government has established the </w:t>
      </w:r>
      <w:r w:rsidR="002E4556" w:rsidRPr="00F3717F">
        <w:rPr>
          <w:rFonts w:ascii="Times New Roman" w:hAnsi="Times New Roman" w:cs="Times New Roman"/>
          <w:sz w:val="24"/>
          <w:szCs w:val="24"/>
        </w:rPr>
        <w:t xml:space="preserve">Medical Research </w:t>
      </w:r>
      <w:r w:rsidRPr="00F3717F">
        <w:rPr>
          <w:rFonts w:ascii="Times New Roman" w:hAnsi="Times New Roman" w:cs="Times New Roman"/>
          <w:sz w:val="24"/>
          <w:szCs w:val="24"/>
        </w:rPr>
        <w:t xml:space="preserve">Future Fund (the Fund) </w:t>
      </w:r>
      <w:r w:rsidR="002504DF">
        <w:rPr>
          <w:rFonts w:ascii="Times New Roman" w:hAnsi="Times New Roman" w:cs="Times New Roman"/>
          <w:sz w:val="24"/>
          <w:szCs w:val="24"/>
        </w:rPr>
        <w:t>to provide grants of financial assistance to support medical research and medical innovation.</w:t>
      </w: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The Govern</w:t>
      </w:r>
      <w:r w:rsidRPr="00F3717F">
        <w:rPr>
          <w:rFonts w:ascii="Times New Roman" w:hAnsi="Times New Roman" w:cs="Times New Roman"/>
          <w:spacing w:val="-2"/>
          <w:sz w:val="24"/>
          <w:szCs w:val="24"/>
        </w:rPr>
        <w:t>m</w:t>
      </w:r>
      <w:r w:rsidRPr="00F3717F">
        <w:rPr>
          <w:rFonts w:ascii="Times New Roman" w:hAnsi="Times New Roman" w:cs="Times New Roman"/>
          <w:sz w:val="24"/>
          <w:szCs w:val="24"/>
        </w:rPr>
        <w:t>ent’s aim</w:t>
      </w:r>
      <w:r w:rsidRPr="00F3717F">
        <w:rPr>
          <w:rFonts w:ascii="Times New Roman" w:hAnsi="Times New Roman" w:cs="Times New Roman"/>
          <w:spacing w:val="-2"/>
          <w:sz w:val="24"/>
          <w:szCs w:val="24"/>
        </w:rPr>
        <w:t xml:space="preserve"> </w:t>
      </w:r>
      <w:r w:rsidRPr="00F3717F">
        <w:rPr>
          <w:rFonts w:ascii="Times New Roman" w:hAnsi="Times New Roman" w:cs="Times New Roman"/>
          <w:spacing w:val="2"/>
          <w:sz w:val="24"/>
          <w:szCs w:val="24"/>
        </w:rPr>
        <w:t>i</w:t>
      </w:r>
      <w:r w:rsidRPr="00F3717F">
        <w:rPr>
          <w:rFonts w:ascii="Times New Roman" w:hAnsi="Times New Roman" w:cs="Times New Roman"/>
          <w:sz w:val="24"/>
          <w:szCs w:val="24"/>
        </w:rPr>
        <w:t>s to accu</w:t>
      </w:r>
      <w:r w:rsidRPr="00F3717F">
        <w:rPr>
          <w:rFonts w:ascii="Times New Roman" w:hAnsi="Times New Roman" w:cs="Times New Roman"/>
          <w:spacing w:val="-2"/>
          <w:sz w:val="24"/>
          <w:szCs w:val="24"/>
        </w:rPr>
        <w:t>m</w:t>
      </w:r>
      <w:r w:rsidRPr="00F3717F">
        <w:rPr>
          <w:rFonts w:ascii="Times New Roman" w:hAnsi="Times New Roman" w:cs="Times New Roman"/>
          <w:sz w:val="24"/>
          <w:szCs w:val="24"/>
        </w:rPr>
        <w:t xml:space="preserve">ulate </w:t>
      </w:r>
      <w:r w:rsidR="00385D12" w:rsidRPr="00F3717F">
        <w:rPr>
          <w:rFonts w:ascii="Times New Roman" w:hAnsi="Times New Roman" w:cs="Times New Roman"/>
          <w:sz w:val="24"/>
          <w:szCs w:val="24"/>
        </w:rPr>
        <w:t xml:space="preserve">$20 billion </w:t>
      </w:r>
      <w:r w:rsidR="00A85A63">
        <w:rPr>
          <w:rFonts w:ascii="Times New Roman" w:hAnsi="Times New Roman" w:cs="Times New Roman"/>
          <w:sz w:val="24"/>
          <w:szCs w:val="24"/>
        </w:rPr>
        <w:t>in</w:t>
      </w:r>
      <w:r w:rsidR="00385D12" w:rsidRPr="00F3717F">
        <w:rPr>
          <w:rFonts w:ascii="Times New Roman" w:hAnsi="Times New Roman" w:cs="Times New Roman"/>
          <w:sz w:val="24"/>
          <w:szCs w:val="24"/>
        </w:rPr>
        <w:t xml:space="preserve"> </w:t>
      </w:r>
      <w:r w:rsidRPr="00F3717F">
        <w:rPr>
          <w:rFonts w:ascii="Times New Roman" w:hAnsi="Times New Roman" w:cs="Times New Roman"/>
          <w:sz w:val="24"/>
          <w:szCs w:val="24"/>
        </w:rPr>
        <w:t>financial assets in t</w:t>
      </w:r>
      <w:r w:rsidRPr="00F3717F">
        <w:rPr>
          <w:rFonts w:ascii="Times New Roman" w:hAnsi="Times New Roman" w:cs="Times New Roman"/>
          <w:spacing w:val="-1"/>
          <w:sz w:val="24"/>
          <w:szCs w:val="24"/>
        </w:rPr>
        <w:t>h</w:t>
      </w:r>
      <w:r w:rsidRPr="00F3717F">
        <w:rPr>
          <w:rFonts w:ascii="Times New Roman" w:hAnsi="Times New Roman" w:cs="Times New Roman"/>
          <w:sz w:val="24"/>
          <w:szCs w:val="24"/>
        </w:rPr>
        <w:t xml:space="preserve">e Fund </w:t>
      </w:r>
      <w:r w:rsidR="002504DF" w:rsidRPr="00F3717F">
        <w:rPr>
          <w:rFonts w:ascii="Times New Roman" w:hAnsi="Times New Roman" w:cs="Times New Roman"/>
          <w:sz w:val="24"/>
          <w:szCs w:val="24"/>
        </w:rPr>
        <w:t>by the year 2020</w:t>
      </w:r>
      <w:r w:rsidR="002504DF">
        <w:rPr>
          <w:rFonts w:ascii="Times New Roman" w:hAnsi="Times New Roman" w:cs="Times New Roman"/>
          <w:sz w:val="24"/>
          <w:szCs w:val="24"/>
        </w:rPr>
        <w:t xml:space="preserve"> and to reach disbursements of </w:t>
      </w:r>
      <w:r w:rsidR="00724A2D">
        <w:rPr>
          <w:rFonts w:ascii="Times New Roman" w:hAnsi="Times New Roman" w:cs="Times New Roman"/>
          <w:sz w:val="24"/>
          <w:szCs w:val="24"/>
        </w:rPr>
        <w:t xml:space="preserve">around </w:t>
      </w:r>
      <w:r w:rsidR="002504DF">
        <w:rPr>
          <w:rFonts w:ascii="Times New Roman" w:hAnsi="Times New Roman" w:cs="Times New Roman"/>
          <w:sz w:val="24"/>
          <w:szCs w:val="24"/>
        </w:rPr>
        <w:t xml:space="preserve">$1 billion per year </w:t>
      </w:r>
      <w:r w:rsidR="005D0F61">
        <w:rPr>
          <w:rFonts w:ascii="Times New Roman" w:hAnsi="Times New Roman" w:cs="Times New Roman"/>
          <w:sz w:val="24"/>
          <w:szCs w:val="24"/>
        </w:rPr>
        <w:t>from approximately 2023/24</w:t>
      </w:r>
      <w:r w:rsidR="002504DF">
        <w:rPr>
          <w:rFonts w:ascii="Times New Roman" w:hAnsi="Times New Roman" w:cs="Times New Roman"/>
          <w:sz w:val="24"/>
          <w:szCs w:val="24"/>
        </w:rPr>
        <w:t>.</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In achieving this aim</w:t>
      </w:r>
      <w:r w:rsidRPr="00F3717F">
        <w:rPr>
          <w:rFonts w:ascii="Times New Roman" w:hAnsi="Times New Roman" w:cs="Times New Roman"/>
          <w:spacing w:val="-2"/>
          <w:sz w:val="24"/>
          <w:szCs w:val="24"/>
        </w:rPr>
        <w:t xml:space="preserve"> </w:t>
      </w:r>
      <w:r w:rsidRPr="00F3717F">
        <w:rPr>
          <w:rFonts w:ascii="Times New Roman" w:hAnsi="Times New Roman" w:cs="Times New Roman"/>
          <w:sz w:val="24"/>
          <w:szCs w:val="24"/>
        </w:rPr>
        <w:t>the Govern</w:t>
      </w:r>
      <w:r w:rsidRPr="00F3717F">
        <w:rPr>
          <w:rFonts w:ascii="Times New Roman" w:hAnsi="Times New Roman" w:cs="Times New Roman"/>
          <w:spacing w:val="-2"/>
          <w:sz w:val="24"/>
          <w:szCs w:val="24"/>
        </w:rPr>
        <w:t>m</w:t>
      </w:r>
      <w:r w:rsidRPr="00F3717F">
        <w:rPr>
          <w:rFonts w:ascii="Times New Roman" w:hAnsi="Times New Roman" w:cs="Times New Roman"/>
          <w:sz w:val="24"/>
          <w:szCs w:val="24"/>
        </w:rPr>
        <w:t>ent</w:t>
      </w:r>
      <w:r w:rsidRPr="00F3717F">
        <w:rPr>
          <w:rFonts w:ascii="Times New Roman" w:hAnsi="Times New Roman" w:cs="Times New Roman"/>
          <w:spacing w:val="2"/>
          <w:sz w:val="24"/>
          <w:szCs w:val="24"/>
        </w:rPr>
        <w:t xml:space="preserve"> </w:t>
      </w:r>
      <w:r w:rsidRPr="00F3717F">
        <w:rPr>
          <w:rFonts w:ascii="Times New Roman" w:hAnsi="Times New Roman" w:cs="Times New Roman"/>
          <w:sz w:val="24"/>
          <w:szCs w:val="24"/>
        </w:rPr>
        <w:t xml:space="preserve">has the expectation that the </w:t>
      </w:r>
      <w:r w:rsidR="00C56C77">
        <w:rPr>
          <w:rFonts w:ascii="Times New Roman" w:hAnsi="Times New Roman" w:cs="Times New Roman"/>
          <w:sz w:val="24"/>
          <w:szCs w:val="24"/>
        </w:rPr>
        <w:t>Future Fund Board of Guardians (</w:t>
      </w:r>
      <w:r w:rsidRPr="00F3717F">
        <w:rPr>
          <w:rFonts w:ascii="Times New Roman" w:hAnsi="Times New Roman" w:cs="Times New Roman"/>
          <w:sz w:val="24"/>
          <w:szCs w:val="24"/>
        </w:rPr>
        <w:t>Board</w:t>
      </w:r>
      <w:r w:rsidR="00C56C77">
        <w:rPr>
          <w:rFonts w:ascii="Times New Roman" w:hAnsi="Times New Roman" w:cs="Times New Roman"/>
          <w:sz w:val="24"/>
          <w:szCs w:val="24"/>
        </w:rPr>
        <w:t>)</w:t>
      </w:r>
      <w:r w:rsidRPr="00F3717F">
        <w:rPr>
          <w:rFonts w:ascii="Times New Roman" w:hAnsi="Times New Roman" w:cs="Times New Roman"/>
          <w:sz w:val="24"/>
          <w:szCs w:val="24"/>
        </w:rPr>
        <w:t xml:space="preserve"> will take a long-term</w:t>
      </w:r>
      <w:r w:rsidRPr="00F3717F">
        <w:rPr>
          <w:rFonts w:ascii="Times New Roman" w:hAnsi="Times New Roman" w:cs="Times New Roman"/>
          <w:spacing w:val="-2"/>
          <w:sz w:val="24"/>
          <w:szCs w:val="24"/>
        </w:rPr>
        <w:t xml:space="preserve"> </w:t>
      </w:r>
      <w:r w:rsidRPr="00F3717F">
        <w:rPr>
          <w:rFonts w:ascii="Times New Roman" w:hAnsi="Times New Roman" w:cs="Times New Roman"/>
          <w:sz w:val="24"/>
          <w:szCs w:val="24"/>
        </w:rPr>
        <w:t xml:space="preserve">outlook when </w:t>
      </w:r>
      <w:r w:rsidRPr="00F3717F">
        <w:rPr>
          <w:rFonts w:ascii="Times New Roman" w:hAnsi="Times New Roman" w:cs="Times New Roman"/>
          <w:spacing w:val="-1"/>
          <w:sz w:val="24"/>
          <w:szCs w:val="24"/>
        </w:rPr>
        <w:t>s</w:t>
      </w:r>
      <w:r w:rsidRPr="00F3717F">
        <w:rPr>
          <w:rFonts w:ascii="Times New Roman" w:hAnsi="Times New Roman" w:cs="Times New Roman"/>
          <w:sz w:val="24"/>
          <w:szCs w:val="24"/>
        </w:rPr>
        <w:t>etting the i</w:t>
      </w:r>
      <w:r w:rsidRPr="00F3717F">
        <w:rPr>
          <w:rFonts w:ascii="Times New Roman" w:hAnsi="Times New Roman" w:cs="Times New Roman"/>
          <w:spacing w:val="-1"/>
          <w:sz w:val="24"/>
          <w:szCs w:val="24"/>
        </w:rPr>
        <w:t>n</w:t>
      </w:r>
      <w:r w:rsidRPr="00F3717F">
        <w:rPr>
          <w:rFonts w:ascii="Times New Roman" w:hAnsi="Times New Roman" w:cs="Times New Roman"/>
          <w:sz w:val="24"/>
          <w:szCs w:val="24"/>
        </w:rPr>
        <w:t>vest</w:t>
      </w:r>
      <w:r w:rsidRPr="00F3717F">
        <w:rPr>
          <w:rFonts w:ascii="Times New Roman" w:hAnsi="Times New Roman" w:cs="Times New Roman"/>
          <w:spacing w:val="-2"/>
          <w:sz w:val="24"/>
          <w:szCs w:val="24"/>
        </w:rPr>
        <w:t>m</w:t>
      </w:r>
      <w:r w:rsidRPr="00F3717F">
        <w:rPr>
          <w:rFonts w:ascii="Times New Roman" w:hAnsi="Times New Roman" w:cs="Times New Roman"/>
          <w:sz w:val="24"/>
          <w:szCs w:val="24"/>
        </w:rPr>
        <w:t>ent strategy for the Fund.</w:t>
      </w:r>
    </w:p>
    <w:p w:rsidR="00194DA4" w:rsidRPr="00194DA4" w:rsidRDefault="00ED5E40" w:rsidP="00F3717F">
      <w:pPr>
        <w:rPr>
          <w:rFonts w:ascii="Times New Roman" w:hAnsi="Times New Roman" w:cs="Times New Roman"/>
          <w:spacing w:val="-1"/>
          <w:sz w:val="24"/>
          <w:szCs w:val="24"/>
        </w:rPr>
      </w:pPr>
      <w:r w:rsidRPr="00ED5E40">
        <w:rPr>
          <w:rFonts w:ascii="Times New Roman" w:hAnsi="Times New Roman" w:cs="Times New Roman"/>
          <w:spacing w:val="-1"/>
          <w:sz w:val="24"/>
          <w:szCs w:val="24"/>
        </w:rPr>
        <w:t xml:space="preserve">The Government will make contributions to the </w:t>
      </w:r>
      <w:r w:rsidR="00194DA4">
        <w:rPr>
          <w:rFonts w:ascii="Times New Roman" w:hAnsi="Times New Roman" w:cs="Times New Roman"/>
          <w:spacing w:val="-1"/>
          <w:sz w:val="24"/>
          <w:szCs w:val="24"/>
        </w:rPr>
        <w:t xml:space="preserve">Fund of </w:t>
      </w:r>
      <w:r w:rsidR="00A83608">
        <w:rPr>
          <w:rFonts w:ascii="Times New Roman" w:hAnsi="Times New Roman" w:cs="Times New Roman"/>
          <w:spacing w:val="-1"/>
          <w:sz w:val="24"/>
          <w:szCs w:val="24"/>
        </w:rPr>
        <w:t xml:space="preserve">the </w:t>
      </w:r>
      <w:r w:rsidRPr="00ED5E40">
        <w:rPr>
          <w:rFonts w:ascii="Times New Roman" w:hAnsi="Times New Roman" w:cs="Times New Roman"/>
          <w:spacing w:val="-1"/>
          <w:sz w:val="24"/>
          <w:szCs w:val="24"/>
        </w:rPr>
        <w:t xml:space="preserve">uncommitted funds in the Health and Hospitals Fund (HHF), and the estimated value of </w:t>
      </w:r>
      <w:r w:rsidR="002A2CD4">
        <w:rPr>
          <w:rFonts w:ascii="Times New Roman" w:hAnsi="Times New Roman" w:cs="Times New Roman"/>
          <w:spacing w:val="-1"/>
          <w:sz w:val="24"/>
          <w:szCs w:val="24"/>
        </w:rPr>
        <w:t xml:space="preserve">relevant </w:t>
      </w:r>
      <w:r w:rsidRPr="00ED5E40">
        <w:rPr>
          <w:rFonts w:ascii="Times New Roman" w:hAnsi="Times New Roman" w:cs="Times New Roman"/>
          <w:spacing w:val="-1"/>
          <w:sz w:val="24"/>
          <w:szCs w:val="24"/>
        </w:rPr>
        <w:t>health savings from the Health portfolio until the Fund reaches a target capital level of $20 billion</w:t>
      </w:r>
      <w:r w:rsidR="00194DA4">
        <w:rPr>
          <w:rFonts w:ascii="Times New Roman" w:hAnsi="Times New Roman" w:cs="Times New Roman"/>
          <w:spacing w:val="-1"/>
          <w:sz w:val="24"/>
          <w:szCs w:val="24"/>
        </w:rPr>
        <w:t xml:space="preserve">. </w:t>
      </w: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Under the Act the Board</w:t>
      </w:r>
      <w:r w:rsidR="00722247">
        <w:rPr>
          <w:rFonts w:ascii="Times New Roman" w:hAnsi="Times New Roman" w:cs="Times New Roman"/>
          <w:sz w:val="24"/>
          <w:szCs w:val="24"/>
        </w:rPr>
        <w:t>, in investing the Fund,</w:t>
      </w:r>
      <w:r w:rsidRPr="00F3717F">
        <w:rPr>
          <w:rFonts w:ascii="Times New Roman" w:hAnsi="Times New Roman" w:cs="Times New Roman"/>
          <w:sz w:val="24"/>
          <w:szCs w:val="24"/>
        </w:rPr>
        <w:t xml:space="preserve"> </w:t>
      </w:r>
      <w:r w:rsidR="005816D3">
        <w:rPr>
          <w:rFonts w:ascii="Times New Roman" w:hAnsi="Times New Roman" w:cs="Times New Roman"/>
          <w:sz w:val="24"/>
          <w:szCs w:val="24"/>
        </w:rPr>
        <w:t>must</w:t>
      </w:r>
      <w:r w:rsidRPr="00F3717F">
        <w:rPr>
          <w:rFonts w:ascii="Times New Roman" w:hAnsi="Times New Roman" w:cs="Times New Roman"/>
          <w:sz w:val="24"/>
          <w:szCs w:val="24"/>
        </w:rPr>
        <w:t xml:space="preserve"> seek</w:t>
      </w:r>
      <w:bookmarkStart w:id="0" w:name="_GoBack"/>
      <w:bookmarkEnd w:id="0"/>
      <w:r w:rsidRPr="00F3717F">
        <w:rPr>
          <w:rFonts w:ascii="Times New Roman" w:hAnsi="Times New Roman" w:cs="Times New Roman"/>
          <w:sz w:val="24"/>
          <w:szCs w:val="24"/>
        </w:rPr>
        <w:t xml:space="preserve"> to </w:t>
      </w:r>
      <w:r w:rsidRPr="00F3717F">
        <w:rPr>
          <w:rFonts w:ascii="Times New Roman" w:hAnsi="Times New Roman" w:cs="Times New Roman"/>
          <w:spacing w:val="-2"/>
          <w:sz w:val="24"/>
          <w:szCs w:val="24"/>
        </w:rPr>
        <w:t>m</w:t>
      </w:r>
      <w:r w:rsidRPr="00F3717F">
        <w:rPr>
          <w:rFonts w:ascii="Times New Roman" w:hAnsi="Times New Roman" w:cs="Times New Roman"/>
          <w:sz w:val="24"/>
          <w:szCs w:val="24"/>
        </w:rPr>
        <w:t>ax</w:t>
      </w:r>
      <w:r w:rsidRPr="00F3717F">
        <w:rPr>
          <w:rFonts w:ascii="Times New Roman" w:hAnsi="Times New Roman" w:cs="Times New Roman"/>
          <w:spacing w:val="2"/>
          <w:sz w:val="24"/>
          <w:szCs w:val="24"/>
        </w:rPr>
        <w:t>i</w:t>
      </w:r>
      <w:r w:rsidRPr="00F3717F">
        <w:rPr>
          <w:rFonts w:ascii="Times New Roman" w:hAnsi="Times New Roman" w:cs="Times New Roman"/>
          <w:spacing w:val="-2"/>
          <w:sz w:val="24"/>
          <w:szCs w:val="24"/>
        </w:rPr>
        <w:t>m</w:t>
      </w:r>
      <w:r w:rsidRPr="00F3717F">
        <w:rPr>
          <w:rFonts w:ascii="Times New Roman" w:hAnsi="Times New Roman" w:cs="Times New Roman"/>
          <w:spacing w:val="2"/>
          <w:sz w:val="24"/>
          <w:szCs w:val="24"/>
        </w:rPr>
        <w:t>i</w:t>
      </w:r>
      <w:r w:rsidRPr="00F3717F">
        <w:rPr>
          <w:rFonts w:ascii="Times New Roman" w:hAnsi="Times New Roman" w:cs="Times New Roman"/>
          <w:sz w:val="24"/>
          <w:szCs w:val="24"/>
        </w:rPr>
        <w:t>se returns on the Fund over the long</w:t>
      </w:r>
      <w:r w:rsidR="00321007" w:rsidRPr="00F3717F">
        <w:rPr>
          <w:rFonts w:ascii="Times New Roman" w:hAnsi="Times New Roman" w:cs="Times New Roman"/>
          <w:sz w:val="24"/>
          <w:szCs w:val="24"/>
        </w:rPr>
        <w:t>-</w:t>
      </w:r>
      <w:r w:rsidRPr="00F3717F">
        <w:rPr>
          <w:rFonts w:ascii="Times New Roman" w:hAnsi="Times New Roman" w:cs="Times New Roman"/>
          <w:sz w:val="24"/>
          <w:szCs w:val="24"/>
        </w:rPr>
        <w:t>ter</w:t>
      </w:r>
      <w:r w:rsidRPr="00F3717F">
        <w:rPr>
          <w:rFonts w:ascii="Times New Roman" w:hAnsi="Times New Roman" w:cs="Times New Roman"/>
          <w:spacing w:val="-2"/>
          <w:sz w:val="24"/>
          <w:szCs w:val="24"/>
        </w:rPr>
        <w:t>m</w:t>
      </w:r>
      <w:r w:rsidR="00722247">
        <w:rPr>
          <w:rFonts w:ascii="Times New Roman" w:hAnsi="Times New Roman" w:cs="Times New Roman"/>
          <w:spacing w:val="-2"/>
          <w:sz w:val="24"/>
          <w:szCs w:val="24"/>
        </w:rPr>
        <w:t xml:space="preserve"> and to </w:t>
      </w:r>
      <w:r w:rsidR="00722247">
        <w:rPr>
          <w:rFonts w:ascii="Times New Roman" w:hAnsi="Times New Roman" w:cs="Times New Roman"/>
          <w:sz w:val="24"/>
          <w:szCs w:val="24"/>
        </w:rPr>
        <w:t>enhance the Commonwealth’s ability to provide grants for medical research and innovation</w:t>
      </w:r>
      <w:r w:rsidRPr="00F3717F">
        <w:rPr>
          <w:rFonts w:ascii="Times New Roman" w:hAnsi="Times New Roman" w:cs="Times New Roman"/>
          <w:sz w:val="24"/>
          <w:szCs w:val="24"/>
        </w:rPr>
        <w:t>.</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 xml:space="preserve">This </w:t>
      </w:r>
      <w:r w:rsidR="00722247">
        <w:rPr>
          <w:rFonts w:ascii="Times New Roman" w:hAnsi="Times New Roman" w:cs="Times New Roman"/>
          <w:sz w:val="24"/>
          <w:szCs w:val="24"/>
        </w:rPr>
        <w:t>investment function is</w:t>
      </w:r>
      <w:r w:rsidRPr="00F3717F">
        <w:rPr>
          <w:rFonts w:ascii="Times New Roman" w:hAnsi="Times New Roman" w:cs="Times New Roman"/>
          <w:spacing w:val="-1"/>
          <w:sz w:val="24"/>
          <w:szCs w:val="24"/>
        </w:rPr>
        <w:t xml:space="preserve"> </w:t>
      </w:r>
      <w:r w:rsidRPr="00F3717F">
        <w:rPr>
          <w:rFonts w:ascii="Times New Roman" w:hAnsi="Times New Roman" w:cs="Times New Roman"/>
          <w:sz w:val="24"/>
          <w:szCs w:val="24"/>
        </w:rPr>
        <w:t>subject to any restrictions placed on the Fund by the Act and to any directions</w:t>
      </w:r>
      <w:r w:rsidRPr="00F3717F">
        <w:rPr>
          <w:rFonts w:ascii="Times New Roman" w:hAnsi="Times New Roman" w:cs="Times New Roman"/>
          <w:spacing w:val="-1"/>
          <w:sz w:val="24"/>
          <w:szCs w:val="24"/>
        </w:rPr>
        <w:t xml:space="preserve"> </w:t>
      </w:r>
      <w:r w:rsidRPr="00F3717F">
        <w:rPr>
          <w:rFonts w:ascii="Times New Roman" w:hAnsi="Times New Roman" w:cs="Times New Roman"/>
          <w:sz w:val="24"/>
          <w:szCs w:val="24"/>
        </w:rPr>
        <w:t xml:space="preserve">given by the responsible Ministers under subsection </w:t>
      </w:r>
      <w:r w:rsidR="00951ED7">
        <w:rPr>
          <w:rFonts w:ascii="Times New Roman" w:hAnsi="Times New Roman" w:cs="Times New Roman"/>
          <w:sz w:val="24"/>
          <w:szCs w:val="24"/>
        </w:rPr>
        <w:t>39</w:t>
      </w:r>
      <w:r w:rsidRPr="00F3717F">
        <w:rPr>
          <w:rFonts w:ascii="Times New Roman" w:hAnsi="Times New Roman" w:cs="Times New Roman"/>
          <w:sz w:val="24"/>
          <w:szCs w:val="24"/>
        </w:rPr>
        <w:t>(1).</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 xml:space="preserve">Directions issued under subsection </w:t>
      </w:r>
      <w:r w:rsidR="00951ED7">
        <w:rPr>
          <w:rFonts w:ascii="Times New Roman" w:hAnsi="Times New Roman" w:cs="Times New Roman"/>
          <w:sz w:val="24"/>
          <w:szCs w:val="24"/>
        </w:rPr>
        <w:t>39</w:t>
      </w:r>
      <w:r w:rsidRPr="00F3717F">
        <w:rPr>
          <w:rFonts w:ascii="Times New Roman" w:hAnsi="Times New Roman" w:cs="Times New Roman"/>
          <w:sz w:val="24"/>
          <w:szCs w:val="24"/>
        </w:rPr>
        <w:t>(1) of the Act are known c</w:t>
      </w:r>
      <w:r w:rsidRPr="00F3717F">
        <w:rPr>
          <w:rFonts w:ascii="Times New Roman" w:hAnsi="Times New Roman" w:cs="Times New Roman"/>
          <w:spacing w:val="-2"/>
          <w:sz w:val="24"/>
          <w:szCs w:val="24"/>
        </w:rPr>
        <w:t>o</w:t>
      </w:r>
      <w:r w:rsidRPr="00F3717F">
        <w:rPr>
          <w:rFonts w:ascii="Times New Roman" w:hAnsi="Times New Roman" w:cs="Times New Roman"/>
          <w:sz w:val="24"/>
          <w:szCs w:val="24"/>
        </w:rPr>
        <w:t>lle</w:t>
      </w:r>
      <w:r w:rsidRPr="00F3717F">
        <w:rPr>
          <w:rFonts w:ascii="Times New Roman" w:hAnsi="Times New Roman" w:cs="Times New Roman"/>
          <w:spacing w:val="-1"/>
          <w:sz w:val="24"/>
          <w:szCs w:val="24"/>
        </w:rPr>
        <w:t>c</w:t>
      </w:r>
      <w:r w:rsidRPr="00F3717F">
        <w:rPr>
          <w:rFonts w:ascii="Times New Roman" w:hAnsi="Times New Roman" w:cs="Times New Roman"/>
          <w:sz w:val="24"/>
          <w:szCs w:val="24"/>
        </w:rPr>
        <w:t>ti</w:t>
      </w:r>
      <w:r w:rsidRPr="00F3717F">
        <w:rPr>
          <w:rFonts w:ascii="Times New Roman" w:hAnsi="Times New Roman" w:cs="Times New Roman"/>
          <w:spacing w:val="-1"/>
          <w:sz w:val="24"/>
          <w:szCs w:val="24"/>
        </w:rPr>
        <w:t>v</w:t>
      </w:r>
      <w:r w:rsidRPr="00F3717F">
        <w:rPr>
          <w:rFonts w:ascii="Times New Roman" w:hAnsi="Times New Roman" w:cs="Times New Roman"/>
          <w:sz w:val="24"/>
          <w:szCs w:val="24"/>
        </w:rPr>
        <w:t xml:space="preserve">ely as the </w:t>
      </w:r>
      <w:r w:rsidR="00951ED7">
        <w:rPr>
          <w:rFonts w:ascii="Times New Roman" w:hAnsi="Times New Roman" w:cs="Times New Roman"/>
          <w:sz w:val="24"/>
          <w:szCs w:val="24"/>
        </w:rPr>
        <w:t>Medical Research Future Fund I</w:t>
      </w:r>
      <w:r w:rsidRPr="00F3717F">
        <w:rPr>
          <w:rFonts w:ascii="Times New Roman" w:hAnsi="Times New Roman" w:cs="Times New Roman"/>
          <w:spacing w:val="-1"/>
          <w:sz w:val="24"/>
          <w:szCs w:val="24"/>
        </w:rPr>
        <w:t>n</w:t>
      </w:r>
      <w:r w:rsidRPr="00F3717F">
        <w:rPr>
          <w:rFonts w:ascii="Times New Roman" w:hAnsi="Times New Roman" w:cs="Times New Roman"/>
          <w:sz w:val="24"/>
          <w:szCs w:val="24"/>
        </w:rPr>
        <w:t>vest</w:t>
      </w:r>
      <w:r w:rsidRPr="00F3717F">
        <w:rPr>
          <w:rFonts w:ascii="Times New Roman" w:hAnsi="Times New Roman" w:cs="Times New Roman"/>
          <w:spacing w:val="-2"/>
          <w:sz w:val="24"/>
          <w:szCs w:val="24"/>
        </w:rPr>
        <w:t>m</w:t>
      </w:r>
      <w:r w:rsidRPr="00F3717F">
        <w:rPr>
          <w:rFonts w:ascii="Times New Roman" w:hAnsi="Times New Roman" w:cs="Times New Roman"/>
          <w:sz w:val="24"/>
          <w:szCs w:val="24"/>
        </w:rPr>
        <w:t xml:space="preserve">ent </w:t>
      </w:r>
      <w:r w:rsidR="00951ED7">
        <w:rPr>
          <w:rFonts w:ascii="Times New Roman" w:hAnsi="Times New Roman" w:cs="Times New Roman"/>
          <w:spacing w:val="-2"/>
          <w:sz w:val="24"/>
          <w:szCs w:val="24"/>
        </w:rPr>
        <w:t>M</w:t>
      </w:r>
      <w:r w:rsidRPr="00F3717F">
        <w:rPr>
          <w:rFonts w:ascii="Times New Roman" w:hAnsi="Times New Roman" w:cs="Times New Roman"/>
          <w:sz w:val="24"/>
          <w:szCs w:val="24"/>
        </w:rPr>
        <w:t>andate.</w:t>
      </w:r>
    </w:p>
    <w:p w:rsidR="00ED6411" w:rsidRPr="00F3717F" w:rsidRDefault="0095169D" w:rsidP="00F3717F">
      <w:pPr>
        <w:spacing w:after="0" w:line="240" w:lineRule="auto"/>
        <w:ind w:right="-20"/>
        <w:rPr>
          <w:rFonts w:ascii="Times New Roman" w:eastAsia="Times New Roman" w:hAnsi="Times New Roman" w:cs="Times New Roman"/>
          <w:sz w:val="24"/>
          <w:szCs w:val="24"/>
        </w:rPr>
      </w:pPr>
      <w:r w:rsidRPr="00F3717F">
        <w:rPr>
          <w:rFonts w:ascii="Times New Roman" w:eastAsia="Times New Roman" w:hAnsi="Times New Roman" w:cs="Times New Roman"/>
          <w:b/>
          <w:bCs/>
          <w:sz w:val="24"/>
          <w:szCs w:val="24"/>
        </w:rPr>
        <w:t>Directions</w:t>
      </w: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In setting this investment mandate the Government has employed the principle that any restriction placed on the investment of the Fund will lead to some increased risk or lower return or some less favourable trade-off</w:t>
      </w:r>
      <w:r w:rsidR="00A83D45">
        <w:rPr>
          <w:rFonts w:ascii="Times New Roman" w:hAnsi="Times New Roman" w:cs="Times New Roman"/>
          <w:sz w:val="24"/>
          <w:szCs w:val="24"/>
        </w:rPr>
        <w:t xml:space="preserve"> </w:t>
      </w:r>
      <w:r w:rsidRPr="00F3717F">
        <w:rPr>
          <w:rFonts w:ascii="Times New Roman" w:hAnsi="Times New Roman" w:cs="Times New Roman"/>
          <w:sz w:val="24"/>
          <w:szCs w:val="24"/>
        </w:rPr>
        <w:t>between the two.</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As such, restrictions are only imposed where there is a sound public policy or national interest reason to do so.</w:t>
      </w:r>
    </w:p>
    <w:p w:rsidR="00ED6411" w:rsidRPr="00F3717F" w:rsidRDefault="0095169D" w:rsidP="00F3717F">
      <w:pPr>
        <w:spacing w:after="0" w:line="240" w:lineRule="auto"/>
        <w:ind w:right="-20"/>
        <w:rPr>
          <w:rFonts w:ascii="Times New Roman" w:eastAsia="Times New Roman" w:hAnsi="Times New Roman" w:cs="Times New Roman"/>
          <w:sz w:val="24"/>
          <w:szCs w:val="24"/>
        </w:rPr>
      </w:pPr>
      <w:r w:rsidRPr="00F3717F">
        <w:rPr>
          <w:rFonts w:ascii="Times New Roman" w:eastAsia="Times New Roman" w:hAnsi="Times New Roman" w:cs="Times New Roman"/>
          <w:i/>
          <w:sz w:val="24"/>
          <w:szCs w:val="24"/>
        </w:rPr>
        <w:t>Benchmark return</w:t>
      </w:r>
    </w:p>
    <w:p w:rsidR="00ED6411" w:rsidRPr="00F3717F" w:rsidRDefault="00ED6411" w:rsidP="00F3717F">
      <w:pPr>
        <w:spacing w:before="19" w:after="0" w:line="220" w:lineRule="exact"/>
        <w:rPr>
          <w:rFonts w:ascii="Times New Roman" w:hAnsi="Times New Roman" w:cs="Times New Roman"/>
          <w:sz w:val="24"/>
          <w:szCs w:val="24"/>
        </w:rPr>
      </w:pPr>
    </w:p>
    <w:p w:rsidR="006F737A" w:rsidRPr="00A85A63" w:rsidRDefault="006F737A" w:rsidP="00A85A63">
      <w:pPr>
        <w:rPr>
          <w:rFonts w:ascii="Times New Roman" w:hAnsi="Times New Roman" w:cs="Times New Roman"/>
          <w:sz w:val="24"/>
          <w:szCs w:val="24"/>
        </w:rPr>
      </w:pPr>
      <w:r w:rsidRPr="00A85A63">
        <w:rPr>
          <w:rFonts w:ascii="Times New Roman" w:hAnsi="Times New Roman" w:cs="Times New Roman"/>
          <w:sz w:val="24"/>
          <w:szCs w:val="24"/>
        </w:rPr>
        <w:t xml:space="preserve">For the purpose of this investment mandate, the Government has directed the Board to adopt an average return of at least the Reserve Bank of Australia Cash Rate </w:t>
      </w:r>
      <w:r w:rsidR="00142CAC">
        <w:rPr>
          <w:rFonts w:ascii="Times New Roman" w:hAnsi="Times New Roman" w:cs="Times New Roman"/>
          <w:sz w:val="24"/>
          <w:szCs w:val="24"/>
        </w:rPr>
        <w:t>target</w:t>
      </w:r>
      <w:r w:rsidRPr="00A85A63">
        <w:rPr>
          <w:rFonts w:ascii="Times New Roman" w:hAnsi="Times New Roman" w:cs="Times New Roman"/>
          <w:sz w:val="24"/>
          <w:szCs w:val="24"/>
        </w:rPr>
        <w:t xml:space="preserve"> + 1.5 to 2 per cent per annum</w:t>
      </w:r>
      <w:r w:rsidR="00724A2D">
        <w:rPr>
          <w:rFonts w:ascii="Times New Roman" w:hAnsi="Times New Roman" w:cs="Times New Roman"/>
          <w:sz w:val="24"/>
          <w:szCs w:val="24"/>
        </w:rPr>
        <w:t>, net of investment fees,</w:t>
      </w:r>
      <w:r w:rsidRPr="00A85A63">
        <w:rPr>
          <w:rFonts w:ascii="Times New Roman" w:hAnsi="Times New Roman" w:cs="Times New Roman"/>
          <w:sz w:val="24"/>
          <w:szCs w:val="24"/>
        </w:rPr>
        <w:t xml:space="preserve"> over a rolling 10 year term as the benchmark return on the </w:t>
      </w:r>
      <w:r w:rsidR="00A85A63">
        <w:rPr>
          <w:rFonts w:ascii="Times New Roman" w:hAnsi="Times New Roman" w:cs="Times New Roman"/>
          <w:sz w:val="24"/>
          <w:szCs w:val="24"/>
        </w:rPr>
        <w:t>F</w:t>
      </w:r>
      <w:r w:rsidRPr="00A85A63">
        <w:rPr>
          <w:rFonts w:ascii="Times New Roman" w:hAnsi="Times New Roman" w:cs="Times New Roman"/>
          <w:sz w:val="24"/>
          <w:szCs w:val="24"/>
        </w:rPr>
        <w:t>und.</w:t>
      </w:r>
    </w:p>
    <w:p w:rsidR="00A3546C" w:rsidRPr="00661B1B" w:rsidRDefault="0095169D" w:rsidP="00661B1B">
      <w:pPr>
        <w:rPr>
          <w:rFonts w:ascii="Times New Roman" w:hAnsi="Times New Roman" w:cs="Times New Roman"/>
          <w:sz w:val="24"/>
          <w:szCs w:val="24"/>
        </w:rPr>
      </w:pPr>
      <w:r w:rsidRPr="00F3717F">
        <w:rPr>
          <w:rFonts w:ascii="Times New Roman" w:hAnsi="Times New Roman" w:cs="Times New Roman"/>
          <w:sz w:val="24"/>
          <w:szCs w:val="24"/>
        </w:rPr>
        <w:t>The Government is conscious of the risks inherent in investing a large portfolio of financial assets and acknowledges that in practice this will involve some short-term volatility in the Fund’s returns, including the possibility of losses in some years.</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In targeting the long-term benchmark, the Board is directed to determine an acceptable</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but not excessive level of risk for the Fund. This level of risk should be measured in terms such as the probability of losses in a particular year.</w:t>
      </w:r>
      <w:r w:rsidR="00A83608">
        <w:rPr>
          <w:rFonts w:ascii="Times New Roman" w:hAnsi="Times New Roman" w:cs="Times New Roman"/>
          <w:sz w:val="24"/>
          <w:szCs w:val="24"/>
        </w:rPr>
        <w:t xml:space="preserve"> The level of risk should also take into account the </w:t>
      </w:r>
      <w:r w:rsidR="00A3546C">
        <w:rPr>
          <w:rFonts w:ascii="Times New Roman" w:hAnsi="Times New Roman" w:cs="Times New Roman"/>
          <w:sz w:val="24"/>
          <w:szCs w:val="24"/>
        </w:rPr>
        <w:t xml:space="preserve">principle as specified in subsection 34(4)(a), </w:t>
      </w:r>
      <w:r w:rsidR="00A83608">
        <w:rPr>
          <w:rFonts w:ascii="Times New Roman" w:hAnsi="Times New Roman" w:cs="Times New Roman"/>
          <w:sz w:val="24"/>
          <w:szCs w:val="24"/>
        </w:rPr>
        <w:t>to preserve the nominal value of any amounts that are credited to the Fund under subsection</w:t>
      </w:r>
      <w:r w:rsidR="00A83D45">
        <w:rPr>
          <w:rFonts w:ascii="Times New Roman" w:hAnsi="Times New Roman" w:cs="Times New Roman"/>
          <w:sz w:val="24"/>
          <w:szCs w:val="24"/>
        </w:rPr>
        <w:t xml:space="preserve"> </w:t>
      </w:r>
      <w:r w:rsidR="00A83608">
        <w:rPr>
          <w:rFonts w:ascii="Times New Roman" w:hAnsi="Times New Roman" w:cs="Times New Roman"/>
          <w:sz w:val="24"/>
          <w:szCs w:val="24"/>
        </w:rPr>
        <w:t>12(1) or section 15 of the Act</w:t>
      </w:r>
      <w:r w:rsidR="00A3546C">
        <w:rPr>
          <w:rFonts w:ascii="Times New Roman" w:hAnsi="Times New Roman" w:cs="Times New Roman"/>
          <w:sz w:val="24"/>
          <w:szCs w:val="24"/>
        </w:rPr>
        <w:t xml:space="preserve"> over the long-term</w:t>
      </w:r>
      <w:r w:rsidR="00A83608">
        <w:rPr>
          <w:rFonts w:ascii="Times New Roman" w:hAnsi="Times New Roman" w:cs="Times New Roman"/>
          <w:sz w:val="24"/>
          <w:szCs w:val="24"/>
        </w:rPr>
        <w:t xml:space="preserve">. </w:t>
      </w:r>
      <w:r w:rsidR="00A3546C">
        <w:rPr>
          <w:rFonts w:ascii="Times New Roman" w:hAnsi="Times New Roman" w:cs="Times New Roman"/>
          <w:sz w:val="24"/>
          <w:szCs w:val="24"/>
        </w:rPr>
        <w:t>Furthermore, th</w:t>
      </w:r>
      <w:r w:rsidR="00A3546C" w:rsidRPr="00661B1B">
        <w:rPr>
          <w:rFonts w:ascii="Times New Roman" w:hAnsi="Times New Roman" w:cs="Times New Roman"/>
          <w:sz w:val="24"/>
          <w:szCs w:val="24"/>
        </w:rPr>
        <w:t>e Board must also take into account the principle as specified in subsection 34(4)(b)</w:t>
      </w:r>
      <w:r w:rsidR="00D01091" w:rsidRPr="00661B1B">
        <w:rPr>
          <w:rFonts w:ascii="Times New Roman" w:hAnsi="Times New Roman" w:cs="Times New Roman"/>
          <w:sz w:val="24"/>
          <w:szCs w:val="24"/>
        </w:rPr>
        <w:t>,</w:t>
      </w:r>
      <w:r w:rsidR="00A3546C" w:rsidRPr="00661B1B">
        <w:rPr>
          <w:rFonts w:ascii="Times New Roman" w:hAnsi="Times New Roman" w:cs="Times New Roman"/>
          <w:sz w:val="24"/>
          <w:szCs w:val="24"/>
        </w:rPr>
        <w:t xml:space="preserve"> that the volatility of maximum annual distributions be moderated from financial year to financial year (to the extent possible).</w:t>
      </w:r>
    </w:p>
    <w:p w:rsidR="00ED6411" w:rsidRPr="00F3717F" w:rsidRDefault="00ED6411" w:rsidP="00F3717F">
      <w:pPr>
        <w:rPr>
          <w:rFonts w:ascii="Times New Roman" w:hAnsi="Times New Roman" w:cs="Times New Roman"/>
          <w:sz w:val="24"/>
          <w:szCs w:val="24"/>
        </w:rPr>
      </w:pPr>
    </w:p>
    <w:p w:rsidR="00722247" w:rsidRDefault="00722247" w:rsidP="00F3717F">
      <w:pPr>
        <w:rPr>
          <w:rFonts w:ascii="Times New Roman" w:hAnsi="Times New Roman" w:cs="Times New Roman"/>
          <w:sz w:val="24"/>
          <w:szCs w:val="24"/>
        </w:rPr>
      </w:pPr>
      <w:r>
        <w:rPr>
          <w:rFonts w:ascii="Times New Roman" w:hAnsi="Times New Roman" w:cs="Times New Roman"/>
          <w:sz w:val="24"/>
          <w:szCs w:val="24"/>
        </w:rPr>
        <w:t>Consistent with the requirements of the Act, in issuing these directions, the</w:t>
      </w:r>
      <w:r w:rsidR="00A83D45">
        <w:rPr>
          <w:rFonts w:ascii="Times New Roman" w:hAnsi="Times New Roman" w:cs="Times New Roman"/>
          <w:sz w:val="24"/>
          <w:szCs w:val="24"/>
        </w:rPr>
        <w:t xml:space="preserve"> </w:t>
      </w:r>
      <w:r w:rsidR="0095169D" w:rsidRPr="00F3717F">
        <w:rPr>
          <w:rFonts w:ascii="Times New Roman" w:hAnsi="Times New Roman" w:cs="Times New Roman"/>
          <w:sz w:val="24"/>
          <w:szCs w:val="24"/>
        </w:rPr>
        <w:t>Government is committed to</w:t>
      </w:r>
      <w:r>
        <w:rPr>
          <w:rFonts w:ascii="Times New Roman" w:hAnsi="Times New Roman" w:cs="Times New Roman"/>
          <w:sz w:val="24"/>
          <w:szCs w:val="24"/>
        </w:rPr>
        <w:t>:</w:t>
      </w:r>
    </w:p>
    <w:p w:rsidR="00CF44D6" w:rsidRDefault="009A4711">
      <w:pPr>
        <w:pStyle w:val="ListParagraph"/>
        <w:numPr>
          <w:ilvl w:val="0"/>
          <w:numId w:val="1"/>
        </w:numPr>
        <w:rPr>
          <w:rFonts w:ascii="Times New Roman" w:hAnsi="Times New Roman" w:cs="Times New Roman"/>
          <w:sz w:val="24"/>
          <w:szCs w:val="24"/>
        </w:rPr>
      </w:pPr>
      <w:r w:rsidRPr="009A4711">
        <w:rPr>
          <w:rFonts w:ascii="Times New Roman" w:hAnsi="Times New Roman" w:cs="Times New Roman"/>
          <w:sz w:val="24"/>
          <w:szCs w:val="24"/>
        </w:rPr>
        <w:t>maximising the return to the Australian public by investing for the long-term</w:t>
      </w:r>
      <w:r w:rsidR="00722247">
        <w:rPr>
          <w:rFonts w:ascii="Times New Roman" w:hAnsi="Times New Roman" w:cs="Times New Roman"/>
          <w:sz w:val="24"/>
          <w:szCs w:val="24"/>
        </w:rPr>
        <w:t xml:space="preserve">; </w:t>
      </w:r>
      <w:r w:rsidRPr="009A4711">
        <w:rPr>
          <w:rFonts w:ascii="Times New Roman" w:hAnsi="Times New Roman" w:cs="Times New Roman"/>
          <w:sz w:val="24"/>
          <w:szCs w:val="24"/>
        </w:rPr>
        <w:t>and</w:t>
      </w:r>
    </w:p>
    <w:p w:rsidR="00CF44D6" w:rsidRDefault="007222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enhancing the Commonwealth’s ability to provide grants for medical research and innovation.</w:t>
      </w:r>
    </w:p>
    <w:p w:rsidR="00CF44D6" w:rsidRDefault="00722247">
      <w:pPr>
        <w:ind w:left="60"/>
        <w:rPr>
          <w:rFonts w:ascii="Times New Roman" w:hAnsi="Times New Roman" w:cs="Times New Roman"/>
          <w:sz w:val="24"/>
          <w:szCs w:val="24"/>
        </w:rPr>
      </w:pPr>
      <w:r>
        <w:rPr>
          <w:rFonts w:ascii="Times New Roman" w:hAnsi="Times New Roman" w:cs="Times New Roman"/>
          <w:sz w:val="24"/>
          <w:szCs w:val="24"/>
        </w:rPr>
        <w:t>T</w:t>
      </w:r>
      <w:r w:rsidR="009A4711" w:rsidRPr="009A4711">
        <w:rPr>
          <w:rFonts w:ascii="Times New Roman" w:hAnsi="Times New Roman" w:cs="Times New Roman"/>
          <w:sz w:val="24"/>
          <w:szCs w:val="24"/>
        </w:rPr>
        <w:t>herefore the investment mandate establishes long-term performance measures.</w:t>
      </w:r>
      <w:r w:rsidR="00A83D45">
        <w:rPr>
          <w:rFonts w:ascii="Times New Roman" w:hAnsi="Times New Roman" w:cs="Times New Roman"/>
          <w:sz w:val="24"/>
          <w:szCs w:val="24"/>
        </w:rPr>
        <w:t xml:space="preserve"> </w:t>
      </w:r>
      <w:r w:rsidR="009A4711" w:rsidRPr="009A4711">
        <w:rPr>
          <w:rFonts w:ascii="Times New Roman" w:eastAsia="Times New Roman" w:hAnsi="Times New Roman" w:cs="Times New Roman"/>
          <w:sz w:val="24"/>
          <w:szCs w:val="24"/>
        </w:rPr>
        <w:t>The Government’s intention is that these directions may be reviewed in 2020 and that new directions may be issued in light of material changes in the investment environment faced by the Fund or in the national interest.</w:t>
      </w: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Section 5</w:t>
      </w:r>
      <w:r w:rsidR="002E7F5B">
        <w:rPr>
          <w:rFonts w:ascii="Times New Roman" w:hAnsi="Times New Roman" w:cs="Times New Roman"/>
          <w:sz w:val="24"/>
          <w:szCs w:val="24"/>
        </w:rPr>
        <w:t>6</w:t>
      </w:r>
      <w:r w:rsidRPr="00F3717F">
        <w:rPr>
          <w:rFonts w:ascii="Times New Roman" w:hAnsi="Times New Roman" w:cs="Times New Roman"/>
          <w:sz w:val="24"/>
          <w:szCs w:val="24"/>
        </w:rPr>
        <w:t xml:space="preserve"> of the Act requires the Board to keep the Ministers informed of the operations of the Board and give the nominated Minister such information in relation to those operations as is appropriate. This could include information the Board considers to be relevant on any significant changing circumstances of the Fund or broader financial markets.</w:t>
      </w:r>
    </w:p>
    <w:p w:rsidR="00ED6411" w:rsidRPr="00F3717F" w:rsidRDefault="0095169D" w:rsidP="00F3717F">
      <w:pPr>
        <w:spacing w:before="29" w:after="0" w:line="240" w:lineRule="auto"/>
        <w:ind w:right="-20"/>
        <w:rPr>
          <w:rFonts w:ascii="Times New Roman" w:eastAsia="Times New Roman" w:hAnsi="Times New Roman" w:cs="Times New Roman"/>
          <w:sz w:val="24"/>
          <w:szCs w:val="24"/>
        </w:rPr>
      </w:pPr>
      <w:r w:rsidRPr="00F3717F">
        <w:rPr>
          <w:rFonts w:ascii="Times New Roman" w:eastAsia="Times New Roman" w:hAnsi="Times New Roman" w:cs="Times New Roman"/>
          <w:i/>
          <w:sz w:val="24"/>
          <w:szCs w:val="24"/>
        </w:rPr>
        <w:t>Board must consider impacts from its investment strategy</w:t>
      </w:r>
    </w:p>
    <w:p w:rsidR="00ED6411" w:rsidRPr="00F3717F" w:rsidRDefault="00ED6411" w:rsidP="00F3717F">
      <w:pPr>
        <w:spacing w:before="19" w:after="0" w:line="220" w:lineRule="exact"/>
        <w:rPr>
          <w:rFonts w:ascii="Times New Roman" w:hAnsi="Times New Roman" w:cs="Times New Roman"/>
          <w:sz w:val="24"/>
          <w:szCs w:val="24"/>
        </w:rPr>
      </w:pP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The Government has a broad obligation to the Australian community to make decisions that are economically and fiscally responsible. In establishing the Fund it is the expectation of the Government that the investments of the Fund should not disrupt the normal operation of domestic financial markets.</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The Board, in setting the investment strategy and in instructing the investment of the Fund, must act in a</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manner that minimises the potential to effect any abnormal change in the volatility or efficient operation of Australian financial markets.</w:t>
      </w:r>
    </w:p>
    <w:p w:rsidR="00ED6411" w:rsidRPr="00F3717F"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The Board is also required to act in a manner that is unlikely to cause any diminution of the Government’s reputation in Australian and international financial markets.</w:t>
      </w:r>
    </w:p>
    <w:p w:rsidR="00ED6411"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The Government participates in a number of international organisations which pursue high standards of conduct in financial markets.</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The Government recognises that the Board will invest in international capital markets as part of a sound investment strategy involving diversification.</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In doing so, the Government expects that the</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Board will act in a manner that is unlikely to cause embarrassment to the Government.</w:t>
      </w:r>
    </w:p>
    <w:p w:rsidR="00ED6411" w:rsidRPr="00F3717F" w:rsidRDefault="0095169D" w:rsidP="00F3717F">
      <w:pPr>
        <w:spacing w:after="0" w:line="240" w:lineRule="auto"/>
        <w:ind w:right="-20"/>
        <w:rPr>
          <w:rFonts w:ascii="Times New Roman" w:eastAsia="Times New Roman" w:hAnsi="Times New Roman" w:cs="Times New Roman"/>
          <w:sz w:val="24"/>
          <w:szCs w:val="24"/>
        </w:rPr>
      </w:pPr>
      <w:r w:rsidRPr="00F3717F">
        <w:rPr>
          <w:rFonts w:ascii="Times New Roman" w:eastAsia="Times New Roman" w:hAnsi="Times New Roman" w:cs="Times New Roman"/>
          <w:i/>
          <w:sz w:val="24"/>
          <w:szCs w:val="24"/>
        </w:rPr>
        <w:t>Corporate governance</w:t>
      </w:r>
    </w:p>
    <w:p w:rsidR="00ED6411" w:rsidRPr="00F3717F" w:rsidRDefault="00ED6411" w:rsidP="00F3717F">
      <w:pPr>
        <w:spacing w:before="19" w:after="0" w:line="220" w:lineRule="exact"/>
        <w:rPr>
          <w:rFonts w:ascii="Times New Roman" w:hAnsi="Times New Roman" w:cs="Times New Roman"/>
          <w:sz w:val="24"/>
          <w:szCs w:val="24"/>
        </w:rPr>
      </w:pPr>
    </w:p>
    <w:p w:rsidR="00ED6411" w:rsidRDefault="0095169D" w:rsidP="00F3717F">
      <w:pPr>
        <w:rPr>
          <w:rFonts w:ascii="Times New Roman" w:hAnsi="Times New Roman" w:cs="Times New Roman"/>
          <w:sz w:val="24"/>
          <w:szCs w:val="24"/>
        </w:rPr>
      </w:pPr>
      <w:r w:rsidRPr="00F3717F">
        <w:rPr>
          <w:rFonts w:ascii="Times New Roman" w:hAnsi="Times New Roman" w:cs="Times New Roman"/>
          <w:sz w:val="24"/>
          <w:szCs w:val="24"/>
        </w:rPr>
        <w:t>In undertaking its investment functions, the Board must act consistent with, and establish policies on matters relevant to, international best practice for institutional investment.</w:t>
      </w:r>
      <w:r w:rsidR="00F3717F" w:rsidRPr="00F3717F">
        <w:rPr>
          <w:rFonts w:ascii="Times New Roman" w:hAnsi="Times New Roman" w:cs="Times New Roman"/>
          <w:sz w:val="24"/>
          <w:szCs w:val="24"/>
        </w:rPr>
        <w:t xml:space="preserve"> </w:t>
      </w:r>
      <w:r w:rsidRPr="00F3717F">
        <w:rPr>
          <w:rFonts w:ascii="Times New Roman" w:hAnsi="Times New Roman" w:cs="Times New Roman"/>
          <w:sz w:val="24"/>
          <w:szCs w:val="24"/>
        </w:rPr>
        <w:t xml:space="preserve">In particular, the Government would expect the Board’s policies to include its approach to corporate governance principles, including </w:t>
      </w:r>
      <w:r w:rsidR="003E0574">
        <w:rPr>
          <w:rFonts w:ascii="Times New Roman" w:hAnsi="Times New Roman" w:cs="Times New Roman"/>
          <w:sz w:val="24"/>
          <w:szCs w:val="24"/>
        </w:rPr>
        <w:t xml:space="preserve">its </w:t>
      </w:r>
      <w:r w:rsidRPr="00F3717F">
        <w:rPr>
          <w:rFonts w:ascii="Times New Roman" w:hAnsi="Times New Roman" w:cs="Times New Roman"/>
          <w:sz w:val="24"/>
          <w:szCs w:val="24"/>
        </w:rPr>
        <w:t xml:space="preserve">voting </w:t>
      </w:r>
      <w:r w:rsidR="003E0574">
        <w:rPr>
          <w:rFonts w:ascii="Times New Roman" w:hAnsi="Times New Roman" w:cs="Times New Roman"/>
          <w:sz w:val="24"/>
          <w:szCs w:val="24"/>
        </w:rPr>
        <w:t>policy</w:t>
      </w:r>
      <w:r w:rsidRPr="00F3717F">
        <w:rPr>
          <w:rFonts w:ascii="Times New Roman" w:hAnsi="Times New Roman" w:cs="Times New Roman"/>
          <w:sz w:val="24"/>
          <w:szCs w:val="24"/>
        </w:rPr>
        <w:t>.</w:t>
      </w:r>
    </w:p>
    <w:p w:rsidR="00F52DD5" w:rsidRDefault="00F52DD5">
      <w:pPr>
        <w:rPr>
          <w:rFonts w:ascii="Times New Roman" w:hAnsi="Times New Roman" w:cs="Times New Roman"/>
          <w:sz w:val="24"/>
          <w:szCs w:val="24"/>
        </w:rPr>
      </w:pPr>
      <w:r>
        <w:rPr>
          <w:rFonts w:ascii="Times New Roman" w:hAnsi="Times New Roman" w:cs="Times New Roman"/>
          <w:sz w:val="24"/>
          <w:szCs w:val="24"/>
        </w:rPr>
        <w:br w:type="page"/>
      </w:r>
    </w:p>
    <w:p w:rsidR="0073770E" w:rsidRDefault="00F52DD5" w:rsidP="0073770E">
      <w:pPr>
        <w:spacing w:after="0"/>
        <w:rPr>
          <w:rFonts w:ascii="Times New Roman" w:hAnsi="Times New Roman" w:cs="Times New Roman"/>
          <w:b/>
          <w:sz w:val="24"/>
          <w:szCs w:val="24"/>
        </w:rPr>
      </w:pPr>
      <w:r w:rsidRPr="00FA5C45">
        <w:rPr>
          <w:rFonts w:ascii="Times New Roman" w:hAnsi="Times New Roman" w:cs="Times New Roman"/>
          <w:b/>
          <w:sz w:val="24"/>
          <w:szCs w:val="24"/>
        </w:rPr>
        <w:lastRenderedPageBreak/>
        <w:t>Consultation</w:t>
      </w:r>
    </w:p>
    <w:p w:rsidR="00FA5C45" w:rsidRDefault="00F52DD5" w:rsidP="0073770E">
      <w:pPr>
        <w:rPr>
          <w:rFonts w:ascii="Times New Roman" w:hAnsi="Times New Roman" w:cs="Times New Roman"/>
          <w:sz w:val="24"/>
          <w:szCs w:val="24"/>
        </w:rPr>
      </w:pPr>
      <w:r>
        <w:rPr>
          <w:rFonts w:ascii="Times New Roman" w:hAnsi="Times New Roman" w:cs="Times New Roman"/>
          <w:sz w:val="24"/>
          <w:szCs w:val="24"/>
        </w:rPr>
        <w:t xml:space="preserve">The Future Fund Board of </w:t>
      </w:r>
      <w:r w:rsidR="00414E91">
        <w:rPr>
          <w:rFonts w:ascii="Times New Roman" w:hAnsi="Times New Roman" w:cs="Times New Roman"/>
          <w:sz w:val="24"/>
          <w:szCs w:val="24"/>
        </w:rPr>
        <w:t>Guardians was consulted on the investment m</w:t>
      </w:r>
      <w:r>
        <w:rPr>
          <w:rFonts w:ascii="Times New Roman" w:hAnsi="Times New Roman" w:cs="Times New Roman"/>
          <w:sz w:val="24"/>
          <w:szCs w:val="24"/>
        </w:rPr>
        <w:t>andate in accordance with section 42 of the Act.</w:t>
      </w:r>
    </w:p>
    <w:p w:rsidR="00F52DD5" w:rsidRPr="00F3717F" w:rsidRDefault="00FA5C45" w:rsidP="00F3717F">
      <w:pPr>
        <w:rPr>
          <w:rFonts w:ascii="Times New Roman" w:hAnsi="Times New Roman" w:cs="Times New Roman"/>
          <w:sz w:val="24"/>
          <w:szCs w:val="24"/>
        </w:rPr>
      </w:pPr>
      <w:r>
        <w:rPr>
          <w:rFonts w:ascii="Times New Roman" w:hAnsi="Times New Roman" w:cs="Times New Roman"/>
          <w:sz w:val="24"/>
          <w:szCs w:val="24"/>
        </w:rPr>
        <w:t>The Office of Best Practice Regulation assessed</w:t>
      </w:r>
      <w:r w:rsidR="001C4E08">
        <w:rPr>
          <w:rFonts w:ascii="Times New Roman" w:hAnsi="Times New Roman" w:cs="Times New Roman"/>
          <w:sz w:val="24"/>
          <w:szCs w:val="24"/>
        </w:rPr>
        <w:t xml:space="preserve"> that</w:t>
      </w:r>
      <w:r>
        <w:rPr>
          <w:rFonts w:ascii="Times New Roman" w:hAnsi="Times New Roman" w:cs="Times New Roman"/>
          <w:sz w:val="24"/>
          <w:szCs w:val="24"/>
        </w:rPr>
        <w:t xml:space="preserve"> the impact of the </w:t>
      </w:r>
      <w:r w:rsidR="00414E91">
        <w:rPr>
          <w:rFonts w:ascii="Times New Roman" w:hAnsi="Times New Roman" w:cs="Times New Roman"/>
          <w:sz w:val="24"/>
          <w:szCs w:val="24"/>
        </w:rPr>
        <w:t>changes made by the investment m</w:t>
      </w:r>
      <w:r>
        <w:rPr>
          <w:rFonts w:ascii="Times New Roman" w:hAnsi="Times New Roman" w:cs="Times New Roman"/>
          <w:sz w:val="24"/>
          <w:szCs w:val="24"/>
        </w:rPr>
        <w:t>andate are minor and do not require a Regulation Impact Statement (OBPR ID:</w:t>
      </w:r>
      <w:r w:rsidR="007E364A">
        <w:rPr>
          <w:rFonts w:ascii="Times New Roman" w:hAnsi="Times New Roman" w:cs="Times New Roman"/>
          <w:sz w:val="24"/>
          <w:szCs w:val="24"/>
        </w:rPr>
        <w:t xml:space="preserve"> 19917).</w:t>
      </w:r>
    </w:p>
    <w:sectPr w:rsidR="00F52DD5" w:rsidRPr="00F3717F" w:rsidSect="00F3717F">
      <w:footerReference w:type="default" r:id="rId7"/>
      <w:pgSz w:w="11900" w:h="16840"/>
      <w:pgMar w:top="1418" w:right="1680" w:bottom="993" w:left="1680" w:header="73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0E" w:rsidRDefault="0073770E" w:rsidP="00ED6411">
      <w:pPr>
        <w:spacing w:after="0" w:line="240" w:lineRule="auto"/>
      </w:pPr>
      <w:r>
        <w:separator/>
      </w:r>
    </w:p>
  </w:endnote>
  <w:endnote w:type="continuationSeparator" w:id="0">
    <w:p w:rsidR="0073770E" w:rsidRDefault="0073770E" w:rsidP="00ED6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25512"/>
      <w:docPartObj>
        <w:docPartGallery w:val="Page Numbers (Bottom of Page)"/>
        <w:docPartUnique/>
      </w:docPartObj>
    </w:sdtPr>
    <w:sdtContent>
      <w:p w:rsidR="0073770E" w:rsidRDefault="0073770E">
        <w:pPr>
          <w:pStyle w:val="Footer"/>
          <w:jc w:val="center"/>
        </w:pPr>
      </w:p>
      <w:p w:rsidR="0073770E" w:rsidRDefault="0073770E">
        <w:pPr>
          <w:pStyle w:val="Footer"/>
          <w:jc w:val="center"/>
        </w:pPr>
        <w:fldSimple w:instr=" PAGE   \* MERGEFORMAT ">
          <w:r w:rsidR="00414E91">
            <w:rPr>
              <w:noProof/>
            </w:rPr>
            <w:t>1</w:t>
          </w:r>
        </w:fldSimple>
      </w:p>
    </w:sdtContent>
  </w:sdt>
  <w:p w:rsidR="0073770E" w:rsidRDefault="00737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0E" w:rsidRDefault="0073770E" w:rsidP="00ED6411">
      <w:pPr>
        <w:spacing w:after="0" w:line="240" w:lineRule="auto"/>
      </w:pPr>
      <w:r>
        <w:separator/>
      </w:r>
    </w:p>
  </w:footnote>
  <w:footnote w:type="continuationSeparator" w:id="0">
    <w:p w:rsidR="0073770E" w:rsidRDefault="0073770E" w:rsidP="00ED6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601D1"/>
    <w:multiLevelType w:val="hybridMultilevel"/>
    <w:tmpl w:val="14F41A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loy, Mark">
    <w15:presenceInfo w15:providerId="None" w15:userId="Molloy, Mar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
  <w:rsids>
    <w:rsidRoot w:val="00ED6411"/>
    <w:rsid w:val="000D6CE3"/>
    <w:rsid w:val="00142CAC"/>
    <w:rsid w:val="00184DDD"/>
    <w:rsid w:val="00194DA4"/>
    <w:rsid w:val="001A613A"/>
    <w:rsid w:val="001C4E08"/>
    <w:rsid w:val="00200185"/>
    <w:rsid w:val="00211040"/>
    <w:rsid w:val="002504DF"/>
    <w:rsid w:val="002859AE"/>
    <w:rsid w:val="00293B17"/>
    <w:rsid w:val="002A2CD4"/>
    <w:rsid w:val="002B2BE4"/>
    <w:rsid w:val="002E4556"/>
    <w:rsid w:val="002E7F5B"/>
    <w:rsid w:val="003072BE"/>
    <w:rsid w:val="00321007"/>
    <w:rsid w:val="00370DD8"/>
    <w:rsid w:val="00385D12"/>
    <w:rsid w:val="003E0574"/>
    <w:rsid w:val="003F3C89"/>
    <w:rsid w:val="00414E91"/>
    <w:rsid w:val="00441B62"/>
    <w:rsid w:val="004D616B"/>
    <w:rsid w:val="004F105F"/>
    <w:rsid w:val="00536F75"/>
    <w:rsid w:val="005469F6"/>
    <w:rsid w:val="005816D3"/>
    <w:rsid w:val="005D0F61"/>
    <w:rsid w:val="005E7479"/>
    <w:rsid w:val="00661B1B"/>
    <w:rsid w:val="00694942"/>
    <w:rsid w:val="006F737A"/>
    <w:rsid w:val="00722247"/>
    <w:rsid w:val="00724A2D"/>
    <w:rsid w:val="0073770E"/>
    <w:rsid w:val="00753DEF"/>
    <w:rsid w:val="007739B3"/>
    <w:rsid w:val="0079383B"/>
    <w:rsid w:val="007A495F"/>
    <w:rsid w:val="007A5A62"/>
    <w:rsid w:val="007E364A"/>
    <w:rsid w:val="0085266C"/>
    <w:rsid w:val="008721AF"/>
    <w:rsid w:val="008C147C"/>
    <w:rsid w:val="0095169D"/>
    <w:rsid w:val="00951ED7"/>
    <w:rsid w:val="00982D12"/>
    <w:rsid w:val="009A4711"/>
    <w:rsid w:val="009B5D0B"/>
    <w:rsid w:val="009C04BF"/>
    <w:rsid w:val="00A3546C"/>
    <w:rsid w:val="00A83608"/>
    <w:rsid w:val="00A83D45"/>
    <w:rsid w:val="00A85A63"/>
    <w:rsid w:val="00AB1B35"/>
    <w:rsid w:val="00AC1E4A"/>
    <w:rsid w:val="00AC5062"/>
    <w:rsid w:val="00B3095A"/>
    <w:rsid w:val="00BA726A"/>
    <w:rsid w:val="00C56C77"/>
    <w:rsid w:val="00C85945"/>
    <w:rsid w:val="00CD2B77"/>
    <w:rsid w:val="00CF3A36"/>
    <w:rsid w:val="00CF44D6"/>
    <w:rsid w:val="00D01091"/>
    <w:rsid w:val="00D07F1F"/>
    <w:rsid w:val="00D933AE"/>
    <w:rsid w:val="00E01307"/>
    <w:rsid w:val="00E639B5"/>
    <w:rsid w:val="00E67DE5"/>
    <w:rsid w:val="00EA1D10"/>
    <w:rsid w:val="00EB177E"/>
    <w:rsid w:val="00ED5E40"/>
    <w:rsid w:val="00ED6411"/>
    <w:rsid w:val="00EF3EFA"/>
    <w:rsid w:val="00F11104"/>
    <w:rsid w:val="00F3717F"/>
    <w:rsid w:val="00F42C4D"/>
    <w:rsid w:val="00F52DD5"/>
    <w:rsid w:val="00FA5C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7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17F"/>
  </w:style>
  <w:style w:type="paragraph" w:styleId="Footer">
    <w:name w:val="footer"/>
    <w:basedOn w:val="Normal"/>
    <w:link w:val="FooterChar"/>
    <w:uiPriority w:val="99"/>
    <w:unhideWhenUsed/>
    <w:rsid w:val="00F3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7F"/>
  </w:style>
  <w:style w:type="paragraph" w:styleId="BalloonText">
    <w:name w:val="Balloon Text"/>
    <w:basedOn w:val="Normal"/>
    <w:link w:val="BalloonTextChar"/>
    <w:uiPriority w:val="99"/>
    <w:semiHidden/>
    <w:unhideWhenUsed/>
    <w:rsid w:val="00250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4DF"/>
    <w:rPr>
      <w:rFonts w:ascii="Tahoma" w:hAnsi="Tahoma" w:cs="Tahoma"/>
      <w:sz w:val="16"/>
      <w:szCs w:val="16"/>
    </w:rPr>
  </w:style>
  <w:style w:type="character" w:styleId="CommentReference">
    <w:name w:val="annotation reference"/>
    <w:basedOn w:val="DefaultParagraphFont"/>
    <w:uiPriority w:val="99"/>
    <w:semiHidden/>
    <w:unhideWhenUsed/>
    <w:rsid w:val="00951ED7"/>
    <w:rPr>
      <w:sz w:val="16"/>
      <w:szCs w:val="16"/>
    </w:rPr>
  </w:style>
  <w:style w:type="paragraph" w:styleId="CommentText">
    <w:name w:val="annotation text"/>
    <w:basedOn w:val="Normal"/>
    <w:link w:val="CommentTextChar"/>
    <w:uiPriority w:val="99"/>
    <w:semiHidden/>
    <w:unhideWhenUsed/>
    <w:rsid w:val="00951ED7"/>
    <w:pPr>
      <w:spacing w:line="240" w:lineRule="auto"/>
    </w:pPr>
    <w:rPr>
      <w:sz w:val="20"/>
      <w:szCs w:val="20"/>
    </w:rPr>
  </w:style>
  <w:style w:type="character" w:customStyle="1" w:styleId="CommentTextChar">
    <w:name w:val="Comment Text Char"/>
    <w:basedOn w:val="DefaultParagraphFont"/>
    <w:link w:val="CommentText"/>
    <w:uiPriority w:val="99"/>
    <w:semiHidden/>
    <w:rsid w:val="00951ED7"/>
    <w:rPr>
      <w:sz w:val="20"/>
      <w:szCs w:val="20"/>
    </w:rPr>
  </w:style>
  <w:style w:type="paragraph" w:styleId="CommentSubject">
    <w:name w:val="annotation subject"/>
    <w:basedOn w:val="CommentText"/>
    <w:next w:val="CommentText"/>
    <w:link w:val="CommentSubjectChar"/>
    <w:uiPriority w:val="99"/>
    <w:semiHidden/>
    <w:unhideWhenUsed/>
    <w:rsid w:val="00951ED7"/>
    <w:rPr>
      <w:b/>
      <w:bCs/>
    </w:rPr>
  </w:style>
  <w:style w:type="character" w:customStyle="1" w:styleId="CommentSubjectChar">
    <w:name w:val="Comment Subject Char"/>
    <w:basedOn w:val="CommentTextChar"/>
    <w:link w:val="CommentSubject"/>
    <w:uiPriority w:val="99"/>
    <w:semiHidden/>
    <w:rsid w:val="00951ED7"/>
    <w:rPr>
      <w:b/>
      <w:bCs/>
      <w:sz w:val="20"/>
      <w:szCs w:val="20"/>
    </w:rPr>
  </w:style>
  <w:style w:type="paragraph" w:styleId="ListParagraph">
    <w:name w:val="List Paragraph"/>
    <w:basedOn w:val="Normal"/>
    <w:uiPriority w:val="34"/>
    <w:qFormat/>
    <w:rsid w:val="0072224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ES - Future Fund Investment Mandate Direction 2006.doc</vt:lpstr>
    </vt:vector>
  </TitlesOfParts>
  <Company>FINANCE</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 - Future Fund Investment Mandate Direction 2006.doc</dc:title>
  <dc:creator>lotusservice</dc:creator>
  <cp:lastModifiedBy>Julia Torney</cp:lastModifiedBy>
  <cp:revision>13</cp:revision>
  <cp:lastPrinted>2015-10-22T04:57:00Z</cp:lastPrinted>
  <dcterms:created xsi:type="dcterms:W3CDTF">2015-10-21T22:35:00Z</dcterms:created>
  <dcterms:modified xsi:type="dcterms:W3CDTF">2015-11-03T05:16:00Z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2006-05-04T00:00:00Z</vt:filetime>
  </property>
  <property fmtid="{D5CDD505-2E9C-101B-9397-08002B2CF9AE}" pid="3" name="LastSaved">
    <vt:filetime>2015-01-28T00:00:00Z</vt:filetime>
  </property>
  <property fmtid="{D5CDD505-2E9C-101B-9397-08002B2CF9AE}" pid="4" name="CheckForSharePointFields">
    <vt:lpwstr>false</vt:lpwstr>
  </property>
  <property fmtid="{D5CDD505-2E9C-101B-9397-08002B2CF9AE}" pid="5" name="LeadingLawyers">
    <vt:lpwstr>Removed</vt:lpwstr>
  </property>
</Properties>
</file>