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  <w:tblCaption w:val="Cover page header for AASB amending Standard"/>
        <w:tblDescription w:val="Identification that the pronouncement is an AASB Standard, the Standard number, and the month of issue of the AASB amending Standard"/>
      </w:tblPr>
      <w:tblGrid>
        <w:gridCol w:w="3794"/>
        <w:gridCol w:w="2438"/>
      </w:tblGrid>
      <w:tr w:rsidR="00090A6F" w:rsidRPr="0000292B">
        <w:tc>
          <w:tcPr>
            <w:tcW w:w="3794" w:type="dxa"/>
          </w:tcPr>
          <w:p w:rsidR="00090A6F" w:rsidRPr="0000292B" w:rsidRDefault="00364B30">
            <w:pPr>
              <w:pStyle w:val="CoverStandard"/>
            </w:pPr>
            <w:bookmarkStart w:id="0" w:name="_GoBack"/>
            <w:bookmarkEnd w:id="0"/>
            <w:r>
              <w:t>AASB</w:t>
            </w:r>
            <w:r w:rsidR="00831497">
              <w:t xml:space="preserve"> Standard</w:t>
            </w:r>
          </w:p>
        </w:tc>
        <w:tc>
          <w:tcPr>
            <w:tcW w:w="2438" w:type="dxa"/>
          </w:tcPr>
          <w:p w:rsidR="00090A6F" w:rsidRPr="0000292B" w:rsidRDefault="00831497">
            <w:pPr>
              <w:pStyle w:val="CoverNumber"/>
            </w:pPr>
            <w:r>
              <w:t>AASB</w:t>
            </w:r>
            <w:r w:rsidR="00090A6F" w:rsidRPr="0000292B">
              <w:t xml:space="preserve"> </w:t>
            </w:r>
            <w:bookmarkStart w:id="1" w:name="DocNo"/>
            <w:r w:rsidR="007B5854">
              <w:t>2015-8</w:t>
            </w:r>
            <w:bookmarkEnd w:id="1"/>
          </w:p>
          <w:p w:rsidR="00090A6F" w:rsidRPr="0000292B" w:rsidRDefault="007B5854">
            <w:pPr>
              <w:pStyle w:val="CoverDate"/>
            </w:pPr>
            <w:bookmarkStart w:id="2" w:name="DocDate"/>
            <w:r>
              <w:t>October 2015</w:t>
            </w:r>
            <w:bookmarkEnd w:id="2"/>
          </w:p>
        </w:tc>
      </w:tr>
    </w:tbl>
    <w:p w:rsidR="00090A6F" w:rsidRPr="0000292B" w:rsidRDefault="00831497">
      <w:pPr>
        <w:pStyle w:val="CoverTitle"/>
      </w:pPr>
      <w:r>
        <w:t xml:space="preserve">Amendments to Australian Accounting Standards </w:t>
      </w:r>
      <w:r w:rsidR="00363483">
        <w:t>–</w:t>
      </w:r>
      <w:r w:rsidR="004502C3">
        <w:t xml:space="preserve"> </w:t>
      </w:r>
      <w:r w:rsidR="00363483">
        <w:t xml:space="preserve">Effective Date of AASB 15 </w:t>
      </w:r>
      <w:bookmarkStart w:id="3" w:name="ArisingNo"/>
      <w:bookmarkEnd w:id="3"/>
    </w:p>
    <w:p w:rsidR="00737714" w:rsidRPr="0000292B" w:rsidRDefault="00737714" w:rsidP="00737714"/>
    <w:p w:rsidR="00090A6F" w:rsidRPr="0000292B" w:rsidRDefault="008B643A">
      <w:pPr>
        <w:sectPr w:rsidR="00090A6F" w:rsidRPr="0000292B">
          <w:pgSz w:w="11907" w:h="16840"/>
          <w:pgMar w:top="3686" w:right="2835" w:bottom="3686" w:left="2835" w:header="720" w:footer="3255" w:gutter="0"/>
          <w:paperSrc w:first="58" w:other="58"/>
          <w:cols w:space="720"/>
        </w:sectPr>
      </w:pPr>
      <w:r>
        <w:rPr>
          <w:noProof/>
          <w:lang w:eastAsia="en-AU"/>
        </w:rPr>
        <w:drawing>
          <wp:anchor distT="0" distB="0" distL="114300" distR="114300" simplePos="0" relativeHeight="251657728" behindDoc="0" locked="1" layoutInCell="1" allowOverlap="1" wp14:anchorId="3ED1DB7B" wp14:editId="13DDD01C">
            <wp:simplePos x="0" y="0"/>
            <wp:positionH relativeFrom="page">
              <wp:posOffset>1764030</wp:posOffset>
            </wp:positionH>
            <wp:positionV relativeFrom="page">
              <wp:posOffset>7272655</wp:posOffset>
            </wp:positionV>
            <wp:extent cx="1676400" cy="1333500"/>
            <wp:effectExtent l="0" t="0" r="0" b="0"/>
            <wp:wrapNone/>
            <wp:docPr id="5" name="Picture 5" descr="Australian crest, with text naming the Australian Government and the Australian Accounting Standards Board" title="Logo of the Australian Accounting Standards 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SB_stack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7714" w:rsidRPr="0000292B" w:rsidRDefault="00737714" w:rsidP="00737714">
      <w:pPr>
        <w:pStyle w:val="Heading2"/>
      </w:pPr>
      <w:r w:rsidRPr="0000292B">
        <w:lastRenderedPageBreak/>
        <w:t xml:space="preserve">Obtaining a Copy of this </w:t>
      </w:r>
      <w:r w:rsidR="00C5022C">
        <w:t>Accounting Standard</w:t>
      </w:r>
    </w:p>
    <w:p w:rsidR="00737714" w:rsidRPr="0000292B" w:rsidRDefault="00737714" w:rsidP="00737714">
      <w:pPr>
        <w:pStyle w:val="CommentsPage"/>
      </w:pPr>
      <w:r w:rsidRPr="0000292B">
        <w:t xml:space="preserve">This </w:t>
      </w:r>
      <w:r w:rsidR="00C5022C">
        <w:t>Standard</w:t>
      </w:r>
      <w:r w:rsidRPr="0000292B">
        <w:t xml:space="preserve"> is available o</w:t>
      </w:r>
      <w:r w:rsidR="00923261">
        <w:t>n the AASB website: www.aasb.gov</w:t>
      </w:r>
      <w:r w:rsidRPr="0000292B">
        <w:t>.au.</w:t>
      </w:r>
    </w:p>
    <w:p w:rsidR="00737714" w:rsidRPr="0000292B" w:rsidRDefault="00737714" w:rsidP="00737714"/>
    <w:tbl>
      <w:tblPr>
        <w:tblW w:w="0" w:type="auto"/>
        <w:tblLook w:val="0000" w:firstRow="0" w:lastRow="0" w:firstColumn="0" w:lastColumn="0" w:noHBand="0" w:noVBand="0"/>
        <w:tblCaption w:val="AASB contact details"/>
        <w:tblDescription w:val="Street address, postal address and other contact details for the AASB"/>
      </w:tblPr>
      <w:tblGrid>
        <w:gridCol w:w="3856"/>
        <w:gridCol w:w="1928"/>
      </w:tblGrid>
      <w:tr w:rsidR="00737714" w:rsidRPr="0000292B" w:rsidTr="001C225F">
        <w:trPr>
          <w:cantSplit/>
        </w:trPr>
        <w:tc>
          <w:tcPr>
            <w:tcW w:w="3856" w:type="dxa"/>
          </w:tcPr>
          <w:p w:rsidR="00737714" w:rsidRPr="0000292B" w:rsidRDefault="00737714" w:rsidP="00E24399">
            <w:r w:rsidRPr="0000292B">
              <w:t>Australian Accounting Standards Board</w:t>
            </w:r>
          </w:p>
          <w:p w:rsidR="00737714" w:rsidRPr="0000292B" w:rsidRDefault="00F82A0E" w:rsidP="00E24399">
            <w:r>
              <w:t>PO Box 204</w:t>
            </w:r>
          </w:p>
          <w:p w:rsidR="00737714" w:rsidRPr="0000292B" w:rsidRDefault="00F82A0E" w:rsidP="00E24399">
            <w:r>
              <w:t>Collins Street West</w:t>
            </w:r>
          </w:p>
          <w:p w:rsidR="003E0A68" w:rsidRPr="0000292B" w:rsidRDefault="007455F0" w:rsidP="00E24399">
            <w:r>
              <w:t>Victoria</w:t>
            </w:r>
            <w:r w:rsidR="00F82A0E">
              <w:t xml:space="preserve">   8007</w:t>
            </w:r>
          </w:p>
          <w:p w:rsidR="00737714" w:rsidRDefault="00737714" w:rsidP="00E24399">
            <w:r w:rsidRPr="0000292B">
              <w:t>AUSTRALIA</w:t>
            </w:r>
          </w:p>
          <w:p w:rsidR="00C5022C" w:rsidRPr="0000292B" w:rsidRDefault="00C5022C" w:rsidP="00E24399"/>
        </w:tc>
        <w:tc>
          <w:tcPr>
            <w:tcW w:w="1928" w:type="dxa"/>
            <w:tcMar>
              <w:left w:w="108" w:type="dxa"/>
              <w:right w:w="108" w:type="dxa"/>
            </w:tcMar>
          </w:tcPr>
          <w:p w:rsidR="00C5022C" w:rsidRPr="0000292B" w:rsidRDefault="00C5022C" w:rsidP="00C5022C"/>
        </w:tc>
      </w:tr>
      <w:tr w:rsidR="00C5022C" w:rsidRPr="0000292B" w:rsidTr="001C225F">
        <w:trPr>
          <w:cantSplit/>
        </w:trPr>
        <w:tc>
          <w:tcPr>
            <w:tcW w:w="3856" w:type="dxa"/>
          </w:tcPr>
          <w:p w:rsidR="00C5022C" w:rsidRPr="00C5022C" w:rsidRDefault="00C5022C" w:rsidP="00C5022C">
            <w:pPr>
              <w:tabs>
                <w:tab w:val="left" w:pos="907"/>
              </w:tabs>
            </w:pPr>
            <w:r w:rsidRPr="00C5022C">
              <w:t>Phone:</w:t>
            </w:r>
            <w:r w:rsidRPr="00C5022C">
              <w:tab/>
              <w:t>(03) 9617 7637</w:t>
            </w:r>
          </w:p>
          <w:p w:rsidR="00C5022C" w:rsidRDefault="00923261" w:rsidP="00C5022C">
            <w:pPr>
              <w:tabs>
                <w:tab w:val="left" w:pos="907"/>
              </w:tabs>
            </w:pPr>
            <w:r>
              <w:t>E-mail:</w:t>
            </w:r>
            <w:r>
              <w:tab/>
              <w:t>publications@aasb.gov</w:t>
            </w:r>
            <w:r w:rsidR="00C5022C" w:rsidRPr="00C5022C">
              <w:t>.au</w:t>
            </w:r>
          </w:p>
          <w:p w:rsidR="00C5022C" w:rsidRPr="00C5022C" w:rsidRDefault="00923261" w:rsidP="00C5022C">
            <w:pPr>
              <w:tabs>
                <w:tab w:val="left" w:pos="907"/>
              </w:tabs>
            </w:pPr>
            <w:r>
              <w:t>Website:</w:t>
            </w:r>
            <w:r>
              <w:tab/>
              <w:t>www.aasb.gov</w:t>
            </w:r>
            <w:r w:rsidR="00C5022C">
              <w:t>.au</w:t>
            </w:r>
          </w:p>
          <w:p w:rsidR="00C5022C" w:rsidRPr="00C5022C" w:rsidRDefault="00C5022C" w:rsidP="00C5022C"/>
        </w:tc>
        <w:tc>
          <w:tcPr>
            <w:tcW w:w="1928" w:type="dxa"/>
            <w:tcMar>
              <w:left w:w="0" w:type="dxa"/>
              <w:right w:w="0" w:type="dxa"/>
            </w:tcMar>
          </w:tcPr>
          <w:p w:rsidR="00C5022C" w:rsidRPr="007455F0" w:rsidRDefault="00C5022C" w:rsidP="007455F0">
            <w:pPr>
              <w:tabs>
                <w:tab w:val="left" w:pos="802"/>
              </w:tabs>
              <w:ind w:left="77"/>
              <w:rPr>
                <w:b/>
              </w:rPr>
            </w:pPr>
          </w:p>
        </w:tc>
      </w:tr>
    </w:tbl>
    <w:p w:rsidR="00737714" w:rsidRPr="0000292B" w:rsidRDefault="00737714" w:rsidP="00737714"/>
    <w:p w:rsidR="00090A6F" w:rsidRPr="0000292B" w:rsidRDefault="00090A6F">
      <w:pPr>
        <w:pStyle w:val="Heading2"/>
      </w:pPr>
      <w:r w:rsidRPr="0000292B">
        <w:t xml:space="preserve">Other </w:t>
      </w:r>
      <w:r w:rsidR="003E0A68" w:rsidRPr="0000292B">
        <w:t>Enquiries</w:t>
      </w:r>
    </w:p>
    <w:p w:rsidR="00090A6F" w:rsidRPr="0000292B" w:rsidRDefault="00090A6F">
      <w:pPr>
        <w:pStyle w:val="CoverContact"/>
      </w:pPr>
      <w:r w:rsidRPr="0000292B">
        <w:t>Phone:</w:t>
      </w:r>
      <w:r w:rsidRPr="0000292B">
        <w:tab/>
        <w:t>(03) 9617 7600</w:t>
      </w:r>
    </w:p>
    <w:p w:rsidR="00090A6F" w:rsidRPr="0000292B" w:rsidRDefault="00923261">
      <w:pPr>
        <w:pStyle w:val="CoverContact"/>
      </w:pPr>
      <w:r>
        <w:t>E-mail:</w:t>
      </w:r>
      <w:r>
        <w:tab/>
        <w:t>standard@aasb.gov</w:t>
      </w:r>
      <w:r w:rsidR="00090A6F" w:rsidRPr="0000292B">
        <w:t>.au</w:t>
      </w:r>
    </w:p>
    <w:p w:rsidR="007B5854" w:rsidRDefault="007B5854" w:rsidP="006D4700">
      <w:pPr>
        <w:spacing w:before="600"/>
      </w:pPr>
      <w:bookmarkStart w:id="4" w:name="CopyrightText"/>
      <w:r>
        <w:t>COPYRIGHT</w:t>
      </w:r>
    </w:p>
    <w:p w:rsidR="007B5854" w:rsidRDefault="007B5854" w:rsidP="006D4700"/>
    <w:p w:rsidR="007B5854" w:rsidRDefault="007B5854" w:rsidP="006D4700">
      <w:r>
        <w:t xml:space="preserve">© Commonwealth of Australia </w:t>
      </w:r>
      <w:bookmarkStart w:id="5" w:name="Year"/>
      <w:r>
        <w:t>2015</w:t>
      </w:r>
      <w:bookmarkEnd w:id="5"/>
    </w:p>
    <w:p w:rsidR="007B5854" w:rsidRDefault="007B5854" w:rsidP="006D4700"/>
    <w:p w:rsidR="007B5854" w:rsidRPr="00DE4E67" w:rsidRDefault="007B5854">
      <w:pPr>
        <w:pStyle w:val="CoverLeadPara"/>
      </w:pPr>
      <w:r w:rsidRPr="00DE4E67">
        <w:t xml:space="preserve">This AASB </w:t>
      </w:r>
      <w:bookmarkStart w:id="6" w:name="IASBCopyright"/>
      <w:bookmarkEnd w:id="6"/>
      <w:r w:rsidRPr="00DE4E67">
        <w:t xml:space="preserve">Standard contains </w:t>
      </w:r>
      <w:r>
        <w:t>IFRS</w:t>
      </w:r>
      <w:r w:rsidRPr="00DE4E67">
        <w:t xml:space="preserve"> Foundation copyright material.  Reproduction within Australia in unaltered form (retaining this notice) is permitted for personal and non-commercial use subject to the inclusion of an acknowledgment of the source.  Requests and enquiries concerning reproduction and rights for commercial purposes within Australia should be addressed to The Director</w:t>
      </w:r>
      <w:r>
        <w:t xml:space="preserve"> of Finance and Administration</w:t>
      </w:r>
      <w:r w:rsidRPr="00DE4E67">
        <w:t>, Australian Accounting Standards Board, PO Box 204, Collins Street West, Victoria 8007.</w:t>
      </w:r>
    </w:p>
    <w:p w:rsidR="007B5854" w:rsidRPr="00DE4E67" w:rsidRDefault="007B5854">
      <w:r w:rsidRPr="00DE4E67">
        <w:t>All existing rights in this material are reserved outside Australia.</w:t>
      </w:r>
    </w:p>
    <w:p w:rsidR="007B5854" w:rsidRPr="00DE4E67" w:rsidRDefault="007B5854">
      <w:r w:rsidRPr="00DE4E67">
        <w:t xml:space="preserve">Reproduction outside Australia in unaltered form (retaining this notice) is permitted for personal and non-commercial use only.  Further information and requests for authorisation to reproduce for commercial purposes outside Australia should be addressed to the </w:t>
      </w:r>
      <w:r>
        <w:t>IFRS</w:t>
      </w:r>
      <w:r w:rsidRPr="00DE4E67">
        <w:t xml:space="preserve"> Foundation at www.</w:t>
      </w:r>
      <w:r>
        <w:t>ifrs</w:t>
      </w:r>
      <w:r w:rsidRPr="00DE4E67">
        <w:t>.org.</w:t>
      </w:r>
    </w:p>
    <w:bookmarkEnd w:id="4"/>
    <w:p w:rsidR="006D4700" w:rsidRDefault="006D4700" w:rsidP="006D4700"/>
    <w:p w:rsidR="007455F0" w:rsidRPr="0000292B" w:rsidRDefault="006D4700" w:rsidP="006D4700">
      <w:r>
        <w:t xml:space="preserve">ISSN </w:t>
      </w:r>
      <w:bookmarkStart w:id="7" w:name="ISSN"/>
      <w:r w:rsidR="007B5854">
        <w:t>1036-4803</w:t>
      </w:r>
      <w:bookmarkEnd w:id="7"/>
    </w:p>
    <w:p w:rsidR="00090A6F" w:rsidRPr="0000292B" w:rsidRDefault="00090A6F">
      <w:pPr>
        <w:sectPr w:rsidR="00090A6F" w:rsidRPr="0000292B">
          <w:footerReference w:type="default" r:id="rId10"/>
          <w:pgSz w:w="11907" w:h="16840"/>
          <w:pgMar w:top="3686" w:right="2837" w:bottom="3686" w:left="2837" w:header="706" w:footer="3254" w:gutter="0"/>
          <w:paperSrc w:first="58" w:other="58"/>
          <w:cols w:space="720"/>
        </w:sectPr>
      </w:pPr>
    </w:p>
    <w:p w:rsidR="00090A6F" w:rsidRPr="0000292B" w:rsidRDefault="00090A6F">
      <w:pPr>
        <w:pStyle w:val="Heading1"/>
      </w:pPr>
      <w:r w:rsidRPr="0000292B">
        <w:lastRenderedPageBreak/>
        <w:t>CONTENTS</w:t>
      </w:r>
    </w:p>
    <w:p w:rsidR="00090A6F" w:rsidRPr="0000292B" w:rsidRDefault="00090A6F">
      <w:pPr>
        <w:pStyle w:val="ContentsCapsPlain"/>
      </w:pPr>
      <w:r w:rsidRPr="0000292B">
        <w:t>Preface</w:t>
      </w:r>
    </w:p>
    <w:p w:rsidR="00090A6F" w:rsidRPr="0000292B" w:rsidRDefault="00090A6F">
      <w:pPr>
        <w:pStyle w:val="ContentsCapsBold"/>
      </w:pPr>
      <w:r w:rsidRPr="0000292B">
        <w:t>Accounting Standard</w:t>
      </w:r>
    </w:p>
    <w:p w:rsidR="00090A6F" w:rsidRDefault="00090A6F">
      <w:pPr>
        <w:pStyle w:val="ContentsCapsBold"/>
        <w:rPr>
          <w:i/>
          <w:iCs/>
        </w:rPr>
      </w:pPr>
      <w:r w:rsidRPr="0000292B">
        <w:t xml:space="preserve">AASB </w:t>
      </w:r>
      <w:r w:rsidR="009C2479" w:rsidRPr="00BC0D5D">
        <w:rPr>
          <w:iCs/>
        </w:rPr>
        <w:fldChar w:fldCharType="begin" w:fldLock="1"/>
      </w:r>
      <w:r w:rsidR="009C2479" w:rsidRPr="00BC0D5D">
        <w:rPr>
          <w:iCs/>
        </w:rPr>
        <w:instrText xml:space="preserve"> REF </w:instrText>
      </w:r>
      <w:r w:rsidR="009C2479">
        <w:rPr>
          <w:iCs/>
        </w:rPr>
        <w:instrText>Doc</w:instrText>
      </w:r>
      <w:r w:rsidR="009C2479" w:rsidRPr="00BC0D5D">
        <w:rPr>
          <w:iCs/>
        </w:rPr>
        <w:instrText xml:space="preserve">No \* charformat </w:instrText>
      </w:r>
      <w:r w:rsidR="009C2479" w:rsidRPr="00BC0D5D">
        <w:rPr>
          <w:iCs/>
        </w:rPr>
        <w:fldChar w:fldCharType="separate"/>
      </w:r>
      <w:r w:rsidR="007B5854" w:rsidRPr="007B5854">
        <w:rPr>
          <w:iCs/>
        </w:rPr>
        <w:t>2015-8</w:t>
      </w:r>
      <w:r w:rsidR="009C2479" w:rsidRPr="00BC0D5D">
        <w:rPr>
          <w:iCs/>
        </w:rPr>
        <w:fldChar w:fldCharType="end"/>
      </w:r>
      <w:r w:rsidRPr="0000292B">
        <w:t xml:space="preserve"> </w:t>
      </w:r>
      <w:r w:rsidR="009C2479" w:rsidRPr="009C2479">
        <w:rPr>
          <w:i/>
        </w:rPr>
        <w:t xml:space="preserve">AmenDMENTS TO aUSTRALIAN aCCOUNTING sTANDARDS </w:t>
      </w:r>
      <w:r w:rsidR="00363483">
        <w:rPr>
          <w:i/>
        </w:rPr>
        <w:t>–</w:t>
      </w:r>
      <w:r w:rsidR="00772278">
        <w:rPr>
          <w:i/>
        </w:rPr>
        <w:t xml:space="preserve"> EFFECTIVE DATE OF AASB </w:t>
      </w:r>
      <w:r w:rsidR="00363483">
        <w:rPr>
          <w:i/>
        </w:rPr>
        <w:t>15</w:t>
      </w:r>
      <w:r w:rsidR="009C2479" w:rsidRPr="009C2479">
        <w:rPr>
          <w:i/>
          <w:iCs/>
        </w:rPr>
        <w:fldChar w:fldCharType="begin" w:fldLock="1"/>
      </w:r>
      <w:r w:rsidR="009C2479" w:rsidRPr="009C2479">
        <w:rPr>
          <w:i/>
          <w:iCs/>
        </w:rPr>
        <w:instrText xml:space="preserve"> REF aRISINGNo \* charformat</w:instrText>
      </w:r>
      <w:r w:rsidR="009C2479">
        <w:rPr>
          <w:i/>
          <w:iCs/>
        </w:rPr>
        <w:instrText xml:space="preserve"> </w:instrText>
      </w:r>
      <w:r w:rsidR="009C2479" w:rsidRPr="009C2479">
        <w:rPr>
          <w:i/>
          <w:iCs/>
        </w:rPr>
        <w:fldChar w:fldCharType="end"/>
      </w:r>
    </w:p>
    <w:p w:rsidR="002B7803" w:rsidRPr="002B7803" w:rsidRDefault="002B7803" w:rsidP="002B7803"/>
    <w:p w:rsidR="00090A6F" w:rsidRPr="0000292B" w:rsidRDefault="00090A6F">
      <w:pPr>
        <w:pStyle w:val="ContentsParaHead"/>
      </w:pPr>
      <w:r w:rsidRPr="0000292B">
        <w:t>Paragraphs</w:t>
      </w:r>
    </w:p>
    <w:p w:rsidR="00772278" w:rsidRPr="0000292B" w:rsidRDefault="00772278" w:rsidP="00772278">
      <w:pPr>
        <w:pStyle w:val="ContentsLevel1"/>
      </w:pPr>
      <w:bookmarkStart w:id="8" w:name="TOCRange"/>
      <w:r w:rsidRPr="0000292B">
        <w:t>Objective</w:t>
      </w:r>
      <w:r w:rsidRPr="0000292B">
        <w:tab/>
      </w:r>
      <w:r>
        <w:t>1</w:t>
      </w:r>
    </w:p>
    <w:p w:rsidR="00772278" w:rsidRDefault="00772278" w:rsidP="00772278">
      <w:pPr>
        <w:pStyle w:val="ContentsLevel1"/>
      </w:pPr>
      <w:r w:rsidRPr="0000292B">
        <w:t>Application</w:t>
      </w:r>
      <w:r w:rsidRPr="0000292B">
        <w:tab/>
      </w:r>
      <w:r>
        <w:t>2</w:t>
      </w:r>
      <w:r w:rsidR="004502C3">
        <w:t xml:space="preserve"> – 6</w:t>
      </w:r>
    </w:p>
    <w:p w:rsidR="00772278" w:rsidRDefault="00772278" w:rsidP="00772278">
      <w:pPr>
        <w:pStyle w:val="ContentsLevel1"/>
      </w:pPr>
      <w:r>
        <w:t>Amendments to AASB 15</w:t>
      </w:r>
      <w:r>
        <w:tab/>
      </w:r>
    </w:p>
    <w:p w:rsidR="00772278" w:rsidRDefault="00772278" w:rsidP="00772278">
      <w:pPr>
        <w:pStyle w:val="ContentsLevel2"/>
      </w:pPr>
      <w:r>
        <w:t>Deferral of the Effective Date</w:t>
      </w:r>
      <w:r>
        <w:tab/>
        <w:t>7 – 8</w:t>
      </w:r>
    </w:p>
    <w:p w:rsidR="00772278" w:rsidRDefault="00772278" w:rsidP="00772278">
      <w:pPr>
        <w:pStyle w:val="ContentsLevel2"/>
      </w:pPr>
      <w:r>
        <w:t>Reformatting AASB 15</w:t>
      </w:r>
      <w:r>
        <w:tab/>
        <w:t>9 – 12</w:t>
      </w:r>
    </w:p>
    <w:p w:rsidR="00772278" w:rsidRDefault="00772278" w:rsidP="00772278">
      <w:pPr>
        <w:pStyle w:val="ContentsLevel1"/>
      </w:pPr>
      <w:r>
        <w:t>Deferral of Certain New Principal Versions</w:t>
      </w:r>
      <w:r>
        <w:tab/>
        <w:t>13</w:t>
      </w:r>
    </w:p>
    <w:p w:rsidR="00772278" w:rsidRPr="002F599C" w:rsidRDefault="00772278" w:rsidP="00772278">
      <w:pPr>
        <w:pStyle w:val="ContentsLevel1"/>
      </w:pPr>
      <w:r>
        <w:t>Reversal of Certain Consequential Amendments</w:t>
      </w:r>
      <w:r>
        <w:tab/>
        <w:t>14 – 17</w:t>
      </w:r>
    </w:p>
    <w:p w:rsidR="00772278" w:rsidRPr="002F599C" w:rsidRDefault="00772278" w:rsidP="00772278">
      <w:pPr>
        <w:pStyle w:val="ContentsLevel1"/>
      </w:pPr>
      <w:r>
        <w:t>Deferral of Certain Consequential Amendments</w:t>
      </w:r>
      <w:r>
        <w:tab/>
        <w:t>18</w:t>
      </w:r>
    </w:p>
    <w:p w:rsidR="00772278" w:rsidRDefault="00772278" w:rsidP="00772278">
      <w:pPr>
        <w:pStyle w:val="ContentsLevel1"/>
      </w:pPr>
      <w:r>
        <w:t>Extended Early Application of the Consequential Amendments</w:t>
      </w:r>
      <w:r>
        <w:tab/>
        <w:t>19</w:t>
      </w:r>
    </w:p>
    <w:p w:rsidR="00772278" w:rsidRPr="00E30D56" w:rsidRDefault="00772278" w:rsidP="00772278">
      <w:pPr>
        <w:pStyle w:val="ContentsLevel1"/>
      </w:pPr>
      <w:r w:rsidRPr="00E30D56">
        <w:t>Commencement of the Legislative Instrument</w:t>
      </w:r>
      <w:r w:rsidRPr="00E30D56">
        <w:tab/>
      </w:r>
      <w:r>
        <w:t>20</w:t>
      </w:r>
    </w:p>
    <w:p w:rsidR="00090A6F" w:rsidRPr="0000292B" w:rsidRDefault="007B5854" w:rsidP="008C54D8">
      <w:pPr>
        <w:pStyle w:val="ContentsLevel1"/>
      </w:pPr>
      <w:r>
        <w:tab/>
      </w:r>
      <w:bookmarkStart w:id="9" w:name="ContentsMarker"/>
      <w:bookmarkEnd w:id="9"/>
    </w:p>
    <w:bookmarkEnd w:id="8"/>
    <w:p w:rsidR="00090A6F" w:rsidRPr="0000292B" w:rsidRDefault="00090A6F">
      <w:pPr>
        <w:pStyle w:val="ContentsBox"/>
      </w:pPr>
      <w:r w:rsidRPr="0000292B">
        <w:t xml:space="preserve">Australian Accounting Standard AASB </w:t>
      </w:r>
      <w:r w:rsidR="00BC0D5D" w:rsidRPr="00BC0D5D">
        <w:rPr>
          <w:iCs/>
        </w:rPr>
        <w:fldChar w:fldCharType="begin" w:fldLock="1"/>
      </w:r>
      <w:r w:rsidR="00BC0D5D" w:rsidRPr="00BC0D5D">
        <w:rPr>
          <w:iCs/>
        </w:rPr>
        <w:instrText xml:space="preserve"> REF </w:instrText>
      </w:r>
      <w:r w:rsidR="009C2479">
        <w:rPr>
          <w:iCs/>
        </w:rPr>
        <w:instrText>Doc</w:instrText>
      </w:r>
      <w:r w:rsidR="00BC0D5D" w:rsidRPr="00BC0D5D">
        <w:rPr>
          <w:iCs/>
        </w:rPr>
        <w:instrText xml:space="preserve">No \* charformat </w:instrText>
      </w:r>
      <w:r w:rsidR="00BC0D5D" w:rsidRPr="00BC0D5D">
        <w:rPr>
          <w:iCs/>
        </w:rPr>
        <w:fldChar w:fldCharType="separate"/>
      </w:r>
      <w:r w:rsidR="007B5854" w:rsidRPr="007B5854">
        <w:rPr>
          <w:iCs/>
        </w:rPr>
        <w:t>2015-8</w:t>
      </w:r>
      <w:r w:rsidR="00BC0D5D" w:rsidRPr="00BC0D5D">
        <w:rPr>
          <w:iCs/>
        </w:rPr>
        <w:fldChar w:fldCharType="end"/>
      </w:r>
      <w:r w:rsidRPr="0000292B">
        <w:t xml:space="preserve"> </w:t>
      </w:r>
      <w:r w:rsidR="009C2479" w:rsidRPr="009C2479">
        <w:rPr>
          <w:i/>
        </w:rPr>
        <w:t xml:space="preserve">Amendments to Australian Accounting Standards </w:t>
      </w:r>
      <w:r w:rsidR="008C54D8">
        <w:rPr>
          <w:i/>
        </w:rPr>
        <w:t>– Effective Date of AASB 15</w:t>
      </w:r>
      <w:r w:rsidRPr="0000292B">
        <w:rPr>
          <w:i/>
          <w:iCs/>
        </w:rPr>
        <w:fldChar w:fldCharType="begin" w:fldLock="1"/>
      </w:r>
      <w:r w:rsidRPr="0000292B">
        <w:rPr>
          <w:i/>
          <w:iCs/>
        </w:rPr>
        <w:instrText xml:space="preserve"> REF </w:instrText>
      </w:r>
      <w:r w:rsidR="009C2479">
        <w:rPr>
          <w:i/>
          <w:iCs/>
        </w:rPr>
        <w:instrText>ArisingNo</w:instrText>
      </w:r>
      <w:r w:rsidRPr="0000292B">
        <w:rPr>
          <w:i/>
          <w:iCs/>
        </w:rPr>
        <w:instrText xml:space="preserve"> \* charformat </w:instrText>
      </w:r>
      <w:r w:rsidRPr="0000292B">
        <w:rPr>
          <w:i/>
          <w:iCs/>
        </w:rPr>
        <w:fldChar w:fldCharType="end"/>
      </w:r>
      <w:r w:rsidRPr="0000292B">
        <w:rPr>
          <w:i/>
          <w:iCs/>
        </w:rPr>
        <w:t xml:space="preserve"> </w:t>
      </w:r>
      <w:r w:rsidRPr="0000292B">
        <w:t>is set out in paragraphs</w:t>
      </w:r>
      <w:r w:rsidR="00772278">
        <w:t xml:space="preserve"> 1</w:t>
      </w:r>
      <w:r w:rsidR="00A12F86">
        <w:t> </w:t>
      </w:r>
      <w:r w:rsidR="00772278">
        <w:t>– 20</w:t>
      </w:r>
      <w:proofErr w:type="gramStart"/>
      <w:r w:rsidRPr="0000292B">
        <w:t xml:space="preserve">. </w:t>
      </w:r>
      <w:proofErr w:type="gramEnd"/>
      <w:r w:rsidRPr="0000292B">
        <w:t>All the pa</w:t>
      </w:r>
      <w:r w:rsidR="009C2479">
        <w:t>ragraphs have equal authority.</w:t>
      </w:r>
    </w:p>
    <w:p w:rsidR="00090A6F" w:rsidRPr="0000292B" w:rsidRDefault="00090A6F">
      <w:pPr>
        <w:pStyle w:val="Contents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090A6F" w:rsidRPr="0000292B" w:rsidRDefault="00090A6F">
      <w:pPr>
        <w:sectPr w:rsidR="00090A6F" w:rsidRPr="0000292B">
          <w:footerReference w:type="default" r:id="rId11"/>
          <w:pgSz w:w="11907" w:h="16840"/>
          <w:pgMar w:top="3686" w:right="2837" w:bottom="3686" w:left="2837" w:header="706" w:footer="3254" w:gutter="0"/>
          <w:paperSrc w:first="58" w:other="58"/>
          <w:cols w:space="720"/>
        </w:sectPr>
      </w:pPr>
    </w:p>
    <w:p w:rsidR="00090A6F" w:rsidRPr="0000292B" w:rsidRDefault="00090A6F">
      <w:pPr>
        <w:pStyle w:val="Heading1"/>
      </w:pPr>
      <w:r w:rsidRPr="0000292B">
        <w:lastRenderedPageBreak/>
        <w:t>Preface</w:t>
      </w:r>
    </w:p>
    <w:p w:rsidR="000F64CC" w:rsidRPr="0000292B" w:rsidRDefault="00772278">
      <w:pPr>
        <w:pStyle w:val="Heading2"/>
      </w:pPr>
      <w:r>
        <w:t>Standards Amended by AASB 2015-8</w:t>
      </w:r>
    </w:p>
    <w:p w:rsidR="00772278" w:rsidRDefault="00772278" w:rsidP="00772278">
      <w:pPr>
        <w:pStyle w:val="NoNumPlain1"/>
      </w:pPr>
      <w:r>
        <w:t xml:space="preserve">This Standard makes amendments to the Australian Accounting Standards </w:t>
      </w:r>
      <w:r w:rsidRPr="007728D7">
        <w:t>and Interpretations listed in paragraph 1 of the Standard.</w:t>
      </w:r>
    </w:p>
    <w:p w:rsidR="00772278" w:rsidRDefault="00772278" w:rsidP="00772278">
      <w:pPr>
        <w:pStyle w:val="NoNumPlain1"/>
      </w:pPr>
      <w:r>
        <w:t>These amendments arise from the issuance of</w:t>
      </w:r>
      <w:r w:rsidRPr="0000292B">
        <w:fldChar w:fldCharType="begin" w:fldLock="1"/>
      </w:r>
      <w:r w:rsidRPr="0000292B">
        <w:instrText xml:space="preserve"> REF </w:instrText>
      </w:r>
      <w:r>
        <w:instrText>ArisingNo</w:instrText>
      </w:r>
      <w:r w:rsidRPr="0000292B">
        <w:instrText xml:space="preserve">  \* charformat </w:instrText>
      </w:r>
      <w:r w:rsidRPr="0000292B">
        <w:fldChar w:fldCharType="end"/>
      </w:r>
      <w:r>
        <w:t xml:space="preserve"> </w:t>
      </w:r>
      <w:fldSimple w:instr=" REF ArisingTitle  \* charformat  \* MERGEFORMAT " w:fldLock="1">
        <w:r w:rsidRPr="00487351">
          <w:t xml:space="preserve">International Financial Reporting Standard </w:t>
        </w:r>
        <w:r w:rsidRPr="00487351">
          <w:rPr>
            <w:i/>
          </w:rPr>
          <w:t>Effective Date of IFRS 15</w:t>
        </w:r>
        <w:r w:rsidRPr="00487351">
          <w:t xml:space="preserve"> by the International Accounting Standards Board (IASB) </w:t>
        </w:r>
      </w:fldSimple>
      <w:r>
        <w:t>in September 2015.</w:t>
      </w:r>
    </w:p>
    <w:p w:rsidR="00772278" w:rsidRPr="00325A26" w:rsidRDefault="00772278" w:rsidP="00772278">
      <w:pPr>
        <w:pStyle w:val="Heading2"/>
      </w:pPr>
      <w:r w:rsidRPr="00325A26">
        <w:t>Main Features of this Standard</w:t>
      </w:r>
    </w:p>
    <w:p w:rsidR="00772278" w:rsidRPr="00325A26" w:rsidRDefault="00772278" w:rsidP="00B10127">
      <w:pPr>
        <w:pStyle w:val="Heading3"/>
        <w:rPr>
          <w:rFonts w:cs="Times New Roman"/>
        </w:rPr>
      </w:pPr>
      <w:r w:rsidRPr="00325A26">
        <w:rPr>
          <w:rFonts w:cs="Times New Roman"/>
        </w:rPr>
        <w:t>Main Requirements</w:t>
      </w:r>
    </w:p>
    <w:p w:rsidR="00772278" w:rsidRDefault="00772278" w:rsidP="00772278">
      <w:pPr>
        <w:pStyle w:val="NoNumPlain1"/>
      </w:pPr>
      <w:r>
        <w:t xml:space="preserve">This Standard amends the mandatory effective date (application date) of AASB 15 </w:t>
      </w:r>
      <w:r w:rsidRPr="00E60CA8">
        <w:rPr>
          <w:i/>
        </w:rPr>
        <w:t>Revenue from Contracts with Customers</w:t>
      </w:r>
      <w:r>
        <w:t xml:space="preserve"> so that AASB 15 is required to be applied for annual reporting periods beginning on or after 1 January 2018 instead of 1 January 2017.</w:t>
      </w:r>
    </w:p>
    <w:p w:rsidR="00772278" w:rsidRDefault="00772278" w:rsidP="00772278">
      <w:pPr>
        <w:pStyle w:val="NoNumPlain1"/>
      </w:pPr>
      <w:r>
        <w:t xml:space="preserve">Therefore, this Standard also defers the consequential amendments that were originally set out in AASB 2014-5 </w:t>
      </w:r>
      <w:r w:rsidRPr="00E60CA8">
        <w:rPr>
          <w:i/>
        </w:rPr>
        <w:t>Amendments to Australian Accounting Standards arising from AASB 15</w:t>
      </w:r>
      <w:r>
        <w:t>.  This deferral is achieved in a variety of ways because some of the Standards amended by AASB 2014-5 have been superseded by new principal versions issued in 2015 that apply to annual reporting periods beginning on or after 1 January 2017 or 2018.</w:t>
      </w:r>
    </w:p>
    <w:p w:rsidR="00D15DE8" w:rsidRDefault="00D15DE8" w:rsidP="00D15DE8">
      <w:pPr>
        <w:pStyle w:val="NoNumPlain1"/>
      </w:pPr>
      <w:r w:rsidRPr="00D15DE8">
        <w:t xml:space="preserve">This Standard amends Interpretation 1052 </w:t>
      </w:r>
      <w:r w:rsidRPr="00D15DE8">
        <w:rPr>
          <w:i/>
          <w:iCs/>
        </w:rPr>
        <w:t>Tax Consolidation Accounting</w:t>
      </w:r>
      <w:r w:rsidRPr="00D15DE8">
        <w:t xml:space="preserve"> (paragraph 45) to update the cross-references to Standards and to remove the references to dividends and other distributions, so that the wording of this paragraph is appropriate for annual reporting periods beginning on or after 1</w:t>
      </w:r>
      <w:r>
        <w:t> </w:t>
      </w:r>
      <w:r w:rsidRPr="00D15DE8">
        <w:t>January 2018.</w:t>
      </w:r>
    </w:p>
    <w:p w:rsidR="00772278" w:rsidRDefault="00772278" w:rsidP="00772278">
      <w:pPr>
        <w:pStyle w:val="NoNumPlain1"/>
      </w:pPr>
      <w:r>
        <w:t>AASB 15 is also reformatted to follow the structure of the new principal versions of other Standards by deleting or moving the Aus-numbered ‘Application’ paragraphs in AASB 15.</w:t>
      </w:r>
    </w:p>
    <w:p w:rsidR="00772278" w:rsidRPr="00325A26" w:rsidRDefault="00772278" w:rsidP="00B10127">
      <w:pPr>
        <w:pStyle w:val="Heading3"/>
        <w:rPr>
          <w:rFonts w:cs="Times New Roman"/>
        </w:rPr>
      </w:pPr>
      <w:r w:rsidRPr="00325A26">
        <w:rPr>
          <w:rFonts w:cs="Times New Roman"/>
        </w:rPr>
        <w:t>Application Date</w:t>
      </w:r>
    </w:p>
    <w:p w:rsidR="00772278" w:rsidRPr="00E60CA8" w:rsidRDefault="00772278" w:rsidP="00772278">
      <w:pPr>
        <w:pStyle w:val="NoNumPlain1"/>
      </w:pPr>
      <w:r>
        <w:t>This Standard applies to annual reporting periods beginning on or after 1 January 2017.  Early application is permitted, provided that AASB 15 is also applied.</w:t>
      </w:r>
    </w:p>
    <w:p w:rsidR="00090A6F" w:rsidRPr="0000292B" w:rsidRDefault="00090A6F"/>
    <w:p w:rsidR="00090A6F" w:rsidRPr="0000292B" w:rsidRDefault="00090A6F">
      <w:pPr>
        <w:sectPr w:rsidR="00090A6F" w:rsidRPr="0000292B">
          <w:footerReference w:type="default" r:id="rId12"/>
          <w:pgSz w:w="11907" w:h="16840"/>
          <w:pgMar w:top="3686" w:right="2837" w:bottom="3686" w:left="2837" w:header="706" w:footer="3254" w:gutter="0"/>
          <w:paperSrc w:first="58" w:other="58"/>
          <w:cols w:space="720"/>
        </w:sectPr>
      </w:pPr>
    </w:p>
    <w:p w:rsidR="001662B8" w:rsidRPr="0000292B" w:rsidRDefault="001662B8" w:rsidP="001662B8">
      <w:pPr>
        <w:pStyle w:val="Heading1"/>
      </w:pPr>
      <w:r w:rsidRPr="0000292B">
        <w:lastRenderedPageBreak/>
        <w:t xml:space="preserve">aCCOUNTING STANDARD AASB </w:t>
      </w:r>
      <w:r w:rsidRPr="00BC0D5D">
        <w:rPr>
          <w:iCs/>
        </w:rPr>
        <w:fldChar w:fldCharType="begin" w:fldLock="1"/>
      </w:r>
      <w:r w:rsidRPr="00BC0D5D">
        <w:rPr>
          <w:iCs/>
        </w:rPr>
        <w:instrText xml:space="preserve"> REF </w:instrText>
      </w:r>
      <w:r>
        <w:rPr>
          <w:iCs/>
        </w:rPr>
        <w:instrText>Doc</w:instrText>
      </w:r>
      <w:r w:rsidRPr="00BC0D5D">
        <w:rPr>
          <w:iCs/>
        </w:rPr>
        <w:instrText xml:space="preserve">No \* charformat </w:instrText>
      </w:r>
      <w:r w:rsidRPr="00BC0D5D">
        <w:rPr>
          <w:iCs/>
        </w:rPr>
        <w:fldChar w:fldCharType="separate"/>
      </w:r>
      <w:r w:rsidR="007B5854" w:rsidRPr="007B5854">
        <w:rPr>
          <w:iCs/>
        </w:rPr>
        <w:t>2015-8</w:t>
      </w:r>
      <w:r w:rsidRPr="00BC0D5D">
        <w:rPr>
          <w:iCs/>
        </w:rPr>
        <w:fldChar w:fldCharType="end"/>
      </w:r>
    </w:p>
    <w:p w:rsidR="001662B8" w:rsidRDefault="001662B8" w:rsidP="001662B8">
      <w:r>
        <w:t>The Australian Accounting Standards Board makes Accounting Standard AASB </w:t>
      </w:r>
      <w:fldSimple w:instr=" REF DocNo  \* charformat " w:fldLock="1">
        <w:r w:rsidR="007B5854">
          <w:t>2015-8</w:t>
        </w:r>
      </w:fldSimple>
      <w:r>
        <w:t xml:space="preserve"> </w:t>
      </w:r>
      <w:r w:rsidRPr="001662B8">
        <w:rPr>
          <w:i/>
        </w:rPr>
        <w:t xml:space="preserve">Amendments to Australian Accounting Standards </w:t>
      </w:r>
      <w:r w:rsidR="00D15DE8">
        <w:rPr>
          <w:i/>
        </w:rPr>
        <w:t xml:space="preserve">– Effective Date of AASB 15 </w:t>
      </w:r>
      <w:r>
        <w:t xml:space="preserve">under section 334 of the </w:t>
      </w:r>
      <w:r>
        <w:rPr>
          <w:i/>
          <w:iCs/>
        </w:rPr>
        <w:t>Corporations Act 2001</w:t>
      </w:r>
      <w:r>
        <w:t>.</w:t>
      </w:r>
    </w:p>
    <w:p w:rsidR="00C03C7B" w:rsidRDefault="00C03C7B" w:rsidP="00C03C7B"/>
    <w:tbl>
      <w:tblPr>
        <w:tblW w:w="0" w:type="auto"/>
        <w:tblLook w:val="0000" w:firstRow="0" w:lastRow="0" w:firstColumn="0" w:lastColumn="0" w:noHBand="0" w:noVBand="0"/>
        <w:tblCaption w:val="Authorisation of the statement that the AASB has made the Standard"/>
        <w:tblDescription w:val="Date when the Standard was made by the AASB, the name of the AASB Chair, and the statement of that position"/>
      </w:tblPr>
      <w:tblGrid>
        <w:gridCol w:w="3226"/>
        <w:gridCol w:w="3227"/>
      </w:tblGrid>
      <w:tr w:rsidR="00C03C7B" w:rsidTr="0048155F">
        <w:tc>
          <w:tcPr>
            <w:tcW w:w="3226" w:type="dxa"/>
          </w:tcPr>
          <w:p w:rsidR="00C03C7B" w:rsidRDefault="00C03C7B" w:rsidP="0048155F"/>
        </w:tc>
        <w:tc>
          <w:tcPr>
            <w:tcW w:w="3227" w:type="dxa"/>
          </w:tcPr>
          <w:p w:rsidR="00C03C7B" w:rsidRDefault="008F3EBA" w:rsidP="0048155F">
            <w:pPr>
              <w:jc w:val="right"/>
            </w:pPr>
            <w:r>
              <w:t>Kris Peach</w:t>
            </w:r>
          </w:p>
        </w:tc>
      </w:tr>
      <w:tr w:rsidR="00C03C7B" w:rsidTr="0048155F">
        <w:tc>
          <w:tcPr>
            <w:tcW w:w="3226" w:type="dxa"/>
          </w:tcPr>
          <w:p w:rsidR="00C03C7B" w:rsidRDefault="00C03C7B" w:rsidP="0048155F">
            <w:r>
              <w:t xml:space="preserve">Dated </w:t>
            </w:r>
            <w:bookmarkStart w:id="10" w:name="DateSigned"/>
            <w:r w:rsidR="007B5854">
              <w:t>22 October 2015</w:t>
            </w:r>
            <w:bookmarkEnd w:id="10"/>
          </w:p>
        </w:tc>
        <w:tc>
          <w:tcPr>
            <w:tcW w:w="3227" w:type="dxa"/>
          </w:tcPr>
          <w:p w:rsidR="00C03C7B" w:rsidRDefault="00C03C7B" w:rsidP="0048155F">
            <w:pPr>
              <w:jc w:val="right"/>
            </w:pPr>
            <w:r>
              <w:t>Chair – AASB</w:t>
            </w:r>
          </w:p>
        </w:tc>
      </w:tr>
    </w:tbl>
    <w:p w:rsidR="00C03C7B" w:rsidRDefault="00C03C7B" w:rsidP="00C03C7B"/>
    <w:p w:rsidR="00C03C7B" w:rsidRDefault="00C03C7B" w:rsidP="00C03C7B"/>
    <w:p w:rsidR="00090A6F" w:rsidRPr="0000292B" w:rsidRDefault="00090A6F">
      <w:pPr>
        <w:pStyle w:val="Heading1"/>
      </w:pPr>
      <w:r w:rsidRPr="0000292B">
        <w:t xml:space="preserve">aCCOUNTING STANDARD AASB </w:t>
      </w:r>
      <w:r w:rsidR="00BC0D5D" w:rsidRPr="00BC0D5D">
        <w:rPr>
          <w:iCs/>
        </w:rPr>
        <w:fldChar w:fldCharType="begin" w:fldLock="1"/>
      </w:r>
      <w:r w:rsidR="00BC0D5D" w:rsidRPr="00BC0D5D">
        <w:rPr>
          <w:iCs/>
        </w:rPr>
        <w:instrText xml:space="preserve"> REF </w:instrText>
      </w:r>
      <w:r w:rsidR="001662B8">
        <w:rPr>
          <w:iCs/>
        </w:rPr>
        <w:instrText>Doc</w:instrText>
      </w:r>
      <w:r w:rsidR="00BC0D5D" w:rsidRPr="00BC0D5D">
        <w:rPr>
          <w:iCs/>
        </w:rPr>
        <w:instrText xml:space="preserve">No \* charformat </w:instrText>
      </w:r>
      <w:r w:rsidR="00BC0D5D" w:rsidRPr="00BC0D5D">
        <w:rPr>
          <w:iCs/>
        </w:rPr>
        <w:fldChar w:fldCharType="separate"/>
      </w:r>
      <w:r w:rsidR="007B5854" w:rsidRPr="007B5854">
        <w:rPr>
          <w:iCs/>
        </w:rPr>
        <w:t>2015-8</w:t>
      </w:r>
      <w:r w:rsidR="00BC0D5D" w:rsidRPr="00BC0D5D">
        <w:rPr>
          <w:iCs/>
        </w:rPr>
        <w:fldChar w:fldCharType="end"/>
      </w:r>
    </w:p>
    <w:p w:rsidR="00090A6F" w:rsidRDefault="001662B8">
      <w:pPr>
        <w:pStyle w:val="Heading1Italic"/>
      </w:pPr>
      <w:r>
        <w:t xml:space="preserve">AMENDMENTS TO AUSTRALIAN ACCOUNTING STANDARDS </w:t>
      </w:r>
      <w:r w:rsidR="00D15DE8">
        <w:t>– Effective date of aasb 15</w:t>
      </w:r>
      <w:r w:rsidR="00090A6F" w:rsidRPr="0000292B">
        <w:fldChar w:fldCharType="begin" w:fldLock="1"/>
      </w:r>
      <w:r w:rsidR="00090A6F" w:rsidRPr="0000292B">
        <w:instrText xml:space="preserve"> REF </w:instrText>
      </w:r>
      <w:r>
        <w:instrText>ArisingNo</w:instrText>
      </w:r>
      <w:r w:rsidR="00090A6F" w:rsidRPr="0000292B">
        <w:instrText xml:space="preserve">  \* charformat </w:instrText>
      </w:r>
      <w:r w:rsidR="00090A6F" w:rsidRPr="0000292B">
        <w:fldChar w:fldCharType="end"/>
      </w:r>
    </w:p>
    <w:p w:rsidR="00090A6F" w:rsidRPr="0000292B" w:rsidRDefault="00090A6F">
      <w:pPr>
        <w:pStyle w:val="Heading2"/>
      </w:pPr>
      <w:bookmarkStart w:id="11" w:name="TOCStart"/>
      <w:bookmarkEnd w:id="11"/>
      <w:r w:rsidRPr="0000292B">
        <w:t>Objective</w:t>
      </w:r>
    </w:p>
    <w:p w:rsidR="00090A6F" w:rsidRDefault="001662B8" w:rsidP="00422E4D">
      <w:pPr>
        <w:pStyle w:val="NumPlain1"/>
        <w:numPr>
          <w:ilvl w:val="0"/>
          <w:numId w:val="2"/>
        </w:numPr>
      </w:pPr>
      <w:r>
        <w:t xml:space="preserve">The </w:t>
      </w:r>
      <w:r w:rsidR="00460FBB">
        <w:t>o</w:t>
      </w:r>
      <w:r>
        <w:t>bjective of this Standard is to make amendments to:</w:t>
      </w:r>
    </w:p>
    <w:p w:rsidR="00B30AC9" w:rsidRDefault="007B5854" w:rsidP="00B30AC9">
      <w:pPr>
        <w:pStyle w:val="NumPlain2"/>
      </w:pPr>
      <w:r>
        <w:t xml:space="preserve">AASB 15 </w:t>
      </w:r>
      <w:r w:rsidRPr="007B5854">
        <w:rPr>
          <w:i/>
        </w:rPr>
        <w:t>Revenue from Contracts with Customers</w:t>
      </w:r>
      <w:r w:rsidR="00B30AC9">
        <w:t xml:space="preserve">; </w:t>
      </w:r>
    </w:p>
    <w:p w:rsidR="00B30AC9" w:rsidRDefault="00B30AC9" w:rsidP="00B30AC9">
      <w:pPr>
        <w:pStyle w:val="NumPlain2"/>
      </w:pPr>
      <w:r>
        <w:t xml:space="preserve">AASB 1 </w:t>
      </w:r>
      <w:r w:rsidRPr="002B1D8E">
        <w:rPr>
          <w:i/>
        </w:rPr>
        <w:t>First-time Adoption of Australian Accounting Standards</w:t>
      </w:r>
      <w:r>
        <w:t>;</w:t>
      </w:r>
    </w:p>
    <w:p w:rsidR="00B30AC9" w:rsidRDefault="00B30AC9" w:rsidP="00B30AC9">
      <w:pPr>
        <w:pStyle w:val="NumPlain2"/>
      </w:pPr>
      <w:r>
        <w:t xml:space="preserve">AASB 3 </w:t>
      </w:r>
      <w:r w:rsidRPr="002B1D8E">
        <w:rPr>
          <w:i/>
        </w:rPr>
        <w:t>Business Combinations</w:t>
      </w:r>
      <w:r>
        <w:t>;</w:t>
      </w:r>
    </w:p>
    <w:p w:rsidR="00B30AC9" w:rsidRDefault="00B30AC9" w:rsidP="00B30AC9">
      <w:pPr>
        <w:pStyle w:val="NumPlain2"/>
      </w:pPr>
      <w:r>
        <w:t xml:space="preserve">AASB 4 </w:t>
      </w:r>
      <w:r w:rsidRPr="002B1D8E">
        <w:rPr>
          <w:i/>
        </w:rPr>
        <w:t>Insurance Contracts</w:t>
      </w:r>
      <w:r>
        <w:t>;</w:t>
      </w:r>
    </w:p>
    <w:p w:rsidR="00B30AC9" w:rsidRDefault="00B30AC9" w:rsidP="00B30AC9">
      <w:pPr>
        <w:pStyle w:val="NumPlain2"/>
      </w:pPr>
      <w:r>
        <w:t xml:space="preserve">AASB 101 </w:t>
      </w:r>
      <w:r w:rsidRPr="002B1D8E">
        <w:rPr>
          <w:i/>
        </w:rPr>
        <w:t>Presentation of Financial Statements</w:t>
      </w:r>
      <w:r>
        <w:t>;</w:t>
      </w:r>
    </w:p>
    <w:p w:rsidR="00B30AC9" w:rsidRDefault="00B30AC9" w:rsidP="00B30AC9">
      <w:pPr>
        <w:pStyle w:val="NumPlain2"/>
      </w:pPr>
      <w:r>
        <w:t xml:space="preserve">AASB 102 </w:t>
      </w:r>
      <w:r w:rsidRPr="002B1D8E">
        <w:rPr>
          <w:i/>
        </w:rPr>
        <w:t>Inventories</w:t>
      </w:r>
      <w:r>
        <w:t>;</w:t>
      </w:r>
    </w:p>
    <w:p w:rsidR="00B30AC9" w:rsidRDefault="00B30AC9" w:rsidP="00B30AC9">
      <w:pPr>
        <w:pStyle w:val="NumPlain2"/>
      </w:pPr>
      <w:r>
        <w:t xml:space="preserve">AASB 112 </w:t>
      </w:r>
      <w:r w:rsidRPr="002B1D8E">
        <w:rPr>
          <w:i/>
        </w:rPr>
        <w:t>Income Taxes</w:t>
      </w:r>
      <w:r>
        <w:t>;</w:t>
      </w:r>
    </w:p>
    <w:p w:rsidR="00B30AC9" w:rsidRDefault="00B30AC9" w:rsidP="00B30AC9">
      <w:pPr>
        <w:pStyle w:val="NumPlain2"/>
      </w:pPr>
      <w:r>
        <w:t xml:space="preserve">AASB 116 </w:t>
      </w:r>
      <w:r w:rsidRPr="002B1D8E">
        <w:rPr>
          <w:i/>
        </w:rPr>
        <w:t>Property, Plant and Equipment</w:t>
      </w:r>
      <w:r>
        <w:t>;</w:t>
      </w:r>
    </w:p>
    <w:p w:rsidR="00B30AC9" w:rsidRDefault="00B30AC9" w:rsidP="00B30AC9">
      <w:pPr>
        <w:pStyle w:val="NumPlain2"/>
      </w:pPr>
      <w:r>
        <w:t xml:space="preserve">AASB 134 </w:t>
      </w:r>
      <w:r w:rsidRPr="002B1D8E">
        <w:rPr>
          <w:i/>
        </w:rPr>
        <w:t>Interim Financial Reporting</w:t>
      </w:r>
      <w:r>
        <w:t>;</w:t>
      </w:r>
    </w:p>
    <w:p w:rsidR="00B30AC9" w:rsidRDefault="00B30AC9" w:rsidP="00B30AC9">
      <w:pPr>
        <w:pStyle w:val="NumPlain2"/>
      </w:pPr>
      <w:r>
        <w:t xml:space="preserve">AASB 136 </w:t>
      </w:r>
      <w:r w:rsidRPr="002B1D8E">
        <w:rPr>
          <w:i/>
        </w:rPr>
        <w:t>Impairment of Assets</w:t>
      </w:r>
      <w:r>
        <w:t>;</w:t>
      </w:r>
    </w:p>
    <w:p w:rsidR="00B30AC9" w:rsidRDefault="00B30AC9" w:rsidP="00B30AC9">
      <w:pPr>
        <w:pStyle w:val="NumPlain2"/>
      </w:pPr>
      <w:r>
        <w:t xml:space="preserve">AASB 137 </w:t>
      </w:r>
      <w:r w:rsidRPr="002B1D8E">
        <w:rPr>
          <w:i/>
        </w:rPr>
        <w:t>Provisions, Contingent Liabilities and Contingent Assets</w:t>
      </w:r>
      <w:r>
        <w:t>;</w:t>
      </w:r>
    </w:p>
    <w:p w:rsidR="00B30AC9" w:rsidRDefault="00B30AC9" w:rsidP="00B30AC9">
      <w:pPr>
        <w:pStyle w:val="NumPlain2"/>
      </w:pPr>
      <w:r>
        <w:t xml:space="preserve">AASB 138 </w:t>
      </w:r>
      <w:r w:rsidRPr="002B1D8E">
        <w:rPr>
          <w:i/>
        </w:rPr>
        <w:t>Intangible Assets</w:t>
      </w:r>
      <w:r>
        <w:t>;</w:t>
      </w:r>
    </w:p>
    <w:p w:rsidR="00B30AC9" w:rsidRDefault="00B30AC9" w:rsidP="00B30AC9">
      <w:pPr>
        <w:pStyle w:val="NumPlain2"/>
      </w:pPr>
      <w:r>
        <w:lastRenderedPageBreak/>
        <w:t xml:space="preserve">AASB 139 </w:t>
      </w:r>
      <w:r w:rsidRPr="002B1D8E">
        <w:rPr>
          <w:i/>
        </w:rPr>
        <w:t>Financial Instruments: Recognition and Measurement</w:t>
      </w:r>
      <w:r>
        <w:t>;</w:t>
      </w:r>
    </w:p>
    <w:p w:rsidR="00B30AC9" w:rsidRDefault="00B30AC9" w:rsidP="00B30AC9">
      <w:pPr>
        <w:pStyle w:val="NumPlain2"/>
      </w:pPr>
      <w:r>
        <w:t xml:space="preserve">AASB 140 </w:t>
      </w:r>
      <w:r w:rsidRPr="002B1D8E">
        <w:rPr>
          <w:i/>
        </w:rPr>
        <w:t>Investment Property</w:t>
      </w:r>
      <w:r>
        <w:t>;</w:t>
      </w:r>
    </w:p>
    <w:p w:rsidR="00B30AC9" w:rsidRDefault="00B30AC9" w:rsidP="00B30AC9">
      <w:pPr>
        <w:pStyle w:val="NumPlain2"/>
      </w:pPr>
      <w:r>
        <w:t xml:space="preserve">AASB 1023 </w:t>
      </w:r>
      <w:r w:rsidRPr="002B1D8E">
        <w:rPr>
          <w:i/>
        </w:rPr>
        <w:t>General Insurance Contracts</w:t>
      </w:r>
      <w:r>
        <w:t>;</w:t>
      </w:r>
    </w:p>
    <w:p w:rsidR="00B30AC9" w:rsidRDefault="00B30AC9" w:rsidP="00B30AC9">
      <w:pPr>
        <w:pStyle w:val="NumPlain2"/>
      </w:pPr>
      <w:r>
        <w:t xml:space="preserve">AASB 1038 </w:t>
      </w:r>
      <w:r w:rsidRPr="002B1D8E">
        <w:rPr>
          <w:i/>
        </w:rPr>
        <w:t>Life Insurance Contracts</w:t>
      </w:r>
      <w:r>
        <w:t>;</w:t>
      </w:r>
    </w:p>
    <w:p w:rsidR="00B30AC9" w:rsidRDefault="00B30AC9" w:rsidP="00B30AC9">
      <w:pPr>
        <w:pStyle w:val="NumPlain2"/>
      </w:pPr>
      <w:r>
        <w:t xml:space="preserve">AASB 1039 </w:t>
      </w:r>
      <w:r w:rsidRPr="002B1D8E">
        <w:rPr>
          <w:i/>
        </w:rPr>
        <w:t>Concise Financial Reports</w:t>
      </w:r>
      <w:r>
        <w:t>;</w:t>
      </w:r>
    </w:p>
    <w:p w:rsidR="00B30AC9" w:rsidRDefault="00B30AC9" w:rsidP="00B30AC9">
      <w:pPr>
        <w:pStyle w:val="NumPlain2"/>
      </w:pPr>
      <w:r>
        <w:t xml:space="preserve">AASB 1049 </w:t>
      </w:r>
      <w:r w:rsidRPr="002B1D8E">
        <w:rPr>
          <w:i/>
        </w:rPr>
        <w:t>Whole of Government and General Government Sector Financial Reporting</w:t>
      </w:r>
      <w:r>
        <w:t>;</w:t>
      </w:r>
    </w:p>
    <w:p w:rsidR="00B30AC9" w:rsidRDefault="00B30AC9" w:rsidP="00B30AC9">
      <w:pPr>
        <w:pStyle w:val="NumPlain2"/>
      </w:pPr>
      <w:r>
        <w:t xml:space="preserve">AASB 1053 </w:t>
      </w:r>
      <w:r w:rsidRPr="002B1D8E">
        <w:rPr>
          <w:i/>
        </w:rPr>
        <w:t>Application of Tiers of Australian Accounting Standards</w:t>
      </w:r>
      <w:r>
        <w:t>;</w:t>
      </w:r>
    </w:p>
    <w:p w:rsidR="00B30AC9" w:rsidRDefault="00B30AC9" w:rsidP="00B30AC9">
      <w:pPr>
        <w:pStyle w:val="NumPlain2"/>
      </w:pPr>
      <w:r>
        <w:t xml:space="preserve">AASB 1056 </w:t>
      </w:r>
      <w:r w:rsidRPr="002B1D8E">
        <w:rPr>
          <w:i/>
        </w:rPr>
        <w:t>Superannuation Entities</w:t>
      </w:r>
      <w:r>
        <w:t>;</w:t>
      </w:r>
    </w:p>
    <w:p w:rsidR="00B30AC9" w:rsidRDefault="00B30AC9" w:rsidP="00B30AC9">
      <w:pPr>
        <w:pStyle w:val="NumPlain2"/>
      </w:pPr>
      <w:r>
        <w:t xml:space="preserve">Interpretation 12 </w:t>
      </w:r>
      <w:r w:rsidRPr="00232727">
        <w:rPr>
          <w:i/>
        </w:rPr>
        <w:t>Service Concession Arrangements</w:t>
      </w:r>
      <w:r>
        <w:t>;</w:t>
      </w:r>
    </w:p>
    <w:p w:rsidR="00B30AC9" w:rsidRDefault="00B30AC9" w:rsidP="00B30AC9">
      <w:pPr>
        <w:pStyle w:val="NumPlain2"/>
      </w:pPr>
      <w:r>
        <w:t xml:space="preserve">Interpretation 127 </w:t>
      </w:r>
      <w:r w:rsidRPr="00232727">
        <w:rPr>
          <w:i/>
        </w:rPr>
        <w:t>Evaluating the Substance of Transactions Involving the Legal Form of a Lease</w:t>
      </w:r>
      <w:r>
        <w:t>;</w:t>
      </w:r>
    </w:p>
    <w:p w:rsidR="00B30AC9" w:rsidRDefault="00B30AC9" w:rsidP="00B30AC9">
      <w:pPr>
        <w:pStyle w:val="NumPlain2"/>
      </w:pPr>
      <w:r>
        <w:t xml:space="preserve">Interpretation 132 </w:t>
      </w:r>
      <w:r w:rsidRPr="00232727">
        <w:rPr>
          <w:i/>
        </w:rPr>
        <w:t>Intangible Assets – Website Costs</w:t>
      </w:r>
      <w:r>
        <w:t>;</w:t>
      </w:r>
    </w:p>
    <w:p w:rsidR="00B30AC9" w:rsidRDefault="00B30AC9" w:rsidP="00B30AC9">
      <w:pPr>
        <w:pStyle w:val="NumPlain2"/>
      </w:pPr>
      <w:r>
        <w:t xml:space="preserve">Interpretation 1031 </w:t>
      </w:r>
      <w:r w:rsidRPr="00232727">
        <w:rPr>
          <w:i/>
        </w:rPr>
        <w:t>Accounting for the Goods and Services Tax (GST)</w:t>
      </w:r>
      <w:r>
        <w:t>;</w:t>
      </w:r>
    </w:p>
    <w:p w:rsidR="00B30AC9" w:rsidRDefault="00B30AC9" w:rsidP="00B30AC9">
      <w:pPr>
        <w:pStyle w:val="NumPlain2"/>
      </w:pPr>
      <w:r>
        <w:t xml:space="preserve">Interpretation 1038 </w:t>
      </w:r>
      <w:r w:rsidRPr="00232727">
        <w:rPr>
          <w:i/>
        </w:rPr>
        <w:t>Contributions by Owners Made to Wholly-Owned Public Sector Entities</w:t>
      </w:r>
      <w:r>
        <w:t>; and</w:t>
      </w:r>
    </w:p>
    <w:p w:rsidR="00B30AC9" w:rsidRDefault="00B30AC9" w:rsidP="00B30AC9">
      <w:pPr>
        <w:pStyle w:val="NumPlain2"/>
      </w:pPr>
      <w:r>
        <w:t xml:space="preserve">Interpretation 1052 </w:t>
      </w:r>
      <w:r w:rsidRPr="00232727">
        <w:rPr>
          <w:i/>
        </w:rPr>
        <w:t>Tax Consolidation Accounting</w:t>
      </w:r>
      <w:r>
        <w:t>;</w:t>
      </w:r>
    </w:p>
    <w:p w:rsidR="001662B8" w:rsidRPr="0000292B" w:rsidRDefault="001662B8" w:rsidP="001662B8">
      <w:pPr>
        <w:pStyle w:val="NoNumPlain2"/>
      </w:pPr>
      <w:proofErr w:type="gramStart"/>
      <w:r>
        <w:t>a</w:t>
      </w:r>
      <w:bookmarkStart w:id="12" w:name="StndObj"/>
      <w:bookmarkEnd w:id="12"/>
      <w:r>
        <w:t>s</w:t>
      </w:r>
      <w:proofErr w:type="gramEnd"/>
      <w:r>
        <w:t xml:space="preserve"> a consequence of the issuance of</w:t>
      </w:r>
      <w:r w:rsidRPr="0000292B">
        <w:fldChar w:fldCharType="begin" w:fldLock="1"/>
      </w:r>
      <w:r w:rsidRPr="0000292B">
        <w:instrText xml:space="preserve"> REF </w:instrText>
      </w:r>
      <w:r>
        <w:instrText>ArisingNo</w:instrText>
      </w:r>
      <w:r w:rsidRPr="0000292B">
        <w:instrText xml:space="preserve">  \* charformat </w:instrText>
      </w:r>
      <w:r w:rsidRPr="0000292B">
        <w:fldChar w:fldCharType="end"/>
      </w:r>
      <w:r w:rsidR="00363483" w:rsidRPr="00363483">
        <w:t xml:space="preserve"> International Financial Reporting Standard </w:t>
      </w:r>
      <w:r w:rsidR="00363483" w:rsidRPr="00363483">
        <w:rPr>
          <w:i/>
        </w:rPr>
        <w:t xml:space="preserve">Effective Date of IFRS 15 </w:t>
      </w:r>
      <w:r w:rsidR="00363483" w:rsidRPr="00363483">
        <w:t>by the International Accounting Standards Board in September 2015</w:t>
      </w:r>
      <w:r>
        <w:t>.</w:t>
      </w:r>
    </w:p>
    <w:p w:rsidR="00090A6F" w:rsidRPr="0000292B" w:rsidRDefault="00090A6F">
      <w:pPr>
        <w:pStyle w:val="Heading2"/>
      </w:pPr>
      <w:r w:rsidRPr="0000292B">
        <w:t>Application</w:t>
      </w:r>
    </w:p>
    <w:p w:rsidR="00363483" w:rsidRDefault="00363483" w:rsidP="00363483">
      <w:pPr>
        <w:pStyle w:val="NumBold1"/>
      </w:pPr>
      <w:r>
        <w:t>Subject to paragraph 3, this Standard applies to:</w:t>
      </w:r>
    </w:p>
    <w:p w:rsidR="00363483" w:rsidRDefault="00363483" w:rsidP="00363483">
      <w:pPr>
        <w:pStyle w:val="NumBold2"/>
      </w:pPr>
      <w:r>
        <w:t xml:space="preserve">each entity that is required to prepare financial reports in accordance with Part 2M.3 of the </w:t>
      </w:r>
      <w:r w:rsidRPr="00D74038">
        <w:t>Corporations Act</w:t>
      </w:r>
      <w:r>
        <w:t xml:space="preserve"> and that is a reporting entity;</w:t>
      </w:r>
    </w:p>
    <w:p w:rsidR="00363483" w:rsidRDefault="00363483" w:rsidP="00363483">
      <w:pPr>
        <w:pStyle w:val="NumBold2"/>
      </w:pPr>
      <w:r>
        <w:lastRenderedPageBreak/>
        <w:t>general purpose financial statements of each other reporting entity; and</w:t>
      </w:r>
    </w:p>
    <w:p w:rsidR="00363483" w:rsidRDefault="00363483" w:rsidP="00363483">
      <w:pPr>
        <w:pStyle w:val="NumBold2"/>
      </w:pPr>
      <w:r>
        <w:t>financial statements that are, or are held out to be, general purpose financial statements.</w:t>
      </w:r>
    </w:p>
    <w:p w:rsidR="00363483" w:rsidRDefault="00363483" w:rsidP="00363483">
      <w:pPr>
        <w:pStyle w:val="NumBold1"/>
      </w:pPr>
      <w:r>
        <w:t xml:space="preserve">The amendments set out in this Standard apply to entities and financial statements in accordance with the application of the other Standards and Interpretations set out in AASB 1057 </w:t>
      </w:r>
      <w:r w:rsidRPr="00FC3444">
        <w:rPr>
          <w:i/>
        </w:rPr>
        <w:t>Application of Australian Accounting Standards</w:t>
      </w:r>
      <w:r>
        <w:t>.</w:t>
      </w:r>
    </w:p>
    <w:p w:rsidR="00363483" w:rsidRPr="00027E8B" w:rsidRDefault="00363483" w:rsidP="00363483">
      <w:pPr>
        <w:pStyle w:val="NumBold1"/>
      </w:pPr>
      <w:r w:rsidRPr="00027E8B">
        <w:t xml:space="preserve">This Standard applies to annual reporting periods </w:t>
      </w:r>
      <w:bookmarkStart w:id="13" w:name="ApplyText"/>
      <w:r w:rsidRPr="00027E8B">
        <w:t>beginning</w:t>
      </w:r>
      <w:bookmarkEnd w:id="13"/>
      <w:r w:rsidRPr="00027E8B">
        <w:t xml:space="preserve"> on or after </w:t>
      </w:r>
      <w:bookmarkStart w:id="14" w:name="ApplyDate"/>
      <w:r>
        <w:t>1 January 2017</w:t>
      </w:r>
      <w:bookmarkEnd w:id="14"/>
      <w:r w:rsidRPr="00027E8B">
        <w:t>.</w:t>
      </w:r>
    </w:p>
    <w:p w:rsidR="00363483" w:rsidRPr="0000292B" w:rsidRDefault="00363483" w:rsidP="00363483">
      <w:pPr>
        <w:pStyle w:val="NumBold1"/>
      </w:pPr>
      <w:bookmarkStart w:id="15" w:name="EarlyYesPara"/>
      <w:r>
        <w:t xml:space="preserve">This Standard shall be applied when AASB 15 is applied.  </w:t>
      </w:r>
      <w:r w:rsidRPr="0000292B">
        <w:t xml:space="preserve">This Standard may be applied to annual reporting periods </w:t>
      </w:r>
      <w:bookmarkStart w:id="16" w:name="EarlyText"/>
      <w:r w:rsidRPr="0000292B">
        <w:t>beginning</w:t>
      </w:r>
      <w:bookmarkEnd w:id="16"/>
      <w:r w:rsidRPr="0000292B">
        <w:t xml:space="preserve"> before </w:t>
      </w:r>
      <w:fldSimple w:instr=" REF ApplyDate  \* charformat  " w:fldLock="1">
        <w:r>
          <w:t>1 January 2017</w:t>
        </w:r>
      </w:fldSimple>
      <w:r>
        <w:t>, provided that AASB 15 is also applied to the same period</w:t>
      </w:r>
      <w:r w:rsidRPr="0000292B">
        <w:t xml:space="preserve">.  When an entity applies this Standard to </w:t>
      </w:r>
      <w:r>
        <w:t xml:space="preserve">such </w:t>
      </w:r>
      <w:r w:rsidRPr="0000292B">
        <w:t>an annual reporting period</w:t>
      </w:r>
      <w:r>
        <w:t>,</w:t>
      </w:r>
      <w:r w:rsidRPr="0000292B">
        <w:t xml:space="preserve"> it shall disclose that fact.</w:t>
      </w:r>
    </w:p>
    <w:bookmarkEnd w:id="15"/>
    <w:p w:rsidR="00363483" w:rsidRDefault="00363483" w:rsidP="00363483">
      <w:pPr>
        <w:pStyle w:val="NumBold1"/>
      </w:pPr>
      <w:r>
        <w:t>This Standard uses underlining, striking out and other typographical material to identify some of the amendments to a Standard, in order to make the amendments more understandable.  However, the amendments made by this Standard do not include that underlining, striking out or other typographical material.</w:t>
      </w:r>
    </w:p>
    <w:p w:rsidR="00363483" w:rsidRDefault="00363483" w:rsidP="00363483">
      <w:pPr>
        <w:pStyle w:val="Heading2"/>
      </w:pPr>
      <w:r>
        <w:t>Amendments to AASB 15</w:t>
      </w:r>
    </w:p>
    <w:p w:rsidR="00363483" w:rsidRPr="00D579E3" w:rsidRDefault="00363483" w:rsidP="00363483">
      <w:pPr>
        <w:pStyle w:val="Heading3"/>
      </w:pPr>
      <w:r>
        <w:t>Deferral of the Effective Date</w:t>
      </w:r>
    </w:p>
    <w:p w:rsidR="00363483" w:rsidRDefault="00363483" w:rsidP="00363483">
      <w:pPr>
        <w:pStyle w:val="NumPlain1"/>
      </w:pPr>
      <w:r>
        <w:t>Paragraphs Aus4.2 and Aus4.3 are deleted and paragraph C1 is added as follows:</w:t>
      </w:r>
    </w:p>
    <w:p w:rsidR="00363483" w:rsidRDefault="00363483" w:rsidP="00363483">
      <w:pPr>
        <w:pStyle w:val="PlainHanging1"/>
      </w:pPr>
      <w:r>
        <w:t>C1</w:t>
      </w:r>
      <w:r>
        <w:tab/>
      </w:r>
      <w:r w:rsidRPr="005923EA">
        <w:rPr>
          <w:lang w:eastAsia="en-AU"/>
        </w:rPr>
        <w:t>An entity shall apply this Standard for annual reporting periods beginning on or</w:t>
      </w:r>
      <w:r>
        <w:rPr>
          <w:lang w:eastAsia="en-AU"/>
        </w:rPr>
        <w:t xml:space="preserve"> </w:t>
      </w:r>
      <w:r w:rsidRPr="005923EA">
        <w:rPr>
          <w:lang w:eastAsia="en-AU"/>
        </w:rPr>
        <w:t>after 1 January 2018. Earlier application is permitted. If an entity applies</w:t>
      </w:r>
      <w:r>
        <w:rPr>
          <w:lang w:eastAsia="en-AU"/>
        </w:rPr>
        <w:t xml:space="preserve"> </w:t>
      </w:r>
      <w:r w:rsidRPr="005923EA">
        <w:rPr>
          <w:lang w:eastAsia="en-AU"/>
        </w:rPr>
        <w:t>this Standard earlier, it shall disclose that fact.</w:t>
      </w:r>
    </w:p>
    <w:p w:rsidR="00363483" w:rsidRDefault="00363483" w:rsidP="00363483">
      <w:pPr>
        <w:pStyle w:val="NumPlain1"/>
      </w:pPr>
      <w:r>
        <w:t>Paragraph C7 is amended as follows (new text is underlined and deleted text is struck through):</w:t>
      </w:r>
    </w:p>
    <w:p w:rsidR="00363483" w:rsidRDefault="00363483" w:rsidP="00363483">
      <w:pPr>
        <w:pStyle w:val="PlainHanging1"/>
      </w:pPr>
      <w:r>
        <w:t>C7</w:t>
      </w:r>
      <w:r>
        <w:tab/>
        <w:t xml:space="preserve">… Under this transition method, an entity shall apply this Standard retrospectively only to contracts that are not completed contracts at the date of initial application (for example, 1 January </w:t>
      </w:r>
      <w:r w:rsidRPr="0018577C">
        <w:rPr>
          <w:strike/>
        </w:rPr>
        <w:t>2017</w:t>
      </w:r>
      <w:r>
        <w:t xml:space="preserve"> </w:t>
      </w:r>
      <w:r w:rsidRPr="0018577C">
        <w:rPr>
          <w:u w:val="single"/>
        </w:rPr>
        <w:t>2018</w:t>
      </w:r>
      <w:r>
        <w:t xml:space="preserve"> for an entity with a 31 December year-end).</w:t>
      </w:r>
    </w:p>
    <w:p w:rsidR="00363483" w:rsidRDefault="00363483" w:rsidP="00363483">
      <w:pPr>
        <w:pStyle w:val="Heading3"/>
      </w:pPr>
      <w:r>
        <w:lastRenderedPageBreak/>
        <w:t>Reformatting AASB 15</w:t>
      </w:r>
    </w:p>
    <w:p w:rsidR="00363483" w:rsidRDefault="00363483" w:rsidP="00363483">
      <w:pPr>
        <w:pStyle w:val="NumPlain1"/>
      </w:pPr>
      <w:r>
        <w:t xml:space="preserve">Paragraph Aus4.1 and the preceding heading ‘Application’ are deleted. (The application of AASB 15 to entities and financial statements is set out in AASB 1057 </w:t>
      </w:r>
      <w:r w:rsidRPr="001A353E">
        <w:rPr>
          <w:i/>
        </w:rPr>
        <w:t>Application of Australian Accounting Standards</w:t>
      </w:r>
      <w:r>
        <w:t>.)</w:t>
      </w:r>
    </w:p>
    <w:p w:rsidR="00363483" w:rsidRDefault="00363483" w:rsidP="00363483">
      <w:pPr>
        <w:pStyle w:val="NumPlain1"/>
      </w:pPr>
      <w:r>
        <w:t>Paragraph Aus4.4 is renumbered as paragraph AusC10.1.</w:t>
      </w:r>
    </w:p>
    <w:p w:rsidR="00363483" w:rsidRDefault="00363483" w:rsidP="00363483">
      <w:pPr>
        <w:pStyle w:val="NumPlain1"/>
      </w:pPr>
      <w:r>
        <w:t>Paragraphs Aus4.5 and Aus4.6 and the preceding heading ‘Reduced disclosure requirements’ are deleted and Appendix E added as follows:</w:t>
      </w:r>
    </w:p>
    <w:p w:rsidR="00363483" w:rsidRDefault="00363483" w:rsidP="00363483">
      <w:pPr>
        <w:pStyle w:val="Heading4"/>
        <w:ind w:left="510"/>
      </w:pPr>
      <w:r>
        <w:t>Appendix E</w:t>
      </w:r>
    </w:p>
    <w:p w:rsidR="00363483" w:rsidRDefault="00363483" w:rsidP="00363483">
      <w:pPr>
        <w:pStyle w:val="Heading4"/>
        <w:ind w:left="510"/>
      </w:pPr>
      <w:r>
        <w:t>Australian reduced disclosure requirements</w:t>
      </w:r>
    </w:p>
    <w:p w:rsidR="00363483" w:rsidRPr="00121084" w:rsidRDefault="00363483" w:rsidP="00363483">
      <w:pPr>
        <w:pStyle w:val="NoNumPlain2"/>
        <w:rPr>
          <w:i/>
        </w:rPr>
      </w:pPr>
      <w:r w:rsidRPr="00121084">
        <w:rPr>
          <w:i/>
        </w:rPr>
        <w:t>This appendix is an integral part of AASB 15 and has the same authority as the other parts of AASB 15.</w:t>
      </w:r>
    </w:p>
    <w:p w:rsidR="00363483" w:rsidRDefault="00363483" w:rsidP="00363483">
      <w:pPr>
        <w:pStyle w:val="BoldHanging1"/>
      </w:pPr>
      <w:r>
        <w:t>AusE1</w:t>
      </w:r>
      <w:r>
        <w:tab/>
        <w:t>The following do not apply to entities preparing general purpose financial statements under Australian Accounting Standards – Reduced Disclosure Requirements:</w:t>
      </w:r>
    </w:p>
    <w:p w:rsidR="00363483" w:rsidRDefault="00363483" w:rsidP="00363483">
      <w:pPr>
        <w:pStyle w:val="BoldHanging2"/>
      </w:pPr>
      <w:r>
        <w:t>(a)</w:t>
      </w:r>
      <w:r>
        <w:tab/>
        <w:t>paragraphs 115, 116(b), 116(c), 117, 118, 120–122, 124(b), 126, 127(a); and</w:t>
      </w:r>
    </w:p>
    <w:p w:rsidR="00363483" w:rsidRPr="00121084" w:rsidRDefault="00363483" w:rsidP="00363483">
      <w:pPr>
        <w:pStyle w:val="BoldHanging2"/>
      </w:pPr>
      <w:r w:rsidRPr="00121084">
        <w:t>(b)</w:t>
      </w:r>
      <w:r w:rsidRPr="00121084">
        <w:tab/>
      </w:r>
      <w:r w:rsidRPr="00121084">
        <w:rPr>
          <w:bCs/>
        </w:rPr>
        <w:t>in paragraph 128(a), the text “, by main category of asset (for example, costs to obtain contracts with customers, pre-contract costs and setup costs)”.</w:t>
      </w:r>
    </w:p>
    <w:p w:rsidR="00363483" w:rsidRDefault="00363483" w:rsidP="00363483">
      <w:pPr>
        <w:pStyle w:val="NoNumBold3"/>
        <w:rPr>
          <w:bCs/>
        </w:rPr>
      </w:pPr>
      <w:r w:rsidRPr="00121084">
        <w:rPr>
          <w:bCs/>
        </w:rPr>
        <w:t>Entities applying Australian Accounting Standards – Reduced Disclosure Requirements may elect to comply with some or all of these excluded requirements.</w:t>
      </w:r>
    </w:p>
    <w:p w:rsidR="00363483" w:rsidRDefault="00363483" w:rsidP="00363483">
      <w:pPr>
        <w:pStyle w:val="PlainHanging1"/>
        <w:rPr>
          <w:bCs/>
        </w:rPr>
      </w:pPr>
      <w:r>
        <w:t>AusE2</w:t>
      </w:r>
      <w:r>
        <w:tab/>
        <w:t>The requirements that do not apply to entities preparing general purpose financial statements under Australian Accounting Standards – Reduced Disclosure Requirements are also identified in this Standard by shading of the relevant text.</w:t>
      </w:r>
    </w:p>
    <w:p w:rsidR="00363483" w:rsidRDefault="00363483" w:rsidP="00363483">
      <w:pPr>
        <w:pStyle w:val="NumPlain1"/>
      </w:pPr>
      <w:r>
        <w:t>Paragraph Aus4.7 is renumbered as paragraph Aus129.1, the heading ‘Commencement’ before paragraph Aus4.7 is deleted, and the heading ‘Commencement of the legislative instrument’ is added before paragraph Aus129.1.</w:t>
      </w:r>
    </w:p>
    <w:p w:rsidR="00363483" w:rsidRDefault="00363483" w:rsidP="00363483">
      <w:pPr>
        <w:pStyle w:val="Heading2"/>
      </w:pPr>
      <w:r>
        <w:lastRenderedPageBreak/>
        <w:t>Deferral of Certain New Principal Versions</w:t>
      </w:r>
    </w:p>
    <w:p w:rsidR="00363483" w:rsidRDefault="00363483" w:rsidP="00363483">
      <w:pPr>
        <w:pStyle w:val="NumPlain1"/>
      </w:pPr>
      <w:r>
        <w:t>For the principal versions of AASB pronouncements issued in 2015 that otherwise apply to annual periods beginning on or after 1 January 2017, the effective date is deferred to 1 January 2018 by amending all references to ‘1 January 2017’ in the following paragraphs to ‘1 January 2018’:</w:t>
      </w:r>
    </w:p>
    <w:tbl>
      <w:tblPr>
        <w:tblStyle w:val="TableGrid"/>
        <w:tblW w:w="0" w:type="auto"/>
        <w:tblInd w:w="510" w:type="dxa"/>
        <w:tblLook w:val="04A0" w:firstRow="1" w:lastRow="0" w:firstColumn="1" w:lastColumn="0" w:noHBand="0" w:noVBand="1"/>
        <w:tblCaption w:val="Deferral of certain new principal versions"/>
        <w:tblDescription w:val="Paragraphs in new principal versions applying from 1-1-17 that are amended to defer the effective date to 1-1-18 instead."/>
      </w:tblPr>
      <w:tblGrid>
        <w:gridCol w:w="2997"/>
        <w:gridCol w:w="2946"/>
      </w:tblGrid>
      <w:tr w:rsidR="00363483" w:rsidRPr="002F599C" w:rsidTr="00FD0950">
        <w:trPr>
          <w:tblHeader/>
        </w:trPr>
        <w:tc>
          <w:tcPr>
            <w:tcW w:w="3226" w:type="dxa"/>
          </w:tcPr>
          <w:p w:rsidR="00363483" w:rsidRPr="002F599C" w:rsidRDefault="00363483" w:rsidP="00FD0950">
            <w:pPr>
              <w:pStyle w:val="NumPlain1"/>
              <w:keepNext/>
              <w:numPr>
                <w:ilvl w:val="0"/>
                <w:numId w:val="0"/>
              </w:numPr>
              <w:spacing w:before="120" w:after="120"/>
              <w:rPr>
                <w:i/>
              </w:rPr>
            </w:pPr>
            <w:r w:rsidRPr="002F599C">
              <w:rPr>
                <w:i/>
              </w:rPr>
              <w:t>Pronouncement</w:t>
            </w:r>
          </w:p>
        </w:tc>
        <w:tc>
          <w:tcPr>
            <w:tcW w:w="3227" w:type="dxa"/>
          </w:tcPr>
          <w:p w:rsidR="00363483" w:rsidRPr="002F599C" w:rsidRDefault="00363483" w:rsidP="00FD0950">
            <w:pPr>
              <w:pStyle w:val="NumPlain1"/>
              <w:keepNext/>
              <w:numPr>
                <w:ilvl w:val="0"/>
                <w:numId w:val="0"/>
              </w:numPr>
              <w:spacing w:before="120" w:after="120"/>
              <w:rPr>
                <w:i/>
              </w:rPr>
            </w:pPr>
            <w:r w:rsidRPr="002F599C">
              <w:rPr>
                <w:i/>
              </w:rPr>
              <w:t>Paragraph</w:t>
            </w:r>
          </w:p>
        </w:tc>
      </w:tr>
      <w:tr w:rsidR="00363483" w:rsidTr="00FD0950">
        <w:tc>
          <w:tcPr>
            <w:tcW w:w="3226" w:type="dxa"/>
          </w:tcPr>
          <w:p w:rsidR="00363483" w:rsidRDefault="00363483" w:rsidP="00FD0950">
            <w:pPr>
              <w:pStyle w:val="NumPlain1"/>
              <w:numPr>
                <w:ilvl w:val="0"/>
                <w:numId w:val="0"/>
              </w:numPr>
              <w:spacing w:before="120" w:after="120"/>
            </w:pPr>
            <w:r>
              <w:t>AASB 116</w:t>
            </w:r>
          </w:p>
        </w:tc>
        <w:tc>
          <w:tcPr>
            <w:tcW w:w="3227" w:type="dxa"/>
          </w:tcPr>
          <w:p w:rsidR="00363483" w:rsidRDefault="00363483" w:rsidP="00FD0950">
            <w:pPr>
              <w:pStyle w:val="NumPlain1"/>
              <w:numPr>
                <w:ilvl w:val="0"/>
                <w:numId w:val="0"/>
              </w:numPr>
              <w:spacing w:before="120" w:after="120"/>
            </w:pPr>
            <w:r>
              <w:t>81</w:t>
            </w:r>
          </w:p>
        </w:tc>
      </w:tr>
      <w:tr w:rsidR="00363483" w:rsidTr="00FD0950">
        <w:tc>
          <w:tcPr>
            <w:tcW w:w="3226" w:type="dxa"/>
          </w:tcPr>
          <w:p w:rsidR="00363483" w:rsidRDefault="00363483" w:rsidP="00FD0950">
            <w:pPr>
              <w:pStyle w:val="NumPlain1"/>
              <w:numPr>
                <w:ilvl w:val="0"/>
                <w:numId w:val="0"/>
              </w:numPr>
              <w:spacing w:before="120" w:after="120"/>
            </w:pPr>
            <w:r>
              <w:t>AASB 134</w:t>
            </w:r>
          </w:p>
        </w:tc>
        <w:tc>
          <w:tcPr>
            <w:tcW w:w="3227" w:type="dxa"/>
          </w:tcPr>
          <w:p w:rsidR="00363483" w:rsidRDefault="00363483" w:rsidP="00FD0950">
            <w:pPr>
              <w:pStyle w:val="NumPlain1"/>
              <w:numPr>
                <w:ilvl w:val="0"/>
                <w:numId w:val="0"/>
              </w:numPr>
              <w:spacing w:before="120" w:after="120"/>
            </w:pPr>
            <w:r>
              <w:t>46</w:t>
            </w:r>
          </w:p>
        </w:tc>
      </w:tr>
      <w:tr w:rsidR="00363483" w:rsidTr="00FD0950">
        <w:tc>
          <w:tcPr>
            <w:tcW w:w="3226" w:type="dxa"/>
          </w:tcPr>
          <w:p w:rsidR="00363483" w:rsidRDefault="00363483" w:rsidP="00FD0950">
            <w:pPr>
              <w:pStyle w:val="NumPlain1"/>
              <w:numPr>
                <w:ilvl w:val="0"/>
                <w:numId w:val="0"/>
              </w:numPr>
              <w:spacing w:before="120" w:after="120"/>
            </w:pPr>
            <w:r>
              <w:t>AASB 138</w:t>
            </w:r>
          </w:p>
        </w:tc>
        <w:tc>
          <w:tcPr>
            <w:tcW w:w="3227" w:type="dxa"/>
          </w:tcPr>
          <w:p w:rsidR="00363483" w:rsidRDefault="00363483" w:rsidP="00FD0950">
            <w:pPr>
              <w:pStyle w:val="NumPlain1"/>
              <w:numPr>
                <w:ilvl w:val="0"/>
                <w:numId w:val="0"/>
              </w:numPr>
              <w:spacing w:before="120" w:after="120"/>
            </w:pPr>
            <w:r>
              <w:t>Aus130.1</w:t>
            </w:r>
          </w:p>
        </w:tc>
      </w:tr>
      <w:tr w:rsidR="00363483" w:rsidTr="00FD0950">
        <w:tc>
          <w:tcPr>
            <w:tcW w:w="3226" w:type="dxa"/>
          </w:tcPr>
          <w:p w:rsidR="00363483" w:rsidRDefault="00363483" w:rsidP="00FD0950">
            <w:pPr>
              <w:pStyle w:val="NumPlain1"/>
              <w:numPr>
                <w:ilvl w:val="0"/>
                <w:numId w:val="0"/>
              </w:numPr>
              <w:spacing w:before="120" w:after="120"/>
            </w:pPr>
            <w:r>
              <w:t>AASB 140</w:t>
            </w:r>
          </w:p>
        </w:tc>
        <w:tc>
          <w:tcPr>
            <w:tcW w:w="3227" w:type="dxa"/>
          </w:tcPr>
          <w:p w:rsidR="00363483" w:rsidRDefault="00363483" w:rsidP="00FD0950">
            <w:pPr>
              <w:pStyle w:val="NumPlain1"/>
              <w:numPr>
                <w:ilvl w:val="0"/>
                <w:numId w:val="0"/>
              </w:numPr>
              <w:spacing w:before="120" w:after="120"/>
            </w:pPr>
            <w:r>
              <w:t>85</w:t>
            </w:r>
          </w:p>
        </w:tc>
      </w:tr>
      <w:tr w:rsidR="00363483" w:rsidTr="00FD0950">
        <w:tc>
          <w:tcPr>
            <w:tcW w:w="3226" w:type="dxa"/>
          </w:tcPr>
          <w:p w:rsidR="00363483" w:rsidRDefault="00363483" w:rsidP="00FD0950">
            <w:pPr>
              <w:pStyle w:val="NumPlain1"/>
              <w:numPr>
                <w:ilvl w:val="0"/>
                <w:numId w:val="0"/>
              </w:numPr>
              <w:spacing w:before="120" w:after="120"/>
            </w:pPr>
            <w:r>
              <w:t>Interpretation 132</w:t>
            </w:r>
          </w:p>
        </w:tc>
        <w:tc>
          <w:tcPr>
            <w:tcW w:w="3227" w:type="dxa"/>
          </w:tcPr>
          <w:p w:rsidR="00363483" w:rsidRDefault="00363483" w:rsidP="00FD0950">
            <w:pPr>
              <w:pStyle w:val="NumPlain1"/>
              <w:numPr>
                <w:ilvl w:val="0"/>
                <w:numId w:val="0"/>
              </w:numPr>
              <w:spacing w:before="120" w:after="120"/>
            </w:pPr>
            <w:r>
              <w:t>Aus10.2</w:t>
            </w:r>
          </w:p>
        </w:tc>
      </w:tr>
    </w:tbl>
    <w:p w:rsidR="00363483" w:rsidRDefault="00363483" w:rsidP="00363483">
      <w:pPr>
        <w:pStyle w:val="NumPlain1"/>
        <w:numPr>
          <w:ilvl w:val="0"/>
          <w:numId w:val="0"/>
        </w:numPr>
        <w:ind w:left="510"/>
      </w:pPr>
    </w:p>
    <w:p w:rsidR="00363483" w:rsidRPr="002F599C" w:rsidRDefault="00363483" w:rsidP="00363483">
      <w:pPr>
        <w:pStyle w:val="Heading2"/>
      </w:pPr>
      <w:r>
        <w:t>Reversal of Certain Consequential Amendments</w:t>
      </w:r>
    </w:p>
    <w:p w:rsidR="00363483" w:rsidRDefault="00363483" w:rsidP="00363483">
      <w:pPr>
        <w:pStyle w:val="NumPlain1"/>
      </w:pPr>
      <w:r>
        <w:t xml:space="preserve">For some of the AASB pronouncements amended by AASB 2014-5 </w:t>
      </w:r>
      <w:r w:rsidRPr="002F599C">
        <w:rPr>
          <w:i/>
        </w:rPr>
        <w:t>Amendments to Australian Accounting Standards arising from AASB 15</w:t>
      </w:r>
      <w:r>
        <w:t>, principal versions have been issued in 2015 that apply to annual periods beginning on or after 1 January 2018.  Accordingly, the consequential amendments originally set out in the following paragraphs of AASB 2014-5 are no longer required to apply to annual reporting periods beginning on or after 1 January 2017 but before 1 January 2018, and therefore the amendments are reversed for those periods for the previous versions of the following pronouncements:</w:t>
      </w:r>
    </w:p>
    <w:tbl>
      <w:tblPr>
        <w:tblStyle w:val="TableGrid"/>
        <w:tblW w:w="0" w:type="auto"/>
        <w:tblInd w:w="510" w:type="dxa"/>
        <w:tblLook w:val="04A0" w:firstRow="1" w:lastRow="0" w:firstColumn="1" w:lastColumn="0" w:noHBand="0" w:noVBand="1"/>
        <w:tblCaption w:val="Deletion of certain consequential amendments"/>
        <w:tblDescription w:val="Amendments set out in AASB 2014-5 that are no longer required in pre-1-1-18 versions of pronouncements and hence deleted for periods beginning on or after 1-1-17 but before 1-1-18."/>
      </w:tblPr>
      <w:tblGrid>
        <w:gridCol w:w="2992"/>
        <w:gridCol w:w="2951"/>
      </w:tblGrid>
      <w:tr w:rsidR="00363483" w:rsidRPr="002F599C" w:rsidTr="00FD0950">
        <w:trPr>
          <w:tblHeader/>
        </w:trPr>
        <w:tc>
          <w:tcPr>
            <w:tcW w:w="2992" w:type="dxa"/>
          </w:tcPr>
          <w:p w:rsidR="00363483" w:rsidRPr="002F599C" w:rsidRDefault="00363483" w:rsidP="00FD0950">
            <w:pPr>
              <w:pStyle w:val="NumPlain1"/>
              <w:keepNext/>
              <w:numPr>
                <w:ilvl w:val="0"/>
                <w:numId w:val="0"/>
              </w:numPr>
              <w:spacing w:before="120" w:after="120"/>
              <w:rPr>
                <w:i/>
              </w:rPr>
            </w:pPr>
            <w:r w:rsidRPr="002F599C">
              <w:rPr>
                <w:i/>
              </w:rPr>
              <w:t>Pronouncement</w:t>
            </w:r>
          </w:p>
        </w:tc>
        <w:tc>
          <w:tcPr>
            <w:tcW w:w="2951" w:type="dxa"/>
          </w:tcPr>
          <w:p w:rsidR="00363483" w:rsidRPr="002F599C" w:rsidRDefault="00363483" w:rsidP="00FD0950">
            <w:pPr>
              <w:pStyle w:val="NumPlain1"/>
              <w:keepNext/>
              <w:numPr>
                <w:ilvl w:val="0"/>
                <w:numId w:val="0"/>
              </w:numPr>
              <w:spacing w:before="120" w:after="120"/>
              <w:rPr>
                <w:i/>
              </w:rPr>
            </w:pPr>
            <w:r w:rsidRPr="002F599C">
              <w:rPr>
                <w:i/>
              </w:rPr>
              <w:t>Paragraph</w:t>
            </w:r>
            <w:r>
              <w:rPr>
                <w:i/>
              </w:rPr>
              <w:t>s in AASB 2014-5</w:t>
            </w:r>
          </w:p>
        </w:tc>
      </w:tr>
      <w:tr w:rsidR="00363483" w:rsidTr="00FD0950">
        <w:tc>
          <w:tcPr>
            <w:tcW w:w="2992" w:type="dxa"/>
          </w:tcPr>
          <w:p w:rsidR="00363483" w:rsidRDefault="00363483" w:rsidP="00FD0950">
            <w:pPr>
              <w:pStyle w:val="NumPlain1"/>
              <w:numPr>
                <w:ilvl w:val="0"/>
                <w:numId w:val="0"/>
              </w:numPr>
              <w:spacing w:before="120" w:after="120"/>
            </w:pPr>
            <w:r>
              <w:t>AASB 1</w:t>
            </w:r>
          </w:p>
        </w:tc>
        <w:tc>
          <w:tcPr>
            <w:tcW w:w="2951" w:type="dxa"/>
          </w:tcPr>
          <w:p w:rsidR="00363483" w:rsidRDefault="00363483" w:rsidP="00FD0950">
            <w:pPr>
              <w:pStyle w:val="NumPlain1"/>
              <w:numPr>
                <w:ilvl w:val="0"/>
                <w:numId w:val="0"/>
              </w:numPr>
              <w:spacing w:before="120" w:after="120"/>
            </w:pPr>
            <w:r>
              <w:t>15–16</w:t>
            </w:r>
          </w:p>
        </w:tc>
      </w:tr>
      <w:tr w:rsidR="00363483" w:rsidTr="00FD0950">
        <w:tc>
          <w:tcPr>
            <w:tcW w:w="2992" w:type="dxa"/>
          </w:tcPr>
          <w:p w:rsidR="00363483" w:rsidRDefault="00363483" w:rsidP="00FD0950">
            <w:pPr>
              <w:pStyle w:val="NumPlain1"/>
              <w:numPr>
                <w:ilvl w:val="0"/>
                <w:numId w:val="0"/>
              </w:numPr>
              <w:spacing w:before="120" w:after="120"/>
            </w:pPr>
            <w:r>
              <w:t>AASB 3</w:t>
            </w:r>
          </w:p>
        </w:tc>
        <w:tc>
          <w:tcPr>
            <w:tcW w:w="2951" w:type="dxa"/>
          </w:tcPr>
          <w:p w:rsidR="00363483" w:rsidRDefault="00363483" w:rsidP="00FD0950">
            <w:pPr>
              <w:pStyle w:val="NumPlain1"/>
              <w:numPr>
                <w:ilvl w:val="0"/>
                <w:numId w:val="0"/>
              </w:numPr>
              <w:spacing w:before="120" w:after="120"/>
            </w:pPr>
            <w:r>
              <w:t>17</w:t>
            </w:r>
          </w:p>
        </w:tc>
      </w:tr>
      <w:tr w:rsidR="00363483" w:rsidTr="00FD0950">
        <w:tc>
          <w:tcPr>
            <w:tcW w:w="2992" w:type="dxa"/>
          </w:tcPr>
          <w:p w:rsidR="00363483" w:rsidRDefault="00363483" w:rsidP="00FD0950">
            <w:pPr>
              <w:pStyle w:val="NumPlain1"/>
              <w:numPr>
                <w:ilvl w:val="0"/>
                <w:numId w:val="0"/>
              </w:numPr>
              <w:spacing w:before="120" w:after="120"/>
            </w:pPr>
            <w:r>
              <w:t>AASB 4</w:t>
            </w:r>
          </w:p>
        </w:tc>
        <w:tc>
          <w:tcPr>
            <w:tcW w:w="2951" w:type="dxa"/>
          </w:tcPr>
          <w:p w:rsidR="00363483" w:rsidRDefault="00363483" w:rsidP="00FD0950">
            <w:pPr>
              <w:pStyle w:val="NumPlain1"/>
              <w:numPr>
                <w:ilvl w:val="0"/>
                <w:numId w:val="0"/>
              </w:numPr>
              <w:spacing w:before="120" w:after="120"/>
            </w:pPr>
            <w:r>
              <w:t>18–19</w:t>
            </w:r>
          </w:p>
        </w:tc>
      </w:tr>
      <w:tr w:rsidR="00363483" w:rsidTr="00FD0950">
        <w:tc>
          <w:tcPr>
            <w:tcW w:w="2992" w:type="dxa"/>
          </w:tcPr>
          <w:p w:rsidR="00363483" w:rsidRDefault="00363483" w:rsidP="00FD0950">
            <w:pPr>
              <w:pStyle w:val="NumPlain1"/>
              <w:numPr>
                <w:ilvl w:val="0"/>
                <w:numId w:val="0"/>
              </w:numPr>
              <w:spacing w:before="120" w:after="120"/>
            </w:pPr>
            <w:r>
              <w:lastRenderedPageBreak/>
              <w:t>AASB 101</w:t>
            </w:r>
          </w:p>
        </w:tc>
        <w:tc>
          <w:tcPr>
            <w:tcW w:w="2951" w:type="dxa"/>
          </w:tcPr>
          <w:p w:rsidR="00363483" w:rsidRDefault="00363483" w:rsidP="00FD0950">
            <w:pPr>
              <w:pStyle w:val="NumPlain1"/>
              <w:numPr>
                <w:ilvl w:val="0"/>
                <w:numId w:val="0"/>
              </w:numPr>
              <w:spacing w:before="120" w:after="120"/>
            </w:pPr>
            <w:r>
              <w:t>26</w:t>
            </w:r>
          </w:p>
        </w:tc>
      </w:tr>
      <w:tr w:rsidR="00363483" w:rsidTr="00FD0950">
        <w:tc>
          <w:tcPr>
            <w:tcW w:w="2992" w:type="dxa"/>
          </w:tcPr>
          <w:p w:rsidR="00363483" w:rsidRDefault="00363483" w:rsidP="00FD0950">
            <w:pPr>
              <w:pStyle w:val="NumPlain1"/>
              <w:numPr>
                <w:ilvl w:val="0"/>
                <w:numId w:val="0"/>
              </w:numPr>
              <w:spacing w:before="120" w:after="120"/>
            </w:pPr>
            <w:r>
              <w:t>AASB 102</w:t>
            </w:r>
          </w:p>
        </w:tc>
        <w:tc>
          <w:tcPr>
            <w:tcW w:w="2951" w:type="dxa"/>
          </w:tcPr>
          <w:p w:rsidR="00363483" w:rsidRDefault="00363483" w:rsidP="00FD0950">
            <w:pPr>
              <w:pStyle w:val="NumPlain1"/>
              <w:numPr>
                <w:ilvl w:val="0"/>
                <w:numId w:val="0"/>
              </w:numPr>
              <w:spacing w:before="120" w:after="120"/>
            </w:pPr>
            <w:r>
              <w:t>27</w:t>
            </w:r>
          </w:p>
        </w:tc>
      </w:tr>
      <w:tr w:rsidR="00363483" w:rsidTr="00FD0950">
        <w:tc>
          <w:tcPr>
            <w:tcW w:w="2992" w:type="dxa"/>
          </w:tcPr>
          <w:p w:rsidR="00363483" w:rsidRDefault="00363483" w:rsidP="00FD0950">
            <w:pPr>
              <w:pStyle w:val="NumPlain1"/>
              <w:numPr>
                <w:ilvl w:val="0"/>
                <w:numId w:val="0"/>
              </w:numPr>
              <w:spacing w:before="120" w:after="120"/>
            </w:pPr>
            <w:r>
              <w:t>AASB 112</w:t>
            </w:r>
          </w:p>
        </w:tc>
        <w:tc>
          <w:tcPr>
            <w:tcW w:w="2951" w:type="dxa"/>
          </w:tcPr>
          <w:p w:rsidR="00363483" w:rsidRDefault="00363483" w:rsidP="00FD0950">
            <w:pPr>
              <w:pStyle w:val="NumPlain1"/>
              <w:numPr>
                <w:ilvl w:val="0"/>
                <w:numId w:val="0"/>
              </w:numPr>
              <w:spacing w:before="120" w:after="120"/>
            </w:pPr>
            <w:r>
              <w:t>28</w:t>
            </w:r>
          </w:p>
        </w:tc>
      </w:tr>
      <w:tr w:rsidR="00363483" w:rsidTr="00FD0950">
        <w:tc>
          <w:tcPr>
            <w:tcW w:w="2992" w:type="dxa"/>
          </w:tcPr>
          <w:p w:rsidR="00363483" w:rsidRDefault="00363483" w:rsidP="00FD0950">
            <w:pPr>
              <w:pStyle w:val="NumPlain1"/>
              <w:numPr>
                <w:ilvl w:val="0"/>
                <w:numId w:val="0"/>
              </w:numPr>
              <w:spacing w:before="120" w:after="120"/>
            </w:pPr>
            <w:r>
              <w:t>AASB 132</w:t>
            </w:r>
          </w:p>
        </w:tc>
        <w:tc>
          <w:tcPr>
            <w:tcW w:w="2951" w:type="dxa"/>
          </w:tcPr>
          <w:p w:rsidR="00363483" w:rsidRDefault="00363483" w:rsidP="00FD0950">
            <w:pPr>
              <w:pStyle w:val="NumPlain1"/>
              <w:numPr>
                <w:ilvl w:val="0"/>
                <w:numId w:val="0"/>
              </w:numPr>
              <w:spacing w:before="120" w:after="120"/>
            </w:pPr>
            <w:r>
              <w:t>30–31</w:t>
            </w:r>
          </w:p>
        </w:tc>
      </w:tr>
      <w:tr w:rsidR="00363483" w:rsidTr="00FD0950">
        <w:tc>
          <w:tcPr>
            <w:tcW w:w="2992" w:type="dxa"/>
          </w:tcPr>
          <w:p w:rsidR="00363483" w:rsidRDefault="00363483" w:rsidP="00FD0950">
            <w:pPr>
              <w:pStyle w:val="NumPlain1"/>
              <w:numPr>
                <w:ilvl w:val="0"/>
                <w:numId w:val="0"/>
              </w:numPr>
              <w:spacing w:before="120" w:after="120"/>
            </w:pPr>
            <w:r>
              <w:t>AASB 136</w:t>
            </w:r>
          </w:p>
        </w:tc>
        <w:tc>
          <w:tcPr>
            <w:tcW w:w="2951" w:type="dxa"/>
          </w:tcPr>
          <w:p w:rsidR="00363483" w:rsidRDefault="00363483" w:rsidP="00FD0950">
            <w:pPr>
              <w:pStyle w:val="NumPlain1"/>
              <w:numPr>
                <w:ilvl w:val="0"/>
                <w:numId w:val="0"/>
              </w:numPr>
              <w:spacing w:before="120" w:after="120"/>
            </w:pPr>
            <w:r>
              <w:t>34</w:t>
            </w:r>
          </w:p>
        </w:tc>
      </w:tr>
      <w:tr w:rsidR="00363483" w:rsidTr="00FD0950">
        <w:tc>
          <w:tcPr>
            <w:tcW w:w="2992" w:type="dxa"/>
          </w:tcPr>
          <w:p w:rsidR="00363483" w:rsidRDefault="00363483" w:rsidP="00FD0950">
            <w:pPr>
              <w:pStyle w:val="NumPlain1"/>
              <w:numPr>
                <w:ilvl w:val="0"/>
                <w:numId w:val="0"/>
              </w:numPr>
              <w:spacing w:before="120" w:after="120"/>
            </w:pPr>
            <w:r>
              <w:t>AASB 137</w:t>
            </w:r>
          </w:p>
        </w:tc>
        <w:tc>
          <w:tcPr>
            <w:tcW w:w="2951" w:type="dxa"/>
          </w:tcPr>
          <w:p w:rsidR="00363483" w:rsidRDefault="00363483" w:rsidP="00FD0950">
            <w:pPr>
              <w:pStyle w:val="NumPlain1"/>
              <w:numPr>
                <w:ilvl w:val="0"/>
                <w:numId w:val="0"/>
              </w:numPr>
              <w:spacing w:before="120" w:after="120"/>
            </w:pPr>
            <w:r>
              <w:t>35–36</w:t>
            </w:r>
          </w:p>
        </w:tc>
      </w:tr>
      <w:tr w:rsidR="00363483" w:rsidTr="00FD0950">
        <w:tc>
          <w:tcPr>
            <w:tcW w:w="2992" w:type="dxa"/>
          </w:tcPr>
          <w:p w:rsidR="00363483" w:rsidRDefault="00363483" w:rsidP="00FD0950">
            <w:pPr>
              <w:pStyle w:val="NumPlain1"/>
              <w:numPr>
                <w:ilvl w:val="0"/>
                <w:numId w:val="0"/>
              </w:numPr>
              <w:spacing w:before="120" w:after="120"/>
            </w:pPr>
            <w:r>
              <w:t>AASB 139</w:t>
            </w:r>
          </w:p>
        </w:tc>
        <w:tc>
          <w:tcPr>
            <w:tcW w:w="2951" w:type="dxa"/>
          </w:tcPr>
          <w:p w:rsidR="00363483" w:rsidRDefault="00363483" w:rsidP="00FD0950">
            <w:pPr>
              <w:pStyle w:val="NumPlain1"/>
              <w:numPr>
                <w:ilvl w:val="0"/>
                <w:numId w:val="0"/>
              </w:numPr>
              <w:spacing w:before="120" w:after="120"/>
            </w:pPr>
            <w:r>
              <w:t>38–39</w:t>
            </w:r>
          </w:p>
        </w:tc>
      </w:tr>
      <w:tr w:rsidR="00363483" w:rsidTr="00FD0950">
        <w:tc>
          <w:tcPr>
            <w:tcW w:w="2992" w:type="dxa"/>
          </w:tcPr>
          <w:p w:rsidR="00363483" w:rsidRDefault="00363483" w:rsidP="00FD0950">
            <w:pPr>
              <w:pStyle w:val="NumPlain1"/>
              <w:numPr>
                <w:ilvl w:val="0"/>
                <w:numId w:val="0"/>
              </w:numPr>
              <w:spacing w:before="120" w:after="120"/>
            </w:pPr>
            <w:r>
              <w:t>Interpretation 12</w:t>
            </w:r>
          </w:p>
        </w:tc>
        <w:tc>
          <w:tcPr>
            <w:tcW w:w="2951" w:type="dxa"/>
          </w:tcPr>
          <w:p w:rsidR="00363483" w:rsidRDefault="00363483" w:rsidP="00FD0950">
            <w:pPr>
              <w:pStyle w:val="NumPlain1"/>
              <w:numPr>
                <w:ilvl w:val="0"/>
                <w:numId w:val="0"/>
              </w:numPr>
              <w:spacing w:before="120" w:after="120"/>
            </w:pPr>
            <w:r>
              <w:t>49–61</w:t>
            </w:r>
          </w:p>
        </w:tc>
      </w:tr>
      <w:tr w:rsidR="00363483" w:rsidTr="00FD0950">
        <w:tc>
          <w:tcPr>
            <w:tcW w:w="2992" w:type="dxa"/>
          </w:tcPr>
          <w:p w:rsidR="00363483" w:rsidRDefault="00363483" w:rsidP="00FD0950">
            <w:pPr>
              <w:pStyle w:val="NumPlain1"/>
              <w:numPr>
                <w:ilvl w:val="0"/>
                <w:numId w:val="0"/>
              </w:numPr>
              <w:spacing w:before="120" w:after="120"/>
            </w:pPr>
            <w:r>
              <w:t>Interpretation 127</w:t>
            </w:r>
          </w:p>
        </w:tc>
        <w:tc>
          <w:tcPr>
            <w:tcW w:w="2951" w:type="dxa"/>
          </w:tcPr>
          <w:p w:rsidR="00363483" w:rsidRDefault="00363483" w:rsidP="00FD0950">
            <w:pPr>
              <w:pStyle w:val="NumPlain1"/>
              <w:numPr>
                <w:ilvl w:val="0"/>
                <w:numId w:val="0"/>
              </w:numPr>
              <w:spacing w:before="120" w:after="120"/>
            </w:pPr>
            <w:r>
              <w:t>62–65</w:t>
            </w:r>
          </w:p>
        </w:tc>
      </w:tr>
    </w:tbl>
    <w:p w:rsidR="00363483" w:rsidRDefault="00363483" w:rsidP="00363483">
      <w:pPr>
        <w:pStyle w:val="NumPlain1"/>
        <w:numPr>
          <w:ilvl w:val="0"/>
          <w:numId w:val="0"/>
        </w:numPr>
        <w:ind w:left="510"/>
      </w:pPr>
    </w:p>
    <w:p w:rsidR="00363483" w:rsidRDefault="00363483" w:rsidP="00363483">
      <w:pPr>
        <w:pStyle w:val="NumPlain1"/>
      </w:pPr>
      <w:r>
        <w:t xml:space="preserve">The consequential amendments to paragraph 22 of AASB 1049 originally set out in paragraph 46 of AASB 2014-5 are reversed from AASB 1049.  The wording of paragraph 22 of AASB 1049 that applies to annual reporting periods beginning on or after 1 January 2018 was set out in AASB 2014-7 </w:t>
      </w:r>
      <w:r w:rsidRPr="00510616">
        <w:rPr>
          <w:i/>
        </w:rPr>
        <w:t>Amendments to Australian Accounting Standards arising from AASB 9 (December 2014)</w:t>
      </w:r>
      <w:r>
        <w:t>, paragraph 57.</w:t>
      </w:r>
    </w:p>
    <w:p w:rsidR="00363483" w:rsidRDefault="00363483" w:rsidP="00363483">
      <w:pPr>
        <w:pStyle w:val="NumPlain1"/>
      </w:pPr>
      <w:r>
        <w:t>The consequential amendments to Interpretation 1052 originally set out in paragraphs 72–73 of AASB 2014-5 are reversed from</w:t>
      </w:r>
      <w:r w:rsidRPr="00B95F2D">
        <w:t xml:space="preserve"> </w:t>
      </w:r>
      <w:r>
        <w:t xml:space="preserve">Interpretation 1052 as identified in AASB 1048 </w:t>
      </w:r>
      <w:r w:rsidRPr="00B95F2D">
        <w:rPr>
          <w:i/>
        </w:rPr>
        <w:t>Interpretation of Standards</w:t>
      </w:r>
      <w:r>
        <w:t xml:space="preserve">. </w:t>
      </w:r>
    </w:p>
    <w:p w:rsidR="00363483" w:rsidRDefault="00363483" w:rsidP="00363483">
      <w:pPr>
        <w:pStyle w:val="NumPlain1"/>
      </w:pPr>
      <w:r>
        <w:t>For annual reporting periods beginning on or after 1 January 2018, paragraph 45 in Interpretation 1052 is amended to read as follows and the references are amended as follows:</w:t>
      </w:r>
    </w:p>
    <w:p w:rsidR="00363483" w:rsidRDefault="00363483" w:rsidP="00363483">
      <w:pPr>
        <w:pStyle w:val="SubNumPlain1"/>
      </w:pPr>
      <w:r>
        <w:t>45</w:t>
      </w:r>
      <w:r>
        <w:tab/>
        <w:t xml:space="preserve">When the tax consolidation adjustments required by this Interpretation result in the recognition of a distribution to an entity, that entity accounts for the distribution in accordance with the requirements of AASB 127 </w:t>
      </w:r>
      <w:r>
        <w:rPr>
          <w:i/>
          <w:iCs/>
        </w:rPr>
        <w:t xml:space="preserve">Separate Financial Statements </w:t>
      </w:r>
      <w:r>
        <w:t xml:space="preserve">and AASB 9 </w:t>
      </w:r>
      <w:r>
        <w:rPr>
          <w:i/>
          <w:iCs/>
        </w:rPr>
        <w:t>Financial Instruments</w:t>
      </w:r>
      <w:r>
        <w:t>.</w:t>
      </w:r>
    </w:p>
    <w:p w:rsidR="00363483" w:rsidRDefault="00363483" w:rsidP="00363483">
      <w:pPr>
        <w:pStyle w:val="SubNumPlain1"/>
      </w:pPr>
      <w:r>
        <w:lastRenderedPageBreak/>
        <w:t xml:space="preserve">References – the reference to AASB 118 </w:t>
      </w:r>
      <w:r>
        <w:rPr>
          <w:i/>
          <w:iCs/>
        </w:rPr>
        <w:t xml:space="preserve">Revenue </w:t>
      </w:r>
      <w:r>
        <w:t xml:space="preserve">is deleted and a reference to AASB 9 </w:t>
      </w:r>
      <w:r>
        <w:rPr>
          <w:i/>
          <w:iCs/>
        </w:rPr>
        <w:t xml:space="preserve">Financial Instruments </w:t>
      </w:r>
      <w:r>
        <w:t>is added.</w:t>
      </w:r>
    </w:p>
    <w:p w:rsidR="00363483" w:rsidRPr="002F599C" w:rsidRDefault="00363483" w:rsidP="00363483">
      <w:pPr>
        <w:pStyle w:val="Heading2"/>
      </w:pPr>
      <w:r>
        <w:t>Deferral of Certain Consequential Amendments</w:t>
      </w:r>
    </w:p>
    <w:p w:rsidR="00363483" w:rsidRDefault="00363483" w:rsidP="00363483">
      <w:pPr>
        <w:pStyle w:val="NumPlain1"/>
      </w:pPr>
      <w:r>
        <w:t>For the following pronouncements, the effective date of the consequential amendments originally set out in the following paragraphs of AASB 2014-5 is deferred to annual reporting periods beginning on or after 1 January 2018:</w:t>
      </w:r>
    </w:p>
    <w:tbl>
      <w:tblPr>
        <w:tblStyle w:val="TableGrid"/>
        <w:tblW w:w="0" w:type="auto"/>
        <w:tblInd w:w="510" w:type="dxa"/>
        <w:tblLook w:val="04A0" w:firstRow="1" w:lastRow="0" w:firstColumn="1" w:lastColumn="0" w:noHBand="0" w:noVBand="1"/>
        <w:tblCaption w:val="Deferral of certain consequential amendments"/>
        <w:tblDescription w:val="Amendments set out in AASB 2014-5 that are now deferred to periods beginning on or after 1-1-18."/>
      </w:tblPr>
      <w:tblGrid>
        <w:gridCol w:w="2992"/>
        <w:gridCol w:w="2951"/>
      </w:tblGrid>
      <w:tr w:rsidR="00363483" w:rsidRPr="002F599C" w:rsidTr="00FD0950">
        <w:trPr>
          <w:tblHeader/>
        </w:trPr>
        <w:tc>
          <w:tcPr>
            <w:tcW w:w="2992" w:type="dxa"/>
          </w:tcPr>
          <w:p w:rsidR="00363483" w:rsidRPr="002F599C" w:rsidRDefault="00363483" w:rsidP="00FD0950">
            <w:pPr>
              <w:pStyle w:val="NumPlain1"/>
              <w:keepNext/>
              <w:numPr>
                <w:ilvl w:val="0"/>
                <w:numId w:val="0"/>
              </w:numPr>
              <w:spacing w:before="120" w:after="120"/>
            </w:pPr>
            <w:r w:rsidRPr="00D34B2F">
              <w:rPr>
                <w:i/>
              </w:rPr>
              <w:t>Pronouncement</w:t>
            </w:r>
          </w:p>
        </w:tc>
        <w:tc>
          <w:tcPr>
            <w:tcW w:w="2951" w:type="dxa"/>
          </w:tcPr>
          <w:p w:rsidR="00363483" w:rsidRPr="002F599C" w:rsidRDefault="00363483" w:rsidP="00FD0950">
            <w:pPr>
              <w:pStyle w:val="NumPlain1"/>
              <w:keepNext/>
              <w:numPr>
                <w:ilvl w:val="0"/>
                <w:numId w:val="0"/>
              </w:numPr>
              <w:spacing w:before="120" w:after="120"/>
              <w:rPr>
                <w:i/>
              </w:rPr>
            </w:pPr>
            <w:r w:rsidRPr="002F599C">
              <w:rPr>
                <w:i/>
              </w:rPr>
              <w:t>Paragraph</w:t>
            </w:r>
            <w:r>
              <w:rPr>
                <w:i/>
              </w:rPr>
              <w:t>s in AASB 2014-5</w:t>
            </w:r>
          </w:p>
        </w:tc>
      </w:tr>
      <w:tr w:rsidR="00363483" w:rsidTr="00FD0950">
        <w:tc>
          <w:tcPr>
            <w:tcW w:w="2992" w:type="dxa"/>
          </w:tcPr>
          <w:p w:rsidR="00363483" w:rsidRDefault="00363483" w:rsidP="00FD0950">
            <w:pPr>
              <w:pStyle w:val="NumPlain1"/>
              <w:numPr>
                <w:ilvl w:val="0"/>
                <w:numId w:val="0"/>
              </w:numPr>
              <w:spacing w:before="120" w:after="120"/>
            </w:pPr>
            <w:r>
              <w:t>AASB 1023</w:t>
            </w:r>
          </w:p>
        </w:tc>
        <w:tc>
          <w:tcPr>
            <w:tcW w:w="2951" w:type="dxa"/>
          </w:tcPr>
          <w:p w:rsidR="00363483" w:rsidRDefault="00363483" w:rsidP="00FD0950">
            <w:pPr>
              <w:pStyle w:val="NumPlain1"/>
              <w:numPr>
                <w:ilvl w:val="0"/>
                <w:numId w:val="0"/>
              </w:numPr>
              <w:spacing w:before="120" w:after="120"/>
            </w:pPr>
            <w:r>
              <w:t>41–42</w:t>
            </w:r>
          </w:p>
        </w:tc>
      </w:tr>
      <w:tr w:rsidR="00363483" w:rsidTr="00FD0950">
        <w:tc>
          <w:tcPr>
            <w:tcW w:w="2992" w:type="dxa"/>
          </w:tcPr>
          <w:p w:rsidR="00363483" w:rsidRDefault="00363483" w:rsidP="00FD0950">
            <w:pPr>
              <w:pStyle w:val="NumPlain1"/>
              <w:numPr>
                <w:ilvl w:val="0"/>
                <w:numId w:val="0"/>
              </w:numPr>
              <w:spacing w:before="120" w:after="120"/>
            </w:pPr>
            <w:r>
              <w:t>AASB 1038</w:t>
            </w:r>
          </w:p>
        </w:tc>
        <w:tc>
          <w:tcPr>
            <w:tcW w:w="2951" w:type="dxa"/>
          </w:tcPr>
          <w:p w:rsidR="00363483" w:rsidRDefault="00363483" w:rsidP="00FD0950">
            <w:pPr>
              <w:pStyle w:val="NumPlain1"/>
              <w:numPr>
                <w:ilvl w:val="0"/>
                <w:numId w:val="0"/>
              </w:numPr>
              <w:spacing w:before="120" w:after="120"/>
            </w:pPr>
            <w:r>
              <w:t>43–44</w:t>
            </w:r>
          </w:p>
        </w:tc>
      </w:tr>
      <w:tr w:rsidR="00363483" w:rsidTr="00FD0950">
        <w:tc>
          <w:tcPr>
            <w:tcW w:w="2992" w:type="dxa"/>
          </w:tcPr>
          <w:p w:rsidR="00363483" w:rsidRDefault="00363483" w:rsidP="00FD0950">
            <w:pPr>
              <w:pStyle w:val="NumPlain1"/>
              <w:numPr>
                <w:ilvl w:val="0"/>
                <w:numId w:val="0"/>
              </w:numPr>
              <w:spacing w:before="120" w:after="120"/>
            </w:pPr>
            <w:r>
              <w:t>AASB 1039</w:t>
            </w:r>
          </w:p>
        </w:tc>
        <w:tc>
          <w:tcPr>
            <w:tcW w:w="2951" w:type="dxa"/>
          </w:tcPr>
          <w:p w:rsidR="00363483" w:rsidRDefault="00363483" w:rsidP="00FD0950">
            <w:pPr>
              <w:pStyle w:val="NumPlain1"/>
              <w:numPr>
                <w:ilvl w:val="0"/>
                <w:numId w:val="0"/>
              </w:numPr>
              <w:spacing w:before="120" w:after="120"/>
            </w:pPr>
            <w:r>
              <w:t>45</w:t>
            </w:r>
          </w:p>
        </w:tc>
      </w:tr>
      <w:tr w:rsidR="00363483" w:rsidTr="00FD0950">
        <w:tc>
          <w:tcPr>
            <w:tcW w:w="2992" w:type="dxa"/>
          </w:tcPr>
          <w:p w:rsidR="00363483" w:rsidRDefault="00363483" w:rsidP="00FD0950">
            <w:pPr>
              <w:pStyle w:val="NumPlain1"/>
              <w:numPr>
                <w:ilvl w:val="0"/>
                <w:numId w:val="0"/>
              </w:numPr>
              <w:spacing w:before="120" w:after="120"/>
            </w:pPr>
            <w:r>
              <w:t>AASB 1053</w:t>
            </w:r>
          </w:p>
        </w:tc>
        <w:tc>
          <w:tcPr>
            <w:tcW w:w="2951" w:type="dxa"/>
          </w:tcPr>
          <w:p w:rsidR="00363483" w:rsidRDefault="00363483" w:rsidP="00FD0950">
            <w:pPr>
              <w:pStyle w:val="NumPlain1"/>
              <w:numPr>
                <w:ilvl w:val="0"/>
                <w:numId w:val="0"/>
              </w:numPr>
              <w:spacing w:before="120" w:after="120"/>
            </w:pPr>
            <w:r>
              <w:t>47</w:t>
            </w:r>
          </w:p>
        </w:tc>
      </w:tr>
      <w:tr w:rsidR="00363483" w:rsidTr="00FD0950">
        <w:tc>
          <w:tcPr>
            <w:tcW w:w="2992" w:type="dxa"/>
          </w:tcPr>
          <w:p w:rsidR="00363483" w:rsidRDefault="00363483" w:rsidP="00FD0950">
            <w:pPr>
              <w:pStyle w:val="NumPlain1"/>
              <w:numPr>
                <w:ilvl w:val="0"/>
                <w:numId w:val="0"/>
              </w:numPr>
              <w:spacing w:before="120" w:after="120"/>
            </w:pPr>
            <w:r>
              <w:t>AASB 1056</w:t>
            </w:r>
          </w:p>
        </w:tc>
        <w:tc>
          <w:tcPr>
            <w:tcW w:w="2951" w:type="dxa"/>
          </w:tcPr>
          <w:p w:rsidR="00363483" w:rsidRDefault="00363483" w:rsidP="00FD0950">
            <w:pPr>
              <w:pStyle w:val="NumPlain1"/>
              <w:numPr>
                <w:ilvl w:val="0"/>
                <w:numId w:val="0"/>
              </w:numPr>
              <w:spacing w:before="120" w:after="120"/>
            </w:pPr>
            <w:r>
              <w:t>48</w:t>
            </w:r>
          </w:p>
        </w:tc>
      </w:tr>
      <w:tr w:rsidR="00363483" w:rsidTr="00FD0950">
        <w:tc>
          <w:tcPr>
            <w:tcW w:w="2992" w:type="dxa"/>
          </w:tcPr>
          <w:p w:rsidR="00363483" w:rsidRDefault="00363483" w:rsidP="00FD0950">
            <w:pPr>
              <w:pStyle w:val="NumPlain1"/>
              <w:numPr>
                <w:ilvl w:val="0"/>
                <w:numId w:val="0"/>
              </w:numPr>
              <w:spacing w:before="120" w:after="120"/>
            </w:pPr>
            <w:r>
              <w:t>Interpretation 1031</w:t>
            </w:r>
          </w:p>
        </w:tc>
        <w:tc>
          <w:tcPr>
            <w:tcW w:w="2951" w:type="dxa"/>
          </w:tcPr>
          <w:p w:rsidR="00363483" w:rsidRDefault="00363483" w:rsidP="00FD0950">
            <w:pPr>
              <w:pStyle w:val="NumPlain1"/>
              <w:numPr>
                <w:ilvl w:val="0"/>
                <w:numId w:val="0"/>
              </w:numPr>
              <w:spacing w:before="120" w:after="120"/>
            </w:pPr>
            <w:r>
              <w:t>68–69</w:t>
            </w:r>
          </w:p>
        </w:tc>
      </w:tr>
      <w:tr w:rsidR="00363483" w:rsidTr="00FD0950">
        <w:tc>
          <w:tcPr>
            <w:tcW w:w="2992" w:type="dxa"/>
          </w:tcPr>
          <w:p w:rsidR="00363483" w:rsidRDefault="00363483" w:rsidP="00FD0950">
            <w:pPr>
              <w:pStyle w:val="NumPlain1"/>
              <w:numPr>
                <w:ilvl w:val="0"/>
                <w:numId w:val="0"/>
              </w:numPr>
              <w:spacing w:before="120" w:after="120"/>
            </w:pPr>
            <w:r>
              <w:t>Interpretation 1038</w:t>
            </w:r>
          </w:p>
        </w:tc>
        <w:tc>
          <w:tcPr>
            <w:tcW w:w="2951" w:type="dxa"/>
          </w:tcPr>
          <w:p w:rsidR="00363483" w:rsidRDefault="00363483" w:rsidP="00FD0950">
            <w:pPr>
              <w:pStyle w:val="NumPlain1"/>
              <w:numPr>
                <w:ilvl w:val="0"/>
                <w:numId w:val="0"/>
              </w:numPr>
              <w:spacing w:before="120" w:after="120"/>
            </w:pPr>
            <w:r>
              <w:t>70–71</w:t>
            </w:r>
          </w:p>
        </w:tc>
      </w:tr>
    </w:tbl>
    <w:p w:rsidR="00363483" w:rsidRDefault="00363483" w:rsidP="00363483">
      <w:pPr>
        <w:pStyle w:val="NumPlain1"/>
        <w:numPr>
          <w:ilvl w:val="0"/>
          <w:numId w:val="0"/>
        </w:numPr>
        <w:ind w:left="510"/>
      </w:pPr>
    </w:p>
    <w:p w:rsidR="00363483" w:rsidRPr="002F599C" w:rsidRDefault="00363483" w:rsidP="00363483">
      <w:pPr>
        <w:pStyle w:val="Heading2"/>
      </w:pPr>
      <w:r>
        <w:t>Extended Early Application of the Consequential Amendments</w:t>
      </w:r>
    </w:p>
    <w:p w:rsidR="00363483" w:rsidRDefault="00363483" w:rsidP="00363483">
      <w:pPr>
        <w:pStyle w:val="NumPlain1"/>
      </w:pPr>
      <w:r>
        <w:t xml:space="preserve">The consequential amendments originally set out in AASB 2014-5 – except for the amendments to AASB 9 </w:t>
      </w:r>
      <w:r w:rsidRPr="001A0480">
        <w:rPr>
          <w:i/>
        </w:rPr>
        <w:t>Financial Instruments</w:t>
      </w:r>
      <w:r>
        <w:t xml:space="preserve"> (December 2009) and AASB 9 (December 2010) – could be applied early to annual reporting periods beginning before 1 January 2017.  Those consequential amendments may now be applied to annual reporting periods beginning before 1 January 2018.</w:t>
      </w:r>
    </w:p>
    <w:p w:rsidR="00363483" w:rsidRDefault="00363483" w:rsidP="00363483">
      <w:pPr>
        <w:pStyle w:val="Heading2"/>
      </w:pPr>
      <w:r>
        <w:t>Commencement of the Legislative Instrument</w:t>
      </w:r>
    </w:p>
    <w:p w:rsidR="007B5854" w:rsidRPr="00BC0794" w:rsidRDefault="00363483" w:rsidP="00BC0794">
      <w:pPr>
        <w:pStyle w:val="NumPlain1"/>
      </w:pPr>
      <w:r>
        <w:t>For legal purposes, this legislative instrument commences on 31 December 2016.</w:t>
      </w:r>
    </w:p>
    <w:sectPr w:rsidR="007B5854" w:rsidRPr="00BC0794" w:rsidSect="00590051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3686" w:right="2835" w:bottom="3686" w:left="2835" w:header="709" w:footer="3255" w:gutter="0"/>
      <w:paperSrc w:first="58" w:other="58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854" w:rsidRDefault="007B5854">
      <w:r>
        <w:separator/>
      </w:r>
    </w:p>
  </w:endnote>
  <w:endnote w:type="continuationSeparator" w:id="0">
    <w:p w:rsidR="007B5854" w:rsidRDefault="007B5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702" w:rsidRDefault="00A96702">
    <w:pPr>
      <w:pStyle w:val="Footer"/>
      <w:rPr>
        <w:b/>
      </w:rPr>
    </w:pPr>
    <w:r>
      <w:rPr>
        <w:b/>
      </w:rPr>
      <w:t xml:space="preserve">AASB </w:t>
    </w:r>
    <w:r>
      <w:rPr>
        <w:b/>
      </w:rPr>
      <w:fldChar w:fldCharType="begin" w:fldLock="1"/>
    </w:r>
    <w:r>
      <w:rPr>
        <w:b/>
      </w:rPr>
      <w:instrText xml:space="preserve"> REF DocNo  \* charformat </w:instrText>
    </w:r>
    <w:r>
      <w:rPr>
        <w:b/>
      </w:rPr>
      <w:fldChar w:fldCharType="separate"/>
    </w:r>
    <w:r w:rsidR="007B5854" w:rsidRPr="007B5854">
      <w:rPr>
        <w:b/>
      </w:rPr>
      <w:t>2015-8</w:t>
    </w:r>
    <w:r>
      <w:rPr>
        <w:b/>
      </w:rPr>
      <w:fldChar w:fldCharType="end"/>
    </w:r>
    <w:r>
      <w:rPr>
        <w:b/>
      </w:rPr>
      <w:tab/>
    </w:r>
    <w:r>
      <w:fldChar w:fldCharType="begin"/>
    </w:r>
    <w:r>
      <w:instrText>PAGE</w:instrText>
    </w:r>
    <w:r>
      <w:fldChar w:fldCharType="separate"/>
    </w:r>
    <w:r w:rsidR="00BF282B">
      <w:rPr>
        <w:noProof/>
      </w:rPr>
      <w:t>2</w:t>
    </w:r>
    <w:r>
      <w:fldChar w:fldCharType="end"/>
    </w:r>
    <w:r>
      <w:tab/>
    </w:r>
    <w:r>
      <w:rPr>
        <w:b/>
        <w:bCs/>
      </w:rPr>
      <w:t>COPYRIGHT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702" w:rsidRDefault="00A96702">
    <w:pPr>
      <w:pStyle w:val="Footer"/>
      <w:rPr>
        <w:b/>
      </w:rPr>
    </w:pPr>
    <w:r>
      <w:rPr>
        <w:b/>
      </w:rPr>
      <w:t xml:space="preserve">AASB </w:t>
    </w:r>
    <w:r>
      <w:rPr>
        <w:b/>
      </w:rPr>
      <w:fldChar w:fldCharType="begin" w:fldLock="1"/>
    </w:r>
    <w:r>
      <w:rPr>
        <w:b/>
      </w:rPr>
      <w:instrText xml:space="preserve"> REF DocNo  \* charformat </w:instrText>
    </w:r>
    <w:r>
      <w:rPr>
        <w:b/>
      </w:rPr>
      <w:fldChar w:fldCharType="separate"/>
    </w:r>
    <w:r w:rsidR="007B5854" w:rsidRPr="007B5854">
      <w:rPr>
        <w:b/>
      </w:rPr>
      <w:t>2015-8</w:t>
    </w:r>
    <w:r>
      <w:rPr>
        <w:b/>
      </w:rPr>
      <w:fldChar w:fldCharType="end"/>
    </w:r>
    <w:r>
      <w:rPr>
        <w:b/>
      </w:rPr>
      <w:tab/>
    </w:r>
    <w:r>
      <w:fldChar w:fldCharType="begin"/>
    </w:r>
    <w:r>
      <w:instrText>PAGE</w:instrText>
    </w:r>
    <w:r>
      <w:fldChar w:fldCharType="separate"/>
    </w:r>
    <w:r w:rsidR="00BF282B">
      <w:rPr>
        <w:noProof/>
      </w:rPr>
      <w:t>3</w:t>
    </w:r>
    <w:r>
      <w:fldChar w:fldCharType="end"/>
    </w:r>
    <w:r>
      <w:tab/>
    </w:r>
    <w:r>
      <w:rPr>
        <w:b/>
        <w:bCs/>
      </w:rPr>
      <w:t>CONTENTS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702" w:rsidRDefault="00A96702">
    <w:pPr>
      <w:pStyle w:val="Footer"/>
      <w:rPr>
        <w:b/>
      </w:rPr>
    </w:pPr>
    <w:r>
      <w:rPr>
        <w:b/>
      </w:rPr>
      <w:t xml:space="preserve">AASB </w:t>
    </w:r>
    <w:r>
      <w:rPr>
        <w:b/>
      </w:rPr>
      <w:fldChar w:fldCharType="begin" w:fldLock="1"/>
    </w:r>
    <w:r>
      <w:rPr>
        <w:b/>
      </w:rPr>
      <w:instrText xml:space="preserve"> REF DocNo  \* charformat </w:instrText>
    </w:r>
    <w:r>
      <w:rPr>
        <w:b/>
      </w:rPr>
      <w:fldChar w:fldCharType="separate"/>
    </w:r>
    <w:r w:rsidR="007B5854" w:rsidRPr="007B5854">
      <w:rPr>
        <w:b/>
      </w:rPr>
      <w:t>2015-8</w:t>
    </w:r>
    <w:r>
      <w:rPr>
        <w:b/>
      </w:rPr>
      <w:fldChar w:fldCharType="end"/>
    </w:r>
    <w:r>
      <w:rPr>
        <w:b/>
      </w:rPr>
      <w:tab/>
    </w:r>
    <w:r>
      <w:fldChar w:fldCharType="begin"/>
    </w:r>
    <w:r>
      <w:instrText>PAGE</w:instrText>
    </w:r>
    <w:r>
      <w:fldChar w:fldCharType="separate"/>
    </w:r>
    <w:r w:rsidR="00BF282B">
      <w:rPr>
        <w:noProof/>
      </w:rPr>
      <w:t>4</w:t>
    </w:r>
    <w:r>
      <w:fldChar w:fldCharType="end"/>
    </w:r>
    <w:r>
      <w:tab/>
    </w:r>
    <w:r>
      <w:rPr>
        <w:b/>
        <w:bCs/>
      </w:rPr>
      <w:t>PREFACE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702" w:rsidRDefault="00A96702">
    <w:pPr>
      <w:pStyle w:val="Footer"/>
      <w:rPr>
        <w:b/>
      </w:rPr>
    </w:pPr>
    <w:r>
      <w:rPr>
        <w:b/>
      </w:rPr>
      <w:t xml:space="preserve">AASB </w:t>
    </w:r>
    <w:r>
      <w:rPr>
        <w:b/>
      </w:rPr>
      <w:fldChar w:fldCharType="begin" w:fldLock="1"/>
    </w:r>
    <w:r>
      <w:rPr>
        <w:b/>
      </w:rPr>
      <w:instrText xml:space="preserve"> REF DocNo  \* charformat </w:instrText>
    </w:r>
    <w:r>
      <w:rPr>
        <w:b/>
      </w:rPr>
      <w:fldChar w:fldCharType="separate"/>
    </w:r>
    <w:r w:rsidR="007B5854" w:rsidRPr="007B5854">
      <w:rPr>
        <w:b/>
      </w:rPr>
      <w:t>2015-8</w:t>
    </w:r>
    <w:r>
      <w:rPr>
        <w:b/>
      </w:rPr>
      <w:fldChar w:fldCharType="end"/>
    </w:r>
    <w:r>
      <w:rPr>
        <w:b/>
      </w:rPr>
      <w:tab/>
    </w:r>
    <w:r>
      <w:fldChar w:fldCharType="begin"/>
    </w:r>
    <w:r>
      <w:instrText>PAGE</w:instrText>
    </w:r>
    <w:r>
      <w:fldChar w:fldCharType="separate"/>
    </w:r>
    <w:r w:rsidR="00BF282B">
      <w:rPr>
        <w:noProof/>
      </w:rPr>
      <w:t>11</w:t>
    </w:r>
    <w:r>
      <w:fldChar w:fldCharType="end"/>
    </w:r>
    <w:r>
      <w:tab/>
    </w:r>
    <w:r>
      <w:rPr>
        <w:b/>
        <w:bCs/>
      </w:rPr>
      <w:t>STANDARD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702" w:rsidRDefault="00A967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854" w:rsidRDefault="007B5854">
      <w:r>
        <w:separator/>
      </w:r>
    </w:p>
  </w:footnote>
  <w:footnote w:type="continuationSeparator" w:id="0">
    <w:p w:rsidR="007B5854" w:rsidRDefault="007B58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702" w:rsidRDefault="00A967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702" w:rsidRDefault="00A967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7DE"/>
    <w:multiLevelType w:val="multilevel"/>
    <w:tmpl w:val="8DC64E64"/>
    <w:styleLink w:val="AASBSubNumbersBold"/>
    <w:lvl w:ilvl="0">
      <w:start w:val="1"/>
      <w:numFmt w:val="none"/>
      <w:pStyle w:val="SubNumBold1"/>
      <w:suff w:val="nothing"/>
      <w:lvlText w:val="%1"/>
      <w:lvlJc w:val="left"/>
      <w:pPr>
        <w:ind w:left="1021" w:hanging="511"/>
      </w:pPr>
      <w:rPr>
        <w:rFonts w:hint="default"/>
      </w:rPr>
    </w:lvl>
    <w:lvl w:ilvl="1">
      <w:start w:val="1"/>
      <w:numFmt w:val="lowerLetter"/>
      <w:pStyle w:val="SubNumBold2"/>
      <w:lvlText w:val="(%2)"/>
      <w:lvlJc w:val="left"/>
      <w:pPr>
        <w:tabs>
          <w:tab w:val="num" w:pos="1020"/>
        </w:tabs>
        <w:ind w:left="1531" w:hanging="511"/>
      </w:pPr>
      <w:rPr>
        <w:rFonts w:hint="default"/>
      </w:rPr>
    </w:lvl>
    <w:lvl w:ilvl="2">
      <w:start w:val="1"/>
      <w:numFmt w:val="lowerRoman"/>
      <w:pStyle w:val="SubNumBold3"/>
      <w:lvlText w:val="(%3)"/>
      <w:lvlJc w:val="left"/>
      <w:pPr>
        <w:tabs>
          <w:tab w:val="num" w:pos="1530"/>
        </w:tabs>
        <w:ind w:left="2041" w:hanging="511"/>
      </w:pPr>
      <w:rPr>
        <w:rFonts w:hint="default"/>
      </w:rPr>
    </w:lvl>
    <w:lvl w:ilvl="3">
      <w:start w:val="1"/>
      <w:numFmt w:val="upperLetter"/>
      <w:pStyle w:val="SubNumBold4"/>
      <w:lvlText w:val="(%4)"/>
      <w:lvlJc w:val="left"/>
      <w:pPr>
        <w:tabs>
          <w:tab w:val="num" w:pos="2040"/>
        </w:tabs>
        <w:ind w:left="2551" w:hanging="51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50"/>
        </w:tabs>
        <w:ind w:left="3061" w:hanging="51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60"/>
        </w:tabs>
        <w:ind w:left="3571" w:hanging="51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0"/>
        </w:tabs>
        <w:ind w:left="4081" w:hanging="51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080"/>
        </w:tabs>
        <w:ind w:left="4591" w:hanging="51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90"/>
        </w:tabs>
        <w:ind w:left="5101" w:hanging="511"/>
      </w:pPr>
      <w:rPr>
        <w:rFonts w:hint="default"/>
      </w:rPr>
    </w:lvl>
  </w:abstractNum>
  <w:abstractNum w:abstractNumId="1">
    <w:nsid w:val="03F92581"/>
    <w:multiLevelType w:val="multilevel"/>
    <w:tmpl w:val="AD5ABFF2"/>
    <w:numStyleLink w:val="AASBSubNumbers"/>
  </w:abstractNum>
  <w:abstractNum w:abstractNumId="2">
    <w:nsid w:val="13E035C2"/>
    <w:multiLevelType w:val="multilevel"/>
    <w:tmpl w:val="95A2D1B2"/>
    <w:lvl w:ilvl="0">
      <w:start w:val="1"/>
      <w:numFmt w:val="decimal"/>
      <w:pStyle w:val="NumBC1"/>
      <w:lvlText w:val="BC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u w:val="none"/>
      </w:rPr>
    </w:lvl>
    <w:lvl w:ilvl="1">
      <w:start w:val="1"/>
      <w:numFmt w:val="lowerLetter"/>
      <w:pStyle w:val="NumBC2"/>
      <w:lvlText w:val="(%2)"/>
      <w:lvlJc w:val="left"/>
      <w:pPr>
        <w:tabs>
          <w:tab w:val="num" w:pos="1247"/>
        </w:tabs>
        <w:ind w:left="1247" w:hanging="623"/>
      </w:pPr>
      <w:rPr>
        <w:rFonts w:hint="default"/>
        <w:b w:val="0"/>
        <w:bCs w:val="0"/>
        <w:u w:val="none"/>
      </w:rPr>
    </w:lvl>
    <w:lvl w:ilvl="2">
      <w:start w:val="1"/>
      <w:numFmt w:val="lowerRoman"/>
      <w:pStyle w:val="NumBC3"/>
      <w:lvlText w:val="(%3)"/>
      <w:lvlJc w:val="left"/>
      <w:pPr>
        <w:tabs>
          <w:tab w:val="num" w:pos="1871"/>
        </w:tabs>
        <w:ind w:left="1871" w:hanging="624"/>
      </w:pPr>
      <w:rPr>
        <w:rFonts w:hint="default"/>
        <w:b w:val="0"/>
        <w:bCs w:val="0"/>
        <w:u w:val="none"/>
      </w:rPr>
    </w:lvl>
    <w:lvl w:ilvl="3">
      <w:start w:val="1"/>
      <w:numFmt w:val="upperLetter"/>
      <w:pStyle w:val="NumBC4"/>
      <w:lvlText w:val="(%4)"/>
      <w:lvlJc w:val="left"/>
      <w:pPr>
        <w:tabs>
          <w:tab w:val="num" w:pos="2495"/>
        </w:tabs>
        <w:ind w:left="2495" w:hanging="624"/>
      </w:pPr>
      <w:rPr>
        <w:rFonts w:hint="default"/>
        <w:b w:val="0"/>
        <w:bCs w:val="0"/>
        <w:u w:val="none"/>
      </w:rPr>
    </w:lvl>
    <w:lvl w:ilvl="4">
      <w:start w:val="1"/>
      <w:numFmt w:val="upperRoman"/>
      <w:lvlText w:val="%5"/>
      <w:lvlJc w:val="left"/>
      <w:pPr>
        <w:tabs>
          <w:tab w:val="num" w:pos="3543"/>
        </w:tabs>
        <w:ind w:left="3543" w:hanging="708"/>
      </w:pPr>
      <w:rPr>
        <w:rFonts w:hint="default"/>
        <w:b w:val="0"/>
        <w:bCs w:val="0"/>
        <w:u w:val="none"/>
      </w:rPr>
    </w:lvl>
    <w:lvl w:ilvl="5">
      <w:start w:val="1"/>
      <w:numFmt w:val="decimal"/>
      <w:lvlText w:val="%6"/>
      <w:lvlJc w:val="left"/>
      <w:pPr>
        <w:tabs>
          <w:tab w:val="num" w:pos="4253"/>
        </w:tabs>
        <w:ind w:left="4253" w:hanging="709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961"/>
        </w:tabs>
        <w:ind w:left="4961" w:hanging="708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5670"/>
        </w:tabs>
        <w:ind w:left="5670" w:hanging="709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6379"/>
        </w:tabs>
        <w:ind w:left="6379" w:hanging="709"/>
      </w:pPr>
      <w:rPr>
        <w:rFonts w:hint="default"/>
      </w:rPr>
    </w:lvl>
  </w:abstractNum>
  <w:abstractNum w:abstractNumId="3">
    <w:nsid w:val="22217511"/>
    <w:multiLevelType w:val="multilevel"/>
    <w:tmpl w:val="017AF28C"/>
    <w:styleLink w:val="Bullets"/>
    <w:lvl w:ilvl="0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008" w:hanging="50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512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2016" w:hanging="504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2520" w:hanging="504"/>
      </w:pPr>
      <w:rPr>
        <w:rFonts w:hint="default"/>
      </w:rPr>
    </w:lvl>
    <w:lvl w:ilvl="5">
      <w:start w:val="1"/>
      <w:numFmt w:val="none"/>
      <w:lvlText w:val=""/>
      <w:lvlJc w:val="left"/>
      <w:pPr>
        <w:ind w:left="3024" w:hanging="504"/>
      </w:pPr>
      <w:rPr>
        <w:rFonts w:hint="default"/>
      </w:rPr>
    </w:lvl>
    <w:lvl w:ilvl="6">
      <w:start w:val="1"/>
      <w:numFmt w:val="none"/>
      <w:lvlText w:val=""/>
      <w:lvlJc w:val="left"/>
      <w:pPr>
        <w:ind w:left="3528" w:hanging="504"/>
      </w:pPr>
      <w:rPr>
        <w:rFonts w:hint="default"/>
      </w:rPr>
    </w:lvl>
    <w:lvl w:ilvl="7">
      <w:start w:val="1"/>
      <w:numFmt w:val="none"/>
      <w:lvlText w:val=""/>
      <w:lvlJc w:val="left"/>
      <w:pPr>
        <w:ind w:left="4032" w:hanging="504"/>
      </w:pPr>
      <w:rPr>
        <w:rFonts w:hint="default"/>
      </w:rPr>
    </w:lvl>
    <w:lvl w:ilvl="8">
      <w:start w:val="1"/>
      <w:numFmt w:val="none"/>
      <w:lvlText w:val=""/>
      <w:lvlJc w:val="left"/>
      <w:pPr>
        <w:ind w:left="4536" w:hanging="504"/>
      </w:pPr>
      <w:rPr>
        <w:rFonts w:hint="default"/>
      </w:rPr>
    </w:lvl>
  </w:abstractNum>
  <w:abstractNum w:abstractNumId="4">
    <w:nsid w:val="2576465B"/>
    <w:multiLevelType w:val="multilevel"/>
    <w:tmpl w:val="D9F888A8"/>
    <w:lvl w:ilvl="0">
      <w:start w:val="1"/>
      <w:numFmt w:val="lowerLetter"/>
      <w:pStyle w:val="NumPlainA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lowerRoman"/>
      <w:pStyle w:val="NumPlainA2"/>
      <w:lvlText w:val="(%2)"/>
      <w:lvlJc w:val="left"/>
      <w:pPr>
        <w:tabs>
          <w:tab w:val="num" w:pos="1021"/>
        </w:tabs>
        <w:ind w:left="1021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2A7A35E2"/>
    <w:multiLevelType w:val="multilevel"/>
    <w:tmpl w:val="AD5ABFF2"/>
    <w:styleLink w:val="AASBSubNumbers"/>
    <w:lvl w:ilvl="0">
      <w:start w:val="1"/>
      <w:numFmt w:val="none"/>
      <w:pStyle w:val="SubNumPlain1"/>
      <w:suff w:val="nothing"/>
      <w:lvlText w:val="%1"/>
      <w:lvlJc w:val="left"/>
      <w:pPr>
        <w:ind w:left="1021" w:hanging="511"/>
      </w:pPr>
      <w:rPr>
        <w:rFonts w:hint="default"/>
      </w:rPr>
    </w:lvl>
    <w:lvl w:ilvl="1">
      <w:start w:val="1"/>
      <w:numFmt w:val="lowerLetter"/>
      <w:pStyle w:val="SubNumPlain2"/>
      <w:lvlText w:val="(%2)"/>
      <w:lvlJc w:val="left"/>
      <w:pPr>
        <w:ind w:left="1531" w:hanging="511"/>
      </w:pPr>
      <w:rPr>
        <w:rFonts w:hint="default"/>
      </w:rPr>
    </w:lvl>
    <w:lvl w:ilvl="2">
      <w:start w:val="1"/>
      <w:numFmt w:val="lowerRoman"/>
      <w:pStyle w:val="SubNumPlain3"/>
      <w:lvlText w:val="(%3)"/>
      <w:lvlJc w:val="left"/>
      <w:pPr>
        <w:ind w:left="2041" w:hanging="511"/>
      </w:pPr>
      <w:rPr>
        <w:rFonts w:hint="default"/>
      </w:rPr>
    </w:lvl>
    <w:lvl w:ilvl="3">
      <w:start w:val="1"/>
      <w:numFmt w:val="upperLetter"/>
      <w:pStyle w:val="SubNumPlain4"/>
      <w:lvlText w:val="(%4)"/>
      <w:lvlJc w:val="left"/>
      <w:pPr>
        <w:ind w:left="2551" w:hanging="51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061" w:hanging="51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1" w:hanging="51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81" w:hanging="51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91" w:hanging="51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1" w:hanging="511"/>
      </w:pPr>
      <w:rPr>
        <w:rFonts w:hint="default"/>
      </w:rPr>
    </w:lvl>
  </w:abstractNum>
  <w:abstractNum w:abstractNumId="6">
    <w:nsid w:val="61542243"/>
    <w:multiLevelType w:val="multilevel"/>
    <w:tmpl w:val="BDF015A6"/>
    <w:lvl w:ilvl="0">
      <w:start w:val="1"/>
      <w:numFmt w:val="decimal"/>
      <w:pStyle w:val="NumPlain1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lowerLetter"/>
      <w:pStyle w:val="NumPlain2"/>
      <w:lvlText w:val="(%2)"/>
      <w:lvlJc w:val="left"/>
      <w:pPr>
        <w:tabs>
          <w:tab w:val="num" w:pos="1021"/>
        </w:tabs>
        <w:ind w:left="1021" w:hanging="511"/>
      </w:pPr>
      <w:rPr>
        <w:rFonts w:hint="default"/>
      </w:rPr>
    </w:lvl>
    <w:lvl w:ilvl="2">
      <w:start w:val="1"/>
      <w:numFmt w:val="lowerRoman"/>
      <w:pStyle w:val="NumPlain3"/>
      <w:lvlText w:val="(%3)"/>
      <w:lvlJc w:val="left"/>
      <w:pPr>
        <w:tabs>
          <w:tab w:val="num" w:pos="1531"/>
        </w:tabs>
        <w:ind w:left="1531" w:hanging="510"/>
      </w:pPr>
      <w:rPr>
        <w:rFonts w:hint="default"/>
      </w:rPr>
    </w:lvl>
    <w:lvl w:ilvl="3">
      <w:start w:val="1"/>
      <w:numFmt w:val="upperLetter"/>
      <w:pStyle w:val="NumPlain4"/>
      <w:lvlText w:val="(%4)"/>
      <w:lvlJc w:val="left"/>
      <w:pPr>
        <w:tabs>
          <w:tab w:val="num" w:pos="2041"/>
        </w:tabs>
        <w:ind w:left="2041" w:hanging="51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51"/>
        </w:tabs>
        <w:ind w:left="265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11"/>
        </w:tabs>
        <w:ind w:left="301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31"/>
        </w:tabs>
        <w:ind w:left="373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hint="default"/>
      </w:rPr>
    </w:lvl>
  </w:abstractNum>
  <w:abstractNum w:abstractNumId="7">
    <w:nsid w:val="6D2B46A3"/>
    <w:multiLevelType w:val="multilevel"/>
    <w:tmpl w:val="A80ECEA6"/>
    <w:lvl w:ilvl="0">
      <w:start w:val="1"/>
      <w:numFmt w:val="bullet"/>
      <w:pStyle w:val="Bullet1"/>
      <w:lvlText w:val=""/>
      <w:lvlJc w:val="left"/>
      <w:pPr>
        <w:ind w:left="504" w:hanging="504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"/>
      <w:lvlJc w:val="left"/>
      <w:pPr>
        <w:ind w:left="1008" w:hanging="504"/>
      </w:pPr>
      <w:rPr>
        <w:rFonts w:ascii="Symbol" w:hAnsi="Symbol" w:hint="default"/>
        <w:color w:val="auto"/>
      </w:rPr>
    </w:lvl>
    <w:lvl w:ilvl="2">
      <w:start w:val="1"/>
      <w:numFmt w:val="bullet"/>
      <w:pStyle w:val="Bullet3"/>
      <w:lvlText w:val=""/>
      <w:lvlJc w:val="left"/>
      <w:pPr>
        <w:ind w:left="1512" w:hanging="504"/>
      </w:pPr>
      <w:rPr>
        <w:rFonts w:ascii="Symbol" w:hAnsi="Symbol" w:hint="default"/>
        <w:color w:val="auto"/>
      </w:rPr>
    </w:lvl>
    <w:lvl w:ilvl="3">
      <w:start w:val="1"/>
      <w:numFmt w:val="bullet"/>
      <w:pStyle w:val="Bullet4"/>
      <w:lvlText w:val=""/>
      <w:lvlJc w:val="left"/>
      <w:pPr>
        <w:ind w:left="2016" w:hanging="504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2520" w:hanging="504"/>
      </w:pPr>
      <w:rPr>
        <w:rFonts w:hint="default"/>
      </w:rPr>
    </w:lvl>
    <w:lvl w:ilvl="5">
      <w:start w:val="1"/>
      <w:numFmt w:val="none"/>
      <w:lvlText w:val=""/>
      <w:lvlJc w:val="left"/>
      <w:pPr>
        <w:ind w:left="3024" w:hanging="504"/>
      </w:pPr>
      <w:rPr>
        <w:rFonts w:hint="default"/>
      </w:rPr>
    </w:lvl>
    <w:lvl w:ilvl="6">
      <w:start w:val="1"/>
      <w:numFmt w:val="none"/>
      <w:lvlText w:val=""/>
      <w:lvlJc w:val="left"/>
      <w:pPr>
        <w:ind w:left="3528" w:hanging="504"/>
      </w:pPr>
      <w:rPr>
        <w:rFonts w:hint="default"/>
      </w:rPr>
    </w:lvl>
    <w:lvl w:ilvl="7">
      <w:start w:val="1"/>
      <w:numFmt w:val="none"/>
      <w:lvlText w:val=""/>
      <w:lvlJc w:val="left"/>
      <w:pPr>
        <w:ind w:left="4032" w:hanging="504"/>
      </w:pPr>
      <w:rPr>
        <w:rFonts w:hint="default"/>
      </w:rPr>
    </w:lvl>
    <w:lvl w:ilvl="8">
      <w:start w:val="1"/>
      <w:numFmt w:val="none"/>
      <w:lvlText w:val=""/>
      <w:lvlJc w:val="left"/>
      <w:pPr>
        <w:ind w:left="4536" w:hanging="504"/>
      </w:pPr>
      <w:rPr>
        <w:rFonts w:hint="default"/>
      </w:rPr>
    </w:lvl>
  </w:abstractNum>
  <w:abstractNum w:abstractNumId="8">
    <w:nsid w:val="7034512C"/>
    <w:multiLevelType w:val="hybridMultilevel"/>
    <w:tmpl w:val="87A659DC"/>
    <w:lvl w:ilvl="0" w:tplc="0D1C2E8A">
      <w:start w:val="1"/>
      <w:numFmt w:val="decimal"/>
      <w:lvlRestart w:val="0"/>
      <w:pStyle w:val="NumberedLis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5"/>
  </w:num>
  <w:num w:numId="9">
    <w:abstractNumId w:val="1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24"/>
  <w:displayHorizontalDrawingGridEvery w:val="0"/>
  <w:displayVerticalDrawingGridEvery w:val="0"/>
  <w:doNotShadeFormData/>
  <w:noPunctuationKerning/>
  <w:characterSpacingControl w:val="doNotCompress"/>
  <w:hdrShapeDefaults>
    <o:shapedefaults v:ext="edit" spidmax="18433">
      <o:colormru v:ext="edit" colors="#ddd,silver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854"/>
    <w:rsid w:val="0000292B"/>
    <w:rsid w:val="00027E8B"/>
    <w:rsid w:val="0004455B"/>
    <w:rsid w:val="00074133"/>
    <w:rsid w:val="00090A6F"/>
    <w:rsid w:val="00096027"/>
    <w:rsid w:val="000B733C"/>
    <w:rsid w:val="000C3EB0"/>
    <w:rsid w:val="000D7B40"/>
    <w:rsid w:val="000F64CC"/>
    <w:rsid w:val="00110B96"/>
    <w:rsid w:val="001162C5"/>
    <w:rsid w:val="001206CF"/>
    <w:rsid w:val="001662B8"/>
    <w:rsid w:val="00171F51"/>
    <w:rsid w:val="001761C6"/>
    <w:rsid w:val="001864D4"/>
    <w:rsid w:val="0019286F"/>
    <w:rsid w:val="001B33A5"/>
    <w:rsid w:val="001C225F"/>
    <w:rsid w:val="001F78DF"/>
    <w:rsid w:val="002069D2"/>
    <w:rsid w:val="0022022E"/>
    <w:rsid w:val="0028086D"/>
    <w:rsid w:val="00283482"/>
    <w:rsid w:val="0029647E"/>
    <w:rsid w:val="002A201D"/>
    <w:rsid w:val="002B7803"/>
    <w:rsid w:val="002F1CD0"/>
    <w:rsid w:val="00307F26"/>
    <w:rsid w:val="003251D8"/>
    <w:rsid w:val="0033581C"/>
    <w:rsid w:val="00363483"/>
    <w:rsid w:val="00364B30"/>
    <w:rsid w:val="00367DC9"/>
    <w:rsid w:val="00377B8D"/>
    <w:rsid w:val="00382796"/>
    <w:rsid w:val="0039009E"/>
    <w:rsid w:val="003A488F"/>
    <w:rsid w:val="003B0CAA"/>
    <w:rsid w:val="003B0E71"/>
    <w:rsid w:val="003D1DD4"/>
    <w:rsid w:val="003E0A68"/>
    <w:rsid w:val="00401ECA"/>
    <w:rsid w:val="004150BD"/>
    <w:rsid w:val="00422E4D"/>
    <w:rsid w:val="00426876"/>
    <w:rsid w:val="00434D86"/>
    <w:rsid w:val="00436A2D"/>
    <w:rsid w:val="0044702C"/>
    <w:rsid w:val="004502C3"/>
    <w:rsid w:val="00460FBB"/>
    <w:rsid w:val="00470CE9"/>
    <w:rsid w:val="0047683E"/>
    <w:rsid w:val="0048155F"/>
    <w:rsid w:val="00487CF6"/>
    <w:rsid w:val="004961F8"/>
    <w:rsid w:val="004A417F"/>
    <w:rsid w:val="004B038C"/>
    <w:rsid w:val="004B736C"/>
    <w:rsid w:val="004C5BDE"/>
    <w:rsid w:val="004D3809"/>
    <w:rsid w:val="004D4D1C"/>
    <w:rsid w:val="004F55FE"/>
    <w:rsid w:val="00500E80"/>
    <w:rsid w:val="00511C34"/>
    <w:rsid w:val="005166B2"/>
    <w:rsid w:val="0053452C"/>
    <w:rsid w:val="00535EC5"/>
    <w:rsid w:val="0056274D"/>
    <w:rsid w:val="00577065"/>
    <w:rsid w:val="0058004D"/>
    <w:rsid w:val="00590051"/>
    <w:rsid w:val="005A2514"/>
    <w:rsid w:val="005B146F"/>
    <w:rsid w:val="005B51A7"/>
    <w:rsid w:val="005E6BE4"/>
    <w:rsid w:val="00602261"/>
    <w:rsid w:val="00641282"/>
    <w:rsid w:val="00652DF8"/>
    <w:rsid w:val="0066003A"/>
    <w:rsid w:val="006A3AE9"/>
    <w:rsid w:val="006A40E5"/>
    <w:rsid w:val="006B0CD6"/>
    <w:rsid w:val="006C23FF"/>
    <w:rsid w:val="006C2E37"/>
    <w:rsid w:val="006D055E"/>
    <w:rsid w:val="006D134A"/>
    <w:rsid w:val="006D4700"/>
    <w:rsid w:val="006D7679"/>
    <w:rsid w:val="006E2C39"/>
    <w:rsid w:val="00714340"/>
    <w:rsid w:val="007333C2"/>
    <w:rsid w:val="00737714"/>
    <w:rsid w:val="00742E4B"/>
    <w:rsid w:val="007455F0"/>
    <w:rsid w:val="00751F6A"/>
    <w:rsid w:val="007554ED"/>
    <w:rsid w:val="00755E40"/>
    <w:rsid w:val="00756FF6"/>
    <w:rsid w:val="0076127E"/>
    <w:rsid w:val="00772278"/>
    <w:rsid w:val="0078116B"/>
    <w:rsid w:val="007A6BC3"/>
    <w:rsid w:val="007B5854"/>
    <w:rsid w:val="007F1D3D"/>
    <w:rsid w:val="00812637"/>
    <w:rsid w:val="00813227"/>
    <w:rsid w:val="00820794"/>
    <w:rsid w:val="00831497"/>
    <w:rsid w:val="008459E8"/>
    <w:rsid w:val="00864ADE"/>
    <w:rsid w:val="00871A12"/>
    <w:rsid w:val="00881BBE"/>
    <w:rsid w:val="008A6182"/>
    <w:rsid w:val="008B1D94"/>
    <w:rsid w:val="008B643A"/>
    <w:rsid w:val="008C54D8"/>
    <w:rsid w:val="008C60B1"/>
    <w:rsid w:val="008C6BD0"/>
    <w:rsid w:val="008D2EBD"/>
    <w:rsid w:val="008F0A81"/>
    <w:rsid w:val="008F3EBA"/>
    <w:rsid w:val="008F5963"/>
    <w:rsid w:val="00923261"/>
    <w:rsid w:val="009256B7"/>
    <w:rsid w:val="00970C7A"/>
    <w:rsid w:val="009721DB"/>
    <w:rsid w:val="009B6535"/>
    <w:rsid w:val="009C2479"/>
    <w:rsid w:val="009D06F8"/>
    <w:rsid w:val="009D73F1"/>
    <w:rsid w:val="009D7515"/>
    <w:rsid w:val="00A05041"/>
    <w:rsid w:val="00A12F86"/>
    <w:rsid w:val="00A13F82"/>
    <w:rsid w:val="00A16664"/>
    <w:rsid w:val="00A41ED3"/>
    <w:rsid w:val="00A47FA2"/>
    <w:rsid w:val="00A55F4F"/>
    <w:rsid w:val="00A748BA"/>
    <w:rsid w:val="00A83862"/>
    <w:rsid w:val="00A8486C"/>
    <w:rsid w:val="00A96702"/>
    <w:rsid w:val="00A97EB2"/>
    <w:rsid w:val="00AA14A9"/>
    <w:rsid w:val="00AB10F0"/>
    <w:rsid w:val="00AB780A"/>
    <w:rsid w:val="00AC4315"/>
    <w:rsid w:val="00AD42DA"/>
    <w:rsid w:val="00AF61B8"/>
    <w:rsid w:val="00B10127"/>
    <w:rsid w:val="00B110AD"/>
    <w:rsid w:val="00B271BA"/>
    <w:rsid w:val="00B30AC9"/>
    <w:rsid w:val="00B3429E"/>
    <w:rsid w:val="00B74237"/>
    <w:rsid w:val="00BA3AB4"/>
    <w:rsid w:val="00BA4622"/>
    <w:rsid w:val="00BB4C9F"/>
    <w:rsid w:val="00BC0794"/>
    <w:rsid w:val="00BC0D5D"/>
    <w:rsid w:val="00BE2F68"/>
    <w:rsid w:val="00BE38FC"/>
    <w:rsid w:val="00BF282B"/>
    <w:rsid w:val="00C03C7B"/>
    <w:rsid w:val="00C3493B"/>
    <w:rsid w:val="00C37458"/>
    <w:rsid w:val="00C438DD"/>
    <w:rsid w:val="00C43CD1"/>
    <w:rsid w:val="00C45020"/>
    <w:rsid w:val="00C467CC"/>
    <w:rsid w:val="00C5022C"/>
    <w:rsid w:val="00C552FD"/>
    <w:rsid w:val="00C63573"/>
    <w:rsid w:val="00C95D8A"/>
    <w:rsid w:val="00CB719A"/>
    <w:rsid w:val="00CC6FCD"/>
    <w:rsid w:val="00CD5D1C"/>
    <w:rsid w:val="00CE2F8C"/>
    <w:rsid w:val="00CF75CA"/>
    <w:rsid w:val="00CF7B67"/>
    <w:rsid w:val="00D00FD5"/>
    <w:rsid w:val="00D15DE8"/>
    <w:rsid w:val="00D52086"/>
    <w:rsid w:val="00D54F5C"/>
    <w:rsid w:val="00D66954"/>
    <w:rsid w:val="00D67336"/>
    <w:rsid w:val="00D74038"/>
    <w:rsid w:val="00D942EB"/>
    <w:rsid w:val="00D96A64"/>
    <w:rsid w:val="00DA2A7B"/>
    <w:rsid w:val="00DB4B86"/>
    <w:rsid w:val="00DC7E1B"/>
    <w:rsid w:val="00DD1DDC"/>
    <w:rsid w:val="00DD7E7A"/>
    <w:rsid w:val="00DF39E3"/>
    <w:rsid w:val="00E033B7"/>
    <w:rsid w:val="00E06C2F"/>
    <w:rsid w:val="00E24399"/>
    <w:rsid w:val="00E274C6"/>
    <w:rsid w:val="00E41399"/>
    <w:rsid w:val="00E430DF"/>
    <w:rsid w:val="00E63279"/>
    <w:rsid w:val="00E74BD5"/>
    <w:rsid w:val="00E7592A"/>
    <w:rsid w:val="00E839DA"/>
    <w:rsid w:val="00E90B4F"/>
    <w:rsid w:val="00E915E3"/>
    <w:rsid w:val="00E94DA2"/>
    <w:rsid w:val="00E97B4B"/>
    <w:rsid w:val="00EB4197"/>
    <w:rsid w:val="00EB4756"/>
    <w:rsid w:val="00EC4AFD"/>
    <w:rsid w:val="00ED06E4"/>
    <w:rsid w:val="00EE2509"/>
    <w:rsid w:val="00EE3D03"/>
    <w:rsid w:val="00EE740D"/>
    <w:rsid w:val="00F14BDB"/>
    <w:rsid w:val="00F2677A"/>
    <w:rsid w:val="00F27D29"/>
    <w:rsid w:val="00F424C9"/>
    <w:rsid w:val="00F66B41"/>
    <w:rsid w:val="00F82A0E"/>
    <w:rsid w:val="00F970FB"/>
    <w:rsid w:val="00FB39CB"/>
    <w:rsid w:val="00FC2254"/>
    <w:rsid w:val="00FC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ddd,silver,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429E"/>
    <w:pPr>
      <w:spacing w:line="200" w:lineRule="exact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00" w:line="280" w:lineRule="exact"/>
      <w:jc w:val="center"/>
      <w:outlineLvl w:val="0"/>
    </w:pPr>
    <w:rPr>
      <w:rFonts w:cs="Arial"/>
      <w:b/>
      <w:bCs/>
      <w:caps/>
      <w:sz w:val="28"/>
      <w:szCs w:val="32"/>
    </w:rPr>
  </w:style>
  <w:style w:type="paragraph" w:styleId="Heading2">
    <w:name w:val="heading 2"/>
    <w:basedOn w:val="Heading1"/>
    <w:next w:val="Normal"/>
    <w:link w:val="Heading2Char"/>
    <w:qFormat/>
    <w:pPr>
      <w:jc w:val="left"/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Normal"/>
    <w:qFormat/>
    <w:pPr>
      <w:spacing w:line="240" w:lineRule="exact"/>
      <w:outlineLvl w:val="2"/>
    </w:pPr>
    <w:rPr>
      <w:bCs/>
      <w:sz w:val="24"/>
      <w:szCs w:val="26"/>
    </w:rPr>
  </w:style>
  <w:style w:type="paragraph" w:styleId="Heading4">
    <w:name w:val="heading 4"/>
    <w:basedOn w:val="Heading3"/>
    <w:next w:val="Normal"/>
    <w:qFormat/>
    <w:pPr>
      <w:spacing w:line="200" w:lineRule="exact"/>
      <w:outlineLvl w:val="3"/>
    </w:pPr>
    <w:rPr>
      <w:bCs w:val="0"/>
      <w:sz w:val="20"/>
      <w:szCs w:val="28"/>
    </w:rPr>
  </w:style>
  <w:style w:type="paragraph" w:styleId="Heading5">
    <w:name w:val="heading 5"/>
    <w:basedOn w:val="Heading4"/>
    <w:next w:val="Normal"/>
    <w:qFormat/>
    <w:pPr>
      <w:outlineLvl w:val="4"/>
    </w:pPr>
    <w:rPr>
      <w:bCs/>
      <w:i/>
      <w:iCs w:val="0"/>
      <w:szCs w:val="26"/>
    </w:rPr>
  </w:style>
  <w:style w:type="paragraph" w:styleId="Heading6">
    <w:name w:val="heading 6"/>
    <w:basedOn w:val="Heading5"/>
    <w:next w:val="Normal"/>
    <w:qFormat/>
    <w:pPr>
      <w:outlineLvl w:val="5"/>
    </w:pPr>
    <w:rPr>
      <w:b w:val="0"/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pPr>
      <w:spacing w:line="160" w:lineRule="exact"/>
      <w:ind w:left="340" w:hanging="340"/>
    </w:pPr>
    <w:rPr>
      <w:sz w:val="16"/>
    </w:rPr>
  </w:style>
  <w:style w:type="paragraph" w:customStyle="1" w:styleId="Heading1Italic">
    <w:name w:val="Heading 1 Italic"/>
    <w:basedOn w:val="Heading1"/>
    <w:next w:val="Normal"/>
    <w:rPr>
      <w:i/>
    </w:rPr>
  </w:style>
  <w:style w:type="paragraph" w:customStyle="1" w:styleId="Heading2Indent1">
    <w:name w:val="Heading 2 Indent1"/>
    <w:basedOn w:val="Heading2"/>
    <w:next w:val="Normal"/>
    <w:pPr>
      <w:ind w:left="510"/>
    </w:pPr>
  </w:style>
  <w:style w:type="paragraph" w:customStyle="1" w:styleId="Heading3Indent1">
    <w:name w:val="Heading 3 Indent1"/>
    <w:basedOn w:val="Heading3"/>
    <w:next w:val="Normal"/>
    <w:pPr>
      <w:ind w:left="510"/>
    </w:pPr>
  </w:style>
  <w:style w:type="paragraph" w:customStyle="1" w:styleId="Heading4Indent1">
    <w:name w:val="Heading 4 Indent1"/>
    <w:basedOn w:val="Heading4"/>
    <w:next w:val="Normal"/>
    <w:pPr>
      <w:ind w:left="510"/>
    </w:pPr>
  </w:style>
  <w:style w:type="paragraph" w:customStyle="1" w:styleId="Heading5Indent1">
    <w:name w:val="Heading 5 Indent1"/>
    <w:basedOn w:val="Heading5"/>
    <w:next w:val="Normal"/>
    <w:pPr>
      <w:ind w:left="510"/>
    </w:pPr>
  </w:style>
  <w:style w:type="paragraph" w:customStyle="1" w:styleId="Heading6Indent1">
    <w:name w:val="Heading 6 Indent1"/>
    <w:basedOn w:val="Heading6"/>
    <w:next w:val="Normal"/>
    <w:pPr>
      <w:ind w:left="510"/>
    </w:pPr>
  </w:style>
  <w:style w:type="paragraph" w:styleId="Header">
    <w:name w:val="header"/>
    <w:basedOn w:val="Normal"/>
    <w:pPr>
      <w:tabs>
        <w:tab w:val="center" w:pos="3119"/>
        <w:tab w:val="right" w:pos="6237"/>
      </w:tabs>
    </w:pPr>
  </w:style>
  <w:style w:type="paragraph" w:styleId="Footer">
    <w:name w:val="footer"/>
    <w:basedOn w:val="Normal"/>
    <w:pPr>
      <w:tabs>
        <w:tab w:val="center" w:pos="3119"/>
        <w:tab w:val="right" w:pos="6237"/>
      </w:tabs>
    </w:pPr>
  </w:style>
  <w:style w:type="paragraph" w:customStyle="1" w:styleId="CoverStandard">
    <w:name w:val="Cover Standard"/>
    <w:basedOn w:val="Normal"/>
    <w:next w:val="Normal"/>
    <w:pPr>
      <w:spacing w:line="280" w:lineRule="exact"/>
    </w:pPr>
    <w:rPr>
      <w:b/>
      <w:sz w:val="28"/>
    </w:rPr>
  </w:style>
  <w:style w:type="paragraph" w:customStyle="1" w:styleId="CoverNumber">
    <w:name w:val="Cover Number"/>
    <w:basedOn w:val="Normal"/>
    <w:next w:val="Normal"/>
    <w:pPr>
      <w:spacing w:line="320" w:lineRule="exact"/>
      <w:jc w:val="right"/>
    </w:pPr>
    <w:rPr>
      <w:b/>
      <w:caps/>
      <w:sz w:val="32"/>
    </w:rPr>
  </w:style>
  <w:style w:type="paragraph" w:customStyle="1" w:styleId="CoverRelease">
    <w:name w:val="Cover Release"/>
    <w:basedOn w:val="Normal"/>
    <w:next w:val="Normal"/>
    <w:pPr>
      <w:spacing w:line="240" w:lineRule="exact"/>
    </w:pPr>
    <w:rPr>
      <w:sz w:val="24"/>
    </w:rPr>
  </w:style>
  <w:style w:type="paragraph" w:customStyle="1" w:styleId="CoverDate">
    <w:name w:val="Cover Date"/>
    <w:basedOn w:val="Normal"/>
    <w:next w:val="Normal"/>
    <w:pPr>
      <w:spacing w:line="240" w:lineRule="exact"/>
      <w:jc w:val="right"/>
    </w:pPr>
    <w:rPr>
      <w:sz w:val="24"/>
    </w:rPr>
  </w:style>
  <w:style w:type="paragraph" w:customStyle="1" w:styleId="CoverTitle">
    <w:name w:val="Cover Title"/>
    <w:basedOn w:val="Normal"/>
    <w:rsid w:val="00500E80"/>
    <w:pPr>
      <w:spacing w:before="800" w:after="500" w:line="500" w:lineRule="exact"/>
    </w:pPr>
    <w:rPr>
      <w:b/>
      <w:sz w:val="50"/>
    </w:rPr>
  </w:style>
  <w:style w:type="paragraph" w:customStyle="1" w:styleId="CoverBox">
    <w:name w:val="Cover Box"/>
    <w:basedOn w:val="Normal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</w:pPr>
  </w:style>
  <w:style w:type="paragraph" w:customStyle="1" w:styleId="CoverContact">
    <w:name w:val="Cover Contact"/>
    <w:basedOn w:val="Normal"/>
    <w:next w:val="Normal"/>
    <w:pPr>
      <w:tabs>
        <w:tab w:val="left" w:pos="907"/>
      </w:tabs>
    </w:pPr>
  </w:style>
  <w:style w:type="paragraph" w:customStyle="1" w:styleId="CoverLeadPara">
    <w:name w:val="Cover LeadPara"/>
    <w:basedOn w:val="Normal"/>
    <w:next w:val="Normal"/>
    <w:pPr>
      <w:spacing w:after="100"/>
    </w:pPr>
  </w:style>
  <w:style w:type="paragraph" w:customStyle="1" w:styleId="ContentsCapsPlainPg">
    <w:name w:val="Contents CapsPlainPg"/>
    <w:basedOn w:val="Normal"/>
    <w:next w:val="ContentsLevel1"/>
    <w:pPr>
      <w:tabs>
        <w:tab w:val="right" w:pos="6237"/>
      </w:tabs>
      <w:spacing w:after="200"/>
      <w:ind w:left="170" w:right="1134" w:hanging="170"/>
    </w:pPr>
    <w:rPr>
      <w:caps/>
    </w:rPr>
  </w:style>
  <w:style w:type="paragraph" w:customStyle="1" w:styleId="ContentsLevel1">
    <w:name w:val="Contents Level1"/>
    <w:basedOn w:val="Normal"/>
    <w:pPr>
      <w:tabs>
        <w:tab w:val="right" w:pos="6237"/>
      </w:tabs>
      <w:spacing w:after="60"/>
      <w:ind w:left="170" w:right="1134" w:hanging="170"/>
    </w:pPr>
  </w:style>
  <w:style w:type="paragraph" w:customStyle="1" w:styleId="ContentsCapsBoldPg">
    <w:name w:val="Contents CapsBoldPg"/>
    <w:basedOn w:val="ContentsCapsPlainPg"/>
    <w:next w:val="ContentsLevel1"/>
    <w:rPr>
      <w:b/>
    </w:rPr>
  </w:style>
  <w:style w:type="paragraph" w:customStyle="1" w:styleId="ContentsLevel2">
    <w:name w:val="Contents Level2"/>
    <w:basedOn w:val="ContentsLevel1"/>
    <w:pPr>
      <w:ind w:left="510"/>
    </w:pPr>
  </w:style>
  <w:style w:type="paragraph" w:customStyle="1" w:styleId="ContentsLevel3">
    <w:name w:val="Contents Level3"/>
    <w:basedOn w:val="ContentsLevel2"/>
    <w:pPr>
      <w:ind w:left="850"/>
    </w:pPr>
  </w:style>
  <w:style w:type="paragraph" w:customStyle="1" w:styleId="ContentsLevel4">
    <w:name w:val="Contents Level4"/>
    <w:basedOn w:val="ContentsLevel3"/>
    <w:pPr>
      <w:ind w:left="1191"/>
    </w:pPr>
  </w:style>
  <w:style w:type="paragraph" w:customStyle="1" w:styleId="ContentsBox">
    <w:name w:val="Contents Box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00"/>
    </w:pPr>
  </w:style>
  <w:style w:type="paragraph" w:styleId="TOC1">
    <w:name w:val="toc 1"/>
    <w:basedOn w:val="Normal"/>
    <w:next w:val="Normal"/>
    <w:autoRedefine/>
    <w:semiHidden/>
    <w:rsid w:val="00AC4315"/>
  </w:style>
  <w:style w:type="character" w:styleId="Hyperlink">
    <w:name w:val="Hyperlink"/>
    <w:basedOn w:val="DefaultParagraphFont"/>
    <w:rsid w:val="00737714"/>
    <w:rPr>
      <w:color w:val="0000FF"/>
      <w:u w:val="single"/>
    </w:rPr>
  </w:style>
  <w:style w:type="paragraph" w:customStyle="1" w:styleId="NumPlainA">
    <w:name w:val="Num PlainA"/>
    <w:basedOn w:val="Normal"/>
    <w:qFormat/>
    <w:rsid w:val="003B0CAA"/>
    <w:pPr>
      <w:numPr>
        <w:numId w:val="7"/>
      </w:numPr>
      <w:spacing w:after="200"/>
    </w:pPr>
  </w:style>
  <w:style w:type="paragraph" w:customStyle="1" w:styleId="NoNumPlain1">
    <w:name w:val="NoNum Plain1"/>
    <w:basedOn w:val="Normal"/>
    <w:qFormat/>
    <w:pPr>
      <w:spacing w:after="200"/>
    </w:pPr>
  </w:style>
  <w:style w:type="paragraph" w:customStyle="1" w:styleId="NoNumPlain2">
    <w:name w:val="NoNum Plain2"/>
    <w:basedOn w:val="NoNumPlain1"/>
    <w:pPr>
      <w:ind w:left="510"/>
    </w:pPr>
  </w:style>
  <w:style w:type="paragraph" w:customStyle="1" w:styleId="NoNumPlain3">
    <w:name w:val="NoNum Plain3"/>
    <w:basedOn w:val="NoNumPlain2"/>
    <w:pPr>
      <w:ind w:left="1021"/>
    </w:pPr>
  </w:style>
  <w:style w:type="paragraph" w:customStyle="1" w:styleId="NoNumPlain4">
    <w:name w:val="NoNum Plain4"/>
    <w:basedOn w:val="NoNumPlain3"/>
    <w:pPr>
      <w:ind w:left="1531"/>
    </w:pPr>
  </w:style>
  <w:style w:type="paragraph" w:customStyle="1" w:styleId="NoNumBold1">
    <w:name w:val="NoNum Bold1"/>
    <w:basedOn w:val="Normal"/>
    <w:qFormat/>
    <w:pPr>
      <w:spacing w:after="200"/>
    </w:pPr>
    <w:rPr>
      <w:b/>
    </w:rPr>
  </w:style>
  <w:style w:type="paragraph" w:customStyle="1" w:styleId="NoNumBold2">
    <w:name w:val="NoNum Bold2"/>
    <w:basedOn w:val="NoNumBold1"/>
    <w:pPr>
      <w:ind w:left="510"/>
    </w:pPr>
  </w:style>
  <w:style w:type="paragraph" w:customStyle="1" w:styleId="NoNumBold3">
    <w:name w:val="NoNum Bold3"/>
    <w:basedOn w:val="NoNumBold2"/>
    <w:pPr>
      <w:ind w:left="1021"/>
    </w:pPr>
  </w:style>
  <w:style w:type="paragraph" w:customStyle="1" w:styleId="NoNumBold4">
    <w:name w:val="NoNum Bold4"/>
    <w:basedOn w:val="NoNumBold3"/>
    <w:pPr>
      <w:ind w:left="1531"/>
    </w:pPr>
  </w:style>
  <w:style w:type="paragraph" w:customStyle="1" w:styleId="NumPlain1">
    <w:name w:val="Num Plain1"/>
    <w:basedOn w:val="Normal"/>
    <w:link w:val="NumPlain1Char"/>
    <w:qFormat/>
    <w:rsid w:val="00426876"/>
    <w:pPr>
      <w:numPr>
        <w:numId w:val="1"/>
      </w:numPr>
      <w:spacing w:after="200"/>
    </w:pPr>
  </w:style>
  <w:style w:type="paragraph" w:customStyle="1" w:styleId="NumPlain2">
    <w:name w:val="Num Plain2"/>
    <w:basedOn w:val="NumPlain1"/>
    <w:rsid w:val="00426876"/>
    <w:pPr>
      <w:numPr>
        <w:ilvl w:val="1"/>
      </w:numPr>
    </w:pPr>
  </w:style>
  <w:style w:type="paragraph" w:customStyle="1" w:styleId="NumPlain3">
    <w:name w:val="Num Plain3"/>
    <w:basedOn w:val="NumPlain2"/>
    <w:rsid w:val="00426876"/>
    <w:pPr>
      <w:numPr>
        <w:ilvl w:val="2"/>
      </w:numPr>
    </w:pPr>
  </w:style>
  <w:style w:type="paragraph" w:customStyle="1" w:styleId="NumPlain4">
    <w:name w:val="Num Plain4"/>
    <w:basedOn w:val="NumPlain3"/>
    <w:rsid w:val="00426876"/>
    <w:pPr>
      <w:numPr>
        <w:ilvl w:val="3"/>
      </w:numPr>
    </w:pPr>
  </w:style>
  <w:style w:type="paragraph" w:customStyle="1" w:styleId="Bullet1">
    <w:name w:val="Bullet1"/>
    <w:basedOn w:val="Normal"/>
    <w:qFormat/>
    <w:rsid w:val="00F27D29"/>
    <w:pPr>
      <w:numPr>
        <w:numId w:val="6"/>
      </w:numPr>
      <w:spacing w:after="200"/>
    </w:pPr>
  </w:style>
  <w:style w:type="paragraph" w:customStyle="1" w:styleId="Bullet2">
    <w:name w:val="Bullet2"/>
    <w:basedOn w:val="Normal"/>
    <w:rsid w:val="00F27D29"/>
    <w:pPr>
      <w:numPr>
        <w:ilvl w:val="1"/>
        <w:numId w:val="6"/>
      </w:numPr>
      <w:spacing w:after="200"/>
    </w:pPr>
  </w:style>
  <w:style w:type="paragraph" w:customStyle="1" w:styleId="Bullet3">
    <w:name w:val="Bullet3"/>
    <w:basedOn w:val="Normal"/>
    <w:rsid w:val="00F27D29"/>
    <w:pPr>
      <w:numPr>
        <w:ilvl w:val="2"/>
        <w:numId w:val="6"/>
      </w:numPr>
      <w:spacing w:after="200"/>
    </w:pPr>
  </w:style>
  <w:style w:type="paragraph" w:customStyle="1" w:styleId="CommentsPage">
    <w:name w:val="CommentsPage"/>
    <w:basedOn w:val="Normal"/>
    <w:next w:val="Normal"/>
  </w:style>
  <w:style w:type="paragraph" w:customStyle="1" w:styleId="Bullet4">
    <w:name w:val="Bullet4"/>
    <w:basedOn w:val="Normal"/>
    <w:rsid w:val="00F27D29"/>
    <w:pPr>
      <w:numPr>
        <w:ilvl w:val="3"/>
        <w:numId w:val="6"/>
      </w:numPr>
      <w:spacing w:after="200"/>
    </w:pPr>
  </w:style>
  <w:style w:type="paragraph" w:customStyle="1" w:styleId="ContentsCapsPlain">
    <w:name w:val="Contents CapsPlain"/>
    <w:basedOn w:val="Normal"/>
    <w:next w:val="ContentsLevel1"/>
    <w:pPr>
      <w:spacing w:after="200"/>
    </w:pPr>
    <w:rPr>
      <w:caps/>
    </w:rPr>
  </w:style>
  <w:style w:type="paragraph" w:customStyle="1" w:styleId="ContentsCapsBold">
    <w:name w:val="Contents CapsBold"/>
    <w:basedOn w:val="ContentsCapsPlain"/>
    <w:next w:val="ContentsLevel1"/>
    <w:pPr>
      <w:spacing w:after="0"/>
    </w:pPr>
    <w:rPr>
      <w:b/>
    </w:rPr>
  </w:style>
  <w:style w:type="paragraph" w:customStyle="1" w:styleId="ContentsParaHead">
    <w:name w:val="Contents ParaHead"/>
    <w:basedOn w:val="Normal"/>
    <w:next w:val="Normal"/>
    <w:pPr>
      <w:spacing w:after="60"/>
      <w:jc w:val="right"/>
    </w:pPr>
    <w:rPr>
      <w:i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ContentsLevel1NoIndent">
    <w:name w:val="Contents Level1 NoIndent"/>
    <w:basedOn w:val="ContentsLevel1"/>
    <w:pPr>
      <w:ind w:left="0" w:firstLine="0"/>
    </w:pPr>
  </w:style>
  <w:style w:type="paragraph" w:customStyle="1" w:styleId="AppendixNo">
    <w:name w:val="AppendixNo"/>
    <w:basedOn w:val="Normal"/>
    <w:next w:val="Normal"/>
    <w:rsid w:val="0058004D"/>
    <w:pPr>
      <w:keepNext/>
      <w:spacing w:after="200" w:line="280" w:lineRule="exact"/>
      <w:jc w:val="center"/>
      <w:outlineLvl w:val="0"/>
    </w:pPr>
    <w:rPr>
      <w:b/>
      <w:caps/>
      <w:sz w:val="28"/>
      <w:szCs w:val="28"/>
    </w:rPr>
  </w:style>
  <w:style w:type="paragraph" w:customStyle="1" w:styleId="BCHanging0">
    <w:name w:val="BC Hanging0"/>
    <w:basedOn w:val="NoNumPlain1"/>
    <w:qFormat/>
    <w:rsid w:val="0058004D"/>
    <w:pPr>
      <w:ind w:left="624" w:hanging="624"/>
    </w:pPr>
  </w:style>
  <w:style w:type="paragraph" w:customStyle="1" w:styleId="AppendixNote">
    <w:name w:val="AppendixNote"/>
    <w:basedOn w:val="Normal"/>
    <w:next w:val="Normal"/>
    <w:rsid w:val="002A201D"/>
    <w:pPr>
      <w:spacing w:after="200"/>
    </w:pPr>
    <w:rPr>
      <w:i/>
      <w:iCs/>
    </w:rPr>
  </w:style>
  <w:style w:type="paragraph" w:customStyle="1" w:styleId="AppendixText">
    <w:name w:val="AppendixText"/>
    <w:basedOn w:val="Normal"/>
    <w:rsid w:val="002A201D"/>
    <w:pPr>
      <w:spacing w:after="200"/>
    </w:pPr>
  </w:style>
  <w:style w:type="paragraph" w:customStyle="1" w:styleId="AppendixTitle">
    <w:name w:val="AppendixTitle"/>
    <w:basedOn w:val="Normal"/>
    <w:next w:val="AppendixNote"/>
    <w:rsid w:val="002A201D"/>
    <w:pPr>
      <w:keepNext/>
      <w:spacing w:after="200" w:line="280" w:lineRule="exact"/>
      <w:jc w:val="center"/>
      <w:outlineLvl w:val="0"/>
    </w:pPr>
    <w:rPr>
      <w:b/>
      <w:caps/>
      <w:sz w:val="28"/>
      <w:szCs w:val="28"/>
    </w:rPr>
  </w:style>
  <w:style w:type="paragraph" w:customStyle="1" w:styleId="NoNumBC2">
    <w:name w:val="NoNum BC2"/>
    <w:basedOn w:val="NoNumPlain1"/>
    <w:rsid w:val="0058004D"/>
    <w:pPr>
      <w:ind w:left="624"/>
    </w:pPr>
  </w:style>
  <w:style w:type="paragraph" w:customStyle="1" w:styleId="BCHanging1">
    <w:name w:val="BC Hanging1"/>
    <w:basedOn w:val="NoNumBC2"/>
    <w:rsid w:val="0058004D"/>
    <w:pPr>
      <w:ind w:left="1248" w:hanging="624"/>
    </w:pPr>
  </w:style>
  <w:style w:type="paragraph" w:customStyle="1" w:styleId="BCHanging2">
    <w:name w:val="BC Hanging2"/>
    <w:basedOn w:val="BCHanging1"/>
    <w:rsid w:val="0058004D"/>
    <w:pPr>
      <w:ind w:left="1871"/>
    </w:pPr>
  </w:style>
  <w:style w:type="paragraph" w:customStyle="1" w:styleId="BCHanging3">
    <w:name w:val="BC Hanging3"/>
    <w:basedOn w:val="BCHanging1"/>
    <w:rsid w:val="0058004D"/>
    <w:pPr>
      <w:ind w:left="2495"/>
    </w:pPr>
  </w:style>
  <w:style w:type="paragraph" w:customStyle="1" w:styleId="CoverSubtitle">
    <w:name w:val="Cover Subtitle"/>
    <w:basedOn w:val="CoverTitle"/>
    <w:rsid w:val="00500E80"/>
    <w:pPr>
      <w:spacing w:before="0" w:after="0"/>
    </w:pPr>
    <w:rPr>
      <w:sz w:val="40"/>
      <w:szCs w:val="40"/>
    </w:rPr>
  </w:style>
  <w:style w:type="paragraph" w:customStyle="1" w:styleId="NumberedList">
    <w:name w:val="NumberedList"/>
    <w:basedOn w:val="Normal"/>
    <w:qFormat/>
    <w:rsid w:val="00401ECA"/>
    <w:pPr>
      <w:numPr>
        <w:numId w:val="3"/>
      </w:numPr>
      <w:spacing w:after="200"/>
    </w:pPr>
  </w:style>
  <w:style w:type="paragraph" w:customStyle="1" w:styleId="NumBold1">
    <w:name w:val="Num Bold1"/>
    <w:basedOn w:val="NumPlain1"/>
    <w:qFormat/>
    <w:rsid w:val="00027E8B"/>
    <w:rPr>
      <w:b/>
    </w:rPr>
  </w:style>
  <w:style w:type="paragraph" w:customStyle="1" w:styleId="NumBold2">
    <w:name w:val="Num Bold2"/>
    <w:basedOn w:val="NumPlain2"/>
    <w:rsid w:val="00027E8B"/>
    <w:rPr>
      <w:b/>
    </w:rPr>
  </w:style>
  <w:style w:type="paragraph" w:customStyle="1" w:styleId="NumBold3">
    <w:name w:val="Num Bold3"/>
    <w:basedOn w:val="NumPlain3"/>
    <w:rsid w:val="00027E8B"/>
    <w:rPr>
      <w:b/>
    </w:rPr>
  </w:style>
  <w:style w:type="paragraph" w:customStyle="1" w:styleId="NumBold4">
    <w:name w:val="Num Bold4"/>
    <w:basedOn w:val="NumPlain4"/>
    <w:rsid w:val="00027E8B"/>
    <w:rPr>
      <w:b/>
    </w:rPr>
  </w:style>
  <w:style w:type="paragraph" w:customStyle="1" w:styleId="PlainHanging1">
    <w:name w:val="Plain Hanging1"/>
    <w:basedOn w:val="NoNumPlain2"/>
    <w:rsid w:val="0039009E"/>
    <w:pPr>
      <w:ind w:left="1020" w:hanging="510"/>
    </w:pPr>
  </w:style>
  <w:style w:type="paragraph" w:customStyle="1" w:styleId="PlainHanging2">
    <w:name w:val="Plain Hanging2"/>
    <w:basedOn w:val="PlainHanging1"/>
    <w:rsid w:val="0039009E"/>
    <w:pPr>
      <w:ind w:left="1531"/>
    </w:pPr>
  </w:style>
  <w:style w:type="paragraph" w:customStyle="1" w:styleId="PlainHanging3">
    <w:name w:val="Plain Hanging3"/>
    <w:basedOn w:val="PlainHanging1"/>
    <w:rsid w:val="0039009E"/>
    <w:pPr>
      <w:ind w:left="2041"/>
    </w:pPr>
  </w:style>
  <w:style w:type="paragraph" w:customStyle="1" w:styleId="PlainHanging4">
    <w:name w:val="Plain Hanging4"/>
    <w:basedOn w:val="PlainHanging1"/>
    <w:rsid w:val="0039009E"/>
    <w:pPr>
      <w:ind w:left="2551"/>
    </w:pPr>
  </w:style>
  <w:style w:type="paragraph" w:customStyle="1" w:styleId="BoldHanging1">
    <w:name w:val="Bold Hanging1"/>
    <w:basedOn w:val="PlainHanging1"/>
    <w:rsid w:val="0039009E"/>
    <w:rPr>
      <w:b/>
    </w:rPr>
  </w:style>
  <w:style w:type="paragraph" w:customStyle="1" w:styleId="BoldHanging2">
    <w:name w:val="Bold Hanging2"/>
    <w:basedOn w:val="PlainHanging2"/>
    <w:rsid w:val="0039009E"/>
    <w:rPr>
      <w:b/>
    </w:rPr>
  </w:style>
  <w:style w:type="paragraph" w:customStyle="1" w:styleId="BoldHanging3">
    <w:name w:val="Bold Hanging3"/>
    <w:basedOn w:val="PlainHanging3"/>
    <w:rsid w:val="0039009E"/>
    <w:rPr>
      <w:b/>
    </w:rPr>
  </w:style>
  <w:style w:type="paragraph" w:customStyle="1" w:styleId="BoldHanging4">
    <w:name w:val="Bold Hanging4"/>
    <w:basedOn w:val="PlainHanging4"/>
    <w:rsid w:val="0039009E"/>
    <w:rPr>
      <w:b/>
    </w:rPr>
  </w:style>
  <w:style w:type="paragraph" w:customStyle="1" w:styleId="PlainHanging0">
    <w:name w:val="Plain Hanging0"/>
    <w:basedOn w:val="PlainHanging1"/>
    <w:qFormat/>
    <w:rsid w:val="003A488F"/>
    <w:pPr>
      <w:ind w:left="510"/>
    </w:pPr>
  </w:style>
  <w:style w:type="paragraph" w:customStyle="1" w:styleId="BoldHanging0">
    <w:name w:val="Bold Hanging0"/>
    <w:basedOn w:val="PlainHanging0"/>
    <w:qFormat/>
    <w:rsid w:val="003A488F"/>
    <w:rPr>
      <w:b/>
    </w:rPr>
  </w:style>
  <w:style w:type="paragraph" w:customStyle="1" w:styleId="BCHanging4">
    <w:name w:val="BC Hanging4"/>
    <w:basedOn w:val="BCHanging1"/>
    <w:rsid w:val="0058004D"/>
    <w:pPr>
      <w:ind w:left="3119"/>
    </w:pPr>
  </w:style>
  <w:style w:type="paragraph" w:customStyle="1" w:styleId="NoNumBC3">
    <w:name w:val="NoNum BC3"/>
    <w:basedOn w:val="NoNumBC2"/>
    <w:rsid w:val="0058004D"/>
    <w:pPr>
      <w:ind w:left="1247"/>
    </w:pPr>
  </w:style>
  <w:style w:type="paragraph" w:customStyle="1" w:styleId="NoNumBC4">
    <w:name w:val="NoNum BC4"/>
    <w:basedOn w:val="NoNumBC3"/>
    <w:rsid w:val="0058004D"/>
    <w:pPr>
      <w:ind w:left="1871"/>
    </w:pPr>
  </w:style>
  <w:style w:type="paragraph" w:customStyle="1" w:styleId="NumBC1">
    <w:name w:val="Num BC1"/>
    <w:basedOn w:val="Normal"/>
    <w:qFormat/>
    <w:rsid w:val="00426876"/>
    <w:pPr>
      <w:numPr>
        <w:numId w:val="4"/>
      </w:numPr>
      <w:spacing w:after="200"/>
    </w:pPr>
  </w:style>
  <w:style w:type="paragraph" w:customStyle="1" w:styleId="NumBC2">
    <w:name w:val="Num BC2"/>
    <w:basedOn w:val="NumBC1"/>
    <w:rsid w:val="00426876"/>
    <w:pPr>
      <w:numPr>
        <w:ilvl w:val="1"/>
      </w:numPr>
    </w:pPr>
  </w:style>
  <w:style w:type="paragraph" w:customStyle="1" w:styleId="NumBC3">
    <w:name w:val="Num BC3"/>
    <w:basedOn w:val="NumBC2"/>
    <w:rsid w:val="00426876"/>
    <w:pPr>
      <w:numPr>
        <w:ilvl w:val="2"/>
      </w:numPr>
    </w:pPr>
  </w:style>
  <w:style w:type="paragraph" w:customStyle="1" w:styleId="NumBC4">
    <w:name w:val="Num BC4"/>
    <w:basedOn w:val="NumBC3"/>
    <w:rsid w:val="00426876"/>
    <w:pPr>
      <w:numPr>
        <w:ilvl w:val="3"/>
      </w:numPr>
    </w:pPr>
  </w:style>
  <w:style w:type="numbering" w:customStyle="1" w:styleId="Bullets">
    <w:name w:val="Bullets"/>
    <w:uiPriority w:val="99"/>
    <w:rsid w:val="00F27D29"/>
    <w:pPr>
      <w:numPr>
        <w:numId w:val="5"/>
      </w:numPr>
    </w:pPr>
  </w:style>
  <w:style w:type="paragraph" w:customStyle="1" w:styleId="NumPlainA2">
    <w:name w:val="Num PlainA2"/>
    <w:basedOn w:val="NumPlainA"/>
    <w:rsid w:val="00171F51"/>
    <w:pPr>
      <w:numPr>
        <w:ilvl w:val="1"/>
      </w:numPr>
      <w:outlineLvl w:val="1"/>
    </w:pPr>
  </w:style>
  <w:style w:type="table" w:styleId="TableGrid">
    <w:name w:val="Table Grid"/>
    <w:basedOn w:val="TableNormal"/>
    <w:rsid w:val="00C03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NumPlain1">
    <w:name w:val="SubNum Plain1"/>
    <w:basedOn w:val="PlainHanging1"/>
    <w:qFormat/>
    <w:rsid w:val="00A96702"/>
    <w:pPr>
      <w:numPr>
        <w:numId w:val="9"/>
      </w:numPr>
    </w:pPr>
  </w:style>
  <w:style w:type="paragraph" w:customStyle="1" w:styleId="SubNumPlain2">
    <w:name w:val="SubNum Plain2"/>
    <w:basedOn w:val="PlainHanging2"/>
    <w:qFormat/>
    <w:rsid w:val="00A96702"/>
    <w:pPr>
      <w:numPr>
        <w:ilvl w:val="1"/>
        <w:numId w:val="9"/>
      </w:numPr>
    </w:pPr>
  </w:style>
  <w:style w:type="paragraph" w:customStyle="1" w:styleId="SubNumPlain3">
    <w:name w:val="SubNum Plain3"/>
    <w:basedOn w:val="PlainHanging3"/>
    <w:qFormat/>
    <w:rsid w:val="00A96702"/>
    <w:pPr>
      <w:numPr>
        <w:ilvl w:val="2"/>
        <w:numId w:val="9"/>
      </w:numPr>
    </w:pPr>
  </w:style>
  <w:style w:type="paragraph" w:customStyle="1" w:styleId="SubNumPlain4">
    <w:name w:val="SubNum Plain4"/>
    <w:basedOn w:val="PlainHanging4"/>
    <w:qFormat/>
    <w:rsid w:val="00A96702"/>
    <w:pPr>
      <w:numPr>
        <w:ilvl w:val="3"/>
        <w:numId w:val="9"/>
      </w:numPr>
    </w:pPr>
  </w:style>
  <w:style w:type="paragraph" w:customStyle="1" w:styleId="SubNumBold1">
    <w:name w:val="SubNum Bold1"/>
    <w:basedOn w:val="BoldHanging1"/>
    <w:qFormat/>
    <w:rsid w:val="00A96702"/>
    <w:pPr>
      <w:numPr>
        <w:numId w:val="10"/>
      </w:numPr>
    </w:pPr>
  </w:style>
  <w:style w:type="paragraph" w:customStyle="1" w:styleId="SubNumBold2">
    <w:name w:val="SubNum Bold2"/>
    <w:basedOn w:val="BoldHanging2"/>
    <w:qFormat/>
    <w:rsid w:val="00A96702"/>
    <w:pPr>
      <w:numPr>
        <w:ilvl w:val="1"/>
        <w:numId w:val="10"/>
      </w:numPr>
    </w:pPr>
  </w:style>
  <w:style w:type="paragraph" w:customStyle="1" w:styleId="SubNumBold3">
    <w:name w:val="SubNum Bold3"/>
    <w:basedOn w:val="BoldHanging3"/>
    <w:qFormat/>
    <w:rsid w:val="00A96702"/>
    <w:pPr>
      <w:numPr>
        <w:ilvl w:val="2"/>
        <w:numId w:val="10"/>
      </w:numPr>
    </w:pPr>
  </w:style>
  <w:style w:type="paragraph" w:customStyle="1" w:styleId="SubNumBold4">
    <w:name w:val="SubNum Bold4"/>
    <w:basedOn w:val="BoldHanging4"/>
    <w:qFormat/>
    <w:rsid w:val="00A96702"/>
    <w:pPr>
      <w:numPr>
        <w:ilvl w:val="3"/>
        <w:numId w:val="10"/>
      </w:numPr>
    </w:pPr>
  </w:style>
  <w:style w:type="numbering" w:customStyle="1" w:styleId="AASBSubNumbers">
    <w:name w:val="AASB SubNumbers"/>
    <w:uiPriority w:val="99"/>
    <w:rsid w:val="00A96702"/>
    <w:pPr>
      <w:numPr>
        <w:numId w:val="8"/>
      </w:numPr>
    </w:pPr>
  </w:style>
  <w:style w:type="numbering" w:customStyle="1" w:styleId="AASBSubNumbersBold">
    <w:name w:val="AASB SubNumbers Bold"/>
    <w:uiPriority w:val="99"/>
    <w:rsid w:val="00A96702"/>
    <w:pPr>
      <w:numPr>
        <w:numId w:val="10"/>
      </w:numPr>
    </w:pPr>
  </w:style>
  <w:style w:type="character" w:customStyle="1" w:styleId="NumPlain1Char">
    <w:name w:val="Num Plain1 Char"/>
    <w:basedOn w:val="DefaultParagraphFont"/>
    <w:link w:val="NumPlain1"/>
    <w:rsid w:val="007B5854"/>
    <w:rPr>
      <w:lang w:eastAsia="en-US"/>
    </w:rPr>
  </w:style>
  <w:style w:type="character" w:customStyle="1" w:styleId="Heading2Char">
    <w:name w:val="Heading 2 Char"/>
    <w:basedOn w:val="DefaultParagraphFont"/>
    <w:link w:val="Heading2"/>
    <w:rsid w:val="00363483"/>
    <w:rPr>
      <w:rFonts w:cs="Arial"/>
      <w:b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rsid w:val="00D15D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5DE8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E430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E430D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E430D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43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430DF"/>
    <w:rPr>
      <w:b/>
      <w:bCs/>
      <w:lang w:eastAsia="en-US"/>
    </w:rPr>
  </w:style>
  <w:style w:type="paragraph" w:styleId="Revision">
    <w:name w:val="Revision"/>
    <w:hidden/>
    <w:uiPriority w:val="99"/>
    <w:semiHidden/>
    <w:rsid w:val="00D66954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429E"/>
    <w:pPr>
      <w:spacing w:line="200" w:lineRule="exact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00" w:line="280" w:lineRule="exact"/>
      <w:jc w:val="center"/>
      <w:outlineLvl w:val="0"/>
    </w:pPr>
    <w:rPr>
      <w:rFonts w:cs="Arial"/>
      <w:b/>
      <w:bCs/>
      <w:caps/>
      <w:sz w:val="28"/>
      <w:szCs w:val="32"/>
    </w:rPr>
  </w:style>
  <w:style w:type="paragraph" w:styleId="Heading2">
    <w:name w:val="heading 2"/>
    <w:basedOn w:val="Heading1"/>
    <w:next w:val="Normal"/>
    <w:link w:val="Heading2Char"/>
    <w:qFormat/>
    <w:pPr>
      <w:jc w:val="left"/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Normal"/>
    <w:qFormat/>
    <w:pPr>
      <w:spacing w:line="240" w:lineRule="exact"/>
      <w:outlineLvl w:val="2"/>
    </w:pPr>
    <w:rPr>
      <w:bCs/>
      <w:sz w:val="24"/>
      <w:szCs w:val="26"/>
    </w:rPr>
  </w:style>
  <w:style w:type="paragraph" w:styleId="Heading4">
    <w:name w:val="heading 4"/>
    <w:basedOn w:val="Heading3"/>
    <w:next w:val="Normal"/>
    <w:qFormat/>
    <w:pPr>
      <w:spacing w:line="200" w:lineRule="exact"/>
      <w:outlineLvl w:val="3"/>
    </w:pPr>
    <w:rPr>
      <w:bCs w:val="0"/>
      <w:sz w:val="20"/>
      <w:szCs w:val="28"/>
    </w:rPr>
  </w:style>
  <w:style w:type="paragraph" w:styleId="Heading5">
    <w:name w:val="heading 5"/>
    <w:basedOn w:val="Heading4"/>
    <w:next w:val="Normal"/>
    <w:qFormat/>
    <w:pPr>
      <w:outlineLvl w:val="4"/>
    </w:pPr>
    <w:rPr>
      <w:bCs/>
      <w:i/>
      <w:iCs w:val="0"/>
      <w:szCs w:val="26"/>
    </w:rPr>
  </w:style>
  <w:style w:type="paragraph" w:styleId="Heading6">
    <w:name w:val="heading 6"/>
    <w:basedOn w:val="Heading5"/>
    <w:next w:val="Normal"/>
    <w:qFormat/>
    <w:pPr>
      <w:outlineLvl w:val="5"/>
    </w:pPr>
    <w:rPr>
      <w:b w:val="0"/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pPr>
      <w:spacing w:line="160" w:lineRule="exact"/>
      <w:ind w:left="340" w:hanging="340"/>
    </w:pPr>
    <w:rPr>
      <w:sz w:val="16"/>
    </w:rPr>
  </w:style>
  <w:style w:type="paragraph" w:customStyle="1" w:styleId="Heading1Italic">
    <w:name w:val="Heading 1 Italic"/>
    <w:basedOn w:val="Heading1"/>
    <w:next w:val="Normal"/>
    <w:rPr>
      <w:i/>
    </w:rPr>
  </w:style>
  <w:style w:type="paragraph" w:customStyle="1" w:styleId="Heading2Indent1">
    <w:name w:val="Heading 2 Indent1"/>
    <w:basedOn w:val="Heading2"/>
    <w:next w:val="Normal"/>
    <w:pPr>
      <w:ind w:left="510"/>
    </w:pPr>
  </w:style>
  <w:style w:type="paragraph" w:customStyle="1" w:styleId="Heading3Indent1">
    <w:name w:val="Heading 3 Indent1"/>
    <w:basedOn w:val="Heading3"/>
    <w:next w:val="Normal"/>
    <w:pPr>
      <w:ind w:left="510"/>
    </w:pPr>
  </w:style>
  <w:style w:type="paragraph" w:customStyle="1" w:styleId="Heading4Indent1">
    <w:name w:val="Heading 4 Indent1"/>
    <w:basedOn w:val="Heading4"/>
    <w:next w:val="Normal"/>
    <w:pPr>
      <w:ind w:left="510"/>
    </w:pPr>
  </w:style>
  <w:style w:type="paragraph" w:customStyle="1" w:styleId="Heading5Indent1">
    <w:name w:val="Heading 5 Indent1"/>
    <w:basedOn w:val="Heading5"/>
    <w:next w:val="Normal"/>
    <w:pPr>
      <w:ind w:left="510"/>
    </w:pPr>
  </w:style>
  <w:style w:type="paragraph" w:customStyle="1" w:styleId="Heading6Indent1">
    <w:name w:val="Heading 6 Indent1"/>
    <w:basedOn w:val="Heading6"/>
    <w:next w:val="Normal"/>
    <w:pPr>
      <w:ind w:left="510"/>
    </w:pPr>
  </w:style>
  <w:style w:type="paragraph" w:styleId="Header">
    <w:name w:val="header"/>
    <w:basedOn w:val="Normal"/>
    <w:pPr>
      <w:tabs>
        <w:tab w:val="center" w:pos="3119"/>
        <w:tab w:val="right" w:pos="6237"/>
      </w:tabs>
    </w:pPr>
  </w:style>
  <w:style w:type="paragraph" w:styleId="Footer">
    <w:name w:val="footer"/>
    <w:basedOn w:val="Normal"/>
    <w:pPr>
      <w:tabs>
        <w:tab w:val="center" w:pos="3119"/>
        <w:tab w:val="right" w:pos="6237"/>
      </w:tabs>
    </w:pPr>
  </w:style>
  <w:style w:type="paragraph" w:customStyle="1" w:styleId="CoverStandard">
    <w:name w:val="Cover Standard"/>
    <w:basedOn w:val="Normal"/>
    <w:next w:val="Normal"/>
    <w:pPr>
      <w:spacing w:line="280" w:lineRule="exact"/>
    </w:pPr>
    <w:rPr>
      <w:b/>
      <w:sz w:val="28"/>
    </w:rPr>
  </w:style>
  <w:style w:type="paragraph" w:customStyle="1" w:styleId="CoverNumber">
    <w:name w:val="Cover Number"/>
    <w:basedOn w:val="Normal"/>
    <w:next w:val="Normal"/>
    <w:pPr>
      <w:spacing w:line="320" w:lineRule="exact"/>
      <w:jc w:val="right"/>
    </w:pPr>
    <w:rPr>
      <w:b/>
      <w:caps/>
      <w:sz w:val="32"/>
    </w:rPr>
  </w:style>
  <w:style w:type="paragraph" w:customStyle="1" w:styleId="CoverRelease">
    <w:name w:val="Cover Release"/>
    <w:basedOn w:val="Normal"/>
    <w:next w:val="Normal"/>
    <w:pPr>
      <w:spacing w:line="240" w:lineRule="exact"/>
    </w:pPr>
    <w:rPr>
      <w:sz w:val="24"/>
    </w:rPr>
  </w:style>
  <w:style w:type="paragraph" w:customStyle="1" w:styleId="CoverDate">
    <w:name w:val="Cover Date"/>
    <w:basedOn w:val="Normal"/>
    <w:next w:val="Normal"/>
    <w:pPr>
      <w:spacing w:line="240" w:lineRule="exact"/>
      <w:jc w:val="right"/>
    </w:pPr>
    <w:rPr>
      <w:sz w:val="24"/>
    </w:rPr>
  </w:style>
  <w:style w:type="paragraph" w:customStyle="1" w:styleId="CoverTitle">
    <w:name w:val="Cover Title"/>
    <w:basedOn w:val="Normal"/>
    <w:rsid w:val="00500E80"/>
    <w:pPr>
      <w:spacing w:before="800" w:after="500" w:line="500" w:lineRule="exact"/>
    </w:pPr>
    <w:rPr>
      <w:b/>
      <w:sz w:val="50"/>
    </w:rPr>
  </w:style>
  <w:style w:type="paragraph" w:customStyle="1" w:styleId="CoverBox">
    <w:name w:val="Cover Box"/>
    <w:basedOn w:val="Normal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</w:pPr>
  </w:style>
  <w:style w:type="paragraph" w:customStyle="1" w:styleId="CoverContact">
    <w:name w:val="Cover Contact"/>
    <w:basedOn w:val="Normal"/>
    <w:next w:val="Normal"/>
    <w:pPr>
      <w:tabs>
        <w:tab w:val="left" w:pos="907"/>
      </w:tabs>
    </w:pPr>
  </w:style>
  <w:style w:type="paragraph" w:customStyle="1" w:styleId="CoverLeadPara">
    <w:name w:val="Cover LeadPara"/>
    <w:basedOn w:val="Normal"/>
    <w:next w:val="Normal"/>
    <w:pPr>
      <w:spacing w:after="100"/>
    </w:pPr>
  </w:style>
  <w:style w:type="paragraph" w:customStyle="1" w:styleId="ContentsCapsPlainPg">
    <w:name w:val="Contents CapsPlainPg"/>
    <w:basedOn w:val="Normal"/>
    <w:next w:val="ContentsLevel1"/>
    <w:pPr>
      <w:tabs>
        <w:tab w:val="right" w:pos="6237"/>
      </w:tabs>
      <w:spacing w:after="200"/>
      <w:ind w:left="170" w:right="1134" w:hanging="170"/>
    </w:pPr>
    <w:rPr>
      <w:caps/>
    </w:rPr>
  </w:style>
  <w:style w:type="paragraph" w:customStyle="1" w:styleId="ContentsLevel1">
    <w:name w:val="Contents Level1"/>
    <w:basedOn w:val="Normal"/>
    <w:pPr>
      <w:tabs>
        <w:tab w:val="right" w:pos="6237"/>
      </w:tabs>
      <w:spacing w:after="60"/>
      <w:ind w:left="170" w:right="1134" w:hanging="170"/>
    </w:pPr>
  </w:style>
  <w:style w:type="paragraph" w:customStyle="1" w:styleId="ContentsCapsBoldPg">
    <w:name w:val="Contents CapsBoldPg"/>
    <w:basedOn w:val="ContentsCapsPlainPg"/>
    <w:next w:val="ContentsLevel1"/>
    <w:rPr>
      <w:b/>
    </w:rPr>
  </w:style>
  <w:style w:type="paragraph" w:customStyle="1" w:styleId="ContentsLevel2">
    <w:name w:val="Contents Level2"/>
    <w:basedOn w:val="ContentsLevel1"/>
    <w:pPr>
      <w:ind w:left="510"/>
    </w:pPr>
  </w:style>
  <w:style w:type="paragraph" w:customStyle="1" w:styleId="ContentsLevel3">
    <w:name w:val="Contents Level3"/>
    <w:basedOn w:val="ContentsLevel2"/>
    <w:pPr>
      <w:ind w:left="850"/>
    </w:pPr>
  </w:style>
  <w:style w:type="paragraph" w:customStyle="1" w:styleId="ContentsLevel4">
    <w:name w:val="Contents Level4"/>
    <w:basedOn w:val="ContentsLevel3"/>
    <w:pPr>
      <w:ind w:left="1191"/>
    </w:pPr>
  </w:style>
  <w:style w:type="paragraph" w:customStyle="1" w:styleId="ContentsBox">
    <w:name w:val="Contents Box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00"/>
    </w:pPr>
  </w:style>
  <w:style w:type="paragraph" w:styleId="TOC1">
    <w:name w:val="toc 1"/>
    <w:basedOn w:val="Normal"/>
    <w:next w:val="Normal"/>
    <w:autoRedefine/>
    <w:semiHidden/>
    <w:rsid w:val="00AC4315"/>
  </w:style>
  <w:style w:type="character" w:styleId="Hyperlink">
    <w:name w:val="Hyperlink"/>
    <w:basedOn w:val="DefaultParagraphFont"/>
    <w:rsid w:val="00737714"/>
    <w:rPr>
      <w:color w:val="0000FF"/>
      <w:u w:val="single"/>
    </w:rPr>
  </w:style>
  <w:style w:type="paragraph" w:customStyle="1" w:styleId="NumPlainA">
    <w:name w:val="Num PlainA"/>
    <w:basedOn w:val="Normal"/>
    <w:qFormat/>
    <w:rsid w:val="003B0CAA"/>
    <w:pPr>
      <w:numPr>
        <w:numId w:val="7"/>
      </w:numPr>
      <w:spacing w:after="200"/>
    </w:pPr>
  </w:style>
  <w:style w:type="paragraph" w:customStyle="1" w:styleId="NoNumPlain1">
    <w:name w:val="NoNum Plain1"/>
    <w:basedOn w:val="Normal"/>
    <w:qFormat/>
    <w:pPr>
      <w:spacing w:after="200"/>
    </w:pPr>
  </w:style>
  <w:style w:type="paragraph" w:customStyle="1" w:styleId="NoNumPlain2">
    <w:name w:val="NoNum Plain2"/>
    <w:basedOn w:val="NoNumPlain1"/>
    <w:pPr>
      <w:ind w:left="510"/>
    </w:pPr>
  </w:style>
  <w:style w:type="paragraph" w:customStyle="1" w:styleId="NoNumPlain3">
    <w:name w:val="NoNum Plain3"/>
    <w:basedOn w:val="NoNumPlain2"/>
    <w:pPr>
      <w:ind w:left="1021"/>
    </w:pPr>
  </w:style>
  <w:style w:type="paragraph" w:customStyle="1" w:styleId="NoNumPlain4">
    <w:name w:val="NoNum Plain4"/>
    <w:basedOn w:val="NoNumPlain3"/>
    <w:pPr>
      <w:ind w:left="1531"/>
    </w:pPr>
  </w:style>
  <w:style w:type="paragraph" w:customStyle="1" w:styleId="NoNumBold1">
    <w:name w:val="NoNum Bold1"/>
    <w:basedOn w:val="Normal"/>
    <w:qFormat/>
    <w:pPr>
      <w:spacing w:after="200"/>
    </w:pPr>
    <w:rPr>
      <w:b/>
    </w:rPr>
  </w:style>
  <w:style w:type="paragraph" w:customStyle="1" w:styleId="NoNumBold2">
    <w:name w:val="NoNum Bold2"/>
    <w:basedOn w:val="NoNumBold1"/>
    <w:pPr>
      <w:ind w:left="510"/>
    </w:pPr>
  </w:style>
  <w:style w:type="paragraph" w:customStyle="1" w:styleId="NoNumBold3">
    <w:name w:val="NoNum Bold3"/>
    <w:basedOn w:val="NoNumBold2"/>
    <w:pPr>
      <w:ind w:left="1021"/>
    </w:pPr>
  </w:style>
  <w:style w:type="paragraph" w:customStyle="1" w:styleId="NoNumBold4">
    <w:name w:val="NoNum Bold4"/>
    <w:basedOn w:val="NoNumBold3"/>
    <w:pPr>
      <w:ind w:left="1531"/>
    </w:pPr>
  </w:style>
  <w:style w:type="paragraph" w:customStyle="1" w:styleId="NumPlain1">
    <w:name w:val="Num Plain1"/>
    <w:basedOn w:val="Normal"/>
    <w:link w:val="NumPlain1Char"/>
    <w:qFormat/>
    <w:rsid w:val="00426876"/>
    <w:pPr>
      <w:numPr>
        <w:numId w:val="1"/>
      </w:numPr>
      <w:spacing w:after="200"/>
    </w:pPr>
  </w:style>
  <w:style w:type="paragraph" w:customStyle="1" w:styleId="NumPlain2">
    <w:name w:val="Num Plain2"/>
    <w:basedOn w:val="NumPlain1"/>
    <w:rsid w:val="00426876"/>
    <w:pPr>
      <w:numPr>
        <w:ilvl w:val="1"/>
      </w:numPr>
    </w:pPr>
  </w:style>
  <w:style w:type="paragraph" w:customStyle="1" w:styleId="NumPlain3">
    <w:name w:val="Num Plain3"/>
    <w:basedOn w:val="NumPlain2"/>
    <w:rsid w:val="00426876"/>
    <w:pPr>
      <w:numPr>
        <w:ilvl w:val="2"/>
      </w:numPr>
    </w:pPr>
  </w:style>
  <w:style w:type="paragraph" w:customStyle="1" w:styleId="NumPlain4">
    <w:name w:val="Num Plain4"/>
    <w:basedOn w:val="NumPlain3"/>
    <w:rsid w:val="00426876"/>
    <w:pPr>
      <w:numPr>
        <w:ilvl w:val="3"/>
      </w:numPr>
    </w:pPr>
  </w:style>
  <w:style w:type="paragraph" w:customStyle="1" w:styleId="Bullet1">
    <w:name w:val="Bullet1"/>
    <w:basedOn w:val="Normal"/>
    <w:qFormat/>
    <w:rsid w:val="00F27D29"/>
    <w:pPr>
      <w:numPr>
        <w:numId w:val="6"/>
      </w:numPr>
      <w:spacing w:after="200"/>
    </w:pPr>
  </w:style>
  <w:style w:type="paragraph" w:customStyle="1" w:styleId="Bullet2">
    <w:name w:val="Bullet2"/>
    <w:basedOn w:val="Normal"/>
    <w:rsid w:val="00F27D29"/>
    <w:pPr>
      <w:numPr>
        <w:ilvl w:val="1"/>
        <w:numId w:val="6"/>
      </w:numPr>
      <w:spacing w:after="200"/>
    </w:pPr>
  </w:style>
  <w:style w:type="paragraph" w:customStyle="1" w:styleId="Bullet3">
    <w:name w:val="Bullet3"/>
    <w:basedOn w:val="Normal"/>
    <w:rsid w:val="00F27D29"/>
    <w:pPr>
      <w:numPr>
        <w:ilvl w:val="2"/>
        <w:numId w:val="6"/>
      </w:numPr>
      <w:spacing w:after="200"/>
    </w:pPr>
  </w:style>
  <w:style w:type="paragraph" w:customStyle="1" w:styleId="CommentsPage">
    <w:name w:val="CommentsPage"/>
    <w:basedOn w:val="Normal"/>
    <w:next w:val="Normal"/>
  </w:style>
  <w:style w:type="paragraph" w:customStyle="1" w:styleId="Bullet4">
    <w:name w:val="Bullet4"/>
    <w:basedOn w:val="Normal"/>
    <w:rsid w:val="00F27D29"/>
    <w:pPr>
      <w:numPr>
        <w:ilvl w:val="3"/>
        <w:numId w:val="6"/>
      </w:numPr>
      <w:spacing w:after="200"/>
    </w:pPr>
  </w:style>
  <w:style w:type="paragraph" w:customStyle="1" w:styleId="ContentsCapsPlain">
    <w:name w:val="Contents CapsPlain"/>
    <w:basedOn w:val="Normal"/>
    <w:next w:val="ContentsLevel1"/>
    <w:pPr>
      <w:spacing w:after="200"/>
    </w:pPr>
    <w:rPr>
      <w:caps/>
    </w:rPr>
  </w:style>
  <w:style w:type="paragraph" w:customStyle="1" w:styleId="ContentsCapsBold">
    <w:name w:val="Contents CapsBold"/>
    <w:basedOn w:val="ContentsCapsPlain"/>
    <w:next w:val="ContentsLevel1"/>
    <w:pPr>
      <w:spacing w:after="0"/>
    </w:pPr>
    <w:rPr>
      <w:b/>
    </w:rPr>
  </w:style>
  <w:style w:type="paragraph" w:customStyle="1" w:styleId="ContentsParaHead">
    <w:name w:val="Contents ParaHead"/>
    <w:basedOn w:val="Normal"/>
    <w:next w:val="Normal"/>
    <w:pPr>
      <w:spacing w:after="60"/>
      <w:jc w:val="right"/>
    </w:pPr>
    <w:rPr>
      <w:i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ContentsLevel1NoIndent">
    <w:name w:val="Contents Level1 NoIndent"/>
    <w:basedOn w:val="ContentsLevel1"/>
    <w:pPr>
      <w:ind w:left="0" w:firstLine="0"/>
    </w:pPr>
  </w:style>
  <w:style w:type="paragraph" w:customStyle="1" w:styleId="AppendixNo">
    <w:name w:val="AppendixNo"/>
    <w:basedOn w:val="Normal"/>
    <w:next w:val="Normal"/>
    <w:rsid w:val="0058004D"/>
    <w:pPr>
      <w:keepNext/>
      <w:spacing w:after="200" w:line="280" w:lineRule="exact"/>
      <w:jc w:val="center"/>
      <w:outlineLvl w:val="0"/>
    </w:pPr>
    <w:rPr>
      <w:b/>
      <w:caps/>
      <w:sz w:val="28"/>
      <w:szCs w:val="28"/>
    </w:rPr>
  </w:style>
  <w:style w:type="paragraph" w:customStyle="1" w:styleId="BCHanging0">
    <w:name w:val="BC Hanging0"/>
    <w:basedOn w:val="NoNumPlain1"/>
    <w:qFormat/>
    <w:rsid w:val="0058004D"/>
    <w:pPr>
      <w:ind w:left="624" w:hanging="624"/>
    </w:pPr>
  </w:style>
  <w:style w:type="paragraph" w:customStyle="1" w:styleId="AppendixNote">
    <w:name w:val="AppendixNote"/>
    <w:basedOn w:val="Normal"/>
    <w:next w:val="Normal"/>
    <w:rsid w:val="002A201D"/>
    <w:pPr>
      <w:spacing w:after="200"/>
    </w:pPr>
    <w:rPr>
      <w:i/>
      <w:iCs/>
    </w:rPr>
  </w:style>
  <w:style w:type="paragraph" w:customStyle="1" w:styleId="AppendixText">
    <w:name w:val="AppendixText"/>
    <w:basedOn w:val="Normal"/>
    <w:rsid w:val="002A201D"/>
    <w:pPr>
      <w:spacing w:after="200"/>
    </w:pPr>
  </w:style>
  <w:style w:type="paragraph" w:customStyle="1" w:styleId="AppendixTitle">
    <w:name w:val="AppendixTitle"/>
    <w:basedOn w:val="Normal"/>
    <w:next w:val="AppendixNote"/>
    <w:rsid w:val="002A201D"/>
    <w:pPr>
      <w:keepNext/>
      <w:spacing w:after="200" w:line="280" w:lineRule="exact"/>
      <w:jc w:val="center"/>
      <w:outlineLvl w:val="0"/>
    </w:pPr>
    <w:rPr>
      <w:b/>
      <w:caps/>
      <w:sz w:val="28"/>
      <w:szCs w:val="28"/>
    </w:rPr>
  </w:style>
  <w:style w:type="paragraph" w:customStyle="1" w:styleId="NoNumBC2">
    <w:name w:val="NoNum BC2"/>
    <w:basedOn w:val="NoNumPlain1"/>
    <w:rsid w:val="0058004D"/>
    <w:pPr>
      <w:ind w:left="624"/>
    </w:pPr>
  </w:style>
  <w:style w:type="paragraph" w:customStyle="1" w:styleId="BCHanging1">
    <w:name w:val="BC Hanging1"/>
    <w:basedOn w:val="NoNumBC2"/>
    <w:rsid w:val="0058004D"/>
    <w:pPr>
      <w:ind w:left="1248" w:hanging="624"/>
    </w:pPr>
  </w:style>
  <w:style w:type="paragraph" w:customStyle="1" w:styleId="BCHanging2">
    <w:name w:val="BC Hanging2"/>
    <w:basedOn w:val="BCHanging1"/>
    <w:rsid w:val="0058004D"/>
    <w:pPr>
      <w:ind w:left="1871"/>
    </w:pPr>
  </w:style>
  <w:style w:type="paragraph" w:customStyle="1" w:styleId="BCHanging3">
    <w:name w:val="BC Hanging3"/>
    <w:basedOn w:val="BCHanging1"/>
    <w:rsid w:val="0058004D"/>
    <w:pPr>
      <w:ind w:left="2495"/>
    </w:pPr>
  </w:style>
  <w:style w:type="paragraph" w:customStyle="1" w:styleId="CoverSubtitle">
    <w:name w:val="Cover Subtitle"/>
    <w:basedOn w:val="CoverTitle"/>
    <w:rsid w:val="00500E80"/>
    <w:pPr>
      <w:spacing w:before="0" w:after="0"/>
    </w:pPr>
    <w:rPr>
      <w:sz w:val="40"/>
      <w:szCs w:val="40"/>
    </w:rPr>
  </w:style>
  <w:style w:type="paragraph" w:customStyle="1" w:styleId="NumberedList">
    <w:name w:val="NumberedList"/>
    <w:basedOn w:val="Normal"/>
    <w:qFormat/>
    <w:rsid w:val="00401ECA"/>
    <w:pPr>
      <w:numPr>
        <w:numId w:val="3"/>
      </w:numPr>
      <w:spacing w:after="200"/>
    </w:pPr>
  </w:style>
  <w:style w:type="paragraph" w:customStyle="1" w:styleId="NumBold1">
    <w:name w:val="Num Bold1"/>
    <w:basedOn w:val="NumPlain1"/>
    <w:qFormat/>
    <w:rsid w:val="00027E8B"/>
    <w:rPr>
      <w:b/>
    </w:rPr>
  </w:style>
  <w:style w:type="paragraph" w:customStyle="1" w:styleId="NumBold2">
    <w:name w:val="Num Bold2"/>
    <w:basedOn w:val="NumPlain2"/>
    <w:rsid w:val="00027E8B"/>
    <w:rPr>
      <w:b/>
    </w:rPr>
  </w:style>
  <w:style w:type="paragraph" w:customStyle="1" w:styleId="NumBold3">
    <w:name w:val="Num Bold3"/>
    <w:basedOn w:val="NumPlain3"/>
    <w:rsid w:val="00027E8B"/>
    <w:rPr>
      <w:b/>
    </w:rPr>
  </w:style>
  <w:style w:type="paragraph" w:customStyle="1" w:styleId="NumBold4">
    <w:name w:val="Num Bold4"/>
    <w:basedOn w:val="NumPlain4"/>
    <w:rsid w:val="00027E8B"/>
    <w:rPr>
      <w:b/>
    </w:rPr>
  </w:style>
  <w:style w:type="paragraph" w:customStyle="1" w:styleId="PlainHanging1">
    <w:name w:val="Plain Hanging1"/>
    <w:basedOn w:val="NoNumPlain2"/>
    <w:rsid w:val="0039009E"/>
    <w:pPr>
      <w:ind w:left="1020" w:hanging="510"/>
    </w:pPr>
  </w:style>
  <w:style w:type="paragraph" w:customStyle="1" w:styleId="PlainHanging2">
    <w:name w:val="Plain Hanging2"/>
    <w:basedOn w:val="PlainHanging1"/>
    <w:rsid w:val="0039009E"/>
    <w:pPr>
      <w:ind w:left="1531"/>
    </w:pPr>
  </w:style>
  <w:style w:type="paragraph" w:customStyle="1" w:styleId="PlainHanging3">
    <w:name w:val="Plain Hanging3"/>
    <w:basedOn w:val="PlainHanging1"/>
    <w:rsid w:val="0039009E"/>
    <w:pPr>
      <w:ind w:left="2041"/>
    </w:pPr>
  </w:style>
  <w:style w:type="paragraph" w:customStyle="1" w:styleId="PlainHanging4">
    <w:name w:val="Plain Hanging4"/>
    <w:basedOn w:val="PlainHanging1"/>
    <w:rsid w:val="0039009E"/>
    <w:pPr>
      <w:ind w:left="2551"/>
    </w:pPr>
  </w:style>
  <w:style w:type="paragraph" w:customStyle="1" w:styleId="BoldHanging1">
    <w:name w:val="Bold Hanging1"/>
    <w:basedOn w:val="PlainHanging1"/>
    <w:rsid w:val="0039009E"/>
    <w:rPr>
      <w:b/>
    </w:rPr>
  </w:style>
  <w:style w:type="paragraph" w:customStyle="1" w:styleId="BoldHanging2">
    <w:name w:val="Bold Hanging2"/>
    <w:basedOn w:val="PlainHanging2"/>
    <w:rsid w:val="0039009E"/>
    <w:rPr>
      <w:b/>
    </w:rPr>
  </w:style>
  <w:style w:type="paragraph" w:customStyle="1" w:styleId="BoldHanging3">
    <w:name w:val="Bold Hanging3"/>
    <w:basedOn w:val="PlainHanging3"/>
    <w:rsid w:val="0039009E"/>
    <w:rPr>
      <w:b/>
    </w:rPr>
  </w:style>
  <w:style w:type="paragraph" w:customStyle="1" w:styleId="BoldHanging4">
    <w:name w:val="Bold Hanging4"/>
    <w:basedOn w:val="PlainHanging4"/>
    <w:rsid w:val="0039009E"/>
    <w:rPr>
      <w:b/>
    </w:rPr>
  </w:style>
  <w:style w:type="paragraph" w:customStyle="1" w:styleId="PlainHanging0">
    <w:name w:val="Plain Hanging0"/>
    <w:basedOn w:val="PlainHanging1"/>
    <w:qFormat/>
    <w:rsid w:val="003A488F"/>
    <w:pPr>
      <w:ind w:left="510"/>
    </w:pPr>
  </w:style>
  <w:style w:type="paragraph" w:customStyle="1" w:styleId="BoldHanging0">
    <w:name w:val="Bold Hanging0"/>
    <w:basedOn w:val="PlainHanging0"/>
    <w:qFormat/>
    <w:rsid w:val="003A488F"/>
    <w:rPr>
      <w:b/>
    </w:rPr>
  </w:style>
  <w:style w:type="paragraph" w:customStyle="1" w:styleId="BCHanging4">
    <w:name w:val="BC Hanging4"/>
    <w:basedOn w:val="BCHanging1"/>
    <w:rsid w:val="0058004D"/>
    <w:pPr>
      <w:ind w:left="3119"/>
    </w:pPr>
  </w:style>
  <w:style w:type="paragraph" w:customStyle="1" w:styleId="NoNumBC3">
    <w:name w:val="NoNum BC3"/>
    <w:basedOn w:val="NoNumBC2"/>
    <w:rsid w:val="0058004D"/>
    <w:pPr>
      <w:ind w:left="1247"/>
    </w:pPr>
  </w:style>
  <w:style w:type="paragraph" w:customStyle="1" w:styleId="NoNumBC4">
    <w:name w:val="NoNum BC4"/>
    <w:basedOn w:val="NoNumBC3"/>
    <w:rsid w:val="0058004D"/>
    <w:pPr>
      <w:ind w:left="1871"/>
    </w:pPr>
  </w:style>
  <w:style w:type="paragraph" w:customStyle="1" w:styleId="NumBC1">
    <w:name w:val="Num BC1"/>
    <w:basedOn w:val="Normal"/>
    <w:qFormat/>
    <w:rsid w:val="00426876"/>
    <w:pPr>
      <w:numPr>
        <w:numId w:val="4"/>
      </w:numPr>
      <w:spacing w:after="200"/>
    </w:pPr>
  </w:style>
  <w:style w:type="paragraph" w:customStyle="1" w:styleId="NumBC2">
    <w:name w:val="Num BC2"/>
    <w:basedOn w:val="NumBC1"/>
    <w:rsid w:val="00426876"/>
    <w:pPr>
      <w:numPr>
        <w:ilvl w:val="1"/>
      </w:numPr>
    </w:pPr>
  </w:style>
  <w:style w:type="paragraph" w:customStyle="1" w:styleId="NumBC3">
    <w:name w:val="Num BC3"/>
    <w:basedOn w:val="NumBC2"/>
    <w:rsid w:val="00426876"/>
    <w:pPr>
      <w:numPr>
        <w:ilvl w:val="2"/>
      </w:numPr>
    </w:pPr>
  </w:style>
  <w:style w:type="paragraph" w:customStyle="1" w:styleId="NumBC4">
    <w:name w:val="Num BC4"/>
    <w:basedOn w:val="NumBC3"/>
    <w:rsid w:val="00426876"/>
    <w:pPr>
      <w:numPr>
        <w:ilvl w:val="3"/>
      </w:numPr>
    </w:pPr>
  </w:style>
  <w:style w:type="numbering" w:customStyle="1" w:styleId="Bullets">
    <w:name w:val="Bullets"/>
    <w:uiPriority w:val="99"/>
    <w:rsid w:val="00F27D29"/>
    <w:pPr>
      <w:numPr>
        <w:numId w:val="5"/>
      </w:numPr>
    </w:pPr>
  </w:style>
  <w:style w:type="paragraph" w:customStyle="1" w:styleId="NumPlainA2">
    <w:name w:val="Num PlainA2"/>
    <w:basedOn w:val="NumPlainA"/>
    <w:rsid w:val="00171F51"/>
    <w:pPr>
      <w:numPr>
        <w:ilvl w:val="1"/>
      </w:numPr>
      <w:outlineLvl w:val="1"/>
    </w:pPr>
  </w:style>
  <w:style w:type="table" w:styleId="TableGrid">
    <w:name w:val="Table Grid"/>
    <w:basedOn w:val="TableNormal"/>
    <w:rsid w:val="00C03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NumPlain1">
    <w:name w:val="SubNum Plain1"/>
    <w:basedOn w:val="PlainHanging1"/>
    <w:qFormat/>
    <w:rsid w:val="00A96702"/>
    <w:pPr>
      <w:numPr>
        <w:numId w:val="9"/>
      </w:numPr>
    </w:pPr>
  </w:style>
  <w:style w:type="paragraph" w:customStyle="1" w:styleId="SubNumPlain2">
    <w:name w:val="SubNum Plain2"/>
    <w:basedOn w:val="PlainHanging2"/>
    <w:qFormat/>
    <w:rsid w:val="00A96702"/>
    <w:pPr>
      <w:numPr>
        <w:ilvl w:val="1"/>
        <w:numId w:val="9"/>
      </w:numPr>
    </w:pPr>
  </w:style>
  <w:style w:type="paragraph" w:customStyle="1" w:styleId="SubNumPlain3">
    <w:name w:val="SubNum Plain3"/>
    <w:basedOn w:val="PlainHanging3"/>
    <w:qFormat/>
    <w:rsid w:val="00A96702"/>
    <w:pPr>
      <w:numPr>
        <w:ilvl w:val="2"/>
        <w:numId w:val="9"/>
      </w:numPr>
    </w:pPr>
  </w:style>
  <w:style w:type="paragraph" w:customStyle="1" w:styleId="SubNumPlain4">
    <w:name w:val="SubNum Plain4"/>
    <w:basedOn w:val="PlainHanging4"/>
    <w:qFormat/>
    <w:rsid w:val="00A96702"/>
    <w:pPr>
      <w:numPr>
        <w:ilvl w:val="3"/>
        <w:numId w:val="9"/>
      </w:numPr>
    </w:pPr>
  </w:style>
  <w:style w:type="paragraph" w:customStyle="1" w:styleId="SubNumBold1">
    <w:name w:val="SubNum Bold1"/>
    <w:basedOn w:val="BoldHanging1"/>
    <w:qFormat/>
    <w:rsid w:val="00A96702"/>
    <w:pPr>
      <w:numPr>
        <w:numId w:val="10"/>
      </w:numPr>
    </w:pPr>
  </w:style>
  <w:style w:type="paragraph" w:customStyle="1" w:styleId="SubNumBold2">
    <w:name w:val="SubNum Bold2"/>
    <w:basedOn w:val="BoldHanging2"/>
    <w:qFormat/>
    <w:rsid w:val="00A96702"/>
    <w:pPr>
      <w:numPr>
        <w:ilvl w:val="1"/>
        <w:numId w:val="10"/>
      </w:numPr>
    </w:pPr>
  </w:style>
  <w:style w:type="paragraph" w:customStyle="1" w:styleId="SubNumBold3">
    <w:name w:val="SubNum Bold3"/>
    <w:basedOn w:val="BoldHanging3"/>
    <w:qFormat/>
    <w:rsid w:val="00A96702"/>
    <w:pPr>
      <w:numPr>
        <w:ilvl w:val="2"/>
        <w:numId w:val="10"/>
      </w:numPr>
    </w:pPr>
  </w:style>
  <w:style w:type="paragraph" w:customStyle="1" w:styleId="SubNumBold4">
    <w:name w:val="SubNum Bold4"/>
    <w:basedOn w:val="BoldHanging4"/>
    <w:qFormat/>
    <w:rsid w:val="00A96702"/>
    <w:pPr>
      <w:numPr>
        <w:ilvl w:val="3"/>
        <w:numId w:val="10"/>
      </w:numPr>
    </w:pPr>
  </w:style>
  <w:style w:type="numbering" w:customStyle="1" w:styleId="AASBSubNumbers">
    <w:name w:val="AASB SubNumbers"/>
    <w:uiPriority w:val="99"/>
    <w:rsid w:val="00A96702"/>
    <w:pPr>
      <w:numPr>
        <w:numId w:val="8"/>
      </w:numPr>
    </w:pPr>
  </w:style>
  <w:style w:type="numbering" w:customStyle="1" w:styleId="AASBSubNumbersBold">
    <w:name w:val="AASB SubNumbers Bold"/>
    <w:uiPriority w:val="99"/>
    <w:rsid w:val="00A96702"/>
    <w:pPr>
      <w:numPr>
        <w:numId w:val="10"/>
      </w:numPr>
    </w:pPr>
  </w:style>
  <w:style w:type="character" w:customStyle="1" w:styleId="NumPlain1Char">
    <w:name w:val="Num Plain1 Char"/>
    <w:basedOn w:val="DefaultParagraphFont"/>
    <w:link w:val="NumPlain1"/>
    <w:rsid w:val="007B5854"/>
    <w:rPr>
      <w:lang w:eastAsia="en-US"/>
    </w:rPr>
  </w:style>
  <w:style w:type="character" w:customStyle="1" w:styleId="Heading2Char">
    <w:name w:val="Heading 2 Char"/>
    <w:basedOn w:val="DefaultParagraphFont"/>
    <w:link w:val="Heading2"/>
    <w:rsid w:val="00363483"/>
    <w:rPr>
      <w:rFonts w:cs="Arial"/>
      <w:b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rsid w:val="00D15D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5DE8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E430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E430D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E430D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43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430DF"/>
    <w:rPr>
      <w:b/>
      <w:bCs/>
      <w:lang w:eastAsia="en-US"/>
    </w:rPr>
  </w:style>
  <w:style w:type="paragraph" w:styleId="Revision">
    <w:name w:val="Revision"/>
    <w:hidden/>
    <w:uiPriority w:val="99"/>
    <w:semiHidden/>
    <w:rsid w:val="00D6695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0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el_1\shareddata\General\AASB\Templates\2010\WordGlobal\AmendingStanda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AB01A-418B-4D42-BE41-88D0C2D8F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AmendingStandard</Template>
  <TotalTime>2</TotalTime>
  <Pages>11</Pages>
  <Words>1942</Words>
  <Characters>11236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Amending Standard</vt:lpstr>
    </vt:vector>
  </TitlesOfParts>
  <Company>Australian Accounting Standards Board</Company>
  <LinksUpToDate>false</LinksUpToDate>
  <CharactersWithSpaces>13152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Amending Standard AASB2015-8</dc:title>
  <dc:creator>Shying, Mark</dc:creator>
  <cp:lastModifiedBy>John, Kathleen</cp:lastModifiedBy>
  <cp:revision>3</cp:revision>
  <cp:lastPrinted>2015-11-12T06:08:00Z</cp:lastPrinted>
  <dcterms:created xsi:type="dcterms:W3CDTF">2015-11-04T03:08:00Z</dcterms:created>
  <dcterms:modified xsi:type="dcterms:W3CDTF">2015-11-12T06:09:00Z</dcterms:modified>
</cp:coreProperties>
</file>