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8EB" w:rsidRPr="00871235" w:rsidRDefault="00CE58EB" w:rsidP="00CE58EB">
      <w:pPr>
        <w:spacing w:before="0"/>
        <w:jc w:val="center"/>
      </w:pPr>
      <w:r w:rsidRPr="00871235">
        <w:rPr>
          <w:b/>
          <w:u w:val="single"/>
        </w:rPr>
        <w:t>EXPLANATORY STATEMENT</w:t>
      </w:r>
    </w:p>
    <w:p w:rsidR="006816C6" w:rsidRPr="00871235" w:rsidRDefault="00CE58EB">
      <w:r w:rsidRPr="00871235">
        <w:t>Issued by the Authority of the Minister for Indigenous Affairs</w:t>
      </w:r>
    </w:p>
    <w:p w:rsidR="00CE58EB" w:rsidRPr="00871235" w:rsidRDefault="00CE58EB">
      <w:pPr>
        <w:rPr>
          <w:i/>
        </w:rPr>
      </w:pPr>
      <w:r w:rsidRPr="00871235">
        <w:rPr>
          <w:i/>
        </w:rPr>
        <w:t>Low Aromatic Fuel Act 2013</w:t>
      </w:r>
    </w:p>
    <w:p w:rsidR="00E321C4" w:rsidRDefault="009C328D" w:rsidP="00740710">
      <w:pPr>
        <w:rPr>
          <w:i/>
        </w:rPr>
      </w:pPr>
      <w:r w:rsidRPr="009C328D">
        <w:rPr>
          <w:i/>
        </w:rPr>
        <w:t>Low Aromatic Fuel (Designated Area) (Gre</w:t>
      </w:r>
      <w:r w:rsidR="00F767CD">
        <w:rPr>
          <w:i/>
        </w:rPr>
        <w:t>at Palm Island) Instrument 2015</w:t>
      </w:r>
    </w:p>
    <w:p w:rsidR="005C0B6C" w:rsidRDefault="00CE58EB" w:rsidP="00740710">
      <w:r w:rsidRPr="00871235">
        <w:t xml:space="preserve">Section 14 of the </w:t>
      </w:r>
      <w:r w:rsidRPr="00871235">
        <w:rPr>
          <w:i/>
        </w:rPr>
        <w:t>Low Aromatic Fuel Act 2013</w:t>
      </w:r>
      <w:r w:rsidRPr="00871235">
        <w:t xml:space="preserve"> (the Act) provides t</w:t>
      </w:r>
      <w:bookmarkStart w:id="0" w:name="_GoBack"/>
      <w:bookmarkEnd w:id="0"/>
      <w:r w:rsidRPr="00871235">
        <w:t xml:space="preserve">hat the Commonwealth Minister for Indigenous Affairs (the Minister) may, by legislative instrument, </w:t>
      </w:r>
      <w:r w:rsidR="008F2D7E" w:rsidRPr="00871235">
        <w:t>designat</w:t>
      </w:r>
      <w:r w:rsidR="008F2D7E">
        <w:t>e</w:t>
      </w:r>
      <w:r w:rsidR="008F2D7E" w:rsidRPr="00871235">
        <w:t xml:space="preserve"> an area</w:t>
      </w:r>
      <w:r w:rsidR="008F2D7E">
        <w:t xml:space="preserve"> as a ‘low aromatic fuel area</w:t>
      </w:r>
      <w:r w:rsidR="00FC2CF0">
        <w:t>.’</w:t>
      </w:r>
    </w:p>
    <w:p w:rsidR="005C0B6C" w:rsidRDefault="005C0B6C" w:rsidP="005C0B6C">
      <w:r w:rsidRPr="00871235">
        <w:t>This</w:t>
      </w:r>
      <w:r w:rsidR="00264FA1">
        <w:t xml:space="preserve"> instrument designates </w:t>
      </w:r>
      <w:r>
        <w:t xml:space="preserve">the area of </w:t>
      </w:r>
      <w:r w:rsidRPr="00871235">
        <w:t>Great Palm Island</w:t>
      </w:r>
      <w:r w:rsidR="00E42753">
        <w:t xml:space="preserve"> </w:t>
      </w:r>
      <w:r w:rsidR="00E42753">
        <w:rPr>
          <w:rStyle w:val="FootnoteReference"/>
        </w:rPr>
        <w:footnoteReference w:id="1"/>
      </w:r>
      <w:r w:rsidR="00E42753">
        <w:t xml:space="preserve"> </w:t>
      </w:r>
      <w:r w:rsidRPr="00871235">
        <w:t>in Queensland</w:t>
      </w:r>
      <w:r>
        <w:t xml:space="preserve"> as a</w:t>
      </w:r>
      <w:r w:rsidR="00987FA4">
        <w:t xml:space="preserve"> </w:t>
      </w:r>
      <w:r>
        <w:t>low aromatic fuel area.</w:t>
      </w:r>
    </w:p>
    <w:p w:rsidR="00013233" w:rsidRDefault="00013233" w:rsidP="00740710">
      <w:r>
        <w:t xml:space="preserve">If an area is designated as a </w:t>
      </w:r>
      <w:r w:rsidR="00987FA4">
        <w:t>low aromatic fuel are</w:t>
      </w:r>
      <w:r w:rsidR="00A61A5C">
        <w:t>a</w:t>
      </w:r>
      <w:r>
        <w:t>, then section 8 of the Act makes it an offence for a Corporation to</w:t>
      </w:r>
      <w:r w:rsidR="00727C3D">
        <w:t xml:space="preserve"> engage in the following prohibited conduct</w:t>
      </w:r>
      <w:r>
        <w:t xml:space="preserve">: </w:t>
      </w:r>
    </w:p>
    <w:p w:rsidR="00013233" w:rsidRDefault="00013233" w:rsidP="00E42753">
      <w:pPr>
        <w:pStyle w:val="ListParagraph"/>
        <w:numPr>
          <w:ilvl w:val="0"/>
          <w:numId w:val="3"/>
        </w:numPr>
      </w:pPr>
      <w:r>
        <w:t>Supply regular unleaded petrol to a person in a low aromatic fuel area</w:t>
      </w:r>
      <w:r w:rsidR="00F767CD">
        <w:t>;</w:t>
      </w:r>
    </w:p>
    <w:p w:rsidR="00013233" w:rsidRDefault="00013233" w:rsidP="00E42753">
      <w:pPr>
        <w:pStyle w:val="ListParagraph"/>
        <w:numPr>
          <w:ilvl w:val="0"/>
          <w:numId w:val="3"/>
        </w:numPr>
      </w:pPr>
      <w:r>
        <w:t>Transport regular unleade</w:t>
      </w:r>
      <w:r w:rsidR="00FC2CF0">
        <w:t>d petrol to supply to a person i</w:t>
      </w:r>
      <w:r>
        <w:t>n a low aromatic fuel area</w:t>
      </w:r>
      <w:r w:rsidR="00F767CD">
        <w:t>;</w:t>
      </w:r>
    </w:p>
    <w:p w:rsidR="00013233" w:rsidRDefault="00013233" w:rsidP="00E42753">
      <w:pPr>
        <w:pStyle w:val="ListParagraph"/>
        <w:numPr>
          <w:ilvl w:val="0"/>
          <w:numId w:val="3"/>
        </w:numPr>
      </w:pPr>
      <w:r>
        <w:t xml:space="preserve">Possess regular unleaded petrol </w:t>
      </w:r>
      <w:r w:rsidR="00FC2CF0">
        <w:t>to supply to a person in a low aromatic fuel area</w:t>
      </w:r>
      <w:r w:rsidR="00F767CD">
        <w:t>.</w:t>
      </w:r>
    </w:p>
    <w:p w:rsidR="00C735B9" w:rsidRPr="00871235" w:rsidRDefault="00C735B9" w:rsidP="00C735B9">
      <w:r w:rsidRPr="00871235">
        <w:t xml:space="preserve">Corporations who commit an offence under </w:t>
      </w:r>
      <w:r w:rsidR="00FC2CF0">
        <w:t>the Act</w:t>
      </w:r>
      <w:r w:rsidRPr="00871235">
        <w:t xml:space="preserve"> may face a penalty of up to 300 penalty units. At the time of </w:t>
      </w:r>
      <w:r>
        <w:t>publication</w:t>
      </w:r>
      <w:r w:rsidRPr="00871235">
        <w:t xml:space="preserve">, 300 penalty units </w:t>
      </w:r>
      <w:proofErr w:type="gramStart"/>
      <w:r w:rsidRPr="00871235">
        <w:t>equals</w:t>
      </w:r>
      <w:proofErr w:type="gramEnd"/>
      <w:r w:rsidRPr="00871235">
        <w:t xml:space="preserve"> $54,000.</w:t>
      </w:r>
    </w:p>
    <w:p w:rsidR="00825F5E" w:rsidRPr="00871235" w:rsidRDefault="00740710" w:rsidP="00740710">
      <w:r w:rsidRPr="00871235">
        <w:t xml:space="preserve">Before designating a low aromatic fuel area, the Minister must be satisfied that the designation is reasonably likely to help reduce </w:t>
      </w:r>
      <w:r w:rsidR="00825F5E" w:rsidRPr="00871235">
        <w:t xml:space="preserve">potential </w:t>
      </w:r>
      <w:r w:rsidRPr="00871235">
        <w:t>harm to the health of people</w:t>
      </w:r>
      <w:r w:rsidR="00825F5E" w:rsidRPr="00871235">
        <w:t>, including Aboriginal persons and Torres Strait Islanders living in the area</w:t>
      </w:r>
      <w:r w:rsidRPr="00871235">
        <w:t xml:space="preserve"> from sniffing </w:t>
      </w:r>
      <w:r w:rsidR="00825F5E" w:rsidRPr="00871235">
        <w:t xml:space="preserve">fuel </w:t>
      </w:r>
      <w:r w:rsidRPr="00871235">
        <w:t>(</w:t>
      </w:r>
      <w:r w:rsidR="00825F5E" w:rsidRPr="00871235">
        <w:t>sub</w:t>
      </w:r>
      <w:r w:rsidRPr="00871235">
        <w:t>section 14(2)).</w:t>
      </w:r>
      <w:r w:rsidR="00825F5E" w:rsidRPr="00871235">
        <w:t xml:space="preserve"> The Minister must also be satisfied </w:t>
      </w:r>
      <w:proofErr w:type="gramStart"/>
      <w:r w:rsidR="00825F5E" w:rsidRPr="00871235">
        <w:t>that facilities</w:t>
      </w:r>
      <w:proofErr w:type="gramEnd"/>
      <w:r w:rsidR="00825F5E" w:rsidRPr="00871235">
        <w:t xml:space="preserve"> for </w:t>
      </w:r>
      <w:r w:rsidR="0083601D">
        <w:t xml:space="preserve">the </w:t>
      </w:r>
      <w:r w:rsidR="00825F5E" w:rsidRPr="00871235">
        <w:t>supply of low aromatic fuel in the area are adequate (subsection 14(3)) and that the appropriate States and Territories have not or are unlikely to enact legislation consistent with the Act.</w:t>
      </w:r>
      <w:r w:rsidRPr="00871235">
        <w:t xml:space="preserve"> </w:t>
      </w:r>
    </w:p>
    <w:p w:rsidR="00825F5E" w:rsidRPr="00871235" w:rsidRDefault="001D57EE" w:rsidP="00740710">
      <w:r w:rsidRPr="00871235">
        <w:t>T</w:t>
      </w:r>
      <w:r w:rsidR="00740710" w:rsidRPr="00871235">
        <w:t>he Minister must have regard to</w:t>
      </w:r>
      <w:r w:rsidR="008F2D7E">
        <w:t xml:space="preserve"> matters listed in the Act </w:t>
      </w:r>
      <w:r w:rsidR="008F2D7E" w:rsidRPr="00871235">
        <w:t>(subsection 14(3)</w:t>
      </w:r>
      <w:r w:rsidR="00986D86">
        <w:t>)</w:t>
      </w:r>
      <w:r w:rsidR="00BB41C3">
        <w:t>,</w:t>
      </w:r>
      <w:r w:rsidR="008F2D7E">
        <w:t xml:space="preserve"> including t</w:t>
      </w:r>
      <w:r w:rsidR="00740710" w:rsidRPr="00871235">
        <w:t>he wellbeing of people</w:t>
      </w:r>
      <w:r w:rsidR="00825F5E" w:rsidRPr="00871235">
        <w:t>, including Aboriginal persons and Torres Strait Islanders</w:t>
      </w:r>
      <w:r w:rsidR="00740710" w:rsidRPr="00871235">
        <w:t xml:space="preserve"> living in the area</w:t>
      </w:r>
      <w:r w:rsidR="008F2D7E">
        <w:t>,</w:t>
      </w:r>
      <w:r w:rsidR="00740710" w:rsidRPr="00871235">
        <w:t xml:space="preserve"> </w:t>
      </w:r>
      <w:r w:rsidRPr="00871235">
        <w:t xml:space="preserve">in designating </w:t>
      </w:r>
      <w:r w:rsidR="00987FA4">
        <w:t>a low aromatic fuel area</w:t>
      </w:r>
      <w:r w:rsidRPr="00871235">
        <w:t xml:space="preserve"> under </w:t>
      </w:r>
      <w:r w:rsidR="00987FA4">
        <w:t>sub</w:t>
      </w:r>
      <w:r w:rsidRPr="00871235">
        <w:t xml:space="preserve">section </w:t>
      </w:r>
      <w:r w:rsidR="00987FA4">
        <w:t>1</w:t>
      </w:r>
      <w:r w:rsidRPr="00871235">
        <w:t>4(1)</w:t>
      </w:r>
      <w:r w:rsidR="00740710" w:rsidRPr="00871235">
        <w:t xml:space="preserve">. </w:t>
      </w:r>
    </w:p>
    <w:p w:rsidR="00BF54A1" w:rsidRPr="00871235" w:rsidRDefault="00BF54A1" w:rsidP="00BF54A1">
      <w:pPr>
        <w:spacing w:before="0"/>
        <w:rPr>
          <w:b/>
        </w:rPr>
      </w:pPr>
    </w:p>
    <w:p w:rsidR="00BF54A1" w:rsidRPr="00871235" w:rsidRDefault="00BF54A1" w:rsidP="00BF54A1">
      <w:pPr>
        <w:spacing w:before="0"/>
        <w:rPr>
          <w:b/>
        </w:rPr>
      </w:pPr>
      <w:r w:rsidRPr="00871235">
        <w:rPr>
          <w:b/>
        </w:rPr>
        <w:t>Background</w:t>
      </w:r>
    </w:p>
    <w:p w:rsidR="00CE58EB" w:rsidRPr="00871235" w:rsidRDefault="00CE58EB" w:rsidP="00CE58EB">
      <w:r w:rsidRPr="00871235">
        <w:t xml:space="preserve">The Act </w:t>
      </w:r>
      <w:r w:rsidR="00987FA4">
        <w:t>provides for</w:t>
      </w:r>
      <w:r w:rsidR="00987FA4" w:rsidRPr="00871235">
        <w:t xml:space="preserve"> </w:t>
      </w:r>
      <w:r w:rsidRPr="00871235">
        <w:t>measures designed to mitigate the negative impacts of petrol sniffing through controlling the supply of other fuels</w:t>
      </w:r>
      <w:r w:rsidR="001D57EE" w:rsidRPr="00871235">
        <w:t xml:space="preserve"> and promoting the supply of low aromatic fuel</w:t>
      </w:r>
      <w:r w:rsidRPr="00871235">
        <w:t xml:space="preserve"> in designated areas by:</w:t>
      </w:r>
    </w:p>
    <w:p w:rsidR="00CE58EB" w:rsidRPr="00871235" w:rsidRDefault="00CE58EB" w:rsidP="00CE58EB">
      <w:pPr>
        <w:pStyle w:val="ListParagraph"/>
        <w:numPr>
          <w:ilvl w:val="0"/>
          <w:numId w:val="1"/>
        </w:numPr>
        <w:rPr>
          <w:szCs w:val="20"/>
        </w:rPr>
      </w:pPr>
      <w:r w:rsidRPr="00871235">
        <w:rPr>
          <w:szCs w:val="20"/>
        </w:rPr>
        <w:t>Prohibiting the supply</w:t>
      </w:r>
      <w:r w:rsidR="001D57EE" w:rsidRPr="00871235">
        <w:t>,</w:t>
      </w:r>
      <w:r w:rsidR="00FA610A">
        <w:t xml:space="preserve"> and</w:t>
      </w:r>
      <w:r w:rsidR="001D57EE" w:rsidRPr="00871235">
        <w:t xml:space="preserve"> transport and possession to supply</w:t>
      </w:r>
      <w:r w:rsidRPr="00871235">
        <w:rPr>
          <w:szCs w:val="20"/>
        </w:rPr>
        <w:t xml:space="preserve"> of regular unleaded petrol; </w:t>
      </w:r>
    </w:p>
    <w:p w:rsidR="00CE58EB" w:rsidRPr="00871235" w:rsidRDefault="00CE58EB" w:rsidP="00CE58EB">
      <w:pPr>
        <w:pStyle w:val="ListParagraph"/>
        <w:numPr>
          <w:ilvl w:val="0"/>
          <w:numId w:val="1"/>
        </w:numPr>
        <w:rPr>
          <w:szCs w:val="20"/>
        </w:rPr>
      </w:pPr>
      <w:r w:rsidRPr="00871235">
        <w:rPr>
          <w:szCs w:val="20"/>
        </w:rPr>
        <w:t xml:space="preserve">Promoting and monitoring the use of </w:t>
      </w:r>
      <w:r w:rsidR="00986D86">
        <w:rPr>
          <w:szCs w:val="20"/>
        </w:rPr>
        <w:t>l</w:t>
      </w:r>
      <w:r w:rsidR="00776DC3" w:rsidRPr="00871235">
        <w:rPr>
          <w:szCs w:val="20"/>
        </w:rPr>
        <w:t>ow aromatic fuel</w:t>
      </w:r>
      <w:r w:rsidRPr="00871235">
        <w:rPr>
          <w:szCs w:val="20"/>
        </w:rPr>
        <w:t>; and</w:t>
      </w:r>
    </w:p>
    <w:p w:rsidR="00CE58EB" w:rsidRPr="00871235" w:rsidRDefault="00CE58EB" w:rsidP="00CE58EB">
      <w:pPr>
        <w:pStyle w:val="ListParagraph"/>
        <w:numPr>
          <w:ilvl w:val="0"/>
          <w:numId w:val="1"/>
        </w:numPr>
        <w:rPr>
          <w:szCs w:val="20"/>
        </w:rPr>
      </w:pPr>
      <w:r w:rsidRPr="00871235">
        <w:rPr>
          <w:szCs w:val="20"/>
        </w:rPr>
        <w:t>Regulating the supply and storage of other fuels – in particular premium unleaded petrol.</w:t>
      </w:r>
    </w:p>
    <w:p w:rsidR="00092292" w:rsidRDefault="00092292" w:rsidP="00BF54A1">
      <w:pPr>
        <w:rPr>
          <w:rStyle w:val="BookTitle"/>
          <w:b/>
          <w:i w:val="0"/>
          <w:iCs w:val="0"/>
          <w:smallCaps w:val="0"/>
        </w:rPr>
      </w:pPr>
    </w:p>
    <w:p w:rsidR="00092292" w:rsidRDefault="00092292" w:rsidP="00BF54A1">
      <w:pPr>
        <w:rPr>
          <w:rStyle w:val="BookTitle"/>
          <w:b/>
          <w:i w:val="0"/>
          <w:iCs w:val="0"/>
          <w:smallCaps w:val="0"/>
        </w:rPr>
      </w:pPr>
    </w:p>
    <w:p w:rsidR="00FA610A" w:rsidRDefault="00220AC7" w:rsidP="00BF54A1">
      <w:pPr>
        <w:rPr>
          <w:rStyle w:val="BookTitle"/>
          <w:b/>
          <w:i w:val="0"/>
          <w:iCs w:val="0"/>
          <w:smallCaps w:val="0"/>
        </w:rPr>
      </w:pPr>
      <w:r>
        <w:rPr>
          <w:rStyle w:val="BookTitle"/>
          <w:b/>
          <w:i w:val="0"/>
          <w:iCs w:val="0"/>
          <w:smallCaps w:val="0"/>
        </w:rPr>
        <w:lastRenderedPageBreak/>
        <w:t xml:space="preserve">Regulatory Impact Statement </w:t>
      </w:r>
    </w:p>
    <w:p w:rsidR="00220AC7" w:rsidRPr="00092292" w:rsidRDefault="00220AC7" w:rsidP="00F767CD">
      <w:pPr>
        <w:rPr>
          <w:rStyle w:val="BookTitle"/>
          <w:i w:val="0"/>
          <w:iCs w:val="0"/>
          <w:smallCaps w:val="0"/>
        </w:rPr>
      </w:pPr>
      <w:r>
        <w:rPr>
          <w:rStyle w:val="BookTitle"/>
          <w:i w:val="0"/>
          <w:iCs w:val="0"/>
          <w:smallCaps w:val="0"/>
        </w:rPr>
        <w:t>The Office of Best Practice Regulation</w:t>
      </w:r>
      <w:r w:rsidR="00717169">
        <w:rPr>
          <w:rStyle w:val="BookTitle"/>
          <w:i w:val="0"/>
          <w:iCs w:val="0"/>
          <w:smallCaps w:val="0"/>
        </w:rPr>
        <w:t xml:space="preserve"> has</w:t>
      </w:r>
      <w:r>
        <w:rPr>
          <w:rStyle w:val="BookTitle"/>
          <w:i w:val="0"/>
          <w:iCs w:val="0"/>
          <w:smallCaps w:val="0"/>
        </w:rPr>
        <w:t xml:space="preserve"> advise</w:t>
      </w:r>
      <w:r w:rsidR="00717169">
        <w:rPr>
          <w:rStyle w:val="BookTitle"/>
          <w:i w:val="0"/>
          <w:iCs w:val="0"/>
          <w:smallCaps w:val="0"/>
        </w:rPr>
        <w:t>d</w:t>
      </w:r>
      <w:r>
        <w:rPr>
          <w:rStyle w:val="BookTitle"/>
          <w:i w:val="0"/>
          <w:iCs w:val="0"/>
          <w:smallCaps w:val="0"/>
        </w:rPr>
        <w:t xml:space="preserve"> that a </w:t>
      </w:r>
      <w:r w:rsidR="00092292">
        <w:rPr>
          <w:rStyle w:val="BookTitle"/>
          <w:i w:val="0"/>
          <w:iCs w:val="0"/>
          <w:smallCaps w:val="0"/>
        </w:rPr>
        <w:t xml:space="preserve">Regulatory Impact Statement is not required for this instrument (OBPR </w:t>
      </w:r>
      <w:r w:rsidR="00717169">
        <w:rPr>
          <w:rStyle w:val="BookTitle"/>
          <w:i w:val="0"/>
          <w:iCs w:val="0"/>
          <w:smallCaps w:val="0"/>
        </w:rPr>
        <w:t>reference:</w:t>
      </w:r>
      <w:r w:rsidR="00092292">
        <w:rPr>
          <w:rStyle w:val="BookTitle"/>
          <w:i w:val="0"/>
          <w:iCs w:val="0"/>
          <w:smallCaps w:val="0"/>
        </w:rPr>
        <w:t xml:space="preserve"> 19802)</w:t>
      </w:r>
      <w:r w:rsidR="008850B5">
        <w:rPr>
          <w:rStyle w:val="BookTitle"/>
          <w:i w:val="0"/>
          <w:iCs w:val="0"/>
          <w:smallCaps w:val="0"/>
        </w:rPr>
        <w:t>.</w:t>
      </w:r>
    </w:p>
    <w:p w:rsidR="00BF54A1" w:rsidRPr="00871235" w:rsidRDefault="00BF54A1" w:rsidP="00BF54A1">
      <w:pPr>
        <w:rPr>
          <w:rStyle w:val="BookTitle"/>
          <w:b/>
          <w:i w:val="0"/>
          <w:iCs w:val="0"/>
          <w:smallCaps w:val="0"/>
        </w:rPr>
      </w:pPr>
      <w:r w:rsidRPr="00871235">
        <w:rPr>
          <w:rStyle w:val="BookTitle"/>
          <w:b/>
          <w:i w:val="0"/>
          <w:iCs w:val="0"/>
          <w:smallCaps w:val="0"/>
        </w:rPr>
        <w:t>Commencement</w:t>
      </w:r>
    </w:p>
    <w:p w:rsidR="001C2DFA" w:rsidRDefault="00BF54A1" w:rsidP="00BF54A1">
      <w:pPr>
        <w:rPr>
          <w:rStyle w:val="BookTitle"/>
          <w:b/>
          <w:i w:val="0"/>
          <w:iCs w:val="0"/>
          <w:smallCaps w:val="0"/>
        </w:rPr>
      </w:pPr>
      <w:r w:rsidRPr="00871235">
        <w:rPr>
          <w:rStyle w:val="BookTitle"/>
          <w:i w:val="0"/>
          <w:iCs w:val="0"/>
          <w:smallCaps w:val="0"/>
        </w:rPr>
        <w:t xml:space="preserve">The </w:t>
      </w:r>
      <w:r w:rsidR="00264FA1">
        <w:rPr>
          <w:rStyle w:val="BookTitle"/>
          <w:i w:val="0"/>
          <w:iCs w:val="0"/>
          <w:smallCaps w:val="0"/>
        </w:rPr>
        <w:t>instrument</w:t>
      </w:r>
      <w:r w:rsidR="00264FA1" w:rsidRPr="00871235">
        <w:rPr>
          <w:rStyle w:val="BookTitle"/>
          <w:i w:val="0"/>
          <w:iCs w:val="0"/>
          <w:smallCaps w:val="0"/>
        </w:rPr>
        <w:t xml:space="preserve"> </w:t>
      </w:r>
      <w:r w:rsidRPr="00871235">
        <w:rPr>
          <w:rStyle w:val="BookTitle"/>
          <w:i w:val="0"/>
          <w:iCs w:val="0"/>
          <w:smallCaps w:val="0"/>
        </w:rPr>
        <w:t>commences</w:t>
      </w:r>
      <w:r w:rsidR="00D5044F">
        <w:rPr>
          <w:rStyle w:val="BookTitle"/>
          <w:i w:val="0"/>
          <w:iCs w:val="0"/>
          <w:smallCaps w:val="0"/>
        </w:rPr>
        <w:t xml:space="preserve"> </w:t>
      </w:r>
      <w:r w:rsidR="001C2DFA">
        <w:rPr>
          <w:spacing w:val="5"/>
        </w:rPr>
        <w:t xml:space="preserve">on </w:t>
      </w:r>
      <w:r w:rsidR="00C6440E">
        <w:rPr>
          <w:spacing w:val="5"/>
        </w:rPr>
        <w:t>the day after registration on the Federal Register of Legisl</w:t>
      </w:r>
      <w:r w:rsidR="00F767CD">
        <w:rPr>
          <w:spacing w:val="5"/>
        </w:rPr>
        <w:t>ative</w:t>
      </w:r>
      <w:r w:rsidR="00C6440E">
        <w:rPr>
          <w:spacing w:val="5"/>
        </w:rPr>
        <w:t xml:space="preserve"> Instruments. </w:t>
      </w:r>
    </w:p>
    <w:p w:rsidR="00BF54A1" w:rsidRPr="00871235" w:rsidRDefault="00BF54A1" w:rsidP="00BF54A1">
      <w:pPr>
        <w:rPr>
          <w:rStyle w:val="BookTitle"/>
          <w:b/>
          <w:i w:val="0"/>
          <w:iCs w:val="0"/>
          <w:smallCaps w:val="0"/>
        </w:rPr>
      </w:pPr>
      <w:r w:rsidRPr="00871235">
        <w:rPr>
          <w:rStyle w:val="BookTitle"/>
          <w:b/>
          <w:i w:val="0"/>
          <w:iCs w:val="0"/>
          <w:smallCaps w:val="0"/>
        </w:rPr>
        <w:t>Consultation</w:t>
      </w:r>
    </w:p>
    <w:p w:rsidR="007B47A8" w:rsidRPr="00871235" w:rsidRDefault="001D57EE" w:rsidP="001715A5">
      <w:r w:rsidRPr="00871235">
        <w:t>The Minister is required to consult with certain persons and bodies as the Minister considers appropriate under s</w:t>
      </w:r>
      <w:r w:rsidR="008B6CFA" w:rsidRPr="00871235">
        <w:t>ubs</w:t>
      </w:r>
      <w:r w:rsidRPr="00871235">
        <w:t>ection 16</w:t>
      </w:r>
      <w:r w:rsidR="008B6CFA" w:rsidRPr="00871235">
        <w:t>(1)</w:t>
      </w:r>
      <w:r w:rsidRPr="00871235">
        <w:t xml:space="preserve"> of the Act</w:t>
      </w:r>
      <w:r w:rsidR="007B47A8" w:rsidRPr="00871235">
        <w:t>.</w:t>
      </w:r>
    </w:p>
    <w:p w:rsidR="00A108DB" w:rsidRPr="00871235" w:rsidRDefault="008B6CFA" w:rsidP="001715A5">
      <w:r w:rsidRPr="00871235">
        <w:rPr>
          <w:rStyle w:val="BookTitle"/>
          <w:i w:val="0"/>
          <w:iCs w:val="0"/>
          <w:smallCaps w:val="0"/>
        </w:rPr>
        <w:t>T</w:t>
      </w:r>
      <w:r w:rsidR="00A108DB" w:rsidRPr="00871235">
        <w:t xml:space="preserve">he Minister must ensure information has been made available </w:t>
      </w:r>
      <w:r w:rsidR="007B47A8" w:rsidRPr="00871235">
        <w:t>to</w:t>
      </w:r>
      <w:r w:rsidR="00A108DB" w:rsidRPr="00871235">
        <w:t xml:space="preserve"> </w:t>
      </w:r>
      <w:r w:rsidR="00013588" w:rsidRPr="00871235">
        <w:t xml:space="preserve">the </w:t>
      </w:r>
      <w:r w:rsidR="00A108DB" w:rsidRPr="00871235">
        <w:t xml:space="preserve">people living in the area (including businesses and organisations operating in the area) </w:t>
      </w:r>
      <w:r w:rsidR="001F41F0">
        <w:t xml:space="preserve">and they </w:t>
      </w:r>
      <w:r w:rsidR="00A108DB" w:rsidRPr="00871235">
        <w:t>have been given a reasonable opportunity to make submissions about the proposal</w:t>
      </w:r>
      <w:r w:rsidRPr="00871235">
        <w:t xml:space="preserve"> under subsection 16(2) of the Act</w:t>
      </w:r>
      <w:r w:rsidR="00A108DB" w:rsidRPr="00871235">
        <w:t xml:space="preserve">. </w:t>
      </w:r>
    </w:p>
    <w:p w:rsidR="00A108DB" w:rsidRPr="00871235" w:rsidRDefault="00994FE1" w:rsidP="001715A5">
      <w:r w:rsidRPr="00871235">
        <w:t xml:space="preserve">A public consultation process on </w:t>
      </w:r>
      <w:r w:rsidR="001715A5" w:rsidRPr="00871235">
        <w:t xml:space="preserve">the </w:t>
      </w:r>
      <w:r w:rsidRPr="00871235">
        <w:t>propos</w:t>
      </w:r>
      <w:r w:rsidR="001715A5" w:rsidRPr="00871235">
        <w:t xml:space="preserve">al to designate </w:t>
      </w:r>
      <w:r w:rsidR="0053117E" w:rsidRPr="00871235">
        <w:t xml:space="preserve">Great </w:t>
      </w:r>
      <w:r w:rsidR="001715A5" w:rsidRPr="00871235">
        <w:t>Palm Island</w:t>
      </w:r>
      <w:r w:rsidR="00930EF3">
        <w:t xml:space="preserve"> </w:t>
      </w:r>
      <w:r w:rsidR="001715A5" w:rsidRPr="00871235">
        <w:t xml:space="preserve">as a low aromatic fuel area </w:t>
      </w:r>
      <w:r w:rsidRPr="00871235">
        <w:t xml:space="preserve">was conducted between </w:t>
      </w:r>
      <w:r w:rsidR="001715A5" w:rsidRPr="00871235">
        <w:t xml:space="preserve">17 August </w:t>
      </w:r>
      <w:r w:rsidR="00FA610A">
        <w:t xml:space="preserve">2015 </w:t>
      </w:r>
      <w:r w:rsidR="001715A5" w:rsidRPr="00871235">
        <w:t>and 11 September 2015</w:t>
      </w:r>
      <w:r w:rsidRPr="00871235">
        <w:t xml:space="preserve">. The area proposed in the consultation process </w:t>
      </w:r>
      <w:r w:rsidR="001715A5" w:rsidRPr="00871235">
        <w:t>is</w:t>
      </w:r>
      <w:r w:rsidRPr="00871235">
        <w:t xml:space="preserve"> the same as the</w:t>
      </w:r>
      <w:r w:rsidR="0053117E" w:rsidRPr="00871235">
        <w:t xml:space="preserve"> area designated as a low aromatic fuel area </w:t>
      </w:r>
      <w:r w:rsidR="00987FA4">
        <w:t xml:space="preserve">by this instrument. </w:t>
      </w:r>
      <w:r w:rsidRPr="00871235">
        <w:t xml:space="preserve"> </w:t>
      </w:r>
    </w:p>
    <w:p w:rsidR="001715A5" w:rsidRPr="00871235" w:rsidRDefault="001715A5" w:rsidP="001715A5">
      <w:r w:rsidRPr="00871235">
        <w:t xml:space="preserve">On behalf of the </w:t>
      </w:r>
      <w:r w:rsidR="00994FE1" w:rsidRPr="00871235">
        <w:t>Minister</w:t>
      </w:r>
      <w:r w:rsidRPr="00871235">
        <w:t>, the Department</w:t>
      </w:r>
      <w:r w:rsidR="001E2766">
        <w:t xml:space="preserve"> </w:t>
      </w:r>
      <w:r w:rsidR="00D01759" w:rsidRPr="001E2766">
        <w:t xml:space="preserve">of </w:t>
      </w:r>
      <w:r w:rsidR="00D01759">
        <w:t>the</w:t>
      </w:r>
      <w:r w:rsidR="001E2766">
        <w:t xml:space="preserve"> </w:t>
      </w:r>
      <w:r w:rsidR="001E2766" w:rsidRPr="001E2766">
        <w:t xml:space="preserve">Prime Minister and </w:t>
      </w:r>
      <w:r w:rsidR="00A61A5C" w:rsidRPr="001E2766">
        <w:t>Cabinet</w:t>
      </w:r>
      <w:r w:rsidR="00A61A5C" w:rsidRPr="00871235">
        <w:t xml:space="preserve"> </w:t>
      </w:r>
      <w:r w:rsidR="00A61A5C">
        <w:t>(</w:t>
      </w:r>
      <w:r w:rsidR="00D01759">
        <w:t xml:space="preserve">the Department) </w:t>
      </w:r>
      <w:r w:rsidRPr="00871235">
        <w:t>wrote to identified stakeholders outlining the proposal and invit</w:t>
      </w:r>
      <w:r w:rsidR="00987FA4">
        <w:t xml:space="preserve">ed </w:t>
      </w:r>
      <w:r w:rsidRPr="00871235">
        <w:t xml:space="preserve">them to make a submission or provide their views, including fuel retailers and distributors, health professionals, the local council and other relevant persons. </w:t>
      </w:r>
      <w:r w:rsidR="00740710" w:rsidRPr="00871235">
        <w:t xml:space="preserve">Officials from the Department </w:t>
      </w:r>
      <w:r w:rsidR="00FC4C73" w:rsidRPr="00871235">
        <w:t>visited</w:t>
      </w:r>
      <w:r w:rsidR="00740710" w:rsidRPr="00871235">
        <w:t xml:space="preserve"> </w:t>
      </w:r>
      <w:r w:rsidR="00D01759">
        <w:t xml:space="preserve">Great </w:t>
      </w:r>
      <w:r w:rsidR="00740710" w:rsidRPr="00871235">
        <w:t>Palm Island from 25</w:t>
      </w:r>
      <w:r w:rsidR="0026286A">
        <w:t>-</w:t>
      </w:r>
      <w:r w:rsidR="00740710" w:rsidRPr="00871235">
        <w:t xml:space="preserve">27 August 2015 and </w:t>
      </w:r>
      <w:r w:rsidR="0026286A">
        <w:t>9-10</w:t>
      </w:r>
      <w:r w:rsidR="00740710" w:rsidRPr="00871235">
        <w:t xml:space="preserve"> September 2015 for meetings with retailers, health providers, Indigenous organisations, residents and other relevant persons, as part of </w:t>
      </w:r>
      <w:r w:rsidR="00987FA4" w:rsidRPr="00871235">
        <w:t>th</w:t>
      </w:r>
      <w:r w:rsidR="00987FA4">
        <w:t>e</w:t>
      </w:r>
      <w:r w:rsidR="00987FA4" w:rsidRPr="00871235">
        <w:t xml:space="preserve"> </w:t>
      </w:r>
      <w:r w:rsidR="00740710" w:rsidRPr="00871235">
        <w:t>consultation process.</w:t>
      </w:r>
      <w:r w:rsidR="00F32062" w:rsidRPr="00871235">
        <w:t xml:space="preserve"> </w:t>
      </w:r>
      <w:r w:rsidRPr="00871235">
        <w:t>A</w:t>
      </w:r>
      <w:r w:rsidR="00C30429" w:rsidRPr="00871235">
        <w:t xml:space="preserve"> </w:t>
      </w:r>
      <w:r w:rsidRPr="00871235">
        <w:t>website also invited submissions from anyone interested in the area</w:t>
      </w:r>
      <w:r w:rsidR="00D8092E" w:rsidRPr="00871235">
        <w:t>.</w:t>
      </w:r>
    </w:p>
    <w:p w:rsidR="0060592B" w:rsidRPr="00092292" w:rsidRDefault="00740710" w:rsidP="00BF54A1">
      <w:pPr>
        <w:rPr>
          <w:rStyle w:val="BookTitle"/>
          <w:i w:val="0"/>
          <w:iCs w:val="0"/>
          <w:smallCaps w:val="0"/>
          <w:spacing w:val="0"/>
        </w:rPr>
      </w:pPr>
      <w:r w:rsidRPr="00871235">
        <w:t xml:space="preserve">The consultation process demonstrated overall strong support for the designation in order to address the serious </w:t>
      </w:r>
      <w:r w:rsidR="00776DC3" w:rsidRPr="00871235">
        <w:t xml:space="preserve">social </w:t>
      </w:r>
      <w:r w:rsidRPr="00871235">
        <w:t xml:space="preserve">impact of petrol sniffing. </w:t>
      </w:r>
      <w:r w:rsidR="00776DC3" w:rsidRPr="00871235">
        <w:t>S</w:t>
      </w:r>
      <w:r w:rsidR="001715A5" w:rsidRPr="00871235">
        <w:t xml:space="preserve">ome concerns about the impact of low aromatic fuel upon small engines were </w:t>
      </w:r>
      <w:proofErr w:type="gramStart"/>
      <w:r w:rsidR="001715A5" w:rsidRPr="00871235">
        <w:t>raised,</w:t>
      </w:r>
      <w:proofErr w:type="gramEnd"/>
      <w:r w:rsidR="001715A5" w:rsidRPr="00871235">
        <w:t xml:space="preserve"> </w:t>
      </w:r>
      <w:r w:rsidR="00776DC3" w:rsidRPr="00871235">
        <w:t>however t</w:t>
      </w:r>
      <w:r w:rsidR="001715A5" w:rsidRPr="00871235">
        <w:t>he Department has undertaken to work closely with the community during the transition to address any residual concerns to using low aromatic unleaded fuel.</w:t>
      </w:r>
    </w:p>
    <w:p w:rsidR="0026286A" w:rsidRDefault="0026286A" w:rsidP="00BF54A1">
      <w:pPr>
        <w:spacing w:before="0"/>
        <w:rPr>
          <w:rStyle w:val="BookTitle"/>
          <w:b/>
          <w:i w:val="0"/>
          <w:iCs w:val="0"/>
          <w:smallCaps w:val="0"/>
        </w:rPr>
      </w:pPr>
    </w:p>
    <w:p w:rsidR="00BF54A1" w:rsidRPr="00871235" w:rsidRDefault="00BF54A1" w:rsidP="00BF54A1">
      <w:pPr>
        <w:spacing w:before="0"/>
        <w:rPr>
          <w:rStyle w:val="BookTitle"/>
          <w:b/>
          <w:i w:val="0"/>
          <w:iCs w:val="0"/>
          <w:smallCaps w:val="0"/>
        </w:rPr>
      </w:pPr>
      <w:r w:rsidRPr="00871235">
        <w:rPr>
          <w:rStyle w:val="BookTitle"/>
          <w:b/>
          <w:i w:val="0"/>
          <w:iCs w:val="0"/>
          <w:smallCaps w:val="0"/>
        </w:rPr>
        <w:t>Explanation of provisions</w:t>
      </w:r>
    </w:p>
    <w:p w:rsidR="00A8043E" w:rsidRPr="00871235" w:rsidRDefault="00961D51" w:rsidP="00A8043E">
      <w:pPr>
        <w:rPr>
          <w:i/>
        </w:rPr>
      </w:pPr>
      <w:r>
        <w:rPr>
          <w:b/>
        </w:rPr>
        <w:t>Item</w:t>
      </w:r>
      <w:r w:rsidR="00C735B9" w:rsidRPr="00871235">
        <w:t xml:space="preserve"> </w:t>
      </w:r>
      <w:r w:rsidR="00BF54A1" w:rsidRPr="00871235">
        <w:rPr>
          <w:b/>
        </w:rPr>
        <w:t>1</w:t>
      </w:r>
      <w:r w:rsidR="00BF54A1" w:rsidRPr="00871235">
        <w:t xml:space="preserve"> </w:t>
      </w:r>
      <w:r w:rsidR="00A8043E" w:rsidRPr="00871235">
        <w:rPr>
          <w:rStyle w:val="BookTitle"/>
          <w:i w:val="0"/>
          <w:iCs w:val="0"/>
          <w:smallCaps w:val="0"/>
        </w:rPr>
        <w:t xml:space="preserve">sets out the name of the </w:t>
      </w:r>
      <w:r w:rsidR="00C735B9">
        <w:rPr>
          <w:rStyle w:val="BookTitle"/>
          <w:i w:val="0"/>
          <w:iCs w:val="0"/>
          <w:smallCaps w:val="0"/>
        </w:rPr>
        <w:t>instrument</w:t>
      </w:r>
      <w:r w:rsidR="00A8043E" w:rsidRPr="00871235">
        <w:rPr>
          <w:rStyle w:val="BookTitle"/>
          <w:i w:val="0"/>
          <w:iCs w:val="0"/>
          <w:smallCaps w:val="0"/>
        </w:rPr>
        <w:t xml:space="preserve">, being </w:t>
      </w:r>
      <w:r w:rsidR="001779F7">
        <w:rPr>
          <w:rStyle w:val="BookTitle"/>
          <w:i w:val="0"/>
          <w:iCs w:val="0"/>
          <w:smallCaps w:val="0"/>
        </w:rPr>
        <w:t xml:space="preserve">the </w:t>
      </w:r>
      <w:r w:rsidR="00C735B9" w:rsidRPr="00C735B9">
        <w:rPr>
          <w:i/>
        </w:rPr>
        <w:t>Low Aromatic Fuel (Designated Area) (Great Palm Island) Instrument 2015.</w:t>
      </w:r>
    </w:p>
    <w:p w:rsidR="00A8043E" w:rsidRDefault="00961D51" w:rsidP="00BF54A1">
      <w:pPr>
        <w:rPr>
          <w:rStyle w:val="BookTitle"/>
          <w:i w:val="0"/>
          <w:iCs w:val="0"/>
          <w:smallCaps w:val="0"/>
        </w:rPr>
      </w:pPr>
      <w:r>
        <w:rPr>
          <w:b/>
        </w:rPr>
        <w:t>Item</w:t>
      </w:r>
      <w:r w:rsidR="00C735B9">
        <w:rPr>
          <w:b/>
        </w:rPr>
        <w:t xml:space="preserve"> </w:t>
      </w:r>
      <w:r w:rsidR="00A8043E" w:rsidRPr="00871235">
        <w:rPr>
          <w:b/>
        </w:rPr>
        <w:t xml:space="preserve">2 </w:t>
      </w:r>
      <w:r w:rsidR="00A8043E" w:rsidRPr="00871235">
        <w:rPr>
          <w:rStyle w:val="BookTitle"/>
          <w:i w:val="0"/>
          <w:iCs w:val="0"/>
          <w:smallCaps w:val="0"/>
        </w:rPr>
        <w:t xml:space="preserve">provides that the </w:t>
      </w:r>
      <w:r w:rsidR="00C735B9">
        <w:rPr>
          <w:rStyle w:val="BookTitle"/>
          <w:i w:val="0"/>
          <w:iCs w:val="0"/>
          <w:smallCaps w:val="0"/>
        </w:rPr>
        <w:t>instrument</w:t>
      </w:r>
      <w:r w:rsidR="00C735B9" w:rsidRPr="00871235">
        <w:rPr>
          <w:rStyle w:val="BookTitle"/>
          <w:i w:val="0"/>
          <w:iCs w:val="0"/>
          <w:smallCaps w:val="0"/>
        </w:rPr>
        <w:t xml:space="preserve"> </w:t>
      </w:r>
      <w:r w:rsidR="00A8043E" w:rsidRPr="00871235">
        <w:rPr>
          <w:rStyle w:val="BookTitle"/>
          <w:i w:val="0"/>
          <w:iCs w:val="0"/>
          <w:smallCaps w:val="0"/>
        </w:rPr>
        <w:t>commences</w:t>
      </w:r>
      <w:r w:rsidR="00D5044F">
        <w:rPr>
          <w:rStyle w:val="BookTitle"/>
          <w:i w:val="0"/>
          <w:iCs w:val="0"/>
          <w:smallCaps w:val="0"/>
        </w:rPr>
        <w:t xml:space="preserve"> </w:t>
      </w:r>
      <w:r w:rsidR="00C735B9">
        <w:rPr>
          <w:spacing w:val="5"/>
        </w:rPr>
        <w:t xml:space="preserve">on </w:t>
      </w:r>
      <w:r w:rsidR="00C6440E">
        <w:rPr>
          <w:spacing w:val="5"/>
        </w:rPr>
        <w:t xml:space="preserve">the day after registration on the Federal Register of Legislative Instruments. </w:t>
      </w:r>
      <w:r w:rsidR="00C735B9">
        <w:rPr>
          <w:spacing w:val="5"/>
        </w:rPr>
        <w:t xml:space="preserve"> </w:t>
      </w:r>
    </w:p>
    <w:p w:rsidR="00C735B9" w:rsidRPr="00E42753" w:rsidRDefault="00961D51" w:rsidP="00BF54A1">
      <w:pPr>
        <w:rPr>
          <w:rStyle w:val="BookTitle"/>
          <w:i w:val="0"/>
          <w:iCs w:val="0"/>
          <w:smallCaps w:val="0"/>
        </w:rPr>
      </w:pPr>
      <w:r>
        <w:rPr>
          <w:rStyle w:val="BookTitle"/>
          <w:b/>
          <w:i w:val="0"/>
          <w:iCs w:val="0"/>
          <w:smallCaps w:val="0"/>
        </w:rPr>
        <w:t>Item</w:t>
      </w:r>
      <w:r w:rsidR="00C735B9">
        <w:rPr>
          <w:rStyle w:val="BookTitle"/>
          <w:b/>
          <w:i w:val="0"/>
          <w:iCs w:val="0"/>
          <w:smallCaps w:val="0"/>
        </w:rPr>
        <w:t xml:space="preserve"> 3 </w:t>
      </w:r>
      <w:r w:rsidR="00C735B9">
        <w:rPr>
          <w:rStyle w:val="BookTitle"/>
          <w:i w:val="0"/>
          <w:iCs w:val="0"/>
          <w:smallCaps w:val="0"/>
        </w:rPr>
        <w:t xml:space="preserve">specifies that the instrument is made under the authority of subsection 14(1) of </w:t>
      </w:r>
      <w:proofErr w:type="gramStart"/>
      <w:r w:rsidR="00C735B9">
        <w:rPr>
          <w:rStyle w:val="BookTitle"/>
          <w:i w:val="0"/>
          <w:iCs w:val="0"/>
          <w:smallCaps w:val="0"/>
        </w:rPr>
        <w:t>the</w:t>
      </w:r>
      <w:proofErr w:type="gramEnd"/>
      <w:r w:rsidR="00C735B9">
        <w:rPr>
          <w:rStyle w:val="BookTitle"/>
          <w:i w:val="0"/>
          <w:iCs w:val="0"/>
          <w:smallCaps w:val="0"/>
        </w:rPr>
        <w:t xml:space="preserve"> </w:t>
      </w:r>
      <w:r w:rsidR="00C735B9" w:rsidRPr="00C735B9">
        <w:rPr>
          <w:i/>
          <w:iCs/>
          <w:spacing w:val="5"/>
        </w:rPr>
        <w:t>Low Aromatic Fuel Act 2013</w:t>
      </w:r>
      <w:r w:rsidR="00C735B9" w:rsidRPr="00C735B9">
        <w:rPr>
          <w:spacing w:val="5"/>
        </w:rPr>
        <w:t>.</w:t>
      </w:r>
    </w:p>
    <w:p w:rsidR="005234D6" w:rsidRPr="001C2DFA" w:rsidRDefault="00961D51" w:rsidP="00BF54A1">
      <w:r>
        <w:rPr>
          <w:rStyle w:val="BookTitle"/>
          <w:b/>
          <w:i w:val="0"/>
          <w:iCs w:val="0"/>
          <w:smallCaps w:val="0"/>
        </w:rPr>
        <w:t>Item</w:t>
      </w:r>
      <w:r w:rsidR="00D63FBB">
        <w:rPr>
          <w:rStyle w:val="BookTitle"/>
          <w:b/>
          <w:i w:val="0"/>
          <w:iCs w:val="0"/>
          <w:smallCaps w:val="0"/>
        </w:rPr>
        <w:t xml:space="preserve"> </w:t>
      </w:r>
      <w:r w:rsidR="00A61A5C">
        <w:rPr>
          <w:rStyle w:val="BookTitle"/>
          <w:b/>
          <w:i w:val="0"/>
          <w:iCs w:val="0"/>
          <w:smallCaps w:val="0"/>
        </w:rPr>
        <w:t>4</w:t>
      </w:r>
      <w:r w:rsidR="005234D6">
        <w:rPr>
          <w:rStyle w:val="BookTitle"/>
          <w:b/>
          <w:i w:val="0"/>
          <w:iCs w:val="0"/>
          <w:smallCaps w:val="0"/>
        </w:rPr>
        <w:t xml:space="preserve"> </w:t>
      </w:r>
      <w:r w:rsidR="005234D6">
        <w:rPr>
          <w:rStyle w:val="BookTitle"/>
          <w:i w:val="0"/>
          <w:iCs w:val="0"/>
          <w:smallCaps w:val="0"/>
        </w:rPr>
        <w:t xml:space="preserve">defines key terms contained in the </w:t>
      </w:r>
      <w:r w:rsidR="00C735B9">
        <w:rPr>
          <w:rStyle w:val="BookTitle"/>
          <w:i w:val="0"/>
          <w:iCs w:val="0"/>
          <w:smallCaps w:val="0"/>
        </w:rPr>
        <w:t>instrument</w:t>
      </w:r>
      <w:r w:rsidR="005234D6">
        <w:rPr>
          <w:rStyle w:val="BookTitle"/>
          <w:i w:val="0"/>
          <w:iCs w:val="0"/>
          <w:smallCaps w:val="0"/>
        </w:rPr>
        <w:t xml:space="preserve">. </w:t>
      </w:r>
    </w:p>
    <w:p w:rsidR="005234D6" w:rsidRDefault="00961D51" w:rsidP="00BF54A1">
      <w:r>
        <w:rPr>
          <w:b/>
        </w:rPr>
        <w:lastRenderedPageBreak/>
        <w:t>Item</w:t>
      </w:r>
      <w:r w:rsidR="00A61A5C">
        <w:rPr>
          <w:b/>
        </w:rPr>
        <w:t xml:space="preserve"> 5 </w:t>
      </w:r>
      <w:r w:rsidR="001E2766">
        <w:t>designates</w:t>
      </w:r>
      <w:r w:rsidR="001E2766" w:rsidRPr="00871235">
        <w:t xml:space="preserve"> </w:t>
      </w:r>
      <w:r w:rsidR="00BF54A1" w:rsidRPr="00871235">
        <w:t xml:space="preserve">the </w:t>
      </w:r>
      <w:r w:rsidR="00264FA1">
        <w:t xml:space="preserve">whole of the </w:t>
      </w:r>
      <w:r w:rsidR="005234D6">
        <w:t>area</w:t>
      </w:r>
      <w:r w:rsidR="00264FA1">
        <w:t xml:space="preserve"> of Great Palm Island, Queensland </w:t>
      </w:r>
      <w:r w:rsidR="00BF54A1" w:rsidRPr="00871235">
        <w:t xml:space="preserve">as a ‘low </w:t>
      </w:r>
      <w:r w:rsidR="00A8043E" w:rsidRPr="00871235">
        <w:t>aromatic</w:t>
      </w:r>
      <w:r w:rsidR="00BF54A1" w:rsidRPr="00871235">
        <w:t xml:space="preserve"> fuel area</w:t>
      </w:r>
      <w:r w:rsidR="001779F7">
        <w:t>’</w:t>
      </w:r>
      <w:r w:rsidR="00BF54A1" w:rsidRPr="00871235">
        <w:t xml:space="preserve"> </w:t>
      </w:r>
      <w:r w:rsidR="00C735B9">
        <w:t>under</w:t>
      </w:r>
      <w:r w:rsidR="00C735B9" w:rsidRPr="00871235">
        <w:t xml:space="preserve"> </w:t>
      </w:r>
      <w:r w:rsidR="00C735B9">
        <w:t>subsection</w:t>
      </w:r>
      <w:r w:rsidR="00BF54A1" w:rsidRPr="00871235">
        <w:t xml:space="preserve"> 14(1) of the Act.</w:t>
      </w:r>
      <w:r w:rsidR="00A8043E" w:rsidRPr="00871235">
        <w:t xml:space="preserve"> </w:t>
      </w:r>
      <w:r w:rsidR="00D242C4" w:rsidRPr="00D242C4">
        <w:t xml:space="preserve">The purpose of </w:t>
      </w:r>
      <w:r w:rsidR="00E50DB2">
        <w:t xml:space="preserve">describing the area in relation to the lowest astronomical </w:t>
      </w:r>
      <w:r w:rsidR="00D242C4" w:rsidRPr="00D242C4">
        <w:t xml:space="preserve">tide is to ensure the entire </w:t>
      </w:r>
      <w:r w:rsidR="00D242C4">
        <w:t>area of Great Palm Island is included. The use of the term ‘</w:t>
      </w:r>
      <w:r w:rsidR="00D242C4" w:rsidRPr="00D242C4">
        <w:t>associated infr</w:t>
      </w:r>
      <w:r w:rsidR="00D242C4">
        <w:t>astructure’</w:t>
      </w:r>
      <w:r w:rsidR="00D242C4" w:rsidRPr="00D242C4">
        <w:t xml:space="preserve"> </w:t>
      </w:r>
      <w:r w:rsidR="00D242C4">
        <w:t>is intended</w:t>
      </w:r>
      <w:r w:rsidR="00D242C4" w:rsidRPr="00D242C4">
        <w:t xml:space="preserve"> capture any wharves or jetties (which often sell fuel), and the geodesic lines defines a specific line type</w:t>
      </w:r>
      <w:r w:rsidR="00D242C4">
        <w:t xml:space="preserve">. </w:t>
      </w:r>
    </w:p>
    <w:p w:rsidR="00BF54A1" w:rsidRPr="001C2DFA" w:rsidRDefault="00A8043E" w:rsidP="00BF54A1">
      <w:pPr>
        <w:rPr>
          <w:b/>
        </w:rPr>
      </w:pPr>
      <w:r w:rsidRPr="00871235">
        <w:t>A map of the boundaries</w:t>
      </w:r>
      <w:r w:rsidR="007B47A8" w:rsidRPr="00871235">
        <w:t xml:space="preserve">, </w:t>
      </w:r>
      <w:r w:rsidR="007B47A8" w:rsidRPr="00871235">
        <w:rPr>
          <w:szCs w:val="24"/>
        </w:rPr>
        <w:t xml:space="preserve">along with a written description of the Geocentric Datum of Australia (GDA) coordinates </w:t>
      </w:r>
      <w:r w:rsidRPr="00871235">
        <w:t xml:space="preserve">covered by this </w:t>
      </w:r>
      <w:r w:rsidR="00D242C4">
        <w:t>instrument</w:t>
      </w:r>
      <w:r w:rsidR="00D242C4" w:rsidRPr="00871235">
        <w:t xml:space="preserve"> </w:t>
      </w:r>
      <w:r w:rsidRPr="00871235">
        <w:t xml:space="preserve">is described at </w:t>
      </w:r>
      <w:r w:rsidRPr="00871235">
        <w:rPr>
          <w:b/>
        </w:rPr>
        <w:t>Attachment A</w:t>
      </w:r>
      <w:r w:rsidRPr="00871235">
        <w:t>.</w:t>
      </w:r>
    </w:p>
    <w:p w:rsidR="00092292" w:rsidRDefault="00092292" w:rsidP="00A8043E">
      <w:pPr>
        <w:spacing w:before="0"/>
        <w:rPr>
          <w:b/>
        </w:rPr>
      </w:pPr>
    </w:p>
    <w:p w:rsidR="00092292" w:rsidRDefault="00092292" w:rsidP="003931B3">
      <w:pPr>
        <w:spacing w:before="0"/>
        <w:rPr>
          <w:b/>
        </w:rPr>
      </w:pPr>
    </w:p>
    <w:p w:rsidR="00A8043E" w:rsidRPr="00092292" w:rsidRDefault="00A8043E" w:rsidP="00092292">
      <w:pPr>
        <w:spacing w:before="0"/>
        <w:jc w:val="center"/>
        <w:rPr>
          <w:b/>
        </w:rPr>
      </w:pPr>
      <w:r w:rsidRPr="00092292">
        <w:rPr>
          <w:b/>
        </w:rPr>
        <w:t>Statement of Compatibility</w:t>
      </w:r>
    </w:p>
    <w:p w:rsidR="00A8043E" w:rsidRPr="00871235" w:rsidRDefault="00A8043E" w:rsidP="00A8043E">
      <w:pPr>
        <w:spacing w:before="0"/>
        <w:jc w:val="center"/>
        <w:rPr>
          <w:b/>
          <w:i/>
        </w:rPr>
      </w:pPr>
    </w:p>
    <w:p w:rsidR="00A8043E" w:rsidRPr="00871235" w:rsidRDefault="00A8043E" w:rsidP="00A8043E">
      <w:pPr>
        <w:spacing w:before="0"/>
        <w:jc w:val="center"/>
        <w:rPr>
          <w:b/>
          <w:i/>
        </w:rPr>
      </w:pPr>
      <w:r w:rsidRPr="00871235">
        <w:rPr>
          <w:b/>
          <w:i/>
        </w:rPr>
        <w:t>Prepared in accordance with Part 3 of the Human Rights (Parliamentary Scrutiny) Act 2011</w:t>
      </w:r>
    </w:p>
    <w:p w:rsidR="00A8043E" w:rsidRPr="00871235" w:rsidRDefault="00A8043E" w:rsidP="00A8043E">
      <w:pPr>
        <w:spacing w:before="0"/>
      </w:pPr>
    </w:p>
    <w:p w:rsidR="00826ED8" w:rsidRPr="00871235" w:rsidRDefault="00826ED8" w:rsidP="00A8043E">
      <w:pPr>
        <w:spacing w:before="0"/>
      </w:pPr>
      <w:r w:rsidRPr="00871235">
        <w:t xml:space="preserve">This legislative instrument is compatible with the human rights and freedoms recognised or declared in the international instruments listed in section 3 of the </w:t>
      </w:r>
      <w:r w:rsidR="001779F7" w:rsidRPr="00871235">
        <w:rPr>
          <w:i/>
        </w:rPr>
        <w:t>Human</w:t>
      </w:r>
      <w:r w:rsidR="001779F7">
        <w:rPr>
          <w:i/>
        </w:rPr>
        <w:t> </w:t>
      </w:r>
      <w:r w:rsidR="001779F7" w:rsidRPr="00871235">
        <w:rPr>
          <w:i/>
        </w:rPr>
        <w:t>Rights</w:t>
      </w:r>
      <w:r w:rsidR="001779F7">
        <w:rPr>
          <w:i/>
        </w:rPr>
        <w:t> </w:t>
      </w:r>
      <w:r w:rsidRPr="00871235">
        <w:rPr>
          <w:i/>
        </w:rPr>
        <w:t>(Parliamentary Scrutiny) Act 2011</w:t>
      </w:r>
      <w:r w:rsidRPr="00871235">
        <w:t xml:space="preserve">. </w:t>
      </w:r>
    </w:p>
    <w:p w:rsidR="00826ED8" w:rsidRPr="00871235" w:rsidRDefault="00826ED8" w:rsidP="00A8043E">
      <w:pPr>
        <w:spacing w:before="0"/>
      </w:pPr>
    </w:p>
    <w:p w:rsidR="00994FE1" w:rsidRPr="00871235" w:rsidRDefault="00994FE1" w:rsidP="00A8043E">
      <w:pPr>
        <w:spacing w:before="0"/>
      </w:pPr>
      <w:r w:rsidRPr="00871235">
        <w:rPr>
          <w:b/>
          <w:i/>
        </w:rPr>
        <w:t>Overview of the Legislative Instrument</w:t>
      </w:r>
    </w:p>
    <w:p w:rsidR="00826ED8" w:rsidRPr="00871235" w:rsidRDefault="00A108DB" w:rsidP="00F32062">
      <w:pPr>
        <w:spacing w:before="0"/>
      </w:pPr>
      <w:r w:rsidRPr="00871235">
        <w:br/>
      </w:r>
      <w:r w:rsidR="00826ED8" w:rsidRPr="00871235">
        <w:t xml:space="preserve">The object of the </w:t>
      </w:r>
      <w:r w:rsidR="00826ED8" w:rsidRPr="00871235">
        <w:rPr>
          <w:i/>
        </w:rPr>
        <w:t xml:space="preserve">Low Aromatic Fuel Act 2013 </w:t>
      </w:r>
      <w:r w:rsidR="00826ED8" w:rsidRPr="00871235">
        <w:t xml:space="preserve">(the Act) is to enable special measures to be taken to </w:t>
      </w:r>
      <w:r w:rsidR="00937010">
        <w:t xml:space="preserve">reduce </w:t>
      </w:r>
      <w:r w:rsidR="00826ED8" w:rsidRPr="00871235">
        <w:t xml:space="preserve">the potential harm to the health of people, including Aboriginal persons and Torres Strait Islanders, living in certain areas from sniffing fuel. </w:t>
      </w:r>
    </w:p>
    <w:p w:rsidR="00826ED8" w:rsidRPr="00871235" w:rsidRDefault="00826ED8" w:rsidP="00F32062">
      <w:pPr>
        <w:spacing w:before="0"/>
      </w:pPr>
    </w:p>
    <w:p w:rsidR="00727C3D" w:rsidRDefault="00826ED8" w:rsidP="00F32062">
      <w:pPr>
        <w:spacing w:before="0"/>
      </w:pPr>
      <w:r w:rsidRPr="00871235">
        <w:t xml:space="preserve">This legislative instrument designates Great Palm Island in Queensland as a low aromatic fuel area. </w:t>
      </w:r>
    </w:p>
    <w:p w:rsidR="00727C3D" w:rsidRDefault="00727C3D" w:rsidP="00F32062">
      <w:pPr>
        <w:spacing w:before="0"/>
      </w:pPr>
    </w:p>
    <w:p w:rsidR="00727C3D" w:rsidRPr="00727C3D" w:rsidRDefault="00727C3D" w:rsidP="00727C3D">
      <w:pPr>
        <w:spacing w:before="0"/>
      </w:pPr>
      <w:r>
        <w:t>The effect of this designation is that it will be an offence</w:t>
      </w:r>
      <w:r w:rsidRPr="00727C3D">
        <w:t xml:space="preserve"> </w:t>
      </w:r>
      <w:r w:rsidR="00FA610A">
        <w:t xml:space="preserve">for </w:t>
      </w:r>
      <w:r w:rsidRPr="00727C3D">
        <w:t>a Corporation to engage in the following prohibited conduct</w:t>
      </w:r>
      <w:r>
        <w:t xml:space="preserve"> within </w:t>
      </w:r>
      <w:r w:rsidR="00D07987">
        <w:t>the</w:t>
      </w:r>
      <w:r>
        <w:t xml:space="preserve"> low aromatic fuel area</w:t>
      </w:r>
      <w:r w:rsidRPr="00727C3D">
        <w:t xml:space="preserve">: </w:t>
      </w:r>
    </w:p>
    <w:p w:rsidR="00727C3D" w:rsidRPr="00727C3D" w:rsidRDefault="00727C3D" w:rsidP="00727C3D">
      <w:pPr>
        <w:numPr>
          <w:ilvl w:val="0"/>
          <w:numId w:val="3"/>
        </w:numPr>
        <w:spacing w:before="0"/>
      </w:pPr>
      <w:r w:rsidRPr="00727C3D">
        <w:t>Supply</w:t>
      </w:r>
      <w:r w:rsidR="00FA610A">
        <w:t xml:space="preserve"> of</w:t>
      </w:r>
      <w:r w:rsidRPr="00727C3D">
        <w:t xml:space="preserve"> regular unleaded petrol to a person in a low aromatic fuel area</w:t>
      </w:r>
      <w:r w:rsidR="00F767CD">
        <w:t>;</w:t>
      </w:r>
    </w:p>
    <w:p w:rsidR="00727C3D" w:rsidRPr="00727C3D" w:rsidRDefault="00727C3D" w:rsidP="00727C3D">
      <w:pPr>
        <w:numPr>
          <w:ilvl w:val="0"/>
          <w:numId w:val="3"/>
        </w:numPr>
        <w:spacing w:before="0"/>
      </w:pPr>
      <w:r w:rsidRPr="00727C3D">
        <w:t>Transport</w:t>
      </w:r>
      <w:r w:rsidR="00FA610A">
        <w:t xml:space="preserve"> of</w:t>
      </w:r>
      <w:r w:rsidRPr="00727C3D">
        <w:t xml:space="preserve"> regular unleaded petrol to supply to a person in a low aromatic fuel area</w:t>
      </w:r>
      <w:r w:rsidR="00F767CD">
        <w:t>;</w:t>
      </w:r>
    </w:p>
    <w:p w:rsidR="00727C3D" w:rsidRPr="00727C3D" w:rsidRDefault="00727C3D" w:rsidP="00727C3D">
      <w:pPr>
        <w:numPr>
          <w:ilvl w:val="0"/>
          <w:numId w:val="3"/>
        </w:numPr>
        <w:spacing w:before="0"/>
      </w:pPr>
      <w:r w:rsidRPr="00727C3D">
        <w:t>Possess</w:t>
      </w:r>
      <w:r w:rsidR="00FA610A">
        <w:t>ion of</w:t>
      </w:r>
      <w:r w:rsidRPr="00727C3D">
        <w:t xml:space="preserve"> regular unleaded petrol to supply to a person in a low aromatic fuel area</w:t>
      </w:r>
      <w:r w:rsidR="00F767CD">
        <w:t>.</w:t>
      </w:r>
    </w:p>
    <w:p w:rsidR="00727C3D" w:rsidRDefault="00727C3D" w:rsidP="00F32062">
      <w:pPr>
        <w:spacing w:before="0"/>
      </w:pPr>
    </w:p>
    <w:p w:rsidR="00727C3D" w:rsidRPr="00871235" w:rsidRDefault="0090523C" w:rsidP="00F32062">
      <w:pPr>
        <w:spacing w:before="0"/>
      </w:pPr>
      <w:r>
        <w:t xml:space="preserve">Regular unleaded </w:t>
      </w:r>
      <w:r w:rsidR="00E022EA">
        <w:t>petrol</w:t>
      </w:r>
      <w:r>
        <w:t xml:space="preserve"> is able to be sniffed to cause the feeling of being ‘high’, while low aromatic fuel is not. </w:t>
      </w:r>
    </w:p>
    <w:p w:rsidR="001779F7" w:rsidRDefault="001779F7" w:rsidP="00E42753">
      <w:pPr>
        <w:spacing w:before="0"/>
        <w:rPr>
          <w:b/>
          <w:i/>
        </w:rPr>
      </w:pPr>
    </w:p>
    <w:p w:rsidR="001603FF" w:rsidRPr="00871235" w:rsidRDefault="001603FF" w:rsidP="001603FF">
      <w:pPr>
        <w:spacing w:before="120" w:after="120"/>
        <w:rPr>
          <w:b/>
          <w:i/>
        </w:rPr>
      </w:pPr>
      <w:r w:rsidRPr="00871235">
        <w:rPr>
          <w:b/>
          <w:i/>
        </w:rPr>
        <w:t>Human rights implications</w:t>
      </w:r>
    </w:p>
    <w:p w:rsidR="001603FF" w:rsidRPr="00871235" w:rsidRDefault="001603FF" w:rsidP="007B47A8">
      <w:pPr>
        <w:spacing w:before="0"/>
      </w:pPr>
    </w:p>
    <w:p w:rsidR="00D07CF6" w:rsidRPr="00871235" w:rsidRDefault="00D07CF6" w:rsidP="007B47A8">
      <w:pPr>
        <w:spacing w:before="0"/>
        <w:rPr>
          <w:i/>
        </w:rPr>
      </w:pPr>
      <w:r w:rsidRPr="00871235">
        <w:rPr>
          <w:i/>
        </w:rPr>
        <w:t xml:space="preserve">Article 1(4) of the International Convention on the Elimination of </w:t>
      </w:r>
      <w:r w:rsidR="00AE406C">
        <w:rPr>
          <w:i/>
        </w:rPr>
        <w:t>A</w:t>
      </w:r>
      <w:r w:rsidRPr="00871235">
        <w:rPr>
          <w:i/>
        </w:rPr>
        <w:t>ll Forms of Racial Discrimination</w:t>
      </w:r>
    </w:p>
    <w:p w:rsidR="00D07CF6" w:rsidRPr="00871235" w:rsidRDefault="00D07CF6" w:rsidP="007B47A8">
      <w:pPr>
        <w:spacing w:before="0"/>
      </w:pPr>
    </w:p>
    <w:p w:rsidR="00826ED8" w:rsidRPr="00871235" w:rsidRDefault="00826ED8" w:rsidP="007B47A8">
      <w:pPr>
        <w:spacing w:before="0"/>
      </w:pPr>
      <w:r w:rsidRPr="00871235">
        <w:t xml:space="preserve">The policy intention is that the legislative instrument is a ‘special measure’ within the meaning of article 1(4) of the International Convention on the Elimination of </w:t>
      </w:r>
      <w:r w:rsidR="002F0224">
        <w:t>A</w:t>
      </w:r>
      <w:r w:rsidRPr="00871235">
        <w:t xml:space="preserve">ll Forms of Racial Discrimination (ICERD) and </w:t>
      </w:r>
      <w:r w:rsidR="00FA610A">
        <w:t>sub</w:t>
      </w:r>
      <w:r w:rsidRPr="00871235">
        <w:t xml:space="preserve">section 8(1) of the </w:t>
      </w:r>
      <w:r w:rsidRPr="00871235">
        <w:rPr>
          <w:i/>
        </w:rPr>
        <w:t xml:space="preserve">Racial Discrimination Act 1975 </w:t>
      </w:r>
      <w:r w:rsidRPr="00871235">
        <w:t xml:space="preserve">(RDA). </w:t>
      </w:r>
    </w:p>
    <w:p w:rsidR="00826ED8" w:rsidRPr="00871235" w:rsidRDefault="00826ED8" w:rsidP="007B47A8">
      <w:pPr>
        <w:spacing w:before="0"/>
      </w:pPr>
    </w:p>
    <w:p w:rsidR="00826ED8" w:rsidRPr="00871235" w:rsidRDefault="00826ED8" w:rsidP="007B47A8">
      <w:pPr>
        <w:spacing w:before="0"/>
      </w:pPr>
      <w:r w:rsidRPr="00871235">
        <w:lastRenderedPageBreak/>
        <w:t xml:space="preserve">The ICERD provides that special measures are deemed not to be incompatible with human rights. Special </w:t>
      </w:r>
      <w:r w:rsidR="001603FF" w:rsidRPr="00871235">
        <w:t>measures are</w:t>
      </w:r>
      <w:r w:rsidRPr="00871235">
        <w:t xml:space="preserve"> designed to ‘secure to disadvantaged groups the full and equal enjoyment of human rights and fundamental freedoms</w:t>
      </w:r>
      <w:r w:rsidR="00170175">
        <w:t>.</w:t>
      </w:r>
      <w:r w:rsidRPr="00871235">
        <w:t>’</w:t>
      </w:r>
      <w:r w:rsidRPr="00871235">
        <w:rPr>
          <w:rStyle w:val="FootnoteReference"/>
        </w:rPr>
        <w:footnoteReference w:id="2"/>
      </w:r>
    </w:p>
    <w:p w:rsidR="001603FF" w:rsidRPr="00871235" w:rsidRDefault="001603FF" w:rsidP="007B47A8">
      <w:pPr>
        <w:spacing w:before="0"/>
      </w:pPr>
    </w:p>
    <w:p w:rsidR="00826ED8" w:rsidRPr="00871235" w:rsidRDefault="00826ED8" w:rsidP="007B47A8">
      <w:pPr>
        <w:spacing w:before="0"/>
      </w:pPr>
      <w:r w:rsidRPr="00871235">
        <w:t>The measure meets all the criteria to be characterised as a special m</w:t>
      </w:r>
      <w:r w:rsidR="00507321" w:rsidRPr="00871235">
        <w:t>easure. Therefore, the measure d</w:t>
      </w:r>
      <w:r w:rsidRPr="00871235">
        <w:t>oes not offend the prohibition of discrimination on the basis</w:t>
      </w:r>
      <w:r w:rsidR="00FA6194" w:rsidRPr="00871235">
        <w:t xml:space="preserve"> of race under </w:t>
      </w:r>
      <w:r w:rsidR="001779F7" w:rsidRPr="00871235">
        <w:t>section</w:t>
      </w:r>
      <w:r w:rsidR="001779F7">
        <w:t> </w:t>
      </w:r>
      <w:r w:rsidR="00FA6194" w:rsidRPr="00871235">
        <w:t xml:space="preserve">10 </w:t>
      </w:r>
      <w:r w:rsidRPr="00871235">
        <w:t>of the RDA.</w:t>
      </w:r>
    </w:p>
    <w:p w:rsidR="00826ED8" w:rsidRPr="00871235" w:rsidRDefault="00826ED8" w:rsidP="007B47A8">
      <w:pPr>
        <w:spacing w:before="0"/>
        <w:rPr>
          <w:szCs w:val="24"/>
        </w:rPr>
      </w:pPr>
    </w:p>
    <w:p w:rsidR="001603FF" w:rsidRPr="00871235" w:rsidRDefault="001603FF" w:rsidP="007B47A8">
      <w:pPr>
        <w:pStyle w:val="paragraph"/>
        <w:ind w:left="0" w:firstLine="0"/>
        <w:rPr>
          <w:rFonts w:eastAsiaTheme="minorHAnsi"/>
          <w:sz w:val="24"/>
          <w:szCs w:val="24"/>
          <w:lang w:eastAsia="en-US"/>
        </w:rPr>
      </w:pPr>
      <w:r w:rsidRPr="00871235">
        <w:rPr>
          <w:rFonts w:eastAsiaTheme="minorHAnsi"/>
          <w:sz w:val="24"/>
          <w:szCs w:val="24"/>
          <w:lang w:eastAsia="en-US"/>
        </w:rPr>
        <w:t xml:space="preserve">Aboriginal and Torres Strait Islander persons make up </w:t>
      </w:r>
      <w:r w:rsidR="00F32062" w:rsidRPr="00871235">
        <w:rPr>
          <w:rFonts w:eastAsiaTheme="minorHAnsi"/>
          <w:sz w:val="24"/>
          <w:szCs w:val="24"/>
          <w:lang w:eastAsia="en-US"/>
        </w:rPr>
        <w:t>94</w:t>
      </w:r>
      <w:r w:rsidRPr="00871235">
        <w:rPr>
          <w:rFonts w:eastAsiaTheme="minorHAnsi"/>
          <w:sz w:val="24"/>
          <w:szCs w:val="24"/>
          <w:lang w:eastAsia="en-US"/>
        </w:rPr>
        <w:t xml:space="preserve">% of the population of Great Palm Island. Designating Great Palm Island as a low aromatic fuel area will therefore have a significant impact on Aboriginal and Torres Strait Islander persons in that community. </w:t>
      </w:r>
    </w:p>
    <w:p w:rsidR="004C1B83" w:rsidRPr="00871235" w:rsidRDefault="001603FF" w:rsidP="004C1B83">
      <w:pPr>
        <w:rPr>
          <w:rFonts w:eastAsiaTheme="minorHAnsi"/>
          <w:szCs w:val="24"/>
          <w:lang w:eastAsia="en-US"/>
        </w:rPr>
      </w:pPr>
      <w:r w:rsidRPr="00871235">
        <w:rPr>
          <w:rFonts w:eastAsiaTheme="minorHAnsi"/>
          <w:szCs w:val="24"/>
          <w:lang w:eastAsia="en-US"/>
        </w:rPr>
        <w:t xml:space="preserve">The designation of Great Palm Island as a low aromatic fuel area is aimed at reducing the harm of petrol sniffing in that area, benefiting not only sniffers, but also the community </w:t>
      </w:r>
      <w:r w:rsidR="00636A8F">
        <w:rPr>
          <w:rFonts w:eastAsiaTheme="minorHAnsi"/>
          <w:szCs w:val="24"/>
          <w:lang w:eastAsia="en-US"/>
        </w:rPr>
        <w:t>which</w:t>
      </w:r>
      <w:r w:rsidR="00636A8F" w:rsidRPr="00871235">
        <w:rPr>
          <w:rFonts w:eastAsiaTheme="minorHAnsi"/>
          <w:szCs w:val="24"/>
          <w:lang w:eastAsia="en-US"/>
        </w:rPr>
        <w:t xml:space="preserve"> </w:t>
      </w:r>
      <w:r w:rsidRPr="00871235">
        <w:rPr>
          <w:rFonts w:eastAsiaTheme="minorHAnsi"/>
          <w:szCs w:val="24"/>
          <w:lang w:eastAsia="en-US"/>
        </w:rPr>
        <w:t xml:space="preserve">is </w:t>
      </w:r>
      <w:r w:rsidR="00636A8F">
        <w:rPr>
          <w:rFonts w:eastAsiaTheme="minorHAnsi"/>
          <w:szCs w:val="24"/>
          <w:lang w:eastAsia="en-US"/>
        </w:rPr>
        <w:t xml:space="preserve">placed at risk of health and community safety harms </w:t>
      </w:r>
      <w:r w:rsidR="00636A8F" w:rsidRPr="00871235">
        <w:rPr>
          <w:rFonts w:eastAsiaTheme="minorHAnsi"/>
          <w:szCs w:val="24"/>
          <w:lang w:eastAsia="en-US"/>
        </w:rPr>
        <w:t>by</w:t>
      </w:r>
      <w:r w:rsidRPr="00871235">
        <w:rPr>
          <w:rFonts w:eastAsiaTheme="minorHAnsi"/>
          <w:szCs w:val="24"/>
          <w:lang w:eastAsia="en-US"/>
        </w:rPr>
        <w:t xml:space="preserve"> </w:t>
      </w:r>
      <w:r w:rsidR="00636A8F">
        <w:rPr>
          <w:rFonts w:eastAsiaTheme="minorHAnsi"/>
          <w:szCs w:val="24"/>
          <w:lang w:eastAsia="en-US"/>
        </w:rPr>
        <w:t xml:space="preserve">persons affected by petrol </w:t>
      </w:r>
      <w:r w:rsidRPr="00871235">
        <w:rPr>
          <w:rFonts w:eastAsiaTheme="minorHAnsi"/>
          <w:szCs w:val="24"/>
          <w:lang w:eastAsia="en-US"/>
        </w:rPr>
        <w:t>sniffing.</w:t>
      </w:r>
    </w:p>
    <w:p w:rsidR="00F32062" w:rsidRPr="00871235" w:rsidRDefault="00F32062" w:rsidP="00F32062">
      <w:pPr>
        <w:rPr>
          <w:szCs w:val="24"/>
        </w:rPr>
      </w:pPr>
      <w:r w:rsidRPr="00871235">
        <w:rPr>
          <w:szCs w:val="24"/>
        </w:rPr>
        <w:t xml:space="preserve">Petrol sniffing is a form of substance misuse. People who sniff petrol inhale its fumes intending to become </w:t>
      </w:r>
      <w:r w:rsidR="00CA6E21">
        <w:rPr>
          <w:szCs w:val="24"/>
        </w:rPr>
        <w:t>‘</w:t>
      </w:r>
      <w:r w:rsidRPr="00871235">
        <w:rPr>
          <w:szCs w:val="24"/>
        </w:rPr>
        <w:t>high</w:t>
      </w:r>
      <w:r w:rsidR="00CA6E21">
        <w:rPr>
          <w:szCs w:val="24"/>
        </w:rPr>
        <w:t>’</w:t>
      </w:r>
      <w:r w:rsidRPr="00871235">
        <w:rPr>
          <w:szCs w:val="24"/>
        </w:rPr>
        <w:t>. This dangerous activity can cause brain damage or death. Petrol sniffing mainly occurs in regional and remote communities and can lead to poor health, increased violence and crime, and the breakdown of communities and families.</w:t>
      </w:r>
    </w:p>
    <w:p w:rsidR="00F32062" w:rsidRPr="00871235" w:rsidRDefault="00F32062" w:rsidP="00F32062">
      <w:pPr>
        <w:rPr>
          <w:szCs w:val="24"/>
        </w:rPr>
      </w:pPr>
      <w:r w:rsidRPr="00871235">
        <w:rPr>
          <w:szCs w:val="24"/>
        </w:rPr>
        <w:t xml:space="preserve">Low aromatic unleaded fuel has been specially designed by fuel industry chemists to contain lower levels of the toxic aromatic compounds such as benzene, toluene and xylene which give people who sniff petrol a </w:t>
      </w:r>
      <w:r w:rsidR="00CA6E21">
        <w:rPr>
          <w:szCs w:val="24"/>
        </w:rPr>
        <w:t>‘</w:t>
      </w:r>
      <w:r w:rsidRPr="00871235">
        <w:rPr>
          <w:szCs w:val="24"/>
        </w:rPr>
        <w:t>high</w:t>
      </w:r>
      <w:r w:rsidR="00CA6E21">
        <w:rPr>
          <w:szCs w:val="24"/>
        </w:rPr>
        <w:t>’</w:t>
      </w:r>
      <w:r w:rsidRPr="00871235">
        <w:rPr>
          <w:szCs w:val="24"/>
        </w:rPr>
        <w:t>.</w:t>
      </w:r>
    </w:p>
    <w:p w:rsidR="00F32062" w:rsidRPr="00871235" w:rsidRDefault="00F32062" w:rsidP="00F32062">
      <w:pPr>
        <w:rPr>
          <w:szCs w:val="24"/>
        </w:rPr>
      </w:pPr>
      <w:r w:rsidRPr="00871235">
        <w:rPr>
          <w:szCs w:val="24"/>
        </w:rPr>
        <w:t>Research conducted by the Menzies School of Health Research has found that in most places where low aromatic unleaded fuel has been introduced the prevalence of petrol sniffing has dropped sharply. In some of these places, premium unleaded fuel continues to be available. Since it is clear that the reduction in petrol sniffing has taken place even where premium unleaded fuel is present, it can be concluded that no significant substitution of premium for regular unleaded fuel has occurred.</w:t>
      </w:r>
    </w:p>
    <w:p w:rsidR="004C1B83" w:rsidRPr="00871235" w:rsidRDefault="004C1B83" w:rsidP="004C1B83">
      <w:pPr>
        <w:tabs>
          <w:tab w:val="left" w:pos="3660"/>
        </w:tabs>
        <w:rPr>
          <w:color w:val="000000" w:themeColor="text1"/>
        </w:rPr>
      </w:pPr>
      <w:r w:rsidRPr="00871235">
        <w:rPr>
          <w:color w:val="000000" w:themeColor="text1"/>
        </w:rPr>
        <w:t>In early 2014, low aromatic fuel was introduced onto</w:t>
      </w:r>
      <w:r w:rsidR="001779F7">
        <w:rPr>
          <w:color w:val="000000" w:themeColor="text1"/>
        </w:rPr>
        <w:t xml:space="preserve"> Great</w:t>
      </w:r>
      <w:r w:rsidRPr="00871235">
        <w:rPr>
          <w:color w:val="000000" w:themeColor="text1"/>
        </w:rPr>
        <w:t xml:space="preserve"> Palm Island, in response to community concerns about high levels of petrol sniffing among young people. Since the introduction of low aromatic fuel on</w:t>
      </w:r>
      <w:r w:rsidR="001779F7">
        <w:rPr>
          <w:color w:val="000000" w:themeColor="text1"/>
        </w:rPr>
        <w:t xml:space="preserve"> Great</w:t>
      </w:r>
      <w:r w:rsidRPr="00871235">
        <w:rPr>
          <w:color w:val="000000" w:themeColor="text1"/>
        </w:rPr>
        <w:t xml:space="preserve"> Palm Island, there was a decrease in petrol sniffing on the Island. Many residents </w:t>
      </w:r>
      <w:r w:rsidR="00334D50">
        <w:rPr>
          <w:color w:val="000000" w:themeColor="text1"/>
        </w:rPr>
        <w:t xml:space="preserve">have </w:t>
      </w:r>
      <w:r w:rsidRPr="00871235">
        <w:rPr>
          <w:color w:val="000000" w:themeColor="text1"/>
        </w:rPr>
        <w:t xml:space="preserve">since expressed their support </w:t>
      </w:r>
      <w:r w:rsidR="00334D50">
        <w:rPr>
          <w:color w:val="000000" w:themeColor="text1"/>
        </w:rPr>
        <w:t>for</w:t>
      </w:r>
      <w:r w:rsidR="00334D50" w:rsidRPr="00871235">
        <w:rPr>
          <w:color w:val="000000" w:themeColor="text1"/>
        </w:rPr>
        <w:t xml:space="preserve"> </w:t>
      </w:r>
      <w:r w:rsidRPr="00871235">
        <w:rPr>
          <w:color w:val="000000" w:themeColor="text1"/>
        </w:rPr>
        <w:t xml:space="preserve">low aromatic fuel due to its positive impact on the health of their children, and on community safety and wellbeing in general. </w:t>
      </w:r>
    </w:p>
    <w:p w:rsidR="004C1B83" w:rsidRPr="00871235" w:rsidRDefault="004C1B83" w:rsidP="004C1B83">
      <w:r w:rsidRPr="00871235">
        <w:t xml:space="preserve">Since </w:t>
      </w:r>
      <w:r w:rsidR="007B47A8" w:rsidRPr="00871235">
        <w:t>regular unleaded petrol</w:t>
      </w:r>
      <w:r w:rsidRPr="00871235">
        <w:t xml:space="preserve"> </w:t>
      </w:r>
      <w:r w:rsidR="00636A8F">
        <w:t xml:space="preserve">was again made available </w:t>
      </w:r>
      <w:r w:rsidRPr="00871235">
        <w:t xml:space="preserve">on </w:t>
      </w:r>
      <w:r w:rsidR="007B47A8" w:rsidRPr="00871235">
        <w:t xml:space="preserve">Great </w:t>
      </w:r>
      <w:r w:rsidRPr="00871235">
        <w:t>Palm Island from approximately 10 August 2015, a number of incidents of petrol sniffing</w:t>
      </w:r>
      <w:r w:rsidR="003931B3">
        <w:t xml:space="preserve"> </w:t>
      </w:r>
      <w:r w:rsidRPr="00871235">
        <w:t>have been reported to the Department</w:t>
      </w:r>
      <w:r w:rsidR="00D01759">
        <w:t xml:space="preserve"> </w:t>
      </w:r>
      <w:r w:rsidRPr="00871235">
        <w:t>by health professionals and local police. Many involve young children.</w:t>
      </w:r>
    </w:p>
    <w:p w:rsidR="004C1B83" w:rsidRPr="00871235" w:rsidRDefault="003E3E21" w:rsidP="004C1B83">
      <w:pPr>
        <w:rPr>
          <w:sz w:val="20"/>
          <w:lang w:val="en"/>
        </w:rPr>
      </w:pPr>
      <w:r w:rsidRPr="00871235">
        <w:t xml:space="preserve">The consultation process found strong evidence and </w:t>
      </w:r>
      <w:r w:rsidR="00F62FCC" w:rsidRPr="00871235">
        <w:t>community support to designate Great</w:t>
      </w:r>
      <w:r w:rsidRPr="00871235">
        <w:t xml:space="preserve"> Palm Island as a ‘low aromatic fuel area’ to reduce the harm caused to people living </w:t>
      </w:r>
      <w:r w:rsidR="003931B3">
        <w:t xml:space="preserve">on Great </w:t>
      </w:r>
      <w:r w:rsidRPr="00871235">
        <w:t>Palm Island from sniffing fuel. Fuel suppliers and distributors are supportive of the area being designated.</w:t>
      </w:r>
    </w:p>
    <w:p w:rsidR="0023558E" w:rsidRPr="00871235" w:rsidRDefault="0023558E" w:rsidP="007B47A8">
      <w:pPr>
        <w:pStyle w:val="paragraph"/>
        <w:ind w:left="0" w:firstLine="0"/>
        <w:rPr>
          <w:rFonts w:eastAsiaTheme="minorHAnsi"/>
          <w:sz w:val="24"/>
          <w:szCs w:val="24"/>
          <w:lang w:eastAsia="en-US"/>
        </w:rPr>
      </w:pPr>
    </w:p>
    <w:p w:rsidR="001603FF" w:rsidRPr="00871235" w:rsidRDefault="00742A78" w:rsidP="007B47A8">
      <w:pPr>
        <w:pStyle w:val="paragraph"/>
        <w:ind w:left="0" w:firstLine="0"/>
        <w:rPr>
          <w:rFonts w:eastAsiaTheme="minorHAnsi"/>
          <w:sz w:val="24"/>
          <w:szCs w:val="24"/>
          <w:lang w:eastAsia="en-US"/>
        </w:rPr>
      </w:pPr>
      <w:r>
        <w:rPr>
          <w:rFonts w:eastAsiaTheme="minorHAnsi"/>
          <w:sz w:val="24"/>
          <w:szCs w:val="24"/>
          <w:lang w:eastAsia="en-US"/>
        </w:rPr>
        <w:t xml:space="preserve">The Minister cannot make a designation without </w:t>
      </w:r>
      <w:r w:rsidR="00D07CF6" w:rsidRPr="00871235">
        <w:rPr>
          <w:rFonts w:eastAsiaTheme="minorHAnsi"/>
          <w:sz w:val="24"/>
          <w:szCs w:val="24"/>
          <w:lang w:eastAsia="en-US"/>
        </w:rPr>
        <w:t xml:space="preserve">first being </w:t>
      </w:r>
      <w:r w:rsidR="0023558E" w:rsidRPr="00871235">
        <w:rPr>
          <w:rFonts w:eastAsiaTheme="minorHAnsi"/>
          <w:sz w:val="24"/>
          <w:szCs w:val="24"/>
          <w:lang w:eastAsia="en-US"/>
        </w:rPr>
        <w:t>satisfied</w:t>
      </w:r>
      <w:r w:rsidR="00D07CF6" w:rsidRPr="00871235">
        <w:rPr>
          <w:rFonts w:eastAsiaTheme="minorHAnsi"/>
          <w:sz w:val="24"/>
          <w:szCs w:val="24"/>
          <w:lang w:eastAsia="en-US"/>
        </w:rPr>
        <w:t xml:space="preserve"> of and having regard to a number of matters set out in the </w:t>
      </w:r>
      <w:r w:rsidR="00AC78D1">
        <w:rPr>
          <w:rFonts w:eastAsiaTheme="minorHAnsi"/>
          <w:sz w:val="24"/>
          <w:szCs w:val="24"/>
          <w:lang w:eastAsia="en-US"/>
        </w:rPr>
        <w:t>Act</w:t>
      </w:r>
      <w:r w:rsidR="00D07CF6" w:rsidRPr="00871235">
        <w:rPr>
          <w:rFonts w:eastAsiaTheme="minorHAnsi"/>
          <w:sz w:val="24"/>
          <w:szCs w:val="24"/>
          <w:lang w:eastAsia="en-US"/>
        </w:rPr>
        <w:t xml:space="preserve">. In addition, the Minister must consult with certain persons and bodies that the Minister thinks appropriate. </w:t>
      </w:r>
    </w:p>
    <w:p w:rsidR="001603FF" w:rsidRPr="00871235" w:rsidRDefault="001603FF" w:rsidP="001603FF">
      <w:pPr>
        <w:pStyle w:val="paragraph"/>
        <w:rPr>
          <w:rFonts w:eastAsiaTheme="minorHAnsi"/>
          <w:color w:val="FF0000"/>
          <w:sz w:val="24"/>
          <w:szCs w:val="24"/>
          <w:lang w:eastAsia="en-US"/>
        </w:rPr>
      </w:pPr>
    </w:p>
    <w:p w:rsidR="001603FF" w:rsidRPr="00871235" w:rsidRDefault="001603FF" w:rsidP="007B47A8">
      <w:pPr>
        <w:pStyle w:val="paragraph"/>
        <w:ind w:left="0" w:firstLine="0"/>
        <w:rPr>
          <w:rFonts w:eastAsiaTheme="minorHAnsi"/>
          <w:sz w:val="24"/>
          <w:szCs w:val="24"/>
          <w:lang w:eastAsia="en-US"/>
        </w:rPr>
      </w:pPr>
      <w:r w:rsidRPr="00871235">
        <w:rPr>
          <w:rFonts w:eastAsiaTheme="minorHAnsi"/>
          <w:sz w:val="24"/>
          <w:szCs w:val="24"/>
          <w:lang w:eastAsia="en-US"/>
        </w:rPr>
        <w:t xml:space="preserve">Introducing controls on the supply of regular unleaded petrol on Great Palm Island will stop the availability of </w:t>
      </w:r>
      <w:proofErr w:type="spellStart"/>
      <w:r w:rsidRPr="00871235">
        <w:rPr>
          <w:rFonts w:eastAsiaTheme="minorHAnsi"/>
          <w:sz w:val="24"/>
          <w:szCs w:val="24"/>
          <w:lang w:eastAsia="en-US"/>
        </w:rPr>
        <w:t>sniffable</w:t>
      </w:r>
      <w:proofErr w:type="spellEnd"/>
      <w:r w:rsidRPr="00871235">
        <w:rPr>
          <w:rFonts w:eastAsiaTheme="minorHAnsi"/>
          <w:sz w:val="24"/>
          <w:szCs w:val="24"/>
          <w:lang w:eastAsia="en-US"/>
        </w:rPr>
        <w:t xml:space="preserve"> fuel. The measure is necessary to protect Aboriginal and Torres Strait Islander persons living in the area from the negative impacts of </w:t>
      </w:r>
      <w:r w:rsidR="00FA610A">
        <w:rPr>
          <w:rFonts w:eastAsiaTheme="minorHAnsi"/>
          <w:sz w:val="24"/>
          <w:szCs w:val="24"/>
          <w:lang w:eastAsia="en-US"/>
        </w:rPr>
        <w:t xml:space="preserve">petrol </w:t>
      </w:r>
      <w:r w:rsidRPr="00871235">
        <w:rPr>
          <w:rFonts w:eastAsiaTheme="minorHAnsi"/>
          <w:sz w:val="24"/>
          <w:szCs w:val="24"/>
          <w:lang w:eastAsia="en-US"/>
        </w:rPr>
        <w:t xml:space="preserve">sniffing. </w:t>
      </w:r>
    </w:p>
    <w:p w:rsidR="009D2D1A" w:rsidRPr="00871235" w:rsidRDefault="009D2D1A" w:rsidP="007B47A8">
      <w:pPr>
        <w:pStyle w:val="paragraph"/>
        <w:ind w:left="0" w:firstLine="0"/>
        <w:rPr>
          <w:rFonts w:eastAsiaTheme="minorHAnsi"/>
          <w:sz w:val="24"/>
          <w:szCs w:val="24"/>
          <w:lang w:eastAsia="en-US"/>
        </w:rPr>
      </w:pPr>
    </w:p>
    <w:p w:rsidR="00742A78" w:rsidRPr="00871235" w:rsidRDefault="009D2D1A" w:rsidP="007B47A8">
      <w:pPr>
        <w:pStyle w:val="paragraph"/>
        <w:ind w:left="0" w:firstLine="0"/>
        <w:rPr>
          <w:rFonts w:eastAsiaTheme="minorHAnsi"/>
          <w:sz w:val="24"/>
          <w:szCs w:val="24"/>
          <w:lang w:eastAsia="en-US"/>
        </w:rPr>
      </w:pPr>
      <w:r w:rsidRPr="00871235">
        <w:rPr>
          <w:rFonts w:eastAsiaTheme="minorHAnsi"/>
          <w:sz w:val="24"/>
          <w:szCs w:val="24"/>
          <w:lang w:eastAsia="en-US"/>
        </w:rPr>
        <w:t>The Act will be reviewed on the fifth anniversary of its commencement (in 2018)</w:t>
      </w:r>
      <w:r w:rsidR="00D07CF6" w:rsidRPr="00871235">
        <w:rPr>
          <w:rFonts w:eastAsiaTheme="minorHAnsi"/>
          <w:sz w:val="24"/>
          <w:szCs w:val="24"/>
          <w:lang w:eastAsia="en-US"/>
        </w:rPr>
        <w:t xml:space="preserve"> and every five years after that</w:t>
      </w:r>
      <w:r w:rsidRPr="00871235">
        <w:rPr>
          <w:rFonts w:eastAsiaTheme="minorHAnsi"/>
          <w:sz w:val="24"/>
          <w:szCs w:val="24"/>
          <w:lang w:eastAsia="en-US"/>
        </w:rPr>
        <w:t xml:space="preserve"> </w:t>
      </w:r>
      <w:r w:rsidR="00AC78D1">
        <w:rPr>
          <w:rFonts w:eastAsiaTheme="minorHAnsi"/>
          <w:sz w:val="24"/>
          <w:szCs w:val="24"/>
          <w:lang w:eastAsia="en-US"/>
        </w:rPr>
        <w:t>(</w:t>
      </w:r>
      <w:r w:rsidRPr="00871235">
        <w:rPr>
          <w:rFonts w:eastAsiaTheme="minorHAnsi"/>
          <w:sz w:val="24"/>
          <w:szCs w:val="24"/>
          <w:lang w:eastAsia="en-US"/>
        </w:rPr>
        <w:t>section 18</w:t>
      </w:r>
      <w:r w:rsidR="00AC78D1">
        <w:rPr>
          <w:rFonts w:eastAsiaTheme="minorHAnsi"/>
          <w:sz w:val="24"/>
          <w:szCs w:val="24"/>
          <w:lang w:eastAsia="en-US"/>
        </w:rPr>
        <w:t>)</w:t>
      </w:r>
      <w:r w:rsidRPr="00871235">
        <w:rPr>
          <w:rFonts w:eastAsiaTheme="minorHAnsi"/>
          <w:sz w:val="24"/>
          <w:szCs w:val="24"/>
          <w:lang w:eastAsia="en-US"/>
        </w:rPr>
        <w:t xml:space="preserve">. </w:t>
      </w:r>
    </w:p>
    <w:p w:rsidR="00D01759" w:rsidRPr="00E42753" w:rsidRDefault="00AC78D1" w:rsidP="00E42753">
      <w:pPr>
        <w:pStyle w:val="paragraph"/>
        <w:ind w:left="0" w:firstLine="0"/>
        <w:rPr>
          <w:i/>
          <w:szCs w:val="24"/>
        </w:rPr>
      </w:pPr>
      <w:bookmarkStart w:id="1" w:name="art12"/>
      <w:bookmarkEnd w:id="1"/>
      <w:r>
        <w:br/>
      </w:r>
      <w:r w:rsidR="00994FE1" w:rsidRPr="00E42753">
        <w:rPr>
          <w:i/>
          <w:sz w:val="24"/>
          <w:szCs w:val="24"/>
        </w:rPr>
        <w:t xml:space="preserve">Article 12 of the International Convention on Economic Social and Cultural Rights </w:t>
      </w:r>
    </w:p>
    <w:p w:rsidR="00994FE1" w:rsidRPr="00871235" w:rsidRDefault="00994FE1" w:rsidP="00994FE1">
      <w:pPr>
        <w:autoSpaceDE w:val="0"/>
        <w:autoSpaceDN w:val="0"/>
        <w:adjustRightInd w:val="0"/>
      </w:pPr>
      <w:r w:rsidRPr="00871235">
        <w:t xml:space="preserve">Article 12 </w:t>
      </w:r>
      <w:r w:rsidR="00D01759" w:rsidRPr="00871235">
        <w:t>recogni</w:t>
      </w:r>
      <w:r w:rsidR="00D01759">
        <w:t>s</w:t>
      </w:r>
      <w:r w:rsidR="00D01759" w:rsidRPr="00871235">
        <w:t xml:space="preserve">es </w:t>
      </w:r>
      <w:r w:rsidRPr="00871235">
        <w:t>"the right of everyone to the enjoyment of the highest attainable standard of physical and mental health"</w:t>
      </w:r>
      <w:r w:rsidR="00FB6779">
        <w:t xml:space="preserve"> (the right to health).</w:t>
      </w:r>
      <w:r w:rsidRPr="00871235">
        <w:t xml:space="preserve"> According to General Comment 14, the authoritative interpretation of that right, the right to health embraces a wide range of socio-economic factors that promote conditions in which people can lead a healthy life, and extends to the underlying determinants of health. </w:t>
      </w:r>
    </w:p>
    <w:p w:rsidR="00994FE1" w:rsidRPr="00871235" w:rsidRDefault="00994FE1" w:rsidP="00994FE1">
      <w:pPr>
        <w:autoSpaceDE w:val="0"/>
        <w:autoSpaceDN w:val="0"/>
        <w:adjustRightInd w:val="0"/>
        <w:rPr>
          <w:rFonts w:eastAsia="Calibri"/>
          <w:lang w:eastAsia="en-US"/>
        </w:rPr>
      </w:pPr>
      <w:r w:rsidRPr="00871235">
        <w:t>Under the General Comment the obligation to fulfil the right to health requires the Australian Government to take positive measures that enable and assist individuals and communities to enjoy the right to health, including giving sufficient recognition to the right to health in the national political and legal systems, preferably by way of legislative implementation</w:t>
      </w:r>
      <w:r w:rsidRPr="00871235">
        <w:rPr>
          <w:rFonts w:eastAsia="Calibri"/>
          <w:lang w:eastAsia="en-US"/>
        </w:rPr>
        <w:t>.</w:t>
      </w:r>
    </w:p>
    <w:p w:rsidR="00D07CF6" w:rsidRPr="00871235" w:rsidRDefault="0023558E" w:rsidP="00994FE1">
      <w:pPr>
        <w:autoSpaceDE w:val="0"/>
        <w:autoSpaceDN w:val="0"/>
        <w:adjustRightInd w:val="0"/>
        <w:rPr>
          <w:szCs w:val="24"/>
        </w:rPr>
      </w:pPr>
      <w:r w:rsidRPr="00871235">
        <w:t xml:space="preserve">The </w:t>
      </w:r>
      <w:r w:rsidR="007B47A8" w:rsidRPr="00871235">
        <w:t>consequences of sniffing fuel include</w:t>
      </w:r>
      <w:r w:rsidRPr="00871235">
        <w:t xml:space="preserve"> enduring</w:t>
      </w:r>
      <w:r w:rsidRPr="00871235" w:rsidDel="00D07CF6">
        <w:t xml:space="preserve"> </w:t>
      </w:r>
      <w:r w:rsidRPr="00871235">
        <w:t xml:space="preserve">physical harm to sniffers. </w:t>
      </w:r>
      <w:r w:rsidR="00994FE1" w:rsidRPr="00871235">
        <w:t>Chronic sniffers can suffer cerebellar ataxia, grand mal epilepsy, encephalopathy, persistent psychosis and chronic disability including mental impairment. Neurological damage from petrol sniffing can be present at the very early stages of abuse. This can include effects on memory, attention, learning, e</w:t>
      </w:r>
      <w:r w:rsidR="00994FE1" w:rsidRPr="00871235">
        <w:rPr>
          <w:szCs w:val="24"/>
        </w:rPr>
        <w:t xml:space="preserve">xecutive function and behavioural inhibition. </w:t>
      </w:r>
    </w:p>
    <w:p w:rsidR="00994FE1" w:rsidRPr="00871235" w:rsidRDefault="00994FE1" w:rsidP="00994FE1">
      <w:pPr>
        <w:autoSpaceDE w:val="0"/>
        <w:autoSpaceDN w:val="0"/>
        <w:adjustRightInd w:val="0"/>
        <w:rPr>
          <w:szCs w:val="24"/>
        </w:rPr>
      </w:pPr>
      <w:r w:rsidRPr="00871235">
        <w:rPr>
          <w:szCs w:val="24"/>
        </w:rPr>
        <w:t>The</w:t>
      </w:r>
      <w:r w:rsidR="00D07CF6" w:rsidRPr="00871235">
        <w:rPr>
          <w:szCs w:val="24"/>
        </w:rPr>
        <w:t xml:space="preserve"> </w:t>
      </w:r>
      <w:r w:rsidRPr="00871235">
        <w:rPr>
          <w:szCs w:val="24"/>
        </w:rPr>
        <w:t>physical impacts</w:t>
      </w:r>
      <w:r w:rsidR="00D07CF6" w:rsidRPr="00871235">
        <w:rPr>
          <w:szCs w:val="24"/>
        </w:rPr>
        <w:t xml:space="preserve"> of sniffing fuel</w:t>
      </w:r>
      <w:r w:rsidRPr="00871235">
        <w:rPr>
          <w:szCs w:val="24"/>
        </w:rPr>
        <w:t xml:space="preserve"> have been connected to range of social problems including low school attendance and illegal activity.</w:t>
      </w:r>
    </w:p>
    <w:p w:rsidR="00994FE1" w:rsidRPr="00871235" w:rsidRDefault="00994FE1" w:rsidP="00994FE1">
      <w:pPr>
        <w:spacing w:before="0"/>
        <w:rPr>
          <w:rStyle w:val="BookTitle"/>
          <w:b/>
          <w:iCs w:val="0"/>
          <w:smallCaps w:val="0"/>
        </w:rPr>
      </w:pPr>
    </w:p>
    <w:p w:rsidR="00994FE1" w:rsidRPr="00871235" w:rsidRDefault="00994FE1" w:rsidP="00994FE1">
      <w:pPr>
        <w:spacing w:before="0"/>
        <w:rPr>
          <w:rStyle w:val="BookTitle"/>
          <w:b/>
          <w:iCs w:val="0"/>
          <w:smallCaps w:val="0"/>
        </w:rPr>
      </w:pPr>
      <w:r w:rsidRPr="00871235">
        <w:rPr>
          <w:rStyle w:val="BookTitle"/>
          <w:b/>
          <w:iCs w:val="0"/>
          <w:smallCaps w:val="0"/>
        </w:rPr>
        <w:t>Conclusion</w:t>
      </w:r>
    </w:p>
    <w:p w:rsidR="00994FE1" w:rsidRPr="00871235" w:rsidRDefault="001603FF" w:rsidP="00994FE1">
      <w:pPr>
        <w:rPr>
          <w:rStyle w:val="BookTitle"/>
          <w:i w:val="0"/>
          <w:iCs w:val="0"/>
          <w:smallCaps w:val="0"/>
        </w:rPr>
      </w:pPr>
      <w:r w:rsidRPr="00871235">
        <w:rPr>
          <w:rFonts w:eastAsiaTheme="minorHAnsi"/>
          <w:szCs w:val="24"/>
          <w:lang w:eastAsia="en-US"/>
        </w:rPr>
        <w:t>The policy objectives of this legislative instrument are compatible with human rights because they are characterised as a special measure</w:t>
      </w:r>
      <w:r w:rsidRPr="00871235">
        <w:rPr>
          <w:rStyle w:val="BookTitle"/>
          <w:i w:val="0"/>
          <w:iCs w:val="0"/>
          <w:smallCaps w:val="0"/>
        </w:rPr>
        <w:t>.</w:t>
      </w:r>
    </w:p>
    <w:p w:rsidR="00D242C4" w:rsidRDefault="00D242C4" w:rsidP="00D242C4">
      <w:pPr>
        <w:spacing w:before="0" w:after="200" w:line="276" w:lineRule="auto"/>
        <w:rPr>
          <w:rStyle w:val="BookTitle"/>
          <w:i w:val="0"/>
          <w:iCs w:val="0"/>
          <w:smallCaps w:val="0"/>
        </w:rPr>
      </w:pPr>
    </w:p>
    <w:p w:rsidR="00D242C4" w:rsidRDefault="00D242C4" w:rsidP="00D242C4">
      <w:pPr>
        <w:spacing w:before="0" w:after="200" w:line="276" w:lineRule="auto"/>
        <w:rPr>
          <w:rStyle w:val="BookTitle"/>
          <w:i w:val="0"/>
          <w:iCs w:val="0"/>
          <w:smallCaps w:val="0"/>
        </w:rPr>
      </w:pPr>
    </w:p>
    <w:p w:rsidR="00D242C4" w:rsidRDefault="00D242C4" w:rsidP="00D242C4">
      <w:pPr>
        <w:spacing w:before="0" w:after="200" w:line="276" w:lineRule="auto"/>
        <w:rPr>
          <w:rStyle w:val="BookTitle"/>
          <w:i w:val="0"/>
          <w:iCs w:val="0"/>
          <w:smallCaps w:val="0"/>
        </w:rPr>
      </w:pPr>
    </w:p>
    <w:p w:rsidR="00D242C4" w:rsidRDefault="00D242C4" w:rsidP="00D242C4">
      <w:pPr>
        <w:spacing w:before="0" w:after="200" w:line="276" w:lineRule="auto"/>
        <w:rPr>
          <w:rStyle w:val="BookTitle"/>
          <w:i w:val="0"/>
          <w:iCs w:val="0"/>
          <w:smallCaps w:val="0"/>
        </w:rPr>
      </w:pPr>
    </w:p>
    <w:p w:rsidR="00E50DB2" w:rsidRDefault="00E50DB2" w:rsidP="00D242C4">
      <w:pPr>
        <w:spacing w:before="0" w:after="200" w:line="276" w:lineRule="auto"/>
        <w:rPr>
          <w:rStyle w:val="BookTitle"/>
          <w:i w:val="0"/>
          <w:iCs w:val="0"/>
          <w:smallCaps w:val="0"/>
        </w:rPr>
      </w:pPr>
    </w:p>
    <w:p w:rsidR="00E50DB2" w:rsidRDefault="00E50DB2" w:rsidP="00D242C4">
      <w:pPr>
        <w:spacing w:before="0" w:after="200" w:line="276" w:lineRule="auto"/>
        <w:rPr>
          <w:rStyle w:val="BookTitle"/>
          <w:i w:val="0"/>
          <w:iCs w:val="0"/>
          <w:smallCaps w:val="0"/>
        </w:rPr>
      </w:pPr>
    </w:p>
    <w:p w:rsidR="00E50DB2" w:rsidRDefault="00E50DB2" w:rsidP="00D242C4">
      <w:pPr>
        <w:spacing w:before="0" w:after="200" w:line="276" w:lineRule="auto"/>
        <w:rPr>
          <w:rStyle w:val="BookTitle"/>
          <w:i w:val="0"/>
          <w:iCs w:val="0"/>
          <w:smallCaps w:val="0"/>
        </w:rPr>
        <w:sectPr w:rsidR="00E50DB2" w:rsidSect="00220AC7">
          <w:headerReference w:type="default" r:id="rId9"/>
          <w:footerReference w:type="default" r:id="rId10"/>
          <w:pgSz w:w="11906" w:h="16838"/>
          <w:pgMar w:top="1135" w:right="1440" w:bottom="1440" w:left="1440" w:header="708" w:footer="708" w:gutter="0"/>
          <w:cols w:space="708"/>
          <w:docGrid w:linePitch="360"/>
        </w:sectPr>
      </w:pPr>
    </w:p>
    <w:p w:rsidR="00E50DB2" w:rsidRPr="00491FFD" w:rsidRDefault="00D242C4" w:rsidP="00C7520B">
      <w:pPr>
        <w:spacing w:before="0" w:after="200" w:line="276" w:lineRule="auto"/>
        <w:jc w:val="right"/>
        <w:rPr>
          <w:rStyle w:val="BookTitle"/>
          <w:b/>
          <w:i w:val="0"/>
          <w:iCs w:val="0"/>
          <w:smallCaps w:val="0"/>
        </w:rPr>
      </w:pPr>
      <w:r w:rsidRPr="00491FFD">
        <w:rPr>
          <w:b/>
          <w:noProof/>
          <w:spacing w:val="5"/>
        </w:rPr>
        <w:lastRenderedPageBreak/>
        <w:drawing>
          <wp:anchor distT="0" distB="0" distL="114300" distR="114300" simplePos="0" relativeHeight="251658240" behindDoc="0" locked="0" layoutInCell="1" allowOverlap="1" wp14:anchorId="253493F6" wp14:editId="6D1D0B66">
            <wp:simplePos x="0" y="0"/>
            <wp:positionH relativeFrom="column">
              <wp:posOffset>-244475</wp:posOffset>
            </wp:positionH>
            <wp:positionV relativeFrom="paragraph">
              <wp:posOffset>5080</wp:posOffset>
            </wp:positionV>
            <wp:extent cx="9735185" cy="682879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35185" cy="682879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50DB2" w:rsidRPr="00491FFD" w:rsidSect="00C7520B">
      <w:headerReference w:type="default" r:id="rId12"/>
      <w:footerReference w:type="default" r:id="rId13"/>
      <w:pgSz w:w="16840" w:h="11907" w:orient="landscape" w:code="9"/>
      <w:pgMar w:top="425" w:right="1134"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3DA" w:rsidRDefault="00B923DA" w:rsidP="001715A5">
      <w:pPr>
        <w:spacing w:before="0"/>
      </w:pPr>
      <w:r>
        <w:separator/>
      </w:r>
    </w:p>
  </w:endnote>
  <w:endnote w:type="continuationSeparator" w:id="0">
    <w:p w:rsidR="00B923DA" w:rsidRDefault="00B923DA" w:rsidP="001715A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644404"/>
      <w:docPartObj>
        <w:docPartGallery w:val="Page Numbers (Bottom of Page)"/>
        <w:docPartUnique/>
      </w:docPartObj>
    </w:sdtPr>
    <w:sdtEndPr>
      <w:rPr>
        <w:noProof/>
      </w:rPr>
    </w:sdtEndPr>
    <w:sdtContent>
      <w:p w:rsidR="00FC6DDE" w:rsidRDefault="00FC6DDE">
        <w:pPr>
          <w:pStyle w:val="Footer"/>
          <w:jc w:val="center"/>
        </w:pPr>
        <w:r>
          <w:fldChar w:fldCharType="begin"/>
        </w:r>
        <w:r>
          <w:instrText xml:space="preserve"> PAGE   \* MERGEFORMAT </w:instrText>
        </w:r>
        <w:r>
          <w:fldChar w:fldCharType="separate"/>
        </w:r>
        <w:r w:rsidR="005754BB">
          <w:rPr>
            <w:noProof/>
          </w:rPr>
          <w:t>5</w:t>
        </w:r>
        <w:r>
          <w:rPr>
            <w:noProof/>
          </w:rPr>
          <w:fldChar w:fldCharType="end"/>
        </w:r>
      </w:p>
    </w:sdtContent>
  </w:sdt>
  <w:p w:rsidR="00FC6DDE" w:rsidRDefault="00FC6D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DDE" w:rsidRDefault="00FC6D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3DA" w:rsidRDefault="00B923DA" w:rsidP="001715A5">
      <w:pPr>
        <w:spacing w:before="0"/>
      </w:pPr>
      <w:r>
        <w:separator/>
      </w:r>
    </w:p>
  </w:footnote>
  <w:footnote w:type="continuationSeparator" w:id="0">
    <w:p w:rsidR="00B923DA" w:rsidRDefault="00B923DA" w:rsidP="001715A5">
      <w:pPr>
        <w:spacing w:before="0"/>
      </w:pPr>
      <w:r>
        <w:continuationSeparator/>
      </w:r>
    </w:p>
  </w:footnote>
  <w:footnote w:id="1">
    <w:p w:rsidR="00E42753" w:rsidRDefault="00E42753">
      <w:pPr>
        <w:pStyle w:val="FootnoteText"/>
      </w:pPr>
      <w:r>
        <w:rPr>
          <w:rStyle w:val="FootnoteReference"/>
        </w:rPr>
        <w:footnoteRef/>
      </w:r>
      <w:r>
        <w:t xml:space="preserve"> </w:t>
      </w:r>
      <w:r w:rsidRPr="00E42753">
        <w:t xml:space="preserve">Great Palm Island is also commonly known as Palm Island, and Greater Palm Island, however </w:t>
      </w:r>
      <w:proofErr w:type="spellStart"/>
      <w:r w:rsidRPr="00E42753">
        <w:t>GeoScience</w:t>
      </w:r>
      <w:proofErr w:type="spellEnd"/>
      <w:r w:rsidRPr="00E42753">
        <w:t xml:space="preserve"> Australia formally advise that Queensland Gazetteer (under the portfolio of the Department of Natural Resource and Mines) and the Australian Hydro Office officially call the largest of the islands ‘</w:t>
      </w:r>
      <w:r w:rsidRPr="00E42753">
        <w:rPr>
          <w:b/>
        </w:rPr>
        <w:t>Great Palm Island’</w:t>
      </w:r>
    </w:p>
  </w:footnote>
  <w:footnote w:id="2">
    <w:p w:rsidR="00826ED8" w:rsidRPr="00160247" w:rsidRDefault="00826ED8">
      <w:pPr>
        <w:pStyle w:val="FootnoteText"/>
      </w:pPr>
      <w:r w:rsidRPr="00160247">
        <w:rPr>
          <w:rStyle w:val="FootnoteReference"/>
        </w:rPr>
        <w:footnoteRef/>
      </w:r>
      <w:r w:rsidRPr="00160247">
        <w:t xml:space="preserve"> Committee on the Elimination of Racial Discrimination, </w:t>
      </w:r>
      <w:r w:rsidRPr="00160247">
        <w:rPr>
          <w:i/>
        </w:rPr>
        <w:t xml:space="preserve">General Recommendation: No. 32: The Meaning and Scope of Special Measures in the International Convention on the Elimination of Racial Discrimination </w:t>
      </w:r>
      <w:r w:rsidRPr="00160247">
        <w:t>(August 2009),</w:t>
      </w:r>
      <w:r w:rsidRPr="00160247">
        <w:rPr>
          <w:i/>
        </w:rPr>
        <w:t xml:space="preserve"> </w:t>
      </w:r>
      <w:r w:rsidRPr="00160247">
        <w:t>at paragraph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20B" w:rsidRPr="00C7520B" w:rsidRDefault="00C7520B" w:rsidP="00C7520B">
    <w:pPr>
      <w:pStyle w:val="Header"/>
      <w:jc w:val="righ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3FD" w:rsidRPr="00C7520B" w:rsidRDefault="002423FD" w:rsidP="00C7520B">
    <w:pPr>
      <w:pStyle w:val="Header"/>
      <w:jc w:val="right"/>
      <w:rPr>
        <w:b/>
      </w:rPr>
    </w:pPr>
    <w:r w:rsidRPr="00C7520B">
      <w:rPr>
        <w:b/>
      </w:rPr>
      <w:t xml:space="preserve">Attachment </w:t>
    </w:r>
    <w:r>
      <w:rPr>
        <w:b/>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46942"/>
    <w:multiLevelType w:val="multilevel"/>
    <w:tmpl w:val="A70C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7C5013"/>
    <w:multiLevelType w:val="hybridMultilevel"/>
    <w:tmpl w:val="7AB01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81317C8"/>
    <w:multiLevelType w:val="hybridMultilevel"/>
    <w:tmpl w:val="F4AAB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73F5860-2694-4218-86D5-CDCA060ED47A}"/>
    <w:docVar w:name="dgnword-eventsink" w:val="136371920"/>
  </w:docVars>
  <w:rsids>
    <w:rsidRoot w:val="00A27A91"/>
    <w:rsid w:val="00013233"/>
    <w:rsid w:val="00013588"/>
    <w:rsid w:val="00074338"/>
    <w:rsid w:val="00092292"/>
    <w:rsid w:val="000A2022"/>
    <w:rsid w:val="000F5724"/>
    <w:rsid w:val="0010584E"/>
    <w:rsid w:val="00160247"/>
    <w:rsid w:val="001603FF"/>
    <w:rsid w:val="00170175"/>
    <w:rsid w:val="001715A5"/>
    <w:rsid w:val="001779F7"/>
    <w:rsid w:val="001944EF"/>
    <w:rsid w:val="001A69BB"/>
    <w:rsid w:val="001C2DFA"/>
    <w:rsid w:val="001D57EE"/>
    <w:rsid w:val="001E2766"/>
    <w:rsid w:val="001F41F0"/>
    <w:rsid w:val="00220AC7"/>
    <w:rsid w:val="0023558E"/>
    <w:rsid w:val="002423FD"/>
    <w:rsid w:val="0026286A"/>
    <w:rsid w:val="00264FA1"/>
    <w:rsid w:val="00284CC8"/>
    <w:rsid w:val="002907C2"/>
    <w:rsid w:val="002F0224"/>
    <w:rsid w:val="00304D9A"/>
    <w:rsid w:val="00332FCA"/>
    <w:rsid w:val="00334D50"/>
    <w:rsid w:val="00362BD3"/>
    <w:rsid w:val="00373D17"/>
    <w:rsid w:val="003931B3"/>
    <w:rsid w:val="003B2794"/>
    <w:rsid w:val="003B46B3"/>
    <w:rsid w:val="003E3E21"/>
    <w:rsid w:val="00406E75"/>
    <w:rsid w:val="00455940"/>
    <w:rsid w:val="004645A3"/>
    <w:rsid w:val="00491FFD"/>
    <w:rsid w:val="004C1B83"/>
    <w:rsid w:val="004C5780"/>
    <w:rsid w:val="004E0F94"/>
    <w:rsid w:val="00507321"/>
    <w:rsid w:val="005234D6"/>
    <w:rsid w:val="0053117E"/>
    <w:rsid w:val="00556F0C"/>
    <w:rsid w:val="005754BB"/>
    <w:rsid w:val="005C0B6C"/>
    <w:rsid w:val="005F5F9B"/>
    <w:rsid w:val="0060592B"/>
    <w:rsid w:val="00636A8F"/>
    <w:rsid w:val="00641E6C"/>
    <w:rsid w:val="006816C6"/>
    <w:rsid w:val="006A5858"/>
    <w:rsid w:val="00717169"/>
    <w:rsid w:val="00727C3D"/>
    <w:rsid w:val="00740710"/>
    <w:rsid w:val="00742A78"/>
    <w:rsid w:val="00776DC3"/>
    <w:rsid w:val="007A176F"/>
    <w:rsid w:val="007B47A8"/>
    <w:rsid w:val="007C7C16"/>
    <w:rsid w:val="00825F5E"/>
    <w:rsid w:val="00826ED8"/>
    <w:rsid w:val="0083601D"/>
    <w:rsid w:val="00871235"/>
    <w:rsid w:val="008850B5"/>
    <w:rsid w:val="008B6CFA"/>
    <w:rsid w:val="008C31E4"/>
    <w:rsid w:val="008D177A"/>
    <w:rsid w:val="008F2D7E"/>
    <w:rsid w:val="0090523C"/>
    <w:rsid w:val="00930EF3"/>
    <w:rsid w:val="00937010"/>
    <w:rsid w:val="00961D51"/>
    <w:rsid w:val="00986D86"/>
    <w:rsid w:val="00987FA4"/>
    <w:rsid w:val="00994FE1"/>
    <w:rsid w:val="009A36C8"/>
    <w:rsid w:val="009C328D"/>
    <w:rsid w:val="009C7001"/>
    <w:rsid w:val="009D2D1A"/>
    <w:rsid w:val="00A108DB"/>
    <w:rsid w:val="00A27A91"/>
    <w:rsid w:val="00A61A5C"/>
    <w:rsid w:val="00A8043E"/>
    <w:rsid w:val="00A87F29"/>
    <w:rsid w:val="00AC78D1"/>
    <w:rsid w:val="00AE406C"/>
    <w:rsid w:val="00AF0433"/>
    <w:rsid w:val="00B74B59"/>
    <w:rsid w:val="00B923DA"/>
    <w:rsid w:val="00BB41C3"/>
    <w:rsid w:val="00BF54A1"/>
    <w:rsid w:val="00C30429"/>
    <w:rsid w:val="00C6440E"/>
    <w:rsid w:val="00C735B9"/>
    <w:rsid w:val="00C7520B"/>
    <w:rsid w:val="00CA6E21"/>
    <w:rsid w:val="00CE2E8A"/>
    <w:rsid w:val="00CE58EB"/>
    <w:rsid w:val="00D01759"/>
    <w:rsid w:val="00D07987"/>
    <w:rsid w:val="00D07CF6"/>
    <w:rsid w:val="00D242C4"/>
    <w:rsid w:val="00D436BE"/>
    <w:rsid w:val="00D5044F"/>
    <w:rsid w:val="00D512E6"/>
    <w:rsid w:val="00D63FBB"/>
    <w:rsid w:val="00D8092E"/>
    <w:rsid w:val="00DD19DB"/>
    <w:rsid w:val="00DE49C5"/>
    <w:rsid w:val="00E022EA"/>
    <w:rsid w:val="00E321C4"/>
    <w:rsid w:val="00E41E96"/>
    <w:rsid w:val="00E42753"/>
    <w:rsid w:val="00E50DB2"/>
    <w:rsid w:val="00E74BB7"/>
    <w:rsid w:val="00EB174B"/>
    <w:rsid w:val="00F32062"/>
    <w:rsid w:val="00F62FCC"/>
    <w:rsid w:val="00F725BF"/>
    <w:rsid w:val="00F767CD"/>
    <w:rsid w:val="00FA610A"/>
    <w:rsid w:val="00FA6194"/>
    <w:rsid w:val="00FB6779"/>
    <w:rsid w:val="00FC2CF0"/>
    <w:rsid w:val="00FC4C73"/>
    <w:rsid w:val="00FC6D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8EB"/>
    <w:pPr>
      <w:spacing w:before="240"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8EB"/>
    <w:pPr>
      <w:spacing w:before="0"/>
      <w:ind w:left="720"/>
      <w:contextualSpacing/>
    </w:pPr>
    <w:rPr>
      <w:szCs w:val="24"/>
    </w:rPr>
  </w:style>
  <w:style w:type="character" w:styleId="BookTitle">
    <w:name w:val="Book Title"/>
    <w:uiPriority w:val="33"/>
    <w:qFormat/>
    <w:rsid w:val="00CE58EB"/>
    <w:rPr>
      <w:i/>
      <w:iCs/>
      <w:smallCaps/>
      <w:spacing w:val="5"/>
    </w:rPr>
  </w:style>
  <w:style w:type="character" w:styleId="CommentReference">
    <w:name w:val="annotation reference"/>
    <w:basedOn w:val="DefaultParagraphFont"/>
    <w:unhideWhenUsed/>
    <w:rsid w:val="00A8043E"/>
    <w:rPr>
      <w:sz w:val="16"/>
      <w:szCs w:val="16"/>
    </w:rPr>
  </w:style>
  <w:style w:type="paragraph" w:styleId="CommentText">
    <w:name w:val="annotation text"/>
    <w:basedOn w:val="Normal"/>
    <w:link w:val="CommentTextChar"/>
    <w:uiPriority w:val="99"/>
    <w:semiHidden/>
    <w:unhideWhenUsed/>
    <w:rsid w:val="00A8043E"/>
    <w:rPr>
      <w:sz w:val="20"/>
    </w:rPr>
  </w:style>
  <w:style w:type="character" w:customStyle="1" w:styleId="CommentTextChar">
    <w:name w:val="Comment Text Char"/>
    <w:basedOn w:val="DefaultParagraphFont"/>
    <w:link w:val="CommentText"/>
    <w:uiPriority w:val="99"/>
    <w:semiHidden/>
    <w:rsid w:val="00A8043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8043E"/>
    <w:rPr>
      <w:b/>
      <w:bCs/>
    </w:rPr>
  </w:style>
  <w:style w:type="character" w:customStyle="1" w:styleId="CommentSubjectChar">
    <w:name w:val="Comment Subject Char"/>
    <w:basedOn w:val="CommentTextChar"/>
    <w:link w:val="CommentSubject"/>
    <w:uiPriority w:val="99"/>
    <w:semiHidden/>
    <w:rsid w:val="00A8043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A8043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43E"/>
    <w:rPr>
      <w:rFonts w:ascii="Tahoma" w:eastAsia="Times New Roman" w:hAnsi="Tahoma" w:cs="Tahoma"/>
      <w:sz w:val="16"/>
      <w:szCs w:val="16"/>
      <w:lang w:eastAsia="en-AU"/>
    </w:rPr>
  </w:style>
  <w:style w:type="paragraph" w:customStyle="1" w:styleId="subsection">
    <w:name w:val="subsection"/>
    <w:aliases w:val="ss"/>
    <w:basedOn w:val="Normal"/>
    <w:link w:val="subsectionChar"/>
    <w:rsid w:val="00994FE1"/>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994FE1"/>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locked/>
    <w:rsid w:val="00994FE1"/>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994FE1"/>
    <w:pPr>
      <w:tabs>
        <w:tab w:val="right" w:pos="1531"/>
      </w:tabs>
      <w:spacing w:before="40"/>
      <w:ind w:left="1644" w:hanging="1644"/>
    </w:pPr>
    <w:rPr>
      <w:sz w:val="22"/>
    </w:rPr>
  </w:style>
  <w:style w:type="paragraph" w:styleId="Header">
    <w:name w:val="header"/>
    <w:basedOn w:val="Normal"/>
    <w:link w:val="HeaderChar"/>
    <w:uiPriority w:val="99"/>
    <w:unhideWhenUsed/>
    <w:rsid w:val="001715A5"/>
    <w:pPr>
      <w:tabs>
        <w:tab w:val="center" w:pos="4513"/>
        <w:tab w:val="right" w:pos="9026"/>
      </w:tabs>
      <w:spacing w:before="0"/>
    </w:pPr>
  </w:style>
  <w:style w:type="character" w:customStyle="1" w:styleId="HeaderChar">
    <w:name w:val="Header Char"/>
    <w:basedOn w:val="DefaultParagraphFont"/>
    <w:link w:val="Header"/>
    <w:uiPriority w:val="99"/>
    <w:rsid w:val="001715A5"/>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1715A5"/>
    <w:pPr>
      <w:tabs>
        <w:tab w:val="center" w:pos="4513"/>
        <w:tab w:val="right" w:pos="9026"/>
      </w:tabs>
      <w:spacing w:before="0"/>
    </w:pPr>
  </w:style>
  <w:style w:type="character" w:customStyle="1" w:styleId="FooterChar">
    <w:name w:val="Footer Char"/>
    <w:basedOn w:val="DefaultParagraphFont"/>
    <w:link w:val="Footer"/>
    <w:uiPriority w:val="99"/>
    <w:rsid w:val="001715A5"/>
    <w:rPr>
      <w:rFonts w:ascii="Times New Roman" w:eastAsia="Times New Roman" w:hAnsi="Times New Roman" w:cs="Times New Roman"/>
      <w:sz w:val="24"/>
      <w:szCs w:val="20"/>
      <w:lang w:eastAsia="en-AU"/>
    </w:rPr>
  </w:style>
  <w:style w:type="paragraph" w:styleId="FootnoteText">
    <w:name w:val="footnote text"/>
    <w:basedOn w:val="Normal"/>
    <w:link w:val="FootnoteTextChar"/>
    <w:uiPriority w:val="99"/>
    <w:semiHidden/>
    <w:unhideWhenUsed/>
    <w:rsid w:val="00826ED8"/>
    <w:pPr>
      <w:spacing w:before="0"/>
    </w:pPr>
    <w:rPr>
      <w:sz w:val="20"/>
    </w:rPr>
  </w:style>
  <w:style w:type="character" w:customStyle="1" w:styleId="FootnoteTextChar">
    <w:name w:val="Footnote Text Char"/>
    <w:basedOn w:val="DefaultParagraphFont"/>
    <w:link w:val="FootnoteText"/>
    <w:uiPriority w:val="99"/>
    <w:semiHidden/>
    <w:rsid w:val="00826ED8"/>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826ED8"/>
    <w:rPr>
      <w:vertAlign w:val="superscript"/>
    </w:rPr>
  </w:style>
  <w:style w:type="paragraph" w:styleId="Revision">
    <w:name w:val="Revision"/>
    <w:hidden/>
    <w:uiPriority w:val="99"/>
    <w:semiHidden/>
    <w:rsid w:val="0023558E"/>
    <w:pPr>
      <w:spacing w:after="0" w:line="240" w:lineRule="auto"/>
    </w:pPr>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8EB"/>
    <w:pPr>
      <w:spacing w:before="240"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8EB"/>
    <w:pPr>
      <w:spacing w:before="0"/>
      <w:ind w:left="720"/>
      <w:contextualSpacing/>
    </w:pPr>
    <w:rPr>
      <w:szCs w:val="24"/>
    </w:rPr>
  </w:style>
  <w:style w:type="character" w:styleId="BookTitle">
    <w:name w:val="Book Title"/>
    <w:uiPriority w:val="33"/>
    <w:qFormat/>
    <w:rsid w:val="00CE58EB"/>
    <w:rPr>
      <w:i/>
      <w:iCs/>
      <w:smallCaps/>
      <w:spacing w:val="5"/>
    </w:rPr>
  </w:style>
  <w:style w:type="character" w:styleId="CommentReference">
    <w:name w:val="annotation reference"/>
    <w:basedOn w:val="DefaultParagraphFont"/>
    <w:unhideWhenUsed/>
    <w:rsid w:val="00A8043E"/>
    <w:rPr>
      <w:sz w:val="16"/>
      <w:szCs w:val="16"/>
    </w:rPr>
  </w:style>
  <w:style w:type="paragraph" w:styleId="CommentText">
    <w:name w:val="annotation text"/>
    <w:basedOn w:val="Normal"/>
    <w:link w:val="CommentTextChar"/>
    <w:uiPriority w:val="99"/>
    <w:semiHidden/>
    <w:unhideWhenUsed/>
    <w:rsid w:val="00A8043E"/>
    <w:rPr>
      <w:sz w:val="20"/>
    </w:rPr>
  </w:style>
  <w:style w:type="character" w:customStyle="1" w:styleId="CommentTextChar">
    <w:name w:val="Comment Text Char"/>
    <w:basedOn w:val="DefaultParagraphFont"/>
    <w:link w:val="CommentText"/>
    <w:uiPriority w:val="99"/>
    <w:semiHidden/>
    <w:rsid w:val="00A8043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8043E"/>
    <w:rPr>
      <w:b/>
      <w:bCs/>
    </w:rPr>
  </w:style>
  <w:style w:type="character" w:customStyle="1" w:styleId="CommentSubjectChar">
    <w:name w:val="Comment Subject Char"/>
    <w:basedOn w:val="CommentTextChar"/>
    <w:link w:val="CommentSubject"/>
    <w:uiPriority w:val="99"/>
    <w:semiHidden/>
    <w:rsid w:val="00A8043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A8043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43E"/>
    <w:rPr>
      <w:rFonts w:ascii="Tahoma" w:eastAsia="Times New Roman" w:hAnsi="Tahoma" w:cs="Tahoma"/>
      <w:sz w:val="16"/>
      <w:szCs w:val="16"/>
      <w:lang w:eastAsia="en-AU"/>
    </w:rPr>
  </w:style>
  <w:style w:type="paragraph" w:customStyle="1" w:styleId="subsection">
    <w:name w:val="subsection"/>
    <w:aliases w:val="ss"/>
    <w:basedOn w:val="Normal"/>
    <w:link w:val="subsectionChar"/>
    <w:rsid w:val="00994FE1"/>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994FE1"/>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locked/>
    <w:rsid w:val="00994FE1"/>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994FE1"/>
    <w:pPr>
      <w:tabs>
        <w:tab w:val="right" w:pos="1531"/>
      </w:tabs>
      <w:spacing w:before="40"/>
      <w:ind w:left="1644" w:hanging="1644"/>
    </w:pPr>
    <w:rPr>
      <w:sz w:val="22"/>
    </w:rPr>
  </w:style>
  <w:style w:type="paragraph" w:styleId="Header">
    <w:name w:val="header"/>
    <w:basedOn w:val="Normal"/>
    <w:link w:val="HeaderChar"/>
    <w:uiPriority w:val="99"/>
    <w:unhideWhenUsed/>
    <w:rsid w:val="001715A5"/>
    <w:pPr>
      <w:tabs>
        <w:tab w:val="center" w:pos="4513"/>
        <w:tab w:val="right" w:pos="9026"/>
      </w:tabs>
      <w:spacing w:before="0"/>
    </w:pPr>
  </w:style>
  <w:style w:type="character" w:customStyle="1" w:styleId="HeaderChar">
    <w:name w:val="Header Char"/>
    <w:basedOn w:val="DefaultParagraphFont"/>
    <w:link w:val="Header"/>
    <w:uiPriority w:val="99"/>
    <w:rsid w:val="001715A5"/>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1715A5"/>
    <w:pPr>
      <w:tabs>
        <w:tab w:val="center" w:pos="4513"/>
        <w:tab w:val="right" w:pos="9026"/>
      </w:tabs>
      <w:spacing w:before="0"/>
    </w:pPr>
  </w:style>
  <w:style w:type="character" w:customStyle="1" w:styleId="FooterChar">
    <w:name w:val="Footer Char"/>
    <w:basedOn w:val="DefaultParagraphFont"/>
    <w:link w:val="Footer"/>
    <w:uiPriority w:val="99"/>
    <w:rsid w:val="001715A5"/>
    <w:rPr>
      <w:rFonts w:ascii="Times New Roman" w:eastAsia="Times New Roman" w:hAnsi="Times New Roman" w:cs="Times New Roman"/>
      <w:sz w:val="24"/>
      <w:szCs w:val="20"/>
      <w:lang w:eastAsia="en-AU"/>
    </w:rPr>
  </w:style>
  <w:style w:type="paragraph" w:styleId="FootnoteText">
    <w:name w:val="footnote text"/>
    <w:basedOn w:val="Normal"/>
    <w:link w:val="FootnoteTextChar"/>
    <w:uiPriority w:val="99"/>
    <w:semiHidden/>
    <w:unhideWhenUsed/>
    <w:rsid w:val="00826ED8"/>
    <w:pPr>
      <w:spacing w:before="0"/>
    </w:pPr>
    <w:rPr>
      <w:sz w:val="20"/>
    </w:rPr>
  </w:style>
  <w:style w:type="character" w:customStyle="1" w:styleId="FootnoteTextChar">
    <w:name w:val="Footnote Text Char"/>
    <w:basedOn w:val="DefaultParagraphFont"/>
    <w:link w:val="FootnoteText"/>
    <w:uiPriority w:val="99"/>
    <w:semiHidden/>
    <w:rsid w:val="00826ED8"/>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826ED8"/>
    <w:rPr>
      <w:vertAlign w:val="superscript"/>
    </w:rPr>
  </w:style>
  <w:style w:type="paragraph" w:styleId="Revision">
    <w:name w:val="Revision"/>
    <w:hidden/>
    <w:uiPriority w:val="99"/>
    <w:semiHidden/>
    <w:rsid w:val="0023558E"/>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33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C0F68-8609-4ED1-980C-6B17613D7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1857</Words>
  <Characters>10589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Norman, Rachael</dc:creator>
  <cp:lastModifiedBy>Selvaraj, Nisha</cp:lastModifiedBy>
  <cp:revision>3</cp:revision>
  <cp:lastPrinted>2015-11-05T22:44:00Z</cp:lastPrinted>
  <dcterms:created xsi:type="dcterms:W3CDTF">2015-11-16T01:24:00Z</dcterms:created>
  <dcterms:modified xsi:type="dcterms:W3CDTF">2015-11-24T00:08:00Z</dcterms:modified>
</cp:coreProperties>
</file>