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644BD" w14:textId="385D54F1" w:rsidR="00B96107" w:rsidRDefault="00B96107" w:rsidP="00431D0A">
      <w:pPr>
        <w:pStyle w:val="Heading1"/>
      </w:pPr>
      <w:r>
        <w:t>EXPLANATORY STATEMENT</w:t>
      </w:r>
    </w:p>
    <w:p w14:paraId="29BCCB77" w14:textId="4AD65C29" w:rsidR="003545C5" w:rsidRDefault="003545C5" w:rsidP="002F1B31">
      <w:pPr>
        <w:pStyle w:val="Heading2"/>
        <w:jc w:val="center"/>
      </w:pPr>
      <w:r>
        <w:t>Select Legislative Instrument No. 217, 2015</w:t>
      </w:r>
    </w:p>
    <w:p w14:paraId="7C60B7C5" w14:textId="10B7E55F" w:rsidR="00F109D4" w:rsidRPr="00462FCE" w:rsidRDefault="00F109D4" w:rsidP="002F1B31">
      <w:pPr>
        <w:pStyle w:val="Heading2"/>
        <w:jc w:val="center"/>
      </w:pPr>
      <w:r w:rsidRPr="00462FCE">
        <w:t xml:space="preserve">Issued by </w:t>
      </w:r>
      <w:r w:rsidR="00B96107" w:rsidRPr="00462FCE">
        <w:t>the A</w:t>
      </w:r>
      <w:r w:rsidRPr="00462FCE">
        <w:t xml:space="preserve">uthority of the </w:t>
      </w:r>
      <w:r w:rsidR="002F1B31" w:rsidRPr="00462FCE">
        <w:t>Treasurer</w:t>
      </w:r>
    </w:p>
    <w:p w14:paraId="2576F9E1" w14:textId="77777777" w:rsidR="00F109D4" w:rsidRPr="00503E44" w:rsidRDefault="00AA57F8">
      <w:pPr>
        <w:jc w:val="center"/>
        <w:rPr>
          <w:i/>
        </w:rPr>
      </w:pPr>
      <w:r>
        <w:rPr>
          <w:i/>
        </w:rPr>
        <w:t>Foreign Acquisitions and Takeovers Act 1975</w:t>
      </w:r>
    </w:p>
    <w:p w14:paraId="605CE336" w14:textId="2910FD06" w:rsidR="00F109D4" w:rsidRPr="00503E44" w:rsidRDefault="00AA57F8">
      <w:pPr>
        <w:tabs>
          <w:tab w:val="left" w:pos="1418"/>
        </w:tabs>
        <w:spacing w:after="240"/>
        <w:jc w:val="center"/>
        <w:rPr>
          <w:i/>
        </w:rPr>
      </w:pPr>
      <w:bookmarkStart w:id="0" w:name="_GoBack"/>
      <w:r>
        <w:rPr>
          <w:i/>
        </w:rPr>
        <w:t>Foreign Acquis</w:t>
      </w:r>
      <w:r w:rsidR="005535F5">
        <w:rPr>
          <w:i/>
        </w:rPr>
        <w:t>itions and Takeovers Regulation</w:t>
      </w:r>
      <w:r>
        <w:rPr>
          <w:i/>
        </w:rPr>
        <w:t xml:space="preserve"> 2015</w:t>
      </w:r>
      <w:bookmarkEnd w:id="0"/>
    </w:p>
    <w:p w14:paraId="66856A7A" w14:textId="27C72317" w:rsidR="00F109D4" w:rsidRDefault="00325114">
      <w:r>
        <w:t>Subsection </w:t>
      </w:r>
      <w:r w:rsidR="005E1EB2">
        <w:t>139</w:t>
      </w:r>
      <w:r w:rsidR="00603ACB">
        <w:t>(1)</w:t>
      </w:r>
      <w:r w:rsidR="00F109D4" w:rsidRPr="00503E44">
        <w:t xml:space="preserve"> of the </w:t>
      </w:r>
      <w:r w:rsidR="00112B4E" w:rsidRPr="00112B4E">
        <w:rPr>
          <w:i/>
        </w:rPr>
        <w:t xml:space="preserve">Foreign Acquisitions and Takeovers </w:t>
      </w:r>
      <w:r w:rsidRPr="00112B4E">
        <w:rPr>
          <w:i/>
        </w:rPr>
        <w:t>Act</w:t>
      </w:r>
      <w:r>
        <w:rPr>
          <w:i/>
        </w:rPr>
        <w:t> </w:t>
      </w:r>
      <w:r w:rsidR="00112B4E" w:rsidRPr="00112B4E">
        <w:rPr>
          <w:i/>
        </w:rPr>
        <w:t>1975</w:t>
      </w:r>
      <w:r w:rsidR="00F109D4" w:rsidRPr="00503E44">
        <w:t xml:space="preserve"> (Act) provides that the Governor</w:t>
      </w:r>
      <w:r>
        <w:noBreakHyphen/>
      </w:r>
      <w:r w:rsidR="00F109D4" w:rsidRPr="00503E44">
        <w:t>General may make regulations prescribing matters required or permitted by the Act to be prescribed, or necessary or convenient to be prescribed for carr</w:t>
      </w:r>
      <w:r w:rsidR="00603ACB">
        <w:t>ying out or giving effect to this</w:t>
      </w:r>
      <w:r w:rsidR="00F109D4" w:rsidRPr="00503E44">
        <w:t xml:space="preserve"> Act</w:t>
      </w:r>
      <w:r w:rsidR="00603ACB">
        <w:t xml:space="preserve">. </w:t>
      </w:r>
    </w:p>
    <w:p w14:paraId="2C6A1CC9" w14:textId="21DAA6C5" w:rsidR="00F109D4" w:rsidRDefault="00AA57F8">
      <w:r>
        <w:t xml:space="preserve">The </w:t>
      </w:r>
      <w:r w:rsidR="00EE6C25">
        <w:t xml:space="preserve">primary </w:t>
      </w:r>
      <w:r>
        <w:t>purpose</w:t>
      </w:r>
      <w:r w:rsidR="00A8608F">
        <w:t>s</w:t>
      </w:r>
      <w:r>
        <w:t xml:space="preserve"> of the </w:t>
      </w:r>
      <w:r w:rsidR="00325114" w:rsidRPr="00182C2D">
        <w:rPr>
          <w:i/>
        </w:rPr>
        <w:t>Foreign</w:t>
      </w:r>
      <w:r w:rsidR="00325114">
        <w:rPr>
          <w:i/>
        </w:rPr>
        <w:t> </w:t>
      </w:r>
      <w:r w:rsidRPr="00182C2D">
        <w:rPr>
          <w:i/>
        </w:rPr>
        <w:t>Acquisitions and T</w:t>
      </w:r>
      <w:r w:rsidR="002F1B31">
        <w:rPr>
          <w:i/>
        </w:rPr>
        <w:t xml:space="preserve">akeovers </w:t>
      </w:r>
      <w:r w:rsidR="00325114">
        <w:rPr>
          <w:i/>
        </w:rPr>
        <w:t>Regulation </w:t>
      </w:r>
      <w:r w:rsidR="00112B4E" w:rsidRPr="00182C2D">
        <w:rPr>
          <w:i/>
        </w:rPr>
        <w:t>2015</w:t>
      </w:r>
      <w:r w:rsidR="00112B4E">
        <w:t xml:space="preserve"> </w:t>
      </w:r>
      <w:r w:rsidR="002F1B31">
        <w:t xml:space="preserve">(Regulation) </w:t>
      </w:r>
      <w:r w:rsidR="00A8608F">
        <w:t xml:space="preserve">are </w:t>
      </w:r>
      <w:r w:rsidR="00112B4E">
        <w:t>to</w:t>
      </w:r>
      <w:r w:rsidR="00325114">
        <w:t>:</w:t>
      </w:r>
      <w:r w:rsidR="00112B4E">
        <w:t xml:space="preserve"> </w:t>
      </w:r>
      <w:r w:rsidR="002341C4">
        <w:t xml:space="preserve">prescribe definitions for </w:t>
      </w:r>
      <w:r w:rsidR="00642BA1">
        <w:t>section </w:t>
      </w:r>
      <w:r w:rsidR="002341C4">
        <w:t xml:space="preserve">4 of the Act; </w:t>
      </w:r>
      <w:r w:rsidR="00112B4E">
        <w:t>pr</w:t>
      </w:r>
      <w:r w:rsidR="00EE6C25">
        <w:t>ovide for exemptions from the Act</w:t>
      </w:r>
      <w:r w:rsidR="003B6F9F">
        <w:t>;</w:t>
      </w:r>
      <w:r w:rsidR="00EE6C25">
        <w:t xml:space="preserve"> specify the threshold</w:t>
      </w:r>
      <w:r w:rsidR="00986DBE">
        <w:t xml:space="preserve"> value</w:t>
      </w:r>
      <w:r w:rsidR="00EE6C25">
        <w:t xml:space="preserve">s </w:t>
      </w:r>
      <w:r w:rsidR="00986DBE">
        <w:t xml:space="preserve">(that is, monetary amounts) </w:t>
      </w:r>
      <w:r w:rsidR="00EE6C25">
        <w:t>that apply to certain actions</w:t>
      </w:r>
      <w:r w:rsidR="003B6F9F">
        <w:t xml:space="preserve">; and prescribe certain actions to be significant </w:t>
      </w:r>
      <w:r w:rsidR="007853AD">
        <w:t>actions and notifiable actions</w:t>
      </w:r>
      <w:r w:rsidR="00112B4E">
        <w:t>.</w:t>
      </w:r>
    </w:p>
    <w:p w14:paraId="2E1F4E78" w14:textId="22EE3D9A" w:rsidR="00B96107" w:rsidRDefault="00B96107">
      <w:r>
        <w:t xml:space="preserve">Background information about the Act </w:t>
      </w:r>
      <w:r w:rsidR="00765267">
        <w:t>and the Regulation is set out in</w:t>
      </w:r>
      <w:r>
        <w:t xml:space="preserve"> </w:t>
      </w:r>
      <w:r w:rsidR="00325114">
        <w:rPr>
          <w:u w:val="single"/>
        </w:rPr>
        <w:t>Attachment </w:t>
      </w:r>
      <w:r>
        <w:rPr>
          <w:u w:val="single"/>
        </w:rPr>
        <w:t>A</w:t>
      </w:r>
      <w:r>
        <w:t>.</w:t>
      </w:r>
    </w:p>
    <w:p w14:paraId="6B7F2098" w14:textId="19FF4DEF" w:rsidR="00182C2D" w:rsidRDefault="00182C2D">
      <w:r>
        <w:t>Further details of t</w:t>
      </w:r>
      <w:r w:rsidR="00C9140E">
        <w:t>he Regulation are set out in</w:t>
      </w:r>
      <w:r>
        <w:t xml:space="preserve"> </w:t>
      </w:r>
      <w:r w:rsidR="00325114">
        <w:rPr>
          <w:u w:val="single"/>
        </w:rPr>
        <w:t>Attachment </w:t>
      </w:r>
      <w:r w:rsidR="00C9140E">
        <w:rPr>
          <w:u w:val="single"/>
        </w:rPr>
        <w:t>B</w:t>
      </w:r>
      <w:r>
        <w:t>.</w:t>
      </w:r>
    </w:p>
    <w:p w14:paraId="79262318" w14:textId="1F7F4A3D" w:rsidR="002A6D6F" w:rsidRDefault="002A6D6F">
      <w:r>
        <w:t xml:space="preserve">The Statement of Compatibility with Human Rights is </w:t>
      </w:r>
      <w:r w:rsidR="00BE0F54">
        <w:t xml:space="preserve">set out </w:t>
      </w:r>
      <w:r w:rsidR="00F1507D">
        <w:t>in</w:t>
      </w:r>
      <w:r>
        <w:t xml:space="preserve"> </w:t>
      </w:r>
      <w:r>
        <w:rPr>
          <w:u w:val="single"/>
        </w:rPr>
        <w:t>Attachment C</w:t>
      </w:r>
      <w:r w:rsidRPr="004071A3">
        <w:t>.</w:t>
      </w:r>
    </w:p>
    <w:p w14:paraId="2089AED9" w14:textId="41B61041" w:rsidR="00C37E05" w:rsidRDefault="00112B4E">
      <w:r>
        <w:t xml:space="preserve">The Act does not specify any conditions that need to be met before the power to make the Regulation may be exercised. </w:t>
      </w:r>
    </w:p>
    <w:p w14:paraId="5D056C5C" w14:textId="72EC4777" w:rsidR="00AA57F8" w:rsidRPr="00603ACB" w:rsidRDefault="00AA57F8" w:rsidP="00603ACB">
      <w:r>
        <w:t>The Regulation is a legislative instrument</w:t>
      </w:r>
      <w:r w:rsidR="00CA0B17">
        <w:t xml:space="preserve"> for the purposes of the </w:t>
      </w:r>
      <w:r w:rsidR="00CA0B17">
        <w:rPr>
          <w:i/>
        </w:rPr>
        <w:t xml:space="preserve">Legislative Instruments </w:t>
      </w:r>
      <w:r w:rsidR="00642BA1">
        <w:rPr>
          <w:i/>
        </w:rPr>
        <w:t>Act </w:t>
      </w:r>
      <w:r w:rsidR="00CA0B17">
        <w:rPr>
          <w:i/>
        </w:rPr>
        <w:t>2003</w:t>
      </w:r>
      <w:r w:rsidR="00603ACB">
        <w:t xml:space="preserve"> (LIA)</w:t>
      </w:r>
      <w:r>
        <w:t>.</w:t>
      </w:r>
      <w:r w:rsidR="002F1B31">
        <w:t xml:space="preserve"> </w:t>
      </w:r>
      <w:r w:rsidR="00B73651">
        <w:t>T</w:t>
      </w:r>
      <w:r w:rsidR="00603ACB">
        <w:t>he Regulation provides for certain matters by apply</w:t>
      </w:r>
      <w:r w:rsidR="00B73651">
        <w:t xml:space="preserve">ing, adopting or incorporating </w:t>
      </w:r>
      <w:r w:rsidR="00603ACB">
        <w:t>matters contained in other instruments or other writing existing from time to time. This is permitted by subsection 139(3) of the Act.</w:t>
      </w:r>
    </w:p>
    <w:p w14:paraId="43CD2D10" w14:textId="201FE748" w:rsidR="001E0B26" w:rsidRDefault="00A8608F">
      <w:r>
        <w:t>E</w:t>
      </w:r>
      <w:r w:rsidR="00CF1A95">
        <w:t>xpo</w:t>
      </w:r>
      <w:r w:rsidR="00CF1A95" w:rsidRPr="00462FCE">
        <w:t>sure draft</w:t>
      </w:r>
      <w:r w:rsidRPr="00462FCE">
        <w:t>s</w:t>
      </w:r>
      <w:r w:rsidR="00CF1A95" w:rsidRPr="00462FCE">
        <w:t xml:space="preserve"> of the Regulation an</w:t>
      </w:r>
      <w:r w:rsidR="004B196B" w:rsidRPr="00462FCE">
        <w:t xml:space="preserve">d the </w:t>
      </w:r>
      <w:r w:rsidR="00E50D29" w:rsidRPr="00102890">
        <w:rPr>
          <w:i/>
        </w:rPr>
        <w:t xml:space="preserve">Foreign Acquisitions and Takeovers </w:t>
      </w:r>
      <w:r w:rsidR="00D36838" w:rsidRPr="00462FCE">
        <w:rPr>
          <w:i/>
        </w:rPr>
        <w:t>Fee</w:t>
      </w:r>
      <w:r w:rsidR="00D36838">
        <w:rPr>
          <w:i/>
        </w:rPr>
        <w:t xml:space="preserve">s </w:t>
      </w:r>
      <w:r w:rsidR="004B196B" w:rsidRPr="00462FCE">
        <w:rPr>
          <w:i/>
        </w:rPr>
        <w:t xml:space="preserve">Imposition </w:t>
      </w:r>
      <w:r w:rsidR="00102890" w:rsidRPr="00462FCE">
        <w:rPr>
          <w:i/>
        </w:rPr>
        <w:t>Regulation</w:t>
      </w:r>
      <w:r w:rsidR="00102890">
        <w:rPr>
          <w:i/>
        </w:rPr>
        <w:t> </w:t>
      </w:r>
      <w:r w:rsidR="004B196B" w:rsidRPr="00462FCE">
        <w:rPr>
          <w:i/>
        </w:rPr>
        <w:t>2015</w:t>
      </w:r>
      <w:r w:rsidR="00C73A4D" w:rsidRPr="00462FCE">
        <w:t xml:space="preserve"> were</w:t>
      </w:r>
      <w:r w:rsidR="00CF1A95">
        <w:t xml:space="preserve"> published on the </w:t>
      </w:r>
      <w:r w:rsidR="00A63EDB">
        <w:t xml:space="preserve">website of the </w:t>
      </w:r>
      <w:r w:rsidR="00CF1A95">
        <w:t xml:space="preserve">Department of the Treasury </w:t>
      </w:r>
      <w:r w:rsidR="00A63EDB">
        <w:t>(Treasury</w:t>
      </w:r>
      <w:r w:rsidR="00CF1A95">
        <w:t xml:space="preserve">) </w:t>
      </w:r>
      <w:r w:rsidR="008240A2">
        <w:t>on 13 October </w:t>
      </w:r>
      <w:r w:rsidR="00CF1A95">
        <w:t xml:space="preserve">2015. Interested persons were invited to provide comments on the </w:t>
      </w:r>
      <w:r w:rsidR="006C71AE">
        <w:t>exposure drafts</w:t>
      </w:r>
      <w:r w:rsidR="00CF1A95">
        <w:t xml:space="preserve"> by 30 October 2015. </w:t>
      </w:r>
      <w:r w:rsidR="00A63EDB" w:rsidRPr="00754391">
        <w:t>Treasury</w:t>
      </w:r>
      <w:r w:rsidR="00CF1A95" w:rsidRPr="00754391">
        <w:t xml:space="preserve"> received </w:t>
      </w:r>
      <w:r w:rsidR="00754391" w:rsidRPr="00754391">
        <w:t>15 </w:t>
      </w:r>
      <w:r w:rsidR="00CF1A95" w:rsidRPr="00754391">
        <w:t>submission</w:t>
      </w:r>
      <w:r w:rsidR="00CF1A95" w:rsidRPr="00022F1A">
        <w:t>s</w:t>
      </w:r>
      <w:r w:rsidR="006C71AE" w:rsidRPr="00022F1A">
        <w:t xml:space="preserve">, </w:t>
      </w:r>
      <w:r w:rsidR="00022F1A" w:rsidRPr="009E7A80">
        <w:t xml:space="preserve">none of </w:t>
      </w:r>
      <w:r w:rsidR="006C71AE" w:rsidRPr="00A5220C">
        <w:t xml:space="preserve">which were </w:t>
      </w:r>
      <w:r w:rsidR="00022F1A" w:rsidRPr="00E0378A">
        <w:t>designated non</w:t>
      </w:r>
      <w:r w:rsidR="00022F1A" w:rsidRPr="00E0378A">
        <w:noBreakHyphen/>
      </w:r>
      <w:r w:rsidR="00022F1A" w:rsidRPr="00022F1A">
        <w:t>c</w:t>
      </w:r>
      <w:r w:rsidR="00022F1A" w:rsidRPr="009E7A80">
        <w:t>onfidential</w:t>
      </w:r>
      <w:r w:rsidR="001E0B26" w:rsidRPr="009E7A80">
        <w:t xml:space="preserve">. </w:t>
      </w:r>
      <w:r w:rsidR="00BC2D85" w:rsidRPr="009E7A80">
        <w:t>D</w:t>
      </w:r>
      <w:r w:rsidR="00BC2D85">
        <w:t xml:space="preserve">iscussions were also had with a number of stakeholders during and post the exposure period. </w:t>
      </w:r>
      <w:r w:rsidR="00642BA1">
        <w:t xml:space="preserve">Several </w:t>
      </w:r>
      <w:r w:rsidR="0069022C">
        <w:t>peak bodies</w:t>
      </w:r>
      <w:r w:rsidR="00642BA1">
        <w:t>, law firms (that act as agents for foreign persons),</w:t>
      </w:r>
      <w:r w:rsidR="0069022C">
        <w:t xml:space="preserve"> and entities that will be </w:t>
      </w:r>
      <w:r w:rsidR="00437BFC">
        <w:t>directly affected by the Regulation</w:t>
      </w:r>
      <w:r w:rsidR="004B196B">
        <w:t xml:space="preserve"> were amongst those who provided submissions</w:t>
      </w:r>
      <w:r w:rsidR="00437BFC">
        <w:t>.</w:t>
      </w:r>
      <w:r w:rsidR="006F0D7A">
        <w:t xml:space="preserve"> </w:t>
      </w:r>
      <w:r w:rsidR="00754391">
        <w:t xml:space="preserve">The States and Territories were also consulted. </w:t>
      </w:r>
      <w:r w:rsidR="001E0B26">
        <w:t>Treasury also consulted with the Australian Taxation Office generally, and with the Attorney</w:t>
      </w:r>
      <w:r w:rsidR="00DF63C0">
        <w:noBreakHyphen/>
      </w:r>
      <w:r w:rsidR="001E0B26">
        <w:t xml:space="preserve">General’s Department and the Department of Foreign Affairs and Trade in relation to those provisions in the Regulation that </w:t>
      </w:r>
      <w:r w:rsidR="00461A25">
        <w:t xml:space="preserve">are directly relevant to those departments. </w:t>
      </w:r>
    </w:p>
    <w:p w14:paraId="7D411A26" w14:textId="2E182D21" w:rsidR="00CF1A95" w:rsidRDefault="00CF1A95">
      <w:r>
        <w:t xml:space="preserve">An earlier draft of the Regulation was </w:t>
      </w:r>
      <w:r w:rsidR="00C73A4D">
        <w:t>released for public comment on 6</w:t>
      </w:r>
      <w:r w:rsidR="00642BA1">
        <w:t> </w:t>
      </w:r>
      <w:r w:rsidR="00C73A4D">
        <w:t>July</w:t>
      </w:r>
      <w:r w:rsidR="00642BA1">
        <w:t> </w:t>
      </w:r>
      <w:r w:rsidR="00C73A4D">
        <w:t>2015 tog</w:t>
      </w:r>
      <w:r w:rsidR="00C73A4D" w:rsidRPr="00754391">
        <w:t xml:space="preserve">ether with an exposure draft of the </w:t>
      </w:r>
      <w:r w:rsidR="00754391" w:rsidRPr="00102890">
        <w:rPr>
          <w:i/>
        </w:rPr>
        <w:t>Foreign </w:t>
      </w:r>
      <w:r w:rsidR="00C73A4D" w:rsidRPr="00102890">
        <w:rPr>
          <w:i/>
        </w:rPr>
        <w:t xml:space="preserve">Acquisitions and Takeovers Legislation Amendment </w:t>
      </w:r>
      <w:r w:rsidR="00102890" w:rsidRPr="00102890">
        <w:rPr>
          <w:i/>
        </w:rPr>
        <w:t>Act </w:t>
      </w:r>
      <w:r w:rsidR="00C73A4D" w:rsidRPr="00102890">
        <w:rPr>
          <w:i/>
        </w:rPr>
        <w:t>2015</w:t>
      </w:r>
      <w:r w:rsidR="00C73A4D" w:rsidRPr="00754391">
        <w:t xml:space="preserve">. </w:t>
      </w:r>
    </w:p>
    <w:p w14:paraId="45A4125C" w14:textId="63C53D05" w:rsidR="00C73A4D" w:rsidRPr="00754391" w:rsidRDefault="00642BA1">
      <w:r w:rsidRPr="00754391">
        <w:t xml:space="preserve">The main issues </w:t>
      </w:r>
      <w:r w:rsidR="00C73A4D" w:rsidRPr="00754391">
        <w:t xml:space="preserve">raised by stakeholders </w:t>
      </w:r>
      <w:r w:rsidRPr="00754391">
        <w:t>included</w:t>
      </w:r>
      <w:r w:rsidR="00437BFC" w:rsidRPr="00754391">
        <w:t>:</w:t>
      </w:r>
    </w:p>
    <w:p w14:paraId="722C3947" w14:textId="0DB7AF32" w:rsidR="00B767BE" w:rsidRDefault="00B767BE" w:rsidP="00EE6A43">
      <w:pPr>
        <w:pStyle w:val="Bullet"/>
        <w:spacing w:before="120"/>
      </w:pPr>
      <w:r>
        <w:t xml:space="preserve">the </w:t>
      </w:r>
      <w:r w:rsidR="00642BA1">
        <w:t>scope</w:t>
      </w:r>
      <w:r w:rsidR="0016540B">
        <w:t xml:space="preserve"> of the </w:t>
      </w:r>
      <w:r>
        <w:t>definition of ‘foreign government investor’</w:t>
      </w:r>
      <w:r w:rsidR="00182FC1">
        <w:t>;</w:t>
      </w:r>
    </w:p>
    <w:p w14:paraId="53FF4C63" w14:textId="45A272D4" w:rsidR="00BC2023" w:rsidRDefault="00BC2023" w:rsidP="00EE6A43">
      <w:pPr>
        <w:pStyle w:val="Bullet"/>
        <w:spacing w:before="120"/>
      </w:pPr>
      <w:r>
        <w:t xml:space="preserve">the </w:t>
      </w:r>
      <w:r w:rsidR="0016540B">
        <w:t xml:space="preserve">breath of the </w:t>
      </w:r>
      <w:r>
        <w:t>definition of</w:t>
      </w:r>
      <w:r w:rsidR="0016540B">
        <w:t xml:space="preserve"> the term</w:t>
      </w:r>
      <w:r>
        <w:t xml:space="preserve"> ‘agribusiness</w:t>
      </w:r>
      <w:r w:rsidR="00B767BE">
        <w:t>’</w:t>
      </w:r>
      <w:r w:rsidR="00182FC1">
        <w:t>; and</w:t>
      </w:r>
    </w:p>
    <w:p w14:paraId="75708E10" w14:textId="7FAFDEE9" w:rsidR="00437BFC" w:rsidRDefault="00437BFC" w:rsidP="00EE6A43">
      <w:pPr>
        <w:pStyle w:val="Bullet"/>
        <w:spacing w:before="120"/>
      </w:pPr>
      <w:r>
        <w:lastRenderedPageBreak/>
        <w:t xml:space="preserve">the scope of the exemptions </w:t>
      </w:r>
      <w:r w:rsidR="00BC2023">
        <w:t>provided for by the Regulation</w:t>
      </w:r>
      <w:r w:rsidR="00754391">
        <w:t>, including exemptions applying to moneylending agreements and exemptions from the meaning of associate</w:t>
      </w:r>
      <w:r w:rsidR="00182FC1">
        <w:t>.</w:t>
      </w:r>
      <w:r w:rsidR="00BC2023">
        <w:t xml:space="preserve"> </w:t>
      </w:r>
    </w:p>
    <w:p w14:paraId="3178A05D" w14:textId="7E2C3577" w:rsidR="008240A2" w:rsidRDefault="008240A2">
      <w:r>
        <w:t>Following consultation</w:t>
      </w:r>
      <w:r w:rsidR="006C71AE">
        <w:t>,</w:t>
      </w:r>
      <w:r>
        <w:t xml:space="preserve"> a number of </w:t>
      </w:r>
      <w:r w:rsidR="0016540B">
        <w:t xml:space="preserve">technical </w:t>
      </w:r>
      <w:r>
        <w:t xml:space="preserve">amendments were made to ensure that the Regulation </w:t>
      </w:r>
      <w:r w:rsidR="0016540B">
        <w:t>achieves its objectives</w:t>
      </w:r>
      <w:r w:rsidR="001E0B26">
        <w:t>.</w:t>
      </w:r>
      <w:r w:rsidR="0096109D">
        <w:t xml:space="preserve"> </w:t>
      </w:r>
      <w:r w:rsidR="00E349ED">
        <w:t>These include</w:t>
      </w:r>
      <w:r w:rsidR="007F259F">
        <w:t>d</w:t>
      </w:r>
      <w:r w:rsidR="00E349ED">
        <w:t xml:space="preserve"> expanding the exemption from the definition of ‘associate</w:t>
      </w:r>
      <w:r w:rsidR="00FD2C89">
        <w:t>’</w:t>
      </w:r>
      <w:r w:rsidR="00E349ED">
        <w:t xml:space="preserve"> in the Act. A provision </w:t>
      </w:r>
      <w:r w:rsidR="00722F33">
        <w:t xml:space="preserve">that </w:t>
      </w:r>
      <w:r w:rsidR="00E349ED">
        <w:t>enables a person to apply for an exemptio</w:t>
      </w:r>
      <w:r w:rsidR="00FD2C89">
        <w:t>n certificate</w:t>
      </w:r>
      <w:r w:rsidR="00E349ED">
        <w:t xml:space="preserve"> for certain interests in tenements has also been included.</w:t>
      </w:r>
    </w:p>
    <w:p w14:paraId="1DE1307C" w14:textId="46B60A4F" w:rsidR="00EE6720" w:rsidRPr="00EA06F3" w:rsidRDefault="00EE6720" w:rsidP="00EE6720">
      <w:r>
        <w:t>T</w:t>
      </w:r>
      <w:r w:rsidRPr="00EA06F3">
        <w:t xml:space="preserve">he </w:t>
      </w:r>
      <w:r>
        <w:t xml:space="preserve">measures in the </w:t>
      </w:r>
      <w:r w:rsidRPr="00EA06F3">
        <w:t>Regulation are covered by the Regulation Impact Statement (</w:t>
      </w:r>
      <w:proofErr w:type="spellStart"/>
      <w:r w:rsidRPr="00EA06F3">
        <w:t>RIS</w:t>
      </w:r>
      <w:proofErr w:type="spellEnd"/>
      <w:r w:rsidRPr="00EA06F3">
        <w:t xml:space="preserve">) included at Chapter 15 of the explanatory memorandum to the Foreign Acquisitions and Takeovers Legislation Amendment Bill 2015, the </w:t>
      </w:r>
      <w:r w:rsidR="00462343" w:rsidRPr="00EA06F3">
        <w:t>Foreign</w:t>
      </w:r>
      <w:r w:rsidR="00462343">
        <w:t> </w:t>
      </w:r>
      <w:r w:rsidRPr="00EA06F3">
        <w:t>Acquisitions and Takeovers Fee Imposition Bill 2015 and the Register of Foreign Ownership of Agricultural Land Bill 2015.</w:t>
      </w:r>
    </w:p>
    <w:p w14:paraId="7F5338AD" w14:textId="77777777" w:rsidR="006C71AE" w:rsidRDefault="00E50D29" w:rsidP="00E50D29">
      <w:r>
        <w:t>The Regulation commenced on the later of</w:t>
      </w:r>
      <w:r w:rsidR="006C71AE">
        <w:t>:</w:t>
      </w:r>
    </w:p>
    <w:p w14:paraId="7409A698" w14:textId="5AC8CFF4" w:rsidR="006C71AE" w:rsidRDefault="006C71AE" w:rsidP="00EE6A43">
      <w:pPr>
        <w:pStyle w:val="Bullet"/>
        <w:spacing w:before="120"/>
      </w:pPr>
      <w:r>
        <w:t xml:space="preserve">immediately after the commencement of Schedule 1 to the </w:t>
      </w:r>
      <w:r w:rsidRPr="00684356">
        <w:rPr>
          <w:i/>
        </w:rPr>
        <w:t>Foreign</w:t>
      </w:r>
      <w:r>
        <w:rPr>
          <w:i/>
        </w:rPr>
        <w:t> </w:t>
      </w:r>
      <w:r w:rsidRPr="00684356">
        <w:rPr>
          <w:i/>
        </w:rPr>
        <w:t>Acquisitions and Takeovers Amendment Act</w:t>
      </w:r>
      <w:r>
        <w:rPr>
          <w:i/>
        </w:rPr>
        <w:t> </w:t>
      </w:r>
      <w:r w:rsidRPr="00684356">
        <w:rPr>
          <w:i/>
        </w:rPr>
        <w:t>2015</w:t>
      </w:r>
      <w:r>
        <w:t xml:space="preserve"> (</w:t>
      </w:r>
      <w:r w:rsidR="00BE2F55">
        <w:t>Amending </w:t>
      </w:r>
      <w:r>
        <w:t>Act); and</w:t>
      </w:r>
    </w:p>
    <w:p w14:paraId="079B9611" w14:textId="4937D391" w:rsidR="00E50D29" w:rsidRDefault="00E50D29" w:rsidP="00EE6A43">
      <w:pPr>
        <w:pStyle w:val="Bullet"/>
        <w:spacing w:before="120"/>
      </w:pPr>
      <w:r>
        <w:t>the start of the day after the instrument was registered</w:t>
      </w:r>
      <w:r w:rsidR="006C71AE">
        <w:t xml:space="preserve"> on the </w:t>
      </w:r>
      <w:r w:rsidR="00462343">
        <w:t>Federal </w:t>
      </w:r>
      <w:r w:rsidR="006C71AE">
        <w:t xml:space="preserve">Register of </w:t>
      </w:r>
      <w:r w:rsidR="00462343">
        <w:t>Legislative </w:t>
      </w:r>
      <w:r w:rsidR="006C71AE">
        <w:t>Instruments</w:t>
      </w:r>
      <w:r>
        <w:t xml:space="preserve">. </w:t>
      </w:r>
    </w:p>
    <w:p w14:paraId="1A4B2AFF" w14:textId="39AB58CB" w:rsidR="007E3591" w:rsidRPr="000B3B50" w:rsidRDefault="00B96107" w:rsidP="000B3B50">
      <w:pPr>
        <w:spacing w:before="0" w:after="0"/>
        <w:jc w:val="center"/>
        <w:rPr>
          <w:b/>
        </w:rPr>
      </w:pPr>
      <w:r>
        <w:br w:type="page"/>
      </w:r>
      <w:r w:rsidR="007E3591" w:rsidRPr="000B3B50">
        <w:rPr>
          <w:b/>
        </w:rPr>
        <w:lastRenderedPageBreak/>
        <w:t>Glossary</w:t>
      </w:r>
    </w:p>
    <w:p w14:paraId="5C0E230B" w14:textId="1EE6FCB3" w:rsidR="007E3591" w:rsidRDefault="007E3591" w:rsidP="000355FB">
      <w:r>
        <w:t xml:space="preserve">The following abbreviations and acronyms are used throughout this explanatory statement. </w:t>
      </w:r>
    </w:p>
    <w:tbl>
      <w:tblPr>
        <w:tblStyle w:val="TableGrid"/>
        <w:tblW w:w="0" w:type="auto"/>
        <w:tblLook w:val="04A0" w:firstRow="1" w:lastRow="0" w:firstColumn="1" w:lastColumn="0" w:noHBand="0" w:noVBand="1"/>
      </w:tblPr>
      <w:tblGrid>
        <w:gridCol w:w="3794"/>
        <w:gridCol w:w="4728"/>
      </w:tblGrid>
      <w:tr w:rsidR="007E3591" w14:paraId="429AA166" w14:textId="77777777" w:rsidTr="00462343">
        <w:tc>
          <w:tcPr>
            <w:tcW w:w="3794" w:type="dxa"/>
          </w:tcPr>
          <w:p w14:paraId="1A6DFD4D" w14:textId="448BB96A" w:rsidR="007E3591" w:rsidRPr="007E3591" w:rsidRDefault="007E3591" w:rsidP="0037427C">
            <w:pPr>
              <w:spacing w:before="0" w:after="0"/>
              <w:jc w:val="center"/>
              <w:rPr>
                <w:i/>
              </w:rPr>
            </w:pPr>
            <w:r w:rsidRPr="007E3591">
              <w:rPr>
                <w:i/>
              </w:rPr>
              <w:t>Abbreviation</w:t>
            </w:r>
          </w:p>
        </w:tc>
        <w:tc>
          <w:tcPr>
            <w:tcW w:w="4728" w:type="dxa"/>
          </w:tcPr>
          <w:p w14:paraId="089B2301" w14:textId="5D183AF5" w:rsidR="007E3591" w:rsidRPr="007E3591" w:rsidRDefault="007E3591" w:rsidP="0037427C">
            <w:pPr>
              <w:spacing w:before="0" w:after="0"/>
              <w:jc w:val="center"/>
              <w:rPr>
                <w:i/>
              </w:rPr>
            </w:pPr>
            <w:r w:rsidRPr="007E3591">
              <w:rPr>
                <w:i/>
              </w:rPr>
              <w:t>Definition</w:t>
            </w:r>
          </w:p>
        </w:tc>
      </w:tr>
      <w:tr w:rsidR="004B2DD0" w14:paraId="1FD5E214" w14:textId="77777777" w:rsidTr="00462343">
        <w:tc>
          <w:tcPr>
            <w:tcW w:w="3794" w:type="dxa"/>
          </w:tcPr>
          <w:p w14:paraId="63E81F25" w14:textId="1A8667EE" w:rsidR="004B2DD0" w:rsidRPr="004B2DD0" w:rsidRDefault="004B2DD0">
            <w:pPr>
              <w:spacing w:before="0" w:after="0"/>
            </w:pPr>
            <w:r>
              <w:t>ABS</w:t>
            </w:r>
          </w:p>
        </w:tc>
        <w:tc>
          <w:tcPr>
            <w:tcW w:w="4728" w:type="dxa"/>
          </w:tcPr>
          <w:p w14:paraId="5AFFBBD6" w14:textId="45098D81" w:rsidR="004B2DD0" w:rsidRPr="004B2DD0" w:rsidRDefault="004B2DD0">
            <w:pPr>
              <w:spacing w:before="0" w:after="0"/>
            </w:pPr>
            <w:r>
              <w:t>Australian Bureau of Statistics</w:t>
            </w:r>
          </w:p>
        </w:tc>
      </w:tr>
      <w:tr w:rsidR="007E3591" w14:paraId="3270449D" w14:textId="77777777" w:rsidTr="00462343">
        <w:tc>
          <w:tcPr>
            <w:tcW w:w="3794" w:type="dxa"/>
          </w:tcPr>
          <w:p w14:paraId="412E9D32" w14:textId="059ABB59" w:rsidR="007E3591" w:rsidRDefault="007E3591">
            <w:pPr>
              <w:spacing w:before="0" w:after="0"/>
            </w:pPr>
            <w:r>
              <w:t>Act</w:t>
            </w:r>
          </w:p>
        </w:tc>
        <w:tc>
          <w:tcPr>
            <w:tcW w:w="4728" w:type="dxa"/>
          </w:tcPr>
          <w:p w14:paraId="34516A85" w14:textId="2347D265" w:rsidR="007E3591" w:rsidRPr="007E3591" w:rsidRDefault="007E3591" w:rsidP="00DF63C0">
            <w:pPr>
              <w:spacing w:before="0" w:after="0"/>
              <w:rPr>
                <w:i/>
              </w:rPr>
            </w:pPr>
            <w:r w:rsidRPr="007E3591">
              <w:rPr>
                <w:i/>
              </w:rPr>
              <w:t xml:space="preserve">Foreign Acquisitions and Takeovers </w:t>
            </w:r>
            <w:r w:rsidR="00DF63C0" w:rsidRPr="007E3591">
              <w:rPr>
                <w:i/>
              </w:rPr>
              <w:t>Act</w:t>
            </w:r>
            <w:r w:rsidR="00DF63C0">
              <w:rPr>
                <w:i/>
              </w:rPr>
              <w:t> </w:t>
            </w:r>
            <w:r w:rsidRPr="007E3591">
              <w:rPr>
                <w:i/>
              </w:rPr>
              <w:t>197</w:t>
            </w:r>
            <w:r w:rsidR="001174BA">
              <w:rPr>
                <w:i/>
              </w:rPr>
              <w:t>5</w:t>
            </w:r>
          </w:p>
        </w:tc>
      </w:tr>
      <w:tr w:rsidR="00453CEF" w14:paraId="3995C12F" w14:textId="77777777" w:rsidTr="00462343">
        <w:tc>
          <w:tcPr>
            <w:tcW w:w="3794" w:type="dxa"/>
          </w:tcPr>
          <w:p w14:paraId="384986F2" w14:textId="001453AD" w:rsidR="00453CEF" w:rsidRDefault="00453CEF">
            <w:pPr>
              <w:spacing w:before="0" w:after="0"/>
            </w:pPr>
            <w:r w:rsidRPr="00E4073F">
              <w:t>Acts Interpretation Act</w:t>
            </w:r>
          </w:p>
        </w:tc>
        <w:tc>
          <w:tcPr>
            <w:tcW w:w="4728" w:type="dxa"/>
          </w:tcPr>
          <w:p w14:paraId="77CAC934" w14:textId="1DB965DF" w:rsidR="00453CEF" w:rsidRPr="007E3591" w:rsidRDefault="00453CEF" w:rsidP="00DF63C0">
            <w:pPr>
              <w:spacing w:before="0" w:after="0"/>
              <w:rPr>
                <w:i/>
              </w:rPr>
            </w:pPr>
            <w:r w:rsidRPr="00453CEF">
              <w:rPr>
                <w:i/>
              </w:rPr>
              <w:t>Acts Interpretation Act</w:t>
            </w:r>
            <w:r>
              <w:rPr>
                <w:i/>
              </w:rPr>
              <w:t xml:space="preserve"> 1901</w:t>
            </w:r>
          </w:p>
        </w:tc>
      </w:tr>
      <w:tr w:rsidR="004B2DD0" w14:paraId="16DEF8E3" w14:textId="77777777" w:rsidTr="00462343">
        <w:tc>
          <w:tcPr>
            <w:tcW w:w="3794" w:type="dxa"/>
          </w:tcPr>
          <w:p w14:paraId="0B162DFA" w14:textId="02FECB26" w:rsidR="004B2DD0" w:rsidRDefault="004B2DD0">
            <w:pPr>
              <w:spacing w:before="0" w:after="0"/>
            </w:pPr>
            <w:proofErr w:type="spellStart"/>
            <w:r>
              <w:t>ADI</w:t>
            </w:r>
            <w:proofErr w:type="spellEnd"/>
          </w:p>
        </w:tc>
        <w:tc>
          <w:tcPr>
            <w:tcW w:w="4728" w:type="dxa"/>
          </w:tcPr>
          <w:p w14:paraId="6CEE8E88" w14:textId="13D3B87B" w:rsidR="004B2DD0" w:rsidRPr="004B2DD0" w:rsidRDefault="001E4B8A" w:rsidP="00484ABD">
            <w:pPr>
              <w:spacing w:before="0" w:after="0"/>
            </w:pPr>
            <w:r>
              <w:t xml:space="preserve">Authorised </w:t>
            </w:r>
            <w:r w:rsidR="00484ABD">
              <w:t>Deposit</w:t>
            </w:r>
            <w:r w:rsidR="00484ABD">
              <w:noBreakHyphen/>
            </w:r>
            <w:r w:rsidR="0037427C">
              <w:t xml:space="preserve">taking </w:t>
            </w:r>
            <w:r w:rsidR="00484ABD">
              <w:t>Institution</w:t>
            </w:r>
          </w:p>
        </w:tc>
      </w:tr>
      <w:tr w:rsidR="00CA3330" w14:paraId="6A2D53EF" w14:textId="77777777" w:rsidTr="00462343">
        <w:tc>
          <w:tcPr>
            <w:tcW w:w="3794" w:type="dxa"/>
          </w:tcPr>
          <w:p w14:paraId="1AEEFB7A" w14:textId="57B56C2A" w:rsidR="00CA3330" w:rsidRDefault="00CA3330">
            <w:pPr>
              <w:spacing w:before="0" w:after="0"/>
            </w:pPr>
            <w:r>
              <w:t>Amending Act</w:t>
            </w:r>
          </w:p>
        </w:tc>
        <w:tc>
          <w:tcPr>
            <w:tcW w:w="4728" w:type="dxa"/>
          </w:tcPr>
          <w:p w14:paraId="5D323522" w14:textId="6DC4F6D9" w:rsidR="00CA3330" w:rsidRDefault="00CA3330" w:rsidP="00484ABD">
            <w:pPr>
              <w:spacing w:before="0" w:after="0"/>
            </w:pPr>
            <w:r w:rsidRPr="00684356">
              <w:rPr>
                <w:i/>
              </w:rPr>
              <w:t>Foreign</w:t>
            </w:r>
            <w:r w:rsidR="00484ABD">
              <w:rPr>
                <w:i/>
              </w:rPr>
              <w:t> </w:t>
            </w:r>
            <w:r w:rsidRPr="00684356">
              <w:rPr>
                <w:i/>
              </w:rPr>
              <w:t>Acquisitions and Takeovers Amendment Act</w:t>
            </w:r>
            <w:r w:rsidR="00484ABD">
              <w:rPr>
                <w:i/>
              </w:rPr>
              <w:t> </w:t>
            </w:r>
            <w:r w:rsidRPr="00684356">
              <w:rPr>
                <w:i/>
              </w:rPr>
              <w:t>2015</w:t>
            </w:r>
          </w:p>
        </w:tc>
      </w:tr>
      <w:tr w:rsidR="007E3591" w14:paraId="1736BF61" w14:textId="77777777" w:rsidTr="00462343">
        <w:tc>
          <w:tcPr>
            <w:tcW w:w="3794" w:type="dxa"/>
          </w:tcPr>
          <w:p w14:paraId="1804FBC7" w14:textId="71ADB02D" w:rsidR="007E3591" w:rsidRDefault="004B2DD0">
            <w:pPr>
              <w:spacing w:before="0" w:after="0"/>
            </w:pPr>
            <w:proofErr w:type="spellStart"/>
            <w:r>
              <w:t>ANZSIC</w:t>
            </w:r>
            <w:proofErr w:type="spellEnd"/>
            <w:r w:rsidR="00A95A61">
              <w:t xml:space="preserve"> Codes</w:t>
            </w:r>
          </w:p>
        </w:tc>
        <w:tc>
          <w:tcPr>
            <w:tcW w:w="4728" w:type="dxa"/>
          </w:tcPr>
          <w:p w14:paraId="123BB260" w14:textId="383ED540" w:rsidR="007E3591" w:rsidRDefault="004B2DD0">
            <w:pPr>
              <w:spacing w:before="0" w:after="0"/>
            </w:pPr>
            <w:r w:rsidRPr="00A95A61">
              <w:rPr>
                <w:i/>
              </w:rPr>
              <w:t>Australian and New Zealand Standard Industrial Classification Codes</w:t>
            </w:r>
            <w:r>
              <w:t xml:space="preserve">, as in force from time to time, published by the </w:t>
            </w:r>
            <w:r w:rsidR="00484ABD">
              <w:t>Australian Bureau of Statistics</w:t>
            </w:r>
          </w:p>
        </w:tc>
      </w:tr>
      <w:tr w:rsidR="00222434" w14:paraId="3FCE3E48" w14:textId="77777777" w:rsidTr="00462343">
        <w:tc>
          <w:tcPr>
            <w:tcW w:w="3794" w:type="dxa"/>
          </w:tcPr>
          <w:p w14:paraId="423CEF1B" w14:textId="5CD69C5F" w:rsidR="00222434" w:rsidRDefault="00222434">
            <w:pPr>
              <w:spacing w:before="0" w:after="0"/>
            </w:pPr>
            <w:r>
              <w:t>APRA</w:t>
            </w:r>
          </w:p>
        </w:tc>
        <w:tc>
          <w:tcPr>
            <w:tcW w:w="4728" w:type="dxa"/>
          </w:tcPr>
          <w:p w14:paraId="36ADACE3" w14:textId="7E7A38D4" w:rsidR="00222434" w:rsidRPr="00A95A61" w:rsidRDefault="00222434">
            <w:pPr>
              <w:spacing w:before="0" w:after="0"/>
              <w:rPr>
                <w:i/>
              </w:rPr>
            </w:pPr>
            <w:r>
              <w:t>Australian Prudential Regulation Authority</w:t>
            </w:r>
          </w:p>
        </w:tc>
      </w:tr>
      <w:tr w:rsidR="00A5532B" w14:paraId="505B4AB8" w14:textId="77777777" w:rsidTr="00462343">
        <w:tc>
          <w:tcPr>
            <w:tcW w:w="3794" w:type="dxa"/>
          </w:tcPr>
          <w:p w14:paraId="76F7879F" w14:textId="40663DF3" w:rsidR="00A5532B" w:rsidRPr="00A5532B" w:rsidRDefault="00A5532B">
            <w:pPr>
              <w:spacing w:before="0" w:after="0"/>
            </w:pPr>
            <w:r w:rsidRPr="00A5532B">
              <w:t>APS 111</w:t>
            </w:r>
          </w:p>
        </w:tc>
        <w:tc>
          <w:tcPr>
            <w:tcW w:w="4728" w:type="dxa"/>
          </w:tcPr>
          <w:p w14:paraId="111AE8A2" w14:textId="0424B405" w:rsidR="00A5532B" w:rsidRPr="00A95A61" w:rsidRDefault="00A5532B">
            <w:pPr>
              <w:spacing w:before="0" w:after="0"/>
              <w:rPr>
                <w:i/>
              </w:rPr>
            </w:pPr>
            <w:r>
              <w:rPr>
                <w:i/>
              </w:rPr>
              <w:t>Standard APS 111</w:t>
            </w:r>
            <w:r>
              <w:rPr>
                <w:rFonts w:ascii="Calibri" w:hAnsi="Calibri"/>
                <w:i/>
              </w:rPr>
              <w:t>—</w:t>
            </w:r>
            <w:r>
              <w:rPr>
                <w:i/>
              </w:rPr>
              <w:t xml:space="preserve">Capital Adequacy: Measurement of Capital </w:t>
            </w:r>
            <w:r>
              <w:t>(</w:t>
            </w:r>
            <w:r w:rsidRPr="001F5DC4">
              <w:rPr>
                <w:i/>
              </w:rPr>
              <w:t>APS</w:t>
            </w:r>
            <w:r>
              <w:t> </w:t>
            </w:r>
            <w:r w:rsidRPr="001F5DC4">
              <w:rPr>
                <w:i/>
              </w:rPr>
              <w:t>111</w:t>
            </w:r>
            <w:r>
              <w:t>)</w:t>
            </w:r>
            <w:r w:rsidR="00341CCF">
              <w:t>, as in force on 1 December 2015</w:t>
            </w:r>
          </w:p>
        </w:tc>
      </w:tr>
      <w:tr w:rsidR="00746BAC" w14:paraId="4737B9D4" w14:textId="77777777" w:rsidTr="00462343">
        <w:tc>
          <w:tcPr>
            <w:tcW w:w="3794" w:type="dxa"/>
          </w:tcPr>
          <w:p w14:paraId="0CEDE2B5" w14:textId="4D1C907B" w:rsidR="00746BAC" w:rsidRDefault="00746BAC">
            <w:pPr>
              <w:spacing w:before="0" w:after="0"/>
            </w:pPr>
            <w:proofErr w:type="spellStart"/>
            <w:r>
              <w:t>ASIC</w:t>
            </w:r>
            <w:proofErr w:type="spellEnd"/>
          </w:p>
        </w:tc>
        <w:tc>
          <w:tcPr>
            <w:tcW w:w="4728" w:type="dxa"/>
          </w:tcPr>
          <w:p w14:paraId="1D1EF207" w14:textId="5BDFA2A3" w:rsidR="00746BAC" w:rsidRDefault="00746BAC">
            <w:pPr>
              <w:spacing w:before="0" w:after="0"/>
            </w:pPr>
            <w:r>
              <w:t>Australian Securities &amp; Investments Commission</w:t>
            </w:r>
          </w:p>
        </w:tc>
      </w:tr>
      <w:tr w:rsidR="00945D2F" w14:paraId="0A5BAC40" w14:textId="77777777" w:rsidTr="00462343">
        <w:tc>
          <w:tcPr>
            <w:tcW w:w="3794" w:type="dxa"/>
          </w:tcPr>
          <w:p w14:paraId="7B61C749" w14:textId="262F66F1" w:rsidR="00945D2F" w:rsidRDefault="00945D2F">
            <w:pPr>
              <w:spacing w:before="0" w:after="0"/>
            </w:pPr>
            <w:r>
              <w:t>Chile</w:t>
            </w:r>
          </w:p>
        </w:tc>
        <w:tc>
          <w:tcPr>
            <w:tcW w:w="4728" w:type="dxa"/>
          </w:tcPr>
          <w:p w14:paraId="712743A9" w14:textId="038CF6EF" w:rsidR="00945D2F" w:rsidRPr="00A95A61" w:rsidRDefault="00945D2F">
            <w:pPr>
              <w:spacing w:before="0" w:after="0"/>
              <w:rPr>
                <w:i/>
              </w:rPr>
            </w:pPr>
            <w:r>
              <w:t>Republic of Chile</w:t>
            </w:r>
          </w:p>
        </w:tc>
      </w:tr>
      <w:tr w:rsidR="00983FAA" w14:paraId="5BF597CC" w14:textId="77777777" w:rsidTr="00462343">
        <w:tc>
          <w:tcPr>
            <w:tcW w:w="3794" w:type="dxa"/>
          </w:tcPr>
          <w:p w14:paraId="1DC3AA11" w14:textId="061646EC" w:rsidR="00983FAA" w:rsidRDefault="00983FAA">
            <w:pPr>
              <w:spacing w:before="0" w:after="0"/>
            </w:pPr>
            <w:r>
              <w:t>Charities Act</w:t>
            </w:r>
          </w:p>
        </w:tc>
        <w:tc>
          <w:tcPr>
            <w:tcW w:w="4728" w:type="dxa"/>
          </w:tcPr>
          <w:p w14:paraId="7660003A" w14:textId="4033DD20" w:rsidR="00983FAA" w:rsidRDefault="00983FAA" w:rsidP="00C41F6D">
            <w:pPr>
              <w:spacing w:before="0" w:after="0"/>
            </w:pPr>
            <w:r>
              <w:rPr>
                <w:i/>
              </w:rPr>
              <w:t>Charities Act</w:t>
            </w:r>
            <w:r w:rsidR="00C41F6D">
              <w:rPr>
                <w:i/>
              </w:rPr>
              <w:t> </w:t>
            </w:r>
            <w:r>
              <w:rPr>
                <w:i/>
              </w:rPr>
              <w:t>2013</w:t>
            </w:r>
          </w:p>
        </w:tc>
      </w:tr>
      <w:tr w:rsidR="005E1B53" w14:paraId="5E180010" w14:textId="77777777" w:rsidTr="00462343">
        <w:tc>
          <w:tcPr>
            <w:tcW w:w="3794" w:type="dxa"/>
          </w:tcPr>
          <w:p w14:paraId="000E5422" w14:textId="455228BE" w:rsidR="005E1B53" w:rsidRPr="005E1B53" w:rsidRDefault="005E1B53">
            <w:pPr>
              <w:spacing w:before="0" w:after="0"/>
            </w:pPr>
            <w:r w:rsidRPr="005E1B53">
              <w:t>Convention</w:t>
            </w:r>
          </w:p>
        </w:tc>
        <w:tc>
          <w:tcPr>
            <w:tcW w:w="4728" w:type="dxa"/>
          </w:tcPr>
          <w:p w14:paraId="40BE42DD" w14:textId="3F9B567F" w:rsidR="005E1B53" w:rsidRPr="005E1B53" w:rsidRDefault="005E1B53" w:rsidP="00C41F6D">
            <w:pPr>
              <w:spacing w:before="0" w:after="0"/>
              <w:rPr>
                <w:i/>
              </w:rPr>
            </w:pPr>
            <w:r w:rsidRPr="005E1B53">
              <w:rPr>
                <w:i/>
              </w:rPr>
              <w:t>International Convention on the Elimination of All Forms of Racial Discrimination</w:t>
            </w:r>
          </w:p>
        </w:tc>
      </w:tr>
      <w:tr w:rsidR="005E1B53" w14:paraId="27D33AB9" w14:textId="77777777" w:rsidTr="00462343">
        <w:tc>
          <w:tcPr>
            <w:tcW w:w="3794" w:type="dxa"/>
          </w:tcPr>
          <w:p w14:paraId="2A58B00D" w14:textId="3414FBCE" w:rsidR="005E1B53" w:rsidRPr="005E1B53" w:rsidRDefault="005E1B53">
            <w:pPr>
              <w:spacing w:before="0" w:after="0"/>
            </w:pPr>
            <w:r w:rsidRPr="005E1B53">
              <w:t>Corporations Act</w:t>
            </w:r>
          </w:p>
        </w:tc>
        <w:tc>
          <w:tcPr>
            <w:tcW w:w="4728" w:type="dxa"/>
          </w:tcPr>
          <w:p w14:paraId="2766A4F6" w14:textId="20B6ECBE" w:rsidR="005E1B53" w:rsidRPr="005E1B53" w:rsidRDefault="005E1B53" w:rsidP="00C41F6D">
            <w:pPr>
              <w:spacing w:before="0" w:after="0"/>
              <w:rPr>
                <w:i/>
              </w:rPr>
            </w:pPr>
            <w:r w:rsidRPr="005E1B53">
              <w:rPr>
                <w:i/>
              </w:rPr>
              <w:t>Corporations Act 2001</w:t>
            </w:r>
          </w:p>
        </w:tc>
      </w:tr>
      <w:tr w:rsidR="005E1B53" w14:paraId="1001724E" w14:textId="77777777" w:rsidTr="00462343">
        <w:tc>
          <w:tcPr>
            <w:tcW w:w="3794" w:type="dxa"/>
          </w:tcPr>
          <w:p w14:paraId="6BCA8CB6" w14:textId="10A907C2" w:rsidR="005E1B53" w:rsidRPr="005E1B53" w:rsidRDefault="005E1B53" w:rsidP="00535522">
            <w:pPr>
              <w:spacing w:before="0" w:after="0"/>
            </w:pPr>
            <w:r w:rsidRPr="005E1B53">
              <w:t>Covenant</w:t>
            </w:r>
          </w:p>
        </w:tc>
        <w:tc>
          <w:tcPr>
            <w:tcW w:w="4728" w:type="dxa"/>
          </w:tcPr>
          <w:p w14:paraId="5485119C" w14:textId="3DC02DC7" w:rsidR="005E1B53" w:rsidRPr="005E1B53" w:rsidRDefault="005E1B53" w:rsidP="00C41F6D">
            <w:pPr>
              <w:spacing w:before="0" w:after="0"/>
              <w:rPr>
                <w:i/>
              </w:rPr>
            </w:pPr>
            <w:r w:rsidRPr="005E1B53">
              <w:rPr>
                <w:i/>
              </w:rPr>
              <w:t>International Covenant on Civil and Political Rights</w:t>
            </w:r>
          </w:p>
        </w:tc>
      </w:tr>
      <w:tr w:rsidR="005E1B53" w14:paraId="7A98DF77" w14:textId="77777777" w:rsidTr="00462343">
        <w:tc>
          <w:tcPr>
            <w:tcW w:w="3794" w:type="dxa"/>
          </w:tcPr>
          <w:p w14:paraId="3389129E" w14:textId="64DC3D70" w:rsidR="005E1B53" w:rsidRPr="005E1B53" w:rsidRDefault="005E1B53" w:rsidP="00535522">
            <w:pPr>
              <w:spacing w:before="0" w:after="0"/>
            </w:pPr>
            <w:r w:rsidRPr="005E1B53">
              <w:t>Financial Sector (Shareholdings) Act</w:t>
            </w:r>
          </w:p>
        </w:tc>
        <w:tc>
          <w:tcPr>
            <w:tcW w:w="4728" w:type="dxa"/>
          </w:tcPr>
          <w:p w14:paraId="2C9C1330" w14:textId="3846A743" w:rsidR="005E1B53" w:rsidRPr="005E1B53" w:rsidRDefault="005E1B53" w:rsidP="00C41F6D">
            <w:pPr>
              <w:spacing w:before="0" w:after="0"/>
              <w:rPr>
                <w:i/>
              </w:rPr>
            </w:pPr>
            <w:r w:rsidRPr="005E1B53">
              <w:rPr>
                <w:i/>
              </w:rPr>
              <w:t>Financial Sector (Shareholdings) Act 1998</w:t>
            </w:r>
          </w:p>
        </w:tc>
      </w:tr>
      <w:tr w:rsidR="005E1B53" w14:paraId="5B259F27" w14:textId="77777777" w:rsidTr="00462343">
        <w:tc>
          <w:tcPr>
            <w:tcW w:w="3794" w:type="dxa"/>
          </w:tcPr>
          <w:p w14:paraId="48FC860D" w14:textId="1688D51C" w:rsidR="005E1B53" w:rsidRDefault="005E1B53">
            <w:pPr>
              <w:spacing w:before="0" w:after="0"/>
            </w:pPr>
            <w:proofErr w:type="spellStart"/>
            <w:r>
              <w:t>IFRS</w:t>
            </w:r>
            <w:proofErr w:type="spellEnd"/>
          </w:p>
        </w:tc>
        <w:tc>
          <w:tcPr>
            <w:tcW w:w="4728" w:type="dxa"/>
          </w:tcPr>
          <w:p w14:paraId="1AAF88F3" w14:textId="1A645A5B" w:rsidR="005E1B53" w:rsidRPr="008C70B9" w:rsidRDefault="005E1B53">
            <w:pPr>
              <w:spacing w:before="0" w:after="0"/>
            </w:pPr>
            <w:r w:rsidRPr="008C70B9">
              <w:t>International Financial Reporting Standards</w:t>
            </w:r>
          </w:p>
        </w:tc>
      </w:tr>
      <w:tr w:rsidR="005E1B53" w14:paraId="018D6036" w14:textId="77777777" w:rsidTr="00462343">
        <w:tc>
          <w:tcPr>
            <w:tcW w:w="3794" w:type="dxa"/>
          </w:tcPr>
          <w:p w14:paraId="16506F15" w14:textId="1B8F5A42" w:rsidR="005E1B53" w:rsidRDefault="005E1B53" w:rsidP="00733612">
            <w:pPr>
              <w:spacing w:before="0" w:after="0"/>
            </w:pPr>
            <w:proofErr w:type="spellStart"/>
            <w:r>
              <w:t>ITAA</w:t>
            </w:r>
            <w:proofErr w:type="spellEnd"/>
            <w:r>
              <w:t> 1997</w:t>
            </w:r>
          </w:p>
        </w:tc>
        <w:tc>
          <w:tcPr>
            <w:tcW w:w="4728" w:type="dxa"/>
          </w:tcPr>
          <w:p w14:paraId="26C22836" w14:textId="79D0430C" w:rsidR="005E1B53" w:rsidRPr="008C70B9" w:rsidRDefault="005E1B53">
            <w:pPr>
              <w:spacing w:before="0" w:after="0"/>
            </w:pPr>
            <w:r>
              <w:rPr>
                <w:i/>
              </w:rPr>
              <w:t>Income Tax Assessment Act 1997</w:t>
            </w:r>
          </w:p>
        </w:tc>
      </w:tr>
      <w:tr w:rsidR="005E1B53" w14:paraId="2E81BBA3" w14:textId="77777777" w:rsidTr="00462343">
        <w:tc>
          <w:tcPr>
            <w:tcW w:w="3794" w:type="dxa"/>
          </w:tcPr>
          <w:p w14:paraId="5828F47E" w14:textId="78C32C62" w:rsidR="005E1B53" w:rsidRDefault="005E1B53">
            <w:pPr>
              <w:spacing w:before="0" w:after="0"/>
            </w:pPr>
            <w:r>
              <w:t>Insurance Act</w:t>
            </w:r>
          </w:p>
        </w:tc>
        <w:tc>
          <w:tcPr>
            <w:tcW w:w="4728" w:type="dxa"/>
          </w:tcPr>
          <w:p w14:paraId="36387232" w14:textId="728A9626" w:rsidR="005E1B53" w:rsidRPr="008C70B9" w:rsidRDefault="005E1B53">
            <w:pPr>
              <w:spacing w:before="0" w:after="0"/>
            </w:pPr>
            <w:r>
              <w:rPr>
                <w:i/>
              </w:rPr>
              <w:t>Insurance Act 1973</w:t>
            </w:r>
          </w:p>
        </w:tc>
      </w:tr>
      <w:tr w:rsidR="005E1B53" w14:paraId="2FBEF1A4" w14:textId="77777777" w:rsidTr="00462343">
        <w:tc>
          <w:tcPr>
            <w:tcW w:w="3794" w:type="dxa"/>
          </w:tcPr>
          <w:p w14:paraId="3907FF6C" w14:textId="4774C1A1" w:rsidR="005E1B53" w:rsidRDefault="005E1B53">
            <w:pPr>
              <w:spacing w:before="0" w:after="0"/>
            </w:pPr>
            <w:r>
              <w:t>Korea</w:t>
            </w:r>
          </w:p>
        </w:tc>
        <w:tc>
          <w:tcPr>
            <w:tcW w:w="4728" w:type="dxa"/>
          </w:tcPr>
          <w:p w14:paraId="02DE9320" w14:textId="0E6DA5DC" w:rsidR="005E1B53" w:rsidRDefault="005E1B53">
            <w:pPr>
              <w:spacing w:before="0" w:after="0"/>
              <w:rPr>
                <w:i/>
              </w:rPr>
            </w:pPr>
            <w:r>
              <w:t>Republic of Korea</w:t>
            </w:r>
          </w:p>
        </w:tc>
      </w:tr>
      <w:tr w:rsidR="005E1B53" w14:paraId="4110522F" w14:textId="77777777" w:rsidTr="00462343">
        <w:tc>
          <w:tcPr>
            <w:tcW w:w="3794" w:type="dxa"/>
          </w:tcPr>
          <w:p w14:paraId="4E2B31B6" w14:textId="11335202" w:rsidR="005E1B53" w:rsidRDefault="005E1B53">
            <w:pPr>
              <w:spacing w:before="0" w:after="0"/>
            </w:pPr>
            <w:r>
              <w:t>LIA</w:t>
            </w:r>
          </w:p>
        </w:tc>
        <w:tc>
          <w:tcPr>
            <w:tcW w:w="4728" w:type="dxa"/>
          </w:tcPr>
          <w:p w14:paraId="6A1EF7AB" w14:textId="00BD39D6" w:rsidR="005E1B53" w:rsidRPr="008F1EA0" w:rsidRDefault="005E1B53" w:rsidP="00A60742">
            <w:pPr>
              <w:spacing w:before="0" w:after="0"/>
              <w:rPr>
                <w:i/>
              </w:rPr>
            </w:pPr>
            <w:r w:rsidRPr="008F1EA0">
              <w:rPr>
                <w:i/>
              </w:rPr>
              <w:t>Legislative Instruments Act</w:t>
            </w:r>
            <w:r>
              <w:rPr>
                <w:i/>
              </w:rPr>
              <w:t> </w:t>
            </w:r>
            <w:r w:rsidRPr="008F1EA0">
              <w:rPr>
                <w:i/>
              </w:rPr>
              <w:t>2003</w:t>
            </w:r>
          </w:p>
        </w:tc>
      </w:tr>
      <w:tr w:rsidR="005E1B53" w14:paraId="540AC931" w14:textId="77777777" w:rsidTr="00462343">
        <w:tc>
          <w:tcPr>
            <w:tcW w:w="3794" w:type="dxa"/>
          </w:tcPr>
          <w:p w14:paraId="5176E9DA" w14:textId="7B0EA4BE" w:rsidR="005E1B53" w:rsidRDefault="005E1B53">
            <w:pPr>
              <w:spacing w:before="0" w:after="0"/>
            </w:pPr>
            <w:r>
              <w:t>Life Insurance Act</w:t>
            </w:r>
          </w:p>
        </w:tc>
        <w:tc>
          <w:tcPr>
            <w:tcW w:w="4728" w:type="dxa"/>
          </w:tcPr>
          <w:p w14:paraId="59F62C35" w14:textId="1A431E0F" w:rsidR="005E1B53" w:rsidRPr="007B67EB" w:rsidRDefault="005E1B53">
            <w:pPr>
              <w:spacing w:before="0" w:after="0"/>
              <w:rPr>
                <w:i/>
              </w:rPr>
            </w:pPr>
            <w:r>
              <w:rPr>
                <w:i/>
              </w:rPr>
              <w:t>Life Insurance Act 1995</w:t>
            </w:r>
          </w:p>
        </w:tc>
      </w:tr>
      <w:tr w:rsidR="005E1B53" w14:paraId="5D29B666" w14:textId="77777777" w:rsidTr="00462343">
        <w:tc>
          <w:tcPr>
            <w:tcW w:w="3794" w:type="dxa"/>
          </w:tcPr>
          <w:p w14:paraId="573FC6BB" w14:textId="47598CA8" w:rsidR="005E1B53" w:rsidRDefault="005E1B53">
            <w:pPr>
              <w:spacing w:before="0" w:after="0"/>
            </w:pPr>
            <w:r>
              <w:t>Migration Act</w:t>
            </w:r>
          </w:p>
        </w:tc>
        <w:tc>
          <w:tcPr>
            <w:tcW w:w="4728" w:type="dxa"/>
          </w:tcPr>
          <w:p w14:paraId="44B7E06E" w14:textId="04ADF104" w:rsidR="005E1B53" w:rsidRPr="0099607E" w:rsidRDefault="005E1B53">
            <w:pPr>
              <w:spacing w:before="0" w:after="0"/>
              <w:rPr>
                <w:i/>
              </w:rPr>
            </w:pPr>
            <w:r w:rsidRPr="008F1EA0">
              <w:rPr>
                <w:i/>
              </w:rPr>
              <w:t>Migration Act 1958</w:t>
            </w:r>
          </w:p>
        </w:tc>
      </w:tr>
      <w:tr w:rsidR="005E1B53" w14:paraId="53292F1A" w14:textId="77777777" w:rsidTr="00462343">
        <w:tc>
          <w:tcPr>
            <w:tcW w:w="3794" w:type="dxa"/>
          </w:tcPr>
          <w:p w14:paraId="6D809E60" w14:textId="26BC8E06" w:rsidR="005E1B53" w:rsidRDefault="005E1B53">
            <w:pPr>
              <w:spacing w:before="0" w:after="0"/>
            </w:pPr>
            <w:r>
              <w:t>RBA</w:t>
            </w:r>
          </w:p>
        </w:tc>
        <w:tc>
          <w:tcPr>
            <w:tcW w:w="4728" w:type="dxa"/>
          </w:tcPr>
          <w:p w14:paraId="7A48BA8A" w14:textId="76608860" w:rsidR="005E1B53" w:rsidRDefault="005E1B53">
            <w:pPr>
              <w:spacing w:before="0" w:after="0"/>
            </w:pPr>
            <w:r>
              <w:t>Reserve Bank of Australia</w:t>
            </w:r>
          </w:p>
        </w:tc>
      </w:tr>
      <w:tr w:rsidR="005E1B53" w14:paraId="36D70889" w14:textId="77777777" w:rsidTr="00462343">
        <w:tc>
          <w:tcPr>
            <w:tcW w:w="3794" w:type="dxa"/>
          </w:tcPr>
          <w:p w14:paraId="6E00D2BB" w14:textId="2A62286D" w:rsidR="005E1B53" w:rsidRDefault="005E1B53">
            <w:pPr>
              <w:spacing w:before="0" w:after="0"/>
            </w:pPr>
            <w:r>
              <w:t>Regulation</w:t>
            </w:r>
          </w:p>
        </w:tc>
        <w:tc>
          <w:tcPr>
            <w:tcW w:w="4728" w:type="dxa"/>
          </w:tcPr>
          <w:p w14:paraId="30A14B6B" w14:textId="75D1EA62" w:rsidR="005E1B53" w:rsidRPr="003D782A" w:rsidRDefault="005E1B53" w:rsidP="00A60742">
            <w:pPr>
              <w:spacing w:before="0" w:after="0"/>
              <w:rPr>
                <w:i/>
              </w:rPr>
            </w:pPr>
            <w:r>
              <w:rPr>
                <w:i/>
              </w:rPr>
              <w:t>Foreign Acquisitions and Takeovers Regulation 2015</w:t>
            </w:r>
          </w:p>
        </w:tc>
      </w:tr>
      <w:tr w:rsidR="002768B4" w14:paraId="3CE6759B" w14:textId="77777777" w:rsidTr="00462343">
        <w:tc>
          <w:tcPr>
            <w:tcW w:w="3794" w:type="dxa"/>
          </w:tcPr>
          <w:p w14:paraId="4C814FDB" w14:textId="71A18B74" w:rsidR="002768B4" w:rsidRDefault="002768B4">
            <w:pPr>
              <w:spacing w:before="0" w:after="0"/>
            </w:pPr>
            <w:r w:rsidRPr="002768B4">
              <w:t>Singapore</w:t>
            </w:r>
          </w:p>
        </w:tc>
        <w:tc>
          <w:tcPr>
            <w:tcW w:w="4728" w:type="dxa"/>
          </w:tcPr>
          <w:p w14:paraId="17E164D8" w14:textId="2E4E3BE9" w:rsidR="002768B4" w:rsidRPr="002768B4" w:rsidRDefault="002768B4">
            <w:pPr>
              <w:spacing w:before="0" w:after="0"/>
            </w:pPr>
            <w:r w:rsidRPr="002768B4">
              <w:t>Republic of Singapore</w:t>
            </w:r>
          </w:p>
        </w:tc>
      </w:tr>
      <w:tr w:rsidR="002768B4" w14:paraId="501BAB11" w14:textId="77777777" w:rsidTr="00462343">
        <w:tc>
          <w:tcPr>
            <w:tcW w:w="3794" w:type="dxa"/>
          </w:tcPr>
          <w:p w14:paraId="4E6BBF3C" w14:textId="5A7AF0FE" w:rsidR="002768B4" w:rsidRDefault="002768B4">
            <w:pPr>
              <w:spacing w:before="0" w:after="0"/>
            </w:pPr>
            <w:r w:rsidRPr="002768B4">
              <w:t>Thailand</w:t>
            </w:r>
          </w:p>
        </w:tc>
        <w:tc>
          <w:tcPr>
            <w:tcW w:w="4728" w:type="dxa"/>
          </w:tcPr>
          <w:p w14:paraId="16943E03" w14:textId="09DFC131" w:rsidR="002768B4" w:rsidRDefault="002768B4">
            <w:pPr>
              <w:spacing w:before="0" w:after="0"/>
            </w:pPr>
            <w:r w:rsidRPr="002768B4">
              <w:t>Kingdom of Thailand</w:t>
            </w:r>
          </w:p>
        </w:tc>
      </w:tr>
      <w:tr w:rsidR="005E1B53" w14:paraId="778FD019" w14:textId="77777777" w:rsidTr="00462343">
        <w:tc>
          <w:tcPr>
            <w:tcW w:w="3794" w:type="dxa"/>
          </w:tcPr>
          <w:p w14:paraId="726F403D" w14:textId="5E37A680" w:rsidR="005E1B53" w:rsidRDefault="005E1B53">
            <w:pPr>
              <w:spacing w:before="0" w:after="0"/>
            </w:pPr>
            <w:r>
              <w:t>This Act</w:t>
            </w:r>
          </w:p>
        </w:tc>
        <w:tc>
          <w:tcPr>
            <w:tcW w:w="4728" w:type="dxa"/>
          </w:tcPr>
          <w:p w14:paraId="31006783" w14:textId="272946F8" w:rsidR="005E1B53" w:rsidRDefault="005E1B53">
            <w:pPr>
              <w:spacing w:before="0" w:after="0"/>
            </w:pPr>
            <w:r>
              <w:t>The Act and the Regulation</w:t>
            </w:r>
          </w:p>
        </w:tc>
      </w:tr>
      <w:tr w:rsidR="005E1B53" w14:paraId="6B13EDB2" w14:textId="77777777" w:rsidTr="00462343">
        <w:tc>
          <w:tcPr>
            <w:tcW w:w="3794" w:type="dxa"/>
          </w:tcPr>
          <w:p w14:paraId="1A7B1A86" w14:textId="3429341B" w:rsidR="005E1B53" w:rsidRDefault="005E1B53">
            <w:pPr>
              <w:spacing w:before="0" w:after="0"/>
            </w:pPr>
            <w:r w:rsidRPr="00DF63C0">
              <w:t>United States</w:t>
            </w:r>
          </w:p>
        </w:tc>
        <w:tc>
          <w:tcPr>
            <w:tcW w:w="4728" w:type="dxa"/>
          </w:tcPr>
          <w:p w14:paraId="7FB55893" w14:textId="05914A20" w:rsidR="005E1B53" w:rsidRDefault="005E1B53">
            <w:pPr>
              <w:spacing w:before="0" w:after="0"/>
            </w:pPr>
            <w:r w:rsidRPr="00DF63C0">
              <w:t>United States of America</w:t>
            </w:r>
          </w:p>
        </w:tc>
      </w:tr>
    </w:tbl>
    <w:p w14:paraId="5A28E414" w14:textId="4B4A2F86" w:rsidR="00B96107" w:rsidRDefault="007E3591">
      <w:pPr>
        <w:spacing w:before="0" w:after="0"/>
      </w:pPr>
      <w:r>
        <w:br w:type="page"/>
      </w:r>
    </w:p>
    <w:p w14:paraId="56E48FCD" w14:textId="35D788F6" w:rsidR="00765267" w:rsidRPr="00FC1DDF" w:rsidRDefault="00535522" w:rsidP="00967D2C">
      <w:pPr>
        <w:jc w:val="right"/>
        <w:rPr>
          <w:b/>
          <w:u w:val="single"/>
        </w:rPr>
      </w:pPr>
      <w:r w:rsidRPr="00FC1DDF">
        <w:rPr>
          <w:b/>
          <w:u w:val="single"/>
        </w:rPr>
        <w:t>ATTACHMENT </w:t>
      </w:r>
      <w:r w:rsidR="00765267" w:rsidRPr="00FC1DDF">
        <w:rPr>
          <w:b/>
          <w:u w:val="single"/>
        </w:rPr>
        <w:t>A</w:t>
      </w:r>
    </w:p>
    <w:p w14:paraId="314C04C2" w14:textId="20F93184" w:rsidR="00B96107" w:rsidRPr="00537AE7" w:rsidRDefault="00B96107" w:rsidP="00537AE7">
      <w:pPr>
        <w:jc w:val="center"/>
        <w:rPr>
          <w:b/>
        </w:rPr>
      </w:pPr>
      <w:r w:rsidRPr="00B96107">
        <w:rPr>
          <w:b/>
        </w:rPr>
        <w:t>Background information</w:t>
      </w:r>
      <w:r w:rsidR="00B0691C">
        <w:rPr>
          <w:b/>
        </w:rPr>
        <w:t xml:space="preserve"> about the Act</w:t>
      </w:r>
    </w:p>
    <w:p w14:paraId="3F4EB83F" w14:textId="1817EC0D" w:rsidR="0029503E" w:rsidRPr="0029503E" w:rsidRDefault="0029503E" w:rsidP="000355FB">
      <w:pPr>
        <w:rPr>
          <w:i/>
        </w:rPr>
      </w:pPr>
      <w:r w:rsidRPr="0029503E">
        <w:rPr>
          <w:i/>
        </w:rPr>
        <w:t xml:space="preserve">Definition of </w:t>
      </w:r>
      <w:r>
        <w:rPr>
          <w:i/>
        </w:rPr>
        <w:t>‘</w:t>
      </w:r>
      <w:r w:rsidRPr="0029503E">
        <w:rPr>
          <w:i/>
        </w:rPr>
        <w:t>foreign person</w:t>
      </w:r>
      <w:r>
        <w:rPr>
          <w:i/>
        </w:rPr>
        <w:t>’</w:t>
      </w:r>
    </w:p>
    <w:p w14:paraId="68C760EC" w14:textId="6CD7FC19" w:rsidR="0029503E" w:rsidRDefault="0029503E" w:rsidP="000355FB">
      <w:r>
        <w:t>The Act and the Regulation primarily apply to foreign persons. In broad terms, section </w:t>
      </w:r>
      <w:r w:rsidR="00CA23B8">
        <w:t>4</w:t>
      </w:r>
      <w:r>
        <w:t xml:space="preserve"> of the Act defines ‘foreign person’ to mean:</w:t>
      </w:r>
    </w:p>
    <w:p w14:paraId="61E47A0C" w14:textId="77777777" w:rsidR="0029503E" w:rsidRDefault="0029503E" w:rsidP="000355FB">
      <w:pPr>
        <w:pStyle w:val="Bullet"/>
        <w:spacing w:before="120"/>
      </w:pPr>
      <w:r>
        <w:t>an individual who is not ordinarily resident in Australia;</w:t>
      </w:r>
    </w:p>
    <w:p w14:paraId="68F1EBFA" w14:textId="223A90BA" w:rsidR="0029503E" w:rsidRDefault="0029503E" w:rsidP="000355FB">
      <w:pPr>
        <w:pStyle w:val="Bullet"/>
        <w:spacing w:before="120"/>
      </w:pPr>
      <w:r>
        <w:t xml:space="preserve">a corporation or a trustee of a trust in which an individual not ordinarily resident in Australia, a foreign corporation or a foreign government holds a substantial interest with associates (that is, an interest of at least 20 per cent); </w:t>
      </w:r>
    </w:p>
    <w:p w14:paraId="69EB8B09" w14:textId="3A5CCD68" w:rsidR="0029503E" w:rsidRDefault="0029503E" w:rsidP="000355FB">
      <w:pPr>
        <w:pStyle w:val="Bullet"/>
        <w:spacing w:before="120"/>
      </w:pPr>
      <w:r>
        <w:t>a corporation of a trustee of a trust in which two or more persons, each of whom is either an individual not ordinarily resident in Australia, a foreign corporation or a foreign government, hold an aggregate substantial interest with associates (that is, an interest of at least 40</w:t>
      </w:r>
      <w:r w:rsidR="00F977F6">
        <w:t> </w:t>
      </w:r>
      <w:r>
        <w:t>per</w:t>
      </w:r>
      <w:r w:rsidR="00F977F6">
        <w:t> </w:t>
      </w:r>
      <w:r>
        <w:t>cent); or</w:t>
      </w:r>
    </w:p>
    <w:p w14:paraId="420E7CE6" w14:textId="02E08C9C" w:rsidR="0029503E" w:rsidRPr="0029503E" w:rsidRDefault="0029503E" w:rsidP="000355FB">
      <w:pPr>
        <w:pStyle w:val="Bullet"/>
        <w:spacing w:before="120"/>
      </w:pPr>
      <w:r>
        <w:t>a foreign government.</w:t>
      </w:r>
    </w:p>
    <w:p w14:paraId="35FEF7FB" w14:textId="5ABA35E2" w:rsidR="0029503E" w:rsidRPr="0029503E" w:rsidRDefault="0029503E" w:rsidP="000355FB">
      <w:pPr>
        <w:pStyle w:val="Bullet"/>
        <w:keepNext/>
        <w:numPr>
          <w:ilvl w:val="0"/>
          <w:numId w:val="0"/>
        </w:numPr>
        <w:spacing w:before="120"/>
        <w:rPr>
          <w:i/>
        </w:rPr>
      </w:pPr>
      <w:r>
        <w:rPr>
          <w:i/>
        </w:rPr>
        <w:t xml:space="preserve">Regulated </w:t>
      </w:r>
      <w:r w:rsidR="00FC1DDF">
        <w:rPr>
          <w:i/>
        </w:rPr>
        <w:t>actions</w:t>
      </w:r>
    </w:p>
    <w:p w14:paraId="1A742107" w14:textId="58FBF3EE" w:rsidR="00B0691C" w:rsidRDefault="00B96107" w:rsidP="000355FB">
      <w:r>
        <w:t xml:space="preserve">The Act </w:t>
      </w:r>
      <w:r w:rsidR="00C17919">
        <w:t>regulates certain kinds of foreign investment i</w:t>
      </w:r>
      <w:r w:rsidR="000B3B50">
        <w:t xml:space="preserve">n Australia to ensure that </w:t>
      </w:r>
      <w:r w:rsidR="0029503E">
        <w:t>these are</w:t>
      </w:r>
      <w:r w:rsidR="00C17919">
        <w:t xml:space="preserve"> not contrary to the national interest. Specifically, the Act </w:t>
      </w:r>
      <w:r>
        <w:t xml:space="preserve">enables the Treasurer to </w:t>
      </w:r>
      <w:r w:rsidR="008953CF">
        <w:t>make certain orders in relation to</w:t>
      </w:r>
      <w:r w:rsidR="00EE6C25">
        <w:t xml:space="preserve"> a ‘significant action</w:t>
      </w:r>
      <w:r w:rsidR="008953CF">
        <w:t xml:space="preserve">’. </w:t>
      </w:r>
      <w:r w:rsidR="00B0691C">
        <w:t>Broadly, a significant action is an action to acquire interests in securities, assets or land, or otherwise take action in relation to corporations and unit</w:t>
      </w:r>
      <w:r w:rsidR="000A1C71">
        <w:t xml:space="preserve"> trust</w:t>
      </w:r>
      <w:r w:rsidR="00B0691C">
        <w:t xml:space="preserve">s. An action is generally only a significant action if it meets the </w:t>
      </w:r>
      <w:r w:rsidR="004F5568">
        <w:t xml:space="preserve">percentage </w:t>
      </w:r>
      <w:r w:rsidR="00B0691C">
        <w:t>interest and monetary threshold</w:t>
      </w:r>
      <w:r w:rsidR="000A1C71">
        <w:t xml:space="preserve"> value</w:t>
      </w:r>
      <w:r w:rsidR="00B0691C">
        <w:t>s (if such thresholds apply to the action) and the action result</w:t>
      </w:r>
      <w:r w:rsidR="002A5F8D">
        <w:t>s</w:t>
      </w:r>
      <w:r w:rsidR="00B0691C">
        <w:t xml:space="preserve"> in either a change in control involving a foreign person or the action is taken by a foreign person.</w:t>
      </w:r>
    </w:p>
    <w:p w14:paraId="685E5019" w14:textId="0E2C2582" w:rsidR="008953CF" w:rsidRDefault="008953CF" w:rsidP="000355FB">
      <w:r>
        <w:t>If a person proposes to take, or has taken, a significant action, the Treasurer has power</w:t>
      </w:r>
      <w:r w:rsidR="000B3B50">
        <w:t xml:space="preserve"> under the Act</w:t>
      </w:r>
      <w:r>
        <w:t>:</w:t>
      </w:r>
    </w:p>
    <w:p w14:paraId="1A629F23" w14:textId="54C9E23A" w:rsidR="008953CF" w:rsidRDefault="000B3B50" w:rsidP="000355FB">
      <w:pPr>
        <w:pStyle w:val="Bullet"/>
        <w:spacing w:before="120"/>
      </w:pPr>
      <w:r>
        <w:t xml:space="preserve">to </w:t>
      </w:r>
      <w:r w:rsidR="008953CF">
        <w:t xml:space="preserve">decide that the Commonwealth has </w:t>
      </w:r>
      <w:r w:rsidR="000A1C71">
        <w:t>no </w:t>
      </w:r>
      <w:r w:rsidR="008953CF">
        <w:t>objection to the action</w:t>
      </w:r>
      <w:r w:rsidR="00C17919">
        <w:t>;</w:t>
      </w:r>
    </w:p>
    <w:p w14:paraId="420C2DD6" w14:textId="52080E4B" w:rsidR="008953CF" w:rsidRDefault="000B3B50" w:rsidP="000355FB">
      <w:pPr>
        <w:pStyle w:val="Bullet"/>
        <w:spacing w:before="120"/>
      </w:pPr>
      <w:r>
        <w:t xml:space="preserve">to </w:t>
      </w:r>
      <w:r w:rsidR="008953CF">
        <w:t>impose conditions on the action</w:t>
      </w:r>
      <w:r w:rsidR="00C17919">
        <w:t>;</w:t>
      </w:r>
    </w:p>
    <w:p w14:paraId="0FDCE84A" w14:textId="13E060FC" w:rsidR="008953CF" w:rsidRDefault="000B3B50" w:rsidP="000355FB">
      <w:pPr>
        <w:pStyle w:val="Bullet"/>
        <w:spacing w:before="120"/>
      </w:pPr>
      <w:r>
        <w:t xml:space="preserve">to </w:t>
      </w:r>
      <w:r w:rsidR="008953CF">
        <w:t>prohibit the action</w:t>
      </w:r>
      <w:r w:rsidR="00C17919">
        <w:t>;</w:t>
      </w:r>
    </w:p>
    <w:p w14:paraId="5DDD0603" w14:textId="103F21AD" w:rsidR="008953CF" w:rsidRDefault="000B3B50" w:rsidP="000355FB">
      <w:pPr>
        <w:pStyle w:val="Bullet"/>
        <w:spacing w:before="120"/>
      </w:pPr>
      <w:r>
        <w:t xml:space="preserve">to </w:t>
      </w:r>
      <w:r w:rsidR="008953CF">
        <w:t>require the action to be undone</w:t>
      </w:r>
      <w:r w:rsidR="00C17919">
        <w:t xml:space="preserve"> (for </w:t>
      </w:r>
      <w:r w:rsidR="00967D2C">
        <w:t>example, by requiring the disposal of an interest that has been acquired)</w:t>
      </w:r>
      <w:r w:rsidR="008953CF">
        <w:t>.</w:t>
      </w:r>
    </w:p>
    <w:p w14:paraId="1BDE781A" w14:textId="502D83F2" w:rsidR="008953CF" w:rsidRDefault="008953CF" w:rsidP="000355FB">
      <w:pPr>
        <w:pStyle w:val="Bullet"/>
        <w:numPr>
          <w:ilvl w:val="0"/>
          <w:numId w:val="0"/>
        </w:numPr>
        <w:spacing w:before="120"/>
      </w:pPr>
      <w:r>
        <w:t>Some actions, which are called notifiable actions, must be notified to the Treasurer before the action can be taken</w:t>
      </w:r>
      <w:r w:rsidR="00967D2C">
        <w:t xml:space="preserve"> by a foreign person</w:t>
      </w:r>
      <w:r>
        <w:t>.</w:t>
      </w:r>
      <w:r w:rsidR="00967D2C">
        <w:t xml:space="preserve"> A person who takes a notifiable action </w:t>
      </w:r>
      <w:r w:rsidR="004F5568">
        <w:t xml:space="preserve">without doing so </w:t>
      </w:r>
      <w:r w:rsidR="00967D2C">
        <w:t>may be found guilty of an offence or t</w:t>
      </w:r>
      <w:r w:rsidR="00034815">
        <w:t>he subject of a civil penalty order</w:t>
      </w:r>
      <w:r w:rsidR="00967D2C">
        <w:t xml:space="preserve">. </w:t>
      </w:r>
    </w:p>
    <w:p w14:paraId="12ED5B9D" w14:textId="3C5FC9A8" w:rsidR="00B0691C" w:rsidRPr="00B0691C" w:rsidRDefault="00B0691C" w:rsidP="00B0691C">
      <w:pPr>
        <w:pStyle w:val="Bullet"/>
        <w:numPr>
          <w:ilvl w:val="0"/>
          <w:numId w:val="0"/>
        </w:numPr>
        <w:jc w:val="center"/>
        <w:rPr>
          <w:b/>
        </w:rPr>
      </w:pPr>
      <w:r w:rsidRPr="00B0691C">
        <w:rPr>
          <w:b/>
        </w:rPr>
        <w:t>Background information about the Regulation</w:t>
      </w:r>
    </w:p>
    <w:p w14:paraId="739094D5" w14:textId="09B3A96F" w:rsidR="008953CF" w:rsidRDefault="00631539" w:rsidP="000355FB">
      <w:pPr>
        <w:pStyle w:val="Bullet"/>
        <w:numPr>
          <w:ilvl w:val="0"/>
          <w:numId w:val="0"/>
        </w:numPr>
        <w:spacing w:before="120"/>
      </w:pPr>
      <w:r>
        <w:t>The Regulation</w:t>
      </w:r>
      <w:r w:rsidR="008953CF">
        <w:t>:</w:t>
      </w:r>
    </w:p>
    <w:p w14:paraId="51A34B99" w14:textId="0938E742" w:rsidR="00EE6C25" w:rsidRDefault="00C17919" w:rsidP="000355FB">
      <w:pPr>
        <w:pStyle w:val="Bullet"/>
        <w:spacing w:before="120"/>
      </w:pPr>
      <w:r>
        <w:t xml:space="preserve">prescribes the meaning of </w:t>
      </w:r>
      <w:r w:rsidR="00EE6C25">
        <w:t>certain terms used in the Act</w:t>
      </w:r>
      <w:r w:rsidR="00B0691C">
        <w:t xml:space="preserve"> and the Regulation</w:t>
      </w:r>
      <w:r w:rsidR="00C9140E">
        <w:t>;</w:t>
      </w:r>
    </w:p>
    <w:p w14:paraId="341AE1BC" w14:textId="7E09B312" w:rsidR="00AA57F8" w:rsidRDefault="00C17919" w:rsidP="000355FB">
      <w:pPr>
        <w:pStyle w:val="Bullet"/>
        <w:spacing w:before="120"/>
      </w:pPr>
      <w:r>
        <w:t xml:space="preserve">prescribes </w:t>
      </w:r>
      <w:r w:rsidR="008953CF">
        <w:t>exemptions from the Act</w:t>
      </w:r>
      <w:r>
        <w:t>;</w:t>
      </w:r>
    </w:p>
    <w:p w14:paraId="27B0DB17" w14:textId="4F00F7CD" w:rsidR="00082D1A" w:rsidRDefault="00972EB5" w:rsidP="000355FB">
      <w:pPr>
        <w:pStyle w:val="Bullet"/>
        <w:spacing w:before="120"/>
      </w:pPr>
      <w:r>
        <w:t xml:space="preserve">specifies monetary </w:t>
      </w:r>
      <w:r w:rsidR="008953CF">
        <w:t>th</w:t>
      </w:r>
      <w:r w:rsidR="00A1198E">
        <w:t>r</w:t>
      </w:r>
      <w:r w:rsidR="008953CF">
        <w:t>esholds for certain actions</w:t>
      </w:r>
      <w:r w:rsidR="00C9140E">
        <w:t>;</w:t>
      </w:r>
    </w:p>
    <w:p w14:paraId="4E570257" w14:textId="732F4B36" w:rsidR="00631539" w:rsidRDefault="00631539" w:rsidP="000355FB">
      <w:pPr>
        <w:pStyle w:val="Bullet"/>
        <w:spacing w:before="120"/>
      </w:pPr>
      <w:r>
        <w:t>explains how to work out the indexed value of cer</w:t>
      </w:r>
      <w:r w:rsidR="00972EB5">
        <w:t>tain amounts</w:t>
      </w:r>
      <w:r w:rsidR="00C9140E">
        <w:t>;</w:t>
      </w:r>
    </w:p>
    <w:p w14:paraId="3FCBE505" w14:textId="27177890" w:rsidR="00631539" w:rsidRDefault="00631539" w:rsidP="000355FB">
      <w:pPr>
        <w:pStyle w:val="Bullet"/>
        <w:spacing w:before="120"/>
      </w:pPr>
      <w:r>
        <w:t>prescribes that certain actions are ‘significant action’ and ‘notifiable action’ for the purposes of the Act</w:t>
      </w:r>
      <w:r w:rsidR="00C9140E">
        <w:t>;</w:t>
      </w:r>
    </w:p>
    <w:p w14:paraId="50EDCC0F" w14:textId="51D9E0EF" w:rsidR="00631539" w:rsidRDefault="00631539" w:rsidP="000355FB">
      <w:pPr>
        <w:pStyle w:val="Bullet"/>
        <w:spacing w:before="120"/>
      </w:pPr>
      <w:r>
        <w:t>spe</w:t>
      </w:r>
      <w:r w:rsidR="00972EB5">
        <w:t>cifies the kind of orders that m</w:t>
      </w:r>
      <w:r>
        <w:t>ay be made by the Treasurer with respect to proposed acquisitions and disposal orders</w:t>
      </w:r>
      <w:r w:rsidR="00C9140E">
        <w:t>;</w:t>
      </w:r>
    </w:p>
    <w:p w14:paraId="76A35E21" w14:textId="234B1BBD" w:rsidR="00B0691C" w:rsidRDefault="00972EB5" w:rsidP="000355FB">
      <w:pPr>
        <w:pStyle w:val="Bullet"/>
        <w:spacing w:before="120"/>
      </w:pPr>
      <w:r>
        <w:t xml:space="preserve">prescribes that </w:t>
      </w:r>
      <w:r w:rsidR="00791616">
        <w:t xml:space="preserve">certain </w:t>
      </w:r>
      <w:r>
        <w:t>action</w:t>
      </w:r>
      <w:r w:rsidR="00791616">
        <w:t>s</w:t>
      </w:r>
      <w:r>
        <w:t xml:space="preserve"> </w:t>
      </w:r>
      <w:r w:rsidR="00791616">
        <w:t xml:space="preserve">are </w:t>
      </w:r>
      <w:r>
        <w:t>not significant action</w:t>
      </w:r>
      <w:r w:rsidR="00791616">
        <w:t>s</w:t>
      </w:r>
      <w:r>
        <w:t xml:space="preserve"> or notifiable action</w:t>
      </w:r>
      <w:r w:rsidR="00791616">
        <w:t>s</w:t>
      </w:r>
      <w:r w:rsidR="00B0691C">
        <w:t>;</w:t>
      </w:r>
    </w:p>
    <w:p w14:paraId="4451E4B0" w14:textId="333FB2E4" w:rsidR="00B0691C" w:rsidRDefault="00B0691C" w:rsidP="000355FB">
      <w:pPr>
        <w:pStyle w:val="Bullet"/>
        <w:spacing w:before="120"/>
      </w:pPr>
      <w:r>
        <w:t>specifies information that may be disclosed for the purposes of reporting on the administration of the Act and the Regulation; and</w:t>
      </w:r>
    </w:p>
    <w:p w14:paraId="4794473F" w14:textId="3B078C31" w:rsidR="00603ACB" w:rsidRPr="00AD0EAC" w:rsidRDefault="00B0691C" w:rsidP="000355FB">
      <w:pPr>
        <w:pStyle w:val="Bullet"/>
        <w:spacing w:before="120"/>
      </w:pPr>
      <w:r>
        <w:t>deals with</w:t>
      </w:r>
      <w:r w:rsidR="00502EA5">
        <w:t xml:space="preserve"> certain transitional matters. </w:t>
      </w:r>
    </w:p>
    <w:p w14:paraId="7B7EEDAC" w14:textId="524DDE05" w:rsidR="0029503E" w:rsidRDefault="0029503E" w:rsidP="000355FB">
      <w:pPr>
        <w:pStyle w:val="Bullet"/>
        <w:numPr>
          <w:ilvl w:val="0"/>
          <w:numId w:val="0"/>
        </w:numPr>
        <w:spacing w:before="120"/>
      </w:pPr>
      <w:r>
        <w:rPr>
          <w:i/>
        </w:rPr>
        <w:t>Australia’s obligations under trade agreements</w:t>
      </w:r>
    </w:p>
    <w:p w14:paraId="66C4FF38" w14:textId="39B5895B" w:rsidR="007418C6" w:rsidRDefault="00315054" w:rsidP="000355FB">
      <w:pPr>
        <w:pStyle w:val="Bullet"/>
        <w:numPr>
          <w:ilvl w:val="0"/>
          <w:numId w:val="0"/>
        </w:numPr>
        <w:spacing w:before="120"/>
      </w:pPr>
      <w:r>
        <w:t>Australia is a Party to</w:t>
      </w:r>
      <w:r w:rsidR="00082D1A">
        <w:t xml:space="preserve"> </w:t>
      </w:r>
      <w:r>
        <w:t xml:space="preserve">trade agreements </w:t>
      </w:r>
      <w:r w:rsidR="0097740A">
        <w:t xml:space="preserve">with </w:t>
      </w:r>
      <w:r w:rsidR="00B91BF4">
        <w:t xml:space="preserve">Japan, </w:t>
      </w:r>
      <w:r w:rsidR="0097740A">
        <w:t xml:space="preserve">New Zealand, </w:t>
      </w:r>
      <w:r w:rsidR="00FC1DDF">
        <w:t xml:space="preserve">the Kingdom of Thailand (Thailand), </w:t>
      </w:r>
      <w:r w:rsidR="0097740A">
        <w:t>the Republic of Chile (Chile), the</w:t>
      </w:r>
      <w:r w:rsidR="00B91BF4">
        <w:t xml:space="preserve"> </w:t>
      </w:r>
      <w:r w:rsidR="0097740A">
        <w:t>Republic of Korea (Korea)</w:t>
      </w:r>
      <w:r w:rsidR="00B91BF4">
        <w:t xml:space="preserve">, </w:t>
      </w:r>
      <w:r w:rsidR="00FC1DDF">
        <w:t xml:space="preserve">the Republic of </w:t>
      </w:r>
      <w:r w:rsidR="00B91BF4">
        <w:t>Singapore</w:t>
      </w:r>
      <w:r w:rsidR="00FC1DDF">
        <w:t xml:space="preserve"> (Singapore)</w:t>
      </w:r>
      <w:r w:rsidR="00B91BF4">
        <w:t xml:space="preserve"> and the </w:t>
      </w:r>
      <w:r w:rsidR="00DF63C0">
        <w:t>United </w:t>
      </w:r>
      <w:r w:rsidR="00B91BF4">
        <w:t>States of America (</w:t>
      </w:r>
      <w:r w:rsidR="00DF63C0">
        <w:t>United </w:t>
      </w:r>
      <w:r w:rsidR="004F5568">
        <w:t>States</w:t>
      </w:r>
      <w:r w:rsidR="00B91BF4">
        <w:t>)</w:t>
      </w:r>
      <w:r w:rsidR="0097740A">
        <w:t xml:space="preserve">. In broad terms, </w:t>
      </w:r>
      <w:r w:rsidR="007418C6">
        <w:t xml:space="preserve">most of </w:t>
      </w:r>
      <w:r w:rsidR="00C124C1">
        <w:t xml:space="preserve">these agreements </w:t>
      </w:r>
      <w:r>
        <w:t xml:space="preserve">require Australia to accord to investors of the other Party </w:t>
      </w:r>
      <w:r w:rsidR="00C124C1">
        <w:t xml:space="preserve">to these agreements </w:t>
      </w:r>
      <w:r>
        <w:t>treatment no less favourable than it accords, in like circumstanc</w:t>
      </w:r>
      <w:r w:rsidR="00A1198E">
        <w:t>es</w:t>
      </w:r>
      <w:r w:rsidR="004F5568">
        <w:t>,</w:t>
      </w:r>
      <w:r w:rsidR="00A1198E">
        <w:t xml:space="preserve"> </w:t>
      </w:r>
      <w:r>
        <w:t xml:space="preserve">to its own investors with respect to investment. </w:t>
      </w:r>
      <w:r w:rsidR="00A1198E">
        <w:t xml:space="preserve">This overarching obligation is subject to various </w:t>
      </w:r>
      <w:r w:rsidR="004F5568">
        <w:t xml:space="preserve">reservations </w:t>
      </w:r>
      <w:r w:rsidR="00D104A8">
        <w:t>which differ</w:t>
      </w:r>
      <w:r w:rsidR="008D17D7">
        <w:t xml:space="preserve"> in each </w:t>
      </w:r>
      <w:r w:rsidR="00B91BF4">
        <w:t>agreement</w:t>
      </w:r>
      <w:r w:rsidR="00A1198E">
        <w:t xml:space="preserve">. </w:t>
      </w:r>
      <w:r>
        <w:t xml:space="preserve">To comply with the obligations imposed </w:t>
      </w:r>
      <w:r w:rsidR="00601DA0">
        <w:t>by the</w:t>
      </w:r>
      <w:r w:rsidR="004F5568">
        <w:t>se agreements</w:t>
      </w:r>
      <w:r w:rsidR="00C22CAD">
        <w:t xml:space="preserve"> the following applies (except in relation to foreign government investors)</w:t>
      </w:r>
      <w:r w:rsidR="007418C6">
        <w:t>:</w:t>
      </w:r>
    </w:p>
    <w:p w14:paraId="7DD3B07D" w14:textId="03816027" w:rsidR="007418C6" w:rsidRDefault="00C22CAD" w:rsidP="000355FB">
      <w:pPr>
        <w:pStyle w:val="Bullet"/>
        <w:spacing w:before="120"/>
      </w:pPr>
      <w:r>
        <w:t xml:space="preserve">Higher </w:t>
      </w:r>
      <w:r w:rsidR="00823F1A">
        <w:t>threshold</w:t>
      </w:r>
      <w:r w:rsidR="003A0AE0">
        <w:t xml:space="preserve"> value</w:t>
      </w:r>
      <w:r w:rsidR="00823F1A">
        <w:t xml:space="preserve">s apply to </w:t>
      </w:r>
      <w:r w:rsidR="00E15B98">
        <w:t xml:space="preserve">some actions taken or proposed to be taken by </w:t>
      </w:r>
      <w:r w:rsidR="00874B9C">
        <w:t xml:space="preserve">the entities of </w:t>
      </w:r>
      <w:r w:rsidR="003A0AE0">
        <w:t>most of these</w:t>
      </w:r>
      <w:r w:rsidR="00F75265">
        <w:t xml:space="preserve"> countries</w:t>
      </w:r>
      <w:r>
        <w:t xml:space="preserve">. For some actions, a prescribed threshold value </w:t>
      </w:r>
      <w:r w:rsidR="000A1C71">
        <w:t xml:space="preserve">(that is, monetary amount) </w:t>
      </w:r>
      <w:r>
        <w:t>must be met before an action can be either a significant action or notifiable action under this Act.</w:t>
      </w:r>
    </w:p>
    <w:p w14:paraId="1035F805" w14:textId="4679B92E" w:rsidR="008953CF" w:rsidRDefault="00C22CAD" w:rsidP="000355FB">
      <w:pPr>
        <w:pStyle w:val="Bullet"/>
        <w:spacing w:before="120"/>
      </w:pPr>
      <w:r>
        <w:t xml:space="preserve">Entities </w:t>
      </w:r>
      <w:r w:rsidR="004F5568">
        <w:t xml:space="preserve">of </w:t>
      </w:r>
      <w:r w:rsidR="003A0AE0">
        <w:t xml:space="preserve">some of </w:t>
      </w:r>
      <w:r w:rsidR="004F5568">
        <w:t>these countries are also subject to differing treatment</w:t>
      </w:r>
      <w:r w:rsidR="00530CCE">
        <w:t xml:space="preserve"> in relation to agribusinesses and agricultural land</w:t>
      </w:r>
      <w:r w:rsidR="003A0AE0">
        <w:t>, or land that is used wholly and exclusively for a primary production business</w:t>
      </w:r>
      <w:r w:rsidR="007D6E84">
        <w:t xml:space="preserve">. </w:t>
      </w:r>
    </w:p>
    <w:p w14:paraId="0652BABF" w14:textId="77777777" w:rsidR="00AA57F8" w:rsidRDefault="00AA57F8">
      <w:pPr>
        <w:spacing w:before="0" w:after="0"/>
      </w:pPr>
      <w:r>
        <w:br w:type="page"/>
      </w:r>
    </w:p>
    <w:p w14:paraId="2ED2F5DF" w14:textId="1DEE4BCA" w:rsidR="00E4438C" w:rsidRPr="00FC1DDF" w:rsidRDefault="00D314CA" w:rsidP="00AA57F8">
      <w:pPr>
        <w:jc w:val="right"/>
        <w:rPr>
          <w:b/>
        </w:rPr>
      </w:pPr>
      <w:r w:rsidRPr="00FC1DDF">
        <w:rPr>
          <w:b/>
          <w:u w:val="single"/>
        </w:rPr>
        <w:t>ATTACHMENT </w:t>
      </w:r>
      <w:r w:rsidR="00537AE7" w:rsidRPr="00FC1DDF">
        <w:rPr>
          <w:b/>
          <w:u w:val="single"/>
        </w:rPr>
        <w:t>B</w:t>
      </w:r>
    </w:p>
    <w:p w14:paraId="26B44C93" w14:textId="2EF30720" w:rsidR="00AA57F8" w:rsidRDefault="00AA57F8" w:rsidP="00B73651">
      <w:pPr>
        <w:jc w:val="center"/>
        <w:rPr>
          <w:b/>
        </w:rPr>
      </w:pPr>
      <w:r>
        <w:rPr>
          <w:b/>
        </w:rPr>
        <w:t xml:space="preserve">Details of the </w:t>
      </w:r>
      <w:r w:rsidRPr="00FC1DDF">
        <w:rPr>
          <w:b/>
          <w:i/>
        </w:rPr>
        <w:t xml:space="preserve">Foreign Acquisitions and Takeovers </w:t>
      </w:r>
      <w:r w:rsidR="003F67AD" w:rsidRPr="00FC1DDF">
        <w:rPr>
          <w:b/>
          <w:i/>
        </w:rPr>
        <w:t>Regulation</w:t>
      </w:r>
      <w:r w:rsidR="003F67AD">
        <w:rPr>
          <w:b/>
          <w:i/>
        </w:rPr>
        <w:t> </w:t>
      </w:r>
      <w:r w:rsidRPr="00FC1DDF">
        <w:rPr>
          <w:b/>
          <w:i/>
        </w:rPr>
        <w:t>2015</w:t>
      </w:r>
    </w:p>
    <w:p w14:paraId="748F755D" w14:textId="0861CA03" w:rsidR="005929FA" w:rsidRPr="00B2272E" w:rsidRDefault="00B16D34" w:rsidP="00301EFF">
      <w:pPr>
        <w:pStyle w:val="Heading2"/>
      </w:pPr>
      <w:r w:rsidRPr="00E73470">
        <w:t>Par</w:t>
      </w:r>
      <w:r w:rsidRPr="00B2272E">
        <w:t>t </w:t>
      </w:r>
      <w:r w:rsidR="009B5390" w:rsidRPr="00B2272E">
        <w:t>1 </w:t>
      </w:r>
      <w:r w:rsidR="009B5390" w:rsidRPr="00B2272E">
        <w:rPr>
          <w:rFonts w:ascii="Calibri" w:hAnsi="Calibri"/>
        </w:rPr>
        <w:t>—</w:t>
      </w:r>
      <w:r w:rsidR="009B5390" w:rsidRPr="00B2272E">
        <w:t> </w:t>
      </w:r>
      <w:r w:rsidR="005929FA" w:rsidRPr="00B2272E">
        <w:t>Preliminary</w:t>
      </w:r>
    </w:p>
    <w:p w14:paraId="3E9654E4" w14:textId="518E6170" w:rsidR="005929FA" w:rsidRPr="00B2272E" w:rsidRDefault="00301EFF" w:rsidP="00AA57F8">
      <w:pPr>
        <w:rPr>
          <w:b/>
        </w:rPr>
      </w:pPr>
      <w:r w:rsidRPr="00B2272E">
        <w:rPr>
          <w:b/>
        </w:rPr>
        <w:t>Section </w:t>
      </w:r>
      <w:r w:rsidR="009B5390" w:rsidRPr="00B2272E">
        <w:rPr>
          <w:b/>
        </w:rPr>
        <w:t>1 </w:t>
      </w:r>
      <w:r w:rsidR="009B5390" w:rsidRPr="00B2272E">
        <w:rPr>
          <w:rFonts w:ascii="Calibri" w:hAnsi="Calibri"/>
          <w:b/>
        </w:rPr>
        <w:t>—</w:t>
      </w:r>
      <w:r w:rsidR="009B5390" w:rsidRPr="00B2272E">
        <w:rPr>
          <w:b/>
        </w:rPr>
        <w:t> </w:t>
      </w:r>
      <w:r w:rsidR="005929FA" w:rsidRPr="00B2272E">
        <w:rPr>
          <w:b/>
        </w:rPr>
        <w:t>Name</w:t>
      </w:r>
    </w:p>
    <w:p w14:paraId="28437C15" w14:textId="721F1EF1" w:rsidR="005929FA" w:rsidRPr="00B2272E" w:rsidRDefault="00341CCF" w:rsidP="00AA57F8">
      <w:r w:rsidRPr="00B2272E">
        <w:t>T</w:t>
      </w:r>
      <w:r w:rsidR="005929FA" w:rsidRPr="00B2272E">
        <w:t xml:space="preserve">he title of the Regulation is the </w:t>
      </w:r>
      <w:r w:rsidR="005929FA" w:rsidRPr="00B2272E">
        <w:rPr>
          <w:i/>
        </w:rPr>
        <w:t xml:space="preserve">Foreign Acquisitions and Takeovers </w:t>
      </w:r>
      <w:r w:rsidR="00D314CA" w:rsidRPr="00B2272E">
        <w:rPr>
          <w:i/>
        </w:rPr>
        <w:t>Regulation </w:t>
      </w:r>
      <w:r w:rsidR="005929FA" w:rsidRPr="00B2272E">
        <w:rPr>
          <w:i/>
        </w:rPr>
        <w:t>2015</w:t>
      </w:r>
      <w:r w:rsidR="003F67AD" w:rsidRPr="00B2272E">
        <w:rPr>
          <w:i/>
        </w:rPr>
        <w:t xml:space="preserve"> </w:t>
      </w:r>
      <w:r w:rsidR="003F67AD" w:rsidRPr="00B2272E">
        <w:t>(Regulation)</w:t>
      </w:r>
      <w:r w:rsidR="005929FA" w:rsidRPr="00B2272E">
        <w:t xml:space="preserve">. </w:t>
      </w:r>
    </w:p>
    <w:p w14:paraId="3F209C81" w14:textId="318AD852" w:rsidR="005929FA" w:rsidRPr="00E81137" w:rsidRDefault="00301EFF" w:rsidP="00AA57F8">
      <w:pPr>
        <w:rPr>
          <w:b/>
        </w:rPr>
      </w:pPr>
      <w:r w:rsidRPr="00B2272E">
        <w:rPr>
          <w:b/>
        </w:rPr>
        <w:t>Section </w:t>
      </w:r>
      <w:r w:rsidR="009B5390" w:rsidRPr="00B2272E">
        <w:rPr>
          <w:b/>
        </w:rPr>
        <w:t>2 </w:t>
      </w:r>
      <w:r w:rsidR="009B5390" w:rsidRPr="00B2272E">
        <w:rPr>
          <w:rFonts w:ascii="Calibri" w:hAnsi="Calibri"/>
          <w:b/>
        </w:rPr>
        <w:t>—</w:t>
      </w:r>
      <w:r w:rsidR="009B5390" w:rsidRPr="00B2272E">
        <w:rPr>
          <w:b/>
        </w:rPr>
        <w:t> </w:t>
      </w:r>
      <w:r w:rsidR="005929FA" w:rsidRPr="00B2272E">
        <w:rPr>
          <w:b/>
        </w:rPr>
        <w:t>Comm</w:t>
      </w:r>
      <w:r w:rsidR="005929FA" w:rsidRPr="00E81137">
        <w:rPr>
          <w:b/>
        </w:rPr>
        <w:t>encement</w:t>
      </w:r>
    </w:p>
    <w:p w14:paraId="2217D181" w14:textId="1B15A1CA" w:rsidR="003E1354" w:rsidRDefault="00341CCF" w:rsidP="00AA57F8">
      <w:r>
        <w:t>T</w:t>
      </w:r>
      <w:r w:rsidR="003E1354">
        <w:t>he Regulation commenc</w:t>
      </w:r>
      <w:r w:rsidR="003A4243">
        <w:t>e</w:t>
      </w:r>
      <w:r w:rsidR="005C29CA">
        <w:t>d</w:t>
      </w:r>
      <w:r w:rsidR="003A4243">
        <w:t xml:space="preserve"> </w:t>
      </w:r>
      <w:r w:rsidR="005C29CA">
        <w:t xml:space="preserve">on the </w:t>
      </w:r>
      <w:r w:rsidR="003A0AE0">
        <w:t xml:space="preserve">later of the </w:t>
      </w:r>
      <w:r w:rsidR="005C29CA">
        <w:t>day after the instrument was registered on the Federal Register of Legislative Instruments or immediately after the commencement of</w:t>
      </w:r>
      <w:r w:rsidR="003A4243">
        <w:t xml:space="preserve"> Schedule </w:t>
      </w:r>
      <w:r w:rsidR="003E1354">
        <w:t xml:space="preserve">1 to the </w:t>
      </w:r>
      <w:r w:rsidR="00D314CA" w:rsidRPr="00684356">
        <w:rPr>
          <w:i/>
        </w:rPr>
        <w:t>Foreign</w:t>
      </w:r>
      <w:r w:rsidR="00D314CA">
        <w:rPr>
          <w:i/>
        </w:rPr>
        <w:t> </w:t>
      </w:r>
      <w:r w:rsidR="003E1354" w:rsidRPr="00684356">
        <w:rPr>
          <w:i/>
        </w:rPr>
        <w:t xml:space="preserve">Acquisitions and Takeovers Amendment </w:t>
      </w:r>
      <w:r w:rsidR="00D314CA" w:rsidRPr="00684356">
        <w:rPr>
          <w:i/>
        </w:rPr>
        <w:t>Act</w:t>
      </w:r>
      <w:r w:rsidR="00D314CA">
        <w:rPr>
          <w:i/>
        </w:rPr>
        <w:t> </w:t>
      </w:r>
      <w:r w:rsidR="003E1354" w:rsidRPr="00684356">
        <w:rPr>
          <w:i/>
        </w:rPr>
        <w:t>2015</w:t>
      </w:r>
      <w:r w:rsidR="003E1354">
        <w:t xml:space="preserve"> </w:t>
      </w:r>
      <w:r w:rsidR="002341C4">
        <w:t>(Amending Act)</w:t>
      </w:r>
      <w:r w:rsidR="003E1354">
        <w:t xml:space="preserve">. </w:t>
      </w:r>
    </w:p>
    <w:p w14:paraId="3539FBCE" w14:textId="3099A4B0" w:rsidR="003E1354" w:rsidRPr="00E81137" w:rsidRDefault="00301EFF" w:rsidP="00AA57F8">
      <w:pPr>
        <w:rPr>
          <w:b/>
        </w:rPr>
      </w:pPr>
      <w:r w:rsidRPr="00E81137">
        <w:rPr>
          <w:b/>
        </w:rPr>
        <w:t>Section</w:t>
      </w:r>
      <w:r>
        <w:rPr>
          <w:b/>
        </w:rPr>
        <w:t> </w:t>
      </w:r>
      <w:r w:rsidR="003E1354" w:rsidRPr="00E81137">
        <w:rPr>
          <w:b/>
        </w:rPr>
        <w:t>3</w:t>
      </w:r>
      <w:r w:rsidR="009B5390">
        <w:rPr>
          <w:b/>
        </w:rPr>
        <w:t> </w:t>
      </w:r>
      <w:r w:rsidR="009B5390" w:rsidRPr="00E81137">
        <w:rPr>
          <w:rFonts w:ascii="Calibri" w:hAnsi="Calibri"/>
          <w:b/>
        </w:rPr>
        <w:t>—</w:t>
      </w:r>
      <w:r w:rsidR="009B5390">
        <w:rPr>
          <w:rFonts w:ascii="Calibri" w:hAnsi="Calibri"/>
          <w:b/>
        </w:rPr>
        <w:t> </w:t>
      </w:r>
      <w:r w:rsidR="003E1354" w:rsidRPr="00E81137">
        <w:rPr>
          <w:b/>
        </w:rPr>
        <w:t>Authority</w:t>
      </w:r>
    </w:p>
    <w:p w14:paraId="55A43A92" w14:textId="7BF02CF1" w:rsidR="007B67EB" w:rsidRDefault="00341CCF" w:rsidP="00AA57F8">
      <w:r>
        <w:t>T</w:t>
      </w:r>
      <w:r w:rsidR="00E744A9">
        <w:t xml:space="preserve">he Regulation is made under the </w:t>
      </w:r>
      <w:r w:rsidR="00E744A9" w:rsidRPr="00E744A9">
        <w:rPr>
          <w:i/>
        </w:rPr>
        <w:t xml:space="preserve">Foreign Acquisitions and Takeovers </w:t>
      </w:r>
      <w:r w:rsidR="00D314CA" w:rsidRPr="00E744A9">
        <w:rPr>
          <w:i/>
        </w:rPr>
        <w:t>Act</w:t>
      </w:r>
      <w:r w:rsidR="00D314CA">
        <w:rPr>
          <w:i/>
        </w:rPr>
        <w:t> </w:t>
      </w:r>
      <w:r w:rsidR="00E744A9" w:rsidRPr="00E744A9">
        <w:rPr>
          <w:i/>
        </w:rPr>
        <w:t>1975</w:t>
      </w:r>
      <w:r w:rsidR="003F67AD">
        <w:rPr>
          <w:i/>
        </w:rPr>
        <w:t xml:space="preserve"> </w:t>
      </w:r>
      <w:r w:rsidR="003F67AD" w:rsidRPr="003F67AD">
        <w:t>(Act)</w:t>
      </w:r>
      <w:r w:rsidR="00E744A9">
        <w:t>.</w:t>
      </w:r>
      <w:r w:rsidR="001B1A41">
        <w:t xml:space="preserve"> </w:t>
      </w:r>
    </w:p>
    <w:p w14:paraId="6BF7FADA" w14:textId="114FAF0F" w:rsidR="007B67EB" w:rsidRPr="00B2272E" w:rsidRDefault="0087525B" w:rsidP="00AA57F8">
      <w:r w:rsidRPr="00E73470">
        <w:rPr>
          <w:b/>
        </w:rPr>
        <w:t>Secti</w:t>
      </w:r>
      <w:r w:rsidRPr="00B2272E">
        <w:rPr>
          <w:b/>
        </w:rPr>
        <w:t>on 4</w:t>
      </w:r>
      <w:r w:rsidR="009B5390" w:rsidRPr="00B2272E">
        <w:rPr>
          <w:b/>
        </w:rPr>
        <w:t> </w:t>
      </w:r>
      <w:r w:rsidR="009B5390" w:rsidRPr="00B2272E">
        <w:rPr>
          <w:rFonts w:ascii="Calibri" w:hAnsi="Calibri"/>
          <w:b/>
        </w:rPr>
        <w:t>—</w:t>
      </w:r>
      <w:r w:rsidR="009B5390" w:rsidRPr="00B2272E">
        <w:rPr>
          <w:b/>
        </w:rPr>
        <w:t> </w:t>
      </w:r>
      <w:r w:rsidRPr="00B2272E">
        <w:rPr>
          <w:b/>
        </w:rPr>
        <w:t>Simplified outline of this Part</w:t>
      </w:r>
    </w:p>
    <w:p w14:paraId="42ED0CC6" w14:textId="2D2AE285" w:rsidR="008F516A" w:rsidRPr="00B2272E" w:rsidRDefault="008F516A" w:rsidP="00AA57F8">
      <w:pPr>
        <w:rPr>
          <w:b/>
        </w:rPr>
      </w:pPr>
      <w:r w:rsidRPr="00B2272E">
        <w:t>Section 4 provides a simplified outl</w:t>
      </w:r>
      <w:r w:rsidR="008F075A" w:rsidRPr="00B2272E">
        <w:t>ine of Part 1 of the Regulation, which defines terms that are used in the Regulation.</w:t>
      </w:r>
      <w:r w:rsidRPr="00B2272E">
        <w:t xml:space="preserve"> </w:t>
      </w:r>
    </w:p>
    <w:p w14:paraId="36405941" w14:textId="2C4C455B" w:rsidR="00E744A9" w:rsidRPr="00B2272E" w:rsidRDefault="00301EFF" w:rsidP="00AA57F8">
      <w:pPr>
        <w:rPr>
          <w:b/>
        </w:rPr>
      </w:pPr>
      <w:r w:rsidRPr="00B2272E">
        <w:rPr>
          <w:b/>
        </w:rPr>
        <w:t>Section </w:t>
      </w:r>
      <w:r w:rsidR="00E744A9" w:rsidRPr="00B2272E">
        <w:rPr>
          <w:b/>
        </w:rPr>
        <w:t>5</w:t>
      </w:r>
      <w:r w:rsidR="009B5390" w:rsidRPr="00B2272E">
        <w:rPr>
          <w:b/>
        </w:rPr>
        <w:t> </w:t>
      </w:r>
      <w:r w:rsidR="009B5390" w:rsidRPr="00B2272E">
        <w:rPr>
          <w:rFonts w:ascii="Calibri" w:hAnsi="Calibri"/>
          <w:b/>
        </w:rPr>
        <w:t>—</w:t>
      </w:r>
      <w:r w:rsidR="009B5390" w:rsidRPr="00B2272E">
        <w:rPr>
          <w:b/>
        </w:rPr>
        <w:t> </w:t>
      </w:r>
      <w:r w:rsidR="00E744A9" w:rsidRPr="00B2272E">
        <w:rPr>
          <w:b/>
        </w:rPr>
        <w:t>Definitions</w:t>
      </w:r>
    </w:p>
    <w:p w14:paraId="1B6649E5" w14:textId="75892048" w:rsidR="00967D2C" w:rsidRPr="00B2272E" w:rsidRDefault="00684356" w:rsidP="00AA57F8">
      <w:pPr>
        <w:rPr>
          <w:i/>
        </w:rPr>
      </w:pPr>
      <w:r w:rsidRPr="00B2272E">
        <w:t xml:space="preserve">This section </w:t>
      </w:r>
      <w:r w:rsidR="008953CF" w:rsidRPr="00B2272E">
        <w:t>defines a number of terms</w:t>
      </w:r>
      <w:r w:rsidR="00E744A9" w:rsidRPr="00B2272E">
        <w:t xml:space="preserve"> used in the Regulation. A number of </w:t>
      </w:r>
      <w:r w:rsidR="00341CCF" w:rsidRPr="00B2272E">
        <w:t xml:space="preserve">other </w:t>
      </w:r>
      <w:r w:rsidR="00E744A9" w:rsidRPr="00B2272E">
        <w:t>terms used in the Regulat</w:t>
      </w:r>
      <w:r w:rsidR="00341CCF" w:rsidRPr="00B2272E">
        <w:t xml:space="preserve">ion </w:t>
      </w:r>
      <w:r w:rsidR="00E744A9" w:rsidRPr="00B2272E">
        <w:t xml:space="preserve">are defined in </w:t>
      </w:r>
      <w:r w:rsidR="008F516A" w:rsidRPr="00B2272E">
        <w:t xml:space="preserve">section 4 of </w:t>
      </w:r>
      <w:r w:rsidR="00E744A9" w:rsidRPr="00B2272E">
        <w:t>the</w:t>
      </w:r>
      <w:r w:rsidR="00182C2D" w:rsidRPr="00B2272E">
        <w:t xml:space="preserve"> Act</w:t>
      </w:r>
      <w:r w:rsidR="00E744A9" w:rsidRPr="00B2272E">
        <w:rPr>
          <w:i/>
        </w:rPr>
        <w:t>.</w:t>
      </w:r>
    </w:p>
    <w:p w14:paraId="4EC73C38" w14:textId="10F7115B" w:rsidR="00967D2C" w:rsidRPr="00E81137" w:rsidRDefault="00301EFF" w:rsidP="00AA57F8">
      <w:pPr>
        <w:rPr>
          <w:b/>
        </w:rPr>
      </w:pPr>
      <w:r w:rsidRPr="00B2272E">
        <w:rPr>
          <w:b/>
        </w:rPr>
        <w:t>Section </w:t>
      </w:r>
      <w:r w:rsidR="00AE01AA" w:rsidRPr="00B2272E">
        <w:rPr>
          <w:b/>
        </w:rPr>
        <w:t>6</w:t>
      </w:r>
      <w:r w:rsidR="009B5390" w:rsidRPr="00B2272E">
        <w:rPr>
          <w:b/>
        </w:rPr>
        <w:t> </w:t>
      </w:r>
      <w:r w:rsidR="009B5390" w:rsidRPr="00B2272E">
        <w:rPr>
          <w:rFonts w:ascii="Calibri" w:hAnsi="Calibri"/>
          <w:b/>
        </w:rPr>
        <w:t>—</w:t>
      </w:r>
      <w:r w:rsidR="009B5390" w:rsidRPr="00B2272E">
        <w:rPr>
          <w:b/>
        </w:rPr>
        <w:t> </w:t>
      </w:r>
      <w:r w:rsidR="00967D2C" w:rsidRPr="00B2272E">
        <w:rPr>
          <w:b/>
        </w:rPr>
        <w:t>Meaning of ‘acquire’ an interest of a specified percentage in a business</w:t>
      </w:r>
    </w:p>
    <w:p w14:paraId="21431C33" w14:textId="66666580" w:rsidR="00967D2C" w:rsidRDefault="00341CCF" w:rsidP="000355FB">
      <w:r>
        <w:t>A</w:t>
      </w:r>
      <w:r w:rsidR="00967D2C">
        <w:t xml:space="preserve"> </w:t>
      </w:r>
      <w:r w:rsidR="00F6483A">
        <w:t xml:space="preserve">person acquires an </w:t>
      </w:r>
      <w:r w:rsidR="00967D2C">
        <w:t>interest of a specified percentage in a business if the person:</w:t>
      </w:r>
    </w:p>
    <w:p w14:paraId="7A73DDB1" w14:textId="78E83FDC" w:rsidR="00967D2C" w:rsidRDefault="00967D2C" w:rsidP="000355FB">
      <w:pPr>
        <w:pStyle w:val="Bullet"/>
        <w:spacing w:before="120"/>
      </w:pPr>
      <w:r>
        <w:t>starts to hold an interest of that percentage in the business;</w:t>
      </w:r>
    </w:p>
    <w:p w14:paraId="00E6E04C" w14:textId="5B7BD561" w:rsidR="00967D2C" w:rsidRDefault="00967D2C" w:rsidP="000355FB">
      <w:pPr>
        <w:pStyle w:val="Bullet"/>
        <w:spacing w:before="120"/>
      </w:pPr>
      <w:r>
        <w:t>would start to hold an interest of that pe</w:t>
      </w:r>
      <w:r w:rsidR="00341CCF">
        <w:t>rcentage in the business if it is assume</w:t>
      </w:r>
      <w:r w:rsidR="007F07C7">
        <w:t>d</w:t>
      </w:r>
      <w:r>
        <w:t xml:space="preserve"> that the person held interests in the assets of the business that are interests that he or she has offered to acquire</w:t>
      </w:r>
      <w:r w:rsidR="00810043">
        <w:t xml:space="preserve"> (including by making or publishing a statement that exp</w:t>
      </w:r>
      <w:r w:rsidR="00F6483A">
        <w:t>ressly or impliedly invites a h</w:t>
      </w:r>
      <w:r w:rsidR="00810043">
        <w:t xml:space="preserve">older of interests </w:t>
      </w:r>
      <w:r w:rsidR="00F6483A">
        <w:t>to offer to dispose of interests in assets</w:t>
      </w:r>
      <w:r w:rsidR="00B74824">
        <w:t>)</w:t>
      </w:r>
      <w:r>
        <w:t>;</w:t>
      </w:r>
    </w:p>
    <w:p w14:paraId="7C2F8BC1" w14:textId="68A7BDF9" w:rsidR="00810043" w:rsidRDefault="00967D2C" w:rsidP="000355FB">
      <w:pPr>
        <w:pStyle w:val="Bullet"/>
        <w:spacing w:before="120"/>
      </w:pPr>
      <w:r>
        <w:t>for a person who already holds an interest of that percentage in the business, the person starts to hold additional interests in assets of the business</w:t>
      </w:r>
      <w:r w:rsidR="00341CCF">
        <w:t>,</w:t>
      </w:r>
      <w:r>
        <w:t xml:space="preserve"> or would start to </w:t>
      </w:r>
      <w:r w:rsidR="00810043">
        <w:t>hold additional interests in as</w:t>
      </w:r>
      <w:r>
        <w:t xml:space="preserve">sets of the business </w:t>
      </w:r>
      <w:r w:rsidR="0095580B">
        <w:t xml:space="preserve">if interests in assets of the business </w:t>
      </w:r>
      <w:r w:rsidR="00810043">
        <w:t xml:space="preserve">were transferred as the result of the exercise of an option or </w:t>
      </w:r>
      <w:r w:rsidR="0095580B">
        <w:t xml:space="preserve">has </w:t>
      </w:r>
      <w:r w:rsidR="00810043">
        <w:t>a right</w:t>
      </w:r>
      <w:r w:rsidR="0095580B">
        <w:t xml:space="preserve"> (other than by </w:t>
      </w:r>
      <w:r w:rsidR="0095580B" w:rsidRPr="004C036B">
        <w:t>reason of</w:t>
      </w:r>
      <w:r w:rsidR="002216AF" w:rsidRPr="004C036B">
        <w:t xml:space="preserve"> </w:t>
      </w:r>
      <w:r w:rsidR="002216AF">
        <w:t>an interest under a trust)</w:t>
      </w:r>
      <w:r w:rsidR="0095580B" w:rsidRPr="004C036B">
        <w:t xml:space="preserve"> </w:t>
      </w:r>
      <w:r w:rsidR="00810043" w:rsidRPr="004C036B">
        <w:t>to have such</w:t>
      </w:r>
      <w:r w:rsidR="00810043">
        <w:t xml:space="preserve"> an interest transferred to the person or to </w:t>
      </w:r>
      <w:r w:rsidR="00341CCF">
        <w:t>the person’s associate. Section </w:t>
      </w:r>
      <w:r w:rsidR="00810043">
        <w:t>6 of the Act specifies who is an associate of a person.</w:t>
      </w:r>
    </w:p>
    <w:p w14:paraId="69A5C3E0" w14:textId="79B1EBF7" w:rsidR="00572DE4" w:rsidRDefault="00810043" w:rsidP="00AD044B">
      <w:pPr>
        <w:pStyle w:val="Bullet"/>
        <w:keepNext/>
        <w:numPr>
          <w:ilvl w:val="0"/>
          <w:numId w:val="0"/>
        </w:numPr>
        <w:spacing w:before="120"/>
      </w:pPr>
      <w:r>
        <w:t>Sec</w:t>
      </w:r>
      <w:r w:rsidRPr="00B2272E">
        <w:t>tion </w:t>
      </w:r>
      <w:r w:rsidR="00AE01AA" w:rsidRPr="00B2272E">
        <w:t>6</w:t>
      </w:r>
      <w:r w:rsidRPr="00B2272E">
        <w:t xml:space="preserve"> of the Regulation is relevant to the application of </w:t>
      </w:r>
      <w:r w:rsidR="004E3E0F" w:rsidRPr="00B2272E">
        <w:t>section</w:t>
      </w:r>
      <w:r w:rsidR="001103CC" w:rsidRPr="00B2272E">
        <w:t> </w:t>
      </w:r>
      <w:r w:rsidR="00E73470" w:rsidRPr="00B2272E">
        <w:t xml:space="preserve">16 </w:t>
      </w:r>
      <w:r w:rsidR="004E3E0F" w:rsidRPr="00B2272E">
        <w:t xml:space="preserve">of </w:t>
      </w:r>
      <w:r w:rsidR="00F6483A" w:rsidRPr="00B2272E">
        <w:t>the</w:t>
      </w:r>
      <w:r w:rsidR="00F6483A" w:rsidRPr="008F1EA0">
        <w:t xml:space="preserve"> </w:t>
      </w:r>
      <w:r w:rsidR="00E2782F" w:rsidRPr="008F1EA0">
        <w:t>Regulation</w:t>
      </w:r>
      <w:r w:rsidR="00572DE4">
        <w:t>. It is relevant to an action by a:</w:t>
      </w:r>
    </w:p>
    <w:p w14:paraId="2F40E4DF" w14:textId="3A224849" w:rsidR="00C22CAD" w:rsidRDefault="00C22CAD" w:rsidP="00BB29A8">
      <w:pPr>
        <w:pStyle w:val="Bullet"/>
        <w:keepNext/>
        <w:widowControl w:val="0"/>
        <w:spacing w:before="120"/>
      </w:pPr>
      <w:r>
        <w:t>foreign person to acquire a direct interest in an Australian business that is an agribusiness;</w:t>
      </w:r>
    </w:p>
    <w:p w14:paraId="13690713" w14:textId="3BDDB91D" w:rsidR="00C22CAD" w:rsidRDefault="00C22CAD" w:rsidP="00BB29A8">
      <w:pPr>
        <w:pStyle w:val="Bullet"/>
        <w:keepNext/>
        <w:widowControl w:val="0"/>
        <w:spacing w:before="120"/>
      </w:pPr>
      <w:r>
        <w:t>foreign person to acquire an interest of at least 5</w:t>
      </w:r>
      <w:r w:rsidR="0074274C">
        <w:t xml:space="preserve"> per cent </w:t>
      </w:r>
      <w:r>
        <w:t>in a business that wholly or partly carries on an Australian media business; and</w:t>
      </w:r>
    </w:p>
    <w:p w14:paraId="2DCEEE09" w14:textId="72329EAC" w:rsidR="00572DE4" w:rsidRDefault="00572DE4" w:rsidP="00BB29A8">
      <w:pPr>
        <w:pStyle w:val="Bullet"/>
        <w:keepNext/>
        <w:widowControl w:val="0"/>
        <w:spacing w:before="120"/>
      </w:pPr>
      <w:r>
        <w:t>foreign government investor to acquire a direct interest in an Australian business</w:t>
      </w:r>
      <w:r w:rsidR="00C22CAD">
        <w:t>.</w:t>
      </w:r>
    </w:p>
    <w:p w14:paraId="508AF0FB" w14:textId="65C89ECB" w:rsidR="00E744A9" w:rsidRPr="00B2272E" w:rsidRDefault="00301EFF" w:rsidP="00810043">
      <w:pPr>
        <w:keepNext/>
        <w:rPr>
          <w:b/>
        </w:rPr>
      </w:pPr>
      <w:r>
        <w:rPr>
          <w:b/>
        </w:rPr>
        <w:t>Sect</w:t>
      </w:r>
      <w:r w:rsidRPr="00B2272E">
        <w:rPr>
          <w:b/>
        </w:rPr>
        <w:t>ion </w:t>
      </w:r>
      <w:r w:rsidR="00FC79AE" w:rsidRPr="00B2272E">
        <w:rPr>
          <w:b/>
        </w:rPr>
        <w:t>7</w:t>
      </w:r>
      <w:r w:rsidR="009B5390" w:rsidRPr="00B2272E">
        <w:rPr>
          <w:b/>
        </w:rPr>
        <w:t> </w:t>
      </w:r>
      <w:r w:rsidR="009B5390" w:rsidRPr="00B2272E">
        <w:rPr>
          <w:rFonts w:ascii="Calibri" w:hAnsi="Calibri"/>
          <w:b/>
        </w:rPr>
        <w:t>—</w:t>
      </w:r>
      <w:r w:rsidR="009B5390" w:rsidRPr="00B2272E">
        <w:rPr>
          <w:b/>
        </w:rPr>
        <w:t> </w:t>
      </w:r>
      <w:r w:rsidR="00E744A9" w:rsidRPr="00B2272E">
        <w:rPr>
          <w:b/>
        </w:rPr>
        <w:t xml:space="preserve">Meaning of </w:t>
      </w:r>
      <w:r w:rsidR="00792296" w:rsidRPr="00B2272E">
        <w:rPr>
          <w:b/>
        </w:rPr>
        <w:t>‘</w:t>
      </w:r>
      <w:r w:rsidR="00E744A9" w:rsidRPr="00B2272E">
        <w:rPr>
          <w:b/>
        </w:rPr>
        <w:t>enterprise</w:t>
      </w:r>
      <w:r w:rsidR="00792296" w:rsidRPr="00B2272E">
        <w:rPr>
          <w:b/>
        </w:rPr>
        <w:t>’</w:t>
      </w:r>
      <w:r w:rsidR="00E744A9" w:rsidRPr="00B2272E">
        <w:rPr>
          <w:b/>
        </w:rPr>
        <w:t xml:space="preserve"> of a country</w:t>
      </w:r>
    </w:p>
    <w:p w14:paraId="05923561" w14:textId="4954CB15" w:rsidR="00792296" w:rsidRPr="00B2272E" w:rsidRDefault="00792296" w:rsidP="000355FB">
      <w:pPr>
        <w:keepNext/>
      </w:pPr>
      <w:r w:rsidRPr="00B2272E">
        <w:t>Section 5 of the Regulation provides that the term ‘agreement country investor’ means an enterprise or a national of an agreement country. The term ‘agreement</w:t>
      </w:r>
      <w:r w:rsidR="00787F30" w:rsidRPr="00B2272E">
        <w:t xml:space="preserve"> country’ is defined by section </w:t>
      </w:r>
      <w:r w:rsidR="00672542" w:rsidRPr="00B2272E">
        <w:t xml:space="preserve">5 of the Regulation to mean </w:t>
      </w:r>
      <w:r w:rsidR="00AA502D" w:rsidRPr="00B2272E">
        <w:t xml:space="preserve">the </w:t>
      </w:r>
      <w:r w:rsidR="00484505" w:rsidRPr="00B2272E">
        <w:t xml:space="preserve">Chile, Japan, Korea, New Zealand or the </w:t>
      </w:r>
      <w:r w:rsidR="00130089" w:rsidRPr="00B2272E">
        <w:t>United States</w:t>
      </w:r>
      <w:r w:rsidRPr="00B2272E">
        <w:t>.</w:t>
      </w:r>
      <w:r w:rsidR="00714ABB" w:rsidRPr="00B2272E">
        <w:t xml:space="preserve"> The term ‘enterprise’ is also relevant to the definition of ‘relevant country investo</w:t>
      </w:r>
      <w:r w:rsidR="00F4665D" w:rsidRPr="00B2272E">
        <w:t>r’, which is defined by section </w:t>
      </w:r>
      <w:r w:rsidR="00714ABB" w:rsidRPr="00B2272E">
        <w:t>5 of the Regulation to mean an enterprise or n</w:t>
      </w:r>
      <w:r w:rsidR="00AA502D" w:rsidRPr="00B2272E">
        <w:t xml:space="preserve">ational of the </w:t>
      </w:r>
      <w:r w:rsidR="00484505" w:rsidRPr="00B2272E">
        <w:t xml:space="preserve">Chile, New Zealand or the </w:t>
      </w:r>
      <w:r w:rsidR="00130089" w:rsidRPr="00B2272E">
        <w:t>United States</w:t>
      </w:r>
      <w:r w:rsidR="0069473E" w:rsidRPr="00B2272E">
        <w:t xml:space="preserve">. </w:t>
      </w:r>
    </w:p>
    <w:p w14:paraId="0648F4E5" w14:textId="2574E2AF" w:rsidR="00886765" w:rsidRDefault="003A518C" w:rsidP="00787E84">
      <w:pPr>
        <w:keepNext/>
      </w:pPr>
      <w:r w:rsidRPr="00B2272E">
        <w:t>Section </w:t>
      </w:r>
      <w:r w:rsidR="00FC79AE" w:rsidRPr="00B2272E">
        <w:t>7</w:t>
      </w:r>
      <w:r w:rsidR="00792296" w:rsidRPr="00B2272E">
        <w:t xml:space="preserve"> of the Regulation</w:t>
      </w:r>
      <w:r w:rsidR="00551984" w:rsidRPr="00B2272E">
        <w:t xml:space="preserve"> provides</w:t>
      </w:r>
      <w:r w:rsidR="00950880" w:rsidRPr="00B2272E">
        <w:t xml:space="preserve"> that an </w:t>
      </w:r>
      <w:r w:rsidR="00792296" w:rsidRPr="00B2272E">
        <w:t>‘</w:t>
      </w:r>
      <w:r w:rsidR="00950880" w:rsidRPr="00B2272E">
        <w:t>enterprise</w:t>
      </w:r>
      <w:r w:rsidR="00792296" w:rsidRPr="00B2272E">
        <w:t>’</w:t>
      </w:r>
      <w:r w:rsidR="00950880" w:rsidRPr="00B2272E">
        <w:t xml:space="preserve"> of a country </w:t>
      </w:r>
      <w:r w:rsidR="00F6483A" w:rsidRPr="00B2272E">
        <w:t xml:space="preserve">is an entity </w:t>
      </w:r>
      <w:r w:rsidR="00950880" w:rsidRPr="00B2272E">
        <w:t xml:space="preserve">of a kind </w:t>
      </w:r>
      <w:r w:rsidR="005F5DAF" w:rsidRPr="00B2272E">
        <w:t xml:space="preserve">constituted or organised under a law of the country </w:t>
      </w:r>
      <w:r w:rsidR="00886765" w:rsidRPr="00B2272E">
        <w:t>regardless of whether it is carried on for profit or is owned or contr</w:t>
      </w:r>
      <w:r w:rsidR="00886765">
        <w:t>olled privately. The term also includes a</w:t>
      </w:r>
      <w:r w:rsidR="00950880">
        <w:t xml:space="preserve"> branch of an entity (within the ord</w:t>
      </w:r>
      <w:r w:rsidR="00886765">
        <w:t>inary meaning of the term)</w:t>
      </w:r>
      <w:r w:rsidR="00950880">
        <w:t>.</w:t>
      </w:r>
    </w:p>
    <w:p w14:paraId="5AE6217A" w14:textId="3D2A1A32" w:rsidR="00886765" w:rsidRDefault="00886765" w:rsidP="00BB29A8">
      <w:pPr>
        <w:keepNext/>
        <w:widowControl w:val="0"/>
      </w:pPr>
      <w:r>
        <w:t>However, an entity, or a branch of an entity, is not an enterprise of a particular country if the Treasurer is satisfied that it is owned or controlled by one or more persons of another country if:</w:t>
      </w:r>
    </w:p>
    <w:p w14:paraId="4228EF73" w14:textId="77777777" w:rsidR="00886765" w:rsidRDefault="00886765" w:rsidP="00BB29A8">
      <w:pPr>
        <w:pStyle w:val="Bullet"/>
        <w:keepNext/>
        <w:widowControl w:val="0"/>
        <w:spacing w:before="120"/>
      </w:pPr>
      <w:r>
        <w:t>Australia does not maintain diplomatic relations with the other country;</w:t>
      </w:r>
    </w:p>
    <w:p w14:paraId="67314DCB" w14:textId="6CA7708B" w:rsidR="00886765" w:rsidRDefault="00886765" w:rsidP="00BB29A8">
      <w:pPr>
        <w:pStyle w:val="Bullet"/>
        <w:keepNext/>
        <w:widowControl w:val="0"/>
        <w:spacing w:before="120"/>
      </w:pPr>
      <w:r>
        <w:t>Australia adopts or maintains measures relating to the other country or a person of the other country that have the effect of prohibiting transactions with the entity or branch; or</w:t>
      </w:r>
    </w:p>
    <w:p w14:paraId="6BBB2F88" w14:textId="30ABDD0A" w:rsidR="00551984" w:rsidRDefault="004E3E0F" w:rsidP="00BB29A8">
      <w:pPr>
        <w:pStyle w:val="Bullet"/>
        <w:keepNext/>
        <w:widowControl w:val="0"/>
        <w:spacing w:before="120"/>
      </w:pPr>
      <w:r>
        <w:t>the entity or branch has no</w:t>
      </w:r>
      <w:r w:rsidR="00886765">
        <w:t xml:space="preserve"> substantial business activities in the particular country.</w:t>
      </w:r>
    </w:p>
    <w:p w14:paraId="6498DCCE" w14:textId="6203A8D0" w:rsidR="00551984" w:rsidRPr="00E81137" w:rsidRDefault="00301EFF" w:rsidP="00C9140E">
      <w:pPr>
        <w:keepNext/>
        <w:rPr>
          <w:b/>
        </w:rPr>
      </w:pPr>
      <w:r>
        <w:rPr>
          <w:b/>
        </w:rPr>
        <w:t>Sectio</w:t>
      </w:r>
      <w:r w:rsidRPr="00B2272E">
        <w:rPr>
          <w:b/>
        </w:rPr>
        <w:t>n </w:t>
      </w:r>
      <w:r w:rsidR="00FC79AE" w:rsidRPr="00B2272E">
        <w:rPr>
          <w:b/>
        </w:rPr>
        <w:t>8</w:t>
      </w:r>
      <w:r w:rsidR="009B5390" w:rsidRPr="00B2272E">
        <w:rPr>
          <w:b/>
        </w:rPr>
        <w:t> </w:t>
      </w:r>
      <w:r w:rsidR="009B5390" w:rsidRPr="00B2272E">
        <w:rPr>
          <w:rFonts w:ascii="Calibri" w:hAnsi="Calibri"/>
          <w:b/>
        </w:rPr>
        <w:t>—</w:t>
      </w:r>
      <w:r w:rsidR="009B5390" w:rsidRPr="00033D8A">
        <w:rPr>
          <w:b/>
        </w:rPr>
        <w:t> </w:t>
      </w:r>
      <w:r w:rsidR="00551984" w:rsidRPr="00E81137">
        <w:rPr>
          <w:b/>
        </w:rPr>
        <w:t xml:space="preserve">Meaning of a </w:t>
      </w:r>
      <w:r w:rsidR="004E3E0F">
        <w:rPr>
          <w:b/>
        </w:rPr>
        <w:t>‘</w:t>
      </w:r>
      <w:r w:rsidR="00551984" w:rsidRPr="00E81137">
        <w:rPr>
          <w:b/>
        </w:rPr>
        <w:t>national</w:t>
      </w:r>
      <w:r w:rsidR="004E3E0F">
        <w:rPr>
          <w:b/>
        </w:rPr>
        <w:t>’</w:t>
      </w:r>
      <w:r w:rsidR="00551984" w:rsidRPr="00E81137">
        <w:rPr>
          <w:b/>
        </w:rPr>
        <w:t xml:space="preserve"> of a country</w:t>
      </w:r>
    </w:p>
    <w:p w14:paraId="1D350E0B" w14:textId="58AEBB80" w:rsidR="00950880" w:rsidRDefault="004E3E0F" w:rsidP="00C9140E">
      <w:pPr>
        <w:keepNext/>
      </w:pPr>
      <w:r>
        <w:t>With the exception of a national of the</w:t>
      </w:r>
      <w:r w:rsidR="00D34C48">
        <w:t xml:space="preserve"> </w:t>
      </w:r>
      <w:r w:rsidR="00B1703B">
        <w:t>United States</w:t>
      </w:r>
      <w:r>
        <w:t>, a national</w:t>
      </w:r>
      <w:r w:rsidR="00D34C48">
        <w:t xml:space="preserve"> of a country is defined to mean an in</w:t>
      </w:r>
      <w:r w:rsidR="009A560C">
        <w:t>dividual who is a citizen of that</w:t>
      </w:r>
      <w:r w:rsidR="00D34C48">
        <w:t xml:space="preserve"> country or an individual who is entit</w:t>
      </w:r>
      <w:r w:rsidR="001E6ECE">
        <w:t>le</w:t>
      </w:r>
      <w:r w:rsidR="00D34C48">
        <w:t>d to live ind</w:t>
      </w:r>
      <w:r w:rsidR="001103CC">
        <w:t>efinitely in the country.</w:t>
      </w:r>
    </w:p>
    <w:p w14:paraId="210AC3C8" w14:textId="1139F9B8" w:rsidR="001E6ECE" w:rsidRDefault="00653790" w:rsidP="00AA57F8">
      <w:r>
        <w:t>A</w:t>
      </w:r>
      <w:r w:rsidR="001E6ECE">
        <w:t xml:space="preserve"> national of the </w:t>
      </w:r>
      <w:r w:rsidR="00484505">
        <w:t>United </w:t>
      </w:r>
      <w:r w:rsidR="00B1703B">
        <w:t xml:space="preserve">States is a national </w:t>
      </w:r>
      <w:r w:rsidR="001E6ECE">
        <w:t xml:space="preserve">as defined in </w:t>
      </w:r>
      <w:r w:rsidR="00B1703B">
        <w:t>Title </w:t>
      </w:r>
      <w:r w:rsidR="001E6ECE">
        <w:t xml:space="preserve">III of the </w:t>
      </w:r>
      <w:r w:rsidR="001E6ECE">
        <w:rPr>
          <w:i/>
        </w:rPr>
        <w:t xml:space="preserve">Immigration and </w:t>
      </w:r>
      <w:r w:rsidR="00B1703B">
        <w:rPr>
          <w:i/>
        </w:rPr>
        <w:t>Nationality </w:t>
      </w:r>
      <w:r w:rsidR="001E6ECE">
        <w:rPr>
          <w:i/>
        </w:rPr>
        <w:t xml:space="preserve">Act </w:t>
      </w:r>
      <w:r w:rsidR="001E6ECE">
        <w:t xml:space="preserve">of the </w:t>
      </w:r>
      <w:r w:rsidR="00B1703B">
        <w:t xml:space="preserve">United States, </w:t>
      </w:r>
      <w:r w:rsidR="001E6ECE">
        <w:t>or a</w:t>
      </w:r>
      <w:r w:rsidR="00E77322">
        <w:t xml:space="preserve"> permanent resident of the </w:t>
      </w:r>
      <w:r w:rsidR="00484505">
        <w:t>United </w:t>
      </w:r>
      <w:r w:rsidR="00B1703B">
        <w:t>States</w:t>
      </w:r>
      <w:r w:rsidR="00E77322">
        <w:t>.</w:t>
      </w:r>
      <w:r w:rsidR="00672542">
        <w:t xml:space="preserve"> Defining the term ‘national’ of the </w:t>
      </w:r>
      <w:r w:rsidR="00484505">
        <w:t>United </w:t>
      </w:r>
      <w:r w:rsidR="00B1703B">
        <w:t xml:space="preserve">States </w:t>
      </w:r>
      <w:r w:rsidR="00672542">
        <w:t xml:space="preserve">in this way ensures consistency with the terms used in the </w:t>
      </w:r>
      <w:r w:rsidR="00B1703B">
        <w:t>Australia – </w:t>
      </w:r>
      <w:r w:rsidR="00A84A45">
        <w:t>United States</w:t>
      </w:r>
      <w:r w:rsidR="00672542">
        <w:t xml:space="preserve"> Free Trade Agreement. A number of websites provide access to this statute free of charge, including the Legal Information Institute.</w:t>
      </w:r>
      <w:r w:rsidR="00672542">
        <w:rPr>
          <w:rStyle w:val="FootnoteReference"/>
        </w:rPr>
        <w:footnoteReference w:id="2"/>
      </w:r>
      <w:r w:rsidR="00603ACB">
        <w:t xml:space="preserve"> </w:t>
      </w:r>
    </w:p>
    <w:p w14:paraId="37862D7F" w14:textId="423E3EDB" w:rsidR="00E77322" w:rsidRPr="00B2272E" w:rsidRDefault="00493111" w:rsidP="00AA57F8">
      <w:r>
        <w:t>Despit</w:t>
      </w:r>
      <w:r w:rsidRPr="00B2272E">
        <w:t xml:space="preserve">e </w:t>
      </w:r>
      <w:r w:rsidR="000C6B0B" w:rsidRPr="00B2272E">
        <w:t>subsection </w:t>
      </w:r>
      <w:r w:rsidR="00FC79AE" w:rsidRPr="00B2272E">
        <w:t>8</w:t>
      </w:r>
      <w:r w:rsidR="004E3E0F" w:rsidRPr="00B2272E">
        <w:t>(1) of the Regulation</w:t>
      </w:r>
      <w:r w:rsidRPr="00B2272E">
        <w:t xml:space="preserve">, a national of </w:t>
      </w:r>
      <w:r w:rsidR="00B1703B" w:rsidRPr="00B2272E">
        <w:t>New </w:t>
      </w:r>
      <w:r w:rsidRPr="00B2272E">
        <w:t>Zealand does not include an individual who is entitled to live in the Cook Islands, Niue or Tokelau</w:t>
      </w:r>
      <w:r w:rsidR="00B1703B" w:rsidRPr="00B2272E">
        <w:t>,</w:t>
      </w:r>
      <w:r w:rsidRPr="00B2272E">
        <w:t xml:space="preserve"> and does not live in </w:t>
      </w:r>
      <w:r w:rsidR="00B1703B" w:rsidRPr="00B2272E">
        <w:t>New </w:t>
      </w:r>
      <w:r w:rsidRPr="00B2272E">
        <w:t xml:space="preserve">Zealand. </w:t>
      </w:r>
    </w:p>
    <w:p w14:paraId="34681833" w14:textId="7516AA7C" w:rsidR="00493111" w:rsidRPr="00E81137" w:rsidRDefault="00301EFF" w:rsidP="00AA57F8">
      <w:pPr>
        <w:rPr>
          <w:b/>
        </w:rPr>
      </w:pPr>
      <w:r w:rsidRPr="00B2272E">
        <w:rPr>
          <w:b/>
        </w:rPr>
        <w:t>Section </w:t>
      </w:r>
      <w:r w:rsidR="00C36886" w:rsidRPr="00B2272E">
        <w:rPr>
          <w:b/>
        </w:rPr>
        <w:t>9</w:t>
      </w:r>
      <w:r w:rsidR="009B5390" w:rsidRPr="00B2272E">
        <w:rPr>
          <w:b/>
        </w:rPr>
        <w:t> </w:t>
      </w:r>
      <w:r w:rsidR="009B5390" w:rsidRPr="00B2272E">
        <w:rPr>
          <w:rFonts w:ascii="Calibri" w:hAnsi="Calibri"/>
          <w:b/>
        </w:rPr>
        <w:t>—</w:t>
      </w:r>
      <w:r w:rsidR="009B5390" w:rsidRPr="00B2272E">
        <w:rPr>
          <w:b/>
        </w:rPr>
        <w:t> </w:t>
      </w:r>
      <w:r w:rsidR="00493111" w:rsidRPr="00B2272E">
        <w:rPr>
          <w:b/>
        </w:rPr>
        <w:t>Refe</w:t>
      </w:r>
      <w:r w:rsidR="00493111" w:rsidRPr="00E81137">
        <w:rPr>
          <w:b/>
        </w:rPr>
        <w:t xml:space="preserve">rences to </w:t>
      </w:r>
      <w:r w:rsidR="00484505" w:rsidRPr="00E81137">
        <w:rPr>
          <w:b/>
        </w:rPr>
        <w:t>United</w:t>
      </w:r>
      <w:r w:rsidR="00484505">
        <w:rPr>
          <w:b/>
        </w:rPr>
        <w:t> </w:t>
      </w:r>
      <w:r w:rsidR="00551984" w:rsidRPr="00E81137">
        <w:rPr>
          <w:b/>
        </w:rPr>
        <w:t>States of America</w:t>
      </w:r>
    </w:p>
    <w:p w14:paraId="090C9381" w14:textId="647981F1" w:rsidR="00493111" w:rsidRDefault="00493111" w:rsidP="00AA57F8">
      <w:r>
        <w:t>A reference in the Regulation to the territory</w:t>
      </w:r>
      <w:r w:rsidR="00AA502D">
        <w:t xml:space="preserve"> of the </w:t>
      </w:r>
      <w:r w:rsidR="00484505">
        <w:t>United </w:t>
      </w:r>
      <w:r w:rsidR="00B1703B">
        <w:t xml:space="preserve">States </w:t>
      </w:r>
      <w:r>
        <w:t xml:space="preserve">includes </w:t>
      </w:r>
      <w:r w:rsidR="00B1703B">
        <w:t>Puerto </w:t>
      </w:r>
      <w:r>
        <w:t>Rico and the District of Columbia.</w:t>
      </w:r>
    </w:p>
    <w:p w14:paraId="50C2B2EB" w14:textId="535DCE11" w:rsidR="00493111" w:rsidRPr="00B2272E" w:rsidRDefault="00493111" w:rsidP="00AA57F8">
      <w:r>
        <w:t>A reference in th</w:t>
      </w:r>
      <w:r w:rsidR="0069473E">
        <w:t>e Regulation to a law</w:t>
      </w:r>
      <w:r w:rsidR="00AA502D">
        <w:t xml:space="preserve"> of the </w:t>
      </w:r>
      <w:r w:rsidR="00B1703B">
        <w:t>United States</w:t>
      </w:r>
      <w:r w:rsidR="00484505">
        <w:t xml:space="preserve"> of America</w:t>
      </w:r>
      <w:r w:rsidR="00B1703B">
        <w:t xml:space="preserve"> </w:t>
      </w:r>
      <w:r>
        <w:t>includes a law that applies in a S</w:t>
      </w:r>
      <w:r w:rsidR="0069473E">
        <w:t>tate</w:t>
      </w:r>
      <w:r w:rsidR="00AA502D">
        <w:t xml:space="preserve"> of the </w:t>
      </w:r>
      <w:r w:rsidR="00484505">
        <w:t>United </w:t>
      </w:r>
      <w:r w:rsidR="00B1703B">
        <w:t xml:space="preserve">States </w:t>
      </w:r>
      <w:r>
        <w:t xml:space="preserve">or in any </w:t>
      </w:r>
      <w:r w:rsidR="0069473E">
        <w:t>part of the territory</w:t>
      </w:r>
      <w:r w:rsidR="00AA502D">
        <w:t xml:space="preserve"> of the </w:t>
      </w:r>
      <w:r w:rsidR="00484505">
        <w:t>Unit</w:t>
      </w:r>
      <w:r w:rsidR="00484505" w:rsidRPr="00B2272E">
        <w:t>ed </w:t>
      </w:r>
      <w:r w:rsidR="00B1703B" w:rsidRPr="00B2272E">
        <w:t>States</w:t>
      </w:r>
      <w:r w:rsidRPr="00B2272E">
        <w:t xml:space="preserve">. </w:t>
      </w:r>
    </w:p>
    <w:p w14:paraId="1CB9A2C8" w14:textId="533B409E" w:rsidR="00493111" w:rsidRPr="00B2272E" w:rsidRDefault="00301EFF" w:rsidP="00E81137">
      <w:pPr>
        <w:keepNext/>
        <w:rPr>
          <w:b/>
        </w:rPr>
      </w:pPr>
      <w:r w:rsidRPr="00B2272E">
        <w:rPr>
          <w:b/>
        </w:rPr>
        <w:t>Section </w:t>
      </w:r>
      <w:r w:rsidR="00C36886" w:rsidRPr="00B2272E">
        <w:rPr>
          <w:b/>
        </w:rPr>
        <w:t>10</w:t>
      </w:r>
      <w:r w:rsidR="009B5390" w:rsidRPr="00B2272E">
        <w:rPr>
          <w:b/>
        </w:rPr>
        <w:t> </w:t>
      </w:r>
      <w:r w:rsidR="009B5390" w:rsidRPr="00B2272E">
        <w:rPr>
          <w:rFonts w:ascii="Calibri" w:hAnsi="Calibri"/>
          <w:b/>
        </w:rPr>
        <w:t>—</w:t>
      </w:r>
      <w:r w:rsidR="009B5390" w:rsidRPr="00B2272E">
        <w:rPr>
          <w:b/>
        </w:rPr>
        <w:t> </w:t>
      </w:r>
      <w:r w:rsidR="00493111" w:rsidRPr="00B2272E">
        <w:rPr>
          <w:b/>
        </w:rPr>
        <w:t>Meaning of ‘starts an Australian business’</w:t>
      </w:r>
    </w:p>
    <w:p w14:paraId="3E808332" w14:textId="2143E9F3" w:rsidR="00CA4C71" w:rsidRPr="00B2272E" w:rsidRDefault="00B1703B" w:rsidP="000355FB">
      <w:pPr>
        <w:keepNext/>
      </w:pPr>
      <w:r w:rsidRPr="00B2272E">
        <w:t>Section </w:t>
      </w:r>
      <w:r w:rsidR="00064F86" w:rsidRPr="00B2272E">
        <w:t xml:space="preserve">8 of the Act provides that an ‘Australian business’ is a business that is carried on wholly or partly in Australia in anticipation of </w:t>
      </w:r>
      <w:r w:rsidR="005B0A55" w:rsidRPr="00B2272E">
        <w:t>profit or gain. A</w:t>
      </w:r>
      <w:r w:rsidR="00064F86" w:rsidRPr="00B2272E">
        <w:t xml:space="preserve"> person who has an interest in a mining or production tenement is taken to carry on a business in Australia of exploiting that tenement in anticipation of profit or gain. </w:t>
      </w:r>
    </w:p>
    <w:p w14:paraId="4FCA88A3" w14:textId="23890655" w:rsidR="00064F86" w:rsidRDefault="00502EA5" w:rsidP="00787E84">
      <w:r w:rsidRPr="00B2272E">
        <w:t>The effect of section </w:t>
      </w:r>
      <w:r w:rsidR="00C36886" w:rsidRPr="00B2272E">
        <w:t>10</w:t>
      </w:r>
      <w:r w:rsidR="00961139" w:rsidRPr="00B2272E">
        <w:t xml:space="preserve"> of the Regulation is that a foreign government investor </w:t>
      </w:r>
      <w:r w:rsidR="00AA502D" w:rsidRPr="00B2272E">
        <w:t>(</w:t>
      </w:r>
      <w:r w:rsidR="00462343" w:rsidRPr="00B2272E">
        <w:t>a</w:t>
      </w:r>
      <w:r w:rsidR="00462343">
        <w:t> </w:t>
      </w:r>
      <w:r w:rsidR="00AA502D" w:rsidRPr="00B2272E">
        <w:t>te</w:t>
      </w:r>
      <w:r w:rsidR="004E3E0F" w:rsidRPr="00B2272E">
        <w:t>rm which is defined by section </w:t>
      </w:r>
      <w:r w:rsidR="00E2430C" w:rsidRPr="00B2272E">
        <w:t>17</w:t>
      </w:r>
      <w:r w:rsidR="00DD051A">
        <w:t xml:space="preserve"> </w:t>
      </w:r>
      <w:r w:rsidR="00AA502D" w:rsidRPr="00B2272E">
        <w:t>of the</w:t>
      </w:r>
      <w:r w:rsidR="00AA502D">
        <w:t xml:space="preserve"> Regulation) </w:t>
      </w:r>
      <w:r w:rsidR="00961139">
        <w:t>is considered to start an Australian business if:</w:t>
      </w:r>
    </w:p>
    <w:p w14:paraId="6F3DEE83" w14:textId="2AFEF2A3" w:rsidR="00961139" w:rsidRDefault="00961139" w:rsidP="00BB29A8">
      <w:pPr>
        <w:pStyle w:val="Bullet"/>
        <w:spacing w:before="120"/>
      </w:pPr>
      <w:r>
        <w:t>the investor starts to carry on an Australian business; or</w:t>
      </w:r>
    </w:p>
    <w:p w14:paraId="203CE9A3" w14:textId="1EC63DD4" w:rsidR="009923D5" w:rsidRDefault="00961139" w:rsidP="00BB29A8">
      <w:pPr>
        <w:pStyle w:val="Bullet"/>
        <w:spacing w:before="120"/>
      </w:pPr>
      <w:r>
        <w:t xml:space="preserve">for a foreign government investor that already carries on an Australian business, the business starts a new activity </w:t>
      </w:r>
      <w:r w:rsidR="009923D5">
        <w:t xml:space="preserve">that is not incidental to an existing activity of the Australian business </w:t>
      </w:r>
      <w:r w:rsidR="00542980">
        <w:t xml:space="preserve">and </w:t>
      </w:r>
      <w:r w:rsidR="009923D5">
        <w:t xml:space="preserve">that is within a different Division under </w:t>
      </w:r>
      <w:r w:rsidR="009923D5" w:rsidRPr="004E3E0F">
        <w:t>the</w:t>
      </w:r>
      <w:r w:rsidR="009923D5" w:rsidRPr="00AA502D">
        <w:rPr>
          <w:i/>
        </w:rPr>
        <w:t xml:space="preserve"> </w:t>
      </w:r>
      <w:r w:rsidR="00D513FF" w:rsidRPr="00AA502D">
        <w:rPr>
          <w:i/>
        </w:rPr>
        <w:t>Australian</w:t>
      </w:r>
      <w:r w:rsidR="00D513FF">
        <w:rPr>
          <w:i/>
        </w:rPr>
        <w:t> </w:t>
      </w:r>
      <w:r w:rsidR="009923D5" w:rsidRPr="00AA502D">
        <w:rPr>
          <w:i/>
        </w:rPr>
        <w:t xml:space="preserve">and New Zealand Standard Industrial </w:t>
      </w:r>
      <w:r w:rsidR="00D513FF" w:rsidRPr="00AA502D">
        <w:rPr>
          <w:i/>
        </w:rPr>
        <w:t>Classification</w:t>
      </w:r>
      <w:r w:rsidR="00D513FF">
        <w:rPr>
          <w:i/>
        </w:rPr>
        <w:t> </w:t>
      </w:r>
      <w:r w:rsidR="009923D5" w:rsidRPr="00AA502D">
        <w:rPr>
          <w:i/>
        </w:rPr>
        <w:t>Codes</w:t>
      </w:r>
      <w:r w:rsidR="009923D5">
        <w:t xml:space="preserve"> </w:t>
      </w:r>
      <w:r w:rsidR="00AA502D">
        <w:t>(</w:t>
      </w:r>
      <w:proofErr w:type="spellStart"/>
      <w:r w:rsidR="00D513FF">
        <w:t>ANZSIC</w:t>
      </w:r>
      <w:proofErr w:type="spellEnd"/>
      <w:r w:rsidR="00D513FF">
        <w:t> </w:t>
      </w:r>
      <w:r w:rsidR="00AA502D">
        <w:t>Codes)</w:t>
      </w:r>
      <w:r w:rsidR="004E3E0F">
        <w:t>, as in force from time to time,</w:t>
      </w:r>
      <w:r w:rsidR="00AA502D">
        <w:t xml:space="preserve"> </w:t>
      </w:r>
      <w:r w:rsidR="009923D5">
        <w:t>from the current activities of the Australian business. This document is published by the Australian Bureau</w:t>
      </w:r>
      <w:r w:rsidR="004E3E0F">
        <w:t xml:space="preserve"> </w:t>
      </w:r>
      <w:r w:rsidR="00462343">
        <w:t>of </w:t>
      </w:r>
      <w:r w:rsidR="004E3E0F">
        <w:t>Statistics (ABS)</w:t>
      </w:r>
      <w:r w:rsidR="009471AB">
        <w:t xml:space="preserve"> and </w:t>
      </w:r>
      <w:r w:rsidR="009923D5">
        <w:t xml:space="preserve">is </w:t>
      </w:r>
      <w:r w:rsidR="004E3E0F">
        <w:t>freely available from the ABS website</w:t>
      </w:r>
      <w:r w:rsidR="00837702">
        <w:t xml:space="preserve"> (www.abs.gov.au)</w:t>
      </w:r>
      <w:r w:rsidR="009923D5">
        <w:t>.</w:t>
      </w:r>
    </w:p>
    <w:p w14:paraId="14C0A0BC" w14:textId="519623BD" w:rsidR="00961139" w:rsidRPr="00B2272E" w:rsidRDefault="009923D5" w:rsidP="00BB29A8">
      <w:pPr>
        <w:pStyle w:val="Bullet"/>
        <w:numPr>
          <w:ilvl w:val="0"/>
          <w:numId w:val="0"/>
        </w:numPr>
        <w:spacing w:before="120"/>
      </w:pPr>
      <w:r>
        <w:t xml:space="preserve">A foreign government investor is not considered to ‘start an Australian business’ merely because it establishes a new subsidiary of an entity that already carries on an Australian </w:t>
      </w:r>
      <w:r w:rsidRPr="00B2272E">
        <w:t>business</w:t>
      </w:r>
      <w:r w:rsidR="00770B2D" w:rsidRPr="00B2272E">
        <w:t>,</w:t>
      </w:r>
      <w:r w:rsidRPr="00B2272E">
        <w:t xml:space="preserve"> provided that the subsidiary carries on the same Australian business or </w:t>
      </w:r>
      <w:r w:rsidR="00770B2D" w:rsidRPr="00B2272E">
        <w:t xml:space="preserve">is established </w:t>
      </w:r>
      <w:r w:rsidRPr="00B2272E">
        <w:t>for the purposes of acquiring interests in assets of</w:t>
      </w:r>
      <w:r w:rsidR="00787F30" w:rsidRPr="00B2272E">
        <w:t xml:space="preserve"> the same Australian business.</w:t>
      </w:r>
    </w:p>
    <w:p w14:paraId="50D17645" w14:textId="4E9818C4" w:rsidR="004B705C" w:rsidRPr="00B2272E" w:rsidRDefault="006608AC" w:rsidP="006608AC">
      <w:pPr>
        <w:pStyle w:val="Heading2"/>
      </w:pPr>
      <w:r w:rsidRPr="00B2272E">
        <w:t>Part </w:t>
      </w:r>
      <w:r w:rsidR="009B5390" w:rsidRPr="00B2272E">
        <w:t>2 </w:t>
      </w:r>
      <w:r w:rsidR="009B5390" w:rsidRPr="00B2272E">
        <w:rPr>
          <w:rFonts w:ascii="Calibri" w:hAnsi="Calibri"/>
        </w:rPr>
        <w:t>—</w:t>
      </w:r>
      <w:r w:rsidR="009B5390" w:rsidRPr="00B2272E">
        <w:t> </w:t>
      </w:r>
      <w:r w:rsidR="004B705C" w:rsidRPr="00B2272E">
        <w:t>Provisions relating to definitions</w:t>
      </w:r>
      <w:r w:rsidR="008F516A" w:rsidRPr="00B2272E">
        <w:t xml:space="preserve"> and rules of interpretation</w:t>
      </w:r>
    </w:p>
    <w:p w14:paraId="4AB18946" w14:textId="3003D830" w:rsidR="008F516A" w:rsidRPr="00B2272E" w:rsidRDefault="009B5390" w:rsidP="00B34EA8">
      <w:pPr>
        <w:rPr>
          <w:b/>
        </w:rPr>
      </w:pPr>
      <w:r w:rsidRPr="00B2272E">
        <w:rPr>
          <w:b/>
        </w:rPr>
        <w:t>Section </w:t>
      </w:r>
      <w:r w:rsidR="00E2430C" w:rsidRPr="00B2272E">
        <w:rPr>
          <w:b/>
        </w:rPr>
        <w:t>11</w:t>
      </w:r>
      <w:r w:rsidRPr="00B2272E">
        <w:rPr>
          <w:b/>
        </w:rPr>
        <w:t> </w:t>
      </w:r>
      <w:r w:rsidRPr="00B2272E">
        <w:rPr>
          <w:rFonts w:ascii="Calibri" w:hAnsi="Calibri"/>
          <w:b/>
        </w:rPr>
        <w:t>—</w:t>
      </w:r>
      <w:r w:rsidRPr="00B2272E">
        <w:rPr>
          <w:b/>
        </w:rPr>
        <w:t> </w:t>
      </w:r>
      <w:r w:rsidR="008F516A" w:rsidRPr="00B2272E">
        <w:rPr>
          <w:b/>
        </w:rPr>
        <w:t>Simplified outline of this Part</w:t>
      </w:r>
    </w:p>
    <w:p w14:paraId="4B88E4C8" w14:textId="26CEDF0C" w:rsidR="008F516A" w:rsidRDefault="003A05B6" w:rsidP="00B34EA8">
      <w:pPr>
        <w:rPr>
          <w:b/>
        </w:rPr>
      </w:pPr>
      <w:r w:rsidRPr="00B2272E">
        <w:t>Section </w:t>
      </w:r>
      <w:r w:rsidR="00D763F9" w:rsidRPr="00B2272E">
        <w:t xml:space="preserve">11 </w:t>
      </w:r>
      <w:r w:rsidRPr="00B2272E">
        <w:t>of the Regulation</w:t>
      </w:r>
      <w:r w:rsidR="008F516A" w:rsidRPr="00B2272E">
        <w:t xml:space="preserve"> provides a simplified outline of Part 2 of the Regulation</w:t>
      </w:r>
      <w:r w:rsidR="00C22CAD" w:rsidRPr="00B2272E">
        <w:t>. Part 2</w:t>
      </w:r>
      <w:r w:rsidR="008F516A" w:rsidRPr="00B2272E">
        <w:t xml:space="preserve"> prescribes definitions for </w:t>
      </w:r>
      <w:r w:rsidR="00B740B0" w:rsidRPr="00B2272E">
        <w:t>section 4 of the Act; particular matters for d</w:t>
      </w:r>
      <w:r w:rsidR="00B740B0">
        <w:t>efinitions used in that section</w:t>
      </w:r>
      <w:r w:rsidR="00C22CAD">
        <w:t>,</w:t>
      </w:r>
      <w:r w:rsidR="00B740B0">
        <w:t xml:space="preserve"> and some rules for interpret</w:t>
      </w:r>
      <w:r w:rsidR="002341C4">
        <w:t>ing the Act and the Regulation.</w:t>
      </w:r>
    </w:p>
    <w:p w14:paraId="5D91675F" w14:textId="7D3EF5A7" w:rsidR="00E028B3" w:rsidRPr="00B2272E" w:rsidRDefault="00E028B3" w:rsidP="00B2272E">
      <w:pPr>
        <w:pStyle w:val="Bullet"/>
        <w:numPr>
          <w:ilvl w:val="0"/>
          <w:numId w:val="0"/>
        </w:numPr>
        <w:spacing w:before="120"/>
        <w:rPr>
          <w:b/>
        </w:rPr>
      </w:pPr>
      <w:r w:rsidRPr="00E81137">
        <w:rPr>
          <w:b/>
        </w:rPr>
        <w:t>Sectio</w:t>
      </w:r>
      <w:r w:rsidRPr="00B2272E">
        <w:rPr>
          <w:b/>
        </w:rPr>
        <w:t>n </w:t>
      </w:r>
      <w:r w:rsidR="00D763F9" w:rsidRPr="00B2272E">
        <w:rPr>
          <w:b/>
        </w:rPr>
        <w:t>12</w:t>
      </w:r>
      <w:r w:rsidR="009B5390" w:rsidRPr="00B2272E">
        <w:rPr>
          <w:b/>
        </w:rPr>
        <w:t> </w:t>
      </w:r>
      <w:r w:rsidR="009B5390" w:rsidRPr="00B2272E">
        <w:rPr>
          <w:rFonts w:ascii="Calibri" w:hAnsi="Calibri"/>
          <w:b/>
        </w:rPr>
        <w:t>—</w:t>
      </w:r>
      <w:r w:rsidR="009B5390" w:rsidRPr="00B2272E">
        <w:rPr>
          <w:b/>
        </w:rPr>
        <w:t> </w:t>
      </w:r>
      <w:r w:rsidRPr="00B2272E">
        <w:rPr>
          <w:b/>
        </w:rPr>
        <w:t>When an Australian entity or Australian business is an agribusiness</w:t>
      </w:r>
    </w:p>
    <w:p w14:paraId="2E379788" w14:textId="77777777" w:rsidR="00E028B3" w:rsidRDefault="00E028B3" w:rsidP="00B2272E">
      <w:pPr>
        <w:pStyle w:val="Bullet"/>
        <w:numPr>
          <w:ilvl w:val="0"/>
          <w:numId w:val="0"/>
        </w:numPr>
        <w:spacing w:before="120"/>
      </w:pPr>
      <w:r w:rsidRPr="00B2272E">
        <w:t>Section 4 of the Act provides that an Australian entity or Australian business is an ‘agribusiness’ in the circumstances prescribed by the regulations. The term ‘Australian business’ is defined by section 8 of the Act to mean a business that is carried on wholly or partly in Australia in anticipation of profit or gain. The term ‘Australian entity’ is defined by section 4 of th</w:t>
      </w:r>
      <w:r>
        <w:t>e Act to mean an Australian corporation or an Australian unit trust.</w:t>
      </w:r>
    </w:p>
    <w:p w14:paraId="25BD0517" w14:textId="77777777" w:rsidR="00E028B3" w:rsidRDefault="00E028B3" w:rsidP="00A572B8">
      <w:pPr>
        <w:keepNext/>
        <w:widowControl w:val="0"/>
      </w:pPr>
      <w:r>
        <w:t>An Australian entity will be an agribusiness if:</w:t>
      </w:r>
    </w:p>
    <w:p w14:paraId="5F78FE2C" w14:textId="77777777" w:rsidR="00E028B3" w:rsidRDefault="00E028B3" w:rsidP="00A572B8">
      <w:pPr>
        <w:pStyle w:val="Bullet"/>
        <w:keepNext/>
        <w:widowControl w:val="0"/>
        <w:spacing w:before="120"/>
      </w:pPr>
      <w:r>
        <w:t xml:space="preserve">the entity, or any subsidiary of the entity, derives earnings from carrying on a business that falls within one of the specified classes of the </w:t>
      </w:r>
      <w:proofErr w:type="spellStart"/>
      <w:r>
        <w:t>ANZSIC</w:t>
      </w:r>
      <w:proofErr w:type="spellEnd"/>
      <w:r>
        <w:t> Codes; and</w:t>
      </w:r>
    </w:p>
    <w:p w14:paraId="3FBBCE61" w14:textId="77777777" w:rsidR="00E028B3" w:rsidRDefault="00E028B3" w:rsidP="00A572B8">
      <w:pPr>
        <w:pStyle w:val="Bullet"/>
        <w:widowControl w:val="0"/>
        <w:spacing w:before="120"/>
      </w:pPr>
      <w:r>
        <w:t xml:space="preserve">the amount of those earnings before interest and tax derived in the most recent financial year for which the financial accounts of the entity have been audited exceeds 25 per cent of the amount of the total earnings for the entity. The total earnings for the entity is the total of all earnings before interest and tax derived in Australia in that year by the entity or any subsidiary of the entity that carries on a business in specified classes of the </w:t>
      </w:r>
      <w:proofErr w:type="spellStart"/>
      <w:r>
        <w:t>ANZSIC</w:t>
      </w:r>
      <w:proofErr w:type="spellEnd"/>
      <w:r>
        <w:t xml:space="preserve"> Codes. </w:t>
      </w:r>
    </w:p>
    <w:p w14:paraId="22E92466" w14:textId="77777777" w:rsidR="00E028B3" w:rsidRDefault="00E028B3" w:rsidP="00A572B8">
      <w:pPr>
        <w:pStyle w:val="Bullet"/>
        <w:widowControl w:val="0"/>
        <w:numPr>
          <w:ilvl w:val="0"/>
          <w:numId w:val="0"/>
        </w:numPr>
        <w:spacing w:before="120"/>
      </w:pPr>
      <w:r>
        <w:t>An Australian entity is an agribusiness if:</w:t>
      </w:r>
    </w:p>
    <w:p w14:paraId="652629A1" w14:textId="77777777" w:rsidR="00E028B3" w:rsidRDefault="00E028B3" w:rsidP="00A572B8">
      <w:pPr>
        <w:pStyle w:val="Bullet"/>
        <w:widowControl w:val="0"/>
        <w:spacing w:before="120"/>
      </w:pPr>
      <w:r>
        <w:t xml:space="preserve">the entity or any subsidiary of the entity uses assets in carrying on a business in specified classes of the </w:t>
      </w:r>
      <w:proofErr w:type="spellStart"/>
      <w:r>
        <w:t>ANZSIC</w:t>
      </w:r>
      <w:proofErr w:type="spellEnd"/>
      <w:r>
        <w:t> Codes; and</w:t>
      </w:r>
    </w:p>
    <w:p w14:paraId="0417F7C2" w14:textId="77777777" w:rsidR="00E028B3" w:rsidRDefault="00E028B3" w:rsidP="00A572B8">
      <w:pPr>
        <w:pStyle w:val="Bullet"/>
        <w:widowControl w:val="0"/>
        <w:spacing w:before="120"/>
      </w:pPr>
      <w:r>
        <w:t xml:space="preserve">the value of those assets exceeds 25 per cent of the value of the total assets of the business. </w:t>
      </w:r>
    </w:p>
    <w:p w14:paraId="26888107" w14:textId="77777777" w:rsidR="00E028B3" w:rsidRDefault="00E028B3" w:rsidP="00A572B8">
      <w:pPr>
        <w:pStyle w:val="Bullet"/>
        <w:widowControl w:val="0"/>
        <w:numPr>
          <w:ilvl w:val="0"/>
          <w:numId w:val="0"/>
        </w:numPr>
        <w:spacing w:before="120"/>
      </w:pPr>
      <w:r>
        <w:t>An Australian business is an agribusiness if:</w:t>
      </w:r>
    </w:p>
    <w:p w14:paraId="5DCAC22F" w14:textId="77777777" w:rsidR="00E028B3" w:rsidRDefault="00E028B3" w:rsidP="00A572B8">
      <w:pPr>
        <w:pStyle w:val="Bullet"/>
        <w:widowControl w:val="0"/>
        <w:spacing w:before="120"/>
      </w:pPr>
      <w:r>
        <w:t xml:space="preserve">the business uses assets in carrying on a business in specified classes of the </w:t>
      </w:r>
      <w:proofErr w:type="spellStart"/>
      <w:r>
        <w:t>ANZSIC</w:t>
      </w:r>
      <w:proofErr w:type="spellEnd"/>
      <w:r>
        <w:t> Codes; and</w:t>
      </w:r>
    </w:p>
    <w:p w14:paraId="46885A58" w14:textId="77777777" w:rsidR="00E028B3" w:rsidRPr="003E2E95" w:rsidRDefault="00E028B3" w:rsidP="00A572B8">
      <w:pPr>
        <w:pStyle w:val="Bullet"/>
        <w:widowControl w:val="0"/>
        <w:spacing w:before="120"/>
      </w:pPr>
      <w:r>
        <w:t xml:space="preserve">the value of those assets exceeds 25 per cent of the value of the total assets of the business. </w:t>
      </w:r>
    </w:p>
    <w:p w14:paraId="77FEB091" w14:textId="01234130" w:rsidR="00E028B3" w:rsidRPr="00260A4B" w:rsidRDefault="00B30BA8" w:rsidP="000355FB">
      <w:pPr>
        <w:pStyle w:val="Bullet"/>
        <w:keepNext/>
        <w:numPr>
          <w:ilvl w:val="0"/>
          <w:numId w:val="0"/>
        </w:numPr>
        <w:spacing w:before="120"/>
        <w:rPr>
          <w:i/>
        </w:rPr>
      </w:pPr>
      <w:r>
        <w:rPr>
          <w:i/>
        </w:rPr>
        <w:t>C</w:t>
      </w:r>
      <w:r w:rsidR="00E028B3">
        <w:rPr>
          <w:i/>
        </w:rPr>
        <w:t>lasses of business</w:t>
      </w:r>
    </w:p>
    <w:p w14:paraId="00C89946" w14:textId="77777777" w:rsidR="00E028B3" w:rsidRDefault="00E028B3" w:rsidP="00A572B8">
      <w:pPr>
        <w:pStyle w:val="Bullet"/>
        <w:keepNext/>
        <w:widowControl w:val="0"/>
        <w:numPr>
          <w:ilvl w:val="0"/>
          <w:numId w:val="0"/>
        </w:numPr>
        <w:spacing w:before="120"/>
      </w:pPr>
      <w:r>
        <w:t xml:space="preserve">If the other criteria are met, a business carried on wholly or partly in any of the following classes of the </w:t>
      </w:r>
      <w:proofErr w:type="spellStart"/>
      <w:r>
        <w:t>ANZSIC</w:t>
      </w:r>
      <w:proofErr w:type="spellEnd"/>
      <w:r>
        <w:t> Codes is an agribusiness:</w:t>
      </w:r>
    </w:p>
    <w:p w14:paraId="2AACC9CE" w14:textId="77777777" w:rsidR="00E028B3" w:rsidRDefault="00E028B3" w:rsidP="00A572B8">
      <w:pPr>
        <w:pStyle w:val="Bullet"/>
        <w:widowControl w:val="0"/>
        <w:spacing w:before="120"/>
      </w:pPr>
      <w:r>
        <w:t xml:space="preserve">any of the classes in Division A </w:t>
      </w:r>
      <w:r>
        <w:rPr>
          <w:rFonts w:ascii="Calibri" w:hAnsi="Calibri"/>
        </w:rPr>
        <w:t>—</w:t>
      </w:r>
      <w:r>
        <w:t xml:space="preserve"> Agriculture, forestry and fishing. The classes in this Division include growing crops, raising animals, growing and harvesting timber, and harvesting fish and other animals from farms or their natural habitats. </w:t>
      </w:r>
    </w:p>
    <w:p w14:paraId="41C6A03B" w14:textId="02E0EDDB" w:rsidR="00E028B3" w:rsidRPr="00B6076C" w:rsidRDefault="00E028B3" w:rsidP="00A572B8">
      <w:pPr>
        <w:pStyle w:val="Bullet"/>
        <w:widowControl w:val="0"/>
        <w:spacing w:before="120"/>
      </w:pPr>
      <w:r>
        <w:t xml:space="preserve">subject to certain exceptions, classes in Subdivision 11 of Division C </w:t>
      </w:r>
      <w:r>
        <w:rPr>
          <w:rFonts w:ascii="Calibri" w:hAnsi="Calibri"/>
        </w:rPr>
        <w:t>—</w:t>
      </w:r>
      <w:r>
        <w:t xml:space="preserve"> </w:t>
      </w:r>
      <w:r w:rsidR="00462343">
        <w:t>Food </w:t>
      </w:r>
      <w:r>
        <w:t xml:space="preserve">product manufacturing. This subdivision includes meat processing, poultry processing, milk and cream processing, cheese and other dairy manufacturing, oil and fat manufacturing, fruit and vegetable processing and sugar processing. The classes in Subdivision 11 of Division C which are not prescribed are class 113 (cured meat and smallgoods manufacturing); class 1132 (ice cream manufacturing), class 1162 (cereal, pasta and baking mix manufacturing); a class in group 117 (bakery product manufacturing); class 1182 (confectionary manufacturing), and a class in group 119 (other food product manufacturing). </w:t>
      </w:r>
    </w:p>
    <w:p w14:paraId="45BEC597" w14:textId="3120245D" w:rsidR="00B30BA8" w:rsidRPr="00A6411A" w:rsidRDefault="00B30BA8" w:rsidP="000355FB">
      <w:pPr>
        <w:pStyle w:val="Bullet"/>
        <w:keepNext/>
        <w:numPr>
          <w:ilvl w:val="0"/>
          <w:numId w:val="0"/>
        </w:numPr>
        <w:spacing w:before="120"/>
        <w:rPr>
          <w:i/>
        </w:rPr>
      </w:pPr>
      <w:r w:rsidRPr="00A6411A">
        <w:rPr>
          <w:i/>
        </w:rPr>
        <w:t>Apportioning mixed earnings and mixed</w:t>
      </w:r>
      <w:r w:rsidR="00A6411A" w:rsidRPr="00A6411A">
        <w:rPr>
          <w:i/>
        </w:rPr>
        <w:noBreakHyphen/>
      </w:r>
      <w:r w:rsidRPr="00A6411A">
        <w:rPr>
          <w:i/>
        </w:rPr>
        <w:t>use assets for the purposes of determining when an Australian entity or Australian business is an agribusiness</w:t>
      </w:r>
    </w:p>
    <w:p w14:paraId="1BF50CCB" w14:textId="3AD3F321" w:rsidR="00E028B3" w:rsidRDefault="00E028B3" w:rsidP="00647AD0">
      <w:pPr>
        <w:widowControl w:val="0"/>
        <w:rPr>
          <w:b/>
        </w:rPr>
      </w:pPr>
      <w:r w:rsidRPr="00A6411A">
        <w:t xml:space="preserve">If earnings are derived from carrying on a business that is not wholly in a specified class of the </w:t>
      </w:r>
      <w:proofErr w:type="spellStart"/>
      <w:r w:rsidR="00462343" w:rsidRPr="00A6411A">
        <w:t>ANZSIC</w:t>
      </w:r>
      <w:proofErr w:type="spellEnd"/>
      <w:r w:rsidR="00462343">
        <w:t> </w:t>
      </w:r>
      <w:r w:rsidRPr="00A6411A">
        <w:t>Codes, the earnings may be apportioned</w:t>
      </w:r>
      <w:r w:rsidR="00A6411A" w:rsidRPr="00A6411A">
        <w:t xml:space="preserve"> between the business that is in the class and other parts of the business</w:t>
      </w:r>
      <w:r w:rsidR="00B30BA8" w:rsidRPr="00A6411A">
        <w:t>, on the basis of information available to the foreign person taking action in relation to the business</w:t>
      </w:r>
      <w:r w:rsidRPr="00A6411A">
        <w:t xml:space="preserve">. Similarly, </w:t>
      </w:r>
      <w:r w:rsidR="00B30BA8" w:rsidRPr="00A6411A">
        <w:t xml:space="preserve">if </w:t>
      </w:r>
      <w:r w:rsidRPr="00A6411A">
        <w:t xml:space="preserve">the value of assets that are used in carrying on a business is not wholly in a specified class of the </w:t>
      </w:r>
      <w:proofErr w:type="spellStart"/>
      <w:r w:rsidR="00462343" w:rsidRPr="00A6411A">
        <w:t>ANZSIC</w:t>
      </w:r>
      <w:proofErr w:type="spellEnd"/>
      <w:r w:rsidR="00462343">
        <w:t> </w:t>
      </w:r>
      <w:r w:rsidRPr="00A6411A">
        <w:t>Codes</w:t>
      </w:r>
      <w:r w:rsidR="00B30BA8" w:rsidRPr="00A6411A">
        <w:t>, the value of the assets may be apportioned</w:t>
      </w:r>
      <w:r w:rsidR="00A6411A" w:rsidRPr="00A6411A">
        <w:t xml:space="preserve"> between the business that is in the class and other parts of the business</w:t>
      </w:r>
      <w:r w:rsidR="00B30BA8" w:rsidRPr="00A6411A">
        <w:t xml:space="preserve">, on the basis of information available to the foreign person taking the action. </w:t>
      </w:r>
    </w:p>
    <w:p w14:paraId="424ADBB8" w14:textId="11161024" w:rsidR="007D6E84" w:rsidRPr="00B2272E" w:rsidRDefault="00301EFF" w:rsidP="00647AD0">
      <w:pPr>
        <w:keepNext/>
        <w:rPr>
          <w:b/>
        </w:rPr>
      </w:pPr>
      <w:r w:rsidRPr="00E81137">
        <w:rPr>
          <w:b/>
        </w:rPr>
        <w:t>Sectio</w:t>
      </w:r>
      <w:r w:rsidRPr="00B2272E">
        <w:rPr>
          <w:b/>
        </w:rPr>
        <w:t>n </w:t>
      </w:r>
      <w:r w:rsidR="00647AD0" w:rsidRPr="00B2272E">
        <w:rPr>
          <w:b/>
        </w:rPr>
        <w:t>13</w:t>
      </w:r>
      <w:r w:rsidR="009B5390" w:rsidRPr="00B2272E">
        <w:rPr>
          <w:b/>
        </w:rPr>
        <w:t> </w:t>
      </w:r>
      <w:r w:rsidR="009B5390" w:rsidRPr="00B2272E">
        <w:rPr>
          <w:rFonts w:ascii="Calibri" w:hAnsi="Calibri"/>
          <w:b/>
        </w:rPr>
        <w:t>—</w:t>
      </w:r>
      <w:r w:rsidR="009B5390" w:rsidRPr="00B2272E">
        <w:rPr>
          <w:b/>
        </w:rPr>
        <w:t> </w:t>
      </w:r>
      <w:r w:rsidR="008675B9" w:rsidRPr="00B2272E">
        <w:rPr>
          <w:b/>
        </w:rPr>
        <w:t>L</w:t>
      </w:r>
      <w:r w:rsidR="004E3E0F" w:rsidRPr="00B2272E">
        <w:rPr>
          <w:b/>
        </w:rPr>
        <w:t>and entities</w:t>
      </w:r>
    </w:p>
    <w:p w14:paraId="05C84C4D" w14:textId="3D8879C8" w:rsidR="00BC3892" w:rsidRPr="00B2272E" w:rsidRDefault="000D2DE1" w:rsidP="000355FB">
      <w:pPr>
        <w:keepNext/>
      </w:pPr>
      <w:r w:rsidRPr="00B2272E">
        <w:t>Section 4 of the Act provides that the terms ‘agricultural land corporation’</w:t>
      </w:r>
      <w:r w:rsidR="00B901EE" w:rsidRPr="00B2272E">
        <w:t>,</w:t>
      </w:r>
      <w:r w:rsidRPr="00B2272E">
        <w:t xml:space="preserve"> </w:t>
      </w:r>
      <w:r w:rsidR="00B901EE" w:rsidRPr="00B2272E">
        <w:t>‘</w:t>
      </w:r>
      <w:r w:rsidRPr="00B2272E">
        <w:t xml:space="preserve">agricultural land trust’, ‘Australian land corporation’ and ‘Australian land trust’ have the meaning prescribed by the regulations. </w:t>
      </w:r>
      <w:r w:rsidR="00B1703B" w:rsidRPr="00B2272E">
        <w:t>Together these are defined by section </w:t>
      </w:r>
      <w:r w:rsidR="00647AD0" w:rsidRPr="00B2272E">
        <w:t xml:space="preserve">5 </w:t>
      </w:r>
      <w:r w:rsidR="00B1703B" w:rsidRPr="00B2272E">
        <w:t>of the Regulation as ‘land entities’. Section </w:t>
      </w:r>
      <w:r w:rsidR="00647AD0" w:rsidRPr="00B2272E">
        <w:t>13</w:t>
      </w:r>
      <w:r w:rsidR="0074274C" w:rsidRPr="00B2272E">
        <w:t xml:space="preserve"> </w:t>
      </w:r>
      <w:r w:rsidR="009923D5" w:rsidRPr="00B2272E">
        <w:t>of the Regulation prescribes the meaning of each of these terms.</w:t>
      </w:r>
      <w:r w:rsidR="003F67AD" w:rsidRPr="00B2272E">
        <w:t xml:space="preserve"> Other definitions relevant to assessing if a corporation or unit trust </w:t>
      </w:r>
      <w:r w:rsidR="001C41CF">
        <w:t xml:space="preserve">is a land entity </w:t>
      </w:r>
      <w:r w:rsidR="003F67AD" w:rsidRPr="00B2272E">
        <w:t>(whether incorporat</w:t>
      </w:r>
      <w:r w:rsidR="001C41CF">
        <w:t>ed</w:t>
      </w:r>
      <w:r w:rsidR="003F67AD" w:rsidRPr="00B2272E">
        <w:t xml:space="preserve"> or established inside or outside of Australia) are:</w:t>
      </w:r>
    </w:p>
    <w:p w14:paraId="32E4E88F" w14:textId="1E17C972" w:rsidR="003F67AD" w:rsidRPr="00B2272E" w:rsidRDefault="003F67AD" w:rsidP="00787E84">
      <w:pPr>
        <w:pStyle w:val="Bullet"/>
        <w:spacing w:before="120"/>
      </w:pPr>
      <w:r w:rsidRPr="00B2272E">
        <w:t>The term ‘Australian land’ is defined by section 4 of the Act to mean ‘agricultural land’, ‘commercial land’,’ residential land’ or a ‘mining or production tenement’</w:t>
      </w:r>
      <w:r w:rsidR="00961E3A" w:rsidRPr="00B2272E">
        <w:t>, which are also terms defined in section 4 of the Act</w:t>
      </w:r>
      <w:r w:rsidRPr="00B2272E">
        <w:t>.</w:t>
      </w:r>
      <w:r w:rsidR="00961E3A" w:rsidRPr="00B2272E">
        <w:t xml:space="preserve"> </w:t>
      </w:r>
    </w:p>
    <w:p w14:paraId="59F4C433" w14:textId="4BA7E98E" w:rsidR="00961E3A" w:rsidRPr="00B2272E" w:rsidRDefault="00961E3A" w:rsidP="00BB29A8">
      <w:pPr>
        <w:pStyle w:val="Dash"/>
        <w:spacing w:before="120"/>
      </w:pPr>
      <w:r w:rsidRPr="00B2272E">
        <w:t>‘Agricultural land’ is defined by section 4 of the Act to mean land in Australia that is used, or could be used, for a primary</w:t>
      </w:r>
      <w:r>
        <w:t xml:space="preserve"> production business. However, secti</w:t>
      </w:r>
      <w:r w:rsidRPr="00B2272E">
        <w:t>on 44 of the Regulation provides that land of a specified kind is not agricultural land.</w:t>
      </w:r>
    </w:p>
    <w:p w14:paraId="4EB38251" w14:textId="0B7B33B8" w:rsidR="00780022" w:rsidRPr="00B2272E" w:rsidRDefault="00256132" w:rsidP="00BB29A8">
      <w:pPr>
        <w:pStyle w:val="Dash"/>
        <w:spacing w:before="120"/>
      </w:pPr>
      <w:r w:rsidRPr="00B2272E">
        <w:t>S</w:t>
      </w:r>
      <w:r w:rsidR="00780022" w:rsidRPr="00B2272E">
        <w:t>ubs</w:t>
      </w:r>
      <w:r w:rsidRPr="00B2272E">
        <w:t>ection</w:t>
      </w:r>
      <w:r w:rsidR="00780022" w:rsidRPr="00B2272E">
        <w:t>s</w:t>
      </w:r>
      <w:r w:rsidRPr="00B2272E">
        <w:t> 40</w:t>
      </w:r>
      <w:r w:rsidR="00780022" w:rsidRPr="00B2272E">
        <w:t>(3) and (4) of the Regulation allows relevant agreement country investors (that is, Chilean, New Zealand and United States investors) and enterprises and nationals of Singapore and Thailand</w:t>
      </w:r>
      <w:r w:rsidR="000C4E33" w:rsidRPr="00B2272E">
        <w:t xml:space="preserve"> (other than foreign government investors)</w:t>
      </w:r>
      <w:r w:rsidR="00780022" w:rsidRPr="00B2272E">
        <w:t xml:space="preserve">, when assessing if an entity that they </w:t>
      </w:r>
      <w:r w:rsidR="000C4E33" w:rsidRPr="00B2272E">
        <w:t xml:space="preserve">propose to </w:t>
      </w:r>
      <w:r w:rsidR="00780022" w:rsidRPr="00B2272E">
        <w:t xml:space="preserve">acquire an interest in is a land entity, </w:t>
      </w:r>
      <w:r w:rsidR="000C4E33" w:rsidRPr="00B2272E">
        <w:t xml:space="preserve">to </w:t>
      </w:r>
      <w:r w:rsidR="00780022" w:rsidRPr="00B2272E">
        <w:t xml:space="preserve">disregard the fact that land that is used wholly and exclusively for a primary production business is agricultural land. </w:t>
      </w:r>
    </w:p>
    <w:p w14:paraId="04C5DB4D" w14:textId="579B49C5" w:rsidR="00256132" w:rsidRPr="00B2272E" w:rsidRDefault="00780022" w:rsidP="00BB29A8">
      <w:pPr>
        <w:pStyle w:val="DoubleDot"/>
        <w:spacing w:before="120"/>
      </w:pPr>
      <w:r w:rsidRPr="00B2272E">
        <w:t>This does not preclude the fact that agricultural land that is not used wholly and exclusively for a primary production business may also be residential or commercial land.</w:t>
      </w:r>
    </w:p>
    <w:p w14:paraId="59CF600D" w14:textId="61B60860" w:rsidR="00B901EE" w:rsidRPr="00B2272E" w:rsidRDefault="00B901EE" w:rsidP="00BB29A8">
      <w:pPr>
        <w:pStyle w:val="Bullet"/>
        <w:keepNext/>
        <w:numPr>
          <w:ilvl w:val="0"/>
          <w:numId w:val="0"/>
        </w:numPr>
        <w:spacing w:before="120"/>
        <w:rPr>
          <w:i/>
        </w:rPr>
      </w:pPr>
      <w:r w:rsidRPr="00B2272E">
        <w:rPr>
          <w:i/>
        </w:rPr>
        <w:t>Agricultural land corporation</w:t>
      </w:r>
    </w:p>
    <w:p w14:paraId="15FA3C13" w14:textId="7FFA8F6F" w:rsidR="008E636A" w:rsidRDefault="005B5ABA" w:rsidP="00BB29A8">
      <w:r w:rsidRPr="00B2272E">
        <w:t>A corporation</w:t>
      </w:r>
      <w:r w:rsidR="00EB018F" w:rsidRPr="00B2272E">
        <w:t xml:space="preserve"> </w:t>
      </w:r>
      <w:r w:rsidRPr="00B2272E">
        <w:t xml:space="preserve">that is a holding entity and </w:t>
      </w:r>
      <w:r w:rsidR="00B30BA8" w:rsidRPr="00B2272E">
        <w:t xml:space="preserve">prepares </w:t>
      </w:r>
      <w:r w:rsidR="004E3E0F" w:rsidRPr="00B2272E">
        <w:t>financial statements</w:t>
      </w:r>
      <w:r w:rsidR="00EB018F" w:rsidRPr="00B2272E">
        <w:t xml:space="preserve"> </w:t>
      </w:r>
      <w:r w:rsidR="00B30BA8" w:rsidRPr="00B2272E">
        <w:t xml:space="preserve">or another document in accordance with </w:t>
      </w:r>
      <w:r w:rsidR="0074274C" w:rsidRPr="00B2272E">
        <w:t>sub</w:t>
      </w:r>
      <w:r w:rsidR="00B30BA8" w:rsidRPr="00B2272E">
        <w:t>section</w:t>
      </w:r>
      <w:r w:rsidR="0074274C" w:rsidRPr="00B2272E">
        <w:t> </w:t>
      </w:r>
      <w:r w:rsidR="00647AD0" w:rsidRPr="00B2272E">
        <w:t>24</w:t>
      </w:r>
      <w:r w:rsidR="00B30BA8" w:rsidRPr="00B2272E">
        <w:t xml:space="preserve">(2) or (3) </w:t>
      </w:r>
      <w:r w:rsidR="00D31F64" w:rsidRPr="00B2272E">
        <w:t xml:space="preserve">(for example, consolidated financial statements) </w:t>
      </w:r>
      <w:r w:rsidRPr="00B2272E">
        <w:t xml:space="preserve">is </w:t>
      </w:r>
      <w:r w:rsidR="00EB018F" w:rsidRPr="00B2272E">
        <w:t>an agricultural land corpor</w:t>
      </w:r>
      <w:r w:rsidR="00EB018F">
        <w:t xml:space="preserve">ation if the value of interests </w:t>
      </w:r>
      <w:r w:rsidR="00BC3892">
        <w:t>in agri</w:t>
      </w:r>
      <w:r>
        <w:t xml:space="preserve">cultural land set out in the financial statements </w:t>
      </w:r>
      <w:r w:rsidR="00F4665D">
        <w:t>exceeds 50 per </w:t>
      </w:r>
      <w:r w:rsidR="00BC3892">
        <w:t>c</w:t>
      </w:r>
      <w:r>
        <w:t>ent of the total assets set out in the corporation’s financial statements</w:t>
      </w:r>
      <w:r w:rsidR="00BC3892">
        <w:t>.</w:t>
      </w:r>
      <w:r w:rsidR="00653790">
        <w:t xml:space="preserve"> </w:t>
      </w:r>
    </w:p>
    <w:p w14:paraId="3DA13655" w14:textId="7DCC825F" w:rsidR="00B901EE" w:rsidRDefault="008E636A" w:rsidP="00BB29A8">
      <w:r>
        <w:t>Any other entity is an agricultural land corporation if the entity’s interests in agricultural land hel</w:t>
      </w:r>
      <w:r w:rsidR="009471AB">
        <w:t xml:space="preserve">d by the entity </w:t>
      </w:r>
      <w:r w:rsidR="00A67881">
        <w:t xml:space="preserve">are </w:t>
      </w:r>
      <w:r w:rsidR="009471AB">
        <w:t>more than 50 per </w:t>
      </w:r>
      <w:r>
        <w:t xml:space="preserve">cent of the total assets of the entity. </w:t>
      </w:r>
    </w:p>
    <w:p w14:paraId="4399ECC3" w14:textId="16EB2290" w:rsidR="00BC3892" w:rsidRDefault="00B901EE" w:rsidP="00BB29A8">
      <w:pPr>
        <w:pStyle w:val="Bullet"/>
        <w:keepNext/>
        <w:numPr>
          <w:ilvl w:val="0"/>
          <w:numId w:val="0"/>
        </w:numPr>
        <w:spacing w:before="120"/>
      </w:pPr>
      <w:r>
        <w:rPr>
          <w:i/>
        </w:rPr>
        <w:t>Agricultural land trust</w:t>
      </w:r>
    </w:p>
    <w:p w14:paraId="4354EBE1" w14:textId="62F108F5" w:rsidR="008C7C5D" w:rsidRDefault="00B901EE" w:rsidP="00BB29A8">
      <w:pPr>
        <w:pStyle w:val="Bullet"/>
        <w:numPr>
          <w:ilvl w:val="0"/>
          <w:numId w:val="0"/>
        </w:numPr>
        <w:spacing w:before="120"/>
      </w:pPr>
      <w:r>
        <w:t>A unit tru</w:t>
      </w:r>
      <w:r w:rsidR="008E636A">
        <w:t xml:space="preserve">st </w:t>
      </w:r>
      <w:r>
        <w:t>is an agricultural land trust if the interests in agricultural lan</w:t>
      </w:r>
      <w:r w:rsidR="008E636A">
        <w:t xml:space="preserve">d held by the trustee of the unit trust </w:t>
      </w:r>
      <w:r>
        <w:t xml:space="preserve">exceeds 50 per cent of </w:t>
      </w:r>
      <w:r w:rsidR="008C7C5D">
        <w:t>the total assets of the trustee of the unit trust.</w:t>
      </w:r>
      <w:r w:rsidR="002D5D9E" w:rsidRPr="002D5D9E">
        <w:t xml:space="preserve"> </w:t>
      </w:r>
      <w:r w:rsidR="002D5D9E">
        <w:t>The interests in agricultural land held by the trustee and the total assets of the trustee are those held by the trustee in their capacity as trustee of the applicable unit trust.</w:t>
      </w:r>
    </w:p>
    <w:p w14:paraId="3790050D" w14:textId="69E98D9E" w:rsidR="001B1D1C" w:rsidRDefault="001B1D1C" w:rsidP="00BB29A8">
      <w:pPr>
        <w:pStyle w:val="Bullet"/>
        <w:keepNext/>
        <w:numPr>
          <w:ilvl w:val="0"/>
          <w:numId w:val="0"/>
        </w:numPr>
        <w:spacing w:before="120"/>
        <w:rPr>
          <w:i/>
        </w:rPr>
      </w:pPr>
      <w:r>
        <w:rPr>
          <w:i/>
        </w:rPr>
        <w:t>Australian land corporation</w:t>
      </w:r>
    </w:p>
    <w:p w14:paraId="6ED12E49" w14:textId="268AB184" w:rsidR="001B1D1C" w:rsidRDefault="00910E01" w:rsidP="00BB29A8">
      <w:pPr>
        <w:keepNext/>
      </w:pPr>
      <w:r>
        <w:t>A corporation is an Australian land corporation if:</w:t>
      </w:r>
    </w:p>
    <w:p w14:paraId="2F2E4DCF" w14:textId="61FE0580" w:rsidR="00063FEE" w:rsidRDefault="00063FEE" w:rsidP="00BB29A8">
      <w:pPr>
        <w:pStyle w:val="Bullet"/>
        <w:spacing w:before="120"/>
      </w:pPr>
      <w:r>
        <w:t>in the case of a corporation that is a holding entit</w:t>
      </w:r>
      <w:r w:rsidR="002B288F">
        <w:t>y</w:t>
      </w:r>
      <w:r>
        <w:t xml:space="preserve">, the corporation’s interest in Australian land exceeds 50 per cent of the corporation’s total assets set </w:t>
      </w:r>
      <w:r w:rsidR="002B288F">
        <w:t>out in the consolidated financial statements</w:t>
      </w:r>
      <w:r>
        <w:t>.</w:t>
      </w:r>
    </w:p>
    <w:p w14:paraId="0859C275" w14:textId="548AB670" w:rsidR="00910E01" w:rsidRDefault="00910E01" w:rsidP="00BB29A8">
      <w:pPr>
        <w:pStyle w:val="Bullet"/>
        <w:spacing w:before="120"/>
      </w:pPr>
      <w:r>
        <w:t>in the case of a</w:t>
      </w:r>
      <w:r w:rsidR="00063FEE">
        <w:t>ny other</w:t>
      </w:r>
      <w:r>
        <w:t xml:space="preserve"> corporat</w:t>
      </w:r>
      <w:r w:rsidR="00063FEE">
        <w:t>ion</w:t>
      </w:r>
      <w:r>
        <w:t>, the corporation’s interest in Australian land exceeds 50 per</w:t>
      </w:r>
      <w:r w:rsidR="00063FEE">
        <w:t> cent of the corporation</w:t>
      </w:r>
      <w:r w:rsidR="00A66307">
        <w:t>’</w:t>
      </w:r>
      <w:r w:rsidR="00063FEE">
        <w:t>s total assets.</w:t>
      </w:r>
    </w:p>
    <w:p w14:paraId="16B55B5B" w14:textId="77777777" w:rsidR="00064C25" w:rsidRDefault="00064C25" w:rsidP="00BB29A8">
      <w:pPr>
        <w:pStyle w:val="Bullet"/>
        <w:keepNext/>
        <w:numPr>
          <w:ilvl w:val="0"/>
          <w:numId w:val="0"/>
        </w:numPr>
        <w:spacing w:before="120"/>
        <w:rPr>
          <w:i/>
        </w:rPr>
      </w:pPr>
      <w:r>
        <w:rPr>
          <w:i/>
        </w:rPr>
        <w:t>Australian land trust</w:t>
      </w:r>
    </w:p>
    <w:p w14:paraId="2FC91F1E" w14:textId="649EE79C" w:rsidR="0064742F" w:rsidRDefault="00FA5F12" w:rsidP="00BB29A8">
      <w:pPr>
        <w:pStyle w:val="Bullet"/>
        <w:keepNext/>
        <w:numPr>
          <w:ilvl w:val="0"/>
          <w:numId w:val="0"/>
        </w:numPr>
        <w:spacing w:before="120"/>
      </w:pPr>
      <w:r>
        <w:t xml:space="preserve">A </w:t>
      </w:r>
      <w:r w:rsidR="003F67AD">
        <w:t xml:space="preserve">unit </w:t>
      </w:r>
      <w:r w:rsidR="0064742F">
        <w:t>trust is an Australian land trust if:</w:t>
      </w:r>
    </w:p>
    <w:p w14:paraId="2249D067" w14:textId="6B22DB39" w:rsidR="002D5D9E" w:rsidRDefault="0064742F" w:rsidP="00BB29A8">
      <w:pPr>
        <w:pStyle w:val="Bullet"/>
        <w:spacing w:before="120"/>
      </w:pPr>
      <w:r>
        <w:t xml:space="preserve">in </w:t>
      </w:r>
      <w:r w:rsidR="001A1739">
        <w:t xml:space="preserve">the case of a unit trust that is not a holding entity, the interests in Australian land held by the trustee of the unit trust </w:t>
      </w:r>
      <w:r w:rsidR="00FA5F12">
        <w:t>is more than</w:t>
      </w:r>
      <w:r w:rsidR="004B2DD0">
        <w:t xml:space="preserve"> 50 per </w:t>
      </w:r>
      <w:r w:rsidR="001A1739">
        <w:t>cent of the total assets held by the trustee</w:t>
      </w:r>
    </w:p>
    <w:p w14:paraId="21648CD9" w14:textId="3340F7E5" w:rsidR="001A1739" w:rsidRDefault="00FA5F12" w:rsidP="00BB29A8">
      <w:pPr>
        <w:pStyle w:val="Bullet"/>
        <w:spacing w:before="120"/>
      </w:pPr>
      <w:r>
        <w:t xml:space="preserve">in the case of a unit trust that is a holding entity and does not have consolidated </w:t>
      </w:r>
      <w:r w:rsidR="00D01AA3">
        <w:t>financial statements</w:t>
      </w:r>
      <w:r>
        <w:t>, the interests in Australian lan</w:t>
      </w:r>
      <w:r w:rsidR="00A66307">
        <w:t>d held by the trustee exceed 50 </w:t>
      </w:r>
      <w:r>
        <w:t>per cent of the total assets of the assets held by the trustee of the unit trust</w:t>
      </w:r>
    </w:p>
    <w:p w14:paraId="42ED641C" w14:textId="67B9FC42" w:rsidR="00FA5F12" w:rsidRDefault="00FA5F12" w:rsidP="00BB29A8">
      <w:pPr>
        <w:pStyle w:val="Bullet"/>
        <w:spacing w:before="120"/>
      </w:pPr>
      <w:r>
        <w:t xml:space="preserve">in the case of a unit trust that is a holding entity and has </w:t>
      </w:r>
      <w:r w:rsidR="0091456A">
        <w:t xml:space="preserve">financial statements or another document in accordance with </w:t>
      </w:r>
      <w:r w:rsidR="0074274C">
        <w:t>sub</w:t>
      </w:r>
      <w:r w:rsidR="0091456A">
        <w:t>section</w:t>
      </w:r>
      <w:r w:rsidR="0074274C">
        <w:t> </w:t>
      </w:r>
      <w:r w:rsidR="0091456A">
        <w:t>20(2) or (3)</w:t>
      </w:r>
      <w:r>
        <w:t xml:space="preserve">, the interest in Australian land sets out </w:t>
      </w:r>
      <w:r w:rsidR="00A66307">
        <w:t xml:space="preserve">in the </w:t>
      </w:r>
      <w:r w:rsidR="00D01AA3">
        <w:t>financial statements</w:t>
      </w:r>
      <w:r w:rsidR="002D5D9E">
        <w:t xml:space="preserve"> </w:t>
      </w:r>
      <w:r w:rsidR="00A66307">
        <w:t>is more than 50 </w:t>
      </w:r>
      <w:r>
        <w:t xml:space="preserve">per cent of the total assets </w:t>
      </w:r>
      <w:r w:rsidR="00A66307">
        <w:t xml:space="preserve">set out in the </w:t>
      </w:r>
      <w:r w:rsidR="00D01AA3">
        <w:t>financial statements</w:t>
      </w:r>
      <w:r w:rsidR="00A66307">
        <w:t>.</w:t>
      </w:r>
    </w:p>
    <w:p w14:paraId="010831E1" w14:textId="675BA888" w:rsidR="002D5D9E" w:rsidRDefault="002D5D9E" w:rsidP="00BB29A8">
      <w:pPr>
        <w:pStyle w:val="Bullet"/>
        <w:numPr>
          <w:ilvl w:val="0"/>
          <w:numId w:val="0"/>
        </w:numPr>
        <w:spacing w:before="120"/>
      </w:pPr>
      <w:r>
        <w:t xml:space="preserve">For the above, the interests in Australian land held by the trustee and the total assets of the trustee, are those held by the trustee in their capacity as </w:t>
      </w:r>
      <w:r w:rsidR="00722F33">
        <w:t xml:space="preserve">the </w:t>
      </w:r>
      <w:r>
        <w:t>trustee of the applicable unit trust.</w:t>
      </w:r>
    </w:p>
    <w:p w14:paraId="27B2203A" w14:textId="4686A8D1" w:rsidR="00B34EA8" w:rsidRPr="00B2272E" w:rsidRDefault="00301EFF" w:rsidP="00B34EA8">
      <w:pPr>
        <w:rPr>
          <w:b/>
        </w:rPr>
      </w:pPr>
      <w:r w:rsidRPr="00B2272E">
        <w:rPr>
          <w:b/>
        </w:rPr>
        <w:t>Section </w:t>
      </w:r>
      <w:r w:rsidR="00DD2A62" w:rsidRPr="00B2272E">
        <w:rPr>
          <w:b/>
        </w:rPr>
        <w:t>14</w:t>
      </w:r>
      <w:r w:rsidR="009B5390" w:rsidRPr="00B2272E">
        <w:rPr>
          <w:b/>
        </w:rPr>
        <w:t> </w:t>
      </w:r>
      <w:r w:rsidR="009B5390" w:rsidRPr="00B2272E">
        <w:rPr>
          <w:rFonts w:ascii="Calibri" w:hAnsi="Calibri"/>
          <w:b/>
        </w:rPr>
        <w:t>—</w:t>
      </w:r>
      <w:r w:rsidR="009B5390" w:rsidRPr="00B2272E">
        <w:rPr>
          <w:b/>
        </w:rPr>
        <w:t> </w:t>
      </w:r>
      <w:r w:rsidR="00B34EA8" w:rsidRPr="00B2272E">
        <w:rPr>
          <w:b/>
        </w:rPr>
        <w:t>Meaning of ‘consideration’</w:t>
      </w:r>
    </w:p>
    <w:p w14:paraId="062BF0AE" w14:textId="109A244C" w:rsidR="008C61BB" w:rsidRPr="00B2272E" w:rsidRDefault="00A66307" w:rsidP="00B34EA8">
      <w:r w:rsidRPr="00B2272E">
        <w:t>Section </w:t>
      </w:r>
      <w:r w:rsidR="00B34EA8" w:rsidRPr="00B2272E">
        <w:t xml:space="preserve">4 of the Act provides that consideration has the meaning prescribed by the regulations. </w:t>
      </w:r>
    </w:p>
    <w:p w14:paraId="75859C0E" w14:textId="02608D18" w:rsidR="006A7EAE" w:rsidRPr="000661B5" w:rsidRDefault="006A7EAE" w:rsidP="00B34EA8">
      <w:r w:rsidRPr="00B2272E">
        <w:t>Subsection </w:t>
      </w:r>
      <w:r w:rsidR="00DD2A62" w:rsidRPr="00B2272E">
        <w:t>14</w:t>
      </w:r>
      <w:r w:rsidRPr="00B2272E">
        <w:t xml:space="preserve">(1) of the </w:t>
      </w:r>
      <w:r w:rsidR="002B288F" w:rsidRPr="00B2272E">
        <w:t>Regulation provides that the consideration for an acquisition of an interest in securities, assets</w:t>
      </w:r>
      <w:r w:rsidRPr="00B2272E">
        <w:t xml:space="preserve">, </w:t>
      </w:r>
      <w:r w:rsidR="002B288F" w:rsidRPr="00B2272E">
        <w:t>Australian land</w:t>
      </w:r>
      <w:r w:rsidRPr="00B2272E">
        <w:t>,</w:t>
      </w:r>
      <w:r w:rsidR="002B288F" w:rsidRPr="00B2272E">
        <w:t xml:space="preserve"> </w:t>
      </w:r>
      <w:r w:rsidRPr="00B2272E">
        <w:t>a mining, production of exploration tenement (within the meaning of section 5 of the R</w:t>
      </w:r>
      <w:r w:rsidRPr="000661B5">
        <w:t xml:space="preserve">egulation), </w:t>
      </w:r>
      <w:r w:rsidR="002B288F" w:rsidRPr="000661B5">
        <w:t>or an issue of securities in an entity includes</w:t>
      </w:r>
      <w:r w:rsidRPr="000661B5">
        <w:t>:</w:t>
      </w:r>
      <w:r w:rsidR="002B288F" w:rsidRPr="000661B5">
        <w:t xml:space="preserve"> </w:t>
      </w:r>
    </w:p>
    <w:p w14:paraId="06EDF0AA" w14:textId="706392A5" w:rsidR="006A7EAE" w:rsidRPr="000661B5" w:rsidRDefault="002B288F" w:rsidP="00F40AEE">
      <w:pPr>
        <w:pStyle w:val="Bullet"/>
        <w:spacing w:before="120"/>
      </w:pPr>
      <w:r w:rsidRPr="000661B5">
        <w:t>consideration in any form</w:t>
      </w:r>
      <w:r w:rsidR="00A7613A" w:rsidRPr="000661B5">
        <w:t xml:space="preserve"> (including consideration that is ‘in kind’</w:t>
      </w:r>
      <w:r w:rsidR="00222434" w:rsidRPr="000661B5">
        <w:t>)</w:t>
      </w:r>
      <w:r w:rsidR="000661B5" w:rsidRPr="000661B5">
        <w:t xml:space="preserve">. Examples of in </w:t>
      </w:r>
      <w:r w:rsidR="000661B5" w:rsidRPr="00166214">
        <w:t xml:space="preserve">kind consideration include scrip for scrip (that is where securities are received as payment for a sale </w:t>
      </w:r>
      <w:r w:rsidR="000661B5" w:rsidRPr="00FB6428">
        <w:t>of other securities) and payment through the transfer of property or other assets</w:t>
      </w:r>
      <w:r w:rsidR="00166214" w:rsidRPr="00FB6428">
        <w:t xml:space="preserve">. Other examples of in kind consideration include providing goods or services, granting a right, or entering into an obligation (including an obligation to not undertake an act). In </w:t>
      </w:r>
      <w:r w:rsidR="00166214" w:rsidRPr="003C1964">
        <w:t xml:space="preserve">kind consideration may </w:t>
      </w:r>
      <w:r w:rsidR="00166214">
        <w:t xml:space="preserve">represent the consideration in whole or </w:t>
      </w:r>
      <w:r w:rsidR="00166214" w:rsidRPr="003C1964">
        <w:t>part</w:t>
      </w:r>
      <w:r w:rsidR="006A7EAE" w:rsidRPr="000661B5">
        <w:t xml:space="preserve">; </w:t>
      </w:r>
    </w:p>
    <w:p w14:paraId="53E75986" w14:textId="77777777" w:rsidR="007568A2" w:rsidRDefault="006A7EAE" w:rsidP="00A42C4A">
      <w:pPr>
        <w:pStyle w:val="Bullet"/>
        <w:spacing w:before="120"/>
      </w:pPr>
      <w:r>
        <w:t xml:space="preserve">any </w:t>
      </w:r>
      <w:r w:rsidR="001B1A41" w:rsidRPr="001B1A41">
        <w:t xml:space="preserve">Goods and Services Tax </w:t>
      </w:r>
      <w:r w:rsidR="001B1A41">
        <w:t>(</w:t>
      </w:r>
      <w:r>
        <w:t>GST</w:t>
      </w:r>
      <w:r w:rsidR="001B1A41">
        <w:t>)</w:t>
      </w:r>
      <w:r w:rsidR="002B288F">
        <w:t xml:space="preserve"> or any equivalent tax payable under a law of a foreign country </w:t>
      </w:r>
      <w:r>
        <w:t>or a part of a foreign country</w:t>
      </w:r>
      <w:r w:rsidR="00E0378A">
        <w:t xml:space="preserve">. </w:t>
      </w:r>
    </w:p>
    <w:p w14:paraId="5E8315F1" w14:textId="442B5377" w:rsidR="006A7EAE" w:rsidRDefault="00E0378A" w:rsidP="00A42C4A">
      <w:pPr>
        <w:pStyle w:val="Dash"/>
        <w:spacing w:before="120"/>
      </w:pPr>
      <w:r>
        <w:t>O</w:t>
      </w:r>
      <w:r w:rsidRPr="00E0378A">
        <w:t xml:space="preserve">ther government taxes or duties are </w:t>
      </w:r>
      <w:r>
        <w:t>not considered to be part of the consideration</w:t>
      </w:r>
      <w:r w:rsidR="001B0690">
        <w:t xml:space="preserve"> under this Act</w:t>
      </w:r>
      <w:r>
        <w:t xml:space="preserve"> (this includes any 6 monthly fee paid by a developer for the sale of new dwellings covered by </w:t>
      </w:r>
      <w:r w:rsidR="007568A2">
        <w:t xml:space="preserve">a </w:t>
      </w:r>
      <w:r>
        <w:t xml:space="preserve">section 57 exemption certificate for new dwellings, irrespective of if the </w:t>
      </w:r>
      <w:r w:rsidR="001B0690">
        <w:t xml:space="preserve">foreign person agrees to pay </w:t>
      </w:r>
      <w:r w:rsidR="007E4ADA">
        <w:t xml:space="preserve">the developer </w:t>
      </w:r>
      <w:r w:rsidR="001B0690">
        <w:t>an amount equivalent to the fee</w:t>
      </w:r>
      <w:r>
        <w:t>)</w:t>
      </w:r>
      <w:r w:rsidR="006A7EAE">
        <w:t>;</w:t>
      </w:r>
    </w:p>
    <w:p w14:paraId="6B7F9202" w14:textId="2DEC74E4" w:rsidR="006A7EAE" w:rsidRDefault="006A7EAE" w:rsidP="00F40AEE">
      <w:pPr>
        <w:pStyle w:val="Bullet"/>
        <w:spacing w:before="120"/>
      </w:pPr>
      <w:r>
        <w:t>any consideration that is contingent on the occurrence or non</w:t>
      </w:r>
      <w:r w:rsidR="000661B5">
        <w:noBreakHyphen/>
      </w:r>
      <w:r>
        <w:t xml:space="preserve">occurrence of a particular event. </w:t>
      </w:r>
    </w:p>
    <w:p w14:paraId="077958BD" w14:textId="1ED2D9A7" w:rsidR="00DC4436" w:rsidRPr="00DC4436" w:rsidRDefault="00DC4436" w:rsidP="002729D4">
      <w:pPr>
        <w:pStyle w:val="Bullet"/>
        <w:keepNext/>
        <w:numPr>
          <w:ilvl w:val="0"/>
          <w:numId w:val="0"/>
        </w:numPr>
        <w:spacing w:before="120"/>
        <w:rPr>
          <w:i/>
        </w:rPr>
      </w:pPr>
      <w:r>
        <w:rPr>
          <w:i/>
        </w:rPr>
        <w:t>Assessing the value of consideration</w:t>
      </w:r>
    </w:p>
    <w:p w14:paraId="37E96759" w14:textId="7B376800" w:rsidR="00F84C98" w:rsidRDefault="00A66307" w:rsidP="000355FB">
      <w:pPr>
        <w:pStyle w:val="Bullet"/>
        <w:numPr>
          <w:ilvl w:val="0"/>
          <w:numId w:val="0"/>
        </w:numPr>
        <w:spacing w:before="120"/>
      </w:pPr>
      <w:r>
        <w:t>S</w:t>
      </w:r>
      <w:r w:rsidR="00DC4436">
        <w:t>ubsections</w:t>
      </w:r>
      <w:r>
        <w:t> </w:t>
      </w:r>
      <w:r w:rsidR="00DD2A62" w:rsidRPr="00B2272E">
        <w:t>14</w:t>
      </w:r>
      <w:r w:rsidR="00DC4436">
        <w:t>(3)</w:t>
      </w:r>
      <w:r w:rsidR="000661B5">
        <w:t xml:space="preserve"> and (</w:t>
      </w:r>
      <w:r w:rsidR="00DC4436">
        <w:t>4)</w:t>
      </w:r>
      <w:r w:rsidR="00B34EA8">
        <w:t xml:space="preserve"> </w:t>
      </w:r>
      <w:r w:rsidR="009A560C">
        <w:t xml:space="preserve">of the Regulation </w:t>
      </w:r>
      <w:r w:rsidR="00DC4436">
        <w:t xml:space="preserve">explains how the value of consideration is to be assessed </w:t>
      </w:r>
      <w:r w:rsidR="00B34EA8">
        <w:t>for an acquisition of an interest in securities, assets</w:t>
      </w:r>
      <w:r w:rsidR="00DC4436">
        <w:t xml:space="preserve">, </w:t>
      </w:r>
      <w:r w:rsidR="00B34EA8">
        <w:t>Australian land</w:t>
      </w:r>
      <w:r w:rsidR="002B288F">
        <w:t>,</w:t>
      </w:r>
      <w:r w:rsidR="00B34EA8">
        <w:t xml:space="preserve"> </w:t>
      </w:r>
      <w:r w:rsidR="00DC4436">
        <w:t xml:space="preserve">a mining production or exploration tenement, </w:t>
      </w:r>
      <w:r w:rsidR="00B34EA8">
        <w:t xml:space="preserve">or an issue of securities </w:t>
      </w:r>
      <w:r w:rsidR="00DC4436">
        <w:t>in an entity</w:t>
      </w:r>
      <w:r w:rsidR="00A34FEB">
        <w:t>,</w:t>
      </w:r>
      <w:r w:rsidR="00DC4436">
        <w:t xml:space="preserve"> in circumstances where there is </w:t>
      </w:r>
      <w:r w:rsidR="008C61BB">
        <w:t>an agreement relating to the acquisition or issue and the parties to the agreement are not dealing at arm’s leng</w:t>
      </w:r>
      <w:r w:rsidR="00C975BE">
        <w:t>th</w:t>
      </w:r>
      <w:r w:rsidR="000661B5">
        <w:t>,</w:t>
      </w:r>
      <w:r w:rsidR="00DC4436">
        <w:t xml:space="preserve"> or where there is no agreement</w:t>
      </w:r>
      <w:r w:rsidR="008C61BB">
        <w:t xml:space="preserve">. </w:t>
      </w:r>
      <w:r w:rsidR="00DC4436">
        <w:t>In these circumstances a reasonable assessment of the value of t</w:t>
      </w:r>
      <w:r w:rsidR="001103CC">
        <w:t>he consideration is to be made.</w:t>
      </w:r>
    </w:p>
    <w:p w14:paraId="3D15F8F1" w14:textId="1166086D" w:rsidR="00F84C98" w:rsidRDefault="002B288F" w:rsidP="000355FB">
      <w:pPr>
        <w:pStyle w:val="Bullet"/>
        <w:numPr>
          <w:ilvl w:val="0"/>
          <w:numId w:val="0"/>
        </w:numPr>
        <w:spacing w:before="120"/>
      </w:pPr>
      <w:r>
        <w:t xml:space="preserve">An assessment of consideration is reasonable on a particular day if it is worked out on the basis of a price that was publicly available no more than seven days earlier. </w:t>
      </w:r>
      <w:r w:rsidR="00F84C98">
        <w:t>For example, reasonable consideration f</w:t>
      </w:r>
      <w:r w:rsidR="00F84C98" w:rsidRPr="00F84C98">
        <w:t>or listed and</w:t>
      </w:r>
      <w:r w:rsidR="00F84C98">
        <w:t xml:space="preserve"> unlisted public offer entities may be</w:t>
      </w:r>
      <w:r w:rsidR="00F84C98" w:rsidRPr="00F84C98">
        <w:t xml:space="preserve"> the publicly quoted daily closing price of the security, or if under a trading halt, the last quoted price</w:t>
      </w:r>
      <w:r w:rsidR="00F84C98">
        <w:t>. For land</w:t>
      </w:r>
      <w:r w:rsidR="008F1F25">
        <w:t>,</w:t>
      </w:r>
      <w:r w:rsidR="00F84C98">
        <w:t xml:space="preserve"> </w:t>
      </w:r>
      <w:r w:rsidR="008F1F25">
        <w:t xml:space="preserve">a reasonable assessment of the value of </w:t>
      </w:r>
      <w:r w:rsidR="00F84C98">
        <w:t xml:space="preserve">consideration may be </w:t>
      </w:r>
      <w:r w:rsidR="00F84C98" w:rsidRPr="00F84C98">
        <w:t>the price publicly advertised by, or on behalf of, the vendor.</w:t>
      </w:r>
      <w:r w:rsidR="008F1F25">
        <w:t xml:space="preserve"> For a house and land package, it would be the advertised price for the package.</w:t>
      </w:r>
    </w:p>
    <w:p w14:paraId="07E6FB31" w14:textId="402A90F4" w:rsidR="002B288F" w:rsidRDefault="00546BB2" w:rsidP="000355FB">
      <w:pPr>
        <w:pStyle w:val="Bullet"/>
        <w:numPr>
          <w:ilvl w:val="0"/>
          <w:numId w:val="0"/>
        </w:numPr>
        <w:spacing w:before="120"/>
      </w:pPr>
      <w:r>
        <w:t>In the case of an acquisition of an interest in securities made under a takeover bid</w:t>
      </w:r>
      <w:r w:rsidR="008F1F25">
        <w:t>,</w:t>
      </w:r>
      <w:r>
        <w:t xml:space="preserve"> an assessment of consideration is reasonable if it is worked out on the basis of the </w:t>
      </w:r>
      <w:r w:rsidR="008F1F25">
        <w:t xml:space="preserve">first </w:t>
      </w:r>
      <w:r>
        <w:t xml:space="preserve">amount specified for the interest in the bidder’s statement (within the meaning of the </w:t>
      </w:r>
      <w:r w:rsidR="005D38F2">
        <w:t>Corporations </w:t>
      </w:r>
      <w:r>
        <w:t>Act) or any equivalent document under a law of a foreign country or part of a foreign country. The Corporations Act specifies the information that must be in</w:t>
      </w:r>
      <w:r w:rsidR="001103CC">
        <w:t>cluded in a bidder’s statement.</w:t>
      </w:r>
      <w:r w:rsidR="008F1F25">
        <w:t xml:space="preserve"> In practice, this means that where the amount of the bid is subsequently either increased or decreased after the initial release of the bidder’s statement</w:t>
      </w:r>
      <w:r w:rsidR="005D38F2">
        <w:t>,</w:t>
      </w:r>
      <w:r w:rsidR="008F1F25">
        <w:t xml:space="preserve"> this would be disregarded. </w:t>
      </w:r>
      <w:r w:rsidR="005D38F2">
        <w:t xml:space="preserve">In the case where a bidder’s statement or any equivalent document are released in more than one country, it would be reasonable to rely on the bidder’s statement or equivalent document that is issued under the law of the country or part of a foreign country that has the closest connection to the entity in which securities are to be (for example, </w:t>
      </w:r>
      <w:r w:rsidR="008D1441">
        <w:t xml:space="preserve">if a listed entity, </w:t>
      </w:r>
      <w:r w:rsidR="005D38F2">
        <w:t xml:space="preserve">the </w:t>
      </w:r>
      <w:r w:rsidR="008D1441">
        <w:t>location of its primary listing, otherwise, its location of incorporation or establishment</w:t>
      </w:r>
      <w:r w:rsidR="005D38F2">
        <w:t>)</w:t>
      </w:r>
      <w:r w:rsidR="008D1441">
        <w:t>.</w:t>
      </w:r>
    </w:p>
    <w:p w14:paraId="4FDECC9D" w14:textId="4295085B" w:rsidR="00322A27" w:rsidRDefault="00546BB2" w:rsidP="007F6EFF">
      <w:r>
        <w:t xml:space="preserve">Where there is an agreement the value of </w:t>
      </w:r>
      <w:r w:rsidR="00C975BE">
        <w:t xml:space="preserve">the consideration is the value </w:t>
      </w:r>
      <w:r>
        <w:t>of the consideration for the acquisition or issue.</w:t>
      </w:r>
      <w:r w:rsidR="008D1441">
        <w:t xml:space="preserve"> However, this only applies if the parties to the agreement are dealing at arm’s length. For example, if a family member proposed to gift to a relative an interest in land, such as ownership of an established dwelling, for either a nil amount or only a nominal amount (that did not reflect the market value of the interest to be transferred), the amount shown in the agreement would not be a reasonable assessment of the value of consideration and a reasonable assessment of the value of the consideration would otherwise need to be made.</w:t>
      </w:r>
    </w:p>
    <w:p w14:paraId="3260C64C" w14:textId="0E021177" w:rsidR="003A190C" w:rsidRDefault="003A190C" w:rsidP="00B34EA8">
      <w:r>
        <w:t>While what is a reasonable assessment of the consideration will depend on the facts and circumstances of the action, examples of what may be a reasonable assessment of consideration in particular circumstances are as follows.</w:t>
      </w:r>
    </w:p>
    <w:p w14:paraId="71F3DF34" w14:textId="0BD42BDA" w:rsidR="003A190C" w:rsidRDefault="003A190C" w:rsidP="00AD044B">
      <w:pPr>
        <w:pStyle w:val="Bullet"/>
        <w:keepNext/>
        <w:spacing w:before="120"/>
      </w:pPr>
      <w:r>
        <w:t xml:space="preserve">Consideration for a leasehold interest in Australian land will generally be the total of any: </w:t>
      </w:r>
    </w:p>
    <w:p w14:paraId="3A716F92" w14:textId="77777777" w:rsidR="003A190C" w:rsidRDefault="003A190C" w:rsidP="00AD044B">
      <w:pPr>
        <w:pStyle w:val="Dash"/>
        <w:keepNext/>
        <w:spacing w:before="120"/>
      </w:pPr>
      <w:r>
        <w:t>up</w:t>
      </w:r>
      <w:r>
        <w:noBreakHyphen/>
        <w:t xml:space="preserve">front initial payments (other than taxes and regulatory charges) for the grant of the leasehold interest; </w:t>
      </w:r>
    </w:p>
    <w:p w14:paraId="347CBDC9" w14:textId="27C3E203" w:rsidR="003A190C" w:rsidRDefault="003A190C" w:rsidP="00A42C4A">
      <w:pPr>
        <w:pStyle w:val="Dash"/>
        <w:spacing w:before="120"/>
      </w:pPr>
      <w:r>
        <w:t>periodic payments for the benefit and enjoyment of the Australian land (for example, annual lease payments including amounts as increased in accordance with a formula over the term of the lease); and</w:t>
      </w:r>
    </w:p>
    <w:p w14:paraId="65DA9C03" w14:textId="37B09898" w:rsidR="003A190C" w:rsidRDefault="003A190C" w:rsidP="00A42C4A">
      <w:pPr>
        <w:pStyle w:val="Dash"/>
        <w:spacing w:before="120"/>
      </w:pPr>
      <w:r>
        <w:t>amounts likely to be paid for an extension or renewal of the lease (if prescribed under the lease agreement).</w:t>
      </w:r>
    </w:p>
    <w:p w14:paraId="224D486C" w14:textId="21CEAE41" w:rsidR="003A190C" w:rsidRDefault="003A190C" w:rsidP="00A42C4A">
      <w:pPr>
        <w:pStyle w:val="Bullet"/>
        <w:spacing w:before="120"/>
      </w:pPr>
      <w:r>
        <w:t>Consideration for interests related to security interests</w:t>
      </w:r>
      <w:r w:rsidR="00B220BD">
        <w:t xml:space="preserve"> (that are not otherwise exempt under this Act)</w:t>
      </w:r>
      <w:r>
        <w:t>:</w:t>
      </w:r>
    </w:p>
    <w:p w14:paraId="2FEF44A3" w14:textId="452C9679" w:rsidR="003A190C" w:rsidRDefault="003A190C" w:rsidP="00A42C4A">
      <w:pPr>
        <w:pStyle w:val="Dash"/>
        <w:spacing w:before="120"/>
      </w:pPr>
      <w:r>
        <w:t>For grant of a security interest, the sum of up</w:t>
      </w:r>
      <w:r>
        <w:noBreakHyphen/>
        <w:t>front initial payments (ongoing interest payments are disregarded if reflecting a market rate of interest).</w:t>
      </w:r>
    </w:p>
    <w:p w14:paraId="08D12A30" w14:textId="0915F48C" w:rsidR="003A190C" w:rsidRDefault="003A190C" w:rsidP="00A42C4A">
      <w:pPr>
        <w:pStyle w:val="Dash"/>
        <w:spacing w:before="120"/>
      </w:pPr>
      <w:r>
        <w:t>For interests acquired through the enforcement of a security interest, the sum of the outstanding loan balance likely to be recouped by the lender and any penalties levied on the borrower.</w:t>
      </w:r>
    </w:p>
    <w:p w14:paraId="2E5382D3" w14:textId="0A79CA78" w:rsidR="00B81AF7" w:rsidRDefault="00B81AF7" w:rsidP="00415864">
      <w:pPr>
        <w:pStyle w:val="Bullet"/>
        <w:keepNext/>
        <w:numPr>
          <w:ilvl w:val="0"/>
          <w:numId w:val="0"/>
        </w:numPr>
        <w:spacing w:before="120"/>
        <w:rPr>
          <w:i/>
        </w:rPr>
      </w:pPr>
      <w:r w:rsidRPr="00457426">
        <w:rPr>
          <w:i/>
        </w:rPr>
        <w:t>Consideration for acquisition</w:t>
      </w:r>
      <w:r w:rsidR="00D500D8" w:rsidRPr="00457426">
        <w:rPr>
          <w:i/>
        </w:rPr>
        <w:t>s</w:t>
      </w:r>
      <w:r w:rsidRPr="00457426">
        <w:rPr>
          <w:i/>
        </w:rPr>
        <w:t xml:space="preserve"> of interests in securities of foreign entities</w:t>
      </w:r>
    </w:p>
    <w:p w14:paraId="51DF1CA7" w14:textId="45FB1677" w:rsidR="00696A0A" w:rsidRDefault="00D75075" w:rsidP="00B34EA8">
      <w:r>
        <w:t xml:space="preserve">The </w:t>
      </w:r>
      <w:r w:rsidR="00FC1DDF">
        <w:t xml:space="preserve">Regulation </w:t>
      </w:r>
      <w:r>
        <w:t>provides a method to assess consideration where</w:t>
      </w:r>
      <w:r w:rsidR="00457426">
        <w:t xml:space="preserve"> </w:t>
      </w:r>
      <w:r>
        <w:t xml:space="preserve">an acquisition of an Australian business or entity takes place because a </w:t>
      </w:r>
      <w:r w:rsidR="00457426">
        <w:t xml:space="preserve">person acquires a foreign entity </w:t>
      </w:r>
      <w:r>
        <w:t xml:space="preserve">which </w:t>
      </w:r>
      <w:r w:rsidR="00457426">
        <w:t xml:space="preserve">has an interest in </w:t>
      </w:r>
      <w:r>
        <w:t>the</w:t>
      </w:r>
      <w:r w:rsidR="00457426">
        <w:t xml:space="preserve"> Australian business or Australian entity</w:t>
      </w:r>
      <w:r>
        <w:t>.</w:t>
      </w:r>
      <w:r w:rsidR="00457426">
        <w:t xml:space="preserve"> </w:t>
      </w:r>
      <w:r>
        <w:t>C</w:t>
      </w:r>
      <w:r w:rsidR="00457426">
        <w:t xml:space="preserve">onsideration </w:t>
      </w:r>
      <w:r>
        <w:t xml:space="preserve">may be apportioned to </w:t>
      </w:r>
      <w:r w:rsidR="00457426">
        <w:t>the acquisition of the Australian business or entity on the basis of the earnings of the foreign entity and the Australian business or entity.</w:t>
      </w:r>
    </w:p>
    <w:p w14:paraId="0296F6F3" w14:textId="346E9BCF" w:rsidR="00B34EA8" w:rsidRPr="00E81137" w:rsidRDefault="00301EFF" w:rsidP="002729D4">
      <w:pPr>
        <w:keepNext/>
        <w:rPr>
          <w:b/>
        </w:rPr>
      </w:pPr>
      <w:r w:rsidRPr="00E81137">
        <w:rPr>
          <w:b/>
        </w:rPr>
        <w:t>Section</w:t>
      </w:r>
      <w:r>
        <w:rPr>
          <w:b/>
        </w:rPr>
        <w:t> </w:t>
      </w:r>
      <w:r w:rsidR="00DD2A62" w:rsidRPr="002729D4">
        <w:rPr>
          <w:b/>
        </w:rPr>
        <w:t>15</w:t>
      </w:r>
      <w:r w:rsidR="009B5390">
        <w:rPr>
          <w:b/>
        </w:rPr>
        <w:t> </w:t>
      </w:r>
      <w:r w:rsidR="009B5390" w:rsidRPr="00E81137">
        <w:rPr>
          <w:rFonts w:ascii="Calibri" w:hAnsi="Calibri"/>
          <w:b/>
        </w:rPr>
        <w:t>—</w:t>
      </w:r>
      <w:r w:rsidR="009B5390">
        <w:rPr>
          <w:b/>
        </w:rPr>
        <w:t> </w:t>
      </w:r>
      <w:r w:rsidR="00696A0A" w:rsidRPr="00E81137">
        <w:rPr>
          <w:b/>
        </w:rPr>
        <w:t>Number of independent self-contained dwellings in a development</w:t>
      </w:r>
    </w:p>
    <w:p w14:paraId="7DABB7FB" w14:textId="5C3C98A6" w:rsidR="00696A0A" w:rsidRPr="00B17C53" w:rsidRDefault="006449B1" w:rsidP="00B34EA8">
      <w:r w:rsidRPr="002F1B31">
        <w:t>‘Development’ is relevantly define</w:t>
      </w:r>
      <w:r w:rsidRPr="00B17C53">
        <w:t xml:space="preserve">d by </w:t>
      </w:r>
      <w:r w:rsidR="00166214" w:rsidRPr="00B17C53">
        <w:t>section </w:t>
      </w:r>
      <w:r w:rsidRPr="00B17C53">
        <w:t>4 of the Act to mean one or more multi</w:t>
      </w:r>
      <w:r w:rsidR="00166214" w:rsidRPr="00B17C53">
        <w:noBreakHyphen/>
      </w:r>
      <w:r w:rsidRPr="00B17C53">
        <w:t xml:space="preserve">storey buildings if the buildings </w:t>
      </w:r>
      <w:r w:rsidR="00EB18A5" w:rsidRPr="00B17C53">
        <w:t>are or were under one development approval and the number of independent self</w:t>
      </w:r>
      <w:r w:rsidR="00166214" w:rsidRPr="00B17C53">
        <w:noBreakHyphen/>
      </w:r>
      <w:r w:rsidR="00EB18A5" w:rsidRPr="00B17C53">
        <w:t>contained dwellings (other than townhouses) that the buildings co</w:t>
      </w:r>
      <w:r w:rsidR="00CA1151" w:rsidRPr="00B17C53">
        <w:t xml:space="preserve">ntain or will contain is at </w:t>
      </w:r>
      <w:r w:rsidR="00EB18A5" w:rsidRPr="00B17C53">
        <w:t xml:space="preserve">least the number prescribed by the regulations. </w:t>
      </w:r>
      <w:r w:rsidR="00C975BE" w:rsidRPr="00B17C53">
        <w:t>T</w:t>
      </w:r>
      <w:r w:rsidR="00C617CE" w:rsidRPr="00B17C53">
        <w:t xml:space="preserve">he number of </w:t>
      </w:r>
      <w:r w:rsidR="009F0BAA" w:rsidRPr="00B17C53">
        <w:t>indepen</w:t>
      </w:r>
      <w:r w:rsidR="00C975BE" w:rsidRPr="00B17C53">
        <w:t>dent self</w:t>
      </w:r>
      <w:r w:rsidR="00166214" w:rsidRPr="00B17C53">
        <w:noBreakHyphen/>
      </w:r>
      <w:r w:rsidR="00C975BE" w:rsidRPr="00B17C53">
        <w:t xml:space="preserve">contained dwellings prescribed by the </w:t>
      </w:r>
      <w:r w:rsidR="00FC1DDF" w:rsidRPr="00B17C53">
        <w:t xml:space="preserve">Regulation </w:t>
      </w:r>
      <w:r w:rsidR="00C975BE" w:rsidRPr="00B17C53">
        <w:t>is </w:t>
      </w:r>
      <w:r w:rsidR="002341C4" w:rsidRPr="00B17C53">
        <w:t>50</w:t>
      </w:r>
      <w:r w:rsidR="009F0BAA" w:rsidRPr="00B17C53">
        <w:t xml:space="preserve">. </w:t>
      </w:r>
      <w:r w:rsidR="005149F1" w:rsidRPr="00B17C53">
        <w:t xml:space="preserve">Development is defined primarily for the purposes of the definition of </w:t>
      </w:r>
      <w:r w:rsidR="0009712C" w:rsidRPr="00B17C53">
        <w:t>‘</w:t>
      </w:r>
      <w:r w:rsidR="005149F1" w:rsidRPr="00B17C53">
        <w:t>new dwelling</w:t>
      </w:r>
      <w:r w:rsidR="0009712C" w:rsidRPr="00B17C53">
        <w:t>’</w:t>
      </w:r>
      <w:r w:rsidR="005149F1" w:rsidRPr="00B17C53">
        <w:t xml:space="preserve"> and the exemption certificates for new dwellings that may be granted by the Treasurer under section 57 of the Act.</w:t>
      </w:r>
    </w:p>
    <w:p w14:paraId="463D3026" w14:textId="752E2980" w:rsidR="009F0BAA" w:rsidRPr="00B17C53" w:rsidRDefault="00301EFF" w:rsidP="00C32DC1">
      <w:pPr>
        <w:keepNext/>
        <w:rPr>
          <w:b/>
        </w:rPr>
      </w:pPr>
      <w:r w:rsidRPr="00B17C53">
        <w:rPr>
          <w:b/>
        </w:rPr>
        <w:t>Section </w:t>
      </w:r>
      <w:r w:rsidR="00DD2A62" w:rsidRPr="00B17C53">
        <w:rPr>
          <w:b/>
        </w:rPr>
        <w:t>16</w:t>
      </w:r>
      <w:r w:rsidR="009B5390" w:rsidRPr="00B17C53">
        <w:rPr>
          <w:b/>
        </w:rPr>
        <w:t> </w:t>
      </w:r>
      <w:r w:rsidR="009B5390" w:rsidRPr="00B17C53">
        <w:rPr>
          <w:rFonts w:ascii="Calibri" w:hAnsi="Calibri"/>
          <w:b/>
        </w:rPr>
        <w:t>—</w:t>
      </w:r>
      <w:r w:rsidR="009B5390" w:rsidRPr="00B17C53">
        <w:rPr>
          <w:b/>
        </w:rPr>
        <w:t> </w:t>
      </w:r>
      <w:r w:rsidR="009F0BAA" w:rsidRPr="00B17C53">
        <w:rPr>
          <w:b/>
        </w:rPr>
        <w:t>Meaning of ‘direct interest’ in an entity or business</w:t>
      </w:r>
    </w:p>
    <w:p w14:paraId="44C65950" w14:textId="70BBD9A1" w:rsidR="00AA57F8" w:rsidRPr="00B17C53" w:rsidRDefault="00C233A3" w:rsidP="00C32DC1">
      <w:pPr>
        <w:keepNext/>
      </w:pPr>
      <w:r w:rsidRPr="00B17C53">
        <w:t xml:space="preserve">Section 4 of </w:t>
      </w:r>
      <w:r w:rsidR="00C975BE" w:rsidRPr="00B17C53">
        <w:t>the Act provides that the term direct interest</w:t>
      </w:r>
      <w:r w:rsidRPr="00B17C53">
        <w:t xml:space="preserve"> has</w:t>
      </w:r>
      <w:r w:rsidR="00C32DC1" w:rsidRPr="00B17C53">
        <w:t xml:space="preserve"> the meaning prescribed by the r</w:t>
      </w:r>
      <w:r w:rsidRPr="00B17C53">
        <w:t xml:space="preserve">egulations. </w:t>
      </w:r>
    </w:p>
    <w:p w14:paraId="44BAA8CE" w14:textId="0FCB1557" w:rsidR="00C233A3" w:rsidRDefault="00C233A3" w:rsidP="0081239A">
      <w:pPr>
        <w:keepNext/>
      </w:pPr>
      <w:r w:rsidRPr="00B17C53">
        <w:t>The</w:t>
      </w:r>
      <w:r w:rsidR="00502EA5" w:rsidRPr="00B17C53">
        <w:t xml:space="preserve"> effect of section </w:t>
      </w:r>
      <w:r w:rsidR="00184B68" w:rsidRPr="00B17C53">
        <w:t>16</w:t>
      </w:r>
      <w:r w:rsidR="0074274C" w:rsidRPr="00B17C53">
        <w:t xml:space="preserve"> </w:t>
      </w:r>
      <w:r w:rsidR="00C32DC1" w:rsidRPr="00B17C53">
        <w:t>of the Reg</w:t>
      </w:r>
      <w:r w:rsidR="00C32DC1">
        <w:t>ulation</w:t>
      </w:r>
      <w:r>
        <w:t xml:space="preserve"> is that a direct interest in an entity or business is:</w:t>
      </w:r>
    </w:p>
    <w:p w14:paraId="48758DBD" w14:textId="60C53657" w:rsidR="00AB1027" w:rsidRDefault="00AB1027" w:rsidP="00A6411A">
      <w:pPr>
        <w:pStyle w:val="Bullet"/>
        <w:spacing w:before="120"/>
      </w:pPr>
      <w:r>
        <w:t>an interest of at least 10 per cent in the entity or business</w:t>
      </w:r>
      <w:r w:rsidR="003A518C">
        <w:t>;</w:t>
      </w:r>
    </w:p>
    <w:p w14:paraId="7E4D2662" w14:textId="77777777" w:rsidR="00B10BE1" w:rsidRDefault="00F132FB" w:rsidP="00F40AEE">
      <w:pPr>
        <w:pStyle w:val="Bullet"/>
        <w:spacing w:before="120"/>
      </w:pPr>
      <w:r>
        <w:t>a</w:t>
      </w:r>
      <w:r w:rsidR="00AB1027">
        <w:t xml:space="preserve">n interest of at least five per cent in the entity or business if the person who acquires the interest has entered a legal arrangement relating to the businesses </w:t>
      </w:r>
      <w:r w:rsidR="00FA637D">
        <w:t xml:space="preserve">of </w:t>
      </w:r>
      <w:r>
        <w:t>the person and the entity or business</w:t>
      </w:r>
      <w:r w:rsidR="00005A37">
        <w:t xml:space="preserve">. </w:t>
      </w:r>
    </w:p>
    <w:p w14:paraId="212B9D9A" w14:textId="29543F92" w:rsidR="00F132FB" w:rsidRDefault="005149F1" w:rsidP="00AD044B">
      <w:pPr>
        <w:pStyle w:val="Dash"/>
        <w:keepNext/>
        <w:pageBreakBefore/>
        <w:spacing w:before="120"/>
      </w:pPr>
      <w:r>
        <w:t>An example of a legal arrangement for the purpose of paragraph</w:t>
      </w:r>
      <w:r w:rsidR="00B10BE1">
        <w:t> </w:t>
      </w:r>
      <w:r w:rsidR="0074274C">
        <w:t>16</w:t>
      </w:r>
      <w:r w:rsidR="00B10BE1">
        <w:t>(b)</w:t>
      </w:r>
      <w:r>
        <w:t xml:space="preserve"> would be a legally binding </w:t>
      </w:r>
      <w:r w:rsidRPr="005A0A8E">
        <w:rPr>
          <w:i/>
        </w:rPr>
        <w:t>strategic alliance</w:t>
      </w:r>
      <w:r>
        <w:t xml:space="preserve"> agreement between two or more airlines in relation to the conduct of their businesses. Such strategic alliances are most common between businesses and entities within a single sector, or who carry on businesses that are suited to full or partial integration</w:t>
      </w:r>
      <w:r w:rsidR="00343DCE">
        <w:t xml:space="preserve">. Such legal arrangements may be known by various names. </w:t>
      </w:r>
      <w:r w:rsidR="007D1AAC">
        <w:t xml:space="preserve">The arrangements impose parameters that restrict or limit the operation of the businesses of the parties to the agreement. </w:t>
      </w:r>
      <w:r w:rsidR="00343DCE">
        <w:t xml:space="preserve">However, this provision is not intended to capture an ordinary </w:t>
      </w:r>
      <w:r w:rsidR="00B10BE1">
        <w:t xml:space="preserve">arm’s length </w:t>
      </w:r>
      <w:r w:rsidR="00343DCE">
        <w:t xml:space="preserve">goods or services provision agreement </w:t>
      </w:r>
      <w:r w:rsidR="007D1AAC">
        <w:t xml:space="preserve">(for example, an offtake agreement) that is made </w:t>
      </w:r>
      <w:r w:rsidR="00343DCE">
        <w:t xml:space="preserve">on </w:t>
      </w:r>
      <w:r w:rsidR="007D1AAC">
        <w:t xml:space="preserve">ordinary </w:t>
      </w:r>
      <w:r w:rsidR="00343DCE">
        <w:t>commercial terms</w:t>
      </w:r>
      <w:r w:rsidR="00F132FB">
        <w:t>;</w:t>
      </w:r>
    </w:p>
    <w:p w14:paraId="5CD0ABFA" w14:textId="210FA3A7" w:rsidR="00AB1027" w:rsidRDefault="005302DC" w:rsidP="00AD044B">
      <w:pPr>
        <w:pStyle w:val="Bullet"/>
        <w:keepNext/>
        <w:spacing w:before="120"/>
      </w:pPr>
      <w:r>
        <w:t>an interest of any percentage in the entity or business if the person who acquired the interest i</w:t>
      </w:r>
      <w:r w:rsidR="00CB4566">
        <w:t>s</w:t>
      </w:r>
      <w:r>
        <w:t xml:space="preserve"> in a position to influence or participate in the central management and control of the entity or business or to influence, participate in or determine the policy of the entity or</w:t>
      </w:r>
      <w:r w:rsidR="005052C0">
        <w:t xml:space="preserve"> business.</w:t>
      </w:r>
    </w:p>
    <w:p w14:paraId="3710D655" w14:textId="2017806F" w:rsidR="006D06F9" w:rsidRPr="00B17C53" w:rsidRDefault="006D06F9" w:rsidP="00A42C4A">
      <w:pPr>
        <w:pStyle w:val="Dash"/>
        <w:spacing w:before="120"/>
      </w:pPr>
      <w:r>
        <w:t>Entry into an ordinary arm’s length goods or services provision agreement by itself is not int</w:t>
      </w:r>
      <w:r w:rsidRPr="00B17C53">
        <w:t>ended to be covered by paragraph </w:t>
      </w:r>
      <w:r w:rsidR="005A0A8E" w:rsidRPr="00B17C53">
        <w:t>16</w:t>
      </w:r>
      <w:r w:rsidRPr="00B17C53">
        <w:t>(c).</w:t>
      </w:r>
    </w:p>
    <w:p w14:paraId="09226064" w14:textId="0DCCD045" w:rsidR="00CB4FA4" w:rsidRPr="00B17C53" w:rsidRDefault="00CB4FA4" w:rsidP="00033D8A">
      <w:r w:rsidRPr="00B17C53">
        <w:t>Section 17 of the Act defines interest of a specified percentage in an entity. Section 6 of the Regulation defines interest of a specified percentage in a business.</w:t>
      </w:r>
    </w:p>
    <w:p w14:paraId="18A62554" w14:textId="06FB0C97" w:rsidR="005052C0" w:rsidRPr="00B17C53" w:rsidRDefault="00301EFF" w:rsidP="00D500D8">
      <w:pPr>
        <w:pStyle w:val="Bullet"/>
        <w:keepNext/>
        <w:numPr>
          <w:ilvl w:val="0"/>
          <w:numId w:val="0"/>
        </w:numPr>
        <w:rPr>
          <w:b/>
        </w:rPr>
      </w:pPr>
      <w:r w:rsidRPr="00B17C53">
        <w:rPr>
          <w:b/>
        </w:rPr>
        <w:t>Section </w:t>
      </w:r>
      <w:r w:rsidR="005A0A8E" w:rsidRPr="00B17C53">
        <w:rPr>
          <w:b/>
        </w:rPr>
        <w:t>17</w:t>
      </w:r>
      <w:r w:rsidR="009B5390" w:rsidRPr="00B17C53">
        <w:rPr>
          <w:b/>
        </w:rPr>
        <w:t> </w:t>
      </w:r>
      <w:r w:rsidR="009B5390" w:rsidRPr="00B17C53">
        <w:rPr>
          <w:rFonts w:ascii="Calibri" w:hAnsi="Calibri"/>
          <w:b/>
        </w:rPr>
        <w:t>—</w:t>
      </w:r>
      <w:r w:rsidR="009B5390" w:rsidRPr="00B17C53">
        <w:rPr>
          <w:b/>
        </w:rPr>
        <w:t> </w:t>
      </w:r>
      <w:r w:rsidR="005052C0" w:rsidRPr="00B17C53">
        <w:rPr>
          <w:b/>
        </w:rPr>
        <w:t xml:space="preserve">Meaning of </w:t>
      </w:r>
      <w:r w:rsidR="004B705C" w:rsidRPr="00B17C53">
        <w:rPr>
          <w:b/>
        </w:rPr>
        <w:t>‘</w:t>
      </w:r>
      <w:r w:rsidR="005052C0" w:rsidRPr="00B17C53">
        <w:rPr>
          <w:b/>
        </w:rPr>
        <w:t>foreign government investor</w:t>
      </w:r>
      <w:r w:rsidR="004B705C" w:rsidRPr="00B17C53">
        <w:rPr>
          <w:b/>
        </w:rPr>
        <w:t>’</w:t>
      </w:r>
    </w:p>
    <w:p w14:paraId="0A7BFE22" w14:textId="77777777" w:rsidR="00FB3E59" w:rsidRDefault="00951BD2" w:rsidP="00033D8A">
      <w:r w:rsidRPr="00B17C53">
        <w:t>Section </w:t>
      </w:r>
      <w:r w:rsidR="005052C0" w:rsidRPr="00B17C53">
        <w:t>4 of the Act provid</w:t>
      </w:r>
      <w:r w:rsidR="005052C0">
        <w:t>es that ‘foreign government investor’ has the meaning prescribed by the regulations.</w:t>
      </w:r>
    </w:p>
    <w:p w14:paraId="0975CED0" w14:textId="040AF8F5" w:rsidR="00FB3E59" w:rsidRDefault="00FB3E59" w:rsidP="0081239A">
      <w:pPr>
        <w:pStyle w:val="Bullet"/>
        <w:numPr>
          <w:ilvl w:val="0"/>
          <w:numId w:val="0"/>
        </w:numPr>
        <w:spacing w:before="120"/>
      </w:pPr>
      <w:r>
        <w:t>The</w:t>
      </w:r>
      <w:r w:rsidR="00502EA5">
        <w:t xml:space="preserve"> effect of sec</w:t>
      </w:r>
      <w:r w:rsidR="00502EA5" w:rsidRPr="00B17C53">
        <w:t>tion </w:t>
      </w:r>
      <w:r w:rsidR="005A0A8E" w:rsidRPr="00B17C53">
        <w:t>17</w:t>
      </w:r>
      <w:r w:rsidR="0074274C" w:rsidRPr="00B17C53">
        <w:t xml:space="preserve"> </w:t>
      </w:r>
      <w:r w:rsidRPr="00B17C53">
        <w:t>of th</w:t>
      </w:r>
      <w:r>
        <w:t>e Regulation is that a person is a foreign government investor if the person is:</w:t>
      </w:r>
    </w:p>
    <w:p w14:paraId="682A10CA" w14:textId="04150BDE" w:rsidR="005052C0" w:rsidRDefault="00FB3E59" w:rsidP="00A6411A">
      <w:pPr>
        <w:pStyle w:val="Bullet"/>
        <w:spacing w:before="120"/>
      </w:pPr>
      <w:r>
        <w:t>a foreign government</w:t>
      </w:r>
      <w:r w:rsidR="00B25A36">
        <w:t xml:space="preserve"> or separate government entity</w:t>
      </w:r>
      <w:r w:rsidR="00C32DC1">
        <w:t>;</w:t>
      </w:r>
    </w:p>
    <w:p w14:paraId="65FD1826" w14:textId="77777777" w:rsidR="00FB3E59" w:rsidRDefault="00FB3E59" w:rsidP="00F40AEE">
      <w:pPr>
        <w:pStyle w:val="Bullet"/>
        <w:spacing w:before="120"/>
      </w:pPr>
      <w:r>
        <w:t>a corporation in which:</w:t>
      </w:r>
    </w:p>
    <w:p w14:paraId="04DF6D90" w14:textId="02A71DF9" w:rsidR="00FB3E59" w:rsidRDefault="00FB3E59" w:rsidP="00A42C4A">
      <w:pPr>
        <w:pStyle w:val="Dash"/>
        <w:spacing w:before="120"/>
      </w:pPr>
      <w:r>
        <w:t>a foreign government or separate government entity, alone or together with one or associates, holds a substantial interest; or</w:t>
      </w:r>
    </w:p>
    <w:p w14:paraId="148460B4" w14:textId="775132CB" w:rsidR="00FB3E59" w:rsidRDefault="002379D6" w:rsidP="00A42C4A">
      <w:pPr>
        <w:pStyle w:val="Dash"/>
        <w:spacing w:before="120"/>
      </w:pPr>
      <w:r>
        <w:t>f</w:t>
      </w:r>
      <w:r w:rsidR="00FB3E59">
        <w:t>oreign governments or separate government entities of more than one foreign country (or part of more than one foreign country), together with any one or more associates, hold an aggregate substantial interest; or</w:t>
      </w:r>
    </w:p>
    <w:p w14:paraId="3D9440E7" w14:textId="77777777" w:rsidR="00FB3E59" w:rsidRDefault="00FB3E59" w:rsidP="00F40AEE">
      <w:pPr>
        <w:pStyle w:val="Bullet"/>
        <w:spacing w:before="120"/>
      </w:pPr>
      <w:r>
        <w:t>the trustee of a trust in which:</w:t>
      </w:r>
    </w:p>
    <w:p w14:paraId="397CD700" w14:textId="77777777" w:rsidR="00FB3E59" w:rsidRDefault="00FB3E59" w:rsidP="00A42C4A">
      <w:pPr>
        <w:pStyle w:val="Dash"/>
        <w:spacing w:before="120"/>
      </w:pPr>
      <w:r>
        <w:t>a foreign government or separate government entity, alone or together with one or more associates, holds a substantial interest; or</w:t>
      </w:r>
    </w:p>
    <w:p w14:paraId="0A5575BE" w14:textId="05B6E2CF" w:rsidR="00FB3E59" w:rsidRDefault="00FB3E59" w:rsidP="00A42C4A">
      <w:pPr>
        <w:pStyle w:val="Dash"/>
        <w:spacing w:before="120"/>
      </w:pPr>
      <w:r>
        <w:t>foreign governments or separate government entities of more than one foreign country (or parts of more than one foreign country), together with anything one or more associates, hold an aggregate substantial interest; or</w:t>
      </w:r>
    </w:p>
    <w:p w14:paraId="382ABE35" w14:textId="26CEA9C7" w:rsidR="00FB3E59" w:rsidRDefault="007E28F0" w:rsidP="00AD044B">
      <w:pPr>
        <w:pStyle w:val="Bullet"/>
        <w:keepNext/>
        <w:spacing w:before="120"/>
      </w:pPr>
      <w:r>
        <w:t>the general</w:t>
      </w:r>
      <w:r w:rsidR="00FB3E59">
        <w:t xml:space="preserve"> partner of a limited partnership</w:t>
      </w:r>
      <w:r>
        <w:t xml:space="preserve"> in which:</w:t>
      </w:r>
    </w:p>
    <w:p w14:paraId="04028945" w14:textId="6BB8955B" w:rsidR="002379D6" w:rsidRDefault="00FB3E59" w:rsidP="00AD044B">
      <w:pPr>
        <w:pStyle w:val="Dash"/>
        <w:keepNext/>
        <w:spacing w:before="120"/>
      </w:pPr>
      <w:r>
        <w:t>a foreign government or separate government entity</w:t>
      </w:r>
      <w:r w:rsidR="002379D6">
        <w:t>, alone or together with one or more associates,</w:t>
      </w:r>
      <w:r w:rsidR="007E28F0">
        <w:t xml:space="preserve"> holds an interest of at least 20 per cent</w:t>
      </w:r>
      <w:r w:rsidR="00C32DC1">
        <w:t>;</w:t>
      </w:r>
      <w:r w:rsidR="002379D6">
        <w:t xml:space="preserve"> or</w:t>
      </w:r>
    </w:p>
    <w:p w14:paraId="5CFCBA2B" w14:textId="2346BB46" w:rsidR="007E28F0" w:rsidRDefault="002871C3" w:rsidP="00A42C4A">
      <w:pPr>
        <w:pStyle w:val="Dash"/>
        <w:spacing w:before="120"/>
      </w:pPr>
      <w:r>
        <w:t>foreign governments or separate foreign entities of more than one foreign country (or parts of more than one foreign country) together with any one or more associates, hold an aggregate interest</w:t>
      </w:r>
      <w:r w:rsidR="007E28F0">
        <w:t xml:space="preserve"> of at least 40 per cent;</w:t>
      </w:r>
      <w:r>
        <w:t xml:space="preserve"> </w:t>
      </w:r>
    </w:p>
    <w:p w14:paraId="09C0BA6F" w14:textId="5185E1F6" w:rsidR="002871C3" w:rsidRDefault="00C6346E" w:rsidP="00BE2F55">
      <w:pPr>
        <w:pStyle w:val="Bullet"/>
      </w:pPr>
      <w:r>
        <w:t>a</w:t>
      </w:r>
      <w:r w:rsidR="002871C3">
        <w:t xml:space="preserve"> corporation, trustee</w:t>
      </w:r>
      <w:r w:rsidR="007E28F0">
        <w:t xml:space="preserve"> or</w:t>
      </w:r>
      <w:r w:rsidR="002871C3">
        <w:t xml:space="preserve"> partner of a kind described in </w:t>
      </w:r>
      <w:r w:rsidR="004F5568">
        <w:t>paragraph </w:t>
      </w:r>
      <w:r w:rsidR="002871C3">
        <w:t>(b), (c) or (d) assuming that the references to foreign government (or foreign governments) in those paragraphs includes references to a foreign government investor</w:t>
      </w:r>
      <w:r w:rsidR="00BE2F55">
        <w:t xml:space="preserve"> (or foreign government investors) within the meaning of those paragraphs</w:t>
      </w:r>
      <w:r w:rsidR="007F6EFF">
        <w:t>, or as a result of a previous operation of this paragraph</w:t>
      </w:r>
      <w:r w:rsidR="002871C3">
        <w:t>.</w:t>
      </w:r>
    </w:p>
    <w:p w14:paraId="4A3F9104" w14:textId="288AECB3" w:rsidR="007E28F0" w:rsidRDefault="0074274C" w:rsidP="00D500D8">
      <w:pPr>
        <w:pStyle w:val="Bullet"/>
        <w:keepNext/>
        <w:numPr>
          <w:ilvl w:val="0"/>
          <w:numId w:val="0"/>
        </w:numPr>
        <w:ind w:left="567" w:hanging="567"/>
        <w:rPr>
          <w:b/>
        </w:rPr>
      </w:pPr>
      <w:r>
        <w:rPr>
          <w:b/>
        </w:rPr>
        <w:t>Sectio</w:t>
      </w:r>
      <w:r w:rsidRPr="00B17C53">
        <w:rPr>
          <w:b/>
        </w:rPr>
        <w:t>n </w:t>
      </w:r>
      <w:r w:rsidR="00812A31" w:rsidRPr="00B17C53">
        <w:rPr>
          <w:b/>
        </w:rPr>
        <w:t>18</w:t>
      </w:r>
      <w:r w:rsidR="009B5390" w:rsidRPr="00B17C53">
        <w:rPr>
          <w:b/>
        </w:rPr>
        <w:t> </w:t>
      </w:r>
      <w:r w:rsidR="009B5390" w:rsidRPr="00B17C53">
        <w:rPr>
          <w:rFonts w:ascii="Calibri" w:hAnsi="Calibri"/>
          <w:b/>
        </w:rPr>
        <w:t>—</w:t>
      </w:r>
      <w:r w:rsidR="009B5390" w:rsidRPr="00033D8A">
        <w:rPr>
          <w:b/>
        </w:rPr>
        <w:t> </w:t>
      </w:r>
      <w:r w:rsidR="007E28F0">
        <w:rPr>
          <w:b/>
        </w:rPr>
        <w:t>Meaning of ‘foreign person’</w:t>
      </w:r>
    </w:p>
    <w:p w14:paraId="2922C2D7" w14:textId="77777777" w:rsidR="007F6EFF" w:rsidRDefault="006603C6" w:rsidP="00BB29A8">
      <w:pPr>
        <w:pStyle w:val="Bullet"/>
        <w:numPr>
          <w:ilvl w:val="0"/>
          <w:numId w:val="0"/>
        </w:numPr>
        <w:spacing w:before="120"/>
      </w:pPr>
      <w:r>
        <w:t>Paragraph</w:t>
      </w:r>
      <w:r w:rsidR="0074274C">
        <w:t> </w:t>
      </w:r>
      <w:r>
        <w:t>(g) of the definition of ‘foreign person’ in section </w:t>
      </w:r>
      <w:r w:rsidRPr="00415864">
        <w:t>4</w:t>
      </w:r>
      <w:r>
        <w:t xml:space="preserve"> of the Act provides that foreign person means ‘any other person, or any other person that meets the conditions, prescribed by the regulations’. </w:t>
      </w:r>
    </w:p>
    <w:p w14:paraId="7B90B7D2" w14:textId="78F36BCA" w:rsidR="007F6EFF" w:rsidRPr="007F6EFF" w:rsidRDefault="007F6EFF" w:rsidP="00787E84">
      <w:pPr>
        <w:pStyle w:val="Bullet"/>
        <w:keepNext/>
        <w:numPr>
          <w:ilvl w:val="0"/>
          <w:numId w:val="0"/>
        </w:numPr>
        <w:spacing w:before="120"/>
        <w:rPr>
          <w:i/>
        </w:rPr>
      </w:pPr>
      <w:r w:rsidRPr="007F6EFF">
        <w:rPr>
          <w:i/>
        </w:rPr>
        <w:t>General partners of limited partnerships</w:t>
      </w:r>
    </w:p>
    <w:p w14:paraId="21053F9E" w14:textId="67905245" w:rsidR="007E28F0" w:rsidRDefault="0074274C" w:rsidP="00BB29A8">
      <w:pPr>
        <w:pStyle w:val="Bullet"/>
        <w:numPr>
          <w:ilvl w:val="0"/>
          <w:numId w:val="0"/>
        </w:numPr>
        <w:spacing w:before="120"/>
      </w:pPr>
      <w:r>
        <w:t>S</w:t>
      </w:r>
      <w:r w:rsidR="007F6EFF">
        <w:t>ubs</w:t>
      </w:r>
      <w:r>
        <w:t>ection </w:t>
      </w:r>
      <w:r w:rsidR="00812A31" w:rsidRPr="00415864">
        <w:t>18</w:t>
      </w:r>
      <w:r w:rsidR="007F6EFF">
        <w:t>(1)</w:t>
      </w:r>
      <w:r w:rsidR="006603C6">
        <w:t xml:space="preserve"> of the Regulation provides that </w:t>
      </w:r>
      <w:r w:rsidR="00CF5BAF">
        <w:t>a person is a foreign person if the person is a general partner of a limited partnership in the circumstances specified by the provision.</w:t>
      </w:r>
      <w:r w:rsidR="009C12F9">
        <w:t xml:space="preserve"> The terms ‘general partner’ and limited partnership’ are defined by section </w:t>
      </w:r>
      <w:r w:rsidR="009C12F9" w:rsidRPr="00415864">
        <w:t>5</w:t>
      </w:r>
      <w:r w:rsidR="009C12F9">
        <w:t xml:space="preserve"> of the Regulation. </w:t>
      </w:r>
    </w:p>
    <w:p w14:paraId="09D1B8CF" w14:textId="1785B935" w:rsidR="00224C2E" w:rsidRDefault="00224C2E" w:rsidP="00BB29A8">
      <w:pPr>
        <w:pStyle w:val="Bullet"/>
        <w:numPr>
          <w:ilvl w:val="0"/>
          <w:numId w:val="0"/>
        </w:numPr>
        <w:spacing w:before="120"/>
      </w:pPr>
      <w:r>
        <w:t>The circumstances are that interests of at least 20</w:t>
      </w:r>
      <w:r w:rsidR="0074274C">
        <w:t> per cent</w:t>
      </w:r>
      <w:r>
        <w:t>, or aggregate interests of at least 40</w:t>
      </w:r>
      <w:r w:rsidR="0074274C">
        <w:t> per cent</w:t>
      </w:r>
      <w:r>
        <w:t>, are held in the limited partnership by individuals not ordinarily resident in Australia, a foreign corporation or foreign government. Section</w:t>
      </w:r>
      <w:r w:rsidR="0074274C">
        <w:t> </w:t>
      </w:r>
      <w:r>
        <w:t xml:space="preserve">17 of the Act provides that such interests may be held alone or together with one or more associates. </w:t>
      </w:r>
    </w:p>
    <w:p w14:paraId="310C548C" w14:textId="77777777" w:rsidR="007F6EFF" w:rsidRPr="007F6EFF" w:rsidRDefault="007F6EFF" w:rsidP="00BB29A8">
      <w:pPr>
        <w:pStyle w:val="Bullet"/>
        <w:keepNext/>
        <w:numPr>
          <w:ilvl w:val="0"/>
          <w:numId w:val="0"/>
        </w:numPr>
        <w:spacing w:before="120"/>
        <w:rPr>
          <w:i/>
        </w:rPr>
      </w:pPr>
      <w:r w:rsidRPr="007F6EFF">
        <w:rPr>
          <w:i/>
        </w:rPr>
        <w:t>Certain foreign government investors</w:t>
      </w:r>
    </w:p>
    <w:p w14:paraId="5CA14F0B" w14:textId="33BDDC94" w:rsidR="007F6EFF" w:rsidRDefault="007F6EFF" w:rsidP="00BB29A8">
      <w:pPr>
        <w:pStyle w:val="Bullet"/>
        <w:numPr>
          <w:ilvl w:val="0"/>
          <w:numId w:val="0"/>
        </w:numPr>
        <w:spacing w:before="120"/>
        <w:rPr>
          <w:b/>
        </w:rPr>
      </w:pPr>
      <w:r>
        <w:t>Subsection </w:t>
      </w:r>
      <w:r w:rsidRPr="00415864">
        <w:t>18</w:t>
      </w:r>
      <w:r>
        <w:t>(2) of the Regulation provides that a person is a foreign person if the person is a foreign government investor and apart from this subsection, the person would not be a foreign person.</w:t>
      </w:r>
    </w:p>
    <w:p w14:paraId="119A8C95" w14:textId="514FEDC8" w:rsidR="00CE7C15" w:rsidRPr="00B17C53" w:rsidRDefault="00301EFF" w:rsidP="00D500D8">
      <w:pPr>
        <w:pStyle w:val="Bullet"/>
        <w:keepNext/>
        <w:numPr>
          <w:ilvl w:val="0"/>
          <w:numId w:val="0"/>
        </w:numPr>
        <w:ind w:left="567" w:hanging="567"/>
        <w:rPr>
          <w:b/>
        </w:rPr>
      </w:pPr>
      <w:r w:rsidRPr="00E81137">
        <w:rPr>
          <w:b/>
        </w:rPr>
        <w:t>S</w:t>
      </w:r>
      <w:r w:rsidRPr="00B17C53">
        <w:rPr>
          <w:b/>
        </w:rPr>
        <w:t>ection </w:t>
      </w:r>
      <w:r w:rsidR="00812A31" w:rsidRPr="00B17C53">
        <w:rPr>
          <w:b/>
        </w:rPr>
        <w:t>19</w:t>
      </w:r>
      <w:r w:rsidR="009B5390" w:rsidRPr="00B17C53">
        <w:rPr>
          <w:b/>
        </w:rPr>
        <w:t> </w:t>
      </w:r>
      <w:r w:rsidR="009B5390" w:rsidRPr="00B17C53">
        <w:rPr>
          <w:rFonts w:ascii="Calibri" w:hAnsi="Calibri"/>
          <w:b/>
        </w:rPr>
        <w:t>—</w:t>
      </w:r>
      <w:r w:rsidR="009B5390" w:rsidRPr="00B17C53">
        <w:rPr>
          <w:b/>
        </w:rPr>
        <w:t> </w:t>
      </w:r>
      <w:r w:rsidR="003F5875" w:rsidRPr="00B17C53">
        <w:rPr>
          <w:b/>
        </w:rPr>
        <w:t>Number of future dwellings on residential land</w:t>
      </w:r>
    </w:p>
    <w:p w14:paraId="1ED3D4AD" w14:textId="021F059B" w:rsidR="00CE7C15" w:rsidRPr="00B17C53" w:rsidRDefault="00A66307" w:rsidP="000355FB">
      <w:pPr>
        <w:pStyle w:val="Bullet"/>
        <w:keepNext/>
        <w:numPr>
          <w:ilvl w:val="0"/>
          <w:numId w:val="0"/>
        </w:numPr>
        <w:spacing w:before="120"/>
      </w:pPr>
      <w:r w:rsidRPr="00B17C53">
        <w:t>Section </w:t>
      </w:r>
      <w:r w:rsidR="003F5875" w:rsidRPr="00B17C53">
        <w:t>4 of the Act defines the meaning of ‘residential lan</w:t>
      </w:r>
      <w:r w:rsidR="00787F30" w:rsidRPr="00B17C53">
        <w:t xml:space="preserve">d’. </w:t>
      </w:r>
      <w:r w:rsidR="004F5568" w:rsidRPr="00B17C53">
        <w:t>Subparagraph </w:t>
      </w:r>
      <w:r w:rsidR="00787F30" w:rsidRPr="00B17C53">
        <w:t>(a)(ii) of the</w:t>
      </w:r>
      <w:r w:rsidR="003F5875" w:rsidRPr="00B17C53">
        <w:t xml:space="preserve"> definition relevantly defines ‘residential land’ to mean land in Australia if the number of dwellings that could reasonably be built on the land is less than the number prescribed by the reg</w:t>
      </w:r>
      <w:r w:rsidR="00502EA5" w:rsidRPr="00B17C53">
        <w:t>ulations. Section </w:t>
      </w:r>
      <w:r w:rsidR="00812A31" w:rsidRPr="00B17C53">
        <w:t xml:space="preserve">19 </w:t>
      </w:r>
      <w:r w:rsidR="003330B8" w:rsidRPr="00B17C53">
        <w:t xml:space="preserve">of the Regulation provides that the number of dwellings </w:t>
      </w:r>
      <w:r w:rsidR="002A2C84" w:rsidRPr="00B17C53">
        <w:t xml:space="preserve">for the purposes of the definition </w:t>
      </w:r>
      <w:r w:rsidR="003330B8" w:rsidRPr="00B17C53">
        <w:t>is 10.</w:t>
      </w:r>
    </w:p>
    <w:p w14:paraId="358F43DE" w14:textId="03F59D65" w:rsidR="00AA2489" w:rsidRPr="002D0D31" w:rsidRDefault="00301EFF" w:rsidP="002D0D31">
      <w:pPr>
        <w:pStyle w:val="Bullet"/>
        <w:keepNext/>
        <w:numPr>
          <w:ilvl w:val="0"/>
          <w:numId w:val="0"/>
        </w:numPr>
        <w:ind w:left="567" w:hanging="567"/>
        <w:rPr>
          <w:b/>
        </w:rPr>
      </w:pPr>
      <w:r w:rsidRPr="00B17C53">
        <w:rPr>
          <w:b/>
        </w:rPr>
        <w:t>Section </w:t>
      </w:r>
      <w:r w:rsidR="00812A31" w:rsidRPr="00B17C53">
        <w:rPr>
          <w:b/>
        </w:rPr>
        <w:t>20</w:t>
      </w:r>
      <w:r w:rsidR="009B5390" w:rsidRPr="00B17C53">
        <w:rPr>
          <w:b/>
        </w:rPr>
        <w:t> </w:t>
      </w:r>
      <w:r w:rsidR="009B5390" w:rsidRPr="00B17C53">
        <w:rPr>
          <w:rFonts w:ascii="Calibri" w:hAnsi="Calibri"/>
          <w:b/>
        </w:rPr>
        <w:t>—</w:t>
      </w:r>
      <w:r w:rsidR="009B5390" w:rsidRPr="00B17C53">
        <w:rPr>
          <w:b/>
        </w:rPr>
        <w:t> </w:t>
      </w:r>
      <w:r w:rsidR="00AA2489" w:rsidRPr="00B17C53">
        <w:rPr>
          <w:b/>
        </w:rPr>
        <w:t>Meaning of</w:t>
      </w:r>
      <w:r w:rsidR="00AA2489" w:rsidRPr="002D0D31">
        <w:rPr>
          <w:b/>
        </w:rPr>
        <w:t xml:space="preserve"> ‘total asset value’</w:t>
      </w:r>
    </w:p>
    <w:p w14:paraId="7D05A23F" w14:textId="7B8278ED" w:rsidR="008F3AF2" w:rsidRPr="003F0ACA" w:rsidRDefault="008F3AF2" w:rsidP="00BB29A8">
      <w:pPr>
        <w:pStyle w:val="Bullet"/>
        <w:numPr>
          <w:ilvl w:val="0"/>
          <w:numId w:val="0"/>
        </w:numPr>
        <w:spacing w:before="120"/>
        <w:rPr>
          <w:highlight w:val="yellow"/>
        </w:rPr>
      </w:pPr>
      <w:r w:rsidRPr="008F3AF2">
        <w:t xml:space="preserve">Total asset value is used to determine whether the threshold test </w:t>
      </w:r>
      <w:r w:rsidR="007853AD">
        <w:t xml:space="preserve">for entities </w:t>
      </w:r>
      <w:r w:rsidRPr="008F3AF2">
        <w:t>in s</w:t>
      </w:r>
      <w:r w:rsidR="00ED747D">
        <w:t>ection</w:t>
      </w:r>
      <w:r w:rsidRPr="008F3AF2">
        <w:t xml:space="preserve"> 51 of the Act is met. For example, if the total asset value for an entity is greater than the amount prescribed, then the threshold test is met when an interest in securities in the entity is acquired. </w:t>
      </w:r>
      <w:r w:rsidR="00692F53">
        <w:t>I</w:t>
      </w:r>
      <w:r w:rsidR="00692F53" w:rsidRPr="008F3AF2">
        <w:t>n the Regulation</w:t>
      </w:r>
      <w:r w:rsidR="00692F53">
        <w:t>,</w:t>
      </w:r>
      <w:r w:rsidR="00692F53" w:rsidRPr="008F3AF2">
        <w:t xml:space="preserve"> </w:t>
      </w:r>
      <w:r w:rsidR="00692F53">
        <w:t>t</w:t>
      </w:r>
      <w:r w:rsidRPr="008F3AF2">
        <w:t>he concept is also used to define a mining, production or exploration entity</w:t>
      </w:r>
      <w:r w:rsidR="00692F53">
        <w:t>, as well as in the meaning of agribusiness</w:t>
      </w:r>
      <w:r w:rsidRPr="008F3AF2">
        <w:t>.</w:t>
      </w:r>
      <w:r w:rsidR="007853AD">
        <w:t xml:space="preserve"> The threshold test is important in determining whether an action is a significant action. </w:t>
      </w:r>
    </w:p>
    <w:p w14:paraId="17A0AB38" w14:textId="3F923337" w:rsidR="003C648C" w:rsidRPr="002D0D31" w:rsidRDefault="00A66307" w:rsidP="00787E84">
      <w:r w:rsidRPr="002D0D31">
        <w:t>Section </w:t>
      </w:r>
      <w:r w:rsidR="003A7339" w:rsidRPr="00415864">
        <w:t>4</w:t>
      </w:r>
      <w:r w:rsidR="003A7339" w:rsidRPr="002D0D31">
        <w:t xml:space="preserve"> of the Act provides that the term ‘total asset value’ for an entity has the meaning prescribed by the regulations. </w:t>
      </w:r>
      <w:r w:rsidR="009213ED" w:rsidRPr="002D0D31">
        <w:t>Section </w:t>
      </w:r>
      <w:r w:rsidR="00812A31" w:rsidRPr="00415864">
        <w:t>20</w:t>
      </w:r>
      <w:r w:rsidR="00812A31">
        <w:t xml:space="preserve"> </w:t>
      </w:r>
      <w:r w:rsidR="003A7339" w:rsidRPr="002D0D31">
        <w:t>of the Regulation specifies the definition of total asset value for an entity.</w:t>
      </w:r>
      <w:r w:rsidR="00CA1151" w:rsidRPr="002D0D31">
        <w:t xml:space="preserve"> </w:t>
      </w:r>
    </w:p>
    <w:p w14:paraId="24AE8011" w14:textId="44388C9E" w:rsidR="00D747B7" w:rsidRPr="002D0D31" w:rsidRDefault="00E853BC" w:rsidP="00BB29A8">
      <w:r w:rsidRPr="002D0D31">
        <w:t xml:space="preserve">The </w:t>
      </w:r>
      <w:r w:rsidR="00FC1DDF">
        <w:t>R</w:t>
      </w:r>
      <w:r w:rsidR="00FC1DDF" w:rsidRPr="002D0D31">
        <w:t xml:space="preserve">egulation </w:t>
      </w:r>
      <w:r w:rsidRPr="002D0D31">
        <w:t>prescribes a meaning for the following circumstances: entities that are not holding entities; holding entities that prepare financial statements</w:t>
      </w:r>
      <w:r w:rsidR="000E5F58">
        <w:t xml:space="preserve"> in accordance with subsection</w:t>
      </w:r>
      <w:r w:rsidR="00D31F64">
        <w:t> </w:t>
      </w:r>
      <w:r w:rsidR="00812A31" w:rsidRPr="00415864">
        <w:t>24</w:t>
      </w:r>
      <w:r w:rsidR="000E5F58">
        <w:t>(2) or (3) of the Regulation</w:t>
      </w:r>
      <w:r w:rsidR="00D31F64">
        <w:t xml:space="preserve"> (for example, consolidated financial statements)</w:t>
      </w:r>
      <w:r w:rsidRPr="002D0D31">
        <w:t>; and holding entities that prepare financial statements</w:t>
      </w:r>
      <w:r w:rsidR="000E5F58">
        <w:t xml:space="preserve"> in accordance with </w:t>
      </w:r>
      <w:r w:rsidR="00D31F64">
        <w:t>subsection </w:t>
      </w:r>
      <w:r w:rsidR="00812A31" w:rsidRPr="00415864">
        <w:t>24</w:t>
      </w:r>
      <w:r w:rsidR="000E5F58">
        <w:t>(2) or (3) of the Regulation</w:t>
      </w:r>
      <w:r w:rsidRPr="002D0D31">
        <w:t xml:space="preserve">. </w:t>
      </w:r>
      <w:r w:rsidR="00D747B7" w:rsidRPr="002D0D31">
        <w:t>For a foreign entity, only the total relevant Australian assets are to be taken into account for the purposes of this section.</w:t>
      </w:r>
    </w:p>
    <w:p w14:paraId="666F7375" w14:textId="0EE40541" w:rsidR="00DE26D4" w:rsidRPr="002D0D31" w:rsidRDefault="00D747B7" w:rsidP="00BB29A8">
      <w:pPr>
        <w:pStyle w:val="Bullet"/>
        <w:keepNext/>
        <w:numPr>
          <w:ilvl w:val="0"/>
          <w:numId w:val="0"/>
        </w:numPr>
        <w:spacing w:before="120"/>
        <w:rPr>
          <w:i/>
        </w:rPr>
      </w:pPr>
      <w:r w:rsidRPr="002D0D31">
        <w:rPr>
          <w:i/>
        </w:rPr>
        <w:t>Entities whose securities are stapled</w:t>
      </w:r>
    </w:p>
    <w:p w14:paraId="57302C5A" w14:textId="3AC0293C" w:rsidR="00E853BC" w:rsidRPr="00E853BC" w:rsidRDefault="00E853BC" w:rsidP="00787E84">
      <w:r>
        <w:t xml:space="preserve">A stapled entity is one where the securities can only be transferred together with securities in another entity. It is not possible to acquire securities in the entity alone. In that case </w:t>
      </w:r>
      <w:r w:rsidR="006D0372">
        <w:t>the value of the assets of the stapled entity is taken to include the value of the assets of the other entity or entities.</w:t>
      </w:r>
    </w:p>
    <w:p w14:paraId="524DD4A8" w14:textId="02CB3BE6" w:rsidR="00D747B7" w:rsidRDefault="00D906B5" w:rsidP="00BB29A8">
      <w:pPr>
        <w:pStyle w:val="Bullet"/>
        <w:keepNext/>
        <w:numPr>
          <w:ilvl w:val="0"/>
          <w:numId w:val="0"/>
        </w:numPr>
        <w:spacing w:before="120"/>
        <w:rPr>
          <w:i/>
        </w:rPr>
      </w:pPr>
      <w:r w:rsidRPr="002D0D31">
        <w:rPr>
          <w:i/>
        </w:rPr>
        <w:t>Entities operation on a unified basis</w:t>
      </w:r>
    </w:p>
    <w:p w14:paraId="78FAC0C1" w14:textId="70230B8F" w:rsidR="006D0372" w:rsidRDefault="00D34256" w:rsidP="00BB29A8">
      <w:pPr>
        <w:pStyle w:val="Bullet"/>
        <w:numPr>
          <w:ilvl w:val="0"/>
          <w:numId w:val="0"/>
        </w:numPr>
        <w:spacing w:before="120"/>
      </w:pPr>
      <w:r>
        <w:t>Entities operating on a unified basis</w:t>
      </w:r>
      <w:r w:rsidR="006D0372">
        <w:t xml:space="preserve"> </w:t>
      </w:r>
      <w:r>
        <w:t xml:space="preserve">may take many forms. Generally, the structure would be </w:t>
      </w:r>
      <w:r w:rsidRPr="00D34256">
        <w:t xml:space="preserve">designed to place the shareholders in each </w:t>
      </w:r>
      <w:r>
        <w:t>entity</w:t>
      </w:r>
      <w:r w:rsidRPr="00D34256">
        <w:t xml:space="preserve"> in substantially the same position as if they held </w:t>
      </w:r>
      <w:r>
        <w:t>interests</w:t>
      </w:r>
      <w:r w:rsidRPr="00D34256">
        <w:t xml:space="preserve"> in a single entity owning all of the assets of both</w:t>
      </w:r>
      <w:r>
        <w:t xml:space="preserve">. </w:t>
      </w:r>
      <w:r w:rsidR="00462343">
        <w:t>For </w:t>
      </w:r>
      <w:r>
        <w:t xml:space="preserve">example there may be shared voting rights and common directors. </w:t>
      </w:r>
    </w:p>
    <w:p w14:paraId="2C3EDDAF" w14:textId="7B09A541" w:rsidR="00D906B5" w:rsidRPr="00D906B5" w:rsidRDefault="00D34256" w:rsidP="00BB29A8">
      <w:pPr>
        <w:pStyle w:val="Bullet"/>
        <w:numPr>
          <w:ilvl w:val="0"/>
          <w:numId w:val="0"/>
        </w:numPr>
        <w:spacing w:before="120"/>
        <w:rPr>
          <w:i/>
        </w:rPr>
      </w:pPr>
      <w:r>
        <w:t xml:space="preserve">Where </w:t>
      </w:r>
      <w:r w:rsidR="00AC34D0">
        <w:t>an entity</w:t>
      </w:r>
      <w:r>
        <w:t xml:space="preserve"> operate</w:t>
      </w:r>
      <w:r w:rsidR="009710E1">
        <w:t>s</w:t>
      </w:r>
      <w:r>
        <w:t xml:space="preserve"> on a unified basis </w:t>
      </w:r>
      <w:r w:rsidR="00AC34D0">
        <w:t>the value of the assets includes the value of the assets of the other entities.</w:t>
      </w:r>
    </w:p>
    <w:p w14:paraId="110F61B1" w14:textId="2AF18F11" w:rsidR="00F878A7" w:rsidRPr="00B17C53" w:rsidRDefault="00301EFF" w:rsidP="00F878A7">
      <w:pPr>
        <w:pStyle w:val="Bullet"/>
        <w:numPr>
          <w:ilvl w:val="0"/>
          <w:numId w:val="0"/>
        </w:numPr>
        <w:ind w:left="567" w:hanging="567"/>
        <w:rPr>
          <w:b/>
        </w:rPr>
      </w:pPr>
      <w:r w:rsidRPr="00E81137">
        <w:rPr>
          <w:b/>
        </w:rPr>
        <w:t>Sect</w:t>
      </w:r>
      <w:r w:rsidRPr="00B17C53">
        <w:rPr>
          <w:b/>
        </w:rPr>
        <w:t>ion </w:t>
      </w:r>
      <w:r w:rsidR="00812A31" w:rsidRPr="00B17C53">
        <w:rPr>
          <w:b/>
        </w:rPr>
        <w:t>21</w:t>
      </w:r>
      <w:r w:rsidR="009B5390" w:rsidRPr="00B17C53">
        <w:rPr>
          <w:b/>
        </w:rPr>
        <w:t> </w:t>
      </w:r>
      <w:r w:rsidR="009B5390" w:rsidRPr="00B17C53">
        <w:rPr>
          <w:rFonts w:ascii="Calibri" w:hAnsi="Calibri"/>
          <w:b/>
        </w:rPr>
        <w:t>—</w:t>
      </w:r>
      <w:r w:rsidR="009B5390" w:rsidRPr="00B17C53">
        <w:rPr>
          <w:b/>
        </w:rPr>
        <w:t> </w:t>
      </w:r>
      <w:r w:rsidR="00F878A7" w:rsidRPr="00B17C53">
        <w:rPr>
          <w:b/>
        </w:rPr>
        <w:t>Meaning of ‘total issued securities value’</w:t>
      </w:r>
    </w:p>
    <w:p w14:paraId="38F0B2DE" w14:textId="790D845B" w:rsidR="00F53A77" w:rsidRDefault="00A66307" w:rsidP="0081239A">
      <w:pPr>
        <w:pStyle w:val="Bullet"/>
        <w:numPr>
          <w:ilvl w:val="0"/>
          <w:numId w:val="0"/>
        </w:numPr>
        <w:spacing w:before="120"/>
      </w:pPr>
      <w:r w:rsidRPr="00B17C53">
        <w:t>Section </w:t>
      </w:r>
      <w:r w:rsidR="006D25FD" w:rsidRPr="00B17C53">
        <w:t>4 of the Act provides that the term ‘total issued securities value’ has the meaning prescribed by the regulations. The term is</w:t>
      </w:r>
      <w:r w:rsidRPr="00B17C53">
        <w:t xml:space="preserve"> used in section </w:t>
      </w:r>
      <w:r w:rsidR="006D25FD" w:rsidRPr="00B17C53">
        <w:t>51 of t</w:t>
      </w:r>
      <w:r w:rsidR="006D25FD">
        <w:t>he Act</w:t>
      </w:r>
      <w:r w:rsidR="00F53A77">
        <w:t>, which relevantly provides that the threshold test is met in relation to an entity for the significant action of acquiring interests in securities in an entity, or issuing securities in an entity</w:t>
      </w:r>
      <w:r w:rsidR="00B35BB4">
        <w:t>,</w:t>
      </w:r>
      <w:r w:rsidR="00F53A77">
        <w:t xml:space="preserve"> if</w:t>
      </w:r>
      <w:r w:rsidR="00B35BB4">
        <w:t xml:space="preserve"> the</w:t>
      </w:r>
      <w:r w:rsidR="00F53A77">
        <w:t xml:space="preserve"> total assets value for the entity or the total issued securities value for the entity (whichever is higher) is more than the value prescribed by the regulations. </w:t>
      </w:r>
    </w:p>
    <w:p w14:paraId="7203EEFC" w14:textId="1605588A" w:rsidR="00E1464F" w:rsidRDefault="00E1464F" w:rsidP="0081239A">
      <w:pPr>
        <w:pStyle w:val="Bullet"/>
        <w:numPr>
          <w:ilvl w:val="0"/>
          <w:numId w:val="0"/>
        </w:numPr>
        <w:spacing w:before="120"/>
      </w:pPr>
      <w:r>
        <w:t>The total issued securities value for a</w:t>
      </w:r>
      <w:r w:rsidR="000E5F58">
        <w:t>n</w:t>
      </w:r>
      <w:r>
        <w:t xml:space="preserve"> entity is the class value worked out for each class of security of the entity and each relevant subsidiary of the entity. </w:t>
      </w:r>
      <w:r w:rsidR="00EB5EC9">
        <w:t>Entities may have more than one class of securities on issue</w:t>
      </w:r>
      <w:r w:rsidR="002B22B0">
        <w:t>, which may have differing rights or nominal values attached.</w:t>
      </w:r>
      <w:r w:rsidR="00EB5EC9">
        <w:t xml:space="preserve"> </w:t>
      </w:r>
      <w:r w:rsidR="002B22B0">
        <w:t>For example, some may have preferential voting rights, preferential rights to distributions or no voting rights. To ascertain the total issued securities value requires that the class value is worked out for each class.</w:t>
      </w:r>
    </w:p>
    <w:p w14:paraId="469F5803" w14:textId="685914F5" w:rsidR="00E1464F" w:rsidRPr="00E1464F" w:rsidRDefault="00E1464F" w:rsidP="0081239A">
      <w:pPr>
        <w:pStyle w:val="Bullet"/>
        <w:keepNext/>
        <w:numPr>
          <w:ilvl w:val="0"/>
          <w:numId w:val="0"/>
        </w:numPr>
        <w:spacing w:before="120"/>
        <w:rPr>
          <w:i/>
        </w:rPr>
      </w:pPr>
      <w:r>
        <w:rPr>
          <w:i/>
        </w:rPr>
        <w:t>Meaning of class value for a class of security if securities in that class are being acquired or issued</w:t>
      </w:r>
    </w:p>
    <w:p w14:paraId="30817D39" w14:textId="1C54A937" w:rsidR="00E1464F" w:rsidRDefault="00F53A77" w:rsidP="0081239A">
      <w:pPr>
        <w:pStyle w:val="Bullet"/>
        <w:keepNext/>
        <w:numPr>
          <w:ilvl w:val="0"/>
          <w:numId w:val="0"/>
        </w:numPr>
        <w:spacing w:before="120"/>
      </w:pPr>
      <w:r>
        <w:t>For securities in a class that is being acquire</w:t>
      </w:r>
      <w:r w:rsidR="00E1464F">
        <w:t>d</w:t>
      </w:r>
      <w:r>
        <w:t>, the class value</w:t>
      </w:r>
      <w:r w:rsidR="00E1464F">
        <w:t xml:space="preserve"> is the total consideration for the acquisition of securities in that class divided by the number of securities in the class to be acquired, multiplied by the total number of issued securities in that class immediately before the acquisition.</w:t>
      </w:r>
      <w:r w:rsidR="00B237C8">
        <w:t xml:space="preserve"> This is relevant to significant actions where a person proposes to acquire an interest in securities (for example, in an entity). This includes where the securities may be acquired including by participating to acquire securities through a share placement or </w:t>
      </w:r>
      <w:r w:rsidR="00A31CD8">
        <w:t xml:space="preserve">a </w:t>
      </w:r>
      <w:r w:rsidR="00B237C8">
        <w:t>non</w:t>
      </w:r>
      <w:r w:rsidR="00B237C8">
        <w:noBreakHyphen/>
        <w:t xml:space="preserve">pro rata securities issue. </w:t>
      </w:r>
    </w:p>
    <w:p w14:paraId="25CD6843" w14:textId="76EC5F85" w:rsidR="006D25FD" w:rsidRDefault="00E1464F" w:rsidP="0081239A">
      <w:pPr>
        <w:pStyle w:val="Bullet"/>
        <w:numPr>
          <w:ilvl w:val="0"/>
          <w:numId w:val="0"/>
        </w:numPr>
        <w:spacing w:before="120"/>
      </w:pPr>
      <w:r>
        <w:t>The class value for a class of security if securities in that class are being issued is worked out by dividing the total</w:t>
      </w:r>
      <w:r w:rsidR="0054476B">
        <w:t xml:space="preserve"> issue</w:t>
      </w:r>
      <w:r>
        <w:t xml:space="preserve"> price of all the securities in that class to be issued by the number of securities in the class to be issued, multiplied by the total number of issued securities in that class immediately before the issue.</w:t>
      </w:r>
      <w:r w:rsidR="00B237C8">
        <w:t xml:space="preserve"> This is relevant only to the significant action – entities</w:t>
      </w:r>
      <w:r w:rsidR="00A31CD8">
        <w:t>,</w:t>
      </w:r>
      <w:r w:rsidR="00B237C8">
        <w:t xml:space="preserve"> only where the kind of action is to issue securities in an entity.</w:t>
      </w:r>
    </w:p>
    <w:p w14:paraId="3C85D6DE" w14:textId="47819158" w:rsidR="00E1464F" w:rsidRDefault="00E51097" w:rsidP="0081239A">
      <w:pPr>
        <w:pStyle w:val="Bullet"/>
        <w:numPr>
          <w:ilvl w:val="0"/>
          <w:numId w:val="0"/>
        </w:numPr>
        <w:spacing w:before="120"/>
        <w:rPr>
          <w:i/>
        </w:rPr>
      </w:pPr>
      <w:r w:rsidRPr="00E51097">
        <w:rPr>
          <w:i/>
        </w:rPr>
        <w:t>Meaning of class value for a class of security of an entity if securities in that class are not being acquired or issued</w:t>
      </w:r>
    </w:p>
    <w:p w14:paraId="0F2EA6D4" w14:textId="4384C80B" w:rsidR="00A02152" w:rsidRDefault="00E51097" w:rsidP="0081239A">
      <w:pPr>
        <w:pStyle w:val="Bullet"/>
        <w:numPr>
          <w:ilvl w:val="0"/>
          <w:numId w:val="0"/>
        </w:numPr>
        <w:spacing w:before="120"/>
      </w:pPr>
      <w:r>
        <w:t xml:space="preserve">Where securities in a class are not being acquired or issued the class value for a class of security is worked out by multiplying the market value of securities in that class with the total number of issued securities in that class immediately before the acquisition </w:t>
      </w:r>
      <w:r w:rsidR="0054476B">
        <w:t xml:space="preserve">or </w:t>
      </w:r>
      <w:r>
        <w:t>issue.</w:t>
      </w:r>
      <w:r w:rsidR="009A7EAC" w:rsidRPr="009A7EAC">
        <w:t xml:space="preserve"> </w:t>
      </w:r>
      <w:r w:rsidR="009A7EAC">
        <w:t>For example, when a corporation has both preferential and ordinary shares on issue, but the acquisition is only in relation to the ordinary shares, then the class value for preferential shares must be worked out.</w:t>
      </w:r>
    </w:p>
    <w:p w14:paraId="5D683821" w14:textId="7EED2BC4" w:rsidR="00B740B0" w:rsidRPr="00B17C53" w:rsidRDefault="00B740B0" w:rsidP="00AE6183">
      <w:pPr>
        <w:pStyle w:val="Bullet"/>
        <w:numPr>
          <w:ilvl w:val="0"/>
          <w:numId w:val="0"/>
        </w:numPr>
        <w:ind w:left="567" w:hanging="567"/>
        <w:rPr>
          <w:b/>
        </w:rPr>
      </w:pPr>
      <w:r>
        <w:rPr>
          <w:b/>
        </w:rPr>
        <w:t>Secti</w:t>
      </w:r>
      <w:r w:rsidRPr="00B17C53">
        <w:rPr>
          <w:b/>
        </w:rPr>
        <w:t xml:space="preserve">on </w:t>
      </w:r>
      <w:r w:rsidR="00922A8E" w:rsidRPr="00B17C53">
        <w:rPr>
          <w:b/>
        </w:rPr>
        <w:t>22</w:t>
      </w:r>
      <w:r w:rsidR="009B5390" w:rsidRPr="00B17C53">
        <w:rPr>
          <w:b/>
        </w:rPr>
        <w:t> </w:t>
      </w:r>
      <w:r w:rsidR="009B5390" w:rsidRPr="00B17C53">
        <w:rPr>
          <w:rFonts w:ascii="Calibri" w:hAnsi="Calibri"/>
          <w:b/>
        </w:rPr>
        <w:t>—</w:t>
      </w:r>
      <w:r w:rsidR="009B5390" w:rsidRPr="00B17C53">
        <w:rPr>
          <w:b/>
        </w:rPr>
        <w:t> </w:t>
      </w:r>
      <w:r w:rsidRPr="00B17C53">
        <w:rPr>
          <w:b/>
        </w:rPr>
        <w:t>Businesses that are sensitive businesses</w:t>
      </w:r>
    </w:p>
    <w:p w14:paraId="351A0E74" w14:textId="77777777" w:rsidR="00533842" w:rsidRPr="00B17C53" w:rsidRDefault="00533842" w:rsidP="00533842">
      <w:pPr>
        <w:keepNext/>
      </w:pPr>
      <w:r w:rsidRPr="00B17C53">
        <w:t>Subsection 26(1) of the Act provides that a business is a ‘sensitive business’ if the business meets the conditions specified in the regulations. Subsection 26(2) of the Act clarifies that the regulations may prescribe sensitive sectors generally, or different sensitive sectors for different kinds of foreign persons, and different conditions for different kinds of sensitive sectors.</w:t>
      </w:r>
    </w:p>
    <w:p w14:paraId="43A93C40" w14:textId="28AA9B89" w:rsidR="00533842" w:rsidRDefault="00533842" w:rsidP="00533842">
      <w:r w:rsidRPr="00B17C53">
        <w:t>Section </w:t>
      </w:r>
      <w:r w:rsidR="00922A8E" w:rsidRPr="00B17C53">
        <w:t xml:space="preserve">22 </w:t>
      </w:r>
      <w:r w:rsidRPr="00B17C53">
        <w:t>of the Regulation provides that a business is a sensitive business if the business is carried on i</w:t>
      </w:r>
      <w:r>
        <w:t>n the sectors specified by the provision (that is, the media sector, the telecommunications sector</w:t>
      </w:r>
      <w:r w:rsidR="00D31F64">
        <w:t>,</w:t>
      </w:r>
      <w:r>
        <w:t xml:space="preserve"> or the transport sector), including a business relating to infrastructure for these sectors. </w:t>
      </w:r>
    </w:p>
    <w:p w14:paraId="4E79415C" w14:textId="77777777" w:rsidR="00533842" w:rsidRDefault="00533842" w:rsidP="00533842">
      <w:r>
        <w:t>In addition, a business is a sensitive business if the business is wholly or partly:</w:t>
      </w:r>
    </w:p>
    <w:p w14:paraId="1CCD45A9" w14:textId="77777777" w:rsidR="00533842" w:rsidRDefault="00533842" w:rsidP="00533842">
      <w:pPr>
        <w:pStyle w:val="Bullet"/>
        <w:spacing w:before="120"/>
      </w:pPr>
      <w:r>
        <w:t>the supply of certain services and goods to the Australian Defence Force or other defence forces;</w:t>
      </w:r>
    </w:p>
    <w:p w14:paraId="09F612B4" w14:textId="77777777" w:rsidR="00533842" w:rsidRDefault="00533842" w:rsidP="00533842">
      <w:pPr>
        <w:pStyle w:val="Bullet"/>
        <w:spacing w:before="120"/>
      </w:pPr>
      <w:r>
        <w:t xml:space="preserve">the manufacture or supply of goods, equipment or technology able to be used for a military purpose; </w:t>
      </w:r>
    </w:p>
    <w:p w14:paraId="4038409B" w14:textId="77777777" w:rsidR="00533842" w:rsidRDefault="00533842" w:rsidP="00533842">
      <w:pPr>
        <w:pStyle w:val="Bullet"/>
        <w:spacing w:before="120"/>
      </w:pPr>
      <w:r>
        <w:t>the development, manufacture or supply of, or the provision of services relating to, encryption and security technologies and communications systems; or</w:t>
      </w:r>
    </w:p>
    <w:p w14:paraId="49136382" w14:textId="77777777" w:rsidR="00533842" w:rsidRDefault="00533842" w:rsidP="00533842">
      <w:pPr>
        <w:pStyle w:val="Bullet"/>
        <w:spacing w:before="120"/>
      </w:pPr>
      <w:r>
        <w:t xml:space="preserve">the extraction of (or the holding of rights to extract) uranium or plutonium or the operation of nuclear facilities. </w:t>
      </w:r>
    </w:p>
    <w:p w14:paraId="0FF0B3EB" w14:textId="7520ED89" w:rsidR="00CD34D5" w:rsidRPr="00B2272E" w:rsidRDefault="00533842" w:rsidP="00BB29A8">
      <w:pPr>
        <w:pStyle w:val="Bullet"/>
        <w:numPr>
          <w:ilvl w:val="0"/>
          <w:numId w:val="0"/>
        </w:numPr>
        <w:spacing w:before="120"/>
      </w:pPr>
      <w:r>
        <w:t>This definition is relev</w:t>
      </w:r>
      <w:r w:rsidRPr="00B2272E">
        <w:t>ant to sections </w:t>
      </w:r>
      <w:r w:rsidR="00922A8E" w:rsidRPr="00B2272E">
        <w:t>51</w:t>
      </w:r>
      <w:r w:rsidR="009E18C9" w:rsidRPr="00B2272E">
        <w:t xml:space="preserve">, </w:t>
      </w:r>
      <w:r w:rsidR="00922A8E" w:rsidRPr="00B2272E">
        <w:t xml:space="preserve">52 </w:t>
      </w:r>
      <w:r w:rsidR="009E18C9" w:rsidRPr="00B2272E">
        <w:t xml:space="preserve">and 56 </w:t>
      </w:r>
      <w:r w:rsidRPr="00B2272E">
        <w:t>of the Regulation.</w:t>
      </w:r>
    </w:p>
    <w:p w14:paraId="41AAB7C6" w14:textId="3CD1AC52" w:rsidR="00AE6183" w:rsidRPr="00B2272E" w:rsidRDefault="00301EFF">
      <w:pPr>
        <w:pStyle w:val="Bullet"/>
        <w:numPr>
          <w:ilvl w:val="0"/>
          <w:numId w:val="0"/>
        </w:numPr>
        <w:rPr>
          <w:b/>
        </w:rPr>
      </w:pPr>
      <w:r w:rsidRPr="00B2272E">
        <w:rPr>
          <w:b/>
        </w:rPr>
        <w:t>Section </w:t>
      </w:r>
      <w:r w:rsidR="008845CD" w:rsidRPr="00B2272E">
        <w:rPr>
          <w:b/>
        </w:rPr>
        <w:t>23</w:t>
      </w:r>
      <w:r w:rsidR="009B5390" w:rsidRPr="00B2272E">
        <w:rPr>
          <w:b/>
        </w:rPr>
        <w:t> </w:t>
      </w:r>
      <w:r w:rsidR="009B5390" w:rsidRPr="00B2272E">
        <w:rPr>
          <w:rFonts w:ascii="Calibri" w:hAnsi="Calibri"/>
          <w:b/>
        </w:rPr>
        <w:t>—</w:t>
      </w:r>
      <w:r w:rsidR="009B5390" w:rsidRPr="00B2272E">
        <w:rPr>
          <w:b/>
        </w:rPr>
        <w:t> </w:t>
      </w:r>
      <w:r w:rsidR="00AE6183" w:rsidRPr="00B2272E">
        <w:rPr>
          <w:b/>
        </w:rPr>
        <w:t>Value of</w:t>
      </w:r>
      <w:r w:rsidR="0038409C" w:rsidRPr="00B2272E">
        <w:rPr>
          <w:b/>
        </w:rPr>
        <w:t xml:space="preserve"> assets of entities or </w:t>
      </w:r>
      <w:r w:rsidR="00AE6183" w:rsidRPr="00B2272E">
        <w:rPr>
          <w:b/>
        </w:rPr>
        <w:t>businesses</w:t>
      </w:r>
    </w:p>
    <w:p w14:paraId="42570288" w14:textId="6D04C05E" w:rsidR="008A2543" w:rsidRPr="00B2272E" w:rsidRDefault="00502EA5" w:rsidP="008F1EA0">
      <w:pPr>
        <w:pStyle w:val="Bullet"/>
        <w:numPr>
          <w:ilvl w:val="0"/>
          <w:numId w:val="0"/>
        </w:numPr>
        <w:spacing w:before="120"/>
      </w:pPr>
      <w:r w:rsidRPr="00B2272E">
        <w:t>Section </w:t>
      </w:r>
      <w:r w:rsidR="008A2543" w:rsidRPr="00B2272E">
        <w:t>27 of the Act provides</w:t>
      </w:r>
      <w:r w:rsidR="006765CB" w:rsidRPr="00B2272E">
        <w:t>, in part,</w:t>
      </w:r>
      <w:r w:rsidR="008A2543" w:rsidRPr="00B2272E">
        <w:t xml:space="preserve"> that regulations may provide in relation to valuing th</w:t>
      </w:r>
      <w:r w:rsidR="006765CB" w:rsidRPr="00B2272E">
        <w:t xml:space="preserve">e assets of an entity or </w:t>
      </w:r>
      <w:r w:rsidR="008A2543" w:rsidRPr="00B2272E">
        <w:t>business.</w:t>
      </w:r>
      <w:r w:rsidR="00767403" w:rsidRPr="00B2272E">
        <w:t xml:space="preserve"> </w:t>
      </w:r>
    </w:p>
    <w:p w14:paraId="6D5FCA24" w14:textId="1FD543E0" w:rsidR="008A2543" w:rsidRDefault="009A7EAC" w:rsidP="00AD044B">
      <w:pPr>
        <w:pStyle w:val="Bullet"/>
        <w:keepNext/>
        <w:numPr>
          <w:ilvl w:val="0"/>
          <w:numId w:val="0"/>
        </w:numPr>
        <w:spacing w:before="120"/>
      </w:pPr>
      <w:r w:rsidRPr="00B2272E">
        <w:t>Subsections </w:t>
      </w:r>
      <w:r w:rsidR="008845CD" w:rsidRPr="00B2272E">
        <w:t>23</w:t>
      </w:r>
      <w:r w:rsidR="005E6F69" w:rsidRPr="00B2272E">
        <w:t>(1)</w:t>
      </w:r>
      <w:r w:rsidRPr="00B2272E">
        <w:t xml:space="preserve"> and (</w:t>
      </w:r>
      <w:r w:rsidR="005E6F69" w:rsidRPr="00B2272E">
        <w:t>2</w:t>
      </w:r>
      <w:r w:rsidR="005E6F69">
        <w:t>)</w:t>
      </w:r>
      <w:r w:rsidR="008A2543">
        <w:t xml:space="preserve"> of the Regulation provides that the value on a particular day of an asset of an entity </w:t>
      </w:r>
      <w:r w:rsidR="00D500D8">
        <w:t xml:space="preserve">or business </w:t>
      </w:r>
      <w:r w:rsidR="008A2543">
        <w:t xml:space="preserve">is: </w:t>
      </w:r>
    </w:p>
    <w:p w14:paraId="125F6CAB" w14:textId="6C822A28" w:rsidR="008A2543" w:rsidRPr="008A2543" w:rsidRDefault="00D500D8" w:rsidP="008F1EA0">
      <w:pPr>
        <w:pStyle w:val="Bullet"/>
        <w:spacing w:before="120"/>
        <w:rPr>
          <w:i/>
        </w:rPr>
      </w:pPr>
      <w:r>
        <w:t>if there is a most recent financial statement and an event affecting the value of the asset as shown in the financial statement has not occurred since the financial statement was most recently audited or reviewed, the value of the</w:t>
      </w:r>
      <w:r w:rsidR="006777A8">
        <w:t xml:space="preserve"> asset</w:t>
      </w:r>
      <w:r w:rsidR="008A2543">
        <w:t xml:space="preserve"> as shown in the</w:t>
      </w:r>
      <w:r>
        <w:t xml:space="preserve"> financial statement</w:t>
      </w:r>
      <w:r w:rsidR="008A2543">
        <w:t>; or</w:t>
      </w:r>
    </w:p>
    <w:p w14:paraId="7764F975" w14:textId="6B549611" w:rsidR="008A2543" w:rsidRPr="005E6F69" w:rsidRDefault="008A2543" w:rsidP="008F1EA0">
      <w:pPr>
        <w:pStyle w:val="Bullet"/>
        <w:spacing w:before="120"/>
        <w:rPr>
          <w:i/>
        </w:rPr>
      </w:pPr>
      <w:r>
        <w:t>the value of that asset as shown on that day in the accounting records of the entity</w:t>
      </w:r>
      <w:r w:rsidR="006777A8">
        <w:t>.</w:t>
      </w:r>
    </w:p>
    <w:p w14:paraId="50609735" w14:textId="0B45A76B" w:rsidR="0011307C" w:rsidRPr="00B2272E" w:rsidRDefault="00502EA5" w:rsidP="008F1EA0">
      <w:pPr>
        <w:pStyle w:val="Bullet"/>
        <w:numPr>
          <w:ilvl w:val="0"/>
          <w:numId w:val="0"/>
        </w:numPr>
        <w:spacing w:before="120"/>
        <w:rPr>
          <w:i/>
        </w:rPr>
      </w:pPr>
      <w:r>
        <w:t>Subsectio</w:t>
      </w:r>
      <w:r w:rsidRPr="00B2272E">
        <w:t>n </w:t>
      </w:r>
      <w:r w:rsidR="008845CD" w:rsidRPr="00B2272E">
        <w:t>23</w:t>
      </w:r>
      <w:r w:rsidR="005E6F69" w:rsidRPr="00B2272E">
        <w:t xml:space="preserve">(3) of the </w:t>
      </w:r>
      <w:r w:rsidR="008F1EA0" w:rsidRPr="00B2272E">
        <w:t xml:space="preserve">Regulation </w:t>
      </w:r>
      <w:r w:rsidR="005E6F69" w:rsidRPr="00B2272E">
        <w:t xml:space="preserve">provides that </w:t>
      </w:r>
      <w:r w:rsidR="00DC31A8" w:rsidRPr="00B2272E">
        <w:t>subsection</w:t>
      </w:r>
      <w:r w:rsidR="009A7EAC" w:rsidRPr="00B2272E">
        <w:t> </w:t>
      </w:r>
      <w:r w:rsidR="00DC31A8" w:rsidRPr="00B2272E">
        <w:t>(1) does not apply if the value shown is not a reasonable value.</w:t>
      </w:r>
      <w:r w:rsidR="00181984" w:rsidRPr="00B2272E">
        <w:t xml:space="preserve"> For example, values will generally be reasonable if determined in accordance with accounting standards and related pronouncements of the Australian Accounting Standards Board or in accordance with the </w:t>
      </w:r>
      <w:r w:rsidR="009A7EAC" w:rsidRPr="00B2272E">
        <w:t>i</w:t>
      </w:r>
      <w:r w:rsidR="00181984" w:rsidRPr="00B2272E">
        <w:t xml:space="preserve">nternational </w:t>
      </w:r>
      <w:r w:rsidR="009A7EAC" w:rsidRPr="00B2272E">
        <w:t>financial reporting s</w:t>
      </w:r>
      <w:r w:rsidR="00181984" w:rsidRPr="00B2272E">
        <w:t>tandards.</w:t>
      </w:r>
      <w:r w:rsidR="00DC31A8" w:rsidRPr="00B2272E">
        <w:t xml:space="preserve"> </w:t>
      </w:r>
    </w:p>
    <w:p w14:paraId="65669948" w14:textId="1A8AF14E" w:rsidR="0011307C" w:rsidRPr="00E81137" w:rsidRDefault="00301EFF" w:rsidP="001E2B78">
      <w:pPr>
        <w:pStyle w:val="Bullet"/>
        <w:keepNext/>
        <w:numPr>
          <w:ilvl w:val="0"/>
          <w:numId w:val="0"/>
        </w:numPr>
        <w:spacing w:before="120"/>
        <w:rPr>
          <w:b/>
        </w:rPr>
      </w:pPr>
      <w:r w:rsidRPr="00B2272E">
        <w:rPr>
          <w:b/>
        </w:rPr>
        <w:t>Section </w:t>
      </w:r>
      <w:r w:rsidR="008845CD" w:rsidRPr="00B2272E">
        <w:rPr>
          <w:b/>
        </w:rPr>
        <w:t>24</w:t>
      </w:r>
      <w:r w:rsidR="009B5390">
        <w:rPr>
          <w:b/>
        </w:rPr>
        <w:t> </w:t>
      </w:r>
      <w:r w:rsidR="009B5390" w:rsidRPr="00E81137">
        <w:rPr>
          <w:rFonts w:ascii="Calibri" w:hAnsi="Calibri"/>
          <w:b/>
        </w:rPr>
        <w:t>—</w:t>
      </w:r>
      <w:r w:rsidR="009B5390" w:rsidRPr="00033D8A">
        <w:rPr>
          <w:b/>
        </w:rPr>
        <w:t> </w:t>
      </w:r>
      <w:r w:rsidR="0011307C" w:rsidRPr="00E81137">
        <w:rPr>
          <w:b/>
        </w:rPr>
        <w:t>Value of assets of entities that prepare co</w:t>
      </w:r>
      <w:r w:rsidR="00C012FE">
        <w:rPr>
          <w:b/>
        </w:rPr>
        <w:t>nsolidated financial statements</w:t>
      </w:r>
    </w:p>
    <w:p w14:paraId="56B9ACA8" w14:textId="75CDC5EA" w:rsidR="00977A0E" w:rsidRDefault="0011307C" w:rsidP="001E2B78">
      <w:pPr>
        <w:pStyle w:val="Bullet"/>
        <w:keepNext/>
        <w:numPr>
          <w:ilvl w:val="0"/>
          <w:numId w:val="0"/>
        </w:numPr>
        <w:spacing w:before="120"/>
      </w:pPr>
      <w:r>
        <w:t xml:space="preserve">If an entity prepares consolidated financial statements </w:t>
      </w:r>
      <w:r w:rsidR="00015463">
        <w:t xml:space="preserve">(which combine the financial results of a parent entity and all of its subsidiary entities in a single </w:t>
      </w:r>
      <w:r w:rsidR="009A7EAC">
        <w:t xml:space="preserve">financial </w:t>
      </w:r>
      <w:r w:rsidR="00015463">
        <w:t>report</w:t>
      </w:r>
      <w:r w:rsidR="00977A0E">
        <w:t xml:space="preserve">) </w:t>
      </w:r>
      <w:r>
        <w:t>and those statements are p</w:t>
      </w:r>
      <w:r w:rsidR="00ED0AD6">
        <w:t>repared in accordance with</w:t>
      </w:r>
      <w:r w:rsidR="00383500">
        <w:t xml:space="preserve"> International Financial Reporting S</w:t>
      </w:r>
      <w:r>
        <w:t>tandards</w:t>
      </w:r>
      <w:r w:rsidR="00383500">
        <w:t xml:space="preserve"> (</w:t>
      </w:r>
      <w:proofErr w:type="spellStart"/>
      <w:r w:rsidR="00383500">
        <w:t>IFRS</w:t>
      </w:r>
      <w:proofErr w:type="spellEnd"/>
      <w:r w:rsidR="00383500">
        <w:t>)</w:t>
      </w:r>
      <w:r>
        <w:t>, the value of the asset</w:t>
      </w:r>
      <w:r w:rsidR="00ED0AD6">
        <w:t xml:space="preserve">s of the entity is the value </w:t>
      </w:r>
      <w:r>
        <w:t xml:space="preserve">set out in those statements. </w:t>
      </w:r>
    </w:p>
    <w:p w14:paraId="5DF31C02" w14:textId="74F3399B" w:rsidR="0011307C" w:rsidRDefault="00383500" w:rsidP="001E2B78">
      <w:pPr>
        <w:pStyle w:val="Bullet"/>
        <w:numPr>
          <w:ilvl w:val="0"/>
          <w:numId w:val="0"/>
        </w:numPr>
        <w:spacing w:before="120"/>
      </w:pPr>
      <w:r>
        <w:t xml:space="preserve">The </w:t>
      </w:r>
      <w:proofErr w:type="spellStart"/>
      <w:r>
        <w:t>IFRS</w:t>
      </w:r>
      <w:proofErr w:type="spellEnd"/>
      <w:r>
        <w:t xml:space="preserve"> is a single s</w:t>
      </w:r>
      <w:r w:rsidR="00977A0E">
        <w:t>et of accounting standards that</w:t>
      </w:r>
      <w:r w:rsidR="008C70B9">
        <w:t xml:space="preserve"> is</w:t>
      </w:r>
      <w:r>
        <w:t xml:space="preserve"> developed and updated by the International Accounting Standards Board (</w:t>
      </w:r>
      <w:proofErr w:type="spellStart"/>
      <w:r>
        <w:t>IASB</w:t>
      </w:r>
      <w:proofErr w:type="spellEnd"/>
      <w:r>
        <w:t xml:space="preserve">). </w:t>
      </w:r>
      <w:r w:rsidR="0099607E">
        <w:t xml:space="preserve">Most relevantly, </w:t>
      </w:r>
      <w:proofErr w:type="spellStart"/>
      <w:r w:rsidR="00D314CA">
        <w:t>IFRS</w:t>
      </w:r>
      <w:proofErr w:type="spellEnd"/>
      <w:r w:rsidR="00D314CA">
        <w:t> </w:t>
      </w:r>
      <w:r w:rsidR="00977A0E">
        <w:t xml:space="preserve">10 </w:t>
      </w:r>
      <w:r w:rsidR="00977A0E">
        <w:rPr>
          <w:i/>
        </w:rPr>
        <w:t>Consolidated Financial Statements</w:t>
      </w:r>
      <w:r w:rsidR="00977A0E">
        <w:t xml:space="preserve"> establishes principles for the presentation and preparation of consolidated financial statements when an entity control</w:t>
      </w:r>
      <w:r w:rsidR="00ED0AD6">
        <w:t>s</w:t>
      </w:r>
      <w:r w:rsidR="00977A0E">
        <w:t xml:space="preserve"> one or more other entities. </w:t>
      </w:r>
      <w:proofErr w:type="spellStart"/>
      <w:r w:rsidR="008C70B9">
        <w:t>IFRS</w:t>
      </w:r>
      <w:proofErr w:type="spellEnd"/>
      <w:r w:rsidR="008C70B9">
        <w:t xml:space="preserve"> are freely available from the website of the </w:t>
      </w:r>
      <w:proofErr w:type="spellStart"/>
      <w:r w:rsidR="008C70B9">
        <w:t>IFRS</w:t>
      </w:r>
      <w:proofErr w:type="spellEnd"/>
      <w:r w:rsidR="008C70B9">
        <w:t xml:space="preserve"> Foundation and </w:t>
      </w:r>
      <w:proofErr w:type="spellStart"/>
      <w:r w:rsidR="008C70B9">
        <w:t>IASB</w:t>
      </w:r>
      <w:proofErr w:type="spellEnd"/>
      <w:r w:rsidR="008C70B9">
        <w:t xml:space="preserve">, which in </w:t>
      </w:r>
      <w:r w:rsidR="00D314CA">
        <w:t>October </w:t>
      </w:r>
      <w:r w:rsidR="00977A0E">
        <w:t>2015 was</w:t>
      </w:r>
      <w:r w:rsidR="008C70B9">
        <w:t xml:space="preserve"> available at </w:t>
      </w:r>
      <w:r w:rsidR="0009757F" w:rsidRPr="0009757F">
        <w:t>http://www.ifrs.org/Pages/default.aspx</w:t>
      </w:r>
      <w:r w:rsidR="004812C1" w:rsidRPr="004812C1">
        <w:t>.</w:t>
      </w:r>
    </w:p>
    <w:p w14:paraId="28E597EC" w14:textId="79048A07" w:rsidR="00977A0E" w:rsidRPr="0011307C" w:rsidRDefault="00B3560C" w:rsidP="001E2B78">
      <w:pPr>
        <w:pStyle w:val="Bullet"/>
        <w:numPr>
          <w:ilvl w:val="0"/>
          <w:numId w:val="0"/>
        </w:numPr>
        <w:spacing w:before="120"/>
      </w:pPr>
      <w:r>
        <w:t>Where</w:t>
      </w:r>
      <w:r w:rsidR="00977A0E">
        <w:t xml:space="preserve"> an entity prepares </w:t>
      </w:r>
      <w:r w:rsidR="007D71D4">
        <w:t xml:space="preserve">consolidated </w:t>
      </w:r>
      <w:r w:rsidR="00744F1A">
        <w:t xml:space="preserve">financial statements that are not in accordance with the </w:t>
      </w:r>
      <w:proofErr w:type="spellStart"/>
      <w:r w:rsidR="00744F1A">
        <w:t>IFRS</w:t>
      </w:r>
      <w:proofErr w:type="spellEnd"/>
      <w:r w:rsidR="00744F1A">
        <w:t xml:space="preserve">, the value of the assets of the entity is the value set out in any other financial statements </w:t>
      </w:r>
      <w:r>
        <w:t>or</w:t>
      </w:r>
      <w:r w:rsidR="009C12F9">
        <w:t xml:space="preserve"> other</w:t>
      </w:r>
      <w:r>
        <w:t xml:space="preserve"> document</w:t>
      </w:r>
      <w:r w:rsidR="009C12F9">
        <w:t xml:space="preserve"> (referred to in the Regulation as the ‘reconciliation document’)</w:t>
      </w:r>
      <w:r w:rsidR="00744F1A">
        <w:t xml:space="preserve"> for the purpose of reconciling the </w:t>
      </w:r>
      <w:r>
        <w:t xml:space="preserve">value of the assets in the </w:t>
      </w:r>
      <w:r w:rsidR="00744F1A">
        <w:t>consolidat</w:t>
      </w:r>
      <w:r w:rsidR="00C14431">
        <w:t xml:space="preserve">ed financial statements </w:t>
      </w:r>
      <w:r w:rsidR="00744F1A">
        <w:t xml:space="preserve">with the </w:t>
      </w:r>
      <w:r>
        <w:t>value produced using</w:t>
      </w:r>
      <w:r w:rsidR="00744F1A">
        <w:t xml:space="preserve"> the </w:t>
      </w:r>
      <w:r>
        <w:t xml:space="preserve">method in the </w:t>
      </w:r>
      <w:proofErr w:type="spellStart"/>
      <w:r w:rsidR="00744F1A">
        <w:t>IFRS</w:t>
      </w:r>
      <w:proofErr w:type="spellEnd"/>
      <w:r w:rsidR="00744F1A">
        <w:t xml:space="preserve">. </w:t>
      </w:r>
    </w:p>
    <w:p w14:paraId="27F68F3D" w14:textId="41585CF1" w:rsidR="00FA31E4" w:rsidRPr="00B2272E" w:rsidRDefault="00FA31E4" w:rsidP="001E2B78">
      <w:pPr>
        <w:pStyle w:val="Bullet"/>
        <w:numPr>
          <w:ilvl w:val="0"/>
          <w:numId w:val="0"/>
        </w:numPr>
        <w:spacing w:before="120"/>
      </w:pPr>
      <w:r>
        <w:t>These methods ap</w:t>
      </w:r>
      <w:r w:rsidRPr="00B2272E">
        <w:t xml:space="preserve">ply to the calculations of value in </w:t>
      </w:r>
      <w:r w:rsidR="000A6B7E" w:rsidRPr="00B2272E">
        <w:t xml:space="preserve">paragraph (b) of column 1 of table item 1 of </w:t>
      </w:r>
      <w:r w:rsidRPr="00B2272E">
        <w:t>subsection</w:t>
      </w:r>
      <w:r w:rsidR="004812C1" w:rsidRPr="00B2272E">
        <w:t> </w:t>
      </w:r>
      <w:r w:rsidR="008845CD" w:rsidRPr="00B2272E">
        <w:t>13</w:t>
      </w:r>
      <w:r w:rsidRPr="00B2272E">
        <w:t>(6) and in subsections</w:t>
      </w:r>
      <w:r w:rsidR="004812C1" w:rsidRPr="00B2272E">
        <w:t> </w:t>
      </w:r>
      <w:r w:rsidR="008845CD" w:rsidRPr="00B2272E">
        <w:t>20</w:t>
      </w:r>
      <w:r w:rsidRPr="00B2272E">
        <w:t>(3) and (4).</w:t>
      </w:r>
    </w:p>
    <w:p w14:paraId="622FB7BC" w14:textId="4F9D0D3A" w:rsidR="00C32DC1" w:rsidRPr="00B2272E" w:rsidRDefault="00301EFF" w:rsidP="001E2B78">
      <w:pPr>
        <w:pStyle w:val="Bullet"/>
        <w:keepNext/>
        <w:numPr>
          <w:ilvl w:val="0"/>
          <w:numId w:val="0"/>
        </w:numPr>
        <w:spacing w:before="120"/>
        <w:rPr>
          <w:b/>
        </w:rPr>
      </w:pPr>
      <w:r w:rsidRPr="00B2272E">
        <w:rPr>
          <w:b/>
        </w:rPr>
        <w:t>Section </w:t>
      </w:r>
      <w:r w:rsidR="008845CD" w:rsidRPr="00B2272E">
        <w:rPr>
          <w:b/>
        </w:rPr>
        <w:t>25</w:t>
      </w:r>
      <w:r w:rsidR="009B5390" w:rsidRPr="00B2272E">
        <w:rPr>
          <w:b/>
        </w:rPr>
        <w:t> </w:t>
      </w:r>
      <w:r w:rsidR="009B5390" w:rsidRPr="00B2272E">
        <w:rPr>
          <w:rFonts w:ascii="Calibri" w:hAnsi="Calibri"/>
          <w:b/>
        </w:rPr>
        <w:t>—</w:t>
      </w:r>
      <w:r w:rsidR="009B5390" w:rsidRPr="00B2272E">
        <w:rPr>
          <w:b/>
        </w:rPr>
        <w:t> </w:t>
      </w:r>
      <w:r w:rsidR="00C32DC1" w:rsidRPr="00B2272E">
        <w:rPr>
          <w:b/>
        </w:rPr>
        <w:t>Foreign currencies</w:t>
      </w:r>
    </w:p>
    <w:p w14:paraId="13C071F5" w14:textId="18F9A1FB" w:rsidR="002203A0" w:rsidRPr="00B2272E" w:rsidRDefault="00F06F57" w:rsidP="001E2B78">
      <w:pPr>
        <w:pStyle w:val="Bullet"/>
        <w:keepNext/>
        <w:numPr>
          <w:ilvl w:val="0"/>
          <w:numId w:val="0"/>
        </w:numPr>
        <w:spacing w:before="120"/>
      </w:pPr>
      <w:r w:rsidRPr="00B2272E">
        <w:t>A number of provisions in the Act require the determination</w:t>
      </w:r>
      <w:r w:rsidR="00A66307" w:rsidRPr="00B2272E">
        <w:t xml:space="preserve"> of a value of a thing. </w:t>
      </w:r>
      <w:r w:rsidR="00F904E7" w:rsidRPr="00B2272E">
        <w:t>Section</w:t>
      </w:r>
      <w:r w:rsidR="009710E1" w:rsidRPr="00B2272E">
        <w:t> </w:t>
      </w:r>
      <w:r w:rsidR="00F904E7" w:rsidRPr="00B2272E">
        <w:t>27 of the Act authorises regulations to be made</w:t>
      </w:r>
      <w:r w:rsidR="002203A0" w:rsidRPr="00B2272E">
        <w:t xml:space="preserve"> in relation to valuing the assets of an entity, trust or business and </w:t>
      </w:r>
      <w:r w:rsidR="004812C1" w:rsidRPr="00B2272E">
        <w:t>paragraph </w:t>
      </w:r>
      <w:r w:rsidR="002203A0" w:rsidRPr="00B2272E">
        <w:t>139(1)(b) of the Act authorises regulations necessary or convenient for carrying out or giving effect to the Act.</w:t>
      </w:r>
      <w:r w:rsidR="00F904E7" w:rsidRPr="00B2272E">
        <w:t xml:space="preserve"> </w:t>
      </w:r>
    </w:p>
    <w:p w14:paraId="4805A777" w14:textId="2058DB79" w:rsidR="00F06F57" w:rsidRPr="00B2272E" w:rsidRDefault="00A66307" w:rsidP="001E2B78">
      <w:pPr>
        <w:pStyle w:val="Bullet"/>
        <w:numPr>
          <w:ilvl w:val="0"/>
          <w:numId w:val="0"/>
        </w:numPr>
        <w:spacing w:before="120"/>
      </w:pPr>
      <w:r w:rsidRPr="00B2272E">
        <w:t>Section </w:t>
      </w:r>
      <w:r w:rsidR="008845CD" w:rsidRPr="00B2272E">
        <w:t>25</w:t>
      </w:r>
      <w:r w:rsidR="009E18C9" w:rsidRPr="00B2272E">
        <w:t xml:space="preserve"> </w:t>
      </w:r>
      <w:r w:rsidR="00F06F57" w:rsidRPr="00B2272E">
        <w:t xml:space="preserve">of the Regulation explains how that value is to be assessed if </w:t>
      </w:r>
      <w:r w:rsidR="007D71D4" w:rsidRPr="00B2272E">
        <w:t xml:space="preserve">the value has been expressed in an </w:t>
      </w:r>
      <w:r w:rsidR="00F06F57" w:rsidRPr="00B2272E">
        <w:t>agreement or other document only in a currency that is not Australian dollar</w:t>
      </w:r>
      <w:r w:rsidR="004812C1" w:rsidRPr="00B2272E">
        <w:t>s</w:t>
      </w:r>
      <w:r w:rsidR="00F06F57" w:rsidRPr="00B2272E">
        <w:t>.</w:t>
      </w:r>
      <w:r w:rsidR="007D71D4" w:rsidRPr="00B2272E">
        <w:t xml:space="preserve"> It also explains how to determine the value of a thing if a notice is given for the purposes of the Act in relation to an acquisition of an interest or an issue of securities in an entity and there is no agreement relati</w:t>
      </w:r>
      <w:r w:rsidR="00C975BE" w:rsidRPr="00B2272E">
        <w:t>ng to the acquisition or issue</w:t>
      </w:r>
      <w:r w:rsidR="007D71D4" w:rsidRPr="00B2272E">
        <w:t>.</w:t>
      </w:r>
    </w:p>
    <w:p w14:paraId="62761E59" w14:textId="2B5D0A4A" w:rsidR="00257BBA" w:rsidRDefault="00502EA5" w:rsidP="001E2B78">
      <w:pPr>
        <w:pStyle w:val="Bullet"/>
        <w:numPr>
          <w:ilvl w:val="0"/>
          <w:numId w:val="0"/>
        </w:numPr>
        <w:spacing w:before="120"/>
      </w:pPr>
      <w:r w:rsidRPr="00B2272E">
        <w:t>The effect of section </w:t>
      </w:r>
      <w:r w:rsidR="008845CD" w:rsidRPr="00B2272E">
        <w:t>25</w:t>
      </w:r>
      <w:r w:rsidR="009E18C9" w:rsidRPr="00B2272E">
        <w:t xml:space="preserve"> </w:t>
      </w:r>
      <w:r w:rsidR="003A518C" w:rsidRPr="00B2272E">
        <w:t>of the Regulation is that t</w:t>
      </w:r>
      <w:r w:rsidR="007D71D4" w:rsidRPr="00B2272E">
        <w:t xml:space="preserve">he value will </w:t>
      </w:r>
      <w:r w:rsidR="00F06F57" w:rsidRPr="00B2272E">
        <w:t>be worked out using the daily exchange rate for that currency p</w:t>
      </w:r>
      <w:r w:rsidR="00F06F57">
        <w:t>ublished by the Reserve Bank</w:t>
      </w:r>
      <w:r w:rsidR="00257BBA">
        <w:t xml:space="preserve"> of Australia</w:t>
      </w:r>
      <w:r w:rsidR="006971F8">
        <w:t xml:space="preserve"> (RBA)</w:t>
      </w:r>
      <w:r w:rsidR="007D71D4">
        <w:t xml:space="preserve"> if the RBA publishes a daily exchange rate for that currency</w:t>
      </w:r>
      <w:r w:rsidR="00257BBA">
        <w:t xml:space="preserve">. </w:t>
      </w:r>
      <w:r w:rsidR="00EC5393">
        <w:t>When calculating the value expressed in an agreement or other document, t</w:t>
      </w:r>
      <w:r w:rsidR="00257BBA">
        <w:t xml:space="preserve">he daily exchange rate that will be applied is the rate for the day the agreement was entered into or the document was made. </w:t>
      </w:r>
      <w:r w:rsidR="00EC5393">
        <w:t>Where a notice is given for the purposes of the Act in relation to an acquisition of an interest or an issue of securities in an entity and there is no agreement relating to the acquisition or issue, the daily exchange rate t</w:t>
      </w:r>
      <w:r w:rsidR="00C14431">
        <w:t>hat applied on any of the seven</w:t>
      </w:r>
      <w:r w:rsidR="00EC5393">
        <w:t xml:space="preserve"> days before the notice is given may be used. I</w:t>
      </w:r>
      <w:r w:rsidR="00257BBA">
        <w:t>f no exchange rate was published or made publicly available on the day the agreement was entered into, the exchange rate</w:t>
      </w:r>
      <w:r w:rsidR="00422E92">
        <w:t xml:space="preserve"> used would be that</w:t>
      </w:r>
      <w:r w:rsidR="00257BBA">
        <w:t xml:space="preserve"> for the day most recently publ</w:t>
      </w:r>
      <w:r w:rsidR="00A66307">
        <w:t>ished or made publicly available</w:t>
      </w:r>
      <w:r w:rsidR="00257BBA">
        <w:t xml:space="preserve">. </w:t>
      </w:r>
    </w:p>
    <w:p w14:paraId="2B60713B" w14:textId="1C592746" w:rsidR="009E18C9" w:rsidRPr="003D14CB" w:rsidRDefault="006D25FD" w:rsidP="001E2B78">
      <w:pPr>
        <w:pStyle w:val="Bullet"/>
        <w:numPr>
          <w:ilvl w:val="0"/>
          <w:numId w:val="0"/>
        </w:numPr>
        <w:spacing w:before="120"/>
      </w:pPr>
      <w:r>
        <w:t>I</w:t>
      </w:r>
      <w:r w:rsidR="006971F8">
        <w:t>f the RBA</w:t>
      </w:r>
      <w:r w:rsidR="00F97B61">
        <w:t xml:space="preserve"> does not publish a daily exchange rate for the currency </w:t>
      </w:r>
      <w:r w:rsidR="00F377C3">
        <w:t xml:space="preserve">in question </w:t>
      </w:r>
      <w:r w:rsidR="00F97B61">
        <w:t xml:space="preserve">the value is to be worked out using any publicly </w:t>
      </w:r>
      <w:r w:rsidR="000A6B7E">
        <w:t xml:space="preserve">or commercially </w:t>
      </w:r>
      <w:r w:rsidR="00F97B61">
        <w:t>availab</w:t>
      </w:r>
      <w:r w:rsidR="00ED20DD">
        <w:t xml:space="preserve">le exchange rate that is reasonable </w:t>
      </w:r>
      <w:r w:rsidR="00F97B61">
        <w:t xml:space="preserve">to use. </w:t>
      </w:r>
      <w:r w:rsidR="000A6B7E" w:rsidRPr="000F48F2">
        <w:t xml:space="preserve">An </w:t>
      </w:r>
      <w:r w:rsidR="00ED20DD" w:rsidRPr="000F48F2">
        <w:t>example</w:t>
      </w:r>
      <w:r w:rsidR="000A6B7E" w:rsidRPr="000F48F2">
        <w:t xml:space="preserve"> of a commercially available exchange rate</w:t>
      </w:r>
      <w:r w:rsidR="000F48F2" w:rsidRPr="000F48F2">
        <w:t xml:space="preserve"> that is reasonable to use</w:t>
      </w:r>
      <w:r w:rsidR="000A6B7E" w:rsidRPr="000F48F2">
        <w:t xml:space="preserve"> would also include </w:t>
      </w:r>
      <w:r w:rsidR="000F48F2" w:rsidRPr="000F48F2">
        <w:t xml:space="preserve">a </w:t>
      </w:r>
      <w:r w:rsidR="000A6B7E" w:rsidRPr="000F48F2">
        <w:t>wholesale exchange rat</w:t>
      </w:r>
      <w:r w:rsidR="000F48F2" w:rsidRPr="000F48F2">
        <w:t>e</w:t>
      </w:r>
      <w:r w:rsidR="000A6B7E" w:rsidRPr="000F48F2">
        <w:t xml:space="preserve"> (as opposed to retail exchange rates) that would be commercially available to </w:t>
      </w:r>
      <w:r w:rsidR="000F48F2" w:rsidRPr="000F48F2">
        <w:t>the</w:t>
      </w:r>
      <w:r w:rsidR="000A6B7E" w:rsidRPr="000F48F2">
        <w:t xml:space="preserve"> party </w:t>
      </w:r>
      <w:r w:rsidR="000F48F2" w:rsidRPr="000F48F2">
        <w:t>if making a large value currency exchange when dealing with a provider at arm’s length.</w:t>
      </w:r>
    </w:p>
    <w:p w14:paraId="0654C225" w14:textId="6234FDD6" w:rsidR="0076710B" w:rsidRPr="00182C2D" w:rsidRDefault="00301EFF" w:rsidP="001B1A41">
      <w:pPr>
        <w:pStyle w:val="Heading2"/>
      </w:pPr>
      <w:r w:rsidRPr="00182C2D">
        <w:t>Part</w:t>
      </w:r>
      <w:r>
        <w:t> </w:t>
      </w:r>
      <w:r w:rsidR="009B5390" w:rsidRPr="00182C2D">
        <w:t>3</w:t>
      </w:r>
      <w:r w:rsidR="009B5390">
        <w:t> </w:t>
      </w:r>
      <w:r w:rsidR="009B5390" w:rsidRPr="00182C2D">
        <w:rPr>
          <w:rFonts w:ascii="Calibri" w:hAnsi="Calibri"/>
        </w:rPr>
        <w:t>—</w:t>
      </w:r>
      <w:r w:rsidR="009B5390">
        <w:t> </w:t>
      </w:r>
      <w:r w:rsidR="0076710B" w:rsidRPr="00182C2D">
        <w:t>Exemptions</w:t>
      </w:r>
    </w:p>
    <w:p w14:paraId="37189B34" w14:textId="7475D770" w:rsidR="0076710B" w:rsidRPr="00B17C53" w:rsidRDefault="00301EFF" w:rsidP="00AA57F8">
      <w:pPr>
        <w:rPr>
          <w:b/>
        </w:rPr>
      </w:pPr>
      <w:r w:rsidRPr="00E32E15">
        <w:rPr>
          <w:b/>
        </w:rPr>
        <w:t>Div</w:t>
      </w:r>
      <w:r w:rsidRPr="00B17C53">
        <w:rPr>
          <w:b/>
        </w:rPr>
        <w:t>ision </w:t>
      </w:r>
      <w:r w:rsidR="0076710B" w:rsidRPr="00B17C53">
        <w:rPr>
          <w:b/>
        </w:rPr>
        <w:t>1</w:t>
      </w:r>
      <w:r w:rsidR="009B5390" w:rsidRPr="00B17C53">
        <w:rPr>
          <w:b/>
        </w:rPr>
        <w:t> </w:t>
      </w:r>
      <w:r w:rsidR="009B5390" w:rsidRPr="00B17C53">
        <w:rPr>
          <w:rFonts w:ascii="Calibri" w:hAnsi="Calibri"/>
          <w:b/>
        </w:rPr>
        <w:t>—</w:t>
      </w:r>
      <w:r w:rsidR="009B5390" w:rsidRPr="00B17C53">
        <w:rPr>
          <w:b/>
        </w:rPr>
        <w:t> </w:t>
      </w:r>
      <w:r w:rsidR="00366047" w:rsidRPr="00B17C53">
        <w:rPr>
          <w:b/>
        </w:rPr>
        <w:t>Simplified outline</w:t>
      </w:r>
      <w:r w:rsidR="0076710B" w:rsidRPr="00B17C53">
        <w:rPr>
          <w:b/>
        </w:rPr>
        <w:t xml:space="preserve"> of this Part</w:t>
      </w:r>
    </w:p>
    <w:p w14:paraId="286AF4FB" w14:textId="17E187EC" w:rsidR="0076710B" w:rsidRPr="00B17C53" w:rsidRDefault="00301EFF" w:rsidP="00AA57F8">
      <w:pPr>
        <w:rPr>
          <w:b/>
        </w:rPr>
      </w:pPr>
      <w:r w:rsidRPr="00B17C53">
        <w:rPr>
          <w:b/>
        </w:rPr>
        <w:t>Section </w:t>
      </w:r>
      <w:r w:rsidR="008845CD" w:rsidRPr="00B17C53">
        <w:rPr>
          <w:b/>
        </w:rPr>
        <w:t>26</w:t>
      </w:r>
      <w:r w:rsidR="009B5390" w:rsidRPr="00B17C53">
        <w:rPr>
          <w:b/>
        </w:rPr>
        <w:t> </w:t>
      </w:r>
      <w:r w:rsidR="009B5390" w:rsidRPr="00B17C53">
        <w:rPr>
          <w:rFonts w:ascii="Calibri" w:hAnsi="Calibri"/>
          <w:b/>
        </w:rPr>
        <w:t>—</w:t>
      </w:r>
      <w:r w:rsidR="009B5390" w:rsidRPr="00B17C53">
        <w:rPr>
          <w:b/>
        </w:rPr>
        <w:t> </w:t>
      </w:r>
      <w:r w:rsidR="00366047" w:rsidRPr="00B17C53">
        <w:rPr>
          <w:b/>
        </w:rPr>
        <w:t>Simplified outline</w:t>
      </w:r>
      <w:r w:rsidR="0076710B" w:rsidRPr="00B17C53">
        <w:rPr>
          <w:b/>
        </w:rPr>
        <w:t xml:space="preserve"> of this Part</w:t>
      </w:r>
    </w:p>
    <w:p w14:paraId="654B98EE" w14:textId="46DD068D" w:rsidR="00ED4266" w:rsidRPr="00B17C53" w:rsidRDefault="009E18C9" w:rsidP="00AA57F8">
      <w:r w:rsidRPr="00B17C53">
        <w:t>Section </w:t>
      </w:r>
      <w:r w:rsidR="008845CD" w:rsidRPr="00B17C53">
        <w:t xml:space="preserve">26 </w:t>
      </w:r>
      <w:r w:rsidR="00137FF0" w:rsidRPr="00B17C53">
        <w:t>of the Regulation contains a simplified outline of Part</w:t>
      </w:r>
      <w:r w:rsidRPr="00B17C53">
        <w:t> </w:t>
      </w:r>
      <w:r w:rsidR="00137FF0" w:rsidRPr="00B17C53">
        <w:t>3 of the Regulation</w:t>
      </w:r>
      <w:r w:rsidRPr="00B17C53">
        <w:t>. Part 3</w:t>
      </w:r>
      <w:r w:rsidR="00793754" w:rsidRPr="00B17C53">
        <w:t xml:space="preserve"> is made for sections </w:t>
      </w:r>
      <w:r w:rsidR="00C52AE1" w:rsidRPr="00B17C53">
        <w:t>37</w:t>
      </w:r>
      <w:r w:rsidR="00E45EE2" w:rsidRPr="00B17C53">
        <w:t xml:space="preserve"> </w:t>
      </w:r>
      <w:r w:rsidR="00ED4266" w:rsidRPr="00B17C53">
        <w:t xml:space="preserve">and 63 </w:t>
      </w:r>
      <w:r w:rsidR="00E45EE2" w:rsidRPr="00B17C53">
        <w:t>of the</w:t>
      </w:r>
      <w:r w:rsidR="000F52A3" w:rsidRPr="00B17C53">
        <w:t xml:space="preserve"> Act</w:t>
      </w:r>
      <w:r w:rsidR="00E45EE2" w:rsidRPr="00B17C53">
        <w:rPr>
          <w:i/>
        </w:rPr>
        <w:t>.</w:t>
      </w:r>
      <w:r w:rsidR="00E45EE2" w:rsidRPr="00B17C53">
        <w:t xml:space="preserve"> </w:t>
      </w:r>
    </w:p>
    <w:p w14:paraId="539CFE28" w14:textId="5ABCADAB" w:rsidR="003348FA" w:rsidRDefault="00793754" w:rsidP="00AA57F8">
      <w:r w:rsidRPr="00B17C53">
        <w:t>Section </w:t>
      </w:r>
      <w:r w:rsidR="00ED4266" w:rsidRPr="00B17C53">
        <w:t>37</w:t>
      </w:r>
      <w:r w:rsidR="00E45EE2" w:rsidRPr="00B17C53">
        <w:t xml:space="preserve"> of the </w:t>
      </w:r>
      <w:r w:rsidR="00ED4266" w:rsidRPr="00B17C53">
        <w:t>Act</w:t>
      </w:r>
      <w:r w:rsidR="00E45EE2" w:rsidRPr="00B17C53">
        <w:t xml:space="preserve"> provides that th</w:t>
      </w:r>
      <w:r w:rsidR="00E45EE2">
        <w:t>e regulations may provide that the Act, or specified provisions of the Act, do not apply in relation to any one or more</w:t>
      </w:r>
      <w:r w:rsidR="003348FA">
        <w:t>:</w:t>
      </w:r>
    </w:p>
    <w:p w14:paraId="3E52FFE5" w14:textId="1F5F36CE" w:rsidR="003348FA" w:rsidRPr="003348FA" w:rsidRDefault="003348FA" w:rsidP="00FC44BA">
      <w:pPr>
        <w:pStyle w:val="Bullet"/>
        <w:spacing w:before="120"/>
        <w:rPr>
          <w:i/>
        </w:rPr>
      </w:pPr>
      <w:r>
        <w:t>acquisitions of the kind or in the circumstances prescribed by the regulations</w:t>
      </w:r>
      <w:r w:rsidR="00056AAD">
        <w:t>;</w:t>
      </w:r>
    </w:p>
    <w:p w14:paraId="0563514C" w14:textId="3FAA2F4D" w:rsidR="003348FA" w:rsidRPr="003348FA" w:rsidRDefault="003348FA" w:rsidP="00FC44BA">
      <w:pPr>
        <w:pStyle w:val="Bullet"/>
        <w:spacing w:before="120"/>
        <w:rPr>
          <w:i/>
        </w:rPr>
      </w:pPr>
      <w:r>
        <w:t>interests of the kind or in the circumstances prescribed by the regulations</w:t>
      </w:r>
      <w:r w:rsidR="00AB3C0F">
        <w:t>;</w:t>
      </w:r>
    </w:p>
    <w:p w14:paraId="0221DBC1" w14:textId="418A5480" w:rsidR="003348FA" w:rsidRPr="003348FA" w:rsidRDefault="003348FA" w:rsidP="00FC44BA">
      <w:pPr>
        <w:pStyle w:val="Bullet"/>
        <w:spacing w:before="120"/>
        <w:rPr>
          <w:i/>
        </w:rPr>
      </w:pPr>
      <w:r>
        <w:t>Australian businesses of the kind or in the circumstances prescribed by the regulations</w:t>
      </w:r>
      <w:r w:rsidR="00AB3C0F">
        <w:t>;</w:t>
      </w:r>
    </w:p>
    <w:p w14:paraId="4AC36029" w14:textId="77777777" w:rsidR="003348FA" w:rsidRPr="00C52AE1" w:rsidRDefault="003348FA" w:rsidP="00FC44BA">
      <w:pPr>
        <w:pStyle w:val="Bullet"/>
        <w:spacing w:before="120"/>
        <w:rPr>
          <w:i/>
        </w:rPr>
      </w:pPr>
      <w:r>
        <w:t>foreign persons in a class or in the circumstances prescribed by the regulations.</w:t>
      </w:r>
    </w:p>
    <w:p w14:paraId="29EDEBE0" w14:textId="79A07136" w:rsidR="00AE006B" w:rsidRPr="00B17C53" w:rsidRDefault="00793754" w:rsidP="00FC44BA">
      <w:pPr>
        <w:pStyle w:val="Bullet"/>
        <w:numPr>
          <w:ilvl w:val="0"/>
          <w:numId w:val="0"/>
        </w:numPr>
        <w:spacing w:before="120"/>
      </w:pPr>
      <w:r>
        <w:t>Sec</w:t>
      </w:r>
      <w:r w:rsidRPr="00B17C53">
        <w:t>tion </w:t>
      </w:r>
      <w:r w:rsidR="00ED4266" w:rsidRPr="00B17C53">
        <w:t xml:space="preserve">63 of the Act provides that </w:t>
      </w:r>
      <w:r w:rsidR="004A1A23" w:rsidRPr="00B17C53">
        <w:t>regulations may be made for and in relation to additional kinds of exemption certificates given by the Treasurer.</w:t>
      </w:r>
    </w:p>
    <w:p w14:paraId="3599E968" w14:textId="7C0D38C7" w:rsidR="003348FA" w:rsidRPr="00B17C53" w:rsidRDefault="00301EFF" w:rsidP="00FC44BA">
      <w:pPr>
        <w:pStyle w:val="Bullet"/>
        <w:numPr>
          <w:ilvl w:val="0"/>
          <w:numId w:val="0"/>
        </w:numPr>
        <w:spacing w:before="120"/>
        <w:rPr>
          <w:b/>
        </w:rPr>
      </w:pPr>
      <w:r w:rsidRPr="00B17C53">
        <w:rPr>
          <w:b/>
        </w:rPr>
        <w:t>Division </w:t>
      </w:r>
      <w:r w:rsidR="009B5390" w:rsidRPr="00B17C53">
        <w:rPr>
          <w:b/>
        </w:rPr>
        <w:t>2 </w:t>
      </w:r>
      <w:r w:rsidR="009B5390" w:rsidRPr="00B17C53">
        <w:rPr>
          <w:rFonts w:ascii="Calibri" w:hAnsi="Calibri"/>
          <w:b/>
        </w:rPr>
        <w:t>—</w:t>
      </w:r>
      <w:r w:rsidR="009B5390" w:rsidRPr="00B17C53">
        <w:rPr>
          <w:b/>
        </w:rPr>
        <w:t> </w:t>
      </w:r>
      <w:r w:rsidR="003348FA" w:rsidRPr="00B17C53">
        <w:rPr>
          <w:b/>
        </w:rPr>
        <w:t>Exemptions applying for all purposes</w:t>
      </w:r>
    </w:p>
    <w:p w14:paraId="0CB5BE94" w14:textId="1ADFCC1F" w:rsidR="003348FA" w:rsidRPr="00B17C53" w:rsidRDefault="00301EFF" w:rsidP="00FC44BA">
      <w:pPr>
        <w:pStyle w:val="Bullet"/>
        <w:keepNext/>
        <w:numPr>
          <w:ilvl w:val="0"/>
          <w:numId w:val="0"/>
        </w:numPr>
        <w:spacing w:before="120"/>
        <w:rPr>
          <w:b/>
        </w:rPr>
      </w:pPr>
      <w:r w:rsidRPr="00B17C53">
        <w:rPr>
          <w:b/>
        </w:rPr>
        <w:t>Section </w:t>
      </w:r>
      <w:r w:rsidR="009B5390" w:rsidRPr="00B17C53">
        <w:rPr>
          <w:b/>
        </w:rPr>
        <w:t>27 </w:t>
      </w:r>
      <w:r w:rsidR="009B5390" w:rsidRPr="00B17C53">
        <w:rPr>
          <w:rFonts w:ascii="Calibri" w:hAnsi="Calibri"/>
          <w:b/>
        </w:rPr>
        <w:t>—</w:t>
      </w:r>
      <w:r w:rsidR="009B5390" w:rsidRPr="00B17C53">
        <w:rPr>
          <w:b/>
        </w:rPr>
        <w:t> </w:t>
      </w:r>
      <w:r w:rsidR="003348FA" w:rsidRPr="00B17C53">
        <w:rPr>
          <w:b/>
        </w:rPr>
        <w:t>Moneylending agreements</w:t>
      </w:r>
    </w:p>
    <w:p w14:paraId="72E12D5C" w14:textId="77777777" w:rsidR="00AD044B" w:rsidRDefault="006A0450" w:rsidP="00FB06E3">
      <w:r w:rsidRPr="00B17C53">
        <w:t xml:space="preserve">The exemption </w:t>
      </w:r>
      <w:r w:rsidR="001B1A41" w:rsidRPr="00B17C53">
        <w:t xml:space="preserve">in </w:t>
      </w:r>
      <w:r w:rsidRPr="00B17C53">
        <w:t>section </w:t>
      </w:r>
      <w:r w:rsidR="008845CD" w:rsidRPr="00B17C53">
        <w:t xml:space="preserve">27 </w:t>
      </w:r>
      <w:r w:rsidRPr="00B17C53">
        <w:t>of the Regulation applies to any interest in securities, assets, a trust, Australian land or a tenement that is held solely by way of security for the purposes of a moneylending agreement or acquired by way of enforcement of a security held solely for the purposes of a moneylending agreement</w:t>
      </w:r>
      <w:r w:rsidR="007A1D39" w:rsidRPr="00B17C53">
        <w:t xml:space="preserve"> (see below for </w:t>
      </w:r>
      <w:r w:rsidR="001F2BD1">
        <w:t>specific</w:t>
      </w:r>
      <w:r w:rsidR="001F2BD1" w:rsidRPr="00B17C53">
        <w:t xml:space="preserve"> </w:t>
      </w:r>
      <w:r w:rsidR="007A1D39" w:rsidRPr="00B17C53">
        <w:t xml:space="preserve">rules that apply in relation to interests relating to residential land and interests acquired </w:t>
      </w:r>
      <w:r w:rsidR="00A03B6C">
        <w:t xml:space="preserve">by way of enforcement of a security </w:t>
      </w:r>
      <w:r w:rsidR="007A1D39" w:rsidRPr="00B17C53">
        <w:t>by foreign government investors)</w:t>
      </w:r>
      <w:r w:rsidRPr="00B17C53">
        <w:t>.</w:t>
      </w:r>
    </w:p>
    <w:p w14:paraId="3EB9C47C" w14:textId="32B69660" w:rsidR="006A0450" w:rsidRDefault="006A0450" w:rsidP="00AD044B">
      <w:pPr>
        <w:keepNext/>
        <w:pageBreakBefore/>
      </w:pPr>
      <w:r w:rsidRPr="00B17C53">
        <w:t>Section 5 of the Regulation defines ‘moneylending agreement’ to mean an agreement entered</w:t>
      </w:r>
      <w:r>
        <w:t xml:space="preserve"> in good faith, on ordinary commercial terms and in the ordinary course of carrying on a business </w:t>
      </w:r>
      <w:r w:rsidR="007A1D39">
        <w:t xml:space="preserve">(a moneylending business) </w:t>
      </w:r>
      <w:r>
        <w:t xml:space="preserve">of lending money or otherwise providing financial accommodation, except an agreement dealing with any matter unrelated to the carrying on of that business. In addition, the entity that holds or acquires the interest must be: </w:t>
      </w:r>
    </w:p>
    <w:p w14:paraId="77B3A488" w14:textId="70CECF45" w:rsidR="006A0450" w:rsidRDefault="006A0450" w:rsidP="00FC44BA">
      <w:pPr>
        <w:pStyle w:val="Bullet"/>
        <w:spacing w:before="120"/>
      </w:pPr>
      <w:r>
        <w:t xml:space="preserve">the entity (lender) that </w:t>
      </w:r>
      <w:r w:rsidR="007A1D39">
        <w:t xml:space="preserve">entered </w:t>
      </w:r>
      <w:r>
        <w:t>the moneylending agreement;</w:t>
      </w:r>
    </w:p>
    <w:p w14:paraId="41BBED4B" w14:textId="7A972774" w:rsidR="006A0450" w:rsidRDefault="006A0450" w:rsidP="00FC44BA">
      <w:pPr>
        <w:pStyle w:val="Bullet"/>
        <w:spacing w:before="120"/>
      </w:pPr>
      <w:r>
        <w:t>a subsidiary or holding entity of the lender;</w:t>
      </w:r>
    </w:p>
    <w:p w14:paraId="618B21B2" w14:textId="7B458C37" w:rsidR="006A0450" w:rsidRDefault="006A0450" w:rsidP="00FC44BA">
      <w:pPr>
        <w:pStyle w:val="Bullet"/>
        <w:spacing w:before="120"/>
      </w:pPr>
      <w:r>
        <w:t xml:space="preserve">a person who is </w:t>
      </w:r>
      <w:r w:rsidR="007A1D39">
        <w:t xml:space="preserve">(alone or with others) </w:t>
      </w:r>
      <w:r>
        <w:t>in a position to determine the investments or policy of the lender;</w:t>
      </w:r>
    </w:p>
    <w:p w14:paraId="3198A67F" w14:textId="48F26FBE" w:rsidR="006A0450" w:rsidRDefault="007A1D39" w:rsidP="00FC44BA">
      <w:pPr>
        <w:pStyle w:val="Bullet"/>
        <w:spacing w:before="120"/>
      </w:pPr>
      <w:r>
        <w:t xml:space="preserve">a </w:t>
      </w:r>
      <w:r w:rsidR="006A0450">
        <w:t xml:space="preserve">security trustee (that is, an entity that holds various security interests created on trust for banks and other lenders) </w:t>
      </w:r>
      <w:r w:rsidR="00366047">
        <w:t xml:space="preserve">who holds or acquires the interest </w:t>
      </w:r>
      <w:r w:rsidR="006A0450">
        <w:t>on behalf of the lender; or</w:t>
      </w:r>
    </w:p>
    <w:p w14:paraId="0DBEED74" w14:textId="46559DCE" w:rsidR="00676C2B" w:rsidRDefault="006A0450" w:rsidP="00676C2B">
      <w:pPr>
        <w:pStyle w:val="Bullet"/>
        <w:spacing w:before="120"/>
      </w:pPr>
      <w:r>
        <w:t>a receiver, or a receiver and manager, appointed in relation to one of the above persons.</w:t>
      </w:r>
    </w:p>
    <w:p w14:paraId="0D0DF49D" w14:textId="0A905905" w:rsidR="007A1D39" w:rsidRPr="007A1D39" w:rsidRDefault="007A1D39" w:rsidP="007A1D39">
      <w:pPr>
        <w:pStyle w:val="Bullet"/>
        <w:numPr>
          <w:ilvl w:val="0"/>
          <w:numId w:val="0"/>
        </w:numPr>
        <w:spacing w:before="120"/>
        <w:rPr>
          <w:i/>
        </w:rPr>
      </w:pPr>
      <w:r w:rsidRPr="007A1D39">
        <w:rPr>
          <w:i/>
        </w:rPr>
        <w:t>Interests relating to residential land</w:t>
      </w:r>
    </w:p>
    <w:p w14:paraId="4BE28025" w14:textId="70AF35E1" w:rsidR="00C147FC" w:rsidRDefault="00476B6E" w:rsidP="00FB06E3">
      <w:r>
        <w:t xml:space="preserve">For an interest in residential land </w:t>
      </w:r>
      <w:r w:rsidR="00B64F41">
        <w:t>f</w:t>
      </w:r>
      <w:r w:rsidR="007A1D39">
        <w:t xml:space="preserve">or foreign persons (other than foreign government investors) the </w:t>
      </w:r>
      <w:r w:rsidR="001859BE">
        <w:t>Act does not apply to a</w:t>
      </w:r>
      <w:r w:rsidR="006A0450">
        <w:t xml:space="preserve">n </w:t>
      </w:r>
      <w:r w:rsidR="001859BE">
        <w:t xml:space="preserve">interest </w:t>
      </w:r>
      <w:r w:rsidR="00926511">
        <w:t xml:space="preserve">only </w:t>
      </w:r>
      <w:r w:rsidR="001859BE">
        <w:t>if</w:t>
      </w:r>
      <w:r w:rsidR="00A315D4" w:rsidRPr="00A315D4">
        <w:t xml:space="preserve"> </w:t>
      </w:r>
      <w:r w:rsidR="00A315D4">
        <w:t>the lender or a holding entity of the lender, is</w:t>
      </w:r>
      <w:r w:rsidR="00A315D4" w:rsidRPr="00A315D4">
        <w:t xml:space="preserve"> </w:t>
      </w:r>
      <w:r w:rsidR="00A315D4">
        <w:t>an Authorised Deposit</w:t>
      </w:r>
      <w:r w:rsidR="00A315D4">
        <w:noBreakHyphen/>
        <w:t>taking Institution (</w:t>
      </w:r>
      <w:proofErr w:type="spellStart"/>
      <w:r w:rsidR="00A315D4">
        <w:t>ADI</w:t>
      </w:r>
      <w:proofErr w:type="spellEnd"/>
      <w:r w:rsidR="00A315D4">
        <w:t>) or otherwise licensed (whether or not in Australia) as a financial institution. However, if otherwise licensed as a financial institution, for the entity to benefit from this subsection there must be at least 100 holders of securities in that entity, or the entity must be listed for quotation in the official list of a stock exchange.</w:t>
      </w:r>
    </w:p>
    <w:p w14:paraId="3BD57797" w14:textId="0B60BDF7" w:rsidR="00C147FC" w:rsidRDefault="00C147FC" w:rsidP="00FB06E3">
      <w:r>
        <w:t xml:space="preserve">A sole trader, entity or business otherwise licensed as a financial institution not meeting either </w:t>
      </w:r>
      <w:r w:rsidR="00476B6E">
        <w:t>the</w:t>
      </w:r>
      <w:r w:rsidRPr="00C147FC">
        <w:t xml:space="preserve"> </w:t>
      </w:r>
      <w:r w:rsidRPr="00B64F41">
        <w:t xml:space="preserve">widely </w:t>
      </w:r>
      <w:r w:rsidRPr="00C147FC">
        <w:t xml:space="preserve">held </w:t>
      </w:r>
      <w:r w:rsidR="00476B6E">
        <w:t xml:space="preserve">test </w:t>
      </w:r>
      <w:r w:rsidRPr="00B64F41">
        <w:t xml:space="preserve">or </w:t>
      </w:r>
      <w:r w:rsidR="00476B6E">
        <w:t xml:space="preserve">the </w:t>
      </w:r>
      <w:r w:rsidRPr="00B64F41">
        <w:t>listed test</w:t>
      </w:r>
      <w:r w:rsidRPr="00C147FC">
        <w:t>,</w:t>
      </w:r>
      <w:r>
        <w:t xml:space="preserve"> will be subject to the Act when taking or enforcing a security interest</w:t>
      </w:r>
      <w:r w:rsidR="00476B6E">
        <w:t xml:space="preserve"> in residential land</w:t>
      </w:r>
      <w:r>
        <w:t xml:space="preserve">. In such cases, </w:t>
      </w:r>
      <w:r w:rsidR="00A315D4">
        <w:t xml:space="preserve">both taking and enforcing the security interest </w:t>
      </w:r>
      <w:r w:rsidR="00B64F41">
        <w:t>will be both a significant action and a notifiable action if the threshold test is met</w:t>
      </w:r>
      <w:r w:rsidR="00476B6E">
        <w:t xml:space="preserve"> (for residential land, there is generally not a threshold value)</w:t>
      </w:r>
      <w:r w:rsidR="00B64F41">
        <w:t>.</w:t>
      </w:r>
    </w:p>
    <w:p w14:paraId="0AC5482F" w14:textId="6E87D511" w:rsidR="00C147FC" w:rsidRDefault="00C147FC" w:rsidP="00FB06E3">
      <w:r>
        <w:t xml:space="preserve">This </w:t>
      </w:r>
      <w:r w:rsidR="00B64F41">
        <w:t>subsection</w:t>
      </w:r>
      <w:r>
        <w:t xml:space="preserve"> does not apply to foreign government investors either taking or enforcing security interests in residential land (for foreign government investors, the Act does not apply to the former</w:t>
      </w:r>
      <w:r w:rsidR="00B64F41">
        <w:t>,</w:t>
      </w:r>
      <w:r>
        <w:t xml:space="preserve"> and the Act will only apply to the latter, if the foreign government investor does not meet </w:t>
      </w:r>
      <w:r w:rsidR="00B64F41" w:rsidRPr="00B64F41">
        <w:t>subsection</w:t>
      </w:r>
      <w:r w:rsidR="00B64F41">
        <w:t> 27(3</w:t>
      </w:r>
      <w:r w:rsidR="00B64F41" w:rsidRPr="00B64F41">
        <w:t>)</w:t>
      </w:r>
      <w:r w:rsidR="00476B6E">
        <w:t>)</w:t>
      </w:r>
      <w:r>
        <w:t>.</w:t>
      </w:r>
    </w:p>
    <w:p w14:paraId="136FD58D" w14:textId="70776617" w:rsidR="00B64F41" w:rsidRPr="00B64F41" w:rsidRDefault="00B64F41" w:rsidP="00FC44BA">
      <w:pPr>
        <w:pStyle w:val="Bullet"/>
        <w:numPr>
          <w:ilvl w:val="0"/>
          <w:numId w:val="0"/>
        </w:numPr>
        <w:spacing w:before="120"/>
        <w:rPr>
          <w:i/>
        </w:rPr>
      </w:pPr>
      <w:r w:rsidRPr="00B64F41">
        <w:rPr>
          <w:i/>
        </w:rPr>
        <w:t>Interests acquired by foreign government investors</w:t>
      </w:r>
      <w:r w:rsidR="00086168">
        <w:rPr>
          <w:i/>
        </w:rPr>
        <w:t xml:space="preserve"> (through enforcement of a security interest)</w:t>
      </w:r>
    </w:p>
    <w:p w14:paraId="409331EB" w14:textId="41D4E761" w:rsidR="00C208E5" w:rsidRDefault="00476B6E" w:rsidP="00FC44BA">
      <w:pPr>
        <w:pStyle w:val="Bullet"/>
        <w:numPr>
          <w:ilvl w:val="0"/>
          <w:numId w:val="0"/>
        </w:numPr>
        <w:spacing w:before="120"/>
      </w:pPr>
      <w:r>
        <w:t>For an interest acquired by a foreign government investor by way of enforcement of a security held solely for the purposes of a moneylending agreement</w:t>
      </w:r>
      <w:r w:rsidR="00B64F41">
        <w:t>, t</w:t>
      </w:r>
      <w:r w:rsidR="00C208E5">
        <w:t xml:space="preserve">he Act does not apply to </w:t>
      </w:r>
      <w:r>
        <w:t xml:space="preserve">the </w:t>
      </w:r>
      <w:r w:rsidR="00B64F41">
        <w:t xml:space="preserve">interest </w:t>
      </w:r>
      <w:r>
        <w:t>only</w:t>
      </w:r>
      <w:r w:rsidR="00813021">
        <w:t xml:space="preserve"> </w:t>
      </w:r>
      <w:r w:rsidR="00C208E5">
        <w:t>if:</w:t>
      </w:r>
    </w:p>
    <w:p w14:paraId="195DDE80" w14:textId="1FC90684" w:rsidR="00D6653B" w:rsidRPr="001B4835" w:rsidRDefault="00A315D4" w:rsidP="00F40AEE">
      <w:pPr>
        <w:pStyle w:val="Bullet"/>
        <w:spacing w:before="120"/>
      </w:pPr>
      <w:r>
        <w:t xml:space="preserve">for a foreign government investor that is </w:t>
      </w:r>
      <w:r w:rsidR="00C208E5" w:rsidRPr="004E73A9">
        <w:t xml:space="preserve">an </w:t>
      </w:r>
      <w:proofErr w:type="spellStart"/>
      <w:r w:rsidR="00C208E5" w:rsidRPr="004E73A9">
        <w:t>ADI</w:t>
      </w:r>
      <w:proofErr w:type="spellEnd"/>
      <w:r w:rsidR="00C208E5" w:rsidRPr="004E73A9">
        <w:t xml:space="preserve"> or a subsidiary of an </w:t>
      </w:r>
      <w:proofErr w:type="spellStart"/>
      <w:r w:rsidR="00C208E5" w:rsidRPr="004E73A9">
        <w:t>ADI</w:t>
      </w:r>
      <w:proofErr w:type="spellEnd"/>
      <w:r w:rsidR="00D6653B" w:rsidRPr="001B4835">
        <w:t>:</w:t>
      </w:r>
    </w:p>
    <w:p w14:paraId="749241DE" w14:textId="4384C42E" w:rsidR="004E73A9" w:rsidRPr="001B4835" w:rsidRDefault="00C208E5" w:rsidP="00A42C4A">
      <w:pPr>
        <w:pStyle w:val="Dash"/>
        <w:spacing w:before="120"/>
      </w:pPr>
      <w:r w:rsidRPr="004E73A9">
        <w:t xml:space="preserve">12 months have </w:t>
      </w:r>
      <w:r w:rsidR="00813021">
        <w:t xml:space="preserve">not </w:t>
      </w:r>
      <w:r w:rsidRPr="004E73A9">
        <w:t>passed since the acquisition of the interest</w:t>
      </w:r>
      <w:r w:rsidR="004E73A9" w:rsidRPr="001B4835">
        <w:t>; or</w:t>
      </w:r>
    </w:p>
    <w:p w14:paraId="56CA490E" w14:textId="357B50F5" w:rsidR="00C208E5" w:rsidRPr="004E73A9" w:rsidRDefault="00813021" w:rsidP="00A42C4A">
      <w:pPr>
        <w:pStyle w:val="Dash"/>
        <w:spacing w:before="120"/>
      </w:pPr>
      <w:r>
        <w:t xml:space="preserve">at least 12 months have passed since the acquisition of the interest and </w:t>
      </w:r>
      <w:r w:rsidR="00C208E5" w:rsidRPr="004E73A9">
        <w:t>the foreign government investor is making a genuine attempt to dispose of the interest</w:t>
      </w:r>
      <w:r w:rsidR="00A315D4">
        <w:t>;</w:t>
      </w:r>
    </w:p>
    <w:p w14:paraId="5C2C5660" w14:textId="56DD9108" w:rsidR="00813021" w:rsidRDefault="00A315D4" w:rsidP="00F40AEE">
      <w:pPr>
        <w:pStyle w:val="Bullet"/>
        <w:spacing w:before="120"/>
      </w:pPr>
      <w:r>
        <w:t xml:space="preserve">otherwise (that is, for a foreign government investor that is not </w:t>
      </w:r>
      <w:r w:rsidR="00C208E5">
        <w:t xml:space="preserve">an </w:t>
      </w:r>
      <w:proofErr w:type="spellStart"/>
      <w:r w:rsidR="00C208E5">
        <w:t>ADI</w:t>
      </w:r>
      <w:proofErr w:type="spellEnd"/>
      <w:r w:rsidR="00C208E5">
        <w:t xml:space="preserve"> or a subsidiary of an </w:t>
      </w:r>
      <w:proofErr w:type="spellStart"/>
      <w:r w:rsidR="00C208E5">
        <w:t>ADI</w:t>
      </w:r>
      <w:proofErr w:type="spellEnd"/>
      <w:r>
        <w:t>)</w:t>
      </w:r>
      <w:r w:rsidR="00813021">
        <w:t>:</w:t>
      </w:r>
    </w:p>
    <w:p w14:paraId="14581121" w14:textId="76FB84D8" w:rsidR="00813021" w:rsidRDefault="00813021" w:rsidP="00A42C4A">
      <w:pPr>
        <w:pStyle w:val="Dash"/>
        <w:spacing w:before="120"/>
      </w:pPr>
      <w:r>
        <w:t>6 months have not passed since the acquisition of the interest; or</w:t>
      </w:r>
    </w:p>
    <w:p w14:paraId="1195EC8B" w14:textId="2BD1E049" w:rsidR="00813021" w:rsidRDefault="00813021" w:rsidP="00A42C4A">
      <w:pPr>
        <w:pStyle w:val="Dash"/>
        <w:spacing w:before="120"/>
      </w:pPr>
      <w:r>
        <w:t>at least 6 months have passed since the acquisition of the interest and the foreign government investor is making a genuine attempt to dispose of the interest.</w:t>
      </w:r>
    </w:p>
    <w:p w14:paraId="2D961F92" w14:textId="74DFD5C9" w:rsidR="00813021" w:rsidRDefault="00676C2B" w:rsidP="009C4B67">
      <w:pPr>
        <w:pStyle w:val="Bullet"/>
        <w:numPr>
          <w:ilvl w:val="0"/>
          <w:numId w:val="0"/>
        </w:numPr>
        <w:spacing w:before="120"/>
      </w:pPr>
      <w:r>
        <w:t>Whether a genuine attempt to dispose of the interest is being made will depend on the circumstances and facts of the situation. However, e</w:t>
      </w:r>
      <w:r w:rsidRPr="00676C2B">
        <w:t>xamples of the kinds of actions that may constitute a genuine attempt to dispose of an interest include deciding on the method of disposal, and complying with any requirements of a law that apply before the interest can be disposed of.</w:t>
      </w:r>
    </w:p>
    <w:p w14:paraId="55BB5D5B" w14:textId="0D0CE209" w:rsidR="00676C2B" w:rsidRPr="00676C2B" w:rsidRDefault="00676C2B" w:rsidP="009C4B67">
      <w:pPr>
        <w:pStyle w:val="Bullet"/>
        <w:numPr>
          <w:ilvl w:val="0"/>
          <w:numId w:val="0"/>
        </w:numPr>
        <w:spacing w:before="120"/>
        <w:rPr>
          <w:i/>
        </w:rPr>
      </w:pPr>
      <w:r w:rsidRPr="00676C2B">
        <w:rPr>
          <w:i/>
        </w:rPr>
        <w:t>The effect of section 27</w:t>
      </w:r>
    </w:p>
    <w:p w14:paraId="060D2D31" w14:textId="5C188E23" w:rsidR="002450D4" w:rsidRDefault="00074B73" w:rsidP="009C4B67">
      <w:pPr>
        <w:pStyle w:val="Bullet"/>
        <w:numPr>
          <w:ilvl w:val="0"/>
          <w:numId w:val="0"/>
        </w:numPr>
        <w:spacing w:before="120"/>
      </w:pPr>
      <w:r>
        <w:t>As t</w:t>
      </w:r>
      <w:r w:rsidR="002450D4">
        <w:t>he</w:t>
      </w:r>
      <w:r w:rsidR="00ED2E9F">
        <w:t xml:space="preserve"> note to section </w:t>
      </w:r>
      <w:r w:rsidR="00676C2B">
        <w:t xml:space="preserve">27 </w:t>
      </w:r>
      <w:r w:rsidR="00BE2F55">
        <w:t>states</w:t>
      </w:r>
      <w:r>
        <w:t xml:space="preserve">, </w:t>
      </w:r>
      <w:r w:rsidR="00ED2E9F">
        <w:t xml:space="preserve">the </w:t>
      </w:r>
      <w:r w:rsidR="00A95A61">
        <w:t>effect of section </w:t>
      </w:r>
      <w:r w:rsidR="00FC44BA">
        <w:t>2</w:t>
      </w:r>
      <w:r w:rsidR="00676C2B">
        <w:t>7</w:t>
      </w:r>
      <w:r w:rsidR="00FC44BA">
        <w:t xml:space="preserve"> </w:t>
      </w:r>
      <w:r w:rsidR="002450D4">
        <w:t xml:space="preserve">of the Regulation is that </w:t>
      </w:r>
      <w:r w:rsidR="00C208E5">
        <w:t>acquisition</w:t>
      </w:r>
      <w:r w:rsidR="00F904E7">
        <w:t>s</w:t>
      </w:r>
      <w:r w:rsidR="002450D4">
        <w:t xml:space="preserve"> of</w:t>
      </w:r>
      <w:r w:rsidR="00C208E5">
        <w:t xml:space="preserve"> interest</w:t>
      </w:r>
      <w:r w:rsidR="00F904E7">
        <w:t>s</w:t>
      </w:r>
      <w:r w:rsidR="00C208E5">
        <w:t xml:space="preserve"> mentioned in this provision</w:t>
      </w:r>
      <w:r w:rsidR="002450D4">
        <w:t xml:space="preserve"> are not significant actions or notifiable actions. </w:t>
      </w:r>
      <w:r w:rsidR="00ED2E9F">
        <w:t xml:space="preserve">Such actions are also to be disregarded for other purposes under the Act, including for the purpose of determining whether a person holds a substantial interest in an entity or is </w:t>
      </w:r>
      <w:r w:rsidR="002A2C84">
        <w:t>a subsidiary of another entity.</w:t>
      </w:r>
    </w:p>
    <w:p w14:paraId="7D59B365" w14:textId="1C4BE41C" w:rsidR="002255D4" w:rsidRPr="003F0ACA" w:rsidRDefault="00301EFF" w:rsidP="009C4B67">
      <w:pPr>
        <w:pStyle w:val="Bullet"/>
        <w:keepNext/>
        <w:numPr>
          <w:ilvl w:val="0"/>
          <w:numId w:val="0"/>
        </w:numPr>
        <w:spacing w:before="120"/>
        <w:rPr>
          <w:b/>
          <w:u w:val="single"/>
        </w:rPr>
      </w:pPr>
      <w:r w:rsidRPr="00BC3748">
        <w:rPr>
          <w:b/>
        </w:rPr>
        <w:t>Division </w:t>
      </w:r>
      <w:r w:rsidR="009B5390" w:rsidRPr="00BC3748">
        <w:rPr>
          <w:b/>
        </w:rPr>
        <w:t>3</w:t>
      </w:r>
      <w:r w:rsidR="009B5390">
        <w:rPr>
          <w:b/>
        </w:rPr>
        <w:t> </w:t>
      </w:r>
      <w:r w:rsidR="009B5390" w:rsidRPr="00BC3748">
        <w:rPr>
          <w:rFonts w:ascii="Calibri" w:hAnsi="Calibri"/>
          <w:b/>
        </w:rPr>
        <w:t>—</w:t>
      </w:r>
      <w:r w:rsidR="009B5390">
        <w:rPr>
          <w:b/>
        </w:rPr>
        <w:t> </w:t>
      </w:r>
      <w:r w:rsidR="002255D4" w:rsidRPr="00BC3748">
        <w:rPr>
          <w:b/>
        </w:rPr>
        <w:t>Exemptions for certain actions</w:t>
      </w:r>
      <w:r w:rsidR="00137FF0">
        <w:rPr>
          <w:b/>
        </w:rPr>
        <w:t xml:space="preserve"> from being significant and notifiable actions</w:t>
      </w:r>
    </w:p>
    <w:p w14:paraId="72755578" w14:textId="4FB2B30E" w:rsidR="002255D4" w:rsidRPr="003F0ACA" w:rsidRDefault="00BC3748" w:rsidP="009C4B67">
      <w:pPr>
        <w:pStyle w:val="Bullet"/>
        <w:keepNext/>
        <w:numPr>
          <w:ilvl w:val="0"/>
          <w:numId w:val="0"/>
        </w:numPr>
        <w:spacing w:before="120"/>
        <w:rPr>
          <w:b/>
        </w:rPr>
      </w:pPr>
      <w:r w:rsidRPr="003F0ACA">
        <w:rPr>
          <w:b/>
        </w:rPr>
        <w:t>Subdivision</w:t>
      </w:r>
      <w:r>
        <w:rPr>
          <w:b/>
        </w:rPr>
        <w:t> </w:t>
      </w:r>
      <w:r w:rsidR="000F52A3" w:rsidRPr="003F0ACA">
        <w:rPr>
          <w:b/>
        </w:rPr>
        <w:t>A</w:t>
      </w:r>
      <w:r w:rsidR="009B5390" w:rsidRPr="007B10E9">
        <w:rPr>
          <w:b/>
        </w:rPr>
        <w:t> </w:t>
      </w:r>
      <w:r w:rsidR="009B5390" w:rsidRPr="003F0ACA">
        <w:rPr>
          <w:rFonts w:ascii="Calibri" w:hAnsi="Calibri"/>
          <w:b/>
        </w:rPr>
        <w:t>—</w:t>
      </w:r>
      <w:r w:rsidR="009B5390" w:rsidRPr="007B10E9">
        <w:rPr>
          <w:b/>
        </w:rPr>
        <w:t> </w:t>
      </w:r>
      <w:r w:rsidR="000741A8">
        <w:rPr>
          <w:b/>
        </w:rPr>
        <w:t>Application</w:t>
      </w:r>
      <w:r w:rsidR="002255D4" w:rsidRPr="003F0ACA">
        <w:rPr>
          <w:b/>
        </w:rPr>
        <w:t xml:space="preserve"> of this Division</w:t>
      </w:r>
    </w:p>
    <w:p w14:paraId="4007A131" w14:textId="705E093F" w:rsidR="00597851" w:rsidRPr="00B17C53" w:rsidRDefault="00BC3748" w:rsidP="009C4B67">
      <w:pPr>
        <w:pStyle w:val="Bullet"/>
        <w:keepNext/>
        <w:numPr>
          <w:ilvl w:val="0"/>
          <w:numId w:val="0"/>
        </w:numPr>
        <w:spacing w:before="120"/>
        <w:rPr>
          <w:b/>
        </w:rPr>
      </w:pPr>
      <w:r w:rsidRPr="00E81137">
        <w:rPr>
          <w:b/>
        </w:rPr>
        <w:t>Sec</w:t>
      </w:r>
      <w:r w:rsidRPr="00B17C53">
        <w:rPr>
          <w:b/>
        </w:rPr>
        <w:t>tion </w:t>
      </w:r>
      <w:r w:rsidR="009B5390" w:rsidRPr="00B17C53">
        <w:rPr>
          <w:b/>
        </w:rPr>
        <w:t>28 </w:t>
      </w:r>
      <w:r w:rsidR="009B5390" w:rsidRPr="00B17C53">
        <w:rPr>
          <w:rFonts w:ascii="Calibri" w:hAnsi="Calibri"/>
          <w:b/>
        </w:rPr>
        <w:t>—</w:t>
      </w:r>
      <w:r w:rsidR="009B5390" w:rsidRPr="00B17C53">
        <w:rPr>
          <w:b/>
        </w:rPr>
        <w:t> </w:t>
      </w:r>
      <w:r w:rsidR="000741A8" w:rsidRPr="00B17C53">
        <w:rPr>
          <w:b/>
        </w:rPr>
        <w:t>Application</w:t>
      </w:r>
      <w:r w:rsidR="00597851" w:rsidRPr="00B17C53">
        <w:rPr>
          <w:b/>
        </w:rPr>
        <w:t xml:space="preserve"> of </w:t>
      </w:r>
      <w:r w:rsidR="000741A8" w:rsidRPr="00B17C53">
        <w:rPr>
          <w:b/>
        </w:rPr>
        <w:t xml:space="preserve">this </w:t>
      </w:r>
      <w:r w:rsidR="00597851" w:rsidRPr="00B17C53">
        <w:rPr>
          <w:b/>
        </w:rPr>
        <w:t>Division</w:t>
      </w:r>
    </w:p>
    <w:p w14:paraId="5CAD05FA" w14:textId="0326FB4C" w:rsidR="00320431" w:rsidRPr="00B17C53" w:rsidRDefault="00320431" w:rsidP="009C4B67">
      <w:pPr>
        <w:pStyle w:val="Bullet"/>
        <w:widowControl w:val="0"/>
        <w:numPr>
          <w:ilvl w:val="0"/>
          <w:numId w:val="0"/>
        </w:numPr>
        <w:spacing w:before="120"/>
      </w:pPr>
      <w:r w:rsidRPr="00B17C53">
        <w:t xml:space="preserve">This section provides that the Division sets out the </w:t>
      </w:r>
      <w:r w:rsidR="000F52A3" w:rsidRPr="00B17C53">
        <w:t>kinds of actions to which Parts </w:t>
      </w:r>
      <w:r w:rsidRPr="00B17C53">
        <w:t xml:space="preserve">2, 3 or 4 of the Act, and any other provision of the Act to the extent that it relates to those parts, do not apply. </w:t>
      </w:r>
      <w:r w:rsidR="007E55BD" w:rsidRPr="00B17C53">
        <w:t>The provisions of the Act that do not apply in relation to the kinds of action set out in the Division are referred to in the Regul</w:t>
      </w:r>
      <w:r w:rsidR="00AF2FDB" w:rsidRPr="00B17C53">
        <w:t xml:space="preserve">ation as the </w:t>
      </w:r>
      <w:r w:rsidR="0099607E" w:rsidRPr="00B17C53">
        <w:t>‘</w:t>
      </w:r>
      <w:r w:rsidR="00AF2FDB" w:rsidRPr="00B17C53">
        <w:t>excluded provisions</w:t>
      </w:r>
      <w:r w:rsidR="0099607E" w:rsidRPr="00B17C53">
        <w:t>’</w:t>
      </w:r>
      <w:r w:rsidR="007E55BD" w:rsidRPr="00B17C53">
        <w:t>.</w:t>
      </w:r>
    </w:p>
    <w:p w14:paraId="008BFB9C" w14:textId="5C834AF2" w:rsidR="00320431" w:rsidRPr="00B17C53" w:rsidRDefault="00BC3748" w:rsidP="009C4B67">
      <w:pPr>
        <w:pStyle w:val="Bullet"/>
        <w:keepNext/>
        <w:numPr>
          <w:ilvl w:val="0"/>
          <w:numId w:val="0"/>
        </w:numPr>
        <w:spacing w:before="120"/>
        <w:rPr>
          <w:b/>
        </w:rPr>
      </w:pPr>
      <w:r w:rsidRPr="00B17C53">
        <w:rPr>
          <w:b/>
        </w:rPr>
        <w:t>Subdivision </w:t>
      </w:r>
      <w:r w:rsidR="009B5390" w:rsidRPr="00B17C53">
        <w:rPr>
          <w:b/>
        </w:rPr>
        <w:t>B </w:t>
      </w:r>
      <w:r w:rsidR="009B5390" w:rsidRPr="00B17C53">
        <w:rPr>
          <w:rFonts w:ascii="Calibri" w:hAnsi="Calibri"/>
          <w:b/>
        </w:rPr>
        <w:t>— </w:t>
      </w:r>
      <w:r w:rsidR="00320431" w:rsidRPr="00B17C53">
        <w:rPr>
          <w:b/>
        </w:rPr>
        <w:t>General exemptions</w:t>
      </w:r>
    </w:p>
    <w:p w14:paraId="477ADCDD" w14:textId="07B90C1B" w:rsidR="00DD38AF" w:rsidRPr="00B17C53" w:rsidRDefault="00BC3748" w:rsidP="009C4B67">
      <w:pPr>
        <w:pStyle w:val="Bullet"/>
        <w:keepNext/>
        <w:numPr>
          <w:ilvl w:val="0"/>
          <w:numId w:val="0"/>
        </w:numPr>
        <w:spacing w:before="120"/>
        <w:rPr>
          <w:b/>
        </w:rPr>
      </w:pPr>
      <w:r w:rsidRPr="00B17C53">
        <w:rPr>
          <w:b/>
        </w:rPr>
        <w:t>Section </w:t>
      </w:r>
      <w:r w:rsidR="009B5390" w:rsidRPr="00B17C53">
        <w:rPr>
          <w:b/>
        </w:rPr>
        <w:t>29 </w:t>
      </w:r>
      <w:r w:rsidR="009B5390" w:rsidRPr="00B17C53">
        <w:rPr>
          <w:rFonts w:ascii="Calibri" w:hAnsi="Calibri"/>
          <w:b/>
        </w:rPr>
        <w:t>—</w:t>
      </w:r>
      <w:r w:rsidR="009B5390" w:rsidRPr="00B17C53">
        <w:rPr>
          <w:b/>
        </w:rPr>
        <w:t> </w:t>
      </w:r>
      <w:r w:rsidR="00244281" w:rsidRPr="00B17C53">
        <w:rPr>
          <w:b/>
        </w:rPr>
        <w:t xml:space="preserve">Will </w:t>
      </w:r>
      <w:r w:rsidR="00387C39" w:rsidRPr="00B17C53">
        <w:rPr>
          <w:b/>
        </w:rPr>
        <w:t>or devolution</w:t>
      </w:r>
    </w:p>
    <w:p w14:paraId="498F3826" w14:textId="7D78F255" w:rsidR="00244281" w:rsidRDefault="00E32E15" w:rsidP="009C4B67">
      <w:pPr>
        <w:pStyle w:val="Bullet"/>
        <w:widowControl w:val="0"/>
        <w:numPr>
          <w:ilvl w:val="0"/>
          <w:numId w:val="0"/>
        </w:numPr>
        <w:spacing w:before="120"/>
      </w:pPr>
      <w:r w:rsidRPr="00B17C53">
        <w:t>S</w:t>
      </w:r>
      <w:r w:rsidR="00387C39" w:rsidRPr="00B17C53">
        <w:t>ect</w:t>
      </w:r>
      <w:r w:rsidR="00401262" w:rsidRPr="00B17C53">
        <w:t>ion</w:t>
      </w:r>
      <w:r w:rsidRPr="00B17C53">
        <w:t> </w:t>
      </w:r>
      <w:r w:rsidR="008845CD" w:rsidRPr="00B17C53">
        <w:t xml:space="preserve">29 </w:t>
      </w:r>
      <w:r w:rsidRPr="00B17C53">
        <w:t>of the Regulation</w:t>
      </w:r>
      <w:r w:rsidR="00401262" w:rsidRPr="00B17C53">
        <w:t xml:space="preserve"> provides that the excluded</w:t>
      </w:r>
      <w:r w:rsidR="00387C39" w:rsidRPr="00B17C53">
        <w:t xml:space="preserve"> provisions do not apply in relation to an acqui</w:t>
      </w:r>
      <w:r w:rsidR="00387C39">
        <w:t xml:space="preserve">sition of an interest in </w:t>
      </w:r>
      <w:r w:rsidR="0004610F">
        <w:t xml:space="preserve">securities, </w:t>
      </w:r>
      <w:r w:rsidR="00387C39">
        <w:t>asset</w:t>
      </w:r>
      <w:r w:rsidR="0004610F">
        <w:t>s</w:t>
      </w:r>
      <w:r w:rsidR="00387C39">
        <w:t xml:space="preserve">, </w:t>
      </w:r>
      <w:r w:rsidR="0004610F">
        <w:t xml:space="preserve">a </w:t>
      </w:r>
      <w:r w:rsidR="00387C39">
        <w:t>trust or Australian land that is acquired by will</w:t>
      </w:r>
      <w:r w:rsidR="00244281">
        <w:t xml:space="preserve"> </w:t>
      </w:r>
      <w:r w:rsidR="00502D03">
        <w:t xml:space="preserve">or devolution by operation </w:t>
      </w:r>
      <w:r w:rsidR="002A2C84">
        <w:t xml:space="preserve">of </w:t>
      </w:r>
      <w:r w:rsidR="00502D03">
        <w:t>law (for example, by operation of a constructive trust)</w:t>
      </w:r>
      <w:r w:rsidR="00244281">
        <w:t>.</w:t>
      </w:r>
      <w:r w:rsidR="00DD38AF">
        <w:t xml:space="preserve"> </w:t>
      </w:r>
      <w:r w:rsidR="001E7979">
        <w:t>The exemption d</w:t>
      </w:r>
      <w:r w:rsidR="004F26E1">
        <w:t>oes not apply to an arrangement</w:t>
      </w:r>
      <w:r w:rsidR="001859BE">
        <w:t xml:space="preserve"> under Part </w:t>
      </w:r>
      <w:r w:rsidR="001E7979">
        <w:t xml:space="preserve">5.1 </w:t>
      </w:r>
      <w:r w:rsidR="00607946" w:rsidRPr="00607946">
        <w:t>—Arrangements and reconstructions</w:t>
      </w:r>
      <w:r w:rsidR="002D1C61">
        <w:t>,</w:t>
      </w:r>
      <w:r w:rsidR="00607946" w:rsidRPr="00607946">
        <w:t xml:space="preserve"> </w:t>
      </w:r>
      <w:r w:rsidR="001E7979">
        <w:t xml:space="preserve">or </w:t>
      </w:r>
      <w:r w:rsidR="002D1C61">
        <w:t>Part </w:t>
      </w:r>
      <w:r w:rsidR="001E7979">
        <w:t xml:space="preserve">5.3A </w:t>
      </w:r>
      <w:r w:rsidR="002D1C61" w:rsidRPr="002D1C61">
        <w:t>—Administration of a company’s affairs with a view to executing a deed of company arrangement</w:t>
      </w:r>
      <w:r w:rsidR="002D1C61">
        <w:t>,</w:t>
      </w:r>
      <w:r w:rsidR="00607946">
        <w:t xml:space="preserve"> </w:t>
      </w:r>
      <w:r w:rsidR="001E7979">
        <w:t xml:space="preserve">of the Corporations Act. </w:t>
      </w:r>
    </w:p>
    <w:p w14:paraId="3BD113FE" w14:textId="38DC005D" w:rsidR="0095675C" w:rsidRPr="00B17C53" w:rsidRDefault="00BC3748" w:rsidP="009C4B67">
      <w:pPr>
        <w:pStyle w:val="Bullet"/>
        <w:keepNext/>
        <w:numPr>
          <w:ilvl w:val="0"/>
          <w:numId w:val="0"/>
        </w:numPr>
        <w:spacing w:before="120"/>
        <w:rPr>
          <w:b/>
        </w:rPr>
      </w:pPr>
      <w:r w:rsidRPr="00E81137">
        <w:rPr>
          <w:b/>
        </w:rPr>
        <w:t>Secti</w:t>
      </w:r>
      <w:r w:rsidRPr="00B17C53">
        <w:rPr>
          <w:b/>
        </w:rPr>
        <w:t>on </w:t>
      </w:r>
      <w:r w:rsidR="009B5390" w:rsidRPr="00B17C53">
        <w:rPr>
          <w:b/>
        </w:rPr>
        <w:t>30 </w:t>
      </w:r>
      <w:r w:rsidR="009B5390" w:rsidRPr="00B17C53">
        <w:rPr>
          <w:rFonts w:ascii="Calibri" w:hAnsi="Calibri"/>
          <w:b/>
        </w:rPr>
        <w:t>—</w:t>
      </w:r>
      <w:r w:rsidR="009B5390" w:rsidRPr="00B17C53">
        <w:rPr>
          <w:b/>
        </w:rPr>
        <w:t> </w:t>
      </w:r>
      <w:r w:rsidR="0095675C" w:rsidRPr="00B17C53">
        <w:rPr>
          <w:b/>
        </w:rPr>
        <w:t>Certain interests held by foreign custodian companies</w:t>
      </w:r>
    </w:p>
    <w:p w14:paraId="40B116C6" w14:textId="2E6299A6" w:rsidR="00627336" w:rsidRDefault="00787F30" w:rsidP="009C4B67">
      <w:pPr>
        <w:pStyle w:val="Bullet"/>
        <w:keepNext/>
        <w:numPr>
          <w:ilvl w:val="0"/>
          <w:numId w:val="0"/>
        </w:numPr>
        <w:spacing w:before="120"/>
      </w:pPr>
      <w:r w:rsidRPr="00B17C53">
        <w:t>Section </w:t>
      </w:r>
      <w:r w:rsidR="008845CD" w:rsidRPr="00B17C53">
        <w:t xml:space="preserve">30 </w:t>
      </w:r>
      <w:r w:rsidR="00793754" w:rsidRPr="00B17C53">
        <w:t xml:space="preserve">of the Regulation </w:t>
      </w:r>
      <w:r w:rsidR="00550820" w:rsidRPr="00B17C53">
        <w:t xml:space="preserve">provides that </w:t>
      </w:r>
      <w:r w:rsidR="00502D03" w:rsidRPr="00B17C53">
        <w:t>the excluded</w:t>
      </w:r>
      <w:r w:rsidR="004B2B31" w:rsidRPr="00B17C53">
        <w:t xml:space="preserve"> provisions do not apply in relation to an acquisit</w:t>
      </w:r>
      <w:r w:rsidR="004B2B31">
        <w:t xml:space="preserve">ion of an interest in </w:t>
      </w:r>
      <w:r w:rsidR="00EC4368">
        <w:t>securit</w:t>
      </w:r>
      <w:r w:rsidR="009B6FE8">
        <w:t>i</w:t>
      </w:r>
      <w:r w:rsidR="00EC4368">
        <w:t>es</w:t>
      </w:r>
      <w:r w:rsidR="004B2B31">
        <w:t xml:space="preserve">, </w:t>
      </w:r>
      <w:r w:rsidR="00473C6D">
        <w:t xml:space="preserve">assets, a trust, </w:t>
      </w:r>
      <w:r w:rsidR="004B2B31">
        <w:t>Australian land</w:t>
      </w:r>
      <w:r w:rsidR="00EC4368" w:rsidRPr="00EC4368">
        <w:t xml:space="preserve"> </w:t>
      </w:r>
      <w:r w:rsidR="00EC4368">
        <w:t>or a tenement</w:t>
      </w:r>
      <w:r w:rsidR="004B2B31">
        <w:t xml:space="preserve"> by a foreign person </w:t>
      </w:r>
      <w:r w:rsidR="009147E8">
        <w:t>in the circumstances specified by the provision.</w:t>
      </w:r>
    </w:p>
    <w:p w14:paraId="12C3D7C3" w14:textId="77777777" w:rsidR="00AD044B" w:rsidRDefault="00627336" w:rsidP="00AD044B">
      <w:pPr>
        <w:pStyle w:val="Bullet"/>
        <w:keepNext/>
        <w:pageBreakBefore/>
        <w:numPr>
          <w:ilvl w:val="0"/>
          <w:numId w:val="0"/>
        </w:numPr>
        <w:spacing w:before="120"/>
        <w:rPr>
          <w:szCs w:val="24"/>
        </w:rPr>
      </w:pPr>
      <w:r w:rsidRPr="00627336">
        <w:t>Custodians provide a range of servi</w:t>
      </w:r>
      <w:r w:rsidR="005B0E7F">
        <w:t>ces for their clients, who</w:t>
      </w:r>
      <w:r w:rsidRPr="00627336">
        <w:t xml:space="preserve"> are generally institutional investors, money managers and broker/dealers. These services </w:t>
      </w:r>
      <w:r w:rsidR="00793754">
        <w:t xml:space="preserve">typically </w:t>
      </w:r>
      <w:r w:rsidRPr="00627336">
        <w:t xml:space="preserve">include: settlement of trade and safekeeping of financial assets on behalf of the client; collection of income arising from portfolios; application of entitlements to reduce rates of withholding tax at source and reclaiming tax withheld; and notification and dealing with </w:t>
      </w:r>
      <w:r w:rsidRPr="00627336">
        <w:rPr>
          <w:szCs w:val="24"/>
        </w:rPr>
        <w:t xml:space="preserve">corporate action. </w:t>
      </w:r>
    </w:p>
    <w:p w14:paraId="007B9C6B" w14:textId="7E39182C" w:rsidR="002F6C5A" w:rsidRDefault="00627336" w:rsidP="009C4B67">
      <w:pPr>
        <w:pStyle w:val="Bullet"/>
        <w:numPr>
          <w:ilvl w:val="0"/>
          <w:numId w:val="0"/>
        </w:numPr>
        <w:spacing w:before="120"/>
        <w:rPr>
          <w:rFonts w:ascii="Helvetica Neue" w:hAnsi="Helvetica Neue"/>
          <w:szCs w:val="24"/>
        </w:rPr>
      </w:pPr>
      <w:r w:rsidRPr="00627336">
        <w:rPr>
          <w:szCs w:val="24"/>
        </w:rPr>
        <w:t>Generally, custodians only exercise voting rights attached to their holdings under direct instruction from their client and do not normally exercise influence independent of their client.</w:t>
      </w:r>
      <w:r w:rsidR="009147E8" w:rsidRPr="00627336">
        <w:rPr>
          <w:szCs w:val="24"/>
        </w:rPr>
        <w:t xml:space="preserve"> </w:t>
      </w:r>
      <w:r w:rsidRPr="00627336">
        <w:rPr>
          <w:szCs w:val="24"/>
        </w:rPr>
        <w:t xml:space="preserve">It would be </w:t>
      </w:r>
      <w:r w:rsidRPr="00627336">
        <w:rPr>
          <w:rFonts w:ascii="Helvetica Neue" w:hAnsi="Helvetica Neue"/>
          <w:szCs w:val="24"/>
        </w:rPr>
        <w:t>inconsistent with the underlying rational of the Act to screen the operations of foreign custodians operating in Australian when they act on behalf of Australian investors.</w:t>
      </w:r>
    </w:p>
    <w:p w14:paraId="6B82AAED" w14:textId="2B9E3EF1" w:rsidR="002F6C5A" w:rsidRPr="00CC478B" w:rsidRDefault="002F6C5A" w:rsidP="00A362AB">
      <w:pPr>
        <w:pStyle w:val="Bullet"/>
        <w:keepNext/>
        <w:numPr>
          <w:ilvl w:val="0"/>
          <w:numId w:val="0"/>
        </w:numPr>
        <w:spacing w:before="120"/>
        <w:rPr>
          <w:b/>
        </w:rPr>
      </w:pPr>
      <w:r w:rsidRPr="00CC478B">
        <w:rPr>
          <w:rFonts w:ascii="Helvetica Neue" w:hAnsi="Helvetica Neue"/>
          <w:b/>
          <w:szCs w:val="24"/>
        </w:rPr>
        <w:t>Section</w:t>
      </w:r>
      <w:r w:rsidR="00BC3748" w:rsidRPr="00CC478B">
        <w:rPr>
          <w:rFonts w:ascii="Helvetica Neue" w:hAnsi="Helvetica Neue" w:hint="eastAsia"/>
          <w:b/>
          <w:szCs w:val="24"/>
        </w:rPr>
        <w:t> </w:t>
      </w:r>
      <w:r w:rsidR="009B5390" w:rsidRPr="00CC478B">
        <w:rPr>
          <w:rFonts w:ascii="Helvetica Neue" w:hAnsi="Helvetica Neue"/>
          <w:b/>
          <w:szCs w:val="24"/>
        </w:rPr>
        <w:t>31</w:t>
      </w:r>
      <w:r w:rsidR="009B5390" w:rsidRPr="00CC478B">
        <w:rPr>
          <w:rFonts w:ascii="Helvetica Neue" w:hAnsi="Helvetica Neue" w:hint="eastAsia"/>
          <w:b/>
          <w:szCs w:val="24"/>
        </w:rPr>
        <w:t> </w:t>
      </w:r>
      <w:r w:rsidR="009B5390" w:rsidRPr="00CC478B">
        <w:rPr>
          <w:rFonts w:ascii="Calibri" w:hAnsi="Calibri"/>
          <w:b/>
          <w:szCs w:val="24"/>
        </w:rPr>
        <w:t>—</w:t>
      </w:r>
      <w:r w:rsidR="009B5390" w:rsidRPr="00CC478B">
        <w:rPr>
          <w:rFonts w:ascii="Helvetica Neue" w:hAnsi="Helvetica Neue" w:hint="eastAsia"/>
          <w:b/>
          <w:szCs w:val="24"/>
        </w:rPr>
        <w:t> </w:t>
      </w:r>
      <w:r w:rsidRPr="00CC478B">
        <w:rPr>
          <w:rFonts w:ascii="Helvetica Neue" w:hAnsi="Helvetica Neue"/>
          <w:b/>
          <w:szCs w:val="24"/>
        </w:rPr>
        <w:t>Australian businesses carried on by or land acquired from government</w:t>
      </w:r>
    </w:p>
    <w:p w14:paraId="1315D7B7" w14:textId="77777777" w:rsidR="00C76479" w:rsidRDefault="003F0ACA" w:rsidP="00A362AB">
      <w:pPr>
        <w:pStyle w:val="Bullet"/>
        <w:widowControl w:val="0"/>
        <w:numPr>
          <w:ilvl w:val="0"/>
          <w:numId w:val="0"/>
        </w:numPr>
        <w:spacing w:before="120"/>
      </w:pPr>
      <w:r w:rsidRPr="00CC478B">
        <w:t>Section </w:t>
      </w:r>
      <w:r w:rsidR="008845CD" w:rsidRPr="00CC478B">
        <w:t xml:space="preserve">31 </w:t>
      </w:r>
      <w:r w:rsidR="00C84B8F" w:rsidRPr="00CC478B">
        <w:t>of the Regulation</w:t>
      </w:r>
      <w:r w:rsidR="003B6926" w:rsidRPr="00CC478B">
        <w:t xml:space="preserve"> provides that the excluded</w:t>
      </w:r>
      <w:r w:rsidR="002F6C5A" w:rsidRPr="00CC478B">
        <w:t xml:space="preserve"> provisions do not apply in relation to an Australian business that is carried on </w:t>
      </w:r>
      <w:r w:rsidR="00DB6E2E">
        <w:t xml:space="preserve">(whether alone or together with one or more other persons) </w:t>
      </w:r>
      <w:r w:rsidR="002F6C5A" w:rsidRPr="00CC478B">
        <w:t>by, or an acquisition of an interest in Australian land from, the Commo</w:t>
      </w:r>
      <w:r w:rsidR="00502D03" w:rsidRPr="00CC478B">
        <w:t>nwealth, a State or a Territory or an entity wholly owned by the Commonwealth, a State, a Territory or a local governing body.</w:t>
      </w:r>
      <w:r w:rsidR="00946041" w:rsidRPr="00CC478B">
        <w:t xml:space="preserve"> </w:t>
      </w:r>
    </w:p>
    <w:p w14:paraId="19BC1043" w14:textId="4801387C" w:rsidR="00DB6E2E" w:rsidRDefault="00DB6E2E" w:rsidP="00A362AB">
      <w:pPr>
        <w:pStyle w:val="Bullet"/>
        <w:widowControl w:val="0"/>
        <w:numPr>
          <w:ilvl w:val="0"/>
          <w:numId w:val="0"/>
        </w:numPr>
        <w:spacing w:before="120"/>
      </w:pPr>
      <w:r>
        <w:t>This section does not apply in relation to an acquisition of an interest by a foreign government investor (that is,</w:t>
      </w:r>
      <w:r w:rsidRPr="00DB6E2E">
        <w:t xml:space="preserve"> this Act applies to </w:t>
      </w:r>
      <w:r w:rsidR="00C76479">
        <w:t xml:space="preserve">any action </w:t>
      </w:r>
      <w:r>
        <w:t>of a foreign government investor to</w:t>
      </w:r>
      <w:r w:rsidR="00C76479">
        <w:t xml:space="preserve"> acquire interests through an Australian government </w:t>
      </w:r>
      <w:r w:rsidRPr="00DB6E2E">
        <w:t>privatisation or asset sale process,</w:t>
      </w:r>
      <w:r w:rsidR="00C76479">
        <w:t xml:space="preserve"> if the action is a significant action under this Act</w:t>
      </w:r>
      <w:r>
        <w:t>).</w:t>
      </w:r>
    </w:p>
    <w:p w14:paraId="7823F8BD" w14:textId="34FFEF38" w:rsidR="00BC3748" w:rsidRPr="00B17C53" w:rsidRDefault="00BC3748" w:rsidP="00BC3748">
      <w:pPr>
        <w:pStyle w:val="Bullet"/>
        <w:keepNext/>
        <w:numPr>
          <w:ilvl w:val="0"/>
          <w:numId w:val="0"/>
        </w:numPr>
        <w:spacing w:before="120"/>
        <w:rPr>
          <w:b/>
        </w:rPr>
      </w:pPr>
      <w:r w:rsidRPr="009C4B67">
        <w:rPr>
          <w:b/>
        </w:rPr>
        <w:t>Subdi</w:t>
      </w:r>
      <w:r w:rsidRPr="00B17C53">
        <w:rPr>
          <w:b/>
        </w:rPr>
        <w:t>vision C</w:t>
      </w:r>
      <w:r w:rsidR="009B5390" w:rsidRPr="00B17C53">
        <w:rPr>
          <w:b/>
        </w:rPr>
        <w:t> </w:t>
      </w:r>
      <w:r w:rsidR="009B5390" w:rsidRPr="00B17C53">
        <w:rPr>
          <w:rFonts w:ascii="Calibri" w:hAnsi="Calibri"/>
          <w:b/>
        </w:rPr>
        <w:t>—</w:t>
      </w:r>
      <w:r w:rsidR="009B5390" w:rsidRPr="00B17C53">
        <w:rPr>
          <w:b/>
        </w:rPr>
        <w:t> </w:t>
      </w:r>
      <w:r w:rsidRPr="00B17C53">
        <w:rPr>
          <w:b/>
        </w:rPr>
        <w:t>Significant and notifiable actions relating to entities</w:t>
      </w:r>
    </w:p>
    <w:p w14:paraId="12588DAE" w14:textId="2EE7EF1E" w:rsidR="00927C4A" w:rsidRPr="00B17C53" w:rsidRDefault="00BC3748" w:rsidP="009C4B67">
      <w:pPr>
        <w:pStyle w:val="Bullet"/>
        <w:keepNext/>
        <w:numPr>
          <w:ilvl w:val="0"/>
          <w:numId w:val="0"/>
        </w:numPr>
        <w:spacing w:before="120"/>
        <w:rPr>
          <w:b/>
        </w:rPr>
      </w:pPr>
      <w:r w:rsidRPr="00B17C53">
        <w:rPr>
          <w:rFonts w:ascii="Helvetica Neue" w:hAnsi="Helvetica Neue"/>
          <w:b/>
          <w:szCs w:val="24"/>
        </w:rPr>
        <w:t>Section</w:t>
      </w:r>
      <w:r w:rsidRPr="00B17C53">
        <w:rPr>
          <w:rFonts w:ascii="Helvetica Neue" w:hAnsi="Helvetica Neue" w:hint="eastAsia"/>
          <w:b/>
          <w:szCs w:val="24"/>
        </w:rPr>
        <w:t> </w:t>
      </w:r>
      <w:r w:rsidR="009B5390" w:rsidRPr="00B17C53">
        <w:rPr>
          <w:rFonts w:ascii="Helvetica Neue" w:hAnsi="Helvetica Neue"/>
          <w:b/>
          <w:szCs w:val="24"/>
        </w:rPr>
        <w:t>32</w:t>
      </w:r>
      <w:r w:rsidR="009B5390" w:rsidRPr="00B17C53">
        <w:rPr>
          <w:rFonts w:ascii="Helvetica Neue" w:hAnsi="Helvetica Neue" w:hint="eastAsia"/>
          <w:b/>
          <w:szCs w:val="24"/>
        </w:rPr>
        <w:t> </w:t>
      </w:r>
      <w:r w:rsidR="009B5390" w:rsidRPr="00B17C53">
        <w:rPr>
          <w:rFonts w:ascii="Calibri" w:hAnsi="Calibri"/>
          <w:b/>
          <w:szCs w:val="24"/>
        </w:rPr>
        <w:t>—</w:t>
      </w:r>
      <w:r w:rsidR="009B5390" w:rsidRPr="00B17C53">
        <w:rPr>
          <w:rFonts w:ascii="Helvetica Neue" w:hAnsi="Helvetica Neue" w:hint="eastAsia"/>
          <w:b/>
          <w:szCs w:val="24"/>
        </w:rPr>
        <w:t> </w:t>
      </w:r>
      <w:r w:rsidR="00927C4A" w:rsidRPr="00B17C53">
        <w:rPr>
          <w:rFonts w:ascii="Helvetica Neue" w:hAnsi="Helvetica Neue"/>
          <w:b/>
          <w:szCs w:val="24"/>
        </w:rPr>
        <w:t>Investments in financial sector companies</w:t>
      </w:r>
    </w:p>
    <w:p w14:paraId="6C1FE15E" w14:textId="6DB86074" w:rsidR="00BA1262" w:rsidRDefault="009C403F" w:rsidP="009C4B67">
      <w:pPr>
        <w:pStyle w:val="Bullet"/>
        <w:widowControl w:val="0"/>
        <w:numPr>
          <w:ilvl w:val="0"/>
          <w:numId w:val="0"/>
        </w:numPr>
        <w:spacing w:before="120"/>
      </w:pPr>
      <w:r w:rsidRPr="00B17C53">
        <w:t>The excluded provision</w:t>
      </w:r>
      <w:r>
        <w:t>s do not apply in relation to an acquisition of an interest in share</w:t>
      </w:r>
      <w:r w:rsidR="00121C0E">
        <w:t>s</w:t>
      </w:r>
      <w:r>
        <w:t xml:space="preserve"> if the </w:t>
      </w:r>
      <w:r w:rsidR="00121C0E">
        <w:t>shares are</w:t>
      </w:r>
      <w:r>
        <w:t xml:space="preserve"> in a financial sector company within the meaning of the </w:t>
      </w:r>
      <w:r w:rsidR="009E18C9" w:rsidRPr="008D25DE">
        <w:rPr>
          <w:i/>
        </w:rPr>
        <w:t>Financial</w:t>
      </w:r>
      <w:r w:rsidR="009E18C9">
        <w:rPr>
          <w:i/>
        </w:rPr>
        <w:t> </w:t>
      </w:r>
      <w:r w:rsidRPr="008D25DE">
        <w:rPr>
          <w:i/>
        </w:rPr>
        <w:t>Sector (Shareholding</w:t>
      </w:r>
      <w:r w:rsidR="00132A8A">
        <w:rPr>
          <w:i/>
        </w:rPr>
        <w:t>s</w:t>
      </w:r>
      <w:r w:rsidRPr="008D25DE">
        <w:rPr>
          <w:i/>
        </w:rPr>
        <w:t xml:space="preserve">) </w:t>
      </w:r>
      <w:r w:rsidR="009E18C9" w:rsidRPr="008D25DE">
        <w:rPr>
          <w:i/>
        </w:rPr>
        <w:t>Act</w:t>
      </w:r>
      <w:r w:rsidR="009E18C9">
        <w:rPr>
          <w:i/>
        </w:rPr>
        <w:t> </w:t>
      </w:r>
      <w:r w:rsidRPr="008D25DE">
        <w:rPr>
          <w:i/>
        </w:rPr>
        <w:t>1998</w:t>
      </w:r>
      <w:r>
        <w:t>.</w:t>
      </w:r>
      <w:r w:rsidR="005B0E7F">
        <w:t xml:space="preserve"> </w:t>
      </w:r>
      <w:r w:rsidR="00C9140E">
        <w:t>Section 3 of the Financial Sector (Shareholding</w:t>
      </w:r>
      <w:r w:rsidR="00125AF2">
        <w:t>s</w:t>
      </w:r>
      <w:r w:rsidR="006E3A11">
        <w:t xml:space="preserve">) Act currently defines ‘financial sector company’ to mean an </w:t>
      </w:r>
      <w:r w:rsidR="009E18C9">
        <w:t>Authorised Deposit</w:t>
      </w:r>
      <w:r w:rsidR="00BC3748">
        <w:noBreakHyphen/>
      </w:r>
      <w:r w:rsidR="006E3A11">
        <w:t xml:space="preserve">taking </w:t>
      </w:r>
      <w:r w:rsidR="009E18C9">
        <w:t>Institution (</w:t>
      </w:r>
      <w:proofErr w:type="spellStart"/>
      <w:r w:rsidR="009E18C9">
        <w:t>ADI</w:t>
      </w:r>
      <w:proofErr w:type="spellEnd"/>
      <w:r w:rsidR="009E18C9">
        <w:t>)</w:t>
      </w:r>
      <w:r w:rsidR="006E3A11">
        <w:t>, an authorised insurance company, or a holding company of an authorised deposit</w:t>
      </w:r>
      <w:r w:rsidR="004E73A9">
        <w:noBreakHyphen/>
      </w:r>
      <w:r w:rsidR="006E3A11">
        <w:t xml:space="preserve">taking institution or an authorised insurance company. ‘Authorised insurance company’ is defined by </w:t>
      </w:r>
      <w:r w:rsidR="004E73A9">
        <w:t>section </w:t>
      </w:r>
      <w:r w:rsidR="006E3A11">
        <w:t xml:space="preserve">3 of the Financial Sector </w:t>
      </w:r>
      <w:r w:rsidR="00125AF2">
        <w:t>(</w:t>
      </w:r>
      <w:r w:rsidR="006E3A11">
        <w:t>Shareholdings</w:t>
      </w:r>
      <w:r w:rsidR="00125AF2">
        <w:t>)</w:t>
      </w:r>
      <w:r w:rsidR="006E3A11">
        <w:t xml:space="preserve"> Act to mean a company</w:t>
      </w:r>
      <w:r w:rsidR="00F92952">
        <w:t xml:space="preserve"> authorised</w:t>
      </w:r>
      <w:r w:rsidR="001B4835" w:rsidRPr="002F0C6F">
        <w:t xml:space="preserve"> under the </w:t>
      </w:r>
      <w:r w:rsidR="001B4835" w:rsidRPr="002F0C6F">
        <w:rPr>
          <w:i/>
        </w:rPr>
        <w:t>Insurance</w:t>
      </w:r>
      <w:r w:rsidR="000A68AD">
        <w:rPr>
          <w:i/>
        </w:rPr>
        <w:t xml:space="preserve"> </w:t>
      </w:r>
      <w:r w:rsidR="001B4835" w:rsidRPr="002F0C6F">
        <w:rPr>
          <w:i/>
        </w:rPr>
        <w:t>Act</w:t>
      </w:r>
      <w:r w:rsidR="001B4835">
        <w:rPr>
          <w:i/>
        </w:rPr>
        <w:t> </w:t>
      </w:r>
      <w:r w:rsidR="001B4835" w:rsidRPr="002F0C6F">
        <w:rPr>
          <w:i/>
        </w:rPr>
        <w:t>1973</w:t>
      </w:r>
      <w:r w:rsidR="001B4835" w:rsidRPr="002F0C6F">
        <w:t xml:space="preserve"> to carry on </w:t>
      </w:r>
      <w:r w:rsidR="006E3A11">
        <w:t>an insurance business or a c</w:t>
      </w:r>
      <w:r w:rsidR="0037427C">
        <w:t>ompany registered under section </w:t>
      </w:r>
      <w:r w:rsidR="006E3A11">
        <w:t xml:space="preserve">21 of </w:t>
      </w:r>
      <w:r w:rsidR="001B4835" w:rsidRPr="002F0C6F">
        <w:t xml:space="preserve">the </w:t>
      </w:r>
      <w:r w:rsidR="001B4835" w:rsidRPr="002F0C6F">
        <w:rPr>
          <w:i/>
        </w:rPr>
        <w:t xml:space="preserve">Life Insurance </w:t>
      </w:r>
      <w:r w:rsidR="00A6411A" w:rsidRPr="002F0C6F">
        <w:rPr>
          <w:i/>
        </w:rPr>
        <w:t>Act</w:t>
      </w:r>
      <w:r w:rsidR="00A6411A">
        <w:rPr>
          <w:i/>
        </w:rPr>
        <w:t> </w:t>
      </w:r>
      <w:r w:rsidR="001B4835" w:rsidRPr="002F0C6F">
        <w:rPr>
          <w:i/>
        </w:rPr>
        <w:t>1995</w:t>
      </w:r>
      <w:r w:rsidR="006E3A11">
        <w:t>.</w:t>
      </w:r>
    </w:p>
    <w:p w14:paraId="7952C094" w14:textId="61F1D4B6" w:rsidR="005A2C8F" w:rsidRDefault="00132A8A" w:rsidP="009C4B67">
      <w:pPr>
        <w:pStyle w:val="Bullet"/>
        <w:widowControl w:val="0"/>
        <w:numPr>
          <w:ilvl w:val="0"/>
          <w:numId w:val="0"/>
        </w:numPr>
        <w:spacing w:before="120"/>
      </w:pPr>
      <w:r w:rsidRPr="00132A8A">
        <w:rPr>
          <w:lang w:val="en"/>
        </w:rPr>
        <w:t xml:space="preserve">The </w:t>
      </w:r>
      <w:r>
        <w:rPr>
          <w:lang w:val="en"/>
        </w:rPr>
        <w:t xml:space="preserve">effect of this provision is that </w:t>
      </w:r>
      <w:r w:rsidRPr="00132A8A">
        <w:rPr>
          <w:lang w:val="en"/>
        </w:rPr>
        <w:t>investments in financial sector comp</w:t>
      </w:r>
      <w:r w:rsidR="00E32E15">
        <w:rPr>
          <w:lang w:val="en"/>
        </w:rPr>
        <w:t xml:space="preserve">anies are not </w:t>
      </w:r>
      <w:r>
        <w:rPr>
          <w:lang w:val="en"/>
        </w:rPr>
        <w:t>regulated by the Act, although a</w:t>
      </w:r>
      <w:r w:rsidRPr="00132A8A">
        <w:rPr>
          <w:lang w:val="en"/>
        </w:rPr>
        <w:t>pproval will still be required under the</w:t>
      </w:r>
      <w:r w:rsidRPr="00132A8A">
        <w:rPr>
          <w:b/>
          <w:bCs/>
          <w:lang w:val="en"/>
        </w:rPr>
        <w:t xml:space="preserve"> </w:t>
      </w:r>
      <w:r w:rsidRPr="00E32E15">
        <w:rPr>
          <w:iCs/>
          <w:lang w:val="en"/>
        </w:rPr>
        <w:t>Financial Sector (Shareholdings) Act</w:t>
      </w:r>
      <w:r w:rsidRPr="00132A8A">
        <w:rPr>
          <w:lang w:val="en"/>
        </w:rPr>
        <w:t>.</w:t>
      </w:r>
      <w:r>
        <w:rPr>
          <w:lang w:val="en"/>
        </w:rPr>
        <w:t xml:space="preserve"> </w:t>
      </w:r>
      <w:r w:rsidR="009E18C9">
        <w:rPr>
          <w:lang w:val="en"/>
        </w:rPr>
        <w:t xml:space="preserve">However, if the foreign person </w:t>
      </w:r>
      <w:r w:rsidR="00F00EB5">
        <w:rPr>
          <w:lang w:val="en"/>
        </w:rPr>
        <w:t>proposing to take the action or who has taken the action is a foreign government investor, this section does not apply to the action and the action remains subject to this Act.</w:t>
      </w:r>
    </w:p>
    <w:p w14:paraId="2BC83C35" w14:textId="49DE45BC" w:rsidR="00BA1262" w:rsidRPr="00B17C53" w:rsidRDefault="00BA1262" w:rsidP="00AD044B">
      <w:pPr>
        <w:pStyle w:val="Bullet"/>
        <w:keepNext/>
        <w:pageBreakBefore/>
        <w:numPr>
          <w:ilvl w:val="0"/>
          <w:numId w:val="0"/>
        </w:numPr>
        <w:spacing w:before="120"/>
        <w:rPr>
          <w:b/>
        </w:rPr>
      </w:pPr>
      <w:r w:rsidRPr="00E81137">
        <w:rPr>
          <w:rFonts w:ascii="Helvetica Neue" w:hAnsi="Helvetica Neue"/>
          <w:b/>
          <w:szCs w:val="24"/>
        </w:rPr>
        <w:t>Sec</w:t>
      </w:r>
      <w:r w:rsidRPr="00B17C53">
        <w:rPr>
          <w:rFonts w:ascii="Helvetica Neue" w:hAnsi="Helvetica Neue"/>
          <w:b/>
          <w:szCs w:val="24"/>
        </w:rPr>
        <w:t>tion</w:t>
      </w:r>
      <w:r w:rsidR="00BC3748" w:rsidRPr="00B17C53">
        <w:rPr>
          <w:rFonts w:ascii="Helvetica Neue" w:hAnsi="Helvetica Neue" w:hint="eastAsia"/>
          <w:b/>
          <w:szCs w:val="24"/>
        </w:rPr>
        <w:t> </w:t>
      </w:r>
      <w:r w:rsidR="008845CD" w:rsidRPr="00B17C53">
        <w:rPr>
          <w:rFonts w:ascii="Helvetica Neue" w:hAnsi="Helvetica Neue"/>
          <w:b/>
          <w:szCs w:val="24"/>
        </w:rPr>
        <w:t>33</w:t>
      </w:r>
      <w:r w:rsidR="009B5390" w:rsidRPr="00B17C53">
        <w:rPr>
          <w:b/>
          <w:szCs w:val="24"/>
        </w:rPr>
        <w:t> </w:t>
      </w:r>
      <w:r w:rsidR="009B5390" w:rsidRPr="00B17C53">
        <w:rPr>
          <w:rFonts w:ascii="Calibri" w:hAnsi="Calibri"/>
          <w:b/>
          <w:szCs w:val="24"/>
        </w:rPr>
        <w:t>—</w:t>
      </w:r>
      <w:r w:rsidR="009B5390" w:rsidRPr="00B17C53">
        <w:rPr>
          <w:rFonts w:ascii="Helvetica Neue" w:hAnsi="Helvetica Neue" w:hint="eastAsia"/>
          <w:b/>
          <w:szCs w:val="24"/>
        </w:rPr>
        <w:t> </w:t>
      </w:r>
      <w:r w:rsidRPr="00B17C53">
        <w:rPr>
          <w:rFonts w:ascii="Helvetica Neue" w:hAnsi="Helvetica Neue"/>
          <w:b/>
          <w:szCs w:val="24"/>
        </w:rPr>
        <w:t>Compulsory acquisitions and compulsory buy</w:t>
      </w:r>
      <w:r w:rsidR="00BC3748" w:rsidRPr="00B17C53">
        <w:rPr>
          <w:rFonts w:ascii="Helvetica Neue" w:hAnsi="Helvetica Neue"/>
          <w:b/>
          <w:szCs w:val="24"/>
        </w:rPr>
        <w:noBreakHyphen/>
      </w:r>
      <w:r w:rsidRPr="00B17C53">
        <w:rPr>
          <w:rFonts w:ascii="Helvetica Neue" w:hAnsi="Helvetica Neue"/>
          <w:b/>
          <w:szCs w:val="24"/>
        </w:rPr>
        <w:t>outs</w:t>
      </w:r>
    </w:p>
    <w:p w14:paraId="179A21B8" w14:textId="031C1760" w:rsidR="00F5405F" w:rsidRPr="00BB29A8" w:rsidRDefault="0005151F" w:rsidP="009C4B67">
      <w:pPr>
        <w:pStyle w:val="Bullet"/>
        <w:widowControl w:val="0"/>
        <w:numPr>
          <w:ilvl w:val="0"/>
          <w:numId w:val="0"/>
        </w:numPr>
        <w:spacing w:before="120"/>
      </w:pPr>
      <w:r w:rsidRPr="00787E84">
        <w:t>The excluded provisions do not apply in relation to an acquisition of an interest in securit</w:t>
      </w:r>
      <w:r w:rsidR="00FC2774" w:rsidRPr="00BB29A8">
        <w:t>ies</w:t>
      </w:r>
      <w:r w:rsidR="00290311" w:rsidRPr="00BB29A8">
        <w:t xml:space="preserve">, including </w:t>
      </w:r>
      <w:r w:rsidR="00582EA4" w:rsidRPr="00BB29A8">
        <w:t>securit</w:t>
      </w:r>
      <w:r w:rsidR="00FC2774" w:rsidRPr="00BB29A8">
        <w:t>ies</w:t>
      </w:r>
      <w:r w:rsidR="00290311" w:rsidRPr="00BB29A8">
        <w:t xml:space="preserve"> in </w:t>
      </w:r>
      <w:r w:rsidR="00582EA4" w:rsidRPr="00BB29A8">
        <w:t>a land entity</w:t>
      </w:r>
      <w:r w:rsidR="00290311" w:rsidRPr="00BB29A8">
        <w:t xml:space="preserve"> and </w:t>
      </w:r>
      <w:r w:rsidR="00582EA4" w:rsidRPr="00BB29A8">
        <w:t xml:space="preserve">a </w:t>
      </w:r>
      <w:r w:rsidR="00290311" w:rsidRPr="00BB29A8">
        <w:t>mining, pr</w:t>
      </w:r>
      <w:r w:rsidR="00582EA4" w:rsidRPr="00BB29A8">
        <w:t>oduction or exploration entity</w:t>
      </w:r>
      <w:r w:rsidR="00290311" w:rsidRPr="00BB29A8">
        <w:t>,</w:t>
      </w:r>
      <w:r w:rsidRPr="00BB29A8">
        <w:t xml:space="preserve"> if the security is acquired under a compulsory acquisition or c</w:t>
      </w:r>
      <w:r w:rsidR="00D22E38" w:rsidRPr="00BB29A8">
        <w:t>ompulsory buy</w:t>
      </w:r>
      <w:r w:rsidR="000A68AD" w:rsidRPr="00BB29A8">
        <w:noBreakHyphen/>
      </w:r>
      <w:r w:rsidR="00D22E38" w:rsidRPr="00BB29A8">
        <w:t>out under Chapter </w:t>
      </w:r>
      <w:r w:rsidRPr="00BB29A8">
        <w:t xml:space="preserve">6A </w:t>
      </w:r>
      <w:r w:rsidR="002D1C61" w:rsidRPr="00BB29A8">
        <w:t>—Compulsory acquisitions and buy</w:t>
      </w:r>
      <w:r w:rsidR="002D1C61" w:rsidRPr="00BB29A8">
        <w:rPr>
          <w:rFonts w:eastAsia="MS Mincho"/>
        </w:rPr>
        <w:noBreakHyphen/>
      </w:r>
      <w:r w:rsidR="002D1C61" w:rsidRPr="00787E84">
        <w:t xml:space="preserve">outs, </w:t>
      </w:r>
      <w:r w:rsidRPr="00BB29A8">
        <w:t>of the Corporations Act.</w:t>
      </w:r>
      <w:r w:rsidR="00D22E38" w:rsidRPr="00BB29A8">
        <w:t xml:space="preserve"> </w:t>
      </w:r>
      <w:r w:rsidR="00676C2B" w:rsidRPr="00BB29A8">
        <w:t xml:space="preserve">This includes </w:t>
      </w:r>
      <w:r w:rsidR="00746BAC" w:rsidRPr="00BB29A8">
        <w:t xml:space="preserve">when securities are acquired by an action that would be subject to Chapter 6A as exempted or modified by the </w:t>
      </w:r>
      <w:r w:rsidR="00391C23" w:rsidRPr="00BB29A8">
        <w:t>Australian </w:t>
      </w:r>
      <w:r w:rsidR="00746BAC" w:rsidRPr="00BB29A8">
        <w:t xml:space="preserve">Securities &amp; </w:t>
      </w:r>
      <w:r w:rsidR="00391C23" w:rsidRPr="00BB29A8">
        <w:t>Investments </w:t>
      </w:r>
      <w:r w:rsidR="00746BAC" w:rsidRPr="00BB29A8">
        <w:t>Commission (</w:t>
      </w:r>
      <w:proofErr w:type="spellStart"/>
      <w:r w:rsidR="00746BAC" w:rsidRPr="00BB29A8">
        <w:t>ASIC</w:t>
      </w:r>
      <w:proofErr w:type="spellEnd"/>
      <w:r w:rsidR="00746BAC" w:rsidRPr="00BB29A8">
        <w:t>).</w:t>
      </w:r>
    </w:p>
    <w:p w14:paraId="3F3266C8" w14:textId="26E941AE" w:rsidR="00F5405F" w:rsidRPr="00E81137" w:rsidRDefault="00BC3748" w:rsidP="009C4B67">
      <w:pPr>
        <w:pStyle w:val="Bullet"/>
        <w:keepNext/>
        <w:numPr>
          <w:ilvl w:val="0"/>
          <w:numId w:val="0"/>
        </w:numPr>
        <w:spacing w:before="120"/>
        <w:rPr>
          <w:b/>
        </w:rPr>
      </w:pPr>
      <w:r w:rsidRPr="00B17C53">
        <w:rPr>
          <w:rFonts w:ascii="Helvetica Neue" w:hAnsi="Helvetica Neue"/>
          <w:b/>
          <w:szCs w:val="24"/>
        </w:rPr>
        <w:t>Section</w:t>
      </w:r>
      <w:r w:rsidRPr="00B17C53">
        <w:rPr>
          <w:rFonts w:ascii="Helvetica Neue" w:hAnsi="Helvetica Neue" w:hint="eastAsia"/>
          <w:b/>
          <w:szCs w:val="24"/>
        </w:rPr>
        <w:t> </w:t>
      </w:r>
      <w:r w:rsidR="009B5390" w:rsidRPr="00B17C53">
        <w:rPr>
          <w:rFonts w:ascii="Helvetica Neue" w:hAnsi="Helvetica Neue"/>
          <w:b/>
          <w:szCs w:val="24"/>
        </w:rPr>
        <w:t>34</w:t>
      </w:r>
      <w:r w:rsidR="009B5390" w:rsidRPr="00B17C53">
        <w:rPr>
          <w:rFonts w:ascii="Helvetica Neue" w:hAnsi="Helvetica Neue" w:hint="eastAsia"/>
          <w:b/>
          <w:szCs w:val="24"/>
        </w:rPr>
        <w:t> </w:t>
      </w:r>
      <w:r w:rsidR="009B5390" w:rsidRPr="00B17C53">
        <w:rPr>
          <w:rFonts w:ascii="Calibri" w:hAnsi="Calibri"/>
          <w:b/>
          <w:szCs w:val="24"/>
        </w:rPr>
        <w:t>—</w:t>
      </w:r>
      <w:r w:rsidR="009B5390" w:rsidRPr="00B17C53">
        <w:rPr>
          <w:rFonts w:ascii="Helvetica Neue" w:hAnsi="Helvetica Neue" w:hint="eastAsia"/>
          <w:b/>
          <w:szCs w:val="24"/>
        </w:rPr>
        <w:t> </w:t>
      </w:r>
      <w:r w:rsidR="00F5405F" w:rsidRPr="00B17C53">
        <w:rPr>
          <w:rFonts w:ascii="Helvetica Neue" w:hAnsi="Helvetica Neue"/>
          <w:b/>
          <w:szCs w:val="24"/>
        </w:rPr>
        <w:t>Co</w:t>
      </w:r>
      <w:r w:rsidR="00F5405F" w:rsidRPr="00E81137">
        <w:rPr>
          <w:rFonts w:ascii="Helvetica Neue" w:hAnsi="Helvetica Neue"/>
          <w:b/>
          <w:szCs w:val="24"/>
        </w:rPr>
        <w:t>nvertible instruments that include a requirement for loss absorption if entity becomes non</w:t>
      </w:r>
      <w:r w:rsidR="00AD044B">
        <w:rPr>
          <w:rFonts w:ascii="Helvetica Neue" w:hAnsi="Helvetica Neue"/>
          <w:b/>
          <w:szCs w:val="24"/>
        </w:rPr>
        <w:noBreakHyphen/>
      </w:r>
      <w:r w:rsidR="00F5405F" w:rsidRPr="00E81137">
        <w:rPr>
          <w:rFonts w:ascii="Helvetica Neue" w:hAnsi="Helvetica Neue"/>
          <w:b/>
          <w:szCs w:val="24"/>
        </w:rPr>
        <w:t>viable</w:t>
      </w:r>
    </w:p>
    <w:p w14:paraId="7F6BE4EC" w14:textId="6E3F2984" w:rsidR="004611C8" w:rsidRDefault="00A5532B" w:rsidP="009C4B67">
      <w:pPr>
        <w:pStyle w:val="Bullet"/>
        <w:keepNext/>
        <w:numPr>
          <w:ilvl w:val="0"/>
          <w:numId w:val="0"/>
        </w:numPr>
        <w:spacing w:before="120"/>
      </w:pPr>
      <w:r>
        <w:t xml:space="preserve">Broadly, section 11AF of the </w:t>
      </w:r>
      <w:r>
        <w:rPr>
          <w:i/>
        </w:rPr>
        <w:t xml:space="preserve">Banking </w:t>
      </w:r>
      <w:r w:rsidR="00BC3748">
        <w:rPr>
          <w:i/>
        </w:rPr>
        <w:t>Act </w:t>
      </w:r>
      <w:r>
        <w:rPr>
          <w:i/>
        </w:rPr>
        <w:t xml:space="preserve">1959 </w:t>
      </w:r>
      <w:r>
        <w:t xml:space="preserve">permits the Australian Prudential Regulation Authority (APRA) to determine standards in relation to prudential matters to be complied with by </w:t>
      </w:r>
      <w:r w:rsidR="00762195">
        <w:t>an authorised deposit</w:t>
      </w:r>
      <w:r w:rsidR="00BC3748">
        <w:noBreakHyphen/>
      </w:r>
      <w:r w:rsidR="00762195">
        <w:t>taking institution</w:t>
      </w:r>
      <w:r w:rsidR="00425A54">
        <w:t xml:space="preserve"> (</w:t>
      </w:r>
      <w:proofErr w:type="spellStart"/>
      <w:r w:rsidR="00425A54">
        <w:t>ADI</w:t>
      </w:r>
      <w:proofErr w:type="spellEnd"/>
      <w:r w:rsidR="00425A54">
        <w:t xml:space="preserve">) (that is, a body corporate that is granted an authority to carry on banking business in Australia). </w:t>
      </w:r>
      <w:r w:rsidR="001F5DC4">
        <w:rPr>
          <w:i/>
        </w:rPr>
        <w:t>Standard APS 111</w:t>
      </w:r>
      <w:r w:rsidR="001F5DC4">
        <w:rPr>
          <w:rFonts w:ascii="Calibri" w:hAnsi="Calibri"/>
          <w:i/>
        </w:rPr>
        <w:t>—</w:t>
      </w:r>
      <w:r w:rsidR="001F5DC4">
        <w:rPr>
          <w:i/>
        </w:rPr>
        <w:t xml:space="preserve">Capital Adequacy: Measurement of Capital </w:t>
      </w:r>
      <w:r w:rsidR="001F5DC4">
        <w:t>(</w:t>
      </w:r>
      <w:r w:rsidR="001F5DC4" w:rsidRPr="001F5DC4">
        <w:rPr>
          <w:i/>
        </w:rPr>
        <w:t>APS</w:t>
      </w:r>
      <w:r w:rsidR="001F5DC4">
        <w:t> </w:t>
      </w:r>
      <w:r w:rsidR="001F5DC4" w:rsidRPr="001F5DC4">
        <w:rPr>
          <w:i/>
        </w:rPr>
        <w:t>111</w:t>
      </w:r>
      <w:r w:rsidR="001F5DC4">
        <w:t>)</w:t>
      </w:r>
      <w:r w:rsidR="00425A54">
        <w:t xml:space="preserve">, which is made by APRA under section 11AF of the </w:t>
      </w:r>
      <w:r w:rsidR="000A68AD">
        <w:t xml:space="preserve">Banking </w:t>
      </w:r>
      <w:r w:rsidR="00425A54">
        <w:t xml:space="preserve">Act, </w:t>
      </w:r>
      <w:r w:rsidR="001F5DC4">
        <w:t>seeks</w:t>
      </w:r>
      <w:r w:rsidR="00A50876">
        <w:t xml:space="preserve"> to ensure that an </w:t>
      </w:r>
      <w:proofErr w:type="spellStart"/>
      <w:r w:rsidR="00A50876">
        <w:t>ADI</w:t>
      </w:r>
      <w:proofErr w:type="spellEnd"/>
      <w:r w:rsidR="00A50876">
        <w:t xml:space="preserve"> maintains adequate levels of appropriate quality cap</w:t>
      </w:r>
      <w:r w:rsidR="00BF20E7">
        <w:t>ital to meet its risk exposure</w:t>
      </w:r>
      <w:r w:rsidR="00A50876">
        <w:t xml:space="preserve"> </w:t>
      </w:r>
      <w:r w:rsidR="00BF20E7">
        <w:t>by setting</w:t>
      </w:r>
      <w:r w:rsidR="00A50876">
        <w:t xml:space="preserve"> out the characteristics that an instrument must have to qualify as regulatory capital for an </w:t>
      </w:r>
      <w:proofErr w:type="spellStart"/>
      <w:r w:rsidR="00A50876">
        <w:t>ADI</w:t>
      </w:r>
      <w:proofErr w:type="spellEnd"/>
      <w:r w:rsidR="00BF20E7">
        <w:t>.</w:t>
      </w:r>
      <w:r w:rsidR="00744A33">
        <w:t xml:space="preserve"> </w:t>
      </w:r>
      <w:r w:rsidR="00983FAA">
        <w:t xml:space="preserve">An </w:t>
      </w:r>
      <w:proofErr w:type="spellStart"/>
      <w:r w:rsidR="00744A33">
        <w:t>ADI</w:t>
      </w:r>
      <w:proofErr w:type="spellEnd"/>
      <w:r w:rsidR="00744A33">
        <w:t xml:space="preserve"> </w:t>
      </w:r>
      <w:r w:rsidR="00983FAA">
        <w:t>is</w:t>
      </w:r>
      <w:r w:rsidR="00BF20E7">
        <w:t xml:space="preserve"> required </w:t>
      </w:r>
      <w:r w:rsidR="00744A33">
        <w:t xml:space="preserve">to hold regulatory capital as a buffer against the risks </w:t>
      </w:r>
      <w:r w:rsidR="00983FAA">
        <w:t>it</w:t>
      </w:r>
      <w:r w:rsidR="00744A33">
        <w:t xml:space="preserve"> undertake</w:t>
      </w:r>
      <w:r w:rsidR="00983FAA">
        <w:t>s</w:t>
      </w:r>
      <w:r w:rsidR="00744A33">
        <w:t>.</w:t>
      </w:r>
      <w:r w:rsidR="00BF20E7">
        <w:t xml:space="preserve"> </w:t>
      </w:r>
      <w:r w:rsidR="00425A54">
        <w:t xml:space="preserve">For the purposes of </w:t>
      </w:r>
      <w:r w:rsidR="00425A54" w:rsidRPr="00762195">
        <w:rPr>
          <w:i/>
        </w:rPr>
        <w:t>APS 111</w:t>
      </w:r>
      <w:r w:rsidR="000A68AD">
        <w:rPr>
          <w:i/>
        </w:rPr>
        <w:t xml:space="preserve">, </w:t>
      </w:r>
      <w:r w:rsidR="00BF20E7">
        <w:t>‘Regulatory Capital’ consists of Tier</w:t>
      </w:r>
      <w:r w:rsidR="009710E1">
        <w:t> </w:t>
      </w:r>
      <w:r w:rsidR="00BF20E7">
        <w:t xml:space="preserve">1 Capital (which </w:t>
      </w:r>
      <w:r w:rsidR="00425A54">
        <w:t xml:space="preserve">in turns </w:t>
      </w:r>
      <w:r w:rsidR="00BF20E7">
        <w:t>consists of Common Equity Tier</w:t>
      </w:r>
      <w:r w:rsidR="009710E1">
        <w:t> </w:t>
      </w:r>
      <w:r w:rsidR="00BF20E7">
        <w:t>1 Capital and Additional Tier</w:t>
      </w:r>
      <w:r w:rsidR="009710E1">
        <w:t> </w:t>
      </w:r>
      <w:r w:rsidR="00BF20E7">
        <w:t>1 Capital) and Tier</w:t>
      </w:r>
      <w:r w:rsidR="009710E1">
        <w:t> </w:t>
      </w:r>
      <w:r w:rsidR="00BF20E7">
        <w:t>2 Capital.</w:t>
      </w:r>
      <w:r w:rsidR="001E2819">
        <w:t xml:space="preserve"> These terms are defined by APS 111.</w:t>
      </w:r>
      <w:r w:rsidR="00BF20E7">
        <w:t xml:space="preserve"> </w:t>
      </w:r>
      <w:r w:rsidR="004611C8">
        <w:t xml:space="preserve">APS 111 provides that Additional </w:t>
      </w:r>
      <w:r w:rsidR="000A68AD">
        <w:t>Tier </w:t>
      </w:r>
      <w:r w:rsidR="004611C8">
        <w:t>1 Capital comprises high quality components of capital that satisfy the following characteristics:</w:t>
      </w:r>
    </w:p>
    <w:p w14:paraId="6708A154" w14:textId="1C179C8F" w:rsidR="006A789D" w:rsidRDefault="004611C8" w:rsidP="009C4B67">
      <w:pPr>
        <w:pStyle w:val="Bullet"/>
        <w:spacing w:before="120"/>
      </w:pPr>
      <w:r>
        <w:t xml:space="preserve">provide a permanent and </w:t>
      </w:r>
      <w:r w:rsidR="00762195">
        <w:t>unrestricted</w:t>
      </w:r>
      <w:r>
        <w:t xml:space="preserve"> commitment of funds;</w:t>
      </w:r>
    </w:p>
    <w:p w14:paraId="40DB9F50" w14:textId="17A93A76" w:rsidR="004611C8" w:rsidRDefault="004611C8" w:rsidP="009C4B67">
      <w:pPr>
        <w:pStyle w:val="Bullet"/>
        <w:spacing w:before="120"/>
      </w:pPr>
      <w:r>
        <w:t>are freely available to absorb losses;</w:t>
      </w:r>
    </w:p>
    <w:p w14:paraId="6875E76F" w14:textId="77EC7F77" w:rsidR="004611C8" w:rsidRDefault="004611C8" w:rsidP="009C4B67">
      <w:pPr>
        <w:pStyle w:val="Bullet"/>
        <w:spacing w:before="120"/>
      </w:pPr>
      <w:r>
        <w:t>rank beh</w:t>
      </w:r>
      <w:r w:rsidR="00762195">
        <w:t>ind the claims of depositors and</w:t>
      </w:r>
      <w:r>
        <w:t xml:space="preserve"> other more senior creditors in the event of winding up of the issuer; and</w:t>
      </w:r>
    </w:p>
    <w:p w14:paraId="1DC708CB" w14:textId="68F944CF" w:rsidR="004611C8" w:rsidRDefault="004611C8" w:rsidP="009C4B67">
      <w:pPr>
        <w:pStyle w:val="Bullet"/>
        <w:spacing w:before="120"/>
      </w:pPr>
      <w:r>
        <w:t xml:space="preserve">provide for fully discretionary capital distributions. </w:t>
      </w:r>
    </w:p>
    <w:p w14:paraId="6742E95A" w14:textId="4650B571" w:rsidR="00762195" w:rsidRDefault="00762195" w:rsidP="009C4B67">
      <w:pPr>
        <w:pStyle w:val="Bullet"/>
        <w:numPr>
          <w:ilvl w:val="0"/>
          <w:numId w:val="0"/>
        </w:numPr>
        <w:spacing w:before="120"/>
      </w:pPr>
      <w:r w:rsidRPr="009C4B67">
        <w:t>APS 111</w:t>
      </w:r>
      <w:r>
        <w:t xml:space="preserve"> explains the types of instruments that may be included in Tier 2 Capital. </w:t>
      </w:r>
    </w:p>
    <w:p w14:paraId="07C34D70" w14:textId="0CFF0787" w:rsidR="004611C8" w:rsidRDefault="004611C8" w:rsidP="00AD044B">
      <w:pPr>
        <w:pStyle w:val="Bullet"/>
        <w:numPr>
          <w:ilvl w:val="0"/>
          <w:numId w:val="0"/>
        </w:numPr>
        <w:spacing w:before="120"/>
      </w:pPr>
      <w:r>
        <w:t xml:space="preserve">Tier 2 Capital includes other components of capital that </w:t>
      </w:r>
      <w:r w:rsidR="00C03515">
        <w:t>do not meet the quality of Tier </w:t>
      </w:r>
      <w:r w:rsidR="00762195">
        <w:t>1 Capital but which</w:t>
      </w:r>
      <w:r>
        <w:t xml:space="preserve"> contribute to the overall strength of an </w:t>
      </w:r>
      <w:proofErr w:type="spellStart"/>
      <w:r>
        <w:t>ADI</w:t>
      </w:r>
      <w:proofErr w:type="spellEnd"/>
      <w:r>
        <w:t xml:space="preserve"> and its capacity to absorb losses. </w:t>
      </w:r>
      <w:r w:rsidR="00C03515" w:rsidRPr="009C4B67">
        <w:t>APS 111</w:t>
      </w:r>
      <w:r w:rsidR="00C03515" w:rsidRPr="00125AF2">
        <w:t xml:space="preserve"> explains</w:t>
      </w:r>
      <w:r w:rsidR="00C03515">
        <w:t xml:space="preserve"> the types of instruments that may be included in Tier 2 Capital. </w:t>
      </w:r>
    </w:p>
    <w:p w14:paraId="2E08B4C0" w14:textId="6C350B29" w:rsidR="004B2DD0" w:rsidRPr="00B17C53" w:rsidRDefault="0070553F" w:rsidP="00F4465E">
      <w:pPr>
        <w:pStyle w:val="Bullet"/>
        <w:numPr>
          <w:ilvl w:val="0"/>
          <w:numId w:val="0"/>
        </w:numPr>
        <w:spacing w:before="120"/>
      </w:pPr>
      <w:r>
        <w:t>The effect o</w:t>
      </w:r>
      <w:r w:rsidRPr="00B17C53">
        <w:t>f section </w:t>
      </w:r>
      <w:r w:rsidR="00D65873" w:rsidRPr="00B17C53">
        <w:t xml:space="preserve">34 </w:t>
      </w:r>
      <w:r w:rsidR="00630E5E" w:rsidRPr="00B17C53">
        <w:t xml:space="preserve">of the Regulation is that the Act does not apply to an acquisition of an interest in </w:t>
      </w:r>
      <w:r w:rsidR="00FC2774" w:rsidRPr="00B17C53">
        <w:t>securities</w:t>
      </w:r>
      <w:r w:rsidR="00582EA4" w:rsidRPr="00B17C53">
        <w:t xml:space="preserve">, including </w:t>
      </w:r>
      <w:r w:rsidR="00FC2774" w:rsidRPr="00B17C53">
        <w:t>securities</w:t>
      </w:r>
      <w:r w:rsidR="00582EA4" w:rsidRPr="00B17C53">
        <w:t xml:space="preserve"> in a land entity and a mining, production or exploration entity,</w:t>
      </w:r>
      <w:r w:rsidR="00630E5E" w:rsidRPr="00B17C53">
        <w:t xml:space="preserve"> that is an Additional </w:t>
      </w:r>
      <w:r w:rsidR="00BC3748" w:rsidRPr="00B17C53">
        <w:t>Tier </w:t>
      </w:r>
      <w:r w:rsidR="00630E5E" w:rsidRPr="00B17C53">
        <w:t xml:space="preserve">1 Capital or </w:t>
      </w:r>
      <w:r w:rsidR="00BC3748" w:rsidRPr="00B17C53">
        <w:t>Tier </w:t>
      </w:r>
      <w:r w:rsidR="00630E5E" w:rsidRPr="00B17C53">
        <w:t xml:space="preserve">2 Capital instrument </w:t>
      </w:r>
      <w:r w:rsidR="00762195" w:rsidRPr="00B17C53">
        <w:t xml:space="preserve">(within the meaning of APS 111 as in force at the time </w:t>
      </w:r>
      <w:r w:rsidR="00BC3748" w:rsidRPr="00B17C53">
        <w:t>section </w:t>
      </w:r>
      <w:r w:rsidR="00D65873" w:rsidRPr="00B17C53">
        <w:t xml:space="preserve">34 </w:t>
      </w:r>
      <w:r w:rsidR="00762195" w:rsidRPr="00B17C53">
        <w:t xml:space="preserve">of the Regulation commences) </w:t>
      </w:r>
      <w:r w:rsidR="004A2D43" w:rsidRPr="00B17C53">
        <w:t>provided</w:t>
      </w:r>
      <w:r w:rsidR="00630E5E" w:rsidRPr="00B17C53">
        <w:t xml:space="preserve"> the security has not been </w:t>
      </w:r>
      <w:r w:rsidR="00CE4DA8" w:rsidRPr="00B17C53">
        <w:t>converted into ordinary shares.</w:t>
      </w:r>
    </w:p>
    <w:p w14:paraId="40794338" w14:textId="69FA5451" w:rsidR="00BC3748" w:rsidRPr="00B17C53" w:rsidRDefault="00BC3748" w:rsidP="00BC3748">
      <w:pPr>
        <w:pStyle w:val="Bullet"/>
        <w:keepNext/>
        <w:numPr>
          <w:ilvl w:val="0"/>
          <w:numId w:val="0"/>
        </w:numPr>
        <w:spacing w:before="120"/>
        <w:rPr>
          <w:b/>
        </w:rPr>
      </w:pPr>
      <w:r w:rsidRPr="00B17C53">
        <w:rPr>
          <w:b/>
        </w:rPr>
        <w:t>Subdivision </w:t>
      </w:r>
      <w:r w:rsidR="008F16E4" w:rsidRPr="00B17C53">
        <w:rPr>
          <w:b/>
        </w:rPr>
        <w:t>D </w:t>
      </w:r>
      <w:r w:rsidR="008F16E4" w:rsidRPr="00B17C53">
        <w:rPr>
          <w:rFonts w:ascii="Calibri" w:hAnsi="Calibri"/>
          <w:b/>
        </w:rPr>
        <w:t>—</w:t>
      </w:r>
      <w:r w:rsidR="008F16E4" w:rsidRPr="00B17C53">
        <w:rPr>
          <w:b/>
        </w:rPr>
        <w:t> </w:t>
      </w:r>
      <w:r w:rsidRPr="00B17C53">
        <w:rPr>
          <w:b/>
        </w:rPr>
        <w:t>Significant and notifiable actions relating to Australian land</w:t>
      </w:r>
      <w:r w:rsidR="00746BAC" w:rsidRPr="00B17C53">
        <w:rPr>
          <w:b/>
        </w:rPr>
        <w:t xml:space="preserve"> etc.</w:t>
      </w:r>
    </w:p>
    <w:p w14:paraId="3FE18041" w14:textId="7A841504" w:rsidR="007A6FEC" w:rsidRPr="00BF3CB7" w:rsidRDefault="00BC3748" w:rsidP="009C4B67">
      <w:pPr>
        <w:pStyle w:val="Bullet"/>
        <w:keepNext/>
        <w:keepLines/>
        <w:numPr>
          <w:ilvl w:val="0"/>
          <w:numId w:val="0"/>
        </w:numPr>
        <w:spacing w:before="120"/>
        <w:rPr>
          <w:b/>
        </w:rPr>
      </w:pPr>
      <w:r w:rsidRPr="00B17C53">
        <w:rPr>
          <w:b/>
        </w:rPr>
        <w:t>Section </w:t>
      </w:r>
      <w:r w:rsidR="009B5390" w:rsidRPr="00B17C53">
        <w:rPr>
          <w:b/>
        </w:rPr>
        <w:t>35 </w:t>
      </w:r>
      <w:r w:rsidR="009B5390" w:rsidRPr="00B17C53">
        <w:rPr>
          <w:rFonts w:ascii="Calibri" w:hAnsi="Calibri"/>
          <w:b/>
        </w:rPr>
        <w:t>—</w:t>
      </w:r>
      <w:r w:rsidR="009B5390" w:rsidRPr="00B17C53">
        <w:rPr>
          <w:b/>
        </w:rPr>
        <w:t> </w:t>
      </w:r>
      <w:r w:rsidR="007A6FEC" w:rsidRPr="00B17C53">
        <w:rPr>
          <w:b/>
        </w:rPr>
        <w:t>Acqu</w:t>
      </w:r>
      <w:r w:rsidR="007A6FEC" w:rsidRPr="00BF3CB7">
        <w:rPr>
          <w:b/>
        </w:rPr>
        <w:t>isition by persons with a close connection to Australia</w:t>
      </w:r>
    </w:p>
    <w:p w14:paraId="438195A5" w14:textId="211B7F12" w:rsidR="00746BAC" w:rsidRDefault="00746BAC" w:rsidP="009C4B67">
      <w:pPr>
        <w:pStyle w:val="Bullet"/>
        <w:keepNext/>
        <w:keepLines/>
        <w:numPr>
          <w:ilvl w:val="0"/>
          <w:numId w:val="0"/>
        </w:numPr>
        <w:spacing w:before="120"/>
      </w:pPr>
      <w:r w:rsidRPr="00746BAC">
        <w:rPr>
          <w:i/>
          <w:iCs/>
        </w:rPr>
        <w:t>Acquisitions of any land by persons with a close connection to Australia</w:t>
      </w:r>
    </w:p>
    <w:p w14:paraId="0CB67265" w14:textId="5D56BC32" w:rsidR="00320AB4" w:rsidRDefault="00320AB4" w:rsidP="009C4B67">
      <w:pPr>
        <w:pStyle w:val="Bullet"/>
        <w:keepNext/>
        <w:keepLines/>
        <w:numPr>
          <w:ilvl w:val="0"/>
          <w:numId w:val="0"/>
        </w:numPr>
        <w:spacing w:before="120"/>
      </w:pPr>
      <w:r>
        <w:t xml:space="preserve">The excluded provisions do not apply in relation to an acquisition of an interest in Australian land by any of the following </w:t>
      </w:r>
      <w:r w:rsidR="00746BAC">
        <w:t xml:space="preserve">specified </w:t>
      </w:r>
      <w:r>
        <w:t>persons:</w:t>
      </w:r>
    </w:p>
    <w:p w14:paraId="427130A3" w14:textId="56023452" w:rsidR="00320AB4" w:rsidRDefault="00320AB4" w:rsidP="00A42C4A">
      <w:pPr>
        <w:pStyle w:val="Bullet"/>
        <w:spacing w:before="120"/>
      </w:pPr>
      <w:r>
        <w:t>an Australian citizen not ordinarily resident in Australia</w:t>
      </w:r>
      <w:r w:rsidR="004B2DD0">
        <w:t>;</w:t>
      </w:r>
    </w:p>
    <w:p w14:paraId="48D44D42" w14:textId="4D72B3D4" w:rsidR="00671EEE" w:rsidRDefault="00FF575B" w:rsidP="00A42C4A">
      <w:pPr>
        <w:pStyle w:val="Bullet"/>
        <w:spacing w:before="120"/>
      </w:pPr>
      <w:r>
        <w:t xml:space="preserve">a </w:t>
      </w:r>
      <w:r w:rsidR="00473C6D">
        <w:t xml:space="preserve">foreign person </w:t>
      </w:r>
      <w:r>
        <w:t>that</w:t>
      </w:r>
      <w:r w:rsidR="00473C6D">
        <w:t xml:space="preserve"> is an Australian corporation that would not be a foreign person if interests held directly in it </w:t>
      </w:r>
      <w:r w:rsidR="00746BAC">
        <w:t xml:space="preserve">by any one or more of the specified persons </w:t>
      </w:r>
      <w:r w:rsidR="00473C6D">
        <w:t>were disregarded</w:t>
      </w:r>
      <w:r w:rsidR="00746BAC">
        <w:t xml:space="preserve"> (including through a previous application of this provision)</w:t>
      </w:r>
      <w:r w:rsidR="003C06FB">
        <w:t>;</w:t>
      </w:r>
      <w:r w:rsidR="00746BAC">
        <w:t xml:space="preserve"> or</w:t>
      </w:r>
    </w:p>
    <w:p w14:paraId="1C205476" w14:textId="42A441A7" w:rsidR="006D2621" w:rsidRDefault="00FF575B" w:rsidP="00A42C4A">
      <w:pPr>
        <w:pStyle w:val="Bullet"/>
        <w:spacing w:before="120"/>
      </w:pPr>
      <w:r>
        <w:t xml:space="preserve">a </w:t>
      </w:r>
      <w:r w:rsidR="00671EEE">
        <w:t xml:space="preserve">foreign person </w:t>
      </w:r>
      <w:r>
        <w:t xml:space="preserve">that </w:t>
      </w:r>
      <w:r w:rsidR="00671EEE">
        <w:t xml:space="preserve">is the trustee of a resident trust at the time of the acquisition, </w:t>
      </w:r>
      <w:r>
        <w:t>and which</w:t>
      </w:r>
      <w:r w:rsidR="00671EEE">
        <w:t xml:space="preserve"> would not be a foreign person if interests held directly in it by </w:t>
      </w:r>
      <w:r w:rsidR="00746BAC" w:rsidRPr="00746BAC">
        <w:t xml:space="preserve">any one or more of the </w:t>
      </w:r>
      <w:r w:rsidR="000B32CE">
        <w:t xml:space="preserve">above persons (an Australian citizen and an Australian corporation held by an Australian citizen) </w:t>
      </w:r>
      <w:r w:rsidR="00671EEE">
        <w:t>were disregarded</w:t>
      </w:r>
      <w:r w:rsidR="00746BAC" w:rsidRPr="00746BAC">
        <w:t xml:space="preserve"> (including through a previous application of this provision</w:t>
      </w:r>
      <w:r w:rsidR="00453CEF" w:rsidRPr="00746BAC">
        <w:t>)</w:t>
      </w:r>
      <w:r w:rsidR="00453CEF">
        <w:t>.</w:t>
      </w:r>
    </w:p>
    <w:p w14:paraId="36FA1B39" w14:textId="0412C5DD" w:rsidR="00453CEF" w:rsidRDefault="00453CEF" w:rsidP="00A42C4A">
      <w:pPr>
        <w:pStyle w:val="Dash"/>
        <w:spacing w:before="120"/>
      </w:pPr>
      <w:r>
        <w:t xml:space="preserve">‘Resident trust’ is defined under section 5 of the Regulation to mean a trust that is taken to be a resident trust estate under subsection 95(2) of the </w:t>
      </w:r>
      <w:r w:rsidRPr="00572DC4">
        <w:rPr>
          <w:i/>
        </w:rPr>
        <w:t>Income</w:t>
      </w:r>
      <w:r>
        <w:rPr>
          <w:i/>
        </w:rPr>
        <w:t> </w:t>
      </w:r>
      <w:r w:rsidRPr="00572DC4">
        <w:rPr>
          <w:i/>
        </w:rPr>
        <w:t>Tax Assessment Act</w:t>
      </w:r>
      <w:r>
        <w:rPr>
          <w:i/>
        </w:rPr>
        <w:t> </w:t>
      </w:r>
      <w:r w:rsidRPr="00572DC4">
        <w:rPr>
          <w:i/>
        </w:rPr>
        <w:t>1936</w:t>
      </w:r>
      <w:r>
        <w:t>.</w:t>
      </w:r>
    </w:p>
    <w:p w14:paraId="34A9E36E" w14:textId="3257496D" w:rsidR="00D6079F" w:rsidRDefault="00453CEF" w:rsidP="00D6079F">
      <w:pPr>
        <w:pStyle w:val="Bullet"/>
        <w:numPr>
          <w:ilvl w:val="0"/>
          <w:numId w:val="0"/>
        </w:numPr>
        <w:spacing w:before="120"/>
      </w:pPr>
      <w:r>
        <w:t xml:space="preserve">An example of the effect of this subsection when a person is </w:t>
      </w:r>
      <w:r w:rsidRPr="00453CEF">
        <w:t>covered by a previous application</w:t>
      </w:r>
      <w:r>
        <w:t xml:space="preserve"> of this provision</w:t>
      </w:r>
      <w:r w:rsidR="006E07BB">
        <w:t>,</w:t>
      </w:r>
      <w:r>
        <w:t xml:space="preserve"> is when an Australian </w:t>
      </w:r>
      <w:r w:rsidRPr="00453CEF">
        <w:t>citizen not ordinarily resident in Australia</w:t>
      </w:r>
      <w:r w:rsidR="00D6079F" w:rsidRPr="00D6079F">
        <w:t xml:space="preserve"> </w:t>
      </w:r>
      <w:r w:rsidR="00D6079F">
        <w:t>owns 100 per cent of an Australian holding corporation, which has an Australian subsidiary, then an acquisition by the Australian subsidiary would be excluded. That is because:</w:t>
      </w:r>
    </w:p>
    <w:p w14:paraId="7486D424" w14:textId="1374B536" w:rsidR="00D6079F" w:rsidRDefault="00D6079F" w:rsidP="00A42C4A">
      <w:pPr>
        <w:pStyle w:val="Bullet"/>
        <w:spacing w:before="120"/>
      </w:pPr>
      <w:r>
        <w:t xml:space="preserve">the Australian holding corporation meets the conditions of the subsection. It would not be a foreign person if the interest held by the </w:t>
      </w:r>
      <w:r w:rsidRPr="00D6079F">
        <w:t xml:space="preserve">Australian citizen not ordinarily resident in Australia </w:t>
      </w:r>
      <w:r>
        <w:t>were disregarded; and</w:t>
      </w:r>
    </w:p>
    <w:p w14:paraId="73855978" w14:textId="77777777" w:rsidR="00D6079F" w:rsidRDefault="00D6079F" w:rsidP="00A42C4A">
      <w:pPr>
        <w:pStyle w:val="Bullet"/>
        <w:spacing w:before="120"/>
      </w:pPr>
      <w:r>
        <w:t>the Australian subsidiary has an interest held in it by a person covered by that previous application of the section. The Australian subsidiary would not be a foreign person if the interest held by the Australian holding corporation were disregarded.</w:t>
      </w:r>
    </w:p>
    <w:p w14:paraId="1EDC77DF" w14:textId="7125149E" w:rsidR="00A95520" w:rsidRDefault="00746BAC" w:rsidP="00746BAC">
      <w:pPr>
        <w:pStyle w:val="Bullet"/>
        <w:keepNext/>
        <w:keepLines/>
        <w:numPr>
          <w:ilvl w:val="0"/>
          <w:numId w:val="0"/>
        </w:numPr>
        <w:spacing w:before="120"/>
      </w:pPr>
      <w:r>
        <w:t xml:space="preserve">The excluded provisions also do not apply in relation to an acquisition of an interest in Australian land by </w:t>
      </w:r>
      <w:r w:rsidR="006D2621">
        <w:t>a charity operating in Australia primarily for the benefit of persons ordinarily resident in Australia.</w:t>
      </w:r>
    </w:p>
    <w:p w14:paraId="6C60376E" w14:textId="6A578917" w:rsidR="00A95520" w:rsidRDefault="00A95520" w:rsidP="009C4B67">
      <w:pPr>
        <w:pStyle w:val="Bullet"/>
        <w:numPr>
          <w:ilvl w:val="0"/>
          <w:numId w:val="0"/>
        </w:numPr>
        <w:spacing w:before="120"/>
      </w:pPr>
      <w:r>
        <w:t xml:space="preserve">‘Charity’ has the meaning given by the </w:t>
      </w:r>
      <w:r>
        <w:rPr>
          <w:i/>
        </w:rPr>
        <w:t>Charities Act 2013.</w:t>
      </w:r>
      <w:r>
        <w:t xml:space="preserve"> </w:t>
      </w:r>
      <w:r w:rsidR="00E32E15">
        <w:t>Broadly, t</w:t>
      </w:r>
      <w:r w:rsidR="00AD54B3">
        <w:t xml:space="preserve">he effect of section 5 of the </w:t>
      </w:r>
      <w:r w:rsidR="003F0ACA">
        <w:t xml:space="preserve">Charities </w:t>
      </w:r>
      <w:r w:rsidR="00AD54B3">
        <w:t>Act is that a</w:t>
      </w:r>
      <w:r>
        <w:t>n entity will be a charity if</w:t>
      </w:r>
      <w:r w:rsidR="00FE05D9">
        <w:t xml:space="preserve"> it satisfies</w:t>
      </w:r>
      <w:r>
        <w:t xml:space="preserve"> the following criteria:</w:t>
      </w:r>
    </w:p>
    <w:p w14:paraId="5C396E20" w14:textId="22D0E42E" w:rsidR="006D2621" w:rsidRDefault="00FE05D9" w:rsidP="00F40AEE">
      <w:pPr>
        <w:pStyle w:val="Bullet"/>
        <w:spacing w:before="120"/>
      </w:pPr>
      <w:r>
        <w:t>i</w:t>
      </w:r>
      <w:r w:rsidR="00A95520">
        <w:t>t is a not</w:t>
      </w:r>
      <w:r w:rsidR="00297533">
        <w:noBreakHyphen/>
      </w:r>
      <w:r w:rsidR="00A95520">
        <w:t>for</w:t>
      </w:r>
      <w:r w:rsidR="00297533">
        <w:noBreakHyphen/>
      </w:r>
      <w:r w:rsidR="00A95520">
        <w:t>profit entity;</w:t>
      </w:r>
    </w:p>
    <w:p w14:paraId="4A057FAB" w14:textId="1A6392B8" w:rsidR="00FE05D9" w:rsidRDefault="00FE05D9" w:rsidP="00F40AEE">
      <w:pPr>
        <w:pStyle w:val="Bullet"/>
        <w:spacing w:before="120"/>
      </w:pPr>
      <w:r>
        <w:t>a</w:t>
      </w:r>
      <w:r w:rsidR="00A95520">
        <w:t xml:space="preserve">ll of the purposes of the entity are </w:t>
      </w:r>
      <w:r w:rsidR="00AD54B3">
        <w:t>‘</w:t>
      </w:r>
      <w:r w:rsidR="00A95520">
        <w:t>charitable purposes</w:t>
      </w:r>
      <w:r w:rsidR="00AD54B3">
        <w:t>’</w:t>
      </w:r>
      <w:r w:rsidR="00A95520">
        <w:t xml:space="preserve"> that are for the </w:t>
      </w:r>
      <w:r w:rsidR="00AD54B3">
        <w:t>‘</w:t>
      </w:r>
      <w:r w:rsidR="00A95520">
        <w:t>public benefit</w:t>
      </w:r>
      <w:r w:rsidR="00AD54B3">
        <w:t>’ (within the meaning of those terms)</w:t>
      </w:r>
      <w:r>
        <w:t>, or purposes that are incidental to or ancillary to, an</w:t>
      </w:r>
      <w:r w:rsidR="00AD54B3">
        <w:t xml:space="preserve">d in furtherance or in aid of, </w:t>
      </w:r>
      <w:r>
        <w:t>the entity’s charitable purposes that are for the public benefit;</w:t>
      </w:r>
    </w:p>
    <w:p w14:paraId="1B01C8E1" w14:textId="51D88559" w:rsidR="00FE05D9" w:rsidRDefault="00FE05D9" w:rsidP="00F40AEE">
      <w:pPr>
        <w:pStyle w:val="Bullet"/>
        <w:spacing w:before="120"/>
      </w:pPr>
      <w:r>
        <w:t>none of the entity’s purposes are disqualifying purposes</w:t>
      </w:r>
      <w:r w:rsidR="00AD54B3">
        <w:t xml:space="preserve"> within the meaning of the Charities Act</w:t>
      </w:r>
      <w:r>
        <w:t>; and</w:t>
      </w:r>
    </w:p>
    <w:p w14:paraId="6E9D4929" w14:textId="77777777" w:rsidR="00726729" w:rsidRDefault="00FE05D9" w:rsidP="00F40AEE">
      <w:pPr>
        <w:pStyle w:val="Bullet"/>
        <w:spacing w:before="120"/>
      </w:pPr>
      <w:r>
        <w:t>it is not an individual, a political party or a government entity.</w:t>
      </w:r>
    </w:p>
    <w:p w14:paraId="19DC3914" w14:textId="05D7F67B" w:rsidR="00726729" w:rsidRPr="00AF3C8F" w:rsidRDefault="00726729" w:rsidP="009C4B67">
      <w:pPr>
        <w:pStyle w:val="Bullet"/>
        <w:numPr>
          <w:ilvl w:val="0"/>
          <w:numId w:val="0"/>
        </w:numPr>
        <w:spacing w:before="120"/>
        <w:rPr>
          <w:i/>
        </w:rPr>
      </w:pPr>
      <w:r>
        <w:rPr>
          <w:i/>
        </w:rPr>
        <w:t>Acquisitions of interests in agricultural land by spouses and de</w:t>
      </w:r>
      <w:r w:rsidR="00BC3748">
        <w:rPr>
          <w:i/>
        </w:rPr>
        <w:t> </w:t>
      </w:r>
      <w:r>
        <w:rPr>
          <w:i/>
        </w:rPr>
        <w:t>facto partners of Australian citizens</w:t>
      </w:r>
    </w:p>
    <w:p w14:paraId="6D2E293C" w14:textId="0A5055BF" w:rsidR="001D37CA" w:rsidRDefault="00726729" w:rsidP="009C4B67">
      <w:pPr>
        <w:pStyle w:val="Bullet"/>
        <w:numPr>
          <w:ilvl w:val="0"/>
          <w:numId w:val="0"/>
        </w:numPr>
        <w:spacing w:before="120"/>
      </w:pPr>
      <w:r>
        <w:t>T</w:t>
      </w:r>
      <w:r w:rsidRPr="00555D5A">
        <w:t xml:space="preserve">he excluded provisions do not apply </w:t>
      </w:r>
      <w:r>
        <w:t xml:space="preserve">in relation to the acquisition of an interest in agricultural land by a foreign person </w:t>
      </w:r>
      <w:r w:rsidRPr="00555D5A">
        <w:t xml:space="preserve">if the person is the spouse or de facto partner (within the meaning of the </w:t>
      </w:r>
      <w:r w:rsidRPr="00453CEF">
        <w:rPr>
          <w:i/>
        </w:rPr>
        <w:t>Acts Interpretation Act</w:t>
      </w:r>
      <w:r w:rsidR="00453CEF" w:rsidRPr="00453CEF">
        <w:rPr>
          <w:i/>
        </w:rPr>
        <w:t> 1901</w:t>
      </w:r>
      <w:r w:rsidRPr="00555D5A">
        <w:t>) o</w:t>
      </w:r>
      <w:r w:rsidR="000A68AD">
        <w:t>f</w:t>
      </w:r>
      <w:r w:rsidRPr="00555D5A">
        <w:t xml:space="preserve"> an Australian citizen and the interest is held by the person and his or her spouse or </w:t>
      </w:r>
      <w:r w:rsidR="000A68AD">
        <w:t xml:space="preserve">de facto </w:t>
      </w:r>
      <w:r w:rsidRPr="00555D5A">
        <w:t xml:space="preserve">partner as </w:t>
      </w:r>
      <w:r w:rsidR="00034472" w:rsidRPr="00555D5A">
        <w:t>joint</w:t>
      </w:r>
      <w:r w:rsidR="00034472">
        <w:t> </w:t>
      </w:r>
      <w:r w:rsidRPr="00555D5A">
        <w:t>tenants.</w:t>
      </w:r>
      <w:r>
        <w:t xml:space="preserve"> </w:t>
      </w:r>
    </w:p>
    <w:p w14:paraId="2695E7DA" w14:textId="3E7BECB2" w:rsidR="00A95520" w:rsidRDefault="00AE492A" w:rsidP="009C4B67">
      <w:pPr>
        <w:pStyle w:val="Bullet"/>
        <w:numPr>
          <w:ilvl w:val="0"/>
          <w:numId w:val="0"/>
        </w:numPr>
        <w:spacing w:before="120"/>
      </w:pPr>
      <w:r>
        <w:t>Section 2D of the Acts Interpretation Act provides that a person is a ‘</w:t>
      </w:r>
      <w:r w:rsidR="000A68AD">
        <w:t>de </w:t>
      </w:r>
      <w:r>
        <w:t xml:space="preserve">facto partner’ of another person (whether of the same or different sex) if the person is in a registered relationship with the other person under section 2E of the Acts </w:t>
      </w:r>
      <w:r w:rsidR="000A68AD">
        <w:t>Interpretation </w:t>
      </w:r>
      <w:r>
        <w:t xml:space="preserve">Act or the person is in a </w:t>
      </w:r>
      <w:r w:rsidR="000A68AD">
        <w:t>de </w:t>
      </w:r>
      <w:r>
        <w:t xml:space="preserve">facto relationship with the other person under section 2F of the Acts </w:t>
      </w:r>
      <w:r w:rsidR="000A68AD">
        <w:t>Interpretation </w:t>
      </w:r>
      <w:r>
        <w:t>Act.</w:t>
      </w:r>
      <w:r w:rsidR="001D37CA">
        <w:t xml:space="preserve"> Section</w:t>
      </w:r>
      <w:r w:rsidR="00BC3748">
        <w:t> </w:t>
      </w:r>
      <w:r w:rsidR="001D37CA">
        <w:t xml:space="preserve">2E of the Acts </w:t>
      </w:r>
      <w:r w:rsidR="000A68AD">
        <w:t>Interpretation </w:t>
      </w:r>
      <w:r w:rsidR="001D37CA">
        <w:t xml:space="preserve">Act provides that a person is in a ‘registered relationship’ with another person if the relationship between the persons is registered under a prescribed law of a State or Territory as a prescribed kind of relationship. </w:t>
      </w:r>
      <w:r w:rsidR="000A68AD">
        <w:t>Section </w:t>
      </w:r>
      <w:r w:rsidR="0066720A">
        <w:t xml:space="preserve">2F of the Acts Interpretation Act provides that a person is in a </w:t>
      </w:r>
      <w:r w:rsidR="000A68AD">
        <w:t>de </w:t>
      </w:r>
      <w:r w:rsidR="0066720A">
        <w:t>facto relationship with another person if the persons are not legally married to each other; are not related by family and have a relationship as a couple living together on a genuine domestic basis. For the purposes of determining whether two persons have a relationship as a couple, all the circumstances of the relationship are taken into account, including</w:t>
      </w:r>
      <w:r w:rsidR="001D37CA">
        <w:t xml:space="preserve"> </w:t>
      </w:r>
      <w:r w:rsidR="00C20796">
        <w:t xml:space="preserve">the duration of the relationship; the nature and extent of the common residence; the ownership, use and acquisition of their property and the degree of mutual commitment to a share life. </w:t>
      </w:r>
    </w:p>
    <w:p w14:paraId="3232F12F" w14:textId="3F9FD169" w:rsidR="00A05DF3" w:rsidRPr="00AD54B3" w:rsidRDefault="00FB6428" w:rsidP="009C4B67">
      <w:pPr>
        <w:pStyle w:val="Bullet"/>
        <w:keepNext/>
        <w:numPr>
          <w:ilvl w:val="0"/>
          <w:numId w:val="0"/>
        </w:numPr>
        <w:spacing w:before="120"/>
        <w:rPr>
          <w:b/>
        </w:rPr>
      </w:pPr>
      <w:r w:rsidRPr="00AD54B3">
        <w:rPr>
          <w:b/>
        </w:rPr>
        <w:t>Secti</w:t>
      </w:r>
      <w:r w:rsidRPr="00B17C53">
        <w:rPr>
          <w:b/>
        </w:rPr>
        <w:t>on </w:t>
      </w:r>
      <w:r w:rsidR="00D65873" w:rsidRPr="00B17C53">
        <w:rPr>
          <w:b/>
        </w:rPr>
        <w:t>36</w:t>
      </w:r>
      <w:r w:rsidR="009B5390" w:rsidRPr="00B17C53">
        <w:rPr>
          <w:b/>
        </w:rPr>
        <w:t> </w:t>
      </w:r>
      <w:r w:rsidR="007B10E9" w:rsidRPr="00B17C53">
        <w:rPr>
          <w:rFonts w:ascii="Calibri" w:hAnsi="Calibri"/>
          <w:b/>
        </w:rPr>
        <w:t>—</w:t>
      </w:r>
      <w:r w:rsidR="009B5390" w:rsidRPr="00B17C53">
        <w:rPr>
          <w:b/>
        </w:rPr>
        <w:t> </w:t>
      </w:r>
      <w:r w:rsidR="00A05DF3" w:rsidRPr="00B17C53">
        <w:rPr>
          <w:b/>
        </w:rPr>
        <w:t>Acquisitio</w:t>
      </w:r>
      <w:r w:rsidR="00A05DF3" w:rsidRPr="00AD54B3">
        <w:rPr>
          <w:b/>
        </w:rPr>
        <w:t>n by funds and schemes</w:t>
      </w:r>
    </w:p>
    <w:p w14:paraId="6DF2CF50" w14:textId="5A14178A" w:rsidR="006A4821" w:rsidRDefault="000B5AC2" w:rsidP="009C4B67">
      <w:pPr>
        <w:pStyle w:val="Bullet"/>
        <w:keepNext/>
        <w:numPr>
          <w:ilvl w:val="0"/>
          <w:numId w:val="0"/>
        </w:numPr>
        <w:spacing w:before="120"/>
      </w:pPr>
      <w:r>
        <w:rPr>
          <w:i/>
        </w:rPr>
        <w:t>Acquisition</w:t>
      </w:r>
      <w:r w:rsidR="006A4821">
        <w:rPr>
          <w:i/>
        </w:rPr>
        <w:t xml:space="preserve"> </w:t>
      </w:r>
      <w:r>
        <w:rPr>
          <w:i/>
        </w:rPr>
        <w:t xml:space="preserve">of </w:t>
      </w:r>
      <w:r w:rsidR="00C20796">
        <w:rPr>
          <w:i/>
        </w:rPr>
        <w:t xml:space="preserve">certain interests </w:t>
      </w:r>
      <w:r w:rsidR="006A4821">
        <w:rPr>
          <w:i/>
        </w:rPr>
        <w:t>by a life insurance company</w:t>
      </w:r>
    </w:p>
    <w:p w14:paraId="69DE8D51" w14:textId="77777777" w:rsidR="00C20796" w:rsidRDefault="00311F96" w:rsidP="009C4B67">
      <w:pPr>
        <w:pStyle w:val="Bullet"/>
        <w:numPr>
          <w:ilvl w:val="0"/>
          <w:numId w:val="0"/>
        </w:numPr>
        <w:spacing w:before="120"/>
      </w:pPr>
      <w:r>
        <w:t xml:space="preserve">The excluded provisions do not apply to </w:t>
      </w:r>
      <w:r w:rsidR="00860A82">
        <w:t>a</w:t>
      </w:r>
      <w:r>
        <w:t>n acquisition of</w:t>
      </w:r>
      <w:r w:rsidR="00C20796">
        <w:t>:</w:t>
      </w:r>
      <w:r>
        <w:t xml:space="preserve"> </w:t>
      </w:r>
    </w:p>
    <w:p w14:paraId="722D55DC" w14:textId="0392C4D0" w:rsidR="00C20796" w:rsidRDefault="00311F96" w:rsidP="00F40AEE">
      <w:pPr>
        <w:pStyle w:val="Bullet"/>
        <w:spacing w:before="120"/>
      </w:pPr>
      <w:r>
        <w:t>an interest in Australian land</w:t>
      </w:r>
      <w:r w:rsidR="00552CE4">
        <w:t xml:space="preserve"> (including an acquisition of an interest in a </w:t>
      </w:r>
      <w:r w:rsidR="00391C23">
        <w:t>land </w:t>
      </w:r>
      <w:r w:rsidR="00552CE4">
        <w:t>entity)</w:t>
      </w:r>
      <w:r w:rsidR="00C20796">
        <w:t xml:space="preserve">; </w:t>
      </w:r>
    </w:p>
    <w:p w14:paraId="54F63D7E" w14:textId="4919F60A" w:rsidR="00C20796" w:rsidRDefault="00C20796" w:rsidP="00F40AEE">
      <w:pPr>
        <w:pStyle w:val="Bullet"/>
        <w:spacing w:before="120"/>
      </w:pPr>
      <w:r>
        <w:t>an interest in a tenement</w:t>
      </w:r>
      <w:r w:rsidR="00CA57FF">
        <w:t xml:space="preserve"> (a term which is defined by section 5 of the Regulation)</w:t>
      </w:r>
      <w:r>
        <w:t xml:space="preserve">, or </w:t>
      </w:r>
    </w:p>
    <w:p w14:paraId="3124F1AE" w14:textId="111A52B9" w:rsidR="00C20796" w:rsidRDefault="00C20796" w:rsidP="00F40AEE">
      <w:pPr>
        <w:pStyle w:val="Bullet"/>
        <w:spacing w:before="120"/>
      </w:pPr>
      <w:r>
        <w:t xml:space="preserve">an interest in securities in a </w:t>
      </w:r>
      <w:r w:rsidR="00CA57FF">
        <w:t>‘</w:t>
      </w:r>
      <w:r>
        <w:t>mining, production or exploration entity</w:t>
      </w:r>
      <w:r w:rsidR="00CA57FF">
        <w:t>’ (a term which is also defined by section 5 of the Regulation),</w:t>
      </w:r>
      <w:r w:rsidR="00311F96">
        <w:t xml:space="preserve"> </w:t>
      </w:r>
    </w:p>
    <w:p w14:paraId="7F0DE226" w14:textId="7158684A" w:rsidR="00C20796" w:rsidRDefault="00311F96" w:rsidP="009C4B67">
      <w:pPr>
        <w:pStyle w:val="Bullet"/>
        <w:numPr>
          <w:ilvl w:val="0"/>
          <w:numId w:val="0"/>
        </w:numPr>
        <w:spacing w:before="120"/>
      </w:pPr>
      <w:r>
        <w:t>by a foreign person that is a</w:t>
      </w:r>
      <w:r w:rsidR="00860A82">
        <w:t xml:space="preserve"> </w:t>
      </w:r>
      <w:r w:rsidR="00995C72">
        <w:t>‘</w:t>
      </w:r>
      <w:r w:rsidR="00860A82">
        <w:t>life company</w:t>
      </w:r>
      <w:r w:rsidR="00995C72">
        <w:t>’</w:t>
      </w:r>
      <w:r w:rsidR="00995C72" w:rsidRPr="00C20796">
        <w:rPr>
          <w:i/>
        </w:rPr>
        <w:t xml:space="preserve"> </w:t>
      </w:r>
      <w:r w:rsidR="00860A82">
        <w:t xml:space="preserve">operating in Australia or a subsidiary of such a life company where the acquisition is made by way of investment of its statutory funds primarily for the benefit of owners of policies who are ordinarily resident in Australia. </w:t>
      </w:r>
    </w:p>
    <w:p w14:paraId="6692EE9D" w14:textId="309513B7" w:rsidR="00B23698" w:rsidRPr="001C7F28" w:rsidRDefault="00EA5B80" w:rsidP="009C4B67">
      <w:pPr>
        <w:pStyle w:val="Bullet"/>
        <w:numPr>
          <w:ilvl w:val="0"/>
          <w:numId w:val="0"/>
        </w:numPr>
        <w:spacing w:before="120"/>
      </w:pPr>
      <w:r>
        <w:t>‘Life company’ is defined by s</w:t>
      </w:r>
      <w:r w:rsidR="00B83817">
        <w:t>ection </w:t>
      </w:r>
      <w:r w:rsidR="00B23698">
        <w:t xml:space="preserve">5 of the Regulation to have the meaning given by the </w:t>
      </w:r>
      <w:r w:rsidR="00261F11">
        <w:rPr>
          <w:i/>
        </w:rPr>
        <w:t>Life Insurance Act </w:t>
      </w:r>
      <w:r w:rsidR="00B23698">
        <w:rPr>
          <w:i/>
        </w:rPr>
        <w:t>1995.</w:t>
      </w:r>
      <w:r w:rsidR="001C7F28">
        <w:rPr>
          <w:i/>
        </w:rPr>
        <w:t xml:space="preserve"> </w:t>
      </w:r>
      <w:r w:rsidR="001C7F28">
        <w:t>The Life Insurance Act defines ‘life company’ to mean a company that is carrying on life insurance business in Australia. ‘</w:t>
      </w:r>
      <w:r w:rsidR="00391C23">
        <w:t>Life </w:t>
      </w:r>
      <w:r w:rsidR="001C7F28">
        <w:t>insurance business’ is defined to mean a business that consists of any or all of the issuing of life policies; the issuing of sinking fund policies</w:t>
      </w:r>
      <w:r w:rsidR="00E131A1">
        <w:t xml:space="preserve"> (that is a contract where the company issuing the policy undertakes to pay money on one or more specifies dates where neither payment of that money nor the payment of premiums is dependent on the death or survival of the person to whom the policy is issued or any other person)</w:t>
      </w:r>
      <w:r w:rsidR="001C7F28">
        <w:t>; the undertaking of liability under sinking fund policies</w:t>
      </w:r>
      <w:r w:rsidR="00916649">
        <w:t xml:space="preserve"> or any related business.</w:t>
      </w:r>
      <w:r w:rsidR="001C7F28">
        <w:t xml:space="preserve"> </w:t>
      </w:r>
    </w:p>
    <w:p w14:paraId="3AFC92DE" w14:textId="0B7F4D3C" w:rsidR="00E131A1" w:rsidRDefault="00037D30" w:rsidP="009C4B67">
      <w:pPr>
        <w:pStyle w:val="Bullet"/>
        <w:numPr>
          <w:ilvl w:val="0"/>
          <w:numId w:val="0"/>
        </w:numPr>
        <w:spacing w:before="120"/>
      </w:pPr>
      <w:r>
        <w:t xml:space="preserve">Under section 29 of the Life Insurance Act a ‘statutory fund’ </w:t>
      </w:r>
      <w:r w:rsidR="0074510C">
        <w:t>is a fund that is established in the records of the company and relates solely to the life insurance business of the company or a particu</w:t>
      </w:r>
      <w:r w:rsidR="00261F11">
        <w:t>lar part of that business. Part </w:t>
      </w:r>
      <w:r w:rsidR="0074510C">
        <w:t xml:space="preserve">4 of the </w:t>
      </w:r>
      <w:r w:rsidR="00391C23">
        <w:t>Life </w:t>
      </w:r>
      <w:r w:rsidR="0074510C">
        <w:t>Insurance Act imposes requirements regarding statutory funds.</w:t>
      </w:r>
    </w:p>
    <w:p w14:paraId="7B6C32ED" w14:textId="23872A2B" w:rsidR="00037D30" w:rsidRDefault="00E131A1" w:rsidP="009C4B67">
      <w:pPr>
        <w:pStyle w:val="Bullet"/>
        <w:keepNext/>
        <w:numPr>
          <w:ilvl w:val="0"/>
          <w:numId w:val="0"/>
        </w:numPr>
        <w:spacing w:before="120"/>
        <w:rPr>
          <w:i/>
        </w:rPr>
      </w:pPr>
      <w:r>
        <w:rPr>
          <w:i/>
        </w:rPr>
        <w:t xml:space="preserve">Acquisition of </w:t>
      </w:r>
      <w:r w:rsidR="00EA5B80">
        <w:rPr>
          <w:i/>
        </w:rPr>
        <w:t xml:space="preserve">certain interests </w:t>
      </w:r>
      <w:r>
        <w:rPr>
          <w:i/>
        </w:rPr>
        <w:t>by a general insurer</w:t>
      </w:r>
    </w:p>
    <w:p w14:paraId="3180D571" w14:textId="540202EA" w:rsidR="007F49EC" w:rsidRDefault="006B2BAD" w:rsidP="009C4B67">
      <w:pPr>
        <w:pStyle w:val="Bullet"/>
        <w:keepNext/>
        <w:numPr>
          <w:ilvl w:val="0"/>
          <w:numId w:val="0"/>
        </w:numPr>
        <w:spacing w:before="120"/>
        <w:rPr>
          <w:i/>
        </w:rPr>
      </w:pPr>
      <w:r>
        <w:t>The excluded provisions do not apply to a</w:t>
      </w:r>
      <w:r w:rsidR="00EA5B80">
        <w:t>n acquisition of</w:t>
      </w:r>
      <w:r w:rsidR="00484858">
        <w:t xml:space="preserve"> an interest in Australian land</w:t>
      </w:r>
      <w:r w:rsidR="003F3886">
        <w:t xml:space="preserve"> (including an interest in a land entity)</w:t>
      </w:r>
      <w:r w:rsidR="00484858">
        <w:t>;</w:t>
      </w:r>
      <w:r w:rsidR="00EA5B80">
        <w:t xml:space="preserve"> an interest in </w:t>
      </w:r>
      <w:r w:rsidR="00126C42">
        <w:t xml:space="preserve">an exploration tenement or </w:t>
      </w:r>
      <w:r w:rsidR="00EA5B80">
        <w:t>a mining</w:t>
      </w:r>
      <w:r w:rsidR="00126C42">
        <w:t xml:space="preserve"> or </w:t>
      </w:r>
      <w:r w:rsidR="00EA5B80">
        <w:t>production tenement; or an interest in securities in a mining, production or exploration entity</w:t>
      </w:r>
      <w:r>
        <w:t xml:space="preserve"> </w:t>
      </w:r>
      <w:r w:rsidR="00484858">
        <w:t xml:space="preserve">by a foreign person that is a </w:t>
      </w:r>
      <w:r>
        <w:t xml:space="preserve">body corporate that is a general insurer </w:t>
      </w:r>
      <w:r w:rsidR="00EA5B80">
        <w:t xml:space="preserve">(other than a life company) </w:t>
      </w:r>
      <w:r>
        <w:t xml:space="preserve">operating in Australia or </w:t>
      </w:r>
      <w:r w:rsidR="00EA5B80">
        <w:t>a</w:t>
      </w:r>
      <w:r>
        <w:t xml:space="preserve"> subsidiary of a general insurer where the acquisition is made from the reserves of the body corporate and is consistent with the body corporate’s obligations under the </w:t>
      </w:r>
      <w:r w:rsidR="00261F11">
        <w:rPr>
          <w:i/>
        </w:rPr>
        <w:t>Insurance Act </w:t>
      </w:r>
      <w:r>
        <w:rPr>
          <w:i/>
        </w:rPr>
        <w:t>1973.</w:t>
      </w:r>
      <w:r w:rsidR="002C0AC6">
        <w:rPr>
          <w:i/>
        </w:rPr>
        <w:t xml:space="preserve"> </w:t>
      </w:r>
    </w:p>
    <w:p w14:paraId="38E880C1" w14:textId="534B62D1" w:rsidR="007F49EC" w:rsidRDefault="00F92952" w:rsidP="009C4B67">
      <w:pPr>
        <w:pStyle w:val="Bullet"/>
        <w:keepNext/>
        <w:numPr>
          <w:ilvl w:val="0"/>
          <w:numId w:val="0"/>
        </w:numPr>
        <w:spacing w:before="120"/>
      </w:pPr>
      <w:r>
        <w:t>Section</w:t>
      </w:r>
      <w:r w:rsidR="002C0AC6">
        <w:t> 5 of the Regulation</w:t>
      </w:r>
      <w:r w:rsidR="006B2BAD">
        <w:t xml:space="preserve"> </w:t>
      </w:r>
      <w:r w:rsidR="002C0AC6">
        <w:t xml:space="preserve">defines </w:t>
      </w:r>
      <w:r w:rsidR="00B83817">
        <w:t>‘</w:t>
      </w:r>
      <w:r w:rsidR="002C0AC6">
        <w:t>g</w:t>
      </w:r>
      <w:r w:rsidR="00B83817">
        <w:t>eneral insurer’</w:t>
      </w:r>
      <w:r w:rsidR="002C0AC6">
        <w:t xml:space="preserve"> to</w:t>
      </w:r>
      <w:r w:rsidR="00B83817">
        <w:t xml:space="preserve"> </w:t>
      </w:r>
      <w:r w:rsidR="002C0AC6">
        <w:t xml:space="preserve">have </w:t>
      </w:r>
      <w:r w:rsidR="00B83817">
        <w:t xml:space="preserve">the meaning given by the Insurance Act. </w:t>
      </w:r>
      <w:r w:rsidR="008265F8">
        <w:t xml:space="preserve">Section 11 of the Insurance Act defines </w:t>
      </w:r>
      <w:r w:rsidR="007F49EC">
        <w:t>general insurer to mean a body corporate that is authorised under that Act to carry on insurance business in Australia. ‘Insurance business’ means the business of undertaking liability, by way of insurance, including reinsurance, in respect of any loss or damage, including liability to pay damages or compensation, contingent upon the happening of a specified event, and includes any business incidental to insurance business as so defined. It does not include:</w:t>
      </w:r>
    </w:p>
    <w:p w14:paraId="4005B198" w14:textId="33344367" w:rsidR="007F49EC" w:rsidRDefault="007F49EC" w:rsidP="009C4B67">
      <w:pPr>
        <w:pStyle w:val="Bullet"/>
        <w:spacing w:before="120"/>
      </w:pPr>
      <w:r>
        <w:t>life insurance business;</w:t>
      </w:r>
    </w:p>
    <w:p w14:paraId="471197DF" w14:textId="713DDCDB" w:rsidR="00E131A1" w:rsidRDefault="007F49EC" w:rsidP="009C4B67">
      <w:pPr>
        <w:pStyle w:val="Bullet"/>
        <w:spacing w:before="120"/>
      </w:pPr>
      <w:r>
        <w:t>accident insurance business undertaken solely in connection with life insurance business;</w:t>
      </w:r>
    </w:p>
    <w:p w14:paraId="6FD4433A" w14:textId="4ABCCDF9" w:rsidR="007F49EC" w:rsidRDefault="007F49EC" w:rsidP="009C4B67">
      <w:pPr>
        <w:pStyle w:val="Bullet"/>
        <w:spacing w:before="120"/>
      </w:pPr>
      <w:r>
        <w:t xml:space="preserve">pecuniary loss insurance business carried on solely in the course of carrying on banking business and for the purposes of that business by an </w:t>
      </w:r>
      <w:proofErr w:type="spellStart"/>
      <w:r>
        <w:t>ADI</w:t>
      </w:r>
      <w:proofErr w:type="spellEnd"/>
      <w:r>
        <w:t>;</w:t>
      </w:r>
    </w:p>
    <w:p w14:paraId="0A3FC031" w14:textId="6C8C11B9" w:rsidR="007F49EC" w:rsidRDefault="007F49EC" w:rsidP="009C4B67">
      <w:pPr>
        <w:pStyle w:val="Bullet"/>
        <w:spacing w:before="120"/>
      </w:pPr>
      <w:r>
        <w:t>business in relation to the benefits provided by a friendly society or trade union for its members or their dependents;</w:t>
      </w:r>
    </w:p>
    <w:p w14:paraId="130FB25F" w14:textId="7ADDB112" w:rsidR="007F49EC" w:rsidRDefault="007F49EC" w:rsidP="009C4B67">
      <w:pPr>
        <w:pStyle w:val="Bullet"/>
        <w:spacing w:before="120"/>
      </w:pPr>
      <w:r>
        <w:t xml:space="preserve">business in relation to a scheme or arrangement under which superannuation benefits, pensions or payments to employees or their dependants (and not other persons) on retirement, disability or death are provided by an employer or an employer’s employee or by both, wholly through an </w:t>
      </w:r>
      <w:r w:rsidR="00DB6E2E">
        <w:t xml:space="preserve">organisation </w:t>
      </w:r>
      <w:r>
        <w:t>established solely for the that purpose by the employer or the employer’s employees or by both; or</w:t>
      </w:r>
    </w:p>
    <w:p w14:paraId="355FAA0E" w14:textId="77777777" w:rsidR="00A72312" w:rsidRDefault="007F49EC" w:rsidP="009C4B67">
      <w:pPr>
        <w:pStyle w:val="Bullet"/>
        <w:spacing w:before="120"/>
      </w:pPr>
      <w:r>
        <w:t>business in relation to a scheme or arrangements for the provisions of benefits consisting of the supply of funeral, burial or cremation services; the payment of money, upon the death of a person, for the purpose of meeting the whole or a part of the expenses of and incidental to the funeral, burial or cremation of that person;</w:t>
      </w:r>
    </w:p>
    <w:p w14:paraId="768A9AE8" w14:textId="39B74CD7" w:rsidR="00A72312" w:rsidRDefault="00424DFB" w:rsidP="00F4465E">
      <w:pPr>
        <w:pStyle w:val="Bullet"/>
        <w:keepNext/>
        <w:pageBreakBefore/>
        <w:spacing w:before="120"/>
      </w:pPr>
      <w:r>
        <w:t>b</w:t>
      </w:r>
      <w:r w:rsidR="00A72312">
        <w:t>usiness undertaken by a person, being an innkeeper or lodgi</w:t>
      </w:r>
      <w:r>
        <w:t>ng-house keeper, relating only t</w:t>
      </w:r>
      <w:r w:rsidR="00A72312">
        <w:t>o the person’s liability in respect of goods belonging to an</w:t>
      </w:r>
      <w:r>
        <w:t>o</w:t>
      </w:r>
      <w:r w:rsidR="00A72312">
        <w:t>ther person and in the possession or under the control of a guest at the inn or lodging</w:t>
      </w:r>
      <w:r w:rsidR="00391C23">
        <w:noBreakHyphen/>
      </w:r>
      <w:r w:rsidR="00A72312">
        <w:t>house of which the first</w:t>
      </w:r>
      <w:r w:rsidR="000C2D26">
        <w:noBreakHyphen/>
      </w:r>
      <w:r w:rsidR="00A72312">
        <w:t>mentioned person is the innkeeper or lodging</w:t>
      </w:r>
      <w:r w:rsidR="00391C23">
        <w:noBreakHyphen/>
      </w:r>
      <w:r w:rsidR="00A72312">
        <w:t>house keeper or deposited with the innkeeper or lodging</w:t>
      </w:r>
      <w:r w:rsidR="000C2D26">
        <w:noBreakHyphen/>
      </w:r>
      <w:r w:rsidR="00A72312">
        <w:t xml:space="preserve">house keeper for safe custody; </w:t>
      </w:r>
    </w:p>
    <w:p w14:paraId="01B40467" w14:textId="17779E38" w:rsidR="007F49EC" w:rsidRDefault="00A72312" w:rsidP="00AD044B">
      <w:pPr>
        <w:pStyle w:val="Bullet"/>
        <w:keepNext/>
        <w:spacing w:before="120"/>
      </w:pPr>
      <w:r>
        <w:t>the business of insuring the property</w:t>
      </w:r>
      <w:r w:rsidR="00874B72">
        <w:t xml:space="preserve"> the property of a registered religious institution where the person carrying on the business does not carry on any other business;</w:t>
      </w:r>
    </w:p>
    <w:p w14:paraId="29F7835F" w14:textId="3DA794B6" w:rsidR="00874B72" w:rsidRDefault="00874B72" w:rsidP="009C4B67">
      <w:pPr>
        <w:pStyle w:val="Bullet"/>
        <w:spacing w:before="120"/>
      </w:pPr>
      <w:r>
        <w:t>health</w:t>
      </w:r>
      <w:r w:rsidR="000C2D26">
        <w:noBreakHyphen/>
      </w:r>
      <w:r>
        <w:t xml:space="preserve">related business within the meaning of </w:t>
      </w:r>
      <w:r w:rsidR="000C2D26">
        <w:t>section </w:t>
      </w:r>
      <w:r>
        <w:t>131</w:t>
      </w:r>
      <w:r w:rsidR="000C2D26">
        <w:noBreakHyphen/>
      </w:r>
      <w:r>
        <w:t xml:space="preserve">15 of the </w:t>
      </w:r>
      <w:r w:rsidR="000C2D26">
        <w:rPr>
          <w:i/>
        </w:rPr>
        <w:t>Private </w:t>
      </w:r>
      <w:r>
        <w:rPr>
          <w:i/>
        </w:rPr>
        <w:t xml:space="preserve">Health Insurance </w:t>
      </w:r>
      <w:r w:rsidR="000C2D26">
        <w:rPr>
          <w:i/>
        </w:rPr>
        <w:t>Act </w:t>
      </w:r>
      <w:r>
        <w:rPr>
          <w:i/>
        </w:rPr>
        <w:t>2007</w:t>
      </w:r>
      <w:r>
        <w:t xml:space="preserve"> carried on by a private health insurer within the meaning of that Act through a health benefits fund within the meaning of section 131</w:t>
      </w:r>
      <w:r w:rsidR="000C2D26">
        <w:noBreakHyphen/>
      </w:r>
      <w:r>
        <w:t>10 of that Act; or</w:t>
      </w:r>
    </w:p>
    <w:p w14:paraId="676A1196" w14:textId="2799B7F3" w:rsidR="00874B72" w:rsidRPr="00874B72" w:rsidRDefault="00874B72" w:rsidP="009C4B67">
      <w:pPr>
        <w:pStyle w:val="Bullet"/>
        <w:spacing w:before="120"/>
      </w:pPr>
      <w:r>
        <w:t xml:space="preserve">health insurance business within the meaning of </w:t>
      </w:r>
      <w:r w:rsidR="00BC3748">
        <w:t>Division </w:t>
      </w:r>
      <w:r>
        <w:t xml:space="preserve">121 of the </w:t>
      </w:r>
      <w:r w:rsidR="000C2D26" w:rsidRPr="009C4B67">
        <w:t>Private</w:t>
      </w:r>
      <w:r w:rsidR="000C2D26">
        <w:t> </w:t>
      </w:r>
      <w:r w:rsidRPr="009C4B67">
        <w:t xml:space="preserve">Health </w:t>
      </w:r>
      <w:r w:rsidR="000C2D26" w:rsidRPr="009C4B67">
        <w:t>Insurance</w:t>
      </w:r>
      <w:r w:rsidR="000C2D26">
        <w:t> </w:t>
      </w:r>
      <w:r w:rsidRPr="009C4B67">
        <w:t>Act</w:t>
      </w:r>
      <w:r>
        <w:rPr>
          <w:i/>
        </w:rPr>
        <w:t xml:space="preserve"> </w:t>
      </w:r>
      <w:r w:rsidRPr="00874B72">
        <w:t xml:space="preserve">carried on by a private health insurer within the meaning of that Act. </w:t>
      </w:r>
    </w:p>
    <w:p w14:paraId="08FD67AC" w14:textId="4F32A065" w:rsidR="00874B72" w:rsidRDefault="00874B72" w:rsidP="009C4B67">
      <w:pPr>
        <w:pStyle w:val="Bullet"/>
        <w:numPr>
          <w:ilvl w:val="0"/>
          <w:numId w:val="0"/>
        </w:numPr>
        <w:spacing w:before="120"/>
        <w:rPr>
          <w:i/>
        </w:rPr>
      </w:pPr>
      <w:r w:rsidRPr="00874B72">
        <w:rPr>
          <w:i/>
        </w:rPr>
        <w:t xml:space="preserve">Acquisition of </w:t>
      </w:r>
      <w:r w:rsidR="00484858">
        <w:rPr>
          <w:i/>
        </w:rPr>
        <w:t xml:space="preserve">certain </w:t>
      </w:r>
      <w:r w:rsidRPr="00874B72">
        <w:rPr>
          <w:i/>
        </w:rPr>
        <w:t>interest</w:t>
      </w:r>
      <w:r w:rsidR="00484858">
        <w:rPr>
          <w:i/>
        </w:rPr>
        <w:t>s</w:t>
      </w:r>
      <w:r w:rsidRPr="00874B72">
        <w:rPr>
          <w:i/>
        </w:rPr>
        <w:t xml:space="preserve"> </w:t>
      </w:r>
      <w:r>
        <w:rPr>
          <w:i/>
        </w:rPr>
        <w:t>by an Australian business that maintains a superannuation fund</w:t>
      </w:r>
    </w:p>
    <w:p w14:paraId="562EDEF8" w14:textId="47103907" w:rsidR="000776EB" w:rsidRDefault="00484858" w:rsidP="009C4B67">
      <w:pPr>
        <w:pStyle w:val="Bullet"/>
        <w:numPr>
          <w:ilvl w:val="0"/>
          <w:numId w:val="0"/>
        </w:numPr>
        <w:spacing w:before="120"/>
      </w:pPr>
      <w:r>
        <w:t>The excluded provisions do not apply to an acquisition of an interest in Australian land</w:t>
      </w:r>
      <w:r w:rsidR="003F3886">
        <w:t xml:space="preserve"> (including an interest in a land entity)</w:t>
      </w:r>
      <w:r>
        <w:t>; an interest in a mining, production or exploration tenement; or an interest in securities in a mining, production or exploration entity by a foreign person that is a</w:t>
      </w:r>
      <w:r w:rsidR="00834AB4">
        <w:t>n</w:t>
      </w:r>
      <w:r w:rsidR="00874B72">
        <w:t xml:space="preserve"> Australian business that maintains a superannuation fund for its employees (within the meaning of the </w:t>
      </w:r>
      <w:r w:rsidR="00FB6428">
        <w:rPr>
          <w:i/>
        </w:rPr>
        <w:t>Superannuation </w:t>
      </w:r>
      <w:r w:rsidR="00874B72">
        <w:rPr>
          <w:i/>
        </w:rPr>
        <w:t xml:space="preserve">Industry (Supervision) </w:t>
      </w:r>
      <w:r w:rsidR="00FB6428">
        <w:rPr>
          <w:i/>
        </w:rPr>
        <w:t>Act </w:t>
      </w:r>
      <w:r w:rsidR="00874B72">
        <w:rPr>
          <w:i/>
        </w:rPr>
        <w:t>1993</w:t>
      </w:r>
      <w:r w:rsidR="00874B72">
        <w:t>) primarily for the benefit of the members of the fund, or their dependents, who are or</w:t>
      </w:r>
      <w:r w:rsidR="00834AB4">
        <w:t xml:space="preserve">dinarily resident in Australia if </w:t>
      </w:r>
      <w:r>
        <w:t>the acquisition is made as an investment of all or part of the assets of the fund</w:t>
      </w:r>
      <w:r w:rsidR="00834AB4">
        <w:t>.</w:t>
      </w:r>
    </w:p>
    <w:p w14:paraId="1B9DC39D" w14:textId="7F00E5C0" w:rsidR="000776EB" w:rsidRDefault="000776EB" w:rsidP="009C4B67">
      <w:pPr>
        <w:pStyle w:val="Bullet"/>
        <w:numPr>
          <w:ilvl w:val="0"/>
          <w:numId w:val="0"/>
        </w:numPr>
        <w:spacing w:before="120"/>
        <w:rPr>
          <w:i/>
        </w:rPr>
      </w:pPr>
      <w:r w:rsidRPr="00874B72">
        <w:rPr>
          <w:i/>
        </w:rPr>
        <w:t xml:space="preserve">Acquisition of </w:t>
      </w:r>
      <w:r w:rsidR="00133A08">
        <w:rPr>
          <w:i/>
        </w:rPr>
        <w:t xml:space="preserve">certain </w:t>
      </w:r>
      <w:r w:rsidRPr="00874B72">
        <w:rPr>
          <w:i/>
        </w:rPr>
        <w:t>interest</w:t>
      </w:r>
      <w:r w:rsidR="00133A08">
        <w:rPr>
          <w:i/>
        </w:rPr>
        <w:t>s</w:t>
      </w:r>
      <w:r w:rsidRPr="00874B72">
        <w:rPr>
          <w:i/>
        </w:rPr>
        <w:t xml:space="preserve"> </w:t>
      </w:r>
      <w:r>
        <w:rPr>
          <w:i/>
        </w:rPr>
        <w:t>by a responsible entity of a managed investment scheme</w:t>
      </w:r>
    </w:p>
    <w:p w14:paraId="7BFE9DA5" w14:textId="0BE94EBD" w:rsidR="00874B72" w:rsidRPr="00D56757" w:rsidRDefault="00552CE4" w:rsidP="009C4B67">
      <w:pPr>
        <w:pStyle w:val="Bullet"/>
        <w:numPr>
          <w:ilvl w:val="0"/>
          <w:numId w:val="0"/>
        </w:numPr>
        <w:spacing w:before="120"/>
      </w:pPr>
      <w:r>
        <w:t>The excluded provisions do not apply to an acquisition of an interest in Australian land</w:t>
      </w:r>
      <w:r w:rsidR="003F3886">
        <w:t xml:space="preserve"> (including an interest in a land entity)</w:t>
      </w:r>
      <w:r>
        <w:t xml:space="preserve">; an interest in a mining, production or exploration tenement; or an interest in securities in a mining, production or exploration entity by a foreign person that is a </w:t>
      </w:r>
      <w:r w:rsidR="00D56757">
        <w:t xml:space="preserve">responsible entity of a managed investment scheme registered under section 601EB of the Corporations Act to the extent that it acquires an interest in Australian land that is primarily for the benefit of scheme members who are ordinarily resident in Australia. </w:t>
      </w:r>
    </w:p>
    <w:p w14:paraId="7FB1CAA8" w14:textId="0A836258" w:rsidR="00593DAF" w:rsidRPr="00B17C53" w:rsidRDefault="00FB6428" w:rsidP="009C4B67">
      <w:pPr>
        <w:pStyle w:val="Bullet"/>
        <w:keepNext/>
        <w:numPr>
          <w:ilvl w:val="0"/>
          <w:numId w:val="0"/>
        </w:numPr>
        <w:spacing w:before="120"/>
        <w:rPr>
          <w:b/>
        </w:rPr>
      </w:pPr>
      <w:r w:rsidRPr="004C1D8B">
        <w:rPr>
          <w:b/>
        </w:rPr>
        <w:t>Secti</w:t>
      </w:r>
      <w:r w:rsidRPr="00B17C53">
        <w:rPr>
          <w:b/>
        </w:rPr>
        <w:t>on </w:t>
      </w:r>
      <w:r w:rsidR="009B5390" w:rsidRPr="00B17C53">
        <w:rPr>
          <w:b/>
        </w:rPr>
        <w:t>37 </w:t>
      </w:r>
      <w:r w:rsidR="009B5390" w:rsidRPr="00B17C53">
        <w:rPr>
          <w:rFonts w:ascii="Calibri" w:hAnsi="Calibri"/>
          <w:b/>
        </w:rPr>
        <w:t>—</w:t>
      </w:r>
      <w:r w:rsidR="009B5390" w:rsidRPr="00B17C53">
        <w:rPr>
          <w:b/>
        </w:rPr>
        <w:t> </w:t>
      </w:r>
      <w:r w:rsidR="00CA31A1" w:rsidRPr="00B17C53">
        <w:rPr>
          <w:b/>
        </w:rPr>
        <w:t>Acquisition in certain circumstances</w:t>
      </w:r>
    </w:p>
    <w:p w14:paraId="501C7A37" w14:textId="04D1B369" w:rsidR="007D6115" w:rsidRPr="00B17C53" w:rsidRDefault="009C152E" w:rsidP="009C4B67">
      <w:pPr>
        <w:pStyle w:val="Bullet"/>
        <w:keepNext/>
        <w:numPr>
          <w:ilvl w:val="0"/>
          <w:numId w:val="0"/>
        </w:numPr>
        <w:spacing w:before="120"/>
      </w:pPr>
      <w:r w:rsidRPr="00B17C53">
        <w:t>Section </w:t>
      </w:r>
      <w:r w:rsidR="00D65873" w:rsidRPr="00B17C53">
        <w:t xml:space="preserve">37 </w:t>
      </w:r>
      <w:r w:rsidR="0005782F" w:rsidRPr="00B17C53">
        <w:t xml:space="preserve">of the Regulation specifies the circumstances in which the </w:t>
      </w:r>
      <w:r w:rsidR="00916649" w:rsidRPr="00B17C53">
        <w:t xml:space="preserve">excluded provisions </w:t>
      </w:r>
      <w:r w:rsidR="0005782F" w:rsidRPr="00B17C53">
        <w:t>do not apply in relation to an acquisition of an interest in Australian land by a foreign person.</w:t>
      </w:r>
    </w:p>
    <w:p w14:paraId="008481D9" w14:textId="6F6369F6" w:rsidR="00E764C7" w:rsidRPr="00B17C53" w:rsidRDefault="00E764C7" w:rsidP="00F4465E">
      <w:pPr>
        <w:pStyle w:val="Bullet"/>
        <w:keepNext/>
        <w:pageBreakBefore/>
        <w:numPr>
          <w:ilvl w:val="0"/>
          <w:numId w:val="0"/>
        </w:numPr>
        <w:spacing w:before="120"/>
      </w:pPr>
      <w:r w:rsidRPr="00B17C53">
        <w:rPr>
          <w:i/>
        </w:rPr>
        <w:t>Securities in list</w:t>
      </w:r>
      <w:r w:rsidR="00D56757" w:rsidRPr="00B17C53">
        <w:rPr>
          <w:i/>
        </w:rPr>
        <w:t>ed</w:t>
      </w:r>
      <w:r w:rsidRPr="00B17C53">
        <w:rPr>
          <w:i/>
        </w:rPr>
        <w:t xml:space="preserve"> Australian land entities and stapled securities</w:t>
      </w:r>
    </w:p>
    <w:p w14:paraId="0598770A" w14:textId="5D759646" w:rsidR="004C1D71" w:rsidRPr="00B17C53" w:rsidRDefault="00916649" w:rsidP="009C4B67">
      <w:pPr>
        <w:pStyle w:val="Bullet"/>
        <w:numPr>
          <w:ilvl w:val="0"/>
          <w:numId w:val="0"/>
        </w:numPr>
        <w:spacing w:before="120"/>
      </w:pPr>
      <w:r w:rsidRPr="00B17C53">
        <w:t>Subsection</w:t>
      </w:r>
      <w:r w:rsidR="00210226" w:rsidRPr="00B17C53">
        <w:t> </w:t>
      </w:r>
      <w:r w:rsidR="00D65873" w:rsidRPr="00B17C53">
        <w:t>37</w:t>
      </w:r>
      <w:r w:rsidRPr="00B17C53">
        <w:t xml:space="preserve">(2) of the </w:t>
      </w:r>
      <w:r w:rsidR="002C59F7" w:rsidRPr="00B17C53">
        <w:t>Regulation</w:t>
      </w:r>
      <w:r w:rsidRPr="00B17C53">
        <w:t xml:space="preserve"> provides that t</w:t>
      </w:r>
      <w:r w:rsidR="0005782F" w:rsidRPr="00B17C53">
        <w:t xml:space="preserve">he </w:t>
      </w:r>
      <w:r w:rsidR="00C45B40" w:rsidRPr="00B17C53">
        <w:t xml:space="preserve">excluded </w:t>
      </w:r>
      <w:r w:rsidR="0005782F" w:rsidRPr="00B17C53">
        <w:t xml:space="preserve">provisions </w:t>
      </w:r>
      <w:r w:rsidR="004C1D71" w:rsidRPr="00B17C53">
        <w:t>do not apply to the acquisition of an interest in Australian land that is:</w:t>
      </w:r>
    </w:p>
    <w:p w14:paraId="5FCAF7A8" w14:textId="242F110E" w:rsidR="0005782F" w:rsidRPr="00B17C53" w:rsidRDefault="004C1D71" w:rsidP="009C4B67">
      <w:pPr>
        <w:pStyle w:val="Bullet"/>
        <w:spacing w:before="120"/>
      </w:pPr>
      <w:r w:rsidRPr="00B17C53">
        <w:t>an acquisition of an interest</w:t>
      </w:r>
      <w:r w:rsidR="00C45B40" w:rsidRPr="00B17C53">
        <w:t xml:space="preserve"> in shares or units in a land entity</w:t>
      </w:r>
      <w:r w:rsidRPr="00B17C53">
        <w:t xml:space="preserve">; </w:t>
      </w:r>
    </w:p>
    <w:p w14:paraId="331B30CA" w14:textId="27B3A1F3" w:rsidR="004C1D71" w:rsidRPr="00B17C53" w:rsidRDefault="004C1D71" w:rsidP="009C4B67">
      <w:pPr>
        <w:pStyle w:val="Bullet"/>
        <w:spacing w:before="120"/>
      </w:pPr>
      <w:r w:rsidRPr="00B17C53">
        <w:t xml:space="preserve">the </w:t>
      </w:r>
      <w:r w:rsidR="00C45B40" w:rsidRPr="00B17C53">
        <w:t xml:space="preserve">land </w:t>
      </w:r>
      <w:r w:rsidRPr="00B17C53">
        <w:t>entity is or will be listed for quotation in the official list of a stock exchange (whether or not in Australia)</w:t>
      </w:r>
      <w:r w:rsidR="000C2D26" w:rsidRPr="00B17C53">
        <w:t>. An acquisition that is pursuant to an initial public offering meets ‘will be listed’</w:t>
      </w:r>
      <w:r w:rsidRPr="00B17C53">
        <w:t>;</w:t>
      </w:r>
    </w:p>
    <w:p w14:paraId="6AFCE35D" w14:textId="5065612F" w:rsidR="004C1D71" w:rsidRPr="00B17C53" w:rsidRDefault="004C1D71" w:rsidP="009C4B67">
      <w:pPr>
        <w:pStyle w:val="Bullet"/>
        <w:spacing w:before="120"/>
      </w:pPr>
      <w:r w:rsidRPr="00B17C53">
        <w:t>after the acquisition, the foreign person, alone or together with one or more associates, holds an interest of less than 10</w:t>
      </w:r>
      <w:r w:rsidR="00210226" w:rsidRPr="00B17C53">
        <w:t> </w:t>
      </w:r>
      <w:r w:rsidRPr="00B17C53">
        <w:t>per cent in the entity; and</w:t>
      </w:r>
    </w:p>
    <w:p w14:paraId="54BFD2A1" w14:textId="3CAE1C1B" w:rsidR="000C078D" w:rsidRPr="00B17C53" w:rsidRDefault="004C1D71" w:rsidP="009C4B67">
      <w:pPr>
        <w:pStyle w:val="Bullet"/>
        <w:spacing w:before="120"/>
      </w:pPr>
      <w:r w:rsidRPr="00B17C53">
        <w:t>the foreign person is not in a position to influence or participate in the central management and control of the entity</w:t>
      </w:r>
      <w:r w:rsidR="00C45B40" w:rsidRPr="00B17C53">
        <w:t>, or to influence, participate in or determine the policy of the land entity</w:t>
      </w:r>
      <w:r w:rsidR="00916649" w:rsidRPr="00B17C53">
        <w:t>.</w:t>
      </w:r>
    </w:p>
    <w:p w14:paraId="350D68D4" w14:textId="7320DD41" w:rsidR="00584AD6" w:rsidRDefault="00835695" w:rsidP="009C4B67">
      <w:pPr>
        <w:pStyle w:val="Bullet"/>
        <w:numPr>
          <w:ilvl w:val="0"/>
          <w:numId w:val="0"/>
        </w:numPr>
        <w:spacing w:before="120"/>
      </w:pPr>
      <w:r w:rsidRPr="00B17C53">
        <w:t>Subsection</w:t>
      </w:r>
      <w:r w:rsidR="00301EFF" w:rsidRPr="00B17C53">
        <w:t> </w:t>
      </w:r>
      <w:r w:rsidR="00D65873" w:rsidRPr="00B17C53">
        <w:t>37</w:t>
      </w:r>
      <w:r w:rsidRPr="00B17C53">
        <w:t xml:space="preserve">(3) </w:t>
      </w:r>
      <w:r w:rsidR="00F977F6" w:rsidRPr="00B17C53">
        <w:t xml:space="preserve">of the Regulation </w:t>
      </w:r>
      <w:r w:rsidRPr="00B17C53">
        <w:t>provides that t</w:t>
      </w:r>
      <w:r w:rsidR="00584AD6" w:rsidRPr="00B17C53">
        <w:t>he provisions in the Act that apply to the acquisition of an</w:t>
      </w:r>
      <w:r w:rsidR="00584AD6">
        <w:t xml:space="preserve"> interest in </w:t>
      </w:r>
      <w:r w:rsidR="00C45B40">
        <w:t xml:space="preserve">Australian </w:t>
      </w:r>
      <w:r w:rsidR="00584AD6">
        <w:t xml:space="preserve">land do not apply to the acquisition of an interest in Australian land that is: </w:t>
      </w:r>
    </w:p>
    <w:p w14:paraId="68D08CF8" w14:textId="16204471" w:rsidR="004C1D71" w:rsidRDefault="00584AD6" w:rsidP="009C4B67">
      <w:pPr>
        <w:pStyle w:val="Bullet"/>
        <w:spacing w:before="120"/>
      </w:pPr>
      <w:r>
        <w:t xml:space="preserve">an acquisition of an interest </w:t>
      </w:r>
      <w:r w:rsidR="00C45B40">
        <w:t>in shares or units in a land entity</w:t>
      </w:r>
      <w:r>
        <w:t>;</w:t>
      </w:r>
    </w:p>
    <w:p w14:paraId="06566D9C" w14:textId="431C1179" w:rsidR="00584AD6" w:rsidRDefault="00584AD6" w:rsidP="009C4B67">
      <w:pPr>
        <w:pStyle w:val="Bullet"/>
        <w:spacing w:before="120"/>
      </w:pPr>
      <w:r>
        <w:t>the interests in the shares or trust can only be transferred together with interests in one or more securities in another entity;</w:t>
      </w:r>
    </w:p>
    <w:p w14:paraId="35100852" w14:textId="7A1DA92C" w:rsidR="00584AD6" w:rsidRPr="00916649" w:rsidRDefault="00584AD6" w:rsidP="009C4B67">
      <w:pPr>
        <w:pStyle w:val="Bullet"/>
        <w:spacing w:before="120"/>
      </w:pPr>
      <w:r w:rsidRPr="00916649">
        <w:t>the interest in the securities in the other entity is covered by subsection</w:t>
      </w:r>
      <w:r w:rsidR="00210226">
        <w:t> </w:t>
      </w:r>
      <w:r w:rsidR="009C4B67">
        <w:t>3</w:t>
      </w:r>
      <w:r w:rsidR="00D54043">
        <w:t>7</w:t>
      </w:r>
      <w:r w:rsidRPr="00916649">
        <w:t>(2)</w:t>
      </w:r>
      <w:r w:rsidR="00C45B40">
        <w:t xml:space="preserve"> of the Regulation</w:t>
      </w:r>
      <w:r w:rsidRPr="00916649">
        <w:t>.</w:t>
      </w:r>
    </w:p>
    <w:p w14:paraId="403F8367" w14:textId="2349CACF" w:rsidR="009718D1" w:rsidRDefault="009718D1" w:rsidP="009C4B67">
      <w:pPr>
        <w:pStyle w:val="Bullet"/>
        <w:keepNext/>
        <w:numPr>
          <w:ilvl w:val="0"/>
          <w:numId w:val="0"/>
        </w:numPr>
        <w:spacing w:before="120"/>
        <w:rPr>
          <w:i/>
        </w:rPr>
      </w:pPr>
      <w:r>
        <w:rPr>
          <w:i/>
        </w:rPr>
        <w:t>Securities in unlisted Australian land entities</w:t>
      </w:r>
    </w:p>
    <w:p w14:paraId="66032FB3" w14:textId="086E4737" w:rsidR="009718D1" w:rsidRDefault="00953A9E" w:rsidP="009C4B67">
      <w:pPr>
        <w:pStyle w:val="Bullet"/>
        <w:keepNext/>
        <w:numPr>
          <w:ilvl w:val="0"/>
          <w:numId w:val="0"/>
        </w:numPr>
        <w:spacing w:before="120"/>
      </w:pPr>
      <w:r>
        <w:t xml:space="preserve">The </w:t>
      </w:r>
      <w:r w:rsidR="00D5133F">
        <w:t xml:space="preserve">excluded </w:t>
      </w:r>
      <w:r>
        <w:t>provisions d</w:t>
      </w:r>
      <w:r w:rsidR="00D5133F">
        <w:t>o not apply to</w:t>
      </w:r>
      <w:r w:rsidR="00C45B40">
        <w:t xml:space="preserve"> an acquisition of an interest in Australian land by a foreign person if</w:t>
      </w:r>
      <w:r>
        <w:t>:</w:t>
      </w:r>
    </w:p>
    <w:p w14:paraId="1D07D129" w14:textId="51734DB2" w:rsidR="00D5133F" w:rsidRDefault="00C45B40" w:rsidP="009C4B67">
      <w:pPr>
        <w:pStyle w:val="Bullet"/>
        <w:spacing w:before="120"/>
      </w:pPr>
      <w:r>
        <w:t>the</w:t>
      </w:r>
      <w:r w:rsidR="00D5133F">
        <w:t xml:space="preserve"> acquisition</w:t>
      </w:r>
      <w:r>
        <w:t xml:space="preserve"> is of an interest in Australian land that is an acquisition of an interest in shares or units in a land entity</w:t>
      </w:r>
      <w:r w:rsidR="00D5133F">
        <w:t xml:space="preserve">; </w:t>
      </w:r>
    </w:p>
    <w:p w14:paraId="4A191A75" w14:textId="35CDAA53" w:rsidR="00953A9E" w:rsidRDefault="00953A9E" w:rsidP="009C4B67">
      <w:pPr>
        <w:pStyle w:val="Bullet"/>
        <w:spacing w:before="120"/>
      </w:pPr>
      <w:r>
        <w:t xml:space="preserve">the entity is not, </w:t>
      </w:r>
      <w:r w:rsidRPr="005F0F12">
        <w:t>and will not be, listed for quotation in the official list of any stock exchange</w:t>
      </w:r>
      <w:r w:rsidR="000C2D26" w:rsidRPr="005F0F12">
        <w:t>. An acquisition</w:t>
      </w:r>
      <w:r w:rsidR="000C2D26">
        <w:t xml:space="preserve"> of securities will meet the ‘will not be’ requirement so long as the acquisition is not made pursuant to an initial public offer</w:t>
      </w:r>
      <w:r w:rsidR="00391C23">
        <w:t xml:space="preserve"> (IPO)</w:t>
      </w:r>
      <w:r w:rsidR="00D5133F">
        <w:t>;</w:t>
      </w:r>
    </w:p>
    <w:p w14:paraId="605C6803" w14:textId="3756DF8A" w:rsidR="00953A9E" w:rsidRDefault="00953A9E" w:rsidP="009C4B67">
      <w:pPr>
        <w:pStyle w:val="Bullet"/>
        <w:spacing w:before="120"/>
      </w:pPr>
      <w:r>
        <w:t>after the acquisition, the foreign person, alone or together with one or more associates, holds an interest of less than 5 per cent in the entity</w:t>
      </w:r>
      <w:r w:rsidR="00D5133F">
        <w:t>;</w:t>
      </w:r>
    </w:p>
    <w:p w14:paraId="67102A9F" w14:textId="10B9A12A" w:rsidR="00953A9E" w:rsidRPr="005F0F12" w:rsidRDefault="00953A9E" w:rsidP="009C4B67">
      <w:pPr>
        <w:pStyle w:val="Bullet"/>
        <w:spacing w:before="120"/>
      </w:pPr>
      <w:r>
        <w:t xml:space="preserve">the foreign person is not in a position to influence or participate in the central management and control of the </w:t>
      </w:r>
      <w:r w:rsidR="00C45B40">
        <w:t xml:space="preserve">land </w:t>
      </w:r>
      <w:r>
        <w:t>entit</w:t>
      </w:r>
      <w:r w:rsidR="00D5133F">
        <w:t>y</w:t>
      </w:r>
      <w:r w:rsidR="00C45B40">
        <w:t xml:space="preserve"> or to influence, participate in or </w:t>
      </w:r>
      <w:r w:rsidR="00C45B40" w:rsidRPr="005F0F12">
        <w:t>determine the policy of the land entity</w:t>
      </w:r>
      <w:r w:rsidRPr="005F0F12">
        <w:t>;</w:t>
      </w:r>
    </w:p>
    <w:p w14:paraId="0E80B5D4" w14:textId="255620C0" w:rsidR="00953A9E" w:rsidRPr="005F0F12" w:rsidRDefault="00953A9E" w:rsidP="009C4B67">
      <w:pPr>
        <w:pStyle w:val="Bullet"/>
        <w:spacing w:before="120"/>
      </w:pPr>
      <w:r w:rsidRPr="005F0F12">
        <w:t>there are</w:t>
      </w:r>
      <w:r w:rsidR="00B5181D" w:rsidRPr="005F0F12">
        <w:t>,</w:t>
      </w:r>
      <w:r w:rsidRPr="005F0F12">
        <w:t xml:space="preserve"> or</w:t>
      </w:r>
      <w:r w:rsidR="00EA15E6" w:rsidRPr="005F0F12">
        <w:t xml:space="preserve"> </w:t>
      </w:r>
      <w:r w:rsidR="00E613EA" w:rsidRPr="005F0F12">
        <w:t>as a result of</w:t>
      </w:r>
      <w:r w:rsidR="00EA15E6" w:rsidRPr="005F0F12">
        <w:t xml:space="preserve"> the acquisition there</w:t>
      </w:r>
      <w:r w:rsidRPr="005F0F12">
        <w:t xml:space="preserve"> will be</w:t>
      </w:r>
      <w:r w:rsidR="00B5181D" w:rsidRPr="005F0F12">
        <w:t>,</w:t>
      </w:r>
      <w:r w:rsidRPr="005F0F12">
        <w:t xml:space="preserve"> at least </w:t>
      </w:r>
      <w:r w:rsidR="008748DB" w:rsidRPr="005F0F12">
        <w:t>100</w:t>
      </w:r>
      <w:r w:rsidR="008748DB">
        <w:t> </w:t>
      </w:r>
      <w:r w:rsidRPr="005F0F12">
        <w:t xml:space="preserve">holders of securities in </w:t>
      </w:r>
      <w:r w:rsidR="00C45B40" w:rsidRPr="005F0F12">
        <w:t xml:space="preserve">the </w:t>
      </w:r>
      <w:r w:rsidRPr="005F0F12">
        <w:t>entity</w:t>
      </w:r>
      <w:r w:rsidR="005F0F12" w:rsidRPr="005F0F12">
        <w:t xml:space="preserve">. For example, if the acquisition was to be made by participating in a securities offer that would result in at least </w:t>
      </w:r>
      <w:r w:rsidR="008748DB" w:rsidRPr="005F0F12">
        <w:t>100</w:t>
      </w:r>
      <w:r w:rsidR="008748DB">
        <w:t> </w:t>
      </w:r>
      <w:r w:rsidR="005F0F12" w:rsidRPr="005F0F12">
        <w:t xml:space="preserve">holders at the time of issue, there will be at least </w:t>
      </w:r>
      <w:r w:rsidR="008748DB" w:rsidRPr="005F0F12">
        <w:t>100</w:t>
      </w:r>
      <w:r w:rsidR="008748DB">
        <w:t> </w:t>
      </w:r>
      <w:r w:rsidR="005F0F12" w:rsidRPr="005F0F12">
        <w:t>holders in the entity</w:t>
      </w:r>
      <w:r w:rsidRPr="005F0F12">
        <w:t>;</w:t>
      </w:r>
    </w:p>
    <w:p w14:paraId="32965EB7" w14:textId="66E1E693" w:rsidR="00953A9E" w:rsidRDefault="00953A9E" w:rsidP="009C4B67">
      <w:pPr>
        <w:pStyle w:val="Bullet"/>
        <w:spacing w:before="120"/>
      </w:pPr>
      <w:r>
        <w:t>the entity carries on a business that does not include (other than incidentally) investing directly or indirectly in established</w:t>
      </w:r>
      <w:r w:rsidR="00780FF5">
        <w:t xml:space="preserve"> dwellings.</w:t>
      </w:r>
      <w:r w:rsidR="00041DC6">
        <w:t xml:space="preserve"> The term ‘established dwellings’ is defined by section 4 of the Act. </w:t>
      </w:r>
    </w:p>
    <w:p w14:paraId="1314C8B4" w14:textId="4485A4B3" w:rsidR="00D56757" w:rsidRPr="00D56757" w:rsidRDefault="00D56757" w:rsidP="00F4465E">
      <w:pPr>
        <w:pStyle w:val="Bullet"/>
        <w:pageBreakBefore/>
        <w:numPr>
          <w:ilvl w:val="0"/>
          <w:numId w:val="0"/>
        </w:numPr>
        <w:spacing w:before="120"/>
        <w:rPr>
          <w:i/>
        </w:rPr>
      </w:pPr>
      <w:r w:rsidRPr="00D56757">
        <w:rPr>
          <w:i/>
        </w:rPr>
        <w:t>Acquisitions by foreign countries</w:t>
      </w:r>
    </w:p>
    <w:p w14:paraId="41EBFE97" w14:textId="5EBB9ECB" w:rsidR="003C06FB" w:rsidRDefault="00D56757" w:rsidP="009C4B67">
      <w:pPr>
        <w:pStyle w:val="Bullet"/>
        <w:numPr>
          <w:ilvl w:val="0"/>
          <w:numId w:val="0"/>
        </w:numPr>
        <w:spacing w:before="120"/>
      </w:pPr>
      <w:r>
        <w:t xml:space="preserve">The provisions in the Act that apply to an acquisition of an interest in land do not apply to a foreign person </w:t>
      </w:r>
      <w:r w:rsidR="00BE5F94">
        <w:t>that is a foreign government, a separate government entity, or an entity</w:t>
      </w:r>
      <w:r w:rsidR="00DC1830">
        <w:t xml:space="preserve"> </w:t>
      </w:r>
      <w:r w:rsidR="00BE5F94">
        <w:t xml:space="preserve">(within the ordinary meaning of the term) in which a foreign government of a foreign country </w:t>
      </w:r>
      <w:r w:rsidRPr="00453CEF">
        <w:t xml:space="preserve">holds a substantial interest </w:t>
      </w:r>
      <w:r w:rsidR="00041DC6" w:rsidRPr="00B2272E">
        <w:t>and</w:t>
      </w:r>
      <w:r w:rsidRPr="00B2272E">
        <w:t xml:space="preserve"> t</w:t>
      </w:r>
      <w:r w:rsidRPr="00453CEF">
        <w:t>he acq</w:t>
      </w:r>
      <w:r>
        <w:t xml:space="preserve">uisition is of an interest in </w:t>
      </w:r>
      <w:r w:rsidR="003C06FB">
        <w:t xml:space="preserve">commercial land or </w:t>
      </w:r>
      <w:r w:rsidR="008748DB">
        <w:t xml:space="preserve">residential </w:t>
      </w:r>
      <w:r>
        <w:t xml:space="preserve">land to be used exclusively </w:t>
      </w:r>
      <w:r w:rsidR="00126C42">
        <w:t>as</w:t>
      </w:r>
      <w:r>
        <w:t xml:space="preserve"> </w:t>
      </w:r>
      <w:r w:rsidR="00B901A3">
        <w:t>any of the following</w:t>
      </w:r>
      <w:r w:rsidR="003C06FB">
        <w:t>:</w:t>
      </w:r>
    </w:p>
    <w:p w14:paraId="43ACAD42" w14:textId="0F0FCB1D" w:rsidR="003C06FB" w:rsidRDefault="003C06FB" w:rsidP="00722F33">
      <w:pPr>
        <w:pStyle w:val="Bullet"/>
        <w:spacing w:before="120"/>
      </w:pPr>
      <w:r w:rsidRPr="00453CEF">
        <w:t xml:space="preserve">a </w:t>
      </w:r>
      <w:r w:rsidR="00D56757" w:rsidRPr="00453CEF">
        <w:t>diploma</w:t>
      </w:r>
      <w:r w:rsidR="00D56757">
        <w:t>tic mission</w:t>
      </w:r>
      <w:r w:rsidR="00914243">
        <w:t xml:space="preserve"> or consular </w:t>
      </w:r>
      <w:r>
        <w:t xml:space="preserve">post; </w:t>
      </w:r>
      <w:r w:rsidR="00D56757">
        <w:t>or</w:t>
      </w:r>
    </w:p>
    <w:p w14:paraId="1F644D73" w14:textId="44B68CB9" w:rsidR="00D56757" w:rsidRPr="00EF036C" w:rsidRDefault="00D56757" w:rsidP="00722F33">
      <w:pPr>
        <w:pStyle w:val="Bullet"/>
        <w:spacing w:before="120"/>
      </w:pPr>
      <w:r>
        <w:t>a diplomatic residence</w:t>
      </w:r>
      <w:r w:rsidR="00914243">
        <w:t xml:space="preserve"> or </w:t>
      </w:r>
      <w:r w:rsidR="003C06FB">
        <w:t xml:space="preserve">the </w:t>
      </w:r>
      <w:r w:rsidR="00914243">
        <w:t xml:space="preserve">residence of the head of </w:t>
      </w:r>
      <w:r w:rsidR="00B901A3">
        <w:t xml:space="preserve">a </w:t>
      </w:r>
      <w:r w:rsidR="00914243">
        <w:t>consular post</w:t>
      </w:r>
      <w:r>
        <w:t>.</w:t>
      </w:r>
    </w:p>
    <w:p w14:paraId="18D66A2D" w14:textId="48CD2833" w:rsidR="005C6965" w:rsidRPr="00B17C53" w:rsidRDefault="001B1A41" w:rsidP="009C4B67">
      <w:pPr>
        <w:pStyle w:val="Bullet"/>
        <w:keepNext/>
        <w:numPr>
          <w:ilvl w:val="0"/>
          <w:numId w:val="0"/>
        </w:numPr>
        <w:spacing w:before="120"/>
        <w:rPr>
          <w:b/>
        </w:rPr>
      </w:pPr>
      <w:r w:rsidRPr="00E81137">
        <w:rPr>
          <w:b/>
        </w:rPr>
        <w:t>Sect</w:t>
      </w:r>
      <w:r w:rsidRPr="00B17C53">
        <w:rPr>
          <w:b/>
        </w:rPr>
        <w:t>ion </w:t>
      </w:r>
      <w:r w:rsidR="009B5390" w:rsidRPr="00B17C53">
        <w:rPr>
          <w:b/>
        </w:rPr>
        <w:t>38</w:t>
      </w:r>
      <w:r w:rsidR="008F16E4" w:rsidRPr="00B17C53">
        <w:rPr>
          <w:b/>
        </w:rPr>
        <w:t> </w:t>
      </w:r>
      <w:r w:rsidR="008F16E4" w:rsidRPr="00B17C53">
        <w:rPr>
          <w:rFonts w:ascii="Calibri" w:hAnsi="Calibri"/>
          <w:b/>
        </w:rPr>
        <w:t>—</w:t>
      </w:r>
      <w:r w:rsidR="008F16E4" w:rsidRPr="00B17C53">
        <w:rPr>
          <w:b/>
        </w:rPr>
        <w:t> </w:t>
      </w:r>
      <w:r w:rsidR="005C6965" w:rsidRPr="00B17C53">
        <w:rPr>
          <w:b/>
        </w:rPr>
        <w:t xml:space="preserve">Acquisitions of </w:t>
      </w:r>
      <w:r w:rsidR="008F07ED" w:rsidRPr="00B17C53">
        <w:rPr>
          <w:b/>
        </w:rPr>
        <w:t xml:space="preserve">interests in </w:t>
      </w:r>
      <w:r w:rsidR="005C6965" w:rsidRPr="00B17C53">
        <w:rPr>
          <w:b/>
        </w:rPr>
        <w:t>residential land</w:t>
      </w:r>
    </w:p>
    <w:p w14:paraId="00D2007F" w14:textId="61FB840A" w:rsidR="00260BCA" w:rsidRDefault="0037427C" w:rsidP="00B2272E">
      <w:pPr>
        <w:pStyle w:val="Bullet"/>
        <w:numPr>
          <w:ilvl w:val="0"/>
          <w:numId w:val="0"/>
        </w:numPr>
        <w:spacing w:before="120"/>
      </w:pPr>
      <w:r w:rsidRPr="00B17C53">
        <w:t>Section </w:t>
      </w:r>
      <w:r w:rsidR="00D65873" w:rsidRPr="00B17C53">
        <w:t xml:space="preserve">38 </w:t>
      </w:r>
      <w:r w:rsidR="001103CC" w:rsidRPr="00B17C53">
        <w:t>of t</w:t>
      </w:r>
      <w:r w:rsidR="001103CC">
        <w:t xml:space="preserve">he Regulation </w:t>
      </w:r>
      <w:r w:rsidR="005C6965">
        <w:t>prescribes the circu</w:t>
      </w:r>
      <w:r w:rsidR="00C37111">
        <w:t>mstances in which the excluded</w:t>
      </w:r>
      <w:r w:rsidR="005C6965">
        <w:t xml:space="preserve"> provisions do not apply to the acquisition of an interest in residential land by a </w:t>
      </w:r>
      <w:r w:rsidR="00391C23">
        <w:t>foreign </w:t>
      </w:r>
      <w:r w:rsidR="005C6965">
        <w:t>person.</w:t>
      </w:r>
    </w:p>
    <w:p w14:paraId="0D058E6A" w14:textId="6DFE9298" w:rsidR="000B3EC7" w:rsidRDefault="000B3EC7" w:rsidP="00B2272E">
      <w:pPr>
        <w:pStyle w:val="Bullet"/>
        <w:keepNext/>
        <w:numPr>
          <w:ilvl w:val="0"/>
          <w:numId w:val="0"/>
        </w:numPr>
        <w:spacing w:before="120"/>
      </w:pPr>
      <w:r>
        <w:rPr>
          <w:i/>
        </w:rPr>
        <w:t>Acquisitions by persons with connection to Australia</w:t>
      </w:r>
    </w:p>
    <w:p w14:paraId="1BD08AD8" w14:textId="0396B9AB" w:rsidR="00535421" w:rsidRDefault="000B3EC7" w:rsidP="009C4B67">
      <w:pPr>
        <w:pStyle w:val="Bullet"/>
        <w:numPr>
          <w:ilvl w:val="0"/>
          <w:numId w:val="0"/>
        </w:numPr>
        <w:spacing w:before="120"/>
      </w:pPr>
      <w:r>
        <w:t>T</w:t>
      </w:r>
      <w:r w:rsidR="00535421">
        <w:t xml:space="preserve">he </w:t>
      </w:r>
      <w:r w:rsidR="003E529F">
        <w:t xml:space="preserve">excluded </w:t>
      </w:r>
      <w:r w:rsidR="00535421">
        <w:t xml:space="preserve">provisions </w:t>
      </w:r>
      <w:r w:rsidR="003E529F">
        <w:t xml:space="preserve">do not apply </w:t>
      </w:r>
      <w:r w:rsidR="00535421">
        <w:t xml:space="preserve">in relation to an acquisition of residential land </w:t>
      </w:r>
      <w:r w:rsidR="003E529F">
        <w:t xml:space="preserve">by </w:t>
      </w:r>
      <w:r w:rsidR="00535421">
        <w:t>a foreign person if:</w:t>
      </w:r>
    </w:p>
    <w:p w14:paraId="04681563" w14:textId="23F8D5ED" w:rsidR="00946041" w:rsidRDefault="00946041" w:rsidP="00A5220C">
      <w:pPr>
        <w:pStyle w:val="Bullet"/>
        <w:numPr>
          <w:ilvl w:val="0"/>
          <w:numId w:val="3"/>
        </w:numPr>
        <w:spacing w:before="120"/>
      </w:pPr>
      <w:r>
        <w:t>t</w:t>
      </w:r>
      <w:r w:rsidR="00535421">
        <w:t xml:space="preserve">he foreign person holds a permanent visa </w:t>
      </w:r>
      <w:r w:rsidR="00A410A3">
        <w:t>(</w:t>
      </w:r>
      <w:r w:rsidR="00535421">
        <w:t xml:space="preserve">within the meaning of the </w:t>
      </w:r>
      <w:r w:rsidR="00535421" w:rsidRPr="009C4B67">
        <w:rPr>
          <w:i/>
        </w:rPr>
        <w:t xml:space="preserve">Migration </w:t>
      </w:r>
      <w:r w:rsidR="00BC3748" w:rsidRPr="009C4B67">
        <w:rPr>
          <w:i/>
        </w:rPr>
        <w:t>Act</w:t>
      </w:r>
      <w:r w:rsidR="00BC3748">
        <w:rPr>
          <w:i/>
        </w:rPr>
        <w:t> </w:t>
      </w:r>
      <w:r w:rsidR="0099607E" w:rsidRPr="009C4B67">
        <w:rPr>
          <w:i/>
        </w:rPr>
        <w:t>1958</w:t>
      </w:r>
      <w:r w:rsidR="00A410A3">
        <w:t xml:space="preserve">) at the time of </w:t>
      </w:r>
      <w:r w:rsidR="00FB6428">
        <w:t xml:space="preserve">the </w:t>
      </w:r>
      <w:r w:rsidR="00A410A3">
        <w:t>acquisition</w:t>
      </w:r>
      <w:r>
        <w:t>. A person who holds a permanent visa may remain in Australia indefinitely</w:t>
      </w:r>
      <w:r w:rsidR="00A410A3">
        <w:t>.</w:t>
      </w:r>
    </w:p>
    <w:p w14:paraId="69C4B84E" w14:textId="5D8AF8DC" w:rsidR="00946041" w:rsidRPr="00D5133F" w:rsidRDefault="00946041" w:rsidP="00A5220C">
      <w:pPr>
        <w:pStyle w:val="Bullet"/>
        <w:numPr>
          <w:ilvl w:val="0"/>
          <w:numId w:val="3"/>
        </w:numPr>
        <w:spacing w:before="120"/>
      </w:pPr>
      <w:r>
        <w:t>t</w:t>
      </w:r>
      <w:r w:rsidR="00535421">
        <w:t xml:space="preserve">he foreign person is, at the time of the acquisition, the holder of a </w:t>
      </w:r>
      <w:r w:rsidR="00391C23">
        <w:t xml:space="preserve">Special Category </w:t>
      </w:r>
      <w:r w:rsidR="00535421">
        <w:t xml:space="preserve">visa </w:t>
      </w:r>
      <w:r w:rsidR="00391C23">
        <w:t xml:space="preserve">(subclass 444) </w:t>
      </w:r>
      <w:r w:rsidR="00535421">
        <w:t xml:space="preserve">within the meaning of the </w:t>
      </w:r>
      <w:r w:rsidR="00391C23">
        <w:t>Migration </w:t>
      </w:r>
      <w:r w:rsidR="00535421">
        <w:t>Act</w:t>
      </w:r>
      <w:r>
        <w:t xml:space="preserve">. Broadly, a </w:t>
      </w:r>
      <w:r w:rsidR="00391C23">
        <w:t xml:space="preserve">Special Category </w:t>
      </w:r>
      <w:r>
        <w:t xml:space="preserve">visa is a class of temporary visa. It is </w:t>
      </w:r>
      <w:r w:rsidR="003E529F">
        <w:t xml:space="preserve">currently </w:t>
      </w:r>
      <w:r>
        <w:t xml:space="preserve">a criterion for a </w:t>
      </w:r>
      <w:r w:rsidR="00391C23">
        <w:t xml:space="preserve">Special Category </w:t>
      </w:r>
      <w:r>
        <w:t xml:space="preserve">visa that </w:t>
      </w:r>
      <w:r w:rsidR="00A410A3">
        <w:t xml:space="preserve">the person is a </w:t>
      </w:r>
      <w:r w:rsidR="00F73EA3">
        <w:t>New </w:t>
      </w:r>
      <w:r w:rsidR="00A410A3">
        <w:t>Zealand citizen</w:t>
      </w:r>
      <w:r>
        <w:t xml:space="preserve"> who holds a </w:t>
      </w:r>
      <w:r w:rsidR="00F73EA3">
        <w:t>New </w:t>
      </w:r>
      <w:r>
        <w:t xml:space="preserve">Zealand </w:t>
      </w:r>
      <w:r w:rsidRPr="00D5133F">
        <w:t>passport that is in force</w:t>
      </w:r>
      <w:r w:rsidR="00A410A3" w:rsidRPr="00D5133F">
        <w:t>.</w:t>
      </w:r>
      <w:r w:rsidR="00216C7A">
        <w:t xml:space="preserve"> The visa is normally issued on entry into Australia.</w:t>
      </w:r>
    </w:p>
    <w:p w14:paraId="327E05D2" w14:textId="41A9ADEB" w:rsidR="00946041" w:rsidRPr="00D5133F" w:rsidRDefault="00216C7A" w:rsidP="00E0378A">
      <w:pPr>
        <w:pStyle w:val="Bullet"/>
        <w:numPr>
          <w:ilvl w:val="0"/>
          <w:numId w:val="3"/>
        </w:numPr>
        <w:spacing w:before="120"/>
      </w:pPr>
      <w:r>
        <w:t>i</w:t>
      </w:r>
      <w:r w:rsidR="00F73EA3">
        <w:t xml:space="preserve">f the </w:t>
      </w:r>
      <w:r w:rsidR="00535421" w:rsidRPr="00D5133F">
        <w:t xml:space="preserve">foreign person </w:t>
      </w:r>
      <w:r w:rsidR="00F73EA3" w:rsidRPr="00D5133F">
        <w:t>ha</w:t>
      </w:r>
      <w:r w:rsidR="00F73EA3">
        <w:t>d</w:t>
      </w:r>
      <w:r w:rsidR="00F73EA3" w:rsidRPr="00D5133F">
        <w:t xml:space="preserve"> </w:t>
      </w:r>
      <w:r w:rsidR="00535421" w:rsidRPr="00D5133F">
        <w:t xml:space="preserve">entered Australia lawfully immediately before the acquisition, he or she would have been entitled to the grant, on presentation of a passport, of a </w:t>
      </w:r>
      <w:r w:rsidR="00034472">
        <w:t>S</w:t>
      </w:r>
      <w:r w:rsidR="00034472" w:rsidRPr="00D5133F">
        <w:t xml:space="preserve">pecial </w:t>
      </w:r>
      <w:r w:rsidR="00034472">
        <w:t>C</w:t>
      </w:r>
      <w:r w:rsidR="00034472" w:rsidRPr="00D5133F">
        <w:t xml:space="preserve">ategory </w:t>
      </w:r>
      <w:r w:rsidR="00535421" w:rsidRPr="00D5133F">
        <w:t>visa</w:t>
      </w:r>
      <w:r w:rsidR="00A410A3" w:rsidRPr="00D5133F">
        <w:t>.</w:t>
      </w:r>
      <w:r w:rsidR="00AD272E">
        <w:t xml:space="preserve"> </w:t>
      </w:r>
      <w:r w:rsidR="00E91AFA">
        <w:t>At the time of the</w:t>
      </w:r>
      <w:r w:rsidR="00FC1DDF">
        <w:t xml:space="preserve"> Regulation</w:t>
      </w:r>
      <w:r w:rsidR="00E91AFA">
        <w:t xml:space="preserve">, a person is not eligible for a </w:t>
      </w:r>
      <w:r w:rsidR="00034472">
        <w:t xml:space="preserve">Special Category </w:t>
      </w:r>
      <w:r w:rsidR="00E91AFA">
        <w:t xml:space="preserve">visa if the person would be assessed by Australian immigration as </w:t>
      </w:r>
      <w:r w:rsidR="00E91AFA" w:rsidRPr="00E91AFA">
        <w:t xml:space="preserve">a </w:t>
      </w:r>
      <w:r w:rsidR="00E91AFA">
        <w:t>‘</w:t>
      </w:r>
      <w:r w:rsidR="00E91AFA" w:rsidRPr="00E91AFA">
        <w:t>behaviour concern non</w:t>
      </w:r>
      <w:r w:rsidR="00E91AFA">
        <w:noBreakHyphen/>
      </w:r>
      <w:r w:rsidR="00E91AFA" w:rsidRPr="00E91AFA">
        <w:t>citizen</w:t>
      </w:r>
      <w:r w:rsidR="00E91AFA">
        <w:t>’</w:t>
      </w:r>
      <w:r w:rsidR="00E91AFA" w:rsidRPr="00E91AFA">
        <w:t xml:space="preserve"> or </w:t>
      </w:r>
      <w:r w:rsidR="00763644">
        <w:t xml:space="preserve">a </w:t>
      </w:r>
      <w:r w:rsidR="00E91AFA">
        <w:t>‘</w:t>
      </w:r>
      <w:r w:rsidR="00E91AFA" w:rsidRPr="00E91AFA">
        <w:t>health concern non</w:t>
      </w:r>
      <w:r w:rsidR="00E91AFA">
        <w:noBreakHyphen/>
      </w:r>
      <w:r w:rsidR="00E91AFA" w:rsidRPr="00E91AFA">
        <w:t>citizen</w:t>
      </w:r>
      <w:r w:rsidR="00E91AFA">
        <w:t>’</w:t>
      </w:r>
      <w:r w:rsidR="00E91AFA" w:rsidRPr="00E91AFA">
        <w:t xml:space="preserve">. </w:t>
      </w:r>
      <w:r w:rsidR="00572DC4">
        <w:t xml:space="preserve">Circumstances where a </w:t>
      </w:r>
      <w:r w:rsidR="00763644">
        <w:t xml:space="preserve">person </w:t>
      </w:r>
      <w:r w:rsidR="00572DC4">
        <w:t>would</w:t>
      </w:r>
      <w:r w:rsidR="00763644">
        <w:t xml:space="preserve"> be assessed as a ‘behaviour concern non</w:t>
      </w:r>
      <w:r w:rsidR="00763644">
        <w:noBreakHyphen/>
        <w:t>citizen</w:t>
      </w:r>
      <w:r w:rsidR="00572DC4">
        <w:t>’</w:t>
      </w:r>
      <w:r w:rsidR="00763644">
        <w:t xml:space="preserve"> includ</w:t>
      </w:r>
      <w:r w:rsidR="00572DC4">
        <w:t>e</w:t>
      </w:r>
      <w:r w:rsidR="00763644">
        <w:t xml:space="preserve">, but are not limited to, where </w:t>
      </w:r>
      <w:r w:rsidR="00572DC4">
        <w:t xml:space="preserve">the person has </w:t>
      </w:r>
      <w:r w:rsidR="00763644">
        <w:t>been:</w:t>
      </w:r>
      <w:r w:rsidR="00572DC4">
        <w:t xml:space="preserve"> </w:t>
      </w:r>
      <w:r w:rsidR="00763644">
        <w:t>convicted of one or more crimes that have resulted in sentences of imprisonment that add up to at least one</w:t>
      </w:r>
      <w:r w:rsidR="00572DC4">
        <w:t> </w:t>
      </w:r>
      <w:r w:rsidR="00763644">
        <w:t>year</w:t>
      </w:r>
      <w:r w:rsidR="00572DC4">
        <w:t xml:space="preserve">; </w:t>
      </w:r>
      <w:r w:rsidR="00763644">
        <w:t>pr</w:t>
      </w:r>
      <w:r w:rsidR="00572DC4">
        <w:t>eviously removed from Australia;</w:t>
      </w:r>
      <w:r w:rsidR="00763644">
        <w:t xml:space="preserve"> or previously removed or deported from another country. </w:t>
      </w:r>
      <w:r w:rsidR="00E91AFA">
        <w:t>A person might be considered to be a ‘</w:t>
      </w:r>
      <w:r w:rsidR="00E91AFA" w:rsidRPr="00E91AFA">
        <w:t>health concern non</w:t>
      </w:r>
      <w:r w:rsidR="00E91AFA">
        <w:noBreakHyphen/>
      </w:r>
      <w:r w:rsidR="00E91AFA" w:rsidRPr="00E91AFA">
        <w:t>citizen</w:t>
      </w:r>
      <w:r w:rsidR="00E91AFA">
        <w:t xml:space="preserve">’ </w:t>
      </w:r>
      <w:r w:rsidR="00E91AFA" w:rsidRPr="00E91AFA">
        <w:t xml:space="preserve">if </w:t>
      </w:r>
      <w:r w:rsidR="00E91AFA">
        <w:t xml:space="preserve">the person </w:t>
      </w:r>
      <w:r w:rsidR="00E91AFA" w:rsidRPr="00E91AFA">
        <w:t>suffer</w:t>
      </w:r>
      <w:r w:rsidR="00E91AFA">
        <w:t>s</w:t>
      </w:r>
      <w:r w:rsidR="00E91AFA" w:rsidRPr="00E91AFA">
        <w:t xml:space="preserve"> from tuberculosis and </w:t>
      </w:r>
      <w:r w:rsidR="00E91AFA">
        <w:t xml:space="preserve">at time of entry into Australian </w:t>
      </w:r>
      <w:r w:rsidR="00E91AFA" w:rsidRPr="00E91AFA">
        <w:t>are not carrying and taking appropriate medication.</w:t>
      </w:r>
    </w:p>
    <w:p w14:paraId="7B17D882" w14:textId="4BE0F0D6" w:rsidR="00946041" w:rsidRDefault="00A410A3">
      <w:pPr>
        <w:pStyle w:val="Bullet"/>
        <w:numPr>
          <w:ilvl w:val="0"/>
          <w:numId w:val="3"/>
        </w:numPr>
        <w:spacing w:before="120"/>
      </w:pPr>
      <w:r>
        <w:t>t</w:t>
      </w:r>
      <w:r w:rsidR="00535421">
        <w:t xml:space="preserve">he foreign person is an Australian corporation </w:t>
      </w:r>
      <w:r>
        <w:t xml:space="preserve">(that is, a corporation formed in Australia) </w:t>
      </w:r>
      <w:r w:rsidR="00535421">
        <w:t>that i</w:t>
      </w:r>
      <w:r w:rsidR="00DA1E6E">
        <w:t>s</w:t>
      </w:r>
      <w:r w:rsidR="00535421">
        <w:t xml:space="preserve"> a foreign person only because of a direct interest held in it by a person to whom </w:t>
      </w:r>
      <w:r w:rsidR="00FB6428">
        <w:t>paragraph </w:t>
      </w:r>
      <w:r w:rsidR="00535421">
        <w:t>(a), (b)</w:t>
      </w:r>
      <w:r w:rsidR="003B2DCC">
        <w:t>, (c)</w:t>
      </w:r>
      <w:r w:rsidR="00535421">
        <w:t xml:space="preserve"> or (</w:t>
      </w:r>
      <w:r w:rsidR="003B2DCC">
        <w:t>e</w:t>
      </w:r>
      <w:r w:rsidR="00535421">
        <w:t>) applies</w:t>
      </w:r>
      <w:r w:rsidR="003E529F">
        <w:t>, an Australian citizen not ordinarily resident in Australia</w:t>
      </w:r>
      <w:r w:rsidR="006A0158">
        <w:t>; an Australian corporation that is a foreign corporation only because of interests directly held in it by Australian citizens not ordinarily resident in Australia, or a trustee of a resident trust if the trustee is a foreign person only because of interests held directly in the trust by Australian citizens no</w:t>
      </w:r>
      <w:r w:rsidR="00572DC4">
        <w:t>t</w:t>
      </w:r>
      <w:r w:rsidR="006A0158">
        <w:t xml:space="preserve"> ordinarily resident in Australia.</w:t>
      </w:r>
    </w:p>
    <w:p w14:paraId="73F9DA98" w14:textId="1EF10396" w:rsidR="00FB6428" w:rsidRDefault="00A410A3">
      <w:pPr>
        <w:pStyle w:val="Bullet"/>
        <w:numPr>
          <w:ilvl w:val="0"/>
          <w:numId w:val="3"/>
        </w:numPr>
        <w:spacing w:before="120"/>
      </w:pPr>
      <w:r>
        <w:t>t</w:t>
      </w:r>
      <w:r w:rsidR="00535421">
        <w:t xml:space="preserve">he foreign person is the trustee of a </w:t>
      </w:r>
      <w:r w:rsidR="003B2DCC" w:rsidRPr="00572DC4">
        <w:t xml:space="preserve">resident </w:t>
      </w:r>
      <w:r w:rsidR="00535421" w:rsidRPr="00572DC4">
        <w:t>trust</w:t>
      </w:r>
      <w:r w:rsidR="0067245C">
        <w:t xml:space="preserve"> at the time of the acquisition</w:t>
      </w:r>
      <w:r w:rsidR="00535421">
        <w:t xml:space="preserve">, where the trustee is a foreign person only because of a direct interest held in the trust by a person to whom </w:t>
      </w:r>
      <w:r w:rsidR="00FB6428">
        <w:t>paragraph </w:t>
      </w:r>
      <w:r>
        <w:t>(a), (b)</w:t>
      </w:r>
      <w:r w:rsidR="003B2DCC">
        <w:t>, (c)</w:t>
      </w:r>
      <w:r>
        <w:t xml:space="preserve"> or (</w:t>
      </w:r>
      <w:r w:rsidR="003B2DCC">
        <w:t>d</w:t>
      </w:r>
      <w:r>
        <w:t>) apply</w:t>
      </w:r>
      <w:r w:rsidR="003B2DCC">
        <w:t xml:space="preserve">, or </w:t>
      </w:r>
      <w:r w:rsidR="003B2DCC" w:rsidRPr="002B6361">
        <w:t>a pe</w:t>
      </w:r>
      <w:r w:rsidR="003B2DCC">
        <w:t>rson to whom any of paragraphs</w:t>
      </w:r>
      <w:r w:rsidR="00FB6428">
        <w:t> </w:t>
      </w:r>
      <w:r w:rsidR="009C4B67">
        <w:t>33</w:t>
      </w:r>
      <w:r w:rsidR="003B2DCC" w:rsidRPr="002B6361">
        <w:t>(1)(a) to (c)</w:t>
      </w:r>
      <w:r w:rsidR="009C4B67">
        <w:t xml:space="preserve"> of the Regulation</w:t>
      </w:r>
      <w:r w:rsidR="003B2DCC" w:rsidRPr="002B6361">
        <w:t xml:space="preserve"> applies</w:t>
      </w:r>
      <w:r>
        <w:t>.</w:t>
      </w:r>
      <w:r w:rsidR="00572DC4">
        <w:t xml:space="preserve"> </w:t>
      </w:r>
      <w:r w:rsidR="0067245C">
        <w:t>‘</w:t>
      </w:r>
      <w:r w:rsidR="00391C23">
        <w:t>Resident </w:t>
      </w:r>
      <w:r w:rsidR="00572DC4">
        <w:t>trust</w:t>
      </w:r>
      <w:r w:rsidR="0067245C">
        <w:t>’</w:t>
      </w:r>
      <w:r w:rsidR="00572DC4">
        <w:t xml:space="preserve"> is defined under section 5 of the Regulation to mean a trust that is taken to be a resident trust estate under subsection 95(2) of the </w:t>
      </w:r>
      <w:r w:rsidR="00572DC4" w:rsidRPr="00572DC4">
        <w:rPr>
          <w:i/>
        </w:rPr>
        <w:t>Income</w:t>
      </w:r>
      <w:r w:rsidR="00572DC4">
        <w:rPr>
          <w:i/>
        </w:rPr>
        <w:t> </w:t>
      </w:r>
      <w:r w:rsidR="00572DC4" w:rsidRPr="00572DC4">
        <w:rPr>
          <w:i/>
        </w:rPr>
        <w:t>Tax Assessment Act</w:t>
      </w:r>
      <w:r w:rsidR="00572DC4">
        <w:rPr>
          <w:i/>
        </w:rPr>
        <w:t> </w:t>
      </w:r>
      <w:r w:rsidR="00572DC4" w:rsidRPr="00572DC4">
        <w:rPr>
          <w:i/>
        </w:rPr>
        <w:t>1936</w:t>
      </w:r>
      <w:r w:rsidR="00572DC4">
        <w:t>.</w:t>
      </w:r>
    </w:p>
    <w:p w14:paraId="230D9F9D" w14:textId="44720BD1" w:rsidR="00C46458" w:rsidRDefault="00C46458" w:rsidP="00453CEF">
      <w:pPr>
        <w:pStyle w:val="Bullet"/>
        <w:numPr>
          <w:ilvl w:val="0"/>
          <w:numId w:val="0"/>
        </w:numPr>
        <w:spacing w:before="120"/>
      </w:pPr>
      <w:r>
        <w:t>Paragraphs</w:t>
      </w:r>
      <w:r w:rsidR="0074274C">
        <w:t> </w:t>
      </w:r>
      <w:r>
        <w:t>(d) and (e) apply to a person covered by a previous application of those paragraphs. For example, if a permanent visa holder owns</w:t>
      </w:r>
      <w:r w:rsidR="005C5993">
        <w:t xml:space="preserve"> 100</w:t>
      </w:r>
      <w:r w:rsidR="0074274C">
        <w:t> per cent</w:t>
      </w:r>
      <w:r w:rsidR="005C5993">
        <w:t xml:space="preserve"> of</w:t>
      </w:r>
      <w:r>
        <w:t xml:space="preserve"> a</w:t>
      </w:r>
      <w:r w:rsidR="00453CEF">
        <w:t>n Australian</w:t>
      </w:r>
      <w:r>
        <w:t xml:space="preserve"> holding </w:t>
      </w:r>
      <w:r w:rsidR="00981DD4">
        <w:t>corporation</w:t>
      </w:r>
      <w:r>
        <w:t xml:space="preserve"> which </w:t>
      </w:r>
      <w:r w:rsidR="005C5993">
        <w:t>has</w:t>
      </w:r>
      <w:r>
        <w:t xml:space="preserve"> a</w:t>
      </w:r>
      <w:r w:rsidR="00453CEF">
        <w:t>n Australian</w:t>
      </w:r>
      <w:r>
        <w:t xml:space="preserve"> subsidiary, then an acquisition by the </w:t>
      </w:r>
      <w:r w:rsidR="00453CEF">
        <w:t xml:space="preserve">Australian </w:t>
      </w:r>
      <w:r>
        <w:t>subsidiary would be excluded. That is because:</w:t>
      </w:r>
    </w:p>
    <w:p w14:paraId="3F7980A1" w14:textId="3B430086" w:rsidR="00C46458" w:rsidRDefault="00C46458" w:rsidP="00A42C4A">
      <w:pPr>
        <w:pStyle w:val="Bullet"/>
        <w:spacing w:before="120"/>
      </w:pPr>
      <w:r>
        <w:t xml:space="preserve">the </w:t>
      </w:r>
      <w:r w:rsidR="00453CEF">
        <w:t xml:space="preserve">Australian </w:t>
      </w:r>
      <w:r>
        <w:t xml:space="preserve">holding </w:t>
      </w:r>
      <w:r w:rsidR="00981DD4">
        <w:t>corporation</w:t>
      </w:r>
      <w:r>
        <w:t xml:space="preserve"> meets the conditions of the </w:t>
      </w:r>
      <w:r w:rsidR="00453CEF">
        <w:t>sub</w:t>
      </w:r>
      <w:r>
        <w:t>section. It would not be a foreign person if the interest held by the permanent visa holder were disregarded</w:t>
      </w:r>
      <w:r w:rsidR="00981DD4">
        <w:t>; and</w:t>
      </w:r>
    </w:p>
    <w:p w14:paraId="772A0826" w14:textId="5A3257DD" w:rsidR="00C46458" w:rsidRDefault="00C46458" w:rsidP="00A42C4A">
      <w:pPr>
        <w:pStyle w:val="Bullet"/>
        <w:spacing w:before="120"/>
      </w:pPr>
      <w:r>
        <w:t xml:space="preserve">the </w:t>
      </w:r>
      <w:r w:rsidR="00453CEF">
        <w:t xml:space="preserve">Australian </w:t>
      </w:r>
      <w:r>
        <w:t>subsidiary has an interest held</w:t>
      </w:r>
      <w:r w:rsidR="005C5993">
        <w:t xml:space="preserve"> in it</w:t>
      </w:r>
      <w:r>
        <w:t xml:space="preserve"> by</w:t>
      </w:r>
      <w:r w:rsidR="005C5993">
        <w:t xml:space="preserve"> a person covered by</w:t>
      </w:r>
      <w:r>
        <w:t xml:space="preserve"> that previous application of the section. </w:t>
      </w:r>
      <w:r w:rsidR="00981DD4">
        <w:t xml:space="preserve">The </w:t>
      </w:r>
      <w:r w:rsidR="00453CEF">
        <w:t xml:space="preserve">Australian </w:t>
      </w:r>
      <w:r w:rsidR="00981DD4">
        <w:t>subsidiary</w:t>
      </w:r>
      <w:r>
        <w:t xml:space="preserve"> would not be a foreign person if the interest held by the </w:t>
      </w:r>
      <w:r w:rsidR="00453CEF">
        <w:t xml:space="preserve">Australian </w:t>
      </w:r>
      <w:r>
        <w:t xml:space="preserve">holding </w:t>
      </w:r>
      <w:r w:rsidR="00981DD4">
        <w:t>corporation</w:t>
      </w:r>
      <w:r>
        <w:t xml:space="preserve"> were disregarded.</w:t>
      </w:r>
    </w:p>
    <w:p w14:paraId="0CC28E22" w14:textId="425D54C7" w:rsidR="00C91793" w:rsidRDefault="00C91793" w:rsidP="00C91793">
      <w:pPr>
        <w:pStyle w:val="Bullet"/>
        <w:numPr>
          <w:ilvl w:val="0"/>
          <w:numId w:val="0"/>
        </w:numPr>
        <w:spacing w:before="120"/>
        <w:rPr>
          <w:i/>
        </w:rPr>
      </w:pPr>
      <w:r w:rsidRPr="00C91793">
        <w:rPr>
          <w:i/>
        </w:rPr>
        <w:t>Acquisitions of interests in residential land by spouses and de</w:t>
      </w:r>
      <w:r w:rsidR="00981DD4">
        <w:rPr>
          <w:i/>
        </w:rPr>
        <w:t> </w:t>
      </w:r>
      <w:r w:rsidRPr="00C91793">
        <w:rPr>
          <w:i/>
        </w:rPr>
        <w:t>facto partners of Australian citizens etc</w:t>
      </w:r>
      <w:r w:rsidR="00722F33">
        <w:rPr>
          <w:i/>
        </w:rPr>
        <w:t>.</w:t>
      </w:r>
    </w:p>
    <w:p w14:paraId="7B836562" w14:textId="46F6336A" w:rsidR="00C91793" w:rsidRDefault="00C91793" w:rsidP="00C91793">
      <w:pPr>
        <w:pStyle w:val="Bullet"/>
        <w:numPr>
          <w:ilvl w:val="0"/>
          <w:numId w:val="0"/>
        </w:numPr>
        <w:spacing w:before="120"/>
      </w:pPr>
      <w:r>
        <w:t>The excluded provisions do not apply in relation to an acquisition of residential land by a foreign person if</w:t>
      </w:r>
      <w:r w:rsidRPr="00555D5A">
        <w:t xml:space="preserve"> the person is the spouse or de facto partner (within the meaning of the Acts Interpretation Act) o</w:t>
      </w:r>
      <w:r>
        <w:t>f</w:t>
      </w:r>
      <w:r w:rsidRPr="00555D5A">
        <w:t xml:space="preserve"> an Australian citizen</w:t>
      </w:r>
      <w:r>
        <w:t>, a</w:t>
      </w:r>
      <w:r w:rsidR="00981DD4">
        <w:t>n Australian</w:t>
      </w:r>
      <w:r>
        <w:t xml:space="preserve"> permanent visa holder, a </w:t>
      </w:r>
      <w:r w:rsidR="00034472">
        <w:t xml:space="preserve">Special Category </w:t>
      </w:r>
      <w:r>
        <w:t xml:space="preserve">visa </w:t>
      </w:r>
      <w:r w:rsidR="00034472" w:rsidRPr="00034472">
        <w:t>(subclass</w:t>
      </w:r>
      <w:r w:rsidR="00034472">
        <w:t> </w:t>
      </w:r>
      <w:r w:rsidR="00034472" w:rsidRPr="00034472">
        <w:t xml:space="preserve">444) </w:t>
      </w:r>
      <w:r>
        <w:t>holder</w:t>
      </w:r>
      <w:r w:rsidR="00981DD4">
        <w:t>,</w:t>
      </w:r>
      <w:r>
        <w:t xml:space="preserve"> or a person who, if they had entered Australia lawfully, would have been entitled to a </w:t>
      </w:r>
      <w:r w:rsidR="00034472">
        <w:t xml:space="preserve">Special Category </w:t>
      </w:r>
      <w:r>
        <w:t>visa. The interest must be</w:t>
      </w:r>
      <w:r w:rsidRPr="00555D5A">
        <w:t xml:space="preserve"> held by the person and his or her spouse or </w:t>
      </w:r>
      <w:r>
        <w:t xml:space="preserve">de facto </w:t>
      </w:r>
      <w:r w:rsidRPr="00555D5A">
        <w:t xml:space="preserve">partner as </w:t>
      </w:r>
      <w:r w:rsidR="00034472" w:rsidRPr="00555D5A">
        <w:t>joint</w:t>
      </w:r>
      <w:r w:rsidR="00034472">
        <w:t> </w:t>
      </w:r>
      <w:r w:rsidRPr="00555D5A">
        <w:t>tenants.</w:t>
      </w:r>
    </w:p>
    <w:p w14:paraId="3EEC6BD1" w14:textId="01CCB0E9" w:rsidR="00453CEF" w:rsidRDefault="00453CEF" w:rsidP="00A42C4A">
      <w:pPr>
        <w:pStyle w:val="Bullet"/>
        <w:spacing w:before="120"/>
      </w:pPr>
      <w:r>
        <w:t xml:space="preserve">For the meaning of </w:t>
      </w:r>
      <w:r w:rsidRPr="00555D5A">
        <w:t>spouse</w:t>
      </w:r>
      <w:r>
        <w:t xml:space="preserve"> or de facto partner </w:t>
      </w:r>
      <w:r w:rsidRPr="00555D5A">
        <w:t xml:space="preserve">within the meaning of the </w:t>
      </w:r>
      <w:r w:rsidR="00034472" w:rsidRPr="00555D5A">
        <w:t>Acts</w:t>
      </w:r>
      <w:r w:rsidR="00034472">
        <w:t> </w:t>
      </w:r>
      <w:r w:rsidRPr="00555D5A">
        <w:t>Interpretation Act</w:t>
      </w:r>
      <w:r>
        <w:t>, see above explanation of subsection 35(5).</w:t>
      </w:r>
    </w:p>
    <w:p w14:paraId="74A6DB13" w14:textId="3FA7D848" w:rsidR="000B3EC7" w:rsidRDefault="000B3EC7" w:rsidP="00FB6428">
      <w:pPr>
        <w:pStyle w:val="Bullet"/>
        <w:keepNext/>
        <w:numPr>
          <w:ilvl w:val="0"/>
          <w:numId w:val="0"/>
        </w:numPr>
        <w:spacing w:before="120"/>
        <w:rPr>
          <w:i/>
        </w:rPr>
      </w:pPr>
      <w:r>
        <w:rPr>
          <w:i/>
        </w:rPr>
        <w:t>Acquisition of interests in residential timeshare schemes</w:t>
      </w:r>
    </w:p>
    <w:p w14:paraId="51B6DB8B" w14:textId="6493EB9B" w:rsidR="00D56757" w:rsidRDefault="000B3EC7" w:rsidP="009C4B67">
      <w:pPr>
        <w:pStyle w:val="Bullet"/>
        <w:widowControl w:val="0"/>
        <w:numPr>
          <w:ilvl w:val="0"/>
          <w:numId w:val="0"/>
        </w:numPr>
        <w:spacing w:before="120"/>
      </w:pPr>
      <w:r>
        <w:t xml:space="preserve">The </w:t>
      </w:r>
      <w:r w:rsidR="00C11C6C">
        <w:t xml:space="preserve">excluded </w:t>
      </w:r>
      <w:r>
        <w:t xml:space="preserve">provisions in the Act </w:t>
      </w:r>
      <w:r w:rsidR="00C11C6C">
        <w:t xml:space="preserve">do not apply to an acquisition of an interest in residential land by a foreign person if the acquisition is of an </w:t>
      </w:r>
      <w:r>
        <w:t xml:space="preserve">interest in a residential timeshare scheme </w:t>
      </w:r>
      <w:r w:rsidR="00C11C6C">
        <w:t xml:space="preserve">and the foreign person’s </w:t>
      </w:r>
      <w:r>
        <w:t>total e</w:t>
      </w:r>
      <w:r w:rsidR="00C11C6C">
        <w:t>ntitlement</w:t>
      </w:r>
      <w:r>
        <w:t xml:space="preserve">, alone or together with one or more associates, is not more than four weeks in any year. </w:t>
      </w:r>
    </w:p>
    <w:p w14:paraId="76C08D01" w14:textId="15B1E8C9" w:rsidR="00D56757" w:rsidRPr="00E81137" w:rsidRDefault="001B1A41" w:rsidP="009C4B67">
      <w:pPr>
        <w:pStyle w:val="Bullet"/>
        <w:keepNext/>
        <w:numPr>
          <w:ilvl w:val="0"/>
          <w:numId w:val="0"/>
        </w:numPr>
        <w:spacing w:before="120"/>
        <w:rPr>
          <w:b/>
        </w:rPr>
      </w:pPr>
      <w:r w:rsidRPr="00E81137">
        <w:rPr>
          <w:b/>
        </w:rPr>
        <w:t>Sect</w:t>
      </w:r>
      <w:r w:rsidRPr="00B17C53">
        <w:rPr>
          <w:b/>
        </w:rPr>
        <w:t>ion </w:t>
      </w:r>
      <w:r w:rsidR="009B5390" w:rsidRPr="00B17C53">
        <w:rPr>
          <w:b/>
        </w:rPr>
        <w:t>39 </w:t>
      </w:r>
      <w:r w:rsidR="009B5390" w:rsidRPr="00B17C53">
        <w:rPr>
          <w:rFonts w:ascii="Calibri" w:hAnsi="Calibri"/>
          <w:b/>
        </w:rPr>
        <w:t>—</w:t>
      </w:r>
      <w:r w:rsidR="009B5390" w:rsidRPr="00B17C53">
        <w:rPr>
          <w:b/>
        </w:rPr>
        <w:t> </w:t>
      </w:r>
      <w:r w:rsidR="00D56757" w:rsidRPr="00B17C53">
        <w:rPr>
          <w:b/>
        </w:rPr>
        <w:t>Acq</w:t>
      </w:r>
      <w:r w:rsidR="00D56757" w:rsidRPr="00E81137">
        <w:rPr>
          <w:b/>
        </w:rPr>
        <w:t>uisitions of certain easements</w:t>
      </w:r>
    </w:p>
    <w:p w14:paraId="53EE5B38" w14:textId="4001F100" w:rsidR="00D56757" w:rsidRDefault="00210226" w:rsidP="009C4B67">
      <w:pPr>
        <w:pStyle w:val="Bullet"/>
        <w:keepNext/>
        <w:numPr>
          <w:ilvl w:val="0"/>
          <w:numId w:val="0"/>
        </w:numPr>
        <w:spacing w:before="120"/>
      </w:pPr>
      <w:r>
        <w:t>T</w:t>
      </w:r>
      <w:r w:rsidR="00D56757">
        <w:t xml:space="preserve">he excluded provisions do not apply in relation to the acquisition of </w:t>
      </w:r>
      <w:r w:rsidR="00743C87">
        <w:t xml:space="preserve">a legal or equitable interest in </w:t>
      </w:r>
      <w:r w:rsidR="00D56757">
        <w:t>an easement if the interest is acquired by a foreign person other than a foreign government investor</w:t>
      </w:r>
      <w:r w:rsidR="00743C87">
        <w:t xml:space="preserve"> and the easement is not an easement in gross</w:t>
      </w:r>
      <w:r w:rsidR="00D56757">
        <w:t xml:space="preserve">. </w:t>
      </w:r>
    </w:p>
    <w:p w14:paraId="7A2E56EC" w14:textId="22FF8840" w:rsidR="00D56757" w:rsidRPr="006D7E8F" w:rsidRDefault="00D56757" w:rsidP="00D56757">
      <w:pPr>
        <w:rPr>
          <w:szCs w:val="24"/>
        </w:rPr>
      </w:pPr>
      <w:r>
        <w:t xml:space="preserve">Broadly, an easement is a </w:t>
      </w:r>
      <w:r w:rsidRPr="0003338F">
        <w:t>r</w:t>
      </w:r>
      <w:r>
        <w:t xml:space="preserve">ight attached to one </w:t>
      </w:r>
      <w:r w:rsidRPr="0003338F">
        <w:t>parcel of land</w:t>
      </w:r>
      <w:r>
        <w:t xml:space="preserve"> (the dominant land)</w:t>
      </w:r>
      <w:r w:rsidRPr="0003338F">
        <w:t xml:space="preserve"> that allows the owner of that land to either use the land of another person </w:t>
      </w:r>
      <w:r>
        <w:t>(</w:t>
      </w:r>
      <w:r w:rsidR="00927EAA">
        <w:t xml:space="preserve">the </w:t>
      </w:r>
      <w:r>
        <w:t xml:space="preserve">servient land) </w:t>
      </w:r>
      <w:r w:rsidRPr="0003338F">
        <w:t>in a particular manner or to restrict its use by that other person to a particular extent.</w:t>
      </w:r>
      <w:r>
        <w:t xml:space="preserve"> </w:t>
      </w:r>
      <w:r w:rsidR="0084064F">
        <w:t xml:space="preserve">Australian </w:t>
      </w:r>
      <w:r>
        <w:t>common law distinguishes between easements and easements in gross. The term easement in</w:t>
      </w:r>
      <w:r w:rsidR="00927EAA">
        <w:t xml:space="preserve"> gross refers to an easement </w:t>
      </w:r>
      <w:r>
        <w:t xml:space="preserve">without dominant land. In Australia </w:t>
      </w:r>
      <w:r w:rsidRPr="006D7E8F">
        <w:rPr>
          <w:szCs w:val="24"/>
        </w:rPr>
        <w:t>an easement must have a dominant tenement unless legislation otherwise provides.</w:t>
      </w:r>
    </w:p>
    <w:p w14:paraId="6CE09B2B" w14:textId="7EE51857" w:rsidR="00DD7959" w:rsidRDefault="00D56757" w:rsidP="009C4B67">
      <w:pPr>
        <w:pStyle w:val="Bullet"/>
        <w:widowControl w:val="0"/>
        <w:numPr>
          <w:ilvl w:val="0"/>
          <w:numId w:val="0"/>
        </w:numPr>
        <w:spacing w:before="120"/>
      </w:pPr>
      <w:r>
        <w:t xml:space="preserve">The excluded provisions do not apply in relation to an acquisition of an easement in gross if the easement is created for the purposes of a public utility providing services to the public. </w:t>
      </w:r>
      <w:r w:rsidRPr="00FC6833">
        <w:t xml:space="preserve">‘Public utility’ is defined by </w:t>
      </w:r>
      <w:r>
        <w:t>section </w:t>
      </w:r>
      <w:r w:rsidRPr="00FC6833">
        <w:t>5 of the Regulation to mean a body that provides</w:t>
      </w:r>
      <w:r w:rsidR="00DD7959">
        <w:t>:</w:t>
      </w:r>
    </w:p>
    <w:p w14:paraId="0ADB959F" w14:textId="603F9C1E" w:rsidR="00DD7959" w:rsidRDefault="00D56757" w:rsidP="009C4B67">
      <w:pPr>
        <w:pStyle w:val="Bullet"/>
        <w:widowControl w:val="0"/>
        <w:spacing w:before="120"/>
      </w:pPr>
      <w:r>
        <w:t xml:space="preserve">reticulated products or </w:t>
      </w:r>
      <w:r w:rsidRPr="00FC6833">
        <w:t>services to the public such as electricity, gas, water, sewerage or drainage</w:t>
      </w:r>
      <w:r w:rsidR="00DD7959">
        <w:t>;</w:t>
      </w:r>
    </w:p>
    <w:p w14:paraId="7CA4809B" w14:textId="2C9BE579" w:rsidR="00DD7959" w:rsidRDefault="00DD7959" w:rsidP="009C4B67">
      <w:pPr>
        <w:pStyle w:val="Bullet"/>
        <w:widowControl w:val="0"/>
        <w:spacing w:before="120"/>
      </w:pPr>
      <w:r>
        <w:t>telecommunication services; or</w:t>
      </w:r>
    </w:p>
    <w:p w14:paraId="3F4995ED" w14:textId="2E498858" w:rsidR="00DD7959" w:rsidRDefault="00DD7959" w:rsidP="009C4B67">
      <w:pPr>
        <w:pStyle w:val="Bullet"/>
        <w:widowControl w:val="0"/>
        <w:spacing w:before="120"/>
      </w:pPr>
      <w:r>
        <w:t>transport services.</w:t>
      </w:r>
    </w:p>
    <w:p w14:paraId="3147BCA1" w14:textId="62C7CB68" w:rsidR="00D56757" w:rsidRDefault="00D56757" w:rsidP="009C4B67">
      <w:pPr>
        <w:pStyle w:val="Bullet"/>
        <w:numPr>
          <w:ilvl w:val="0"/>
          <w:numId w:val="0"/>
        </w:numPr>
        <w:spacing w:before="120"/>
      </w:pPr>
      <w:r>
        <w:t>This exemption is only applicable if the easement</w:t>
      </w:r>
      <w:r w:rsidR="00CA23B8">
        <w:t xml:space="preserve"> in gross</w:t>
      </w:r>
      <w:r>
        <w:t xml:space="preserve"> is created for the purposes of enabling a public utility to provide services to the public generally. It would not, for example, apply </w:t>
      </w:r>
      <w:r w:rsidR="00927EAA">
        <w:t xml:space="preserve">to an easement in gross </w:t>
      </w:r>
      <w:r>
        <w:t>created for the purpose of constructing a water pipeline that will supply water to a mine. This is because the water pipeline is being providing to a particular entity or entities rather than the community more generally. Moreover, the exemption only applies to an easement</w:t>
      </w:r>
      <w:r w:rsidR="00CA23B8">
        <w:t xml:space="preserve"> in gross</w:t>
      </w:r>
      <w:r>
        <w:t xml:space="preserve"> that is created for the purpose of providing public </w:t>
      </w:r>
      <w:r w:rsidR="00927EAA">
        <w:t>utility services</w:t>
      </w:r>
      <w:r w:rsidR="00210226">
        <w:t>.</w:t>
      </w:r>
      <w:r w:rsidR="00927EAA">
        <w:t xml:space="preserve"> It would therefore </w:t>
      </w:r>
      <w:r>
        <w:t xml:space="preserve">not apply to a person who is granted an easement over land that allows for the conveyance of petroleum from a well head to a refinery facility. </w:t>
      </w:r>
    </w:p>
    <w:p w14:paraId="51ADA10F" w14:textId="7B550655" w:rsidR="00260BCA" w:rsidRPr="009C4B67" w:rsidRDefault="001B1A41" w:rsidP="009C4B67">
      <w:pPr>
        <w:pStyle w:val="Bullet"/>
        <w:keepNext/>
        <w:numPr>
          <w:ilvl w:val="0"/>
          <w:numId w:val="0"/>
        </w:numPr>
        <w:spacing w:before="120"/>
        <w:rPr>
          <w:b/>
        </w:rPr>
      </w:pPr>
      <w:r w:rsidRPr="009C4B67">
        <w:rPr>
          <w:b/>
        </w:rPr>
        <w:t>Subdivision</w:t>
      </w:r>
      <w:r>
        <w:rPr>
          <w:b/>
        </w:rPr>
        <w:t> </w:t>
      </w:r>
      <w:r w:rsidR="009B5390" w:rsidRPr="009C4B67">
        <w:rPr>
          <w:b/>
        </w:rPr>
        <w:t>E</w:t>
      </w:r>
      <w:r w:rsidR="009B5390">
        <w:rPr>
          <w:b/>
        </w:rPr>
        <w:t> </w:t>
      </w:r>
      <w:r w:rsidR="009B5390" w:rsidRPr="009C4B67">
        <w:rPr>
          <w:rFonts w:ascii="Calibri" w:hAnsi="Calibri"/>
          <w:b/>
        </w:rPr>
        <w:t>—</w:t>
      </w:r>
      <w:r w:rsidR="009B5390">
        <w:rPr>
          <w:b/>
        </w:rPr>
        <w:t> </w:t>
      </w:r>
      <w:r>
        <w:rPr>
          <w:b/>
        </w:rPr>
        <w:t>A</w:t>
      </w:r>
      <w:r w:rsidR="00260BCA" w:rsidRPr="009C4B67">
        <w:rPr>
          <w:b/>
        </w:rPr>
        <w:t>gribusinesses and agricultural land</w:t>
      </w:r>
    </w:p>
    <w:p w14:paraId="5C95A1FA" w14:textId="5AD2D810" w:rsidR="00260BCA" w:rsidRPr="00B17C53" w:rsidRDefault="001B1A41" w:rsidP="009C4B67">
      <w:pPr>
        <w:pStyle w:val="Bullet"/>
        <w:keepNext/>
        <w:numPr>
          <w:ilvl w:val="0"/>
          <w:numId w:val="0"/>
        </w:numPr>
        <w:spacing w:before="120"/>
        <w:rPr>
          <w:b/>
        </w:rPr>
      </w:pPr>
      <w:r w:rsidRPr="00E81137">
        <w:rPr>
          <w:b/>
        </w:rPr>
        <w:t>Se</w:t>
      </w:r>
      <w:r w:rsidRPr="00B17C53">
        <w:rPr>
          <w:b/>
        </w:rPr>
        <w:t>ction </w:t>
      </w:r>
      <w:r w:rsidR="00D65873" w:rsidRPr="00B17C53">
        <w:rPr>
          <w:b/>
        </w:rPr>
        <w:t>40</w:t>
      </w:r>
      <w:r w:rsidR="009B5390" w:rsidRPr="00B17C53">
        <w:rPr>
          <w:b/>
        </w:rPr>
        <w:t> </w:t>
      </w:r>
      <w:r w:rsidR="009B5390" w:rsidRPr="00B17C53">
        <w:rPr>
          <w:rFonts w:ascii="Calibri" w:hAnsi="Calibri"/>
          <w:b/>
        </w:rPr>
        <w:t>—</w:t>
      </w:r>
      <w:r w:rsidR="009B5390" w:rsidRPr="00B17C53">
        <w:rPr>
          <w:b/>
        </w:rPr>
        <w:t> </w:t>
      </w:r>
      <w:r w:rsidR="008C53F1" w:rsidRPr="00B17C53">
        <w:rPr>
          <w:b/>
        </w:rPr>
        <w:t xml:space="preserve">Action relating to </w:t>
      </w:r>
      <w:r w:rsidR="00260BCA" w:rsidRPr="00B17C53">
        <w:rPr>
          <w:b/>
        </w:rPr>
        <w:t>agribusinesses and agricultural land for certain investors</w:t>
      </w:r>
    </w:p>
    <w:p w14:paraId="2A98C8FC" w14:textId="003B3A46" w:rsidR="00E978D5" w:rsidRPr="00B17C53" w:rsidRDefault="00E978D5" w:rsidP="009C4B67">
      <w:pPr>
        <w:pStyle w:val="Bullet"/>
        <w:keepNext/>
        <w:numPr>
          <w:ilvl w:val="0"/>
          <w:numId w:val="0"/>
        </w:numPr>
        <w:spacing w:before="120"/>
      </w:pPr>
      <w:r w:rsidRPr="00B17C53">
        <w:rPr>
          <w:i/>
        </w:rPr>
        <w:t xml:space="preserve">Relevant agreement country investors </w:t>
      </w:r>
      <w:r w:rsidRPr="00B17C53">
        <w:rPr>
          <w:rFonts w:ascii="Calibri" w:hAnsi="Calibri"/>
          <w:i/>
        </w:rPr>
        <w:t>—</w:t>
      </w:r>
      <w:r w:rsidRPr="00B17C53">
        <w:rPr>
          <w:i/>
        </w:rPr>
        <w:t xml:space="preserve"> exemption in relation to agribusinesses</w:t>
      </w:r>
    </w:p>
    <w:p w14:paraId="7680CB28" w14:textId="4D325097" w:rsidR="002B4CE5" w:rsidRPr="00B17C53" w:rsidRDefault="0023293F" w:rsidP="009C4B67">
      <w:pPr>
        <w:pStyle w:val="Bullet"/>
        <w:keepNext/>
        <w:numPr>
          <w:ilvl w:val="0"/>
          <w:numId w:val="0"/>
        </w:numPr>
        <w:spacing w:before="120"/>
      </w:pPr>
      <w:r w:rsidRPr="00B17C53">
        <w:t>T</w:t>
      </w:r>
      <w:r w:rsidR="002B4CE5" w:rsidRPr="00B17C53">
        <w:t>he effect of paragraph</w:t>
      </w:r>
      <w:r w:rsidR="00A95A61" w:rsidRPr="00B17C53">
        <w:t> </w:t>
      </w:r>
      <w:r w:rsidRPr="00B17C53">
        <w:t xml:space="preserve">40(2)(a) </w:t>
      </w:r>
      <w:r w:rsidR="002B4CE5" w:rsidRPr="00B17C53">
        <w:t>of the Act is that the acquisition of a direct interest in an Australian entity that is an agribusiness will be a significant action if the other specified conditions are met. Sim</w:t>
      </w:r>
      <w:r w:rsidR="00A95A61" w:rsidRPr="00B17C53">
        <w:t>ilarly, the effect of paragraph </w:t>
      </w:r>
      <w:r w:rsidR="002B4CE5" w:rsidRPr="00B17C53">
        <w:t>41(2)(a) of the Act is that the acquisition of a direct</w:t>
      </w:r>
      <w:r w:rsidR="00743C87" w:rsidRPr="00B17C53">
        <w:t xml:space="preserve"> interest </w:t>
      </w:r>
      <w:r w:rsidR="002B4CE5" w:rsidRPr="00B17C53">
        <w:t xml:space="preserve">in </w:t>
      </w:r>
      <w:r w:rsidR="00743C87" w:rsidRPr="00B17C53">
        <w:t xml:space="preserve">an </w:t>
      </w:r>
      <w:r w:rsidR="002B4CE5" w:rsidRPr="00B17C53">
        <w:t>Australian business that is an agribusiness is a significant action if the other conditions are satisfied.</w:t>
      </w:r>
      <w:r w:rsidR="009C1385" w:rsidRPr="00B17C53">
        <w:t xml:space="preserve"> </w:t>
      </w:r>
    </w:p>
    <w:p w14:paraId="12760062" w14:textId="418CA89F" w:rsidR="009C1385" w:rsidRDefault="009C1385" w:rsidP="009C4B67">
      <w:pPr>
        <w:pStyle w:val="Bullet"/>
        <w:numPr>
          <w:ilvl w:val="0"/>
          <w:numId w:val="0"/>
        </w:numPr>
        <w:spacing w:before="120"/>
      </w:pPr>
      <w:r w:rsidRPr="00B17C53">
        <w:t>The effect of s</w:t>
      </w:r>
      <w:r w:rsidR="00893DBC" w:rsidRPr="00B17C53">
        <w:t>ubsection</w:t>
      </w:r>
      <w:r w:rsidR="00367FCF" w:rsidRPr="00B17C53">
        <w:t> </w:t>
      </w:r>
      <w:r w:rsidR="00D65873" w:rsidRPr="00B17C53">
        <w:t>40</w:t>
      </w:r>
      <w:r w:rsidRPr="00B17C53">
        <w:t xml:space="preserve">(1) </w:t>
      </w:r>
      <w:r w:rsidR="00927EAA" w:rsidRPr="00B17C53">
        <w:t xml:space="preserve">of the Regulation </w:t>
      </w:r>
      <w:r w:rsidR="00367FCF" w:rsidRPr="00B17C53">
        <w:t>is that paragraphs 40(2)(a) and </w:t>
      </w:r>
      <w:r w:rsidRPr="00B17C53">
        <w:t>41(2)(a) of the Act do not apply in relation to relevant agreement coun</w:t>
      </w:r>
      <w:r w:rsidR="00367FCF" w:rsidRPr="00B17C53">
        <w:t>try</w:t>
      </w:r>
      <w:r w:rsidR="00367FCF">
        <w:t xml:space="preserve"> investors. This exemption is necessary to give effect to Australia’s obligations under the</w:t>
      </w:r>
      <w:r w:rsidR="00E978D5">
        <w:t xml:space="preserve"> Australia</w:t>
      </w:r>
      <w:r w:rsidR="001B1A41">
        <w:t> </w:t>
      </w:r>
      <w:r w:rsidR="001B1A41">
        <w:noBreakHyphen/>
        <w:t> United S</w:t>
      </w:r>
      <w:r w:rsidR="001B1A41" w:rsidRPr="00AA6D2C">
        <w:t xml:space="preserve">tates </w:t>
      </w:r>
      <w:r w:rsidR="00E978D5" w:rsidRPr="00AA6D2C">
        <w:t>Free Trade Agreement</w:t>
      </w:r>
      <w:r w:rsidR="001B1A41" w:rsidRPr="00AA6D2C">
        <w:t xml:space="preserve"> (</w:t>
      </w:r>
      <w:proofErr w:type="spellStart"/>
      <w:r w:rsidR="001B1A41" w:rsidRPr="00AA6D2C">
        <w:t>AUSFTA</w:t>
      </w:r>
      <w:proofErr w:type="spellEnd"/>
      <w:r w:rsidR="001B1A41" w:rsidRPr="00AA6D2C">
        <w:t>)</w:t>
      </w:r>
      <w:r w:rsidR="00E978D5" w:rsidRPr="00AA6D2C">
        <w:rPr>
          <w:rStyle w:val="FootnoteReference"/>
        </w:rPr>
        <w:footnoteReference w:id="3"/>
      </w:r>
      <w:r w:rsidR="00E978D5" w:rsidRPr="00AA6D2C">
        <w:t xml:space="preserve">; the </w:t>
      </w:r>
      <w:r w:rsidR="00AA6D2C">
        <w:t xml:space="preserve">Protocol on Investment to the </w:t>
      </w:r>
      <w:r w:rsidR="00E978D5" w:rsidRPr="00AA6D2C">
        <w:t>Australia</w:t>
      </w:r>
      <w:r w:rsidR="00FC1DDF" w:rsidRPr="00AA6D2C">
        <w:t> </w:t>
      </w:r>
      <w:r w:rsidR="00FC1DDF" w:rsidRPr="00AA6D2C">
        <w:noBreakHyphen/>
        <w:t> New </w:t>
      </w:r>
      <w:r w:rsidR="00E978D5" w:rsidRPr="00AA6D2C">
        <w:t>Zealand Closer Economic Relations Trade Agreement (</w:t>
      </w:r>
      <w:proofErr w:type="spellStart"/>
      <w:r w:rsidR="00E978D5" w:rsidRPr="00AA6D2C">
        <w:t>ANZCERTA</w:t>
      </w:r>
      <w:proofErr w:type="spellEnd"/>
      <w:r w:rsidR="00E978D5" w:rsidRPr="00AA6D2C">
        <w:t>)</w:t>
      </w:r>
      <w:r w:rsidR="00AA6D2C">
        <w:rPr>
          <w:rStyle w:val="FootnoteReference"/>
        </w:rPr>
        <w:footnoteReference w:id="4"/>
      </w:r>
      <w:r w:rsidR="00E978D5" w:rsidRPr="00AA6D2C">
        <w:t xml:space="preserve"> and the Australia</w:t>
      </w:r>
      <w:r w:rsidR="001B1A41" w:rsidRPr="00AA6D2C">
        <w:t> </w:t>
      </w:r>
      <w:r w:rsidR="001B1A41" w:rsidRPr="00AA6D2C">
        <w:noBreakHyphen/>
        <w:t> </w:t>
      </w:r>
      <w:r w:rsidR="00294576" w:rsidRPr="00AA6D2C">
        <w:t>Chile</w:t>
      </w:r>
      <w:r w:rsidR="00E978D5" w:rsidRPr="00AA6D2C">
        <w:t xml:space="preserve"> Free Trade Agreement</w:t>
      </w:r>
      <w:r w:rsidR="00D53830" w:rsidRPr="00AA6D2C">
        <w:t xml:space="preserve"> (</w:t>
      </w:r>
      <w:proofErr w:type="spellStart"/>
      <w:r w:rsidR="00D53830" w:rsidRPr="00AA6D2C">
        <w:t>AC</w:t>
      </w:r>
      <w:r w:rsidR="00FC1DDF" w:rsidRPr="00AA6D2C">
        <w:t>l</w:t>
      </w:r>
      <w:r w:rsidR="00D53830" w:rsidRPr="00AA6D2C">
        <w:t>FTA</w:t>
      </w:r>
      <w:proofErr w:type="spellEnd"/>
      <w:r w:rsidR="00D53830" w:rsidRPr="00AA6D2C">
        <w:t>)</w:t>
      </w:r>
      <w:r w:rsidR="00E978D5" w:rsidRPr="00AA6D2C">
        <w:t>.</w:t>
      </w:r>
      <w:r w:rsidR="00E978D5" w:rsidRPr="00AA6D2C">
        <w:rPr>
          <w:rStyle w:val="FootnoteReference"/>
        </w:rPr>
        <w:footnoteReference w:id="5"/>
      </w:r>
    </w:p>
    <w:p w14:paraId="3BFA812F" w14:textId="246DC606" w:rsidR="00041C52" w:rsidRDefault="00983208" w:rsidP="009C4B67">
      <w:pPr>
        <w:pStyle w:val="Bullet"/>
        <w:keepNext/>
        <w:numPr>
          <w:ilvl w:val="0"/>
          <w:numId w:val="0"/>
        </w:numPr>
        <w:spacing w:before="120"/>
      </w:pPr>
      <w:r>
        <w:rPr>
          <w:i/>
        </w:rPr>
        <w:t>Thresholds for agricultural land acquired by certain investors</w:t>
      </w:r>
    </w:p>
    <w:p w14:paraId="64D51229" w14:textId="66915AE4" w:rsidR="00702B67" w:rsidRDefault="00983208" w:rsidP="007E67EF">
      <w:pPr>
        <w:pStyle w:val="Bullet"/>
        <w:keepNext/>
        <w:numPr>
          <w:ilvl w:val="0"/>
          <w:numId w:val="0"/>
        </w:numPr>
        <w:spacing w:before="120"/>
      </w:pPr>
      <w:r>
        <w:t>Section</w:t>
      </w:r>
      <w:r w:rsidR="00893DBC">
        <w:t> </w:t>
      </w:r>
      <w:r>
        <w:t xml:space="preserve">52 of the Act provides threshold tests for different types of land. </w:t>
      </w:r>
      <w:r w:rsidR="000C4E33">
        <w:t>Subsection 40(2) allows a</w:t>
      </w:r>
      <w:r w:rsidR="00A9031A">
        <w:t xml:space="preserve"> </w:t>
      </w:r>
      <w:r w:rsidR="00256132">
        <w:t xml:space="preserve">relevant </w:t>
      </w:r>
      <w:r w:rsidR="00A9031A">
        <w:t>agreement country investor</w:t>
      </w:r>
      <w:r w:rsidR="00041C52">
        <w:t>, or an enterprise or national of Singapore or Thailand</w:t>
      </w:r>
      <w:r w:rsidR="000C4E33">
        <w:t xml:space="preserve"> (other than a foreign government investor)</w:t>
      </w:r>
      <w:r w:rsidR="00041C52">
        <w:t>,</w:t>
      </w:r>
      <w:r w:rsidR="00A9031A">
        <w:t xml:space="preserve"> who takes an action relating to an interest in </w:t>
      </w:r>
      <w:r w:rsidR="00D64754">
        <w:t>agricultural land may</w:t>
      </w:r>
      <w:r w:rsidR="000C4E33">
        <w:t>,</w:t>
      </w:r>
      <w:r w:rsidR="00D64754">
        <w:t xml:space="preserve"> </w:t>
      </w:r>
      <w:r w:rsidR="002B58D8">
        <w:t xml:space="preserve">to </w:t>
      </w:r>
      <w:r w:rsidR="00D64754">
        <w:t>disregard the fact that</w:t>
      </w:r>
      <w:r w:rsidR="001C67B6">
        <w:t xml:space="preserve"> the land is agricultural land</w:t>
      </w:r>
      <w:r>
        <w:t xml:space="preserve"> for the purposes of </w:t>
      </w:r>
      <w:r w:rsidR="00893DBC">
        <w:t>sub</w:t>
      </w:r>
      <w:r>
        <w:t>sections</w:t>
      </w:r>
      <w:r w:rsidR="00893DBC">
        <w:t> </w:t>
      </w:r>
      <w:r>
        <w:t>52(1) and (2) of the Act</w:t>
      </w:r>
      <w:r w:rsidR="001C67B6">
        <w:t>.</w:t>
      </w:r>
      <w:r>
        <w:t xml:space="preserve"> </w:t>
      </w:r>
      <w:r w:rsidR="00702B67">
        <w:t>This means that f</w:t>
      </w:r>
      <w:r>
        <w:t xml:space="preserve">or </w:t>
      </w:r>
      <w:r w:rsidR="000C4E33">
        <w:t>such actions, the threshold test in and the thresholds prescribed for the purposes of subsection 52(3) of the Act applies in relation to such land. That is, the threshold value for any other land as prescribed in the table to subsection 52(5) applies:</w:t>
      </w:r>
    </w:p>
    <w:p w14:paraId="2A61EE43" w14:textId="26AD8D7C" w:rsidR="000C4E33" w:rsidRDefault="000C4E33" w:rsidP="00A42C4A">
      <w:pPr>
        <w:pStyle w:val="Bullet"/>
        <w:spacing w:before="120"/>
      </w:pPr>
      <w:r>
        <w:t>for a relevant agreement country investor, a threshold of $1,094 million applies</w:t>
      </w:r>
      <w:r w:rsidR="00D35355">
        <w:t>;</w:t>
      </w:r>
    </w:p>
    <w:p w14:paraId="31ACE759" w14:textId="26D0AE76" w:rsidR="00D35355" w:rsidRDefault="000C4E33" w:rsidP="00A42C4A">
      <w:pPr>
        <w:pStyle w:val="Bullet"/>
        <w:spacing w:before="120"/>
      </w:pPr>
      <w:r>
        <w:t>for</w:t>
      </w:r>
      <w:r w:rsidRPr="000C4E33">
        <w:t xml:space="preserve"> an enterprise or national of Singapore or Thailand</w:t>
      </w:r>
      <w:r>
        <w:t>, a threshold of $50 million applies for interests in land that is used wholly and exclusively for a primary production business</w:t>
      </w:r>
      <w:r w:rsidR="00D35355">
        <w:t>,</w:t>
      </w:r>
    </w:p>
    <w:p w14:paraId="79B0A9C9" w14:textId="4E599A08" w:rsidR="00702B67" w:rsidRDefault="00D35355" w:rsidP="00D35355">
      <w:pPr>
        <w:pStyle w:val="Bullet"/>
        <w:numPr>
          <w:ilvl w:val="0"/>
          <w:numId w:val="0"/>
        </w:numPr>
        <w:spacing w:before="120"/>
      </w:pPr>
      <w:r>
        <w:t>rather than the cumulative $15 million threshold value that applies to other foreign persons.</w:t>
      </w:r>
    </w:p>
    <w:p w14:paraId="6B3AC187" w14:textId="4E431F2B" w:rsidR="00041C52" w:rsidRDefault="00041C52" w:rsidP="009C4B67">
      <w:pPr>
        <w:pStyle w:val="Bullet"/>
        <w:numPr>
          <w:ilvl w:val="0"/>
          <w:numId w:val="0"/>
        </w:numPr>
        <w:spacing w:before="120"/>
      </w:pPr>
      <w:r>
        <w:rPr>
          <w:i/>
        </w:rPr>
        <w:t xml:space="preserve">Land </w:t>
      </w:r>
      <w:r w:rsidR="00676A7C">
        <w:rPr>
          <w:i/>
        </w:rPr>
        <w:t>entities</w:t>
      </w:r>
    </w:p>
    <w:p w14:paraId="1122F99B" w14:textId="16F50559" w:rsidR="00241F29" w:rsidRDefault="00041C52" w:rsidP="009C4B67">
      <w:pPr>
        <w:pStyle w:val="Bullet"/>
        <w:numPr>
          <w:ilvl w:val="0"/>
          <w:numId w:val="0"/>
        </w:numPr>
        <w:spacing w:before="120"/>
      </w:pPr>
      <w:r>
        <w:t xml:space="preserve">An action taken by </w:t>
      </w:r>
      <w:r w:rsidR="001C67B6">
        <w:t xml:space="preserve">a relevant agreement country investor </w:t>
      </w:r>
      <w:r>
        <w:t xml:space="preserve">or an enterprise or national of Singapore or Thailand in relation to an interest in agricultural land that is used wholly </w:t>
      </w:r>
      <w:r w:rsidR="00DB6E2E">
        <w:t xml:space="preserve">and </w:t>
      </w:r>
      <w:r>
        <w:t>exclusively for a primary production business</w:t>
      </w:r>
      <w:r w:rsidR="00241F29">
        <w:t xml:space="preserve"> may</w:t>
      </w:r>
      <w:r>
        <w:t xml:space="preserve"> include an action taken by acquiring a security in a</w:t>
      </w:r>
      <w:r w:rsidR="00241F29">
        <w:t>n</w:t>
      </w:r>
      <w:r>
        <w:t xml:space="preserve"> entity that holds land</w:t>
      </w:r>
      <w:r w:rsidR="00241F29">
        <w:t xml:space="preserve">. If the land </w:t>
      </w:r>
      <w:r>
        <w:t xml:space="preserve">is used wholly </w:t>
      </w:r>
      <w:r w:rsidR="00DB6E2E">
        <w:t xml:space="preserve">and </w:t>
      </w:r>
      <w:r>
        <w:t>exclusively for a primary production business</w:t>
      </w:r>
      <w:r w:rsidR="00241F29">
        <w:t xml:space="preserve"> then those investors </w:t>
      </w:r>
      <w:r w:rsidR="00B52CB4">
        <w:t xml:space="preserve">(other than a foreign government investor) </w:t>
      </w:r>
      <w:r w:rsidR="00241F29">
        <w:t>may disregard the fact that it is agricultural land for the purposes of working out whether the entity is a land entity, in section</w:t>
      </w:r>
      <w:r w:rsidR="00893DBC">
        <w:t> </w:t>
      </w:r>
      <w:r w:rsidR="00241F29">
        <w:t>13 of the Regulation</w:t>
      </w:r>
      <w:r>
        <w:t>.</w:t>
      </w:r>
      <w:r w:rsidR="00241F29">
        <w:t xml:space="preserve"> </w:t>
      </w:r>
    </w:p>
    <w:p w14:paraId="59CE33B3" w14:textId="03E0008C" w:rsidR="001C67B6" w:rsidRDefault="00241F29" w:rsidP="009C4B67">
      <w:pPr>
        <w:pStyle w:val="Bullet"/>
        <w:numPr>
          <w:ilvl w:val="0"/>
          <w:numId w:val="0"/>
        </w:numPr>
        <w:spacing w:before="120"/>
      </w:pPr>
      <w:r>
        <w:t>The reason it is disregarded is that it is not agricultural land</w:t>
      </w:r>
      <w:r w:rsidR="00893DBC">
        <w:t>,</w:t>
      </w:r>
      <w:r>
        <w:t xml:space="preserve"> and </w:t>
      </w:r>
      <w:r w:rsidR="00893DBC">
        <w:t>as land</w:t>
      </w:r>
      <w:r w:rsidR="00893DBC" w:rsidRPr="00893DBC">
        <w:t xml:space="preserve"> used </w:t>
      </w:r>
      <w:r w:rsidR="00893DBC">
        <w:t xml:space="preserve">wholly and exclusively </w:t>
      </w:r>
      <w:r w:rsidR="00893DBC" w:rsidRPr="00893DBC">
        <w:t>for a primary production business</w:t>
      </w:r>
      <w:r w:rsidR="00893DBC">
        <w:t>,</w:t>
      </w:r>
      <w:r w:rsidR="00893DBC" w:rsidRPr="00893DBC">
        <w:t xml:space="preserve"> </w:t>
      </w:r>
      <w:r w:rsidR="00893DBC">
        <w:t xml:space="preserve">it also </w:t>
      </w:r>
      <w:r>
        <w:t xml:space="preserve">cannot be </w:t>
      </w:r>
      <w:r w:rsidR="00893DBC">
        <w:t xml:space="preserve">commercial land or </w:t>
      </w:r>
      <w:r>
        <w:t xml:space="preserve">residential </w:t>
      </w:r>
      <w:r w:rsidR="00893DBC">
        <w:t>land</w:t>
      </w:r>
      <w:r>
        <w:t>, as defined in section</w:t>
      </w:r>
      <w:r w:rsidR="00893DBC">
        <w:t> </w:t>
      </w:r>
      <w:r>
        <w:t xml:space="preserve">5 of the </w:t>
      </w:r>
      <w:r w:rsidR="00893DBC">
        <w:t>Act</w:t>
      </w:r>
      <w:r>
        <w:t>.</w:t>
      </w:r>
    </w:p>
    <w:p w14:paraId="37C6FEE8" w14:textId="04F6A30D" w:rsidR="000842EF" w:rsidRPr="00E81137" w:rsidRDefault="000842EF" w:rsidP="000842EF">
      <w:pPr>
        <w:pStyle w:val="Bullet"/>
        <w:keepNext/>
        <w:numPr>
          <w:ilvl w:val="0"/>
          <w:numId w:val="0"/>
        </w:numPr>
        <w:spacing w:before="120"/>
        <w:rPr>
          <w:b/>
        </w:rPr>
      </w:pPr>
      <w:r w:rsidRPr="00E81137">
        <w:rPr>
          <w:b/>
        </w:rPr>
        <w:t>Sectio</w:t>
      </w:r>
      <w:r w:rsidRPr="00B2272E">
        <w:rPr>
          <w:b/>
        </w:rPr>
        <w:t>n </w:t>
      </w:r>
      <w:r w:rsidR="009B5390" w:rsidRPr="00B2272E">
        <w:rPr>
          <w:b/>
        </w:rPr>
        <w:t>41 </w:t>
      </w:r>
      <w:r w:rsidR="009B5390" w:rsidRPr="00B2272E">
        <w:rPr>
          <w:rFonts w:ascii="Calibri" w:hAnsi="Calibri"/>
          <w:b/>
        </w:rPr>
        <w:t>—</w:t>
      </w:r>
      <w:r w:rsidR="009B5390" w:rsidRPr="007B10E9">
        <w:rPr>
          <w:b/>
        </w:rPr>
        <w:t> </w:t>
      </w:r>
      <w:r w:rsidRPr="00E81137">
        <w:rPr>
          <w:b/>
        </w:rPr>
        <w:t>Exemptions for certain acquisitions</w:t>
      </w:r>
    </w:p>
    <w:p w14:paraId="682DEADD" w14:textId="14DDE561" w:rsidR="000842EF" w:rsidRDefault="00C60D15" w:rsidP="00787E84">
      <w:pPr>
        <w:pStyle w:val="Bullet"/>
        <w:keepNext/>
        <w:numPr>
          <w:ilvl w:val="0"/>
          <w:numId w:val="0"/>
        </w:numPr>
        <w:spacing w:before="120"/>
      </w:pPr>
      <w:r>
        <w:t xml:space="preserve">For the actions covered by the section 41 of the Regulations, subsection 41(1) has the effect of turning-off the provisions in the Act relating to notifiable actions. </w:t>
      </w:r>
      <w:r w:rsidR="0090682A" w:rsidRPr="0090682A">
        <w:t xml:space="preserve">The provisions </w:t>
      </w:r>
      <w:r w:rsidR="0090682A">
        <w:t xml:space="preserve">of the Act </w:t>
      </w:r>
      <w:r w:rsidR="0090682A" w:rsidRPr="0090682A">
        <w:t>specified in subsection</w:t>
      </w:r>
      <w:r w:rsidR="0090682A">
        <w:t> </w:t>
      </w:r>
      <w:r w:rsidR="0090682A" w:rsidRPr="0090682A">
        <w:t>41(1) do</w:t>
      </w:r>
      <w:r w:rsidR="0090682A">
        <w:t xml:space="preserve"> </w:t>
      </w:r>
      <w:r w:rsidR="000842EF">
        <w:t xml:space="preserve">not apply in relation to an acquisition of securities in an entity, including securities </w:t>
      </w:r>
      <w:r w:rsidR="003E447B">
        <w:t xml:space="preserve">in </w:t>
      </w:r>
      <w:r w:rsidR="000842EF">
        <w:t>a land entity</w:t>
      </w:r>
      <w:r w:rsidR="0090682A">
        <w:t xml:space="preserve"> or an Australian entity that is an agribusiness</w:t>
      </w:r>
      <w:r w:rsidR="000842EF">
        <w:t>, if the acquisition occurs as a result of a rights issue (whether under the Corporation</w:t>
      </w:r>
      <w:r w:rsidR="00607946">
        <w:t>s</w:t>
      </w:r>
      <w:r w:rsidR="000842EF">
        <w:t xml:space="preserve"> Act or a law of a foreign country or part of a foreign country) and the interest </w:t>
      </w:r>
      <w:r w:rsidR="0090682A">
        <w:t xml:space="preserve">to be acquired </w:t>
      </w:r>
      <w:r w:rsidR="000842EF">
        <w:t>has not been previously offered for issue under the rights issue. This section extends to rights issues under a law of a foreign country or a part of a foreign country so long as the rights issue is a pro</w:t>
      </w:r>
      <w:r w:rsidR="000842EF">
        <w:noBreakHyphen/>
        <w:t>rata rights issue similar to a rights issue under the Corporations Act.</w:t>
      </w:r>
      <w:r>
        <w:t xml:space="preserve"> </w:t>
      </w:r>
    </w:p>
    <w:p w14:paraId="5BC581AC" w14:textId="4BB6CE09" w:rsidR="00607946" w:rsidRDefault="000842EF" w:rsidP="00BB29A8">
      <w:pPr>
        <w:pStyle w:val="Bullet"/>
        <w:numPr>
          <w:ilvl w:val="0"/>
          <w:numId w:val="0"/>
        </w:numPr>
        <w:spacing w:before="120"/>
      </w:pPr>
      <w:r>
        <w:t>Under subsection 9A(1) of the Corporation</w:t>
      </w:r>
      <w:r w:rsidR="00607946">
        <w:t>s</w:t>
      </w:r>
      <w:r>
        <w:t xml:space="preserve"> Act</w:t>
      </w:r>
      <w:r w:rsidR="0090682A">
        <w:t>,</w:t>
      </w:r>
      <w:r>
        <w:t xml:space="preserve"> a rights issue is an offer of a body’s securities for issue if</w:t>
      </w:r>
      <w:r w:rsidR="00607946">
        <w:t>:</w:t>
      </w:r>
    </w:p>
    <w:p w14:paraId="17C4B4C4" w14:textId="73CB77E6" w:rsidR="00607946" w:rsidRDefault="000842EF" w:rsidP="00BB29A8">
      <w:pPr>
        <w:pStyle w:val="Bullet"/>
        <w:spacing w:before="120"/>
      </w:pPr>
      <w:r>
        <w:t xml:space="preserve">the securities being offered for issue are in a particular class; </w:t>
      </w:r>
    </w:p>
    <w:p w14:paraId="7F071CE4" w14:textId="5FC3B3E1" w:rsidR="00607946" w:rsidRDefault="000842EF" w:rsidP="00BB29A8">
      <w:pPr>
        <w:pStyle w:val="Bullet"/>
        <w:spacing w:before="120"/>
      </w:pPr>
      <w:r>
        <w:t>the offer is made to every person who holds securities in that class to issue them</w:t>
      </w:r>
      <w:r w:rsidR="00607946">
        <w:t>, or their assignee</w:t>
      </w:r>
      <w:r>
        <w:t xml:space="preserve"> with the percentage of the securities to be issued that is the same as the percentage of the securities in that class that they hold before the offer (or, in certain circumstances, the offer is made to every person with a registered address in Australia or New Zealand who holds interests in that class); and</w:t>
      </w:r>
    </w:p>
    <w:p w14:paraId="4497FF4B" w14:textId="71D8AC35" w:rsidR="000842EF" w:rsidRDefault="000842EF" w:rsidP="00BB29A8">
      <w:pPr>
        <w:pStyle w:val="Bullet"/>
        <w:spacing w:before="120"/>
      </w:pPr>
      <w:r>
        <w:t>the terms of each offer are the same.</w:t>
      </w:r>
    </w:p>
    <w:p w14:paraId="79F62781" w14:textId="60FBDC75" w:rsidR="00C60D15" w:rsidRDefault="00607946" w:rsidP="00F4465E">
      <w:pPr>
        <w:pageBreakBefore/>
      </w:pPr>
      <w:r>
        <w:t>Subsection 9A(2) of the Corporations</w:t>
      </w:r>
      <w:r w:rsidR="0090682A">
        <w:t xml:space="preserve"> Act similarly defines a rights issue in respect of managed investment schemes. </w:t>
      </w:r>
      <w:r w:rsidR="003E447B">
        <w:t>S</w:t>
      </w:r>
      <w:r w:rsidR="0090682A">
        <w:t>ection</w:t>
      </w:r>
      <w:r w:rsidR="003E447B">
        <w:t> 42 of the Regulation</w:t>
      </w:r>
      <w:r w:rsidR="0090682A">
        <w:t xml:space="preserve"> is intended to include</w:t>
      </w:r>
      <w:r w:rsidR="0090682A" w:rsidRPr="0090682A">
        <w:t xml:space="preserve"> when securities are acquired by an action that would be </w:t>
      </w:r>
      <w:r w:rsidR="0090682A">
        <w:t xml:space="preserve">considered a rights issue under the Corporations Act </w:t>
      </w:r>
      <w:r w:rsidR="003E447B">
        <w:t>where the application of provisions relating to a rights issue under the Corporations Act have been</w:t>
      </w:r>
      <w:r w:rsidR="0090682A" w:rsidRPr="0090682A">
        <w:t xml:space="preserve"> exempted or modified by </w:t>
      </w:r>
      <w:proofErr w:type="spellStart"/>
      <w:r w:rsidR="0090682A" w:rsidRPr="0090682A">
        <w:t>ASIC</w:t>
      </w:r>
      <w:proofErr w:type="spellEnd"/>
      <w:r w:rsidR="003E447B">
        <w:t xml:space="preserve">, except for the situation covered in subparagraph 41(2)(a)(ii). </w:t>
      </w:r>
    </w:p>
    <w:p w14:paraId="04C7C0F8" w14:textId="2D4F161E" w:rsidR="00607946" w:rsidRPr="00C60D15" w:rsidRDefault="003E447B" w:rsidP="00787E84">
      <w:pPr>
        <w:pStyle w:val="Bullet"/>
        <w:spacing w:before="120"/>
        <w:rPr>
          <w:lang w:eastAsia="zh-CN"/>
        </w:rPr>
      </w:pPr>
      <w:r>
        <w:t>An example of a rights issue where the application of the Corporations Act has been modified is an accelerated rights issue</w:t>
      </w:r>
      <w:r w:rsidR="00C60D15">
        <w:t>.</w:t>
      </w:r>
      <w:r>
        <w:t xml:space="preserve"> </w:t>
      </w:r>
      <w:r w:rsidR="00C60D15">
        <w:rPr>
          <w:lang w:eastAsia="zh-CN"/>
        </w:rPr>
        <w:t>A</w:t>
      </w:r>
      <w:r w:rsidR="00C60D15" w:rsidRPr="003E447B">
        <w:rPr>
          <w:lang w:eastAsia="zh-CN"/>
        </w:rPr>
        <w:t>ccelerated rights issues may have a different offer period and timing of allotment of the securities or interests to re</w:t>
      </w:r>
      <w:r w:rsidR="00C60D15">
        <w:rPr>
          <w:lang w:eastAsia="zh-CN"/>
        </w:rPr>
        <w:t>tail and institutional holders</w:t>
      </w:r>
      <w:r w:rsidR="00C60D15">
        <w:t xml:space="preserve"> </w:t>
      </w:r>
      <w:r>
        <w:t xml:space="preserve">(see </w:t>
      </w:r>
      <w:proofErr w:type="spellStart"/>
      <w:r>
        <w:t>ASIC</w:t>
      </w:r>
      <w:proofErr w:type="spellEnd"/>
      <w:r>
        <w:t xml:space="preserve"> class order</w:t>
      </w:r>
      <w:r w:rsidR="00C60D15">
        <w:t xml:space="preserve">s </w:t>
      </w:r>
      <w:r w:rsidR="00C60D15" w:rsidRPr="00C60D15">
        <w:t>[CO</w:t>
      </w:r>
      <w:r w:rsidR="00C60D15">
        <w:t> </w:t>
      </w:r>
      <w:r w:rsidR="00C60D15" w:rsidRPr="00C60D15">
        <w:t>08/35]</w:t>
      </w:r>
      <w:r>
        <w:t xml:space="preserve"> </w:t>
      </w:r>
      <w:r w:rsidR="00C60D15">
        <w:t xml:space="preserve">and </w:t>
      </w:r>
      <w:r>
        <w:t>[CO</w:t>
      </w:r>
      <w:r w:rsidR="00C60D15">
        <w:t> </w:t>
      </w:r>
      <w:r>
        <w:t>09/459]</w:t>
      </w:r>
      <w:r w:rsidR="00C60D15">
        <w:t xml:space="preserve">, which are available at </w:t>
      </w:r>
      <w:r w:rsidR="00E4073F" w:rsidRPr="00E4073F">
        <w:t>www.comlaw.gov.au</w:t>
      </w:r>
      <w:r w:rsidR="00C60D15">
        <w:t xml:space="preserve">). </w:t>
      </w:r>
    </w:p>
    <w:p w14:paraId="1629C660" w14:textId="2F94CB33" w:rsidR="000842EF" w:rsidRDefault="003E447B" w:rsidP="00BB29A8">
      <w:pPr>
        <w:pStyle w:val="Bullet"/>
        <w:numPr>
          <w:ilvl w:val="0"/>
          <w:numId w:val="0"/>
        </w:numPr>
        <w:spacing w:before="120"/>
      </w:pPr>
      <w:r>
        <w:t xml:space="preserve">Under </w:t>
      </w:r>
      <w:r w:rsidRPr="003E447B">
        <w:t>subparagraph</w:t>
      </w:r>
      <w:r w:rsidR="00C60D15">
        <w:t> </w:t>
      </w:r>
      <w:r w:rsidRPr="003E447B">
        <w:t>41(2)(a)(ii)</w:t>
      </w:r>
      <w:r>
        <w:t xml:space="preserve"> of the Regulation, t</w:t>
      </w:r>
      <w:r w:rsidR="0090682A">
        <w:t>he provisions specified in subs</w:t>
      </w:r>
      <w:r w:rsidR="000842EF">
        <w:t>ectio</w:t>
      </w:r>
      <w:r w:rsidR="000842EF" w:rsidRPr="00B2272E">
        <w:t>n 41</w:t>
      </w:r>
      <w:r w:rsidR="0090682A" w:rsidRPr="00B2272E">
        <w:t>(1)</w:t>
      </w:r>
      <w:r w:rsidR="000842EF">
        <w:t xml:space="preserve"> </w:t>
      </w:r>
      <w:r w:rsidR="000D27E3">
        <w:t>continue to</w:t>
      </w:r>
      <w:r w:rsidR="000842EF">
        <w:t xml:space="preserve"> apply to acquisitions made under a rights issue if the acquisitions are pursuant to the take</w:t>
      </w:r>
      <w:r w:rsidR="000842EF">
        <w:noBreakHyphen/>
        <w:t xml:space="preserve">up of rights on a secondary </w:t>
      </w:r>
      <w:r w:rsidR="0090682A">
        <w:t xml:space="preserve">or later </w:t>
      </w:r>
      <w:r w:rsidR="000842EF">
        <w:t>offer of rights that were not taken up when initially offered to security holders (that is, acquisitions through a take</w:t>
      </w:r>
      <w:r w:rsidR="000842EF">
        <w:noBreakHyphen/>
        <w:t>up of rights resulting from a shortfall in take</w:t>
      </w:r>
      <w:r w:rsidR="000842EF">
        <w:noBreakHyphen/>
        <w:t>up). This is the case irrespective of if the person is an existing security holder or not.</w:t>
      </w:r>
      <w:r w:rsidR="0090682A">
        <w:t xml:space="preserve"> In such cases, if the acquisition were to result in a notifiable action, a</w:t>
      </w:r>
      <w:r w:rsidR="0090682A" w:rsidRPr="0090682A">
        <w:t xml:space="preserve"> </w:t>
      </w:r>
      <w:r w:rsidR="0090682A">
        <w:t xml:space="preserve">foreign </w:t>
      </w:r>
      <w:r w:rsidR="0090682A" w:rsidRPr="0090682A">
        <w:t xml:space="preserve">person who takes </w:t>
      </w:r>
      <w:r w:rsidR="0090682A">
        <w:t>the</w:t>
      </w:r>
      <w:r w:rsidR="0090682A" w:rsidRPr="0090682A">
        <w:t xml:space="preserve"> notifiable action without </w:t>
      </w:r>
      <w:r w:rsidR="00BF6451">
        <w:t>giving notice to the Treasurer</w:t>
      </w:r>
      <w:r w:rsidR="0090682A" w:rsidRPr="0090682A">
        <w:t xml:space="preserve"> may be found guilty of an offence or the subject of a civil penalty order</w:t>
      </w:r>
      <w:r w:rsidR="0090682A">
        <w:t>.</w:t>
      </w:r>
    </w:p>
    <w:p w14:paraId="5BAC1A74" w14:textId="7A44411C" w:rsidR="000842EF" w:rsidRDefault="000842EF" w:rsidP="00BB29A8">
      <w:pPr>
        <w:pStyle w:val="Bullet"/>
        <w:numPr>
          <w:ilvl w:val="0"/>
          <w:numId w:val="0"/>
        </w:numPr>
        <w:spacing w:before="120"/>
      </w:pPr>
      <w:r>
        <w:t xml:space="preserve">In addition, </w:t>
      </w:r>
      <w:r w:rsidR="00C60D15">
        <w:t xml:space="preserve">the </w:t>
      </w:r>
      <w:r>
        <w:t xml:space="preserve">provisions </w:t>
      </w:r>
      <w:r w:rsidR="00C60D15">
        <w:t>of</w:t>
      </w:r>
      <w:r>
        <w:t xml:space="preserve"> the Act </w:t>
      </w:r>
      <w:r w:rsidR="00C60D15">
        <w:t xml:space="preserve">specified in subsection 41(1) of the Regulation </w:t>
      </w:r>
      <w:r>
        <w:t xml:space="preserve">do not apply in relation to an acquisition of an interest in securities in an entity, including securities </w:t>
      </w:r>
      <w:r w:rsidR="003E447B">
        <w:t xml:space="preserve">in </w:t>
      </w:r>
      <w:r>
        <w:t>a land entity</w:t>
      </w:r>
      <w:r w:rsidR="0090682A">
        <w:t xml:space="preserve"> or an Australian entity that is an agribusiness</w:t>
      </w:r>
      <w:r>
        <w:t>, if the entity is listed for quotation in the official list of the stock exchange in Australia; that listing is the entity’s primary listing in an official list of a stock exchange; and the acquisition is under:</w:t>
      </w:r>
    </w:p>
    <w:p w14:paraId="747FBC37" w14:textId="0001DFDC" w:rsidR="000842EF" w:rsidRDefault="000842EF" w:rsidP="00BB29A8">
      <w:pPr>
        <w:pStyle w:val="Bullet"/>
        <w:spacing w:before="120"/>
      </w:pPr>
      <w:r>
        <w:t>a dividend reinvestment plan (that is, a plan under which shareholders in a corporation are able to reinvest dividends by subscribing for additional shares in the corporation);</w:t>
      </w:r>
    </w:p>
    <w:p w14:paraId="63646F48" w14:textId="65D66FDB" w:rsidR="000842EF" w:rsidRDefault="000842EF" w:rsidP="00BB29A8">
      <w:pPr>
        <w:pStyle w:val="Bullet"/>
        <w:spacing w:before="120"/>
      </w:pPr>
      <w:r>
        <w:t>a bonus share plan (that is, a scheme by which a corporation with distributable profits will capitalise those profits by issuing new paid</w:t>
      </w:r>
      <w:r>
        <w:noBreakHyphen/>
        <w:t xml:space="preserve">up shares to its members); </w:t>
      </w:r>
    </w:p>
    <w:p w14:paraId="1F0E0D2D" w14:textId="6E8E0896" w:rsidR="000842EF" w:rsidRDefault="000842EF" w:rsidP="00BB29A8">
      <w:pPr>
        <w:pStyle w:val="Bullet"/>
        <w:spacing w:before="120"/>
      </w:pPr>
      <w:r>
        <w:t>a distribution reinvestment plan (that is, a plan under which members in a managed investment scheme are able to reinvest distributions by subscribing for additional units in the scheme); or</w:t>
      </w:r>
    </w:p>
    <w:p w14:paraId="791C4006" w14:textId="2AD58893" w:rsidR="000842EF" w:rsidRDefault="000842EF" w:rsidP="00BB29A8">
      <w:pPr>
        <w:pStyle w:val="Bullet"/>
        <w:spacing w:before="120"/>
      </w:pPr>
      <w:r>
        <w:t>a switching facility (that is, a facility offered by managed investment schemes to its members which allows the members to switch their units between funds, or between components of funds such as balanced and growth options</w:t>
      </w:r>
      <w:r w:rsidR="00C60D15">
        <w:t>),</w:t>
      </w:r>
    </w:p>
    <w:p w14:paraId="27B35DA3" w14:textId="77777777" w:rsidR="00AE1EFF" w:rsidRDefault="000842EF" w:rsidP="00BB29A8">
      <w:pPr>
        <w:pStyle w:val="Bullet"/>
        <w:numPr>
          <w:ilvl w:val="0"/>
          <w:numId w:val="0"/>
        </w:numPr>
        <w:spacing w:before="120"/>
      </w:pPr>
      <w:r>
        <w:t>within the meaning of the Corporations Act</w:t>
      </w:r>
      <w:r w:rsidR="00C60D15">
        <w:t xml:space="preserve"> (including as exempted or modified by </w:t>
      </w:r>
      <w:proofErr w:type="spellStart"/>
      <w:r w:rsidR="00C60D15">
        <w:t>ASIC</w:t>
      </w:r>
      <w:proofErr w:type="spellEnd"/>
      <w:r w:rsidR="00C60D15">
        <w:t>)</w:t>
      </w:r>
      <w:r>
        <w:t xml:space="preserve">. </w:t>
      </w:r>
    </w:p>
    <w:p w14:paraId="4BD12DB9" w14:textId="271BF322" w:rsidR="000842EF" w:rsidRPr="008C0A36" w:rsidRDefault="00AE1EFF" w:rsidP="00BB29A8">
      <w:pPr>
        <w:pStyle w:val="Bullet"/>
        <w:numPr>
          <w:ilvl w:val="0"/>
          <w:numId w:val="0"/>
        </w:numPr>
        <w:spacing w:before="120"/>
        <w:rPr>
          <w:sz w:val="26"/>
        </w:rPr>
      </w:pPr>
      <w:r w:rsidRPr="008C0A36">
        <w:rPr>
          <w:sz w:val="26"/>
        </w:rPr>
        <w:t xml:space="preserve">Where </w:t>
      </w:r>
      <w:r w:rsidRPr="008C0A36">
        <w:t>the interest in the shares or units of an entity meeting paragraph 41(2)(b) can only be transferred together with interests in one or more securities in another entity, this paragraph may also be taken to apply to the acquisition of interests in securities in the latter entity.</w:t>
      </w:r>
    </w:p>
    <w:p w14:paraId="2005EB49" w14:textId="0270AFD7" w:rsidR="008F5825" w:rsidRPr="00A456E1" w:rsidRDefault="008F5825" w:rsidP="00F4465E">
      <w:pPr>
        <w:pStyle w:val="Bullet"/>
        <w:pageBreakBefore/>
        <w:numPr>
          <w:ilvl w:val="0"/>
          <w:numId w:val="0"/>
        </w:numPr>
        <w:spacing w:before="120"/>
      </w:pPr>
      <w:r w:rsidRPr="009C4B67">
        <w:rPr>
          <w:b/>
        </w:rPr>
        <w:t>Subdivision</w:t>
      </w:r>
      <w:r>
        <w:rPr>
          <w:b/>
        </w:rPr>
        <w:t> F </w:t>
      </w:r>
      <w:r w:rsidRPr="009C4B67">
        <w:rPr>
          <w:rFonts w:ascii="Calibri" w:hAnsi="Calibri"/>
          <w:b/>
        </w:rPr>
        <w:t>—</w:t>
      </w:r>
      <w:r>
        <w:rPr>
          <w:b/>
        </w:rPr>
        <w:t> Exemption certificates</w:t>
      </w:r>
    </w:p>
    <w:p w14:paraId="5BF38F11" w14:textId="65EEECA8" w:rsidR="00424658" w:rsidRPr="00B2272E" w:rsidRDefault="001B1A41" w:rsidP="008F5825">
      <w:pPr>
        <w:pStyle w:val="Bullet"/>
        <w:keepNext/>
        <w:numPr>
          <w:ilvl w:val="0"/>
          <w:numId w:val="0"/>
        </w:numPr>
        <w:spacing w:before="120"/>
        <w:rPr>
          <w:b/>
        </w:rPr>
      </w:pPr>
      <w:r w:rsidRPr="00E81137">
        <w:rPr>
          <w:b/>
        </w:rPr>
        <w:t>Sectio</w:t>
      </w:r>
      <w:r w:rsidRPr="00B2272E">
        <w:rPr>
          <w:b/>
        </w:rPr>
        <w:t>n </w:t>
      </w:r>
      <w:r w:rsidR="009B5390" w:rsidRPr="00B2272E">
        <w:rPr>
          <w:b/>
        </w:rPr>
        <w:t>42 </w:t>
      </w:r>
      <w:r w:rsidR="009B5390" w:rsidRPr="00B2272E">
        <w:rPr>
          <w:rFonts w:ascii="Calibri" w:hAnsi="Calibri"/>
          <w:b/>
        </w:rPr>
        <w:t>—</w:t>
      </w:r>
      <w:r w:rsidR="009B5390" w:rsidRPr="00B2272E">
        <w:rPr>
          <w:b/>
        </w:rPr>
        <w:t> </w:t>
      </w:r>
      <w:r w:rsidR="00424658" w:rsidRPr="00B2272E">
        <w:rPr>
          <w:b/>
        </w:rPr>
        <w:t>Exemption certificate for underwriters</w:t>
      </w:r>
    </w:p>
    <w:p w14:paraId="5206A55D" w14:textId="18226CD3" w:rsidR="008F5825" w:rsidRDefault="005E18C9" w:rsidP="009C4B67">
      <w:pPr>
        <w:pStyle w:val="Bullet"/>
        <w:keepNext/>
        <w:numPr>
          <w:ilvl w:val="0"/>
          <w:numId w:val="0"/>
        </w:numPr>
        <w:spacing w:before="120"/>
      </w:pPr>
      <w:r w:rsidRPr="00B2272E">
        <w:t>Under section 42 of</w:t>
      </w:r>
      <w:r>
        <w:t xml:space="preserve"> the Regulation, a</w:t>
      </w:r>
      <w:r w:rsidR="00D1348D">
        <w:t xml:space="preserve"> foreign person </w:t>
      </w:r>
      <w:r w:rsidR="008F5825">
        <w:t>may apply to be given an exemption certificate if the foreign person:</w:t>
      </w:r>
    </w:p>
    <w:p w14:paraId="3FBE18F9" w14:textId="77777777" w:rsidR="008F5825" w:rsidRDefault="008F5825" w:rsidP="00A42C4A">
      <w:pPr>
        <w:pStyle w:val="Bullet"/>
        <w:spacing w:before="120"/>
      </w:pPr>
      <w:r>
        <w:t>has a business of underwriting securities</w:t>
      </w:r>
      <w:r w:rsidRPr="008F5825">
        <w:t xml:space="preserve"> (including </w:t>
      </w:r>
      <w:r>
        <w:t>through sub-underwriting</w:t>
      </w:r>
      <w:r w:rsidRPr="008F5825">
        <w:t>)</w:t>
      </w:r>
      <w:r>
        <w:t>;</w:t>
      </w:r>
    </w:p>
    <w:p w14:paraId="4A3FEB8C" w14:textId="77777777" w:rsidR="008F5825" w:rsidRDefault="008F5825" w:rsidP="00A42C4A">
      <w:pPr>
        <w:pStyle w:val="Bullet"/>
        <w:spacing w:before="120"/>
      </w:pPr>
      <w:r>
        <w:t>or any other foreign person (for example, another entity within the same wholly</w:t>
      </w:r>
      <w:r>
        <w:noBreakHyphen/>
        <w:t>owned group) proposes to acquire kinds of interests in securities (including securities in land entities and entities that are Australian agribusinesses); and</w:t>
      </w:r>
    </w:p>
    <w:p w14:paraId="3DED7BB2" w14:textId="5EE79407" w:rsidR="008F5825" w:rsidRDefault="008F5825" w:rsidP="00A42C4A">
      <w:pPr>
        <w:pStyle w:val="Bullet"/>
        <w:spacing w:before="120"/>
      </w:pPr>
      <w:r>
        <w:t>proposes to acquire the interest for the purposes of, or in the course of, the foreign person’s business of underwriting securities.</w:t>
      </w:r>
    </w:p>
    <w:p w14:paraId="21D1B9D1" w14:textId="7E2D0C9C" w:rsidR="000C7E57" w:rsidRDefault="005E18C9" w:rsidP="00A362AB">
      <w:pPr>
        <w:pStyle w:val="Bullet"/>
        <w:numPr>
          <w:ilvl w:val="0"/>
          <w:numId w:val="0"/>
        </w:numPr>
        <w:spacing w:before="120"/>
        <w:rPr>
          <w:szCs w:val="20"/>
        </w:rPr>
      </w:pPr>
      <w:r>
        <w:t xml:space="preserve">‘Underwriting’ refers to the practice of entering into an agreement whereby a person, the underwriter, agrees to take up any unsubscribed portion of an issue of securities. </w:t>
      </w:r>
      <w:r w:rsidR="000C7E57">
        <w:t>The agreement is generally entered into with the issuer of the securities or in the case of sub</w:t>
      </w:r>
      <w:r w:rsidR="000C7E57">
        <w:noBreakHyphen/>
        <w:t>underwriting, another person in the business of underwriting. An entity who is a financial services licensee holder authorised under the Corporations Act to underwrite (including sub</w:t>
      </w:r>
      <w:r w:rsidR="000C7E57">
        <w:noBreakHyphen/>
        <w:t xml:space="preserve">underwrite) securities in Australia is an example of an entity who </w:t>
      </w:r>
      <w:r w:rsidR="000C7E57" w:rsidRPr="000C7E57">
        <w:t>has a business of underwriting securities (including through sub</w:t>
      </w:r>
      <w:r w:rsidR="000C7E57">
        <w:noBreakHyphen/>
      </w:r>
      <w:r w:rsidR="000C7E57" w:rsidRPr="000C7E57">
        <w:t>underwriting)</w:t>
      </w:r>
      <w:r w:rsidR="000C7E57">
        <w:t>.</w:t>
      </w:r>
    </w:p>
    <w:p w14:paraId="25CE2B37" w14:textId="24AB9670" w:rsidR="005E18C9" w:rsidRDefault="005E18C9" w:rsidP="00A362AB">
      <w:pPr>
        <w:pStyle w:val="Bullet"/>
        <w:numPr>
          <w:ilvl w:val="0"/>
          <w:numId w:val="0"/>
        </w:numPr>
        <w:spacing w:before="120"/>
      </w:pPr>
      <w:r>
        <w:t>Foreign persons who are in the business of underwriting generally will not be interested in acquiring control of the entity in which they underwrite a securities issue</w:t>
      </w:r>
      <w:r w:rsidR="000C7E57">
        <w:t xml:space="preserve"> or holding the securities acquired through underwriting for the long term. Such foreign persons</w:t>
      </w:r>
      <w:r>
        <w:t xml:space="preserve"> will normally underwrite subject to an obligation to sell</w:t>
      </w:r>
      <w:r>
        <w:noBreakHyphen/>
        <w:t xml:space="preserve">down all or some of the securities acquired in the course of the underwriting to other persons. </w:t>
      </w:r>
      <w:r w:rsidR="00034472">
        <w:t>The </w:t>
      </w:r>
      <w:r>
        <w:t>sell</w:t>
      </w:r>
      <w:r>
        <w:noBreakHyphen/>
        <w:t xml:space="preserve">down may be subject to particular parameters set by the issuer of the securities. For example, the securities may not be sold for an initial period following acquisition and subsequent to this, the </w:t>
      </w:r>
      <w:r w:rsidR="000C7E57">
        <w:t>number of securities</w:t>
      </w:r>
      <w:r>
        <w:t xml:space="preserve"> sold within a</w:t>
      </w:r>
      <w:r w:rsidR="000C7E57">
        <w:t>ny</w:t>
      </w:r>
      <w:r>
        <w:t xml:space="preserve"> defined period may </w:t>
      </w:r>
      <w:r w:rsidR="000C7E57">
        <w:t xml:space="preserve">not exceed a specified number. </w:t>
      </w:r>
    </w:p>
    <w:p w14:paraId="5E9CCE40" w14:textId="77777777" w:rsidR="00705268" w:rsidRDefault="00D1348D" w:rsidP="00A362AB">
      <w:pPr>
        <w:pStyle w:val="Bullet"/>
        <w:numPr>
          <w:ilvl w:val="0"/>
          <w:numId w:val="0"/>
        </w:numPr>
        <w:spacing w:before="120"/>
      </w:pPr>
      <w:r>
        <w:t>The Treasurer may give such a certificate if the Treasurer is satisfied that the acquisitions of those kinds of interests by that foreign person are not contrary to the national interest. Such a certificate must specify the per</w:t>
      </w:r>
      <w:r w:rsidR="003C3ECB">
        <w:t>son to whom the certificate relates (who</w:t>
      </w:r>
      <w:r>
        <w:t xml:space="preserve"> may be a person who is not yet incorporated or established) and the kinds of interests in securities to which the certificate relates. </w:t>
      </w:r>
    </w:p>
    <w:p w14:paraId="09C85278" w14:textId="4C854E35" w:rsidR="005E18C9" w:rsidRDefault="008F5825" w:rsidP="00A362AB">
      <w:pPr>
        <w:pStyle w:val="Bullet"/>
        <w:numPr>
          <w:ilvl w:val="0"/>
          <w:numId w:val="0"/>
        </w:numPr>
        <w:spacing w:before="120"/>
      </w:pPr>
      <w:r>
        <w:t xml:space="preserve">A certificate may specify one or more conditions, a period during which the certificate is in force and any other matter. </w:t>
      </w:r>
      <w:r w:rsidR="005E18C9">
        <w:t xml:space="preserve">An example of </w:t>
      </w:r>
      <w:r w:rsidR="00705268">
        <w:t xml:space="preserve">a </w:t>
      </w:r>
      <w:r w:rsidR="005E18C9">
        <w:t>condition that may be attached include</w:t>
      </w:r>
      <w:r w:rsidR="00705268">
        <w:t>s</w:t>
      </w:r>
      <w:r w:rsidR="005E18C9">
        <w:t xml:space="preserve"> a condition to report to the Treasurer on a periodic basis on acquisitions made that are covered by the certificate. </w:t>
      </w:r>
    </w:p>
    <w:p w14:paraId="5DF8B77C" w14:textId="651083EF" w:rsidR="008F5825" w:rsidRDefault="008F5825" w:rsidP="00A362AB">
      <w:pPr>
        <w:pStyle w:val="Bullet"/>
        <w:numPr>
          <w:ilvl w:val="0"/>
          <w:numId w:val="0"/>
        </w:numPr>
        <w:spacing w:before="120"/>
      </w:pPr>
      <w:r>
        <w:t xml:space="preserve">If a certificate is given, an acquisition of securities that is covered by the certificate is generally not a significant action or a notifiable action. </w:t>
      </w:r>
    </w:p>
    <w:p w14:paraId="59C9F1A1" w14:textId="195AAFB3" w:rsidR="008150CA" w:rsidRPr="008150CA" w:rsidRDefault="008150CA" w:rsidP="00A362AB">
      <w:pPr>
        <w:pStyle w:val="Bullet"/>
        <w:numPr>
          <w:ilvl w:val="0"/>
          <w:numId w:val="0"/>
        </w:numPr>
        <w:spacing w:before="120"/>
      </w:pPr>
      <w:r w:rsidRPr="008150CA">
        <w:t>Applications for a certificate will be considered on a case</w:t>
      </w:r>
      <w:r w:rsidRPr="008150CA">
        <w:noBreakHyphen/>
        <w:t>by</w:t>
      </w:r>
      <w:r w:rsidRPr="008150CA">
        <w:noBreakHyphen/>
        <w:t>case basis and the Treasurer declining to grant a certificate does not have any implications for the foreign person’s ability to seek no objection notifications for individual acquisitions.</w:t>
      </w:r>
    </w:p>
    <w:p w14:paraId="6521DDA5" w14:textId="018635E3" w:rsidR="0067245C" w:rsidRDefault="009B5390" w:rsidP="00F4465E">
      <w:pPr>
        <w:pStyle w:val="Bullet"/>
        <w:pageBreakBefore/>
        <w:numPr>
          <w:ilvl w:val="0"/>
          <w:numId w:val="0"/>
        </w:numPr>
        <w:spacing w:before="120"/>
        <w:rPr>
          <w:b/>
        </w:rPr>
      </w:pPr>
      <w:r>
        <w:rPr>
          <w:b/>
        </w:rPr>
        <w:t>Sectio</w:t>
      </w:r>
      <w:r w:rsidRPr="00B2272E">
        <w:rPr>
          <w:b/>
        </w:rPr>
        <w:t>n 43 </w:t>
      </w:r>
      <w:r w:rsidRPr="00B2272E">
        <w:rPr>
          <w:rFonts w:ascii="Calibri" w:hAnsi="Calibri"/>
          <w:b/>
        </w:rPr>
        <w:t>—</w:t>
      </w:r>
      <w:r w:rsidRPr="00B2272E">
        <w:rPr>
          <w:b/>
        </w:rPr>
        <w:t> </w:t>
      </w:r>
      <w:r w:rsidR="0067245C" w:rsidRPr="00B2272E">
        <w:rPr>
          <w:b/>
        </w:rPr>
        <w:t>Exem</w:t>
      </w:r>
      <w:r w:rsidR="0067245C" w:rsidRPr="00D65873">
        <w:rPr>
          <w:b/>
        </w:rPr>
        <w:t>ption certificates for certain interests in tenements</w:t>
      </w:r>
    </w:p>
    <w:p w14:paraId="65A5F1AE" w14:textId="1F0BA49E" w:rsidR="00D829B3" w:rsidRDefault="00D829B3" w:rsidP="00705268">
      <w:pPr>
        <w:pStyle w:val="Bullet"/>
        <w:keepNext/>
        <w:numPr>
          <w:ilvl w:val="0"/>
          <w:numId w:val="0"/>
        </w:numPr>
        <w:spacing w:before="120"/>
      </w:pPr>
      <w:r w:rsidRPr="00705268">
        <w:t>Under section 43</w:t>
      </w:r>
      <w:r>
        <w:t xml:space="preserve"> of the Regulation</w:t>
      </w:r>
      <w:r w:rsidRPr="00705268">
        <w:t xml:space="preserve">, </w:t>
      </w:r>
      <w:r>
        <w:t>a</w:t>
      </w:r>
      <w:r w:rsidRPr="00D829B3">
        <w:t xml:space="preserve"> foreign pers</w:t>
      </w:r>
      <w:r>
        <w:t>on may apply to be given an exemption certificate</w:t>
      </w:r>
      <w:r w:rsidRPr="00D829B3">
        <w:t xml:space="preserve"> if the foreign person or any other foreign person proposes to acquire</w:t>
      </w:r>
      <w:r>
        <w:t xml:space="preserve"> one or more kinds of interests</w:t>
      </w:r>
      <w:r w:rsidRPr="00D829B3">
        <w:t xml:space="preserve"> </w:t>
      </w:r>
      <w:r>
        <w:t>in either:</w:t>
      </w:r>
    </w:p>
    <w:p w14:paraId="057D4CB0" w14:textId="77777777" w:rsidR="00D829B3" w:rsidRDefault="00D829B3" w:rsidP="00A42C4A">
      <w:pPr>
        <w:pStyle w:val="Bullet"/>
        <w:spacing w:before="120"/>
      </w:pPr>
      <w:r>
        <w:t xml:space="preserve">a tenement; or </w:t>
      </w:r>
    </w:p>
    <w:p w14:paraId="29AFCD32" w14:textId="32F3BCAD" w:rsidR="00D829B3" w:rsidRDefault="00D829B3" w:rsidP="00A42C4A">
      <w:pPr>
        <w:pStyle w:val="Bullet"/>
        <w:spacing w:before="120"/>
      </w:pPr>
      <w:r>
        <w:t>in securities in a mining, production or exploration entity,</w:t>
      </w:r>
    </w:p>
    <w:p w14:paraId="1E85ECCA" w14:textId="4B9A104A" w:rsidR="00D829B3" w:rsidRDefault="00D829B3" w:rsidP="00705268">
      <w:pPr>
        <w:pStyle w:val="Bullet"/>
        <w:numPr>
          <w:ilvl w:val="0"/>
          <w:numId w:val="0"/>
        </w:numPr>
        <w:spacing w:before="120"/>
      </w:pPr>
      <w:r>
        <w:t>so long as the kinds of interests are not interests in Australian land.</w:t>
      </w:r>
    </w:p>
    <w:p w14:paraId="4D4D3564" w14:textId="13970B80" w:rsidR="00705268" w:rsidRDefault="00705268" w:rsidP="00705268">
      <w:pPr>
        <w:pStyle w:val="Bullet"/>
        <w:numPr>
          <w:ilvl w:val="0"/>
          <w:numId w:val="0"/>
        </w:numPr>
        <w:spacing w:before="120"/>
      </w:pPr>
      <w:r>
        <w:t>Section 5 of the Regulation includes definitions for ‘tenement’ and ‘mining, production or exploration entity’, while section 5 of the Act includes a definition of ‘Australian land’ and section 12 of the Act prescribes the meaning of interest in Australian land.</w:t>
      </w:r>
    </w:p>
    <w:p w14:paraId="0A0B02AC" w14:textId="77777777" w:rsidR="00705268" w:rsidRDefault="00705268" w:rsidP="00705268">
      <w:pPr>
        <w:pStyle w:val="Bullet"/>
        <w:numPr>
          <w:ilvl w:val="0"/>
          <w:numId w:val="0"/>
        </w:numPr>
        <w:spacing w:before="120"/>
      </w:pPr>
      <w:r w:rsidRPr="00705268">
        <w:t>The Treasurer may give such a certificate if the Treasurer is satisfied that the acquisitions of those kinds of interests by that foreign person are not contrary to the national interest. Such a certificate must specify the person to whom the certificate relates (who may be a person who is not yet incorporated or established) and the kinds of interests to which the certificate relates</w:t>
      </w:r>
      <w:r>
        <w:t xml:space="preserve">. </w:t>
      </w:r>
    </w:p>
    <w:p w14:paraId="706FBFBF" w14:textId="30120C99" w:rsidR="00D829B3" w:rsidRDefault="00705268" w:rsidP="00705268">
      <w:pPr>
        <w:pStyle w:val="Bullet"/>
        <w:numPr>
          <w:ilvl w:val="0"/>
          <w:numId w:val="0"/>
        </w:numPr>
        <w:spacing w:before="120"/>
      </w:pPr>
      <w:r>
        <w:t>A certificate may specify one or more conditions, a period during which the certificate is in force and any other matter. An example of a condition that may be attached includes a condition to report to the Treasurer on a periodic basis on acquisitions made that are covered by the certificate.</w:t>
      </w:r>
    </w:p>
    <w:p w14:paraId="44A4E1CF" w14:textId="6C436BFD" w:rsidR="008150CA" w:rsidRDefault="00705268" w:rsidP="00B2272E">
      <w:pPr>
        <w:pStyle w:val="Bullet"/>
        <w:numPr>
          <w:ilvl w:val="0"/>
          <w:numId w:val="0"/>
        </w:numPr>
        <w:spacing w:before="120"/>
      </w:pPr>
      <w:r>
        <w:t>This certificate is intended for foreign government investors and its inclusion in the Regulations follows from the inclusion of related the significant action and notifiable action for foreign government investors under paragraph 56(1)(c) of the Regulation.</w:t>
      </w:r>
      <w:r w:rsidR="00D829B3">
        <w:t xml:space="preserve"> </w:t>
      </w:r>
      <w:r w:rsidR="008150CA">
        <w:t>This also takes into account that some of the interests covered by paragraph 56(1)(c) of the Regulation will not be interests in Australian land and thus cannot be covered by an exemption certificate for foreign persons under section 58 of the Act.</w:t>
      </w:r>
    </w:p>
    <w:p w14:paraId="6592353C" w14:textId="104BD209" w:rsidR="008150CA" w:rsidRDefault="00705268" w:rsidP="00B2272E">
      <w:pPr>
        <w:pStyle w:val="Bullet"/>
        <w:numPr>
          <w:ilvl w:val="0"/>
          <w:numId w:val="0"/>
        </w:numPr>
        <w:spacing w:before="120"/>
      </w:pPr>
      <w:r>
        <w:t>Applications for a certificate will be considered on a case</w:t>
      </w:r>
      <w:r>
        <w:noBreakHyphen/>
        <w:t>by</w:t>
      </w:r>
      <w:r>
        <w:noBreakHyphen/>
        <w:t>case basis and the</w:t>
      </w:r>
      <w:r w:rsidR="008150CA">
        <w:t xml:space="preserve"> Treasurer declining to grant a certificate does not have any implications </w:t>
      </w:r>
      <w:r w:rsidR="008150CA" w:rsidRPr="00286F46">
        <w:t xml:space="preserve">for the foreign person’s ability to seek </w:t>
      </w:r>
      <w:r w:rsidR="008150CA">
        <w:t xml:space="preserve">no objection notifications for </w:t>
      </w:r>
      <w:r w:rsidR="008150CA" w:rsidRPr="00286F46">
        <w:t xml:space="preserve">individual </w:t>
      </w:r>
      <w:r w:rsidR="008150CA">
        <w:t>acquisitions.</w:t>
      </w:r>
    </w:p>
    <w:p w14:paraId="223C73BA" w14:textId="44F283A0" w:rsidR="00BC3748" w:rsidRPr="00BC3748" w:rsidRDefault="00BC3748" w:rsidP="009C4B67">
      <w:pPr>
        <w:pStyle w:val="Bullet"/>
        <w:numPr>
          <w:ilvl w:val="0"/>
          <w:numId w:val="0"/>
        </w:numPr>
        <w:spacing w:before="120"/>
        <w:rPr>
          <w:b/>
        </w:rPr>
      </w:pPr>
      <w:r w:rsidRPr="00BC3748">
        <w:rPr>
          <w:b/>
        </w:rPr>
        <w:t>Division</w:t>
      </w:r>
      <w:r>
        <w:rPr>
          <w:b/>
        </w:rPr>
        <w:t> </w:t>
      </w:r>
      <w:r w:rsidR="009B5390" w:rsidRPr="00BC3748">
        <w:rPr>
          <w:b/>
        </w:rPr>
        <w:t>4</w:t>
      </w:r>
      <w:r w:rsidR="009B5390">
        <w:rPr>
          <w:b/>
        </w:rPr>
        <w:t> </w:t>
      </w:r>
      <w:r w:rsidR="009B5390" w:rsidRPr="00E81137">
        <w:rPr>
          <w:rFonts w:ascii="Calibri" w:hAnsi="Calibri"/>
          <w:b/>
        </w:rPr>
        <w:t>—</w:t>
      </w:r>
      <w:r w:rsidR="009B5390">
        <w:rPr>
          <w:b/>
        </w:rPr>
        <w:t> </w:t>
      </w:r>
      <w:r w:rsidRPr="00BC3748">
        <w:rPr>
          <w:b/>
        </w:rPr>
        <w:t>Exemptions from other specified provisions</w:t>
      </w:r>
    </w:p>
    <w:p w14:paraId="395DD0BB" w14:textId="5BB87549" w:rsidR="00571249" w:rsidRPr="00E81137" w:rsidRDefault="00BC3748" w:rsidP="009C4B67">
      <w:pPr>
        <w:pStyle w:val="base-text-paragraph"/>
        <w:ind w:left="0"/>
        <w:rPr>
          <w:b/>
        </w:rPr>
      </w:pPr>
      <w:r w:rsidRPr="00E81137">
        <w:rPr>
          <w:b/>
        </w:rPr>
        <w:t>Section</w:t>
      </w:r>
      <w:r>
        <w:rPr>
          <w:b/>
        </w:rPr>
        <w:t> </w:t>
      </w:r>
      <w:r w:rsidR="00D65873">
        <w:rPr>
          <w:b/>
        </w:rPr>
        <w:t>44</w:t>
      </w:r>
      <w:r w:rsidR="009B5390" w:rsidRPr="007B10E9">
        <w:rPr>
          <w:b/>
        </w:rPr>
        <w:t> </w:t>
      </w:r>
      <w:r w:rsidR="009B5390" w:rsidRPr="00E81137">
        <w:rPr>
          <w:rFonts w:ascii="Calibri" w:hAnsi="Calibri"/>
          <w:b/>
        </w:rPr>
        <w:t>—</w:t>
      </w:r>
      <w:r w:rsidR="009B5390">
        <w:rPr>
          <w:b/>
        </w:rPr>
        <w:t> </w:t>
      </w:r>
      <w:r w:rsidR="00571249" w:rsidRPr="00E81137">
        <w:rPr>
          <w:b/>
        </w:rPr>
        <w:t xml:space="preserve">Meaning of </w:t>
      </w:r>
      <w:r w:rsidR="00041C52">
        <w:rPr>
          <w:b/>
        </w:rPr>
        <w:t>‘</w:t>
      </w:r>
      <w:r w:rsidR="00571249" w:rsidRPr="00E81137">
        <w:rPr>
          <w:b/>
        </w:rPr>
        <w:t>agricultural land</w:t>
      </w:r>
      <w:r w:rsidR="00041C52">
        <w:rPr>
          <w:b/>
        </w:rPr>
        <w:t>’</w:t>
      </w:r>
    </w:p>
    <w:p w14:paraId="78BD68C4" w14:textId="2C50567B" w:rsidR="00554462" w:rsidRDefault="00554462" w:rsidP="00554462">
      <w:pPr>
        <w:widowControl w:val="0"/>
      </w:pPr>
      <w:r>
        <w:t>Sectio</w:t>
      </w:r>
      <w:r w:rsidRPr="00B2272E">
        <w:t>n</w:t>
      </w:r>
      <w:r w:rsidR="000C6B0B" w:rsidRPr="00B2272E">
        <w:t> </w:t>
      </w:r>
      <w:r w:rsidRPr="00B2272E">
        <w:t>4 o</w:t>
      </w:r>
      <w:r>
        <w:t>f the Act provides that agricultural land means land in Australia that is used, or that could reasonably be used, for a primary production business. Sectio</w:t>
      </w:r>
      <w:r w:rsidRPr="00B2272E">
        <w:t>n 4 o</w:t>
      </w:r>
      <w:r>
        <w:t xml:space="preserve">f the Act provides that ‘primary production business’ has the same meaning as in the </w:t>
      </w:r>
      <w:r>
        <w:rPr>
          <w:i/>
        </w:rPr>
        <w:t>Income</w:t>
      </w:r>
      <w:r w:rsidR="000C6B0B">
        <w:rPr>
          <w:i/>
        </w:rPr>
        <w:t> </w:t>
      </w:r>
      <w:r>
        <w:rPr>
          <w:i/>
        </w:rPr>
        <w:t>Tax Assessment Act</w:t>
      </w:r>
      <w:r w:rsidR="000C6B0B">
        <w:rPr>
          <w:i/>
        </w:rPr>
        <w:t> </w:t>
      </w:r>
      <w:r>
        <w:rPr>
          <w:i/>
        </w:rPr>
        <w:t>1997</w:t>
      </w:r>
      <w:r w:rsidR="009A7EAC" w:rsidRPr="004812C1">
        <w:t xml:space="preserve"> (</w:t>
      </w:r>
      <w:proofErr w:type="spellStart"/>
      <w:r w:rsidR="009A7EAC" w:rsidRPr="004812C1">
        <w:t>ITAA</w:t>
      </w:r>
      <w:proofErr w:type="spellEnd"/>
      <w:r w:rsidR="009A7EAC" w:rsidRPr="004812C1">
        <w:t> 1997)</w:t>
      </w:r>
      <w:r>
        <w:rPr>
          <w:i/>
        </w:rPr>
        <w:t>.</w:t>
      </w:r>
      <w:r>
        <w:t xml:space="preserve"> The effect of s</w:t>
      </w:r>
      <w:r w:rsidR="009A7EAC">
        <w:t>ubs</w:t>
      </w:r>
      <w:r>
        <w:t>ection 955</w:t>
      </w:r>
      <w:r w:rsidR="009A7EAC">
        <w:noBreakHyphen/>
      </w:r>
      <w:r>
        <w:t>1</w:t>
      </w:r>
      <w:r w:rsidR="009A7EAC">
        <w:t>(1)</w:t>
      </w:r>
      <w:r>
        <w:t xml:space="preserve"> of the </w:t>
      </w:r>
      <w:proofErr w:type="spellStart"/>
      <w:r w:rsidR="009A7EAC">
        <w:t>ITAA</w:t>
      </w:r>
      <w:proofErr w:type="spellEnd"/>
      <w:r w:rsidR="009A7EAC">
        <w:t> 1997</w:t>
      </w:r>
      <w:r>
        <w:t xml:space="preserve"> is that a person is considered to carry on a primary production business if the person carries on a business of:</w:t>
      </w:r>
    </w:p>
    <w:p w14:paraId="15692CF4" w14:textId="3EBDE732" w:rsidR="00554462" w:rsidRPr="00051352" w:rsidRDefault="00554462" w:rsidP="00A362AB">
      <w:pPr>
        <w:keepNext/>
        <w:ind w:left="567" w:hanging="567"/>
      </w:pPr>
      <w:r w:rsidRPr="00051352">
        <w:t>(a) </w:t>
      </w:r>
      <w:r>
        <w:tab/>
      </w:r>
      <w:r w:rsidRPr="00051352">
        <w:t>cultivating or propagating plants, fungi or their products or parts (including seeds, spores, bulbs and similar things),</w:t>
      </w:r>
      <w:r>
        <w:t xml:space="preserve"> in any physical environment;</w:t>
      </w:r>
    </w:p>
    <w:p w14:paraId="7EEE5458" w14:textId="766853E0" w:rsidR="00554462" w:rsidRPr="00051352" w:rsidRDefault="00554462" w:rsidP="00554462">
      <w:pPr>
        <w:widowControl w:val="0"/>
        <w:ind w:left="567" w:hanging="567"/>
      </w:pPr>
      <w:r w:rsidRPr="00051352">
        <w:t>(b) </w:t>
      </w:r>
      <w:r>
        <w:tab/>
      </w:r>
      <w:r w:rsidRPr="00051352">
        <w:t>maintaining animals for the purpose of selling them or their bodily produce (</w:t>
      </w:r>
      <w:r>
        <w:t>including natural increase);</w:t>
      </w:r>
    </w:p>
    <w:p w14:paraId="1826ADA8" w14:textId="7B8250AA" w:rsidR="00554462" w:rsidRPr="00051352" w:rsidRDefault="00554462" w:rsidP="00554462">
      <w:pPr>
        <w:widowControl w:val="0"/>
        <w:ind w:left="567" w:hanging="567"/>
      </w:pPr>
      <w:r w:rsidRPr="00051352">
        <w:t>(c) </w:t>
      </w:r>
      <w:r>
        <w:tab/>
      </w:r>
      <w:r w:rsidRPr="00051352">
        <w:t>manufacturing dairy produce from raw</w:t>
      </w:r>
      <w:r>
        <w:t xml:space="preserve"> material that you produced;</w:t>
      </w:r>
    </w:p>
    <w:p w14:paraId="1EE0B8E9" w14:textId="2D6DE6F8" w:rsidR="00554462" w:rsidRPr="00051352" w:rsidRDefault="00554462" w:rsidP="00554462">
      <w:pPr>
        <w:widowControl w:val="0"/>
        <w:ind w:left="567" w:hanging="567"/>
      </w:pPr>
      <w:r w:rsidRPr="00051352">
        <w:t>(d) </w:t>
      </w:r>
      <w:r>
        <w:tab/>
      </w:r>
      <w:r w:rsidRPr="00051352">
        <w:t xml:space="preserve">conducting operations relating directly to taking or catching fish, turtles, dugong, </w:t>
      </w:r>
      <w:proofErr w:type="spellStart"/>
      <w:r w:rsidRPr="00051352">
        <w:t>b</w:t>
      </w:r>
      <w:r w:rsidR="000C6B0B">
        <w:t>ê</w:t>
      </w:r>
      <w:r w:rsidRPr="00051352">
        <w:t>che</w:t>
      </w:r>
      <w:proofErr w:type="spellEnd"/>
      <w:r w:rsidR="000C6B0B">
        <w:t> </w:t>
      </w:r>
      <w:r w:rsidRPr="00051352">
        <w:t>de</w:t>
      </w:r>
      <w:r w:rsidR="000C6B0B">
        <w:t> </w:t>
      </w:r>
      <w:proofErr w:type="spellStart"/>
      <w:r w:rsidRPr="00051352">
        <w:t>mer</w:t>
      </w:r>
      <w:proofErr w:type="spellEnd"/>
      <w:r>
        <w:t xml:space="preserve"> (sea cucumbers)</w:t>
      </w:r>
      <w:r w:rsidRPr="00051352">
        <w:t>, cru</w:t>
      </w:r>
      <w:r>
        <w:t>staceans or aquatic molluscs;</w:t>
      </w:r>
    </w:p>
    <w:p w14:paraId="2E2282EF" w14:textId="2DFE193D" w:rsidR="00554462" w:rsidRPr="00051352" w:rsidRDefault="00554462" w:rsidP="00554462">
      <w:pPr>
        <w:widowControl w:val="0"/>
        <w:ind w:left="567" w:hanging="567"/>
      </w:pPr>
      <w:r w:rsidRPr="00051352">
        <w:t>(e)</w:t>
      </w:r>
      <w:r w:rsidR="00836CED">
        <w:t> </w:t>
      </w:r>
      <w:r>
        <w:tab/>
      </w:r>
      <w:r w:rsidRPr="00051352">
        <w:t>conducting operations relating directly to taking or cult</w:t>
      </w:r>
      <w:r>
        <w:t>uring pearls or pearl shell;</w:t>
      </w:r>
    </w:p>
    <w:p w14:paraId="7D05DED1" w14:textId="1EFA4FC5" w:rsidR="00554462" w:rsidRDefault="00554462" w:rsidP="00554462">
      <w:pPr>
        <w:widowControl w:val="0"/>
        <w:ind w:left="567" w:hanging="567"/>
      </w:pPr>
      <w:r w:rsidRPr="00051352">
        <w:t>(f) </w:t>
      </w:r>
      <w:r>
        <w:tab/>
      </w:r>
      <w:r w:rsidRPr="00051352">
        <w:t>planting or tending trees in a plantation or forest tha</w:t>
      </w:r>
      <w:r>
        <w:t>t are intended to be felled;</w:t>
      </w:r>
    </w:p>
    <w:p w14:paraId="6541E984" w14:textId="03D2F6C3" w:rsidR="00554462" w:rsidRPr="00051352" w:rsidRDefault="00554462" w:rsidP="00554462">
      <w:pPr>
        <w:widowControl w:val="0"/>
        <w:ind w:left="567" w:hanging="567"/>
      </w:pPr>
      <w:r w:rsidRPr="00051352">
        <w:t>(g) </w:t>
      </w:r>
      <w:r>
        <w:tab/>
      </w:r>
      <w:r w:rsidRPr="00051352">
        <w:t xml:space="preserve">felling trees </w:t>
      </w:r>
      <w:r>
        <w:t>in a plantation or forest; or</w:t>
      </w:r>
    </w:p>
    <w:p w14:paraId="2CA854E1" w14:textId="6F538268" w:rsidR="00554462" w:rsidRPr="00051352" w:rsidRDefault="00554462" w:rsidP="00554462">
      <w:pPr>
        <w:widowControl w:val="0"/>
        <w:ind w:left="567" w:hanging="567"/>
      </w:pPr>
      <w:r w:rsidRPr="00051352">
        <w:t>(h) </w:t>
      </w:r>
      <w:r>
        <w:tab/>
      </w:r>
      <w:r w:rsidRPr="00051352">
        <w:t>transporting trees, or parts of trees, that you felled in a plantation or forest to the place:</w:t>
      </w:r>
    </w:p>
    <w:p w14:paraId="50CD131B" w14:textId="0516F9FB" w:rsidR="00554462" w:rsidRDefault="00554462" w:rsidP="00554462">
      <w:pPr>
        <w:widowControl w:val="0"/>
        <w:ind w:left="720"/>
      </w:pPr>
      <w:r w:rsidRPr="00051352">
        <w:t>(</w:t>
      </w:r>
      <w:proofErr w:type="spellStart"/>
      <w:r w:rsidRPr="00051352">
        <w:t>i</w:t>
      </w:r>
      <w:proofErr w:type="spellEnd"/>
      <w:r w:rsidRPr="00051352">
        <w:t>) where they are first</w:t>
      </w:r>
      <w:r>
        <w:t xml:space="preserve"> to be milled or processed; o</w:t>
      </w:r>
      <w:r w:rsidR="00743C87">
        <w:t>r</w:t>
      </w:r>
    </w:p>
    <w:p w14:paraId="6662C4B4" w14:textId="1A663CD0" w:rsidR="00554462" w:rsidRDefault="00554462" w:rsidP="00554462">
      <w:pPr>
        <w:widowControl w:val="0"/>
        <w:ind w:left="720"/>
      </w:pPr>
      <w:r w:rsidRPr="00051352">
        <w:t xml:space="preserve">(ii) from which they are to be transported to the place where they are first to be milled or processed. </w:t>
      </w:r>
    </w:p>
    <w:p w14:paraId="3F06D05E" w14:textId="6F79DCD2" w:rsidR="00AF7735" w:rsidRDefault="00554462" w:rsidP="00084DBC">
      <w:pPr>
        <w:pStyle w:val="base-text-paragraph"/>
        <w:ind w:left="0"/>
      </w:pPr>
      <w:r>
        <w:t>Subsecti</w:t>
      </w:r>
      <w:r w:rsidRPr="00B2272E">
        <w:t xml:space="preserve">on 37(3) of the Act permits regulations to be made that land of a specified kind is not agricultural land. </w:t>
      </w:r>
      <w:r w:rsidR="006971F8" w:rsidRPr="00B2272E">
        <w:t>Section </w:t>
      </w:r>
      <w:r w:rsidR="00D65873" w:rsidRPr="00B2272E">
        <w:t>44</w:t>
      </w:r>
      <w:r w:rsidR="00A17476">
        <w:t xml:space="preserve"> </w:t>
      </w:r>
      <w:r w:rsidR="00571249" w:rsidRPr="00B2272E">
        <w:t xml:space="preserve">of the </w:t>
      </w:r>
      <w:r w:rsidR="00A15D69" w:rsidRPr="00B2272E">
        <w:t>Regulation</w:t>
      </w:r>
      <w:r w:rsidR="00571249" w:rsidRPr="00B2272E">
        <w:t xml:space="preserve"> </w:t>
      </w:r>
      <w:r w:rsidRPr="00B2272E">
        <w:t xml:space="preserve">specifies the kind of land that </w:t>
      </w:r>
      <w:r w:rsidR="00FC2774" w:rsidRPr="00B2272E">
        <w:t>is</w:t>
      </w:r>
      <w:r w:rsidRPr="00B2272E">
        <w:t xml:space="preserve"> not</w:t>
      </w:r>
      <w:r w:rsidR="00D141DE" w:rsidRPr="00B2272E">
        <w:t xml:space="preserve"> </w:t>
      </w:r>
      <w:r w:rsidR="00571249" w:rsidRPr="00B2272E">
        <w:t>agricultural land</w:t>
      </w:r>
      <w:r w:rsidR="00AD207A" w:rsidRPr="00B2272E">
        <w:t>.</w:t>
      </w:r>
    </w:p>
    <w:p w14:paraId="47AC4FCB" w14:textId="2C1971C1" w:rsidR="00571249" w:rsidRPr="0034319B" w:rsidRDefault="0034319B" w:rsidP="00C14431">
      <w:pPr>
        <w:pStyle w:val="base-text-paragraph"/>
        <w:keepNext/>
        <w:ind w:left="0"/>
        <w:rPr>
          <w:i/>
        </w:rPr>
      </w:pPr>
      <w:r w:rsidRPr="0034319B">
        <w:rPr>
          <w:i/>
        </w:rPr>
        <w:t xml:space="preserve">Land whose zoning </w:t>
      </w:r>
      <w:r w:rsidR="009C0259">
        <w:rPr>
          <w:i/>
        </w:rPr>
        <w:t>requires approval</w:t>
      </w:r>
      <w:r w:rsidR="009E708A">
        <w:rPr>
          <w:i/>
        </w:rPr>
        <w:t xml:space="preserve"> for </w:t>
      </w:r>
      <w:r w:rsidRPr="0034319B">
        <w:rPr>
          <w:i/>
        </w:rPr>
        <w:t>primary p</w:t>
      </w:r>
      <w:r w:rsidR="009C0259">
        <w:rPr>
          <w:i/>
        </w:rPr>
        <w:t>roduction business</w:t>
      </w:r>
      <w:r w:rsidR="009E708A">
        <w:rPr>
          <w:i/>
        </w:rPr>
        <w:t>es</w:t>
      </w:r>
    </w:p>
    <w:p w14:paraId="4AA21626" w14:textId="7CD38A41" w:rsidR="00FF54C0" w:rsidRDefault="009E708A" w:rsidP="00084DBC">
      <w:pPr>
        <w:widowControl w:val="0"/>
      </w:pPr>
      <w:r>
        <w:t>Land is not agricultural land at a particular time if it</w:t>
      </w:r>
      <w:r w:rsidR="00AF7735">
        <w:t xml:space="preserve"> </w:t>
      </w:r>
      <w:r>
        <w:t xml:space="preserve">is not being used wholly or predominantly at that time for a primary production business </w:t>
      </w:r>
      <w:r w:rsidR="00FB3C5D">
        <w:t>and</w:t>
      </w:r>
      <w:r>
        <w:t xml:space="preserve"> </w:t>
      </w:r>
      <w:r w:rsidR="00FF54C0">
        <w:t xml:space="preserve">if every </w:t>
      </w:r>
      <w:r w:rsidR="00AF7735">
        <w:t xml:space="preserve">use for </w:t>
      </w:r>
      <w:r w:rsidR="00196FE4">
        <w:t xml:space="preserve">a primary production business </w:t>
      </w:r>
      <w:r w:rsidR="00FF54C0">
        <w:t xml:space="preserve">requires </w:t>
      </w:r>
      <w:r w:rsidR="00196FE4">
        <w:t>the approval of</w:t>
      </w:r>
      <w:r w:rsidR="00AF7735">
        <w:t xml:space="preserve"> a </w:t>
      </w:r>
      <w:r w:rsidR="0034319B">
        <w:t xml:space="preserve">government authority (that is, the </w:t>
      </w:r>
      <w:r w:rsidR="00AF7735">
        <w:t xml:space="preserve">Commonwealth, </w:t>
      </w:r>
      <w:r w:rsidR="0034319B">
        <w:t xml:space="preserve">a </w:t>
      </w:r>
      <w:r w:rsidR="00AF7735">
        <w:t xml:space="preserve">State or </w:t>
      </w:r>
      <w:r w:rsidR="0034319B">
        <w:t xml:space="preserve">a </w:t>
      </w:r>
      <w:r w:rsidR="00AF7735">
        <w:t>Territory</w:t>
      </w:r>
      <w:r w:rsidR="00837702">
        <w:t>;</w:t>
      </w:r>
      <w:r w:rsidR="00AF7735">
        <w:t xml:space="preserve"> </w:t>
      </w:r>
      <w:r w:rsidR="0034319B">
        <w:t>a Commonwealth, State or Territory body; or a local governing body).</w:t>
      </w:r>
      <w:r w:rsidR="00FF54C0">
        <w:t xml:space="preserve"> If there </w:t>
      </w:r>
      <w:r w:rsidR="00A24CAA">
        <w:t>are</w:t>
      </w:r>
      <w:r w:rsidR="00FF54C0">
        <w:t xml:space="preserve"> one or more uses which do not require approval then the land remains agricultural land.</w:t>
      </w:r>
    </w:p>
    <w:p w14:paraId="55D3800A" w14:textId="6D526C43" w:rsidR="009E708A" w:rsidRDefault="009E708A" w:rsidP="00084DBC">
      <w:pPr>
        <w:widowControl w:val="0"/>
      </w:pPr>
      <w:r>
        <w:t>Similarly, land is not agricultural land at a particular time if it is not being used wholly or predominantly at that time for a primary production business</w:t>
      </w:r>
      <w:r w:rsidR="00FB3C5D">
        <w:t xml:space="preserve"> and</w:t>
      </w:r>
      <w:r>
        <w:t>:</w:t>
      </w:r>
    </w:p>
    <w:p w14:paraId="1C13E2C3" w14:textId="41EF2436" w:rsidR="009E708A" w:rsidRDefault="009E708A" w:rsidP="00084DBC">
      <w:pPr>
        <w:pStyle w:val="Bullet"/>
        <w:widowControl w:val="0"/>
        <w:spacing w:before="120"/>
      </w:pPr>
      <w:r>
        <w:t>the zoning of the land allows use for a primary production business;</w:t>
      </w:r>
    </w:p>
    <w:p w14:paraId="7B19F167" w14:textId="50B8DC25" w:rsidR="00187B01" w:rsidRDefault="009E708A" w:rsidP="00084DBC">
      <w:pPr>
        <w:pStyle w:val="Bullet"/>
        <w:spacing w:before="120"/>
      </w:pPr>
      <w:r>
        <w:t>a</w:t>
      </w:r>
      <w:r w:rsidR="00196FE4">
        <w:t>n application has been made to a</w:t>
      </w:r>
      <w:r w:rsidR="00FB3C5D">
        <w:t xml:space="preserve"> government authority for</w:t>
      </w:r>
      <w:r w:rsidR="00187B01">
        <w:t>:</w:t>
      </w:r>
      <w:r w:rsidR="00356158">
        <w:t xml:space="preserve"> </w:t>
      </w:r>
    </w:p>
    <w:p w14:paraId="26DAB023" w14:textId="3075AF8C" w:rsidR="00571249" w:rsidRDefault="00FB3C5D" w:rsidP="00084DBC">
      <w:pPr>
        <w:pStyle w:val="Dash"/>
        <w:spacing w:before="120"/>
      </w:pPr>
      <w:r>
        <w:t xml:space="preserve">the land to be </w:t>
      </w:r>
      <w:r w:rsidR="00356158">
        <w:t xml:space="preserve">rezoned as land which </w:t>
      </w:r>
      <w:r w:rsidR="00AF7735">
        <w:t>d</w:t>
      </w:r>
      <w:r w:rsidR="00356158">
        <w:t>o</w:t>
      </w:r>
      <w:r w:rsidR="00AF7735">
        <w:t>es not allow use for a primary production business</w:t>
      </w:r>
      <w:r w:rsidR="00196FE4">
        <w:t>; or</w:t>
      </w:r>
    </w:p>
    <w:p w14:paraId="4ACD84C3" w14:textId="3CA3B1BF" w:rsidR="00196FE4" w:rsidRDefault="009E708A" w:rsidP="00084DBC">
      <w:pPr>
        <w:pStyle w:val="Dash"/>
        <w:spacing w:before="120"/>
      </w:pPr>
      <w:r>
        <w:t xml:space="preserve">approval </w:t>
      </w:r>
      <w:r w:rsidR="00880643">
        <w:t xml:space="preserve">for </w:t>
      </w:r>
      <w:r w:rsidR="00196FE4">
        <w:t xml:space="preserve">a mine, oil or gas well, quarry or other similar operation under a mining or production tenement </w:t>
      </w:r>
      <w:r w:rsidR="00FB3C5D">
        <w:t xml:space="preserve">(a mining operation) </w:t>
      </w:r>
      <w:r>
        <w:t>to be established</w:t>
      </w:r>
      <w:r w:rsidR="00880643">
        <w:t xml:space="preserve"> on the land</w:t>
      </w:r>
      <w:r w:rsidR="00780FA0">
        <w:t>;</w:t>
      </w:r>
      <w:r w:rsidR="00743C87">
        <w:t xml:space="preserve"> or</w:t>
      </w:r>
    </w:p>
    <w:p w14:paraId="395FF1AA" w14:textId="76477C17" w:rsidR="00DE4E9A" w:rsidRDefault="00DE4E9A" w:rsidP="00084DBC">
      <w:pPr>
        <w:pStyle w:val="Dash"/>
        <w:spacing w:before="120"/>
      </w:pPr>
      <w:r>
        <w:t>approval to locate infrastructure relating to a mining operation on the land; or</w:t>
      </w:r>
    </w:p>
    <w:p w14:paraId="31B8E96A" w14:textId="3D70B703" w:rsidR="009E708A" w:rsidRDefault="009E708A" w:rsidP="00084DBC">
      <w:pPr>
        <w:pStyle w:val="Dash"/>
        <w:spacing w:before="120"/>
      </w:pPr>
      <w:r>
        <w:t>approval</w:t>
      </w:r>
      <w:r w:rsidR="00187B01">
        <w:t xml:space="preserve"> for waste from a mining operation to be stored on the land</w:t>
      </w:r>
      <w:r w:rsidR="00196FE4">
        <w:t xml:space="preserve"> (</w:t>
      </w:r>
      <w:r w:rsidR="00034472">
        <w:t>for </w:t>
      </w:r>
      <w:r w:rsidR="00196FE4">
        <w:t xml:space="preserve">example, </w:t>
      </w:r>
      <w:r w:rsidR="00880643">
        <w:t xml:space="preserve">the </w:t>
      </w:r>
      <w:r w:rsidR="00196FE4">
        <w:t>construction o</w:t>
      </w:r>
      <w:r>
        <w:t>f a tailings dam); and</w:t>
      </w:r>
    </w:p>
    <w:p w14:paraId="0016973D" w14:textId="0772EE5E" w:rsidR="00187B01" w:rsidRDefault="00743C87" w:rsidP="00084DBC">
      <w:pPr>
        <w:pStyle w:val="Bullet"/>
        <w:spacing w:before="120"/>
      </w:pPr>
      <w:r>
        <w:t>the application has not been finally determined</w:t>
      </w:r>
      <w:r w:rsidR="008821EC">
        <w:t xml:space="preserve"> and the application has not been withdrawn.</w:t>
      </w:r>
      <w:r w:rsidR="009E708A">
        <w:t xml:space="preserve"> </w:t>
      </w:r>
    </w:p>
    <w:p w14:paraId="5855B22A" w14:textId="2B4F8C1D" w:rsidR="0034319B" w:rsidRDefault="0034319B" w:rsidP="00084DBC">
      <w:pPr>
        <w:pStyle w:val="Bullet"/>
        <w:numPr>
          <w:ilvl w:val="0"/>
          <w:numId w:val="0"/>
        </w:numPr>
        <w:spacing w:before="120"/>
      </w:pPr>
      <w:r>
        <w:rPr>
          <w:i/>
        </w:rPr>
        <w:t>Land used in relation to mining operations</w:t>
      </w:r>
    </w:p>
    <w:p w14:paraId="5C567037" w14:textId="50919C2B" w:rsidR="00880643" w:rsidRDefault="008821EC" w:rsidP="00084DBC">
      <w:pPr>
        <w:pStyle w:val="Bullet"/>
        <w:numPr>
          <w:ilvl w:val="0"/>
          <w:numId w:val="0"/>
        </w:numPr>
        <w:spacing w:before="120"/>
      </w:pPr>
      <w:r>
        <w:t>Land is not agricultural land at a particular time if it is not being used wholly or predominantly at that time for a primary production business</w:t>
      </w:r>
      <w:r w:rsidR="007B2997">
        <w:t xml:space="preserve"> and</w:t>
      </w:r>
      <w:r w:rsidR="00FB3C5D">
        <w:t xml:space="preserve"> </w:t>
      </w:r>
      <w:r>
        <w:t xml:space="preserve">the land </w:t>
      </w:r>
      <w:r w:rsidR="00880643">
        <w:t>is used wholly or predominantly for a mining operation</w:t>
      </w:r>
      <w:r w:rsidR="000C56C3">
        <w:t>, to locate infrastructure relating to a mining operation</w:t>
      </w:r>
      <w:r w:rsidR="00880643">
        <w:t xml:space="preserve"> or to store waste</w:t>
      </w:r>
      <w:r>
        <w:t xml:space="preserve"> from a mining operation</w:t>
      </w:r>
      <w:r w:rsidR="00FB3C5D">
        <w:t>.</w:t>
      </w:r>
    </w:p>
    <w:p w14:paraId="2F7394AB" w14:textId="5305E059" w:rsidR="007B2997" w:rsidRPr="00084DBC" w:rsidRDefault="007B2997" w:rsidP="00084DBC">
      <w:pPr>
        <w:pStyle w:val="Bullet"/>
        <w:numPr>
          <w:ilvl w:val="0"/>
          <w:numId w:val="0"/>
        </w:numPr>
        <w:spacing w:before="120"/>
      </w:pPr>
      <w:r w:rsidRPr="007B2997">
        <w:t>Land</w:t>
      </w:r>
      <w:r>
        <w:t xml:space="preserve"> is also not agricultural land at a particular time if it is not being used wholly or predominantly at that time for a primary production business and an approval for a government authority (other than a mining or production tenement) is in force that allows a mining operation to be established or operated on the land</w:t>
      </w:r>
      <w:r w:rsidR="003643DA">
        <w:t>, to locate infrastructure relating to a mining operation</w:t>
      </w:r>
      <w:r>
        <w:t xml:space="preserve"> or waste from a mining operation to be stored on the land. </w:t>
      </w:r>
      <w:r w:rsidR="003643DA">
        <w:t xml:space="preserve">If land is acquired solely for, our used wholly or predominantly to meet a condition of such an approval (such as land purchased to satisfy a condition requiring land to offset </w:t>
      </w:r>
      <w:r w:rsidR="00936962">
        <w:t>an activity or act</w:t>
      </w:r>
      <w:r w:rsidR="003643DA">
        <w:t>) it is also not agricultural land.</w:t>
      </w:r>
    </w:p>
    <w:p w14:paraId="620394E6" w14:textId="130A441E" w:rsidR="006555EE" w:rsidRDefault="006555EE" w:rsidP="00084DBC">
      <w:pPr>
        <w:pStyle w:val="Bullet"/>
        <w:keepNext/>
        <w:numPr>
          <w:ilvl w:val="0"/>
          <w:numId w:val="0"/>
        </w:numPr>
        <w:spacing w:before="120"/>
      </w:pPr>
      <w:r>
        <w:rPr>
          <w:i/>
        </w:rPr>
        <w:t>Land used for protecting or conserving the environment</w:t>
      </w:r>
    </w:p>
    <w:p w14:paraId="50C00326" w14:textId="603B4676" w:rsidR="00071BEC" w:rsidRDefault="008821EC" w:rsidP="007B10E9">
      <w:pPr>
        <w:pStyle w:val="Bullet"/>
        <w:numPr>
          <w:ilvl w:val="0"/>
          <w:numId w:val="0"/>
        </w:numPr>
        <w:spacing w:before="120"/>
      </w:pPr>
      <w:r>
        <w:t xml:space="preserve">Land is not agricultural land at a particular time if it is not being used wholly or predominantly at that time for a primary production business </w:t>
      </w:r>
      <w:r w:rsidR="00FB3C5D">
        <w:t>and</w:t>
      </w:r>
      <w:r>
        <w:t xml:space="preserve"> it </w:t>
      </w:r>
      <w:r w:rsidR="00880643">
        <w:t>is used, under a law of the Commonwealth, a State or a Territory or a legally binding agreement, wholly or predominantly for the purposes of the protection or conservation of the environment</w:t>
      </w:r>
      <w:r w:rsidR="00071BEC">
        <w:t xml:space="preserve"> (for example, a sequestration offsets project that has been declared to be an eligible offsets project under the </w:t>
      </w:r>
      <w:r w:rsidR="00071BEC" w:rsidRPr="007B10E9">
        <w:rPr>
          <w:i/>
        </w:rPr>
        <w:t>Carbon Credit</w:t>
      </w:r>
      <w:r w:rsidR="00C00F93" w:rsidRPr="007B10E9">
        <w:rPr>
          <w:i/>
        </w:rPr>
        <w:t>s</w:t>
      </w:r>
      <w:r w:rsidR="00071BEC" w:rsidRPr="007B10E9">
        <w:rPr>
          <w:i/>
        </w:rPr>
        <w:t xml:space="preserve"> (Carbon Farming Initiative) Act</w:t>
      </w:r>
      <w:r w:rsidR="00301EFF" w:rsidRPr="007B10E9">
        <w:rPr>
          <w:i/>
        </w:rPr>
        <w:t> </w:t>
      </w:r>
      <w:r w:rsidR="00071BEC" w:rsidRPr="007B10E9">
        <w:rPr>
          <w:i/>
        </w:rPr>
        <w:t>2011</w:t>
      </w:r>
      <w:r w:rsidR="00071BEC">
        <w:t>)</w:t>
      </w:r>
      <w:r w:rsidR="00880643">
        <w:t xml:space="preserve">. </w:t>
      </w:r>
    </w:p>
    <w:p w14:paraId="0128F013" w14:textId="7145A1E4" w:rsidR="00880643" w:rsidRDefault="00880643" w:rsidP="00B2272E">
      <w:pPr>
        <w:pStyle w:val="Bullet"/>
        <w:numPr>
          <w:ilvl w:val="0"/>
          <w:numId w:val="0"/>
        </w:numPr>
        <w:spacing w:before="120"/>
      </w:pPr>
      <w:r>
        <w:t>Land that is wholly or predominantly used for the purposes of a wildlife sanctuary or for rehabilitating animals (includ</w:t>
      </w:r>
      <w:r w:rsidR="008821EC">
        <w:t>ing birds) is also not agricultural land</w:t>
      </w:r>
      <w:r w:rsidR="00FB3C5D">
        <w:t xml:space="preserve"> at a particular time provided that it is not being used wholly or predominantly at that time for a primary production business</w:t>
      </w:r>
      <w:r w:rsidR="006555EE">
        <w:t>.</w:t>
      </w:r>
    </w:p>
    <w:p w14:paraId="5D5F6A5F" w14:textId="709AF79C" w:rsidR="006555EE" w:rsidRDefault="006555EE" w:rsidP="00B2272E">
      <w:pPr>
        <w:pStyle w:val="Bullet"/>
        <w:numPr>
          <w:ilvl w:val="0"/>
          <w:numId w:val="0"/>
        </w:numPr>
        <w:spacing w:before="120"/>
      </w:pPr>
      <w:r>
        <w:rPr>
          <w:i/>
        </w:rPr>
        <w:t>Land within industrial estates</w:t>
      </w:r>
    </w:p>
    <w:p w14:paraId="0552F950" w14:textId="6D3D1951" w:rsidR="006E2792" w:rsidRDefault="008821EC" w:rsidP="00B2272E">
      <w:pPr>
        <w:pStyle w:val="Bullet"/>
        <w:numPr>
          <w:ilvl w:val="0"/>
          <w:numId w:val="0"/>
        </w:numPr>
        <w:spacing w:before="120"/>
      </w:pPr>
      <w:r>
        <w:t>Land is not agricultural land if it is not being used wholly or predominantly at</w:t>
      </w:r>
      <w:r w:rsidR="007B2997">
        <w:t xml:space="preserve"> a particular</w:t>
      </w:r>
      <w:r>
        <w:t xml:space="preserve"> time for a primary production business and</w:t>
      </w:r>
      <w:r w:rsidR="006E2792">
        <w:t xml:space="preserve"> is located within an area that has been approved by a government authority as an industrial estate</w:t>
      </w:r>
      <w:r w:rsidR="002F6623">
        <w:t>. An industrial estate is an are</w:t>
      </w:r>
      <w:r w:rsidR="00132B17">
        <w:t>a of land allocated for industrial purposes (such as manufacturing, assembling, repairing or renovating goods and articles)</w:t>
      </w:r>
      <w:r w:rsidR="007B2997">
        <w:t>;</w:t>
      </w:r>
      <w:r w:rsidR="00132B17">
        <w:t xml:space="preserve"> undertaking </w:t>
      </w:r>
      <w:r w:rsidR="002F6623">
        <w:t>industrial trades (such as selling, leasing or servicing goods or materials for industrial, agricultural, or construction purposes)</w:t>
      </w:r>
      <w:r w:rsidR="007B2997">
        <w:t xml:space="preserve">; </w:t>
      </w:r>
      <w:r w:rsidR="00D01DBB">
        <w:t xml:space="preserve">housing </w:t>
      </w:r>
      <w:r w:rsidR="002114EA">
        <w:t>logistics centres</w:t>
      </w:r>
      <w:r w:rsidR="00D01DBB">
        <w:t xml:space="preserve">; wholesaling of goods; </w:t>
      </w:r>
      <w:r w:rsidR="007B2997">
        <w:t>storing, displaying and leasing plant and equipment and other similar purposes</w:t>
      </w:r>
      <w:r w:rsidR="006E2792">
        <w:t>.</w:t>
      </w:r>
      <w:r w:rsidR="00787F30">
        <w:t xml:space="preserve"> </w:t>
      </w:r>
    </w:p>
    <w:p w14:paraId="570E0FF4" w14:textId="77777777" w:rsidR="006E2792" w:rsidRDefault="006E2792" w:rsidP="00B2272E">
      <w:pPr>
        <w:pStyle w:val="Bullet"/>
        <w:numPr>
          <w:ilvl w:val="0"/>
          <w:numId w:val="0"/>
        </w:numPr>
        <w:spacing w:before="120"/>
        <w:rPr>
          <w:i/>
        </w:rPr>
      </w:pPr>
      <w:r>
        <w:rPr>
          <w:i/>
        </w:rPr>
        <w:t>Small areas of land</w:t>
      </w:r>
    </w:p>
    <w:p w14:paraId="399A79F4" w14:textId="75B70CEF" w:rsidR="006E2792" w:rsidRDefault="008821EC" w:rsidP="00B2272E">
      <w:pPr>
        <w:pStyle w:val="Bullet"/>
        <w:numPr>
          <w:ilvl w:val="0"/>
          <w:numId w:val="0"/>
        </w:numPr>
        <w:spacing w:before="120"/>
      </w:pPr>
      <w:r>
        <w:t>Land is not agricultural land at a particular time if it is not being used wholly or predominantly at that time for a primary production business and</w:t>
      </w:r>
      <w:r w:rsidR="00A462A9">
        <w:t xml:space="preserve"> is </w:t>
      </w:r>
      <w:r w:rsidR="00567CC0">
        <w:t xml:space="preserve">one hectare </w:t>
      </w:r>
      <w:r w:rsidR="006E2792">
        <w:t>or less</w:t>
      </w:r>
      <w:r>
        <w:t>.</w:t>
      </w:r>
    </w:p>
    <w:p w14:paraId="6007D0DC" w14:textId="77777777" w:rsidR="006E2792" w:rsidRDefault="006E2792" w:rsidP="00A362AB">
      <w:pPr>
        <w:pStyle w:val="Bullet"/>
        <w:numPr>
          <w:ilvl w:val="0"/>
          <w:numId w:val="0"/>
        </w:numPr>
        <w:spacing w:before="120"/>
        <w:rPr>
          <w:i/>
        </w:rPr>
      </w:pPr>
      <w:r>
        <w:rPr>
          <w:i/>
        </w:rPr>
        <w:t>Tourism, education and outdoor recreation facilities</w:t>
      </w:r>
    </w:p>
    <w:p w14:paraId="1FEA52D0" w14:textId="040E5DCB" w:rsidR="00880643" w:rsidRDefault="008821EC" w:rsidP="00A362AB">
      <w:pPr>
        <w:pStyle w:val="Bullet"/>
        <w:numPr>
          <w:ilvl w:val="0"/>
          <w:numId w:val="0"/>
        </w:numPr>
        <w:spacing w:before="120"/>
      </w:pPr>
      <w:r>
        <w:t xml:space="preserve">Land is not agricultural land at a particular time if it is not being used wholly or predominantly at that time for a primary production business and </w:t>
      </w:r>
      <w:r w:rsidR="006E2792">
        <w:t xml:space="preserve">it has been approved by a government authority for </w:t>
      </w:r>
      <w:r w:rsidR="000E54CC">
        <w:t>use as a tourist facility</w:t>
      </w:r>
      <w:r w:rsidR="006E2792">
        <w:t xml:space="preserve">, </w:t>
      </w:r>
      <w:r w:rsidR="000E54CC">
        <w:t xml:space="preserve">an </w:t>
      </w:r>
      <w:r w:rsidR="006E2792">
        <w:t>outdoor education</w:t>
      </w:r>
      <w:r w:rsidR="000E54CC">
        <w:t xml:space="preserve"> establishment, </w:t>
      </w:r>
      <w:r w:rsidR="006E2792">
        <w:t xml:space="preserve">or </w:t>
      </w:r>
      <w:r w:rsidR="000E54CC">
        <w:t xml:space="preserve">an </w:t>
      </w:r>
      <w:r w:rsidR="006E2792">
        <w:t xml:space="preserve">outdoor recreation </w:t>
      </w:r>
      <w:r w:rsidR="000E54CC">
        <w:t xml:space="preserve">facility (for example, a golf course or </w:t>
      </w:r>
      <w:r w:rsidR="00A02152">
        <w:t xml:space="preserve">an </w:t>
      </w:r>
      <w:r w:rsidR="000E54CC">
        <w:t>equestrian facility) that is</w:t>
      </w:r>
      <w:r w:rsidR="009C0259">
        <w:t xml:space="preserve"> open to the public (whether in anticipation of a profit</w:t>
      </w:r>
      <w:r w:rsidR="000E54CC">
        <w:t xml:space="preserve"> or otherwise)</w:t>
      </w:r>
      <w:r w:rsidR="006E2792">
        <w:t>.</w:t>
      </w:r>
    </w:p>
    <w:p w14:paraId="2530693B" w14:textId="6C8F7613" w:rsidR="0079130D" w:rsidRDefault="0079130D" w:rsidP="00084DBC">
      <w:pPr>
        <w:pStyle w:val="Bullet"/>
        <w:keepNext/>
        <w:numPr>
          <w:ilvl w:val="0"/>
          <w:numId w:val="0"/>
        </w:numPr>
        <w:spacing w:before="120"/>
        <w:rPr>
          <w:i/>
        </w:rPr>
      </w:pPr>
      <w:r>
        <w:rPr>
          <w:i/>
        </w:rPr>
        <w:t>Primary production businesses relating to submerged plants and animals etc</w:t>
      </w:r>
      <w:r w:rsidR="008C7342">
        <w:rPr>
          <w:i/>
        </w:rPr>
        <w:t>.</w:t>
      </w:r>
    </w:p>
    <w:p w14:paraId="7EAEFC6D" w14:textId="79F76460" w:rsidR="0079130D" w:rsidRDefault="00572A5F" w:rsidP="00084DBC">
      <w:pPr>
        <w:pStyle w:val="Bullet"/>
        <w:keepNext/>
        <w:numPr>
          <w:ilvl w:val="0"/>
          <w:numId w:val="0"/>
        </w:numPr>
        <w:spacing w:before="120"/>
      </w:pPr>
      <w:r>
        <w:t>Land is not agricultural land if the only primary production business the land is or could reasonably be used for is:</w:t>
      </w:r>
    </w:p>
    <w:p w14:paraId="2CCD17B2" w14:textId="29ECCBB1" w:rsidR="00F47D95" w:rsidRDefault="00572A5F" w:rsidP="00084DBC">
      <w:pPr>
        <w:pStyle w:val="Bullet"/>
        <w:spacing w:before="120"/>
      </w:pPr>
      <w:r>
        <w:t xml:space="preserve">a business mentioned in </w:t>
      </w:r>
      <w:r w:rsidR="009A7EAC">
        <w:t>paragraph </w:t>
      </w:r>
      <w:r>
        <w:t xml:space="preserve">(d) or (e) of the definition of primary production business in </w:t>
      </w:r>
      <w:r w:rsidR="009A7EAC">
        <w:t>subsection </w:t>
      </w:r>
      <w:r>
        <w:t>995</w:t>
      </w:r>
      <w:r w:rsidR="009A7EAC">
        <w:noBreakHyphen/>
      </w:r>
      <w:r>
        <w:t>1</w:t>
      </w:r>
      <w:r w:rsidR="009A7EAC">
        <w:t>(1)</w:t>
      </w:r>
      <w:r>
        <w:t xml:space="preserve"> of the </w:t>
      </w:r>
      <w:proofErr w:type="spellStart"/>
      <w:r w:rsidR="009A7EAC">
        <w:t>ITAA</w:t>
      </w:r>
      <w:proofErr w:type="spellEnd"/>
      <w:r w:rsidR="009A7EAC">
        <w:t> 1997</w:t>
      </w:r>
      <w:r w:rsidR="004E6DCB">
        <w:t>;</w:t>
      </w:r>
    </w:p>
    <w:p w14:paraId="34F76D3F" w14:textId="77777777" w:rsidR="00F47D95" w:rsidRDefault="00F47D95" w:rsidP="00084DBC">
      <w:pPr>
        <w:pStyle w:val="Bullet"/>
        <w:spacing w:before="120"/>
      </w:pPr>
      <w:r>
        <w:t>a business of cultivating or propagating under water plants, fungi or their products or parts;</w:t>
      </w:r>
    </w:p>
    <w:p w14:paraId="29D8B729" w14:textId="7160C086" w:rsidR="00572A5F" w:rsidRPr="00572A5F" w:rsidRDefault="00F47D95" w:rsidP="00084DBC">
      <w:pPr>
        <w:pStyle w:val="Bullet"/>
        <w:spacing w:before="120"/>
      </w:pPr>
      <w:r>
        <w:t>a business of maintaining animals under water for the purposes of sellin</w:t>
      </w:r>
      <w:r w:rsidR="00A462A9">
        <w:t>g them or their bodily produce</w:t>
      </w:r>
      <w:r w:rsidR="00A02152">
        <w:t xml:space="preserve"> (for example, </w:t>
      </w:r>
      <w:r w:rsidR="00D01DBB">
        <w:t xml:space="preserve">aquaculture operations such as </w:t>
      </w:r>
      <w:r w:rsidR="00780FA0">
        <w:t>a fish or a shell fish farm</w:t>
      </w:r>
      <w:r w:rsidR="00A02152">
        <w:t>)</w:t>
      </w:r>
      <w:r w:rsidR="00A462A9">
        <w:t>.</w:t>
      </w:r>
    </w:p>
    <w:p w14:paraId="33A0285A" w14:textId="34C65A39" w:rsidR="009F2193" w:rsidRPr="00B2272E" w:rsidRDefault="004E6DCB" w:rsidP="00985D26">
      <w:pPr>
        <w:pStyle w:val="base-text-paragraph"/>
        <w:ind w:left="0"/>
        <w:rPr>
          <w:i/>
        </w:rPr>
      </w:pPr>
      <w:r w:rsidRPr="00E81137">
        <w:rPr>
          <w:b/>
        </w:rPr>
        <w:t>Section</w:t>
      </w:r>
      <w:r>
        <w:rPr>
          <w:b/>
        </w:rPr>
        <w:t> </w:t>
      </w:r>
      <w:r w:rsidR="009B5390" w:rsidRPr="00B2272E">
        <w:rPr>
          <w:b/>
        </w:rPr>
        <w:t>45 </w:t>
      </w:r>
      <w:r w:rsidR="009B5390" w:rsidRPr="00B2272E">
        <w:rPr>
          <w:rFonts w:ascii="Calibri" w:hAnsi="Calibri"/>
          <w:b/>
        </w:rPr>
        <w:t>—</w:t>
      </w:r>
      <w:r w:rsidR="009B5390" w:rsidRPr="00B2272E">
        <w:rPr>
          <w:b/>
        </w:rPr>
        <w:t> </w:t>
      </w:r>
      <w:r w:rsidR="00985D26" w:rsidRPr="00B2272E">
        <w:rPr>
          <w:b/>
        </w:rPr>
        <w:t>Meaning of associate — exemptions</w:t>
      </w:r>
    </w:p>
    <w:p w14:paraId="4FC63058" w14:textId="0BB4C23B" w:rsidR="006C35C0" w:rsidRPr="00B2272E" w:rsidRDefault="006C35C0" w:rsidP="00985D26">
      <w:pPr>
        <w:pStyle w:val="base-text-paragraph"/>
        <w:ind w:left="0"/>
        <w:rPr>
          <w:i/>
        </w:rPr>
      </w:pPr>
      <w:r w:rsidRPr="00B2272E">
        <w:rPr>
          <w:i/>
        </w:rPr>
        <w:t>Consortiums</w:t>
      </w:r>
    </w:p>
    <w:p w14:paraId="0D442E66" w14:textId="56930179" w:rsidR="006C35C0" w:rsidRPr="00B2272E" w:rsidRDefault="00893DBC" w:rsidP="00985D26">
      <w:pPr>
        <w:pStyle w:val="base-text-paragraph"/>
        <w:ind w:left="0"/>
      </w:pPr>
      <w:r w:rsidRPr="00B2272E">
        <w:t>Paragraph </w:t>
      </w:r>
      <w:r w:rsidR="00767C4E" w:rsidRPr="00B2272E">
        <w:t xml:space="preserve">6(1)(b) of the Act provides that any person with whom a person is acting, or proposes to act, in concert in relation to an action to which the Act may apply is an ‘associate’ for the purposes of the Act. </w:t>
      </w:r>
      <w:r w:rsidRPr="00B2272E">
        <w:t>Subsection </w:t>
      </w:r>
      <w:r w:rsidR="00E10789" w:rsidRPr="00B2272E">
        <w:t>45</w:t>
      </w:r>
      <w:r w:rsidR="00304236" w:rsidRPr="00B2272E">
        <w:t>(1) of the Regulation provides a limited ex</w:t>
      </w:r>
      <w:r w:rsidR="00CA5674" w:rsidRPr="00B2272E">
        <w:t>emp</w:t>
      </w:r>
      <w:r w:rsidR="00304236" w:rsidRPr="00B2272E">
        <w:t>tion</w:t>
      </w:r>
      <w:r w:rsidR="0091656C" w:rsidRPr="00B2272E">
        <w:t xml:space="preserve"> from </w:t>
      </w:r>
      <w:r w:rsidRPr="00B2272E">
        <w:t>paragraph</w:t>
      </w:r>
      <w:r w:rsidR="0091656C" w:rsidRPr="00B2272E">
        <w:t> 6(1)(b) of the Act for the partners of a consortium. The effect of subsection</w:t>
      </w:r>
      <w:r w:rsidRPr="00B2272E">
        <w:t> </w:t>
      </w:r>
      <w:r w:rsidR="00E10789" w:rsidRPr="00B2272E">
        <w:t>45</w:t>
      </w:r>
      <w:r w:rsidR="0091656C" w:rsidRPr="00B2272E">
        <w:t xml:space="preserve">(1) of the Regulation is that partners in a consortium are not associates if none of their partners, or their associates, that are foreign persons hold a substantial interest or an aggregate substantial interest in a body established for the purposes of the consortium. </w:t>
      </w:r>
    </w:p>
    <w:p w14:paraId="07681518" w14:textId="77777777" w:rsidR="00985D26" w:rsidRPr="00B2272E" w:rsidRDefault="00985D26" w:rsidP="00E4073F">
      <w:pPr>
        <w:pStyle w:val="base-text-paragraph"/>
        <w:keepNext/>
        <w:ind w:left="0"/>
        <w:rPr>
          <w:i/>
        </w:rPr>
      </w:pPr>
      <w:r w:rsidRPr="00B2272E">
        <w:rPr>
          <w:i/>
        </w:rPr>
        <w:t>Limited partners</w:t>
      </w:r>
    </w:p>
    <w:p w14:paraId="3EFDF61D" w14:textId="77777777" w:rsidR="00985D26" w:rsidRPr="00B2272E" w:rsidRDefault="00985D26" w:rsidP="00985D26">
      <w:pPr>
        <w:pStyle w:val="base-text-paragraph"/>
        <w:ind w:left="0"/>
      </w:pPr>
      <w:r w:rsidRPr="00B2272E">
        <w:t>Paragraph 6(1)(c) of the Act provides that any person with whom the person carries on a business in partnership is an associate of a person.</w:t>
      </w:r>
    </w:p>
    <w:p w14:paraId="2FD77973" w14:textId="60AC5FC3" w:rsidR="00985D26" w:rsidRPr="00B2272E" w:rsidRDefault="00985D26" w:rsidP="00985D26">
      <w:pPr>
        <w:pStyle w:val="base-text-paragraph"/>
        <w:ind w:left="0"/>
      </w:pPr>
      <w:r w:rsidRPr="00B2272E">
        <w:t>The effect of subsection </w:t>
      </w:r>
      <w:r w:rsidR="007D35A5" w:rsidRPr="00B2272E">
        <w:t>45</w:t>
      </w:r>
      <w:r w:rsidRPr="00B2272E">
        <w:t>(1) of the Regulation is that paragraph 6(1)(c) of the Act does not apply to a person (referred to in the subsection as the first person) to the extent that:</w:t>
      </w:r>
    </w:p>
    <w:p w14:paraId="785AEC1E" w14:textId="408099B8" w:rsidR="00985D26" w:rsidRDefault="00985D26" w:rsidP="00F40AEE">
      <w:pPr>
        <w:pStyle w:val="Bullet"/>
        <w:spacing w:before="120"/>
      </w:pPr>
      <w:r w:rsidRPr="00B2272E">
        <w:t>the first person is a ‘limited partner’ of a ‘limited partnership’ within the meaning of section 5 of the Regulati</w:t>
      </w:r>
      <w:r>
        <w:t>on.</w:t>
      </w:r>
      <w:r w:rsidR="00AE1EFF" w:rsidRPr="00AE1EFF">
        <w:t xml:space="preserve"> </w:t>
      </w:r>
      <w:r w:rsidR="00AE1EFF">
        <w:t>Under section 5 of the Regulation:</w:t>
      </w:r>
    </w:p>
    <w:p w14:paraId="500DBF48" w14:textId="69DE328A" w:rsidR="00AE1EFF" w:rsidRDefault="00985D26" w:rsidP="00A42C4A">
      <w:pPr>
        <w:pStyle w:val="Dash"/>
        <w:spacing w:before="120"/>
      </w:pPr>
      <w:r>
        <w:t>‘</w:t>
      </w:r>
      <w:r w:rsidR="00AE1EFF">
        <w:t xml:space="preserve">limited </w:t>
      </w:r>
      <w:r>
        <w:t xml:space="preserve">partnership’ </w:t>
      </w:r>
      <w:r w:rsidR="00AE1EFF" w:rsidRPr="00AE1EFF">
        <w:t>means an association of persons that</w:t>
      </w:r>
      <w:r w:rsidR="00AE1EFF">
        <w:t>:</w:t>
      </w:r>
    </w:p>
    <w:p w14:paraId="2F57E44B" w14:textId="070F9517" w:rsidR="00AE1EFF" w:rsidRDefault="00985D26" w:rsidP="00A42C4A">
      <w:pPr>
        <w:pStyle w:val="DoubleDot"/>
        <w:spacing w:before="120"/>
      </w:pPr>
      <w:r>
        <w:t>was formed solely for the purposes of becoming a partnership where the liability of at least one partner in relation to the partnership is limited</w:t>
      </w:r>
      <w:r w:rsidR="00AE1EFF">
        <w:t>;</w:t>
      </w:r>
      <w:r>
        <w:t xml:space="preserve"> and</w:t>
      </w:r>
    </w:p>
    <w:p w14:paraId="70DC550E" w14:textId="437F5255" w:rsidR="00AE1EFF" w:rsidRDefault="00AE1EFF" w:rsidP="00A42C4A">
      <w:pPr>
        <w:pStyle w:val="DoubleDot"/>
        <w:spacing w:before="120"/>
      </w:pPr>
      <w:r>
        <w:t>is recognised under a law of the Commonwealth, a State, a Territory, or a foreign country or a part of a foreign country as such a partnership.</w:t>
      </w:r>
    </w:p>
    <w:p w14:paraId="532135B4" w14:textId="06864EAA" w:rsidR="00985D26" w:rsidRDefault="00985D26" w:rsidP="00A42C4A">
      <w:pPr>
        <w:pStyle w:val="Dash"/>
        <w:spacing w:before="120"/>
      </w:pPr>
      <w:r>
        <w:t>‘</w:t>
      </w:r>
      <w:r w:rsidR="00AE1EFF">
        <w:t xml:space="preserve">limited </w:t>
      </w:r>
      <w:r>
        <w:t>partner’ is defined to mean a partner of a limited partnership whose liability in relation to the partnership is limited.</w:t>
      </w:r>
    </w:p>
    <w:p w14:paraId="050FF9E8" w14:textId="77777777" w:rsidR="0091037B" w:rsidRDefault="00985D26" w:rsidP="00F40AEE">
      <w:pPr>
        <w:pStyle w:val="Bullet"/>
        <w:spacing w:before="120"/>
      </w:pPr>
      <w:r>
        <w:t>another person would be an associate of the first person because the other person is also a limited partner or general partner of the partnership</w:t>
      </w:r>
      <w:r w:rsidR="0091037B">
        <w:t>. Under section 5 of the Regulation:</w:t>
      </w:r>
    </w:p>
    <w:p w14:paraId="3C162F81" w14:textId="0DCC2C84" w:rsidR="00985D26" w:rsidRPr="00A61735" w:rsidRDefault="0091037B" w:rsidP="00A42C4A">
      <w:pPr>
        <w:pStyle w:val="Dash"/>
        <w:spacing w:before="120"/>
        <w:rPr>
          <w:sz w:val="26"/>
        </w:rPr>
      </w:pPr>
      <w:r w:rsidRPr="00A61735">
        <w:t>‘general partner’ means a partner of a limited partnership whose liability relating to the partnership is not limited</w:t>
      </w:r>
      <w:r w:rsidR="00985D26" w:rsidRPr="00A61735">
        <w:rPr>
          <w:sz w:val="26"/>
        </w:rPr>
        <w:t xml:space="preserve">; </w:t>
      </w:r>
    </w:p>
    <w:p w14:paraId="3A293E08" w14:textId="77777777" w:rsidR="00985D26" w:rsidRDefault="00985D26" w:rsidP="00F40AEE">
      <w:pPr>
        <w:pStyle w:val="Bullet"/>
        <w:spacing w:before="120"/>
      </w:pPr>
      <w:r>
        <w:t>the first person is not in a position to participate in the management and control of the partnership, or of any of the general partners of the partnership, in relation to any matter.</w:t>
      </w:r>
    </w:p>
    <w:p w14:paraId="6631BA2A" w14:textId="4524883E" w:rsidR="00854095" w:rsidRPr="00C11C6C" w:rsidRDefault="00854095" w:rsidP="00854095">
      <w:pPr>
        <w:pStyle w:val="Bullet"/>
        <w:numPr>
          <w:ilvl w:val="0"/>
          <w:numId w:val="0"/>
        </w:numPr>
        <w:spacing w:before="120"/>
      </w:pPr>
      <w:r>
        <w:t xml:space="preserve">This means that where a person has a purely passive investment in a limited partnership they will not become associates of other partners </w:t>
      </w:r>
      <w:r w:rsidR="0091037B">
        <w:t xml:space="preserve">(general or limited) </w:t>
      </w:r>
      <w:r>
        <w:t>because of that fact alone.</w:t>
      </w:r>
    </w:p>
    <w:p w14:paraId="5B3D8E66" w14:textId="091B1310" w:rsidR="00985D26" w:rsidRDefault="00985D26" w:rsidP="00985D26">
      <w:pPr>
        <w:pStyle w:val="base-text-paragraph"/>
        <w:keepNext/>
        <w:ind w:left="0"/>
      </w:pPr>
      <w:r>
        <w:rPr>
          <w:i/>
        </w:rPr>
        <w:t>Foreign government investors</w:t>
      </w:r>
    </w:p>
    <w:p w14:paraId="638CC28F" w14:textId="77777777" w:rsidR="00985D26" w:rsidRPr="00B2272E" w:rsidRDefault="00985D26" w:rsidP="00985D26">
      <w:pPr>
        <w:pStyle w:val="base-text-paragraph"/>
        <w:keepNext/>
        <w:ind w:left="0"/>
      </w:pPr>
      <w:r>
        <w:t>Paragr</w:t>
      </w:r>
      <w:r w:rsidRPr="00B2272E">
        <w:t xml:space="preserve">aph 6(1)(l) of the Act specifies the classes of persons who are an associate of a foreign government investor for the purposes of the Act. </w:t>
      </w:r>
    </w:p>
    <w:p w14:paraId="2A10CA2F" w14:textId="61EE4829" w:rsidR="00985D26" w:rsidRDefault="00985D26" w:rsidP="00985D26">
      <w:pPr>
        <w:pStyle w:val="base-text-paragraph"/>
        <w:ind w:left="0"/>
      </w:pPr>
      <w:r w:rsidRPr="00B2272E">
        <w:t>The effect of section </w:t>
      </w:r>
      <w:r w:rsidR="007D35A5" w:rsidRPr="00B2272E">
        <w:t xml:space="preserve">45 </w:t>
      </w:r>
      <w:r w:rsidRPr="00B2272E">
        <w:t>of the Regulation is that paragraph 6(1)(l) of the Act does not apply to a foreign government investor if it is:</w:t>
      </w:r>
    </w:p>
    <w:p w14:paraId="61292592" w14:textId="77777777" w:rsidR="00985D26" w:rsidRDefault="00985D26" w:rsidP="00084DBC">
      <w:pPr>
        <w:pStyle w:val="Bullet"/>
        <w:spacing w:before="120"/>
      </w:pPr>
      <w:r>
        <w:t>a corporation in which foreign governments or separate government entities of more than one foreign country (or parts of more than one foreign country), together with any one or more associates, hold an aggregate substantial interest;</w:t>
      </w:r>
    </w:p>
    <w:p w14:paraId="02932A3C" w14:textId="77777777" w:rsidR="00985D26" w:rsidRDefault="00985D26" w:rsidP="00084DBC">
      <w:pPr>
        <w:pStyle w:val="Bullet"/>
        <w:spacing w:before="120"/>
      </w:pPr>
      <w:r>
        <w:t>the trustee of a trust in which foreign governments or separate government entities of more than one foreign country (or parts of more than one foreign country), together with any one or more associates, hold an aggregate substantial interest; or</w:t>
      </w:r>
    </w:p>
    <w:p w14:paraId="0C54955A" w14:textId="357216D0" w:rsidR="00985D26" w:rsidRPr="00985D26" w:rsidRDefault="00985D26" w:rsidP="00084DBC">
      <w:pPr>
        <w:pStyle w:val="Bullet"/>
        <w:spacing w:before="120"/>
      </w:pPr>
      <w:r>
        <w:t>a partner of a limited partnership, or a limited partnership, if governments or separate government entities of more than one foreign country (or parts of more than one foreign country), together with any one or more associates, hold an aggregate interest</w:t>
      </w:r>
      <w:r w:rsidR="0091037B">
        <w:t xml:space="preserve"> of at least 40 per cent</w:t>
      </w:r>
      <w:r>
        <w:t xml:space="preserve">. </w:t>
      </w:r>
    </w:p>
    <w:p w14:paraId="0AB2D68A" w14:textId="3A0D4513" w:rsidR="00787424" w:rsidRPr="00B2272E" w:rsidRDefault="004E6DCB" w:rsidP="00787424">
      <w:pPr>
        <w:pStyle w:val="base-text-paragraph"/>
        <w:ind w:left="0"/>
        <w:rPr>
          <w:b/>
        </w:rPr>
      </w:pPr>
      <w:r w:rsidRPr="00E81137">
        <w:rPr>
          <w:b/>
        </w:rPr>
        <w:t>Sec</w:t>
      </w:r>
      <w:r w:rsidRPr="00B2272E">
        <w:rPr>
          <w:b/>
        </w:rPr>
        <w:t>tion </w:t>
      </w:r>
      <w:r w:rsidR="009B5390" w:rsidRPr="00B2272E">
        <w:rPr>
          <w:b/>
        </w:rPr>
        <w:t>46 </w:t>
      </w:r>
      <w:r w:rsidR="009B5390" w:rsidRPr="00B2272E">
        <w:rPr>
          <w:rFonts w:ascii="Calibri" w:hAnsi="Calibri"/>
          <w:b/>
        </w:rPr>
        <w:t>—</w:t>
      </w:r>
      <w:r w:rsidR="009B5390" w:rsidRPr="00B2272E">
        <w:rPr>
          <w:b/>
        </w:rPr>
        <w:t> </w:t>
      </w:r>
      <w:r w:rsidR="00787424" w:rsidRPr="00B2272E">
        <w:rPr>
          <w:b/>
        </w:rPr>
        <w:t>Meaning of ‘foreign person’</w:t>
      </w:r>
      <w:r w:rsidR="00985D26" w:rsidRPr="00B2272E">
        <w:rPr>
          <w:b/>
        </w:rPr>
        <w:t xml:space="preserve"> </w:t>
      </w:r>
      <w:r w:rsidR="00787424" w:rsidRPr="00B2272E">
        <w:rPr>
          <w:b/>
        </w:rPr>
        <w:t>—</w:t>
      </w:r>
      <w:r w:rsidR="00985D26" w:rsidRPr="00B2272E">
        <w:rPr>
          <w:b/>
        </w:rPr>
        <w:t xml:space="preserve"> </w:t>
      </w:r>
      <w:r w:rsidR="00787424" w:rsidRPr="00B2272E">
        <w:rPr>
          <w:b/>
        </w:rPr>
        <w:t>potential voting power and future rights</w:t>
      </w:r>
    </w:p>
    <w:p w14:paraId="7EC853E3" w14:textId="355D57CF" w:rsidR="0008792E" w:rsidRDefault="0008792E" w:rsidP="00787424">
      <w:pPr>
        <w:pStyle w:val="base-text-paragraph"/>
        <w:ind w:left="0"/>
      </w:pPr>
      <w:r w:rsidRPr="00B2272E">
        <w:t>Certain provisions do not apply in relation to an interest in a security that a person holds that is part of a substantial interest or an aggregate substantial interest in an entity because the person is in a position to control a specified percentage of the potential voting power of the entity</w:t>
      </w:r>
      <w:r w:rsidR="0016204A" w:rsidRPr="00B2272E">
        <w:t>,</w:t>
      </w:r>
      <w:r w:rsidRPr="00B2272E">
        <w:t xml:space="preserve"> or the person would hold at least a specified percentage of the issued securities in the entity if securities in the entity were issued as a result of the exercise of some or all rights </w:t>
      </w:r>
      <w:r w:rsidR="00A95A61" w:rsidRPr="00B2272E">
        <w:t>of kind mentioned in paragraphs </w:t>
      </w:r>
      <w:r w:rsidRPr="00B2272E">
        <w:t>15(1)(b) or (c) of t</w:t>
      </w:r>
      <w:r>
        <w:t xml:space="preserve">he Act. </w:t>
      </w:r>
    </w:p>
    <w:p w14:paraId="14B44BD7" w14:textId="515FF403" w:rsidR="0008792E" w:rsidRPr="00B2272E" w:rsidRDefault="0008792E" w:rsidP="00631C10">
      <w:pPr>
        <w:pStyle w:val="base-text-paragraph"/>
        <w:ind w:left="0"/>
      </w:pPr>
      <w:r>
        <w:t xml:space="preserve">The provisions that </w:t>
      </w:r>
      <w:r w:rsidR="00FD55DE">
        <w:t>do not apply as a result o</w:t>
      </w:r>
      <w:r w:rsidR="00FD55DE" w:rsidRPr="00B2272E">
        <w:t>f</w:t>
      </w:r>
      <w:r w:rsidR="00787F30" w:rsidRPr="00B2272E">
        <w:t xml:space="preserve"> section </w:t>
      </w:r>
      <w:r w:rsidR="003278B2" w:rsidRPr="00B2272E">
        <w:t>46</w:t>
      </w:r>
      <w:r w:rsidR="00893DBC" w:rsidRPr="00B2272E">
        <w:t xml:space="preserve"> </w:t>
      </w:r>
      <w:r w:rsidRPr="00B2272E">
        <w:t>of the Regulation are</w:t>
      </w:r>
      <w:r w:rsidR="00FD55DE" w:rsidRPr="00B2272E">
        <w:t xml:space="preserve"> paragraphs (b)</w:t>
      </w:r>
      <w:r w:rsidR="0091656C" w:rsidRPr="00B2272E">
        <w:t>,</w:t>
      </w:r>
      <w:r w:rsidR="00983FAA" w:rsidRPr="00B2272E">
        <w:t xml:space="preserve"> </w:t>
      </w:r>
      <w:r w:rsidR="00FD55DE" w:rsidRPr="00B2272E">
        <w:t>(c)</w:t>
      </w:r>
      <w:r w:rsidR="0091656C" w:rsidRPr="00B2272E">
        <w:t>, (d) and (e)</w:t>
      </w:r>
      <w:r w:rsidR="00FD55DE" w:rsidRPr="00B2272E">
        <w:t xml:space="preserve"> of the definition of ‘foreign person’ in section 4 of the Act to the extent that the definition applies for the purposes of</w:t>
      </w:r>
      <w:r w:rsidRPr="00B2272E">
        <w:t>:</w:t>
      </w:r>
    </w:p>
    <w:p w14:paraId="5F70F1F4" w14:textId="6AD72536" w:rsidR="00793754" w:rsidRPr="00B2272E" w:rsidRDefault="0008792E" w:rsidP="000C7E57">
      <w:pPr>
        <w:pStyle w:val="Bullet"/>
        <w:spacing w:before="120"/>
      </w:pPr>
      <w:r w:rsidRPr="00B2272E">
        <w:t>it</w:t>
      </w:r>
      <w:r w:rsidR="00985D26" w:rsidRPr="00B2272E">
        <w:t>em </w:t>
      </w:r>
      <w:r w:rsidR="00787F30" w:rsidRPr="00B2272E">
        <w:t>8 of the table in subsection </w:t>
      </w:r>
      <w:r w:rsidRPr="00B2272E">
        <w:t xml:space="preserve">67(2) of the Act. </w:t>
      </w:r>
      <w:r w:rsidR="00FD55DE" w:rsidRPr="00B2272E">
        <w:t>This item ordinarily gives the Treasurer power to make an order prohibiting the proposed acquisition of an interest in Australian land</w:t>
      </w:r>
      <w:r w:rsidR="00AD1EBA" w:rsidRPr="00B2272E">
        <w:t>.</w:t>
      </w:r>
    </w:p>
    <w:p w14:paraId="22F33C5E" w14:textId="1E398439" w:rsidR="00AD1EBA" w:rsidRPr="00B2272E" w:rsidRDefault="00EE744D" w:rsidP="000C7E57">
      <w:pPr>
        <w:pStyle w:val="Bullet"/>
        <w:spacing w:before="120"/>
      </w:pPr>
      <w:r w:rsidRPr="00B2272E">
        <w:t>i</w:t>
      </w:r>
      <w:r w:rsidR="00AA5391" w:rsidRPr="00B2272E">
        <w:t>t</w:t>
      </w:r>
      <w:r w:rsidR="00985D26" w:rsidRPr="00B2272E">
        <w:t>em </w:t>
      </w:r>
      <w:r w:rsidR="00787F30" w:rsidRPr="00B2272E">
        <w:t>3 of the table in subsection </w:t>
      </w:r>
      <w:r w:rsidR="00AA5391" w:rsidRPr="00B2272E">
        <w:t xml:space="preserve">67(3) of the Act. This item ordinarily gives the Treasurer the power to </w:t>
      </w:r>
      <w:r w:rsidR="00AD1EBA" w:rsidRPr="00B2272E">
        <w:t>make an additional order directing a specified foreign person (whether alone or with a specified associate or class of associates) not to acquire any interests in Australian land or other thing concerned or to acquire any such interests only to a specified extent.</w:t>
      </w:r>
    </w:p>
    <w:p w14:paraId="64976584" w14:textId="7CC37C10" w:rsidR="00787424" w:rsidRPr="00B2272E" w:rsidRDefault="00BA7818" w:rsidP="00F4465E">
      <w:pPr>
        <w:pStyle w:val="Bullet"/>
        <w:keepNext/>
        <w:pageBreakBefore/>
        <w:spacing w:before="120"/>
      </w:pPr>
      <w:r w:rsidRPr="00B2272E">
        <w:t>i</w:t>
      </w:r>
      <w:r w:rsidR="00985D26" w:rsidRPr="00B2272E">
        <w:t>tem </w:t>
      </w:r>
      <w:r w:rsidR="00AD1EBA" w:rsidRPr="00B2272E">
        <w:t xml:space="preserve">7 of the table in </w:t>
      </w:r>
      <w:r w:rsidR="00D6653B" w:rsidRPr="00B2272E">
        <w:t>subsection </w:t>
      </w:r>
      <w:r w:rsidR="00047E40" w:rsidRPr="00B2272E">
        <w:t>69(2) of the Act. If the Treasurer</w:t>
      </w:r>
      <w:r w:rsidRPr="00B2272E">
        <w:t xml:space="preserve"> is satisfied that an acquisition of an interest in land is contrary to the national interest, the Treasurer may make an order</w:t>
      </w:r>
      <w:r w:rsidR="007130D5" w:rsidRPr="00B2272E">
        <w:t xml:space="preserve"> </w:t>
      </w:r>
      <w:r w:rsidR="00985D26" w:rsidRPr="00B2272E">
        <w:t>under item </w:t>
      </w:r>
      <w:r w:rsidRPr="00B2272E">
        <w:t xml:space="preserve">7 </w:t>
      </w:r>
      <w:r w:rsidR="00C4292D" w:rsidRPr="00B2272E">
        <w:t>requiring</w:t>
      </w:r>
      <w:r w:rsidRPr="00B2272E">
        <w:t xml:space="preserve"> the person to</w:t>
      </w:r>
      <w:r w:rsidR="00047E40" w:rsidRPr="00B2272E">
        <w:t xml:space="preserve"> dispose of that interest within a specified period to one or more persons who are not associates.</w:t>
      </w:r>
    </w:p>
    <w:p w14:paraId="263A4012" w14:textId="31468EC3" w:rsidR="00A63975" w:rsidRPr="00B2272E" w:rsidRDefault="00A63975" w:rsidP="00631C10">
      <w:pPr>
        <w:pStyle w:val="Bullet"/>
        <w:keepNext/>
        <w:numPr>
          <w:ilvl w:val="0"/>
          <w:numId w:val="0"/>
        </w:numPr>
        <w:spacing w:before="120"/>
        <w:rPr>
          <w:b/>
        </w:rPr>
      </w:pPr>
      <w:r w:rsidRPr="00B2272E">
        <w:rPr>
          <w:b/>
        </w:rPr>
        <w:t>Section</w:t>
      </w:r>
      <w:r w:rsidR="004E6DCB" w:rsidRPr="00B2272E">
        <w:rPr>
          <w:b/>
        </w:rPr>
        <w:t> </w:t>
      </w:r>
      <w:r w:rsidR="003278B2" w:rsidRPr="00B2272E">
        <w:rPr>
          <w:b/>
        </w:rPr>
        <w:t>47</w:t>
      </w:r>
      <w:r w:rsidR="009B5390" w:rsidRPr="00B2272E">
        <w:rPr>
          <w:b/>
        </w:rPr>
        <w:t> </w:t>
      </w:r>
      <w:r w:rsidR="009B5390" w:rsidRPr="00B2272E">
        <w:rPr>
          <w:rFonts w:ascii="Calibri" w:hAnsi="Calibri"/>
          <w:b/>
        </w:rPr>
        <w:t>—</w:t>
      </w:r>
      <w:r w:rsidR="009B5390" w:rsidRPr="00B2272E">
        <w:rPr>
          <w:b/>
        </w:rPr>
        <w:t> </w:t>
      </w:r>
      <w:r w:rsidRPr="00B2272E">
        <w:rPr>
          <w:b/>
        </w:rPr>
        <w:t>Meaning of ‘foreign person’</w:t>
      </w:r>
      <w:r w:rsidR="00780FA0" w:rsidRPr="00B2272E">
        <w:rPr>
          <w:b/>
        </w:rPr>
        <w:t xml:space="preserve"> </w:t>
      </w:r>
      <w:r w:rsidRPr="00B2272E">
        <w:rPr>
          <w:rFonts w:ascii="Calibri" w:hAnsi="Calibri"/>
          <w:b/>
        </w:rPr>
        <w:t>—</w:t>
      </w:r>
      <w:r w:rsidR="00780FA0" w:rsidRPr="00B2272E">
        <w:rPr>
          <w:rFonts w:ascii="Calibri" w:hAnsi="Calibri"/>
          <w:b/>
        </w:rPr>
        <w:t xml:space="preserve"> </w:t>
      </w:r>
      <w:r w:rsidRPr="00B2272E">
        <w:rPr>
          <w:b/>
        </w:rPr>
        <w:t>disregarding small holdings of securities in primary listed entities</w:t>
      </w:r>
    </w:p>
    <w:p w14:paraId="70A8E607" w14:textId="667F833C" w:rsidR="008A30F2" w:rsidRPr="00B2272E" w:rsidRDefault="00787F30" w:rsidP="00631C10">
      <w:pPr>
        <w:pStyle w:val="Bullet"/>
        <w:keepNext/>
        <w:numPr>
          <w:ilvl w:val="0"/>
          <w:numId w:val="0"/>
        </w:numPr>
        <w:spacing w:before="120"/>
      </w:pPr>
      <w:r w:rsidRPr="00B2272E">
        <w:t>Paragraph </w:t>
      </w:r>
      <w:r w:rsidR="007F4B30" w:rsidRPr="00B2272E">
        <w:t xml:space="preserve">(c) of the definition of ‘foreign person’ </w:t>
      </w:r>
      <w:r w:rsidR="00780FA0" w:rsidRPr="00B2272E">
        <w:t xml:space="preserve">in section 4 of the Act </w:t>
      </w:r>
      <w:r w:rsidR="00FD55DE" w:rsidRPr="00B2272E">
        <w:t>refers</w:t>
      </w:r>
      <w:r w:rsidR="00793754" w:rsidRPr="00B2272E">
        <w:t xml:space="preserve"> to a corporation in which two</w:t>
      </w:r>
      <w:r w:rsidR="007F4B30" w:rsidRPr="00B2272E">
        <w:t xml:space="preserve"> or more persons, each of whom is an individual not ordinarily resident in Australian</w:t>
      </w:r>
      <w:r w:rsidR="00604502" w:rsidRPr="00B2272E">
        <w:t>,</w:t>
      </w:r>
      <w:r w:rsidR="007F4B30" w:rsidRPr="00B2272E">
        <w:t xml:space="preserve"> a foreign corporation or a foreign government, hold an aggregate substantial interest. </w:t>
      </w:r>
      <w:r w:rsidR="00F74991" w:rsidRPr="00B2272E">
        <w:t>Paragraph </w:t>
      </w:r>
      <w:r w:rsidR="00507F00" w:rsidRPr="00B2272E">
        <w:t>(e) of the definition of ‘foreign person’</w:t>
      </w:r>
      <w:r w:rsidR="00F74991" w:rsidRPr="00B2272E">
        <w:t xml:space="preserve"> </w:t>
      </w:r>
      <w:r w:rsidR="00604502" w:rsidRPr="00B2272E">
        <w:t>refers to</w:t>
      </w:r>
      <w:r w:rsidR="002D5002" w:rsidRPr="00B2272E">
        <w:t xml:space="preserve"> the trustee of a trust in which two or more persons, each of whom is an individual not ordinarily resident in Australia</w:t>
      </w:r>
      <w:r w:rsidR="008A30F2" w:rsidRPr="00B2272E">
        <w:t xml:space="preserve">, a foreign corporation or a foreign government, hold an aggregate interest. </w:t>
      </w:r>
    </w:p>
    <w:p w14:paraId="1E2F3F69" w14:textId="4AEBCDAC" w:rsidR="00A63975" w:rsidRPr="00AD4FF4" w:rsidRDefault="00787F30" w:rsidP="00631C10">
      <w:pPr>
        <w:pStyle w:val="Bullet"/>
        <w:numPr>
          <w:ilvl w:val="0"/>
          <w:numId w:val="0"/>
        </w:numPr>
        <w:spacing w:before="120"/>
      </w:pPr>
      <w:r w:rsidRPr="00B2272E">
        <w:t>Section </w:t>
      </w:r>
      <w:r w:rsidR="003278B2" w:rsidRPr="00B2272E">
        <w:t xml:space="preserve">47 </w:t>
      </w:r>
      <w:r w:rsidR="008A30F2" w:rsidRPr="00B2272E">
        <w:t xml:space="preserve">of the Regulation </w:t>
      </w:r>
      <w:r w:rsidR="007D5F9D" w:rsidRPr="00B2272E">
        <w:t>provide</w:t>
      </w:r>
      <w:r w:rsidR="007D5F9D">
        <w:t xml:space="preserve">s that </w:t>
      </w:r>
      <w:r w:rsidR="00F74991">
        <w:t>paragraphs </w:t>
      </w:r>
      <w:r w:rsidR="008A30F2">
        <w:t xml:space="preserve">(c) and (e) of the definition </w:t>
      </w:r>
      <w:r w:rsidR="004B0B8D">
        <w:t>of foreign person do not apply to an interest in securities in an entity if the entity is listed for quotation in the official list of a stock exchange in Australia and the listing i</w:t>
      </w:r>
      <w:r w:rsidR="00604502">
        <w:t>s</w:t>
      </w:r>
      <w:r w:rsidR="004B0B8D">
        <w:t xml:space="preserve"> the entity’s primary listing in an official list of a stock exchange</w:t>
      </w:r>
      <w:r w:rsidR="00C4292D">
        <w:t>,</w:t>
      </w:r>
      <w:r w:rsidR="007D5F9D">
        <w:t xml:space="preserve"> and</w:t>
      </w:r>
      <w:r w:rsidR="004B0B8D">
        <w:t xml:space="preserve"> the interest, together with any interests held by any associates of the person</w:t>
      </w:r>
      <w:r w:rsidR="00C4292D">
        <w:t>,</w:t>
      </w:r>
      <w:r w:rsidR="004B0B8D">
        <w:t xml:space="preserve"> is not a substantial holding within the meaning of the Corporations Act</w:t>
      </w:r>
      <w:r w:rsidR="0091037B">
        <w:t xml:space="preserve"> (including as exempted or </w:t>
      </w:r>
      <w:r w:rsidR="0091037B" w:rsidRPr="0091037B">
        <w:t xml:space="preserve">modified by </w:t>
      </w:r>
      <w:proofErr w:type="spellStart"/>
      <w:r w:rsidR="0091037B" w:rsidRPr="0091037B">
        <w:t>ASIC</w:t>
      </w:r>
      <w:proofErr w:type="spellEnd"/>
      <w:r w:rsidR="0091037B">
        <w:t>)</w:t>
      </w:r>
      <w:r w:rsidR="004B0B8D">
        <w:t>.</w:t>
      </w:r>
      <w:r w:rsidR="003528FD">
        <w:t xml:space="preserve"> In </w:t>
      </w:r>
      <w:r w:rsidR="00793754">
        <w:t>general terms section </w:t>
      </w:r>
      <w:r w:rsidR="00D512BF">
        <w:t xml:space="preserve">9 of the </w:t>
      </w:r>
      <w:r w:rsidR="00C4292D">
        <w:t>Corporations </w:t>
      </w:r>
      <w:r w:rsidR="00D512BF">
        <w:t>Act defines a ‘substantial holding’ in</w:t>
      </w:r>
      <w:r w:rsidR="003528FD">
        <w:t xml:space="preserve"> a body corporate or listed registered managed investment scheme to mean </w:t>
      </w:r>
      <w:r w:rsidR="00D512BF">
        <w:t>an inte</w:t>
      </w:r>
      <w:r w:rsidR="007E3591">
        <w:t>rest of 5 per cent</w:t>
      </w:r>
      <w:r w:rsidR="003528FD">
        <w:t xml:space="preserve"> or more</w:t>
      </w:r>
      <w:r w:rsidR="006874D0">
        <w:t>.</w:t>
      </w:r>
      <w:r w:rsidR="003528FD">
        <w:t xml:space="preserve"> </w:t>
      </w:r>
      <w:r w:rsidR="003C3E8F">
        <w:t xml:space="preserve">However, such an interest is to be taken into account for the purpose of working out </w:t>
      </w:r>
      <w:r w:rsidR="006874D0">
        <w:t xml:space="preserve">the </w:t>
      </w:r>
      <w:r w:rsidR="003C3E8F">
        <w:t>percentage of that or any other interest in the entity.</w:t>
      </w:r>
      <w:r w:rsidR="004B0B8D">
        <w:t xml:space="preserve"> </w:t>
      </w:r>
    </w:p>
    <w:p w14:paraId="4FFAEB29" w14:textId="442EB8F4" w:rsidR="00974467" w:rsidRPr="00B2272E" w:rsidRDefault="004E6DCB" w:rsidP="00631C10">
      <w:pPr>
        <w:pStyle w:val="Bullet"/>
        <w:keepNext/>
        <w:numPr>
          <w:ilvl w:val="0"/>
          <w:numId w:val="0"/>
        </w:numPr>
        <w:spacing w:before="120"/>
        <w:rPr>
          <w:b/>
        </w:rPr>
      </w:pPr>
      <w:r w:rsidRPr="00E81137">
        <w:rPr>
          <w:b/>
        </w:rPr>
        <w:t>Sectio</w:t>
      </w:r>
      <w:r w:rsidRPr="00B2272E">
        <w:rPr>
          <w:b/>
        </w:rPr>
        <w:t>n </w:t>
      </w:r>
      <w:r w:rsidR="009B5390" w:rsidRPr="00B2272E">
        <w:rPr>
          <w:b/>
        </w:rPr>
        <w:t>48 </w:t>
      </w:r>
      <w:r w:rsidR="009B5390" w:rsidRPr="00B2272E">
        <w:rPr>
          <w:rFonts w:ascii="Calibri" w:hAnsi="Calibri"/>
          <w:b/>
        </w:rPr>
        <w:t>—</w:t>
      </w:r>
      <w:r w:rsidR="009B5390" w:rsidRPr="00B2272E">
        <w:rPr>
          <w:b/>
        </w:rPr>
        <w:t> </w:t>
      </w:r>
      <w:r w:rsidR="00974467" w:rsidRPr="00B2272E">
        <w:rPr>
          <w:b/>
        </w:rPr>
        <w:t>Tracing of interests in corporations and trusts</w:t>
      </w:r>
    </w:p>
    <w:p w14:paraId="7AE41DC5" w14:textId="320756AD" w:rsidR="003231E3" w:rsidRPr="00B2272E" w:rsidRDefault="00793754" w:rsidP="00631C10">
      <w:pPr>
        <w:pStyle w:val="Bullet"/>
        <w:keepNext/>
        <w:numPr>
          <w:ilvl w:val="0"/>
          <w:numId w:val="0"/>
        </w:numPr>
        <w:spacing w:before="120"/>
      </w:pPr>
      <w:r w:rsidRPr="00B2272E">
        <w:t>Broadly, section </w:t>
      </w:r>
      <w:r w:rsidR="003231E3" w:rsidRPr="00B2272E">
        <w:t>19 of the Act allows for substantial interests in a corporation or a trust to be traced</w:t>
      </w:r>
      <w:r w:rsidR="00A63975" w:rsidRPr="00B2272E">
        <w:t xml:space="preserve"> (tracing rules)</w:t>
      </w:r>
      <w:r w:rsidR="003231E3" w:rsidRPr="00B2272E">
        <w:t xml:space="preserve">. </w:t>
      </w:r>
      <w:r w:rsidR="00A67ED6">
        <w:t>S</w:t>
      </w:r>
      <w:r w:rsidR="00A42C4A">
        <w:t>ubs</w:t>
      </w:r>
      <w:r w:rsidR="003231E3" w:rsidRPr="00B2272E">
        <w:t>ection</w:t>
      </w:r>
      <w:r w:rsidR="00A42C4A">
        <w:t> </w:t>
      </w:r>
      <w:r w:rsidR="00A655D7">
        <w:t xml:space="preserve">19(3) </w:t>
      </w:r>
      <w:r w:rsidR="00A42C4A">
        <w:t xml:space="preserve">of the Act </w:t>
      </w:r>
      <w:r w:rsidR="00A655D7">
        <w:t>provides that it</w:t>
      </w:r>
      <w:r w:rsidR="003231E3" w:rsidRPr="00B2272E">
        <w:t xml:space="preserve"> does not apply for the purpose of determining whether a foreign person acquires a direct interest in an Australian entity or Australian business or for determining whether a foreign person acquires a substantial interest in an Australian entity. </w:t>
      </w:r>
    </w:p>
    <w:p w14:paraId="0AEBF1C6" w14:textId="3B1660D5" w:rsidR="006A3E91" w:rsidRDefault="006A3E91" w:rsidP="00631C10">
      <w:pPr>
        <w:pStyle w:val="Bullet"/>
        <w:numPr>
          <w:ilvl w:val="0"/>
          <w:numId w:val="0"/>
        </w:numPr>
        <w:spacing w:before="120"/>
      </w:pPr>
      <w:r w:rsidRPr="00B2272E">
        <w:t>However, t</w:t>
      </w:r>
      <w:r w:rsidR="00A95A61" w:rsidRPr="00B2272E">
        <w:t>he effect of section </w:t>
      </w:r>
      <w:r w:rsidR="003278B2" w:rsidRPr="00B2272E">
        <w:t xml:space="preserve">48 </w:t>
      </w:r>
      <w:r w:rsidR="003231E3" w:rsidRPr="00B2272E">
        <w:t>of</w:t>
      </w:r>
      <w:r w:rsidR="003231E3">
        <w:t xml:space="preserve"> the Regulation is that </w:t>
      </w:r>
      <w:r w:rsidR="00A63975">
        <w:t xml:space="preserve">the tracing rules </w:t>
      </w:r>
      <w:r w:rsidR="00A67ED6">
        <w:t xml:space="preserve">do </w:t>
      </w:r>
      <w:r w:rsidR="00A63975">
        <w:t xml:space="preserve">apply </w:t>
      </w:r>
      <w:r w:rsidR="002702FB">
        <w:t>to an</w:t>
      </w:r>
      <w:r w:rsidR="00794376">
        <w:t xml:space="preserve"> </w:t>
      </w:r>
      <w:r w:rsidR="00A63975">
        <w:t>action taken by a foreign government investor</w:t>
      </w:r>
      <w:r>
        <w:t>, including significant actions and notifiable actions under the Act and the Regulation</w:t>
      </w:r>
      <w:r w:rsidR="00A63975">
        <w:t>.</w:t>
      </w:r>
      <w:r>
        <w:t xml:space="preserve"> </w:t>
      </w:r>
    </w:p>
    <w:p w14:paraId="2395435A" w14:textId="18A6F326" w:rsidR="00974467" w:rsidRPr="00974467" w:rsidRDefault="006A3E91" w:rsidP="00A42C4A">
      <w:pPr>
        <w:pStyle w:val="Bullet"/>
        <w:spacing w:before="120"/>
      </w:pPr>
      <w:r>
        <w:t>For example, if a foreign government investor is acquiring a direct interest in an Australian entity, by acquiring a direct interest in a European holding corporation that holds its interest in an Australian entity through an foreign corporation in Asia, the offshore acquisition in the European holding corporation will also be an acquisition of a direct interest in an Australian entity and thus, a significant action and notifiable action for the foreign government investor.</w:t>
      </w:r>
    </w:p>
    <w:p w14:paraId="49F2FD39" w14:textId="3D0E1C5C" w:rsidR="00822CF0" w:rsidRPr="00182C2D" w:rsidRDefault="004E6DCB" w:rsidP="00F4465E">
      <w:pPr>
        <w:pStyle w:val="Heading2"/>
        <w:pageBreakBefore/>
      </w:pPr>
      <w:r w:rsidRPr="00182C2D">
        <w:t>Part</w:t>
      </w:r>
      <w:r>
        <w:t> </w:t>
      </w:r>
      <w:r w:rsidR="009B5390" w:rsidRPr="00182C2D">
        <w:t>4</w:t>
      </w:r>
      <w:r w:rsidR="009B5390">
        <w:t> </w:t>
      </w:r>
      <w:r w:rsidR="003329D3" w:rsidRPr="00182C2D">
        <w:rPr>
          <w:rFonts w:ascii="Calibri" w:hAnsi="Calibri"/>
        </w:rPr>
        <w:t>—</w:t>
      </w:r>
      <w:r w:rsidR="009B5390" w:rsidRPr="008F16E4">
        <w:t> </w:t>
      </w:r>
      <w:r w:rsidR="003329D3" w:rsidRPr="00182C2D">
        <w:t>Thresholds</w:t>
      </w:r>
    </w:p>
    <w:p w14:paraId="5A5DE828" w14:textId="79CA114E" w:rsidR="00FC2774" w:rsidRPr="00B2272E" w:rsidRDefault="00FC2774" w:rsidP="00631C10">
      <w:pPr>
        <w:pStyle w:val="Bullet"/>
        <w:numPr>
          <w:ilvl w:val="0"/>
          <w:numId w:val="0"/>
        </w:numPr>
        <w:spacing w:before="120"/>
        <w:rPr>
          <w:b/>
        </w:rPr>
      </w:pPr>
      <w:r>
        <w:rPr>
          <w:b/>
        </w:rPr>
        <w:t>Sec</w:t>
      </w:r>
      <w:r w:rsidRPr="00B2272E">
        <w:rPr>
          <w:b/>
        </w:rPr>
        <w:t>tion </w:t>
      </w:r>
      <w:r w:rsidR="009B5390" w:rsidRPr="00B2272E">
        <w:rPr>
          <w:b/>
        </w:rPr>
        <w:t>49 </w:t>
      </w:r>
      <w:r w:rsidR="009B5390" w:rsidRPr="00B2272E">
        <w:rPr>
          <w:rFonts w:ascii="Calibri" w:hAnsi="Calibri"/>
          <w:b/>
        </w:rPr>
        <w:t>—</w:t>
      </w:r>
      <w:r w:rsidR="009B5390" w:rsidRPr="00B2272E">
        <w:rPr>
          <w:b/>
        </w:rPr>
        <w:t> </w:t>
      </w:r>
      <w:r w:rsidRPr="00B2272E">
        <w:rPr>
          <w:b/>
        </w:rPr>
        <w:t>Simplified outline of this Part</w:t>
      </w:r>
    </w:p>
    <w:p w14:paraId="6EC77088" w14:textId="13F67C1C" w:rsidR="00FC2774" w:rsidRPr="00B2272E" w:rsidRDefault="00FC2774" w:rsidP="00631C10">
      <w:pPr>
        <w:pStyle w:val="Bullet"/>
        <w:numPr>
          <w:ilvl w:val="0"/>
          <w:numId w:val="0"/>
        </w:numPr>
        <w:spacing w:before="120"/>
        <w:rPr>
          <w:b/>
        </w:rPr>
      </w:pPr>
      <w:r w:rsidRPr="00B2272E">
        <w:t>Section </w:t>
      </w:r>
      <w:r w:rsidR="009D5DAB" w:rsidRPr="00B2272E">
        <w:t xml:space="preserve">49 </w:t>
      </w:r>
      <w:r w:rsidRPr="00B2272E">
        <w:t xml:space="preserve">provides a simplified outline of Part 4 of the Regulation. </w:t>
      </w:r>
    </w:p>
    <w:p w14:paraId="19EFF197" w14:textId="20947783" w:rsidR="003329D3" w:rsidRPr="00B2272E" w:rsidRDefault="004E6DCB" w:rsidP="00A362AB">
      <w:pPr>
        <w:pStyle w:val="Bullet"/>
        <w:keepNext/>
        <w:numPr>
          <w:ilvl w:val="0"/>
          <w:numId w:val="0"/>
        </w:numPr>
        <w:spacing w:before="120"/>
        <w:rPr>
          <w:b/>
        </w:rPr>
      </w:pPr>
      <w:r w:rsidRPr="00B2272E">
        <w:rPr>
          <w:b/>
        </w:rPr>
        <w:t>Section </w:t>
      </w:r>
      <w:r w:rsidR="009B5390" w:rsidRPr="00B2272E">
        <w:rPr>
          <w:b/>
        </w:rPr>
        <w:t>50 </w:t>
      </w:r>
      <w:r w:rsidR="009B5390" w:rsidRPr="00B2272E">
        <w:rPr>
          <w:rFonts w:ascii="Calibri" w:hAnsi="Calibri"/>
          <w:b/>
        </w:rPr>
        <w:t>—</w:t>
      </w:r>
      <w:r w:rsidR="009B5390" w:rsidRPr="00B2272E">
        <w:rPr>
          <w:b/>
        </w:rPr>
        <w:t> </w:t>
      </w:r>
      <w:r w:rsidR="00786290" w:rsidRPr="00B2272E">
        <w:rPr>
          <w:b/>
        </w:rPr>
        <w:t>Certain actions taken in relation to agribusinesses</w:t>
      </w:r>
    </w:p>
    <w:p w14:paraId="41D6B93D" w14:textId="2D4FE22B" w:rsidR="004B3E1F" w:rsidRPr="00B2272E" w:rsidRDefault="00793754" w:rsidP="00631C10">
      <w:pPr>
        <w:pStyle w:val="Bullet"/>
        <w:numPr>
          <w:ilvl w:val="0"/>
          <w:numId w:val="0"/>
        </w:numPr>
        <w:spacing w:before="120"/>
      </w:pPr>
      <w:r w:rsidRPr="00B2272E">
        <w:t>The effect of item </w:t>
      </w:r>
      <w:r w:rsidR="00A32373" w:rsidRPr="00B2272E">
        <w:t>1 in the table to s</w:t>
      </w:r>
      <w:r w:rsidR="002040D3" w:rsidRPr="00B2272E">
        <w:t xml:space="preserve">ection 51 of the Act </w:t>
      </w:r>
      <w:r w:rsidR="00A32373" w:rsidRPr="00B2272E">
        <w:t>is that the threshold test is met in relation to a person acquiring a direct interest in an Australian entity or an Australian business that is an agribusiness if the total value of the consideration for the acquisition and the total value of the other interests held by the person, alone or together with one or more associates in the entity or business or previously acquired from the entity or business</w:t>
      </w:r>
      <w:r w:rsidR="00985D26" w:rsidRPr="00B2272E">
        <w:t>,</w:t>
      </w:r>
      <w:r w:rsidR="00A32373" w:rsidRPr="00B2272E">
        <w:t xml:space="preserve"> is more than the value</w:t>
      </w:r>
      <w:r w:rsidR="00B232E0" w:rsidRPr="00B2272E">
        <w:t xml:space="preserve"> prescribed by the regulations. </w:t>
      </w:r>
      <w:r w:rsidR="00A32373" w:rsidRPr="00B2272E">
        <w:t>Section </w:t>
      </w:r>
      <w:r w:rsidR="001E29A0" w:rsidRPr="00B2272E">
        <w:t xml:space="preserve">50 </w:t>
      </w:r>
      <w:r w:rsidR="00A32373" w:rsidRPr="00B2272E">
        <w:t>of the Regulation prescribes the value to be $</w:t>
      </w:r>
      <w:r w:rsidR="006608AC" w:rsidRPr="00B2272E">
        <w:t>55 </w:t>
      </w:r>
      <w:r w:rsidR="00A32373" w:rsidRPr="00B2272E">
        <w:t>million.</w:t>
      </w:r>
    </w:p>
    <w:p w14:paraId="67162F4C" w14:textId="5DC194D1" w:rsidR="003329D3" w:rsidRPr="00B2272E" w:rsidRDefault="004E6DCB" w:rsidP="00631C10">
      <w:pPr>
        <w:pStyle w:val="Bullet"/>
        <w:numPr>
          <w:ilvl w:val="0"/>
          <w:numId w:val="0"/>
        </w:numPr>
        <w:spacing w:before="120"/>
        <w:rPr>
          <w:b/>
        </w:rPr>
      </w:pPr>
      <w:r w:rsidRPr="00B2272E">
        <w:rPr>
          <w:b/>
        </w:rPr>
        <w:t>Section </w:t>
      </w:r>
      <w:r w:rsidR="009B5390" w:rsidRPr="00B2272E">
        <w:rPr>
          <w:b/>
        </w:rPr>
        <w:t>51 </w:t>
      </w:r>
      <w:r w:rsidR="009B5390" w:rsidRPr="00B2272E">
        <w:rPr>
          <w:rFonts w:ascii="Calibri" w:hAnsi="Calibri"/>
          <w:b/>
        </w:rPr>
        <w:t>—</w:t>
      </w:r>
      <w:r w:rsidR="009B5390" w:rsidRPr="00B2272E">
        <w:rPr>
          <w:b/>
        </w:rPr>
        <w:t> </w:t>
      </w:r>
      <w:r w:rsidR="00786290" w:rsidRPr="00B2272E">
        <w:rPr>
          <w:b/>
        </w:rPr>
        <w:t>Taking action in relation to entities and businesses</w:t>
      </w:r>
    </w:p>
    <w:p w14:paraId="69118104" w14:textId="77777777" w:rsidR="00DA0EE0" w:rsidRDefault="00DA0EE0" w:rsidP="00DA0EE0">
      <w:pPr>
        <w:pStyle w:val="Bullet"/>
        <w:numPr>
          <w:ilvl w:val="0"/>
          <w:numId w:val="0"/>
        </w:numPr>
        <w:spacing w:before="120"/>
      </w:pPr>
      <w:r w:rsidRPr="00B2272E">
        <w:t>The effect of the table in section 51 of the Regulation is that for an agreement country investor (that is, an entity that is an enterprise or national of Chile, Japan, Korea, New Zealand, or the United States: except for a foreign government investor) where the action relates to an entity, or a subsidiary of an entity, that is not carrying on a sensitive business, or a trustee of which does not hold assets or a business that is not a sensitive business, the prescribed value is $1,094 million. ‘Sensitive business’ has the meaning given by section 22 of the Re</w:t>
      </w:r>
      <w:r>
        <w:t>gulation.</w:t>
      </w:r>
    </w:p>
    <w:p w14:paraId="35AD79AE" w14:textId="159D91AE" w:rsidR="00A6411A" w:rsidRDefault="00DA0EE0" w:rsidP="00DA0EE0">
      <w:pPr>
        <w:pStyle w:val="Bullet"/>
        <w:numPr>
          <w:ilvl w:val="0"/>
          <w:numId w:val="0"/>
        </w:numPr>
        <w:spacing w:before="120"/>
      </w:pPr>
      <w:r>
        <w:t>In the case of an acquisition of an interest by any foreign person in any other circumstances, the prescribed value is $252 million. This applies for the following significant actions and values under table items 2 to 5 in section 51 of the Act.</w:t>
      </w:r>
      <w:r w:rsidR="00B2272E" w:rsidDel="00B2272E">
        <w:t xml:space="preserve"> </w:t>
      </w:r>
    </w:p>
    <w:tbl>
      <w:tblPr>
        <w:tblStyle w:val="TableGrid"/>
        <w:tblW w:w="0" w:type="auto"/>
        <w:tblLook w:val="04A0" w:firstRow="1" w:lastRow="0" w:firstColumn="1" w:lastColumn="0" w:noHBand="0" w:noVBand="1"/>
      </w:tblPr>
      <w:tblGrid>
        <w:gridCol w:w="1526"/>
        <w:gridCol w:w="3498"/>
        <w:gridCol w:w="3498"/>
      </w:tblGrid>
      <w:tr w:rsidR="00DA0EE0" w14:paraId="6F9A4FD9" w14:textId="77777777" w:rsidTr="00DA0EE0">
        <w:trPr>
          <w:cantSplit/>
        </w:trPr>
        <w:tc>
          <w:tcPr>
            <w:tcW w:w="8522" w:type="dxa"/>
            <w:gridSpan w:val="3"/>
          </w:tcPr>
          <w:p w14:paraId="4606027D" w14:textId="27FDBB87" w:rsidR="00DA0EE0" w:rsidRPr="00DA0EE0" w:rsidRDefault="00DA0EE0" w:rsidP="00BB29A8">
            <w:pPr>
              <w:rPr>
                <w:i/>
              </w:rPr>
            </w:pPr>
            <w:r>
              <w:rPr>
                <w:i/>
              </w:rPr>
              <w:t>When the threshold test is met</w:t>
            </w:r>
          </w:p>
        </w:tc>
      </w:tr>
      <w:tr w:rsidR="00DA0EE0" w14:paraId="274EC18E" w14:textId="77777777" w:rsidTr="00DA0EE0">
        <w:trPr>
          <w:cantSplit/>
        </w:trPr>
        <w:tc>
          <w:tcPr>
            <w:tcW w:w="1526" w:type="dxa"/>
          </w:tcPr>
          <w:p w14:paraId="10C70512" w14:textId="71EEAA7D" w:rsidR="00DA0EE0" w:rsidRPr="00DA0EE0" w:rsidRDefault="00DA0EE0" w:rsidP="00BB29A8">
            <w:pPr>
              <w:jc w:val="center"/>
              <w:rPr>
                <w:i/>
              </w:rPr>
            </w:pPr>
            <w:r w:rsidRPr="00DA0EE0">
              <w:rPr>
                <w:i/>
              </w:rPr>
              <w:t>Table item</w:t>
            </w:r>
          </w:p>
          <w:p w14:paraId="13496AB9" w14:textId="3E1A41CE" w:rsidR="00DA0EE0" w:rsidRPr="00DA0EE0" w:rsidRDefault="00DA0EE0" w:rsidP="00BB29A8">
            <w:pPr>
              <w:jc w:val="center"/>
              <w:rPr>
                <w:i/>
              </w:rPr>
            </w:pPr>
            <w:r w:rsidRPr="00DA0EE0">
              <w:rPr>
                <w:i/>
              </w:rPr>
              <w:t>(section 51 of the Act)</w:t>
            </w:r>
          </w:p>
        </w:tc>
        <w:tc>
          <w:tcPr>
            <w:tcW w:w="3498" w:type="dxa"/>
          </w:tcPr>
          <w:p w14:paraId="6DD50B30" w14:textId="2FDB8F21" w:rsidR="00DA0EE0" w:rsidRPr="00DA0EE0" w:rsidRDefault="00DA0EE0" w:rsidP="00BB29A8">
            <w:pPr>
              <w:jc w:val="center"/>
              <w:rPr>
                <w:i/>
              </w:rPr>
            </w:pPr>
            <w:r w:rsidRPr="00DA0EE0">
              <w:rPr>
                <w:i/>
              </w:rPr>
              <w:t>Significant action</w:t>
            </w:r>
          </w:p>
        </w:tc>
        <w:tc>
          <w:tcPr>
            <w:tcW w:w="3498" w:type="dxa"/>
          </w:tcPr>
          <w:p w14:paraId="211B1704" w14:textId="03E6C2E2" w:rsidR="00DA0EE0" w:rsidRPr="00DA0EE0" w:rsidRDefault="00DA0EE0" w:rsidP="00BB29A8">
            <w:pPr>
              <w:jc w:val="center"/>
              <w:rPr>
                <w:i/>
              </w:rPr>
            </w:pPr>
            <w:r w:rsidRPr="00DA0EE0">
              <w:rPr>
                <w:i/>
              </w:rPr>
              <w:t>Value</w:t>
            </w:r>
          </w:p>
        </w:tc>
      </w:tr>
      <w:tr w:rsidR="00DA0EE0" w14:paraId="07059899" w14:textId="77777777" w:rsidTr="00DA0EE0">
        <w:trPr>
          <w:cantSplit/>
        </w:trPr>
        <w:tc>
          <w:tcPr>
            <w:tcW w:w="1526" w:type="dxa"/>
          </w:tcPr>
          <w:p w14:paraId="5364D476" w14:textId="7B87E6E3" w:rsidR="00DA0EE0" w:rsidRDefault="00DA0EE0" w:rsidP="00BB29A8">
            <w:r>
              <w:t>2</w:t>
            </w:r>
          </w:p>
        </w:tc>
        <w:tc>
          <w:tcPr>
            <w:tcW w:w="3498" w:type="dxa"/>
          </w:tcPr>
          <w:p w14:paraId="13643AE8" w14:textId="1B60B3DC" w:rsidR="00DA0EE0" w:rsidRPr="00DA0EE0" w:rsidRDefault="00DA0EE0" w:rsidP="00BB29A8">
            <w:r w:rsidRPr="00DA0EE0">
              <w:t xml:space="preserve">Acquiring interests in securities in an entity, or issuing securities in an entity. </w:t>
            </w:r>
          </w:p>
        </w:tc>
        <w:tc>
          <w:tcPr>
            <w:tcW w:w="3498" w:type="dxa"/>
          </w:tcPr>
          <w:p w14:paraId="0734935A" w14:textId="304BAE2C" w:rsidR="00DA0EE0" w:rsidRPr="00DA0EE0" w:rsidRDefault="00DA0EE0" w:rsidP="00BB29A8">
            <w:r w:rsidRPr="00DA0EE0">
              <w:t>The total asset value for the entity or the total issued securities value for the entity (whichever is higher).</w:t>
            </w:r>
          </w:p>
        </w:tc>
      </w:tr>
      <w:tr w:rsidR="00DA0EE0" w14:paraId="3F518350" w14:textId="77777777" w:rsidTr="00DA0EE0">
        <w:trPr>
          <w:cantSplit/>
        </w:trPr>
        <w:tc>
          <w:tcPr>
            <w:tcW w:w="1526" w:type="dxa"/>
          </w:tcPr>
          <w:p w14:paraId="35951CBE" w14:textId="27B18448" w:rsidR="00DA0EE0" w:rsidRDefault="00DA0EE0" w:rsidP="00BB29A8">
            <w:r>
              <w:t>3</w:t>
            </w:r>
          </w:p>
        </w:tc>
        <w:tc>
          <w:tcPr>
            <w:tcW w:w="3498" w:type="dxa"/>
          </w:tcPr>
          <w:p w14:paraId="7CBBE232" w14:textId="1596D1DD" w:rsidR="00DA0EE0" w:rsidRDefault="00DA0EE0" w:rsidP="00BB29A8">
            <w:r w:rsidRPr="00DA0EE0">
              <w:t>Entering into an agreement, or altering a constituent document.</w:t>
            </w:r>
          </w:p>
        </w:tc>
        <w:tc>
          <w:tcPr>
            <w:tcW w:w="3498" w:type="dxa"/>
          </w:tcPr>
          <w:p w14:paraId="4EE19658" w14:textId="48F09DAA" w:rsidR="00DA0EE0" w:rsidRDefault="00DA0EE0" w:rsidP="00BB29A8">
            <w:r w:rsidRPr="00DA0EE0">
              <w:t>The total asset value for the entity.</w:t>
            </w:r>
          </w:p>
        </w:tc>
      </w:tr>
      <w:tr w:rsidR="00DA0EE0" w14:paraId="2298CE7B" w14:textId="77777777" w:rsidTr="00DA0EE0">
        <w:trPr>
          <w:cantSplit/>
        </w:trPr>
        <w:tc>
          <w:tcPr>
            <w:tcW w:w="1526" w:type="dxa"/>
          </w:tcPr>
          <w:p w14:paraId="7FA4C656" w14:textId="602C94B2" w:rsidR="00DA0EE0" w:rsidRDefault="00DA0EE0" w:rsidP="00BB29A8">
            <w:r>
              <w:t>4</w:t>
            </w:r>
          </w:p>
        </w:tc>
        <w:tc>
          <w:tcPr>
            <w:tcW w:w="3498" w:type="dxa"/>
          </w:tcPr>
          <w:p w14:paraId="352769A2" w14:textId="7010AF36" w:rsidR="00DA0EE0" w:rsidRDefault="00DA0EE0" w:rsidP="00BB29A8">
            <w:r w:rsidRPr="00DA0EE0">
              <w:t>Acquiring interests in the assets of an Australian business.</w:t>
            </w:r>
          </w:p>
        </w:tc>
        <w:tc>
          <w:tcPr>
            <w:tcW w:w="3498" w:type="dxa"/>
          </w:tcPr>
          <w:p w14:paraId="440C2FF6" w14:textId="7F8743DC" w:rsidR="00DA0EE0" w:rsidRDefault="00DA0EE0" w:rsidP="00BB29A8">
            <w:r w:rsidRPr="00DA0EE0">
              <w:t>The value of the consideration for the acquisition.</w:t>
            </w:r>
          </w:p>
        </w:tc>
      </w:tr>
      <w:tr w:rsidR="00DA0EE0" w14:paraId="42CF7231" w14:textId="77777777" w:rsidTr="00DA0EE0">
        <w:trPr>
          <w:cantSplit/>
        </w:trPr>
        <w:tc>
          <w:tcPr>
            <w:tcW w:w="1526" w:type="dxa"/>
          </w:tcPr>
          <w:p w14:paraId="6632368C" w14:textId="29516900" w:rsidR="00DA0EE0" w:rsidRDefault="00DA0EE0" w:rsidP="00BB29A8">
            <w:r>
              <w:t>5</w:t>
            </w:r>
          </w:p>
        </w:tc>
        <w:tc>
          <w:tcPr>
            <w:tcW w:w="3498" w:type="dxa"/>
          </w:tcPr>
          <w:p w14:paraId="5B35FD8E" w14:textId="58292325" w:rsidR="00DA0EE0" w:rsidRDefault="00DA0EE0" w:rsidP="00BB29A8">
            <w:r w:rsidRPr="00DA0EE0">
              <w:t>Entering into or terminating a significant agreement with an Australian business.</w:t>
            </w:r>
          </w:p>
        </w:tc>
        <w:tc>
          <w:tcPr>
            <w:tcW w:w="3498" w:type="dxa"/>
          </w:tcPr>
          <w:p w14:paraId="414D0541" w14:textId="3DD12772" w:rsidR="00DA0EE0" w:rsidRDefault="00DA0EE0" w:rsidP="00BB29A8">
            <w:r w:rsidRPr="00DA0EE0">
              <w:t>The value of the total assets of the business.</w:t>
            </w:r>
          </w:p>
        </w:tc>
      </w:tr>
    </w:tbl>
    <w:p w14:paraId="77FBA1AA" w14:textId="43B66545" w:rsidR="003329D3" w:rsidRPr="00B2272E" w:rsidRDefault="00FB6428" w:rsidP="00631C10">
      <w:pPr>
        <w:pStyle w:val="Bullet"/>
        <w:keepNext/>
        <w:numPr>
          <w:ilvl w:val="0"/>
          <w:numId w:val="0"/>
        </w:numPr>
        <w:spacing w:before="120"/>
        <w:rPr>
          <w:b/>
        </w:rPr>
      </w:pPr>
      <w:r w:rsidRPr="00E81137">
        <w:rPr>
          <w:b/>
        </w:rPr>
        <w:t>Section</w:t>
      </w:r>
      <w:r>
        <w:rPr>
          <w:b/>
        </w:rPr>
        <w:t> </w:t>
      </w:r>
      <w:r w:rsidR="009B5390" w:rsidRPr="00B2272E">
        <w:rPr>
          <w:b/>
        </w:rPr>
        <w:t>52 </w:t>
      </w:r>
      <w:r w:rsidR="009B5390" w:rsidRPr="00B2272E">
        <w:rPr>
          <w:rFonts w:ascii="Calibri" w:hAnsi="Calibri"/>
          <w:b/>
        </w:rPr>
        <w:t>—</w:t>
      </w:r>
      <w:r w:rsidR="009B5390" w:rsidRPr="00B2272E">
        <w:rPr>
          <w:b/>
        </w:rPr>
        <w:t> </w:t>
      </w:r>
      <w:r w:rsidR="0020443B" w:rsidRPr="00B2272E">
        <w:rPr>
          <w:b/>
        </w:rPr>
        <w:t>Land</w:t>
      </w:r>
    </w:p>
    <w:p w14:paraId="2E6FD64B" w14:textId="70D1DEFC" w:rsidR="00381BBC" w:rsidRPr="00B2272E" w:rsidRDefault="00381BBC" w:rsidP="00631C10">
      <w:pPr>
        <w:pStyle w:val="Bullet"/>
        <w:keepNext/>
        <w:numPr>
          <w:ilvl w:val="0"/>
          <w:numId w:val="0"/>
        </w:numPr>
        <w:spacing w:before="120"/>
      </w:pPr>
      <w:r w:rsidRPr="00B2272E">
        <w:rPr>
          <w:i/>
        </w:rPr>
        <w:t>Land without threshold value</w:t>
      </w:r>
    </w:p>
    <w:p w14:paraId="50574EBE" w14:textId="1E22E3EA" w:rsidR="00FB02A1" w:rsidRPr="00B2272E" w:rsidRDefault="0089283F" w:rsidP="00631C10">
      <w:pPr>
        <w:pStyle w:val="Bullet"/>
        <w:numPr>
          <w:ilvl w:val="0"/>
          <w:numId w:val="0"/>
        </w:numPr>
        <w:spacing w:before="120"/>
      </w:pPr>
      <w:r w:rsidRPr="00B2272E">
        <w:t>The effect of s</w:t>
      </w:r>
      <w:r w:rsidR="002702FB" w:rsidRPr="00B2272E">
        <w:t>ubs</w:t>
      </w:r>
      <w:r w:rsidRPr="00B2272E">
        <w:t>ection 52</w:t>
      </w:r>
      <w:r w:rsidR="008F68D6" w:rsidRPr="00B2272E">
        <w:t>(1)</w:t>
      </w:r>
      <w:r w:rsidR="000C62C8" w:rsidRPr="00B2272E">
        <w:t xml:space="preserve"> </w:t>
      </w:r>
      <w:r w:rsidR="00521569" w:rsidRPr="00B2272E">
        <w:t xml:space="preserve">of the Act </w:t>
      </w:r>
      <w:r w:rsidRPr="00B2272E">
        <w:t>is that the threshold test is met in relation to land if the land is of a kind that is prescribed for the purposes of that subse</w:t>
      </w:r>
      <w:r w:rsidR="00FB584E" w:rsidRPr="00B2272E">
        <w:t>ction.</w:t>
      </w:r>
      <w:r w:rsidR="00FB02A1" w:rsidRPr="00B2272E">
        <w:t xml:space="preserve"> </w:t>
      </w:r>
    </w:p>
    <w:p w14:paraId="5DADE5DA" w14:textId="7DFA717B" w:rsidR="00F035D8" w:rsidRPr="00B2272E" w:rsidRDefault="00FB584E" w:rsidP="00631C10">
      <w:pPr>
        <w:pStyle w:val="Bullet"/>
        <w:numPr>
          <w:ilvl w:val="0"/>
          <w:numId w:val="0"/>
        </w:numPr>
        <w:spacing w:before="120"/>
      </w:pPr>
      <w:r w:rsidRPr="00B2272E">
        <w:t>Subsection </w:t>
      </w:r>
      <w:r w:rsidR="001E29A0" w:rsidRPr="00B2272E">
        <w:t>52</w:t>
      </w:r>
      <w:r w:rsidR="0089283F" w:rsidRPr="00B2272E">
        <w:t>(1) of</w:t>
      </w:r>
      <w:r w:rsidR="0089283F">
        <w:t xml:space="preserve"> the </w:t>
      </w:r>
      <w:r w:rsidR="00090F0A">
        <w:t>Regulation</w:t>
      </w:r>
      <w:r w:rsidR="0089283F">
        <w:t xml:space="preserve"> provides that </w:t>
      </w:r>
      <w:r w:rsidR="00FB02A1">
        <w:t xml:space="preserve">most </w:t>
      </w:r>
      <w:r>
        <w:t>residential land</w:t>
      </w:r>
      <w:r w:rsidR="00C47BB8">
        <w:t>;</w:t>
      </w:r>
      <w:r w:rsidR="00793754">
        <w:t xml:space="preserve"> commercial land that is vacant</w:t>
      </w:r>
      <w:r w:rsidR="00C47BB8">
        <w:t>;</w:t>
      </w:r>
      <w:r>
        <w:t xml:space="preserve"> </w:t>
      </w:r>
      <w:r w:rsidR="00C47BB8">
        <w:t xml:space="preserve">a </w:t>
      </w:r>
      <w:r>
        <w:t>mining or production tenement (except one being acquired by a relevant agreement country investor)</w:t>
      </w:r>
      <w:r w:rsidR="001E5576">
        <w:t>,</w:t>
      </w:r>
      <w:r>
        <w:t xml:space="preserve"> or land acquired by a foreign government investor </w:t>
      </w:r>
      <w:r w:rsidR="00C47BB8">
        <w:t>(subject to certain exceptions); and</w:t>
      </w:r>
      <w:r w:rsidR="00FB02A1">
        <w:t>, in some circumstances,</w:t>
      </w:r>
      <w:r w:rsidR="00C47BB8">
        <w:t xml:space="preserve"> land held by an Australian corporation </w:t>
      </w:r>
      <w:r w:rsidR="00FB02A1">
        <w:t>or the trustee of an Australian land trust (except an agricultural land corporation or an agricultural land trust)</w:t>
      </w:r>
      <w:r w:rsidR="00C47BB8">
        <w:t xml:space="preserve"> </w:t>
      </w:r>
      <w:r>
        <w:t xml:space="preserve">is prescribed for the purposes </w:t>
      </w:r>
      <w:r w:rsidR="00793754">
        <w:t>of subs</w:t>
      </w:r>
      <w:r w:rsidR="00793754" w:rsidRPr="00B2272E">
        <w:t>ection </w:t>
      </w:r>
      <w:r w:rsidR="000601A1" w:rsidRPr="00B2272E">
        <w:t>52(1) of the Act.</w:t>
      </w:r>
      <w:r w:rsidR="00C47BB8" w:rsidRPr="00B2272E">
        <w:t xml:space="preserve"> </w:t>
      </w:r>
      <w:r w:rsidR="001541C2" w:rsidRPr="00B2272E">
        <w:t>Section</w:t>
      </w:r>
      <w:r w:rsidR="00297533" w:rsidRPr="00B2272E">
        <w:t> </w:t>
      </w:r>
      <w:r w:rsidR="001541C2" w:rsidRPr="00B2272E">
        <w:t>5 of the Regulation provides that land is ‘vacant’ i</w:t>
      </w:r>
      <w:r w:rsidR="00297533" w:rsidRPr="00B2272E">
        <w:t>f</w:t>
      </w:r>
      <w:r w:rsidR="001541C2" w:rsidRPr="00B2272E">
        <w:t xml:space="preserve"> there is no substantive permanent building on the land that can be lawfully occupied by persons, goods or livestock.</w:t>
      </w:r>
    </w:p>
    <w:p w14:paraId="3E6462C8" w14:textId="7748297D" w:rsidR="00381BBC" w:rsidRPr="00B2272E" w:rsidRDefault="00381BBC" w:rsidP="00631C10">
      <w:pPr>
        <w:pStyle w:val="Bullet"/>
        <w:keepNext/>
        <w:numPr>
          <w:ilvl w:val="0"/>
          <w:numId w:val="0"/>
        </w:numPr>
        <w:spacing w:before="120"/>
      </w:pPr>
      <w:r w:rsidRPr="00B2272E">
        <w:rPr>
          <w:i/>
        </w:rPr>
        <w:t>Threshold value for agricultural land</w:t>
      </w:r>
    </w:p>
    <w:p w14:paraId="3316A605" w14:textId="3E264637" w:rsidR="00821566" w:rsidRPr="00B2272E" w:rsidRDefault="003F6C3D" w:rsidP="00631C10">
      <w:pPr>
        <w:pStyle w:val="Bullet"/>
        <w:keepNext/>
        <w:numPr>
          <w:ilvl w:val="0"/>
          <w:numId w:val="0"/>
        </w:numPr>
        <w:spacing w:before="120"/>
      </w:pPr>
      <w:r w:rsidRPr="00B2272E">
        <w:t xml:space="preserve">The effect of </w:t>
      </w:r>
      <w:r w:rsidR="00381BBC" w:rsidRPr="00B2272E">
        <w:t>subsection 52(2) of the Act is that the threshold value test is met in relation to agricultural land if the total value of all interest</w:t>
      </w:r>
      <w:r w:rsidR="001E5576" w:rsidRPr="00B2272E">
        <w:t>s</w:t>
      </w:r>
      <w:r w:rsidR="00381BBC" w:rsidRPr="00B2272E">
        <w:t xml:space="preserve"> in agricultural land held by the foreign person, alone or together with one or more associates, and the consideration for the acquisition of the interest </w:t>
      </w:r>
      <w:r w:rsidR="00BB0DEA" w:rsidRPr="00B2272E">
        <w:t>is more than the value prescribe</w:t>
      </w:r>
      <w:r w:rsidR="00A66307" w:rsidRPr="00B2272E">
        <w:t>d for the purposes of paragraph </w:t>
      </w:r>
      <w:r w:rsidR="00BB0DEA" w:rsidRPr="00B2272E">
        <w:t>52(2)(b) of the Act.</w:t>
      </w:r>
    </w:p>
    <w:p w14:paraId="6B33208F" w14:textId="4165F969" w:rsidR="003F6C3D" w:rsidRPr="00B2272E" w:rsidRDefault="000C560C" w:rsidP="00631C10">
      <w:pPr>
        <w:pStyle w:val="Bullet"/>
        <w:numPr>
          <w:ilvl w:val="0"/>
          <w:numId w:val="0"/>
        </w:numPr>
        <w:spacing w:before="120"/>
      </w:pPr>
      <w:r w:rsidRPr="00B2272E">
        <w:t>Subs</w:t>
      </w:r>
      <w:r w:rsidR="00A66307" w:rsidRPr="00B2272E">
        <w:t>ection </w:t>
      </w:r>
      <w:r w:rsidR="001E29A0" w:rsidRPr="00B2272E">
        <w:t>52</w:t>
      </w:r>
      <w:r w:rsidR="003F6C3D" w:rsidRPr="00B2272E">
        <w:t>(</w:t>
      </w:r>
      <w:r w:rsidR="00C37501">
        <w:t>4</w:t>
      </w:r>
      <w:r w:rsidR="003F6C3D" w:rsidRPr="00B2272E">
        <w:t xml:space="preserve">) </w:t>
      </w:r>
      <w:r w:rsidR="00780FA0" w:rsidRPr="00B2272E">
        <w:t xml:space="preserve">of the Regulation </w:t>
      </w:r>
      <w:r w:rsidR="003F6C3D" w:rsidRPr="00B2272E">
        <w:t xml:space="preserve">specifies that the prescribed value for agricultural land that is being acquired </w:t>
      </w:r>
      <w:r w:rsidR="00BB0DEA" w:rsidRPr="00B2272E">
        <w:t>by a foreign person</w:t>
      </w:r>
      <w:r w:rsidR="00793754" w:rsidRPr="00B2272E">
        <w:t xml:space="preserve"> is $15 </w:t>
      </w:r>
      <w:r w:rsidR="00BB0DEA" w:rsidRPr="00B2272E">
        <w:t>million.</w:t>
      </w:r>
      <w:r w:rsidR="00FB02A1" w:rsidRPr="00B2272E">
        <w:t xml:space="preserve"> The prescribed value for agricultural land held by an agricultural land corporation or an agricultural land trust if the interest that is being acquired by a foreign person is an interest in a share in the corporation or a unit in the trust is also $15 million. </w:t>
      </w:r>
    </w:p>
    <w:p w14:paraId="6FEFEB79" w14:textId="6AFCAE48" w:rsidR="00406CB0" w:rsidRPr="00B2272E" w:rsidRDefault="00406CB0" w:rsidP="00631C10">
      <w:pPr>
        <w:pStyle w:val="Bullet"/>
        <w:keepNext/>
        <w:numPr>
          <w:ilvl w:val="0"/>
          <w:numId w:val="0"/>
        </w:numPr>
        <w:spacing w:before="120"/>
        <w:rPr>
          <w:i/>
        </w:rPr>
      </w:pPr>
      <w:r w:rsidRPr="00B2272E">
        <w:rPr>
          <w:i/>
        </w:rPr>
        <w:t>Threshold value for other land</w:t>
      </w:r>
    </w:p>
    <w:p w14:paraId="0BA477F1" w14:textId="411D0802" w:rsidR="00186986" w:rsidRDefault="00CE22B2" w:rsidP="00186986">
      <w:pPr>
        <w:pStyle w:val="Bullet"/>
        <w:numPr>
          <w:ilvl w:val="0"/>
          <w:numId w:val="0"/>
        </w:numPr>
        <w:spacing w:before="120"/>
      </w:pPr>
      <w:r w:rsidRPr="00B2272E">
        <w:t>Subsection </w:t>
      </w:r>
      <w:r w:rsidR="00406CB0" w:rsidRPr="00B2272E">
        <w:t>52(3</w:t>
      </w:r>
      <w:r w:rsidR="008F68D6" w:rsidRPr="00B2272E">
        <w:t xml:space="preserve">) of the Act provides </w:t>
      </w:r>
      <w:r w:rsidR="007C12B9" w:rsidRPr="00B2272E">
        <w:t>a threshold test for</w:t>
      </w:r>
      <w:r w:rsidR="008F68D6" w:rsidRPr="00B2272E">
        <w:t xml:space="preserve"> that </w:t>
      </w:r>
      <w:r w:rsidR="000C5F15" w:rsidRPr="00B2272E">
        <w:t>land which is not prescribed for t</w:t>
      </w:r>
      <w:r w:rsidR="001D5A54" w:rsidRPr="00B2272E">
        <w:t xml:space="preserve">he purposes of </w:t>
      </w:r>
      <w:r w:rsidR="00780FA0" w:rsidRPr="00B2272E">
        <w:t>subsection </w:t>
      </w:r>
      <w:r w:rsidR="00406CB0" w:rsidRPr="00B2272E">
        <w:t>52(</w:t>
      </w:r>
      <w:r w:rsidR="00A3727A" w:rsidRPr="00B2272E">
        <w:t>1</w:t>
      </w:r>
      <w:r w:rsidR="000C5F15" w:rsidRPr="00B2272E">
        <w:t>)</w:t>
      </w:r>
      <w:r w:rsidR="00186986" w:rsidRPr="00B2272E">
        <w:t xml:space="preserve"> </w:t>
      </w:r>
      <w:r w:rsidR="006E2AC4" w:rsidRPr="00B2272E">
        <w:t>and which is not</w:t>
      </w:r>
      <w:r w:rsidR="000C5F15" w:rsidRPr="00B2272E">
        <w:t xml:space="preserve"> agricultural land </w:t>
      </w:r>
      <w:r w:rsidR="00F035D8" w:rsidRPr="00B2272E">
        <w:t>(‘other land’)</w:t>
      </w:r>
      <w:r w:rsidR="007C12B9" w:rsidRPr="00B2272E">
        <w:t>.</w:t>
      </w:r>
      <w:r w:rsidR="007C12B9" w:rsidRPr="00631C10">
        <w:t xml:space="preserve"> </w:t>
      </w:r>
    </w:p>
    <w:p w14:paraId="14D1CE73" w14:textId="503B31B7" w:rsidR="00186986" w:rsidRDefault="00186986" w:rsidP="00A42C4A">
      <w:pPr>
        <w:pStyle w:val="Bullet"/>
        <w:spacing w:before="120"/>
      </w:pPr>
      <w:r>
        <w:t xml:space="preserve">As subparagraph 52(1)(d) </w:t>
      </w:r>
      <w:r w:rsidR="0051780D">
        <w:t xml:space="preserve">of the Regulation </w:t>
      </w:r>
      <w:r>
        <w:t>prescribes a nil threshold value for interests in land acquired by foreign government investors, the threshold values for other land under subsection 52(5) do not apply to foreign government investors.</w:t>
      </w:r>
    </w:p>
    <w:p w14:paraId="0D7E5F18" w14:textId="3F9A12D8" w:rsidR="007C12B9" w:rsidRPr="00B2272E" w:rsidRDefault="007C12B9" w:rsidP="00631C10">
      <w:pPr>
        <w:pStyle w:val="Bullet"/>
        <w:keepNext/>
        <w:numPr>
          <w:ilvl w:val="0"/>
          <w:numId w:val="0"/>
        </w:numPr>
        <w:spacing w:before="120"/>
      </w:pPr>
      <w:r w:rsidRPr="00631C10">
        <w:t xml:space="preserve">The threshold test is met if </w:t>
      </w:r>
      <w:r w:rsidR="000C5F15" w:rsidRPr="00631C10">
        <w:t xml:space="preserve">the value of the interest in </w:t>
      </w:r>
      <w:r w:rsidR="000C5F15" w:rsidRPr="001E5576">
        <w:t xml:space="preserve">the land is more than the </w:t>
      </w:r>
      <w:r w:rsidR="00DE4170" w:rsidRPr="001E5576">
        <w:t>value</w:t>
      </w:r>
      <w:r w:rsidR="009534FC" w:rsidRPr="001E5576">
        <w:t xml:space="preserve"> pr</w:t>
      </w:r>
      <w:r w:rsidR="009534FC" w:rsidRPr="00631C10">
        <w:t>escribed for the purposes for the purposes of parag</w:t>
      </w:r>
      <w:r w:rsidR="009534FC" w:rsidRPr="00B2272E">
        <w:t>raph 52(3)(b) of the Act</w:t>
      </w:r>
      <w:r w:rsidR="00DE4170" w:rsidRPr="00B2272E">
        <w:t xml:space="preserve">. </w:t>
      </w:r>
    </w:p>
    <w:p w14:paraId="65FA1E09" w14:textId="1F6C2318" w:rsidR="00406CB0" w:rsidRPr="00631C10" w:rsidRDefault="00F035D8" w:rsidP="00631C10">
      <w:pPr>
        <w:pStyle w:val="Bullet"/>
        <w:keepNext/>
        <w:numPr>
          <w:ilvl w:val="0"/>
          <w:numId w:val="0"/>
        </w:numPr>
        <w:spacing w:before="120"/>
      </w:pPr>
      <w:r w:rsidRPr="00B2272E">
        <w:t>The values prescribed for the purposes of paragraph 52(3)(b) of the Act range from $50</w:t>
      </w:r>
      <w:r w:rsidR="006608AC" w:rsidRPr="00B2272E">
        <w:t> </w:t>
      </w:r>
      <w:r w:rsidRPr="00B2272E">
        <w:t>million to $1,094</w:t>
      </w:r>
      <w:r w:rsidR="006608AC" w:rsidRPr="00B2272E">
        <w:t> </w:t>
      </w:r>
      <w:r w:rsidRPr="00B2272E">
        <w:t>million depending on who is acquiring the land and the kind of land that is being acquired.</w:t>
      </w:r>
      <w:r w:rsidRPr="00631C10">
        <w:t xml:space="preserve"> </w:t>
      </w:r>
    </w:p>
    <w:p w14:paraId="0832B2AE" w14:textId="00CC8366" w:rsidR="00F035D8" w:rsidRPr="00631C10" w:rsidRDefault="00F035D8" w:rsidP="00631C10">
      <w:pPr>
        <w:pStyle w:val="Bullet"/>
        <w:numPr>
          <w:ilvl w:val="0"/>
          <w:numId w:val="0"/>
        </w:numPr>
        <w:spacing w:before="120"/>
        <w:rPr>
          <w:i/>
        </w:rPr>
      </w:pPr>
      <w:r w:rsidRPr="00631C10">
        <w:rPr>
          <w:i/>
        </w:rPr>
        <w:t>Threshold value for ‘other land’</w:t>
      </w:r>
      <w:r w:rsidR="002D6043">
        <w:rPr>
          <w:i/>
        </w:rPr>
        <w:t>: non</w:t>
      </w:r>
      <w:r w:rsidR="002D6043">
        <w:rPr>
          <w:i/>
        </w:rPr>
        <w:noBreakHyphen/>
        <w:t xml:space="preserve">vacant commercial land </w:t>
      </w:r>
      <w:r w:rsidRPr="00631C10">
        <w:rPr>
          <w:i/>
        </w:rPr>
        <w:t>acquired by an agreement country investor</w:t>
      </w:r>
      <w:r w:rsidR="001800B6">
        <w:rPr>
          <w:i/>
        </w:rPr>
        <w:t>, including certain interests in land entities</w:t>
      </w:r>
      <w:r w:rsidR="002D6043">
        <w:rPr>
          <w:i/>
        </w:rPr>
        <w:t xml:space="preserve"> (table item 1)</w:t>
      </w:r>
    </w:p>
    <w:p w14:paraId="0539BF2A" w14:textId="77777777" w:rsidR="000D5DA8" w:rsidRDefault="00F035D8" w:rsidP="00631C10">
      <w:pPr>
        <w:pStyle w:val="Bullet"/>
        <w:numPr>
          <w:ilvl w:val="0"/>
          <w:numId w:val="0"/>
        </w:numPr>
        <w:spacing w:before="120"/>
      </w:pPr>
      <w:r w:rsidRPr="00631C10">
        <w:t>T</w:t>
      </w:r>
      <w:r w:rsidR="00DE4170" w:rsidRPr="00631C10">
        <w:t xml:space="preserve">he threshold </w:t>
      </w:r>
      <w:r w:rsidRPr="00631C10">
        <w:t xml:space="preserve">value </w:t>
      </w:r>
      <w:r w:rsidR="00DE4170" w:rsidRPr="00631C10">
        <w:t xml:space="preserve">for </w:t>
      </w:r>
      <w:r w:rsidR="00A3727A" w:rsidRPr="00631C10">
        <w:t>other land</w:t>
      </w:r>
      <w:r w:rsidR="00DE4170" w:rsidRPr="00631C10">
        <w:t xml:space="preserve"> is $</w:t>
      </w:r>
      <w:r w:rsidR="004E6DCB" w:rsidRPr="00631C10">
        <w:t>1</w:t>
      </w:r>
      <w:r w:rsidR="004E6DCB">
        <w:t>,</w:t>
      </w:r>
      <w:r w:rsidR="00DE4170" w:rsidRPr="00631C10">
        <w:t>094</w:t>
      </w:r>
      <w:r w:rsidR="00182C2D" w:rsidRPr="00631C10">
        <w:t> </w:t>
      </w:r>
      <w:r w:rsidR="00DE4170" w:rsidRPr="00631C10">
        <w:t xml:space="preserve">million if the land is being acquired by </w:t>
      </w:r>
      <w:r w:rsidR="008D0893" w:rsidRPr="00631C10">
        <w:t>an agre</w:t>
      </w:r>
      <w:r w:rsidR="00182C2D" w:rsidRPr="00631C10">
        <w:t>ement country investor</w:t>
      </w:r>
      <w:r w:rsidR="002D6043">
        <w:t xml:space="preserve"> (no further items in the table will be applicable if</w:t>
      </w:r>
      <w:r w:rsidR="00186986">
        <w:t xml:space="preserve"> table</w:t>
      </w:r>
      <w:r w:rsidR="002D6043">
        <w:t xml:space="preserve"> item 1 is met)</w:t>
      </w:r>
      <w:r w:rsidR="00C46C02" w:rsidRPr="00631C10">
        <w:t xml:space="preserve">. </w:t>
      </w:r>
    </w:p>
    <w:p w14:paraId="5C0BF39D" w14:textId="3D929E09" w:rsidR="002159B0" w:rsidRDefault="000D5DA8" w:rsidP="00631C10">
      <w:pPr>
        <w:pStyle w:val="Bullet"/>
        <w:numPr>
          <w:ilvl w:val="0"/>
          <w:numId w:val="0"/>
        </w:numPr>
        <w:spacing w:before="120"/>
      </w:pPr>
      <w:r>
        <w:t xml:space="preserve">This threshold </w:t>
      </w:r>
      <w:r w:rsidR="000532B4">
        <w:t xml:space="preserve">value </w:t>
      </w:r>
      <w:r>
        <w:t xml:space="preserve">is </w:t>
      </w:r>
      <w:r w:rsidR="000532B4">
        <w:t xml:space="preserve">also </w:t>
      </w:r>
      <w:r>
        <w:t xml:space="preserve">intended to apply to an agreement country investor acquiring an interest in a land entity </w:t>
      </w:r>
      <w:r w:rsidR="002159B0">
        <w:t>where the value of non</w:t>
      </w:r>
      <w:r w:rsidR="002159B0">
        <w:noBreakHyphen/>
        <w:t xml:space="preserve">vacant commercial land interests held by the land entity exceeds 50 per cent of the value of the land entity’s total assets. The threshold would also be taken to apply to an agreement country investor if the investor is acquiring an interest in a land entity that meets subsection 52(3). </w:t>
      </w:r>
    </w:p>
    <w:p w14:paraId="3C7861C8" w14:textId="7AE7343F" w:rsidR="002D6043" w:rsidRDefault="002D6043" w:rsidP="00631C10">
      <w:pPr>
        <w:pStyle w:val="Bullet"/>
        <w:numPr>
          <w:ilvl w:val="0"/>
          <w:numId w:val="0"/>
        </w:numPr>
        <w:spacing w:before="120"/>
      </w:pPr>
      <w:r w:rsidRPr="002D6043">
        <w:rPr>
          <w:i/>
        </w:rPr>
        <w:t>Threshold value for ‘other land’:</w:t>
      </w:r>
      <w:r w:rsidRPr="00631C10">
        <w:rPr>
          <w:i/>
        </w:rPr>
        <w:t xml:space="preserve"> </w:t>
      </w:r>
      <w:r>
        <w:rPr>
          <w:i/>
        </w:rPr>
        <w:t>land used w</w:t>
      </w:r>
      <w:r w:rsidRPr="002D6043">
        <w:rPr>
          <w:i/>
        </w:rPr>
        <w:t>holly and exclusively for carrying on a primary production business</w:t>
      </w:r>
      <w:r w:rsidR="00855782">
        <w:rPr>
          <w:i/>
        </w:rPr>
        <w:t xml:space="preserve"> </w:t>
      </w:r>
      <w:r>
        <w:rPr>
          <w:i/>
        </w:rPr>
        <w:t xml:space="preserve">acquired by </w:t>
      </w:r>
      <w:r w:rsidRPr="00631C10">
        <w:rPr>
          <w:i/>
        </w:rPr>
        <w:t>an enterprise or national of Singapore or Thailand</w:t>
      </w:r>
      <w:r>
        <w:rPr>
          <w:i/>
        </w:rPr>
        <w:t xml:space="preserve"> </w:t>
      </w:r>
      <w:r w:rsidRPr="002D6043">
        <w:rPr>
          <w:i/>
        </w:rPr>
        <w:t>(table item</w:t>
      </w:r>
      <w:r>
        <w:rPr>
          <w:i/>
        </w:rPr>
        <w:t> 2</w:t>
      </w:r>
      <w:r w:rsidRPr="002D6043">
        <w:rPr>
          <w:i/>
        </w:rPr>
        <w:t>)</w:t>
      </w:r>
    </w:p>
    <w:p w14:paraId="6DF30A91" w14:textId="7483F3F4" w:rsidR="00A3727A" w:rsidRDefault="00C46C02" w:rsidP="00631C10">
      <w:pPr>
        <w:pStyle w:val="Bullet"/>
        <w:numPr>
          <w:ilvl w:val="0"/>
          <w:numId w:val="0"/>
        </w:numPr>
        <w:spacing w:before="120"/>
      </w:pPr>
      <w:r w:rsidRPr="00631C10">
        <w:t>The threshold is</w:t>
      </w:r>
      <w:r w:rsidR="00182C2D" w:rsidRPr="00631C10">
        <w:t xml:space="preserve"> </w:t>
      </w:r>
      <w:r w:rsidR="009534FC" w:rsidRPr="00631C10">
        <w:t xml:space="preserve">$50 million if the land is acquired </w:t>
      </w:r>
      <w:r w:rsidR="00F035D8" w:rsidRPr="00631C10">
        <w:t>by an enterprise or national of</w:t>
      </w:r>
      <w:r w:rsidR="009534FC" w:rsidRPr="00631C10">
        <w:t xml:space="preserve"> Singapore or Thailand and </w:t>
      </w:r>
      <w:r w:rsidR="002D6043" w:rsidRPr="00631C10">
        <w:t>i</w:t>
      </w:r>
      <w:r w:rsidR="002D6043">
        <w:t>s</w:t>
      </w:r>
      <w:r w:rsidR="002D6043" w:rsidRPr="00631C10">
        <w:t xml:space="preserve"> </w:t>
      </w:r>
      <w:r w:rsidR="009534FC" w:rsidRPr="00631C10">
        <w:t>used wholly and exclusively for carrying on a primary production business</w:t>
      </w:r>
      <w:r w:rsidR="002D6043">
        <w:t xml:space="preserve"> </w:t>
      </w:r>
      <w:r w:rsidR="002D6043" w:rsidRPr="002D6043">
        <w:t xml:space="preserve">(no further items in the table will be applicable </w:t>
      </w:r>
      <w:r w:rsidR="002D6043">
        <w:t xml:space="preserve">in relation to interests in land that meet </w:t>
      </w:r>
      <w:r w:rsidR="00186986">
        <w:t xml:space="preserve">table </w:t>
      </w:r>
      <w:r w:rsidR="002D6043">
        <w:t>item 2: this is because such land by definition cannot be commercial land)</w:t>
      </w:r>
      <w:r w:rsidR="00725D22" w:rsidRPr="00631C10">
        <w:t>.</w:t>
      </w:r>
      <w:r w:rsidR="009534FC" w:rsidRPr="00631C10">
        <w:t xml:space="preserve"> </w:t>
      </w:r>
    </w:p>
    <w:p w14:paraId="27ED884F" w14:textId="18380A06" w:rsidR="00DC03A6" w:rsidRDefault="00DC03A6" w:rsidP="00631C10">
      <w:pPr>
        <w:pStyle w:val="Bullet"/>
        <w:numPr>
          <w:ilvl w:val="0"/>
          <w:numId w:val="0"/>
        </w:numPr>
        <w:spacing w:before="120"/>
      </w:pPr>
      <w:r>
        <w:rPr>
          <w:i/>
        </w:rPr>
        <w:t>Threshold value for commercial land that is not vacant</w:t>
      </w:r>
      <w:r w:rsidR="002D6043">
        <w:rPr>
          <w:i/>
        </w:rPr>
        <w:t xml:space="preserve"> (</w:t>
      </w:r>
      <w:r w:rsidR="00186986">
        <w:rPr>
          <w:i/>
        </w:rPr>
        <w:t>investors other than agreement country investors:</w:t>
      </w:r>
      <w:r w:rsidR="00186986" w:rsidRPr="00186986">
        <w:t xml:space="preserve"> </w:t>
      </w:r>
      <w:r w:rsidR="00186986" w:rsidRPr="00186986">
        <w:rPr>
          <w:i/>
        </w:rPr>
        <w:t>table item</w:t>
      </w:r>
      <w:r w:rsidR="00186986">
        <w:rPr>
          <w:i/>
        </w:rPr>
        <w:t> 3</w:t>
      </w:r>
      <w:r w:rsidR="000D5DA8">
        <w:rPr>
          <w:i/>
        </w:rPr>
        <w:t xml:space="preserve"> and subsection 52(6) Conditions for lower threshold</w:t>
      </w:r>
      <w:r w:rsidR="00186986">
        <w:rPr>
          <w:i/>
        </w:rPr>
        <w:t>)</w:t>
      </w:r>
    </w:p>
    <w:p w14:paraId="29FD4BE9" w14:textId="4CD2BBE5" w:rsidR="00725D22" w:rsidRDefault="00F035D8" w:rsidP="00631C10">
      <w:pPr>
        <w:pStyle w:val="Bullet"/>
        <w:numPr>
          <w:ilvl w:val="0"/>
          <w:numId w:val="0"/>
        </w:numPr>
        <w:spacing w:before="120"/>
      </w:pPr>
      <w:r>
        <w:t xml:space="preserve">The threshold value for </w:t>
      </w:r>
      <w:r w:rsidR="00A3727A">
        <w:t>other land is $55</w:t>
      </w:r>
      <w:r w:rsidR="006608AC">
        <w:t> </w:t>
      </w:r>
      <w:r w:rsidR="00A3727A">
        <w:t>million if</w:t>
      </w:r>
      <w:r w:rsidR="00831121">
        <w:t xml:space="preserve"> the land is being acquired by a foreign person (other than a</w:t>
      </w:r>
      <w:r w:rsidR="00186986">
        <w:t>n</w:t>
      </w:r>
      <w:r w:rsidR="00831121">
        <w:t xml:space="preserve"> </w:t>
      </w:r>
      <w:r w:rsidR="00186986" w:rsidRPr="00186986">
        <w:t>agreement country investor</w:t>
      </w:r>
      <w:r w:rsidR="00831121">
        <w:t>)</w:t>
      </w:r>
      <w:r>
        <w:t xml:space="preserve"> if</w:t>
      </w:r>
      <w:r w:rsidR="00A3727A">
        <w:t>:</w:t>
      </w:r>
    </w:p>
    <w:p w14:paraId="064699AB" w14:textId="3F2EF9D2" w:rsidR="00A3727A" w:rsidRDefault="00A3727A" w:rsidP="00631C10">
      <w:pPr>
        <w:pStyle w:val="Bullet"/>
        <w:spacing w:before="120"/>
      </w:pPr>
      <w:r>
        <w:t xml:space="preserve">the land </w:t>
      </w:r>
      <w:r w:rsidR="00F035D8">
        <w:t xml:space="preserve">that </w:t>
      </w:r>
      <w:r>
        <w:t xml:space="preserve">is </w:t>
      </w:r>
      <w:r w:rsidR="00F035D8">
        <w:t xml:space="preserve">being acquired is </w:t>
      </w:r>
      <w:r>
        <w:t>commercial land that is not vacant;</w:t>
      </w:r>
    </w:p>
    <w:p w14:paraId="365CBE1C" w14:textId="5D74C8AA" w:rsidR="00A3727A" w:rsidRPr="00B2272E" w:rsidRDefault="00A3727A" w:rsidP="00631C10">
      <w:pPr>
        <w:pStyle w:val="Bullet"/>
        <w:spacing w:before="120"/>
      </w:pPr>
      <w:r>
        <w:t>the interest in the land being acquired gives a right to occupy the land or to be involved in the central management and control of the entity that holds the land</w:t>
      </w:r>
      <w:r w:rsidR="001E5576">
        <w:t>. This can be as direct legal owner or as lessee, or if acquiring securities, the securities giving the holder of the securities the right to be involved in the central management and control of the entity that holds any land the subject of one or more subparagraphs of paragra</w:t>
      </w:r>
      <w:r w:rsidR="001E5576" w:rsidRPr="00B2272E">
        <w:t>ph </w:t>
      </w:r>
      <w:r w:rsidR="001E29A0" w:rsidRPr="00B2272E">
        <w:t>52</w:t>
      </w:r>
      <w:r w:rsidR="001E5576" w:rsidRPr="00B2272E">
        <w:t>(6)(c)</w:t>
      </w:r>
      <w:r w:rsidRPr="00B2272E">
        <w:t>;</w:t>
      </w:r>
      <w:r w:rsidR="000D5DA8">
        <w:t xml:space="preserve"> and</w:t>
      </w:r>
    </w:p>
    <w:p w14:paraId="42FC7A1B" w14:textId="1415BBCB" w:rsidR="00DC03A6" w:rsidRDefault="00A3727A" w:rsidP="00631C10">
      <w:pPr>
        <w:pStyle w:val="Bullet"/>
        <w:spacing w:before="120"/>
      </w:pPr>
      <w:r w:rsidRPr="00B2272E">
        <w:t>one or more of the circumstances specified by paragraph </w:t>
      </w:r>
      <w:r w:rsidR="00D50601" w:rsidRPr="00B2272E">
        <w:t>52</w:t>
      </w:r>
      <w:r w:rsidRPr="00B2272E">
        <w:t>(6)(c) of the Regulation will apply at the time the interest in the land is acq</w:t>
      </w:r>
      <w:r>
        <w:t>uired.</w:t>
      </w:r>
      <w:r w:rsidR="00EE5EB9">
        <w:t xml:space="preserve"> These are circumstances which are of particular significance, for example, land under prescribed airspace.</w:t>
      </w:r>
    </w:p>
    <w:p w14:paraId="2E5A3E05" w14:textId="2BA59C86" w:rsidR="00F81D14" w:rsidRDefault="00F81D14" w:rsidP="00F81D14">
      <w:pPr>
        <w:pStyle w:val="Bullet"/>
        <w:numPr>
          <w:ilvl w:val="0"/>
          <w:numId w:val="0"/>
        </w:numPr>
        <w:spacing w:before="120"/>
      </w:pPr>
      <w:r>
        <w:t>This threshold value does not apply to agreement country investors</w:t>
      </w:r>
      <w:r w:rsidR="00186986">
        <w:t xml:space="preserve"> as actions of these investors meet the threshold value at table item 1</w:t>
      </w:r>
      <w:r>
        <w:t>.</w:t>
      </w:r>
    </w:p>
    <w:p w14:paraId="40B80EC3" w14:textId="7F0AB092" w:rsidR="00357E3D" w:rsidRDefault="00357E3D" w:rsidP="00631C10">
      <w:pPr>
        <w:pStyle w:val="Bullet"/>
        <w:numPr>
          <w:ilvl w:val="0"/>
          <w:numId w:val="0"/>
        </w:numPr>
        <w:spacing w:before="120"/>
        <w:rPr>
          <w:i/>
        </w:rPr>
      </w:pPr>
      <w:r>
        <w:rPr>
          <w:i/>
        </w:rPr>
        <w:t xml:space="preserve">Threshold value for </w:t>
      </w:r>
      <w:r w:rsidR="00EE5EB9">
        <w:rPr>
          <w:i/>
        </w:rPr>
        <w:t>small</w:t>
      </w:r>
      <w:r>
        <w:rPr>
          <w:i/>
        </w:rPr>
        <w:t xml:space="preserve"> </w:t>
      </w:r>
      <w:r w:rsidR="00EA628C">
        <w:rPr>
          <w:i/>
        </w:rPr>
        <w:t xml:space="preserve">specified </w:t>
      </w:r>
      <w:r>
        <w:rPr>
          <w:i/>
        </w:rPr>
        <w:t xml:space="preserve">land </w:t>
      </w:r>
      <w:r w:rsidR="00EE5EB9">
        <w:rPr>
          <w:i/>
        </w:rPr>
        <w:t>holdings</w:t>
      </w:r>
      <w:r>
        <w:rPr>
          <w:i/>
        </w:rPr>
        <w:t xml:space="preserve"> by an Australian land corporation or the trustee of an Australian land trust</w:t>
      </w:r>
      <w:r w:rsidR="0058038F">
        <w:rPr>
          <w:i/>
        </w:rPr>
        <w:t xml:space="preserve"> (table item</w:t>
      </w:r>
      <w:r w:rsidR="000D5DA8">
        <w:rPr>
          <w:i/>
        </w:rPr>
        <w:t> </w:t>
      </w:r>
      <w:r w:rsidR="0058038F">
        <w:rPr>
          <w:i/>
        </w:rPr>
        <w:t>4)</w:t>
      </w:r>
    </w:p>
    <w:p w14:paraId="2F3D8C1C" w14:textId="77777777" w:rsidR="0049620C" w:rsidRDefault="00293599" w:rsidP="00631C10">
      <w:pPr>
        <w:pStyle w:val="Bullet"/>
        <w:numPr>
          <w:ilvl w:val="0"/>
          <w:numId w:val="0"/>
        </w:numPr>
        <w:spacing w:before="120"/>
      </w:pPr>
      <w:r>
        <w:t xml:space="preserve">The threshold value for land </w:t>
      </w:r>
      <w:r w:rsidR="00226A4F">
        <w:t>held by an Australian land corporation or the trustee of an Australian land trust</w:t>
      </w:r>
      <w:r>
        <w:t xml:space="preserve"> </w:t>
      </w:r>
      <w:r w:rsidR="00226A4F">
        <w:t>is $</w:t>
      </w:r>
      <w:r w:rsidR="00690BD3">
        <w:t>252 </w:t>
      </w:r>
      <w:r w:rsidR="00226A4F">
        <w:t>million if</w:t>
      </w:r>
      <w:r w:rsidR="0049620C">
        <w:t>:</w:t>
      </w:r>
      <w:r w:rsidR="00226A4F">
        <w:t xml:space="preserve"> </w:t>
      </w:r>
    </w:p>
    <w:p w14:paraId="24523C09" w14:textId="3743BFE7" w:rsidR="00A3727A" w:rsidRDefault="00226A4F" w:rsidP="00631C10">
      <w:pPr>
        <w:pStyle w:val="Bullet"/>
        <w:spacing w:before="120"/>
      </w:pPr>
      <w:r>
        <w:t xml:space="preserve">the interest in land </w:t>
      </w:r>
      <w:r w:rsidR="0049620C">
        <w:t>that is being</w:t>
      </w:r>
      <w:r>
        <w:t xml:space="preserve"> acquired by a foreign person (other than an agreement country investor) </w:t>
      </w:r>
      <w:r w:rsidR="0049620C">
        <w:t>is an interest in a share in the corporation or a unit in the trust; and</w:t>
      </w:r>
    </w:p>
    <w:p w14:paraId="1F5C6963" w14:textId="33D66B37" w:rsidR="0049620C" w:rsidRDefault="0049620C" w:rsidP="00631C10">
      <w:pPr>
        <w:pStyle w:val="Bullet"/>
        <w:spacing w:before="120"/>
      </w:pPr>
      <w:r>
        <w:t>the total value of interests in residential land, and vacant commercial land, that are held by the Australian land corporation or the trustee of the Australian land trust</w:t>
      </w:r>
      <w:r w:rsidR="0062504E">
        <w:t xml:space="preserve"> </w:t>
      </w:r>
      <w:r w:rsidR="00EA628C">
        <w:t xml:space="preserve">based on a reasonable assessment of the value of the interests </w:t>
      </w:r>
      <w:r w:rsidR="0062504E">
        <w:t>is less than 10 per </w:t>
      </w:r>
      <w:r>
        <w:t xml:space="preserve">cent of the value of the total assets of </w:t>
      </w:r>
      <w:r w:rsidR="0062504E">
        <w:t xml:space="preserve">the </w:t>
      </w:r>
      <w:r>
        <w:t>corporation or trustee</w:t>
      </w:r>
      <w:r w:rsidR="00EA628C">
        <w:t xml:space="preserve"> (for the latter, the total assets held in their capacity as the trustee of the unit trust in which one or more units is to be acquired)</w:t>
      </w:r>
      <w:r w:rsidR="0062504E">
        <w:t xml:space="preserve">. </w:t>
      </w:r>
    </w:p>
    <w:p w14:paraId="3B7F3BBA" w14:textId="19880612" w:rsidR="00F81D14" w:rsidRDefault="00121BD4" w:rsidP="00C56DD1">
      <w:pPr>
        <w:pStyle w:val="Bullet"/>
        <w:numPr>
          <w:ilvl w:val="0"/>
          <w:numId w:val="0"/>
        </w:numPr>
        <w:spacing w:before="120"/>
      </w:pPr>
      <w:r>
        <w:t xml:space="preserve">This threshold </w:t>
      </w:r>
      <w:r w:rsidR="000532B4">
        <w:t xml:space="preserve">value </w:t>
      </w:r>
      <w:r>
        <w:t xml:space="preserve">applies if </w:t>
      </w:r>
      <w:r w:rsidR="00EA628C">
        <w:t>items 1</w:t>
      </w:r>
      <w:r w:rsidR="000532B4">
        <w:t xml:space="preserve"> </w:t>
      </w:r>
      <w:r>
        <w:t>or</w:t>
      </w:r>
      <w:r w:rsidR="00EA628C">
        <w:t xml:space="preserve"> 3 the table in subsection 52(5)</w:t>
      </w:r>
      <w:r>
        <w:t xml:space="preserve"> do not </w:t>
      </w:r>
      <w:r w:rsidR="0058038F">
        <w:t>apply</w:t>
      </w:r>
      <w:r w:rsidR="00F81D14">
        <w:t>.</w:t>
      </w:r>
    </w:p>
    <w:p w14:paraId="6A609F07" w14:textId="0779F849" w:rsidR="00A839E7" w:rsidRDefault="00A839E7" w:rsidP="00D50601">
      <w:pPr>
        <w:pStyle w:val="Bullet"/>
        <w:keepNext/>
        <w:numPr>
          <w:ilvl w:val="0"/>
          <w:numId w:val="0"/>
        </w:numPr>
        <w:spacing w:before="120"/>
        <w:ind w:left="567" w:hanging="567"/>
        <w:rPr>
          <w:i/>
        </w:rPr>
      </w:pPr>
      <w:r>
        <w:rPr>
          <w:i/>
        </w:rPr>
        <w:t>Threshold value for all other land</w:t>
      </w:r>
      <w:r w:rsidR="0058038F">
        <w:rPr>
          <w:i/>
        </w:rPr>
        <w:t xml:space="preserve"> (table item</w:t>
      </w:r>
      <w:r w:rsidR="000532B4">
        <w:rPr>
          <w:i/>
        </w:rPr>
        <w:t> </w:t>
      </w:r>
      <w:r w:rsidR="0058038F">
        <w:rPr>
          <w:i/>
        </w:rPr>
        <w:t>5)</w:t>
      </w:r>
    </w:p>
    <w:p w14:paraId="2E47A489" w14:textId="77777777" w:rsidR="00357471" w:rsidRDefault="00A839E7" w:rsidP="00D50601">
      <w:pPr>
        <w:pStyle w:val="Bullet"/>
        <w:keepNext/>
        <w:numPr>
          <w:ilvl w:val="0"/>
          <w:numId w:val="0"/>
        </w:numPr>
        <w:spacing w:before="120"/>
      </w:pPr>
      <w:r w:rsidRPr="00A839E7">
        <w:t>For</w:t>
      </w:r>
      <w:r>
        <w:t xml:space="preserve"> land which is described in subsection</w:t>
      </w:r>
      <w:r w:rsidR="006608AC">
        <w:t> </w:t>
      </w:r>
      <w:r>
        <w:t xml:space="preserve">52(3) of the Act and not otherwise mentioned in </w:t>
      </w:r>
      <w:r w:rsidR="009B0BD6">
        <w:t>sub</w:t>
      </w:r>
      <w:r w:rsidR="00EF343F">
        <w:t>se</w:t>
      </w:r>
      <w:r w:rsidR="00EF343F" w:rsidRPr="00B2272E">
        <w:t>ction</w:t>
      </w:r>
      <w:r w:rsidR="006608AC" w:rsidRPr="00B2272E">
        <w:t> </w:t>
      </w:r>
      <w:r w:rsidR="00D50601" w:rsidRPr="00B2272E">
        <w:t>52</w:t>
      </w:r>
      <w:r w:rsidRPr="00B2272E">
        <w:t>(5)</w:t>
      </w:r>
      <w:r w:rsidR="00EF343F" w:rsidRPr="00B2272E">
        <w:t xml:space="preserve"> of</w:t>
      </w:r>
      <w:r w:rsidR="00EF343F">
        <w:t xml:space="preserve"> the Regulation</w:t>
      </w:r>
      <w:r>
        <w:t xml:space="preserve">, the threshold </w:t>
      </w:r>
      <w:r w:rsidR="00484505">
        <w:t xml:space="preserve">value </w:t>
      </w:r>
      <w:r>
        <w:t>is $252</w:t>
      </w:r>
      <w:r w:rsidR="006608AC">
        <w:t> </w:t>
      </w:r>
      <w:r>
        <w:t>million.</w:t>
      </w:r>
    </w:p>
    <w:p w14:paraId="4AD90177" w14:textId="2C5F5144" w:rsidR="00A839E7" w:rsidRPr="00A839E7" w:rsidRDefault="00EA628C" w:rsidP="00D50601">
      <w:pPr>
        <w:pStyle w:val="Bullet"/>
        <w:keepNext/>
        <w:numPr>
          <w:ilvl w:val="0"/>
          <w:numId w:val="0"/>
        </w:numPr>
        <w:spacing w:before="120"/>
      </w:pPr>
      <w:r>
        <w:t xml:space="preserve">This </w:t>
      </w:r>
      <w:r w:rsidR="00357471">
        <w:t>means that the threshold is the same whether</w:t>
      </w:r>
      <w:r>
        <w:t xml:space="preserve"> the interest is being acquired by acquiring securities in a land entity (table item 4), or being acquired by taking an interest directly in the land </w:t>
      </w:r>
      <w:r w:rsidRPr="00EA628C">
        <w:t>(table item</w:t>
      </w:r>
      <w:r>
        <w:t> 5</w:t>
      </w:r>
      <w:r w:rsidRPr="00EA628C">
        <w:t>)</w:t>
      </w:r>
      <w:r>
        <w:t>.</w:t>
      </w:r>
    </w:p>
    <w:p w14:paraId="3D96BE5D" w14:textId="0FC4C700" w:rsidR="0022692B" w:rsidRPr="00B2272E" w:rsidRDefault="00FB6428" w:rsidP="00631C10">
      <w:pPr>
        <w:pStyle w:val="Bullet"/>
        <w:keepNext/>
        <w:numPr>
          <w:ilvl w:val="0"/>
          <w:numId w:val="0"/>
        </w:numPr>
        <w:spacing w:before="120"/>
        <w:rPr>
          <w:b/>
        </w:rPr>
      </w:pPr>
      <w:r w:rsidRPr="00E81137">
        <w:rPr>
          <w:b/>
        </w:rPr>
        <w:t>Sect</w:t>
      </w:r>
      <w:r w:rsidRPr="00B2272E">
        <w:rPr>
          <w:b/>
        </w:rPr>
        <w:t>ion </w:t>
      </w:r>
      <w:r w:rsidR="00D50601" w:rsidRPr="00B2272E">
        <w:rPr>
          <w:b/>
        </w:rPr>
        <w:t>53</w:t>
      </w:r>
      <w:r w:rsidR="009B5390" w:rsidRPr="00B2272E">
        <w:rPr>
          <w:b/>
        </w:rPr>
        <w:t> </w:t>
      </w:r>
      <w:r w:rsidR="009B5390" w:rsidRPr="00B2272E">
        <w:rPr>
          <w:rFonts w:ascii="Calibri" w:hAnsi="Calibri"/>
          <w:b/>
        </w:rPr>
        <w:t>—</w:t>
      </w:r>
      <w:r w:rsidR="009B5390" w:rsidRPr="00B2272E">
        <w:rPr>
          <w:b/>
        </w:rPr>
        <w:t> </w:t>
      </w:r>
      <w:r w:rsidR="00406CB0" w:rsidRPr="00B2272E">
        <w:rPr>
          <w:b/>
        </w:rPr>
        <w:t xml:space="preserve">Indexation of </w:t>
      </w:r>
      <w:r w:rsidR="0022692B" w:rsidRPr="00B2272E">
        <w:rPr>
          <w:b/>
        </w:rPr>
        <w:t>values</w:t>
      </w:r>
    </w:p>
    <w:p w14:paraId="68D39EEF" w14:textId="5B410029" w:rsidR="00726199" w:rsidRPr="00B2272E" w:rsidRDefault="00141DA9" w:rsidP="00631C10">
      <w:pPr>
        <w:pStyle w:val="Bullet"/>
        <w:keepNext/>
        <w:numPr>
          <w:ilvl w:val="0"/>
          <w:numId w:val="0"/>
        </w:numPr>
        <w:spacing w:before="120"/>
      </w:pPr>
      <w:r w:rsidRPr="00B2272E">
        <w:t>Section </w:t>
      </w:r>
      <w:r w:rsidR="00D50601" w:rsidRPr="00B2272E">
        <w:t xml:space="preserve">53 </w:t>
      </w:r>
      <w:r w:rsidR="00A462A9" w:rsidRPr="00B2272E">
        <w:t xml:space="preserve">of the Regulation </w:t>
      </w:r>
      <w:r w:rsidR="00253C82" w:rsidRPr="00B2272E">
        <w:t xml:space="preserve">explains how </w:t>
      </w:r>
      <w:r w:rsidR="003032F5" w:rsidRPr="00B2272E">
        <w:t>certain values are to be indexed each financial year</w:t>
      </w:r>
      <w:r w:rsidR="00253C82" w:rsidRPr="00B2272E">
        <w:t xml:space="preserve">. </w:t>
      </w:r>
      <w:r w:rsidR="008E39E5" w:rsidRPr="00B2272E">
        <w:t xml:space="preserve">The formula prescribed by </w:t>
      </w:r>
      <w:r w:rsidR="003032F5" w:rsidRPr="00B2272E">
        <w:t>the provision</w:t>
      </w:r>
      <w:r w:rsidR="008E39E5" w:rsidRPr="00B2272E">
        <w:t xml:space="preserve"> is based on the proportionate increase in the GDP implicit price defl</w:t>
      </w:r>
      <w:r w:rsidR="00786290" w:rsidRPr="00B2272E">
        <w:t xml:space="preserve">ator </w:t>
      </w:r>
      <w:r w:rsidR="007964A5" w:rsidRPr="00B2272E">
        <w:t xml:space="preserve">value </w:t>
      </w:r>
      <w:r w:rsidR="00786290" w:rsidRPr="00B2272E">
        <w:t>against the previous year.</w:t>
      </w:r>
      <w:r w:rsidR="007964A5" w:rsidRPr="00B2272E">
        <w:t xml:space="preserve"> ‘</w:t>
      </w:r>
      <w:r w:rsidR="00F81D14" w:rsidRPr="00B2272E">
        <w:t>GDP </w:t>
      </w:r>
      <w:r w:rsidR="007964A5" w:rsidRPr="00B2272E">
        <w:t xml:space="preserve">implicit price deflator value’ for a calendar year is defined to mean the value that was published by the ABS in the publication </w:t>
      </w:r>
      <w:r w:rsidR="007964A5" w:rsidRPr="00B2272E">
        <w:rPr>
          <w:i/>
        </w:rPr>
        <w:t xml:space="preserve">Australian System of National Accounts </w:t>
      </w:r>
      <w:r w:rsidR="007964A5" w:rsidRPr="00B2272E">
        <w:t>(cat</w:t>
      </w:r>
      <w:r w:rsidR="00F81D14" w:rsidRPr="00B2272E">
        <w:t>. </w:t>
      </w:r>
      <w:r w:rsidR="007964A5" w:rsidRPr="00B2272E">
        <w:t>5204</w:t>
      </w:r>
      <w:r w:rsidR="00F81D14" w:rsidRPr="00B2272E">
        <w:t>.</w:t>
      </w:r>
      <w:r w:rsidR="007964A5" w:rsidRPr="00B2272E">
        <w:t>0) for the last financial year that ended before that calendar year. This publication is freely available from the ABS</w:t>
      </w:r>
      <w:r w:rsidR="004E6DCB" w:rsidRPr="00B2272E">
        <w:t> </w:t>
      </w:r>
      <w:r w:rsidR="007964A5" w:rsidRPr="00B2272E">
        <w:t>website.</w:t>
      </w:r>
    </w:p>
    <w:p w14:paraId="61C180A6" w14:textId="18759E76" w:rsidR="00F05209" w:rsidRPr="00B2272E" w:rsidRDefault="007E3591" w:rsidP="00631C10">
      <w:pPr>
        <w:pStyle w:val="Bullet"/>
        <w:numPr>
          <w:ilvl w:val="0"/>
          <w:numId w:val="0"/>
        </w:numPr>
        <w:spacing w:before="120"/>
      </w:pPr>
      <w:r w:rsidRPr="00B2272E">
        <w:t>Section </w:t>
      </w:r>
      <w:r w:rsidR="00D50601" w:rsidRPr="00B2272E">
        <w:t xml:space="preserve">53 </w:t>
      </w:r>
      <w:r w:rsidR="00F05209" w:rsidRPr="00B2272E">
        <w:t>of the Re</w:t>
      </w:r>
      <w:r w:rsidR="00141DA9" w:rsidRPr="00B2272E">
        <w:t>gulation applies on and after 1 January </w:t>
      </w:r>
      <w:r w:rsidR="00793754" w:rsidRPr="00B2272E">
        <w:t>2016 (see section </w:t>
      </w:r>
      <w:r w:rsidR="00D50601" w:rsidRPr="00B2272E">
        <w:t xml:space="preserve">55 </w:t>
      </w:r>
      <w:r w:rsidR="00F05209" w:rsidRPr="00B2272E">
        <w:t xml:space="preserve">of the Regulation). </w:t>
      </w:r>
    </w:p>
    <w:p w14:paraId="622BFC71" w14:textId="5ABCBFAC" w:rsidR="00007F4E" w:rsidRPr="00B2272E" w:rsidRDefault="00FB6428" w:rsidP="006608AC">
      <w:pPr>
        <w:pStyle w:val="Heading2"/>
      </w:pPr>
      <w:r w:rsidRPr="00B2272E">
        <w:t>Part </w:t>
      </w:r>
      <w:r w:rsidR="009B5390" w:rsidRPr="00B2272E">
        <w:t>5 </w:t>
      </w:r>
      <w:r w:rsidR="008F16E4" w:rsidRPr="00B2272E">
        <w:rPr>
          <w:rFonts w:ascii="Calibri" w:hAnsi="Calibri"/>
        </w:rPr>
        <w:t>—</w:t>
      </w:r>
      <w:r w:rsidR="008F16E4" w:rsidRPr="00B2272E">
        <w:t> </w:t>
      </w:r>
      <w:r w:rsidR="004B3E1F" w:rsidRPr="00B2272E">
        <w:t>S</w:t>
      </w:r>
      <w:r w:rsidR="00FC4281" w:rsidRPr="00B2272E">
        <w:t>ignificant actions and notifiable actions</w:t>
      </w:r>
    </w:p>
    <w:p w14:paraId="36B34E12" w14:textId="723A4A65" w:rsidR="006608AC" w:rsidRPr="00B2272E" w:rsidRDefault="006608AC" w:rsidP="00631C10">
      <w:pPr>
        <w:pStyle w:val="Bullet"/>
        <w:keepNext/>
        <w:numPr>
          <w:ilvl w:val="0"/>
          <w:numId w:val="0"/>
        </w:numPr>
        <w:spacing w:before="120"/>
        <w:rPr>
          <w:b/>
        </w:rPr>
      </w:pPr>
      <w:r w:rsidRPr="00B2272E">
        <w:rPr>
          <w:b/>
        </w:rPr>
        <w:t>Division </w:t>
      </w:r>
      <w:r w:rsidR="009B5390" w:rsidRPr="00B2272E">
        <w:rPr>
          <w:b/>
        </w:rPr>
        <w:t>1 </w:t>
      </w:r>
      <w:r w:rsidR="009B5390" w:rsidRPr="00B2272E">
        <w:rPr>
          <w:rFonts w:ascii="Calibri" w:hAnsi="Calibri"/>
          <w:b/>
        </w:rPr>
        <w:t>—</w:t>
      </w:r>
      <w:r w:rsidR="009B5390" w:rsidRPr="00B2272E">
        <w:rPr>
          <w:b/>
        </w:rPr>
        <w:t> </w:t>
      </w:r>
      <w:r w:rsidR="008043C4" w:rsidRPr="00B2272E">
        <w:rPr>
          <w:b/>
        </w:rPr>
        <w:t>Simplified outline of this Part</w:t>
      </w:r>
    </w:p>
    <w:p w14:paraId="5E8FB759" w14:textId="49F72488" w:rsidR="00913E15" w:rsidRPr="00B2272E" w:rsidRDefault="004E6DCB" w:rsidP="00631C10">
      <w:pPr>
        <w:pStyle w:val="Bullet"/>
        <w:keepNext/>
        <w:numPr>
          <w:ilvl w:val="0"/>
          <w:numId w:val="0"/>
        </w:numPr>
        <w:spacing w:before="120"/>
        <w:rPr>
          <w:b/>
        </w:rPr>
      </w:pPr>
      <w:r w:rsidRPr="00B2272E">
        <w:rPr>
          <w:b/>
        </w:rPr>
        <w:t>Section </w:t>
      </w:r>
      <w:r w:rsidR="009B5390" w:rsidRPr="00B2272E">
        <w:rPr>
          <w:b/>
        </w:rPr>
        <w:t>54 </w:t>
      </w:r>
      <w:r w:rsidR="009B5390" w:rsidRPr="00B2272E">
        <w:rPr>
          <w:rFonts w:ascii="Calibri" w:hAnsi="Calibri"/>
          <w:b/>
        </w:rPr>
        <w:t>—</w:t>
      </w:r>
      <w:r w:rsidR="009B5390" w:rsidRPr="00B2272E">
        <w:rPr>
          <w:b/>
        </w:rPr>
        <w:t> </w:t>
      </w:r>
      <w:r w:rsidR="008043C4" w:rsidRPr="00B2272E">
        <w:rPr>
          <w:b/>
        </w:rPr>
        <w:t>Simplified outline of this Part</w:t>
      </w:r>
    </w:p>
    <w:p w14:paraId="45CAC42E" w14:textId="7101AD24" w:rsidR="00F76AD5" w:rsidRPr="00B2272E" w:rsidRDefault="00793754" w:rsidP="00631C10">
      <w:pPr>
        <w:pStyle w:val="Bullet"/>
        <w:numPr>
          <w:ilvl w:val="0"/>
          <w:numId w:val="0"/>
        </w:numPr>
        <w:spacing w:before="120"/>
      </w:pPr>
      <w:r w:rsidRPr="00B2272E">
        <w:t>Section </w:t>
      </w:r>
      <w:r w:rsidR="00D50601" w:rsidRPr="00B2272E">
        <w:t>54</w:t>
      </w:r>
      <w:r w:rsidR="008043C4" w:rsidRPr="00B2272E">
        <w:t xml:space="preserve"> </w:t>
      </w:r>
      <w:r w:rsidR="00F76AD5" w:rsidRPr="00B2272E">
        <w:t>of the Regu</w:t>
      </w:r>
      <w:r w:rsidR="00765267" w:rsidRPr="00B2272E">
        <w:t xml:space="preserve">lation </w:t>
      </w:r>
      <w:r w:rsidR="008043C4" w:rsidRPr="00B2272E">
        <w:t>provides a simplified outline of Part</w:t>
      </w:r>
      <w:r w:rsidR="002702FB" w:rsidRPr="00B2272E">
        <w:t> </w:t>
      </w:r>
      <w:r w:rsidR="008043C4" w:rsidRPr="00B2272E">
        <w:t xml:space="preserve">5 of the Regulation. </w:t>
      </w:r>
    </w:p>
    <w:p w14:paraId="1D10FF48" w14:textId="294163B4" w:rsidR="001A5B41" w:rsidRPr="00B2272E" w:rsidRDefault="001A5B41" w:rsidP="00631C10">
      <w:pPr>
        <w:pStyle w:val="Bullet"/>
        <w:keepNext/>
        <w:numPr>
          <w:ilvl w:val="0"/>
          <w:numId w:val="0"/>
        </w:numPr>
        <w:spacing w:before="120"/>
        <w:rPr>
          <w:b/>
        </w:rPr>
      </w:pPr>
      <w:r w:rsidRPr="00B2272E">
        <w:rPr>
          <w:b/>
        </w:rPr>
        <w:t>Division 2</w:t>
      </w:r>
      <w:r w:rsidR="009B5390" w:rsidRPr="00B2272E">
        <w:rPr>
          <w:b/>
        </w:rPr>
        <w:t> </w:t>
      </w:r>
      <w:r w:rsidR="009B5390" w:rsidRPr="00B2272E">
        <w:rPr>
          <w:rFonts w:ascii="Calibri" w:hAnsi="Calibri"/>
          <w:b/>
        </w:rPr>
        <w:t>—</w:t>
      </w:r>
      <w:r w:rsidR="009B5390" w:rsidRPr="00B2272E">
        <w:rPr>
          <w:b/>
        </w:rPr>
        <w:t> </w:t>
      </w:r>
      <w:r w:rsidRPr="00B2272E">
        <w:rPr>
          <w:b/>
        </w:rPr>
        <w:t>Prescribing significant actions and notifiable actions</w:t>
      </w:r>
    </w:p>
    <w:p w14:paraId="13B31AB1" w14:textId="73AB872F" w:rsidR="00A462A9" w:rsidRPr="00B2272E" w:rsidRDefault="004E6DCB" w:rsidP="00631C10">
      <w:pPr>
        <w:pStyle w:val="Bullet"/>
        <w:keepNext/>
        <w:numPr>
          <w:ilvl w:val="0"/>
          <w:numId w:val="0"/>
        </w:numPr>
        <w:spacing w:before="120"/>
        <w:rPr>
          <w:b/>
        </w:rPr>
      </w:pPr>
      <w:r w:rsidRPr="00B2272E">
        <w:rPr>
          <w:b/>
        </w:rPr>
        <w:t>Section </w:t>
      </w:r>
      <w:r w:rsidR="00D50601" w:rsidRPr="00B2272E">
        <w:rPr>
          <w:b/>
        </w:rPr>
        <w:t>55</w:t>
      </w:r>
      <w:r w:rsidR="009B5390" w:rsidRPr="00B2272E">
        <w:rPr>
          <w:b/>
        </w:rPr>
        <w:t> </w:t>
      </w:r>
      <w:r w:rsidR="009B5390" w:rsidRPr="00B2272E">
        <w:rPr>
          <w:rFonts w:ascii="Calibri" w:hAnsi="Calibri"/>
          <w:b/>
        </w:rPr>
        <w:t>—</w:t>
      </w:r>
      <w:r w:rsidR="009B5390" w:rsidRPr="00B2272E">
        <w:rPr>
          <w:b/>
        </w:rPr>
        <w:t> </w:t>
      </w:r>
      <w:r w:rsidR="00A462A9" w:rsidRPr="00B2272E">
        <w:rPr>
          <w:b/>
        </w:rPr>
        <w:t>Investments in Australian media businesses</w:t>
      </w:r>
    </w:p>
    <w:p w14:paraId="355AFCFE" w14:textId="23093EDA" w:rsidR="00A462A9" w:rsidRDefault="00A462A9" w:rsidP="00631C10">
      <w:pPr>
        <w:pStyle w:val="Bullet"/>
        <w:keepNext/>
        <w:numPr>
          <w:ilvl w:val="0"/>
          <w:numId w:val="0"/>
        </w:numPr>
        <w:spacing w:before="120"/>
      </w:pPr>
      <w:r w:rsidRPr="00B2272E">
        <w:t>Subsection</w:t>
      </w:r>
      <w:r w:rsidR="00141DA9" w:rsidRPr="00B2272E">
        <w:t> </w:t>
      </w:r>
      <w:r w:rsidR="00D50601" w:rsidRPr="00B2272E">
        <w:t>55</w:t>
      </w:r>
      <w:r w:rsidRPr="00B2272E">
        <w:t>(2) of the Regulation provides that the acquisition of an interest of at least five per cent</w:t>
      </w:r>
      <w:r>
        <w:t xml:space="preserve"> in an entity or business that wholly or partly carries on an </w:t>
      </w:r>
      <w:r w:rsidR="00875F3E">
        <w:t>Australian media business is a significant action</w:t>
      </w:r>
      <w:r>
        <w:t xml:space="preserve"> and a notifiable action. The term ‘Australian media business’ is defined by section 5 of the Regulation, and means an Australian business of publishing daily newspapers, or broadcasting television or radio, in Australia, including websites from which those newspapers or broadcasts may be accessed.</w:t>
      </w:r>
      <w:r w:rsidR="00572DE4">
        <w:t xml:space="preserve"> It does not include Australian businesses that only publish or broadcast such content through websites.</w:t>
      </w:r>
    </w:p>
    <w:p w14:paraId="094D9561" w14:textId="25F78695" w:rsidR="00875F3E" w:rsidRPr="00B2272E" w:rsidRDefault="004E6DCB" w:rsidP="00631C10">
      <w:pPr>
        <w:pStyle w:val="Bullet"/>
        <w:numPr>
          <w:ilvl w:val="0"/>
          <w:numId w:val="0"/>
        </w:numPr>
        <w:spacing w:before="120"/>
        <w:rPr>
          <w:b/>
        </w:rPr>
      </w:pPr>
      <w:r w:rsidRPr="00E76356">
        <w:rPr>
          <w:b/>
        </w:rPr>
        <w:t>Se</w:t>
      </w:r>
      <w:r w:rsidRPr="00B2272E">
        <w:rPr>
          <w:b/>
        </w:rPr>
        <w:t>ction </w:t>
      </w:r>
      <w:r w:rsidR="009B5390" w:rsidRPr="00B2272E">
        <w:rPr>
          <w:b/>
        </w:rPr>
        <w:t>56 </w:t>
      </w:r>
      <w:r w:rsidR="009B5390" w:rsidRPr="00B2272E">
        <w:rPr>
          <w:rFonts w:ascii="Calibri" w:hAnsi="Calibri"/>
          <w:b/>
        </w:rPr>
        <w:t>—</w:t>
      </w:r>
      <w:r w:rsidR="009B5390" w:rsidRPr="00B2272E">
        <w:rPr>
          <w:b/>
        </w:rPr>
        <w:t> </w:t>
      </w:r>
      <w:r w:rsidR="00875F3E" w:rsidRPr="00B2272E">
        <w:rPr>
          <w:b/>
        </w:rPr>
        <w:t>Actions by foreign government investors</w:t>
      </w:r>
    </w:p>
    <w:p w14:paraId="6570A3A7" w14:textId="57443D0F" w:rsidR="0016629C" w:rsidRDefault="00141DA9" w:rsidP="00631C10">
      <w:pPr>
        <w:pStyle w:val="Bullet"/>
        <w:numPr>
          <w:ilvl w:val="0"/>
          <w:numId w:val="0"/>
        </w:numPr>
        <w:spacing w:before="120"/>
      </w:pPr>
      <w:r w:rsidRPr="00B2272E">
        <w:t>Subsection </w:t>
      </w:r>
      <w:r w:rsidR="00D50601" w:rsidRPr="00B2272E">
        <w:t>56</w:t>
      </w:r>
      <w:r w:rsidR="00D80CE1" w:rsidRPr="00B2272E">
        <w:t>(</w:t>
      </w:r>
      <w:r w:rsidR="0016629C" w:rsidRPr="00B2272E">
        <w:t>1</w:t>
      </w:r>
      <w:r w:rsidR="00D80CE1" w:rsidRPr="00B2272E">
        <w:t>) of the Regulation provides</w:t>
      </w:r>
      <w:r w:rsidR="0016629C" w:rsidRPr="00B2272E">
        <w:t xml:space="preserve"> for additional actions which are significant </w:t>
      </w:r>
      <w:r w:rsidR="00D74079" w:rsidRPr="00B2272E">
        <w:t>actio</w:t>
      </w:r>
      <w:r w:rsidR="00D74079">
        <w:t xml:space="preserve">ns </w:t>
      </w:r>
      <w:r w:rsidR="0016629C">
        <w:t>and notifiable</w:t>
      </w:r>
      <w:r w:rsidR="00D74079">
        <w:t xml:space="preserve"> actions</w:t>
      </w:r>
      <w:r w:rsidR="0016629C">
        <w:t>. These are actions by a foreign government investor for:</w:t>
      </w:r>
      <w:r w:rsidR="00D80CE1">
        <w:t xml:space="preserve"> </w:t>
      </w:r>
    </w:p>
    <w:p w14:paraId="4D0D54C0" w14:textId="55453BFC" w:rsidR="0016629C" w:rsidRDefault="00D80CE1" w:rsidP="00631C10">
      <w:pPr>
        <w:pStyle w:val="Bullet"/>
        <w:spacing w:before="120"/>
      </w:pPr>
      <w:r>
        <w:t>the acquisition of a direct interest in an Australian entity or Australian business</w:t>
      </w:r>
      <w:r w:rsidR="0016629C">
        <w:t>;</w:t>
      </w:r>
    </w:p>
    <w:p w14:paraId="09C2A267" w14:textId="41B71D89" w:rsidR="0016629C" w:rsidRDefault="0016629C" w:rsidP="00631C10">
      <w:pPr>
        <w:pStyle w:val="Bullet"/>
        <w:spacing w:before="120"/>
      </w:pPr>
      <w:r>
        <w:t>t</w:t>
      </w:r>
      <w:r w:rsidR="00D80CE1">
        <w:t>he starting of an Australian business</w:t>
      </w:r>
      <w:r>
        <w:t>; or</w:t>
      </w:r>
    </w:p>
    <w:p w14:paraId="40ABBD6F" w14:textId="3D1D0715" w:rsidR="00875F3E" w:rsidRPr="00D80CE1" w:rsidRDefault="00D80CE1" w:rsidP="00631C10">
      <w:pPr>
        <w:pStyle w:val="Bullet"/>
        <w:spacing w:before="120"/>
      </w:pPr>
      <w:r>
        <w:t>the acquisition of a legal or equitable interest in a tenement</w:t>
      </w:r>
      <w:r w:rsidR="00F81D14">
        <w:t>,</w:t>
      </w:r>
      <w:r>
        <w:t xml:space="preserve"> </w:t>
      </w:r>
      <w:r w:rsidR="00D74079">
        <w:t>or the acquisition of at least 10 per cent in securities in a mining, production or exploration entity</w:t>
      </w:r>
      <w:r w:rsidR="00F76AD5">
        <w:t>.</w:t>
      </w:r>
      <w:r w:rsidR="0016629C">
        <w:t xml:space="preserve"> </w:t>
      </w:r>
      <w:r w:rsidR="00034472">
        <w:t>A </w:t>
      </w:r>
      <w:r w:rsidR="00D74079">
        <w:t>mining, production or exploration entity is defined in s</w:t>
      </w:r>
      <w:r w:rsidR="00D74079" w:rsidRPr="00B2272E">
        <w:t>ection 5 of th</w:t>
      </w:r>
      <w:r w:rsidR="00D74079">
        <w:t xml:space="preserve">e Regulation as </w:t>
      </w:r>
      <w:r w:rsidR="00D74079" w:rsidRPr="00D74079">
        <w:t>an entity where the value of interests in mining, production or exploration tenements held by the entity, or any subsidiaries of the entity, exceeds 50</w:t>
      </w:r>
      <w:r w:rsidR="00D74079">
        <w:t> per cent</w:t>
      </w:r>
      <w:r w:rsidR="00D74079" w:rsidRPr="00D74079">
        <w:t xml:space="preserve"> of the total asset value for the entity</w:t>
      </w:r>
      <w:r w:rsidR="00D74079">
        <w:t>.</w:t>
      </w:r>
      <w:r w:rsidR="00D74079" w:rsidRPr="00D74079">
        <w:t xml:space="preserve"> </w:t>
      </w:r>
      <w:r w:rsidR="0016629C">
        <w:t>Some of these may not otherwise be notifiable as an acquisition of land, because not all interests in mining, production or exploration tenements are interests in Australian land (</w:t>
      </w:r>
      <w:r w:rsidR="00034472">
        <w:t>for </w:t>
      </w:r>
      <w:r w:rsidR="0016629C">
        <w:t>example, a lease for a term of less than 5</w:t>
      </w:r>
      <w:r w:rsidR="004E6DCB">
        <w:t> </w:t>
      </w:r>
      <w:r w:rsidR="0016629C">
        <w:t>years).</w:t>
      </w:r>
    </w:p>
    <w:p w14:paraId="5DEB6679" w14:textId="5D7C7000" w:rsidR="006608AC" w:rsidRDefault="006608AC" w:rsidP="00AD7CEE">
      <w:pPr>
        <w:pStyle w:val="Bullet"/>
        <w:keepNext/>
        <w:numPr>
          <w:ilvl w:val="0"/>
          <w:numId w:val="0"/>
        </w:numPr>
        <w:spacing w:before="120"/>
        <w:rPr>
          <w:b/>
        </w:rPr>
      </w:pPr>
      <w:r w:rsidRPr="006608AC">
        <w:rPr>
          <w:b/>
        </w:rPr>
        <w:t>Division</w:t>
      </w:r>
      <w:r>
        <w:rPr>
          <w:b/>
        </w:rPr>
        <w:t> </w:t>
      </w:r>
      <w:r w:rsidR="009B5390">
        <w:rPr>
          <w:b/>
        </w:rPr>
        <w:t>3 </w:t>
      </w:r>
      <w:r w:rsidR="009B5390" w:rsidRPr="00E76356">
        <w:rPr>
          <w:rFonts w:ascii="Calibri" w:hAnsi="Calibri"/>
          <w:b/>
        </w:rPr>
        <w:t>—</w:t>
      </w:r>
      <w:r w:rsidR="009B5390">
        <w:rPr>
          <w:b/>
        </w:rPr>
        <w:t> </w:t>
      </w:r>
      <w:r w:rsidRPr="006608AC">
        <w:rPr>
          <w:b/>
        </w:rPr>
        <w:t>Other provisions relating to significant actions and notifiable actions</w:t>
      </w:r>
    </w:p>
    <w:p w14:paraId="1EDD6408" w14:textId="7F1A38E0" w:rsidR="005D2C17" w:rsidRPr="00B2272E" w:rsidRDefault="005D2C17" w:rsidP="00AD7CEE">
      <w:pPr>
        <w:pStyle w:val="Bullet"/>
        <w:keepNext/>
        <w:numPr>
          <w:ilvl w:val="0"/>
          <w:numId w:val="0"/>
        </w:numPr>
        <w:spacing w:before="120"/>
        <w:rPr>
          <w:b/>
        </w:rPr>
      </w:pPr>
      <w:r w:rsidRPr="00E76356">
        <w:rPr>
          <w:b/>
        </w:rPr>
        <w:t>Sectio</w:t>
      </w:r>
      <w:r w:rsidRPr="00B2272E">
        <w:rPr>
          <w:b/>
        </w:rPr>
        <w:t>n</w:t>
      </w:r>
      <w:r w:rsidR="004E6DCB" w:rsidRPr="00B2272E">
        <w:rPr>
          <w:b/>
        </w:rPr>
        <w:t> </w:t>
      </w:r>
      <w:r w:rsidR="00D50601" w:rsidRPr="00B2272E">
        <w:rPr>
          <w:b/>
        </w:rPr>
        <w:t>57</w:t>
      </w:r>
      <w:r w:rsidR="009B5390" w:rsidRPr="00B2272E">
        <w:rPr>
          <w:b/>
        </w:rPr>
        <w:t> </w:t>
      </w:r>
      <w:r w:rsidR="008F16E4" w:rsidRPr="00B2272E">
        <w:rPr>
          <w:rFonts w:ascii="Calibri" w:hAnsi="Calibri"/>
          <w:b/>
        </w:rPr>
        <w:t>—</w:t>
      </w:r>
      <w:r w:rsidR="009B5390" w:rsidRPr="00B2272E">
        <w:rPr>
          <w:b/>
        </w:rPr>
        <w:t> </w:t>
      </w:r>
      <w:r w:rsidRPr="00B2272E">
        <w:rPr>
          <w:b/>
        </w:rPr>
        <w:t>Orders prohibiting proposed acquisitions and disposal orders</w:t>
      </w:r>
    </w:p>
    <w:p w14:paraId="0EEB5E3B" w14:textId="2C04D63F" w:rsidR="00013190" w:rsidRPr="00B2272E" w:rsidRDefault="00141DA9" w:rsidP="00AD7CEE">
      <w:pPr>
        <w:pStyle w:val="Bullet"/>
        <w:keepNext/>
        <w:numPr>
          <w:ilvl w:val="0"/>
          <w:numId w:val="0"/>
        </w:numPr>
        <w:spacing w:before="120"/>
      </w:pPr>
      <w:r w:rsidRPr="00B2272E">
        <w:t>S</w:t>
      </w:r>
      <w:r w:rsidR="00793754" w:rsidRPr="00B2272E">
        <w:t>ubs</w:t>
      </w:r>
      <w:r w:rsidRPr="00B2272E">
        <w:t>ection </w:t>
      </w:r>
      <w:r w:rsidR="005D2C17" w:rsidRPr="00B2272E">
        <w:t xml:space="preserve">67(1) of the Act permits the Treasurer to make an </w:t>
      </w:r>
      <w:r w:rsidR="001B7533" w:rsidRPr="00B2272E">
        <w:t xml:space="preserve">order </w:t>
      </w:r>
      <w:r w:rsidR="005D2C17" w:rsidRPr="00B2272E">
        <w:t xml:space="preserve">under subsection 67(2) of the Act if the Treasurer is satisfied that a significant action is proposed to be taken and taking the significant action would be contrary to the national interest. </w:t>
      </w:r>
      <w:r w:rsidR="00013190" w:rsidRPr="00B2272E">
        <w:t xml:space="preserve">The table </w:t>
      </w:r>
      <w:r w:rsidR="00A95A61" w:rsidRPr="00B2272E">
        <w:t>to</w:t>
      </w:r>
      <w:r w:rsidR="009B5390" w:rsidRPr="00B2272E">
        <w:t xml:space="preserve"> sub</w:t>
      </w:r>
      <w:r w:rsidR="00A95A61" w:rsidRPr="00B2272E">
        <w:t>section </w:t>
      </w:r>
      <w:r w:rsidR="00013190" w:rsidRPr="00B2272E">
        <w:t>67(2) sets out the orders that may be made. The effect of table item 9 is that if the significant action is to take any significant action prescribed for regulations made for the purposes of section 44, the Treasurer may make an order prohibiting any thing prescribed by regulations made for the purposes of that item.</w:t>
      </w:r>
    </w:p>
    <w:p w14:paraId="61C9921B" w14:textId="650570C2" w:rsidR="00E4231B" w:rsidRDefault="00772933" w:rsidP="00AD7CEE">
      <w:pPr>
        <w:pStyle w:val="Bullet"/>
        <w:numPr>
          <w:ilvl w:val="0"/>
          <w:numId w:val="0"/>
        </w:numPr>
        <w:spacing w:before="120"/>
      </w:pPr>
      <w:r w:rsidRPr="00B2272E">
        <w:t>P</w:t>
      </w:r>
      <w:r w:rsidR="00F84C32" w:rsidRPr="00B2272E">
        <w:t>aragraph </w:t>
      </w:r>
      <w:r w:rsidR="00D50601" w:rsidRPr="00B2272E">
        <w:t>57</w:t>
      </w:r>
      <w:r w:rsidR="00013190" w:rsidRPr="00B2272E">
        <w:t xml:space="preserve">(1)(a) </w:t>
      </w:r>
      <w:r w:rsidR="00057219" w:rsidRPr="00B2272E">
        <w:t xml:space="preserve">of the Regulation </w:t>
      </w:r>
      <w:r w:rsidRPr="00B2272E">
        <w:t>provides</w:t>
      </w:r>
      <w:r w:rsidR="00013190" w:rsidRPr="00B2272E">
        <w:t xml:space="preserve"> that th</w:t>
      </w:r>
      <w:r w:rsidR="00013190">
        <w:t>e Treasurer may make an order prohibiting the</w:t>
      </w:r>
      <w:r w:rsidR="00E4231B">
        <w:t xml:space="preserve"> whole or part of:</w:t>
      </w:r>
      <w:r w:rsidR="00013190">
        <w:t xml:space="preserve"> </w:t>
      </w:r>
    </w:p>
    <w:p w14:paraId="1C44546E" w14:textId="13A9D33D" w:rsidR="00013190" w:rsidRDefault="00245E8C" w:rsidP="00AD7CEE">
      <w:pPr>
        <w:pStyle w:val="Bullet"/>
        <w:spacing w:before="120"/>
      </w:pPr>
      <w:r>
        <w:t xml:space="preserve">the acquisition </w:t>
      </w:r>
      <w:r w:rsidR="00E4231B">
        <w:t xml:space="preserve">by a foreign person </w:t>
      </w:r>
      <w:r w:rsidR="00013190">
        <w:t xml:space="preserve">of an interest of at least five per cent in an entity or business that wholly or partly carries </w:t>
      </w:r>
      <w:r w:rsidR="00E4231B">
        <w:t>on an Australian media business; and</w:t>
      </w:r>
    </w:p>
    <w:p w14:paraId="41FE628A" w14:textId="74D57429" w:rsidR="00102637" w:rsidRDefault="00245E8C" w:rsidP="00AD7CEE">
      <w:pPr>
        <w:pStyle w:val="Bullet"/>
        <w:spacing w:before="120"/>
      </w:pPr>
      <w:r>
        <w:t xml:space="preserve">the acquisition </w:t>
      </w:r>
      <w:r w:rsidR="00F81D14">
        <w:t xml:space="preserve">by a foreign government investor </w:t>
      </w:r>
      <w:r>
        <w:t>of a direct interest in an Australian entity or Australian business</w:t>
      </w:r>
      <w:r w:rsidR="00F81D14">
        <w:t>, a legal or equitable interest in a mining, production or exploration tenement or an interest of at least 10</w:t>
      </w:r>
      <w:r w:rsidR="0074274C">
        <w:t xml:space="preserve"> per cent </w:t>
      </w:r>
      <w:r w:rsidR="00F81D14">
        <w:t>in securities in a mining, production or exploration entity</w:t>
      </w:r>
      <w:r>
        <w:t>.</w:t>
      </w:r>
    </w:p>
    <w:p w14:paraId="60BAA337" w14:textId="4DBE143F" w:rsidR="00AD3174" w:rsidRPr="00B17C53" w:rsidRDefault="00057219" w:rsidP="00AD7CEE">
      <w:pPr>
        <w:pStyle w:val="Bullet"/>
        <w:numPr>
          <w:ilvl w:val="0"/>
          <w:numId w:val="0"/>
        </w:numPr>
        <w:spacing w:before="120"/>
      </w:pPr>
      <w:r>
        <w:t>The effect of pa</w:t>
      </w:r>
      <w:r w:rsidRPr="00B17C53">
        <w:t>ragraph </w:t>
      </w:r>
      <w:r w:rsidR="00D50601" w:rsidRPr="00B17C53">
        <w:t>57</w:t>
      </w:r>
      <w:r w:rsidRPr="00B17C53">
        <w:t>(1)(b) of the Regulation is that the Treasurer may make an order prohibiting a foreign government investor starting the whole or part of an Australian business.</w:t>
      </w:r>
    </w:p>
    <w:p w14:paraId="272D65DF" w14:textId="56840F21" w:rsidR="00245E8C" w:rsidRPr="00B17C53" w:rsidRDefault="00AD3174" w:rsidP="00AD7CEE">
      <w:pPr>
        <w:pStyle w:val="Bullet"/>
        <w:numPr>
          <w:ilvl w:val="0"/>
          <w:numId w:val="0"/>
        </w:numPr>
        <w:spacing w:before="120"/>
      </w:pPr>
      <w:r w:rsidRPr="00B17C53">
        <w:t xml:space="preserve">Subsection 69(1) of the Act </w:t>
      </w:r>
      <w:r w:rsidR="00AC221B" w:rsidRPr="00B17C53">
        <w:t>permits the Treasurer to make an order in accordan</w:t>
      </w:r>
      <w:r w:rsidR="00A95A61" w:rsidRPr="00B17C53">
        <w:t>ce with the table to subsection </w:t>
      </w:r>
      <w:r w:rsidR="00AC221B" w:rsidRPr="00B17C53">
        <w:t xml:space="preserve">69(2) if the Treasurer is satisfied that a significant action has been taken and the result of the significant action is contrary to the national interest. </w:t>
      </w:r>
      <w:r w:rsidR="001B7533" w:rsidRPr="00B17C53">
        <w:t>If an action is to take significant action prescribed for section</w:t>
      </w:r>
      <w:r w:rsidR="00C56DD1" w:rsidRPr="00B17C53">
        <w:t> </w:t>
      </w:r>
      <w:r w:rsidR="001B7533" w:rsidRPr="00B17C53">
        <w:t>44</w:t>
      </w:r>
      <w:r w:rsidR="00C56DD1" w:rsidRPr="00B17C53">
        <w:t xml:space="preserve"> of the Act (that is, significant action – actions prescribed by the </w:t>
      </w:r>
      <w:r w:rsidR="00AA6D2C" w:rsidRPr="00B17C53">
        <w:t>r</w:t>
      </w:r>
      <w:r w:rsidR="00C56DD1" w:rsidRPr="00B17C53">
        <w:t>egulation</w:t>
      </w:r>
      <w:r w:rsidR="00AA6D2C" w:rsidRPr="00B17C53">
        <w:t>s</w:t>
      </w:r>
      <w:r w:rsidR="00C56DD1" w:rsidRPr="00B17C53">
        <w:t>)</w:t>
      </w:r>
      <w:r w:rsidR="001B7533" w:rsidRPr="00B17C53">
        <w:t>, then under table item</w:t>
      </w:r>
      <w:r w:rsidR="004E6DCB" w:rsidRPr="00B17C53">
        <w:t> </w:t>
      </w:r>
      <w:r w:rsidR="001B7533" w:rsidRPr="00B17C53">
        <w:t>8 the Treasurer may make an order prescribed.</w:t>
      </w:r>
    </w:p>
    <w:p w14:paraId="50185E43" w14:textId="60C43BB2" w:rsidR="001316AF" w:rsidRDefault="007E3591" w:rsidP="00AD7CEE">
      <w:pPr>
        <w:pStyle w:val="Bullet"/>
        <w:numPr>
          <w:ilvl w:val="0"/>
          <w:numId w:val="0"/>
        </w:numPr>
        <w:spacing w:before="120"/>
      </w:pPr>
      <w:r w:rsidRPr="00B17C53">
        <w:t>The effect of subsection </w:t>
      </w:r>
      <w:r w:rsidR="00D50601" w:rsidRPr="00B17C53">
        <w:t>57</w:t>
      </w:r>
      <w:r w:rsidR="00AC221B" w:rsidRPr="00B17C53">
        <w:t>(2) of t</w:t>
      </w:r>
      <w:r w:rsidR="00AC221B">
        <w:t xml:space="preserve">he Regulation is that </w:t>
      </w:r>
      <w:r w:rsidR="001316AF">
        <w:t xml:space="preserve">the Treasurer may make an order: </w:t>
      </w:r>
    </w:p>
    <w:p w14:paraId="21D54EBD" w14:textId="361BEAA7" w:rsidR="00AC221B" w:rsidRDefault="001316AF" w:rsidP="00AD7CEE">
      <w:pPr>
        <w:pStyle w:val="Bullet"/>
        <w:spacing w:before="120"/>
      </w:pPr>
      <w:r>
        <w:t>directing a specified person to dispose of an interest in an entity or business that wholly or partly carries on an Australian business; or</w:t>
      </w:r>
    </w:p>
    <w:p w14:paraId="6FF68B3C" w14:textId="49677FEA" w:rsidR="0065375D" w:rsidRDefault="001316AF" w:rsidP="00AD7CEE">
      <w:pPr>
        <w:pStyle w:val="Bullet"/>
        <w:spacing w:before="120"/>
      </w:pPr>
      <w:r>
        <w:t xml:space="preserve">directing a specified person to dispose of a direct interest in an Australian entity or Australian business </w:t>
      </w:r>
      <w:r w:rsidR="0065375D">
        <w:t>within a specified person to one or more persons approved in writing by the Treasurer</w:t>
      </w:r>
      <w:r w:rsidR="00C56DD1">
        <w:t>;</w:t>
      </w:r>
    </w:p>
    <w:p w14:paraId="77C6599E" w14:textId="1E9F6465" w:rsidR="001316AF" w:rsidRPr="00B17C53" w:rsidRDefault="004C7CFE" w:rsidP="00AD7CEE">
      <w:pPr>
        <w:pStyle w:val="Bullet"/>
        <w:spacing w:before="120"/>
      </w:pPr>
      <w:r>
        <w:t>d</w:t>
      </w:r>
      <w:r w:rsidR="0065375D">
        <w:t>irecti</w:t>
      </w:r>
      <w:r w:rsidR="0065375D" w:rsidRPr="00B17C53">
        <w:t>ng specified persons to do within a specified period, or refrain from doing, specified act</w:t>
      </w:r>
      <w:r w:rsidR="008C56C7" w:rsidRPr="00B17C53">
        <w:t>s or acts of a specified kind.</w:t>
      </w:r>
    </w:p>
    <w:p w14:paraId="2B71552B" w14:textId="7FFDF510" w:rsidR="008C56C7" w:rsidRDefault="008C56C7" w:rsidP="00AD7CEE">
      <w:pPr>
        <w:pStyle w:val="Bullet"/>
        <w:numPr>
          <w:ilvl w:val="0"/>
          <w:numId w:val="0"/>
        </w:numPr>
        <w:spacing w:before="120"/>
      </w:pPr>
      <w:r w:rsidRPr="00B17C53">
        <w:t>Subsection </w:t>
      </w:r>
      <w:r w:rsidR="00D50601" w:rsidRPr="00B17C53">
        <w:t>57</w:t>
      </w:r>
      <w:r w:rsidRPr="00B17C53">
        <w:t>(3) of the Regula</w:t>
      </w:r>
      <w:r w:rsidR="007E3591" w:rsidRPr="00B17C53">
        <w:t>tion clarifies that subsections </w:t>
      </w:r>
      <w:r w:rsidRPr="00B17C53">
        <w:t xml:space="preserve">69(3) to (5) of the Act apply in relation to an order mentioned in the Regulation apply in the same way as they apply to an equivalent order mentioned in the table to subsection 69(2) of </w:t>
      </w:r>
      <w:r w:rsidR="009A60E2" w:rsidRPr="00B17C53">
        <w:t>the</w:t>
      </w:r>
      <w:r w:rsidR="009A60E2">
        <w:t> </w:t>
      </w:r>
      <w:r w:rsidRPr="00B17C53">
        <w:t>Act.</w:t>
      </w:r>
      <w:r>
        <w:t xml:space="preserve"> </w:t>
      </w:r>
    </w:p>
    <w:p w14:paraId="6ADEB1EA" w14:textId="3C04CF87" w:rsidR="00184F1C" w:rsidRPr="00B17C53" w:rsidRDefault="004E6DCB" w:rsidP="00046C09">
      <w:pPr>
        <w:pStyle w:val="Bullet"/>
        <w:keepNext/>
        <w:numPr>
          <w:ilvl w:val="0"/>
          <w:numId w:val="0"/>
        </w:numPr>
        <w:spacing w:before="120"/>
        <w:rPr>
          <w:b/>
        </w:rPr>
      </w:pPr>
      <w:r w:rsidRPr="00E76356">
        <w:rPr>
          <w:b/>
        </w:rPr>
        <w:t>Secti</w:t>
      </w:r>
      <w:r w:rsidRPr="00B17C53">
        <w:rPr>
          <w:b/>
        </w:rPr>
        <w:t>on </w:t>
      </w:r>
      <w:r w:rsidR="008F16E4" w:rsidRPr="00B17C53">
        <w:rPr>
          <w:b/>
        </w:rPr>
        <w:t>58 </w:t>
      </w:r>
      <w:r w:rsidR="008F16E4" w:rsidRPr="00B17C53">
        <w:rPr>
          <w:rFonts w:ascii="Calibri" w:hAnsi="Calibri"/>
          <w:b/>
        </w:rPr>
        <w:t>—</w:t>
      </w:r>
      <w:r w:rsidR="008F16E4" w:rsidRPr="00B17C53">
        <w:rPr>
          <w:b/>
        </w:rPr>
        <w:t> </w:t>
      </w:r>
      <w:r w:rsidR="00184F1C" w:rsidRPr="00B17C53">
        <w:rPr>
          <w:b/>
        </w:rPr>
        <w:t>Actions that are not significant actions or notifiable actions</w:t>
      </w:r>
    </w:p>
    <w:p w14:paraId="1368DDA1" w14:textId="5D3EF161" w:rsidR="00FC4281" w:rsidRPr="00B17C53" w:rsidRDefault="00046C09" w:rsidP="00046C09">
      <w:pPr>
        <w:pStyle w:val="Bullet"/>
        <w:keepNext/>
        <w:numPr>
          <w:ilvl w:val="0"/>
          <w:numId w:val="0"/>
        </w:numPr>
        <w:spacing w:before="120"/>
      </w:pPr>
      <w:r w:rsidRPr="00B17C53">
        <w:t>Where regulations are made under section</w:t>
      </w:r>
      <w:r w:rsidR="0033694C" w:rsidRPr="00B17C53">
        <w:t> </w:t>
      </w:r>
      <w:r w:rsidRPr="00B17C53">
        <w:t>63 of the Act for additional kinds of exemption certificates</w:t>
      </w:r>
      <w:r w:rsidR="00357471">
        <w:t>,</w:t>
      </w:r>
      <w:r w:rsidRPr="00B17C53">
        <w:t xml:space="preserve"> s</w:t>
      </w:r>
      <w:r w:rsidR="00793754" w:rsidRPr="00B17C53">
        <w:t>ubsection</w:t>
      </w:r>
      <w:r w:rsidRPr="00B17C53">
        <w:t>s</w:t>
      </w:r>
      <w:r w:rsidR="00793754" w:rsidRPr="00B17C53">
        <w:t> </w:t>
      </w:r>
      <w:r w:rsidR="00F66A09" w:rsidRPr="00B17C53">
        <w:t xml:space="preserve">45(3) </w:t>
      </w:r>
      <w:r w:rsidRPr="00B17C53">
        <w:t>and 49(2)</w:t>
      </w:r>
      <w:r w:rsidR="00F66A09" w:rsidRPr="00B17C53">
        <w:t xml:space="preserve"> of the Act </w:t>
      </w:r>
      <w:r w:rsidRPr="00B17C53">
        <w:t>also authorise</w:t>
      </w:r>
      <w:r w:rsidR="00F66A09" w:rsidRPr="00B17C53">
        <w:t xml:space="preserve"> regulations </w:t>
      </w:r>
      <w:r w:rsidRPr="00B17C53">
        <w:t>to</w:t>
      </w:r>
      <w:r w:rsidR="00F66A09" w:rsidRPr="00B17C53">
        <w:t xml:space="preserve"> provide</w:t>
      </w:r>
      <w:r w:rsidRPr="00B17C53">
        <w:t xml:space="preserve"> that related actions are not significant actions and are not notifiable actions.</w:t>
      </w:r>
      <w:r w:rsidR="00B24823" w:rsidRPr="00B17C53">
        <w:t xml:space="preserve"> </w:t>
      </w:r>
    </w:p>
    <w:p w14:paraId="50DDD9D7" w14:textId="4CAF76C0" w:rsidR="00184F1C" w:rsidRPr="00B17C53" w:rsidRDefault="00B24823" w:rsidP="00046C09">
      <w:pPr>
        <w:pStyle w:val="Bullet"/>
        <w:numPr>
          <w:ilvl w:val="0"/>
          <w:numId w:val="0"/>
        </w:numPr>
        <w:spacing w:before="120"/>
      </w:pPr>
      <w:r w:rsidRPr="00B17C53">
        <w:t>An action is not a significant action or a notifiable action if the action is a foreign person acquiring an interest in securities</w:t>
      </w:r>
      <w:r w:rsidR="00BE0F54" w:rsidRPr="00B17C53">
        <w:t xml:space="preserve"> or in a tenement</w:t>
      </w:r>
      <w:r w:rsidRPr="00B17C53">
        <w:t>; the foreign person is specified in an exemption cer</w:t>
      </w:r>
      <w:r w:rsidR="004F5257" w:rsidRPr="00B17C53">
        <w:t>tificate in force under section </w:t>
      </w:r>
      <w:r w:rsidR="00411A21" w:rsidRPr="00B17C53">
        <w:t xml:space="preserve">42 </w:t>
      </w:r>
      <w:r w:rsidR="00BE0F54" w:rsidRPr="00B17C53">
        <w:t xml:space="preserve">or </w:t>
      </w:r>
      <w:r w:rsidR="00A03E5D" w:rsidRPr="00B17C53">
        <w:t>section </w:t>
      </w:r>
      <w:r w:rsidR="00411A21" w:rsidRPr="00B17C53">
        <w:t>43</w:t>
      </w:r>
      <w:r w:rsidR="00BE0F54" w:rsidRPr="00B17C53">
        <w:t xml:space="preserve"> </w:t>
      </w:r>
      <w:r w:rsidRPr="00B17C53">
        <w:t xml:space="preserve">of </w:t>
      </w:r>
      <w:r w:rsidR="009A60E2" w:rsidRPr="00B17C53">
        <w:t>the</w:t>
      </w:r>
      <w:r w:rsidR="009A60E2">
        <w:t> </w:t>
      </w:r>
      <w:r w:rsidRPr="00B17C53">
        <w:t>Regulation</w:t>
      </w:r>
      <w:r w:rsidR="00046C09" w:rsidRPr="00B17C53">
        <w:t xml:space="preserve"> (exemption certificates for underwriters)</w:t>
      </w:r>
      <w:r w:rsidRPr="00B17C53">
        <w:t>; the interest is of a kind speci</w:t>
      </w:r>
      <w:r w:rsidR="00FC3ED4" w:rsidRPr="00B17C53">
        <w:t>fied in the certificate</w:t>
      </w:r>
      <w:r w:rsidR="00BE0F54" w:rsidRPr="00B17C53">
        <w:t>;</w:t>
      </w:r>
      <w:r w:rsidR="00FC3ED4" w:rsidRPr="00B17C53">
        <w:t xml:space="preserve"> and any conditions specified in the certificate were met. </w:t>
      </w:r>
    </w:p>
    <w:p w14:paraId="379BC965" w14:textId="33A7E3A9" w:rsidR="007D0893" w:rsidRPr="00B17C53" w:rsidRDefault="004E6DCB" w:rsidP="006608AC">
      <w:pPr>
        <w:pStyle w:val="Heading2"/>
      </w:pPr>
      <w:r w:rsidRPr="00B17C53">
        <w:t>Part </w:t>
      </w:r>
      <w:r w:rsidR="008F16E4" w:rsidRPr="00B17C53">
        <w:t>6 </w:t>
      </w:r>
      <w:r w:rsidR="008F16E4" w:rsidRPr="00B17C53">
        <w:rPr>
          <w:rFonts w:ascii="Calibri" w:hAnsi="Calibri"/>
        </w:rPr>
        <w:t>—</w:t>
      </w:r>
      <w:r w:rsidR="008F16E4" w:rsidRPr="00B17C53">
        <w:t> </w:t>
      </w:r>
      <w:r w:rsidR="007D0893" w:rsidRPr="00B17C53">
        <w:t>Other provisions</w:t>
      </w:r>
    </w:p>
    <w:p w14:paraId="37E09765" w14:textId="2334AED6" w:rsidR="00056585" w:rsidRPr="00B17C53" w:rsidRDefault="00AA6D2C" w:rsidP="00046C09">
      <w:pPr>
        <w:pStyle w:val="Bullet"/>
        <w:keepNext/>
        <w:numPr>
          <w:ilvl w:val="0"/>
          <w:numId w:val="0"/>
        </w:numPr>
        <w:spacing w:before="120"/>
      </w:pPr>
      <w:r w:rsidRPr="00B17C53">
        <w:rPr>
          <w:b/>
        </w:rPr>
        <w:t>Section </w:t>
      </w:r>
      <w:r w:rsidR="00411A21" w:rsidRPr="00B17C53">
        <w:rPr>
          <w:b/>
        </w:rPr>
        <w:t>59</w:t>
      </w:r>
      <w:r w:rsidR="008F16E4" w:rsidRPr="00B17C53">
        <w:rPr>
          <w:b/>
        </w:rPr>
        <w:t> </w:t>
      </w:r>
      <w:r w:rsidR="008F16E4" w:rsidRPr="00B17C53">
        <w:rPr>
          <w:rFonts w:ascii="Calibri" w:hAnsi="Calibri"/>
          <w:b/>
        </w:rPr>
        <w:t>—</w:t>
      </w:r>
      <w:r w:rsidR="008F16E4" w:rsidRPr="00B17C53">
        <w:rPr>
          <w:b/>
        </w:rPr>
        <w:t> </w:t>
      </w:r>
      <w:r w:rsidR="00056585" w:rsidRPr="00B17C53">
        <w:rPr>
          <w:b/>
        </w:rPr>
        <w:t>Simplified outline of this Part</w:t>
      </w:r>
    </w:p>
    <w:p w14:paraId="6369E5AB" w14:textId="1EDC19D1" w:rsidR="00056585" w:rsidRPr="00B17C53" w:rsidRDefault="00AA6D2C" w:rsidP="00046C09">
      <w:pPr>
        <w:pStyle w:val="Bullet"/>
        <w:keepNext/>
        <w:numPr>
          <w:ilvl w:val="0"/>
          <w:numId w:val="0"/>
        </w:numPr>
        <w:spacing w:before="120"/>
        <w:rPr>
          <w:b/>
        </w:rPr>
      </w:pPr>
      <w:r w:rsidRPr="00B17C53">
        <w:t>Section </w:t>
      </w:r>
      <w:r w:rsidR="00411A21" w:rsidRPr="00B17C53">
        <w:t>59</w:t>
      </w:r>
      <w:r w:rsidR="00056585" w:rsidRPr="00B17C53">
        <w:t xml:space="preserve"> of the Regulation provid</w:t>
      </w:r>
      <w:r w:rsidR="00AD0835" w:rsidRPr="00B17C53">
        <w:t>es a simplified outline of Part </w:t>
      </w:r>
      <w:r w:rsidR="00056585" w:rsidRPr="00B17C53">
        <w:t>6 of the Regulation</w:t>
      </w:r>
      <w:r w:rsidR="00A03E5D" w:rsidRPr="00B17C53">
        <w:t xml:space="preserve"> Part 6</w:t>
      </w:r>
      <w:r w:rsidR="00056585" w:rsidRPr="00B17C53">
        <w:t xml:space="preserve"> prescribes matters for various provisions of the Act, including in relation to time limits and authorised disclosures of information. </w:t>
      </w:r>
    </w:p>
    <w:p w14:paraId="0FFEAB88" w14:textId="411CE3DD" w:rsidR="00FA2368" w:rsidRPr="00B17C53" w:rsidRDefault="004E6DCB" w:rsidP="00046C09">
      <w:pPr>
        <w:pStyle w:val="Bullet"/>
        <w:keepNext/>
        <w:numPr>
          <w:ilvl w:val="0"/>
          <w:numId w:val="0"/>
        </w:numPr>
        <w:spacing w:before="120"/>
        <w:rPr>
          <w:b/>
        </w:rPr>
      </w:pPr>
      <w:r w:rsidRPr="00B17C53">
        <w:rPr>
          <w:b/>
        </w:rPr>
        <w:t>Section </w:t>
      </w:r>
      <w:r w:rsidR="008F16E4" w:rsidRPr="00B17C53">
        <w:rPr>
          <w:b/>
        </w:rPr>
        <w:t>60 </w:t>
      </w:r>
      <w:r w:rsidR="008F16E4" w:rsidRPr="00B17C53">
        <w:rPr>
          <w:rFonts w:ascii="Calibri" w:hAnsi="Calibri"/>
          <w:b/>
        </w:rPr>
        <w:t>—</w:t>
      </w:r>
      <w:r w:rsidR="008F16E4" w:rsidRPr="00B17C53">
        <w:rPr>
          <w:b/>
        </w:rPr>
        <w:t> </w:t>
      </w:r>
      <w:r w:rsidR="00FA2368" w:rsidRPr="00B17C53">
        <w:rPr>
          <w:b/>
        </w:rPr>
        <w:t>Time limits for making decisions</w:t>
      </w:r>
      <w:r w:rsidR="00062F2F" w:rsidRPr="00B17C53">
        <w:rPr>
          <w:b/>
        </w:rPr>
        <w:t xml:space="preserve"> on exemption certificates</w:t>
      </w:r>
    </w:p>
    <w:p w14:paraId="363623A0" w14:textId="56F26680" w:rsidR="007D0893" w:rsidRPr="00B17C53" w:rsidRDefault="004F5257" w:rsidP="00046C09">
      <w:pPr>
        <w:pStyle w:val="Bullet"/>
        <w:keepNext/>
        <w:numPr>
          <w:ilvl w:val="0"/>
          <w:numId w:val="0"/>
        </w:numPr>
        <w:spacing w:before="120"/>
      </w:pPr>
      <w:r w:rsidRPr="00B17C53">
        <w:t>Paragraph </w:t>
      </w:r>
      <w:r w:rsidR="00FA2368" w:rsidRPr="00B17C53">
        <w:t>61(1)(a) of the Act provides that if a person applies for an exemption certificate, the Treasurer must make a decision whether to grant the application before the end of the period prescribed by the regulations.</w:t>
      </w:r>
      <w:r w:rsidR="00765267" w:rsidRPr="00B17C53">
        <w:t xml:space="preserve"> Section </w:t>
      </w:r>
      <w:r w:rsidR="00D7284B" w:rsidRPr="00B17C53">
        <w:t xml:space="preserve">60 </w:t>
      </w:r>
      <w:r w:rsidR="00765267" w:rsidRPr="00B17C53">
        <w:t xml:space="preserve">of the Regulation provides that the prescribed period </w:t>
      </w:r>
      <w:r w:rsidR="004F26E1" w:rsidRPr="00B17C53">
        <w:t>is 30 </w:t>
      </w:r>
      <w:r w:rsidR="00765267" w:rsidRPr="00B17C53">
        <w:t>days.</w:t>
      </w:r>
    </w:p>
    <w:p w14:paraId="38169240" w14:textId="62F94606" w:rsidR="00FA2368" w:rsidRPr="00B17C53" w:rsidRDefault="004E6DCB" w:rsidP="00046C09">
      <w:pPr>
        <w:pStyle w:val="Bullet"/>
        <w:numPr>
          <w:ilvl w:val="0"/>
          <w:numId w:val="0"/>
        </w:numPr>
        <w:spacing w:before="120"/>
        <w:rPr>
          <w:b/>
        </w:rPr>
      </w:pPr>
      <w:r w:rsidRPr="00B17C53">
        <w:rPr>
          <w:b/>
        </w:rPr>
        <w:t>Section </w:t>
      </w:r>
      <w:r w:rsidR="008F16E4" w:rsidRPr="00B17C53">
        <w:rPr>
          <w:b/>
        </w:rPr>
        <w:t>61 </w:t>
      </w:r>
      <w:r w:rsidR="008F16E4" w:rsidRPr="00B17C53">
        <w:rPr>
          <w:rFonts w:ascii="Calibri" w:hAnsi="Calibri"/>
          <w:b/>
        </w:rPr>
        <w:t>—</w:t>
      </w:r>
      <w:r w:rsidR="008F16E4" w:rsidRPr="00B17C53">
        <w:rPr>
          <w:b/>
        </w:rPr>
        <w:t> </w:t>
      </w:r>
      <w:r w:rsidR="00FA2368" w:rsidRPr="00B17C53">
        <w:rPr>
          <w:b/>
        </w:rPr>
        <w:t>Time limit for taking actions</w:t>
      </w:r>
      <w:r w:rsidR="00062F2F" w:rsidRPr="00B17C53">
        <w:rPr>
          <w:b/>
        </w:rPr>
        <w:t xml:space="preserve"> specified in no objection notifications</w:t>
      </w:r>
    </w:p>
    <w:p w14:paraId="14E547CB" w14:textId="3BEC7250" w:rsidR="00C36DE0" w:rsidRPr="00B17C53" w:rsidRDefault="00007F4E" w:rsidP="00046C09">
      <w:pPr>
        <w:pStyle w:val="Bullet"/>
        <w:numPr>
          <w:ilvl w:val="0"/>
          <w:numId w:val="0"/>
        </w:numPr>
        <w:spacing w:before="120"/>
      </w:pPr>
      <w:r w:rsidRPr="00B17C53">
        <w:t>Subsection </w:t>
      </w:r>
      <w:r w:rsidR="00FA2368" w:rsidRPr="00B17C53">
        <w:t xml:space="preserve">76(1) of the Act provides that a no objection notification given to a person must specify certain matters, including the a requirement that the action to which the notification relates, if taken, must be taken before the end of a specified period after the day the notification is given. </w:t>
      </w:r>
      <w:r w:rsidRPr="00B17C53">
        <w:t>Paragraph </w:t>
      </w:r>
      <w:r w:rsidR="00FA2368" w:rsidRPr="00B17C53">
        <w:t xml:space="preserve">76(4)(a) </w:t>
      </w:r>
      <w:r w:rsidR="00660F40" w:rsidRPr="00B17C53">
        <w:t xml:space="preserve">relevantly </w:t>
      </w:r>
      <w:r w:rsidR="00FA2368" w:rsidRPr="00B17C53">
        <w:t>provides that th</w:t>
      </w:r>
      <w:r w:rsidRPr="00B17C53">
        <w:t>e period mentioned in paragraph </w:t>
      </w:r>
      <w:r w:rsidR="00FA2368" w:rsidRPr="00B17C53">
        <w:t>76(1)(a) is the period prescribed by the regulations</w:t>
      </w:r>
      <w:r w:rsidR="00660F40" w:rsidRPr="00B17C53">
        <w:t>.</w:t>
      </w:r>
      <w:r w:rsidR="00765267" w:rsidRPr="00B17C53">
        <w:t xml:space="preserve"> </w:t>
      </w:r>
      <w:r w:rsidR="004F5257" w:rsidRPr="00B17C53">
        <w:t>Section </w:t>
      </w:r>
      <w:r w:rsidR="00D7284B" w:rsidRPr="00B17C53">
        <w:t xml:space="preserve">61 </w:t>
      </w:r>
      <w:r w:rsidR="00660F40" w:rsidRPr="00B17C53">
        <w:t>of the R</w:t>
      </w:r>
      <w:r w:rsidR="00AA3BB3" w:rsidRPr="00B17C53">
        <w:t xml:space="preserve">egulation </w:t>
      </w:r>
      <w:r w:rsidRPr="00B17C53">
        <w:t>provides that the period prescribed is 12 months.</w:t>
      </w:r>
    </w:p>
    <w:p w14:paraId="70056802" w14:textId="77B560D3" w:rsidR="00C36DE0" w:rsidRPr="00B17C53" w:rsidRDefault="004E6DCB" w:rsidP="00F4465E">
      <w:pPr>
        <w:pStyle w:val="Bullet"/>
        <w:numPr>
          <w:ilvl w:val="0"/>
          <w:numId w:val="0"/>
        </w:numPr>
        <w:spacing w:before="120"/>
        <w:rPr>
          <w:b/>
        </w:rPr>
      </w:pPr>
      <w:r w:rsidRPr="00B17C53">
        <w:rPr>
          <w:b/>
        </w:rPr>
        <w:t>Section </w:t>
      </w:r>
      <w:r w:rsidR="00D7284B" w:rsidRPr="00B17C53">
        <w:rPr>
          <w:b/>
        </w:rPr>
        <w:t>62</w:t>
      </w:r>
      <w:r w:rsidR="008F16E4" w:rsidRPr="00B17C53">
        <w:rPr>
          <w:b/>
        </w:rPr>
        <w:t> </w:t>
      </w:r>
      <w:r w:rsidR="008F16E4" w:rsidRPr="00B17C53">
        <w:rPr>
          <w:rFonts w:ascii="Calibri" w:hAnsi="Calibri"/>
          <w:b/>
        </w:rPr>
        <w:t>—</w:t>
      </w:r>
      <w:r w:rsidR="008F16E4" w:rsidRPr="00B17C53">
        <w:rPr>
          <w:b/>
        </w:rPr>
        <w:t> </w:t>
      </w:r>
      <w:r w:rsidR="00062F2F" w:rsidRPr="00B17C53">
        <w:rPr>
          <w:b/>
        </w:rPr>
        <w:t>Authorised d</w:t>
      </w:r>
      <w:r w:rsidR="00C36DE0" w:rsidRPr="00B17C53">
        <w:rPr>
          <w:b/>
        </w:rPr>
        <w:t>isclosures of periodic aggregate information</w:t>
      </w:r>
    </w:p>
    <w:p w14:paraId="65D7DD31" w14:textId="1FC9E192" w:rsidR="009A25A5" w:rsidRDefault="00141DA9" w:rsidP="00F4465E">
      <w:pPr>
        <w:pStyle w:val="Bullet"/>
        <w:numPr>
          <w:ilvl w:val="0"/>
          <w:numId w:val="0"/>
        </w:numPr>
        <w:spacing w:before="120"/>
      </w:pPr>
      <w:r w:rsidRPr="00B17C53">
        <w:t>Section </w:t>
      </w:r>
      <w:r w:rsidR="00C36DE0" w:rsidRPr="00B17C53">
        <w:t xml:space="preserve">124 of the Act provides that a person may disclose protected information if the information specifies the matters prescribed by the regulations for the purposes of reporting on administration of this Act provided that it does not identify, and </w:t>
      </w:r>
      <w:r w:rsidR="009A25A5" w:rsidRPr="00B17C53">
        <w:t xml:space="preserve">is not reasonably capable of being used to identify, a person. </w:t>
      </w:r>
      <w:r w:rsidR="003032F5" w:rsidRPr="00B17C53">
        <w:t>‘Protected information’ has the meaning given by section 120 of the Act, and, in bro</w:t>
      </w:r>
      <w:r w:rsidR="003032F5">
        <w:t xml:space="preserve">ad terms, refers to information obtained under, in accordance with, or for the purposes of the Act. </w:t>
      </w:r>
    </w:p>
    <w:p w14:paraId="0BA92D34" w14:textId="097AA6F3" w:rsidR="007753FC" w:rsidRDefault="00D46CAF" w:rsidP="00F4465E">
      <w:pPr>
        <w:pStyle w:val="Bullet"/>
        <w:keepNext/>
        <w:numPr>
          <w:ilvl w:val="0"/>
          <w:numId w:val="0"/>
        </w:numPr>
        <w:spacing w:before="120"/>
      </w:pPr>
      <w:r>
        <w:t>Sectio</w:t>
      </w:r>
      <w:r w:rsidRPr="00B17C53">
        <w:t>n</w:t>
      </w:r>
      <w:r w:rsidR="00141DA9" w:rsidRPr="00B17C53">
        <w:t> </w:t>
      </w:r>
      <w:r w:rsidR="00D7284B" w:rsidRPr="00B17C53">
        <w:t xml:space="preserve">62 </w:t>
      </w:r>
      <w:r w:rsidR="00BD547F" w:rsidRPr="00B17C53">
        <w:t>of the Reg</w:t>
      </w:r>
      <w:r w:rsidR="00BD547F">
        <w:t>ulation</w:t>
      </w:r>
      <w:r>
        <w:t xml:space="preserve"> specifies the matters that may be disclosed for the purposes of reporting on the administration of this Act. </w:t>
      </w:r>
      <w:r w:rsidR="00370FC3">
        <w:t>These matters include</w:t>
      </w:r>
      <w:r w:rsidR="007753FC">
        <w:t>:</w:t>
      </w:r>
      <w:r w:rsidR="00370FC3">
        <w:t xml:space="preserve"> </w:t>
      </w:r>
    </w:p>
    <w:p w14:paraId="15F78DF9" w14:textId="68F0118E" w:rsidR="007753FC" w:rsidRPr="007753FC" w:rsidRDefault="00370FC3" w:rsidP="00F40AEE">
      <w:pPr>
        <w:pStyle w:val="Bullet"/>
        <w:spacing w:before="120"/>
        <w:rPr>
          <w:i/>
        </w:rPr>
      </w:pPr>
      <w:r>
        <w:t>the number of notices that are given for the purposes of the Act</w:t>
      </w:r>
      <w:r w:rsidR="000D6784">
        <w:t xml:space="preserve"> during a particular period</w:t>
      </w:r>
      <w:r w:rsidR="007753FC">
        <w:t>;</w:t>
      </w:r>
    </w:p>
    <w:p w14:paraId="2066380E" w14:textId="79C93AD1" w:rsidR="007753FC" w:rsidRPr="007753FC" w:rsidRDefault="007753FC" w:rsidP="00F40AEE">
      <w:pPr>
        <w:pStyle w:val="Bullet"/>
        <w:spacing w:before="120"/>
        <w:rPr>
          <w:i/>
        </w:rPr>
      </w:pPr>
      <w:r>
        <w:t>the number of no objection notification</w:t>
      </w:r>
      <w:r w:rsidR="00BD547F">
        <w:t>s</w:t>
      </w:r>
      <w:r>
        <w:t xml:space="preserve"> imposing conditions that are given</w:t>
      </w:r>
      <w:r w:rsidR="00BD547F">
        <w:t xml:space="preserve"> during a particular period; </w:t>
      </w:r>
    </w:p>
    <w:p w14:paraId="63BB20D8" w14:textId="57B82FD4" w:rsidR="00C36DE0" w:rsidRPr="00BD547F" w:rsidRDefault="007753FC" w:rsidP="00F40AEE">
      <w:pPr>
        <w:pStyle w:val="Bullet"/>
        <w:spacing w:before="120"/>
        <w:rPr>
          <w:i/>
        </w:rPr>
      </w:pPr>
      <w:r>
        <w:t>the number of no objection notification</w:t>
      </w:r>
      <w:r w:rsidR="00BD547F">
        <w:t>s</w:t>
      </w:r>
      <w:r>
        <w:t xml:space="preserve"> not imposing conditions that are given</w:t>
      </w:r>
      <w:r w:rsidR="00BD547F">
        <w:t xml:space="preserve"> during a particular period;</w:t>
      </w:r>
    </w:p>
    <w:p w14:paraId="2C5F8EEA" w14:textId="5CDE523F" w:rsidR="00BD547F" w:rsidRPr="000D6784" w:rsidRDefault="000D6784" w:rsidP="00F40AEE">
      <w:pPr>
        <w:pStyle w:val="Bullet"/>
        <w:spacing w:before="120"/>
        <w:rPr>
          <w:i/>
        </w:rPr>
      </w:pPr>
      <w:r>
        <w:t>the number of exemption certificates that are given during a particular period;</w:t>
      </w:r>
    </w:p>
    <w:p w14:paraId="0EF1E14C" w14:textId="580616AC" w:rsidR="000D6784" w:rsidRPr="000D6784" w:rsidRDefault="000D6784" w:rsidP="00F40AEE">
      <w:pPr>
        <w:pStyle w:val="Bullet"/>
        <w:spacing w:before="120"/>
        <w:rPr>
          <w:i/>
        </w:rPr>
      </w:pPr>
      <w:r>
        <w:t>the number of orders that are made prohibiting a proposed significant action; and</w:t>
      </w:r>
    </w:p>
    <w:p w14:paraId="4862D7BD" w14:textId="7CA0B1E0" w:rsidR="000D6784" w:rsidRPr="00C36DE0" w:rsidRDefault="000D6784" w:rsidP="00F40AEE">
      <w:pPr>
        <w:pStyle w:val="Bullet"/>
        <w:spacing w:before="120"/>
        <w:rPr>
          <w:i/>
        </w:rPr>
      </w:pPr>
      <w:r>
        <w:t xml:space="preserve">the number of disposal orders made during a particular period. </w:t>
      </w:r>
    </w:p>
    <w:p w14:paraId="4E7CAE86" w14:textId="238DD146" w:rsidR="005C13FC" w:rsidRPr="00AD7CEE" w:rsidRDefault="005C13FC" w:rsidP="00A362AB">
      <w:pPr>
        <w:pStyle w:val="Bullet"/>
        <w:keepNext/>
        <w:numPr>
          <w:ilvl w:val="0"/>
          <w:numId w:val="0"/>
        </w:numPr>
        <w:spacing w:before="120"/>
      </w:pPr>
      <w:r w:rsidRPr="005C13FC">
        <w:t>A number o</w:t>
      </w:r>
      <w:r>
        <w:t>r</w:t>
      </w:r>
      <w:r w:rsidR="00AC2977">
        <w:t xml:space="preserve"> value may be specified</w:t>
      </w:r>
      <w:r w:rsidRPr="00AD7CEE">
        <w:t xml:space="preserve"> as a total number or value, or by reference to particular c</w:t>
      </w:r>
      <w:r w:rsidR="00AC2977">
        <w:t>l</w:t>
      </w:r>
      <w:r w:rsidRPr="00AD7CEE">
        <w:t>as</w:t>
      </w:r>
      <w:r w:rsidR="00AC2977">
        <w:t>s</w:t>
      </w:r>
      <w:r w:rsidRPr="00AD7CEE">
        <w:t>es, or both.</w:t>
      </w:r>
      <w:r>
        <w:t xml:space="preserve"> For example,</w:t>
      </w:r>
      <w:r w:rsidR="00AC2977">
        <w:t xml:space="preserve"> aggregate data about the number of notices given</w:t>
      </w:r>
      <w:r w:rsidR="003A0FF2">
        <w:t xml:space="preserve"> under the Act might distinguish between the kinds of notices that may be given under the Act. </w:t>
      </w:r>
    </w:p>
    <w:p w14:paraId="3B93CECF" w14:textId="19727A6C" w:rsidR="00822CF0" w:rsidRPr="00CA0B17" w:rsidRDefault="004E6DCB" w:rsidP="006608AC">
      <w:pPr>
        <w:pStyle w:val="Heading2"/>
      </w:pPr>
      <w:r>
        <w:t>Part </w:t>
      </w:r>
      <w:r w:rsidR="008F16E4">
        <w:t>7 </w:t>
      </w:r>
      <w:r w:rsidR="008F16E4" w:rsidRPr="00CA0B17">
        <w:rPr>
          <w:rFonts w:ascii="Calibri" w:hAnsi="Calibri"/>
        </w:rPr>
        <w:t>—</w:t>
      </w:r>
      <w:r w:rsidR="008F16E4" w:rsidRPr="008F16E4">
        <w:t> </w:t>
      </w:r>
      <w:r w:rsidR="00822CF0" w:rsidRPr="00CA0B17">
        <w:t>Application and transitional provisions</w:t>
      </w:r>
    </w:p>
    <w:p w14:paraId="74526B28" w14:textId="7AF0D475" w:rsidR="008B3240" w:rsidRDefault="008B3240" w:rsidP="00AD7CEE">
      <w:pPr>
        <w:pStyle w:val="Bullet"/>
        <w:keepNext/>
        <w:numPr>
          <w:ilvl w:val="0"/>
          <w:numId w:val="0"/>
        </w:numPr>
        <w:spacing w:before="120"/>
      </w:pPr>
      <w:r w:rsidRPr="00B85446">
        <w:rPr>
          <w:b/>
        </w:rPr>
        <w:t>Section </w:t>
      </w:r>
      <w:r w:rsidR="008F16E4">
        <w:rPr>
          <w:b/>
        </w:rPr>
        <w:t>63 </w:t>
      </w:r>
      <w:r w:rsidR="008F16E4" w:rsidRPr="00B85446">
        <w:rPr>
          <w:rFonts w:ascii="Calibri" w:hAnsi="Calibri"/>
          <w:b/>
        </w:rPr>
        <w:t>—</w:t>
      </w:r>
      <w:r w:rsidR="008F16E4">
        <w:rPr>
          <w:b/>
        </w:rPr>
        <w:t> </w:t>
      </w:r>
      <w:r w:rsidRPr="00B85446">
        <w:rPr>
          <w:b/>
        </w:rPr>
        <w:t>Simplified outline of this Part</w:t>
      </w:r>
    </w:p>
    <w:p w14:paraId="642896E7" w14:textId="4B4CE717" w:rsidR="008B3240" w:rsidRPr="008B3240" w:rsidRDefault="006B538D" w:rsidP="00AD7CEE">
      <w:pPr>
        <w:pStyle w:val="Bullet"/>
        <w:keepNext/>
        <w:numPr>
          <w:ilvl w:val="0"/>
          <w:numId w:val="0"/>
        </w:numPr>
        <w:spacing w:before="120"/>
        <w:rPr>
          <w:b/>
        </w:rPr>
      </w:pPr>
      <w:r>
        <w:t>Section </w:t>
      </w:r>
      <w:r w:rsidR="00D7284B">
        <w:t>63</w:t>
      </w:r>
      <w:r>
        <w:t xml:space="preserve"> of the Regulation provides a simplified outline of Part</w:t>
      </w:r>
      <w:r w:rsidR="00A03E5D">
        <w:t> </w:t>
      </w:r>
      <w:r>
        <w:t xml:space="preserve">7 of the Regulation, which contains application and transitional provisions. </w:t>
      </w:r>
    </w:p>
    <w:p w14:paraId="7BEBD96A" w14:textId="21230DD7" w:rsidR="00F87F57" w:rsidRPr="00E76356" w:rsidRDefault="00297533" w:rsidP="00AD7CEE">
      <w:pPr>
        <w:pStyle w:val="Bullet"/>
        <w:keepNext/>
        <w:numPr>
          <w:ilvl w:val="0"/>
          <w:numId w:val="0"/>
        </w:numPr>
        <w:spacing w:before="120"/>
        <w:rPr>
          <w:b/>
        </w:rPr>
      </w:pPr>
      <w:r w:rsidRPr="00E76356">
        <w:rPr>
          <w:b/>
        </w:rPr>
        <w:t>Section</w:t>
      </w:r>
      <w:r>
        <w:rPr>
          <w:b/>
        </w:rPr>
        <w:t> </w:t>
      </w:r>
      <w:r w:rsidR="008F16E4">
        <w:rPr>
          <w:b/>
        </w:rPr>
        <w:t>64 </w:t>
      </w:r>
      <w:r w:rsidR="008F16E4" w:rsidRPr="00E76356">
        <w:rPr>
          <w:rFonts w:ascii="Calibri" w:hAnsi="Calibri"/>
          <w:b/>
        </w:rPr>
        <w:t>—</w:t>
      </w:r>
      <w:r w:rsidR="008F16E4" w:rsidRPr="008F16E4">
        <w:rPr>
          <w:b/>
        </w:rPr>
        <w:t> </w:t>
      </w:r>
      <w:r w:rsidR="00F87F57" w:rsidRPr="00E76356">
        <w:rPr>
          <w:b/>
        </w:rPr>
        <w:t>Values determined this section commences</w:t>
      </w:r>
    </w:p>
    <w:p w14:paraId="211C7049" w14:textId="1D026E71" w:rsidR="00F87F57" w:rsidRPr="00F87F57" w:rsidRDefault="007E3591" w:rsidP="00AD7CEE">
      <w:pPr>
        <w:pStyle w:val="Bullet"/>
        <w:keepNext/>
        <w:numPr>
          <w:ilvl w:val="0"/>
          <w:numId w:val="0"/>
        </w:numPr>
        <w:spacing w:before="120"/>
      </w:pPr>
      <w:r>
        <w:t>To avoid doubt, section </w:t>
      </w:r>
      <w:r w:rsidR="00D7284B">
        <w:t>64</w:t>
      </w:r>
      <w:r w:rsidR="00D7284B" w:rsidRPr="00F87F57">
        <w:t xml:space="preserve"> </w:t>
      </w:r>
      <w:r w:rsidR="00F87F57" w:rsidRPr="00F87F57">
        <w:t>of the Regulation confi</w:t>
      </w:r>
      <w:r w:rsidR="00F87F57">
        <w:t>rms that a reference in section </w:t>
      </w:r>
      <w:r w:rsidR="00AD7CEE">
        <w:t xml:space="preserve">19 </w:t>
      </w:r>
      <w:r w:rsidR="00793754">
        <w:t xml:space="preserve">of the Regulation </w:t>
      </w:r>
      <w:r w:rsidR="00F87F57" w:rsidRPr="00F87F57">
        <w:t xml:space="preserve">to the last </w:t>
      </w:r>
      <w:r w:rsidR="009710E1">
        <w:t xml:space="preserve">financial statement </w:t>
      </w:r>
      <w:r w:rsidR="00F87F57" w:rsidRPr="00F87F57">
        <w:t>of an entity includes a refere</w:t>
      </w:r>
      <w:r w:rsidR="00F87F57">
        <w:t xml:space="preserve">nce to a </w:t>
      </w:r>
      <w:r w:rsidR="009710E1">
        <w:t>financial statement</w:t>
      </w:r>
      <w:r w:rsidR="00F87F57">
        <w:t xml:space="preserve"> audited </w:t>
      </w:r>
      <w:r>
        <w:t>before section </w:t>
      </w:r>
      <w:r w:rsidR="00D7284B">
        <w:t>64</w:t>
      </w:r>
      <w:r w:rsidR="00D7284B" w:rsidRPr="00F87F57">
        <w:t xml:space="preserve"> </w:t>
      </w:r>
      <w:r w:rsidR="00F87F57" w:rsidRPr="00F87F57">
        <w:t>of the Regulation commences</w:t>
      </w:r>
      <w:r w:rsidR="00F87F57">
        <w:t xml:space="preserve">. </w:t>
      </w:r>
    </w:p>
    <w:p w14:paraId="682AEA6B" w14:textId="349F6A77" w:rsidR="00F87F57" w:rsidRPr="00E76356" w:rsidRDefault="00297533" w:rsidP="00AD7CEE">
      <w:pPr>
        <w:pStyle w:val="Bullet"/>
        <w:keepNext/>
        <w:numPr>
          <w:ilvl w:val="0"/>
          <w:numId w:val="0"/>
        </w:numPr>
        <w:spacing w:before="120"/>
        <w:rPr>
          <w:b/>
        </w:rPr>
      </w:pPr>
      <w:r w:rsidRPr="00AD7CEE">
        <w:rPr>
          <w:b/>
        </w:rPr>
        <w:t>Section</w:t>
      </w:r>
      <w:r>
        <w:rPr>
          <w:b/>
        </w:rPr>
        <w:t> </w:t>
      </w:r>
      <w:r w:rsidR="00D7284B">
        <w:rPr>
          <w:b/>
        </w:rPr>
        <w:t>65</w:t>
      </w:r>
      <w:r w:rsidR="008F16E4" w:rsidRPr="008F16E4">
        <w:rPr>
          <w:b/>
        </w:rPr>
        <w:t> </w:t>
      </w:r>
      <w:r w:rsidR="008F16E4" w:rsidRPr="00AD7CEE">
        <w:rPr>
          <w:rFonts w:ascii="Calibri" w:hAnsi="Calibri"/>
          <w:b/>
        </w:rPr>
        <w:t>—</w:t>
      </w:r>
      <w:r w:rsidR="008F16E4">
        <w:rPr>
          <w:b/>
        </w:rPr>
        <w:t> </w:t>
      </w:r>
      <w:r w:rsidR="00F87F57" w:rsidRPr="00AD7CEE">
        <w:rPr>
          <w:b/>
        </w:rPr>
        <w:t>Application of indexation provision</w:t>
      </w:r>
    </w:p>
    <w:p w14:paraId="3EC4C4DF" w14:textId="3477D1C0" w:rsidR="002F6C5A" w:rsidRDefault="007E3591" w:rsidP="00AD7CEE">
      <w:pPr>
        <w:pStyle w:val="Bullet"/>
        <w:keepNext/>
        <w:numPr>
          <w:ilvl w:val="0"/>
          <w:numId w:val="0"/>
        </w:numPr>
        <w:spacing w:before="120"/>
      </w:pPr>
      <w:r>
        <w:t>Section </w:t>
      </w:r>
      <w:r w:rsidR="00D7284B">
        <w:t xml:space="preserve">53 </w:t>
      </w:r>
      <w:r w:rsidR="008C5F8A">
        <w:t>of the Regulation applies on and after 1 January 2016.</w:t>
      </w:r>
    </w:p>
    <w:p w14:paraId="3CB14568" w14:textId="1921128C" w:rsidR="008C5F8A" w:rsidRPr="00E76356" w:rsidRDefault="00297533" w:rsidP="00AD7CEE">
      <w:pPr>
        <w:pStyle w:val="Bullet"/>
        <w:numPr>
          <w:ilvl w:val="0"/>
          <w:numId w:val="0"/>
        </w:numPr>
        <w:spacing w:before="120"/>
        <w:rPr>
          <w:b/>
        </w:rPr>
      </w:pPr>
      <w:r w:rsidRPr="00E76356">
        <w:rPr>
          <w:b/>
        </w:rPr>
        <w:t>Section</w:t>
      </w:r>
      <w:r>
        <w:rPr>
          <w:b/>
        </w:rPr>
        <w:t> </w:t>
      </w:r>
      <w:r w:rsidR="00D7284B">
        <w:rPr>
          <w:b/>
        </w:rPr>
        <w:t>66</w:t>
      </w:r>
      <w:r w:rsidR="008F16E4" w:rsidRPr="008F16E4">
        <w:rPr>
          <w:b/>
        </w:rPr>
        <w:t> </w:t>
      </w:r>
      <w:r w:rsidR="008F16E4" w:rsidRPr="00E76356">
        <w:rPr>
          <w:rFonts w:ascii="Calibri" w:hAnsi="Calibri"/>
          <w:b/>
        </w:rPr>
        <w:t>—</w:t>
      </w:r>
      <w:r w:rsidR="008F16E4">
        <w:rPr>
          <w:b/>
        </w:rPr>
        <w:t> </w:t>
      </w:r>
      <w:r w:rsidR="008C5F8A" w:rsidRPr="00E76356">
        <w:rPr>
          <w:b/>
        </w:rPr>
        <w:t>Application of disclosures of periodic aggregate information</w:t>
      </w:r>
    </w:p>
    <w:p w14:paraId="56C4DB64" w14:textId="69467A3D" w:rsidR="007B67EB" w:rsidRDefault="007E3591" w:rsidP="00AD7CEE">
      <w:pPr>
        <w:pStyle w:val="Bullet"/>
        <w:numPr>
          <w:ilvl w:val="0"/>
          <w:numId w:val="0"/>
        </w:numPr>
        <w:spacing w:before="120"/>
      </w:pPr>
      <w:r>
        <w:t>Section </w:t>
      </w:r>
      <w:r w:rsidR="00D7284B">
        <w:t xml:space="preserve">62 </w:t>
      </w:r>
      <w:r w:rsidR="008C5F8A">
        <w:t xml:space="preserve">applies in relation to any information specifying matters prescribed under that section </w:t>
      </w:r>
      <w:r w:rsidR="00793754">
        <w:t>that is disclosed after section </w:t>
      </w:r>
      <w:r w:rsidR="00D7284B">
        <w:t xml:space="preserve">66 </w:t>
      </w:r>
      <w:r w:rsidR="00C36DE0">
        <w:t xml:space="preserve">of the Regulation </w:t>
      </w:r>
      <w:r w:rsidR="008C5F8A">
        <w:t>commences.</w:t>
      </w:r>
    </w:p>
    <w:p w14:paraId="1643AD07" w14:textId="49034053" w:rsidR="002E6BDE" w:rsidRDefault="002E6BDE">
      <w:pPr>
        <w:spacing w:before="0" w:after="0"/>
        <w:rPr>
          <w:szCs w:val="23"/>
        </w:rPr>
      </w:pPr>
      <w:r>
        <w:br w:type="page"/>
      </w:r>
    </w:p>
    <w:p w14:paraId="1CC78413" w14:textId="50EC8DE9" w:rsidR="008C5F8A" w:rsidRPr="00FC1DDF" w:rsidRDefault="00E50D29" w:rsidP="00B85446">
      <w:pPr>
        <w:pStyle w:val="Bullet"/>
        <w:numPr>
          <w:ilvl w:val="0"/>
          <w:numId w:val="0"/>
        </w:numPr>
        <w:spacing w:before="120"/>
        <w:jc w:val="right"/>
        <w:rPr>
          <w:b/>
          <w:u w:val="single"/>
        </w:rPr>
      </w:pPr>
      <w:r w:rsidRPr="00FC1DDF">
        <w:rPr>
          <w:b/>
          <w:u w:val="single"/>
        </w:rPr>
        <w:t>ATTACHMENT </w:t>
      </w:r>
      <w:r w:rsidR="002E6BDE" w:rsidRPr="00FC1DDF">
        <w:rPr>
          <w:b/>
          <w:u w:val="single"/>
        </w:rPr>
        <w:t>C</w:t>
      </w:r>
    </w:p>
    <w:p w14:paraId="3091EAE2" w14:textId="77777777" w:rsidR="002E6BDE" w:rsidRDefault="002E6BDE" w:rsidP="002E6BDE">
      <w:pPr>
        <w:pStyle w:val="Heading3"/>
        <w:jc w:val="center"/>
      </w:pPr>
      <w:r>
        <w:t>Statement of Compatibility with Human Rights</w:t>
      </w:r>
    </w:p>
    <w:p w14:paraId="68ECB764" w14:textId="1C77AAA5" w:rsidR="002E6BDE" w:rsidRPr="00E4438C" w:rsidRDefault="002E6BDE" w:rsidP="002E6BDE">
      <w:pPr>
        <w:jc w:val="center"/>
        <w:rPr>
          <w:i/>
        </w:rPr>
      </w:pPr>
      <w:r w:rsidRPr="00E4438C">
        <w:rPr>
          <w:i/>
        </w:rPr>
        <w:t xml:space="preserve">Prepared in accordance with </w:t>
      </w:r>
      <w:r w:rsidR="00E50D29" w:rsidRPr="00E4438C">
        <w:rPr>
          <w:i/>
        </w:rPr>
        <w:t>Part</w:t>
      </w:r>
      <w:r w:rsidR="00E50D29">
        <w:rPr>
          <w:i/>
        </w:rPr>
        <w:t> </w:t>
      </w:r>
      <w:r w:rsidRPr="00E4438C">
        <w:rPr>
          <w:i/>
        </w:rPr>
        <w:t xml:space="preserve">3 of the Human Rights (Parliamentary Scrutiny) </w:t>
      </w:r>
      <w:r w:rsidR="00E50D29" w:rsidRPr="00E4438C">
        <w:rPr>
          <w:i/>
        </w:rPr>
        <w:t>Act</w:t>
      </w:r>
      <w:r w:rsidR="00E50D29">
        <w:rPr>
          <w:i/>
        </w:rPr>
        <w:t> </w:t>
      </w:r>
      <w:r w:rsidRPr="00E4438C">
        <w:rPr>
          <w:i/>
        </w:rPr>
        <w:t>2011</w:t>
      </w:r>
    </w:p>
    <w:p w14:paraId="5C44689E" w14:textId="6F9C4B9F" w:rsidR="002E6BDE" w:rsidRPr="00B85446" w:rsidRDefault="004968B9" w:rsidP="002E6BDE">
      <w:pPr>
        <w:jc w:val="center"/>
        <w:rPr>
          <w:b/>
          <w:i/>
        </w:rPr>
      </w:pPr>
      <w:r w:rsidRPr="00B85446">
        <w:rPr>
          <w:b/>
          <w:i/>
        </w:rPr>
        <w:t>Foreign Acquisitions and Takeovers Regulation 2015</w:t>
      </w:r>
    </w:p>
    <w:p w14:paraId="476E67D0" w14:textId="45D979FE" w:rsidR="002E6BDE" w:rsidRDefault="002E6BDE" w:rsidP="002E6BDE">
      <w:r>
        <w:t xml:space="preserve">This Legislative Instrument is compatible with the human rights and freedoms recognised or declared in the international instruments listed in </w:t>
      </w:r>
      <w:r w:rsidR="00E50D29">
        <w:t>section </w:t>
      </w:r>
      <w:r>
        <w:t xml:space="preserve">3 of the </w:t>
      </w:r>
      <w:r w:rsidR="00E50D29" w:rsidRPr="00E4438C">
        <w:rPr>
          <w:i/>
        </w:rPr>
        <w:t>Human</w:t>
      </w:r>
      <w:r w:rsidR="00E50D29">
        <w:rPr>
          <w:i/>
        </w:rPr>
        <w:t> </w:t>
      </w:r>
      <w:r w:rsidRPr="00E4438C">
        <w:rPr>
          <w:i/>
        </w:rPr>
        <w:t xml:space="preserve">Rights (Parliamentary Scrutiny) </w:t>
      </w:r>
      <w:r w:rsidR="00E50D29" w:rsidRPr="00E4438C">
        <w:rPr>
          <w:i/>
        </w:rPr>
        <w:t>Act</w:t>
      </w:r>
      <w:r w:rsidR="00E50D29">
        <w:rPr>
          <w:i/>
        </w:rPr>
        <w:t> </w:t>
      </w:r>
      <w:r w:rsidRPr="00E4438C">
        <w:rPr>
          <w:i/>
        </w:rPr>
        <w:t>2011</w:t>
      </w:r>
      <w:r>
        <w:t>.</w:t>
      </w:r>
    </w:p>
    <w:p w14:paraId="71917E69" w14:textId="77777777" w:rsidR="002E6BDE" w:rsidRDefault="002E6BDE" w:rsidP="00986DBE">
      <w:pPr>
        <w:pStyle w:val="Heading4"/>
      </w:pPr>
      <w:r>
        <w:t xml:space="preserve">Overview of the </w:t>
      </w:r>
      <w:r w:rsidRPr="00E4438C">
        <w:t>Legislative</w:t>
      </w:r>
      <w:r>
        <w:t xml:space="preserve"> Instrument</w:t>
      </w:r>
    </w:p>
    <w:p w14:paraId="75AB78E7" w14:textId="173B24CD" w:rsidR="002E6BDE" w:rsidRDefault="00986DBE" w:rsidP="00986DBE">
      <w:r>
        <w:t xml:space="preserve">The primary purposes of the </w:t>
      </w:r>
      <w:r w:rsidRPr="00986DBE">
        <w:rPr>
          <w:i/>
        </w:rPr>
        <w:t>Foreign</w:t>
      </w:r>
      <w:r>
        <w:rPr>
          <w:i/>
        </w:rPr>
        <w:t> </w:t>
      </w:r>
      <w:r w:rsidRPr="00986DBE">
        <w:rPr>
          <w:i/>
        </w:rPr>
        <w:t>Acquisitions and Takeovers Regulation</w:t>
      </w:r>
      <w:r>
        <w:rPr>
          <w:i/>
        </w:rPr>
        <w:t> </w:t>
      </w:r>
      <w:r w:rsidRPr="00986DBE">
        <w:rPr>
          <w:i/>
        </w:rPr>
        <w:t>2015</w:t>
      </w:r>
      <w:r>
        <w:t xml:space="preserve"> (Regulation) are to:</w:t>
      </w:r>
    </w:p>
    <w:p w14:paraId="4B23845D" w14:textId="7A90B308" w:rsidR="00986DBE" w:rsidRDefault="00986DBE" w:rsidP="00A42C4A">
      <w:pPr>
        <w:pStyle w:val="Bullet"/>
        <w:spacing w:before="120"/>
      </w:pPr>
      <w:r w:rsidRPr="00986DBE">
        <w:t>prescribe definitions for section</w:t>
      </w:r>
      <w:r>
        <w:t> </w:t>
      </w:r>
      <w:r w:rsidRPr="00986DBE">
        <w:t xml:space="preserve">4 of the </w:t>
      </w:r>
      <w:r w:rsidRPr="00986DBE">
        <w:rPr>
          <w:i/>
        </w:rPr>
        <w:t>Foreign</w:t>
      </w:r>
      <w:r>
        <w:rPr>
          <w:i/>
        </w:rPr>
        <w:t> </w:t>
      </w:r>
      <w:r w:rsidRPr="00986DBE">
        <w:rPr>
          <w:i/>
        </w:rPr>
        <w:t>Acquisitions and Takeovers Act</w:t>
      </w:r>
      <w:r>
        <w:rPr>
          <w:i/>
        </w:rPr>
        <w:t> </w:t>
      </w:r>
      <w:r w:rsidRPr="00986DBE">
        <w:rPr>
          <w:i/>
        </w:rPr>
        <w:t>1975</w:t>
      </w:r>
      <w:r w:rsidRPr="00986DBE">
        <w:t xml:space="preserve"> (Act);</w:t>
      </w:r>
    </w:p>
    <w:p w14:paraId="5E7B4D32" w14:textId="77777777" w:rsidR="00986DBE" w:rsidRDefault="00986DBE" w:rsidP="00A42C4A">
      <w:pPr>
        <w:pStyle w:val="Bullet"/>
        <w:spacing w:before="120"/>
      </w:pPr>
      <w:r w:rsidRPr="00986DBE">
        <w:t xml:space="preserve">provide for exemptions from the Act; </w:t>
      </w:r>
    </w:p>
    <w:p w14:paraId="5085F9AE" w14:textId="608678F1" w:rsidR="00986DBE" w:rsidRDefault="00986DBE" w:rsidP="00A42C4A">
      <w:pPr>
        <w:pStyle w:val="Bullet"/>
        <w:spacing w:before="120"/>
      </w:pPr>
      <w:r w:rsidRPr="00986DBE">
        <w:t xml:space="preserve">specify the threshold values </w:t>
      </w:r>
      <w:r>
        <w:t xml:space="preserve">(that is, monetary amounts) </w:t>
      </w:r>
      <w:r w:rsidRPr="00986DBE">
        <w:t>that apply to certain actions; and</w:t>
      </w:r>
    </w:p>
    <w:p w14:paraId="61E43437" w14:textId="2B3ABDCE" w:rsidR="00986DBE" w:rsidRDefault="00986DBE" w:rsidP="00A42C4A">
      <w:pPr>
        <w:pStyle w:val="Bullet"/>
        <w:spacing w:before="120"/>
      </w:pPr>
      <w:r w:rsidRPr="00986DBE">
        <w:t>prescribe certain actions to be significant actions and notifiable actions.</w:t>
      </w:r>
    </w:p>
    <w:p w14:paraId="4E4A3260" w14:textId="77777777" w:rsidR="002E6BDE" w:rsidRDefault="002E6BDE" w:rsidP="002E6BDE">
      <w:pPr>
        <w:pStyle w:val="Heading4"/>
      </w:pPr>
      <w:r>
        <w:t>Human rights implications</w:t>
      </w:r>
    </w:p>
    <w:p w14:paraId="0F7B5B7A" w14:textId="4586724B" w:rsidR="002E6BDE" w:rsidRPr="008240A2" w:rsidRDefault="002E6BDE" w:rsidP="00B85446">
      <w:pPr>
        <w:pStyle w:val="dotpoint0"/>
        <w:numPr>
          <w:ilvl w:val="0"/>
          <w:numId w:val="0"/>
        </w:numPr>
        <w:rPr>
          <w:szCs w:val="24"/>
        </w:rPr>
      </w:pPr>
      <w:r w:rsidRPr="00B85446">
        <w:rPr>
          <w:sz w:val="24"/>
          <w:szCs w:val="24"/>
        </w:rPr>
        <w:t xml:space="preserve">This </w:t>
      </w:r>
      <w:r w:rsidR="005516C3" w:rsidRPr="00B85446">
        <w:rPr>
          <w:sz w:val="24"/>
          <w:szCs w:val="24"/>
        </w:rPr>
        <w:t xml:space="preserve">Legislative Instrument </w:t>
      </w:r>
      <w:r w:rsidRPr="00B85446">
        <w:rPr>
          <w:sz w:val="24"/>
          <w:szCs w:val="24"/>
        </w:rPr>
        <w:t>engage</w:t>
      </w:r>
      <w:r w:rsidR="005516C3" w:rsidRPr="00B85446">
        <w:rPr>
          <w:sz w:val="24"/>
          <w:szCs w:val="24"/>
        </w:rPr>
        <w:t>s</w:t>
      </w:r>
      <w:r w:rsidR="00D92EC9" w:rsidRPr="00B85446">
        <w:rPr>
          <w:sz w:val="24"/>
          <w:szCs w:val="24"/>
        </w:rPr>
        <w:t xml:space="preserve"> the right to freedom from discrimination on prohibited grounds.</w:t>
      </w:r>
    </w:p>
    <w:p w14:paraId="3D5EE9E8" w14:textId="19A316B9" w:rsidR="00D92EC9" w:rsidRDefault="009356A3" w:rsidP="002E6BDE">
      <w:pPr>
        <w:pStyle w:val="Heading4"/>
        <w:rPr>
          <w:i/>
        </w:rPr>
      </w:pPr>
      <w:r>
        <w:rPr>
          <w:i/>
        </w:rPr>
        <w:t>Right to be free from discrimination</w:t>
      </w:r>
    </w:p>
    <w:p w14:paraId="0852FD3D" w14:textId="2EBEFAB8" w:rsidR="00AD0835" w:rsidRPr="005E2B92" w:rsidRDefault="00AD0835" w:rsidP="00B85446">
      <w:pPr>
        <w:pStyle w:val="base-text-paragraph"/>
        <w:tabs>
          <w:tab w:val="clear" w:pos="1987"/>
        </w:tabs>
        <w:ind w:left="0"/>
      </w:pPr>
      <w:r w:rsidRPr="005E2B92">
        <w:t>Article 26 of the International Covenant on Civil and Political Rights (</w:t>
      </w:r>
      <w:r w:rsidR="005E1B53" w:rsidRPr="005E1B53">
        <w:t>Covenant</w:t>
      </w:r>
      <w:r w:rsidRPr="005E2B92">
        <w:t>) recognises that all persons are equal before the law and are entitled without discrimination to the equal protection of the law. Article 26 further provides that ‘the law shall prohibit any discrimination and guarantee to all persons equal and effective protection against discrimination on any ground such as national origin</w:t>
      </w:r>
      <w:r>
        <w:t>’</w:t>
      </w:r>
      <w:r w:rsidRPr="005E2B92">
        <w:t>. However, the Human Rights Committee has recognised that ‘not every differentiation of treatment will constitute discrimination, if the criteria for such differentiation are reasonable and objective and if the aim is to achieve a purpose which is legitimate under the Covenant’.</w:t>
      </w:r>
      <w:r w:rsidRPr="005E2B92">
        <w:rPr>
          <w:vertAlign w:val="superscript"/>
        </w:rPr>
        <w:footnoteReference w:id="6"/>
      </w:r>
    </w:p>
    <w:p w14:paraId="72C9B1B9" w14:textId="778EBED5" w:rsidR="00AD0835" w:rsidRDefault="00AD0835" w:rsidP="00B85446">
      <w:pPr>
        <w:pStyle w:val="base-text-paragraph"/>
        <w:tabs>
          <w:tab w:val="clear" w:pos="1987"/>
        </w:tabs>
        <w:ind w:left="0"/>
      </w:pPr>
      <w:r>
        <w:t>The Legislative Instrument</w:t>
      </w:r>
      <w:r w:rsidRPr="005E2B92">
        <w:t xml:space="preserve"> also generally engages the rights protected by the International Convention on the Elimination of All Forms of Racial Discrimination</w:t>
      </w:r>
      <w:r>
        <w:t xml:space="preserve"> (</w:t>
      </w:r>
      <w:r w:rsidR="005E1B53">
        <w:t>Convention</w:t>
      </w:r>
      <w:r>
        <w:t>)</w:t>
      </w:r>
      <w:r w:rsidRPr="005E2B92">
        <w:t xml:space="preserve">. Paragraph 1 of Article 1 of </w:t>
      </w:r>
      <w:r w:rsidR="005A46B1">
        <w:t xml:space="preserve">the </w:t>
      </w:r>
      <w:r w:rsidR="005E1B53">
        <w:t xml:space="preserve">Convention </w:t>
      </w:r>
      <w:r w:rsidRPr="005E2B92">
        <w:t xml:space="preserve">defines the term ‘racial discrimination’ to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 Under </w:t>
      </w:r>
      <w:r w:rsidRPr="00EA628C">
        <w:t>Article 2(a)(a)</w:t>
      </w:r>
      <w:r w:rsidRPr="005E2B92">
        <w:t xml:space="preserve"> of</w:t>
      </w:r>
      <w:r w:rsidR="00EC7C26">
        <w:t xml:space="preserve"> </w:t>
      </w:r>
      <w:r w:rsidR="005A46B1">
        <w:t xml:space="preserve">the </w:t>
      </w:r>
      <w:r w:rsidR="005E1B53">
        <w:t>Convention</w:t>
      </w:r>
      <w:r w:rsidRPr="005E2B92">
        <w:t xml:space="preserve">, [E]ach State Party undertakes to engage in no act or practice of racial discrimination against persons, groups of persons or institutions and to ensure that all public authorities and public institutions, national and local shall act in conformity with this obligation’. Under Article 5 of </w:t>
      </w:r>
      <w:r w:rsidR="00E50D29">
        <w:t xml:space="preserve">the </w:t>
      </w:r>
      <w:r w:rsidR="005E1B53">
        <w:t>Convention</w:t>
      </w:r>
      <w:r w:rsidR="00E50D29">
        <w:t>, State Parties</w:t>
      </w:r>
      <w:r w:rsidRPr="005E2B92">
        <w:t xml:space="preserve"> ‘undertake to prohibit and eliminate racial discrimination in all its forms and to guarantee the right of everyone, without distinction as to …national …origin, to equality before the law’ in the enjoyment of civil, political, economic, social and cultural rights, including the ‘right to own property alone as well as in association with others’.</w:t>
      </w:r>
    </w:p>
    <w:p w14:paraId="56CFEB13" w14:textId="145D863F" w:rsidR="00C5186D" w:rsidRPr="008876AB" w:rsidRDefault="00C5186D" w:rsidP="00B85446">
      <w:pPr>
        <w:pStyle w:val="base-text-paragraph"/>
        <w:tabs>
          <w:tab w:val="clear" w:pos="1987"/>
        </w:tabs>
        <w:ind w:left="0"/>
        <w:rPr>
          <w:i/>
        </w:rPr>
      </w:pPr>
      <w:r>
        <w:rPr>
          <w:i/>
        </w:rPr>
        <w:t>Differential treatment of individuals with a close connection to Australia</w:t>
      </w:r>
    </w:p>
    <w:p w14:paraId="46EFCAB1" w14:textId="2E72EF3A" w:rsidR="00C5186D" w:rsidRPr="00B17C53" w:rsidRDefault="00A03E5D" w:rsidP="00B85446">
      <w:pPr>
        <w:pStyle w:val="base-text-paragraph"/>
        <w:tabs>
          <w:tab w:val="clear" w:pos="1987"/>
        </w:tabs>
        <w:ind w:left="0"/>
      </w:pPr>
      <w:r>
        <w:t>Secti</w:t>
      </w:r>
      <w:r w:rsidRPr="00B17C53">
        <w:t>ons </w:t>
      </w:r>
      <w:r w:rsidR="008876AB" w:rsidRPr="00B17C53">
        <w:t xml:space="preserve">35 </w:t>
      </w:r>
      <w:r w:rsidR="00092BE6" w:rsidRPr="00B17C53">
        <w:t xml:space="preserve">and </w:t>
      </w:r>
      <w:r w:rsidR="008876AB" w:rsidRPr="00B17C53">
        <w:t xml:space="preserve">38 </w:t>
      </w:r>
      <w:r w:rsidR="00092BE6" w:rsidRPr="00B17C53">
        <w:t xml:space="preserve">of the </w:t>
      </w:r>
      <w:r w:rsidR="008876AB" w:rsidRPr="00B17C53">
        <w:t xml:space="preserve">Regulation </w:t>
      </w:r>
      <w:r w:rsidR="00092BE6" w:rsidRPr="00B17C53">
        <w:t>limit the rights recognised by Art</w:t>
      </w:r>
      <w:r w:rsidR="00DE720B" w:rsidRPr="00B17C53">
        <w:t>icle</w:t>
      </w:r>
      <w:r w:rsidR="00092BE6" w:rsidRPr="00B17C53">
        <w:t xml:space="preserve"> 26 of the </w:t>
      </w:r>
      <w:r w:rsidR="005E1B53" w:rsidRPr="00B17C53">
        <w:t>Covenant</w:t>
      </w:r>
      <w:r w:rsidR="00092BE6" w:rsidRPr="00B17C53">
        <w:t xml:space="preserve"> and </w:t>
      </w:r>
      <w:r w:rsidR="00DE720B" w:rsidRPr="00B17C53">
        <w:t>Articles </w:t>
      </w:r>
      <w:r w:rsidR="00092BE6" w:rsidRPr="00B17C53">
        <w:t xml:space="preserve">2 and 5 of </w:t>
      </w:r>
      <w:r w:rsidR="005E1B53" w:rsidRPr="00B17C53">
        <w:t xml:space="preserve">the Convention </w:t>
      </w:r>
      <w:r w:rsidR="00D87455" w:rsidRPr="00B17C53">
        <w:t xml:space="preserve">because they provide an exemption from certain provisions in the Act </w:t>
      </w:r>
      <w:r w:rsidR="00C5186D" w:rsidRPr="00B17C53">
        <w:t>to individuals who have a close connection to Australia.</w:t>
      </w:r>
      <w:r w:rsidR="00F67428" w:rsidRPr="00B17C53">
        <w:t xml:space="preserve"> Spec</w:t>
      </w:r>
      <w:r w:rsidR="008825E7" w:rsidRPr="00B17C53">
        <w:t>ifically, the effect of section </w:t>
      </w:r>
      <w:r w:rsidR="008876AB" w:rsidRPr="00B17C53">
        <w:t xml:space="preserve">35 </w:t>
      </w:r>
      <w:r w:rsidR="00F67428" w:rsidRPr="00B17C53">
        <w:t>is that the excluded provisions do not apply in relation to an acquisition of an interest in Australian land by an Australian citizen not ordinarily resident in Australia</w:t>
      </w:r>
      <w:r w:rsidR="008876AB" w:rsidRPr="00B17C53">
        <w:t>, an Australian corporation that would not be a foreign</w:t>
      </w:r>
      <w:r w:rsidR="00F67428" w:rsidRPr="00B17C53">
        <w:t xml:space="preserve"> </w:t>
      </w:r>
      <w:r w:rsidR="008876AB" w:rsidRPr="00B17C53">
        <w:t xml:space="preserve">person if interests held in it by Australian citizens not ordinarily resident in Australia were disregarded, </w:t>
      </w:r>
      <w:r w:rsidR="00F67428" w:rsidRPr="00B17C53">
        <w:t xml:space="preserve">or a trustee of a trust that is a resident trust at the time of the acquisition if the trustee </w:t>
      </w:r>
      <w:r w:rsidR="008876AB" w:rsidRPr="00B17C53">
        <w:t xml:space="preserve">would not be </w:t>
      </w:r>
      <w:r w:rsidR="00F67428" w:rsidRPr="00B17C53">
        <w:t xml:space="preserve">a foreign person </w:t>
      </w:r>
      <w:r w:rsidR="008876AB" w:rsidRPr="00B17C53">
        <w:t xml:space="preserve">if </w:t>
      </w:r>
      <w:r w:rsidR="00F67428" w:rsidRPr="00B17C53">
        <w:t>interests held directly in the trust by Australian citizens not ordinarily resident in Australia</w:t>
      </w:r>
      <w:r w:rsidR="008876AB" w:rsidRPr="00B17C53">
        <w:t xml:space="preserve"> were disregarded</w:t>
      </w:r>
      <w:r w:rsidR="00F67428" w:rsidRPr="00B17C53">
        <w:t>. In addition, the excluded provisions do not apply to an acquisition of an interest in agricultural land by a foreign person if the person is the spouse or de</w:t>
      </w:r>
      <w:r w:rsidR="00DE720B" w:rsidRPr="00B17C53">
        <w:t> </w:t>
      </w:r>
      <w:r w:rsidR="00F67428" w:rsidRPr="00B17C53">
        <w:t xml:space="preserve">facto partner of an Australian citizen and the interest is held by the person and his or her spouse or partner as </w:t>
      </w:r>
      <w:r w:rsidR="00034472" w:rsidRPr="00B17C53">
        <w:t>joint</w:t>
      </w:r>
      <w:r w:rsidR="00034472">
        <w:t> </w:t>
      </w:r>
      <w:r w:rsidR="00F67428" w:rsidRPr="00B17C53">
        <w:t xml:space="preserve">tenants. The effect of </w:t>
      </w:r>
      <w:r w:rsidRPr="00B17C53">
        <w:t>subsection </w:t>
      </w:r>
      <w:r w:rsidR="00BE2A5C" w:rsidRPr="00B17C53">
        <w:t>38</w:t>
      </w:r>
      <w:r w:rsidR="00F67428" w:rsidRPr="00B17C53">
        <w:t xml:space="preserve">(2) is that the excluded provisions do not apply in relation to an acquisition of an interest in residential land by a foreign </w:t>
      </w:r>
      <w:r w:rsidR="00B628FE" w:rsidRPr="00B17C53">
        <w:t xml:space="preserve">person </w:t>
      </w:r>
      <w:r w:rsidR="00122296" w:rsidRPr="00B17C53">
        <w:t>if the person is, at the time of the acquisition, the holder of a permanent visa or a special category visa</w:t>
      </w:r>
      <w:r w:rsidR="00BE2A5C" w:rsidRPr="00B17C53">
        <w:t xml:space="preserve"> or an Australian corporation or trustee of a resident trust which would not be a foreign person if such interests in it were disregarded</w:t>
      </w:r>
      <w:r w:rsidR="00122296" w:rsidRPr="00B17C53">
        <w:t>.</w:t>
      </w:r>
      <w:r w:rsidR="00BE2A5C" w:rsidRPr="00B17C53">
        <w:t xml:space="preserve"> S</w:t>
      </w:r>
      <w:r w:rsidRPr="00B17C53">
        <w:t>ubs</w:t>
      </w:r>
      <w:r w:rsidR="00BE2A5C" w:rsidRPr="00B17C53">
        <w:t>ection</w:t>
      </w:r>
      <w:r w:rsidRPr="00B17C53">
        <w:t> </w:t>
      </w:r>
      <w:r w:rsidR="00BE2A5C" w:rsidRPr="00B17C53">
        <w:t xml:space="preserve">38(2) also provides that the excluded provisions do not apply to the acquisition of residential land by the spouse of an Australian citizen, </w:t>
      </w:r>
      <w:r w:rsidR="00EA628C" w:rsidRPr="00B17C53">
        <w:t xml:space="preserve">or </w:t>
      </w:r>
      <w:r w:rsidR="00BE2A5C" w:rsidRPr="00B17C53">
        <w:t>the holder of a permanent visa or a special category visa</w:t>
      </w:r>
      <w:r w:rsidR="00EA628C" w:rsidRPr="00B17C53">
        <w:t xml:space="preserve"> (for the latter, including someone eligible to hold)</w:t>
      </w:r>
      <w:r w:rsidR="00BE2A5C" w:rsidRPr="00B17C53">
        <w:t>.</w:t>
      </w:r>
      <w:r w:rsidR="00122296" w:rsidRPr="00B17C53">
        <w:t xml:space="preserve"> </w:t>
      </w:r>
      <w:r w:rsidR="006A5FCE" w:rsidRPr="00B17C53">
        <w:t>To the extent that these provisions</w:t>
      </w:r>
      <w:r w:rsidR="004B3D6D" w:rsidRPr="00B17C53">
        <w:t xml:space="preserve"> differentiate between Australians who would otherw</w:t>
      </w:r>
      <w:r w:rsidR="008825E7" w:rsidRPr="00B17C53">
        <w:t>ise be a ‘foreign person’ for the purposes of the Act and other foreign persons, this limitation on the right to equality is justified on the basis of the contribution of these Australians to the Australian economy and community over the course of their lives</w:t>
      </w:r>
      <w:r w:rsidR="00510326" w:rsidRPr="00B17C53">
        <w:t>.</w:t>
      </w:r>
      <w:r w:rsidR="001B6353" w:rsidRPr="00B17C53">
        <w:t xml:space="preserve"> These limitations are therefore considered to be reasonable, necessary and proportionate. </w:t>
      </w:r>
    </w:p>
    <w:p w14:paraId="3AF30A15" w14:textId="6B1EA318" w:rsidR="002A6D6F" w:rsidRPr="00B17C53" w:rsidRDefault="00C5186D" w:rsidP="00B85446">
      <w:pPr>
        <w:pStyle w:val="base-text-paragraph"/>
        <w:tabs>
          <w:tab w:val="clear" w:pos="1987"/>
        </w:tabs>
        <w:ind w:left="0"/>
        <w:rPr>
          <w:i/>
        </w:rPr>
      </w:pPr>
      <w:r w:rsidRPr="00B17C53">
        <w:rPr>
          <w:i/>
        </w:rPr>
        <w:t xml:space="preserve">Differential treatment of individuals for the purpose of complying </w:t>
      </w:r>
      <w:r w:rsidR="006F681F" w:rsidRPr="00B17C53">
        <w:rPr>
          <w:i/>
        </w:rPr>
        <w:t xml:space="preserve">with Australia’s obligations under </w:t>
      </w:r>
      <w:r w:rsidR="00D53830" w:rsidRPr="00B17C53">
        <w:rPr>
          <w:i/>
        </w:rPr>
        <w:t>t</w:t>
      </w:r>
      <w:r w:rsidR="006F681F" w:rsidRPr="00B17C53">
        <w:rPr>
          <w:i/>
        </w:rPr>
        <w:t xml:space="preserve">rade </w:t>
      </w:r>
      <w:r w:rsidR="00D53830" w:rsidRPr="00B17C53">
        <w:rPr>
          <w:i/>
        </w:rPr>
        <w:t>agreements</w:t>
      </w:r>
    </w:p>
    <w:p w14:paraId="445B0699" w14:textId="2DF8B890" w:rsidR="00A97B13" w:rsidRPr="00B17C53" w:rsidRDefault="002A6D6F" w:rsidP="00B85446">
      <w:pPr>
        <w:pStyle w:val="base-text-paragraph"/>
        <w:tabs>
          <w:tab w:val="clear" w:pos="1987"/>
        </w:tabs>
        <w:ind w:left="0"/>
      </w:pPr>
      <w:r w:rsidRPr="00B17C53">
        <w:t>Section </w:t>
      </w:r>
      <w:r w:rsidR="00BE2A5C" w:rsidRPr="00B17C53">
        <w:t xml:space="preserve">40 </w:t>
      </w:r>
      <w:r w:rsidR="00A97B13" w:rsidRPr="00B17C53">
        <w:t>of the Regulation</w:t>
      </w:r>
      <w:r w:rsidR="00EC7C26" w:rsidRPr="00B17C53">
        <w:t xml:space="preserve"> </w:t>
      </w:r>
      <w:r w:rsidR="005A46B1" w:rsidRPr="00B17C53">
        <w:t>limits the rights recognised by Art</w:t>
      </w:r>
      <w:r w:rsidR="00E50D29" w:rsidRPr="00B17C53">
        <w:t>icle</w:t>
      </w:r>
      <w:r w:rsidR="005A46B1" w:rsidRPr="00B17C53">
        <w:t> </w:t>
      </w:r>
      <w:r w:rsidRPr="00B17C53">
        <w:t xml:space="preserve">26 of the </w:t>
      </w:r>
      <w:r w:rsidR="005E1B53" w:rsidRPr="00B17C53">
        <w:t>Covenant</w:t>
      </w:r>
      <w:r w:rsidRPr="00B17C53">
        <w:t xml:space="preserve"> and Art</w:t>
      </w:r>
      <w:r w:rsidR="00E50D29" w:rsidRPr="00B17C53">
        <w:t>icle</w:t>
      </w:r>
      <w:r w:rsidRPr="00B17C53">
        <w:t>s </w:t>
      </w:r>
      <w:r w:rsidR="005A46B1" w:rsidRPr="00B17C53">
        <w:t xml:space="preserve">2 and 5 of </w:t>
      </w:r>
      <w:r w:rsidR="005E1B53" w:rsidRPr="00B17C53">
        <w:t>the Convention</w:t>
      </w:r>
      <w:r w:rsidR="000F6D6F" w:rsidRPr="00B17C53">
        <w:t xml:space="preserve"> </w:t>
      </w:r>
      <w:r w:rsidR="00B96217" w:rsidRPr="00B17C53">
        <w:t>because</w:t>
      </w:r>
      <w:r w:rsidR="006B4C20" w:rsidRPr="00B17C53">
        <w:t xml:space="preserve"> it provides certain exemptions in relation to agribusinesses </w:t>
      </w:r>
      <w:r w:rsidR="00A97B13" w:rsidRPr="00B17C53">
        <w:t>that</w:t>
      </w:r>
      <w:r w:rsidR="006B4C20" w:rsidRPr="00B17C53">
        <w:t xml:space="preserve"> and agricultural land that are only available to individuals </w:t>
      </w:r>
      <w:r w:rsidR="000052D5" w:rsidRPr="00B17C53">
        <w:t xml:space="preserve">who are </w:t>
      </w:r>
      <w:r w:rsidR="006B4C20" w:rsidRPr="00B17C53">
        <w:t xml:space="preserve">nationals of certain countries. The effect of </w:t>
      </w:r>
      <w:r w:rsidR="00A03E5D" w:rsidRPr="00B17C53">
        <w:t>subsection </w:t>
      </w:r>
      <w:r w:rsidR="00BE2A5C" w:rsidRPr="00B17C53">
        <w:t>40</w:t>
      </w:r>
      <w:r w:rsidR="006B4C20" w:rsidRPr="00B17C53">
        <w:t>(1) of the Regulation</w:t>
      </w:r>
      <w:r w:rsidR="00546D64" w:rsidRPr="00B17C53">
        <w:t xml:space="preserve"> is that it is not a significant action for a</w:t>
      </w:r>
      <w:r w:rsidR="004E1DBD" w:rsidRPr="00B17C53">
        <w:t xml:space="preserve"> foreign person</w:t>
      </w:r>
      <w:r w:rsidR="00546D64" w:rsidRPr="00B17C53">
        <w:t xml:space="preserve"> </w:t>
      </w:r>
      <w:r w:rsidR="00FB5E4C" w:rsidRPr="00B17C53">
        <w:t xml:space="preserve">(including an individual) </w:t>
      </w:r>
      <w:r w:rsidR="00546D64" w:rsidRPr="00B17C53">
        <w:t>w</w:t>
      </w:r>
      <w:r w:rsidR="00546D64">
        <w:t>ho is a</w:t>
      </w:r>
      <w:r w:rsidR="006B4C20">
        <w:t xml:space="preserve"> </w:t>
      </w:r>
      <w:r w:rsidR="000052D5">
        <w:t>rele</w:t>
      </w:r>
      <w:r w:rsidR="00546D64">
        <w:t>vant agreement country investor to acquire a direct interest in an Australian entity that is a</w:t>
      </w:r>
      <w:r w:rsidR="00546D64" w:rsidRPr="00B17C53">
        <w:t>n agribusiness or to acquire a direct interest in an Australian business that is an agribusiness</w:t>
      </w:r>
      <w:r w:rsidR="000052D5" w:rsidRPr="00B17C53">
        <w:t xml:space="preserve">. Section 5 of the Regulation defines ‘relevant agreement country investor’ to mean </w:t>
      </w:r>
      <w:r w:rsidR="006B4C20" w:rsidRPr="00B17C53">
        <w:t xml:space="preserve">an enterprise or national of </w:t>
      </w:r>
      <w:r w:rsidR="004E1DBD" w:rsidRPr="00B17C53">
        <w:t xml:space="preserve">Chile, </w:t>
      </w:r>
      <w:r w:rsidR="005D792D" w:rsidRPr="00B17C53">
        <w:t>New </w:t>
      </w:r>
      <w:r w:rsidR="004E1DBD" w:rsidRPr="00B17C53">
        <w:t xml:space="preserve">Zealand or </w:t>
      </w:r>
      <w:r w:rsidR="006B4C20" w:rsidRPr="00B17C53">
        <w:t xml:space="preserve">the </w:t>
      </w:r>
      <w:r w:rsidR="005D792D" w:rsidRPr="00B17C53">
        <w:t>United </w:t>
      </w:r>
      <w:r w:rsidR="006B4C20" w:rsidRPr="00B17C53">
        <w:t>States</w:t>
      </w:r>
      <w:r w:rsidR="005D792D" w:rsidRPr="00B17C53">
        <w:t xml:space="preserve"> </w:t>
      </w:r>
      <w:r w:rsidR="004E1DBD" w:rsidRPr="00B17C53">
        <w:t>(other than a foreign government investor)</w:t>
      </w:r>
      <w:r w:rsidR="006B4C20" w:rsidRPr="00B17C53">
        <w:t xml:space="preserve">. </w:t>
      </w:r>
      <w:r w:rsidR="00616C62" w:rsidRPr="00B17C53">
        <w:t>In addition, the effect of s</w:t>
      </w:r>
      <w:r w:rsidR="00A03E5D" w:rsidRPr="00B17C53">
        <w:t>ubs</w:t>
      </w:r>
      <w:r w:rsidR="00616C62" w:rsidRPr="00B17C53">
        <w:t>ection </w:t>
      </w:r>
      <w:r w:rsidR="00BE2A5C" w:rsidRPr="00B17C53">
        <w:t>40</w:t>
      </w:r>
      <w:r w:rsidR="00616C62" w:rsidRPr="00B17C53">
        <w:t xml:space="preserve">(2) of the Regulation is that </w:t>
      </w:r>
      <w:r w:rsidR="009750EA" w:rsidRPr="00B17C53">
        <w:t xml:space="preserve">for </w:t>
      </w:r>
      <w:r w:rsidR="00616C62" w:rsidRPr="00B17C53">
        <w:t xml:space="preserve">the acquisition of an interest in </w:t>
      </w:r>
      <w:r w:rsidR="009750EA" w:rsidRPr="00B17C53">
        <w:t xml:space="preserve">agricultural </w:t>
      </w:r>
      <w:r w:rsidR="00616C62" w:rsidRPr="00B17C53">
        <w:t xml:space="preserve">land by a </w:t>
      </w:r>
      <w:r w:rsidR="00546D64" w:rsidRPr="00B17C53">
        <w:t xml:space="preserve">relevant agreement country investor, </w:t>
      </w:r>
      <w:r w:rsidR="00616C62" w:rsidRPr="00B17C53">
        <w:t>or an enterprise or national of Singapore or Thailand</w:t>
      </w:r>
      <w:r w:rsidR="004E1DBD" w:rsidRPr="00B17C53">
        <w:t xml:space="preserve"> (other than a foreign government investor),</w:t>
      </w:r>
      <w:r w:rsidR="009750EA" w:rsidRPr="00B17C53">
        <w:t xml:space="preserve"> the fact that the land is agricultural land may be disregarded for the purposes of subsections</w:t>
      </w:r>
      <w:r w:rsidR="00A03E5D" w:rsidRPr="00B17C53">
        <w:t> </w:t>
      </w:r>
      <w:r w:rsidR="009750EA" w:rsidRPr="00B17C53">
        <w:t>52(2) and (3) of the Act</w:t>
      </w:r>
      <w:r w:rsidR="00616C62" w:rsidRPr="00B17C53">
        <w:t>.</w:t>
      </w:r>
      <w:r w:rsidR="009750EA" w:rsidRPr="00B17C53">
        <w:t xml:space="preserve"> This means that </w:t>
      </w:r>
      <w:r w:rsidR="00FB5E4C" w:rsidRPr="00B17C53">
        <w:t>differential treatment</w:t>
      </w:r>
      <w:r w:rsidR="009750EA" w:rsidRPr="00B17C53">
        <w:t xml:space="preserve"> appl</w:t>
      </w:r>
      <w:r w:rsidR="00FB5E4C" w:rsidRPr="00B17C53">
        <w:t>ies</w:t>
      </w:r>
      <w:r w:rsidR="009750EA" w:rsidRPr="00B17C53">
        <w:t>.</w:t>
      </w:r>
    </w:p>
    <w:p w14:paraId="396E770D" w14:textId="54C7E23F" w:rsidR="005E2648" w:rsidRDefault="002A6D6F" w:rsidP="00B85446">
      <w:pPr>
        <w:pStyle w:val="base-text-paragraph"/>
        <w:tabs>
          <w:tab w:val="clear" w:pos="1987"/>
        </w:tabs>
        <w:ind w:left="0"/>
      </w:pPr>
      <w:r w:rsidRPr="00B17C53">
        <w:t>Sections </w:t>
      </w:r>
      <w:r w:rsidR="00BE2A5C" w:rsidRPr="00B17C53">
        <w:t xml:space="preserve">51 </w:t>
      </w:r>
      <w:r w:rsidR="00616C62" w:rsidRPr="00B17C53">
        <w:t xml:space="preserve">and </w:t>
      </w:r>
      <w:r w:rsidR="00BE2A5C" w:rsidRPr="00B17C53">
        <w:t xml:space="preserve">52 </w:t>
      </w:r>
      <w:r w:rsidR="00616C62" w:rsidRPr="00B17C53">
        <w:t xml:space="preserve">of the Regulation </w:t>
      </w:r>
      <w:r w:rsidR="004B1D5A" w:rsidRPr="00B17C53">
        <w:t>a</w:t>
      </w:r>
      <w:r w:rsidR="006B4493" w:rsidRPr="00B17C53">
        <w:t>lso limit the rights recognised by Art</w:t>
      </w:r>
      <w:r w:rsidR="00E50D29" w:rsidRPr="00B17C53">
        <w:t>icle</w:t>
      </w:r>
      <w:r w:rsidR="006B4493" w:rsidRPr="00B17C53">
        <w:t xml:space="preserve"> 26 </w:t>
      </w:r>
      <w:r w:rsidR="00FB5E4C" w:rsidRPr="00B17C53">
        <w:t xml:space="preserve">of the </w:t>
      </w:r>
      <w:r w:rsidR="005E1B53" w:rsidRPr="00B17C53">
        <w:t>Covenant</w:t>
      </w:r>
      <w:r w:rsidR="00FB5E4C" w:rsidRPr="00B17C53">
        <w:t xml:space="preserve"> </w:t>
      </w:r>
      <w:r w:rsidR="006B4493" w:rsidRPr="00B17C53">
        <w:t>and Art</w:t>
      </w:r>
      <w:r w:rsidR="00E50D29" w:rsidRPr="00B17C53">
        <w:t>icle</w:t>
      </w:r>
      <w:r w:rsidR="006B4493" w:rsidRPr="00B17C53">
        <w:t>s </w:t>
      </w:r>
      <w:r w:rsidR="004B1D5A" w:rsidRPr="00B17C53">
        <w:t xml:space="preserve">2 and 5 of </w:t>
      </w:r>
      <w:r w:rsidR="005E1B53" w:rsidRPr="00B17C53">
        <w:t>the Convention</w:t>
      </w:r>
      <w:r w:rsidR="004B1D5A" w:rsidRPr="00B17C53">
        <w:t xml:space="preserve"> because </w:t>
      </w:r>
      <w:r w:rsidR="006B4493" w:rsidRPr="00B17C53">
        <w:t xml:space="preserve">higher screening thresholds apply to </w:t>
      </w:r>
      <w:r w:rsidR="004B1D5A" w:rsidRPr="00B17C53">
        <w:t>individuals who are nationals of certain countries</w:t>
      </w:r>
      <w:r w:rsidR="006B4493" w:rsidRPr="00B17C53">
        <w:t xml:space="preserve"> than apply</w:t>
      </w:r>
      <w:r w:rsidR="008E2E8C" w:rsidRPr="00B17C53">
        <w:t xml:space="preserve"> to other citizens</w:t>
      </w:r>
      <w:r w:rsidR="006B4493" w:rsidRPr="00B17C53">
        <w:t>.</w:t>
      </w:r>
      <w:r w:rsidR="004B1D5A" w:rsidRPr="00B17C53">
        <w:t xml:space="preserve"> </w:t>
      </w:r>
      <w:r w:rsidR="00DC2692" w:rsidRPr="00B17C53">
        <w:t>Broadly, t</w:t>
      </w:r>
      <w:r w:rsidR="006B4493" w:rsidRPr="00B17C53">
        <w:t xml:space="preserve">he </w:t>
      </w:r>
      <w:r w:rsidR="00DC2692" w:rsidRPr="00B17C53">
        <w:t>effect of section </w:t>
      </w:r>
      <w:r w:rsidR="00BE2A5C" w:rsidRPr="00B17C53">
        <w:t xml:space="preserve">51 </w:t>
      </w:r>
      <w:r w:rsidR="00DC2692" w:rsidRPr="00B17C53">
        <w:t xml:space="preserve">of the Regulation is that the </w:t>
      </w:r>
      <w:r w:rsidR="006B4493" w:rsidRPr="00B17C53">
        <w:t xml:space="preserve">threshold test is met </w:t>
      </w:r>
      <w:r w:rsidR="00DC2692" w:rsidRPr="00B17C53">
        <w:t xml:space="preserve">by an individual who is an agreement country investor </w:t>
      </w:r>
      <w:r w:rsidR="008E2E8C" w:rsidRPr="00B17C53">
        <w:t xml:space="preserve">(which is relevantly defined by </w:t>
      </w:r>
      <w:r w:rsidR="00D53830" w:rsidRPr="00B17C53">
        <w:t>section </w:t>
      </w:r>
      <w:r w:rsidR="008E2E8C" w:rsidRPr="00B17C53">
        <w:t xml:space="preserve">5 of the Regulation to mean a national of </w:t>
      </w:r>
      <w:r w:rsidR="00FB5E4C" w:rsidRPr="00B17C53">
        <w:t xml:space="preserve">Chile, Japan, Korea, New Zealand or </w:t>
      </w:r>
      <w:r w:rsidR="008E2E8C" w:rsidRPr="00B17C53">
        <w:t xml:space="preserve">the </w:t>
      </w:r>
      <w:r w:rsidR="005D792D" w:rsidRPr="00B17C53">
        <w:t>United </w:t>
      </w:r>
      <w:r w:rsidR="008E2E8C" w:rsidRPr="00B17C53">
        <w:t xml:space="preserve">States) </w:t>
      </w:r>
      <w:r w:rsidR="006B4493" w:rsidRPr="00B17C53">
        <w:t>in relation to an action or business for most significant action</w:t>
      </w:r>
      <w:r w:rsidR="00DC2692" w:rsidRPr="00B17C53">
        <w:t xml:space="preserve">s if the </w:t>
      </w:r>
      <w:r w:rsidR="00B2272E" w:rsidRPr="00B17C53">
        <w:t xml:space="preserve">threshold </w:t>
      </w:r>
      <w:r w:rsidR="00DC2692" w:rsidRPr="00B17C53">
        <w:t>value of the action is more than $</w:t>
      </w:r>
      <w:r w:rsidR="00D53830" w:rsidRPr="00B17C53">
        <w:t>1</w:t>
      </w:r>
      <w:r w:rsidR="00FB5E4C" w:rsidRPr="00B17C53">
        <w:t>,</w:t>
      </w:r>
      <w:r w:rsidR="00D53830" w:rsidRPr="00B17C53">
        <w:t>094 </w:t>
      </w:r>
      <w:r w:rsidR="00DC2692" w:rsidRPr="00B17C53">
        <w:t xml:space="preserve">million. For individuals who are </w:t>
      </w:r>
      <w:r w:rsidR="00E27D80" w:rsidRPr="00B17C53">
        <w:t xml:space="preserve">not </w:t>
      </w:r>
      <w:r w:rsidR="00DC2692" w:rsidRPr="00B17C53">
        <w:t xml:space="preserve">nationals of </w:t>
      </w:r>
      <w:r w:rsidR="00E27D80" w:rsidRPr="00B17C53">
        <w:t>the above</w:t>
      </w:r>
      <w:r w:rsidR="00DC2692" w:rsidRPr="00B17C53">
        <w:t xml:space="preserve"> countries</w:t>
      </w:r>
      <w:r w:rsidR="00E27D80" w:rsidRPr="00B17C53">
        <w:t>,</w:t>
      </w:r>
      <w:r w:rsidR="00DC2692" w:rsidRPr="00B2272E">
        <w:t xml:space="preserve"> the threshold test is met in relation to an action which has a </w:t>
      </w:r>
      <w:r w:rsidR="00B2272E" w:rsidRPr="00B2272E">
        <w:t xml:space="preserve">threshold </w:t>
      </w:r>
      <w:r w:rsidR="00DC2692" w:rsidRPr="00B2272E">
        <w:t>value</w:t>
      </w:r>
      <w:r w:rsidR="00DC2692">
        <w:t xml:space="preserve"> of more than $</w:t>
      </w:r>
      <w:r w:rsidR="00D53830">
        <w:t>252 </w:t>
      </w:r>
      <w:r w:rsidR="00DC2692">
        <w:t>million.</w:t>
      </w:r>
    </w:p>
    <w:p w14:paraId="0962AD00" w14:textId="077DC43D" w:rsidR="00AD0835" w:rsidRDefault="0069118F" w:rsidP="00F63CFD">
      <w:pPr>
        <w:pStyle w:val="base-text-paragraph"/>
        <w:tabs>
          <w:tab w:val="clear" w:pos="1987"/>
        </w:tabs>
        <w:ind w:left="0"/>
      </w:pPr>
      <w:r>
        <w:t>Similarly, t</w:t>
      </w:r>
      <w:r w:rsidR="00176B02">
        <w:t xml:space="preserve">he threshold </w:t>
      </w:r>
      <w:r w:rsidR="000E5DD3">
        <w:t xml:space="preserve">test </w:t>
      </w:r>
      <w:r w:rsidR="00176B02">
        <w:t xml:space="preserve">for </w:t>
      </w:r>
      <w:r w:rsidR="00877683">
        <w:t xml:space="preserve">commercial </w:t>
      </w:r>
      <w:r w:rsidR="00176B02">
        <w:t xml:space="preserve">land </w:t>
      </w:r>
      <w:r w:rsidR="00E27D80">
        <w:t xml:space="preserve">that is not vacant </w:t>
      </w:r>
      <w:r w:rsidR="000E5DD3">
        <w:t xml:space="preserve">acquired by a national who is an agreement country investor </w:t>
      </w:r>
      <w:r w:rsidR="00877683">
        <w:t xml:space="preserve">is </w:t>
      </w:r>
      <w:r w:rsidR="000E5DD3">
        <w:t>$</w:t>
      </w:r>
      <w:r w:rsidR="00D53830">
        <w:t>1</w:t>
      </w:r>
      <w:r w:rsidR="00E27D80">
        <w:t>,</w:t>
      </w:r>
      <w:r w:rsidR="00D53830">
        <w:t>094 </w:t>
      </w:r>
      <w:r w:rsidR="00877683">
        <w:t>million.</w:t>
      </w:r>
      <w:r w:rsidR="0072336D">
        <w:t xml:space="preserve"> </w:t>
      </w:r>
      <w:r w:rsidR="00073586">
        <w:t>The th</w:t>
      </w:r>
      <w:r w:rsidR="000E5DD3">
        <w:t xml:space="preserve">reshold value for </w:t>
      </w:r>
      <w:r>
        <w:t>other nationals is</w:t>
      </w:r>
      <w:r w:rsidR="000E5DD3">
        <w:t xml:space="preserve"> </w:t>
      </w:r>
      <w:r w:rsidR="00877683">
        <w:t>either $</w:t>
      </w:r>
      <w:r w:rsidR="00D53830">
        <w:t>55 </w:t>
      </w:r>
      <w:r w:rsidR="00877683">
        <w:t xml:space="preserve">million or </w:t>
      </w:r>
      <w:r w:rsidR="000E5DD3">
        <w:t>$</w:t>
      </w:r>
      <w:r w:rsidR="00D53830">
        <w:t>252 </w:t>
      </w:r>
      <w:r w:rsidR="000E5DD3">
        <w:t>million</w:t>
      </w:r>
      <w:r w:rsidR="00877683">
        <w:t xml:space="preserve"> (depending on the characteristics of the land</w:t>
      </w:r>
      <w:r w:rsidR="00877683">
        <w:rPr>
          <w:rStyle w:val="FootnoteReference"/>
        </w:rPr>
        <w:footnoteReference w:id="7"/>
      </w:r>
      <w:r w:rsidR="00877683">
        <w:t>).</w:t>
      </w:r>
    </w:p>
    <w:p w14:paraId="6A77BFC6" w14:textId="4E829BEC" w:rsidR="00060672" w:rsidRPr="00F63CFD" w:rsidRDefault="00060672" w:rsidP="00F63CFD">
      <w:pPr>
        <w:tabs>
          <w:tab w:val="left" w:pos="2127"/>
        </w:tabs>
        <w:rPr>
          <w:rFonts w:ascii="Arial" w:hAnsi="Arial"/>
          <w:sz w:val="20"/>
        </w:rPr>
      </w:pPr>
      <w:r>
        <w:t>The Regulation distinguishes between individuals who are nationals of certain countries because</w:t>
      </w:r>
      <w:r w:rsidR="008E2E8C">
        <w:t xml:space="preserve"> Australia has entered into trade agreements with the </w:t>
      </w:r>
      <w:r w:rsidR="00E27D80" w:rsidRPr="00E27D80">
        <w:t xml:space="preserve">Chile, Japan, Korea, </w:t>
      </w:r>
      <w:r w:rsidR="005D792D" w:rsidRPr="00E27D80">
        <w:t>New</w:t>
      </w:r>
      <w:r w:rsidR="005D792D">
        <w:t> </w:t>
      </w:r>
      <w:r w:rsidR="00E27D80" w:rsidRPr="00E27D80">
        <w:t xml:space="preserve">Zealand </w:t>
      </w:r>
      <w:r w:rsidR="00E27D80">
        <w:t>and</w:t>
      </w:r>
      <w:r w:rsidR="00E27D80" w:rsidRPr="00E27D80">
        <w:t xml:space="preserve"> the </w:t>
      </w:r>
      <w:r w:rsidR="005D792D" w:rsidRPr="00E27D80">
        <w:t>United</w:t>
      </w:r>
      <w:r w:rsidR="005D792D">
        <w:t> </w:t>
      </w:r>
      <w:r w:rsidR="00E27D80" w:rsidRPr="00E27D80">
        <w:t>States</w:t>
      </w:r>
      <w:r w:rsidR="003C1C1F">
        <w:t xml:space="preserve"> </w:t>
      </w:r>
      <w:r w:rsidR="008E2E8C">
        <w:t xml:space="preserve">that require Australia to grant </w:t>
      </w:r>
      <w:r w:rsidR="00B67F81">
        <w:t xml:space="preserve">higher </w:t>
      </w:r>
      <w:r w:rsidR="008E2E8C">
        <w:t xml:space="preserve">screening thresholds </w:t>
      </w:r>
      <w:r w:rsidR="00B67F81">
        <w:t>in relation to some transactions</w:t>
      </w:r>
      <w:r w:rsidR="008E2E8C">
        <w:t xml:space="preserve"> than would otherwise be the case.</w:t>
      </w:r>
      <w:r w:rsidR="00A7376A">
        <w:t xml:space="preserve"> </w:t>
      </w:r>
      <w:r w:rsidR="003F7692">
        <w:t xml:space="preserve">As </w:t>
      </w:r>
      <w:r w:rsidR="003F7692" w:rsidRPr="003F7692">
        <w:t>there is no less restrictive way of achie</w:t>
      </w:r>
      <w:r w:rsidR="003F7692">
        <w:t xml:space="preserve">ving the objectives of the Act and giving effect to Australia’s obligations under various </w:t>
      </w:r>
      <w:r w:rsidR="00D53830">
        <w:t>trade agreements</w:t>
      </w:r>
      <w:r w:rsidR="003F7692">
        <w:t>, these</w:t>
      </w:r>
      <w:r w:rsidR="003F7692" w:rsidRPr="003F7692">
        <w:t xml:space="preserve"> limitations are reasonable, necessary and proportionate.</w:t>
      </w:r>
    </w:p>
    <w:p w14:paraId="0A711F8E" w14:textId="77777777" w:rsidR="002E6BDE" w:rsidRDefault="002E6BDE" w:rsidP="002E6BDE">
      <w:pPr>
        <w:pStyle w:val="Heading4"/>
      </w:pPr>
      <w:r>
        <w:t>Conclusion</w:t>
      </w:r>
    </w:p>
    <w:p w14:paraId="625CAC6F" w14:textId="1930F780" w:rsidR="002E6BDE" w:rsidRDefault="002E6BDE" w:rsidP="002E6BDE">
      <w:pPr>
        <w:rPr>
          <w:rFonts w:eastAsiaTheme="minorHAnsi"/>
          <w:szCs w:val="24"/>
        </w:rPr>
      </w:pPr>
      <w:r>
        <w:rPr>
          <w:szCs w:val="24"/>
        </w:rPr>
        <w:t xml:space="preserve">The Legislative Instrument is compatible with human rights because </w:t>
      </w:r>
      <w:r>
        <w:rPr>
          <w:szCs w:val="24"/>
          <w:lang w:val="en-GB"/>
        </w:rPr>
        <w:t xml:space="preserve">to the extent that it may limit human rights, those limitations are reasonable, necessary and </w:t>
      </w:r>
      <w:r>
        <w:rPr>
          <w:szCs w:val="24"/>
        </w:rPr>
        <w:t>proportionate.</w:t>
      </w:r>
    </w:p>
    <w:p w14:paraId="27F0A76C" w14:textId="77777777" w:rsidR="002E6BDE" w:rsidRPr="00F63CFD" w:rsidRDefault="002E6BDE" w:rsidP="00F63CFD">
      <w:pPr>
        <w:pStyle w:val="Bullet"/>
        <w:numPr>
          <w:ilvl w:val="0"/>
          <w:numId w:val="0"/>
        </w:numPr>
        <w:spacing w:before="120"/>
        <w:jc w:val="right"/>
        <w:rPr>
          <w:b/>
        </w:rPr>
      </w:pPr>
    </w:p>
    <w:sectPr w:rsidR="002E6BDE" w:rsidRPr="00F63CFD" w:rsidSect="00392BBA">
      <w:headerReference w:type="even"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D408B" w14:textId="77777777" w:rsidR="000355FB" w:rsidRDefault="000355FB" w:rsidP="005929FA">
      <w:pPr>
        <w:spacing w:before="0" w:after="0"/>
      </w:pPr>
      <w:r>
        <w:separator/>
      </w:r>
    </w:p>
  </w:endnote>
  <w:endnote w:type="continuationSeparator" w:id="0">
    <w:p w14:paraId="1AB27EF2" w14:textId="77777777" w:rsidR="000355FB" w:rsidRDefault="000355FB" w:rsidP="005929FA">
      <w:pPr>
        <w:spacing w:before="0" w:after="0"/>
      </w:pPr>
      <w:r>
        <w:continuationSeparator/>
      </w:r>
    </w:p>
  </w:endnote>
  <w:endnote w:type="continuationNotice" w:id="1">
    <w:p w14:paraId="02669839" w14:textId="77777777" w:rsidR="000355FB" w:rsidRDefault="000355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80482" w14:textId="77777777" w:rsidR="000355FB" w:rsidRDefault="000355FB">
    <w:pPr>
      <w:pStyle w:val="Footer"/>
    </w:pPr>
  </w:p>
  <w:p w14:paraId="34A1A780" w14:textId="401A6383" w:rsidR="000355FB" w:rsidRDefault="000355FB" w:rsidP="005929FA">
    <w:pPr>
      <w:pStyle w:val="SecurityClassification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787493"/>
      <w:docPartObj>
        <w:docPartGallery w:val="Page Numbers (Bottom of Page)"/>
        <w:docPartUnique/>
      </w:docPartObj>
    </w:sdtPr>
    <w:sdtEndPr>
      <w:rPr>
        <w:noProof/>
      </w:rPr>
    </w:sdtEndPr>
    <w:sdtContent>
      <w:p w14:paraId="6A5C45E1" w14:textId="030AA184" w:rsidR="000355FB" w:rsidRDefault="000355FB">
        <w:pPr>
          <w:pStyle w:val="Footer"/>
          <w:jc w:val="right"/>
        </w:pPr>
        <w:r>
          <w:fldChar w:fldCharType="begin"/>
        </w:r>
        <w:r>
          <w:instrText xml:space="preserve"> PAGE   \* MERGEFORMAT </w:instrText>
        </w:r>
        <w:r>
          <w:fldChar w:fldCharType="separate"/>
        </w:r>
        <w:r w:rsidR="003545C5">
          <w:rPr>
            <w:noProof/>
          </w:rPr>
          <w:t>1</w:t>
        </w:r>
        <w:r>
          <w:rPr>
            <w:noProof/>
          </w:rPr>
          <w:fldChar w:fldCharType="end"/>
        </w:r>
      </w:p>
    </w:sdtContent>
  </w:sdt>
  <w:p w14:paraId="01E21619" w14:textId="0C3BBA07" w:rsidR="000355FB" w:rsidRDefault="000355FB" w:rsidP="005929FA">
    <w:pPr>
      <w:pStyle w:val="SecurityClassification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5C58D" w14:textId="77777777" w:rsidR="000355FB" w:rsidRDefault="000355FB">
    <w:pPr>
      <w:pStyle w:val="Footer"/>
    </w:pPr>
  </w:p>
  <w:p w14:paraId="1B386720" w14:textId="726B551E" w:rsidR="000355FB" w:rsidRDefault="000355FB" w:rsidP="005929FA">
    <w:pPr>
      <w:pStyle w:val="SecurityClassification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FCAAE" w14:textId="77777777" w:rsidR="000355FB" w:rsidRDefault="000355FB" w:rsidP="005929FA">
      <w:pPr>
        <w:spacing w:before="0" w:after="0"/>
      </w:pPr>
      <w:r>
        <w:separator/>
      </w:r>
    </w:p>
  </w:footnote>
  <w:footnote w:type="continuationSeparator" w:id="0">
    <w:p w14:paraId="088D8919" w14:textId="77777777" w:rsidR="000355FB" w:rsidRDefault="000355FB" w:rsidP="005929FA">
      <w:pPr>
        <w:spacing w:before="0" w:after="0"/>
      </w:pPr>
      <w:r>
        <w:continuationSeparator/>
      </w:r>
    </w:p>
  </w:footnote>
  <w:footnote w:type="continuationNotice" w:id="1">
    <w:p w14:paraId="505B1772" w14:textId="77777777" w:rsidR="000355FB" w:rsidRDefault="000355FB">
      <w:pPr>
        <w:spacing w:before="0" w:after="0"/>
      </w:pPr>
    </w:p>
  </w:footnote>
  <w:footnote w:id="2">
    <w:p w14:paraId="62DD5FF2" w14:textId="2ADE0CE1" w:rsidR="000355FB" w:rsidRPr="00B11B52" w:rsidRDefault="000355FB">
      <w:pPr>
        <w:pStyle w:val="FootnoteText"/>
        <w:rPr>
          <w:sz w:val="24"/>
        </w:rPr>
      </w:pPr>
      <w:r w:rsidRPr="00B11B52">
        <w:rPr>
          <w:rStyle w:val="FootnoteReference"/>
          <w:sz w:val="24"/>
        </w:rPr>
        <w:footnoteRef/>
      </w:r>
      <w:r w:rsidRPr="00B11B52">
        <w:rPr>
          <w:sz w:val="24"/>
        </w:rPr>
        <w:t xml:space="preserve"> </w:t>
      </w:r>
      <w:r>
        <w:rPr>
          <w:sz w:val="24"/>
          <w:szCs w:val="24"/>
        </w:rPr>
        <w:tab/>
      </w:r>
      <w:r w:rsidRPr="00B11B52">
        <w:rPr>
          <w:sz w:val="24"/>
        </w:rPr>
        <w:t xml:space="preserve">The Legal Information Institute’s website is at: </w:t>
      </w:r>
      <w:r w:rsidRPr="00986DBE">
        <w:rPr>
          <w:sz w:val="24"/>
        </w:rPr>
        <w:t>www.law.cornell.edu</w:t>
      </w:r>
      <w:r w:rsidRPr="00B11B52">
        <w:rPr>
          <w:sz w:val="24"/>
        </w:rPr>
        <w:t>.</w:t>
      </w:r>
    </w:p>
  </w:footnote>
  <w:footnote w:id="3">
    <w:p w14:paraId="1947FEF3" w14:textId="16474EF3" w:rsidR="000355FB" w:rsidRPr="00D513FF" w:rsidRDefault="000355FB">
      <w:pPr>
        <w:pStyle w:val="FootnoteText"/>
        <w:rPr>
          <w:sz w:val="24"/>
        </w:rPr>
      </w:pPr>
      <w:r w:rsidRPr="00CB5561">
        <w:rPr>
          <w:rStyle w:val="FootnoteReference"/>
          <w:sz w:val="24"/>
        </w:rPr>
        <w:footnoteRef/>
      </w:r>
      <w:r w:rsidRPr="00A4141A">
        <w:rPr>
          <w:sz w:val="24"/>
        </w:rPr>
        <w:t xml:space="preserve"> </w:t>
      </w:r>
      <w:r>
        <w:rPr>
          <w:sz w:val="24"/>
          <w:szCs w:val="24"/>
        </w:rPr>
        <w:tab/>
      </w:r>
      <w:r w:rsidRPr="00CB5561">
        <w:rPr>
          <w:sz w:val="24"/>
        </w:rPr>
        <w:t xml:space="preserve">[2005] </w:t>
      </w:r>
      <w:proofErr w:type="spellStart"/>
      <w:r w:rsidRPr="00CB5561">
        <w:rPr>
          <w:sz w:val="24"/>
        </w:rPr>
        <w:t>ATS</w:t>
      </w:r>
      <w:proofErr w:type="spellEnd"/>
      <w:r w:rsidRPr="00CB5561">
        <w:rPr>
          <w:sz w:val="24"/>
        </w:rPr>
        <w:t> 1</w:t>
      </w:r>
      <w:r w:rsidRPr="00A4141A">
        <w:rPr>
          <w:sz w:val="24"/>
        </w:rPr>
        <w:t>.</w:t>
      </w:r>
    </w:p>
  </w:footnote>
  <w:footnote w:id="4">
    <w:p w14:paraId="37DB13B9" w14:textId="52409193" w:rsidR="000355FB" w:rsidRPr="00D513FF" w:rsidRDefault="000355FB">
      <w:pPr>
        <w:pStyle w:val="FootnoteText"/>
        <w:rPr>
          <w:sz w:val="24"/>
        </w:rPr>
      </w:pPr>
      <w:r w:rsidRPr="00D513FF">
        <w:rPr>
          <w:rStyle w:val="FootnoteReference"/>
          <w:sz w:val="24"/>
        </w:rPr>
        <w:footnoteRef/>
      </w:r>
      <w:r w:rsidRPr="00D513FF">
        <w:rPr>
          <w:sz w:val="24"/>
        </w:rPr>
        <w:t xml:space="preserve"> </w:t>
      </w:r>
      <w:r>
        <w:rPr>
          <w:sz w:val="24"/>
          <w:szCs w:val="24"/>
        </w:rPr>
        <w:tab/>
      </w:r>
      <w:r w:rsidRPr="00CB5561">
        <w:rPr>
          <w:sz w:val="24"/>
        </w:rPr>
        <w:t xml:space="preserve">[2013] </w:t>
      </w:r>
      <w:proofErr w:type="spellStart"/>
      <w:r w:rsidRPr="00CB5561">
        <w:rPr>
          <w:sz w:val="24"/>
        </w:rPr>
        <w:t>ATS</w:t>
      </w:r>
      <w:proofErr w:type="spellEnd"/>
      <w:r w:rsidRPr="00A4141A">
        <w:rPr>
          <w:sz w:val="24"/>
        </w:rPr>
        <w:t> 10 and [1983]</w:t>
      </w:r>
      <w:r w:rsidRPr="00D513FF">
        <w:rPr>
          <w:sz w:val="24"/>
        </w:rPr>
        <w:t xml:space="preserve"> </w:t>
      </w:r>
      <w:proofErr w:type="spellStart"/>
      <w:r w:rsidRPr="00D513FF">
        <w:rPr>
          <w:sz w:val="24"/>
        </w:rPr>
        <w:t>ATS</w:t>
      </w:r>
      <w:proofErr w:type="spellEnd"/>
      <w:r w:rsidRPr="00D513FF">
        <w:rPr>
          <w:sz w:val="24"/>
        </w:rPr>
        <w:t> 2.</w:t>
      </w:r>
    </w:p>
  </w:footnote>
  <w:footnote w:id="5">
    <w:p w14:paraId="2FCE2D3E" w14:textId="121D9F8E" w:rsidR="000355FB" w:rsidRPr="00D513FF" w:rsidRDefault="000355FB">
      <w:pPr>
        <w:pStyle w:val="FootnoteText"/>
        <w:rPr>
          <w:sz w:val="24"/>
        </w:rPr>
      </w:pPr>
      <w:r w:rsidRPr="00D513FF">
        <w:rPr>
          <w:rStyle w:val="FootnoteReference"/>
          <w:sz w:val="24"/>
        </w:rPr>
        <w:footnoteRef/>
      </w:r>
      <w:r w:rsidRPr="00D513FF">
        <w:rPr>
          <w:sz w:val="24"/>
        </w:rPr>
        <w:t xml:space="preserve"> </w:t>
      </w:r>
      <w:r>
        <w:rPr>
          <w:sz w:val="24"/>
          <w:szCs w:val="24"/>
        </w:rPr>
        <w:tab/>
      </w:r>
      <w:r w:rsidRPr="00CB5561">
        <w:rPr>
          <w:sz w:val="24"/>
        </w:rPr>
        <w:t xml:space="preserve">[2009] </w:t>
      </w:r>
      <w:proofErr w:type="spellStart"/>
      <w:r w:rsidRPr="00CB5561">
        <w:rPr>
          <w:sz w:val="24"/>
        </w:rPr>
        <w:t>ATS</w:t>
      </w:r>
      <w:proofErr w:type="spellEnd"/>
      <w:r w:rsidRPr="00CB5561">
        <w:rPr>
          <w:sz w:val="24"/>
        </w:rPr>
        <w:t> 6</w:t>
      </w:r>
      <w:r w:rsidRPr="00A4141A">
        <w:rPr>
          <w:sz w:val="24"/>
        </w:rPr>
        <w:t>.</w:t>
      </w:r>
    </w:p>
  </w:footnote>
  <w:footnote w:id="6">
    <w:p w14:paraId="3EB3F89F" w14:textId="2103AAE9" w:rsidR="000355FB" w:rsidRPr="001C2071" w:rsidRDefault="000355FB" w:rsidP="00AD0835">
      <w:pPr>
        <w:pStyle w:val="FootnoteText"/>
        <w:rPr>
          <w:sz w:val="24"/>
        </w:rPr>
      </w:pPr>
      <w:r w:rsidRPr="00D513FF">
        <w:rPr>
          <w:rStyle w:val="FootnoteReference"/>
          <w:sz w:val="24"/>
        </w:rPr>
        <w:footnoteRef/>
      </w:r>
      <w:r w:rsidRPr="00D513FF">
        <w:rPr>
          <w:sz w:val="24"/>
        </w:rPr>
        <w:t xml:space="preserve"> </w:t>
      </w:r>
      <w:r>
        <w:rPr>
          <w:sz w:val="24"/>
          <w:szCs w:val="24"/>
        </w:rPr>
        <w:tab/>
      </w:r>
      <w:r w:rsidRPr="001C2071">
        <w:rPr>
          <w:sz w:val="24"/>
        </w:rPr>
        <w:t>Human Rights Committee, General Comment No. 18: Non</w:t>
      </w:r>
      <w:r w:rsidRPr="001C2071">
        <w:rPr>
          <w:sz w:val="24"/>
        </w:rPr>
        <w:noBreakHyphen/>
        <w:t>discrimination, Thirty</w:t>
      </w:r>
      <w:r w:rsidRPr="001C2071">
        <w:rPr>
          <w:sz w:val="24"/>
        </w:rPr>
        <w:noBreakHyphen/>
        <w:t>seventh session, 10 November 1989, [13].</w:t>
      </w:r>
    </w:p>
  </w:footnote>
  <w:footnote w:id="7">
    <w:p w14:paraId="78F604F6" w14:textId="0D22EFC9" w:rsidR="000355FB" w:rsidRPr="00986DBE" w:rsidRDefault="000355FB" w:rsidP="00F46EE8">
      <w:pPr>
        <w:pStyle w:val="FootnoteText"/>
        <w:rPr>
          <w:sz w:val="24"/>
        </w:rPr>
      </w:pPr>
      <w:r w:rsidRPr="001C2071">
        <w:rPr>
          <w:sz w:val="24"/>
          <w:vertAlign w:val="superscript"/>
        </w:rPr>
        <w:t>6</w:t>
      </w:r>
      <w:r w:rsidRPr="00986DBE">
        <w:rPr>
          <w:sz w:val="24"/>
        </w:rPr>
        <w:tab/>
        <w:t>See items 3 and 5 of the table in subsection 48(5) of the Regulation and subsection 48(6) of the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176A" w14:textId="117B3E86" w:rsidR="000355FB" w:rsidRDefault="000355FB" w:rsidP="005929FA">
    <w:pPr>
      <w:pStyle w:val="SecurityClassification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47FA9" w14:textId="4F686158" w:rsidR="000355FB" w:rsidRDefault="000355FB" w:rsidP="005929FA">
    <w:pPr>
      <w:pStyle w:val="SecurityClassification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2748"/>
    <w:multiLevelType w:val="multilevel"/>
    <w:tmpl w:val="A8600800"/>
    <w:lvl w:ilvl="0">
      <w:start w:val="6"/>
      <w:numFmt w:val="decimal"/>
      <w:pStyle w:val="OutlineNumbered1"/>
      <w:lvlText w:val="%1."/>
      <w:lvlJc w:val="left"/>
      <w:pPr>
        <w:tabs>
          <w:tab w:val="num" w:pos="1040"/>
        </w:tabs>
        <w:ind w:left="1040" w:hanging="520"/>
      </w:pPr>
      <w:rPr>
        <w:rFonts w:hint="default"/>
      </w:rPr>
    </w:lvl>
    <w:lvl w:ilvl="1">
      <w:start w:val="1"/>
      <w:numFmt w:val="decimal"/>
      <w:pStyle w:val="OutlineNumbered2"/>
      <w:lvlText w:val="%1.%2."/>
      <w:lvlJc w:val="left"/>
      <w:pPr>
        <w:tabs>
          <w:tab w:val="num" w:pos="1560"/>
        </w:tabs>
        <w:ind w:left="1560" w:hanging="520"/>
      </w:pPr>
      <w:rPr>
        <w:rFonts w:hint="default"/>
      </w:rPr>
    </w:lvl>
    <w:lvl w:ilvl="2">
      <w:start w:val="1"/>
      <w:numFmt w:val="decimal"/>
      <w:pStyle w:val="OutlineNumbered3"/>
      <w:lvlText w:val="%1.%2.%3."/>
      <w:lvlJc w:val="left"/>
      <w:pPr>
        <w:tabs>
          <w:tab w:val="num" w:pos="2080"/>
        </w:tabs>
        <w:ind w:left="2080" w:hanging="520"/>
      </w:pPr>
      <w:rPr>
        <w:rFonts w:hint="default"/>
      </w:rPr>
    </w:lvl>
    <w:lvl w:ilvl="3">
      <w:start w:val="1"/>
      <w:numFmt w:val="decimal"/>
      <w:lvlText w:val="(%4)"/>
      <w:lvlJc w:val="left"/>
      <w:pPr>
        <w:ind w:left="1960" w:hanging="360"/>
      </w:pPr>
      <w:rPr>
        <w:rFonts w:hint="default"/>
      </w:rPr>
    </w:lvl>
    <w:lvl w:ilvl="4">
      <w:start w:val="1"/>
      <w:numFmt w:val="lowerLetter"/>
      <w:lvlText w:val="(%5)"/>
      <w:lvlJc w:val="left"/>
      <w:pPr>
        <w:ind w:left="2320" w:hanging="360"/>
      </w:pPr>
      <w:rPr>
        <w:rFonts w:hint="default"/>
      </w:rPr>
    </w:lvl>
    <w:lvl w:ilvl="5">
      <w:start w:val="1"/>
      <w:numFmt w:val="lowerRoman"/>
      <w:lvlText w:val="(%6)"/>
      <w:lvlJc w:val="left"/>
      <w:pPr>
        <w:ind w:left="2680" w:hanging="360"/>
      </w:pPr>
      <w:rPr>
        <w:rFonts w:hint="default"/>
      </w:rPr>
    </w:lvl>
    <w:lvl w:ilvl="6">
      <w:start w:val="1"/>
      <w:numFmt w:val="decimal"/>
      <w:lvlText w:val="%7."/>
      <w:lvlJc w:val="left"/>
      <w:pPr>
        <w:ind w:left="3040" w:hanging="360"/>
      </w:pPr>
      <w:rPr>
        <w:rFonts w:hint="default"/>
      </w:rPr>
    </w:lvl>
    <w:lvl w:ilvl="7">
      <w:start w:val="1"/>
      <w:numFmt w:val="lowerLetter"/>
      <w:lvlText w:val="%8."/>
      <w:lvlJc w:val="left"/>
      <w:pPr>
        <w:ind w:left="3400" w:hanging="360"/>
      </w:pPr>
      <w:rPr>
        <w:rFonts w:hint="default"/>
      </w:rPr>
    </w:lvl>
    <w:lvl w:ilvl="8">
      <w:start w:val="1"/>
      <w:numFmt w:val="lowerRoman"/>
      <w:lvlText w:val="%9."/>
      <w:lvlJc w:val="left"/>
      <w:pPr>
        <w:ind w:left="3760" w:hanging="360"/>
      </w:pPr>
      <w:rPr>
        <w:rFonts w:hint="default"/>
      </w:rPr>
    </w:lvl>
  </w:abstractNum>
  <w:abstractNum w:abstractNumId="1">
    <w:nsid w:val="244237C5"/>
    <w:multiLevelType w:val="multilevel"/>
    <w:tmpl w:val="7B8E620E"/>
    <w:name w:val="StandardNumberedList"/>
    <w:lvl w:ilvl="0">
      <w:start w:val="1"/>
      <w:numFmt w:val="decimal"/>
      <w:lvlText w:val="%1."/>
      <w:lvlJc w:val="left"/>
      <w:pPr>
        <w:tabs>
          <w:tab w:val="num" w:pos="520"/>
        </w:tabs>
        <w:ind w:left="520" w:hanging="520"/>
      </w:pPr>
      <w:rPr>
        <w:rFonts w:cs="Times New Roman"/>
        <w:b w:val="0"/>
        <w:i w:val="0"/>
      </w:rPr>
    </w:lvl>
    <w:lvl w:ilvl="1">
      <w:start w:val="1"/>
      <w:numFmt w:val="lowerLetter"/>
      <w:lvlText w:val="%2."/>
      <w:lvlJc w:val="left"/>
      <w:pPr>
        <w:tabs>
          <w:tab w:val="num" w:pos="1040"/>
        </w:tabs>
        <w:ind w:left="1040" w:hanging="520"/>
      </w:pPr>
      <w:rPr>
        <w:rFonts w:cs="Times New Roman"/>
        <w:b w:val="0"/>
        <w:i w:val="0"/>
      </w:rPr>
    </w:lvl>
    <w:lvl w:ilvl="2">
      <w:start w:val="1"/>
      <w:numFmt w:val="lowerRoman"/>
      <w:lvlText w:val="%3."/>
      <w:lvlJc w:val="left"/>
      <w:pPr>
        <w:tabs>
          <w:tab w:val="num" w:pos="1560"/>
        </w:tabs>
        <w:ind w:left="1560" w:hanging="520"/>
      </w:pPr>
      <w:rPr>
        <w:rFonts w:cs="Times New Roman"/>
        <w:b w:val="0"/>
        <w:i w:val="0"/>
      </w:rPr>
    </w:lvl>
    <w:lvl w:ilvl="3">
      <w:start w:val="1"/>
      <w:numFmt w:val="decimal"/>
      <w:lvlText w:val="%1.%2.%3.%4"/>
      <w:lvlJc w:val="left"/>
      <w:pPr>
        <w:tabs>
          <w:tab w:val="num" w:pos="2551"/>
        </w:tabs>
        <w:ind w:left="2551" w:hanging="850"/>
      </w:pPr>
      <w:rPr>
        <w:rFonts w:cs="Times New Roman"/>
        <w:b w:val="0"/>
        <w:i w:val="0"/>
      </w:rPr>
    </w:lvl>
    <w:lvl w:ilvl="4">
      <w:start w:val="1"/>
      <w:numFmt w:val="lowerLetter"/>
      <w:lvlText w:val="(%5)"/>
      <w:lvlJc w:val="left"/>
      <w:pPr>
        <w:tabs>
          <w:tab w:val="num" w:pos="2835"/>
        </w:tabs>
        <w:ind w:left="2835" w:hanging="567"/>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
    <w:nsid w:val="2AD31290"/>
    <w:multiLevelType w:val="multilevel"/>
    <w:tmpl w:val="A2A07E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F950960"/>
    <w:multiLevelType w:val="multilevel"/>
    <w:tmpl w:val="A178EF7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nsid w:val="67A43C0B"/>
    <w:multiLevelType w:val="multilevel"/>
    <w:tmpl w:val="ECC86AB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5A3327E"/>
    <w:multiLevelType w:val="multilevel"/>
    <w:tmpl w:val="7610E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7FE0C05"/>
    <w:multiLevelType w:val="multilevel"/>
    <w:tmpl w:val="7DA81130"/>
    <w:lvl w:ilvl="0">
      <w:start w:val="1"/>
      <w:numFmt w:val="lowerLetter"/>
      <w:lvlText w:val="%1)"/>
      <w:lvlJc w:val="left"/>
      <w:pPr>
        <w:tabs>
          <w:tab w:val="num" w:pos="567"/>
        </w:tabs>
        <w:ind w:left="567" w:hanging="567"/>
      </w:p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6"/>
  </w:num>
  <w:num w:numId="3">
    <w:abstractNumId w:val="8"/>
  </w:num>
  <w:num w:numId="4">
    <w:abstractNumId w:val="0"/>
  </w:num>
  <w:num w:numId="5">
    <w:abstractNumId w:val="5"/>
  </w:num>
  <w:num w:numId="6">
    <w:abstractNumId w:val="4"/>
  </w:num>
  <w:num w:numId="7">
    <w:abstractNumId w:val="2"/>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AA57F8"/>
    <w:rsid w:val="000052D5"/>
    <w:rsid w:val="00005A37"/>
    <w:rsid w:val="00007F4E"/>
    <w:rsid w:val="00013190"/>
    <w:rsid w:val="00014720"/>
    <w:rsid w:val="00015463"/>
    <w:rsid w:val="000161EE"/>
    <w:rsid w:val="00016EA2"/>
    <w:rsid w:val="00020D6A"/>
    <w:rsid w:val="00022C84"/>
    <w:rsid w:val="00022F1A"/>
    <w:rsid w:val="00023DB6"/>
    <w:rsid w:val="000259AB"/>
    <w:rsid w:val="0003338F"/>
    <w:rsid w:val="00033D8A"/>
    <w:rsid w:val="00034472"/>
    <w:rsid w:val="00034815"/>
    <w:rsid w:val="00034F52"/>
    <w:rsid w:val="000355FB"/>
    <w:rsid w:val="0003737B"/>
    <w:rsid w:val="00037D30"/>
    <w:rsid w:val="00041C52"/>
    <w:rsid w:val="00041DC6"/>
    <w:rsid w:val="000437D0"/>
    <w:rsid w:val="0004610F"/>
    <w:rsid w:val="00046C09"/>
    <w:rsid w:val="00047E40"/>
    <w:rsid w:val="00051088"/>
    <w:rsid w:val="00051352"/>
    <w:rsid w:val="0005151F"/>
    <w:rsid w:val="00052D39"/>
    <w:rsid w:val="000532B4"/>
    <w:rsid w:val="00053B53"/>
    <w:rsid w:val="000546A3"/>
    <w:rsid w:val="00056585"/>
    <w:rsid w:val="00056AAD"/>
    <w:rsid w:val="00057219"/>
    <w:rsid w:val="0005782F"/>
    <w:rsid w:val="000601A1"/>
    <w:rsid w:val="00060672"/>
    <w:rsid w:val="00062C93"/>
    <w:rsid w:val="00062F2F"/>
    <w:rsid w:val="00063FEE"/>
    <w:rsid w:val="00064C25"/>
    <w:rsid w:val="00064F86"/>
    <w:rsid w:val="00065995"/>
    <w:rsid w:val="000661B5"/>
    <w:rsid w:val="000665FE"/>
    <w:rsid w:val="00067D81"/>
    <w:rsid w:val="00070983"/>
    <w:rsid w:val="00071BEC"/>
    <w:rsid w:val="00073586"/>
    <w:rsid w:val="00073E1E"/>
    <w:rsid w:val="000741A8"/>
    <w:rsid w:val="00074B73"/>
    <w:rsid w:val="00075F15"/>
    <w:rsid w:val="000776EB"/>
    <w:rsid w:val="00082D1A"/>
    <w:rsid w:val="000842EF"/>
    <w:rsid w:val="00084DBC"/>
    <w:rsid w:val="00086168"/>
    <w:rsid w:val="0008792E"/>
    <w:rsid w:val="00090F0A"/>
    <w:rsid w:val="00092BE6"/>
    <w:rsid w:val="00093651"/>
    <w:rsid w:val="00093AC2"/>
    <w:rsid w:val="00094B33"/>
    <w:rsid w:val="00095211"/>
    <w:rsid w:val="000952EE"/>
    <w:rsid w:val="00095B0D"/>
    <w:rsid w:val="0009712C"/>
    <w:rsid w:val="0009757F"/>
    <w:rsid w:val="000A1C71"/>
    <w:rsid w:val="000A5723"/>
    <w:rsid w:val="000A68AD"/>
    <w:rsid w:val="000A6B7E"/>
    <w:rsid w:val="000A75CD"/>
    <w:rsid w:val="000A76FD"/>
    <w:rsid w:val="000B12EF"/>
    <w:rsid w:val="000B2BDD"/>
    <w:rsid w:val="000B32CE"/>
    <w:rsid w:val="000B3B50"/>
    <w:rsid w:val="000B3D85"/>
    <w:rsid w:val="000B3EC7"/>
    <w:rsid w:val="000B4139"/>
    <w:rsid w:val="000B5AC2"/>
    <w:rsid w:val="000C078D"/>
    <w:rsid w:val="000C10DF"/>
    <w:rsid w:val="000C1212"/>
    <w:rsid w:val="000C199A"/>
    <w:rsid w:val="000C2381"/>
    <w:rsid w:val="000C2D26"/>
    <w:rsid w:val="000C36A8"/>
    <w:rsid w:val="000C4E33"/>
    <w:rsid w:val="000C560C"/>
    <w:rsid w:val="000C56C3"/>
    <w:rsid w:val="000C5F15"/>
    <w:rsid w:val="000C62C8"/>
    <w:rsid w:val="000C6B0B"/>
    <w:rsid w:val="000C72C9"/>
    <w:rsid w:val="000C7E57"/>
    <w:rsid w:val="000D0A45"/>
    <w:rsid w:val="000D2375"/>
    <w:rsid w:val="000D27E3"/>
    <w:rsid w:val="000D2DE1"/>
    <w:rsid w:val="000D3207"/>
    <w:rsid w:val="000D4144"/>
    <w:rsid w:val="000D5DA8"/>
    <w:rsid w:val="000D6784"/>
    <w:rsid w:val="000D6907"/>
    <w:rsid w:val="000E0C03"/>
    <w:rsid w:val="000E1E41"/>
    <w:rsid w:val="000E27E9"/>
    <w:rsid w:val="000E54CC"/>
    <w:rsid w:val="000E5DD3"/>
    <w:rsid w:val="000E5F58"/>
    <w:rsid w:val="000E7C04"/>
    <w:rsid w:val="000F26F7"/>
    <w:rsid w:val="000F48F2"/>
    <w:rsid w:val="000F52A3"/>
    <w:rsid w:val="000F6D6F"/>
    <w:rsid w:val="00102637"/>
    <w:rsid w:val="00102890"/>
    <w:rsid w:val="001064CB"/>
    <w:rsid w:val="001079BE"/>
    <w:rsid w:val="001103CC"/>
    <w:rsid w:val="0011129E"/>
    <w:rsid w:val="00112B4E"/>
    <w:rsid w:val="0011307C"/>
    <w:rsid w:val="00113B45"/>
    <w:rsid w:val="0011412B"/>
    <w:rsid w:val="0011444E"/>
    <w:rsid w:val="001163BD"/>
    <w:rsid w:val="001174BA"/>
    <w:rsid w:val="001206A5"/>
    <w:rsid w:val="00121BD4"/>
    <w:rsid w:val="00121C0E"/>
    <w:rsid w:val="00122296"/>
    <w:rsid w:val="00125AF2"/>
    <w:rsid w:val="00126C42"/>
    <w:rsid w:val="001279DB"/>
    <w:rsid w:val="00130089"/>
    <w:rsid w:val="0013109F"/>
    <w:rsid w:val="001316AF"/>
    <w:rsid w:val="001324B1"/>
    <w:rsid w:val="00132A8A"/>
    <w:rsid w:val="00132B17"/>
    <w:rsid w:val="00133A08"/>
    <w:rsid w:val="0013468B"/>
    <w:rsid w:val="001347E5"/>
    <w:rsid w:val="001354C6"/>
    <w:rsid w:val="00135892"/>
    <w:rsid w:val="00136265"/>
    <w:rsid w:val="00136C73"/>
    <w:rsid w:val="00137FF0"/>
    <w:rsid w:val="00141DA9"/>
    <w:rsid w:val="0014403A"/>
    <w:rsid w:val="001442BA"/>
    <w:rsid w:val="00152A9A"/>
    <w:rsid w:val="001541C2"/>
    <w:rsid w:val="001617FD"/>
    <w:rsid w:val="00161CBA"/>
    <w:rsid w:val="0016204A"/>
    <w:rsid w:val="00162FEF"/>
    <w:rsid w:val="0016540B"/>
    <w:rsid w:val="00166214"/>
    <w:rsid w:val="0016629C"/>
    <w:rsid w:val="0017028E"/>
    <w:rsid w:val="00170FFE"/>
    <w:rsid w:val="00171FC1"/>
    <w:rsid w:val="00174028"/>
    <w:rsid w:val="00176B02"/>
    <w:rsid w:val="001800B6"/>
    <w:rsid w:val="001804A2"/>
    <w:rsid w:val="001804A7"/>
    <w:rsid w:val="00181984"/>
    <w:rsid w:val="00182C2D"/>
    <w:rsid w:val="00182FC1"/>
    <w:rsid w:val="00184B68"/>
    <w:rsid w:val="00184F1C"/>
    <w:rsid w:val="001859BE"/>
    <w:rsid w:val="0018644C"/>
    <w:rsid w:val="00186986"/>
    <w:rsid w:val="00187580"/>
    <w:rsid w:val="00187B01"/>
    <w:rsid w:val="001943B8"/>
    <w:rsid w:val="0019500D"/>
    <w:rsid w:val="00195408"/>
    <w:rsid w:val="00196FE4"/>
    <w:rsid w:val="001974C5"/>
    <w:rsid w:val="001A03B8"/>
    <w:rsid w:val="001A11C7"/>
    <w:rsid w:val="001A1739"/>
    <w:rsid w:val="001A1D8F"/>
    <w:rsid w:val="001A4DAC"/>
    <w:rsid w:val="001A5B41"/>
    <w:rsid w:val="001B0690"/>
    <w:rsid w:val="001B137D"/>
    <w:rsid w:val="001B1A41"/>
    <w:rsid w:val="001B1D1C"/>
    <w:rsid w:val="001B47DD"/>
    <w:rsid w:val="001B4835"/>
    <w:rsid w:val="001B6353"/>
    <w:rsid w:val="001B6C38"/>
    <w:rsid w:val="001B7533"/>
    <w:rsid w:val="001B7642"/>
    <w:rsid w:val="001C0FE9"/>
    <w:rsid w:val="001C2071"/>
    <w:rsid w:val="001C41CF"/>
    <w:rsid w:val="001C67B6"/>
    <w:rsid w:val="001C6A97"/>
    <w:rsid w:val="001C7D47"/>
    <w:rsid w:val="001C7F28"/>
    <w:rsid w:val="001D1793"/>
    <w:rsid w:val="001D37CA"/>
    <w:rsid w:val="001D5A54"/>
    <w:rsid w:val="001E021D"/>
    <w:rsid w:val="001E0B26"/>
    <w:rsid w:val="001E2819"/>
    <w:rsid w:val="001E29A0"/>
    <w:rsid w:val="001E2B78"/>
    <w:rsid w:val="001E3BB7"/>
    <w:rsid w:val="001E4B8A"/>
    <w:rsid w:val="001E5576"/>
    <w:rsid w:val="001E6A74"/>
    <w:rsid w:val="001E6ECE"/>
    <w:rsid w:val="001E7979"/>
    <w:rsid w:val="001F2BD1"/>
    <w:rsid w:val="001F2F11"/>
    <w:rsid w:val="001F41D0"/>
    <w:rsid w:val="001F5DC4"/>
    <w:rsid w:val="00201204"/>
    <w:rsid w:val="00201519"/>
    <w:rsid w:val="002040D3"/>
    <w:rsid w:val="0020443B"/>
    <w:rsid w:val="00205F8A"/>
    <w:rsid w:val="00210226"/>
    <w:rsid w:val="00210C1A"/>
    <w:rsid w:val="002114EA"/>
    <w:rsid w:val="0021198F"/>
    <w:rsid w:val="00213CF4"/>
    <w:rsid w:val="00214468"/>
    <w:rsid w:val="002159B0"/>
    <w:rsid w:val="00216C7A"/>
    <w:rsid w:val="002179CA"/>
    <w:rsid w:val="002203A0"/>
    <w:rsid w:val="00220F16"/>
    <w:rsid w:val="002216AF"/>
    <w:rsid w:val="00221ECB"/>
    <w:rsid w:val="00222434"/>
    <w:rsid w:val="0022263F"/>
    <w:rsid w:val="00222EA2"/>
    <w:rsid w:val="00224C2E"/>
    <w:rsid w:val="002255D4"/>
    <w:rsid w:val="0022692B"/>
    <w:rsid w:val="00226A4F"/>
    <w:rsid w:val="00227A32"/>
    <w:rsid w:val="00231A0D"/>
    <w:rsid w:val="0023293F"/>
    <w:rsid w:val="002341C4"/>
    <w:rsid w:val="0023765E"/>
    <w:rsid w:val="002379D6"/>
    <w:rsid w:val="00240E60"/>
    <w:rsid w:val="00241F29"/>
    <w:rsid w:val="00244281"/>
    <w:rsid w:val="002450D4"/>
    <w:rsid w:val="00245E8C"/>
    <w:rsid w:val="0024785C"/>
    <w:rsid w:val="0025167E"/>
    <w:rsid w:val="00253739"/>
    <w:rsid w:val="00253C82"/>
    <w:rsid w:val="00254C5B"/>
    <w:rsid w:val="00256132"/>
    <w:rsid w:val="002572E6"/>
    <w:rsid w:val="00257BBA"/>
    <w:rsid w:val="0026039B"/>
    <w:rsid w:val="002604BE"/>
    <w:rsid w:val="002607B1"/>
    <w:rsid w:val="00260A4B"/>
    <w:rsid w:val="00260BCA"/>
    <w:rsid w:val="00261414"/>
    <w:rsid w:val="00261F11"/>
    <w:rsid w:val="00262A13"/>
    <w:rsid w:val="00265B01"/>
    <w:rsid w:val="0026751A"/>
    <w:rsid w:val="002678D8"/>
    <w:rsid w:val="00267AB0"/>
    <w:rsid w:val="00267C04"/>
    <w:rsid w:val="002702FB"/>
    <w:rsid w:val="00270A62"/>
    <w:rsid w:val="00272273"/>
    <w:rsid w:val="002729D4"/>
    <w:rsid w:val="00272DD6"/>
    <w:rsid w:val="00273AE2"/>
    <w:rsid w:val="002741DA"/>
    <w:rsid w:val="002768B4"/>
    <w:rsid w:val="00277151"/>
    <w:rsid w:val="00280A91"/>
    <w:rsid w:val="002836B0"/>
    <w:rsid w:val="00283EA2"/>
    <w:rsid w:val="002871C3"/>
    <w:rsid w:val="00290311"/>
    <w:rsid w:val="00290E5D"/>
    <w:rsid w:val="00293127"/>
    <w:rsid w:val="00293599"/>
    <w:rsid w:val="00294576"/>
    <w:rsid w:val="0029503E"/>
    <w:rsid w:val="002953A6"/>
    <w:rsid w:val="00297533"/>
    <w:rsid w:val="002A2C84"/>
    <w:rsid w:val="002A5F8D"/>
    <w:rsid w:val="002A6D6F"/>
    <w:rsid w:val="002B22B0"/>
    <w:rsid w:val="002B288F"/>
    <w:rsid w:val="002B40D4"/>
    <w:rsid w:val="002B4CE5"/>
    <w:rsid w:val="002B58D8"/>
    <w:rsid w:val="002B647F"/>
    <w:rsid w:val="002B77A3"/>
    <w:rsid w:val="002C0AC6"/>
    <w:rsid w:val="002C3519"/>
    <w:rsid w:val="002C59F7"/>
    <w:rsid w:val="002C7DAF"/>
    <w:rsid w:val="002D0AD8"/>
    <w:rsid w:val="002D0D31"/>
    <w:rsid w:val="002D1C61"/>
    <w:rsid w:val="002D4A02"/>
    <w:rsid w:val="002D5002"/>
    <w:rsid w:val="002D5D9E"/>
    <w:rsid w:val="002D6043"/>
    <w:rsid w:val="002D7D0A"/>
    <w:rsid w:val="002E01B4"/>
    <w:rsid w:val="002E2E5C"/>
    <w:rsid w:val="002E3563"/>
    <w:rsid w:val="002E397F"/>
    <w:rsid w:val="002E6B2F"/>
    <w:rsid w:val="002E6BDE"/>
    <w:rsid w:val="002F12AB"/>
    <w:rsid w:val="002F1B31"/>
    <w:rsid w:val="002F2986"/>
    <w:rsid w:val="002F2BF8"/>
    <w:rsid w:val="002F531F"/>
    <w:rsid w:val="002F6623"/>
    <w:rsid w:val="002F6C5A"/>
    <w:rsid w:val="003018FE"/>
    <w:rsid w:val="00301EFF"/>
    <w:rsid w:val="0030296B"/>
    <w:rsid w:val="003032F5"/>
    <w:rsid w:val="0030357F"/>
    <w:rsid w:val="00304236"/>
    <w:rsid w:val="0030665F"/>
    <w:rsid w:val="0030688C"/>
    <w:rsid w:val="00311BD1"/>
    <w:rsid w:val="00311EA6"/>
    <w:rsid w:val="00311F96"/>
    <w:rsid w:val="0031233C"/>
    <w:rsid w:val="0031370D"/>
    <w:rsid w:val="00315054"/>
    <w:rsid w:val="003158F0"/>
    <w:rsid w:val="003177A3"/>
    <w:rsid w:val="00317AFC"/>
    <w:rsid w:val="00320431"/>
    <w:rsid w:val="0032087A"/>
    <w:rsid w:val="00320AB4"/>
    <w:rsid w:val="00322247"/>
    <w:rsid w:val="00322A27"/>
    <w:rsid w:val="003231E3"/>
    <w:rsid w:val="00324FC9"/>
    <w:rsid w:val="00325114"/>
    <w:rsid w:val="003278B2"/>
    <w:rsid w:val="00331301"/>
    <w:rsid w:val="00331943"/>
    <w:rsid w:val="003329D3"/>
    <w:rsid w:val="003330B8"/>
    <w:rsid w:val="00333571"/>
    <w:rsid w:val="003335E0"/>
    <w:rsid w:val="003342CD"/>
    <w:rsid w:val="003348FA"/>
    <w:rsid w:val="00334F91"/>
    <w:rsid w:val="00335042"/>
    <w:rsid w:val="00335DEE"/>
    <w:rsid w:val="0033694C"/>
    <w:rsid w:val="00341CCF"/>
    <w:rsid w:val="00342F61"/>
    <w:rsid w:val="00343171"/>
    <w:rsid w:val="0034319B"/>
    <w:rsid w:val="003436AB"/>
    <w:rsid w:val="00343DCE"/>
    <w:rsid w:val="0034402B"/>
    <w:rsid w:val="00344FBE"/>
    <w:rsid w:val="003451F6"/>
    <w:rsid w:val="00350072"/>
    <w:rsid w:val="003528D6"/>
    <w:rsid w:val="003528FD"/>
    <w:rsid w:val="003545C5"/>
    <w:rsid w:val="00354D21"/>
    <w:rsid w:val="00356158"/>
    <w:rsid w:val="00356B8A"/>
    <w:rsid w:val="00357471"/>
    <w:rsid w:val="00357E3D"/>
    <w:rsid w:val="003611F3"/>
    <w:rsid w:val="003643DA"/>
    <w:rsid w:val="00366047"/>
    <w:rsid w:val="00367FCF"/>
    <w:rsid w:val="0037021C"/>
    <w:rsid w:val="00370FC3"/>
    <w:rsid w:val="003731E8"/>
    <w:rsid w:val="0037427C"/>
    <w:rsid w:val="0037538F"/>
    <w:rsid w:val="00380C3A"/>
    <w:rsid w:val="00381BBC"/>
    <w:rsid w:val="00383500"/>
    <w:rsid w:val="0038409C"/>
    <w:rsid w:val="0038771A"/>
    <w:rsid w:val="00387C39"/>
    <w:rsid w:val="003900DD"/>
    <w:rsid w:val="00390B90"/>
    <w:rsid w:val="00391C23"/>
    <w:rsid w:val="00391DAD"/>
    <w:rsid w:val="003924DB"/>
    <w:rsid w:val="00392BBA"/>
    <w:rsid w:val="00396F66"/>
    <w:rsid w:val="003A05B6"/>
    <w:rsid w:val="003A0AE0"/>
    <w:rsid w:val="003A0FF2"/>
    <w:rsid w:val="003A190C"/>
    <w:rsid w:val="003A230E"/>
    <w:rsid w:val="003A235B"/>
    <w:rsid w:val="003A4243"/>
    <w:rsid w:val="003A518C"/>
    <w:rsid w:val="003A7339"/>
    <w:rsid w:val="003B1C9C"/>
    <w:rsid w:val="003B2DCC"/>
    <w:rsid w:val="003B4094"/>
    <w:rsid w:val="003B6926"/>
    <w:rsid w:val="003B6B66"/>
    <w:rsid w:val="003B6F9F"/>
    <w:rsid w:val="003B7DC4"/>
    <w:rsid w:val="003C06FB"/>
    <w:rsid w:val="003C1B59"/>
    <w:rsid w:val="003C1C1F"/>
    <w:rsid w:val="003C31B6"/>
    <w:rsid w:val="003C3E8F"/>
    <w:rsid w:val="003C3ECB"/>
    <w:rsid w:val="003C4969"/>
    <w:rsid w:val="003C4B93"/>
    <w:rsid w:val="003C4DCF"/>
    <w:rsid w:val="003C648C"/>
    <w:rsid w:val="003C7E52"/>
    <w:rsid w:val="003D14CB"/>
    <w:rsid w:val="003D226D"/>
    <w:rsid w:val="003D47AA"/>
    <w:rsid w:val="003D782A"/>
    <w:rsid w:val="003E075B"/>
    <w:rsid w:val="003E1354"/>
    <w:rsid w:val="003E29AE"/>
    <w:rsid w:val="003E2E95"/>
    <w:rsid w:val="003E447B"/>
    <w:rsid w:val="003E529F"/>
    <w:rsid w:val="003E5F84"/>
    <w:rsid w:val="003F0ACA"/>
    <w:rsid w:val="003F3886"/>
    <w:rsid w:val="003F5875"/>
    <w:rsid w:val="003F5C99"/>
    <w:rsid w:val="003F67AD"/>
    <w:rsid w:val="003F6C3D"/>
    <w:rsid w:val="003F7692"/>
    <w:rsid w:val="003F7FE0"/>
    <w:rsid w:val="00401262"/>
    <w:rsid w:val="00405A3C"/>
    <w:rsid w:val="00406CB0"/>
    <w:rsid w:val="004071A3"/>
    <w:rsid w:val="00411A21"/>
    <w:rsid w:val="00415864"/>
    <w:rsid w:val="00417B42"/>
    <w:rsid w:val="00422E92"/>
    <w:rsid w:val="00422EC1"/>
    <w:rsid w:val="00423026"/>
    <w:rsid w:val="00424658"/>
    <w:rsid w:val="0042483E"/>
    <w:rsid w:val="00424DFB"/>
    <w:rsid w:val="00425A54"/>
    <w:rsid w:val="0042624E"/>
    <w:rsid w:val="00431D0A"/>
    <w:rsid w:val="00433656"/>
    <w:rsid w:val="00437BFC"/>
    <w:rsid w:val="0044196E"/>
    <w:rsid w:val="00441DA6"/>
    <w:rsid w:val="00444EEA"/>
    <w:rsid w:val="004458C2"/>
    <w:rsid w:val="004464DB"/>
    <w:rsid w:val="00450246"/>
    <w:rsid w:val="00451F4F"/>
    <w:rsid w:val="004521BE"/>
    <w:rsid w:val="00452F9F"/>
    <w:rsid w:val="00453CEF"/>
    <w:rsid w:val="00457426"/>
    <w:rsid w:val="00460C54"/>
    <w:rsid w:val="004611C8"/>
    <w:rsid w:val="00461A25"/>
    <w:rsid w:val="00462343"/>
    <w:rsid w:val="00462D37"/>
    <w:rsid w:val="00462E8D"/>
    <w:rsid w:val="00462FCE"/>
    <w:rsid w:val="004644C9"/>
    <w:rsid w:val="00471EC2"/>
    <w:rsid w:val="00473C6D"/>
    <w:rsid w:val="00475AEF"/>
    <w:rsid w:val="00476B6E"/>
    <w:rsid w:val="004812C1"/>
    <w:rsid w:val="00484505"/>
    <w:rsid w:val="00484858"/>
    <w:rsid w:val="00484ABD"/>
    <w:rsid w:val="00490644"/>
    <w:rsid w:val="00493111"/>
    <w:rsid w:val="004955DC"/>
    <w:rsid w:val="004956F9"/>
    <w:rsid w:val="0049620C"/>
    <w:rsid w:val="004968B9"/>
    <w:rsid w:val="004A1A23"/>
    <w:rsid w:val="004A1A42"/>
    <w:rsid w:val="004A2D43"/>
    <w:rsid w:val="004A33FA"/>
    <w:rsid w:val="004A6463"/>
    <w:rsid w:val="004A7939"/>
    <w:rsid w:val="004B0A35"/>
    <w:rsid w:val="004B0B8D"/>
    <w:rsid w:val="004B196B"/>
    <w:rsid w:val="004B1D5A"/>
    <w:rsid w:val="004B1F24"/>
    <w:rsid w:val="004B2B31"/>
    <w:rsid w:val="004B2DD0"/>
    <w:rsid w:val="004B3C7D"/>
    <w:rsid w:val="004B3D6D"/>
    <w:rsid w:val="004B3E1F"/>
    <w:rsid w:val="004B400D"/>
    <w:rsid w:val="004B5192"/>
    <w:rsid w:val="004B6183"/>
    <w:rsid w:val="004B66F0"/>
    <w:rsid w:val="004B6A8A"/>
    <w:rsid w:val="004B705C"/>
    <w:rsid w:val="004C036B"/>
    <w:rsid w:val="004C1D71"/>
    <w:rsid w:val="004C1D8B"/>
    <w:rsid w:val="004C2F11"/>
    <w:rsid w:val="004C357F"/>
    <w:rsid w:val="004C43E6"/>
    <w:rsid w:val="004C6E0F"/>
    <w:rsid w:val="004C7CFE"/>
    <w:rsid w:val="004D0161"/>
    <w:rsid w:val="004D15B5"/>
    <w:rsid w:val="004E1DBD"/>
    <w:rsid w:val="004E2141"/>
    <w:rsid w:val="004E39E1"/>
    <w:rsid w:val="004E3E0F"/>
    <w:rsid w:val="004E6945"/>
    <w:rsid w:val="004E6DCB"/>
    <w:rsid w:val="004E73A9"/>
    <w:rsid w:val="004F26E1"/>
    <w:rsid w:val="004F5257"/>
    <w:rsid w:val="004F5568"/>
    <w:rsid w:val="004F5855"/>
    <w:rsid w:val="004F6F3F"/>
    <w:rsid w:val="004F7A0A"/>
    <w:rsid w:val="00502D03"/>
    <w:rsid w:val="00502EA5"/>
    <w:rsid w:val="00503E44"/>
    <w:rsid w:val="00504D05"/>
    <w:rsid w:val="005052C0"/>
    <w:rsid w:val="0050535F"/>
    <w:rsid w:val="0050585F"/>
    <w:rsid w:val="005058ED"/>
    <w:rsid w:val="00507F00"/>
    <w:rsid w:val="00510326"/>
    <w:rsid w:val="00511481"/>
    <w:rsid w:val="005122BE"/>
    <w:rsid w:val="00512CEC"/>
    <w:rsid w:val="005139EA"/>
    <w:rsid w:val="00513BDD"/>
    <w:rsid w:val="005149F1"/>
    <w:rsid w:val="00515283"/>
    <w:rsid w:val="00515510"/>
    <w:rsid w:val="00516636"/>
    <w:rsid w:val="0051780D"/>
    <w:rsid w:val="00517AE0"/>
    <w:rsid w:val="00521569"/>
    <w:rsid w:val="00525481"/>
    <w:rsid w:val="0052568D"/>
    <w:rsid w:val="005302DC"/>
    <w:rsid w:val="00530926"/>
    <w:rsid w:val="00530CCE"/>
    <w:rsid w:val="00532977"/>
    <w:rsid w:val="00532F24"/>
    <w:rsid w:val="00533842"/>
    <w:rsid w:val="00535421"/>
    <w:rsid w:val="00535522"/>
    <w:rsid w:val="005356AE"/>
    <w:rsid w:val="00537123"/>
    <w:rsid w:val="00537AE7"/>
    <w:rsid w:val="00541380"/>
    <w:rsid w:val="00542980"/>
    <w:rsid w:val="00543D81"/>
    <w:rsid w:val="0054476B"/>
    <w:rsid w:val="00546BB2"/>
    <w:rsid w:val="00546D64"/>
    <w:rsid w:val="00550820"/>
    <w:rsid w:val="00550A24"/>
    <w:rsid w:val="005516C3"/>
    <w:rsid w:val="00551984"/>
    <w:rsid w:val="00552ADA"/>
    <w:rsid w:val="00552CE4"/>
    <w:rsid w:val="005535F5"/>
    <w:rsid w:val="00554462"/>
    <w:rsid w:val="005559CE"/>
    <w:rsid w:val="0055675D"/>
    <w:rsid w:val="00556F13"/>
    <w:rsid w:val="00561ADE"/>
    <w:rsid w:val="0056425F"/>
    <w:rsid w:val="00567CC0"/>
    <w:rsid w:val="00571249"/>
    <w:rsid w:val="00572A5F"/>
    <w:rsid w:val="00572DC4"/>
    <w:rsid w:val="00572DE4"/>
    <w:rsid w:val="00576004"/>
    <w:rsid w:val="0058038F"/>
    <w:rsid w:val="00582EA4"/>
    <w:rsid w:val="005833BE"/>
    <w:rsid w:val="00584AD6"/>
    <w:rsid w:val="00585FCB"/>
    <w:rsid w:val="005868D2"/>
    <w:rsid w:val="00590BAF"/>
    <w:rsid w:val="00591FD5"/>
    <w:rsid w:val="005929FA"/>
    <w:rsid w:val="00592C1C"/>
    <w:rsid w:val="00593DAF"/>
    <w:rsid w:val="0059519C"/>
    <w:rsid w:val="005953E8"/>
    <w:rsid w:val="00596DE5"/>
    <w:rsid w:val="00597485"/>
    <w:rsid w:val="00597851"/>
    <w:rsid w:val="005A0A8E"/>
    <w:rsid w:val="005A2C8F"/>
    <w:rsid w:val="005A46B1"/>
    <w:rsid w:val="005A652C"/>
    <w:rsid w:val="005B033B"/>
    <w:rsid w:val="005B0A55"/>
    <w:rsid w:val="005B0E7F"/>
    <w:rsid w:val="005B4F4E"/>
    <w:rsid w:val="005B5ABA"/>
    <w:rsid w:val="005C080A"/>
    <w:rsid w:val="005C13FC"/>
    <w:rsid w:val="005C25E9"/>
    <w:rsid w:val="005C29CA"/>
    <w:rsid w:val="005C4CCD"/>
    <w:rsid w:val="005C5887"/>
    <w:rsid w:val="005C5993"/>
    <w:rsid w:val="005C6584"/>
    <w:rsid w:val="005C6965"/>
    <w:rsid w:val="005D03C3"/>
    <w:rsid w:val="005D1003"/>
    <w:rsid w:val="005D13D4"/>
    <w:rsid w:val="005D17E4"/>
    <w:rsid w:val="005D1833"/>
    <w:rsid w:val="005D2C17"/>
    <w:rsid w:val="005D38F2"/>
    <w:rsid w:val="005D4E46"/>
    <w:rsid w:val="005D792D"/>
    <w:rsid w:val="005D7D5A"/>
    <w:rsid w:val="005E0C23"/>
    <w:rsid w:val="005E18C9"/>
    <w:rsid w:val="005E1B53"/>
    <w:rsid w:val="005E1EB2"/>
    <w:rsid w:val="005E24E1"/>
    <w:rsid w:val="005E2648"/>
    <w:rsid w:val="005E2E80"/>
    <w:rsid w:val="005E3000"/>
    <w:rsid w:val="005E6F69"/>
    <w:rsid w:val="005F0F12"/>
    <w:rsid w:val="005F5DAF"/>
    <w:rsid w:val="005F73BE"/>
    <w:rsid w:val="0060023F"/>
    <w:rsid w:val="006012CE"/>
    <w:rsid w:val="0060130D"/>
    <w:rsid w:val="0060177D"/>
    <w:rsid w:val="00601DA0"/>
    <w:rsid w:val="00603ACB"/>
    <w:rsid w:val="00604502"/>
    <w:rsid w:val="00607550"/>
    <w:rsid w:val="00607946"/>
    <w:rsid w:val="00607B7A"/>
    <w:rsid w:val="00607B7E"/>
    <w:rsid w:val="00610260"/>
    <w:rsid w:val="00612DA6"/>
    <w:rsid w:val="00612FC8"/>
    <w:rsid w:val="006138B4"/>
    <w:rsid w:val="00616C62"/>
    <w:rsid w:val="00620419"/>
    <w:rsid w:val="0062041A"/>
    <w:rsid w:val="00621008"/>
    <w:rsid w:val="006212FA"/>
    <w:rsid w:val="00621A7A"/>
    <w:rsid w:val="006230E9"/>
    <w:rsid w:val="0062372C"/>
    <w:rsid w:val="00623D57"/>
    <w:rsid w:val="0062504E"/>
    <w:rsid w:val="0062644D"/>
    <w:rsid w:val="00627336"/>
    <w:rsid w:val="00630BA3"/>
    <w:rsid w:val="00630E5E"/>
    <w:rsid w:val="00631539"/>
    <w:rsid w:val="00631C10"/>
    <w:rsid w:val="006333AA"/>
    <w:rsid w:val="00637B31"/>
    <w:rsid w:val="0064129F"/>
    <w:rsid w:val="00642412"/>
    <w:rsid w:val="00642BA1"/>
    <w:rsid w:val="00643067"/>
    <w:rsid w:val="006436BC"/>
    <w:rsid w:val="006449B1"/>
    <w:rsid w:val="0064742F"/>
    <w:rsid w:val="00647AD0"/>
    <w:rsid w:val="00647FB4"/>
    <w:rsid w:val="006531C3"/>
    <w:rsid w:val="0065375D"/>
    <w:rsid w:val="00653790"/>
    <w:rsid w:val="006555EE"/>
    <w:rsid w:val="00655904"/>
    <w:rsid w:val="00656B53"/>
    <w:rsid w:val="006603C6"/>
    <w:rsid w:val="006608AC"/>
    <w:rsid w:val="00660F40"/>
    <w:rsid w:val="00661CBC"/>
    <w:rsid w:val="00664101"/>
    <w:rsid w:val="00665D8A"/>
    <w:rsid w:val="0066720A"/>
    <w:rsid w:val="00667261"/>
    <w:rsid w:val="006711F4"/>
    <w:rsid w:val="006716E5"/>
    <w:rsid w:val="00671EEE"/>
    <w:rsid w:val="0067245C"/>
    <w:rsid w:val="00672542"/>
    <w:rsid w:val="00674D24"/>
    <w:rsid w:val="00675578"/>
    <w:rsid w:val="006760CA"/>
    <w:rsid w:val="006765CB"/>
    <w:rsid w:val="00676A7C"/>
    <w:rsid w:val="00676C2B"/>
    <w:rsid w:val="006777A8"/>
    <w:rsid w:val="00680AC3"/>
    <w:rsid w:val="00682890"/>
    <w:rsid w:val="00683108"/>
    <w:rsid w:val="00684356"/>
    <w:rsid w:val="00684D81"/>
    <w:rsid w:val="006874D0"/>
    <w:rsid w:val="0069022C"/>
    <w:rsid w:val="006909D4"/>
    <w:rsid w:val="00690BD3"/>
    <w:rsid w:val="0069118F"/>
    <w:rsid w:val="00691C0F"/>
    <w:rsid w:val="00692891"/>
    <w:rsid w:val="00692F53"/>
    <w:rsid w:val="0069473E"/>
    <w:rsid w:val="00695A82"/>
    <w:rsid w:val="00696A0A"/>
    <w:rsid w:val="006971F8"/>
    <w:rsid w:val="006A0158"/>
    <w:rsid w:val="006A0450"/>
    <w:rsid w:val="006A095A"/>
    <w:rsid w:val="006A1077"/>
    <w:rsid w:val="006A1CC6"/>
    <w:rsid w:val="006A2233"/>
    <w:rsid w:val="006A3E91"/>
    <w:rsid w:val="006A4821"/>
    <w:rsid w:val="006A52A1"/>
    <w:rsid w:val="006A5FCE"/>
    <w:rsid w:val="006A625B"/>
    <w:rsid w:val="006A789D"/>
    <w:rsid w:val="006A7EAE"/>
    <w:rsid w:val="006B2BAD"/>
    <w:rsid w:val="006B3098"/>
    <w:rsid w:val="006B4493"/>
    <w:rsid w:val="006B4C20"/>
    <w:rsid w:val="006B538D"/>
    <w:rsid w:val="006B5F57"/>
    <w:rsid w:val="006B6F59"/>
    <w:rsid w:val="006B7B02"/>
    <w:rsid w:val="006C1281"/>
    <w:rsid w:val="006C1C2D"/>
    <w:rsid w:val="006C252C"/>
    <w:rsid w:val="006C327E"/>
    <w:rsid w:val="006C35C0"/>
    <w:rsid w:val="006C5526"/>
    <w:rsid w:val="006C71AE"/>
    <w:rsid w:val="006D0372"/>
    <w:rsid w:val="006D06F9"/>
    <w:rsid w:val="006D25FD"/>
    <w:rsid w:val="006D2621"/>
    <w:rsid w:val="006D7E8F"/>
    <w:rsid w:val="006E07BB"/>
    <w:rsid w:val="006E146F"/>
    <w:rsid w:val="006E1BF8"/>
    <w:rsid w:val="006E2792"/>
    <w:rsid w:val="006E2AC4"/>
    <w:rsid w:val="006E3A11"/>
    <w:rsid w:val="006E49EC"/>
    <w:rsid w:val="006F0D7A"/>
    <w:rsid w:val="006F3E36"/>
    <w:rsid w:val="006F5286"/>
    <w:rsid w:val="006F681F"/>
    <w:rsid w:val="00702B67"/>
    <w:rsid w:val="00705268"/>
    <w:rsid w:val="0070553F"/>
    <w:rsid w:val="00705C87"/>
    <w:rsid w:val="00710BE3"/>
    <w:rsid w:val="00710C84"/>
    <w:rsid w:val="007121DD"/>
    <w:rsid w:val="007130D5"/>
    <w:rsid w:val="00714ABB"/>
    <w:rsid w:val="00717A19"/>
    <w:rsid w:val="007225A2"/>
    <w:rsid w:val="00722F33"/>
    <w:rsid w:val="0072336D"/>
    <w:rsid w:val="00725100"/>
    <w:rsid w:val="00725D22"/>
    <w:rsid w:val="00726199"/>
    <w:rsid w:val="00726228"/>
    <w:rsid w:val="00726729"/>
    <w:rsid w:val="00733612"/>
    <w:rsid w:val="00734DBB"/>
    <w:rsid w:val="0074164F"/>
    <w:rsid w:val="007418C6"/>
    <w:rsid w:val="0074274C"/>
    <w:rsid w:val="00743C87"/>
    <w:rsid w:val="00744A33"/>
    <w:rsid w:val="00744F1A"/>
    <w:rsid w:val="0074510C"/>
    <w:rsid w:val="007467D8"/>
    <w:rsid w:val="00746BAC"/>
    <w:rsid w:val="00754391"/>
    <w:rsid w:val="0075627B"/>
    <w:rsid w:val="007568A2"/>
    <w:rsid w:val="0076035F"/>
    <w:rsid w:val="00762195"/>
    <w:rsid w:val="00762AE8"/>
    <w:rsid w:val="00763644"/>
    <w:rsid w:val="0076472F"/>
    <w:rsid w:val="00765267"/>
    <w:rsid w:val="0076643B"/>
    <w:rsid w:val="0076710B"/>
    <w:rsid w:val="00767403"/>
    <w:rsid w:val="00767C4E"/>
    <w:rsid w:val="00770B2D"/>
    <w:rsid w:val="00772933"/>
    <w:rsid w:val="00774D3E"/>
    <w:rsid w:val="007753FC"/>
    <w:rsid w:val="00780022"/>
    <w:rsid w:val="00780FA0"/>
    <w:rsid w:val="00780FF5"/>
    <w:rsid w:val="0078190D"/>
    <w:rsid w:val="00783970"/>
    <w:rsid w:val="007853AD"/>
    <w:rsid w:val="00786290"/>
    <w:rsid w:val="00787424"/>
    <w:rsid w:val="00787E84"/>
    <w:rsid w:val="00787F30"/>
    <w:rsid w:val="0079130D"/>
    <w:rsid w:val="00791616"/>
    <w:rsid w:val="00792296"/>
    <w:rsid w:val="00793754"/>
    <w:rsid w:val="00794376"/>
    <w:rsid w:val="007964A5"/>
    <w:rsid w:val="00796B7E"/>
    <w:rsid w:val="007A0AB2"/>
    <w:rsid w:val="007A1D39"/>
    <w:rsid w:val="007A6FEC"/>
    <w:rsid w:val="007A7168"/>
    <w:rsid w:val="007A7CCB"/>
    <w:rsid w:val="007B10E9"/>
    <w:rsid w:val="007B1124"/>
    <w:rsid w:val="007B2997"/>
    <w:rsid w:val="007B5EDB"/>
    <w:rsid w:val="007B67EB"/>
    <w:rsid w:val="007B79E8"/>
    <w:rsid w:val="007C0B27"/>
    <w:rsid w:val="007C0E5D"/>
    <w:rsid w:val="007C12B9"/>
    <w:rsid w:val="007C1D9F"/>
    <w:rsid w:val="007D0893"/>
    <w:rsid w:val="007D1AAC"/>
    <w:rsid w:val="007D35A5"/>
    <w:rsid w:val="007D3677"/>
    <w:rsid w:val="007D3A8C"/>
    <w:rsid w:val="007D5937"/>
    <w:rsid w:val="007D5F9D"/>
    <w:rsid w:val="007D6115"/>
    <w:rsid w:val="007D6E84"/>
    <w:rsid w:val="007D71D4"/>
    <w:rsid w:val="007D7326"/>
    <w:rsid w:val="007E018D"/>
    <w:rsid w:val="007E05A9"/>
    <w:rsid w:val="007E25AD"/>
    <w:rsid w:val="007E28F0"/>
    <w:rsid w:val="007E2EEF"/>
    <w:rsid w:val="007E3591"/>
    <w:rsid w:val="007E3D4E"/>
    <w:rsid w:val="007E40CB"/>
    <w:rsid w:val="007E4ADA"/>
    <w:rsid w:val="007E55BD"/>
    <w:rsid w:val="007E5A99"/>
    <w:rsid w:val="007E67EF"/>
    <w:rsid w:val="007F07C7"/>
    <w:rsid w:val="007F086A"/>
    <w:rsid w:val="007F259F"/>
    <w:rsid w:val="007F316F"/>
    <w:rsid w:val="007F49EC"/>
    <w:rsid w:val="007F4B30"/>
    <w:rsid w:val="007F4D3A"/>
    <w:rsid w:val="007F5FD0"/>
    <w:rsid w:val="007F6EFF"/>
    <w:rsid w:val="0080136F"/>
    <w:rsid w:val="00801FDC"/>
    <w:rsid w:val="008043C4"/>
    <w:rsid w:val="00804B11"/>
    <w:rsid w:val="008075DA"/>
    <w:rsid w:val="00807E7D"/>
    <w:rsid w:val="00810043"/>
    <w:rsid w:val="008110B2"/>
    <w:rsid w:val="0081239A"/>
    <w:rsid w:val="008127FF"/>
    <w:rsid w:val="00812A31"/>
    <w:rsid w:val="00813021"/>
    <w:rsid w:val="008150CA"/>
    <w:rsid w:val="00821566"/>
    <w:rsid w:val="00822CF0"/>
    <w:rsid w:val="00823F1A"/>
    <w:rsid w:val="008240A2"/>
    <w:rsid w:val="0082415B"/>
    <w:rsid w:val="008265F8"/>
    <w:rsid w:val="00827E44"/>
    <w:rsid w:val="00830C0F"/>
    <w:rsid w:val="00831121"/>
    <w:rsid w:val="00831675"/>
    <w:rsid w:val="00832667"/>
    <w:rsid w:val="00834AB4"/>
    <w:rsid w:val="00835695"/>
    <w:rsid w:val="0083665D"/>
    <w:rsid w:val="00836CED"/>
    <w:rsid w:val="00837702"/>
    <w:rsid w:val="0083784A"/>
    <w:rsid w:val="00840186"/>
    <w:rsid w:val="0084064F"/>
    <w:rsid w:val="00840740"/>
    <w:rsid w:val="00840F3F"/>
    <w:rsid w:val="00843264"/>
    <w:rsid w:val="00843D1A"/>
    <w:rsid w:val="00845940"/>
    <w:rsid w:val="008477FB"/>
    <w:rsid w:val="00850A48"/>
    <w:rsid w:val="00854095"/>
    <w:rsid w:val="00855782"/>
    <w:rsid w:val="00860A82"/>
    <w:rsid w:val="008635CF"/>
    <w:rsid w:val="00865C39"/>
    <w:rsid w:val="008675B9"/>
    <w:rsid w:val="0087082E"/>
    <w:rsid w:val="00872BA7"/>
    <w:rsid w:val="00873E4C"/>
    <w:rsid w:val="0087454B"/>
    <w:rsid w:val="008748DB"/>
    <w:rsid w:val="00874B72"/>
    <w:rsid w:val="00874B9C"/>
    <w:rsid w:val="0087525B"/>
    <w:rsid w:val="0087597E"/>
    <w:rsid w:val="00875F3E"/>
    <w:rsid w:val="008769FF"/>
    <w:rsid w:val="00877683"/>
    <w:rsid w:val="00877745"/>
    <w:rsid w:val="00880643"/>
    <w:rsid w:val="00881099"/>
    <w:rsid w:val="008821EC"/>
    <w:rsid w:val="008825E7"/>
    <w:rsid w:val="008845CD"/>
    <w:rsid w:val="0088467C"/>
    <w:rsid w:val="00885EB3"/>
    <w:rsid w:val="00886765"/>
    <w:rsid w:val="008876AB"/>
    <w:rsid w:val="0089107F"/>
    <w:rsid w:val="0089283F"/>
    <w:rsid w:val="00893DBC"/>
    <w:rsid w:val="008953CF"/>
    <w:rsid w:val="008955C7"/>
    <w:rsid w:val="008A2543"/>
    <w:rsid w:val="008A30F2"/>
    <w:rsid w:val="008A414F"/>
    <w:rsid w:val="008B06EF"/>
    <w:rsid w:val="008B1655"/>
    <w:rsid w:val="008B2C8D"/>
    <w:rsid w:val="008B3240"/>
    <w:rsid w:val="008B4529"/>
    <w:rsid w:val="008B5F19"/>
    <w:rsid w:val="008C0A36"/>
    <w:rsid w:val="008C47C8"/>
    <w:rsid w:val="008C53F1"/>
    <w:rsid w:val="008C56C7"/>
    <w:rsid w:val="008C5F8A"/>
    <w:rsid w:val="008C61BB"/>
    <w:rsid w:val="008C6C0C"/>
    <w:rsid w:val="008C70B9"/>
    <w:rsid w:val="008C7342"/>
    <w:rsid w:val="008C782B"/>
    <w:rsid w:val="008C7C5D"/>
    <w:rsid w:val="008D0893"/>
    <w:rsid w:val="008D0CF5"/>
    <w:rsid w:val="008D130A"/>
    <w:rsid w:val="008D1441"/>
    <w:rsid w:val="008D16F7"/>
    <w:rsid w:val="008D17D7"/>
    <w:rsid w:val="008D25DE"/>
    <w:rsid w:val="008D7017"/>
    <w:rsid w:val="008E021A"/>
    <w:rsid w:val="008E26F1"/>
    <w:rsid w:val="008E2E8C"/>
    <w:rsid w:val="008E38B1"/>
    <w:rsid w:val="008E39E5"/>
    <w:rsid w:val="008E636A"/>
    <w:rsid w:val="008E7E57"/>
    <w:rsid w:val="008F075A"/>
    <w:rsid w:val="008F07ED"/>
    <w:rsid w:val="008F08B8"/>
    <w:rsid w:val="008F16E4"/>
    <w:rsid w:val="008F1A23"/>
    <w:rsid w:val="008F1EA0"/>
    <w:rsid w:val="008F1F25"/>
    <w:rsid w:val="008F22BB"/>
    <w:rsid w:val="008F31FD"/>
    <w:rsid w:val="008F3AF2"/>
    <w:rsid w:val="008F516A"/>
    <w:rsid w:val="008F5825"/>
    <w:rsid w:val="008F5F7F"/>
    <w:rsid w:val="008F68D6"/>
    <w:rsid w:val="00900305"/>
    <w:rsid w:val="00901A2F"/>
    <w:rsid w:val="00903861"/>
    <w:rsid w:val="00905399"/>
    <w:rsid w:val="009053EB"/>
    <w:rsid w:val="0090682A"/>
    <w:rsid w:val="0091037B"/>
    <w:rsid w:val="00910E01"/>
    <w:rsid w:val="00913E15"/>
    <w:rsid w:val="00914243"/>
    <w:rsid w:val="00914421"/>
    <w:rsid w:val="0091456A"/>
    <w:rsid w:val="009147E8"/>
    <w:rsid w:val="0091656C"/>
    <w:rsid w:val="00916649"/>
    <w:rsid w:val="00916921"/>
    <w:rsid w:val="00916EE6"/>
    <w:rsid w:val="00920C06"/>
    <w:rsid w:val="009213ED"/>
    <w:rsid w:val="009221FC"/>
    <w:rsid w:val="00922A8E"/>
    <w:rsid w:val="00922F0E"/>
    <w:rsid w:val="00926511"/>
    <w:rsid w:val="00926983"/>
    <w:rsid w:val="00926E59"/>
    <w:rsid w:val="00927A47"/>
    <w:rsid w:val="00927C4A"/>
    <w:rsid w:val="00927EAA"/>
    <w:rsid w:val="00935355"/>
    <w:rsid w:val="009353E9"/>
    <w:rsid w:val="009356A3"/>
    <w:rsid w:val="00936962"/>
    <w:rsid w:val="009405BF"/>
    <w:rsid w:val="0094308D"/>
    <w:rsid w:val="00943B92"/>
    <w:rsid w:val="0094441B"/>
    <w:rsid w:val="00945D2F"/>
    <w:rsid w:val="00946041"/>
    <w:rsid w:val="00946973"/>
    <w:rsid w:val="009471AB"/>
    <w:rsid w:val="00947872"/>
    <w:rsid w:val="00950880"/>
    <w:rsid w:val="00950F3D"/>
    <w:rsid w:val="00951BD2"/>
    <w:rsid w:val="00952458"/>
    <w:rsid w:val="009534FC"/>
    <w:rsid w:val="00953A9E"/>
    <w:rsid w:val="009544F0"/>
    <w:rsid w:val="00954EA1"/>
    <w:rsid w:val="0095580B"/>
    <w:rsid w:val="0095675C"/>
    <w:rsid w:val="0095725D"/>
    <w:rsid w:val="0096109D"/>
    <w:rsid w:val="00961139"/>
    <w:rsid w:val="00961E3A"/>
    <w:rsid w:val="0096387B"/>
    <w:rsid w:val="00967D2C"/>
    <w:rsid w:val="0097103C"/>
    <w:rsid w:val="009710E1"/>
    <w:rsid w:val="009718D1"/>
    <w:rsid w:val="00972EB5"/>
    <w:rsid w:val="00974467"/>
    <w:rsid w:val="009750EA"/>
    <w:rsid w:val="009758A8"/>
    <w:rsid w:val="0097740A"/>
    <w:rsid w:val="00977A0E"/>
    <w:rsid w:val="00981DD4"/>
    <w:rsid w:val="00982B8C"/>
    <w:rsid w:val="00983208"/>
    <w:rsid w:val="00983ABF"/>
    <w:rsid w:val="00983FAA"/>
    <w:rsid w:val="00985D26"/>
    <w:rsid w:val="00986DBE"/>
    <w:rsid w:val="00986F4B"/>
    <w:rsid w:val="00987213"/>
    <w:rsid w:val="00991D9E"/>
    <w:rsid w:val="009923D5"/>
    <w:rsid w:val="00993030"/>
    <w:rsid w:val="00995C5D"/>
    <w:rsid w:val="00995C72"/>
    <w:rsid w:val="0099607E"/>
    <w:rsid w:val="009A20BC"/>
    <w:rsid w:val="009A25A5"/>
    <w:rsid w:val="009A560C"/>
    <w:rsid w:val="009A60E2"/>
    <w:rsid w:val="009A7EAC"/>
    <w:rsid w:val="009B0BD6"/>
    <w:rsid w:val="009B1153"/>
    <w:rsid w:val="009B129E"/>
    <w:rsid w:val="009B1326"/>
    <w:rsid w:val="009B19E6"/>
    <w:rsid w:val="009B2ABD"/>
    <w:rsid w:val="009B5390"/>
    <w:rsid w:val="009B6FE8"/>
    <w:rsid w:val="009C0259"/>
    <w:rsid w:val="009C0CBA"/>
    <w:rsid w:val="009C12F9"/>
    <w:rsid w:val="009C1385"/>
    <w:rsid w:val="009C152E"/>
    <w:rsid w:val="009C3C50"/>
    <w:rsid w:val="009C403F"/>
    <w:rsid w:val="009C4B67"/>
    <w:rsid w:val="009C7160"/>
    <w:rsid w:val="009D016C"/>
    <w:rsid w:val="009D06E2"/>
    <w:rsid w:val="009D1325"/>
    <w:rsid w:val="009D4470"/>
    <w:rsid w:val="009D580D"/>
    <w:rsid w:val="009D5DAB"/>
    <w:rsid w:val="009E085B"/>
    <w:rsid w:val="009E18C9"/>
    <w:rsid w:val="009E2F86"/>
    <w:rsid w:val="009E34C3"/>
    <w:rsid w:val="009E4095"/>
    <w:rsid w:val="009E6CF5"/>
    <w:rsid w:val="009E708A"/>
    <w:rsid w:val="009E7A80"/>
    <w:rsid w:val="009F07F1"/>
    <w:rsid w:val="009F0BAA"/>
    <w:rsid w:val="009F2193"/>
    <w:rsid w:val="009F3252"/>
    <w:rsid w:val="009F35C8"/>
    <w:rsid w:val="009F4B9D"/>
    <w:rsid w:val="009F561A"/>
    <w:rsid w:val="009F72F2"/>
    <w:rsid w:val="009F7860"/>
    <w:rsid w:val="00A005A7"/>
    <w:rsid w:val="00A02152"/>
    <w:rsid w:val="00A03B6C"/>
    <w:rsid w:val="00A03E5D"/>
    <w:rsid w:val="00A05B15"/>
    <w:rsid w:val="00A05DF3"/>
    <w:rsid w:val="00A10F32"/>
    <w:rsid w:val="00A11098"/>
    <w:rsid w:val="00A1198E"/>
    <w:rsid w:val="00A12209"/>
    <w:rsid w:val="00A12715"/>
    <w:rsid w:val="00A15D69"/>
    <w:rsid w:val="00A17476"/>
    <w:rsid w:val="00A2074E"/>
    <w:rsid w:val="00A21268"/>
    <w:rsid w:val="00A22637"/>
    <w:rsid w:val="00A2338F"/>
    <w:rsid w:val="00A24CAA"/>
    <w:rsid w:val="00A25220"/>
    <w:rsid w:val="00A2610B"/>
    <w:rsid w:val="00A315D4"/>
    <w:rsid w:val="00A31CD8"/>
    <w:rsid w:val="00A32373"/>
    <w:rsid w:val="00A34554"/>
    <w:rsid w:val="00A34FEB"/>
    <w:rsid w:val="00A362AB"/>
    <w:rsid w:val="00A36DF3"/>
    <w:rsid w:val="00A3727A"/>
    <w:rsid w:val="00A410A3"/>
    <w:rsid w:val="00A4141A"/>
    <w:rsid w:val="00A42C4A"/>
    <w:rsid w:val="00A42D25"/>
    <w:rsid w:val="00A456E1"/>
    <w:rsid w:val="00A462A9"/>
    <w:rsid w:val="00A50876"/>
    <w:rsid w:val="00A51067"/>
    <w:rsid w:val="00A518C6"/>
    <w:rsid w:val="00A5220C"/>
    <w:rsid w:val="00A532DD"/>
    <w:rsid w:val="00A5532B"/>
    <w:rsid w:val="00A572B8"/>
    <w:rsid w:val="00A60742"/>
    <w:rsid w:val="00A61735"/>
    <w:rsid w:val="00A61F09"/>
    <w:rsid w:val="00A63975"/>
    <w:rsid w:val="00A63EDB"/>
    <w:rsid w:val="00A6411A"/>
    <w:rsid w:val="00A655D7"/>
    <w:rsid w:val="00A66307"/>
    <w:rsid w:val="00A66F75"/>
    <w:rsid w:val="00A67881"/>
    <w:rsid w:val="00A67ED6"/>
    <w:rsid w:val="00A70EE3"/>
    <w:rsid w:val="00A72312"/>
    <w:rsid w:val="00A7376A"/>
    <w:rsid w:val="00A7409F"/>
    <w:rsid w:val="00A74E08"/>
    <w:rsid w:val="00A75259"/>
    <w:rsid w:val="00A7613A"/>
    <w:rsid w:val="00A77268"/>
    <w:rsid w:val="00A77B27"/>
    <w:rsid w:val="00A77E18"/>
    <w:rsid w:val="00A80139"/>
    <w:rsid w:val="00A80BCF"/>
    <w:rsid w:val="00A839E7"/>
    <w:rsid w:val="00A84A45"/>
    <w:rsid w:val="00A8608F"/>
    <w:rsid w:val="00A9031A"/>
    <w:rsid w:val="00A91E86"/>
    <w:rsid w:val="00A941A7"/>
    <w:rsid w:val="00A95520"/>
    <w:rsid w:val="00A95A61"/>
    <w:rsid w:val="00A95C08"/>
    <w:rsid w:val="00A9728B"/>
    <w:rsid w:val="00A97B13"/>
    <w:rsid w:val="00AA0087"/>
    <w:rsid w:val="00AA1DAD"/>
    <w:rsid w:val="00AA2489"/>
    <w:rsid w:val="00AA253C"/>
    <w:rsid w:val="00AA2BA6"/>
    <w:rsid w:val="00AA3BB3"/>
    <w:rsid w:val="00AA500B"/>
    <w:rsid w:val="00AA502D"/>
    <w:rsid w:val="00AA5391"/>
    <w:rsid w:val="00AA57F8"/>
    <w:rsid w:val="00AA67EF"/>
    <w:rsid w:val="00AA6D2C"/>
    <w:rsid w:val="00AA7ADA"/>
    <w:rsid w:val="00AB1027"/>
    <w:rsid w:val="00AB1F8B"/>
    <w:rsid w:val="00AB3C0F"/>
    <w:rsid w:val="00AB4261"/>
    <w:rsid w:val="00AC221B"/>
    <w:rsid w:val="00AC2977"/>
    <w:rsid w:val="00AC3324"/>
    <w:rsid w:val="00AC34D0"/>
    <w:rsid w:val="00AC3B94"/>
    <w:rsid w:val="00AC5C76"/>
    <w:rsid w:val="00AC5F3D"/>
    <w:rsid w:val="00AD044B"/>
    <w:rsid w:val="00AD0835"/>
    <w:rsid w:val="00AD0EAC"/>
    <w:rsid w:val="00AD1EBA"/>
    <w:rsid w:val="00AD207A"/>
    <w:rsid w:val="00AD272E"/>
    <w:rsid w:val="00AD3174"/>
    <w:rsid w:val="00AD3728"/>
    <w:rsid w:val="00AD4FF4"/>
    <w:rsid w:val="00AD54B3"/>
    <w:rsid w:val="00AD7CEE"/>
    <w:rsid w:val="00AE006B"/>
    <w:rsid w:val="00AE01AA"/>
    <w:rsid w:val="00AE1EFF"/>
    <w:rsid w:val="00AE3161"/>
    <w:rsid w:val="00AE492A"/>
    <w:rsid w:val="00AE6183"/>
    <w:rsid w:val="00AE6902"/>
    <w:rsid w:val="00AE7C0E"/>
    <w:rsid w:val="00AF2FDB"/>
    <w:rsid w:val="00AF3C8F"/>
    <w:rsid w:val="00AF6473"/>
    <w:rsid w:val="00AF7735"/>
    <w:rsid w:val="00AF79E6"/>
    <w:rsid w:val="00B0135C"/>
    <w:rsid w:val="00B0691C"/>
    <w:rsid w:val="00B07B0C"/>
    <w:rsid w:val="00B10BE1"/>
    <w:rsid w:val="00B11B52"/>
    <w:rsid w:val="00B16D34"/>
    <w:rsid w:val="00B1703B"/>
    <w:rsid w:val="00B17C53"/>
    <w:rsid w:val="00B220BD"/>
    <w:rsid w:val="00B2272E"/>
    <w:rsid w:val="00B23263"/>
    <w:rsid w:val="00B232E0"/>
    <w:rsid w:val="00B23698"/>
    <w:rsid w:val="00B237C8"/>
    <w:rsid w:val="00B24823"/>
    <w:rsid w:val="00B24C57"/>
    <w:rsid w:val="00B25A36"/>
    <w:rsid w:val="00B30BA8"/>
    <w:rsid w:val="00B32006"/>
    <w:rsid w:val="00B34EA8"/>
    <w:rsid w:val="00B3560C"/>
    <w:rsid w:val="00B35A6C"/>
    <w:rsid w:val="00B35BB4"/>
    <w:rsid w:val="00B417FC"/>
    <w:rsid w:val="00B425E3"/>
    <w:rsid w:val="00B4472E"/>
    <w:rsid w:val="00B44922"/>
    <w:rsid w:val="00B459BF"/>
    <w:rsid w:val="00B506DB"/>
    <w:rsid w:val="00B5181D"/>
    <w:rsid w:val="00B52463"/>
    <w:rsid w:val="00B52CB4"/>
    <w:rsid w:val="00B54CDF"/>
    <w:rsid w:val="00B55D1B"/>
    <w:rsid w:val="00B56E29"/>
    <w:rsid w:val="00B60088"/>
    <w:rsid w:val="00B6076C"/>
    <w:rsid w:val="00B616CB"/>
    <w:rsid w:val="00B628FE"/>
    <w:rsid w:val="00B64F41"/>
    <w:rsid w:val="00B67F81"/>
    <w:rsid w:val="00B73651"/>
    <w:rsid w:val="00B740B0"/>
    <w:rsid w:val="00B74824"/>
    <w:rsid w:val="00B75B81"/>
    <w:rsid w:val="00B767BE"/>
    <w:rsid w:val="00B81AF7"/>
    <w:rsid w:val="00B81E27"/>
    <w:rsid w:val="00B82A9A"/>
    <w:rsid w:val="00B83817"/>
    <w:rsid w:val="00B85067"/>
    <w:rsid w:val="00B85446"/>
    <w:rsid w:val="00B85844"/>
    <w:rsid w:val="00B870B1"/>
    <w:rsid w:val="00B87D26"/>
    <w:rsid w:val="00B901A3"/>
    <w:rsid w:val="00B901EE"/>
    <w:rsid w:val="00B90687"/>
    <w:rsid w:val="00B91B77"/>
    <w:rsid w:val="00B91BF4"/>
    <w:rsid w:val="00B96107"/>
    <w:rsid w:val="00B96217"/>
    <w:rsid w:val="00B975B9"/>
    <w:rsid w:val="00BA0DDC"/>
    <w:rsid w:val="00BA1262"/>
    <w:rsid w:val="00BA2C39"/>
    <w:rsid w:val="00BA3020"/>
    <w:rsid w:val="00BA36CA"/>
    <w:rsid w:val="00BA7818"/>
    <w:rsid w:val="00BB0DEA"/>
    <w:rsid w:val="00BB2226"/>
    <w:rsid w:val="00BB29A8"/>
    <w:rsid w:val="00BB3E5B"/>
    <w:rsid w:val="00BB57F8"/>
    <w:rsid w:val="00BB5CB5"/>
    <w:rsid w:val="00BC2023"/>
    <w:rsid w:val="00BC2D85"/>
    <w:rsid w:val="00BC33E1"/>
    <w:rsid w:val="00BC3748"/>
    <w:rsid w:val="00BC3892"/>
    <w:rsid w:val="00BC514B"/>
    <w:rsid w:val="00BD3635"/>
    <w:rsid w:val="00BD3859"/>
    <w:rsid w:val="00BD547F"/>
    <w:rsid w:val="00BD61A2"/>
    <w:rsid w:val="00BD68E1"/>
    <w:rsid w:val="00BE0542"/>
    <w:rsid w:val="00BE0F54"/>
    <w:rsid w:val="00BE1005"/>
    <w:rsid w:val="00BE2A5C"/>
    <w:rsid w:val="00BE2F55"/>
    <w:rsid w:val="00BE484D"/>
    <w:rsid w:val="00BE56F7"/>
    <w:rsid w:val="00BE5F94"/>
    <w:rsid w:val="00BF021F"/>
    <w:rsid w:val="00BF1494"/>
    <w:rsid w:val="00BF20E7"/>
    <w:rsid w:val="00BF2404"/>
    <w:rsid w:val="00BF269C"/>
    <w:rsid w:val="00BF3CB7"/>
    <w:rsid w:val="00BF6451"/>
    <w:rsid w:val="00C002BF"/>
    <w:rsid w:val="00C00F93"/>
    <w:rsid w:val="00C012FE"/>
    <w:rsid w:val="00C02C59"/>
    <w:rsid w:val="00C03515"/>
    <w:rsid w:val="00C04AB5"/>
    <w:rsid w:val="00C04DAB"/>
    <w:rsid w:val="00C0520B"/>
    <w:rsid w:val="00C05794"/>
    <w:rsid w:val="00C10260"/>
    <w:rsid w:val="00C11C6C"/>
    <w:rsid w:val="00C124C1"/>
    <w:rsid w:val="00C13F1D"/>
    <w:rsid w:val="00C14431"/>
    <w:rsid w:val="00C147FC"/>
    <w:rsid w:val="00C1499E"/>
    <w:rsid w:val="00C17919"/>
    <w:rsid w:val="00C20158"/>
    <w:rsid w:val="00C2025C"/>
    <w:rsid w:val="00C20796"/>
    <w:rsid w:val="00C208E5"/>
    <w:rsid w:val="00C20EA6"/>
    <w:rsid w:val="00C2273D"/>
    <w:rsid w:val="00C22CAD"/>
    <w:rsid w:val="00C233A3"/>
    <w:rsid w:val="00C238D3"/>
    <w:rsid w:val="00C244D3"/>
    <w:rsid w:val="00C24EC6"/>
    <w:rsid w:val="00C25378"/>
    <w:rsid w:val="00C25D29"/>
    <w:rsid w:val="00C30F14"/>
    <w:rsid w:val="00C32DC1"/>
    <w:rsid w:val="00C35236"/>
    <w:rsid w:val="00C3643E"/>
    <w:rsid w:val="00C36886"/>
    <w:rsid w:val="00C36DE0"/>
    <w:rsid w:val="00C37111"/>
    <w:rsid w:val="00C37501"/>
    <w:rsid w:val="00C37AD7"/>
    <w:rsid w:val="00C37E05"/>
    <w:rsid w:val="00C41F6D"/>
    <w:rsid w:val="00C4292D"/>
    <w:rsid w:val="00C45B40"/>
    <w:rsid w:val="00C46458"/>
    <w:rsid w:val="00C46C02"/>
    <w:rsid w:val="00C4735C"/>
    <w:rsid w:val="00C47BB8"/>
    <w:rsid w:val="00C503EB"/>
    <w:rsid w:val="00C5186D"/>
    <w:rsid w:val="00C52AE1"/>
    <w:rsid w:val="00C53277"/>
    <w:rsid w:val="00C54E90"/>
    <w:rsid w:val="00C55554"/>
    <w:rsid w:val="00C55D29"/>
    <w:rsid w:val="00C56D7B"/>
    <w:rsid w:val="00C56DD1"/>
    <w:rsid w:val="00C578F5"/>
    <w:rsid w:val="00C60508"/>
    <w:rsid w:val="00C60B8A"/>
    <w:rsid w:val="00C60D15"/>
    <w:rsid w:val="00C617CE"/>
    <w:rsid w:val="00C6346E"/>
    <w:rsid w:val="00C65E23"/>
    <w:rsid w:val="00C663E3"/>
    <w:rsid w:val="00C66BCF"/>
    <w:rsid w:val="00C72F95"/>
    <w:rsid w:val="00C73A4D"/>
    <w:rsid w:val="00C74AF6"/>
    <w:rsid w:val="00C76479"/>
    <w:rsid w:val="00C831F2"/>
    <w:rsid w:val="00C83FD0"/>
    <w:rsid w:val="00C84B8F"/>
    <w:rsid w:val="00C85A8D"/>
    <w:rsid w:val="00C872FF"/>
    <w:rsid w:val="00C900C4"/>
    <w:rsid w:val="00C9011F"/>
    <w:rsid w:val="00C90240"/>
    <w:rsid w:val="00C9140E"/>
    <w:rsid w:val="00C91793"/>
    <w:rsid w:val="00C91C60"/>
    <w:rsid w:val="00C94099"/>
    <w:rsid w:val="00C95187"/>
    <w:rsid w:val="00C975BE"/>
    <w:rsid w:val="00CA0B17"/>
    <w:rsid w:val="00CA1151"/>
    <w:rsid w:val="00CA23B8"/>
    <w:rsid w:val="00CA31A1"/>
    <w:rsid w:val="00CA3330"/>
    <w:rsid w:val="00CA4C71"/>
    <w:rsid w:val="00CA5674"/>
    <w:rsid w:val="00CA57FF"/>
    <w:rsid w:val="00CA6680"/>
    <w:rsid w:val="00CA751D"/>
    <w:rsid w:val="00CB4566"/>
    <w:rsid w:val="00CB4FA4"/>
    <w:rsid w:val="00CB5561"/>
    <w:rsid w:val="00CC1297"/>
    <w:rsid w:val="00CC478B"/>
    <w:rsid w:val="00CC7CAC"/>
    <w:rsid w:val="00CD0E1A"/>
    <w:rsid w:val="00CD17E1"/>
    <w:rsid w:val="00CD295E"/>
    <w:rsid w:val="00CD34D5"/>
    <w:rsid w:val="00CD4FA8"/>
    <w:rsid w:val="00CE22B2"/>
    <w:rsid w:val="00CE46D5"/>
    <w:rsid w:val="00CE4716"/>
    <w:rsid w:val="00CE4DA8"/>
    <w:rsid w:val="00CE6F86"/>
    <w:rsid w:val="00CE7C15"/>
    <w:rsid w:val="00CF1A95"/>
    <w:rsid w:val="00CF5BAF"/>
    <w:rsid w:val="00CF5DDA"/>
    <w:rsid w:val="00CF61DB"/>
    <w:rsid w:val="00CF7260"/>
    <w:rsid w:val="00D01AA3"/>
    <w:rsid w:val="00D01DBB"/>
    <w:rsid w:val="00D028BE"/>
    <w:rsid w:val="00D04230"/>
    <w:rsid w:val="00D04CA4"/>
    <w:rsid w:val="00D05C64"/>
    <w:rsid w:val="00D05D20"/>
    <w:rsid w:val="00D067BC"/>
    <w:rsid w:val="00D067FE"/>
    <w:rsid w:val="00D104A8"/>
    <w:rsid w:val="00D1348D"/>
    <w:rsid w:val="00D141DE"/>
    <w:rsid w:val="00D16CB2"/>
    <w:rsid w:val="00D22E38"/>
    <w:rsid w:val="00D232E9"/>
    <w:rsid w:val="00D31245"/>
    <w:rsid w:val="00D314CA"/>
    <w:rsid w:val="00D31F64"/>
    <w:rsid w:val="00D34256"/>
    <w:rsid w:val="00D34626"/>
    <w:rsid w:val="00D349AD"/>
    <w:rsid w:val="00D34C48"/>
    <w:rsid w:val="00D35355"/>
    <w:rsid w:val="00D36838"/>
    <w:rsid w:val="00D37D2F"/>
    <w:rsid w:val="00D4257A"/>
    <w:rsid w:val="00D43E35"/>
    <w:rsid w:val="00D44FEF"/>
    <w:rsid w:val="00D46CAF"/>
    <w:rsid w:val="00D47B2D"/>
    <w:rsid w:val="00D500D8"/>
    <w:rsid w:val="00D50601"/>
    <w:rsid w:val="00D512BF"/>
    <w:rsid w:val="00D5133F"/>
    <w:rsid w:val="00D513FF"/>
    <w:rsid w:val="00D52EB1"/>
    <w:rsid w:val="00D53830"/>
    <w:rsid w:val="00D539C8"/>
    <w:rsid w:val="00D54043"/>
    <w:rsid w:val="00D56757"/>
    <w:rsid w:val="00D6079F"/>
    <w:rsid w:val="00D61D2E"/>
    <w:rsid w:val="00D637E4"/>
    <w:rsid w:val="00D64754"/>
    <w:rsid w:val="00D65873"/>
    <w:rsid w:val="00D65AD8"/>
    <w:rsid w:val="00D6653B"/>
    <w:rsid w:val="00D66A99"/>
    <w:rsid w:val="00D714B4"/>
    <w:rsid w:val="00D7284B"/>
    <w:rsid w:val="00D734A0"/>
    <w:rsid w:val="00D73D04"/>
    <w:rsid w:val="00D74042"/>
    <w:rsid w:val="00D74079"/>
    <w:rsid w:val="00D747B7"/>
    <w:rsid w:val="00D75075"/>
    <w:rsid w:val="00D763F9"/>
    <w:rsid w:val="00D80C9E"/>
    <w:rsid w:val="00D80CE1"/>
    <w:rsid w:val="00D81F6B"/>
    <w:rsid w:val="00D829B3"/>
    <w:rsid w:val="00D82FA8"/>
    <w:rsid w:val="00D83720"/>
    <w:rsid w:val="00D83CB4"/>
    <w:rsid w:val="00D83E9A"/>
    <w:rsid w:val="00D84AE5"/>
    <w:rsid w:val="00D87455"/>
    <w:rsid w:val="00D90453"/>
    <w:rsid w:val="00D906B5"/>
    <w:rsid w:val="00D9151A"/>
    <w:rsid w:val="00D9157A"/>
    <w:rsid w:val="00D92EC9"/>
    <w:rsid w:val="00D95DF3"/>
    <w:rsid w:val="00D97FD7"/>
    <w:rsid w:val="00DA0EE0"/>
    <w:rsid w:val="00DA0FBD"/>
    <w:rsid w:val="00DA1E6E"/>
    <w:rsid w:val="00DA23D0"/>
    <w:rsid w:val="00DA7D9F"/>
    <w:rsid w:val="00DB01BF"/>
    <w:rsid w:val="00DB193B"/>
    <w:rsid w:val="00DB6073"/>
    <w:rsid w:val="00DB6E2E"/>
    <w:rsid w:val="00DC0132"/>
    <w:rsid w:val="00DC03A6"/>
    <w:rsid w:val="00DC07B9"/>
    <w:rsid w:val="00DC0CDE"/>
    <w:rsid w:val="00DC1830"/>
    <w:rsid w:val="00DC2692"/>
    <w:rsid w:val="00DC31A8"/>
    <w:rsid w:val="00DC4436"/>
    <w:rsid w:val="00DC7A19"/>
    <w:rsid w:val="00DD051A"/>
    <w:rsid w:val="00DD18A4"/>
    <w:rsid w:val="00DD2A62"/>
    <w:rsid w:val="00DD38AF"/>
    <w:rsid w:val="00DD51FB"/>
    <w:rsid w:val="00DD7959"/>
    <w:rsid w:val="00DE26D4"/>
    <w:rsid w:val="00DE3F03"/>
    <w:rsid w:val="00DE4170"/>
    <w:rsid w:val="00DE4E9A"/>
    <w:rsid w:val="00DE720B"/>
    <w:rsid w:val="00DF0381"/>
    <w:rsid w:val="00DF2419"/>
    <w:rsid w:val="00DF2722"/>
    <w:rsid w:val="00DF2F8C"/>
    <w:rsid w:val="00DF58F4"/>
    <w:rsid w:val="00DF63C0"/>
    <w:rsid w:val="00DF7143"/>
    <w:rsid w:val="00E028B3"/>
    <w:rsid w:val="00E02FF3"/>
    <w:rsid w:val="00E030DA"/>
    <w:rsid w:val="00E03380"/>
    <w:rsid w:val="00E0378A"/>
    <w:rsid w:val="00E0624D"/>
    <w:rsid w:val="00E10789"/>
    <w:rsid w:val="00E11788"/>
    <w:rsid w:val="00E118C5"/>
    <w:rsid w:val="00E1302A"/>
    <w:rsid w:val="00E131A1"/>
    <w:rsid w:val="00E1464F"/>
    <w:rsid w:val="00E15B98"/>
    <w:rsid w:val="00E16365"/>
    <w:rsid w:val="00E17624"/>
    <w:rsid w:val="00E200B7"/>
    <w:rsid w:val="00E218FC"/>
    <w:rsid w:val="00E21EC6"/>
    <w:rsid w:val="00E23748"/>
    <w:rsid w:val="00E24174"/>
    <w:rsid w:val="00E2430C"/>
    <w:rsid w:val="00E2782F"/>
    <w:rsid w:val="00E27CE9"/>
    <w:rsid w:val="00E27D80"/>
    <w:rsid w:val="00E31722"/>
    <w:rsid w:val="00E32972"/>
    <w:rsid w:val="00E32DE9"/>
    <w:rsid w:val="00E32E15"/>
    <w:rsid w:val="00E33AEE"/>
    <w:rsid w:val="00E33BD5"/>
    <w:rsid w:val="00E349ED"/>
    <w:rsid w:val="00E4073F"/>
    <w:rsid w:val="00E4231B"/>
    <w:rsid w:val="00E4438C"/>
    <w:rsid w:val="00E44AA4"/>
    <w:rsid w:val="00E457F3"/>
    <w:rsid w:val="00E45EE2"/>
    <w:rsid w:val="00E461E1"/>
    <w:rsid w:val="00E50D29"/>
    <w:rsid w:val="00E51097"/>
    <w:rsid w:val="00E60200"/>
    <w:rsid w:val="00E613EA"/>
    <w:rsid w:val="00E62A2B"/>
    <w:rsid w:val="00E6336A"/>
    <w:rsid w:val="00E6407C"/>
    <w:rsid w:val="00E668E3"/>
    <w:rsid w:val="00E73470"/>
    <w:rsid w:val="00E744A9"/>
    <w:rsid w:val="00E749A2"/>
    <w:rsid w:val="00E76356"/>
    <w:rsid w:val="00E764C7"/>
    <w:rsid w:val="00E76687"/>
    <w:rsid w:val="00E768F3"/>
    <w:rsid w:val="00E77322"/>
    <w:rsid w:val="00E77B53"/>
    <w:rsid w:val="00E77B9B"/>
    <w:rsid w:val="00E81137"/>
    <w:rsid w:val="00E82FBE"/>
    <w:rsid w:val="00E83EEF"/>
    <w:rsid w:val="00E853BC"/>
    <w:rsid w:val="00E9125E"/>
    <w:rsid w:val="00E91AFA"/>
    <w:rsid w:val="00E92180"/>
    <w:rsid w:val="00E963EA"/>
    <w:rsid w:val="00E96CCC"/>
    <w:rsid w:val="00E97147"/>
    <w:rsid w:val="00E978D5"/>
    <w:rsid w:val="00EA15E6"/>
    <w:rsid w:val="00EA202D"/>
    <w:rsid w:val="00EA29A8"/>
    <w:rsid w:val="00EA5061"/>
    <w:rsid w:val="00EA55D0"/>
    <w:rsid w:val="00EA5B80"/>
    <w:rsid w:val="00EA628C"/>
    <w:rsid w:val="00EA7A46"/>
    <w:rsid w:val="00EB018F"/>
    <w:rsid w:val="00EB18A5"/>
    <w:rsid w:val="00EB5442"/>
    <w:rsid w:val="00EB5EC9"/>
    <w:rsid w:val="00EB7E71"/>
    <w:rsid w:val="00EC0C44"/>
    <w:rsid w:val="00EC2990"/>
    <w:rsid w:val="00EC33B2"/>
    <w:rsid w:val="00EC4368"/>
    <w:rsid w:val="00EC5393"/>
    <w:rsid w:val="00EC5FE0"/>
    <w:rsid w:val="00EC7175"/>
    <w:rsid w:val="00EC7C26"/>
    <w:rsid w:val="00ED00CF"/>
    <w:rsid w:val="00ED041F"/>
    <w:rsid w:val="00ED0AD6"/>
    <w:rsid w:val="00ED20DD"/>
    <w:rsid w:val="00ED2E9F"/>
    <w:rsid w:val="00ED4266"/>
    <w:rsid w:val="00ED4ECE"/>
    <w:rsid w:val="00ED5B79"/>
    <w:rsid w:val="00ED619B"/>
    <w:rsid w:val="00ED747D"/>
    <w:rsid w:val="00EE1408"/>
    <w:rsid w:val="00EE1533"/>
    <w:rsid w:val="00EE5EB9"/>
    <w:rsid w:val="00EE6720"/>
    <w:rsid w:val="00EE6A43"/>
    <w:rsid w:val="00EE6C25"/>
    <w:rsid w:val="00EE744D"/>
    <w:rsid w:val="00EF036C"/>
    <w:rsid w:val="00EF0B43"/>
    <w:rsid w:val="00EF194D"/>
    <w:rsid w:val="00EF1D49"/>
    <w:rsid w:val="00EF343F"/>
    <w:rsid w:val="00EF79B4"/>
    <w:rsid w:val="00EF7C70"/>
    <w:rsid w:val="00F00EB5"/>
    <w:rsid w:val="00F035D8"/>
    <w:rsid w:val="00F0412A"/>
    <w:rsid w:val="00F05209"/>
    <w:rsid w:val="00F06F57"/>
    <w:rsid w:val="00F109D4"/>
    <w:rsid w:val="00F11CDC"/>
    <w:rsid w:val="00F132FB"/>
    <w:rsid w:val="00F13EA9"/>
    <w:rsid w:val="00F14142"/>
    <w:rsid w:val="00F1507D"/>
    <w:rsid w:val="00F2253B"/>
    <w:rsid w:val="00F234C5"/>
    <w:rsid w:val="00F23852"/>
    <w:rsid w:val="00F23C3F"/>
    <w:rsid w:val="00F249BD"/>
    <w:rsid w:val="00F25CD5"/>
    <w:rsid w:val="00F27D1B"/>
    <w:rsid w:val="00F33CCF"/>
    <w:rsid w:val="00F35DC4"/>
    <w:rsid w:val="00F375FC"/>
    <w:rsid w:val="00F377C3"/>
    <w:rsid w:val="00F40032"/>
    <w:rsid w:val="00F4074F"/>
    <w:rsid w:val="00F407E5"/>
    <w:rsid w:val="00F40AEE"/>
    <w:rsid w:val="00F41905"/>
    <w:rsid w:val="00F4465E"/>
    <w:rsid w:val="00F4665D"/>
    <w:rsid w:val="00F46EE8"/>
    <w:rsid w:val="00F47D95"/>
    <w:rsid w:val="00F522D7"/>
    <w:rsid w:val="00F52C6E"/>
    <w:rsid w:val="00F53201"/>
    <w:rsid w:val="00F53A77"/>
    <w:rsid w:val="00F53BE2"/>
    <w:rsid w:val="00F5405F"/>
    <w:rsid w:val="00F62B60"/>
    <w:rsid w:val="00F62E3C"/>
    <w:rsid w:val="00F63CFD"/>
    <w:rsid w:val="00F6483A"/>
    <w:rsid w:val="00F66A09"/>
    <w:rsid w:val="00F67428"/>
    <w:rsid w:val="00F67B01"/>
    <w:rsid w:val="00F710A4"/>
    <w:rsid w:val="00F7113F"/>
    <w:rsid w:val="00F7301B"/>
    <w:rsid w:val="00F73EA3"/>
    <w:rsid w:val="00F73F40"/>
    <w:rsid w:val="00F741BA"/>
    <w:rsid w:val="00F74280"/>
    <w:rsid w:val="00F74991"/>
    <w:rsid w:val="00F75265"/>
    <w:rsid w:val="00F756B7"/>
    <w:rsid w:val="00F76AD5"/>
    <w:rsid w:val="00F81D14"/>
    <w:rsid w:val="00F83244"/>
    <w:rsid w:val="00F84C32"/>
    <w:rsid w:val="00F84C98"/>
    <w:rsid w:val="00F85187"/>
    <w:rsid w:val="00F85486"/>
    <w:rsid w:val="00F878A7"/>
    <w:rsid w:val="00F87F57"/>
    <w:rsid w:val="00F904E7"/>
    <w:rsid w:val="00F9129A"/>
    <w:rsid w:val="00F92952"/>
    <w:rsid w:val="00F934D5"/>
    <w:rsid w:val="00F9377C"/>
    <w:rsid w:val="00F947D7"/>
    <w:rsid w:val="00F970EC"/>
    <w:rsid w:val="00F977F6"/>
    <w:rsid w:val="00F97B61"/>
    <w:rsid w:val="00FA009F"/>
    <w:rsid w:val="00FA0CF4"/>
    <w:rsid w:val="00FA2368"/>
    <w:rsid w:val="00FA31E4"/>
    <w:rsid w:val="00FA3752"/>
    <w:rsid w:val="00FA5F12"/>
    <w:rsid w:val="00FA637D"/>
    <w:rsid w:val="00FB02A1"/>
    <w:rsid w:val="00FB06E3"/>
    <w:rsid w:val="00FB1B0C"/>
    <w:rsid w:val="00FB272A"/>
    <w:rsid w:val="00FB3C5D"/>
    <w:rsid w:val="00FB3E59"/>
    <w:rsid w:val="00FB584E"/>
    <w:rsid w:val="00FB5C6C"/>
    <w:rsid w:val="00FB5E4C"/>
    <w:rsid w:val="00FB6428"/>
    <w:rsid w:val="00FC1DDF"/>
    <w:rsid w:val="00FC21A5"/>
    <w:rsid w:val="00FC2774"/>
    <w:rsid w:val="00FC3ED4"/>
    <w:rsid w:val="00FC41E6"/>
    <w:rsid w:val="00FC4281"/>
    <w:rsid w:val="00FC44BA"/>
    <w:rsid w:val="00FC4621"/>
    <w:rsid w:val="00FC6833"/>
    <w:rsid w:val="00FC79AE"/>
    <w:rsid w:val="00FD0274"/>
    <w:rsid w:val="00FD2C89"/>
    <w:rsid w:val="00FD55DE"/>
    <w:rsid w:val="00FE05D9"/>
    <w:rsid w:val="00FE3498"/>
    <w:rsid w:val="00FE4D99"/>
    <w:rsid w:val="00FE6D02"/>
    <w:rsid w:val="00FE744F"/>
    <w:rsid w:val="00FF1057"/>
    <w:rsid w:val="00FF398F"/>
    <w:rsid w:val="00FF54C0"/>
    <w:rsid w:val="00FF575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B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5">
    <w:name w:val="heading 5"/>
    <w:basedOn w:val="Normal"/>
    <w:next w:val="Normal"/>
    <w:link w:val="Heading5Char"/>
    <w:uiPriority w:val="9"/>
    <w:unhideWhenUsed/>
    <w:qFormat/>
    <w:rsid w:val="0070526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037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A1A42"/>
    <w:pPr>
      <w:keepNext/>
      <w:keepLines/>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5929FA"/>
    <w:pPr>
      <w:tabs>
        <w:tab w:val="center" w:pos="4513"/>
        <w:tab w:val="right" w:pos="9026"/>
      </w:tabs>
      <w:spacing w:before="0" w:after="0"/>
    </w:pPr>
  </w:style>
  <w:style w:type="character" w:customStyle="1" w:styleId="HeaderChar">
    <w:name w:val="Header Char"/>
    <w:basedOn w:val="DefaultParagraphFont"/>
    <w:link w:val="Header"/>
    <w:uiPriority w:val="99"/>
    <w:rsid w:val="005929FA"/>
    <w:rPr>
      <w:sz w:val="24"/>
    </w:rPr>
  </w:style>
  <w:style w:type="paragraph" w:styleId="Footer">
    <w:name w:val="footer"/>
    <w:basedOn w:val="Normal"/>
    <w:link w:val="FooterChar"/>
    <w:uiPriority w:val="99"/>
    <w:unhideWhenUsed/>
    <w:rsid w:val="005929FA"/>
    <w:pPr>
      <w:tabs>
        <w:tab w:val="center" w:pos="4513"/>
        <w:tab w:val="right" w:pos="9026"/>
      </w:tabs>
      <w:spacing w:before="0" w:after="0"/>
    </w:pPr>
  </w:style>
  <w:style w:type="character" w:customStyle="1" w:styleId="FooterChar">
    <w:name w:val="Footer Char"/>
    <w:basedOn w:val="DefaultParagraphFont"/>
    <w:link w:val="Footer"/>
    <w:uiPriority w:val="99"/>
    <w:rsid w:val="005929FA"/>
    <w:rPr>
      <w:sz w:val="24"/>
    </w:rPr>
  </w:style>
  <w:style w:type="paragraph" w:customStyle="1" w:styleId="SecurityClassificationHeader">
    <w:name w:val="Security Classification Header"/>
    <w:link w:val="SecurityClassificationHeaderChar"/>
    <w:rsid w:val="005929FA"/>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5929FA"/>
    <w:rPr>
      <w:b/>
      <w:caps/>
      <w:sz w:val="24"/>
    </w:rPr>
  </w:style>
  <w:style w:type="paragraph" w:customStyle="1" w:styleId="SecurityClassificationFooter">
    <w:name w:val="Security Classification Footer"/>
    <w:link w:val="SecurityClassificationFooterChar"/>
    <w:rsid w:val="005929FA"/>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5929FA"/>
    <w:rPr>
      <w:b/>
      <w:caps/>
      <w:sz w:val="24"/>
    </w:rPr>
  </w:style>
  <w:style w:type="paragraph" w:customStyle="1" w:styleId="DLMSecurityHeader">
    <w:name w:val="DLM Security Header"/>
    <w:link w:val="DLMSecurityHeaderChar"/>
    <w:rsid w:val="005929FA"/>
    <w:pPr>
      <w:spacing w:before="60" w:after="240"/>
      <w:jc w:val="center"/>
    </w:pPr>
    <w:rPr>
      <w:b/>
      <w:caps/>
      <w:sz w:val="24"/>
    </w:rPr>
  </w:style>
  <w:style w:type="character" w:customStyle="1" w:styleId="DLMSecurityHeaderChar">
    <w:name w:val="DLM Security Header Char"/>
    <w:basedOn w:val="HeaderChar"/>
    <w:link w:val="DLMSecurityHeader"/>
    <w:rsid w:val="005929FA"/>
    <w:rPr>
      <w:b/>
      <w:caps/>
      <w:sz w:val="24"/>
    </w:rPr>
  </w:style>
  <w:style w:type="paragraph" w:customStyle="1" w:styleId="DLMSecurityFooter">
    <w:name w:val="DLM Security Footer"/>
    <w:link w:val="DLMSecurityFooterChar"/>
    <w:rsid w:val="005929FA"/>
    <w:pPr>
      <w:spacing w:before="240" w:after="60"/>
      <w:jc w:val="center"/>
    </w:pPr>
    <w:rPr>
      <w:b/>
      <w:caps/>
      <w:sz w:val="24"/>
    </w:rPr>
  </w:style>
  <w:style w:type="character" w:customStyle="1" w:styleId="DLMSecurityFooterChar">
    <w:name w:val="DLM Security Footer Char"/>
    <w:basedOn w:val="HeaderChar"/>
    <w:link w:val="DLMSecurityFooter"/>
    <w:rsid w:val="005929FA"/>
    <w:rPr>
      <w:b/>
      <w:caps/>
      <w:sz w:val="24"/>
    </w:rPr>
  </w:style>
  <w:style w:type="paragraph" w:styleId="ListParagraph">
    <w:name w:val="List Paragraph"/>
    <w:basedOn w:val="Normal"/>
    <w:uiPriority w:val="34"/>
    <w:qFormat/>
    <w:rsid w:val="005F5DAF"/>
    <w:pPr>
      <w:ind w:left="720"/>
      <w:contextualSpacing/>
    </w:pPr>
  </w:style>
  <w:style w:type="character" w:customStyle="1" w:styleId="Heading8Char">
    <w:name w:val="Heading 8 Char"/>
    <w:basedOn w:val="DefaultParagraphFont"/>
    <w:link w:val="Heading8"/>
    <w:uiPriority w:val="9"/>
    <w:rsid w:val="004A1A42"/>
    <w:rPr>
      <w:rFonts w:asciiTheme="majorHAnsi" w:eastAsiaTheme="majorEastAsia" w:hAnsiTheme="majorHAnsi" w:cstheme="majorBidi"/>
      <w:color w:val="404040" w:themeColor="text1" w:themeTint="BF"/>
    </w:rPr>
  </w:style>
  <w:style w:type="paragraph" w:styleId="FootnoteText">
    <w:name w:val="footnote text"/>
    <w:basedOn w:val="Normal"/>
    <w:link w:val="FootnoteTextChar"/>
    <w:unhideWhenUsed/>
    <w:rsid w:val="00672542"/>
    <w:pPr>
      <w:spacing w:before="0" w:after="0"/>
    </w:pPr>
    <w:rPr>
      <w:sz w:val="20"/>
    </w:rPr>
  </w:style>
  <w:style w:type="character" w:customStyle="1" w:styleId="FootnoteTextChar">
    <w:name w:val="Footnote Text Char"/>
    <w:basedOn w:val="DefaultParagraphFont"/>
    <w:link w:val="FootnoteText"/>
    <w:rsid w:val="00672542"/>
  </w:style>
  <w:style w:type="character" w:styleId="FootnoteReference">
    <w:name w:val="footnote reference"/>
    <w:basedOn w:val="DefaultParagraphFont"/>
    <w:unhideWhenUsed/>
    <w:rsid w:val="00672542"/>
    <w:rPr>
      <w:vertAlign w:val="superscript"/>
    </w:rPr>
  </w:style>
  <w:style w:type="table" w:styleId="TableGrid">
    <w:name w:val="Table Grid"/>
    <w:basedOn w:val="TableNormal"/>
    <w:uiPriority w:val="59"/>
    <w:rsid w:val="007E3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4FEB"/>
    <w:rPr>
      <w:sz w:val="16"/>
      <w:szCs w:val="16"/>
    </w:rPr>
  </w:style>
  <w:style w:type="paragraph" w:styleId="CommentText">
    <w:name w:val="annotation text"/>
    <w:basedOn w:val="Normal"/>
    <w:link w:val="CommentTextChar"/>
    <w:uiPriority w:val="99"/>
    <w:semiHidden/>
    <w:unhideWhenUsed/>
    <w:rsid w:val="00A34FEB"/>
    <w:rPr>
      <w:sz w:val="20"/>
    </w:rPr>
  </w:style>
  <w:style w:type="character" w:customStyle="1" w:styleId="CommentTextChar">
    <w:name w:val="Comment Text Char"/>
    <w:basedOn w:val="DefaultParagraphFont"/>
    <w:link w:val="CommentText"/>
    <w:uiPriority w:val="99"/>
    <w:semiHidden/>
    <w:rsid w:val="00A34FEB"/>
  </w:style>
  <w:style w:type="paragraph" w:styleId="CommentSubject">
    <w:name w:val="annotation subject"/>
    <w:basedOn w:val="CommentText"/>
    <w:next w:val="CommentText"/>
    <w:link w:val="CommentSubjectChar"/>
    <w:uiPriority w:val="99"/>
    <w:semiHidden/>
    <w:unhideWhenUsed/>
    <w:rsid w:val="00A34FEB"/>
    <w:rPr>
      <w:b/>
      <w:bCs/>
    </w:rPr>
  </w:style>
  <w:style w:type="character" w:customStyle="1" w:styleId="CommentSubjectChar">
    <w:name w:val="Comment Subject Char"/>
    <w:basedOn w:val="CommentTextChar"/>
    <w:link w:val="CommentSubject"/>
    <w:uiPriority w:val="99"/>
    <w:semiHidden/>
    <w:rsid w:val="00A34FEB"/>
    <w:rPr>
      <w:b/>
      <w:bCs/>
    </w:rPr>
  </w:style>
  <w:style w:type="paragraph" w:customStyle="1" w:styleId="OutlineNumbered1">
    <w:name w:val="Outline Numbered 1"/>
    <w:basedOn w:val="Normal"/>
    <w:link w:val="OutlineNumbered1Char"/>
    <w:rsid w:val="00322A27"/>
    <w:pPr>
      <w:numPr>
        <w:numId w:val="4"/>
      </w:numPr>
      <w:spacing w:before="0" w:after="0"/>
    </w:pPr>
    <w:rPr>
      <w:rFonts w:ascii="Calibri" w:hAnsi="Calibri"/>
      <w:sz w:val="22"/>
      <w:szCs w:val="22"/>
      <w:lang w:eastAsia="en-US"/>
    </w:rPr>
  </w:style>
  <w:style w:type="character" w:customStyle="1" w:styleId="OutlineNumbered1Char">
    <w:name w:val="Outline Numbered 1 Char"/>
    <w:basedOn w:val="DefaultParagraphFont"/>
    <w:link w:val="OutlineNumbered1"/>
    <w:rsid w:val="00322A27"/>
    <w:rPr>
      <w:rFonts w:ascii="Calibri" w:hAnsi="Calibri"/>
      <w:sz w:val="22"/>
      <w:szCs w:val="22"/>
      <w:lang w:eastAsia="en-US"/>
    </w:rPr>
  </w:style>
  <w:style w:type="paragraph" w:customStyle="1" w:styleId="OutlineNumbered2">
    <w:name w:val="Outline Numbered 2"/>
    <w:basedOn w:val="Normal"/>
    <w:link w:val="OutlineNumbered2Char"/>
    <w:rsid w:val="00322A27"/>
    <w:pPr>
      <w:numPr>
        <w:ilvl w:val="1"/>
        <w:numId w:val="4"/>
      </w:numPr>
      <w:spacing w:before="0" w:after="0"/>
    </w:pPr>
    <w:rPr>
      <w:rFonts w:ascii="Calibri" w:hAnsi="Calibri"/>
      <w:sz w:val="22"/>
      <w:szCs w:val="22"/>
      <w:lang w:eastAsia="en-US"/>
    </w:rPr>
  </w:style>
  <w:style w:type="character" w:customStyle="1" w:styleId="OutlineNumbered2Char">
    <w:name w:val="Outline Numbered 2 Char"/>
    <w:basedOn w:val="DefaultParagraphFont"/>
    <w:link w:val="OutlineNumbered2"/>
    <w:rsid w:val="00322A27"/>
    <w:rPr>
      <w:rFonts w:ascii="Calibri" w:hAnsi="Calibri"/>
      <w:sz w:val="22"/>
      <w:szCs w:val="22"/>
      <w:lang w:eastAsia="en-US"/>
    </w:rPr>
  </w:style>
  <w:style w:type="paragraph" w:customStyle="1" w:styleId="OutlineNumbered3">
    <w:name w:val="Outline Numbered 3"/>
    <w:basedOn w:val="Normal"/>
    <w:rsid w:val="00322A27"/>
    <w:pPr>
      <w:numPr>
        <w:ilvl w:val="2"/>
        <w:numId w:val="4"/>
      </w:numPr>
      <w:spacing w:before="0" w:after="0"/>
    </w:pPr>
    <w:rPr>
      <w:rFonts w:ascii="Calibri" w:hAnsi="Calibri"/>
      <w:sz w:val="22"/>
      <w:szCs w:val="22"/>
      <w:lang w:eastAsia="en-US"/>
    </w:rPr>
  </w:style>
  <w:style w:type="paragraph" w:styleId="Revision">
    <w:name w:val="Revision"/>
    <w:hidden/>
    <w:uiPriority w:val="99"/>
    <w:semiHidden/>
    <w:rsid w:val="002E6B2F"/>
    <w:rPr>
      <w:sz w:val="24"/>
    </w:rPr>
  </w:style>
  <w:style w:type="paragraph" w:customStyle="1" w:styleId="ActHead7">
    <w:name w:val="ActHead 7"/>
    <w:aliases w:val="ap"/>
    <w:basedOn w:val="Normal"/>
    <w:next w:val="Normal"/>
    <w:qFormat/>
    <w:rsid w:val="001B4835"/>
    <w:pPr>
      <w:keepNext/>
      <w:keepLines/>
      <w:spacing w:before="280" w:after="0"/>
      <w:ind w:left="1134" w:hanging="1134"/>
      <w:outlineLvl w:val="6"/>
    </w:pPr>
    <w:rPr>
      <w:rFonts w:ascii="Arial" w:hAnsi="Arial"/>
      <w:b/>
      <w:kern w:val="28"/>
      <w:sz w:val="28"/>
    </w:rPr>
  </w:style>
  <w:style w:type="paragraph" w:customStyle="1" w:styleId="paragraph">
    <w:name w:val="paragraph"/>
    <w:aliases w:val="a"/>
    <w:basedOn w:val="Normal"/>
    <w:rsid w:val="001B4835"/>
    <w:pPr>
      <w:tabs>
        <w:tab w:val="right" w:pos="1531"/>
      </w:tabs>
      <w:spacing w:before="40" w:after="0"/>
      <w:ind w:left="1644" w:hanging="1644"/>
    </w:pPr>
    <w:rPr>
      <w:sz w:val="22"/>
    </w:rPr>
  </w:style>
  <w:style w:type="paragraph" w:customStyle="1" w:styleId="dotpoint0">
    <w:name w:val="dot point"/>
    <w:basedOn w:val="Normal"/>
    <w:rsid w:val="00D92EC9"/>
    <w:pPr>
      <w:numPr>
        <w:numId w:val="5"/>
      </w:numPr>
    </w:pPr>
    <w:rPr>
      <w:rFonts w:eastAsiaTheme="minorEastAsia"/>
      <w:sz w:val="22"/>
    </w:rPr>
  </w:style>
  <w:style w:type="paragraph" w:customStyle="1" w:styleId="ChapterHeading">
    <w:name w:val="Chapter Heading"/>
    <w:next w:val="Heading2"/>
    <w:rsid w:val="00AD0835"/>
    <w:pPr>
      <w:pBdr>
        <w:top w:val="single" w:sz="4" w:space="1" w:color="auto"/>
        <w:bottom w:val="single" w:sz="4" w:space="1" w:color="auto"/>
      </w:pBdr>
      <w:tabs>
        <w:tab w:val="num" w:pos="1134"/>
      </w:tabs>
      <w:spacing w:before="240" w:line="260" w:lineRule="atLeast"/>
    </w:pPr>
    <w:rPr>
      <w:rFonts w:ascii="Helvetica" w:eastAsiaTheme="minorEastAsia" w:hAnsi="Helvetica"/>
      <w:b/>
      <w:i/>
      <w:sz w:val="38"/>
    </w:rPr>
  </w:style>
  <w:style w:type="paragraph" w:customStyle="1" w:styleId="TableHeadingoutsidetable">
    <w:name w:val="Table Heading (outside table)"/>
    <w:basedOn w:val="Heading4"/>
    <w:rsid w:val="00AD0835"/>
    <w:pPr>
      <w:tabs>
        <w:tab w:val="clear" w:pos="1987"/>
        <w:tab w:val="num" w:pos="360"/>
      </w:tabs>
      <w:ind w:left="1134"/>
    </w:pPr>
    <w:rPr>
      <w:rFonts w:eastAsiaTheme="minorEastAsia"/>
      <w:kern w:val="0"/>
      <w:sz w:val="22"/>
    </w:rPr>
  </w:style>
  <w:style w:type="paragraph" w:customStyle="1" w:styleId="ExampleHeading">
    <w:name w:val="Example Heading"/>
    <w:basedOn w:val="Normal"/>
    <w:next w:val="Normal"/>
    <w:rsid w:val="00AD0835"/>
    <w:pPr>
      <w:keepNext/>
      <w:tabs>
        <w:tab w:val="num" w:pos="360"/>
      </w:tabs>
    </w:pPr>
    <w:rPr>
      <w:rFonts w:eastAsiaTheme="minorEastAsia"/>
      <w:b/>
      <w:sz w:val="22"/>
    </w:rPr>
  </w:style>
  <w:style w:type="paragraph" w:customStyle="1" w:styleId="Diagram">
    <w:name w:val="Diagram"/>
    <w:basedOn w:val="Normal"/>
    <w:next w:val="Normal"/>
    <w:rsid w:val="00AD0835"/>
    <w:pPr>
      <w:keepNext/>
      <w:tabs>
        <w:tab w:val="num" w:pos="360"/>
      </w:tabs>
      <w:spacing w:before="0" w:after="0"/>
    </w:pPr>
    <w:rPr>
      <w:rFonts w:eastAsiaTheme="minorEastAsia"/>
      <w:b/>
      <w:sz w:val="22"/>
    </w:rPr>
  </w:style>
  <w:style w:type="character" w:customStyle="1" w:styleId="base-text-paragraphChar">
    <w:name w:val="base-text-paragraph Char"/>
    <w:basedOn w:val="DefaultParagraphFont"/>
    <w:link w:val="base-text-paragraph"/>
    <w:rsid w:val="00AD0835"/>
    <w:rPr>
      <w:sz w:val="24"/>
    </w:rPr>
  </w:style>
  <w:style w:type="numbering" w:customStyle="1" w:styleId="ChapterList">
    <w:name w:val="ChapterList"/>
    <w:uiPriority w:val="99"/>
    <w:rsid w:val="00AD0835"/>
    <w:pPr>
      <w:numPr>
        <w:numId w:val="6"/>
      </w:numPr>
    </w:pPr>
  </w:style>
  <w:style w:type="character" w:customStyle="1" w:styleId="Heading5Char">
    <w:name w:val="Heading 5 Char"/>
    <w:basedOn w:val="DefaultParagraphFont"/>
    <w:link w:val="Heading5"/>
    <w:uiPriority w:val="9"/>
    <w:rsid w:val="00705268"/>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E0378A"/>
    <w:rPr>
      <w:rFonts w:asciiTheme="majorHAnsi" w:eastAsiaTheme="majorEastAsia" w:hAnsiTheme="majorHAnsi" w:cstheme="majorBidi"/>
      <w:i/>
      <w:iCs/>
      <w:color w:val="243F60" w:themeColor="accent1" w:themeShade="7F"/>
      <w:sz w:val="24"/>
    </w:rPr>
  </w:style>
  <w:style w:type="paragraph" w:customStyle="1" w:styleId="SubsectionHead">
    <w:name w:val="SubsectionHead"/>
    <w:aliases w:val="ssh"/>
    <w:basedOn w:val="Normal"/>
    <w:next w:val="Normal"/>
    <w:rsid w:val="007F6EFF"/>
    <w:pPr>
      <w:keepNext/>
      <w:keepLines/>
      <w:spacing w:before="240" w:after="0"/>
      <w:ind w:left="1134"/>
    </w:pPr>
    <w:rPr>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5">
    <w:name w:val="heading 5"/>
    <w:basedOn w:val="Normal"/>
    <w:next w:val="Normal"/>
    <w:link w:val="Heading5Char"/>
    <w:uiPriority w:val="9"/>
    <w:unhideWhenUsed/>
    <w:qFormat/>
    <w:rsid w:val="0070526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037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A1A42"/>
    <w:pPr>
      <w:keepNext/>
      <w:keepLines/>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5929FA"/>
    <w:pPr>
      <w:tabs>
        <w:tab w:val="center" w:pos="4513"/>
        <w:tab w:val="right" w:pos="9026"/>
      </w:tabs>
      <w:spacing w:before="0" w:after="0"/>
    </w:pPr>
  </w:style>
  <w:style w:type="character" w:customStyle="1" w:styleId="HeaderChar">
    <w:name w:val="Header Char"/>
    <w:basedOn w:val="DefaultParagraphFont"/>
    <w:link w:val="Header"/>
    <w:uiPriority w:val="99"/>
    <w:rsid w:val="005929FA"/>
    <w:rPr>
      <w:sz w:val="24"/>
    </w:rPr>
  </w:style>
  <w:style w:type="paragraph" w:styleId="Footer">
    <w:name w:val="footer"/>
    <w:basedOn w:val="Normal"/>
    <w:link w:val="FooterChar"/>
    <w:uiPriority w:val="99"/>
    <w:unhideWhenUsed/>
    <w:rsid w:val="005929FA"/>
    <w:pPr>
      <w:tabs>
        <w:tab w:val="center" w:pos="4513"/>
        <w:tab w:val="right" w:pos="9026"/>
      </w:tabs>
      <w:spacing w:before="0" w:after="0"/>
    </w:pPr>
  </w:style>
  <w:style w:type="character" w:customStyle="1" w:styleId="FooterChar">
    <w:name w:val="Footer Char"/>
    <w:basedOn w:val="DefaultParagraphFont"/>
    <w:link w:val="Footer"/>
    <w:uiPriority w:val="99"/>
    <w:rsid w:val="005929FA"/>
    <w:rPr>
      <w:sz w:val="24"/>
    </w:rPr>
  </w:style>
  <w:style w:type="paragraph" w:customStyle="1" w:styleId="SecurityClassificationHeader">
    <w:name w:val="Security Classification Header"/>
    <w:link w:val="SecurityClassificationHeaderChar"/>
    <w:rsid w:val="005929FA"/>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5929FA"/>
    <w:rPr>
      <w:b/>
      <w:caps/>
      <w:sz w:val="24"/>
    </w:rPr>
  </w:style>
  <w:style w:type="paragraph" w:customStyle="1" w:styleId="SecurityClassificationFooter">
    <w:name w:val="Security Classification Footer"/>
    <w:link w:val="SecurityClassificationFooterChar"/>
    <w:rsid w:val="005929FA"/>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5929FA"/>
    <w:rPr>
      <w:b/>
      <w:caps/>
      <w:sz w:val="24"/>
    </w:rPr>
  </w:style>
  <w:style w:type="paragraph" w:customStyle="1" w:styleId="DLMSecurityHeader">
    <w:name w:val="DLM Security Header"/>
    <w:link w:val="DLMSecurityHeaderChar"/>
    <w:rsid w:val="005929FA"/>
    <w:pPr>
      <w:spacing w:before="60" w:after="240"/>
      <w:jc w:val="center"/>
    </w:pPr>
    <w:rPr>
      <w:b/>
      <w:caps/>
      <w:sz w:val="24"/>
    </w:rPr>
  </w:style>
  <w:style w:type="character" w:customStyle="1" w:styleId="DLMSecurityHeaderChar">
    <w:name w:val="DLM Security Header Char"/>
    <w:basedOn w:val="HeaderChar"/>
    <w:link w:val="DLMSecurityHeader"/>
    <w:rsid w:val="005929FA"/>
    <w:rPr>
      <w:b/>
      <w:caps/>
      <w:sz w:val="24"/>
    </w:rPr>
  </w:style>
  <w:style w:type="paragraph" w:customStyle="1" w:styleId="DLMSecurityFooter">
    <w:name w:val="DLM Security Footer"/>
    <w:link w:val="DLMSecurityFooterChar"/>
    <w:rsid w:val="005929FA"/>
    <w:pPr>
      <w:spacing w:before="240" w:after="60"/>
      <w:jc w:val="center"/>
    </w:pPr>
    <w:rPr>
      <w:b/>
      <w:caps/>
      <w:sz w:val="24"/>
    </w:rPr>
  </w:style>
  <w:style w:type="character" w:customStyle="1" w:styleId="DLMSecurityFooterChar">
    <w:name w:val="DLM Security Footer Char"/>
    <w:basedOn w:val="HeaderChar"/>
    <w:link w:val="DLMSecurityFooter"/>
    <w:rsid w:val="005929FA"/>
    <w:rPr>
      <w:b/>
      <w:caps/>
      <w:sz w:val="24"/>
    </w:rPr>
  </w:style>
  <w:style w:type="paragraph" w:styleId="ListParagraph">
    <w:name w:val="List Paragraph"/>
    <w:basedOn w:val="Normal"/>
    <w:uiPriority w:val="34"/>
    <w:qFormat/>
    <w:rsid w:val="005F5DAF"/>
    <w:pPr>
      <w:ind w:left="720"/>
      <w:contextualSpacing/>
    </w:pPr>
  </w:style>
  <w:style w:type="character" w:customStyle="1" w:styleId="Heading8Char">
    <w:name w:val="Heading 8 Char"/>
    <w:basedOn w:val="DefaultParagraphFont"/>
    <w:link w:val="Heading8"/>
    <w:uiPriority w:val="9"/>
    <w:rsid w:val="004A1A42"/>
    <w:rPr>
      <w:rFonts w:asciiTheme="majorHAnsi" w:eastAsiaTheme="majorEastAsia" w:hAnsiTheme="majorHAnsi" w:cstheme="majorBidi"/>
      <w:color w:val="404040" w:themeColor="text1" w:themeTint="BF"/>
    </w:rPr>
  </w:style>
  <w:style w:type="paragraph" w:styleId="FootnoteText">
    <w:name w:val="footnote text"/>
    <w:basedOn w:val="Normal"/>
    <w:link w:val="FootnoteTextChar"/>
    <w:unhideWhenUsed/>
    <w:rsid w:val="00672542"/>
    <w:pPr>
      <w:spacing w:before="0" w:after="0"/>
    </w:pPr>
    <w:rPr>
      <w:sz w:val="20"/>
    </w:rPr>
  </w:style>
  <w:style w:type="character" w:customStyle="1" w:styleId="FootnoteTextChar">
    <w:name w:val="Footnote Text Char"/>
    <w:basedOn w:val="DefaultParagraphFont"/>
    <w:link w:val="FootnoteText"/>
    <w:rsid w:val="00672542"/>
  </w:style>
  <w:style w:type="character" w:styleId="FootnoteReference">
    <w:name w:val="footnote reference"/>
    <w:basedOn w:val="DefaultParagraphFont"/>
    <w:unhideWhenUsed/>
    <w:rsid w:val="00672542"/>
    <w:rPr>
      <w:vertAlign w:val="superscript"/>
    </w:rPr>
  </w:style>
  <w:style w:type="table" w:styleId="TableGrid">
    <w:name w:val="Table Grid"/>
    <w:basedOn w:val="TableNormal"/>
    <w:uiPriority w:val="59"/>
    <w:rsid w:val="007E3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4FEB"/>
    <w:rPr>
      <w:sz w:val="16"/>
      <w:szCs w:val="16"/>
    </w:rPr>
  </w:style>
  <w:style w:type="paragraph" w:styleId="CommentText">
    <w:name w:val="annotation text"/>
    <w:basedOn w:val="Normal"/>
    <w:link w:val="CommentTextChar"/>
    <w:uiPriority w:val="99"/>
    <w:semiHidden/>
    <w:unhideWhenUsed/>
    <w:rsid w:val="00A34FEB"/>
    <w:rPr>
      <w:sz w:val="20"/>
    </w:rPr>
  </w:style>
  <w:style w:type="character" w:customStyle="1" w:styleId="CommentTextChar">
    <w:name w:val="Comment Text Char"/>
    <w:basedOn w:val="DefaultParagraphFont"/>
    <w:link w:val="CommentText"/>
    <w:uiPriority w:val="99"/>
    <w:semiHidden/>
    <w:rsid w:val="00A34FEB"/>
  </w:style>
  <w:style w:type="paragraph" w:styleId="CommentSubject">
    <w:name w:val="annotation subject"/>
    <w:basedOn w:val="CommentText"/>
    <w:next w:val="CommentText"/>
    <w:link w:val="CommentSubjectChar"/>
    <w:uiPriority w:val="99"/>
    <w:semiHidden/>
    <w:unhideWhenUsed/>
    <w:rsid w:val="00A34FEB"/>
    <w:rPr>
      <w:b/>
      <w:bCs/>
    </w:rPr>
  </w:style>
  <w:style w:type="character" w:customStyle="1" w:styleId="CommentSubjectChar">
    <w:name w:val="Comment Subject Char"/>
    <w:basedOn w:val="CommentTextChar"/>
    <w:link w:val="CommentSubject"/>
    <w:uiPriority w:val="99"/>
    <w:semiHidden/>
    <w:rsid w:val="00A34FEB"/>
    <w:rPr>
      <w:b/>
      <w:bCs/>
    </w:rPr>
  </w:style>
  <w:style w:type="paragraph" w:customStyle="1" w:styleId="OutlineNumbered1">
    <w:name w:val="Outline Numbered 1"/>
    <w:basedOn w:val="Normal"/>
    <w:link w:val="OutlineNumbered1Char"/>
    <w:rsid w:val="00322A27"/>
    <w:pPr>
      <w:numPr>
        <w:numId w:val="4"/>
      </w:numPr>
      <w:spacing w:before="0" w:after="0"/>
    </w:pPr>
    <w:rPr>
      <w:rFonts w:ascii="Calibri" w:hAnsi="Calibri"/>
      <w:sz w:val="22"/>
      <w:szCs w:val="22"/>
      <w:lang w:eastAsia="en-US"/>
    </w:rPr>
  </w:style>
  <w:style w:type="character" w:customStyle="1" w:styleId="OutlineNumbered1Char">
    <w:name w:val="Outline Numbered 1 Char"/>
    <w:basedOn w:val="DefaultParagraphFont"/>
    <w:link w:val="OutlineNumbered1"/>
    <w:rsid w:val="00322A27"/>
    <w:rPr>
      <w:rFonts w:ascii="Calibri" w:hAnsi="Calibri"/>
      <w:sz w:val="22"/>
      <w:szCs w:val="22"/>
      <w:lang w:eastAsia="en-US"/>
    </w:rPr>
  </w:style>
  <w:style w:type="paragraph" w:customStyle="1" w:styleId="OutlineNumbered2">
    <w:name w:val="Outline Numbered 2"/>
    <w:basedOn w:val="Normal"/>
    <w:link w:val="OutlineNumbered2Char"/>
    <w:rsid w:val="00322A27"/>
    <w:pPr>
      <w:numPr>
        <w:ilvl w:val="1"/>
        <w:numId w:val="4"/>
      </w:numPr>
      <w:spacing w:before="0" w:after="0"/>
    </w:pPr>
    <w:rPr>
      <w:rFonts w:ascii="Calibri" w:hAnsi="Calibri"/>
      <w:sz w:val="22"/>
      <w:szCs w:val="22"/>
      <w:lang w:eastAsia="en-US"/>
    </w:rPr>
  </w:style>
  <w:style w:type="character" w:customStyle="1" w:styleId="OutlineNumbered2Char">
    <w:name w:val="Outline Numbered 2 Char"/>
    <w:basedOn w:val="DefaultParagraphFont"/>
    <w:link w:val="OutlineNumbered2"/>
    <w:rsid w:val="00322A27"/>
    <w:rPr>
      <w:rFonts w:ascii="Calibri" w:hAnsi="Calibri"/>
      <w:sz w:val="22"/>
      <w:szCs w:val="22"/>
      <w:lang w:eastAsia="en-US"/>
    </w:rPr>
  </w:style>
  <w:style w:type="paragraph" w:customStyle="1" w:styleId="OutlineNumbered3">
    <w:name w:val="Outline Numbered 3"/>
    <w:basedOn w:val="Normal"/>
    <w:rsid w:val="00322A27"/>
    <w:pPr>
      <w:numPr>
        <w:ilvl w:val="2"/>
        <w:numId w:val="4"/>
      </w:numPr>
      <w:spacing w:before="0" w:after="0"/>
    </w:pPr>
    <w:rPr>
      <w:rFonts w:ascii="Calibri" w:hAnsi="Calibri"/>
      <w:sz w:val="22"/>
      <w:szCs w:val="22"/>
      <w:lang w:eastAsia="en-US"/>
    </w:rPr>
  </w:style>
  <w:style w:type="paragraph" w:styleId="Revision">
    <w:name w:val="Revision"/>
    <w:hidden/>
    <w:uiPriority w:val="99"/>
    <w:semiHidden/>
    <w:rsid w:val="002E6B2F"/>
    <w:rPr>
      <w:sz w:val="24"/>
    </w:rPr>
  </w:style>
  <w:style w:type="paragraph" w:customStyle="1" w:styleId="ActHead7">
    <w:name w:val="ActHead 7"/>
    <w:aliases w:val="ap"/>
    <w:basedOn w:val="Normal"/>
    <w:next w:val="Normal"/>
    <w:qFormat/>
    <w:rsid w:val="001B4835"/>
    <w:pPr>
      <w:keepNext/>
      <w:keepLines/>
      <w:spacing w:before="280" w:after="0"/>
      <w:ind w:left="1134" w:hanging="1134"/>
      <w:outlineLvl w:val="6"/>
    </w:pPr>
    <w:rPr>
      <w:rFonts w:ascii="Arial" w:hAnsi="Arial"/>
      <w:b/>
      <w:kern w:val="28"/>
      <w:sz w:val="28"/>
    </w:rPr>
  </w:style>
  <w:style w:type="paragraph" w:customStyle="1" w:styleId="paragraph">
    <w:name w:val="paragraph"/>
    <w:aliases w:val="a"/>
    <w:basedOn w:val="Normal"/>
    <w:rsid w:val="001B4835"/>
    <w:pPr>
      <w:tabs>
        <w:tab w:val="right" w:pos="1531"/>
      </w:tabs>
      <w:spacing w:before="40" w:after="0"/>
      <w:ind w:left="1644" w:hanging="1644"/>
    </w:pPr>
    <w:rPr>
      <w:sz w:val="22"/>
    </w:rPr>
  </w:style>
  <w:style w:type="paragraph" w:customStyle="1" w:styleId="dotpoint0">
    <w:name w:val="dot point"/>
    <w:basedOn w:val="Normal"/>
    <w:rsid w:val="00D92EC9"/>
    <w:pPr>
      <w:numPr>
        <w:numId w:val="5"/>
      </w:numPr>
    </w:pPr>
    <w:rPr>
      <w:rFonts w:eastAsiaTheme="minorEastAsia"/>
      <w:sz w:val="22"/>
    </w:rPr>
  </w:style>
  <w:style w:type="paragraph" w:customStyle="1" w:styleId="ChapterHeading">
    <w:name w:val="Chapter Heading"/>
    <w:next w:val="Heading2"/>
    <w:rsid w:val="00AD0835"/>
    <w:pPr>
      <w:pBdr>
        <w:top w:val="single" w:sz="4" w:space="1" w:color="auto"/>
        <w:bottom w:val="single" w:sz="4" w:space="1" w:color="auto"/>
      </w:pBdr>
      <w:tabs>
        <w:tab w:val="num" w:pos="1134"/>
      </w:tabs>
      <w:spacing w:before="240" w:line="260" w:lineRule="atLeast"/>
    </w:pPr>
    <w:rPr>
      <w:rFonts w:ascii="Helvetica" w:eastAsiaTheme="minorEastAsia" w:hAnsi="Helvetica"/>
      <w:b/>
      <w:i/>
      <w:sz w:val="38"/>
    </w:rPr>
  </w:style>
  <w:style w:type="paragraph" w:customStyle="1" w:styleId="TableHeadingoutsidetable">
    <w:name w:val="Table Heading (outside table)"/>
    <w:basedOn w:val="Heading4"/>
    <w:rsid w:val="00AD0835"/>
    <w:pPr>
      <w:tabs>
        <w:tab w:val="clear" w:pos="1987"/>
        <w:tab w:val="num" w:pos="360"/>
      </w:tabs>
      <w:ind w:left="1134"/>
    </w:pPr>
    <w:rPr>
      <w:rFonts w:eastAsiaTheme="minorEastAsia"/>
      <w:kern w:val="0"/>
      <w:sz w:val="22"/>
    </w:rPr>
  </w:style>
  <w:style w:type="paragraph" w:customStyle="1" w:styleId="ExampleHeading">
    <w:name w:val="Example Heading"/>
    <w:basedOn w:val="Normal"/>
    <w:next w:val="Normal"/>
    <w:rsid w:val="00AD0835"/>
    <w:pPr>
      <w:keepNext/>
      <w:tabs>
        <w:tab w:val="num" w:pos="360"/>
      </w:tabs>
    </w:pPr>
    <w:rPr>
      <w:rFonts w:eastAsiaTheme="minorEastAsia"/>
      <w:b/>
      <w:sz w:val="22"/>
    </w:rPr>
  </w:style>
  <w:style w:type="paragraph" w:customStyle="1" w:styleId="Diagram">
    <w:name w:val="Diagram"/>
    <w:basedOn w:val="Normal"/>
    <w:next w:val="Normal"/>
    <w:rsid w:val="00AD0835"/>
    <w:pPr>
      <w:keepNext/>
      <w:tabs>
        <w:tab w:val="num" w:pos="360"/>
      </w:tabs>
      <w:spacing w:before="0" w:after="0"/>
    </w:pPr>
    <w:rPr>
      <w:rFonts w:eastAsiaTheme="minorEastAsia"/>
      <w:b/>
      <w:sz w:val="22"/>
    </w:rPr>
  </w:style>
  <w:style w:type="character" w:customStyle="1" w:styleId="base-text-paragraphChar">
    <w:name w:val="base-text-paragraph Char"/>
    <w:basedOn w:val="DefaultParagraphFont"/>
    <w:link w:val="base-text-paragraph"/>
    <w:rsid w:val="00AD0835"/>
    <w:rPr>
      <w:sz w:val="24"/>
    </w:rPr>
  </w:style>
  <w:style w:type="numbering" w:customStyle="1" w:styleId="ChapterList">
    <w:name w:val="ChapterList"/>
    <w:uiPriority w:val="99"/>
    <w:rsid w:val="00AD0835"/>
    <w:pPr>
      <w:numPr>
        <w:numId w:val="6"/>
      </w:numPr>
    </w:pPr>
  </w:style>
  <w:style w:type="character" w:customStyle="1" w:styleId="Heading5Char">
    <w:name w:val="Heading 5 Char"/>
    <w:basedOn w:val="DefaultParagraphFont"/>
    <w:link w:val="Heading5"/>
    <w:uiPriority w:val="9"/>
    <w:rsid w:val="00705268"/>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E0378A"/>
    <w:rPr>
      <w:rFonts w:asciiTheme="majorHAnsi" w:eastAsiaTheme="majorEastAsia" w:hAnsiTheme="majorHAnsi" w:cstheme="majorBidi"/>
      <w:i/>
      <w:iCs/>
      <w:color w:val="243F60" w:themeColor="accent1" w:themeShade="7F"/>
      <w:sz w:val="24"/>
    </w:rPr>
  </w:style>
  <w:style w:type="paragraph" w:customStyle="1" w:styleId="SubsectionHead">
    <w:name w:val="SubsectionHead"/>
    <w:aliases w:val="ssh"/>
    <w:basedOn w:val="Normal"/>
    <w:next w:val="Normal"/>
    <w:rsid w:val="007F6EFF"/>
    <w:pPr>
      <w:keepNext/>
      <w:keepLines/>
      <w:spacing w:before="240" w:after="0"/>
      <w:ind w:left="1134"/>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7426">
      <w:bodyDiv w:val="1"/>
      <w:marLeft w:val="0"/>
      <w:marRight w:val="0"/>
      <w:marTop w:val="0"/>
      <w:marBottom w:val="0"/>
      <w:divBdr>
        <w:top w:val="none" w:sz="0" w:space="0" w:color="auto"/>
        <w:left w:val="none" w:sz="0" w:space="0" w:color="auto"/>
        <w:bottom w:val="none" w:sz="0" w:space="0" w:color="auto"/>
        <w:right w:val="none" w:sz="0" w:space="0" w:color="auto"/>
      </w:divBdr>
    </w:div>
    <w:div w:id="250239324">
      <w:bodyDiv w:val="1"/>
      <w:marLeft w:val="0"/>
      <w:marRight w:val="0"/>
      <w:marTop w:val="0"/>
      <w:marBottom w:val="0"/>
      <w:divBdr>
        <w:top w:val="none" w:sz="0" w:space="0" w:color="auto"/>
        <w:left w:val="none" w:sz="0" w:space="0" w:color="auto"/>
        <w:bottom w:val="none" w:sz="0" w:space="0" w:color="auto"/>
        <w:right w:val="none" w:sz="0" w:space="0" w:color="auto"/>
      </w:divBdr>
      <w:divsChild>
        <w:div w:id="672075540">
          <w:marLeft w:val="0"/>
          <w:marRight w:val="0"/>
          <w:marTop w:val="0"/>
          <w:marBottom w:val="0"/>
          <w:divBdr>
            <w:top w:val="none" w:sz="0" w:space="0" w:color="auto"/>
            <w:left w:val="none" w:sz="0" w:space="0" w:color="auto"/>
            <w:bottom w:val="none" w:sz="0" w:space="0" w:color="auto"/>
            <w:right w:val="none" w:sz="0" w:space="0" w:color="auto"/>
          </w:divBdr>
          <w:divsChild>
            <w:div w:id="784078013">
              <w:marLeft w:val="0"/>
              <w:marRight w:val="0"/>
              <w:marTop w:val="0"/>
              <w:marBottom w:val="0"/>
              <w:divBdr>
                <w:top w:val="none" w:sz="0" w:space="0" w:color="auto"/>
                <w:left w:val="none" w:sz="0" w:space="0" w:color="auto"/>
                <w:bottom w:val="none" w:sz="0" w:space="0" w:color="auto"/>
                <w:right w:val="none" w:sz="0" w:space="0" w:color="auto"/>
              </w:divBdr>
              <w:divsChild>
                <w:div w:id="385372240">
                  <w:marLeft w:val="0"/>
                  <w:marRight w:val="0"/>
                  <w:marTop w:val="0"/>
                  <w:marBottom w:val="0"/>
                  <w:divBdr>
                    <w:top w:val="none" w:sz="0" w:space="0" w:color="auto"/>
                    <w:left w:val="none" w:sz="0" w:space="0" w:color="auto"/>
                    <w:bottom w:val="none" w:sz="0" w:space="0" w:color="auto"/>
                    <w:right w:val="none" w:sz="0" w:space="0" w:color="auto"/>
                  </w:divBdr>
                  <w:divsChild>
                    <w:div w:id="2021470722">
                      <w:marLeft w:val="0"/>
                      <w:marRight w:val="0"/>
                      <w:marTop w:val="0"/>
                      <w:marBottom w:val="0"/>
                      <w:divBdr>
                        <w:top w:val="none" w:sz="0" w:space="0" w:color="auto"/>
                        <w:left w:val="none" w:sz="0" w:space="0" w:color="auto"/>
                        <w:bottom w:val="none" w:sz="0" w:space="0" w:color="auto"/>
                        <w:right w:val="none" w:sz="0" w:space="0" w:color="auto"/>
                      </w:divBdr>
                      <w:divsChild>
                        <w:div w:id="808590221">
                          <w:marLeft w:val="0"/>
                          <w:marRight w:val="0"/>
                          <w:marTop w:val="0"/>
                          <w:marBottom w:val="0"/>
                          <w:divBdr>
                            <w:top w:val="none" w:sz="0" w:space="0" w:color="auto"/>
                            <w:left w:val="none" w:sz="0" w:space="0" w:color="auto"/>
                            <w:bottom w:val="none" w:sz="0" w:space="0" w:color="auto"/>
                            <w:right w:val="none" w:sz="0" w:space="0" w:color="auto"/>
                          </w:divBdr>
                          <w:divsChild>
                            <w:div w:id="1771659222">
                              <w:marLeft w:val="0"/>
                              <w:marRight w:val="0"/>
                              <w:marTop w:val="0"/>
                              <w:marBottom w:val="0"/>
                              <w:divBdr>
                                <w:top w:val="single" w:sz="6" w:space="0" w:color="828282"/>
                                <w:left w:val="single" w:sz="6" w:space="0" w:color="828282"/>
                                <w:bottom w:val="single" w:sz="6" w:space="0" w:color="828282"/>
                                <w:right w:val="single" w:sz="6" w:space="0" w:color="828282"/>
                              </w:divBdr>
                              <w:divsChild>
                                <w:div w:id="1588074784">
                                  <w:marLeft w:val="0"/>
                                  <w:marRight w:val="0"/>
                                  <w:marTop w:val="0"/>
                                  <w:marBottom w:val="0"/>
                                  <w:divBdr>
                                    <w:top w:val="none" w:sz="0" w:space="0" w:color="auto"/>
                                    <w:left w:val="none" w:sz="0" w:space="0" w:color="auto"/>
                                    <w:bottom w:val="none" w:sz="0" w:space="0" w:color="auto"/>
                                    <w:right w:val="none" w:sz="0" w:space="0" w:color="auto"/>
                                  </w:divBdr>
                                  <w:divsChild>
                                    <w:div w:id="23094552">
                                      <w:marLeft w:val="0"/>
                                      <w:marRight w:val="0"/>
                                      <w:marTop w:val="0"/>
                                      <w:marBottom w:val="0"/>
                                      <w:divBdr>
                                        <w:top w:val="none" w:sz="0" w:space="0" w:color="auto"/>
                                        <w:left w:val="none" w:sz="0" w:space="0" w:color="auto"/>
                                        <w:bottom w:val="none" w:sz="0" w:space="0" w:color="auto"/>
                                        <w:right w:val="none" w:sz="0" w:space="0" w:color="auto"/>
                                      </w:divBdr>
                                      <w:divsChild>
                                        <w:div w:id="40062259">
                                          <w:marLeft w:val="0"/>
                                          <w:marRight w:val="0"/>
                                          <w:marTop w:val="0"/>
                                          <w:marBottom w:val="0"/>
                                          <w:divBdr>
                                            <w:top w:val="none" w:sz="0" w:space="0" w:color="auto"/>
                                            <w:left w:val="none" w:sz="0" w:space="0" w:color="auto"/>
                                            <w:bottom w:val="none" w:sz="0" w:space="0" w:color="auto"/>
                                            <w:right w:val="none" w:sz="0" w:space="0" w:color="auto"/>
                                          </w:divBdr>
                                          <w:divsChild>
                                            <w:div w:id="377824892">
                                              <w:marLeft w:val="0"/>
                                              <w:marRight w:val="0"/>
                                              <w:marTop w:val="0"/>
                                              <w:marBottom w:val="0"/>
                                              <w:divBdr>
                                                <w:top w:val="none" w:sz="0" w:space="0" w:color="auto"/>
                                                <w:left w:val="none" w:sz="0" w:space="0" w:color="auto"/>
                                                <w:bottom w:val="none" w:sz="0" w:space="0" w:color="auto"/>
                                                <w:right w:val="none" w:sz="0" w:space="0" w:color="auto"/>
                                              </w:divBdr>
                                              <w:divsChild>
                                                <w:div w:id="1514491296">
                                                  <w:marLeft w:val="0"/>
                                                  <w:marRight w:val="0"/>
                                                  <w:marTop w:val="0"/>
                                                  <w:marBottom w:val="0"/>
                                                  <w:divBdr>
                                                    <w:top w:val="none" w:sz="0" w:space="0" w:color="auto"/>
                                                    <w:left w:val="none" w:sz="0" w:space="0" w:color="auto"/>
                                                    <w:bottom w:val="none" w:sz="0" w:space="0" w:color="auto"/>
                                                    <w:right w:val="none" w:sz="0" w:space="0" w:color="auto"/>
                                                  </w:divBdr>
                                                  <w:divsChild>
                                                    <w:div w:id="11719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799051">
      <w:bodyDiv w:val="1"/>
      <w:marLeft w:val="0"/>
      <w:marRight w:val="0"/>
      <w:marTop w:val="0"/>
      <w:marBottom w:val="0"/>
      <w:divBdr>
        <w:top w:val="none" w:sz="0" w:space="0" w:color="auto"/>
        <w:left w:val="none" w:sz="0" w:space="0" w:color="auto"/>
        <w:bottom w:val="none" w:sz="0" w:space="0" w:color="auto"/>
        <w:right w:val="none" w:sz="0" w:space="0" w:color="auto"/>
      </w:divBdr>
      <w:divsChild>
        <w:div w:id="1352757003">
          <w:marLeft w:val="0"/>
          <w:marRight w:val="0"/>
          <w:marTop w:val="0"/>
          <w:marBottom w:val="0"/>
          <w:divBdr>
            <w:top w:val="none" w:sz="0" w:space="0" w:color="auto"/>
            <w:left w:val="none" w:sz="0" w:space="0" w:color="auto"/>
            <w:bottom w:val="none" w:sz="0" w:space="0" w:color="auto"/>
            <w:right w:val="none" w:sz="0" w:space="0" w:color="auto"/>
          </w:divBdr>
          <w:divsChild>
            <w:div w:id="1438138101">
              <w:marLeft w:val="0"/>
              <w:marRight w:val="0"/>
              <w:marTop w:val="0"/>
              <w:marBottom w:val="0"/>
              <w:divBdr>
                <w:top w:val="none" w:sz="0" w:space="0" w:color="auto"/>
                <w:left w:val="none" w:sz="0" w:space="0" w:color="auto"/>
                <w:bottom w:val="none" w:sz="0" w:space="0" w:color="auto"/>
                <w:right w:val="none" w:sz="0" w:space="0" w:color="auto"/>
              </w:divBdr>
              <w:divsChild>
                <w:div w:id="813450831">
                  <w:marLeft w:val="0"/>
                  <w:marRight w:val="0"/>
                  <w:marTop w:val="0"/>
                  <w:marBottom w:val="0"/>
                  <w:divBdr>
                    <w:top w:val="none" w:sz="0" w:space="0" w:color="auto"/>
                    <w:left w:val="none" w:sz="0" w:space="0" w:color="auto"/>
                    <w:bottom w:val="none" w:sz="0" w:space="0" w:color="auto"/>
                    <w:right w:val="none" w:sz="0" w:space="0" w:color="auto"/>
                  </w:divBdr>
                  <w:divsChild>
                    <w:div w:id="322322701">
                      <w:marLeft w:val="0"/>
                      <w:marRight w:val="0"/>
                      <w:marTop w:val="0"/>
                      <w:marBottom w:val="0"/>
                      <w:divBdr>
                        <w:top w:val="none" w:sz="0" w:space="0" w:color="auto"/>
                        <w:left w:val="none" w:sz="0" w:space="0" w:color="auto"/>
                        <w:bottom w:val="none" w:sz="0" w:space="0" w:color="auto"/>
                        <w:right w:val="none" w:sz="0" w:space="0" w:color="auto"/>
                      </w:divBdr>
                      <w:divsChild>
                        <w:div w:id="633754597">
                          <w:marLeft w:val="0"/>
                          <w:marRight w:val="0"/>
                          <w:marTop w:val="0"/>
                          <w:marBottom w:val="0"/>
                          <w:divBdr>
                            <w:top w:val="none" w:sz="0" w:space="0" w:color="auto"/>
                            <w:left w:val="none" w:sz="0" w:space="0" w:color="auto"/>
                            <w:bottom w:val="none" w:sz="0" w:space="0" w:color="auto"/>
                            <w:right w:val="none" w:sz="0" w:space="0" w:color="auto"/>
                          </w:divBdr>
                          <w:divsChild>
                            <w:div w:id="1660963422">
                              <w:marLeft w:val="0"/>
                              <w:marRight w:val="0"/>
                              <w:marTop w:val="0"/>
                              <w:marBottom w:val="0"/>
                              <w:divBdr>
                                <w:top w:val="none" w:sz="0" w:space="0" w:color="auto"/>
                                <w:left w:val="none" w:sz="0" w:space="0" w:color="auto"/>
                                <w:bottom w:val="none" w:sz="0" w:space="0" w:color="auto"/>
                                <w:right w:val="none" w:sz="0" w:space="0" w:color="auto"/>
                              </w:divBdr>
                              <w:divsChild>
                                <w:div w:id="1836337263">
                                  <w:marLeft w:val="0"/>
                                  <w:marRight w:val="0"/>
                                  <w:marTop w:val="0"/>
                                  <w:marBottom w:val="0"/>
                                  <w:divBdr>
                                    <w:top w:val="none" w:sz="0" w:space="0" w:color="auto"/>
                                    <w:left w:val="none" w:sz="0" w:space="0" w:color="auto"/>
                                    <w:bottom w:val="none" w:sz="0" w:space="0" w:color="auto"/>
                                    <w:right w:val="none" w:sz="0" w:space="0" w:color="auto"/>
                                  </w:divBdr>
                                  <w:divsChild>
                                    <w:div w:id="58747584">
                                      <w:marLeft w:val="0"/>
                                      <w:marRight w:val="0"/>
                                      <w:marTop w:val="0"/>
                                      <w:marBottom w:val="0"/>
                                      <w:divBdr>
                                        <w:top w:val="none" w:sz="0" w:space="0" w:color="auto"/>
                                        <w:left w:val="none" w:sz="0" w:space="0" w:color="auto"/>
                                        <w:bottom w:val="none" w:sz="0" w:space="0" w:color="auto"/>
                                        <w:right w:val="none" w:sz="0" w:space="0" w:color="auto"/>
                                      </w:divBdr>
                                      <w:divsChild>
                                        <w:div w:id="862285215">
                                          <w:marLeft w:val="0"/>
                                          <w:marRight w:val="0"/>
                                          <w:marTop w:val="0"/>
                                          <w:marBottom w:val="0"/>
                                          <w:divBdr>
                                            <w:top w:val="none" w:sz="0" w:space="0" w:color="auto"/>
                                            <w:left w:val="none" w:sz="0" w:space="0" w:color="auto"/>
                                            <w:bottom w:val="none" w:sz="0" w:space="0" w:color="auto"/>
                                            <w:right w:val="none" w:sz="0" w:space="0" w:color="auto"/>
                                          </w:divBdr>
                                          <w:divsChild>
                                            <w:div w:id="825517321">
                                              <w:marLeft w:val="0"/>
                                              <w:marRight w:val="0"/>
                                              <w:marTop w:val="0"/>
                                              <w:marBottom w:val="0"/>
                                              <w:divBdr>
                                                <w:top w:val="none" w:sz="0" w:space="0" w:color="auto"/>
                                                <w:left w:val="none" w:sz="0" w:space="0" w:color="auto"/>
                                                <w:bottom w:val="none" w:sz="0" w:space="0" w:color="auto"/>
                                                <w:right w:val="none" w:sz="0" w:space="0" w:color="auto"/>
                                              </w:divBdr>
                                              <w:divsChild>
                                                <w:div w:id="983585015">
                                                  <w:marLeft w:val="0"/>
                                                  <w:marRight w:val="0"/>
                                                  <w:marTop w:val="0"/>
                                                  <w:marBottom w:val="0"/>
                                                  <w:divBdr>
                                                    <w:top w:val="none" w:sz="0" w:space="0" w:color="auto"/>
                                                    <w:left w:val="none" w:sz="0" w:space="0" w:color="auto"/>
                                                    <w:bottom w:val="none" w:sz="0" w:space="0" w:color="auto"/>
                                                    <w:right w:val="none" w:sz="0" w:space="0" w:color="auto"/>
                                                  </w:divBdr>
                                                  <w:divsChild>
                                                    <w:div w:id="1311640498">
                                                      <w:marLeft w:val="0"/>
                                                      <w:marRight w:val="0"/>
                                                      <w:marTop w:val="0"/>
                                                      <w:marBottom w:val="0"/>
                                                      <w:divBdr>
                                                        <w:top w:val="none" w:sz="0" w:space="0" w:color="auto"/>
                                                        <w:left w:val="none" w:sz="0" w:space="0" w:color="auto"/>
                                                        <w:bottom w:val="none" w:sz="0" w:space="0" w:color="auto"/>
                                                        <w:right w:val="none" w:sz="0" w:space="0" w:color="auto"/>
                                                      </w:divBdr>
                                                      <w:divsChild>
                                                        <w:div w:id="632253459">
                                                          <w:marLeft w:val="0"/>
                                                          <w:marRight w:val="0"/>
                                                          <w:marTop w:val="0"/>
                                                          <w:marBottom w:val="0"/>
                                                          <w:divBdr>
                                                            <w:top w:val="none" w:sz="0" w:space="0" w:color="auto"/>
                                                            <w:left w:val="none" w:sz="0" w:space="0" w:color="auto"/>
                                                            <w:bottom w:val="none" w:sz="0" w:space="0" w:color="auto"/>
                                                            <w:right w:val="none" w:sz="0" w:space="0" w:color="auto"/>
                                                          </w:divBdr>
                                                          <w:divsChild>
                                                            <w:div w:id="1434859531">
                                                              <w:marLeft w:val="0"/>
                                                              <w:marRight w:val="0"/>
                                                              <w:marTop w:val="0"/>
                                                              <w:marBottom w:val="0"/>
                                                              <w:divBdr>
                                                                <w:top w:val="none" w:sz="0" w:space="0" w:color="auto"/>
                                                                <w:left w:val="none" w:sz="0" w:space="0" w:color="auto"/>
                                                                <w:bottom w:val="none" w:sz="0" w:space="0" w:color="auto"/>
                                                                <w:right w:val="none" w:sz="0" w:space="0" w:color="auto"/>
                                                              </w:divBdr>
                                                              <w:divsChild>
                                                                <w:div w:id="301346304">
                                                                  <w:marLeft w:val="0"/>
                                                                  <w:marRight w:val="0"/>
                                                                  <w:marTop w:val="0"/>
                                                                  <w:marBottom w:val="0"/>
                                                                  <w:divBdr>
                                                                    <w:top w:val="none" w:sz="0" w:space="0" w:color="auto"/>
                                                                    <w:left w:val="none" w:sz="0" w:space="0" w:color="auto"/>
                                                                    <w:bottom w:val="none" w:sz="0" w:space="0" w:color="auto"/>
                                                                    <w:right w:val="none" w:sz="0" w:space="0" w:color="auto"/>
                                                                  </w:divBdr>
                                                                  <w:divsChild>
                                                                    <w:div w:id="1792893606">
                                                                      <w:marLeft w:val="0"/>
                                                                      <w:marRight w:val="0"/>
                                                                      <w:marTop w:val="0"/>
                                                                      <w:marBottom w:val="0"/>
                                                                      <w:divBdr>
                                                                        <w:top w:val="none" w:sz="0" w:space="0" w:color="auto"/>
                                                                        <w:left w:val="none" w:sz="0" w:space="0" w:color="auto"/>
                                                                        <w:bottom w:val="none" w:sz="0" w:space="0" w:color="auto"/>
                                                                        <w:right w:val="none" w:sz="0" w:space="0" w:color="auto"/>
                                                                      </w:divBdr>
                                                                      <w:divsChild>
                                                                        <w:div w:id="1354960720">
                                                                          <w:marLeft w:val="0"/>
                                                                          <w:marRight w:val="0"/>
                                                                          <w:marTop w:val="0"/>
                                                                          <w:marBottom w:val="0"/>
                                                                          <w:divBdr>
                                                                            <w:top w:val="none" w:sz="0" w:space="0" w:color="auto"/>
                                                                            <w:left w:val="none" w:sz="0" w:space="0" w:color="auto"/>
                                                                            <w:bottom w:val="none" w:sz="0" w:space="0" w:color="auto"/>
                                                                            <w:right w:val="none" w:sz="0" w:space="0" w:color="auto"/>
                                                                          </w:divBdr>
                                                                          <w:divsChild>
                                                                            <w:div w:id="1253122306">
                                                                              <w:marLeft w:val="0"/>
                                                                              <w:marRight w:val="0"/>
                                                                              <w:marTop w:val="0"/>
                                                                              <w:marBottom w:val="0"/>
                                                                              <w:divBdr>
                                                                                <w:top w:val="none" w:sz="0" w:space="0" w:color="auto"/>
                                                                                <w:left w:val="none" w:sz="0" w:space="0" w:color="auto"/>
                                                                                <w:bottom w:val="none" w:sz="0" w:space="0" w:color="auto"/>
                                                                                <w:right w:val="none" w:sz="0" w:space="0" w:color="auto"/>
                                                                              </w:divBdr>
                                                                              <w:divsChild>
                                                                                <w:div w:id="1118061421">
                                                                                  <w:marLeft w:val="0"/>
                                                                                  <w:marRight w:val="0"/>
                                                                                  <w:marTop w:val="0"/>
                                                                                  <w:marBottom w:val="0"/>
                                                                                  <w:divBdr>
                                                                                    <w:top w:val="none" w:sz="0" w:space="0" w:color="auto"/>
                                                                                    <w:left w:val="none" w:sz="0" w:space="0" w:color="auto"/>
                                                                                    <w:bottom w:val="none" w:sz="0" w:space="0" w:color="auto"/>
                                                                                    <w:right w:val="none" w:sz="0" w:space="0" w:color="auto"/>
                                                                                  </w:divBdr>
                                                                                  <w:divsChild>
                                                                                    <w:div w:id="1406297861">
                                                                                      <w:marLeft w:val="0"/>
                                                                                      <w:marRight w:val="0"/>
                                                                                      <w:marTop w:val="0"/>
                                                                                      <w:marBottom w:val="0"/>
                                                                                      <w:divBdr>
                                                                                        <w:top w:val="none" w:sz="0" w:space="0" w:color="auto"/>
                                                                                        <w:left w:val="none" w:sz="0" w:space="0" w:color="auto"/>
                                                                                        <w:bottom w:val="none" w:sz="0" w:space="0" w:color="auto"/>
                                                                                        <w:right w:val="none" w:sz="0" w:space="0" w:color="auto"/>
                                                                                      </w:divBdr>
                                                                                      <w:divsChild>
                                                                                        <w:div w:id="4602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100296">
      <w:bodyDiv w:val="1"/>
      <w:marLeft w:val="0"/>
      <w:marRight w:val="0"/>
      <w:marTop w:val="0"/>
      <w:marBottom w:val="0"/>
      <w:divBdr>
        <w:top w:val="none" w:sz="0" w:space="0" w:color="auto"/>
        <w:left w:val="none" w:sz="0" w:space="0" w:color="auto"/>
        <w:bottom w:val="none" w:sz="0" w:space="0" w:color="auto"/>
        <w:right w:val="none" w:sz="0" w:space="0" w:color="auto"/>
      </w:divBdr>
    </w:div>
    <w:div w:id="698550903">
      <w:bodyDiv w:val="1"/>
      <w:marLeft w:val="0"/>
      <w:marRight w:val="0"/>
      <w:marTop w:val="0"/>
      <w:marBottom w:val="0"/>
      <w:divBdr>
        <w:top w:val="none" w:sz="0" w:space="0" w:color="auto"/>
        <w:left w:val="none" w:sz="0" w:space="0" w:color="auto"/>
        <w:bottom w:val="none" w:sz="0" w:space="0" w:color="auto"/>
        <w:right w:val="none" w:sz="0" w:space="0" w:color="auto"/>
      </w:divBdr>
    </w:div>
    <w:div w:id="776028368">
      <w:bodyDiv w:val="1"/>
      <w:marLeft w:val="0"/>
      <w:marRight w:val="0"/>
      <w:marTop w:val="0"/>
      <w:marBottom w:val="0"/>
      <w:divBdr>
        <w:top w:val="none" w:sz="0" w:space="0" w:color="auto"/>
        <w:left w:val="none" w:sz="0" w:space="0" w:color="auto"/>
        <w:bottom w:val="none" w:sz="0" w:space="0" w:color="auto"/>
        <w:right w:val="none" w:sz="0" w:space="0" w:color="auto"/>
      </w:divBdr>
    </w:div>
    <w:div w:id="906037736">
      <w:bodyDiv w:val="1"/>
      <w:marLeft w:val="0"/>
      <w:marRight w:val="0"/>
      <w:marTop w:val="0"/>
      <w:marBottom w:val="0"/>
      <w:divBdr>
        <w:top w:val="none" w:sz="0" w:space="0" w:color="auto"/>
        <w:left w:val="none" w:sz="0" w:space="0" w:color="auto"/>
        <w:bottom w:val="none" w:sz="0" w:space="0" w:color="auto"/>
        <w:right w:val="none" w:sz="0" w:space="0" w:color="auto"/>
      </w:divBdr>
    </w:div>
    <w:div w:id="1584412155">
      <w:bodyDiv w:val="1"/>
      <w:marLeft w:val="0"/>
      <w:marRight w:val="0"/>
      <w:marTop w:val="0"/>
      <w:marBottom w:val="0"/>
      <w:divBdr>
        <w:top w:val="none" w:sz="0" w:space="0" w:color="auto"/>
        <w:left w:val="none" w:sz="0" w:space="0" w:color="auto"/>
        <w:bottom w:val="none" w:sz="0" w:space="0" w:color="auto"/>
        <w:right w:val="none" w:sz="0" w:space="0" w:color="auto"/>
      </w:divBdr>
    </w:div>
    <w:div w:id="1634360004">
      <w:bodyDiv w:val="1"/>
      <w:marLeft w:val="0"/>
      <w:marRight w:val="0"/>
      <w:marTop w:val="0"/>
      <w:marBottom w:val="0"/>
      <w:divBdr>
        <w:top w:val="none" w:sz="0" w:space="0" w:color="auto"/>
        <w:left w:val="none" w:sz="0" w:space="0" w:color="auto"/>
        <w:bottom w:val="none" w:sz="0" w:space="0" w:color="auto"/>
        <w:right w:val="none" w:sz="0" w:space="0" w:color="auto"/>
      </w:divBdr>
    </w:div>
    <w:div w:id="1739354204">
      <w:bodyDiv w:val="1"/>
      <w:marLeft w:val="0"/>
      <w:marRight w:val="0"/>
      <w:marTop w:val="0"/>
      <w:marBottom w:val="0"/>
      <w:divBdr>
        <w:top w:val="none" w:sz="0" w:space="0" w:color="auto"/>
        <w:left w:val="none" w:sz="0" w:space="0" w:color="auto"/>
        <w:bottom w:val="none" w:sz="0" w:space="0" w:color="auto"/>
        <w:right w:val="none" w:sz="0" w:space="0" w:color="auto"/>
      </w:divBdr>
    </w:div>
    <w:div w:id="1762069472">
      <w:bodyDiv w:val="1"/>
      <w:marLeft w:val="0"/>
      <w:marRight w:val="0"/>
      <w:marTop w:val="0"/>
      <w:marBottom w:val="0"/>
      <w:divBdr>
        <w:top w:val="none" w:sz="0" w:space="0" w:color="auto"/>
        <w:left w:val="none" w:sz="0" w:space="0" w:color="auto"/>
        <w:bottom w:val="none" w:sz="0" w:space="0" w:color="auto"/>
        <w:right w:val="none" w:sz="0" w:space="0" w:color="auto"/>
      </w:divBdr>
    </w:div>
    <w:div w:id="1781144689">
      <w:bodyDiv w:val="1"/>
      <w:marLeft w:val="0"/>
      <w:marRight w:val="0"/>
      <w:marTop w:val="0"/>
      <w:marBottom w:val="0"/>
      <w:divBdr>
        <w:top w:val="none" w:sz="0" w:space="0" w:color="auto"/>
        <w:left w:val="none" w:sz="0" w:space="0" w:color="auto"/>
        <w:bottom w:val="none" w:sz="0" w:space="0" w:color="auto"/>
        <w:right w:val="none" w:sz="0" w:space="0" w:color="auto"/>
      </w:divBdr>
    </w:div>
    <w:div w:id="18569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31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2015RG-86-17646</_dlc_DocId>
    <_dlc_DocIdUrl xmlns="9f7bc583-7cbe-45b9-a2bd-8bbb6543b37e">
      <Url>http://tweb/sites/rg/ldp/lmu/_layouts/15/DocIdRedir.aspx?ID=2015RG-86-17646</Url>
      <Description>2015RG-86-17646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21" ma:contentTypeDescription=" " ma:contentTypeScope="" ma:versionID="fc53f4eae6d7a637556b75822d443a4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c6e96ee77066bd5557fbaaddbe36586c"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7A3D-181C-42A0-9C8B-8AB1794BAEF8}">
  <ds:schemaRefs>
    <ds:schemaRef ds:uri="http://schemas.microsoft.com/sharepoint/v3/contenttype/forms"/>
  </ds:schemaRefs>
</ds:datastoreItem>
</file>

<file path=customXml/itemProps2.xml><?xml version="1.0" encoding="utf-8"?>
<ds:datastoreItem xmlns:ds="http://schemas.openxmlformats.org/officeDocument/2006/customXml" ds:itemID="{7D8258C0-D23A-46C3-A962-71B27AC711D6}">
  <ds:schemaRefs>
    <ds:schemaRef ds:uri="http://purl.org/dc/terms/"/>
    <ds:schemaRef ds:uri="9f7bc583-7cbe-45b9-a2bd-8bbb6543b37e"/>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8C52AC1-1416-46D4-82DB-22EC1D2C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4C1E1-A1CF-439B-B534-99ADD8DD6868}">
  <ds:schemaRefs>
    <ds:schemaRef ds:uri="http://schemas.microsoft.com/sharepoint/events"/>
  </ds:schemaRefs>
</ds:datastoreItem>
</file>

<file path=customXml/itemProps5.xml><?xml version="1.0" encoding="utf-8"?>
<ds:datastoreItem xmlns:ds="http://schemas.openxmlformats.org/officeDocument/2006/customXml" ds:itemID="{091900B2-05C0-4897-98A8-4C8C60020BAE}">
  <ds:schemaRefs>
    <ds:schemaRef ds:uri="office.server.policy"/>
  </ds:schemaRefs>
</ds:datastoreItem>
</file>

<file path=customXml/itemProps6.xml><?xml version="1.0" encoding="utf-8"?>
<ds:datastoreItem xmlns:ds="http://schemas.openxmlformats.org/officeDocument/2006/customXml" ds:itemID="{B85E496D-8D49-4458-A03A-A73224A0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0</TotalTime>
  <Pages>50</Pages>
  <Words>22589</Words>
  <Characters>115435</Characters>
  <Application>Microsoft Office Word</Application>
  <DocSecurity>4</DocSecurity>
  <Lines>961</Lines>
  <Paragraphs>275</Paragraphs>
  <ScaleCrop>false</ScaleCrop>
  <HeadingPairs>
    <vt:vector size="2" baseType="variant">
      <vt:variant>
        <vt:lpstr>Title</vt:lpstr>
      </vt:variant>
      <vt:variant>
        <vt:i4>1</vt:i4>
      </vt:variant>
    </vt:vector>
  </HeadingPairs>
  <TitlesOfParts>
    <vt:vector size="1" baseType="lpstr">
      <vt:lpstr>151120 ES Foreign Acquisitions and Takeovers Regulation 2015 - version A</vt:lpstr>
    </vt:vector>
  </TitlesOfParts>
  <Company>ATO</Company>
  <LinksUpToDate>false</LinksUpToDate>
  <CharactersWithSpaces>137749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151120 ES Foreign Acquisitions and Takeovers Regulation 2015 - version A</dc:title>
  <dc:creator>Sutton, Emilie</dc:creator>
  <cp:lastModifiedBy>Alabaster, John</cp:lastModifiedBy>
  <cp:revision>2</cp:revision>
  <cp:lastPrinted>2015-11-16T04:54:00Z</cp:lastPrinted>
  <dcterms:created xsi:type="dcterms:W3CDTF">2015-11-25T21:57:00Z</dcterms:created>
  <dcterms:modified xsi:type="dcterms:W3CDTF">2015-11-25T21:57:00Z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-2119910230</vt:i4>
  </property>
  <property fmtid="{D5CDD505-2E9C-101B-9397-08002B2CF9AE}" pid="3" name="_NewReviewCycle">
    <vt:lpwstr/>
  </property>
  <property fmtid="{D5CDD505-2E9C-101B-9397-08002B2CF9AE}" pid="4" name="_EmailSubject">
    <vt:lpwstr>ExCo Explanatory Statement Template</vt:lpwstr>
  </property>
  <property fmtid="{D5CDD505-2E9C-101B-9397-08002B2CF9AE}" pid="5" name="_AuthorEmail">
    <vt:lpwstr>Paul.Atkinson@TREASURY.GOV.AU</vt:lpwstr>
  </property>
  <property fmtid="{D5CDD505-2E9C-101B-9397-08002B2CF9AE}" pid="6" name="_AuthorEmailDisplayName">
    <vt:lpwstr>Atkinson, Paul</vt:lpwstr>
  </property>
  <property fmtid="{D5CDD505-2E9C-101B-9397-08002B2CF9AE}" pid="7" name="_ReviewingToolsShownOnce">
    <vt:lpwstr/>
  </property>
  <property fmtid="{D5CDD505-2E9C-101B-9397-08002B2CF9AE}" pid="8" name="WorkingDocStatus">
    <vt:lpwstr/>
  </property>
  <property fmtid="{D5CDD505-2E9C-101B-9397-08002B2CF9AE}" pid="9" name="ContentTypeId">
    <vt:lpwstr>0x01010036BB8DE7EC542E42A8B2E98CC20CB69700A0A840AFAB52624689FA9AA81E9EF0D1</vt:lpwstr>
  </property>
  <property fmtid="{D5CDD505-2E9C-101B-9397-08002B2CF9AE}" pid="10" name="TSYRecordClass">
    <vt:lpwstr>11</vt:lpwstr>
  </property>
  <property fmtid="{D5CDD505-2E9C-101B-9397-08002B2CF9AE}" pid="11" name="_dlc_DocIdItemGuid">
    <vt:lpwstr>63e94d56-db23-4093-9829-fd0a499677be</vt:lpwstr>
  </property>
  <property fmtid="{D5CDD505-2E9C-101B-9397-08002B2CF9AE}" pid="12" name="RecordPoint_WorkflowType">
    <vt:lpwstr>ActiveSubmitStub</vt:lpwstr>
  </property>
  <property fmtid="{D5CDD505-2E9C-101B-9397-08002B2CF9AE}" pid="13" name="RecordPoint_ActiveItemUniqueId">
    <vt:lpwstr>{12c4ab4a-7ebb-40dd-92ec-6635b8e63754}</vt:lpwstr>
  </property>
  <property fmtid="{D5CDD505-2E9C-101B-9397-08002B2CF9AE}" pid="14" name="RecordPoint_ActiveItemWebId">
    <vt:lpwstr>{31eac4f3-160a-4a13-a9a0-2808d5b44bbf}</vt:lpwstr>
  </property>
  <property fmtid="{D5CDD505-2E9C-101B-9397-08002B2CF9AE}" pid="15" name="RecordPoint_ActiveItemSiteId">
    <vt:lpwstr>{08cedf7d-7ad2-4b81-a81f-47e3ec332c41}</vt:lpwstr>
  </property>
  <property fmtid="{D5CDD505-2E9C-101B-9397-08002B2CF9AE}" pid="16" name="RecordPoint_ActiveItemListId">
    <vt:lpwstr>{fe648906-d97a-4f0a-9d1e-449725c6c5ae}</vt:lpwstr>
  </property>
  <property fmtid="{D5CDD505-2E9C-101B-9397-08002B2CF9AE}" pid="17" name="RecordPoint_RecordNumberSubmitted">
    <vt:lpwstr>R0000232447</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2015-11-20T17:43:27.2961475+11:00</vt:lpwstr>
  </property>
  <property fmtid="{D5CDD505-2E9C-101B-9397-08002B2CF9AE}" pid="22" name="Order">
    <vt:r8>693000</vt:r8>
  </property>
</Properties>
</file>