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DA" w:rsidRPr="000635DA" w:rsidRDefault="003543DA" w:rsidP="003543DA">
      <w:pPr>
        <w:spacing w:before="240"/>
        <w:ind w:left="-357"/>
        <w:jc w:val="center"/>
        <w:outlineLvl w:val="0"/>
        <w:rPr>
          <w:b/>
          <w:sz w:val="28"/>
          <w:szCs w:val="28"/>
          <w:u w:val="single"/>
        </w:rPr>
      </w:pPr>
      <w:r w:rsidRPr="000635DA">
        <w:rPr>
          <w:b/>
          <w:sz w:val="28"/>
          <w:szCs w:val="28"/>
          <w:u w:val="single"/>
        </w:rPr>
        <w:t>EXPLANATORY STATEMENT</w:t>
      </w:r>
    </w:p>
    <w:p w:rsidR="003543DA" w:rsidRPr="000C3478" w:rsidRDefault="003543DA" w:rsidP="003543DA">
      <w:pPr>
        <w:spacing w:before="240"/>
        <w:ind w:left="-357"/>
        <w:jc w:val="center"/>
        <w:rPr>
          <w:b/>
          <w:szCs w:val="24"/>
          <w:u w:val="single"/>
        </w:rPr>
      </w:pPr>
      <w:r w:rsidRPr="006956E0">
        <w:rPr>
          <w:b/>
          <w:szCs w:val="24"/>
          <w:u w:val="single"/>
        </w:rPr>
        <w:t xml:space="preserve">Select Legislative Instrument No. </w:t>
      </w:r>
      <w:r w:rsidR="00557541">
        <w:rPr>
          <w:b/>
          <w:szCs w:val="24"/>
          <w:u w:val="single"/>
        </w:rPr>
        <w:t>203</w:t>
      </w:r>
      <w:r w:rsidRPr="006956E0">
        <w:rPr>
          <w:b/>
          <w:szCs w:val="24"/>
          <w:u w:val="single"/>
        </w:rPr>
        <w:t>, 2015</w:t>
      </w:r>
    </w:p>
    <w:p w:rsidR="003543DA" w:rsidRPr="000C3478" w:rsidRDefault="003543DA" w:rsidP="00E718F0">
      <w:pPr>
        <w:spacing w:before="240"/>
        <w:jc w:val="center"/>
        <w:rPr>
          <w:szCs w:val="24"/>
        </w:rPr>
      </w:pPr>
      <w:r w:rsidRPr="000C3478">
        <w:rPr>
          <w:szCs w:val="24"/>
        </w:rPr>
        <w:t xml:space="preserve">Issued by </w:t>
      </w:r>
      <w:r>
        <w:rPr>
          <w:szCs w:val="24"/>
        </w:rPr>
        <w:t xml:space="preserve">the Authority of the Parliamentary Secretary to the </w:t>
      </w:r>
      <w:r w:rsidRPr="000C3478">
        <w:rPr>
          <w:szCs w:val="24"/>
        </w:rPr>
        <w:t>Minister for Agriculture</w:t>
      </w:r>
      <w:r>
        <w:rPr>
          <w:szCs w:val="24"/>
        </w:rPr>
        <w:t xml:space="preserve"> and Water Resources</w:t>
      </w:r>
    </w:p>
    <w:p w:rsidR="003543DA" w:rsidRDefault="003543DA" w:rsidP="003543DA">
      <w:pPr>
        <w:spacing w:before="240"/>
        <w:ind w:left="-357"/>
        <w:jc w:val="center"/>
        <w:rPr>
          <w:i/>
          <w:szCs w:val="24"/>
        </w:rPr>
      </w:pPr>
      <w:r>
        <w:rPr>
          <w:i/>
          <w:szCs w:val="24"/>
        </w:rPr>
        <w:t>Fisheries Management Act 1991</w:t>
      </w:r>
    </w:p>
    <w:p w:rsidR="003543DA" w:rsidRDefault="003543DA" w:rsidP="003543DA">
      <w:pPr>
        <w:spacing w:before="240"/>
        <w:ind w:left="-357"/>
        <w:jc w:val="center"/>
        <w:rPr>
          <w:i/>
          <w:szCs w:val="24"/>
        </w:rPr>
      </w:pPr>
      <w:r>
        <w:rPr>
          <w:i/>
          <w:szCs w:val="24"/>
        </w:rPr>
        <w:t>Fisheries Management Regulations 1992</w:t>
      </w:r>
    </w:p>
    <w:p w:rsidR="003543DA" w:rsidRPr="000C3478" w:rsidRDefault="003543DA" w:rsidP="003543DA">
      <w:pPr>
        <w:spacing w:before="240"/>
        <w:jc w:val="center"/>
        <w:rPr>
          <w:i/>
          <w:szCs w:val="24"/>
        </w:rPr>
      </w:pPr>
      <w:bookmarkStart w:id="0" w:name="_GoBack"/>
      <w:r>
        <w:rPr>
          <w:i/>
          <w:szCs w:val="24"/>
        </w:rPr>
        <w:t xml:space="preserve">Fisheries Management </w:t>
      </w:r>
      <w:r w:rsidRPr="006956E0">
        <w:rPr>
          <w:i/>
          <w:szCs w:val="24"/>
        </w:rPr>
        <w:t>Amendment (</w:t>
      </w:r>
      <w:r>
        <w:rPr>
          <w:i/>
          <w:szCs w:val="24"/>
        </w:rPr>
        <w:t>Fees</w:t>
      </w:r>
      <w:r w:rsidRPr="006956E0">
        <w:rPr>
          <w:i/>
          <w:szCs w:val="24"/>
        </w:rPr>
        <w:t>) Regulation 2015</w:t>
      </w:r>
      <w:bookmarkEnd w:id="0"/>
    </w:p>
    <w:p w:rsidR="00E718F0" w:rsidRDefault="00E718F0" w:rsidP="003543DA">
      <w:pPr>
        <w:pStyle w:val="Contactdetails"/>
        <w:spacing w:before="240"/>
        <w:rPr>
          <w:szCs w:val="24"/>
        </w:rPr>
      </w:pPr>
    </w:p>
    <w:p w:rsidR="00E718F0" w:rsidRDefault="00E718F0" w:rsidP="003543DA">
      <w:pPr>
        <w:pStyle w:val="Contactdetails"/>
        <w:spacing w:before="240"/>
        <w:rPr>
          <w:szCs w:val="24"/>
        </w:rPr>
      </w:pPr>
      <w:r>
        <w:rPr>
          <w:szCs w:val="24"/>
        </w:rPr>
        <w:t xml:space="preserve">The </w:t>
      </w:r>
      <w:r>
        <w:rPr>
          <w:i/>
          <w:szCs w:val="24"/>
        </w:rPr>
        <w:t>Fisheries Management Act 1991</w:t>
      </w:r>
      <w:r>
        <w:rPr>
          <w:szCs w:val="24"/>
        </w:rPr>
        <w:t xml:space="preserve"> (the Act) provides the legislative framework governing the management of Commonwealth fisheries.</w:t>
      </w:r>
    </w:p>
    <w:p w:rsidR="003543DA" w:rsidRDefault="003543DA" w:rsidP="003543DA">
      <w:pPr>
        <w:pStyle w:val="Contactdetails"/>
        <w:spacing w:before="240"/>
        <w:rPr>
          <w:szCs w:val="24"/>
        </w:rPr>
      </w:pPr>
      <w:r w:rsidRPr="000C3478">
        <w:rPr>
          <w:szCs w:val="24"/>
        </w:rPr>
        <w:t xml:space="preserve">Section </w:t>
      </w:r>
      <w:r w:rsidR="009E343A">
        <w:rPr>
          <w:szCs w:val="24"/>
        </w:rPr>
        <w:t>16</w:t>
      </w:r>
      <w:r w:rsidRPr="000C3478">
        <w:rPr>
          <w:szCs w:val="24"/>
        </w:rPr>
        <w:t>8 of the</w:t>
      </w:r>
      <w:r w:rsidRPr="000C3478">
        <w:rPr>
          <w:i/>
          <w:szCs w:val="24"/>
        </w:rPr>
        <w:t xml:space="preserve"> </w:t>
      </w:r>
      <w:r w:rsidRPr="000C3478">
        <w:rPr>
          <w:szCs w:val="24"/>
        </w:rPr>
        <w:t>Act provides that the Governor-General may make regulations</w:t>
      </w:r>
      <w:r w:rsidR="009E343A">
        <w:rPr>
          <w:szCs w:val="24"/>
        </w:rPr>
        <w:t>, not inconsistent with the Act, prescribing all matters required or permitted by the Act</w:t>
      </w:r>
      <w:r w:rsidR="00C619E0">
        <w:rPr>
          <w:szCs w:val="24"/>
        </w:rPr>
        <w:t xml:space="preserve"> or necessary or convenient to be prescribed giving effect to the Act</w:t>
      </w:r>
      <w:r>
        <w:rPr>
          <w:szCs w:val="24"/>
        </w:rPr>
        <w:t>. T</w:t>
      </w:r>
      <w:r w:rsidRPr="000C3478">
        <w:rPr>
          <w:szCs w:val="24"/>
        </w:rPr>
        <w:t xml:space="preserve">he </w:t>
      </w:r>
      <w:r w:rsidRPr="000C3478">
        <w:rPr>
          <w:i/>
          <w:szCs w:val="24"/>
        </w:rPr>
        <w:t xml:space="preserve">Fisheries </w:t>
      </w:r>
      <w:r w:rsidR="00C619E0">
        <w:rPr>
          <w:i/>
          <w:szCs w:val="24"/>
        </w:rPr>
        <w:t>Management Regulations 1992</w:t>
      </w:r>
      <w:r w:rsidRPr="000C3478">
        <w:rPr>
          <w:i/>
          <w:szCs w:val="24"/>
        </w:rPr>
        <w:t xml:space="preserve"> </w:t>
      </w:r>
      <w:r w:rsidRPr="000C3478">
        <w:rPr>
          <w:szCs w:val="24"/>
        </w:rPr>
        <w:t>(the Regulations)</w:t>
      </w:r>
      <w:r>
        <w:rPr>
          <w:szCs w:val="24"/>
        </w:rPr>
        <w:t xml:space="preserve"> </w:t>
      </w:r>
      <w:r w:rsidR="00C619E0">
        <w:rPr>
          <w:szCs w:val="24"/>
        </w:rPr>
        <w:t xml:space="preserve">prescribe, amongst other things, </w:t>
      </w:r>
      <w:r w:rsidR="005F7311">
        <w:rPr>
          <w:szCs w:val="24"/>
        </w:rPr>
        <w:t xml:space="preserve">fees for the furnishing of a logbook.  </w:t>
      </w:r>
      <w:r w:rsidRPr="000C3478">
        <w:rPr>
          <w:szCs w:val="24"/>
        </w:rPr>
        <w:t xml:space="preserve">  </w:t>
      </w:r>
    </w:p>
    <w:p w:rsidR="003543DA" w:rsidRDefault="003543DA" w:rsidP="00010CB7">
      <w:pPr>
        <w:spacing w:before="240"/>
        <w:ind w:right="-1"/>
        <w:contextualSpacing/>
        <w:rPr>
          <w:szCs w:val="24"/>
        </w:rPr>
      </w:pPr>
      <w:r w:rsidRPr="003F0E10">
        <w:rPr>
          <w:szCs w:val="24"/>
        </w:rPr>
        <w:t>The</w:t>
      </w:r>
      <w:r>
        <w:rPr>
          <w:szCs w:val="24"/>
        </w:rPr>
        <w:t xml:space="preserve"> purpose of </w:t>
      </w:r>
      <w:r w:rsidRPr="006956E0">
        <w:rPr>
          <w:i/>
          <w:szCs w:val="24"/>
        </w:rPr>
        <w:t xml:space="preserve">Fisheries </w:t>
      </w:r>
      <w:r w:rsidR="0020350A">
        <w:rPr>
          <w:i/>
          <w:szCs w:val="24"/>
        </w:rPr>
        <w:t>Management</w:t>
      </w:r>
      <w:r w:rsidRPr="006956E0">
        <w:rPr>
          <w:i/>
          <w:szCs w:val="24"/>
        </w:rPr>
        <w:t xml:space="preserve"> Amendment (</w:t>
      </w:r>
      <w:r w:rsidR="003F4FD4">
        <w:rPr>
          <w:i/>
          <w:szCs w:val="24"/>
        </w:rPr>
        <w:t>F</w:t>
      </w:r>
      <w:r w:rsidR="0020350A">
        <w:rPr>
          <w:i/>
          <w:szCs w:val="24"/>
        </w:rPr>
        <w:t>ees</w:t>
      </w:r>
      <w:r w:rsidRPr="006956E0">
        <w:rPr>
          <w:i/>
          <w:szCs w:val="24"/>
        </w:rPr>
        <w:t xml:space="preserve">) Regulation 2015 </w:t>
      </w:r>
      <w:r w:rsidRPr="000C3478">
        <w:rPr>
          <w:szCs w:val="24"/>
        </w:rPr>
        <w:t xml:space="preserve">(the </w:t>
      </w:r>
      <w:r>
        <w:rPr>
          <w:szCs w:val="24"/>
        </w:rPr>
        <w:t xml:space="preserve">Amendment </w:t>
      </w:r>
      <w:r w:rsidRPr="000C3478">
        <w:rPr>
          <w:szCs w:val="24"/>
        </w:rPr>
        <w:t>Regulation</w:t>
      </w:r>
      <w:r w:rsidRPr="00E42DE5">
        <w:rPr>
          <w:szCs w:val="24"/>
        </w:rPr>
        <w:t>)</w:t>
      </w:r>
      <w:r w:rsidRPr="000C3478">
        <w:rPr>
          <w:i/>
          <w:szCs w:val="24"/>
        </w:rPr>
        <w:t xml:space="preserve"> </w:t>
      </w:r>
      <w:r>
        <w:rPr>
          <w:szCs w:val="24"/>
        </w:rPr>
        <w:t xml:space="preserve">is to </w:t>
      </w:r>
      <w:r w:rsidR="0020350A">
        <w:rPr>
          <w:szCs w:val="24"/>
        </w:rPr>
        <w:t xml:space="preserve">increase the prescribed fees for the furnishing of a logbook when electronic communication is not used.  </w:t>
      </w:r>
    </w:p>
    <w:p w:rsidR="00010CB7" w:rsidRDefault="00010CB7" w:rsidP="00010CB7">
      <w:pPr>
        <w:spacing w:before="240"/>
        <w:ind w:right="-1"/>
        <w:contextualSpacing/>
        <w:rPr>
          <w:szCs w:val="24"/>
        </w:rPr>
      </w:pPr>
    </w:p>
    <w:p w:rsidR="00010CB7" w:rsidRPr="00010CB7" w:rsidRDefault="00010CB7" w:rsidP="00010CB7">
      <w:pPr>
        <w:pStyle w:val="ListNumber"/>
        <w:rPr>
          <w:rFonts w:ascii="Times New Roman" w:hAnsi="Times New Roman"/>
        </w:rPr>
      </w:pPr>
      <w:r w:rsidRPr="00010CB7">
        <w:rPr>
          <w:rFonts w:ascii="Times New Roman" w:hAnsi="Times New Roman"/>
        </w:rPr>
        <w:t>Fees are charged per fishing day for</w:t>
      </w:r>
      <w:r w:rsidR="001005D8">
        <w:rPr>
          <w:rFonts w:ascii="Times New Roman" w:hAnsi="Times New Roman"/>
        </w:rPr>
        <w:t xml:space="preserve"> the</w:t>
      </w:r>
      <w:r w:rsidRPr="00010CB7">
        <w:rPr>
          <w:rFonts w:ascii="Times New Roman" w:hAnsi="Times New Roman"/>
        </w:rPr>
        <w:t xml:space="preserve"> processing </w:t>
      </w:r>
      <w:r w:rsidR="001005D8">
        <w:rPr>
          <w:rFonts w:ascii="Times New Roman" w:hAnsi="Times New Roman"/>
        </w:rPr>
        <w:t xml:space="preserve">of </w:t>
      </w:r>
      <w:r w:rsidR="000F368C">
        <w:rPr>
          <w:rFonts w:ascii="Times New Roman" w:hAnsi="Times New Roman"/>
        </w:rPr>
        <w:t xml:space="preserve">paper logbooks.  Fees are </w:t>
      </w:r>
      <w:r w:rsidRPr="00010CB7">
        <w:rPr>
          <w:rFonts w:ascii="Times New Roman" w:hAnsi="Times New Roman"/>
        </w:rPr>
        <w:t>not charge</w:t>
      </w:r>
      <w:r w:rsidR="000F368C">
        <w:rPr>
          <w:rFonts w:ascii="Times New Roman" w:hAnsi="Times New Roman"/>
        </w:rPr>
        <w:t xml:space="preserve">d </w:t>
      </w:r>
      <w:r w:rsidRPr="00010CB7">
        <w:rPr>
          <w:rFonts w:ascii="Times New Roman" w:hAnsi="Times New Roman"/>
        </w:rPr>
        <w:t xml:space="preserve">for </w:t>
      </w:r>
      <w:r w:rsidR="000F368C">
        <w:rPr>
          <w:rFonts w:ascii="Times New Roman" w:hAnsi="Times New Roman"/>
        </w:rPr>
        <w:t xml:space="preserve">the processing of </w:t>
      </w:r>
      <w:r w:rsidRPr="00010CB7">
        <w:rPr>
          <w:rFonts w:ascii="Times New Roman" w:hAnsi="Times New Roman"/>
        </w:rPr>
        <w:t xml:space="preserve">electronic logbooks as there is little cost associated with </w:t>
      </w:r>
      <w:r w:rsidR="000F368C">
        <w:rPr>
          <w:rFonts w:ascii="Times New Roman" w:hAnsi="Times New Roman"/>
        </w:rPr>
        <w:t xml:space="preserve">processing </w:t>
      </w:r>
      <w:r w:rsidRPr="00010CB7">
        <w:rPr>
          <w:rFonts w:ascii="Times New Roman" w:hAnsi="Times New Roman"/>
        </w:rPr>
        <w:t xml:space="preserve">these records.  </w:t>
      </w:r>
    </w:p>
    <w:p w:rsidR="00010CB7" w:rsidRPr="00010CB7" w:rsidRDefault="00010CB7" w:rsidP="00010CB7">
      <w:pPr>
        <w:pStyle w:val="ListNumber"/>
        <w:rPr>
          <w:rFonts w:ascii="Times New Roman" w:hAnsi="Times New Roman"/>
        </w:rPr>
      </w:pPr>
    </w:p>
    <w:p w:rsidR="00010CB7" w:rsidRPr="003F0E10" w:rsidRDefault="00010CB7" w:rsidP="001005D8">
      <w:pPr>
        <w:pStyle w:val="ListNumber"/>
        <w:rPr>
          <w:szCs w:val="24"/>
        </w:rPr>
      </w:pPr>
      <w:r w:rsidRPr="00010CB7">
        <w:rPr>
          <w:rFonts w:ascii="Times New Roman" w:hAnsi="Times New Roman"/>
        </w:rPr>
        <w:t xml:space="preserve">Increasing the use of fee for service arrangements increases </w:t>
      </w:r>
      <w:r w:rsidR="001005D8">
        <w:rPr>
          <w:rFonts w:ascii="Times New Roman" w:hAnsi="Times New Roman"/>
        </w:rPr>
        <w:t>the incentive</w:t>
      </w:r>
      <w:r w:rsidRPr="00010CB7">
        <w:rPr>
          <w:rFonts w:ascii="Times New Roman" w:hAnsi="Times New Roman"/>
        </w:rPr>
        <w:t xml:space="preserve"> to use more cost efficient electronic services. This reduces </w:t>
      </w:r>
      <w:r w:rsidR="001005D8">
        <w:rPr>
          <w:rFonts w:ascii="Times New Roman" w:hAnsi="Times New Roman"/>
        </w:rPr>
        <w:t xml:space="preserve">the </w:t>
      </w:r>
      <w:r w:rsidRPr="00010CB7">
        <w:rPr>
          <w:rFonts w:ascii="Times New Roman" w:hAnsi="Times New Roman"/>
        </w:rPr>
        <w:t xml:space="preserve">overall costs to the fishing industry.  </w:t>
      </w:r>
    </w:p>
    <w:p w:rsidR="003543DA" w:rsidRDefault="003543DA" w:rsidP="003543DA">
      <w:pPr>
        <w:spacing w:before="240"/>
        <w:rPr>
          <w:b/>
        </w:rPr>
      </w:pPr>
      <w:r w:rsidRPr="00BB63A3">
        <w:rPr>
          <w:b/>
        </w:rPr>
        <w:t>Consultation</w:t>
      </w:r>
    </w:p>
    <w:p w:rsidR="003543DA" w:rsidRDefault="003543DA" w:rsidP="003543DA">
      <w:pPr>
        <w:rPr>
          <w:szCs w:val="24"/>
        </w:rPr>
      </w:pPr>
    </w:p>
    <w:p w:rsidR="00C215D0" w:rsidRDefault="00010CB7" w:rsidP="003543DA">
      <w:pPr>
        <w:rPr>
          <w:szCs w:val="24"/>
        </w:rPr>
      </w:pPr>
      <w:r>
        <w:rPr>
          <w:szCs w:val="24"/>
        </w:rPr>
        <w:t xml:space="preserve">The peak fishing body, the </w:t>
      </w:r>
      <w:r>
        <w:t xml:space="preserve">Commonwealth Fisheries Association, supports the increase in </w:t>
      </w:r>
      <w:r w:rsidR="000F368C">
        <w:t xml:space="preserve">fees for the processing of paper based logbooks </w:t>
      </w:r>
      <w:r>
        <w:t>as it furthers the principal of ‘</w:t>
      </w:r>
      <w:r w:rsidR="000F368C">
        <w:t xml:space="preserve">user pays’, and provides the incentive to use </w:t>
      </w:r>
      <w:r>
        <w:t xml:space="preserve">electronic logbooks. </w:t>
      </w:r>
    </w:p>
    <w:p w:rsidR="00C215D0" w:rsidRDefault="00C215D0" w:rsidP="003543DA">
      <w:pPr>
        <w:rPr>
          <w:szCs w:val="24"/>
        </w:rPr>
      </w:pPr>
    </w:p>
    <w:p w:rsidR="003543DA" w:rsidRPr="005008DF" w:rsidRDefault="003543DA" w:rsidP="003543DA">
      <w:pPr>
        <w:rPr>
          <w:szCs w:val="24"/>
        </w:rPr>
      </w:pPr>
      <w:r w:rsidRPr="005008DF">
        <w:rPr>
          <w:szCs w:val="24"/>
        </w:rPr>
        <w:t xml:space="preserve">The Office of Best Practice Regulation </w:t>
      </w:r>
      <w:r>
        <w:rPr>
          <w:szCs w:val="24"/>
        </w:rPr>
        <w:t xml:space="preserve">was consulted </w:t>
      </w:r>
      <w:r w:rsidR="003F4FD4">
        <w:rPr>
          <w:szCs w:val="24"/>
        </w:rPr>
        <w:t>on the proposed amendment and advised that a full Regulatory Impact Statement was not required</w:t>
      </w:r>
      <w:r w:rsidR="002C4D72">
        <w:rPr>
          <w:szCs w:val="24"/>
        </w:rPr>
        <w:t xml:space="preserve"> (</w:t>
      </w:r>
      <w:proofErr w:type="spellStart"/>
      <w:r w:rsidR="002C4D72">
        <w:rPr>
          <w:szCs w:val="24"/>
        </w:rPr>
        <w:t>OBPR</w:t>
      </w:r>
      <w:proofErr w:type="spellEnd"/>
      <w:r w:rsidR="002C4D72">
        <w:rPr>
          <w:szCs w:val="24"/>
        </w:rPr>
        <w:t xml:space="preserve"> ID: 19538)</w:t>
      </w:r>
      <w:r>
        <w:rPr>
          <w:szCs w:val="24"/>
        </w:rPr>
        <w:t>.</w:t>
      </w:r>
    </w:p>
    <w:p w:rsidR="003543DA" w:rsidRDefault="003543DA" w:rsidP="003543DA">
      <w:pPr>
        <w:spacing w:before="240"/>
        <w:rPr>
          <w:szCs w:val="24"/>
        </w:rPr>
      </w:pPr>
      <w:r w:rsidRPr="000C3478">
        <w:rPr>
          <w:szCs w:val="24"/>
        </w:rPr>
        <w:t xml:space="preserve">The </w:t>
      </w:r>
      <w:r>
        <w:rPr>
          <w:szCs w:val="24"/>
        </w:rPr>
        <w:t xml:space="preserve">Amendment </w:t>
      </w:r>
      <w:r w:rsidRPr="000C3478">
        <w:rPr>
          <w:szCs w:val="24"/>
        </w:rPr>
        <w:t>Regulation</w:t>
      </w:r>
      <w:r w:rsidRPr="000C3478">
        <w:rPr>
          <w:i/>
          <w:szCs w:val="24"/>
        </w:rPr>
        <w:t xml:space="preserve"> </w:t>
      </w:r>
      <w:r>
        <w:rPr>
          <w:szCs w:val="24"/>
        </w:rPr>
        <w:t>is</w:t>
      </w:r>
      <w:r w:rsidRPr="000C3478">
        <w:rPr>
          <w:szCs w:val="24"/>
        </w:rPr>
        <w:t xml:space="preserve"> a legislative instrument for the purposes of the </w:t>
      </w:r>
      <w:r w:rsidRPr="000C3478">
        <w:rPr>
          <w:i/>
          <w:szCs w:val="24"/>
        </w:rPr>
        <w:t>Legislative Instruments Act 2003</w:t>
      </w:r>
      <w:r w:rsidRPr="00E42DE5">
        <w:rPr>
          <w:szCs w:val="24"/>
        </w:rPr>
        <w:t>.</w:t>
      </w:r>
    </w:p>
    <w:p w:rsidR="003543DA" w:rsidRDefault="003543DA" w:rsidP="003543DA">
      <w:pPr>
        <w:pStyle w:val="AFMANormal"/>
        <w:jc w:val="left"/>
        <w:rPr>
          <w:szCs w:val="24"/>
        </w:rPr>
      </w:pPr>
      <w:r>
        <w:rPr>
          <w:szCs w:val="24"/>
        </w:rPr>
        <w:t xml:space="preserve">The Amendment Regulation is compatible with the human rights and freedoms recognised or declared under section 3 of the </w:t>
      </w:r>
      <w:r>
        <w:rPr>
          <w:i/>
          <w:szCs w:val="24"/>
        </w:rPr>
        <w:t>Human Rights (Parliamentary Scrutiny) Act 2011.</w:t>
      </w:r>
      <w:r>
        <w:rPr>
          <w:szCs w:val="24"/>
        </w:rPr>
        <w:t xml:space="preserve"> A full statement of compatibility is set out in </w:t>
      </w:r>
      <w:r w:rsidRPr="0069302F">
        <w:rPr>
          <w:szCs w:val="24"/>
          <w:u w:val="single"/>
        </w:rPr>
        <w:t xml:space="preserve">Attachment </w:t>
      </w:r>
      <w:r>
        <w:rPr>
          <w:szCs w:val="24"/>
          <w:u w:val="single"/>
        </w:rPr>
        <w:t>A</w:t>
      </w:r>
      <w:r>
        <w:rPr>
          <w:szCs w:val="24"/>
        </w:rPr>
        <w:t xml:space="preserve">. </w:t>
      </w:r>
    </w:p>
    <w:p w:rsidR="000F368C" w:rsidRDefault="000F368C" w:rsidP="003543DA">
      <w:pPr>
        <w:tabs>
          <w:tab w:val="left" w:pos="3686"/>
          <w:tab w:val="left" w:pos="5245"/>
        </w:tabs>
        <w:spacing w:before="240"/>
        <w:jc w:val="both"/>
        <w:rPr>
          <w:b/>
          <w:szCs w:val="24"/>
        </w:rPr>
      </w:pPr>
    </w:p>
    <w:p w:rsidR="003543DA" w:rsidRPr="008F0D26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b/>
          <w:szCs w:val="24"/>
        </w:rPr>
      </w:pPr>
      <w:r w:rsidRPr="00782614">
        <w:rPr>
          <w:b/>
          <w:szCs w:val="24"/>
        </w:rPr>
        <w:lastRenderedPageBreak/>
        <w:t xml:space="preserve">Details of the </w:t>
      </w:r>
      <w:r w:rsidRPr="00782614">
        <w:rPr>
          <w:b/>
          <w:i/>
          <w:szCs w:val="24"/>
        </w:rPr>
        <w:t xml:space="preserve">Fisheries </w:t>
      </w:r>
      <w:r w:rsidR="0020350A">
        <w:rPr>
          <w:b/>
          <w:i/>
          <w:szCs w:val="24"/>
        </w:rPr>
        <w:t xml:space="preserve">Management </w:t>
      </w:r>
      <w:r w:rsidRPr="00782614">
        <w:rPr>
          <w:b/>
          <w:i/>
          <w:szCs w:val="24"/>
        </w:rPr>
        <w:t>Amendment (</w:t>
      </w:r>
      <w:r w:rsidR="0020350A">
        <w:rPr>
          <w:b/>
          <w:i/>
          <w:szCs w:val="24"/>
        </w:rPr>
        <w:t>Fees</w:t>
      </w:r>
      <w:r w:rsidRPr="00782614">
        <w:rPr>
          <w:b/>
          <w:i/>
          <w:szCs w:val="24"/>
        </w:rPr>
        <w:t>) Regulation 2015</w:t>
      </w:r>
    </w:p>
    <w:p w:rsidR="003543DA" w:rsidRPr="008F0D26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8F0D26">
        <w:rPr>
          <w:szCs w:val="24"/>
          <w:u w:val="single"/>
        </w:rPr>
        <w:t>Section 1 – Name of Regulation</w:t>
      </w:r>
    </w:p>
    <w:p w:rsidR="003543DA" w:rsidRPr="00782614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szCs w:val="24"/>
        </w:rPr>
      </w:pPr>
      <w:r w:rsidRPr="0069302F">
        <w:rPr>
          <w:szCs w:val="24"/>
        </w:rPr>
        <w:t>This section</w:t>
      </w:r>
      <w:r>
        <w:rPr>
          <w:b/>
          <w:szCs w:val="24"/>
        </w:rPr>
        <w:t xml:space="preserve"> </w:t>
      </w:r>
      <w:r w:rsidRPr="000C3478">
        <w:rPr>
          <w:szCs w:val="24"/>
        </w:rPr>
        <w:t xml:space="preserve">provides for the </w:t>
      </w:r>
      <w:r>
        <w:rPr>
          <w:szCs w:val="24"/>
        </w:rPr>
        <w:t xml:space="preserve">Amendment Regulation </w:t>
      </w:r>
      <w:r w:rsidRPr="000C3478">
        <w:rPr>
          <w:szCs w:val="24"/>
        </w:rPr>
        <w:t xml:space="preserve">to be cited as the </w:t>
      </w:r>
      <w:r w:rsidRPr="00782614">
        <w:rPr>
          <w:i/>
          <w:szCs w:val="24"/>
        </w:rPr>
        <w:t xml:space="preserve">Fisheries </w:t>
      </w:r>
      <w:r w:rsidR="0020350A">
        <w:rPr>
          <w:i/>
          <w:szCs w:val="24"/>
        </w:rPr>
        <w:t xml:space="preserve">Management </w:t>
      </w:r>
      <w:r w:rsidRPr="00782614">
        <w:rPr>
          <w:i/>
          <w:szCs w:val="24"/>
        </w:rPr>
        <w:t>Amendment (</w:t>
      </w:r>
      <w:r w:rsidR="0020350A">
        <w:rPr>
          <w:i/>
          <w:szCs w:val="24"/>
        </w:rPr>
        <w:t>Fees</w:t>
      </w:r>
      <w:r w:rsidRPr="00782614">
        <w:rPr>
          <w:i/>
          <w:szCs w:val="24"/>
        </w:rPr>
        <w:t>) Regulation 2015</w:t>
      </w:r>
      <w:r>
        <w:rPr>
          <w:szCs w:val="24"/>
        </w:rPr>
        <w:t>.</w:t>
      </w:r>
    </w:p>
    <w:p w:rsidR="003543DA" w:rsidRPr="0069302F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69302F">
        <w:rPr>
          <w:szCs w:val="24"/>
          <w:u w:val="single"/>
        </w:rPr>
        <w:t xml:space="preserve">Section 2 – Commencement </w:t>
      </w:r>
    </w:p>
    <w:p w:rsidR="003543DA" w:rsidRPr="000C3478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szCs w:val="24"/>
        </w:rPr>
      </w:pPr>
      <w:r>
        <w:rPr>
          <w:szCs w:val="24"/>
        </w:rPr>
        <w:t xml:space="preserve">This section </w:t>
      </w:r>
      <w:r w:rsidRPr="000C3478">
        <w:rPr>
          <w:szCs w:val="24"/>
        </w:rPr>
        <w:t xml:space="preserve">provides </w:t>
      </w:r>
      <w:r>
        <w:rPr>
          <w:szCs w:val="24"/>
        </w:rPr>
        <w:t xml:space="preserve">for </w:t>
      </w:r>
      <w:r w:rsidRPr="000C3478">
        <w:rPr>
          <w:szCs w:val="24"/>
        </w:rPr>
        <w:t xml:space="preserve">the </w:t>
      </w:r>
      <w:r>
        <w:rPr>
          <w:szCs w:val="24"/>
        </w:rPr>
        <w:t xml:space="preserve">Amendment Regulation to </w:t>
      </w:r>
      <w:r w:rsidRPr="000C3478">
        <w:rPr>
          <w:szCs w:val="24"/>
        </w:rPr>
        <w:t xml:space="preserve">commence </w:t>
      </w:r>
      <w:r>
        <w:rPr>
          <w:szCs w:val="24"/>
        </w:rPr>
        <w:t xml:space="preserve">on </w:t>
      </w:r>
      <w:r w:rsidRPr="000C3478">
        <w:rPr>
          <w:szCs w:val="24"/>
        </w:rPr>
        <w:t>the day after it is registered.</w:t>
      </w:r>
    </w:p>
    <w:p w:rsidR="003543DA" w:rsidRPr="0069302F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69302F">
        <w:rPr>
          <w:szCs w:val="24"/>
          <w:u w:val="single"/>
        </w:rPr>
        <w:t>Section 3 - Authority</w:t>
      </w:r>
    </w:p>
    <w:p w:rsidR="003543DA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b/>
          <w:szCs w:val="24"/>
        </w:rPr>
      </w:pPr>
      <w:r w:rsidRPr="0069302F">
        <w:rPr>
          <w:szCs w:val="24"/>
        </w:rPr>
        <w:t>This section</w:t>
      </w:r>
      <w:r>
        <w:rPr>
          <w:b/>
          <w:szCs w:val="24"/>
        </w:rPr>
        <w:t xml:space="preserve"> </w:t>
      </w:r>
      <w:r w:rsidRPr="00B013F2">
        <w:rPr>
          <w:szCs w:val="24"/>
        </w:rPr>
        <w:t>provides that the authority for making the</w:t>
      </w:r>
      <w:r>
        <w:rPr>
          <w:szCs w:val="24"/>
        </w:rPr>
        <w:t xml:space="preserve"> Amendment</w:t>
      </w:r>
      <w:r w:rsidRPr="00B013F2">
        <w:rPr>
          <w:szCs w:val="24"/>
        </w:rPr>
        <w:t xml:space="preserve"> </w:t>
      </w:r>
      <w:r>
        <w:rPr>
          <w:szCs w:val="24"/>
        </w:rPr>
        <w:t>R</w:t>
      </w:r>
      <w:r w:rsidRPr="00B013F2">
        <w:rPr>
          <w:szCs w:val="24"/>
        </w:rPr>
        <w:t xml:space="preserve">egulation is the </w:t>
      </w:r>
      <w:r w:rsidR="0020350A">
        <w:rPr>
          <w:i/>
          <w:szCs w:val="24"/>
        </w:rPr>
        <w:t>Fisheries Management Act 1991</w:t>
      </w:r>
      <w:r w:rsidRPr="00B013F2">
        <w:rPr>
          <w:szCs w:val="24"/>
        </w:rPr>
        <w:t>.</w:t>
      </w:r>
    </w:p>
    <w:p w:rsidR="003543DA" w:rsidRPr="0069302F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69302F">
        <w:rPr>
          <w:szCs w:val="24"/>
          <w:u w:val="single"/>
        </w:rPr>
        <w:t>Section 4 - Schedules</w:t>
      </w:r>
    </w:p>
    <w:p w:rsidR="003543DA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szCs w:val="24"/>
        </w:rPr>
      </w:pPr>
      <w:r w:rsidRPr="0069302F">
        <w:rPr>
          <w:szCs w:val="24"/>
        </w:rPr>
        <w:t>This section</w:t>
      </w:r>
      <w:r w:rsidRPr="000C3478">
        <w:rPr>
          <w:szCs w:val="24"/>
        </w:rPr>
        <w:t xml:space="preserve"> provides that Schedule 1 amends the </w:t>
      </w:r>
      <w:r w:rsidRPr="000C3478">
        <w:rPr>
          <w:i/>
          <w:szCs w:val="24"/>
        </w:rPr>
        <w:t xml:space="preserve">Fisheries </w:t>
      </w:r>
      <w:r w:rsidR="000F368C">
        <w:rPr>
          <w:i/>
          <w:szCs w:val="24"/>
        </w:rPr>
        <w:t>Management</w:t>
      </w:r>
      <w:r w:rsidR="0020350A">
        <w:rPr>
          <w:i/>
          <w:szCs w:val="24"/>
        </w:rPr>
        <w:t xml:space="preserve"> Regulations 1992</w:t>
      </w:r>
      <w:r w:rsidRPr="000C3478">
        <w:rPr>
          <w:szCs w:val="24"/>
        </w:rPr>
        <w:t>.</w:t>
      </w:r>
    </w:p>
    <w:p w:rsidR="003543DA" w:rsidRPr="0069302F" w:rsidRDefault="003543DA" w:rsidP="003543DA">
      <w:pPr>
        <w:tabs>
          <w:tab w:val="left" w:pos="3686"/>
          <w:tab w:val="left" w:pos="5245"/>
        </w:tabs>
        <w:spacing w:before="240"/>
        <w:jc w:val="both"/>
        <w:rPr>
          <w:szCs w:val="24"/>
          <w:u w:val="single"/>
        </w:rPr>
      </w:pPr>
      <w:r w:rsidRPr="0069302F">
        <w:rPr>
          <w:szCs w:val="24"/>
          <w:u w:val="single"/>
        </w:rPr>
        <w:t xml:space="preserve">Schedule 1 – Amendments </w:t>
      </w:r>
    </w:p>
    <w:p w:rsidR="003543DA" w:rsidRPr="005008DF" w:rsidRDefault="003543DA" w:rsidP="003543DA">
      <w:pPr>
        <w:tabs>
          <w:tab w:val="left" w:pos="3686"/>
          <w:tab w:val="left" w:pos="5245"/>
        </w:tabs>
        <w:spacing w:before="240"/>
        <w:rPr>
          <w:szCs w:val="24"/>
        </w:rPr>
      </w:pPr>
      <w:r w:rsidRPr="003276D1">
        <w:rPr>
          <w:b/>
          <w:szCs w:val="24"/>
        </w:rPr>
        <w:t>Item 1</w:t>
      </w:r>
      <w:r w:rsidRPr="000C3478">
        <w:rPr>
          <w:b/>
          <w:szCs w:val="24"/>
        </w:rPr>
        <w:t xml:space="preserve"> </w:t>
      </w:r>
      <w:r w:rsidRPr="0029023C">
        <w:rPr>
          <w:szCs w:val="24"/>
        </w:rPr>
        <w:t xml:space="preserve">amends </w:t>
      </w:r>
      <w:r w:rsidR="0020350A">
        <w:rPr>
          <w:szCs w:val="24"/>
        </w:rPr>
        <w:t xml:space="preserve">Part 2 of Schedule 2 (table items 23 to 40) by repealing the prescribed fees and substituting the </w:t>
      </w:r>
      <w:r w:rsidR="003F4FD4">
        <w:rPr>
          <w:szCs w:val="24"/>
        </w:rPr>
        <w:t>new</w:t>
      </w:r>
      <w:r w:rsidR="0020350A">
        <w:rPr>
          <w:szCs w:val="24"/>
        </w:rPr>
        <w:t xml:space="preserve"> fees.  </w:t>
      </w:r>
    </w:p>
    <w:p w:rsidR="003543DA" w:rsidRPr="000C3478" w:rsidRDefault="003543DA" w:rsidP="003543DA">
      <w:pPr>
        <w:tabs>
          <w:tab w:val="left" w:pos="3686"/>
          <w:tab w:val="left" w:pos="5245"/>
        </w:tabs>
        <w:spacing w:before="240"/>
        <w:rPr>
          <w:szCs w:val="24"/>
        </w:rPr>
      </w:pPr>
      <w:r w:rsidRPr="0029023C">
        <w:rPr>
          <w:b/>
          <w:szCs w:val="24"/>
        </w:rPr>
        <w:t>Item 2</w:t>
      </w:r>
      <w:r w:rsidRPr="0029023C">
        <w:rPr>
          <w:szCs w:val="24"/>
        </w:rPr>
        <w:t xml:space="preserve"> </w:t>
      </w:r>
      <w:r w:rsidR="00750EF8" w:rsidRPr="007216DC">
        <w:rPr>
          <w:szCs w:val="24"/>
        </w:rPr>
        <w:t>inserts Part 13A to provide for application and transitional provisions.  Regulation 79 is inserted to provide</w:t>
      </w:r>
      <w:r w:rsidR="00750EF8">
        <w:rPr>
          <w:szCs w:val="24"/>
        </w:rPr>
        <w:t xml:space="preserve"> that</w:t>
      </w:r>
      <w:r w:rsidR="00750EF8" w:rsidRPr="007216DC">
        <w:rPr>
          <w:szCs w:val="24"/>
        </w:rPr>
        <w:t xml:space="preserve"> the </w:t>
      </w:r>
      <w:r w:rsidR="00750EF8">
        <w:rPr>
          <w:szCs w:val="24"/>
        </w:rPr>
        <w:t>increased fees</w:t>
      </w:r>
      <w:r w:rsidR="00750EF8" w:rsidRPr="007216DC">
        <w:rPr>
          <w:szCs w:val="24"/>
        </w:rPr>
        <w:t xml:space="preserve"> apply in respect of an activity on or after 1 January 2016 that is covered by a logbook furnished on or after that day.  Regulation 80 is inserted to provide for the</w:t>
      </w:r>
      <w:r w:rsidR="00750EF8">
        <w:rPr>
          <w:szCs w:val="24"/>
        </w:rPr>
        <w:t xml:space="preserve"> p</w:t>
      </w:r>
      <w:r w:rsidR="00750EF8" w:rsidRPr="007216DC">
        <w:rPr>
          <w:szCs w:val="24"/>
        </w:rPr>
        <w:t>art to be repealed on 30 June 2016</w:t>
      </w:r>
      <w:r w:rsidR="00750EF8">
        <w:rPr>
          <w:szCs w:val="24"/>
        </w:rPr>
        <w:t>,</w:t>
      </w:r>
      <w:r w:rsidR="00750EF8" w:rsidRPr="007216DC">
        <w:rPr>
          <w:szCs w:val="24"/>
        </w:rPr>
        <w:t xml:space="preserve"> once redundant.  </w:t>
      </w:r>
      <w:r w:rsidR="00750EF8" w:rsidRPr="007216DC">
        <w:rPr>
          <w:sz w:val="22"/>
          <w:szCs w:val="22"/>
        </w:rPr>
        <w:t xml:space="preserve"> </w:t>
      </w:r>
      <w:r w:rsidR="00750EF8" w:rsidRPr="007216DC">
        <w:rPr>
          <w:szCs w:val="24"/>
        </w:rPr>
        <w:t xml:space="preserve"> </w:t>
      </w:r>
    </w:p>
    <w:p w:rsidR="003543DA" w:rsidRDefault="003543DA" w:rsidP="003543D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:rsidR="003543DA" w:rsidRDefault="003543DA" w:rsidP="003543DA">
      <w:pPr>
        <w:spacing w:before="360"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A</w:t>
      </w:r>
    </w:p>
    <w:p w:rsidR="003543DA" w:rsidRDefault="003543DA" w:rsidP="003543DA">
      <w:pPr>
        <w:spacing w:before="360" w:after="120"/>
        <w:jc w:val="right"/>
        <w:rPr>
          <w:b/>
          <w:sz w:val="28"/>
          <w:szCs w:val="28"/>
        </w:rPr>
      </w:pPr>
    </w:p>
    <w:p w:rsidR="003543DA" w:rsidRPr="00E4135E" w:rsidRDefault="003543DA" w:rsidP="003543DA">
      <w:pPr>
        <w:spacing w:before="360" w:after="12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:rsidR="003543DA" w:rsidRPr="00E4135E" w:rsidRDefault="003543DA" w:rsidP="003543DA">
      <w:pPr>
        <w:spacing w:before="120" w:after="120"/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:rsidR="003543DA" w:rsidRPr="000C3478" w:rsidRDefault="003543DA" w:rsidP="003543DA">
      <w:pPr>
        <w:spacing w:before="240"/>
        <w:jc w:val="center"/>
        <w:rPr>
          <w:i/>
          <w:szCs w:val="24"/>
        </w:rPr>
      </w:pPr>
      <w:r w:rsidRPr="006956E0">
        <w:rPr>
          <w:i/>
          <w:szCs w:val="24"/>
        </w:rPr>
        <w:t xml:space="preserve">Fisheries </w:t>
      </w:r>
      <w:r w:rsidR="0020350A">
        <w:rPr>
          <w:i/>
          <w:szCs w:val="24"/>
        </w:rPr>
        <w:t>Management</w:t>
      </w:r>
      <w:r w:rsidRPr="006956E0">
        <w:rPr>
          <w:i/>
          <w:szCs w:val="24"/>
        </w:rPr>
        <w:t xml:space="preserve"> Amendment (</w:t>
      </w:r>
      <w:r w:rsidR="0020350A">
        <w:rPr>
          <w:i/>
          <w:szCs w:val="24"/>
        </w:rPr>
        <w:t>Fees</w:t>
      </w:r>
      <w:r w:rsidRPr="006956E0">
        <w:rPr>
          <w:i/>
          <w:szCs w:val="24"/>
        </w:rPr>
        <w:t>) Regulation 2015</w:t>
      </w:r>
    </w:p>
    <w:p w:rsidR="003543DA" w:rsidRPr="00E4135E" w:rsidRDefault="003543DA" w:rsidP="003543DA">
      <w:pPr>
        <w:jc w:val="center"/>
        <w:rPr>
          <w:szCs w:val="24"/>
        </w:rPr>
      </w:pPr>
    </w:p>
    <w:p w:rsidR="003543DA" w:rsidRPr="00E4135E" w:rsidRDefault="003543DA" w:rsidP="003543DA">
      <w:pPr>
        <w:spacing w:before="120" w:after="120"/>
        <w:jc w:val="center"/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:rsidR="003543DA" w:rsidRPr="00B92C83" w:rsidRDefault="003543DA" w:rsidP="003543DA">
      <w:pPr>
        <w:rPr>
          <w:szCs w:val="24"/>
        </w:rPr>
      </w:pPr>
    </w:p>
    <w:p w:rsidR="003543DA" w:rsidRPr="00E4135E" w:rsidRDefault="003543DA" w:rsidP="003543DA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 xml:space="preserve">Overview of the </w:t>
      </w:r>
      <w:r w:rsidRPr="00E4135E">
        <w:rPr>
          <w:b/>
          <w:szCs w:val="24"/>
        </w:rPr>
        <w:t>Legislative Instrument</w:t>
      </w:r>
    </w:p>
    <w:p w:rsidR="003543DA" w:rsidRDefault="003543DA" w:rsidP="003543DA">
      <w:pPr>
        <w:rPr>
          <w:i/>
          <w:szCs w:val="24"/>
        </w:rPr>
      </w:pPr>
      <w:r w:rsidRPr="00B92C83">
        <w:rPr>
          <w:szCs w:val="24"/>
        </w:rPr>
        <w:t>The instrument amends the</w:t>
      </w:r>
      <w:r>
        <w:rPr>
          <w:i/>
          <w:szCs w:val="24"/>
        </w:rPr>
        <w:t xml:space="preserve"> </w:t>
      </w:r>
      <w:r w:rsidRPr="000C3478">
        <w:rPr>
          <w:i/>
          <w:szCs w:val="24"/>
        </w:rPr>
        <w:t xml:space="preserve">Fisheries </w:t>
      </w:r>
      <w:r w:rsidR="0020350A">
        <w:rPr>
          <w:i/>
          <w:szCs w:val="24"/>
        </w:rPr>
        <w:t>Management Regulations 1992</w:t>
      </w:r>
      <w:r w:rsidRPr="000C3478">
        <w:rPr>
          <w:i/>
          <w:szCs w:val="24"/>
        </w:rPr>
        <w:t xml:space="preserve"> </w:t>
      </w:r>
      <w:r w:rsidRPr="00B92C83">
        <w:rPr>
          <w:szCs w:val="24"/>
        </w:rPr>
        <w:t xml:space="preserve">to allow for </w:t>
      </w:r>
      <w:r w:rsidR="0020350A">
        <w:rPr>
          <w:szCs w:val="24"/>
        </w:rPr>
        <w:t>an increase in fees prescribed for the furnishing of logbooks when electronic communication is not used</w:t>
      </w:r>
      <w:r>
        <w:rPr>
          <w:szCs w:val="24"/>
        </w:rPr>
        <w:t xml:space="preserve">.  </w:t>
      </w:r>
    </w:p>
    <w:p w:rsidR="003543DA" w:rsidRPr="00E4135E" w:rsidRDefault="003543DA" w:rsidP="003543DA">
      <w:pPr>
        <w:rPr>
          <w:szCs w:val="24"/>
        </w:rPr>
      </w:pPr>
    </w:p>
    <w:p w:rsidR="003543DA" w:rsidRPr="00E4135E" w:rsidRDefault="003543DA" w:rsidP="003543DA">
      <w:pPr>
        <w:spacing w:after="120"/>
        <w:jc w:val="both"/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:rsidR="003543DA" w:rsidRPr="00E4135E" w:rsidRDefault="003543DA" w:rsidP="003543DA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:rsidR="003543DA" w:rsidRPr="00E4135E" w:rsidRDefault="003543DA" w:rsidP="003543DA">
      <w:pPr>
        <w:rPr>
          <w:szCs w:val="24"/>
        </w:rPr>
      </w:pPr>
    </w:p>
    <w:p w:rsidR="003543DA" w:rsidRPr="00E4135E" w:rsidRDefault="003543DA" w:rsidP="003543DA">
      <w:pPr>
        <w:spacing w:after="120"/>
        <w:jc w:val="both"/>
        <w:rPr>
          <w:b/>
          <w:szCs w:val="24"/>
        </w:rPr>
      </w:pPr>
      <w:r w:rsidRPr="00E4135E">
        <w:rPr>
          <w:b/>
          <w:szCs w:val="24"/>
        </w:rPr>
        <w:t>Conclusion</w:t>
      </w:r>
    </w:p>
    <w:p w:rsidR="003543DA" w:rsidRDefault="003543DA" w:rsidP="003543DA">
      <w:pPr>
        <w:rPr>
          <w:szCs w:val="24"/>
        </w:rPr>
      </w:pPr>
      <w:r w:rsidRPr="00E4135E">
        <w:rPr>
          <w:szCs w:val="24"/>
        </w:rPr>
        <w:t>This Legislative Instrument is compatible with human rights as it does not raise any human rights issues.</w:t>
      </w:r>
    </w:p>
    <w:p w:rsidR="003543DA" w:rsidRPr="00E4135E" w:rsidRDefault="003543DA" w:rsidP="003543DA">
      <w:pPr>
        <w:rPr>
          <w:szCs w:val="24"/>
        </w:rPr>
      </w:pPr>
    </w:p>
    <w:p w:rsidR="003543DA" w:rsidRDefault="003543DA" w:rsidP="003543DA">
      <w:pPr>
        <w:rPr>
          <w:szCs w:val="24"/>
        </w:rPr>
      </w:pPr>
    </w:p>
    <w:p w:rsidR="003543DA" w:rsidRPr="00512F4B" w:rsidRDefault="002C4D72" w:rsidP="003543D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Senator the Hon. </w:t>
      </w:r>
      <w:r w:rsidR="0020350A">
        <w:rPr>
          <w:b/>
          <w:bCs/>
          <w:szCs w:val="24"/>
        </w:rPr>
        <w:t>Anne Ruston</w:t>
      </w:r>
    </w:p>
    <w:p w:rsidR="003543DA" w:rsidRPr="00512F4B" w:rsidRDefault="0020350A" w:rsidP="003543D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Parliamentary Secretary to the </w:t>
      </w:r>
      <w:r w:rsidR="003543DA">
        <w:rPr>
          <w:b/>
          <w:bCs/>
          <w:szCs w:val="24"/>
        </w:rPr>
        <w:t>Minister for Agriculture and Water Resources</w:t>
      </w:r>
    </w:p>
    <w:p w:rsidR="003543DA" w:rsidRDefault="003543DA" w:rsidP="003543DA">
      <w:pPr>
        <w:jc w:val="center"/>
        <w:rPr>
          <w:b/>
          <w:bCs/>
          <w:szCs w:val="24"/>
        </w:rPr>
      </w:pPr>
    </w:p>
    <w:p w:rsidR="003543DA" w:rsidRPr="0017595A" w:rsidRDefault="003543DA" w:rsidP="003543DA">
      <w:pPr>
        <w:jc w:val="center"/>
        <w:rPr>
          <w:b/>
          <w:bCs/>
          <w:szCs w:val="24"/>
        </w:rPr>
      </w:pPr>
    </w:p>
    <w:p w:rsidR="003543DA" w:rsidRPr="000C3478" w:rsidRDefault="003543DA" w:rsidP="003543DA">
      <w:pPr>
        <w:tabs>
          <w:tab w:val="left" w:pos="4320"/>
        </w:tabs>
        <w:jc w:val="both"/>
        <w:rPr>
          <w:szCs w:val="24"/>
        </w:rPr>
      </w:pPr>
    </w:p>
    <w:p w:rsidR="003543DA" w:rsidRPr="003F1DCD" w:rsidRDefault="003543DA" w:rsidP="003543DA"/>
    <w:p w:rsidR="001025D8" w:rsidRDefault="001025D8"/>
    <w:sectPr w:rsidR="001025D8" w:rsidSect="00ED69B2">
      <w:headerReference w:type="default" r:id="rId8"/>
      <w:footerReference w:type="even" r:id="rId9"/>
      <w:footerReference w:type="default" r:id="rId10"/>
      <w:pgSz w:w="11906" w:h="16838"/>
      <w:pgMar w:top="1134" w:right="1758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6F" w:rsidRDefault="007B246F">
      <w:r>
        <w:separator/>
      </w:r>
    </w:p>
  </w:endnote>
  <w:endnote w:type="continuationSeparator" w:id="0">
    <w:p w:rsidR="007B246F" w:rsidRDefault="007B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FB" w:rsidRDefault="00750EF8" w:rsidP="00C51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58FB" w:rsidRDefault="00557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52" w:rsidRPr="0069302F" w:rsidRDefault="00750EF8" w:rsidP="00C51917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69302F">
      <w:rPr>
        <w:rStyle w:val="PageNumber"/>
        <w:sz w:val="22"/>
        <w:szCs w:val="22"/>
      </w:rPr>
      <w:fldChar w:fldCharType="begin"/>
    </w:r>
    <w:r w:rsidRPr="0069302F">
      <w:rPr>
        <w:rStyle w:val="PageNumber"/>
        <w:sz w:val="22"/>
        <w:szCs w:val="22"/>
      </w:rPr>
      <w:instrText xml:space="preserve">PAGE  </w:instrText>
    </w:r>
    <w:r w:rsidRPr="0069302F">
      <w:rPr>
        <w:rStyle w:val="PageNumber"/>
        <w:sz w:val="22"/>
        <w:szCs w:val="22"/>
      </w:rPr>
      <w:fldChar w:fldCharType="separate"/>
    </w:r>
    <w:r w:rsidR="00557541">
      <w:rPr>
        <w:rStyle w:val="PageNumber"/>
        <w:noProof/>
        <w:sz w:val="22"/>
        <w:szCs w:val="22"/>
      </w:rPr>
      <w:t>3</w:t>
    </w:r>
    <w:r w:rsidRPr="0069302F">
      <w:rPr>
        <w:rStyle w:val="PageNumber"/>
        <w:sz w:val="22"/>
        <w:szCs w:val="22"/>
      </w:rPr>
      <w:fldChar w:fldCharType="end"/>
    </w:r>
  </w:p>
  <w:p w:rsidR="007F0A52" w:rsidRDefault="00557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6F" w:rsidRDefault="007B246F">
      <w:r>
        <w:separator/>
      </w:r>
    </w:p>
  </w:footnote>
  <w:footnote w:type="continuationSeparator" w:id="0">
    <w:p w:rsidR="007B246F" w:rsidRDefault="007B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52" w:rsidRDefault="00557541" w:rsidP="002066F7">
    <w:pPr>
      <w:pStyle w:val="Header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6429"/>
    <w:multiLevelType w:val="multilevel"/>
    <w:tmpl w:val="2D72D77A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DA"/>
    <w:rsid w:val="00010CB7"/>
    <w:rsid w:val="000F368C"/>
    <w:rsid w:val="001005D8"/>
    <w:rsid w:val="001025D8"/>
    <w:rsid w:val="0020350A"/>
    <w:rsid w:val="002C4D72"/>
    <w:rsid w:val="003543DA"/>
    <w:rsid w:val="003F4FD4"/>
    <w:rsid w:val="00557541"/>
    <w:rsid w:val="005F7311"/>
    <w:rsid w:val="00750EF8"/>
    <w:rsid w:val="007B246F"/>
    <w:rsid w:val="007F2CC0"/>
    <w:rsid w:val="00891D3B"/>
    <w:rsid w:val="00960020"/>
    <w:rsid w:val="009C3136"/>
    <w:rsid w:val="009E343A"/>
    <w:rsid w:val="00C215D0"/>
    <w:rsid w:val="00C619E0"/>
    <w:rsid w:val="00DB4729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543DA"/>
  </w:style>
  <w:style w:type="paragraph" w:styleId="Header">
    <w:name w:val="header"/>
    <w:basedOn w:val="Normal"/>
    <w:link w:val="HeaderChar"/>
    <w:rsid w:val="003543DA"/>
    <w:pPr>
      <w:tabs>
        <w:tab w:val="center" w:pos="4819"/>
        <w:tab w:val="right" w:pos="9071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3543D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ntactdetails">
    <w:name w:val="Contact details"/>
    <w:basedOn w:val="Normal"/>
    <w:rsid w:val="003543DA"/>
    <w:pPr>
      <w:tabs>
        <w:tab w:val="left" w:pos="1134"/>
        <w:tab w:val="left" w:pos="4536"/>
        <w:tab w:val="left" w:pos="6237"/>
      </w:tabs>
    </w:pPr>
    <w:rPr>
      <w:lang w:eastAsia="en-AU"/>
    </w:rPr>
  </w:style>
  <w:style w:type="paragraph" w:styleId="Footer">
    <w:name w:val="footer"/>
    <w:basedOn w:val="Normal"/>
    <w:link w:val="FooterChar"/>
    <w:rsid w:val="003543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43DA"/>
    <w:rPr>
      <w:rFonts w:ascii="Times New Roman" w:eastAsia="Times New Roman" w:hAnsi="Times New Roman" w:cs="Times New Roman"/>
      <w:sz w:val="24"/>
      <w:szCs w:val="20"/>
    </w:rPr>
  </w:style>
  <w:style w:type="paragraph" w:customStyle="1" w:styleId="AFMANormal">
    <w:name w:val="AFMA Normal"/>
    <w:rsid w:val="003543DA"/>
    <w:pPr>
      <w:spacing w:before="240" w:after="0" w:line="240" w:lineRule="auto"/>
      <w:jc w:val="both"/>
    </w:pPr>
    <w:rPr>
      <w:rFonts w:ascii="Times New Roman" w:eastAsia="Times New Roman" w:hAnsi="Times New Roman" w:cs="Times New Roman"/>
      <w:snapToGrid w:val="0"/>
      <w:kern w:val="20"/>
      <w:sz w:val="24"/>
      <w:szCs w:val="20"/>
    </w:rPr>
  </w:style>
  <w:style w:type="paragraph" w:styleId="ListNumber">
    <w:name w:val="List Number"/>
    <w:basedOn w:val="Normal"/>
    <w:autoRedefine/>
    <w:uiPriority w:val="99"/>
    <w:qFormat/>
    <w:rsid w:val="00010CB7"/>
    <w:pPr>
      <w:spacing w:after="200"/>
      <w:contextualSpacing/>
    </w:pPr>
    <w:rPr>
      <w:rFonts w:ascii="Calibri" w:eastAsia="Calibri" w:hAnsi="Calibri"/>
      <w:szCs w:val="22"/>
    </w:rPr>
  </w:style>
  <w:style w:type="paragraph" w:styleId="ListNumber2">
    <w:name w:val="List Number 2"/>
    <w:basedOn w:val="Normal"/>
    <w:autoRedefine/>
    <w:uiPriority w:val="99"/>
    <w:rsid w:val="00010CB7"/>
    <w:pPr>
      <w:numPr>
        <w:ilvl w:val="1"/>
        <w:numId w:val="1"/>
      </w:numPr>
      <w:spacing w:after="200"/>
    </w:pPr>
    <w:rPr>
      <w:rFonts w:ascii="Calibri" w:eastAsia="Calibri" w:hAnsi="Calibri"/>
      <w:szCs w:val="22"/>
    </w:rPr>
  </w:style>
  <w:style w:type="paragraph" w:styleId="ListNumber3">
    <w:name w:val="List Number 3"/>
    <w:basedOn w:val="Normal"/>
    <w:uiPriority w:val="99"/>
    <w:rsid w:val="00010CB7"/>
    <w:pPr>
      <w:numPr>
        <w:ilvl w:val="2"/>
        <w:numId w:val="1"/>
      </w:numPr>
      <w:spacing w:after="200"/>
    </w:pPr>
    <w:rPr>
      <w:rFonts w:ascii="Calibri" w:eastAsia="Calibri" w:hAnsi="Calibri"/>
      <w:szCs w:val="22"/>
    </w:rPr>
  </w:style>
  <w:style w:type="paragraph" w:styleId="ListNumber4">
    <w:name w:val="List Number 4"/>
    <w:basedOn w:val="Normal"/>
    <w:uiPriority w:val="99"/>
    <w:rsid w:val="00010CB7"/>
    <w:pPr>
      <w:numPr>
        <w:ilvl w:val="3"/>
        <w:numId w:val="1"/>
      </w:numPr>
      <w:spacing w:after="200"/>
    </w:pPr>
    <w:rPr>
      <w:rFonts w:ascii="Calibri" w:eastAsia="Calibri" w:hAnsi="Calibri"/>
      <w:szCs w:val="22"/>
    </w:rPr>
  </w:style>
  <w:style w:type="paragraph" w:styleId="ListNumber5">
    <w:name w:val="List Number 5"/>
    <w:basedOn w:val="Normal"/>
    <w:uiPriority w:val="99"/>
    <w:rsid w:val="00010CB7"/>
    <w:pPr>
      <w:numPr>
        <w:ilvl w:val="4"/>
        <w:numId w:val="1"/>
      </w:numPr>
      <w:spacing w:after="20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7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543DA"/>
  </w:style>
  <w:style w:type="paragraph" w:styleId="Header">
    <w:name w:val="header"/>
    <w:basedOn w:val="Normal"/>
    <w:link w:val="HeaderChar"/>
    <w:rsid w:val="003543DA"/>
    <w:pPr>
      <w:tabs>
        <w:tab w:val="center" w:pos="4819"/>
        <w:tab w:val="right" w:pos="9071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3543D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ntactdetails">
    <w:name w:val="Contact details"/>
    <w:basedOn w:val="Normal"/>
    <w:rsid w:val="003543DA"/>
    <w:pPr>
      <w:tabs>
        <w:tab w:val="left" w:pos="1134"/>
        <w:tab w:val="left" w:pos="4536"/>
        <w:tab w:val="left" w:pos="6237"/>
      </w:tabs>
    </w:pPr>
    <w:rPr>
      <w:lang w:eastAsia="en-AU"/>
    </w:rPr>
  </w:style>
  <w:style w:type="paragraph" w:styleId="Footer">
    <w:name w:val="footer"/>
    <w:basedOn w:val="Normal"/>
    <w:link w:val="FooterChar"/>
    <w:rsid w:val="003543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43DA"/>
    <w:rPr>
      <w:rFonts w:ascii="Times New Roman" w:eastAsia="Times New Roman" w:hAnsi="Times New Roman" w:cs="Times New Roman"/>
      <w:sz w:val="24"/>
      <w:szCs w:val="20"/>
    </w:rPr>
  </w:style>
  <w:style w:type="paragraph" w:customStyle="1" w:styleId="AFMANormal">
    <w:name w:val="AFMA Normal"/>
    <w:rsid w:val="003543DA"/>
    <w:pPr>
      <w:spacing w:before="240" w:after="0" w:line="240" w:lineRule="auto"/>
      <w:jc w:val="both"/>
    </w:pPr>
    <w:rPr>
      <w:rFonts w:ascii="Times New Roman" w:eastAsia="Times New Roman" w:hAnsi="Times New Roman" w:cs="Times New Roman"/>
      <w:snapToGrid w:val="0"/>
      <w:kern w:val="20"/>
      <w:sz w:val="24"/>
      <w:szCs w:val="20"/>
    </w:rPr>
  </w:style>
  <w:style w:type="paragraph" w:styleId="ListNumber">
    <w:name w:val="List Number"/>
    <w:basedOn w:val="Normal"/>
    <w:autoRedefine/>
    <w:uiPriority w:val="99"/>
    <w:qFormat/>
    <w:rsid w:val="00010CB7"/>
    <w:pPr>
      <w:spacing w:after="200"/>
      <w:contextualSpacing/>
    </w:pPr>
    <w:rPr>
      <w:rFonts w:ascii="Calibri" w:eastAsia="Calibri" w:hAnsi="Calibri"/>
      <w:szCs w:val="22"/>
    </w:rPr>
  </w:style>
  <w:style w:type="paragraph" w:styleId="ListNumber2">
    <w:name w:val="List Number 2"/>
    <w:basedOn w:val="Normal"/>
    <w:autoRedefine/>
    <w:uiPriority w:val="99"/>
    <w:rsid w:val="00010CB7"/>
    <w:pPr>
      <w:numPr>
        <w:ilvl w:val="1"/>
        <w:numId w:val="1"/>
      </w:numPr>
      <w:spacing w:after="200"/>
    </w:pPr>
    <w:rPr>
      <w:rFonts w:ascii="Calibri" w:eastAsia="Calibri" w:hAnsi="Calibri"/>
      <w:szCs w:val="22"/>
    </w:rPr>
  </w:style>
  <w:style w:type="paragraph" w:styleId="ListNumber3">
    <w:name w:val="List Number 3"/>
    <w:basedOn w:val="Normal"/>
    <w:uiPriority w:val="99"/>
    <w:rsid w:val="00010CB7"/>
    <w:pPr>
      <w:numPr>
        <w:ilvl w:val="2"/>
        <w:numId w:val="1"/>
      </w:numPr>
      <w:spacing w:after="200"/>
    </w:pPr>
    <w:rPr>
      <w:rFonts w:ascii="Calibri" w:eastAsia="Calibri" w:hAnsi="Calibri"/>
      <w:szCs w:val="22"/>
    </w:rPr>
  </w:style>
  <w:style w:type="paragraph" w:styleId="ListNumber4">
    <w:name w:val="List Number 4"/>
    <w:basedOn w:val="Normal"/>
    <w:uiPriority w:val="99"/>
    <w:rsid w:val="00010CB7"/>
    <w:pPr>
      <w:numPr>
        <w:ilvl w:val="3"/>
        <w:numId w:val="1"/>
      </w:numPr>
      <w:spacing w:after="200"/>
    </w:pPr>
    <w:rPr>
      <w:rFonts w:ascii="Calibri" w:eastAsia="Calibri" w:hAnsi="Calibri"/>
      <w:szCs w:val="22"/>
    </w:rPr>
  </w:style>
  <w:style w:type="paragraph" w:styleId="ListNumber5">
    <w:name w:val="List Number 5"/>
    <w:basedOn w:val="Normal"/>
    <w:uiPriority w:val="99"/>
    <w:rsid w:val="00010CB7"/>
    <w:pPr>
      <w:numPr>
        <w:ilvl w:val="4"/>
        <w:numId w:val="1"/>
      </w:numPr>
      <w:spacing w:after="20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KEARNEY, Brendan</dc:creator>
  <cp:lastModifiedBy>Alabaster, John</cp:lastModifiedBy>
  <cp:revision>2</cp:revision>
  <dcterms:created xsi:type="dcterms:W3CDTF">2015-11-24T23:40:00Z</dcterms:created>
  <dcterms:modified xsi:type="dcterms:W3CDTF">2015-11-24T23:40:00Z</dcterms:modified>
</cp:coreProperties>
</file>