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2367" w:rsidRDefault="007F2367" w:rsidP="007F2367"/>
    <w:p w:rsidR="007F2367" w:rsidRDefault="007F2367" w:rsidP="001D16DD">
      <w:pPr>
        <w:framePr w:w="4958" w:h="732" w:hSpace="180" w:wrap="around" w:vAnchor="page" w:hAnchor="page" w:x="6371" w:y="1861"/>
        <w:pBdr>
          <w:top w:val="single" w:sz="12" w:space="1" w:color="auto"/>
          <w:left w:val="single" w:sz="12" w:space="1" w:color="auto"/>
          <w:bottom w:val="single" w:sz="12" w:space="1" w:color="auto"/>
          <w:right w:val="single" w:sz="12" w:space="1" w:color="auto"/>
        </w:pBdr>
        <w:jc w:val="center"/>
        <w:rPr>
          <w:rFonts w:cs="Arial"/>
          <w:sz w:val="20"/>
        </w:rPr>
      </w:pPr>
      <w:bookmarkStart w:id="0" w:name="AType"/>
      <w:r>
        <w:rPr>
          <w:rFonts w:cs="Arial"/>
          <w:sz w:val="20"/>
        </w:rPr>
        <w:t>Australian Taxation Office Legislative Instrument</w:t>
      </w:r>
    </w:p>
    <w:p w:rsidR="007F2367" w:rsidRDefault="007F2367" w:rsidP="001D16DD">
      <w:pPr>
        <w:framePr w:w="4958" w:h="732" w:hSpace="180" w:wrap="around" w:vAnchor="page" w:hAnchor="page" w:x="6371" w:y="1861"/>
        <w:pBdr>
          <w:top w:val="single" w:sz="12" w:space="1" w:color="auto"/>
          <w:left w:val="single" w:sz="12" w:space="1" w:color="auto"/>
          <w:bottom w:val="single" w:sz="12" w:space="1" w:color="auto"/>
          <w:right w:val="single" w:sz="12" w:space="1" w:color="auto"/>
        </w:pBdr>
        <w:jc w:val="center"/>
        <w:rPr>
          <w:rFonts w:cs="Arial"/>
          <w:b/>
          <w:sz w:val="32"/>
          <w:szCs w:val="32"/>
        </w:rPr>
      </w:pPr>
      <w:bookmarkStart w:id="1" w:name="BPrefix"/>
      <w:bookmarkEnd w:id="0"/>
      <w:r>
        <w:rPr>
          <w:rFonts w:cs="Arial"/>
          <w:b/>
          <w:sz w:val="32"/>
          <w:szCs w:val="32"/>
        </w:rPr>
        <w:t>Inst</w:t>
      </w:r>
      <w:bookmarkStart w:id="2" w:name="CDocnum"/>
      <w:bookmarkEnd w:id="1"/>
      <w:bookmarkEnd w:id="2"/>
      <w:r>
        <w:rPr>
          <w:rFonts w:cs="Arial"/>
          <w:b/>
          <w:sz w:val="32"/>
          <w:szCs w:val="32"/>
        </w:rPr>
        <w:t xml:space="preserve">rument ID: </w:t>
      </w:r>
      <w:r w:rsidR="000D7575">
        <w:rPr>
          <w:rFonts w:cs="Arial"/>
          <w:b/>
          <w:sz w:val="32"/>
          <w:szCs w:val="32"/>
        </w:rPr>
        <w:t>2015/ITX/0032</w:t>
      </w:r>
    </w:p>
    <w:p w:rsidR="007F2367" w:rsidRDefault="007F2367" w:rsidP="001D16DD">
      <w:pPr>
        <w:framePr w:w="4958" w:h="732" w:hSpace="180" w:wrap="around" w:vAnchor="page" w:hAnchor="page" w:x="6371" w:y="1861"/>
        <w:pBdr>
          <w:top w:val="single" w:sz="12" w:space="1" w:color="auto"/>
          <w:left w:val="single" w:sz="12" w:space="1" w:color="auto"/>
          <w:bottom w:val="single" w:sz="12" w:space="1" w:color="auto"/>
          <w:right w:val="single" w:sz="12" w:space="1" w:color="auto"/>
        </w:pBdr>
        <w:rPr>
          <w:rFonts w:cs="Arial"/>
          <w:sz w:val="20"/>
        </w:rPr>
      </w:pPr>
    </w:p>
    <w:p w:rsidR="007F2367" w:rsidRDefault="007F2367" w:rsidP="007F2367">
      <w:r>
        <w:rPr>
          <w:noProof/>
        </w:rPr>
        <w:drawing>
          <wp:inline distT="0" distB="0" distL="0" distR="0" wp14:anchorId="4165B641" wp14:editId="760DB3F3">
            <wp:extent cx="2476500" cy="628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0" cy="628650"/>
                    </a:xfrm>
                    <a:prstGeom prst="rect">
                      <a:avLst/>
                    </a:prstGeom>
                    <a:noFill/>
                    <a:ln>
                      <a:noFill/>
                    </a:ln>
                  </pic:spPr>
                </pic:pic>
              </a:graphicData>
            </a:graphic>
          </wp:inline>
        </w:drawing>
      </w:r>
    </w:p>
    <w:p w:rsidR="007F2367" w:rsidRDefault="007F2367" w:rsidP="007F2367"/>
    <w:p w:rsidR="007F2367" w:rsidRPr="00C76B70" w:rsidRDefault="007F2367" w:rsidP="007F2367">
      <w:pPr>
        <w:pStyle w:val="Header"/>
        <w:pBdr>
          <w:top w:val="double" w:sz="4" w:space="0" w:color="auto"/>
          <w:bottom w:val="double" w:sz="4" w:space="1" w:color="auto"/>
        </w:pBdr>
        <w:jc w:val="center"/>
        <w:rPr>
          <w:rFonts w:ascii="Verdana" w:hAnsi="Verdana" w:cs="Arial"/>
          <w:sz w:val="36"/>
          <w:szCs w:val="36"/>
        </w:rPr>
      </w:pPr>
      <w:bookmarkStart w:id="3" w:name="FDocName"/>
      <w:r w:rsidRPr="00C76B70">
        <w:rPr>
          <w:rFonts w:ascii="Arial" w:hAnsi="Arial" w:cs="Arial"/>
          <w:sz w:val="36"/>
          <w:szCs w:val="36"/>
        </w:rPr>
        <w:t xml:space="preserve">A </w:t>
      </w:r>
      <w:r w:rsidRPr="00C76B70">
        <w:rPr>
          <w:rFonts w:ascii="Arial" w:hAnsi="Arial" w:cs="Arial"/>
          <w:iCs/>
          <w:sz w:val="36"/>
          <w:szCs w:val="36"/>
        </w:rPr>
        <w:t>New Tax System (Goods and Services Tax) (</w:t>
      </w:r>
      <w:r w:rsidR="00231D50" w:rsidRPr="00231D50">
        <w:rPr>
          <w:rFonts w:ascii="Arial" w:hAnsi="Arial" w:cs="Arial"/>
          <w:iCs/>
          <w:sz w:val="36"/>
          <w:szCs w:val="36"/>
        </w:rPr>
        <w:t xml:space="preserve">Particular Attribution Rules for </w:t>
      </w:r>
      <w:r w:rsidR="00AB5867">
        <w:rPr>
          <w:rFonts w:ascii="Arial" w:hAnsi="Arial" w:cs="Arial"/>
          <w:iCs/>
          <w:sz w:val="36"/>
          <w:szCs w:val="36"/>
        </w:rPr>
        <w:t xml:space="preserve">Certain </w:t>
      </w:r>
      <w:r w:rsidR="00231D50" w:rsidRPr="00231D50">
        <w:rPr>
          <w:rFonts w:ascii="Arial" w:hAnsi="Arial" w:cs="Arial"/>
          <w:iCs/>
          <w:sz w:val="36"/>
          <w:szCs w:val="36"/>
        </w:rPr>
        <w:t>Motor Vehicle Incentive Payment</w:t>
      </w:r>
      <w:r w:rsidR="00597685">
        <w:rPr>
          <w:rFonts w:ascii="Arial" w:hAnsi="Arial" w:cs="Arial"/>
          <w:iCs/>
          <w:sz w:val="36"/>
          <w:szCs w:val="36"/>
        </w:rPr>
        <w:t>s</w:t>
      </w:r>
      <w:r w:rsidR="00231D50" w:rsidRPr="00231D50">
        <w:rPr>
          <w:rFonts w:ascii="Arial" w:hAnsi="Arial" w:cs="Arial"/>
          <w:iCs/>
          <w:sz w:val="36"/>
          <w:szCs w:val="36"/>
        </w:rPr>
        <w:t xml:space="preserve"> Made to Motor Vehicle Dealer</w:t>
      </w:r>
      <w:r w:rsidR="00597685">
        <w:rPr>
          <w:rFonts w:ascii="Arial" w:hAnsi="Arial" w:cs="Arial"/>
          <w:iCs/>
          <w:sz w:val="36"/>
          <w:szCs w:val="36"/>
        </w:rPr>
        <w:t>s</w:t>
      </w:r>
      <w:r w:rsidRPr="00C76B70">
        <w:rPr>
          <w:rFonts w:ascii="Arial" w:hAnsi="Arial" w:cs="Arial"/>
          <w:iCs/>
          <w:sz w:val="36"/>
          <w:szCs w:val="36"/>
        </w:rPr>
        <w:t>) Legislative Instrument 201</w:t>
      </w:r>
      <w:r w:rsidR="00231D50">
        <w:rPr>
          <w:rFonts w:ascii="Arial" w:hAnsi="Arial" w:cs="Arial"/>
          <w:iCs/>
          <w:sz w:val="36"/>
          <w:szCs w:val="36"/>
        </w:rPr>
        <w:t>5</w:t>
      </w:r>
      <w:r w:rsidRPr="00C76B70">
        <w:rPr>
          <w:rFonts w:ascii="Arial" w:hAnsi="Arial" w:cs="Arial"/>
          <w:sz w:val="36"/>
          <w:szCs w:val="36"/>
        </w:rPr>
        <w:fldChar w:fldCharType="begin"/>
      </w:r>
      <w:r w:rsidRPr="00C76B70">
        <w:rPr>
          <w:rFonts w:ascii="Arial" w:hAnsi="Arial" w:cs="Arial"/>
          <w:sz w:val="36"/>
          <w:szCs w:val="36"/>
        </w:rPr>
        <w:instrText xml:space="preserve"> FILLIN  "[Click Here to Enter Text Title]"  \* MERGEFORMAT </w:instrText>
      </w:r>
      <w:r w:rsidRPr="00C76B70">
        <w:rPr>
          <w:rFonts w:ascii="Arial" w:hAnsi="Arial" w:cs="Arial"/>
          <w:sz w:val="36"/>
          <w:szCs w:val="36"/>
        </w:rPr>
        <w:fldChar w:fldCharType="end"/>
      </w:r>
      <w:bookmarkEnd w:id="3"/>
    </w:p>
    <w:p w:rsidR="007F2367" w:rsidRPr="002B6A43" w:rsidRDefault="007F2367" w:rsidP="007F2367">
      <w:pPr>
        <w:pStyle w:val="Header"/>
        <w:tabs>
          <w:tab w:val="clear" w:pos="4153"/>
          <w:tab w:val="clear" w:pos="8306"/>
        </w:tabs>
        <w:jc w:val="center"/>
        <w:rPr>
          <w:rFonts w:ascii="Arial" w:hAnsi="Arial" w:cs="Arial"/>
        </w:rPr>
      </w:pPr>
      <w:bookmarkStart w:id="4" w:name="IComments"/>
    </w:p>
    <w:p w:rsidR="007F2367" w:rsidRPr="0072676D" w:rsidRDefault="007F2367" w:rsidP="007F2367">
      <w:pPr>
        <w:pStyle w:val="Header"/>
        <w:tabs>
          <w:tab w:val="clear" w:pos="4153"/>
          <w:tab w:val="clear" w:pos="8306"/>
        </w:tabs>
        <w:jc w:val="center"/>
        <w:rPr>
          <w:rFonts w:ascii="Arial" w:hAnsi="Arial" w:cs="Arial"/>
          <w:sz w:val="48"/>
          <w:szCs w:val="48"/>
        </w:rPr>
      </w:pPr>
      <w:r w:rsidRPr="0072676D">
        <w:rPr>
          <w:rFonts w:ascii="Arial" w:hAnsi="Arial" w:cs="Arial"/>
          <w:sz w:val="48"/>
          <w:szCs w:val="48"/>
        </w:rPr>
        <w:t>Explanatory Statement</w:t>
      </w:r>
    </w:p>
    <w:p w:rsidR="007F2367" w:rsidRDefault="007F2367" w:rsidP="007F2367">
      <w:pPr>
        <w:spacing w:after="120"/>
        <w:rPr>
          <w:rFonts w:cs="Arial"/>
          <w:sz w:val="22"/>
          <w:szCs w:val="22"/>
        </w:rPr>
      </w:pPr>
    </w:p>
    <w:p w:rsidR="007F2367" w:rsidRDefault="007F2367" w:rsidP="007F2367">
      <w:pPr>
        <w:spacing w:after="120"/>
        <w:rPr>
          <w:rFonts w:cs="Arial"/>
          <w:sz w:val="22"/>
          <w:szCs w:val="22"/>
        </w:rPr>
      </w:pPr>
    </w:p>
    <w:p w:rsidR="007F2367" w:rsidRDefault="007F2367" w:rsidP="007F2367">
      <w:pPr>
        <w:pStyle w:val="Heading2"/>
        <w:rPr>
          <w:rFonts w:cs="Arial"/>
          <w:szCs w:val="22"/>
        </w:rPr>
      </w:pPr>
      <w:bookmarkStart w:id="5" w:name="EDisclaimer"/>
      <w:bookmarkEnd w:id="5"/>
      <w:r>
        <w:rPr>
          <w:rFonts w:cs="Arial"/>
          <w:szCs w:val="22"/>
        </w:rPr>
        <w:t>General outline of this instrument</w:t>
      </w:r>
    </w:p>
    <w:p w:rsidR="007F2367" w:rsidRDefault="007F2367" w:rsidP="007F2367">
      <w:pPr>
        <w:numPr>
          <w:ilvl w:val="0"/>
          <w:numId w:val="1"/>
        </w:numPr>
        <w:tabs>
          <w:tab w:val="clear" w:pos="4380"/>
        </w:tabs>
        <w:spacing w:after="120"/>
        <w:ind w:left="0" w:firstLine="0"/>
        <w:rPr>
          <w:rFonts w:cs="Arial"/>
          <w:sz w:val="22"/>
          <w:szCs w:val="22"/>
        </w:rPr>
      </w:pPr>
      <w:r>
        <w:rPr>
          <w:rFonts w:cs="Arial"/>
          <w:sz w:val="22"/>
          <w:szCs w:val="22"/>
        </w:rPr>
        <w:t>This legislative instrument is made under subsection 29-</w:t>
      </w:r>
      <w:r w:rsidR="00231D50">
        <w:rPr>
          <w:rFonts w:cs="Arial"/>
          <w:sz w:val="22"/>
          <w:szCs w:val="22"/>
        </w:rPr>
        <w:t>25(1</w:t>
      </w:r>
      <w:r>
        <w:rPr>
          <w:rFonts w:cs="Arial"/>
          <w:sz w:val="22"/>
          <w:szCs w:val="22"/>
        </w:rPr>
        <w:t xml:space="preserve">) of the </w:t>
      </w:r>
      <w:r>
        <w:rPr>
          <w:rFonts w:cs="Arial"/>
          <w:i/>
          <w:iCs/>
          <w:sz w:val="22"/>
          <w:szCs w:val="22"/>
        </w:rPr>
        <w:t>A New Tax System (Goods and Services Tax) Act 1999</w:t>
      </w:r>
      <w:r>
        <w:rPr>
          <w:rFonts w:cs="Arial"/>
          <w:sz w:val="22"/>
          <w:szCs w:val="22"/>
        </w:rPr>
        <w:t xml:space="preserve"> (GST Act)</w:t>
      </w:r>
      <w:r>
        <w:rPr>
          <w:rFonts w:cs="Arial"/>
          <w:i/>
          <w:iCs/>
          <w:sz w:val="22"/>
          <w:szCs w:val="22"/>
        </w:rPr>
        <w:t>.</w:t>
      </w:r>
    </w:p>
    <w:p w:rsidR="007F2367" w:rsidRPr="00231D50" w:rsidRDefault="007F2367" w:rsidP="00231D50">
      <w:pPr>
        <w:numPr>
          <w:ilvl w:val="0"/>
          <w:numId w:val="1"/>
        </w:numPr>
        <w:tabs>
          <w:tab w:val="clear" w:pos="4380"/>
        </w:tabs>
        <w:spacing w:after="120"/>
        <w:ind w:left="0" w:firstLine="0"/>
        <w:rPr>
          <w:rFonts w:cs="Arial"/>
          <w:sz w:val="22"/>
          <w:szCs w:val="22"/>
        </w:rPr>
      </w:pPr>
      <w:r w:rsidRPr="004A4E2C">
        <w:rPr>
          <w:rFonts w:cs="Arial"/>
          <w:iCs/>
          <w:sz w:val="22"/>
          <w:szCs w:val="22"/>
        </w:rPr>
        <w:t xml:space="preserve">This instrument </w:t>
      </w:r>
      <w:r w:rsidR="00231D50">
        <w:rPr>
          <w:rFonts w:cs="Arial"/>
          <w:iCs/>
          <w:sz w:val="22"/>
          <w:szCs w:val="22"/>
        </w:rPr>
        <w:t xml:space="preserve">is necessary to </w:t>
      </w:r>
      <w:r w:rsidR="00231D50" w:rsidRPr="00231D50">
        <w:rPr>
          <w:rFonts w:cs="Arial"/>
          <w:iCs/>
          <w:sz w:val="22"/>
          <w:szCs w:val="22"/>
        </w:rPr>
        <w:t>prevent the provisions of Division 29 and Chapter 4</w:t>
      </w:r>
      <w:r w:rsidR="00D11713">
        <w:rPr>
          <w:rFonts w:cs="Arial"/>
          <w:iCs/>
          <w:sz w:val="22"/>
          <w:szCs w:val="22"/>
        </w:rPr>
        <w:t xml:space="preserve"> of the GST Act</w:t>
      </w:r>
      <w:r w:rsidR="00231D50" w:rsidRPr="00231D50">
        <w:rPr>
          <w:rFonts w:cs="Arial"/>
          <w:iCs/>
          <w:sz w:val="22"/>
          <w:szCs w:val="22"/>
        </w:rPr>
        <w:t xml:space="preserve"> applying in a way that is inappropriate in circumstances involving a supply or acquisition for which payment is made or an invoice is issued, but use, enjoyment </w:t>
      </w:r>
      <w:r w:rsidR="00130450">
        <w:rPr>
          <w:rFonts w:cs="Arial"/>
          <w:iCs/>
          <w:sz w:val="22"/>
          <w:szCs w:val="22"/>
        </w:rPr>
        <w:t xml:space="preserve">and </w:t>
      </w:r>
      <w:r w:rsidR="00231D50" w:rsidRPr="00231D50">
        <w:rPr>
          <w:rFonts w:cs="Arial"/>
          <w:iCs/>
          <w:sz w:val="22"/>
          <w:szCs w:val="22"/>
        </w:rPr>
        <w:t>passing of title will</w:t>
      </w:r>
      <w:r w:rsidR="00EB2B4B">
        <w:rPr>
          <w:rFonts w:cs="Arial"/>
          <w:iCs/>
          <w:sz w:val="22"/>
          <w:szCs w:val="22"/>
        </w:rPr>
        <w:t xml:space="preserve"> </w:t>
      </w:r>
      <w:r w:rsidR="00231D50" w:rsidRPr="00231D50">
        <w:rPr>
          <w:rFonts w:cs="Arial"/>
          <w:iCs/>
          <w:sz w:val="22"/>
          <w:szCs w:val="22"/>
        </w:rPr>
        <w:t>occur at some time in the future</w:t>
      </w:r>
      <w:r w:rsidR="00231D50">
        <w:rPr>
          <w:rFonts w:cs="Arial"/>
          <w:iCs/>
          <w:sz w:val="22"/>
          <w:szCs w:val="22"/>
        </w:rPr>
        <w:t>.</w:t>
      </w:r>
      <w:r w:rsidR="00231D50">
        <w:rPr>
          <w:rStyle w:val="FootnoteReference"/>
          <w:iCs/>
          <w:sz w:val="22"/>
          <w:szCs w:val="22"/>
        </w:rPr>
        <w:footnoteReference w:id="1"/>
      </w:r>
      <w:r w:rsidR="00231D50">
        <w:rPr>
          <w:rFonts w:cs="Arial"/>
          <w:iCs/>
          <w:sz w:val="22"/>
          <w:szCs w:val="22"/>
        </w:rPr>
        <w:t xml:space="preserve"> In particular, it applies in circumstances where:</w:t>
      </w:r>
    </w:p>
    <w:p w:rsidR="00E63CC5" w:rsidRPr="00E63CC5" w:rsidRDefault="00231D50" w:rsidP="00E63CC5">
      <w:pPr>
        <w:pStyle w:val="ListParagraph"/>
        <w:numPr>
          <w:ilvl w:val="0"/>
          <w:numId w:val="4"/>
        </w:numPr>
        <w:spacing w:after="120"/>
        <w:contextualSpacing w:val="0"/>
        <w:rPr>
          <w:sz w:val="22"/>
          <w:szCs w:val="22"/>
        </w:rPr>
      </w:pPr>
      <w:r w:rsidRPr="00E63CC5">
        <w:rPr>
          <w:sz w:val="22"/>
          <w:szCs w:val="22"/>
        </w:rPr>
        <w:t xml:space="preserve">a motor vehicle dealer </w:t>
      </w:r>
      <w:r w:rsidR="00E63CC5" w:rsidRPr="00E63CC5">
        <w:rPr>
          <w:sz w:val="22"/>
          <w:szCs w:val="22"/>
        </w:rPr>
        <w:t>either:</w:t>
      </w:r>
    </w:p>
    <w:p w:rsidR="00E63CC5" w:rsidRPr="00E63CC5" w:rsidRDefault="00E63CC5" w:rsidP="0018015B">
      <w:pPr>
        <w:pStyle w:val="ListParagraph"/>
        <w:numPr>
          <w:ilvl w:val="0"/>
          <w:numId w:val="7"/>
        </w:numPr>
        <w:spacing w:after="120"/>
        <w:ind w:left="2127" w:hanging="709"/>
        <w:contextualSpacing w:val="0"/>
        <w:rPr>
          <w:rFonts w:cs="Arial"/>
          <w:sz w:val="22"/>
          <w:szCs w:val="22"/>
        </w:rPr>
      </w:pPr>
      <w:r w:rsidRPr="00E63CC5">
        <w:rPr>
          <w:rFonts w:cs="Arial"/>
          <w:sz w:val="22"/>
          <w:szCs w:val="22"/>
        </w:rPr>
        <w:t xml:space="preserve">receives a </w:t>
      </w:r>
      <w:r w:rsidR="00930E11" w:rsidRPr="005E74E7">
        <w:rPr>
          <w:rFonts w:cs="Arial"/>
          <w:b/>
          <w:i/>
          <w:sz w:val="22"/>
          <w:szCs w:val="22"/>
        </w:rPr>
        <w:t xml:space="preserve">third party </w:t>
      </w:r>
      <w:r w:rsidRPr="005E74E7">
        <w:rPr>
          <w:rFonts w:cs="Arial"/>
          <w:b/>
          <w:i/>
          <w:sz w:val="22"/>
          <w:szCs w:val="22"/>
        </w:rPr>
        <w:t>motor vehicle incentive payment</w:t>
      </w:r>
      <w:r w:rsidRPr="00E63CC5">
        <w:rPr>
          <w:rFonts w:cs="Arial"/>
          <w:sz w:val="22"/>
          <w:szCs w:val="22"/>
        </w:rPr>
        <w:t xml:space="preserve"> in a tax period; or</w:t>
      </w:r>
    </w:p>
    <w:p w:rsidR="00E63CC5" w:rsidRPr="00E63CC5" w:rsidRDefault="00E63CC5" w:rsidP="0018015B">
      <w:pPr>
        <w:pStyle w:val="ListParagraph"/>
        <w:numPr>
          <w:ilvl w:val="0"/>
          <w:numId w:val="7"/>
        </w:numPr>
        <w:spacing w:after="120"/>
        <w:ind w:left="2127" w:hanging="709"/>
        <w:contextualSpacing w:val="0"/>
        <w:rPr>
          <w:rFonts w:cs="Arial"/>
          <w:sz w:val="22"/>
          <w:szCs w:val="22"/>
        </w:rPr>
      </w:pPr>
      <w:r w:rsidRPr="00E63CC5">
        <w:rPr>
          <w:rFonts w:cs="Arial"/>
          <w:sz w:val="22"/>
          <w:szCs w:val="22"/>
        </w:rPr>
        <w:t xml:space="preserve">issues an invoice for a </w:t>
      </w:r>
      <w:r w:rsidR="00930E11" w:rsidRPr="005E74E7">
        <w:rPr>
          <w:rFonts w:cs="Arial"/>
          <w:b/>
          <w:i/>
          <w:sz w:val="22"/>
          <w:szCs w:val="22"/>
        </w:rPr>
        <w:t xml:space="preserve">third party </w:t>
      </w:r>
      <w:r w:rsidRPr="005E74E7">
        <w:rPr>
          <w:rFonts w:cs="Arial"/>
          <w:b/>
          <w:i/>
          <w:sz w:val="22"/>
          <w:szCs w:val="22"/>
        </w:rPr>
        <w:t>motor vehicle incentive payment</w:t>
      </w:r>
      <w:r w:rsidRPr="00E63CC5">
        <w:rPr>
          <w:rFonts w:cs="Arial"/>
          <w:sz w:val="22"/>
          <w:szCs w:val="22"/>
        </w:rPr>
        <w:t xml:space="preserve"> in a tax period, before receiving the payment; and</w:t>
      </w:r>
    </w:p>
    <w:p w:rsidR="007D2949" w:rsidRPr="00E63CC5" w:rsidRDefault="00231D50" w:rsidP="00E63CC5">
      <w:pPr>
        <w:spacing w:after="120"/>
        <w:ind w:left="720"/>
        <w:rPr>
          <w:rFonts w:cs="Arial"/>
          <w:sz w:val="22"/>
          <w:szCs w:val="22"/>
        </w:rPr>
      </w:pPr>
      <w:r w:rsidRPr="00E63CC5">
        <w:rPr>
          <w:rFonts w:cs="Arial"/>
          <w:sz w:val="22"/>
          <w:szCs w:val="22"/>
        </w:rPr>
        <w:t>(b)</w:t>
      </w:r>
      <w:r w:rsidRPr="00E63CC5">
        <w:rPr>
          <w:rFonts w:cs="Arial"/>
          <w:sz w:val="22"/>
          <w:szCs w:val="22"/>
        </w:rPr>
        <w:tab/>
        <w:t xml:space="preserve">the </w:t>
      </w:r>
      <w:r w:rsidR="00930E11" w:rsidRPr="005E74E7">
        <w:rPr>
          <w:rFonts w:cs="Arial"/>
          <w:b/>
          <w:i/>
          <w:sz w:val="22"/>
          <w:szCs w:val="22"/>
        </w:rPr>
        <w:t xml:space="preserve">third party </w:t>
      </w:r>
      <w:r w:rsidRPr="005E74E7">
        <w:rPr>
          <w:rFonts w:cs="Arial"/>
          <w:b/>
          <w:i/>
          <w:sz w:val="22"/>
          <w:szCs w:val="22"/>
        </w:rPr>
        <w:t>motor vehicle incentive payment</w:t>
      </w:r>
      <w:r w:rsidRPr="00E63CC5">
        <w:rPr>
          <w:rFonts w:cs="Arial"/>
          <w:sz w:val="22"/>
          <w:szCs w:val="22"/>
        </w:rPr>
        <w:t xml:space="preserve"> relates to </w:t>
      </w:r>
      <w:r w:rsidR="008A3B12" w:rsidRPr="00E63CC5">
        <w:rPr>
          <w:rFonts w:cs="Arial"/>
          <w:sz w:val="22"/>
          <w:szCs w:val="22"/>
        </w:rPr>
        <w:t>a</w:t>
      </w:r>
      <w:r w:rsidRPr="00E63CC5">
        <w:rPr>
          <w:rFonts w:cs="Arial"/>
          <w:sz w:val="22"/>
          <w:szCs w:val="22"/>
        </w:rPr>
        <w:t xml:space="preserve"> supply of a motor vehicle</w:t>
      </w:r>
      <w:r w:rsidR="00E63CC5">
        <w:rPr>
          <w:rFonts w:cs="Arial"/>
          <w:sz w:val="22"/>
          <w:szCs w:val="22"/>
        </w:rPr>
        <w:t xml:space="preserve"> by the motor vehicle dealer</w:t>
      </w:r>
      <w:r w:rsidRPr="00E63CC5">
        <w:rPr>
          <w:rFonts w:cs="Arial"/>
          <w:sz w:val="22"/>
          <w:szCs w:val="22"/>
        </w:rPr>
        <w:t xml:space="preserve"> </w:t>
      </w:r>
      <w:r w:rsidR="00EB2B4B">
        <w:rPr>
          <w:rFonts w:cs="Arial"/>
          <w:sz w:val="22"/>
          <w:szCs w:val="22"/>
        </w:rPr>
        <w:t>where</w:t>
      </w:r>
      <w:r w:rsidRPr="00E63CC5">
        <w:rPr>
          <w:rFonts w:cs="Arial"/>
          <w:sz w:val="22"/>
          <w:szCs w:val="22"/>
        </w:rPr>
        <w:t xml:space="preserve"> use, enjoyment and passing of title will occur in a later tax period; and</w:t>
      </w:r>
    </w:p>
    <w:p w:rsidR="00E63CC5" w:rsidRDefault="00231D50" w:rsidP="007D3258">
      <w:pPr>
        <w:spacing w:after="120"/>
        <w:ind w:left="720"/>
        <w:rPr>
          <w:rFonts w:cs="Arial"/>
          <w:sz w:val="22"/>
          <w:szCs w:val="22"/>
        </w:rPr>
      </w:pPr>
      <w:r w:rsidRPr="007D3258">
        <w:rPr>
          <w:rFonts w:cs="Arial"/>
          <w:sz w:val="22"/>
          <w:szCs w:val="22"/>
        </w:rPr>
        <w:t>(c)</w:t>
      </w:r>
      <w:r w:rsidRPr="007D3258">
        <w:rPr>
          <w:rFonts w:cs="Arial"/>
          <w:sz w:val="22"/>
          <w:szCs w:val="22"/>
        </w:rPr>
        <w:tab/>
        <w:t xml:space="preserve">the motor vehicle dealer does not know the total consideration for the supply of the motor vehicle </w:t>
      </w:r>
      <w:r w:rsidR="00E63CC5">
        <w:rPr>
          <w:rFonts w:cs="Arial"/>
          <w:sz w:val="22"/>
          <w:szCs w:val="22"/>
        </w:rPr>
        <w:t>by</w:t>
      </w:r>
      <w:r w:rsidR="00E63CC5" w:rsidRPr="00E63CC5">
        <w:rPr>
          <w:rFonts w:cs="Arial"/>
          <w:sz w:val="22"/>
          <w:szCs w:val="22"/>
        </w:rPr>
        <w:t xml:space="preserve"> </w:t>
      </w:r>
      <w:r w:rsidRPr="00E63CC5">
        <w:rPr>
          <w:rFonts w:cs="Arial"/>
          <w:sz w:val="22"/>
          <w:szCs w:val="22"/>
        </w:rPr>
        <w:t>the end of the tax period during which</w:t>
      </w:r>
      <w:r w:rsidR="00E63CC5">
        <w:rPr>
          <w:rFonts w:cs="Arial"/>
          <w:sz w:val="22"/>
          <w:szCs w:val="22"/>
        </w:rPr>
        <w:t>:</w:t>
      </w:r>
      <w:r w:rsidRPr="00E63CC5">
        <w:rPr>
          <w:rFonts w:cs="Arial"/>
          <w:sz w:val="22"/>
          <w:szCs w:val="22"/>
        </w:rPr>
        <w:t xml:space="preserve"> </w:t>
      </w:r>
    </w:p>
    <w:p w:rsidR="00D11713" w:rsidRDefault="00E63CC5" w:rsidP="0018015B">
      <w:pPr>
        <w:pStyle w:val="ListParagraph"/>
        <w:numPr>
          <w:ilvl w:val="0"/>
          <w:numId w:val="9"/>
        </w:numPr>
        <w:spacing w:after="120"/>
        <w:ind w:left="2127" w:hanging="709"/>
        <w:rPr>
          <w:rFonts w:cs="Arial"/>
          <w:sz w:val="22"/>
          <w:szCs w:val="22"/>
        </w:rPr>
      </w:pPr>
      <w:r w:rsidRPr="00E63CC5">
        <w:rPr>
          <w:rFonts w:cs="Arial"/>
          <w:sz w:val="22"/>
          <w:szCs w:val="22"/>
        </w:rPr>
        <w:t xml:space="preserve">if clause 3(a)(i) applies – </w:t>
      </w:r>
      <w:r w:rsidR="00231D50" w:rsidRPr="00E63CC5">
        <w:rPr>
          <w:rFonts w:cs="Arial"/>
          <w:sz w:val="22"/>
          <w:szCs w:val="22"/>
        </w:rPr>
        <w:t xml:space="preserve">the </w:t>
      </w:r>
      <w:r w:rsidR="00130450" w:rsidRPr="00863E8A">
        <w:rPr>
          <w:rFonts w:cs="Arial"/>
          <w:b/>
          <w:i/>
          <w:sz w:val="22"/>
          <w:szCs w:val="22"/>
        </w:rPr>
        <w:t xml:space="preserve">third party </w:t>
      </w:r>
      <w:r w:rsidR="00231D50" w:rsidRPr="00863E8A">
        <w:rPr>
          <w:rFonts w:cs="Arial"/>
          <w:b/>
          <w:i/>
          <w:sz w:val="22"/>
          <w:szCs w:val="22"/>
        </w:rPr>
        <w:t>motor vehicle incentive payment</w:t>
      </w:r>
      <w:r w:rsidR="00231D50" w:rsidRPr="00E63CC5">
        <w:rPr>
          <w:rFonts w:cs="Arial"/>
          <w:sz w:val="22"/>
          <w:szCs w:val="22"/>
        </w:rPr>
        <w:t xml:space="preserve"> was received</w:t>
      </w:r>
      <w:r w:rsidR="00D11713" w:rsidRPr="00E63CC5">
        <w:rPr>
          <w:rFonts w:cs="Arial"/>
          <w:sz w:val="22"/>
          <w:szCs w:val="22"/>
        </w:rPr>
        <w:t>;</w:t>
      </w:r>
      <w:r w:rsidRPr="00E63CC5">
        <w:rPr>
          <w:rFonts w:cs="Arial"/>
          <w:sz w:val="22"/>
          <w:szCs w:val="22"/>
        </w:rPr>
        <w:t xml:space="preserve"> or</w:t>
      </w:r>
    </w:p>
    <w:p w:rsidR="00E63CC5" w:rsidRPr="00E63CC5" w:rsidRDefault="00E63CC5" w:rsidP="0018015B">
      <w:pPr>
        <w:pStyle w:val="ListParagraph"/>
        <w:numPr>
          <w:ilvl w:val="0"/>
          <w:numId w:val="9"/>
        </w:numPr>
        <w:spacing w:after="120"/>
        <w:ind w:left="2127" w:hanging="709"/>
        <w:rPr>
          <w:rFonts w:cs="Arial"/>
          <w:sz w:val="22"/>
          <w:szCs w:val="22"/>
        </w:rPr>
      </w:pPr>
      <w:r w:rsidRPr="00E63CC5">
        <w:rPr>
          <w:rFonts w:cs="Arial"/>
          <w:sz w:val="22"/>
          <w:szCs w:val="22"/>
        </w:rPr>
        <w:t xml:space="preserve">if clause 3(a)(ii) applies – the invoice for the </w:t>
      </w:r>
      <w:r w:rsidR="00130450" w:rsidRPr="00863E8A">
        <w:rPr>
          <w:rFonts w:cs="Arial"/>
          <w:b/>
          <w:i/>
          <w:sz w:val="22"/>
          <w:szCs w:val="22"/>
        </w:rPr>
        <w:t xml:space="preserve">third party </w:t>
      </w:r>
      <w:r w:rsidRPr="00863E8A">
        <w:rPr>
          <w:rFonts w:cs="Arial"/>
          <w:b/>
          <w:i/>
          <w:sz w:val="22"/>
          <w:szCs w:val="22"/>
        </w:rPr>
        <w:t>motor vehicle incentive payment</w:t>
      </w:r>
      <w:r w:rsidRPr="00E63CC5">
        <w:rPr>
          <w:rFonts w:cs="Arial"/>
          <w:sz w:val="22"/>
          <w:szCs w:val="22"/>
        </w:rPr>
        <w:t xml:space="preserve"> was issued; and</w:t>
      </w:r>
    </w:p>
    <w:p w:rsidR="00231D50" w:rsidRPr="00E63CC5" w:rsidRDefault="00D11713" w:rsidP="00E63CC5">
      <w:pPr>
        <w:spacing w:after="120"/>
        <w:ind w:left="720"/>
        <w:rPr>
          <w:rFonts w:cs="Arial"/>
          <w:sz w:val="22"/>
          <w:szCs w:val="22"/>
        </w:rPr>
      </w:pPr>
      <w:r w:rsidRPr="00E63CC5">
        <w:rPr>
          <w:rFonts w:cs="Arial"/>
          <w:sz w:val="22"/>
          <w:szCs w:val="22"/>
        </w:rPr>
        <w:t>(d)</w:t>
      </w:r>
      <w:r w:rsidRPr="00E63CC5">
        <w:rPr>
          <w:rFonts w:cs="Arial"/>
          <w:sz w:val="22"/>
          <w:szCs w:val="22"/>
        </w:rPr>
        <w:tab/>
        <w:t>the supply of the motor vehicle will be a taxable supply</w:t>
      </w:r>
      <w:r w:rsidR="00231D50" w:rsidRPr="00E63CC5">
        <w:rPr>
          <w:rFonts w:cs="Arial"/>
          <w:sz w:val="22"/>
          <w:szCs w:val="22"/>
        </w:rPr>
        <w:t>.</w:t>
      </w:r>
    </w:p>
    <w:p w:rsidR="007F2367" w:rsidRDefault="007F2367" w:rsidP="007F2367">
      <w:pPr>
        <w:numPr>
          <w:ilvl w:val="0"/>
          <w:numId w:val="1"/>
        </w:numPr>
        <w:tabs>
          <w:tab w:val="clear" w:pos="4380"/>
        </w:tabs>
        <w:spacing w:after="120"/>
        <w:ind w:left="0" w:firstLine="0"/>
        <w:rPr>
          <w:rFonts w:cs="Arial"/>
          <w:sz w:val="22"/>
          <w:szCs w:val="22"/>
        </w:rPr>
      </w:pPr>
      <w:r>
        <w:rPr>
          <w:rFonts w:cs="Arial"/>
          <w:sz w:val="22"/>
          <w:szCs w:val="22"/>
        </w:rPr>
        <w:t xml:space="preserve">This instrument is a legislative instrument for the purposes of the </w:t>
      </w:r>
      <w:r>
        <w:rPr>
          <w:rFonts w:cs="Arial"/>
          <w:i/>
          <w:sz w:val="22"/>
          <w:szCs w:val="22"/>
        </w:rPr>
        <w:t>Legislative Instruments Act 2003</w:t>
      </w:r>
      <w:r>
        <w:rPr>
          <w:rFonts w:cs="Arial"/>
          <w:sz w:val="22"/>
          <w:szCs w:val="22"/>
        </w:rPr>
        <w:t>.</w:t>
      </w:r>
    </w:p>
    <w:bookmarkEnd w:id="4"/>
    <w:p w:rsidR="007F2367" w:rsidRDefault="007F2367" w:rsidP="007F2367">
      <w:pPr>
        <w:spacing w:after="120"/>
        <w:rPr>
          <w:rFonts w:cs="Arial"/>
          <w:sz w:val="22"/>
          <w:szCs w:val="22"/>
        </w:rPr>
      </w:pPr>
    </w:p>
    <w:p w:rsidR="007F2367" w:rsidRDefault="007F2367" w:rsidP="007F2367">
      <w:pPr>
        <w:pStyle w:val="Heading2"/>
        <w:rPr>
          <w:rFonts w:cs="Arial"/>
          <w:szCs w:val="22"/>
        </w:rPr>
      </w:pPr>
      <w:r>
        <w:rPr>
          <w:rFonts w:cs="Arial"/>
          <w:szCs w:val="22"/>
        </w:rPr>
        <w:lastRenderedPageBreak/>
        <w:t>Commencement of this instrument</w:t>
      </w:r>
    </w:p>
    <w:p w:rsidR="00E63CC5" w:rsidRPr="00E63CC5" w:rsidRDefault="007F2367" w:rsidP="00D11713">
      <w:pPr>
        <w:numPr>
          <w:ilvl w:val="0"/>
          <w:numId w:val="1"/>
        </w:numPr>
        <w:tabs>
          <w:tab w:val="clear" w:pos="4380"/>
        </w:tabs>
        <w:spacing w:after="120"/>
        <w:ind w:left="0" w:firstLine="0"/>
        <w:rPr>
          <w:rFonts w:cs="Arial"/>
          <w:sz w:val="22"/>
          <w:szCs w:val="22"/>
        </w:rPr>
      </w:pPr>
      <w:r w:rsidRPr="0013594C">
        <w:rPr>
          <w:rFonts w:cs="Arial"/>
          <w:iCs/>
          <w:sz w:val="22"/>
          <w:szCs w:val="22"/>
        </w:rPr>
        <w:t xml:space="preserve">This instrument </w:t>
      </w:r>
      <w:r w:rsidR="00E63CC5">
        <w:rPr>
          <w:rFonts w:cs="Arial"/>
          <w:iCs/>
          <w:sz w:val="22"/>
          <w:szCs w:val="22"/>
        </w:rPr>
        <w:t xml:space="preserve">is taken to have </w:t>
      </w:r>
      <w:r w:rsidRPr="0013594C">
        <w:rPr>
          <w:rFonts w:cs="Arial"/>
          <w:iCs/>
          <w:sz w:val="22"/>
          <w:szCs w:val="22"/>
        </w:rPr>
        <w:t>commence</w:t>
      </w:r>
      <w:r w:rsidR="00E63CC5">
        <w:rPr>
          <w:rFonts w:cs="Arial"/>
          <w:iCs/>
          <w:sz w:val="22"/>
          <w:szCs w:val="22"/>
        </w:rPr>
        <w:t>d</w:t>
      </w:r>
      <w:r w:rsidR="00231D50">
        <w:rPr>
          <w:rFonts w:cs="Arial"/>
          <w:iCs/>
          <w:sz w:val="22"/>
          <w:szCs w:val="22"/>
        </w:rPr>
        <w:t xml:space="preserve"> on </w:t>
      </w:r>
      <w:r w:rsidR="00E63CC5">
        <w:rPr>
          <w:rFonts w:cs="Arial"/>
          <w:iCs/>
          <w:sz w:val="22"/>
          <w:szCs w:val="22"/>
        </w:rPr>
        <w:t>1 January 2015</w:t>
      </w:r>
      <w:r w:rsidR="00231D50">
        <w:rPr>
          <w:rFonts w:cs="Arial"/>
          <w:iCs/>
          <w:sz w:val="22"/>
          <w:szCs w:val="22"/>
        </w:rPr>
        <w:t>.</w:t>
      </w:r>
      <w:r w:rsidR="002778BD">
        <w:rPr>
          <w:rFonts w:cs="Arial"/>
          <w:iCs/>
          <w:sz w:val="22"/>
          <w:szCs w:val="22"/>
        </w:rPr>
        <w:t xml:space="preserve"> </w:t>
      </w:r>
      <w:r w:rsidR="00E63CC5">
        <w:rPr>
          <w:rFonts w:cs="Arial"/>
          <w:iCs/>
          <w:sz w:val="22"/>
          <w:szCs w:val="22"/>
        </w:rPr>
        <w:t xml:space="preserve">Therefore, it will apply where a motor vehicle dealer </w:t>
      </w:r>
      <w:r w:rsidR="00557553">
        <w:rPr>
          <w:rFonts w:cs="Arial"/>
          <w:iCs/>
          <w:sz w:val="22"/>
          <w:szCs w:val="22"/>
        </w:rPr>
        <w:t xml:space="preserve">(dealer) </w:t>
      </w:r>
      <w:r w:rsidR="00E63CC5">
        <w:rPr>
          <w:rFonts w:cs="Arial"/>
          <w:iCs/>
          <w:sz w:val="22"/>
          <w:szCs w:val="22"/>
        </w:rPr>
        <w:t xml:space="preserve">receives a </w:t>
      </w:r>
      <w:r w:rsidR="00863E8A" w:rsidRPr="00863E8A">
        <w:rPr>
          <w:rFonts w:cs="Arial"/>
          <w:b/>
          <w:i/>
          <w:iCs/>
          <w:sz w:val="22"/>
          <w:szCs w:val="22"/>
        </w:rPr>
        <w:t xml:space="preserve">third party </w:t>
      </w:r>
      <w:r w:rsidR="00E63CC5" w:rsidRPr="00863E8A">
        <w:rPr>
          <w:rFonts w:cs="Arial"/>
          <w:b/>
          <w:i/>
          <w:iCs/>
          <w:sz w:val="22"/>
          <w:szCs w:val="22"/>
        </w:rPr>
        <w:t>motor vehicle incentive payment</w:t>
      </w:r>
      <w:r w:rsidR="00557553">
        <w:rPr>
          <w:rFonts w:cs="Arial"/>
          <w:iCs/>
          <w:sz w:val="22"/>
          <w:szCs w:val="22"/>
        </w:rPr>
        <w:t xml:space="preserve"> (</w:t>
      </w:r>
      <w:r w:rsidR="007D3258">
        <w:rPr>
          <w:rFonts w:cs="Arial"/>
          <w:iCs/>
          <w:sz w:val="22"/>
          <w:szCs w:val="22"/>
        </w:rPr>
        <w:t>or issues an invoice for a</w:t>
      </w:r>
      <w:r w:rsidR="00863E8A">
        <w:rPr>
          <w:rFonts w:cs="Arial"/>
          <w:iCs/>
          <w:sz w:val="22"/>
          <w:szCs w:val="22"/>
        </w:rPr>
        <w:t xml:space="preserve"> </w:t>
      </w:r>
      <w:r w:rsidR="00863E8A" w:rsidRPr="00863E8A">
        <w:rPr>
          <w:rFonts w:cs="Arial"/>
          <w:b/>
          <w:i/>
          <w:iCs/>
          <w:sz w:val="22"/>
          <w:szCs w:val="22"/>
        </w:rPr>
        <w:t>third party</w:t>
      </w:r>
      <w:r w:rsidR="007D3258" w:rsidRPr="00863E8A">
        <w:rPr>
          <w:rFonts w:cs="Arial"/>
          <w:b/>
          <w:i/>
          <w:iCs/>
          <w:sz w:val="22"/>
          <w:szCs w:val="22"/>
        </w:rPr>
        <w:t xml:space="preserve"> motor vehicle incentive payment</w:t>
      </w:r>
      <w:r w:rsidR="007D3258">
        <w:rPr>
          <w:rFonts w:cs="Arial"/>
          <w:iCs/>
          <w:sz w:val="22"/>
          <w:szCs w:val="22"/>
        </w:rPr>
        <w:t xml:space="preserve"> before receiving the payment</w:t>
      </w:r>
      <w:r w:rsidR="00557553">
        <w:rPr>
          <w:rFonts w:cs="Arial"/>
          <w:iCs/>
          <w:sz w:val="22"/>
          <w:szCs w:val="22"/>
        </w:rPr>
        <w:t xml:space="preserve">) </w:t>
      </w:r>
      <w:r w:rsidR="007D3258">
        <w:rPr>
          <w:rFonts w:cs="Arial"/>
          <w:iCs/>
          <w:sz w:val="22"/>
          <w:szCs w:val="22"/>
        </w:rPr>
        <w:t>on or after 1 January 2015, provided the other requirements for the instrument to apply are satisfied.</w:t>
      </w:r>
    </w:p>
    <w:p w:rsidR="00231D50" w:rsidRPr="00D11713" w:rsidRDefault="007D3258" w:rsidP="00D11713">
      <w:pPr>
        <w:numPr>
          <w:ilvl w:val="0"/>
          <w:numId w:val="1"/>
        </w:numPr>
        <w:tabs>
          <w:tab w:val="clear" w:pos="4380"/>
        </w:tabs>
        <w:spacing w:after="120"/>
        <w:ind w:left="0" w:firstLine="0"/>
        <w:rPr>
          <w:rFonts w:cs="Arial"/>
          <w:sz w:val="22"/>
          <w:szCs w:val="22"/>
        </w:rPr>
      </w:pPr>
      <w:r w:rsidRPr="007D3258">
        <w:rPr>
          <w:rFonts w:cs="Arial"/>
          <w:iCs/>
          <w:sz w:val="22"/>
          <w:szCs w:val="22"/>
        </w:rPr>
        <w:t>The retrospective application of this instrument does not have an adverse effect on the rights or liabilities of any person.</w:t>
      </w:r>
      <w:r>
        <w:rPr>
          <w:rStyle w:val="FootnoteReference"/>
          <w:iCs/>
          <w:sz w:val="22"/>
          <w:szCs w:val="22"/>
        </w:rPr>
        <w:footnoteReference w:id="2"/>
      </w:r>
      <w:r>
        <w:rPr>
          <w:rFonts w:cs="Arial"/>
          <w:iCs/>
          <w:sz w:val="22"/>
          <w:szCs w:val="22"/>
        </w:rPr>
        <w:t xml:space="preserve"> </w:t>
      </w:r>
      <w:r w:rsidRPr="007D3258">
        <w:rPr>
          <w:rFonts w:cs="Arial"/>
          <w:iCs/>
          <w:sz w:val="22"/>
          <w:szCs w:val="22"/>
        </w:rPr>
        <w:t>The effect of this instrument is to the advantage of affected parties.</w:t>
      </w:r>
      <w:r>
        <w:rPr>
          <w:rFonts w:cs="Arial"/>
          <w:iCs/>
          <w:sz w:val="22"/>
          <w:szCs w:val="22"/>
        </w:rPr>
        <w:t xml:space="preserve"> If this instrument applies, a dealer’s liability to pay goods and services tax (GST) will be deferred to a later time.</w:t>
      </w:r>
    </w:p>
    <w:p w:rsidR="00231D50" w:rsidRPr="006E3BC5" w:rsidRDefault="00231D50" w:rsidP="00231D50">
      <w:pPr>
        <w:spacing w:after="120"/>
        <w:rPr>
          <w:rFonts w:cs="Arial"/>
          <w:sz w:val="22"/>
          <w:szCs w:val="22"/>
        </w:rPr>
      </w:pPr>
    </w:p>
    <w:p w:rsidR="007F2367" w:rsidRDefault="007F2367" w:rsidP="007F2367">
      <w:pPr>
        <w:pStyle w:val="Heading2"/>
        <w:rPr>
          <w:rFonts w:cs="Arial"/>
          <w:szCs w:val="22"/>
        </w:rPr>
      </w:pPr>
      <w:r>
        <w:rPr>
          <w:rFonts w:cs="Arial"/>
          <w:szCs w:val="22"/>
        </w:rPr>
        <w:t>What is this instrument about?</w:t>
      </w:r>
    </w:p>
    <w:p w:rsidR="00F97E3E" w:rsidRPr="00F97E3E" w:rsidRDefault="0096333A" w:rsidP="007F2367">
      <w:pPr>
        <w:numPr>
          <w:ilvl w:val="0"/>
          <w:numId w:val="1"/>
        </w:numPr>
        <w:tabs>
          <w:tab w:val="clear" w:pos="4380"/>
        </w:tabs>
        <w:spacing w:after="120"/>
        <w:ind w:left="0" w:firstLine="0"/>
        <w:rPr>
          <w:rFonts w:cs="Arial"/>
          <w:iCs/>
          <w:sz w:val="22"/>
          <w:szCs w:val="22"/>
        </w:rPr>
      </w:pPr>
      <w:r>
        <w:rPr>
          <w:rFonts w:eastAsia="Helvetica Neue" w:cs="Arial"/>
          <w:sz w:val="22"/>
          <w:szCs w:val="22"/>
        </w:rPr>
        <w:t>This</w:t>
      </w:r>
      <w:r w:rsidRPr="0096333A">
        <w:rPr>
          <w:rFonts w:eastAsia="Helvetica Neue" w:cs="Arial"/>
          <w:sz w:val="22"/>
          <w:szCs w:val="22"/>
        </w:rPr>
        <w:t xml:space="preserve"> instrument override</w:t>
      </w:r>
      <w:r w:rsidR="00EB2B4B">
        <w:rPr>
          <w:rFonts w:eastAsia="Helvetica Neue" w:cs="Arial"/>
          <w:sz w:val="22"/>
          <w:szCs w:val="22"/>
        </w:rPr>
        <w:t>s</w:t>
      </w:r>
      <w:r w:rsidRPr="0096333A">
        <w:rPr>
          <w:rFonts w:eastAsia="Helvetica Neue" w:cs="Arial"/>
          <w:sz w:val="22"/>
          <w:szCs w:val="22"/>
        </w:rPr>
        <w:t xml:space="preserve"> the basic attribution rules (under section 29-5</w:t>
      </w:r>
      <w:r>
        <w:rPr>
          <w:rFonts w:eastAsia="Helvetica Neue" w:cs="Arial"/>
          <w:sz w:val="22"/>
          <w:szCs w:val="22"/>
        </w:rPr>
        <w:t xml:space="preserve"> of the GST Act</w:t>
      </w:r>
      <w:r w:rsidRPr="0096333A">
        <w:rPr>
          <w:rFonts w:eastAsia="Helvetica Neue" w:cs="Arial"/>
          <w:sz w:val="22"/>
          <w:szCs w:val="22"/>
        </w:rPr>
        <w:t>)</w:t>
      </w:r>
      <w:r w:rsidR="00EB2B4B">
        <w:rPr>
          <w:rFonts w:eastAsia="Helvetica Neue" w:cs="Arial"/>
          <w:sz w:val="22"/>
          <w:szCs w:val="22"/>
        </w:rPr>
        <w:t xml:space="preserve">, </w:t>
      </w:r>
      <w:r w:rsidR="00AB5867">
        <w:rPr>
          <w:rFonts w:eastAsia="Helvetica Neue" w:cs="Arial"/>
          <w:sz w:val="22"/>
          <w:szCs w:val="22"/>
        </w:rPr>
        <w:t xml:space="preserve">by </w:t>
      </w:r>
      <w:r w:rsidR="00EB2B4B">
        <w:rPr>
          <w:rFonts w:eastAsia="Helvetica Neue" w:cs="Arial"/>
          <w:sz w:val="22"/>
          <w:szCs w:val="22"/>
        </w:rPr>
        <w:t>specifying different rules that apply</w:t>
      </w:r>
      <w:r w:rsidRPr="0096333A">
        <w:rPr>
          <w:rFonts w:eastAsia="Helvetica Neue" w:cs="Arial"/>
          <w:sz w:val="22"/>
          <w:szCs w:val="22"/>
        </w:rPr>
        <w:t xml:space="preserve"> to attribute GST payable</w:t>
      </w:r>
      <w:r>
        <w:rPr>
          <w:rFonts w:eastAsia="Helvetica Neue" w:cs="Arial"/>
          <w:sz w:val="22"/>
          <w:szCs w:val="22"/>
        </w:rPr>
        <w:t xml:space="preserve"> on an intended taxable supply of</w:t>
      </w:r>
      <w:r w:rsidRPr="0096333A">
        <w:rPr>
          <w:rFonts w:eastAsia="Helvetica Neue" w:cs="Arial"/>
          <w:sz w:val="22"/>
          <w:szCs w:val="22"/>
        </w:rPr>
        <w:t xml:space="preserve"> </w:t>
      </w:r>
      <w:r>
        <w:rPr>
          <w:rFonts w:eastAsia="Helvetica Neue" w:cs="Arial"/>
          <w:sz w:val="22"/>
          <w:szCs w:val="22"/>
        </w:rPr>
        <w:t>a motor vehicle</w:t>
      </w:r>
      <w:r w:rsidR="00F97E3E">
        <w:rPr>
          <w:rFonts w:eastAsia="Helvetica Neue" w:cs="Arial"/>
          <w:sz w:val="22"/>
          <w:szCs w:val="22"/>
        </w:rPr>
        <w:t xml:space="preserve"> by a dealer</w:t>
      </w:r>
      <w:r>
        <w:rPr>
          <w:rFonts w:eastAsia="Helvetica Neue" w:cs="Arial"/>
          <w:sz w:val="22"/>
          <w:szCs w:val="22"/>
        </w:rPr>
        <w:t>.</w:t>
      </w:r>
    </w:p>
    <w:p w:rsidR="00130450" w:rsidRPr="0013312D" w:rsidRDefault="0096333A" w:rsidP="0013312D">
      <w:pPr>
        <w:numPr>
          <w:ilvl w:val="0"/>
          <w:numId w:val="1"/>
        </w:numPr>
        <w:tabs>
          <w:tab w:val="clear" w:pos="4380"/>
        </w:tabs>
        <w:spacing w:after="120"/>
        <w:ind w:left="0" w:firstLine="0"/>
        <w:rPr>
          <w:rFonts w:cs="Arial"/>
          <w:iCs/>
          <w:sz w:val="22"/>
          <w:szCs w:val="22"/>
        </w:rPr>
      </w:pPr>
      <w:r w:rsidRPr="00130450">
        <w:rPr>
          <w:rFonts w:eastAsia="Helvetica Neue" w:cs="Arial"/>
          <w:sz w:val="22"/>
          <w:szCs w:val="22"/>
        </w:rPr>
        <w:t xml:space="preserve">Broadly, it applies in circumstances where a dealer receives a </w:t>
      </w:r>
      <w:r w:rsidR="00557553" w:rsidRPr="00130450">
        <w:rPr>
          <w:rFonts w:eastAsia="Helvetica Neue" w:cs="Arial"/>
          <w:sz w:val="22"/>
          <w:szCs w:val="22"/>
        </w:rPr>
        <w:t xml:space="preserve"> </w:t>
      </w:r>
      <w:r w:rsidR="00557553" w:rsidRPr="00130450">
        <w:rPr>
          <w:rFonts w:eastAsia="Helvetica Neue" w:cs="Arial"/>
          <w:b/>
          <w:i/>
          <w:sz w:val="22"/>
          <w:szCs w:val="22"/>
        </w:rPr>
        <w:t>t</w:t>
      </w:r>
      <w:r w:rsidR="008F5C53" w:rsidRPr="00130450">
        <w:rPr>
          <w:rFonts w:eastAsia="Helvetica Neue" w:cs="Arial"/>
          <w:b/>
          <w:i/>
          <w:sz w:val="22"/>
          <w:szCs w:val="22"/>
        </w:rPr>
        <w:t xml:space="preserve">hird party </w:t>
      </w:r>
      <w:r w:rsidRPr="00130450">
        <w:rPr>
          <w:rFonts w:eastAsia="Helvetica Neue" w:cs="Arial"/>
          <w:b/>
          <w:i/>
          <w:sz w:val="22"/>
          <w:szCs w:val="22"/>
        </w:rPr>
        <w:t>motor vehicle incentive payment</w:t>
      </w:r>
      <w:r w:rsidR="00930E11" w:rsidRPr="00130450">
        <w:rPr>
          <w:rFonts w:eastAsia="Helvetica Neue" w:cs="Arial"/>
          <w:sz w:val="22"/>
          <w:szCs w:val="22"/>
        </w:rPr>
        <w:t xml:space="preserve"> (</w:t>
      </w:r>
      <w:r w:rsidR="00AD24DB" w:rsidRPr="00130450">
        <w:rPr>
          <w:rFonts w:eastAsia="Helvetica Neue" w:cs="Arial"/>
          <w:iCs/>
          <w:sz w:val="22"/>
          <w:szCs w:val="22"/>
        </w:rPr>
        <w:t xml:space="preserve">or issues an invoice for a </w:t>
      </w:r>
      <w:r w:rsidR="00557553" w:rsidRPr="00863E8A">
        <w:rPr>
          <w:rFonts w:eastAsia="Helvetica Neue" w:cs="Arial"/>
          <w:b/>
          <w:i/>
          <w:iCs/>
          <w:sz w:val="22"/>
          <w:szCs w:val="22"/>
        </w:rPr>
        <w:t xml:space="preserve">third party </w:t>
      </w:r>
      <w:r w:rsidR="00AD24DB" w:rsidRPr="00863E8A">
        <w:rPr>
          <w:rFonts w:eastAsia="Helvetica Neue" w:cs="Arial"/>
          <w:b/>
          <w:i/>
          <w:iCs/>
          <w:sz w:val="22"/>
          <w:szCs w:val="22"/>
        </w:rPr>
        <w:t xml:space="preserve">motor vehicle incentive payment </w:t>
      </w:r>
      <w:r w:rsidR="00AD24DB" w:rsidRPr="00130450">
        <w:rPr>
          <w:rFonts w:eastAsia="Helvetica Neue" w:cs="Arial"/>
          <w:iCs/>
          <w:sz w:val="22"/>
          <w:szCs w:val="22"/>
        </w:rPr>
        <w:t>before receiving the payment</w:t>
      </w:r>
      <w:r w:rsidR="00930E11" w:rsidRPr="00130450">
        <w:rPr>
          <w:rFonts w:eastAsia="Helvetica Neue" w:cs="Arial"/>
          <w:iCs/>
          <w:sz w:val="22"/>
          <w:szCs w:val="22"/>
        </w:rPr>
        <w:t>)</w:t>
      </w:r>
      <w:r w:rsidRPr="00130450">
        <w:rPr>
          <w:rFonts w:eastAsia="Helvetica Neue" w:cs="Arial"/>
          <w:sz w:val="22"/>
          <w:szCs w:val="22"/>
        </w:rPr>
        <w:t xml:space="preserve"> before it has sold the motor vehicle to a customer and therefore before use, enjoyment and passing of title occurs</w:t>
      </w:r>
      <w:r w:rsidR="00557553" w:rsidRPr="00130450">
        <w:rPr>
          <w:rFonts w:eastAsia="Helvetica Neue" w:cs="Arial"/>
          <w:sz w:val="22"/>
          <w:szCs w:val="22"/>
        </w:rPr>
        <w:t xml:space="preserve"> (clause 3)</w:t>
      </w:r>
      <w:r w:rsidR="00656623" w:rsidRPr="00130450">
        <w:rPr>
          <w:rFonts w:eastAsia="Helvetica Neue" w:cs="Arial"/>
          <w:sz w:val="22"/>
          <w:szCs w:val="22"/>
        </w:rPr>
        <w:t xml:space="preserve">. </w:t>
      </w:r>
      <w:r w:rsidR="00AB5867">
        <w:rPr>
          <w:rFonts w:eastAsia="Helvetica Neue" w:cs="Arial"/>
          <w:sz w:val="22"/>
          <w:szCs w:val="22"/>
        </w:rPr>
        <w:t>In these circumstances</w:t>
      </w:r>
      <w:r w:rsidR="008A3B12" w:rsidRPr="00130450">
        <w:rPr>
          <w:rFonts w:eastAsia="Helvetica Neue" w:cs="Arial"/>
          <w:sz w:val="22"/>
          <w:szCs w:val="22"/>
        </w:rPr>
        <w:t>,</w:t>
      </w:r>
      <w:r w:rsidR="00656623" w:rsidRPr="00130450">
        <w:rPr>
          <w:rFonts w:eastAsia="Helvetica Neue" w:cs="Arial"/>
          <w:sz w:val="22"/>
          <w:szCs w:val="22"/>
        </w:rPr>
        <w:t xml:space="preserve"> </w:t>
      </w:r>
      <w:r w:rsidRPr="00130450">
        <w:rPr>
          <w:rFonts w:eastAsia="Helvetica Neue" w:cs="Arial"/>
          <w:sz w:val="22"/>
          <w:szCs w:val="22"/>
        </w:rPr>
        <w:t xml:space="preserve">the dealer </w:t>
      </w:r>
      <w:r w:rsidR="00656623" w:rsidRPr="00130450">
        <w:rPr>
          <w:rFonts w:eastAsia="Helvetica Neue" w:cs="Arial"/>
          <w:sz w:val="22"/>
          <w:szCs w:val="22"/>
        </w:rPr>
        <w:t xml:space="preserve">will not </w:t>
      </w:r>
      <w:r w:rsidRPr="00130450">
        <w:rPr>
          <w:rFonts w:eastAsia="Helvetica Neue" w:cs="Arial"/>
          <w:sz w:val="22"/>
          <w:szCs w:val="22"/>
        </w:rPr>
        <w:t>know the total consideration for the sale of the motor vehicle</w:t>
      </w:r>
      <w:r w:rsidR="00656623" w:rsidRPr="00130450">
        <w:rPr>
          <w:rFonts w:eastAsia="Helvetica Neue" w:cs="Arial"/>
          <w:sz w:val="22"/>
          <w:szCs w:val="22"/>
        </w:rPr>
        <w:t xml:space="preserve"> at the time the </w:t>
      </w:r>
      <w:r w:rsidR="00863E8A" w:rsidRPr="00863E8A">
        <w:rPr>
          <w:rFonts w:eastAsia="Helvetica Neue" w:cs="Arial"/>
          <w:b/>
          <w:i/>
          <w:sz w:val="22"/>
          <w:szCs w:val="22"/>
        </w:rPr>
        <w:t xml:space="preserve">third party </w:t>
      </w:r>
      <w:r w:rsidR="00656623" w:rsidRPr="00863E8A">
        <w:rPr>
          <w:rFonts w:eastAsia="Helvetica Neue" w:cs="Arial"/>
          <w:b/>
          <w:i/>
          <w:sz w:val="22"/>
          <w:szCs w:val="22"/>
        </w:rPr>
        <w:t>motor vehicle incentive payment</w:t>
      </w:r>
      <w:r w:rsidR="00656623" w:rsidRPr="00130450">
        <w:rPr>
          <w:rFonts w:eastAsia="Helvetica Neue" w:cs="Arial"/>
          <w:sz w:val="22"/>
          <w:szCs w:val="22"/>
        </w:rPr>
        <w:t xml:space="preserve"> is received</w:t>
      </w:r>
      <w:r w:rsidR="00AD24DB" w:rsidRPr="00130450">
        <w:rPr>
          <w:rFonts w:eastAsia="Helvetica Neue" w:cs="Arial"/>
          <w:sz w:val="22"/>
          <w:szCs w:val="22"/>
        </w:rPr>
        <w:t xml:space="preserve"> or the invoice is issued</w:t>
      </w:r>
      <w:r w:rsidRPr="00130450">
        <w:rPr>
          <w:rFonts w:eastAsia="Helvetica Neue" w:cs="Arial"/>
          <w:sz w:val="22"/>
          <w:szCs w:val="22"/>
        </w:rPr>
        <w:t>.</w:t>
      </w:r>
      <w:r w:rsidR="00130450" w:rsidRPr="00130450">
        <w:rPr>
          <w:rFonts w:eastAsia="Helvetica Neue" w:cs="Arial"/>
          <w:sz w:val="22"/>
          <w:szCs w:val="22"/>
        </w:rPr>
        <w:t xml:space="preserve"> </w:t>
      </w:r>
    </w:p>
    <w:p w:rsidR="007F2367" w:rsidRPr="00130450" w:rsidRDefault="00AB5867" w:rsidP="0013312D">
      <w:pPr>
        <w:numPr>
          <w:ilvl w:val="0"/>
          <w:numId w:val="1"/>
        </w:numPr>
        <w:tabs>
          <w:tab w:val="clear" w:pos="4380"/>
        </w:tabs>
        <w:spacing w:after="120"/>
        <w:ind w:left="0" w:firstLine="0"/>
        <w:rPr>
          <w:rFonts w:cs="Arial"/>
          <w:iCs/>
          <w:sz w:val="22"/>
          <w:szCs w:val="22"/>
        </w:rPr>
      </w:pPr>
      <w:r>
        <w:rPr>
          <w:rFonts w:eastAsia="Helvetica Neue" w:cs="Arial"/>
          <w:sz w:val="22"/>
          <w:szCs w:val="22"/>
        </w:rPr>
        <w:t xml:space="preserve">A </w:t>
      </w:r>
      <w:r>
        <w:rPr>
          <w:rFonts w:eastAsia="Helvetica Neue" w:cs="Arial"/>
          <w:b/>
          <w:i/>
          <w:sz w:val="22"/>
          <w:szCs w:val="22"/>
        </w:rPr>
        <w:t>t</w:t>
      </w:r>
      <w:r w:rsidR="00130450" w:rsidRPr="00130450">
        <w:rPr>
          <w:rFonts w:eastAsia="Helvetica Neue" w:cs="Arial"/>
          <w:b/>
          <w:i/>
          <w:sz w:val="22"/>
          <w:szCs w:val="22"/>
        </w:rPr>
        <w:t>hird party motor vehicle incentive payment</w:t>
      </w:r>
      <w:r w:rsidR="00130450" w:rsidRPr="00130450">
        <w:rPr>
          <w:rFonts w:eastAsia="Helvetica Neue" w:cs="Arial"/>
          <w:sz w:val="22"/>
          <w:szCs w:val="22"/>
        </w:rPr>
        <w:t xml:space="preserve"> is consideration provided by a motor vehicle manufacturer, distributor or importer to the dealer that is part of the consideration for the supply of the motor vehicle to the </w:t>
      </w:r>
      <w:r w:rsidR="0013312D">
        <w:rPr>
          <w:rFonts w:eastAsia="Helvetica Neue" w:cs="Arial"/>
          <w:sz w:val="22"/>
          <w:szCs w:val="22"/>
        </w:rPr>
        <w:t>customer</w:t>
      </w:r>
      <w:r w:rsidR="00130450" w:rsidRPr="00130450">
        <w:rPr>
          <w:rFonts w:eastAsia="Helvetica Neue" w:cs="Arial"/>
          <w:sz w:val="22"/>
          <w:szCs w:val="22"/>
        </w:rPr>
        <w:t xml:space="preserve"> (see the definition in clause 5).  </w:t>
      </w:r>
    </w:p>
    <w:p w:rsidR="007F2367" w:rsidRDefault="007F2367" w:rsidP="007F2367">
      <w:pPr>
        <w:spacing w:after="120"/>
        <w:rPr>
          <w:rFonts w:cs="Arial"/>
          <w:sz w:val="22"/>
          <w:szCs w:val="22"/>
        </w:rPr>
      </w:pPr>
    </w:p>
    <w:p w:rsidR="007F2367" w:rsidRDefault="007F2367" w:rsidP="007F2367">
      <w:pPr>
        <w:pStyle w:val="Heading2"/>
        <w:rPr>
          <w:rFonts w:cs="Arial"/>
          <w:szCs w:val="22"/>
        </w:rPr>
      </w:pPr>
      <w:r>
        <w:rPr>
          <w:rFonts w:cs="Arial"/>
          <w:szCs w:val="22"/>
        </w:rPr>
        <w:t>What is the effect of this instrument?</w:t>
      </w:r>
    </w:p>
    <w:p w:rsidR="00D11713" w:rsidRPr="005E74E7" w:rsidRDefault="00557553" w:rsidP="00D11713">
      <w:pPr>
        <w:numPr>
          <w:ilvl w:val="0"/>
          <w:numId w:val="1"/>
        </w:numPr>
        <w:tabs>
          <w:tab w:val="clear" w:pos="4380"/>
        </w:tabs>
        <w:spacing w:after="120"/>
        <w:ind w:left="0" w:firstLine="0"/>
        <w:rPr>
          <w:rFonts w:cs="Arial"/>
          <w:sz w:val="22"/>
          <w:szCs w:val="22"/>
        </w:rPr>
      </w:pPr>
      <w:r>
        <w:rPr>
          <w:rFonts w:cs="Arial"/>
          <w:sz w:val="22"/>
          <w:szCs w:val="22"/>
        </w:rPr>
        <w:t>This i</w:t>
      </w:r>
      <w:r w:rsidR="003967F5" w:rsidRPr="005E74E7">
        <w:rPr>
          <w:rFonts w:cs="Arial"/>
          <w:sz w:val="22"/>
          <w:szCs w:val="22"/>
        </w:rPr>
        <w:t xml:space="preserve">nstrument </w:t>
      </w:r>
      <w:r w:rsidR="00BC6FD5" w:rsidRPr="005E74E7">
        <w:rPr>
          <w:rFonts w:cs="Arial"/>
          <w:iCs/>
          <w:sz w:val="22"/>
          <w:szCs w:val="22"/>
        </w:rPr>
        <w:t xml:space="preserve">defers the </w:t>
      </w:r>
      <w:r w:rsidR="00BC6FD5" w:rsidRPr="00557553">
        <w:rPr>
          <w:rFonts w:cs="Arial"/>
          <w:iCs/>
          <w:sz w:val="22"/>
          <w:szCs w:val="22"/>
        </w:rPr>
        <w:t>attribution</w:t>
      </w:r>
      <w:r w:rsidR="003E4040" w:rsidRPr="0013312D">
        <w:rPr>
          <w:rFonts w:cs="Arial"/>
          <w:iCs/>
          <w:sz w:val="22"/>
          <w:szCs w:val="22"/>
        </w:rPr>
        <w:t xml:space="preserve"> of GST payable</w:t>
      </w:r>
      <w:r w:rsidR="00BC6FD5" w:rsidRPr="00557553">
        <w:rPr>
          <w:rFonts w:cs="Arial"/>
          <w:iCs/>
          <w:sz w:val="22"/>
          <w:szCs w:val="22"/>
        </w:rPr>
        <w:t xml:space="preserve"> until</w:t>
      </w:r>
      <w:r w:rsidR="00BC6FD5" w:rsidRPr="005E74E7">
        <w:rPr>
          <w:rFonts w:cs="Arial"/>
          <w:iCs/>
          <w:sz w:val="22"/>
          <w:szCs w:val="22"/>
        </w:rPr>
        <w:t xml:space="preserve"> the tax period in which</w:t>
      </w:r>
      <w:r w:rsidR="00BC6FD5" w:rsidRPr="005E74E7">
        <w:rPr>
          <w:rFonts w:cs="Arial"/>
          <w:sz w:val="22"/>
          <w:szCs w:val="22"/>
        </w:rPr>
        <w:t xml:space="preserve"> </w:t>
      </w:r>
      <w:r w:rsidR="00BC6FD5" w:rsidRPr="005E74E7">
        <w:rPr>
          <w:rFonts w:cs="Arial"/>
          <w:iCs/>
          <w:sz w:val="22"/>
          <w:szCs w:val="22"/>
        </w:rPr>
        <w:t>the total consideration for the supply of the motor vehicle is known</w:t>
      </w:r>
      <w:r>
        <w:rPr>
          <w:rFonts w:cs="Arial"/>
          <w:iCs/>
          <w:sz w:val="22"/>
          <w:szCs w:val="22"/>
        </w:rPr>
        <w:t xml:space="preserve">, where the circumstances in clause </w:t>
      </w:r>
      <w:r w:rsidR="00EB2B4B">
        <w:rPr>
          <w:rFonts w:cs="Arial"/>
          <w:iCs/>
          <w:sz w:val="22"/>
          <w:szCs w:val="22"/>
        </w:rPr>
        <w:t>2</w:t>
      </w:r>
      <w:r>
        <w:rPr>
          <w:rFonts w:cs="Arial"/>
          <w:iCs/>
          <w:sz w:val="22"/>
          <w:szCs w:val="22"/>
        </w:rPr>
        <w:t xml:space="preserve"> apply.</w:t>
      </w:r>
    </w:p>
    <w:p w:rsidR="00D11713" w:rsidRPr="00130450" w:rsidRDefault="00D11713" w:rsidP="00D11713">
      <w:pPr>
        <w:numPr>
          <w:ilvl w:val="0"/>
          <w:numId w:val="1"/>
        </w:numPr>
        <w:tabs>
          <w:tab w:val="clear" w:pos="4380"/>
        </w:tabs>
        <w:spacing w:after="120"/>
        <w:ind w:left="0" w:firstLine="0"/>
        <w:rPr>
          <w:rFonts w:cs="Arial"/>
          <w:sz w:val="22"/>
          <w:szCs w:val="22"/>
        </w:rPr>
      </w:pPr>
      <w:r>
        <w:rPr>
          <w:rFonts w:cs="Arial"/>
          <w:iCs/>
          <w:sz w:val="22"/>
          <w:szCs w:val="22"/>
        </w:rPr>
        <w:t xml:space="preserve">This instrument has </w:t>
      </w:r>
      <w:r w:rsidRPr="00CF1E9F">
        <w:rPr>
          <w:rFonts w:cs="Arial"/>
          <w:iCs/>
          <w:sz w:val="22"/>
          <w:szCs w:val="22"/>
        </w:rPr>
        <w:t>no effect</w:t>
      </w:r>
      <w:r>
        <w:rPr>
          <w:rFonts w:cs="Arial"/>
          <w:iCs/>
          <w:sz w:val="22"/>
          <w:szCs w:val="22"/>
        </w:rPr>
        <w:t xml:space="preserve"> where a dealer receives </w:t>
      </w:r>
      <w:r w:rsidR="00AF159B">
        <w:rPr>
          <w:rFonts w:cs="Arial"/>
          <w:iCs/>
          <w:sz w:val="22"/>
          <w:szCs w:val="22"/>
        </w:rPr>
        <w:t xml:space="preserve">or issues the invoice for </w:t>
      </w:r>
      <w:r>
        <w:rPr>
          <w:rFonts w:cs="Arial"/>
          <w:iCs/>
          <w:sz w:val="22"/>
          <w:szCs w:val="22"/>
        </w:rPr>
        <w:t xml:space="preserve">a motor </w:t>
      </w:r>
      <w:r w:rsidRPr="00130450">
        <w:rPr>
          <w:rFonts w:cs="Arial"/>
          <w:iCs/>
          <w:sz w:val="22"/>
          <w:szCs w:val="22"/>
        </w:rPr>
        <w:t xml:space="preserve">vehicle incentive payment </w:t>
      </w:r>
      <w:r w:rsidRPr="00CF1E9F">
        <w:rPr>
          <w:rFonts w:cs="Arial"/>
          <w:b/>
          <w:iCs/>
          <w:sz w:val="22"/>
          <w:szCs w:val="22"/>
        </w:rPr>
        <w:t>after</w:t>
      </w:r>
      <w:r w:rsidRPr="00130450">
        <w:rPr>
          <w:rFonts w:cs="Arial"/>
          <w:iCs/>
          <w:sz w:val="22"/>
          <w:szCs w:val="22"/>
        </w:rPr>
        <w:t xml:space="preserve"> making a supply of a motor vehicle to a customer.</w:t>
      </w:r>
    </w:p>
    <w:p w:rsidR="00273349" w:rsidRPr="00130450" w:rsidRDefault="00273349" w:rsidP="00D11713">
      <w:pPr>
        <w:numPr>
          <w:ilvl w:val="0"/>
          <w:numId w:val="1"/>
        </w:numPr>
        <w:tabs>
          <w:tab w:val="clear" w:pos="4380"/>
        </w:tabs>
        <w:spacing w:after="120"/>
        <w:ind w:left="0" w:firstLine="0"/>
        <w:rPr>
          <w:rFonts w:cs="Arial"/>
          <w:sz w:val="22"/>
          <w:szCs w:val="22"/>
        </w:rPr>
      </w:pPr>
      <w:r w:rsidRPr="00130450">
        <w:rPr>
          <w:rFonts w:cs="Arial"/>
          <w:iCs/>
          <w:sz w:val="22"/>
          <w:szCs w:val="22"/>
        </w:rPr>
        <w:t xml:space="preserve">This instrument </w:t>
      </w:r>
      <w:r w:rsidR="00CF1E9F">
        <w:rPr>
          <w:rFonts w:cs="Arial"/>
          <w:iCs/>
          <w:sz w:val="22"/>
          <w:szCs w:val="22"/>
        </w:rPr>
        <w:t xml:space="preserve">also </w:t>
      </w:r>
      <w:r w:rsidRPr="00130450">
        <w:rPr>
          <w:rFonts w:cs="Arial"/>
          <w:iCs/>
          <w:sz w:val="22"/>
          <w:szCs w:val="22"/>
        </w:rPr>
        <w:t xml:space="preserve">has </w:t>
      </w:r>
      <w:r w:rsidRPr="00CF1E9F">
        <w:rPr>
          <w:rFonts w:cs="Arial"/>
          <w:iCs/>
          <w:sz w:val="22"/>
          <w:szCs w:val="22"/>
        </w:rPr>
        <w:t>no effect</w:t>
      </w:r>
      <w:r w:rsidRPr="00130450">
        <w:rPr>
          <w:rFonts w:cs="Arial"/>
          <w:iCs/>
          <w:sz w:val="22"/>
          <w:szCs w:val="22"/>
        </w:rPr>
        <w:t xml:space="preserve"> where the motor vehicle incentive payment is </w:t>
      </w:r>
      <w:r w:rsidRPr="00130450">
        <w:rPr>
          <w:rFonts w:cs="Arial"/>
          <w:b/>
          <w:iCs/>
          <w:sz w:val="22"/>
          <w:szCs w:val="22"/>
        </w:rPr>
        <w:t xml:space="preserve">not </w:t>
      </w:r>
      <w:r w:rsidRPr="00130450">
        <w:rPr>
          <w:rFonts w:cs="Arial"/>
          <w:iCs/>
          <w:sz w:val="22"/>
          <w:szCs w:val="22"/>
        </w:rPr>
        <w:t>third party consideration for the supply of the motor vehicle</w:t>
      </w:r>
      <w:r w:rsidR="00557553" w:rsidRPr="00130450">
        <w:rPr>
          <w:rFonts w:cs="Arial"/>
          <w:iCs/>
          <w:sz w:val="22"/>
          <w:szCs w:val="22"/>
        </w:rPr>
        <w:t>,</w:t>
      </w:r>
      <w:r w:rsidRPr="00130450">
        <w:rPr>
          <w:rFonts w:cs="Arial"/>
          <w:iCs/>
          <w:sz w:val="22"/>
          <w:szCs w:val="22"/>
        </w:rPr>
        <w:t xml:space="preserve"> by the dealer</w:t>
      </w:r>
      <w:r w:rsidR="005E74E7" w:rsidRPr="00130450">
        <w:rPr>
          <w:rFonts w:cs="Arial"/>
          <w:iCs/>
          <w:sz w:val="22"/>
          <w:szCs w:val="22"/>
        </w:rPr>
        <w:t>,</w:t>
      </w:r>
      <w:r w:rsidR="00930E11" w:rsidRPr="00130450">
        <w:rPr>
          <w:rFonts w:cs="Arial"/>
          <w:iCs/>
          <w:sz w:val="22"/>
          <w:szCs w:val="22"/>
        </w:rPr>
        <w:t xml:space="preserve"> to the customer</w:t>
      </w:r>
      <w:r w:rsidRPr="00130450">
        <w:rPr>
          <w:rFonts w:cs="Arial"/>
          <w:iCs/>
          <w:sz w:val="22"/>
          <w:szCs w:val="22"/>
        </w:rPr>
        <w:t>.</w:t>
      </w:r>
      <w:r w:rsidR="005E74E7" w:rsidRPr="00130450">
        <w:rPr>
          <w:rFonts w:cs="Arial"/>
          <w:iCs/>
          <w:sz w:val="22"/>
          <w:szCs w:val="22"/>
        </w:rPr>
        <w:t xml:space="preserve"> </w:t>
      </w:r>
      <w:r w:rsidR="00EB2B4B" w:rsidRPr="00130450">
        <w:rPr>
          <w:rFonts w:cs="Arial"/>
          <w:iCs/>
          <w:sz w:val="22"/>
          <w:szCs w:val="22"/>
        </w:rPr>
        <w:t>That is</w:t>
      </w:r>
      <w:r w:rsidR="00CE5457">
        <w:rPr>
          <w:rFonts w:cs="Arial"/>
          <w:iCs/>
          <w:sz w:val="22"/>
          <w:szCs w:val="22"/>
        </w:rPr>
        <w:t>,</w:t>
      </w:r>
      <w:r w:rsidR="00EB2B4B" w:rsidRPr="00130450">
        <w:rPr>
          <w:rFonts w:cs="Arial"/>
          <w:iCs/>
          <w:sz w:val="22"/>
          <w:szCs w:val="22"/>
        </w:rPr>
        <w:t xml:space="preserve"> the </w:t>
      </w:r>
      <w:r w:rsidR="00130450" w:rsidRPr="0013312D">
        <w:rPr>
          <w:rFonts w:cs="Arial"/>
          <w:iCs/>
          <w:sz w:val="22"/>
          <w:szCs w:val="22"/>
        </w:rPr>
        <w:t xml:space="preserve">payment is not part of the consideration provided by the </w:t>
      </w:r>
      <w:r w:rsidR="00130450" w:rsidRPr="00130450">
        <w:rPr>
          <w:rFonts w:eastAsia="Helvetica Neue" w:cs="Arial"/>
          <w:sz w:val="22"/>
          <w:szCs w:val="22"/>
        </w:rPr>
        <w:t>manufacturer, distributor or importer for the sale of the motor vehicle, by the dealer, to the customer.</w:t>
      </w:r>
    </w:p>
    <w:p w:rsidR="007F2367" w:rsidRDefault="00AB1EB5" w:rsidP="00AB1EB5">
      <w:pPr>
        <w:numPr>
          <w:ilvl w:val="0"/>
          <w:numId w:val="1"/>
        </w:numPr>
        <w:tabs>
          <w:tab w:val="clear" w:pos="4380"/>
        </w:tabs>
        <w:spacing w:after="120"/>
        <w:ind w:left="0" w:firstLine="0"/>
        <w:rPr>
          <w:rFonts w:cs="Arial"/>
          <w:sz w:val="22"/>
          <w:szCs w:val="22"/>
        </w:rPr>
      </w:pPr>
      <w:r w:rsidRPr="00AB1EB5">
        <w:rPr>
          <w:rFonts w:cs="Arial"/>
          <w:sz w:val="22"/>
          <w:szCs w:val="22"/>
        </w:rPr>
        <w:t>Compliance Cost Impact: Minor – There will be minimal implementation impacts and no ongoing compliance cost impacts. The legislative instrument is minor or machinery in nature.</w:t>
      </w:r>
    </w:p>
    <w:p w:rsidR="00AB1EB5" w:rsidRPr="00AB1EB5" w:rsidRDefault="00AB1EB5" w:rsidP="00AB1EB5">
      <w:pPr>
        <w:spacing w:after="120"/>
        <w:rPr>
          <w:rFonts w:cs="Arial"/>
          <w:sz w:val="22"/>
          <w:szCs w:val="22"/>
        </w:rPr>
      </w:pPr>
    </w:p>
    <w:p w:rsidR="007F2367" w:rsidRPr="00DD251F" w:rsidRDefault="007F2367" w:rsidP="007F2367">
      <w:pPr>
        <w:pStyle w:val="Heading2"/>
        <w:rPr>
          <w:rFonts w:cs="Arial"/>
          <w:szCs w:val="22"/>
        </w:rPr>
      </w:pPr>
      <w:r>
        <w:rPr>
          <w:rFonts w:cs="Arial"/>
          <w:szCs w:val="22"/>
        </w:rPr>
        <w:lastRenderedPageBreak/>
        <w:t>Background</w:t>
      </w:r>
    </w:p>
    <w:p w:rsidR="003E4040" w:rsidRDefault="007F2367" w:rsidP="007F2367">
      <w:pPr>
        <w:numPr>
          <w:ilvl w:val="0"/>
          <w:numId w:val="1"/>
        </w:numPr>
        <w:tabs>
          <w:tab w:val="clear" w:pos="4380"/>
        </w:tabs>
        <w:spacing w:after="120"/>
        <w:ind w:left="0" w:firstLine="0"/>
        <w:rPr>
          <w:rFonts w:cs="Arial"/>
          <w:sz w:val="22"/>
          <w:szCs w:val="22"/>
        </w:rPr>
      </w:pPr>
      <w:r>
        <w:rPr>
          <w:rFonts w:cs="Arial"/>
          <w:sz w:val="22"/>
          <w:szCs w:val="22"/>
        </w:rPr>
        <w:t xml:space="preserve">Generally, </w:t>
      </w:r>
      <w:r w:rsidR="00BC6FD5">
        <w:rPr>
          <w:rFonts w:cs="Arial"/>
          <w:sz w:val="22"/>
          <w:szCs w:val="22"/>
        </w:rPr>
        <w:t>GST payable on a taxable supply</w:t>
      </w:r>
      <w:r w:rsidR="00F04926">
        <w:rPr>
          <w:rFonts w:cs="Arial"/>
          <w:sz w:val="22"/>
          <w:szCs w:val="22"/>
        </w:rPr>
        <w:t xml:space="preserve"> of a motor vehicle by a dealer</w:t>
      </w:r>
      <w:r w:rsidR="00BC6FD5">
        <w:rPr>
          <w:rFonts w:cs="Arial"/>
          <w:sz w:val="22"/>
          <w:szCs w:val="22"/>
        </w:rPr>
        <w:t xml:space="preserve"> is attributable to the tax period in which any of the consideration is received.</w:t>
      </w:r>
      <w:r w:rsidR="00BC6FD5">
        <w:rPr>
          <w:rStyle w:val="FootnoteReference"/>
          <w:sz w:val="22"/>
          <w:szCs w:val="22"/>
        </w:rPr>
        <w:footnoteReference w:id="3"/>
      </w:r>
      <w:r w:rsidR="000F3695">
        <w:rPr>
          <w:rFonts w:cs="Arial"/>
          <w:sz w:val="22"/>
          <w:szCs w:val="22"/>
        </w:rPr>
        <w:t xml:space="preserve"> </w:t>
      </w:r>
      <w:r w:rsidR="00AF159B">
        <w:rPr>
          <w:rFonts w:cs="Arial"/>
          <w:sz w:val="22"/>
          <w:szCs w:val="22"/>
        </w:rPr>
        <w:t>Alternatively, if the dealer issues an invoice before receiving any of the consideration, then the G</w:t>
      </w:r>
      <w:r w:rsidR="00BA7D40">
        <w:rPr>
          <w:rFonts w:cs="Arial"/>
          <w:sz w:val="22"/>
          <w:szCs w:val="22"/>
        </w:rPr>
        <w:t>S</w:t>
      </w:r>
      <w:r w:rsidR="00AF159B">
        <w:rPr>
          <w:rFonts w:cs="Arial"/>
          <w:sz w:val="22"/>
          <w:szCs w:val="22"/>
        </w:rPr>
        <w:t>T payable is attributable to the tax period in which the invoice is issued.</w:t>
      </w:r>
      <w:r w:rsidR="00AF159B">
        <w:rPr>
          <w:rStyle w:val="FootnoteReference"/>
          <w:sz w:val="22"/>
          <w:szCs w:val="22"/>
        </w:rPr>
        <w:footnoteReference w:id="4"/>
      </w:r>
      <w:r w:rsidR="00AF159B">
        <w:rPr>
          <w:rFonts w:cs="Arial"/>
          <w:sz w:val="22"/>
          <w:szCs w:val="22"/>
        </w:rPr>
        <w:t xml:space="preserve"> </w:t>
      </w:r>
    </w:p>
    <w:p w:rsidR="00557553" w:rsidRDefault="00596D71" w:rsidP="007F2367">
      <w:pPr>
        <w:numPr>
          <w:ilvl w:val="0"/>
          <w:numId w:val="1"/>
        </w:numPr>
        <w:tabs>
          <w:tab w:val="clear" w:pos="4380"/>
        </w:tabs>
        <w:spacing w:after="120"/>
        <w:ind w:left="0" w:firstLine="0"/>
        <w:rPr>
          <w:rFonts w:cs="Arial"/>
          <w:sz w:val="22"/>
          <w:szCs w:val="22"/>
        </w:rPr>
      </w:pPr>
      <w:r>
        <w:rPr>
          <w:rFonts w:cs="Arial"/>
          <w:sz w:val="22"/>
          <w:szCs w:val="22"/>
        </w:rPr>
        <w:t xml:space="preserve">There are some circumstances </w:t>
      </w:r>
      <w:r w:rsidR="00AB5867">
        <w:rPr>
          <w:rFonts w:cs="Arial"/>
          <w:sz w:val="22"/>
          <w:szCs w:val="22"/>
        </w:rPr>
        <w:t xml:space="preserve">however </w:t>
      </w:r>
      <w:r>
        <w:rPr>
          <w:rFonts w:cs="Arial"/>
          <w:sz w:val="22"/>
          <w:szCs w:val="22"/>
        </w:rPr>
        <w:t>where</w:t>
      </w:r>
      <w:r w:rsidR="000F3695">
        <w:rPr>
          <w:rFonts w:cs="Arial"/>
          <w:sz w:val="22"/>
          <w:szCs w:val="22"/>
        </w:rPr>
        <w:t xml:space="preserve"> a dealer receives a payment </w:t>
      </w:r>
      <w:r>
        <w:rPr>
          <w:rFonts w:cs="Arial"/>
          <w:sz w:val="22"/>
          <w:szCs w:val="22"/>
        </w:rPr>
        <w:t xml:space="preserve">that is </w:t>
      </w:r>
      <w:r w:rsidR="005E74E7">
        <w:rPr>
          <w:rFonts w:cs="Arial"/>
          <w:sz w:val="22"/>
          <w:szCs w:val="22"/>
        </w:rPr>
        <w:t xml:space="preserve">‘third party’ </w:t>
      </w:r>
      <w:r>
        <w:rPr>
          <w:rFonts w:cs="Arial"/>
          <w:sz w:val="22"/>
          <w:szCs w:val="22"/>
        </w:rPr>
        <w:t>consideration for a taxable supply of a motor vehicle</w:t>
      </w:r>
      <w:r w:rsidR="00AF159B">
        <w:rPr>
          <w:rFonts w:cs="Arial"/>
          <w:sz w:val="22"/>
          <w:szCs w:val="22"/>
        </w:rPr>
        <w:t xml:space="preserve">, </w:t>
      </w:r>
      <w:r w:rsidR="00AF159B" w:rsidRPr="00AF159B">
        <w:rPr>
          <w:rFonts w:cs="Arial"/>
          <w:sz w:val="22"/>
          <w:szCs w:val="22"/>
        </w:rPr>
        <w:t>or</w:t>
      </w:r>
      <w:r w:rsidR="00AF159B" w:rsidRPr="00AF159B">
        <w:rPr>
          <w:rFonts w:cs="Arial"/>
          <w:iCs/>
          <w:sz w:val="22"/>
          <w:szCs w:val="22"/>
        </w:rPr>
        <w:t xml:space="preserve"> issues an invoice for a payment</w:t>
      </w:r>
      <w:r w:rsidR="00B549D2">
        <w:rPr>
          <w:rFonts w:cs="Arial"/>
          <w:iCs/>
          <w:sz w:val="22"/>
          <w:szCs w:val="22"/>
        </w:rPr>
        <w:t xml:space="preserve"> of this type</w:t>
      </w:r>
      <w:r w:rsidR="00AF159B" w:rsidRPr="00AF159B">
        <w:rPr>
          <w:rFonts w:cs="Arial"/>
          <w:iCs/>
          <w:sz w:val="22"/>
          <w:szCs w:val="22"/>
        </w:rPr>
        <w:t xml:space="preserve"> before receiving the payment</w:t>
      </w:r>
      <w:r w:rsidR="00AF159B">
        <w:rPr>
          <w:rFonts w:cs="Arial"/>
          <w:iCs/>
          <w:sz w:val="22"/>
          <w:szCs w:val="22"/>
        </w:rPr>
        <w:t>,</w:t>
      </w:r>
      <w:r>
        <w:rPr>
          <w:rFonts w:cs="Arial"/>
          <w:sz w:val="22"/>
          <w:szCs w:val="22"/>
        </w:rPr>
        <w:t xml:space="preserve"> </w:t>
      </w:r>
      <w:r w:rsidR="0065330D">
        <w:rPr>
          <w:rFonts w:cs="Arial"/>
          <w:sz w:val="22"/>
          <w:szCs w:val="22"/>
        </w:rPr>
        <w:t xml:space="preserve">but </w:t>
      </w:r>
      <w:r w:rsidR="000F3695">
        <w:rPr>
          <w:rFonts w:cs="Arial"/>
          <w:sz w:val="22"/>
          <w:szCs w:val="22"/>
        </w:rPr>
        <w:t>the dealer</w:t>
      </w:r>
      <w:r w:rsidR="0065330D">
        <w:rPr>
          <w:rFonts w:cs="Arial"/>
          <w:sz w:val="22"/>
          <w:szCs w:val="22"/>
        </w:rPr>
        <w:t xml:space="preserve"> </w:t>
      </w:r>
      <w:r w:rsidR="004D0BFD">
        <w:rPr>
          <w:rFonts w:cs="Arial"/>
          <w:sz w:val="22"/>
          <w:szCs w:val="22"/>
        </w:rPr>
        <w:t xml:space="preserve">has not entered into a contract to sell the motor vehicle to a customer. </w:t>
      </w:r>
    </w:p>
    <w:p w:rsidR="007F2367" w:rsidRDefault="004D0BFD" w:rsidP="007F2367">
      <w:pPr>
        <w:numPr>
          <w:ilvl w:val="0"/>
          <w:numId w:val="1"/>
        </w:numPr>
        <w:tabs>
          <w:tab w:val="clear" w:pos="4380"/>
        </w:tabs>
        <w:spacing w:after="120"/>
        <w:ind w:left="0" w:firstLine="0"/>
        <w:rPr>
          <w:rFonts w:cs="Arial"/>
          <w:sz w:val="22"/>
          <w:szCs w:val="22"/>
        </w:rPr>
      </w:pPr>
      <w:r>
        <w:rPr>
          <w:rFonts w:cs="Arial"/>
          <w:sz w:val="22"/>
          <w:szCs w:val="22"/>
        </w:rPr>
        <w:t xml:space="preserve">In </w:t>
      </w:r>
      <w:r w:rsidR="00AB5867">
        <w:rPr>
          <w:rFonts w:cs="Arial"/>
          <w:sz w:val="22"/>
          <w:szCs w:val="22"/>
        </w:rPr>
        <w:t xml:space="preserve">these </w:t>
      </w:r>
      <w:r>
        <w:rPr>
          <w:rFonts w:cs="Arial"/>
          <w:sz w:val="22"/>
          <w:szCs w:val="22"/>
        </w:rPr>
        <w:t xml:space="preserve">cases the dealer </w:t>
      </w:r>
      <w:r w:rsidR="0065330D">
        <w:rPr>
          <w:rFonts w:cs="Arial"/>
          <w:sz w:val="22"/>
          <w:szCs w:val="22"/>
        </w:rPr>
        <w:t>does</w:t>
      </w:r>
      <w:r w:rsidR="000F3695">
        <w:rPr>
          <w:rFonts w:cs="Arial"/>
          <w:sz w:val="22"/>
          <w:szCs w:val="22"/>
        </w:rPr>
        <w:t xml:space="preserve"> not know </w:t>
      </w:r>
      <w:r w:rsidR="00F97E3E">
        <w:rPr>
          <w:rFonts w:cs="Arial"/>
          <w:sz w:val="22"/>
          <w:szCs w:val="22"/>
        </w:rPr>
        <w:t>the</w:t>
      </w:r>
      <w:r w:rsidR="000F3695">
        <w:rPr>
          <w:rFonts w:cs="Arial"/>
          <w:sz w:val="22"/>
          <w:szCs w:val="22"/>
        </w:rPr>
        <w:t xml:space="preserve"> price </w:t>
      </w:r>
      <w:r w:rsidR="00EB2B4B">
        <w:rPr>
          <w:rFonts w:cs="Arial"/>
          <w:sz w:val="22"/>
          <w:szCs w:val="22"/>
        </w:rPr>
        <w:t xml:space="preserve">at which </w:t>
      </w:r>
      <w:r w:rsidR="000F3695">
        <w:rPr>
          <w:rFonts w:cs="Arial"/>
          <w:sz w:val="22"/>
          <w:szCs w:val="22"/>
        </w:rPr>
        <w:t>it</w:t>
      </w:r>
      <w:r w:rsidR="00D11713">
        <w:rPr>
          <w:rFonts w:cs="Arial"/>
          <w:sz w:val="22"/>
          <w:szCs w:val="22"/>
        </w:rPr>
        <w:t xml:space="preserve"> will sell the motor vehicle</w:t>
      </w:r>
      <w:r w:rsidR="00F97E3E">
        <w:rPr>
          <w:rFonts w:cs="Arial"/>
          <w:sz w:val="22"/>
          <w:szCs w:val="22"/>
        </w:rPr>
        <w:t xml:space="preserve"> to the customer</w:t>
      </w:r>
      <w:r w:rsidR="00D11713">
        <w:rPr>
          <w:rFonts w:cs="Arial"/>
          <w:sz w:val="22"/>
          <w:szCs w:val="22"/>
        </w:rPr>
        <w:t>.</w:t>
      </w:r>
      <w:r w:rsidR="000F3695">
        <w:rPr>
          <w:rFonts w:cs="Arial"/>
          <w:sz w:val="22"/>
          <w:szCs w:val="22"/>
        </w:rPr>
        <w:t xml:space="preserve"> </w:t>
      </w:r>
      <w:r>
        <w:rPr>
          <w:rFonts w:cs="Arial"/>
          <w:sz w:val="22"/>
          <w:szCs w:val="22"/>
        </w:rPr>
        <w:t>Also,</w:t>
      </w:r>
      <w:r w:rsidR="000F3695">
        <w:rPr>
          <w:rFonts w:cs="Arial"/>
          <w:sz w:val="22"/>
          <w:szCs w:val="22"/>
        </w:rPr>
        <w:t xml:space="preserve"> the use, enjoyment and passing of title </w:t>
      </w:r>
      <w:r w:rsidR="00D11713">
        <w:rPr>
          <w:rFonts w:cs="Arial"/>
          <w:sz w:val="22"/>
          <w:szCs w:val="22"/>
        </w:rPr>
        <w:t xml:space="preserve">will </w:t>
      </w:r>
      <w:r w:rsidR="000F3695">
        <w:rPr>
          <w:rFonts w:cs="Arial"/>
          <w:sz w:val="22"/>
          <w:szCs w:val="22"/>
        </w:rPr>
        <w:t>occur at an unknown time in the future.</w:t>
      </w:r>
      <w:r w:rsidR="00596D71" w:rsidRPr="00596D71">
        <w:rPr>
          <w:rFonts w:cs="Arial"/>
          <w:sz w:val="22"/>
          <w:szCs w:val="22"/>
        </w:rPr>
        <w:t xml:space="preserve"> </w:t>
      </w:r>
      <w:r w:rsidR="00596D71">
        <w:rPr>
          <w:rFonts w:cs="Arial"/>
          <w:sz w:val="22"/>
          <w:szCs w:val="22"/>
        </w:rPr>
        <w:t>Despite this</w:t>
      </w:r>
      <w:r w:rsidR="0065330D">
        <w:rPr>
          <w:rFonts w:cs="Arial"/>
          <w:sz w:val="22"/>
          <w:szCs w:val="22"/>
        </w:rPr>
        <w:t>,</w:t>
      </w:r>
      <w:r>
        <w:rPr>
          <w:rFonts w:cs="Arial"/>
          <w:sz w:val="22"/>
          <w:szCs w:val="22"/>
        </w:rPr>
        <w:t xml:space="preserve"> under the attribution rule in subsection 29-5(1) of the GST Act</w:t>
      </w:r>
      <w:r w:rsidR="00EB193E">
        <w:rPr>
          <w:rFonts w:cs="Arial"/>
          <w:sz w:val="22"/>
          <w:szCs w:val="22"/>
        </w:rPr>
        <w:t>,</w:t>
      </w:r>
      <w:r w:rsidR="0065330D">
        <w:rPr>
          <w:rFonts w:cs="Arial"/>
          <w:sz w:val="22"/>
          <w:szCs w:val="22"/>
        </w:rPr>
        <w:t xml:space="preserve"> the dealer</w:t>
      </w:r>
      <w:r w:rsidR="00596D71">
        <w:rPr>
          <w:rFonts w:cs="Arial"/>
          <w:sz w:val="22"/>
          <w:szCs w:val="22"/>
        </w:rPr>
        <w:t xml:space="preserve"> </w:t>
      </w:r>
      <w:r w:rsidR="00EB2B4B">
        <w:rPr>
          <w:rFonts w:cs="Arial"/>
          <w:sz w:val="22"/>
          <w:szCs w:val="22"/>
        </w:rPr>
        <w:t xml:space="preserve">would </w:t>
      </w:r>
      <w:r w:rsidR="00596D71">
        <w:rPr>
          <w:rFonts w:cs="Arial"/>
          <w:sz w:val="22"/>
          <w:szCs w:val="22"/>
        </w:rPr>
        <w:t xml:space="preserve">have to attribute the total GST payable on the intended supply of the motor vehicle to the tax period </w:t>
      </w:r>
      <w:r w:rsidR="00F97E3E">
        <w:rPr>
          <w:rFonts w:cs="Arial"/>
          <w:sz w:val="22"/>
          <w:szCs w:val="22"/>
        </w:rPr>
        <w:t xml:space="preserve">in which </w:t>
      </w:r>
      <w:r w:rsidR="00596D71">
        <w:rPr>
          <w:rFonts w:cs="Arial"/>
          <w:sz w:val="22"/>
          <w:szCs w:val="22"/>
        </w:rPr>
        <w:t>that payment is received</w:t>
      </w:r>
      <w:r w:rsidR="00AF159B">
        <w:rPr>
          <w:rFonts w:cs="Arial"/>
          <w:sz w:val="22"/>
          <w:szCs w:val="22"/>
        </w:rPr>
        <w:t xml:space="preserve"> or the invoice is issued</w:t>
      </w:r>
      <w:r w:rsidR="00596D71">
        <w:rPr>
          <w:rFonts w:cs="Arial"/>
          <w:sz w:val="22"/>
          <w:szCs w:val="22"/>
        </w:rPr>
        <w:t>.</w:t>
      </w:r>
    </w:p>
    <w:p w:rsidR="00A644B4" w:rsidRPr="0013312D" w:rsidRDefault="00EB2B4B" w:rsidP="007F2367">
      <w:pPr>
        <w:numPr>
          <w:ilvl w:val="0"/>
          <w:numId w:val="1"/>
        </w:numPr>
        <w:tabs>
          <w:tab w:val="clear" w:pos="4380"/>
        </w:tabs>
        <w:spacing w:after="120"/>
        <w:ind w:left="0" w:firstLine="0"/>
        <w:rPr>
          <w:rFonts w:cs="Arial"/>
          <w:sz w:val="22"/>
          <w:szCs w:val="22"/>
        </w:rPr>
      </w:pPr>
      <w:r>
        <w:rPr>
          <w:rFonts w:cs="Arial"/>
          <w:sz w:val="22"/>
          <w:szCs w:val="22"/>
        </w:rPr>
        <w:t>However</w:t>
      </w:r>
      <w:r w:rsidR="00B549D2">
        <w:rPr>
          <w:rFonts w:cs="Arial"/>
          <w:sz w:val="22"/>
          <w:szCs w:val="22"/>
        </w:rPr>
        <w:t>,</w:t>
      </w:r>
      <w:r>
        <w:rPr>
          <w:rFonts w:cs="Arial"/>
          <w:sz w:val="22"/>
          <w:szCs w:val="22"/>
        </w:rPr>
        <w:t xml:space="preserve"> the practical result would then be that</w:t>
      </w:r>
      <w:r w:rsidR="000F3695">
        <w:rPr>
          <w:rFonts w:cs="Arial"/>
          <w:sz w:val="22"/>
          <w:szCs w:val="22"/>
        </w:rPr>
        <w:t xml:space="preserve"> the dealer </w:t>
      </w:r>
      <w:r>
        <w:rPr>
          <w:rFonts w:cs="Arial"/>
          <w:sz w:val="22"/>
          <w:szCs w:val="22"/>
        </w:rPr>
        <w:t xml:space="preserve">has to account for GST at a time </w:t>
      </w:r>
      <w:r w:rsidR="0013312D">
        <w:rPr>
          <w:rFonts w:cs="Arial"/>
          <w:sz w:val="22"/>
          <w:szCs w:val="22"/>
        </w:rPr>
        <w:t xml:space="preserve">when </w:t>
      </w:r>
      <w:r>
        <w:rPr>
          <w:rFonts w:cs="Arial"/>
          <w:sz w:val="22"/>
          <w:szCs w:val="22"/>
        </w:rPr>
        <w:t xml:space="preserve">they are </w:t>
      </w:r>
      <w:r w:rsidR="000F3695">
        <w:rPr>
          <w:rFonts w:cs="Arial"/>
          <w:sz w:val="22"/>
          <w:szCs w:val="22"/>
        </w:rPr>
        <w:t xml:space="preserve">unable to accurately determine the amount of GST that should be attributed to the tax period. Also, the dealer may not be able to </w:t>
      </w:r>
      <w:r w:rsidR="004D0BFD">
        <w:rPr>
          <w:rFonts w:cs="Arial"/>
          <w:sz w:val="22"/>
          <w:szCs w:val="22"/>
        </w:rPr>
        <w:t>calculate</w:t>
      </w:r>
      <w:r w:rsidR="000F3695">
        <w:rPr>
          <w:rFonts w:cs="Arial"/>
          <w:sz w:val="22"/>
          <w:szCs w:val="22"/>
        </w:rPr>
        <w:t xml:space="preserve"> any amount of luxury car tax that may be payable on the taxable supply.</w:t>
      </w:r>
      <w:r w:rsidR="000F3695">
        <w:rPr>
          <w:rStyle w:val="FootnoteReference"/>
          <w:sz w:val="22"/>
          <w:szCs w:val="22"/>
        </w:rPr>
        <w:footnoteReference w:id="5"/>
      </w:r>
      <w:r w:rsidR="008A3B12" w:rsidRPr="008A3B12">
        <w:rPr>
          <w:rFonts w:cs="Arial"/>
          <w:sz w:val="18"/>
          <w:szCs w:val="18"/>
        </w:rPr>
        <w:t xml:space="preserve"> </w:t>
      </w:r>
    </w:p>
    <w:p w:rsidR="000F3695" w:rsidRDefault="008A3B12" w:rsidP="007F2367">
      <w:pPr>
        <w:numPr>
          <w:ilvl w:val="0"/>
          <w:numId w:val="1"/>
        </w:numPr>
        <w:tabs>
          <w:tab w:val="clear" w:pos="4380"/>
        </w:tabs>
        <w:spacing w:after="120"/>
        <w:ind w:left="0" w:firstLine="0"/>
        <w:rPr>
          <w:rFonts w:cs="Arial"/>
          <w:sz w:val="22"/>
          <w:szCs w:val="22"/>
        </w:rPr>
      </w:pPr>
      <w:r w:rsidRPr="008A3B12">
        <w:rPr>
          <w:rFonts w:cs="Arial"/>
          <w:sz w:val="22"/>
          <w:szCs w:val="22"/>
        </w:rPr>
        <w:t xml:space="preserve">In accordance with subsection 13-15(1) of </w:t>
      </w:r>
      <w:r>
        <w:rPr>
          <w:rFonts w:cs="Arial"/>
          <w:sz w:val="22"/>
          <w:szCs w:val="22"/>
        </w:rPr>
        <w:t xml:space="preserve">the </w:t>
      </w:r>
      <w:r>
        <w:rPr>
          <w:rFonts w:cs="Arial"/>
          <w:i/>
          <w:sz w:val="22"/>
          <w:szCs w:val="22"/>
        </w:rPr>
        <w:t xml:space="preserve">A New Tax System (Luxury Car </w:t>
      </w:r>
      <w:r w:rsidRPr="008A3B12">
        <w:rPr>
          <w:rFonts w:cs="Arial"/>
          <w:i/>
          <w:sz w:val="22"/>
          <w:szCs w:val="22"/>
        </w:rPr>
        <w:t>Tax) Act 1999</w:t>
      </w:r>
      <w:r w:rsidRPr="008A3B12">
        <w:rPr>
          <w:rFonts w:cs="Arial"/>
          <w:sz w:val="22"/>
          <w:szCs w:val="22"/>
        </w:rPr>
        <w:t>, luxury car tax payable is attributable to the same tax period as the GST on the taxable supply.</w:t>
      </w:r>
    </w:p>
    <w:p w:rsidR="007F2367" w:rsidRDefault="00596D71" w:rsidP="007F2367">
      <w:pPr>
        <w:numPr>
          <w:ilvl w:val="0"/>
          <w:numId w:val="1"/>
        </w:numPr>
        <w:tabs>
          <w:tab w:val="clear" w:pos="4380"/>
        </w:tabs>
        <w:spacing w:after="120"/>
        <w:ind w:left="0" w:firstLine="0"/>
        <w:rPr>
          <w:rFonts w:cs="Arial"/>
          <w:sz w:val="22"/>
          <w:szCs w:val="22"/>
        </w:rPr>
      </w:pPr>
      <w:r>
        <w:rPr>
          <w:rFonts w:cs="Arial"/>
          <w:sz w:val="22"/>
          <w:szCs w:val="22"/>
        </w:rPr>
        <w:t>Consequently, this legislative instrument is necessary to ensure that Division 29 and Chapter 4 of the GST Act apply in a way that is appropriate</w:t>
      </w:r>
      <w:r w:rsidR="0065330D">
        <w:rPr>
          <w:rFonts w:cs="Arial"/>
          <w:sz w:val="22"/>
          <w:szCs w:val="22"/>
        </w:rPr>
        <w:t xml:space="preserve"> in </w:t>
      </w:r>
      <w:r w:rsidR="00B549D2">
        <w:rPr>
          <w:rFonts w:cs="Arial"/>
          <w:sz w:val="22"/>
          <w:szCs w:val="22"/>
        </w:rPr>
        <w:t xml:space="preserve">these </w:t>
      </w:r>
      <w:r w:rsidR="0065330D">
        <w:rPr>
          <w:rFonts w:cs="Arial"/>
          <w:sz w:val="22"/>
          <w:szCs w:val="22"/>
        </w:rPr>
        <w:t>circumstances</w:t>
      </w:r>
      <w:r>
        <w:rPr>
          <w:rFonts w:cs="Arial"/>
          <w:sz w:val="22"/>
          <w:szCs w:val="22"/>
        </w:rPr>
        <w:t>.</w:t>
      </w:r>
    </w:p>
    <w:p w:rsidR="007F2367" w:rsidRDefault="007F2367" w:rsidP="007F2367">
      <w:pPr>
        <w:spacing w:after="120"/>
        <w:rPr>
          <w:rFonts w:cs="Arial"/>
          <w:sz w:val="22"/>
          <w:szCs w:val="22"/>
        </w:rPr>
      </w:pPr>
    </w:p>
    <w:p w:rsidR="007F2367" w:rsidRPr="00DD251F" w:rsidRDefault="007F2367" w:rsidP="007F2367">
      <w:pPr>
        <w:pStyle w:val="Heading2"/>
        <w:rPr>
          <w:rFonts w:cs="Arial"/>
          <w:szCs w:val="22"/>
        </w:rPr>
      </w:pPr>
      <w:r w:rsidRPr="00DD251F">
        <w:rPr>
          <w:rFonts w:cs="Arial"/>
          <w:szCs w:val="22"/>
        </w:rPr>
        <w:t>Explanation</w:t>
      </w:r>
    </w:p>
    <w:p w:rsidR="0065330D" w:rsidRPr="005E74E7" w:rsidRDefault="00AB1EB5" w:rsidP="005E74E7">
      <w:pPr>
        <w:numPr>
          <w:ilvl w:val="0"/>
          <w:numId w:val="1"/>
        </w:numPr>
        <w:tabs>
          <w:tab w:val="clear" w:pos="4380"/>
        </w:tabs>
        <w:spacing w:after="120"/>
        <w:ind w:left="0" w:firstLine="0"/>
        <w:rPr>
          <w:rFonts w:cs="Arial"/>
          <w:sz w:val="22"/>
          <w:szCs w:val="22"/>
        </w:rPr>
      </w:pPr>
      <w:r w:rsidRPr="005E74E7">
        <w:rPr>
          <w:rFonts w:cs="Arial"/>
          <w:sz w:val="22"/>
          <w:szCs w:val="22"/>
        </w:rPr>
        <w:t xml:space="preserve">This instrument </w:t>
      </w:r>
      <w:r w:rsidR="005E74E7">
        <w:rPr>
          <w:rFonts w:cs="Arial"/>
          <w:sz w:val="22"/>
          <w:szCs w:val="22"/>
        </w:rPr>
        <w:t xml:space="preserve">will </w:t>
      </w:r>
      <w:r w:rsidRPr="005E74E7">
        <w:rPr>
          <w:rFonts w:cs="Arial"/>
          <w:sz w:val="22"/>
          <w:szCs w:val="22"/>
        </w:rPr>
        <w:t>only appl</w:t>
      </w:r>
      <w:r w:rsidR="005E74E7">
        <w:rPr>
          <w:rFonts w:cs="Arial"/>
          <w:sz w:val="22"/>
          <w:szCs w:val="22"/>
        </w:rPr>
        <w:t>y</w:t>
      </w:r>
      <w:r w:rsidRPr="005E74E7">
        <w:rPr>
          <w:rFonts w:cs="Arial"/>
          <w:sz w:val="22"/>
          <w:szCs w:val="22"/>
        </w:rPr>
        <w:t xml:space="preserve"> to </w:t>
      </w:r>
      <w:r w:rsidR="007F2367" w:rsidRPr="005E74E7">
        <w:rPr>
          <w:rFonts w:cs="Arial"/>
          <w:sz w:val="22"/>
          <w:szCs w:val="22"/>
        </w:rPr>
        <w:t>motor vehicle incentive payments that are third party consideration. That is</w:t>
      </w:r>
      <w:r w:rsidR="003E4040" w:rsidRPr="005E74E7">
        <w:rPr>
          <w:rFonts w:cs="Arial"/>
          <w:sz w:val="22"/>
          <w:szCs w:val="22"/>
        </w:rPr>
        <w:t>,</w:t>
      </w:r>
      <w:r w:rsidR="007F2367" w:rsidRPr="005E74E7">
        <w:rPr>
          <w:rFonts w:cs="Arial"/>
          <w:sz w:val="22"/>
          <w:szCs w:val="22"/>
        </w:rPr>
        <w:t xml:space="preserve"> </w:t>
      </w:r>
      <w:r w:rsidR="003E4040" w:rsidRPr="005E74E7">
        <w:rPr>
          <w:rFonts w:cs="Arial"/>
          <w:sz w:val="22"/>
          <w:szCs w:val="22"/>
        </w:rPr>
        <w:t xml:space="preserve">an </w:t>
      </w:r>
      <w:r w:rsidR="007F2367" w:rsidRPr="005E74E7">
        <w:rPr>
          <w:rFonts w:cs="Arial"/>
          <w:sz w:val="22"/>
          <w:szCs w:val="22"/>
        </w:rPr>
        <w:t>incentive payment</w:t>
      </w:r>
      <w:r w:rsidR="003E4040" w:rsidRPr="005E74E7">
        <w:rPr>
          <w:rFonts w:cs="Arial"/>
          <w:sz w:val="22"/>
          <w:szCs w:val="22"/>
        </w:rPr>
        <w:t xml:space="preserve"> that is</w:t>
      </w:r>
      <w:r w:rsidR="007F2367" w:rsidRPr="005E74E7">
        <w:rPr>
          <w:rFonts w:cs="Arial"/>
          <w:sz w:val="22"/>
          <w:szCs w:val="22"/>
        </w:rPr>
        <w:t xml:space="preserve"> part payment for the supply of the motor vehicle</w:t>
      </w:r>
      <w:r w:rsidR="003E4040" w:rsidRPr="005E74E7">
        <w:rPr>
          <w:rFonts w:cs="Arial"/>
          <w:sz w:val="22"/>
          <w:szCs w:val="22"/>
        </w:rPr>
        <w:t xml:space="preserve">, by the dealer, </w:t>
      </w:r>
      <w:r w:rsidR="007F2367" w:rsidRPr="005E74E7">
        <w:rPr>
          <w:rFonts w:cs="Arial"/>
          <w:sz w:val="22"/>
          <w:szCs w:val="22"/>
        </w:rPr>
        <w:t xml:space="preserve">to the </w:t>
      </w:r>
      <w:r w:rsidR="003E4040" w:rsidRPr="005E74E7">
        <w:rPr>
          <w:rFonts w:cs="Arial"/>
          <w:sz w:val="22"/>
          <w:szCs w:val="22"/>
        </w:rPr>
        <w:t>customer</w:t>
      </w:r>
      <w:r w:rsidR="007F2367" w:rsidRPr="005E74E7">
        <w:rPr>
          <w:rFonts w:cs="Arial"/>
          <w:sz w:val="22"/>
          <w:szCs w:val="22"/>
        </w:rPr>
        <w:t>.</w:t>
      </w:r>
      <w:r w:rsidR="00AE3BE7">
        <w:rPr>
          <w:rStyle w:val="FootnoteReference"/>
          <w:sz w:val="22"/>
          <w:szCs w:val="22"/>
        </w:rPr>
        <w:footnoteReference w:id="6"/>
      </w:r>
      <w:r w:rsidR="000D2A58" w:rsidRPr="005E74E7">
        <w:rPr>
          <w:rFonts w:cs="Arial"/>
          <w:sz w:val="22"/>
          <w:szCs w:val="22"/>
        </w:rPr>
        <w:t xml:space="preserve"> </w:t>
      </w:r>
    </w:p>
    <w:p w:rsidR="007F2367" w:rsidRDefault="0065330D" w:rsidP="007F2367">
      <w:pPr>
        <w:numPr>
          <w:ilvl w:val="0"/>
          <w:numId w:val="1"/>
        </w:numPr>
        <w:tabs>
          <w:tab w:val="clear" w:pos="4380"/>
        </w:tabs>
        <w:spacing w:after="120"/>
        <w:ind w:left="0" w:firstLine="0"/>
        <w:rPr>
          <w:rFonts w:cs="Arial"/>
          <w:sz w:val="22"/>
          <w:szCs w:val="22"/>
        </w:rPr>
      </w:pPr>
      <w:r>
        <w:rPr>
          <w:rFonts w:cs="Arial"/>
          <w:sz w:val="22"/>
          <w:szCs w:val="22"/>
        </w:rPr>
        <w:t xml:space="preserve">The instrument will apply if a dealer receives a </w:t>
      </w:r>
      <w:r w:rsidR="00863E8A" w:rsidRPr="00863E8A">
        <w:rPr>
          <w:rFonts w:cs="Arial"/>
          <w:b/>
          <w:i/>
          <w:sz w:val="22"/>
          <w:szCs w:val="22"/>
        </w:rPr>
        <w:t xml:space="preserve">third party </w:t>
      </w:r>
      <w:r w:rsidRPr="00863E8A">
        <w:rPr>
          <w:rFonts w:cs="Arial"/>
          <w:b/>
          <w:i/>
          <w:sz w:val="22"/>
          <w:szCs w:val="22"/>
        </w:rPr>
        <w:t>motor vehicle incentive payment</w:t>
      </w:r>
      <w:r w:rsidR="00AF159B">
        <w:rPr>
          <w:rFonts w:cs="Arial"/>
          <w:sz w:val="22"/>
          <w:szCs w:val="22"/>
        </w:rPr>
        <w:t>, or</w:t>
      </w:r>
      <w:r w:rsidR="00AF159B" w:rsidRPr="00AD24DB">
        <w:rPr>
          <w:rFonts w:cs="Arial"/>
          <w:iCs/>
          <w:sz w:val="22"/>
          <w:szCs w:val="22"/>
        </w:rPr>
        <w:t xml:space="preserve"> issues an invoice for a </w:t>
      </w:r>
      <w:r w:rsidR="00863E8A" w:rsidRPr="00863E8A">
        <w:rPr>
          <w:rFonts w:cs="Arial"/>
          <w:b/>
          <w:i/>
          <w:iCs/>
          <w:sz w:val="22"/>
          <w:szCs w:val="22"/>
        </w:rPr>
        <w:t xml:space="preserve">third party </w:t>
      </w:r>
      <w:r w:rsidR="00AF159B" w:rsidRPr="00863E8A">
        <w:rPr>
          <w:rFonts w:cs="Arial"/>
          <w:b/>
          <w:i/>
          <w:iCs/>
          <w:sz w:val="22"/>
          <w:szCs w:val="22"/>
        </w:rPr>
        <w:t>motor vehicle incentive payment</w:t>
      </w:r>
      <w:r w:rsidR="00AF159B" w:rsidRPr="00AD24DB">
        <w:rPr>
          <w:rFonts w:cs="Arial"/>
          <w:iCs/>
          <w:sz w:val="22"/>
          <w:szCs w:val="22"/>
        </w:rPr>
        <w:t xml:space="preserve"> before receiving the payment</w:t>
      </w:r>
      <w:r w:rsidR="00AF159B">
        <w:rPr>
          <w:rFonts w:cs="Arial"/>
          <w:iCs/>
          <w:sz w:val="22"/>
          <w:szCs w:val="22"/>
        </w:rPr>
        <w:t>,</w:t>
      </w:r>
      <w:r>
        <w:rPr>
          <w:rFonts w:cs="Arial"/>
          <w:sz w:val="22"/>
          <w:szCs w:val="22"/>
        </w:rPr>
        <w:t xml:space="preserve"> in a tax period before the tax period in which the use, enjoyment and passing of title of a motor vehicle will take place </w:t>
      </w:r>
      <w:r w:rsidR="00510B3D">
        <w:rPr>
          <w:rFonts w:cs="Arial"/>
          <w:sz w:val="22"/>
          <w:szCs w:val="22"/>
        </w:rPr>
        <w:t xml:space="preserve">and </w:t>
      </w:r>
      <w:r>
        <w:rPr>
          <w:rFonts w:cs="Arial"/>
          <w:sz w:val="22"/>
          <w:szCs w:val="22"/>
        </w:rPr>
        <w:t xml:space="preserve">before the total consideration for the </w:t>
      </w:r>
      <w:r w:rsidR="00D37EC6">
        <w:rPr>
          <w:rFonts w:cs="Arial"/>
          <w:sz w:val="22"/>
          <w:szCs w:val="22"/>
        </w:rPr>
        <w:t xml:space="preserve">taxable </w:t>
      </w:r>
      <w:r>
        <w:rPr>
          <w:rFonts w:cs="Arial"/>
          <w:sz w:val="22"/>
          <w:szCs w:val="22"/>
        </w:rPr>
        <w:t>supply of the motor vehicle is known. That is, a dealer may negotiate the sale of a motor vehicle with a customer in a later tax period than</w:t>
      </w:r>
      <w:r w:rsidR="00D37EC6">
        <w:rPr>
          <w:rFonts w:cs="Arial"/>
          <w:sz w:val="22"/>
          <w:szCs w:val="22"/>
        </w:rPr>
        <w:t xml:space="preserve"> when it receives </w:t>
      </w:r>
      <w:r w:rsidR="00AF159B">
        <w:rPr>
          <w:rFonts w:cs="Arial"/>
          <w:sz w:val="22"/>
          <w:szCs w:val="22"/>
        </w:rPr>
        <w:t xml:space="preserve">or issues the invoice for </w:t>
      </w:r>
      <w:r w:rsidR="00D37EC6">
        <w:rPr>
          <w:rFonts w:cs="Arial"/>
          <w:sz w:val="22"/>
          <w:szCs w:val="22"/>
        </w:rPr>
        <w:t xml:space="preserve">the </w:t>
      </w:r>
      <w:r w:rsidR="00863E8A" w:rsidRPr="00863E8A">
        <w:rPr>
          <w:rFonts w:cs="Arial"/>
          <w:b/>
          <w:i/>
          <w:sz w:val="22"/>
          <w:szCs w:val="22"/>
        </w:rPr>
        <w:t xml:space="preserve">third party </w:t>
      </w:r>
      <w:r w:rsidR="00D37EC6" w:rsidRPr="00863E8A">
        <w:rPr>
          <w:rFonts w:cs="Arial"/>
          <w:b/>
          <w:i/>
          <w:sz w:val="22"/>
          <w:szCs w:val="22"/>
        </w:rPr>
        <w:t>motor vehicle incentive payment</w:t>
      </w:r>
      <w:r w:rsidR="00D37EC6">
        <w:rPr>
          <w:rFonts w:cs="Arial"/>
          <w:sz w:val="22"/>
          <w:szCs w:val="22"/>
        </w:rPr>
        <w:t>. Once the dealer enters into a contract for the sale of the motor vehicle with a customer it will then know the total consideration for the supply of the motor vehicle.</w:t>
      </w:r>
      <w:r w:rsidR="004D0BFD">
        <w:rPr>
          <w:rFonts w:cs="Arial"/>
          <w:sz w:val="22"/>
          <w:szCs w:val="22"/>
        </w:rPr>
        <w:t xml:space="preserve"> The use, enjoyment and passing of title in the motor vehicle will also then occur.</w:t>
      </w:r>
    </w:p>
    <w:p w:rsidR="00D37EC6" w:rsidRDefault="00D37EC6" w:rsidP="007F2367">
      <w:pPr>
        <w:numPr>
          <w:ilvl w:val="0"/>
          <w:numId w:val="1"/>
        </w:numPr>
        <w:tabs>
          <w:tab w:val="clear" w:pos="4380"/>
        </w:tabs>
        <w:spacing w:after="120"/>
        <w:ind w:left="0" w:firstLine="0"/>
        <w:rPr>
          <w:rFonts w:cs="Arial"/>
          <w:sz w:val="22"/>
          <w:szCs w:val="22"/>
        </w:rPr>
      </w:pPr>
      <w:r>
        <w:rPr>
          <w:rFonts w:cs="Arial"/>
          <w:sz w:val="22"/>
          <w:szCs w:val="22"/>
        </w:rPr>
        <w:t xml:space="preserve">In </w:t>
      </w:r>
      <w:r w:rsidR="00B549D2">
        <w:rPr>
          <w:rFonts w:cs="Arial"/>
          <w:sz w:val="22"/>
          <w:szCs w:val="22"/>
        </w:rPr>
        <w:t xml:space="preserve">these </w:t>
      </w:r>
      <w:r>
        <w:rPr>
          <w:rFonts w:cs="Arial"/>
          <w:sz w:val="22"/>
          <w:szCs w:val="22"/>
        </w:rPr>
        <w:t xml:space="preserve">circumstances, the GST payable (and consequently and luxury car tax payable and attributable in accordance with subsection 13-15(1) of the </w:t>
      </w:r>
      <w:r>
        <w:rPr>
          <w:rFonts w:cs="Arial"/>
          <w:i/>
          <w:sz w:val="22"/>
          <w:szCs w:val="22"/>
        </w:rPr>
        <w:t>A New Tax System (Luxury Car Tax) Act 1999</w:t>
      </w:r>
      <w:r>
        <w:rPr>
          <w:rFonts w:cs="Arial"/>
          <w:sz w:val="22"/>
          <w:szCs w:val="22"/>
        </w:rPr>
        <w:t xml:space="preserve">) will be attributable to the tax period in which the </w:t>
      </w:r>
      <w:r w:rsidRPr="00D37EC6">
        <w:rPr>
          <w:rFonts w:cs="Arial"/>
          <w:sz w:val="22"/>
          <w:szCs w:val="22"/>
        </w:rPr>
        <w:t xml:space="preserve">total </w:t>
      </w:r>
      <w:r w:rsidRPr="00D37EC6">
        <w:rPr>
          <w:rFonts w:cs="Arial"/>
          <w:sz w:val="22"/>
          <w:szCs w:val="22"/>
        </w:rPr>
        <w:lastRenderedPageBreak/>
        <w:t>consideration for the supply of the motor vehicle is known</w:t>
      </w:r>
      <w:r>
        <w:rPr>
          <w:rFonts w:cs="Arial"/>
          <w:sz w:val="22"/>
          <w:szCs w:val="22"/>
        </w:rPr>
        <w:t>. It is expected that this will be the tax period in which the dealer and customer enter into a contract for the sale of the motor vehicle.</w:t>
      </w:r>
      <w:r w:rsidRPr="00D37EC6">
        <w:rPr>
          <w:rFonts w:cs="Arial"/>
          <w:sz w:val="22"/>
          <w:szCs w:val="22"/>
        </w:rPr>
        <w:t xml:space="preserve"> </w:t>
      </w:r>
      <w:r w:rsidR="00EF2F8B">
        <w:rPr>
          <w:rFonts w:cs="Arial"/>
          <w:sz w:val="22"/>
          <w:szCs w:val="22"/>
        </w:rPr>
        <w:t xml:space="preserve">It will not necessarily be </w:t>
      </w:r>
      <w:r w:rsidR="0018015B">
        <w:rPr>
          <w:rFonts w:cs="Arial"/>
          <w:sz w:val="22"/>
          <w:szCs w:val="22"/>
        </w:rPr>
        <w:t>the same tax period</w:t>
      </w:r>
      <w:r w:rsidR="00EF2F8B">
        <w:rPr>
          <w:rFonts w:cs="Arial"/>
          <w:sz w:val="22"/>
          <w:szCs w:val="22"/>
        </w:rPr>
        <w:t xml:space="preserve"> in which the use, enjoyment or passing of title occurs. </w:t>
      </w:r>
      <w:r w:rsidR="00D11713">
        <w:rPr>
          <w:rFonts w:cs="Arial"/>
          <w:sz w:val="22"/>
          <w:szCs w:val="22"/>
        </w:rPr>
        <w:t>None of the</w:t>
      </w:r>
      <w:r>
        <w:rPr>
          <w:rFonts w:cs="Arial"/>
          <w:sz w:val="22"/>
          <w:szCs w:val="22"/>
        </w:rPr>
        <w:t xml:space="preserve"> GST payable </w:t>
      </w:r>
      <w:r w:rsidR="00D11713">
        <w:rPr>
          <w:rFonts w:cs="Arial"/>
          <w:sz w:val="22"/>
          <w:szCs w:val="22"/>
        </w:rPr>
        <w:t xml:space="preserve">by the dealer </w:t>
      </w:r>
      <w:r w:rsidRPr="00D37EC6">
        <w:rPr>
          <w:rFonts w:cs="Arial"/>
          <w:sz w:val="22"/>
          <w:szCs w:val="22"/>
        </w:rPr>
        <w:t>is attributable to the tax period in which the</w:t>
      </w:r>
      <w:r w:rsidR="00863E8A">
        <w:rPr>
          <w:rFonts w:cs="Arial"/>
          <w:sz w:val="22"/>
          <w:szCs w:val="22"/>
        </w:rPr>
        <w:t xml:space="preserve"> </w:t>
      </w:r>
      <w:r w:rsidR="00863E8A" w:rsidRPr="00863E8A">
        <w:rPr>
          <w:rFonts w:cs="Arial"/>
          <w:b/>
          <w:i/>
          <w:sz w:val="22"/>
          <w:szCs w:val="22"/>
        </w:rPr>
        <w:t>third party</w:t>
      </w:r>
      <w:r w:rsidRPr="00863E8A">
        <w:rPr>
          <w:rFonts w:cs="Arial"/>
          <w:b/>
          <w:i/>
          <w:sz w:val="22"/>
          <w:szCs w:val="22"/>
        </w:rPr>
        <w:t xml:space="preserve"> motor vehicle incentive payment</w:t>
      </w:r>
      <w:r w:rsidRPr="00D37EC6">
        <w:rPr>
          <w:rFonts w:cs="Arial"/>
          <w:sz w:val="22"/>
          <w:szCs w:val="22"/>
        </w:rPr>
        <w:t xml:space="preserve"> is received</w:t>
      </w:r>
      <w:r w:rsidR="00AF159B">
        <w:rPr>
          <w:rFonts w:cs="Arial"/>
          <w:sz w:val="22"/>
          <w:szCs w:val="22"/>
        </w:rPr>
        <w:t>, or the invoice is issued,</w:t>
      </w:r>
      <w:r w:rsidRPr="00D37EC6">
        <w:rPr>
          <w:rFonts w:cs="Arial"/>
          <w:sz w:val="22"/>
          <w:szCs w:val="22"/>
        </w:rPr>
        <w:t xml:space="preserve"> despite subsections 29-5(1) and (2) of the GST Act</w:t>
      </w:r>
      <w:r>
        <w:rPr>
          <w:rFonts w:cs="Arial"/>
          <w:sz w:val="22"/>
          <w:szCs w:val="22"/>
        </w:rPr>
        <w:t>.</w:t>
      </w:r>
    </w:p>
    <w:p w:rsidR="007F2367" w:rsidRDefault="007F2367" w:rsidP="007F2367">
      <w:pPr>
        <w:spacing w:after="120"/>
        <w:rPr>
          <w:rFonts w:cs="Arial"/>
          <w:sz w:val="22"/>
          <w:szCs w:val="22"/>
        </w:rPr>
      </w:pPr>
      <w:bookmarkStart w:id="6" w:name="_Toc100476116"/>
      <w:bookmarkStart w:id="7" w:name="_Toc100476376"/>
    </w:p>
    <w:p w:rsidR="007F2367" w:rsidRPr="00DD251F" w:rsidRDefault="007F2367" w:rsidP="007F2367">
      <w:pPr>
        <w:pStyle w:val="Heading2"/>
        <w:rPr>
          <w:rFonts w:cs="Arial"/>
          <w:szCs w:val="22"/>
        </w:rPr>
      </w:pPr>
      <w:r w:rsidRPr="00DD251F">
        <w:rPr>
          <w:rFonts w:cs="Arial"/>
          <w:szCs w:val="22"/>
        </w:rPr>
        <w:t>Consultation</w:t>
      </w:r>
      <w:bookmarkEnd w:id="6"/>
      <w:bookmarkEnd w:id="7"/>
    </w:p>
    <w:p w:rsidR="007F2367" w:rsidRPr="009C255D" w:rsidRDefault="007F2367" w:rsidP="007F2367">
      <w:pPr>
        <w:numPr>
          <w:ilvl w:val="0"/>
          <w:numId w:val="1"/>
        </w:numPr>
        <w:tabs>
          <w:tab w:val="clear" w:pos="4380"/>
        </w:tabs>
        <w:spacing w:after="120"/>
        <w:ind w:left="0" w:firstLine="0"/>
        <w:rPr>
          <w:rFonts w:cs="Arial"/>
          <w:sz w:val="22"/>
          <w:szCs w:val="22"/>
        </w:rPr>
      </w:pPr>
      <w:bookmarkStart w:id="8" w:name="JSign"/>
      <w:r w:rsidRPr="009C255D">
        <w:rPr>
          <w:rFonts w:cs="Arial"/>
          <w:sz w:val="22"/>
          <w:szCs w:val="22"/>
        </w:rPr>
        <w:t xml:space="preserve">Section 18 of the </w:t>
      </w:r>
      <w:r w:rsidRPr="009C255D">
        <w:rPr>
          <w:rFonts w:cs="Arial"/>
          <w:i/>
          <w:sz w:val="22"/>
          <w:szCs w:val="22"/>
        </w:rPr>
        <w:t>Legislative Instruments Act</w:t>
      </w:r>
      <w:r w:rsidRPr="009C255D">
        <w:rPr>
          <w:rFonts w:cs="Arial"/>
          <w:sz w:val="22"/>
          <w:szCs w:val="22"/>
        </w:rPr>
        <w:t xml:space="preserve"> </w:t>
      </w:r>
      <w:r w:rsidRPr="009C255D">
        <w:rPr>
          <w:rFonts w:cs="Arial"/>
          <w:i/>
          <w:sz w:val="22"/>
          <w:szCs w:val="22"/>
        </w:rPr>
        <w:t>2003</w:t>
      </w:r>
      <w:r w:rsidRPr="009C255D">
        <w:rPr>
          <w:rFonts w:cs="Arial"/>
          <w:sz w:val="22"/>
          <w:szCs w:val="22"/>
        </w:rPr>
        <w:t xml:space="preserve"> specifically provides for circumstances where consultation may not be necessary or appropriate. One of those circumstances is where the instrument is considered minor or machinery in nature, and does not substantially change the law.</w:t>
      </w:r>
    </w:p>
    <w:p w:rsidR="007F2367" w:rsidRDefault="007F2367" w:rsidP="007F2367">
      <w:pPr>
        <w:numPr>
          <w:ilvl w:val="0"/>
          <w:numId w:val="1"/>
        </w:numPr>
        <w:tabs>
          <w:tab w:val="clear" w:pos="4380"/>
        </w:tabs>
        <w:spacing w:after="120"/>
        <w:ind w:left="0" w:right="561" w:firstLine="0"/>
        <w:rPr>
          <w:rFonts w:cs="Arial"/>
          <w:sz w:val="22"/>
          <w:szCs w:val="22"/>
        </w:rPr>
      </w:pPr>
      <w:r w:rsidRPr="009C255D">
        <w:rPr>
          <w:rFonts w:cs="Arial"/>
          <w:sz w:val="22"/>
          <w:szCs w:val="22"/>
        </w:rPr>
        <w:t>The instrument is considered minor or machinery in nature, and does not substantially change the law. However, targeted consultation was under</w:t>
      </w:r>
      <w:r w:rsidR="004D0BFD" w:rsidRPr="009C255D">
        <w:rPr>
          <w:rFonts w:cs="Arial"/>
          <w:sz w:val="22"/>
          <w:szCs w:val="22"/>
        </w:rPr>
        <w:t>taken. Industry representatives</w:t>
      </w:r>
      <w:r w:rsidRPr="009C255D">
        <w:rPr>
          <w:rFonts w:cs="Arial"/>
          <w:sz w:val="22"/>
          <w:szCs w:val="22"/>
        </w:rPr>
        <w:t xml:space="preserve"> were invited to comment on the draft </w:t>
      </w:r>
      <w:r w:rsidR="0018015B" w:rsidRPr="009C255D">
        <w:rPr>
          <w:rFonts w:cs="Arial"/>
          <w:sz w:val="22"/>
          <w:szCs w:val="22"/>
        </w:rPr>
        <w:t xml:space="preserve">instrument </w:t>
      </w:r>
      <w:r w:rsidRPr="009C255D">
        <w:rPr>
          <w:rFonts w:cs="Arial"/>
          <w:sz w:val="22"/>
          <w:szCs w:val="22"/>
        </w:rPr>
        <w:t xml:space="preserve">and explanatory statement. Comments received as part of the consultation were taken into account in developing the final </w:t>
      </w:r>
      <w:r w:rsidR="0018015B" w:rsidRPr="009C255D">
        <w:rPr>
          <w:rFonts w:cs="Arial"/>
          <w:sz w:val="22"/>
          <w:szCs w:val="22"/>
        </w:rPr>
        <w:t xml:space="preserve">instrument </w:t>
      </w:r>
      <w:r w:rsidRPr="009C255D">
        <w:rPr>
          <w:rFonts w:cs="Arial"/>
          <w:sz w:val="22"/>
          <w:szCs w:val="22"/>
        </w:rPr>
        <w:t xml:space="preserve">and explanatory statement. </w:t>
      </w:r>
    </w:p>
    <w:p w:rsidR="000C675A" w:rsidRPr="000C675A" w:rsidRDefault="000C675A" w:rsidP="000C675A">
      <w:pPr>
        <w:numPr>
          <w:ilvl w:val="0"/>
          <w:numId w:val="1"/>
        </w:numPr>
        <w:tabs>
          <w:tab w:val="clear" w:pos="4380"/>
        </w:tabs>
        <w:spacing w:after="120"/>
        <w:ind w:left="0" w:right="561" w:firstLine="0"/>
        <w:rPr>
          <w:rFonts w:cs="Arial"/>
          <w:iCs/>
          <w:sz w:val="22"/>
          <w:szCs w:val="22"/>
        </w:rPr>
      </w:pPr>
      <w:r>
        <w:rPr>
          <w:rFonts w:cs="Arial"/>
          <w:sz w:val="22"/>
          <w:szCs w:val="22"/>
        </w:rPr>
        <w:t xml:space="preserve"> </w:t>
      </w:r>
      <w:r w:rsidRPr="0088368B">
        <w:rPr>
          <w:rFonts w:cs="Arial"/>
          <w:iCs/>
          <w:sz w:val="22"/>
          <w:szCs w:val="22"/>
        </w:rPr>
        <w:t xml:space="preserve">The purpose of a retrospective application for this legislative instrument is to ensure that motor vehicle dealers that received payments in the circumstances outlined in the legislative instrument, but before it has application, are not disadvantaged. It is understood from consultation with the industry in drafting the legislative instrument that such payments were made from 1 January 2015. </w:t>
      </w:r>
    </w:p>
    <w:p w:rsidR="007F2367" w:rsidRDefault="007F2367" w:rsidP="007F2367">
      <w:pPr>
        <w:spacing w:after="120"/>
        <w:rPr>
          <w:rFonts w:cs="Arial"/>
          <w:sz w:val="22"/>
          <w:szCs w:val="22"/>
        </w:rPr>
      </w:pPr>
    </w:p>
    <w:p w:rsidR="0088368B" w:rsidRDefault="0088368B" w:rsidP="007F2367">
      <w:pPr>
        <w:spacing w:after="120"/>
      </w:pPr>
    </w:p>
    <w:p w:rsidR="005669DB" w:rsidRDefault="005669DB" w:rsidP="007F2367">
      <w:pPr>
        <w:spacing w:after="120"/>
      </w:pPr>
    </w:p>
    <w:p w:rsidR="005669DB" w:rsidRDefault="005669DB" w:rsidP="007F2367">
      <w:pPr>
        <w:spacing w:after="120"/>
        <w:rPr>
          <w:rFonts w:cs="Arial"/>
          <w:sz w:val="22"/>
          <w:szCs w:val="22"/>
        </w:rPr>
      </w:pPr>
      <w:bookmarkStart w:id="9" w:name="_GoBack"/>
      <w:bookmarkEnd w:id="9"/>
    </w:p>
    <w:bookmarkEnd w:id="8"/>
    <w:p w:rsidR="007F2367" w:rsidRDefault="0088368B" w:rsidP="007F2367">
      <w:pPr>
        <w:spacing w:after="120"/>
        <w:rPr>
          <w:rFonts w:cs="Arial"/>
          <w:b/>
          <w:sz w:val="22"/>
          <w:szCs w:val="22"/>
        </w:rPr>
      </w:pPr>
      <w:r>
        <w:rPr>
          <w:rFonts w:cs="Arial"/>
          <w:b/>
          <w:sz w:val="22"/>
          <w:szCs w:val="22"/>
        </w:rPr>
        <w:t>Tim Dyce</w:t>
      </w:r>
      <w:r w:rsidR="007F2367">
        <w:rPr>
          <w:rFonts w:cs="Arial"/>
          <w:b/>
          <w:sz w:val="22"/>
          <w:szCs w:val="22"/>
        </w:rPr>
        <w:br/>
        <w:t>Deputy Commissioner of Taxation</w:t>
      </w:r>
    </w:p>
    <w:p w:rsidR="007F2367" w:rsidRPr="000B31B0" w:rsidRDefault="00B40D2D" w:rsidP="007F2367">
      <w:pPr>
        <w:spacing w:after="120"/>
        <w:rPr>
          <w:rFonts w:cs="Arial"/>
          <w:sz w:val="22"/>
          <w:szCs w:val="22"/>
        </w:rPr>
      </w:pPr>
      <w:r>
        <w:rPr>
          <w:rFonts w:cs="Arial"/>
          <w:sz w:val="22"/>
          <w:szCs w:val="22"/>
        </w:rPr>
        <w:t xml:space="preserve">19 </w:t>
      </w:r>
      <w:r w:rsidR="0088368B">
        <w:rPr>
          <w:rFonts w:cs="Arial"/>
          <w:sz w:val="22"/>
          <w:szCs w:val="22"/>
        </w:rPr>
        <w:t xml:space="preserve">November </w:t>
      </w:r>
      <w:r w:rsidR="007F2367">
        <w:rPr>
          <w:rFonts w:cs="Arial"/>
          <w:sz w:val="22"/>
          <w:szCs w:val="22"/>
        </w:rPr>
        <w:t>201</w:t>
      </w:r>
      <w:r w:rsidR="00231D50">
        <w:rPr>
          <w:rFonts w:cs="Arial"/>
          <w:sz w:val="22"/>
          <w:szCs w:val="22"/>
        </w:rPr>
        <w:t>5</w:t>
      </w:r>
    </w:p>
    <w:p w:rsidR="007F2367" w:rsidRDefault="00763BFA" w:rsidP="007F2367">
      <w:pPr>
        <w:rPr>
          <w:rFonts w:cs="Arial"/>
          <w:sz w:val="20"/>
          <w:szCs w:val="20"/>
        </w:rPr>
      </w:pPr>
      <w:r>
        <w:rPr>
          <w:rFonts w:cs="Arial"/>
          <w:sz w:val="22"/>
          <w:szCs w:val="22"/>
        </w:rPr>
        <w:pict>
          <v:rect id="_x0000_i1025" style="width:0;height:1.5pt" o:hralign="center" o:hrstd="t" o:hr="t" fillcolor="#aca899" stroked="f"/>
        </w:pict>
      </w:r>
    </w:p>
    <w:p w:rsidR="007F2367" w:rsidRPr="00D12AE7" w:rsidRDefault="007F2367" w:rsidP="007F2367">
      <w:pPr>
        <w:rPr>
          <w:rFonts w:cs="Arial"/>
          <w:i/>
          <w:sz w:val="20"/>
          <w:szCs w:val="20"/>
        </w:rPr>
      </w:pPr>
      <w:bookmarkStart w:id="10" w:name="LReferences"/>
      <w:bookmarkEnd w:id="10"/>
    </w:p>
    <w:p w:rsidR="007F2367" w:rsidRPr="008A3B12" w:rsidRDefault="007F2367" w:rsidP="007F2367">
      <w:pPr>
        <w:keepNext/>
        <w:spacing w:after="60"/>
        <w:rPr>
          <w:rFonts w:cs="Arial"/>
          <w:b/>
          <w:i/>
          <w:sz w:val="20"/>
          <w:szCs w:val="20"/>
        </w:rPr>
      </w:pPr>
      <w:r w:rsidRPr="008A3B12">
        <w:rPr>
          <w:rFonts w:cs="Arial"/>
          <w:b/>
          <w:i/>
          <w:sz w:val="20"/>
          <w:szCs w:val="20"/>
        </w:rPr>
        <w:t>Legislative references</w:t>
      </w:r>
    </w:p>
    <w:p w:rsidR="007F2367" w:rsidRPr="008A3B12" w:rsidRDefault="007F2367" w:rsidP="007F2367">
      <w:pPr>
        <w:rPr>
          <w:rFonts w:cs="Arial"/>
          <w:i/>
          <w:sz w:val="20"/>
          <w:szCs w:val="20"/>
          <w:lang w:val="sv-SE"/>
        </w:rPr>
      </w:pPr>
      <w:bookmarkStart w:id="11" w:name="PLegrefText"/>
      <w:bookmarkStart w:id="12" w:name="QLegref"/>
      <w:bookmarkEnd w:id="11"/>
      <w:bookmarkEnd w:id="12"/>
      <w:r w:rsidRPr="008A3B12">
        <w:rPr>
          <w:rFonts w:cs="Arial"/>
          <w:i/>
          <w:sz w:val="20"/>
          <w:szCs w:val="20"/>
          <w:lang w:val="sv-SE"/>
        </w:rPr>
        <w:t>A New Tax System (Goods and Services Tax) Act 1999</w:t>
      </w:r>
    </w:p>
    <w:p w:rsidR="007F2367" w:rsidRDefault="008A3B12" w:rsidP="007F2367">
      <w:pPr>
        <w:rPr>
          <w:rFonts w:cs="Arial"/>
          <w:sz w:val="20"/>
          <w:szCs w:val="20"/>
        </w:rPr>
      </w:pPr>
      <w:r>
        <w:rPr>
          <w:rFonts w:cs="Arial"/>
          <w:sz w:val="20"/>
          <w:szCs w:val="20"/>
        </w:rPr>
        <w:t>Division 29</w:t>
      </w:r>
    </w:p>
    <w:p w:rsidR="008A3B12" w:rsidRDefault="008A3B12" w:rsidP="007F2367">
      <w:pPr>
        <w:rPr>
          <w:rFonts w:cs="Arial"/>
          <w:sz w:val="20"/>
          <w:szCs w:val="20"/>
        </w:rPr>
      </w:pPr>
      <w:r>
        <w:rPr>
          <w:rFonts w:cs="Arial"/>
          <w:sz w:val="20"/>
          <w:szCs w:val="20"/>
        </w:rPr>
        <w:t>29-5</w:t>
      </w:r>
    </w:p>
    <w:p w:rsidR="008A3B12" w:rsidRDefault="008A3B12" w:rsidP="007F2367">
      <w:pPr>
        <w:rPr>
          <w:rFonts w:cs="Arial"/>
          <w:sz w:val="20"/>
          <w:szCs w:val="20"/>
        </w:rPr>
      </w:pPr>
      <w:r>
        <w:rPr>
          <w:rFonts w:cs="Arial"/>
          <w:sz w:val="20"/>
          <w:szCs w:val="20"/>
        </w:rPr>
        <w:t>29-5(1)</w:t>
      </w:r>
    </w:p>
    <w:p w:rsidR="008A3B12" w:rsidRDefault="008A3B12" w:rsidP="007F2367">
      <w:pPr>
        <w:rPr>
          <w:rFonts w:cs="Arial"/>
          <w:sz w:val="20"/>
          <w:szCs w:val="20"/>
        </w:rPr>
      </w:pPr>
      <w:r>
        <w:rPr>
          <w:rFonts w:cs="Arial"/>
          <w:sz w:val="20"/>
          <w:szCs w:val="20"/>
        </w:rPr>
        <w:t>29-5(1)(a)</w:t>
      </w:r>
    </w:p>
    <w:p w:rsidR="008A3B12" w:rsidRDefault="008A3B12" w:rsidP="007F2367">
      <w:pPr>
        <w:rPr>
          <w:rFonts w:cs="Arial"/>
          <w:sz w:val="20"/>
          <w:szCs w:val="20"/>
        </w:rPr>
      </w:pPr>
      <w:r>
        <w:rPr>
          <w:rFonts w:cs="Arial"/>
          <w:sz w:val="20"/>
          <w:szCs w:val="20"/>
        </w:rPr>
        <w:t>29-5(1)(b)</w:t>
      </w:r>
    </w:p>
    <w:p w:rsidR="008A3B12" w:rsidRDefault="008A3B12" w:rsidP="007F2367">
      <w:pPr>
        <w:rPr>
          <w:rFonts w:cs="Arial"/>
          <w:sz w:val="20"/>
          <w:szCs w:val="20"/>
        </w:rPr>
      </w:pPr>
      <w:r>
        <w:rPr>
          <w:rFonts w:cs="Arial"/>
          <w:sz w:val="20"/>
          <w:szCs w:val="20"/>
        </w:rPr>
        <w:t>29-5(2)</w:t>
      </w:r>
    </w:p>
    <w:p w:rsidR="008A3B12" w:rsidRDefault="008A3B12" w:rsidP="007F2367">
      <w:pPr>
        <w:rPr>
          <w:rFonts w:cs="Arial"/>
          <w:sz w:val="20"/>
          <w:szCs w:val="20"/>
        </w:rPr>
      </w:pPr>
      <w:r>
        <w:rPr>
          <w:rFonts w:cs="Arial"/>
          <w:sz w:val="20"/>
          <w:szCs w:val="20"/>
        </w:rPr>
        <w:t>29-25(1)</w:t>
      </w:r>
    </w:p>
    <w:p w:rsidR="008A3B12" w:rsidRDefault="008A3B12" w:rsidP="007F2367">
      <w:pPr>
        <w:rPr>
          <w:rFonts w:cs="Arial"/>
          <w:sz w:val="20"/>
          <w:szCs w:val="20"/>
        </w:rPr>
      </w:pPr>
      <w:r>
        <w:rPr>
          <w:rFonts w:cs="Arial"/>
          <w:sz w:val="20"/>
          <w:szCs w:val="20"/>
        </w:rPr>
        <w:t>29-25(2)(b)</w:t>
      </w:r>
    </w:p>
    <w:p w:rsidR="008A3B12" w:rsidRDefault="008A3B12" w:rsidP="007F2367">
      <w:pPr>
        <w:rPr>
          <w:rFonts w:cs="Arial"/>
          <w:sz w:val="20"/>
          <w:szCs w:val="20"/>
        </w:rPr>
      </w:pPr>
      <w:r>
        <w:rPr>
          <w:rFonts w:cs="Arial"/>
          <w:sz w:val="20"/>
          <w:szCs w:val="20"/>
        </w:rPr>
        <w:t>Chapter 4</w:t>
      </w:r>
    </w:p>
    <w:p w:rsidR="008A3B12" w:rsidRPr="008A3B12" w:rsidRDefault="008A3B12" w:rsidP="007F2367">
      <w:pPr>
        <w:rPr>
          <w:rFonts w:cs="Arial"/>
          <w:sz w:val="20"/>
          <w:szCs w:val="20"/>
        </w:rPr>
      </w:pPr>
    </w:p>
    <w:p w:rsidR="003B6F66" w:rsidRPr="008A3B12" w:rsidRDefault="003B6F66" w:rsidP="007F2367">
      <w:pPr>
        <w:rPr>
          <w:rFonts w:cs="Arial"/>
          <w:sz w:val="20"/>
          <w:szCs w:val="20"/>
        </w:rPr>
      </w:pPr>
      <w:r w:rsidRPr="008A3B12">
        <w:rPr>
          <w:rFonts w:cs="Arial"/>
          <w:i/>
          <w:sz w:val="20"/>
          <w:szCs w:val="20"/>
        </w:rPr>
        <w:t>A New Tax System (Luxury Car Tax) Act 1999</w:t>
      </w:r>
    </w:p>
    <w:p w:rsidR="007F2367" w:rsidRPr="008A3B12" w:rsidRDefault="008A3B12" w:rsidP="007F2367">
      <w:pPr>
        <w:rPr>
          <w:rFonts w:cs="Arial"/>
          <w:sz w:val="20"/>
          <w:szCs w:val="20"/>
        </w:rPr>
      </w:pPr>
      <w:r w:rsidRPr="008A3B12">
        <w:rPr>
          <w:rFonts w:cs="Arial"/>
          <w:sz w:val="20"/>
          <w:szCs w:val="20"/>
        </w:rPr>
        <w:t>13-15(1)</w:t>
      </w:r>
    </w:p>
    <w:p w:rsidR="008A3B12" w:rsidRPr="008A3B12" w:rsidRDefault="008A3B12" w:rsidP="007F2367">
      <w:pPr>
        <w:rPr>
          <w:rFonts w:cs="Arial"/>
          <w:b/>
          <w:sz w:val="20"/>
          <w:szCs w:val="20"/>
        </w:rPr>
      </w:pPr>
    </w:p>
    <w:p w:rsidR="007F2367" w:rsidRPr="008A3B12" w:rsidRDefault="007F2367" w:rsidP="007F2367">
      <w:pPr>
        <w:rPr>
          <w:rFonts w:cs="Arial"/>
          <w:i/>
          <w:sz w:val="20"/>
          <w:szCs w:val="20"/>
        </w:rPr>
      </w:pPr>
      <w:r w:rsidRPr="008A3B12">
        <w:rPr>
          <w:rFonts w:cs="Arial"/>
          <w:i/>
          <w:sz w:val="20"/>
          <w:szCs w:val="20"/>
        </w:rPr>
        <w:t>Legislative Instruments Act 2003</w:t>
      </w:r>
    </w:p>
    <w:p w:rsidR="00AD24DB" w:rsidRDefault="00AD24DB" w:rsidP="007F2367">
      <w:pPr>
        <w:rPr>
          <w:rFonts w:cs="Arial"/>
          <w:sz w:val="20"/>
          <w:szCs w:val="20"/>
        </w:rPr>
      </w:pPr>
      <w:r>
        <w:rPr>
          <w:rFonts w:cs="Arial"/>
          <w:sz w:val="20"/>
          <w:szCs w:val="20"/>
        </w:rPr>
        <w:t>12(2)</w:t>
      </w:r>
    </w:p>
    <w:p w:rsidR="007F2367" w:rsidRPr="008A3B12" w:rsidRDefault="007F2367" w:rsidP="007F2367">
      <w:pPr>
        <w:rPr>
          <w:rFonts w:cs="Arial"/>
          <w:sz w:val="20"/>
          <w:szCs w:val="20"/>
        </w:rPr>
      </w:pPr>
      <w:r w:rsidRPr="008A3B12">
        <w:rPr>
          <w:rFonts w:cs="Arial"/>
          <w:sz w:val="20"/>
          <w:szCs w:val="20"/>
        </w:rPr>
        <w:t>18</w:t>
      </w:r>
    </w:p>
    <w:p w:rsidR="007F2367" w:rsidRPr="008A3B12" w:rsidRDefault="007F2367" w:rsidP="007F2367">
      <w:pPr>
        <w:rPr>
          <w:rFonts w:cs="Arial"/>
          <w:b/>
          <w:sz w:val="20"/>
          <w:szCs w:val="20"/>
        </w:rPr>
      </w:pPr>
    </w:p>
    <w:p w:rsidR="007F2367" w:rsidRPr="008A3B12" w:rsidRDefault="007F2367" w:rsidP="007F2367">
      <w:pPr>
        <w:rPr>
          <w:rFonts w:cs="Arial"/>
          <w:i/>
          <w:sz w:val="20"/>
          <w:szCs w:val="20"/>
        </w:rPr>
      </w:pPr>
      <w:r w:rsidRPr="008A3B12">
        <w:rPr>
          <w:rFonts w:cs="Arial"/>
          <w:i/>
          <w:sz w:val="20"/>
          <w:szCs w:val="20"/>
        </w:rPr>
        <w:t>Human Rights (Parliamentary Scrutiny) Act 2011</w:t>
      </w:r>
    </w:p>
    <w:p w:rsidR="007F2367" w:rsidRPr="008A3B12" w:rsidRDefault="007F2367" w:rsidP="007F2367">
      <w:pPr>
        <w:rPr>
          <w:rFonts w:cs="Arial"/>
          <w:sz w:val="20"/>
          <w:szCs w:val="20"/>
        </w:rPr>
      </w:pPr>
      <w:r w:rsidRPr="008A3B12">
        <w:rPr>
          <w:rFonts w:cs="Arial"/>
          <w:sz w:val="20"/>
          <w:szCs w:val="20"/>
        </w:rPr>
        <w:lastRenderedPageBreak/>
        <w:t>Part 3</w:t>
      </w:r>
    </w:p>
    <w:p w:rsidR="007F2367" w:rsidRPr="008A3B12" w:rsidRDefault="007F2367" w:rsidP="007F2367">
      <w:pPr>
        <w:rPr>
          <w:rFonts w:cs="Arial"/>
          <w:sz w:val="20"/>
          <w:szCs w:val="20"/>
        </w:rPr>
      </w:pPr>
      <w:r w:rsidRPr="008A3B12">
        <w:rPr>
          <w:rFonts w:cs="Arial"/>
          <w:sz w:val="20"/>
          <w:szCs w:val="20"/>
        </w:rPr>
        <w:t>3</w:t>
      </w:r>
    </w:p>
    <w:p w:rsidR="007F2367" w:rsidRDefault="007F2367" w:rsidP="007F2367">
      <w:pPr>
        <w:rPr>
          <w:rFonts w:cs="Arial"/>
          <w:b/>
          <w:sz w:val="20"/>
          <w:szCs w:val="20"/>
        </w:rPr>
      </w:pPr>
    </w:p>
    <w:p w:rsidR="00D96A89" w:rsidRPr="00D96A89" w:rsidRDefault="00D96A89" w:rsidP="007F2367">
      <w:pPr>
        <w:rPr>
          <w:rFonts w:cs="Arial"/>
          <w:b/>
          <w:i/>
          <w:sz w:val="20"/>
          <w:szCs w:val="20"/>
        </w:rPr>
      </w:pPr>
      <w:r>
        <w:rPr>
          <w:rFonts w:cs="Arial"/>
          <w:b/>
          <w:i/>
          <w:sz w:val="20"/>
          <w:szCs w:val="20"/>
        </w:rPr>
        <w:t>Case references</w:t>
      </w:r>
    </w:p>
    <w:p w:rsidR="00D96A89" w:rsidRDefault="00D96A89" w:rsidP="007F2367">
      <w:pPr>
        <w:rPr>
          <w:rFonts w:cs="Arial"/>
          <w:b/>
          <w:sz w:val="20"/>
          <w:szCs w:val="20"/>
        </w:rPr>
      </w:pPr>
      <w:r>
        <w:rPr>
          <w:rFonts w:cs="Arial"/>
          <w:i/>
          <w:sz w:val="18"/>
          <w:szCs w:val="18"/>
        </w:rPr>
        <w:t xml:space="preserve">AP Group Ltd v. Federal Commissioner of Taxation </w:t>
      </w:r>
      <w:r>
        <w:rPr>
          <w:rFonts w:cs="Arial"/>
          <w:sz w:val="18"/>
          <w:szCs w:val="18"/>
        </w:rPr>
        <w:t>(2013) 214 FCR 301; [2013] FCAFC 105</w:t>
      </w:r>
    </w:p>
    <w:p w:rsidR="00D96A89" w:rsidRPr="008A3B12" w:rsidRDefault="00D96A89" w:rsidP="007F2367">
      <w:pPr>
        <w:rPr>
          <w:rFonts w:cs="Arial"/>
          <w:b/>
          <w:sz w:val="20"/>
          <w:szCs w:val="20"/>
        </w:rPr>
      </w:pPr>
    </w:p>
    <w:p w:rsidR="007F2367" w:rsidRPr="008A3B12" w:rsidRDefault="007F2367" w:rsidP="007F2367">
      <w:pPr>
        <w:rPr>
          <w:rFonts w:cs="Arial"/>
          <w:b/>
          <w:i/>
          <w:sz w:val="20"/>
          <w:szCs w:val="20"/>
        </w:rPr>
      </w:pPr>
      <w:r w:rsidRPr="008A3B12">
        <w:rPr>
          <w:rFonts w:cs="Arial"/>
          <w:b/>
          <w:i/>
          <w:sz w:val="20"/>
          <w:szCs w:val="20"/>
        </w:rPr>
        <w:t>Subject references</w:t>
      </w:r>
    </w:p>
    <w:p w:rsidR="007F2367" w:rsidRPr="008A3B12" w:rsidRDefault="007F2367" w:rsidP="007F2367">
      <w:pPr>
        <w:rPr>
          <w:rFonts w:cs="Arial"/>
          <w:sz w:val="20"/>
          <w:szCs w:val="20"/>
        </w:rPr>
      </w:pPr>
      <w:r w:rsidRPr="008A3B12">
        <w:rPr>
          <w:rFonts w:cs="Arial"/>
          <w:sz w:val="20"/>
          <w:szCs w:val="20"/>
        </w:rPr>
        <w:t>Goods and services tax</w:t>
      </w:r>
    </w:p>
    <w:p w:rsidR="007F2367" w:rsidRPr="008A3B12" w:rsidRDefault="007F2367" w:rsidP="007F2367">
      <w:pPr>
        <w:rPr>
          <w:rFonts w:cs="Arial"/>
          <w:sz w:val="20"/>
          <w:szCs w:val="20"/>
        </w:rPr>
      </w:pPr>
      <w:r w:rsidRPr="008A3B12">
        <w:rPr>
          <w:rFonts w:cs="Arial"/>
          <w:sz w:val="20"/>
          <w:szCs w:val="20"/>
        </w:rPr>
        <w:t>Attribution rules</w:t>
      </w:r>
    </w:p>
    <w:p w:rsidR="007F2367" w:rsidRPr="008A3B12" w:rsidRDefault="007F2367" w:rsidP="007F2367">
      <w:pPr>
        <w:rPr>
          <w:rFonts w:cs="Arial"/>
          <w:sz w:val="20"/>
          <w:szCs w:val="20"/>
        </w:rPr>
      </w:pPr>
      <w:r w:rsidRPr="008A3B12">
        <w:rPr>
          <w:rFonts w:cs="Arial"/>
          <w:sz w:val="20"/>
          <w:szCs w:val="20"/>
        </w:rPr>
        <w:t>Creditable acquisition</w:t>
      </w:r>
    </w:p>
    <w:p w:rsidR="007F2367" w:rsidRPr="008A3B12" w:rsidRDefault="007F2367" w:rsidP="007F2367">
      <w:pPr>
        <w:rPr>
          <w:rFonts w:cs="Arial"/>
          <w:sz w:val="20"/>
          <w:szCs w:val="20"/>
        </w:rPr>
      </w:pPr>
      <w:r w:rsidRPr="008A3B12">
        <w:rPr>
          <w:rFonts w:cs="Arial"/>
          <w:sz w:val="20"/>
          <w:szCs w:val="20"/>
        </w:rPr>
        <w:t>GST input tax credits &amp; creditable acquisitions</w:t>
      </w:r>
    </w:p>
    <w:p w:rsidR="007F2367" w:rsidRPr="004F2F2F" w:rsidRDefault="007F2367" w:rsidP="007F2367">
      <w:pPr>
        <w:rPr>
          <w:rFonts w:cs="Arial"/>
          <w:sz w:val="20"/>
          <w:szCs w:val="20"/>
        </w:rPr>
      </w:pPr>
      <w:r w:rsidRPr="008A3B12">
        <w:rPr>
          <w:rFonts w:cs="Arial"/>
          <w:sz w:val="20"/>
          <w:szCs w:val="20"/>
        </w:rPr>
        <w:t>Taxable supply</w:t>
      </w:r>
    </w:p>
    <w:p w:rsidR="007F2367" w:rsidRPr="00D12AE7" w:rsidRDefault="007F2367" w:rsidP="007F2367">
      <w:pPr>
        <w:rPr>
          <w:rFonts w:cs="Arial"/>
          <w:b/>
          <w:sz w:val="20"/>
          <w:szCs w:val="20"/>
        </w:rPr>
      </w:pPr>
    </w:p>
    <w:p w:rsidR="007F2367" w:rsidRPr="004F2F2F" w:rsidRDefault="00763BFA" w:rsidP="007F2367">
      <w:pPr>
        <w:rPr>
          <w:rFonts w:ascii="Verdana" w:hAnsi="Verdana"/>
          <w:sz w:val="20"/>
          <w:szCs w:val="20"/>
        </w:rPr>
      </w:pPr>
      <w:r>
        <w:rPr>
          <w:rFonts w:cs="Arial"/>
          <w:sz w:val="20"/>
          <w:szCs w:val="20"/>
        </w:rPr>
        <w:pict>
          <v:rect id="_x0000_i1026" style="width:0;height:1.5pt" o:hralign="center" o:hrstd="t" o:hr="t" fillcolor="#aca899" stroked="f"/>
        </w:pict>
      </w:r>
    </w:p>
    <w:p w:rsidR="007F2367" w:rsidRPr="004F2F2F" w:rsidRDefault="007F2367" w:rsidP="007F2367">
      <w:pPr>
        <w:rPr>
          <w:rFonts w:cs="Arial"/>
          <w:b/>
          <w:sz w:val="20"/>
          <w:szCs w:val="20"/>
        </w:rPr>
      </w:pPr>
      <w:r w:rsidRPr="004F2F2F">
        <w:rPr>
          <w:rFonts w:cs="Arial"/>
          <w:b/>
          <w:sz w:val="20"/>
          <w:szCs w:val="20"/>
        </w:rPr>
        <w:t>Tax Office references</w:t>
      </w:r>
      <w:bookmarkStart w:id="13" w:name="TATORef"/>
      <w:bookmarkEnd w:id="13"/>
    </w:p>
    <w:p w:rsidR="007F2367" w:rsidRPr="004F2F2F" w:rsidRDefault="007F2367" w:rsidP="007F2367">
      <w:pPr>
        <w:rPr>
          <w:rFonts w:cs="Arial"/>
          <w:sz w:val="20"/>
          <w:szCs w:val="20"/>
        </w:rPr>
      </w:pPr>
    </w:p>
    <w:tbl>
      <w:tblPr>
        <w:tblW w:w="0" w:type="auto"/>
        <w:tblInd w:w="108" w:type="dxa"/>
        <w:tblLook w:val="01E0" w:firstRow="1" w:lastRow="1" w:firstColumn="1" w:lastColumn="1" w:noHBand="0" w:noVBand="0"/>
      </w:tblPr>
      <w:tblGrid>
        <w:gridCol w:w="2340"/>
        <w:gridCol w:w="6612"/>
      </w:tblGrid>
      <w:tr w:rsidR="007F2367" w:rsidRPr="004F2F2F" w:rsidTr="00ED372E">
        <w:tc>
          <w:tcPr>
            <w:tcW w:w="2340" w:type="dxa"/>
          </w:tcPr>
          <w:p w:rsidR="007F2367" w:rsidRPr="00AC6514" w:rsidRDefault="007F2367" w:rsidP="00ED372E">
            <w:pPr>
              <w:rPr>
                <w:rFonts w:cs="Arial"/>
                <w:sz w:val="20"/>
                <w:szCs w:val="20"/>
              </w:rPr>
            </w:pPr>
            <w:bookmarkStart w:id="14" w:name="VISSN"/>
            <w:bookmarkEnd w:id="14"/>
            <w:r w:rsidRPr="00AC6514">
              <w:rPr>
                <w:rFonts w:cs="Arial"/>
                <w:sz w:val="20"/>
                <w:szCs w:val="20"/>
              </w:rPr>
              <w:t>NO:</w:t>
            </w:r>
          </w:p>
        </w:tc>
        <w:tc>
          <w:tcPr>
            <w:tcW w:w="6612" w:type="dxa"/>
          </w:tcPr>
          <w:p w:rsidR="007F2367" w:rsidRPr="00AC6514" w:rsidRDefault="007F2367" w:rsidP="00ED372E">
            <w:pPr>
              <w:rPr>
                <w:rFonts w:cs="Arial"/>
                <w:sz w:val="20"/>
                <w:szCs w:val="20"/>
              </w:rPr>
            </w:pPr>
          </w:p>
        </w:tc>
      </w:tr>
      <w:tr w:rsidR="007F2367" w:rsidRPr="004F2F2F" w:rsidTr="00ED372E">
        <w:tc>
          <w:tcPr>
            <w:tcW w:w="2340" w:type="dxa"/>
          </w:tcPr>
          <w:p w:rsidR="007F2367" w:rsidRPr="00AC6514" w:rsidRDefault="007F2367" w:rsidP="00ED372E">
            <w:pPr>
              <w:rPr>
                <w:rFonts w:cs="Arial"/>
                <w:sz w:val="20"/>
                <w:szCs w:val="20"/>
              </w:rPr>
            </w:pPr>
            <w:r w:rsidRPr="00AC6514">
              <w:rPr>
                <w:rFonts w:cs="Arial"/>
                <w:sz w:val="20"/>
                <w:szCs w:val="20"/>
              </w:rPr>
              <w:t>ISSN:</w:t>
            </w:r>
          </w:p>
        </w:tc>
        <w:tc>
          <w:tcPr>
            <w:tcW w:w="6612" w:type="dxa"/>
          </w:tcPr>
          <w:p w:rsidR="007F2367" w:rsidRPr="00AC6514" w:rsidRDefault="007F2367" w:rsidP="00ED372E">
            <w:pPr>
              <w:rPr>
                <w:rFonts w:cs="Arial"/>
                <w:sz w:val="20"/>
                <w:szCs w:val="20"/>
              </w:rPr>
            </w:pPr>
          </w:p>
        </w:tc>
      </w:tr>
    </w:tbl>
    <w:p w:rsidR="007F2367" w:rsidRDefault="007F2367" w:rsidP="007F2367"/>
    <w:p w:rsidR="007F2367" w:rsidRPr="00C67FAB" w:rsidRDefault="007F2367" w:rsidP="007F2367">
      <w:pPr>
        <w:pStyle w:val="Heading3"/>
        <w:jc w:val="center"/>
        <w:rPr>
          <w:sz w:val="24"/>
          <w:szCs w:val="24"/>
        </w:rPr>
      </w:pPr>
      <w:r>
        <w:br w:type="page"/>
      </w:r>
      <w:r w:rsidRPr="00C67FAB">
        <w:rPr>
          <w:sz w:val="24"/>
          <w:szCs w:val="24"/>
        </w:rPr>
        <w:lastRenderedPageBreak/>
        <w:t>Statement of Compatibility with Human Rights</w:t>
      </w:r>
    </w:p>
    <w:p w:rsidR="007F2367" w:rsidRPr="00C67FAB" w:rsidRDefault="007F2367" w:rsidP="007F2367"/>
    <w:p w:rsidR="007F2367" w:rsidRPr="00C67FAB" w:rsidRDefault="007F2367" w:rsidP="007F2367">
      <w:pPr>
        <w:rPr>
          <w:rFonts w:cs="Arial"/>
          <w:sz w:val="22"/>
          <w:szCs w:val="22"/>
        </w:rPr>
      </w:pPr>
      <w:r w:rsidRPr="00C67FAB">
        <w:rPr>
          <w:rFonts w:cs="Arial"/>
          <w:sz w:val="22"/>
          <w:szCs w:val="22"/>
        </w:rPr>
        <w:t xml:space="preserve">This Statement is prepared in accordance with Part 3 of the </w:t>
      </w:r>
      <w:r w:rsidRPr="00C67FAB">
        <w:rPr>
          <w:rFonts w:cs="Arial"/>
          <w:i/>
          <w:sz w:val="22"/>
          <w:szCs w:val="22"/>
        </w:rPr>
        <w:t>Human Rights (Parliamentary Scrutiny) Act 2011</w:t>
      </w:r>
      <w:r w:rsidRPr="00C67FAB">
        <w:rPr>
          <w:rFonts w:cs="Arial"/>
          <w:sz w:val="22"/>
          <w:szCs w:val="22"/>
        </w:rPr>
        <w:t>.</w:t>
      </w:r>
    </w:p>
    <w:p w:rsidR="007F2367" w:rsidRPr="00C67FAB" w:rsidRDefault="007F2367" w:rsidP="007F2367"/>
    <w:p w:rsidR="007F2367" w:rsidRPr="00C67FAB" w:rsidRDefault="007F2367" w:rsidP="003127D7">
      <w:pPr>
        <w:pStyle w:val="Heading2"/>
        <w:spacing w:after="0"/>
        <w:jc w:val="center"/>
        <w:rPr>
          <w:szCs w:val="22"/>
        </w:rPr>
      </w:pPr>
      <w:r w:rsidRPr="00C67FAB">
        <w:rPr>
          <w:szCs w:val="22"/>
        </w:rPr>
        <w:t xml:space="preserve">A New Tax System (Goods and Services Tax) </w:t>
      </w:r>
      <w:r w:rsidR="0012390F" w:rsidRPr="0012390F">
        <w:rPr>
          <w:iCs/>
          <w:szCs w:val="22"/>
        </w:rPr>
        <w:t xml:space="preserve">(Particular Attribution Rules for </w:t>
      </w:r>
      <w:r w:rsidR="00395D6D">
        <w:rPr>
          <w:iCs/>
          <w:szCs w:val="22"/>
        </w:rPr>
        <w:t xml:space="preserve">Certain </w:t>
      </w:r>
      <w:r w:rsidR="0012390F" w:rsidRPr="0012390F">
        <w:rPr>
          <w:iCs/>
          <w:szCs w:val="22"/>
        </w:rPr>
        <w:t>Motor Vehicle Incentive Payment</w:t>
      </w:r>
      <w:r w:rsidR="000D7575">
        <w:rPr>
          <w:iCs/>
          <w:szCs w:val="22"/>
        </w:rPr>
        <w:t>s</w:t>
      </w:r>
      <w:r w:rsidR="0012390F" w:rsidRPr="0012390F">
        <w:rPr>
          <w:iCs/>
          <w:szCs w:val="22"/>
        </w:rPr>
        <w:t xml:space="preserve"> Made to Motor Vehicle Dealer</w:t>
      </w:r>
      <w:r w:rsidR="000D7575">
        <w:rPr>
          <w:iCs/>
          <w:szCs w:val="22"/>
        </w:rPr>
        <w:t>s</w:t>
      </w:r>
      <w:r w:rsidR="0012390F" w:rsidRPr="0012390F">
        <w:rPr>
          <w:iCs/>
          <w:szCs w:val="22"/>
        </w:rPr>
        <w:t>) Legislative Instrument 2015</w:t>
      </w:r>
    </w:p>
    <w:p w:rsidR="007F2367" w:rsidRPr="00C67FAB" w:rsidRDefault="007F2367" w:rsidP="007F2367">
      <w:pPr>
        <w:rPr>
          <w:b/>
        </w:rPr>
      </w:pPr>
    </w:p>
    <w:p w:rsidR="007F2367" w:rsidRPr="00C67FAB" w:rsidRDefault="007F2367" w:rsidP="007F2367">
      <w:pPr>
        <w:rPr>
          <w:rFonts w:cs="Arial"/>
          <w:sz w:val="22"/>
          <w:szCs w:val="22"/>
        </w:rPr>
      </w:pPr>
      <w:r w:rsidRPr="00C67FAB">
        <w:rPr>
          <w:rFonts w:cs="Arial"/>
          <w:sz w:val="22"/>
          <w:szCs w:val="22"/>
        </w:rPr>
        <w:t xml:space="preserve">This legislative instrument is compatible with the human rights and freedoms recognised or declared in the international instruments listed in section 3 of the </w:t>
      </w:r>
      <w:r w:rsidRPr="00C67FAB">
        <w:rPr>
          <w:rFonts w:cs="Arial"/>
          <w:i/>
          <w:sz w:val="22"/>
          <w:szCs w:val="22"/>
        </w:rPr>
        <w:t>Human Rights (Parliamentary Scrutiny) Act 2011.</w:t>
      </w:r>
    </w:p>
    <w:p w:rsidR="007F2367" w:rsidRPr="00C67FAB" w:rsidRDefault="007F2367" w:rsidP="007F2367">
      <w:pPr>
        <w:pStyle w:val="NumberedList"/>
        <w:numPr>
          <w:ilvl w:val="0"/>
          <w:numId w:val="0"/>
        </w:numPr>
        <w:tabs>
          <w:tab w:val="left" w:pos="720"/>
        </w:tabs>
        <w:ind w:left="40"/>
        <w:jc w:val="both"/>
        <w:rPr>
          <w:rFonts w:ascii="Arial" w:hAnsi="Arial" w:cs="Arial"/>
        </w:rPr>
      </w:pPr>
    </w:p>
    <w:p w:rsidR="007F2367" w:rsidRPr="00C67FAB" w:rsidRDefault="007F2367" w:rsidP="007F2367">
      <w:pPr>
        <w:rPr>
          <w:rFonts w:cs="Arial"/>
          <w:b/>
          <w:bCs/>
          <w:sz w:val="22"/>
          <w:szCs w:val="22"/>
        </w:rPr>
      </w:pPr>
      <w:r w:rsidRPr="00C67FAB">
        <w:rPr>
          <w:rFonts w:cs="Arial"/>
          <w:b/>
          <w:bCs/>
          <w:sz w:val="22"/>
          <w:szCs w:val="22"/>
        </w:rPr>
        <w:t>Overview</w:t>
      </w:r>
    </w:p>
    <w:p w:rsidR="007F2367" w:rsidRPr="00C67FAB" w:rsidRDefault="007F2367" w:rsidP="007F2367">
      <w:pPr>
        <w:rPr>
          <w:rFonts w:cs="Arial"/>
          <w:sz w:val="22"/>
          <w:szCs w:val="22"/>
        </w:rPr>
      </w:pPr>
    </w:p>
    <w:p w:rsidR="007F2367" w:rsidRPr="00C67FAB" w:rsidRDefault="009C255D" w:rsidP="007F2367">
      <w:pPr>
        <w:spacing w:after="120"/>
        <w:rPr>
          <w:rFonts w:cs="Arial"/>
          <w:iCs/>
          <w:sz w:val="22"/>
          <w:szCs w:val="22"/>
        </w:rPr>
      </w:pPr>
      <w:r w:rsidRPr="009C255D">
        <w:rPr>
          <w:rFonts w:cs="Arial"/>
          <w:iCs/>
          <w:sz w:val="22"/>
          <w:szCs w:val="22"/>
        </w:rPr>
        <w:t xml:space="preserve">This instrument sets out an alternative GST attribution rule in circumstances where a motor vehicle dealer receives a motor vehicle incentive payment in an earlier tax period than </w:t>
      </w:r>
      <w:r w:rsidR="00130450">
        <w:rPr>
          <w:rFonts w:cs="Arial"/>
          <w:iCs/>
          <w:sz w:val="22"/>
          <w:szCs w:val="22"/>
        </w:rPr>
        <w:t>the tax period in which the</w:t>
      </w:r>
      <w:r w:rsidRPr="009C255D">
        <w:rPr>
          <w:rFonts w:cs="Arial"/>
          <w:iCs/>
          <w:sz w:val="22"/>
          <w:szCs w:val="22"/>
        </w:rPr>
        <w:t xml:space="preserve"> motor vehicle</w:t>
      </w:r>
      <w:r w:rsidR="00130450">
        <w:rPr>
          <w:rFonts w:cs="Arial"/>
          <w:iCs/>
          <w:sz w:val="22"/>
          <w:szCs w:val="22"/>
        </w:rPr>
        <w:t xml:space="preserve"> was supplied</w:t>
      </w:r>
      <w:r w:rsidRPr="009C255D">
        <w:rPr>
          <w:rFonts w:cs="Arial"/>
          <w:iCs/>
          <w:sz w:val="22"/>
          <w:szCs w:val="22"/>
        </w:rPr>
        <w:t xml:space="preserve"> by the dealer. In these situations, the GST payable will be attributable to the tax period in which the total consideration for the supply of the motor vehicle by the dealer is known. It is expected that this will be the tax period in which the dealer and customer enter into a contract for the sale of the motor vehicle.</w:t>
      </w:r>
    </w:p>
    <w:p w:rsidR="007F2367" w:rsidRPr="00C67FAB" w:rsidRDefault="007F2367" w:rsidP="007F2367">
      <w:pPr>
        <w:rPr>
          <w:rFonts w:cs="Arial"/>
          <w:sz w:val="22"/>
          <w:szCs w:val="22"/>
        </w:rPr>
      </w:pPr>
    </w:p>
    <w:p w:rsidR="007F2367" w:rsidRPr="00C67FAB" w:rsidRDefault="007F2367" w:rsidP="007F2367">
      <w:pPr>
        <w:rPr>
          <w:rFonts w:cs="Arial"/>
          <w:b/>
          <w:bCs/>
          <w:sz w:val="22"/>
          <w:szCs w:val="22"/>
        </w:rPr>
      </w:pPr>
      <w:r w:rsidRPr="00C67FAB">
        <w:rPr>
          <w:rFonts w:cs="Arial"/>
          <w:b/>
          <w:bCs/>
          <w:sz w:val="22"/>
          <w:szCs w:val="22"/>
        </w:rPr>
        <w:t>Human Rights Implications</w:t>
      </w:r>
    </w:p>
    <w:p w:rsidR="007F2367" w:rsidRPr="00C67FAB" w:rsidRDefault="007F2367" w:rsidP="007F2367">
      <w:pPr>
        <w:rPr>
          <w:rFonts w:cs="Arial"/>
          <w:sz w:val="22"/>
          <w:szCs w:val="22"/>
        </w:rPr>
      </w:pPr>
    </w:p>
    <w:p w:rsidR="007F2367" w:rsidRPr="00C67FAB" w:rsidRDefault="007F2367" w:rsidP="007F2367">
      <w:pPr>
        <w:keepLines/>
        <w:spacing w:after="120"/>
        <w:rPr>
          <w:rFonts w:cs="Arial"/>
          <w:sz w:val="22"/>
          <w:szCs w:val="22"/>
        </w:rPr>
      </w:pPr>
      <w:r w:rsidRPr="00C67FAB">
        <w:rPr>
          <w:sz w:val="22"/>
          <w:szCs w:val="22"/>
        </w:rPr>
        <w:t>On an assessment of the compatibility of this instrument with the seven core international human rights treaties to which Australia is a party, it has been determined that this instrument does not engage any of the applicable rights or freedoms</w:t>
      </w:r>
      <w:r w:rsidRPr="00C67FAB">
        <w:rPr>
          <w:rFonts w:cs="Arial"/>
          <w:sz w:val="22"/>
          <w:szCs w:val="22"/>
        </w:rPr>
        <w:t xml:space="preserve"> because the instrument is minor or machinery in nature.</w:t>
      </w:r>
    </w:p>
    <w:p w:rsidR="007F2367" w:rsidRPr="00C67FAB" w:rsidRDefault="007F2367" w:rsidP="007F2367">
      <w:pPr>
        <w:rPr>
          <w:rFonts w:cs="Arial"/>
          <w:b/>
          <w:bCs/>
          <w:sz w:val="22"/>
          <w:szCs w:val="22"/>
        </w:rPr>
      </w:pPr>
    </w:p>
    <w:p w:rsidR="007F2367" w:rsidRPr="00C67FAB" w:rsidRDefault="007F2367" w:rsidP="007F2367">
      <w:pPr>
        <w:rPr>
          <w:rFonts w:cs="Arial"/>
          <w:b/>
          <w:bCs/>
          <w:sz w:val="22"/>
          <w:szCs w:val="22"/>
        </w:rPr>
      </w:pPr>
      <w:r w:rsidRPr="00C67FAB">
        <w:rPr>
          <w:rFonts w:cs="Arial"/>
          <w:b/>
          <w:bCs/>
          <w:sz w:val="22"/>
          <w:szCs w:val="22"/>
        </w:rPr>
        <w:t>Conclusion</w:t>
      </w:r>
    </w:p>
    <w:p w:rsidR="007F2367" w:rsidRPr="00C67FAB" w:rsidRDefault="007F2367" w:rsidP="007F2367">
      <w:pPr>
        <w:rPr>
          <w:rFonts w:cs="Arial"/>
          <w:sz w:val="22"/>
          <w:szCs w:val="22"/>
        </w:rPr>
      </w:pPr>
    </w:p>
    <w:p w:rsidR="007F2367" w:rsidRPr="00C67FAB" w:rsidRDefault="007F2367" w:rsidP="007F2367">
      <w:pPr>
        <w:rPr>
          <w:rFonts w:cs="Arial"/>
          <w:sz w:val="22"/>
          <w:szCs w:val="22"/>
        </w:rPr>
      </w:pPr>
      <w:r w:rsidRPr="00C67FAB">
        <w:rPr>
          <w:rFonts w:cs="Arial"/>
          <w:sz w:val="22"/>
          <w:szCs w:val="22"/>
        </w:rPr>
        <w:t xml:space="preserve">This </w:t>
      </w:r>
      <w:r w:rsidRPr="00C67FAB">
        <w:rPr>
          <w:rFonts w:cs="Arial"/>
          <w:bCs/>
          <w:sz w:val="22"/>
          <w:szCs w:val="22"/>
        </w:rPr>
        <w:t>legislative instrument</w:t>
      </w:r>
      <w:r w:rsidRPr="00C67FAB">
        <w:rPr>
          <w:rFonts w:cs="Arial"/>
          <w:sz w:val="22"/>
          <w:szCs w:val="22"/>
        </w:rPr>
        <w:t xml:space="preserve"> is compatible with human rights as it does not raise any human rights issues.</w:t>
      </w:r>
    </w:p>
    <w:p w:rsidR="007F2367" w:rsidRPr="00C67FAB" w:rsidRDefault="007F2367" w:rsidP="007F2367"/>
    <w:p w:rsidR="007F2367" w:rsidRPr="00C67FAB" w:rsidRDefault="007F2367" w:rsidP="007F2367"/>
    <w:p w:rsidR="007F2367" w:rsidRPr="00C67FAB" w:rsidRDefault="007F2367" w:rsidP="007F2367"/>
    <w:p w:rsidR="007F2367" w:rsidRDefault="007F2367" w:rsidP="007F2367"/>
    <w:p w:rsidR="007F2367" w:rsidRPr="004F2F2F" w:rsidRDefault="007F2367" w:rsidP="007F2367"/>
    <w:p w:rsidR="004E3200" w:rsidRDefault="004E3200"/>
    <w:sectPr w:rsidR="004E3200" w:rsidSect="00626FA8">
      <w:pgSz w:w="11906" w:h="16838" w:code="9"/>
      <w:pgMar w:top="1440" w:right="907" w:bottom="1440" w:left="2155" w:header="720" w:footer="720" w:gutter="0"/>
      <w:paperSrc w:first="15" w:other="15"/>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3BFA" w:rsidRDefault="00763BFA" w:rsidP="007F2367">
      <w:r>
        <w:separator/>
      </w:r>
    </w:p>
  </w:endnote>
  <w:endnote w:type="continuationSeparator" w:id="0">
    <w:p w:rsidR="00763BFA" w:rsidRDefault="00763BFA" w:rsidP="007F23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Helvetica Neue">
    <w:altName w:val="Arial Unicode MS"/>
    <w:panose1 w:val="00000000000000000000"/>
    <w:charset w:val="80"/>
    <w:family w:val="auto"/>
    <w:notTrueType/>
    <w:pitch w:val="default"/>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3BFA" w:rsidRDefault="00763BFA" w:rsidP="007F2367">
      <w:r>
        <w:separator/>
      </w:r>
    </w:p>
  </w:footnote>
  <w:footnote w:type="continuationSeparator" w:id="0">
    <w:p w:rsidR="00763BFA" w:rsidRDefault="00763BFA" w:rsidP="007F2367">
      <w:r>
        <w:continuationSeparator/>
      </w:r>
    </w:p>
  </w:footnote>
  <w:footnote w:id="1">
    <w:p w:rsidR="00231D50" w:rsidRPr="00231D50" w:rsidRDefault="00231D50">
      <w:pPr>
        <w:pStyle w:val="FootnoteText"/>
        <w:rPr>
          <w:rFonts w:ascii="Arial" w:hAnsi="Arial" w:cs="Arial"/>
          <w:sz w:val="18"/>
          <w:szCs w:val="18"/>
        </w:rPr>
      </w:pPr>
      <w:r>
        <w:rPr>
          <w:rStyle w:val="FootnoteReference"/>
        </w:rPr>
        <w:footnoteRef/>
      </w:r>
      <w:r>
        <w:t xml:space="preserve"> </w:t>
      </w:r>
      <w:r w:rsidRPr="00231D50">
        <w:rPr>
          <w:rFonts w:ascii="Arial" w:hAnsi="Arial" w:cs="Arial"/>
          <w:sz w:val="18"/>
          <w:szCs w:val="18"/>
        </w:rPr>
        <w:t>Paragraph 29-25(2)(b) of the GST Act.</w:t>
      </w:r>
    </w:p>
  </w:footnote>
  <w:footnote w:id="2">
    <w:p w:rsidR="007D3258" w:rsidRPr="007D3258" w:rsidRDefault="007D3258">
      <w:pPr>
        <w:pStyle w:val="FootnoteText"/>
        <w:rPr>
          <w:rFonts w:ascii="Arial" w:hAnsi="Arial" w:cs="Arial"/>
          <w:sz w:val="18"/>
          <w:szCs w:val="18"/>
        </w:rPr>
      </w:pPr>
      <w:r w:rsidRPr="007D3258">
        <w:rPr>
          <w:rStyle w:val="FootnoteReference"/>
          <w:rFonts w:ascii="Arial" w:hAnsi="Arial" w:cs="Arial"/>
          <w:sz w:val="18"/>
          <w:szCs w:val="18"/>
        </w:rPr>
        <w:footnoteRef/>
      </w:r>
      <w:r w:rsidRPr="007D3258">
        <w:rPr>
          <w:rFonts w:ascii="Arial" w:hAnsi="Arial" w:cs="Arial"/>
          <w:sz w:val="18"/>
          <w:szCs w:val="18"/>
        </w:rPr>
        <w:t xml:space="preserve"> Subsection 12(2) of the </w:t>
      </w:r>
      <w:r w:rsidRPr="007D3258">
        <w:rPr>
          <w:rFonts w:ascii="Arial" w:hAnsi="Arial" w:cs="Arial"/>
          <w:i/>
          <w:iCs/>
          <w:sz w:val="18"/>
          <w:szCs w:val="18"/>
        </w:rPr>
        <w:t>Legislative Instruments Act 2003</w:t>
      </w:r>
      <w:r w:rsidRPr="007D3258">
        <w:rPr>
          <w:rFonts w:ascii="Arial" w:hAnsi="Arial" w:cs="Arial"/>
          <w:sz w:val="18"/>
          <w:szCs w:val="18"/>
        </w:rPr>
        <w:t xml:space="preserve"> provides that a retrospective legislative instrument (or provision of that instrument) will be of no effect if it applies to adversely affect the rights or liabilities of any person other than the Commonwealth or an authority of the Commonwealth.</w:t>
      </w:r>
    </w:p>
  </w:footnote>
  <w:footnote w:id="3">
    <w:p w:rsidR="00BC6FD5" w:rsidRPr="0065330D" w:rsidRDefault="00BC6FD5">
      <w:pPr>
        <w:pStyle w:val="FootnoteText"/>
        <w:rPr>
          <w:rFonts w:ascii="Arial" w:hAnsi="Arial" w:cs="Arial"/>
          <w:sz w:val="18"/>
          <w:szCs w:val="18"/>
        </w:rPr>
      </w:pPr>
      <w:r>
        <w:rPr>
          <w:rStyle w:val="FootnoteReference"/>
        </w:rPr>
        <w:footnoteRef/>
      </w:r>
      <w:r>
        <w:t xml:space="preserve"> </w:t>
      </w:r>
      <w:r w:rsidR="000F3695" w:rsidRPr="0065330D">
        <w:rPr>
          <w:rFonts w:ascii="Arial" w:hAnsi="Arial" w:cs="Arial"/>
          <w:sz w:val="18"/>
          <w:szCs w:val="18"/>
        </w:rPr>
        <w:t>Paragraph</w:t>
      </w:r>
      <w:r w:rsidR="00F04926" w:rsidRPr="0065330D">
        <w:rPr>
          <w:rFonts w:ascii="Arial" w:hAnsi="Arial" w:cs="Arial"/>
          <w:sz w:val="18"/>
          <w:szCs w:val="18"/>
        </w:rPr>
        <w:t xml:space="preserve"> 29-5(1)</w:t>
      </w:r>
      <w:r w:rsidR="000F3695" w:rsidRPr="0065330D">
        <w:rPr>
          <w:rFonts w:ascii="Arial" w:hAnsi="Arial" w:cs="Arial"/>
          <w:sz w:val="18"/>
          <w:szCs w:val="18"/>
        </w:rPr>
        <w:t>(a)</w:t>
      </w:r>
      <w:r w:rsidR="00F04926" w:rsidRPr="0065330D">
        <w:rPr>
          <w:rFonts w:ascii="Arial" w:hAnsi="Arial" w:cs="Arial"/>
          <w:sz w:val="18"/>
          <w:szCs w:val="18"/>
        </w:rPr>
        <w:t xml:space="preserve"> of the GST Act. However, the attribution rules differ if </w:t>
      </w:r>
      <w:r w:rsidR="000F3695" w:rsidRPr="0065330D">
        <w:rPr>
          <w:rFonts w:ascii="Arial" w:hAnsi="Arial" w:cs="Arial"/>
          <w:sz w:val="18"/>
          <w:szCs w:val="18"/>
        </w:rPr>
        <w:t>the dealer acco</w:t>
      </w:r>
      <w:r w:rsidR="00D11713">
        <w:rPr>
          <w:rFonts w:ascii="Arial" w:hAnsi="Arial" w:cs="Arial"/>
          <w:sz w:val="18"/>
          <w:szCs w:val="18"/>
        </w:rPr>
        <w:t>unts</w:t>
      </w:r>
      <w:r w:rsidR="000F3695" w:rsidRPr="0065330D">
        <w:rPr>
          <w:rFonts w:ascii="Arial" w:hAnsi="Arial" w:cs="Arial"/>
          <w:sz w:val="18"/>
          <w:szCs w:val="18"/>
        </w:rPr>
        <w:t xml:space="preserve"> on a cash basis</w:t>
      </w:r>
      <w:r w:rsidR="00D11713">
        <w:rPr>
          <w:rFonts w:ascii="Arial" w:hAnsi="Arial" w:cs="Arial"/>
          <w:sz w:val="18"/>
          <w:szCs w:val="18"/>
        </w:rPr>
        <w:t xml:space="preserve"> in which case the GST payable will be attributable to the extent that the consideration is received in a tax period</w:t>
      </w:r>
      <w:r w:rsidR="000F3695" w:rsidRPr="0065330D">
        <w:rPr>
          <w:rFonts w:ascii="Arial" w:hAnsi="Arial" w:cs="Arial"/>
          <w:sz w:val="18"/>
          <w:szCs w:val="18"/>
        </w:rPr>
        <w:t xml:space="preserve"> (subsection 29-5(2) of the GST Act).</w:t>
      </w:r>
    </w:p>
  </w:footnote>
  <w:footnote w:id="4">
    <w:p w:rsidR="00AF159B" w:rsidRPr="0018015B" w:rsidRDefault="00AF159B">
      <w:pPr>
        <w:pStyle w:val="FootnoteText"/>
        <w:rPr>
          <w:rFonts w:ascii="Arial" w:hAnsi="Arial" w:cs="Arial"/>
          <w:sz w:val="18"/>
          <w:szCs w:val="18"/>
        </w:rPr>
      </w:pPr>
      <w:r w:rsidRPr="0018015B">
        <w:rPr>
          <w:rStyle w:val="FootnoteReference"/>
          <w:rFonts w:ascii="Arial" w:hAnsi="Arial" w:cs="Arial"/>
          <w:sz w:val="18"/>
          <w:szCs w:val="18"/>
        </w:rPr>
        <w:footnoteRef/>
      </w:r>
      <w:r w:rsidRPr="0018015B">
        <w:rPr>
          <w:rFonts w:ascii="Arial" w:hAnsi="Arial" w:cs="Arial"/>
          <w:sz w:val="18"/>
          <w:szCs w:val="18"/>
        </w:rPr>
        <w:t xml:space="preserve"> Paragraph 29-5(1)(b) of the GST Act.</w:t>
      </w:r>
    </w:p>
  </w:footnote>
  <w:footnote w:id="5">
    <w:p w:rsidR="000F3695" w:rsidRPr="0065330D" w:rsidRDefault="000F3695">
      <w:pPr>
        <w:pStyle w:val="FootnoteText"/>
        <w:rPr>
          <w:rFonts w:ascii="Arial" w:hAnsi="Arial" w:cs="Arial"/>
          <w:sz w:val="18"/>
          <w:szCs w:val="18"/>
        </w:rPr>
      </w:pPr>
      <w:r>
        <w:rPr>
          <w:rStyle w:val="FootnoteReference"/>
        </w:rPr>
        <w:footnoteRef/>
      </w:r>
      <w:r>
        <w:t xml:space="preserve"> </w:t>
      </w:r>
      <w:r w:rsidRPr="0065330D">
        <w:rPr>
          <w:rFonts w:ascii="Arial" w:hAnsi="Arial" w:cs="Arial"/>
          <w:sz w:val="18"/>
          <w:szCs w:val="18"/>
        </w:rPr>
        <w:t xml:space="preserve">See </w:t>
      </w:r>
      <w:r w:rsidRPr="0065330D">
        <w:rPr>
          <w:rFonts w:ascii="Arial" w:hAnsi="Arial" w:cs="Arial"/>
          <w:i/>
          <w:sz w:val="18"/>
          <w:szCs w:val="18"/>
        </w:rPr>
        <w:t>A New Tax System (Luxury Car Tax) Act 1999</w:t>
      </w:r>
      <w:r w:rsidRPr="0065330D">
        <w:rPr>
          <w:rFonts w:ascii="Arial" w:hAnsi="Arial" w:cs="Arial"/>
          <w:sz w:val="18"/>
          <w:szCs w:val="18"/>
        </w:rPr>
        <w:t xml:space="preserve">. </w:t>
      </w:r>
    </w:p>
  </w:footnote>
  <w:footnote w:id="6">
    <w:p w:rsidR="00AE3BE7" w:rsidRPr="00D96A89" w:rsidRDefault="00AE3BE7">
      <w:pPr>
        <w:pStyle w:val="FootnoteText"/>
        <w:rPr>
          <w:rFonts w:ascii="Arial" w:hAnsi="Arial" w:cs="Arial"/>
          <w:sz w:val="18"/>
          <w:szCs w:val="18"/>
        </w:rPr>
      </w:pPr>
      <w:r>
        <w:rPr>
          <w:rStyle w:val="FootnoteReference"/>
        </w:rPr>
        <w:footnoteRef/>
      </w:r>
      <w:r>
        <w:t xml:space="preserve"> </w:t>
      </w:r>
      <w:r w:rsidRPr="00AE3BE7">
        <w:rPr>
          <w:rFonts w:ascii="Arial" w:hAnsi="Arial" w:cs="Arial"/>
          <w:sz w:val="18"/>
          <w:szCs w:val="18"/>
        </w:rPr>
        <w:t xml:space="preserve">The </w:t>
      </w:r>
      <w:r>
        <w:rPr>
          <w:rFonts w:ascii="Arial" w:hAnsi="Arial" w:cs="Arial"/>
          <w:sz w:val="18"/>
          <w:szCs w:val="18"/>
        </w:rPr>
        <w:t xml:space="preserve">issue of whether a payment from a motor vehicle manufacturer, distributor or importer to a dealer is consideration for a supply of a vehicle by the dealer to a customer </w:t>
      </w:r>
      <w:r w:rsidR="00431861">
        <w:rPr>
          <w:rFonts w:ascii="Arial" w:hAnsi="Arial" w:cs="Arial"/>
          <w:sz w:val="18"/>
          <w:szCs w:val="18"/>
        </w:rPr>
        <w:t>was</w:t>
      </w:r>
      <w:r>
        <w:rPr>
          <w:rFonts w:ascii="Arial" w:hAnsi="Arial" w:cs="Arial"/>
          <w:sz w:val="18"/>
          <w:szCs w:val="18"/>
        </w:rPr>
        <w:t xml:space="preserve"> considered in </w:t>
      </w:r>
      <w:r w:rsidR="00D96A89">
        <w:rPr>
          <w:rFonts w:ascii="Arial" w:hAnsi="Arial" w:cs="Arial"/>
          <w:i/>
          <w:sz w:val="18"/>
          <w:szCs w:val="18"/>
        </w:rPr>
        <w:t xml:space="preserve">AP Group Ltd v. Federal Commissioner of Taxation </w:t>
      </w:r>
      <w:r w:rsidR="00D96A89">
        <w:rPr>
          <w:rFonts w:ascii="Arial" w:hAnsi="Arial" w:cs="Arial"/>
          <w:sz w:val="18"/>
          <w:szCs w:val="18"/>
        </w:rPr>
        <w:t>(2013) 214 FCR 301; [2013] FCAFC 105.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129CB"/>
    <w:multiLevelType w:val="hybridMultilevel"/>
    <w:tmpl w:val="0256DDB6"/>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nsid w:val="09066AA6"/>
    <w:multiLevelType w:val="hybridMultilevel"/>
    <w:tmpl w:val="AB92A0E8"/>
    <w:lvl w:ilvl="0" w:tplc="CC3002F4">
      <w:start w:val="1"/>
      <w:numFmt w:val="lowerLetter"/>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nsid w:val="1F79233C"/>
    <w:multiLevelType w:val="hybridMultilevel"/>
    <w:tmpl w:val="6BC02992"/>
    <w:lvl w:ilvl="0" w:tplc="6D9426CA">
      <w:start w:val="9"/>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nsid w:val="2C9B6E6E"/>
    <w:multiLevelType w:val="hybridMultilevel"/>
    <w:tmpl w:val="3300FD22"/>
    <w:lvl w:ilvl="0" w:tplc="CC78D42C">
      <w:start w:val="1"/>
      <w:numFmt w:val="decimal"/>
      <w:lvlText w:val="%1."/>
      <w:lvlJc w:val="left"/>
      <w:pPr>
        <w:tabs>
          <w:tab w:val="num" w:pos="4380"/>
        </w:tabs>
        <w:ind w:left="4380" w:hanging="780"/>
      </w:pPr>
      <w:rPr>
        <w:rFonts w:cs="Times New Roman" w:hint="default"/>
        <w:b w:val="0"/>
        <w:i w:val="0"/>
        <w:color w:val="auto"/>
      </w:rPr>
    </w:lvl>
    <w:lvl w:ilvl="1" w:tplc="BB0C3F80">
      <w:start w:val="1"/>
      <w:numFmt w:val="bullet"/>
      <w:lvlText w:val=""/>
      <w:lvlJc w:val="left"/>
      <w:pPr>
        <w:tabs>
          <w:tab w:val="num" w:pos="1440"/>
        </w:tabs>
        <w:ind w:left="1440" w:hanging="360"/>
      </w:pPr>
      <w:rPr>
        <w:rFonts w:ascii="Wingdings" w:hAnsi="Wingdings" w:hint="default"/>
        <w:b w:val="0"/>
        <w:color w:val="auto"/>
      </w:rPr>
    </w:lvl>
    <w:lvl w:ilvl="2" w:tplc="0C104698">
      <w:start w:val="4"/>
      <w:numFmt w:val="decimal"/>
      <w:lvlText w:val="%3."/>
      <w:lvlJc w:val="left"/>
      <w:pPr>
        <w:tabs>
          <w:tab w:val="num" w:pos="3420"/>
        </w:tabs>
        <w:ind w:left="2547" w:hanging="567"/>
      </w:pPr>
      <w:rPr>
        <w:rFonts w:cs="Times New Roman" w:hint="default"/>
        <w:b w:val="0"/>
        <w:i w:val="0"/>
        <w:color w:val="auto"/>
        <w:sz w:val="22"/>
        <w:szCs w:val="22"/>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346968FD"/>
    <w:multiLevelType w:val="hybridMultilevel"/>
    <w:tmpl w:val="DFA2027C"/>
    <w:lvl w:ilvl="0" w:tplc="B5EEF28C">
      <w:start w:val="1"/>
      <w:numFmt w:val="lowerRoman"/>
      <w:lvlText w:val="(%1)"/>
      <w:lvlJc w:val="left"/>
      <w:pPr>
        <w:ind w:left="2160" w:hanging="72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
    <w:nsid w:val="4973763F"/>
    <w:multiLevelType w:val="hybridMultilevel"/>
    <w:tmpl w:val="32BEF1DA"/>
    <w:lvl w:ilvl="0" w:tplc="B5EEF28C">
      <w:start w:val="1"/>
      <w:numFmt w:val="lowerRoman"/>
      <w:lvlText w:val="(%1)"/>
      <w:lvlJc w:val="left"/>
      <w:pPr>
        <w:ind w:left="2160" w:hanging="72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6">
    <w:nsid w:val="6C9F5D3E"/>
    <w:multiLevelType w:val="hybridMultilevel"/>
    <w:tmpl w:val="F3441D88"/>
    <w:lvl w:ilvl="0" w:tplc="09D81372">
      <w:start w:val="1"/>
      <w:numFmt w:val="decimal"/>
      <w:pStyle w:val="NumberedList"/>
      <w:lvlText w:val="%1."/>
      <w:lvlJc w:val="left"/>
      <w:pPr>
        <w:tabs>
          <w:tab w:val="num" w:pos="360"/>
        </w:tabs>
        <w:ind w:left="360" w:hanging="360"/>
      </w:pPr>
      <w:rPr>
        <w:rFonts w:cs="Times New Roman"/>
      </w:rPr>
    </w:lvl>
    <w:lvl w:ilvl="1" w:tplc="0C090019">
      <w:start w:val="1"/>
      <w:numFmt w:val="decimal"/>
      <w:lvlText w:val="%2."/>
      <w:lvlJc w:val="left"/>
      <w:pPr>
        <w:tabs>
          <w:tab w:val="num" w:pos="1440"/>
        </w:tabs>
        <w:ind w:left="1440" w:hanging="360"/>
      </w:pPr>
      <w:rPr>
        <w:rFonts w:cs="Times New Roman"/>
      </w:rPr>
    </w:lvl>
    <w:lvl w:ilvl="2" w:tplc="0C09001B">
      <w:start w:val="1"/>
      <w:numFmt w:val="decimal"/>
      <w:lvlText w:val="%3."/>
      <w:lvlJc w:val="left"/>
      <w:pPr>
        <w:tabs>
          <w:tab w:val="num" w:pos="2160"/>
        </w:tabs>
        <w:ind w:left="2160" w:hanging="360"/>
      </w:pPr>
      <w:rPr>
        <w:rFonts w:cs="Times New Roman"/>
      </w:rPr>
    </w:lvl>
    <w:lvl w:ilvl="3" w:tplc="0C09000F">
      <w:start w:val="1"/>
      <w:numFmt w:val="decimal"/>
      <w:lvlText w:val="%4."/>
      <w:lvlJc w:val="left"/>
      <w:pPr>
        <w:tabs>
          <w:tab w:val="num" w:pos="2880"/>
        </w:tabs>
        <w:ind w:left="2880" w:hanging="360"/>
      </w:pPr>
      <w:rPr>
        <w:rFonts w:cs="Times New Roman"/>
      </w:rPr>
    </w:lvl>
    <w:lvl w:ilvl="4" w:tplc="0C090019">
      <w:start w:val="1"/>
      <w:numFmt w:val="decimal"/>
      <w:lvlText w:val="%5."/>
      <w:lvlJc w:val="left"/>
      <w:pPr>
        <w:tabs>
          <w:tab w:val="num" w:pos="3600"/>
        </w:tabs>
        <w:ind w:left="3600" w:hanging="360"/>
      </w:pPr>
      <w:rPr>
        <w:rFonts w:cs="Times New Roman"/>
      </w:rPr>
    </w:lvl>
    <w:lvl w:ilvl="5" w:tplc="0C09001B">
      <w:start w:val="1"/>
      <w:numFmt w:val="decimal"/>
      <w:lvlText w:val="%6."/>
      <w:lvlJc w:val="left"/>
      <w:pPr>
        <w:tabs>
          <w:tab w:val="num" w:pos="4320"/>
        </w:tabs>
        <w:ind w:left="4320" w:hanging="360"/>
      </w:pPr>
      <w:rPr>
        <w:rFonts w:cs="Times New Roman"/>
      </w:rPr>
    </w:lvl>
    <w:lvl w:ilvl="6" w:tplc="0C09000F">
      <w:start w:val="1"/>
      <w:numFmt w:val="decimal"/>
      <w:lvlText w:val="%7."/>
      <w:lvlJc w:val="left"/>
      <w:pPr>
        <w:tabs>
          <w:tab w:val="num" w:pos="5040"/>
        </w:tabs>
        <w:ind w:left="5040" w:hanging="360"/>
      </w:pPr>
      <w:rPr>
        <w:rFonts w:cs="Times New Roman"/>
      </w:rPr>
    </w:lvl>
    <w:lvl w:ilvl="7" w:tplc="0C090019">
      <w:start w:val="1"/>
      <w:numFmt w:val="decimal"/>
      <w:lvlText w:val="%8."/>
      <w:lvlJc w:val="left"/>
      <w:pPr>
        <w:tabs>
          <w:tab w:val="num" w:pos="5760"/>
        </w:tabs>
        <w:ind w:left="5760" w:hanging="360"/>
      </w:pPr>
      <w:rPr>
        <w:rFonts w:cs="Times New Roman"/>
      </w:rPr>
    </w:lvl>
    <w:lvl w:ilvl="8" w:tplc="0C09001B">
      <w:start w:val="1"/>
      <w:numFmt w:val="decimal"/>
      <w:lvlText w:val="%9."/>
      <w:lvlJc w:val="left"/>
      <w:pPr>
        <w:tabs>
          <w:tab w:val="num" w:pos="6480"/>
        </w:tabs>
        <w:ind w:left="6480" w:hanging="360"/>
      </w:pPr>
      <w:rPr>
        <w:rFonts w:cs="Times New Roman"/>
      </w:rPr>
    </w:lvl>
  </w:abstractNum>
  <w:abstractNum w:abstractNumId="7">
    <w:nsid w:val="723407A6"/>
    <w:multiLevelType w:val="hybridMultilevel"/>
    <w:tmpl w:val="47ACEC7A"/>
    <w:lvl w:ilvl="0" w:tplc="B5EEF28C">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nsid w:val="7D625FE7"/>
    <w:multiLevelType w:val="hybridMultilevel"/>
    <w:tmpl w:val="90CEBAC8"/>
    <w:lvl w:ilvl="0" w:tplc="0AC46BE4">
      <w:start w:val="2"/>
      <w:numFmt w:val="lowerRoman"/>
      <w:lvlText w:val="(%1)"/>
      <w:lvlJc w:val="left"/>
      <w:pPr>
        <w:ind w:left="1800" w:hanging="72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num w:numId="1">
    <w:abstractNumId w:val="3"/>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 w:numId="5">
    <w:abstractNumId w:val="2"/>
  </w:num>
  <w:num w:numId="6">
    <w:abstractNumId w:val="8"/>
  </w:num>
  <w:num w:numId="7">
    <w:abstractNumId w:val="4"/>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2367"/>
    <w:rsid w:val="000B5FF7"/>
    <w:rsid w:val="000C675A"/>
    <w:rsid w:val="000D2A58"/>
    <w:rsid w:val="000D7575"/>
    <w:rsid w:val="000F3695"/>
    <w:rsid w:val="0012390F"/>
    <w:rsid w:val="00130450"/>
    <w:rsid w:val="0013312D"/>
    <w:rsid w:val="00154169"/>
    <w:rsid w:val="0018015B"/>
    <w:rsid w:val="001C1709"/>
    <w:rsid w:val="001D16DD"/>
    <w:rsid w:val="001D2284"/>
    <w:rsid w:val="001F4753"/>
    <w:rsid w:val="00231D50"/>
    <w:rsid w:val="002556B7"/>
    <w:rsid w:val="0025598A"/>
    <w:rsid w:val="00273349"/>
    <w:rsid w:val="002778BD"/>
    <w:rsid w:val="0029287D"/>
    <w:rsid w:val="003127D7"/>
    <w:rsid w:val="003806A8"/>
    <w:rsid w:val="00395D6D"/>
    <w:rsid w:val="003967F5"/>
    <w:rsid w:val="003B6F66"/>
    <w:rsid w:val="003E4040"/>
    <w:rsid w:val="00431861"/>
    <w:rsid w:val="004403AC"/>
    <w:rsid w:val="0048446E"/>
    <w:rsid w:val="004A7051"/>
    <w:rsid w:val="004D0BFD"/>
    <w:rsid w:val="004E0388"/>
    <w:rsid w:val="004E3200"/>
    <w:rsid w:val="004F2033"/>
    <w:rsid w:val="00510B3D"/>
    <w:rsid w:val="00557553"/>
    <w:rsid w:val="005669DB"/>
    <w:rsid w:val="005768E6"/>
    <w:rsid w:val="00596D71"/>
    <w:rsid w:val="00597685"/>
    <w:rsid w:val="005E74E7"/>
    <w:rsid w:val="00615AFF"/>
    <w:rsid w:val="00617225"/>
    <w:rsid w:val="006217F2"/>
    <w:rsid w:val="00624F8E"/>
    <w:rsid w:val="0065330D"/>
    <w:rsid w:val="00655622"/>
    <w:rsid w:val="00656623"/>
    <w:rsid w:val="006D38C0"/>
    <w:rsid w:val="00717C7B"/>
    <w:rsid w:val="00763BFA"/>
    <w:rsid w:val="007A0D5B"/>
    <w:rsid w:val="007D2949"/>
    <w:rsid w:val="007D3258"/>
    <w:rsid w:val="007F2367"/>
    <w:rsid w:val="00863E8A"/>
    <w:rsid w:val="008649EE"/>
    <w:rsid w:val="0088368B"/>
    <w:rsid w:val="008A3B12"/>
    <w:rsid w:val="008F5C53"/>
    <w:rsid w:val="00930E11"/>
    <w:rsid w:val="0096333A"/>
    <w:rsid w:val="009C255D"/>
    <w:rsid w:val="009D6825"/>
    <w:rsid w:val="00A644B4"/>
    <w:rsid w:val="00AB1EB5"/>
    <w:rsid w:val="00AB5867"/>
    <w:rsid w:val="00AC4D3E"/>
    <w:rsid w:val="00AD24DB"/>
    <w:rsid w:val="00AE3BE7"/>
    <w:rsid w:val="00AF159B"/>
    <w:rsid w:val="00AF4CB6"/>
    <w:rsid w:val="00B40D2D"/>
    <w:rsid w:val="00B44E7B"/>
    <w:rsid w:val="00B47B4E"/>
    <w:rsid w:val="00B549D2"/>
    <w:rsid w:val="00BA7D40"/>
    <w:rsid w:val="00BC6FD5"/>
    <w:rsid w:val="00C17362"/>
    <w:rsid w:val="00C175F1"/>
    <w:rsid w:val="00CB2E98"/>
    <w:rsid w:val="00CE4602"/>
    <w:rsid w:val="00CE5457"/>
    <w:rsid w:val="00CF1E9F"/>
    <w:rsid w:val="00D11713"/>
    <w:rsid w:val="00D37EC6"/>
    <w:rsid w:val="00D529E8"/>
    <w:rsid w:val="00D96A89"/>
    <w:rsid w:val="00DA214C"/>
    <w:rsid w:val="00E63CC5"/>
    <w:rsid w:val="00E86098"/>
    <w:rsid w:val="00EB193E"/>
    <w:rsid w:val="00EB2B4B"/>
    <w:rsid w:val="00EE049E"/>
    <w:rsid w:val="00EF2F8B"/>
    <w:rsid w:val="00F04926"/>
    <w:rsid w:val="00F83615"/>
    <w:rsid w:val="00F97E3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2367"/>
    <w:pPr>
      <w:spacing w:after="0" w:line="240" w:lineRule="auto"/>
    </w:pPr>
    <w:rPr>
      <w:rFonts w:ascii="Arial" w:eastAsia="Times New Roman" w:hAnsi="Arial" w:cs="Helvetica Neue"/>
      <w:color w:val="000000"/>
      <w:sz w:val="24"/>
      <w:szCs w:val="24"/>
      <w:lang w:eastAsia="en-AU"/>
    </w:rPr>
  </w:style>
  <w:style w:type="paragraph" w:styleId="Heading2">
    <w:name w:val="heading 2"/>
    <w:basedOn w:val="Normal"/>
    <w:next w:val="Normal"/>
    <w:link w:val="Heading2Char"/>
    <w:uiPriority w:val="99"/>
    <w:qFormat/>
    <w:rsid w:val="007F2367"/>
    <w:pPr>
      <w:keepNext/>
      <w:spacing w:after="120"/>
      <w:outlineLvl w:val="1"/>
    </w:pPr>
    <w:rPr>
      <w:b/>
      <w:sz w:val="22"/>
    </w:rPr>
  </w:style>
  <w:style w:type="paragraph" w:styleId="Heading3">
    <w:name w:val="heading 3"/>
    <w:basedOn w:val="Normal"/>
    <w:next w:val="Normal"/>
    <w:link w:val="Heading3Char"/>
    <w:uiPriority w:val="99"/>
    <w:qFormat/>
    <w:rsid w:val="007F2367"/>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7F2367"/>
    <w:rPr>
      <w:rFonts w:ascii="Arial" w:eastAsia="Times New Roman" w:hAnsi="Arial" w:cs="Helvetica Neue"/>
      <w:b/>
      <w:color w:val="000000"/>
      <w:szCs w:val="24"/>
      <w:lang w:eastAsia="en-AU"/>
    </w:rPr>
  </w:style>
  <w:style w:type="character" w:customStyle="1" w:styleId="Heading3Char">
    <w:name w:val="Heading 3 Char"/>
    <w:basedOn w:val="DefaultParagraphFont"/>
    <w:link w:val="Heading3"/>
    <w:uiPriority w:val="99"/>
    <w:rsid w:val="007F2367"/>
    <w:rPr>
      <w:rFonts w:ascii="Arial" w:eastAsia="Times New Roman" w:hAnsi="Arial" w:cs="Arial"/>
      <w:b/>
      <w:bCs/>
      <w:color w:val="000000"/>
      <w:sz w:val="26"/>
      <w:szCs w:val="26"/>
      <w:lang w:eastAsia="en-AU"/>
    </w:rPr>
  </w:style>
  <w:style w:type="paragraph" w:styleId="Header">
    <w:name w:val="header"/>
    <w:basedOn w:val="Normal"/>
    <w:link w:val="HeaderChar"/>
    <w:uiPriority w:val="99"/>
    <w:rsid w:val="007F2367"/>
    <w:pPr>
      <w:tabs>
        <w:tab w:val="center" w:pos="4153"/>
        <w:tab w:val="right" w:pos="8306"/>
      </w:tabs>
    </w:pPr>
    <w:rPr>
      <w:rFonts w:ascii="Times New Roman" w:hAnsi="Times New Roman" w:cs="Times New Roman"/>
      <w:color w:val="auto"/>
    </w:rPr>
  </w:style>
  <w:style w:type="character" w:customStyle="1" w:styleId="HeaderChar">
    <w:name w:val="Header Char"/>
    <w:basedOn w:val="DefaultParagraphFont"/>
    <w:link w:val="Header"/>
    <w:uiPriority w:val="99"/>
    <w:rsid w:val="007F2367"/>
    <w:rPr>
      <w:rFonts w:ascii="Times New Roman" w:eastAsia="Times New Roman" w:hAnsi="Times New Roman" w:cs="Times New Roman"/>
      <w:sz w:val="24"/>
      <w:szCs w:val="24"/>
      <w:lang w:eastAsia="en-AU"/>
    </w:rPr>
  </w:style>
  <w:style w:type="paragraph" w:styleId="FootnoteText">
    <w:name w:val="footnote text"/>
    <w:basedOn w:val="Normal"/>
    <w:link w:val="FootnoteTextChar"/>
    <w:uiPriority w:val="99"/>
    <w:semiHidden/>
    <w:rsid w:val="007F2367"/>
    <w:rPr>
      <w:rFonts w:ascii="Times New Roman" w:hAnsi="Times New Roman" w:cs="Times New Roman"/>
      <w:color w:val="auto"/>
      <w:sz w:val="20"/>
      <w:szCs w:val="20"/>
    </w:rPr>
  </w:style>
  <w:style w:type="character" w:customStyle="1" w:styleId="FootnoteTextChar">
    <w:name w:val="Footnote Text Char"/>
    <w:basedOn w:val="DefaultParagraphFont"/>
    <w:link w:val="FootnoteText"/>
    <w:uiPriority w:val="99"/>
    <w:semiHidden/>
    <w:rsid w:val="007F2367"/>
    <w:rPr>
      <w:rFonts w:ascii="Times New Roman" w:eastAsia="Times New Roman" w:hAnsi="Times New Roman" w:cs="Times New Roman"/>
      <w:sz w:val="20"/>
      <w:szCs w:val="20"/>
      <w:lang w:eastAsia="en-AU"/>
    </w:rPr>
  </w:style>
  <w:style w:type="character" w:styleId="FootnoteReference">
    <w:name w:val="footnote reference"/>
    <w:basedOn w:val="DefaultParagraphFont"/>
    <w:uiPriority w:val="99"/>
    <w:semiHidden/>
    <w:rsid w:val="007F2367"/>
    <w:rPr>
      <w:rFonts w:cs="Times New Roman"/>
      <w:vertAlign w:val="superscript"/>
    </w:rPr>
  </w:style>
  <w:style w:type="paragraph" w:styleId="Footer">
    <w:name w:val="footer"/>
    <w:basedOn w:val="Normal"/>
    <w:link w:val="FooterChar"/>
    <w:uiPriority w:val="99"/>
    <w:rsid w:val="007F2367"/>
    <w:pPr>
      <w:tabs>
        <w:tab w:val="center" w:pos="4153"/>
        <w:tab w:val="right" w:pos="8306"/>
      </w:tabs>
    </w:pPr>
  </w:style>
  <w:style w:type="character" w:customStyle="1" w:styleId="FooterChar">
    <w:name w:val="Footer Char"/>
    <w:basedOn w:val="DefaultParagraphFont"/>
    <w:link w:val="Footer"/>
    <w:uiPriority w:val="99"/>
    <w:rsid w:val="007F2367"/>
    <w:rPr>
      <w:rFonts w:ascii="Arial" w:eastAsia="Times New Roman" w:hAnsi="Arial" w:cs="Helvetica Neue"/>
      <w:color w:val="000000"/>
      <w:sz w:val="24"/>
      <w:szCs w:val="24"/>
      <w:lang w:eastAsia="en-AU"/>
    </w:rPr>
  </w:style>
  <w:style w:type="paragraph" w:customStyle="1" w:styleId="NumberedList">
    <w:name w:val="Numbered List"/>
    <w:basedOn w:val="Normal"/>
    <w:uiPriority w:val="99"/>
    <w:rsid w:val="007F2367"/>
    <w:pPr>
      <w:numPr>
        <w:numId w:val="2"/>
      </w:numPr>
    </w:pPr>
    <w:rPr>
      <w:rFonts w:ascii="Times New Roman" w:hAnsi="Times New Roman" w:cs="Times New Roman"/>
      <w:color w:val="auto"/>
      <w:szCs w:val="20"/>
    </w:rPr>
  </w:style>
  <w:style w:type="paragraph" w:styleId="ListParagraph">
    <w:name w:val="List Paragraph"/>
    <w:basedOn w:val="Normal"/>
    <w:uiPriority w:val="34"/>
    <w:qFormat/>
    <w:rsid w:val="007F2367"/>
    <w:pPr>
      <w:ind w:left="720"/>
      <w:contextualSpacing/>
    </w:pPr>
  </w:style>
  <w:style w:type="paragraph" w:styleId="BalloonText">
    <w:name w:val="Balloon Text"/>
    <w:basedOn w:val="Normal"/>
    <w:link w:val="BalloonTextChar"/>
    <w:uiPriority w:val="99"/>
    <w:semiHidden/>
    <w:unhideWhenUsed/>
    <w:rsid w:val="007F2367"/>
    <w:rPr>
      <w:rFonts w:ascii="Tahoma" w:hAnsi="Tahoma" w:cs="Tahoma"/>
      <w:sz w:val="16"/>
      <w:szCs w:val="16"/>
    </w:rPr>
  </w:style>
  <w:style w:type="character" w:customStyle="1" w:styleId="BalloonTextChar">
    <w:name w:val="Balloon Text Char"/>
    <w:basedOn w:val="DefaultParagraphFont"/>
    <w:link w:val="BalloonText"/>
    <w:uiPriority w:val="99"/>
    <w:semiHidden/>
    <w:rsid w:val="007F2367"/>
    <w:rPr>
      <w:rFonts w:ascii="Tahoma" w:eastAsia="Times New Roman" w:hAnsi="Tahoma" w:cs="Tahoma"/>
      <w:color w:val="000000"/>
      <w:sz w:val="16"/>
      <w:szCs w:val="16"/>
      <w:lang w:eastAsia="en-AU"/>
    </w:rPr>
  </w:style>
  <w:style w:type="character" w:styleId="CommentReference">
    <w:name w:val="annotation reference"/>
    <w:basedOn w:val="DefaultParagraphFont"/>
    <w:uiPriority w:val="99"/>
    <w:semiHidden/>
    <w:rsid w:val="00231D50"/>
    <w:rPr>
      <w:rFonts w:cs="Times New Roman"/>
      <w:sz w:val="16"/>
      <w:szCs w:val="16"/>
    </w:rPr>
  </w:style>
  <w:style w:type="paragraph" w:styleId="CommentText">
    <w:name w:val="annotation text"/>
    <w:basedOn w:val="Normal"/>
    <w:link w:val="CommentTextChar"/>
    <w:uiPriority w:val="99"/>
    <w:semiHidden/>
    <w:rsid w:val="00231D50"/>
    <w:rPr>
      <w:rFonts w:ascii="Times New Roman" w:hAnsi="Times New Roman" w:cs="Times New Roman"/>
      <w:color w:val="auto"/>
      <w:sz w:val="20"/>
      <w:szCs w:val="20"/>
    </w:rPr>
  </w:style>
  <w:style w:type="character" w:customStyle="1" w:styleId="CommentTextChar">
    <w:name w:val="Comment Text Char"/>
    <w:basedOn w:val="DefaultParagraphFont"/>
    <w:link w:val="CommentText"/>
    <w:uiPriority w:val="99"/>
    <w:semiHidden/>
    <w:rsid w:val="00231D50"/>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4D0BFD"/>
    <w:rPr>
      <w:rFonts w:ascii="Arial" w:hAnsi="Arial" w:cs="Helvetica Neue"/>
      <w:b/>
      <w:bCs/>
      <w:color w:val="000000"/>
    </w:rPr>
  </w:style>
  <w:style w:type="character" w:customStyle="1" w:styleId="CommentSubjectChar">
    <w:name w:val="Comment Subject Char"/>
    <w:basedOn w:val="CommentTextChar"/>
    <w:link w:val="CommentSubject"/>
    <w:uiPriority w:val="99"/>
    <w:semiHidden/>
    <w:rsid w:val="004D0BFD"/>
    <w:rPr>
      <w:rFonts w:ascii="Arial" w:eastAsia="Times New Roman" w:hAnsi="Arial" w:cs="Helvetica Neue"/>
      <w:b/>
      <w:bCs/>
      <w:color w:val="000000"/>
      <w:sz w:val="20"/>
      <w:szCs w:val="20"/>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2367"/>
    <w:pPr>
      <w:spacing w:after="0" w:line="240" w:lineRule="auto"/>
    </w:pPr>
    <w:rPr>
      <w:rFonts w:ascii="Arial" w:eastAsia="Times New Roman" w:hAnsi="Arial" w:cs="Helvetica Neue"/>
      <w:color w:val="000000"/>
      <w:sz w:val="24"/>
      <w:szCs w:val="24"/>
      <w:lang w:eastAsia="en-AU"/>
    </w:rPr>
  </w:style>
  <w:style w:type="paragraph" w:styleId="Heading2">
    <w:name w:val="heading 2"/>
    <w:basedOn w:val="Normal"/>
    <w:next w:val="Normal"/>
    <w:link w:val="Heading2Char"/>
    <w:uiPriority w:val="99"/>
    <w:qFormat/>
    <w:rsid w:val="007F2367"/>
    <w:pPr>
      <w:keepNext/>
      <w:spacing w:after="120"/>
      <w:outlineLvl w:val="1"/>
    </w:pPr>
    <w:rPr>
      <w:b/>
      <w:sz w:val="22"/>
    </w:rPr>
  </w:style>
  <w:style w:type="paragraph" w:styleId="Heading3">
    <w:name w:val="heading 3"/>
    <w:basedOn w:val="Normal"/>
    <w:next w:val="Normal"/>
    <w:link w:val="Heading3Char"/>
    <w:uiPriority w:val="99"/>
    <w:qFormat/>
    <w:rsid w:val="007F2367"/>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7F2367"/>
    <w:rPr>
      <w:rFonts w:ascii="Arial" w:eastAsia="Times New Roman" w:hAnsi="Arial" w:cs="Helvetica Neue"/>
      <w:b/>
      <w:color w:val="000000"/>
      <w:szCs w:val="24"/>
      <w:lang w:eastAsia="en-AU"/>
    </w:rPr>
  </w:style>
  <w:style w:type="character" w:customStyle="1" w:styleId="Heading3Char">
    <w:name w:val="Heading 3 Char"/>
    <w:basedOn w:val="DefaultParagraphFont"/>
    <w:link w:val="Heading3"/>
    <w:uiPriority w:val="99"/>
    <w:rsid w:val="007F2367"/>
    <w:rPr>
      <w:rFonts w:ascii="Arial" w:eastAsia="Times New Roman" w:hAnsi="Arial" w:cs="Arial"/>
      <w:b/>
      <w:bCs/>
      <w:color w:val="000000"/>
      <w:sz w:val="26"/>
      <w:szCs w:val="26"/>
      <w:lang w:eastAsia="en-AU"/>
    </w:rPr>
  </w:style>
  <w:style w:type="paragraph" w:styleId="Header">
    <w:name w:val="header"/>
    <w:basedOn w:val="Normal"/>
    <w:link w:val="HeaderChar"/>
    <w:uiPriority w:val="99"/>
    <w:rsid w:val="007F2367"/>
    <w:pPr>
      <w:tabs>
        <w:tab w:val="center" w:pos="4153"/>
        <w:tab w:val="right" w:pos="8306"/>
      </w:tabs>
    </w:pPr>
    <w:rPr>
      <w:rFonts w:ascii="Times New Roman" w:hAnsi="Times New Roman" w:cs="Times New Roman"/>
      <w:color w:val="auto"/>
    </w:rPr>
  </w:style>
  <w:style w:type="character" w:customStyle="1" w:styleId="HeaderChar">
    <w:name w:val="Header Char"/>
    <w:basedOn w:val="DefaultParagraphFont"/>
    <w:link w:val="Header"/>
    <w:uiPriority w:val="99"/>
    <w:rsid w:val="007F2367"/>
    <w:rPr>
      <w:rFonts w:ascii="Times New Roman" w:eastAsia="Times New Roman" w:hAnsi="Times New Roman" w:cs="Times New Roman"/>
      <w:sz w:val="24"/>
      <w:szCs w:val="24"/>
      <w:lang w:eastAsia="en-AU"/>
    </w:rPr>
  </w:style>
  <w:style w:type="paragraph" w:styleId="FootnoteText">
    <w:name w:val="footnote text"/>
    <w:basedOn w:val="Normal"/>
    <w:link w:val="FootnoteTextChar"/>
    <w:uiPriority w:val="99"/>
    <w:semiHidden/>
    <w:rsid w:val="007F2367"/>
    <w:rPr>
      <w:rFonts w:ascii="Times New Roman" w:hAnsi="Times New Roman" w:cs="Times New Roman"/>
      <w:color w:val="auto"/>
      <w:sz w:val="20"/>
      <w:szCs w:val="20"/>
    </w:rPr>
  </w:style>
  <w:style w:type="character" w:customStyle="1" w:styleId="FootnoteTextChar">
    <w:name w:val="Footnote Text Char"/>
    <w:basedOn w:val="DefaultParagraphFont"/>
    <w:link w:val="FootnoteText"/>
    <w:uiPriority w:val="99"/>
    <w:semiHidden/>
    <w:rsid w:val="007F2367"/>
    <w:rPr>
      <w:rFonts w:ascii="Times New Roman" w:eastAsia="Times New Roman" w:hAnsi="Times New Roman" w:cs="Times New Roman"/>
      <w:sz w:val="20"/>
      <w:szCs w:val="20"/>
      <w:lang w:eastAsia="en-AU"/>
    </w:rPr>
  </w:style>
  <w:style w:type="character" w:styleId="FootnoteReference">
    <w:name w:val="footnote reference"/>
    <w:basedOn w:val="DefaultParagraphFont"/>
    <w:uiPriority w:val="99"/>
    <w:semiHidden/>
    <w:rsid w:val="007F2367"/>
    <w:rPr>
      <w:rFonts w:cs="Times New Roman"/>
      <w:vertAlign w:val="superscript"/>
    </w:rPr>
  </w:style>
  <w:style w:type="paragraph" w:styleId="Footer">
    <w:name w:val="footer"/>
    <w:basedOn w:val="Normal"/>
    <w:link w:val="FooterChar"/>
    <w:uiPriority w:val="99"/>
    <w:rsid w:val="007F2367"/>
    <w:pPr>
      <w:tabs>
        <w:tab w:val="center" w:pos="4153"/>
        <w:tab w:val="right" w:pos="8306"/>
      </w:tabs>
    </w:pPr>
  </w:style>
  <w:style w:type="character" w:customStyle="1" w:styleId="FooterChar">
    <w:name w:val="Footer Char"/>
    <w:basedOn w:val="DefaultParagraphFont"/>
    <w:link w:val="Footer"/>
    <w:uiPriority w:val="99"/>
    <w:rsid w:val="007F2367"/>
    <w:rPr>
      <w:rFonts w:ascii="Arial" w:eastAsia="Times New Roman" w:hAnsi="Arial" w:cs="Helvetica Neue"/>
      <w:color w:val="000000"/>
      <w:sz w:val="24"/>
      <w:szCs w:val="24"/>
      <w:lang w:eastAsia="en-AU"/>
    </w:rPr>
  </w:style>
  <w:style w:type="paragraph" w:customStyle="1" w:styleId="NumberedList">
    <w:name w:val="Numbered List"/>
    <w:basedOn w:val="Normal"/>
    <w:uiPriority w:val="99"/>
    <w:rsid w:val="007F2367"/>
    <w:pPr>
      <w:numPr>
        <w:numId w:val="2"/>
      </w:numPr>
    </w:pPr>
    <w:rPr>
      <w:rFonts w:ascii="Times New Roman" w:hAnsi="Times New Roman" w:cs="Times New Roman"/>
      <w:color w:val="auto"/>
      <w:szCs w:val="20"/>
    </w:rPr>
  </w:style>
  <w:style w:type="paragraph" w:styleId="ListParagraph">
    <w:name w:val="List Paragraph"/>
    <w:basedOn w:val="Normal"/>
    <w:uiPriority w:val="34"/>
    <w:qFormat/>
    <w:rsid w:val="007F2367"/>
    <w:pPr>
      <w:ind w:left="720"/>
      <w:contextualSpacing/>
    </w:pPr>
  </w:style>
  <w:style w:type="paragraph" w:styleId="BalloonText">
    <w:name w:val="Balloon Text"/>
    <w:basedOn w:val="Normal"/>
    <w:link w:val="BalloonTextChar"/>
    <w:uiPriority w:val="99"/>
    <w:semiHidden/>
    <w:unhideWhenUsed/>
    <w:rsid w:val="007F2367"/>
    <w:rPr>
      <w:rFonts w:ascii="Tahoma" w:hAnsi="Tahoma" w:cs="Tahoma"/>
      <w:sz w:val="16"/>
      <w:szCs w:val="16"/>
    </w:rPr>
  </w:style>
  <w:style w:type="character" w:customStyle="1" w:styleId="BalloonTextChar">
    <w:name w:val="Balloon Text Char"/>
    <w:basedOn w:val="DefaultParagraphFont"/>
    <w:link w:val="BalloonText"/>
    <w:uiPriority w:val="99"/>
    <w:semiHidden/>
    <w:rsid w:val="007F2367"/>
    <w:rPr>
      <w:rFonts w:ascii="Tahoma" w:eastAsia="Times New Roman" w:hAnsi="Tahoma" w:cs="Tahoma"/>
      <w:color w:val="000000"/>
      <w:sz w:val="16"/>
      <w:szCs w:val="16"/>
      <w:lang w:eastAsia="en-AU"/>
    </w:rPr>
  </w:style>
  <w:style w:type="character" w:styleId="CommentReference">
    <w:name w:val="annotation reference"/>
    <w:basedOn w:val="DefaultParagraphFont"/>
    <w:uiPriority w:val="99"/>
    <w:semiHidden/>
    <w:rsid w:val="00231D50"/>
    <w:rPr>
      <w:rFonts w:cs="Times New Roman"/>
      <w:sz w:val="16"/>
      <w:szCs w:val="16"/>
    </w:rPr>
  </w:style>
  <w:style w:type="paragraph" w:styleId="CommentText">
    <w:name w:val="annotation text"/>
    <w:basedOn w:val="Normal"/>
    <w:link w:val="CommentTextChar"/>
    <w:uiPriority w:val="99"/>
    <w:semiHidden/>
    <w:rsid w:val="00231D50"/>
    <w:rPr>
      <w:rFonts w:ascii="Times New Roman" w:hAnsi="Times New Roman" w:cs="Times New Roman"/>
      <w:color w:val="auto"/>
      <w:sz w:val="20"/>
      <w:szCs w:val="20"/>
    </w:rPr>
  </w:style>
  <w:style w:type="character" w:customStyle="1" w:styleId="CommentTextChar">
    <w:name w:val="Comment Text Char"/>
    <w:basedOn w:val="DefaultParagraphFont"/>
    <w:link w:val="CommentText"/>
    <w:uiPriority w:val="99"/>
    <w:semiHidden/>
    <w:rsid w:val="00231D50"/>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4D0BFD"/>
    <w:rPr>
      <w:rFonts w:ascii="Arial" w:hAnsi="Arial" w:cs="Helvetica Neue"/>
      <w:b/>
      <w:bCs/>
      <w:color w:val="000000"/>
    </w:rPr>
  </w:style>
  <w:style w:type="character" w:customStyle="1" w:styleId="CommentSubjectChar">
    <w:name w:val="Comment Subject Char"/>
    <w:basedOn w:val="CommentTextChar"/>
    <w:link w:val="CommentSubject"/>
    <w:uiPriority w:val="99"/>
    <w:semiHidden/>
    <w:rsid w:val="004D0BFD"/>
    <w:rPr>
      <w:rFonts w:ascii="Arial" w:eastAsia="Times New Roman" w:hAnsi="Arial" w:cs="Helvetica Neue"/>
      <w:b/>
      <w:bCs/>
      <w:color w:val="000000"/>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2578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4E49DF-0E69-4D14-8218-231CD8AEB7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1719</Words>
  <Characters>9800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Australian Taxation Office</Company>
  <LinksUpToDate>false</LinksUpToDate>
  <CharactersWithSpaces>11497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Thavavaran, Alli</dc:creator>
  <cp:lastModifiedBy>Ducat, Stuart</cp:lastModifiedBy>
  <cp:revision>4</cp:revision>
  <cp:lastPrinted>2015-07-13T23:55:00Z</cp:lastPrinted>
  <dcterms:created xsi:type="dcterms:W3CDTF">2015-11-20T00:02:00Z</dcterms:created>
  <dcterms:modified xsi:type="dcterms:W3CDTF">2015-11-26T04:36:00Z</dcterms:modified>
</cp:coreProperties>
</file>