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215E0" w:rsidRDefault="00193461" w:rsidP="00C63713">
      <w:pPr>
        <w:rPr>
          <w:sz w:val="28"/>
        </w:rPr>
      </w:pPr>
      <w:r w:rsidRPr="004215E0">
        <w:rPr>
          <w:noProof/>
          <w:lang w:eastAsia="en-AU"/>
        </w:rPr>
        <w:drawing>
          <wp:inline distT="0" distB="0" distL="0" distR="0" wp14:anchorId="2C850820" wp14:editId="06957BD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215E0" w:rsidRDefault="0048364F" w:rsidP="0048364F">
      <w:pPr>
        <w:rPr>
          <w:sz w:val="19"/>
        </w:rPr>
      </w:pPr>
    </w:p>
    <w:p w:rsidR="0048364F" w:rsidRPr="004215E0" w:rsidRDefault="00F02F50" w:rsidP="0048364F">
      <w:pPr>
        <w:pStyle w:val="ShortT"/>
      </w:pPr>
      <w:r w:rsidRPr="004215E0">
        <w:t>Imported Food Control Amendment (Fees) Regulation</w:t>
      </w:r>
      <w:r w:rsidR="004215E0" w:rsidRPr="004215E0">
        <w:t> </w:t>
      </w:r>
      <w:r w:rsidRPr="004215E0">
        <w:t>2015</w:t>
      </w:r>
    </w:p>
    <w:p w:rsidR="0048364F" w:rsidRPr="004215E0" w:rsidRDefault="0048364F" w:rsidP="0048364F"/>
    <w:p w:rsidR="0048364F" w:rsidRPr="004215E0" w:rsidRDefault="00A4361F" w:rsidP="00680F17">
      <w:pPr>
        <w:pStyle w:val="InstNo"/>
      </w:pPr>
      <w:r w:rsidRPr="004215E0">
        <w:t>Select Legislative Instrument</w:t>
      </w:r>
      <w:r w:rsidR="00154EAC" w:rsidRPr="004215E0">
        <w:t xml:space="preserve"> </w:t>
      </w:r>
      <w:bookmarkStart w:id="0" w:name="BKCheck15B_1"/>
      <w:bookmarkEnd w:id="0"/>
      <w:r w:rsidR="00D0104A" w:rsidRPr="004215E0">
        <w:fldChar w:fldCharType="begin"/>
      </w:r>
      <w:r w:rsidR="00D0104A" w:rsidRPr="004215E0">
        <w:instrText xml:space="preserve"> DOCPROPERTY  ActNo </w:instrText>
      </w:r>
      <w:r w:rsidR="00D0104A" w:rsidRPr="004215E0">
        <w:fldChar w:fldCharType="separate"/>
      </w:r>
      <w:r w:rsidR="009C3C14">
        <w:t>No. 193, 2015</w:t>
      </w:r>
      <w:r w:rsidR="00D0104A" w:rsidRPr="004215E0">
        <w:fldChar w:fldCharType="end"/>
      </w:r>
    </w:p>
    <w:p w:rsidR="00F02F50" w:rsidRPr="004215E0" w:rsidRDefault="00F02F50" w:rsidP="00B96990">
      <w:pPr>
        <w:pStyle w:val="SignCoverPageStart"/>
        <w:spacing w:before="240"/>
        <w:rPr>
          <w:szCs w:val="22"/>
        </w:rPr>
      </w:pPr>
      <w:r w:rsidRPr="004215E0">
        <w:rPr>
          <w:szCs w:val="22"/>
        </w:rPr>
        <w:t xml:space="preserve">I, General the Honourable Sir Peter Cosgrove AK MC (Ret’d), </w:t>
      </w:r>
      <w:r w:rsidR="004215E0" w:rsidRPr="004215E0">
        <w:rPr>
          <w:szCs w:val="22"/>
        </w:rPr>
        <w:t>Governor</w:t>
      </w:r>
      <w:r w:rsidR="004215E0">
        <w:rPr>
          <w:szCs w:val="22"/>
        </w:rPr>
        <w:noBreakHyphen/>
      </w:r>
      <w:r w:rsidR="004215E0" w:rsidRPr="004215E0">
        <w:rPr>
          <w:szCs w:val="22"/>
        </w:rPr>
        <w:t>General</w:t>
      </w:r>
      <w:r w:rsidRPr="004215E0">
        <w:rPr>
          <w:szCs w:val="22"/>
        </w:rPr>
        <w:t xml:space="preserve"> of the Commonwealth of Australia, acting with the advice of the Federal Executive Council, make the following regulation.</w:t>
      </w:r>
    </w:p>
    <w:p w:rsidR="00F02F50" w:rsidRPr="004215E0" w:rsidRDefault="00F02F50" w:rsidP="00B96990">
      <w:pPr>
        <w:keepNext/>
        <w:spacing w:before="720" w:line="240" w:lineRule="atLeast"/>
        <w:ind w:right="397"/>
        <w:jc w:val="both"/>
        <w:rPr>
          <w:szCs w:val="22"/>
        </w:rPr>
      </w:pPr>
      <w:r w:rsidRPr="004215E0">
        <w:rPr>
          <w:szCs w:val="22"/>
        </w:rPr>
        <w:t xml:space="preserve">Dated </w:t>
      </w:r>
      <w:bookmarkStart w:id="1" w:name="BKCheck15B_2"/>
      <w:bookmarkEnd w:id="1"/>
      <w:r w:rsidRPr="004215E0">
        <w:rPr>
          <w:szCs w:val="22"/>
        </w:rPr>
        <w:fldChar w:fldCharType="begin"/>
      </w:r>
      <w:r w:rsidRPr="004215E0">
        <w:rPr>
          <w:szCs w:val="22"/>
        </w:rPr>
        <w:instrText xml:space="preserve"> DOCPROPERTY  DateMade </w:instrText>
      </w:r>
      <w:r w:rsidRPr="004215E0">
        <w:rPr>
          <w:szCs w:val="22"/>
        </w:rPr>
        <w:fldChar w:fldCharType="separate"/>
      </w:r>
      <w:r w:rsidR="009C3C14">
        <w:rPr>
          <w:szCs w:val="22"/>
        </w:rPr>
        <w:t>26 November 2015</w:t>
      </w:r>
      <w:r w:rsidRPr="004215E0">
        <w:rPr>
          <w:szCs w:val="22"/>
        </w:rPr>
        <w:fldChar w:fldCharType="end"/>
      </w:r>
    </w:p>
    <w:p w:rsidR="00F02F50" w:rsidRPr="004215E0" w:rsidRDefault="00F02F50" w:rsidP="00B9699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215E0">
        <w:rPr>
          <w:szCs w:val="22"/>
        </w:rPr>
        <w:t>Peter Cosgrove</w:t>
      </w:r>
    </w:p>
    <w:p w:rsidR="00F02F50" w:rsidRPr="004215E0" w:rsidRDefault="004215E0" w:rsidP="00B9699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215E0">
        <w:rPr>
          <w:szCs w:val="22"/>
        </w:rPr>
        <w:t>Governor</w:t>
      </w:r>
      <w:r>
        <w:rPr>
          <w:szCs w:val="22"/>
        </w:rPr>
        <w:noBreakHyphen/>
      </w:r>
      <w:r w:rsidRPr="004215E0">
        <w:rPr>
          <w:szCs w:val="22"/>
        </w:rPr>
        <w:t>General</w:t>
      </w:r>
    </w:p>
    <w:p w:rsidR="00F02F50" w:rsidRPr="004215E0" w:rsidRDefault="00F02F50" w:rsidP="00B969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215E0">
        <w:rPr>
          <w:szCs w:val="22"/>
        </w:rPr>
        <w:t>By His Excellency’s Command</w:t>
      </w:r>
    </w:p>
    <w:p w:rsidR="00F02F50" w:rsidRPr="004215E0" w:rsidRDefault="00F02F50" w:rsidP="00B969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215E0">
        <w:rPr>
          <w:szCs w:val="22"/>
        </w:rPr>
        <w:t>Barnaby Joyce</w:t>
      </w:r>
    </w:p>
    <w:p w:rsidR="00F02F50" w:rsidRPr="004215E0" w:rsidRDefault="00F02F50" w:rsidP="00B96990">
      <w:pPr>
        <w:pStyle w:val="SignCoverPageEnd"/>
        <w:rPr>
          <w:szCs w:val="22"/>
        </w:rPr>
      </w:pPr>
      <w:r w:rsidRPr="004215E0">
        <w:rPr>
          <w:szCs w:val="22"/>
        </w:rPr>
        <w:t>Minister for Agriculture</w:t>
      </w:r>
      <w:r w:rsidR="002B104E" w:rsidRPr="004215E0">
        <w:rPr>
          <w:szCs w:val="22"/>
        </w:rPr>
        <w:t xml:space="preserve"> and Water Resources</w:t>
      </w:r>
    </w:p>
    <w:p w:rsidR="00F02F50" w:rsidRPr="004215E0" w:rsidRDefault="00F02F50" w:rsidP="00F02F50"/>
    <w:p w:rsidR="0048364F" w:rsidRPr="004215E0" w:rsidRDefault="0048364F" w:rsidP="0048364F">
      <w:pPr>
        <w:pStyle w:val="Header"/>
        <w:tabs>
          <w:tab w:val="clear" w:pos="4150"/>
          <w:tab w:val="clear" w:pos="8307"/>
        </w:tabs>
      </w:pPr>
      <w:r w:rsidRPr="004215E0">
        <w:rPr>
          <w:rStyle w:val="CharAmSchNo"/>
        </w:rPr>
        <w:t xml:space="preserve"> </w:t>
      </w:r>
      <w:r w:rsidRPr="004215E0">
        <w:rPr>
          <w:rStyle w:val="CharAmSchText"/>
        </w:rPr>
        <w:t xml:space="preserve"> </w:t>
      </w:r>
    </w:p>
    <w:p w:rsidR="0048364F" w:rsidRPr="004215E0" w:rsidRDefault="0048364F" w:rsidP="0048364F">
      <w:pPr>
        <w:pStyle w:val="Header"/>
        <w:tabs>
          <w:tab w:val="clear" w:pos="4150"/>
          <w:tab w:val="clear" w:pos="8307"/>
        </w:tabs>
      </w:pPr>
      <w:r w:rsidRPr="004215E0">
        <w:rPr>
          <w:rStyle w:val="CharAmPartNo"/>
        </w:rPr>
        <w:t xml:space="preserve"> </w:t>
      </w:r>
      <w:r w:rsidRPr="004215E0">
        <w:rPr>
          <w:rStyle w:val="CharAmPartText"/>
        </w:rPr>
        <w:t xml:space="preserve"> </w:t>
      </w:r>
    </w:p>
    <w:p w:rsidR="0048364F" w:rsidRPr="004215E0" w:rsidRDefault="0048364F" w:rsidP="0048364F">
      <w:pPr>
        <w:sectPr w:rsidR="0048364F" w:rsidRPr="004215E0" w:rsidSect="00C872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215E0" w:rsidRDefault="0048364F" w:rsidP="00CE594C">
      <w:pPr>
        <w:rPr>
          <w:sz w:val="36"/>
        </w:rPr>
      </w:pPr>
      <w:r w:rsidRPr="004215E0">
        <w:rPr>
          <w:sz w:val="36"/>
        </w:rPr>
        <w:lastRenderedPageBreak/>
        <w:t>Contents</w:t>
      </w:r>
    </w:p>
    <w:bookmarkStart w:id="2" w:name="BKCheck15B_3"/>
    <w:bookmarkEnd w:id="2"/>
    <w:p w:rsidR="00142E58" w:rsidRPr="004215E0" w:rsidRDefault="00142E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5E0">
        <w:fldChar w:fldCharType="begin"/>
      </w:r>
      <w:r w:rsidRPr="004215E0">
        <w:instrText xml:space="preserve"> TOC \o "1-9" </w:instrText>
      </w:r>
      <w:r w:rsidRPr="004215E0">
        <w:fldChar w:fldCharType="separate"/>
      </w:r>
      <w:r w:rsidRPr="004215E0">
        <w:rPr>
          <w:noProof/>
        </w:rPr>
        <w:t>1</w:t>
      </w:r>
      <w:r w:rsidRPr="004215E0">
        <w:rPr>
          <w:noProof/>
        </w:rPr>
        <w:tab/>
        <w:t>Name</w:t>
      </w:r>
      <w:r w:rsidRPr="004215E0">
        <w:rPr>
          <w:noProof/>
        </w:rPr>
        <w:tab/>
      </w:r>
      <w:r w:rsidRPr="004215E0">
        <w:rPr>
          <w:noProof/>
        </w:rPr>
        <w:fldChar w:fldCharType="begin"/>
      </w:r>
      <w:r w:rsidRPr="004215E0">
        <w:rPr>
          <w:noProof/>
        </w:rPr>
        <w:instrText xml:space="preserve"> PAGEREF _Toc434306136 \h </w:instrText>
      </w:r>
      <w:r w:rsidRPr="004215E0">
        <w:rPr>
          <w:noProof/>
        </w:rPr>
      </w:r>
      <w:r w:rsidRPr="004215E0">
        <w:rPr>
          <w:noProof/>
        </w:rPr>
        <w:fldChar w:fldCharType="separate"/>
      </w:r>
      <w:r w:rsidR="009C3C14">
        <w:rPr>
          <w:noProof/>
        </w:rPr>
        <w:t>1</w:t>
      </w:r>
      <w:r w:rsidRPr="004215E0">
        <w:rPr>
          <w:noProof/>
        </w:rPr>
        <w:fldChar w:fldCharType="end"/>
      </w:r>
    </w:p>
    <w:p w:rsidR="00142E58" w:rsidRPr="004215E0" w:rsidRDefault="00142E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5E0">
        <w:rPr>
          <w:noProof/>
        </w:rPr>
        <w:t>2</w:t>
      </w:r>
      <w:r w:rsidRPr="004215E0">
        <w:rPr>
          <w:noProof/>
        </w:rPr>
        <w:tab/>
        <w:t>Commencement</w:t>
      </w:r>
      <w:r w:rsidRPr="004215E0">
        <w:rPr>
          <w:noProof/>
        </w:rPr>
        <w:tab/>
      </w:r>
      <w:r w:rsidRPr="004215E0">
        <w:rPr>
          <w:noProof/>
        </w:rPr>
        <w:fldChar w:fldCharType="begin"/>
      </w:r>
      <w:r w:rsidRPr="004215E0">
        <w:rPr>
          <w:noProof/>
        </w:rPr>
        <w:instrText xml:space="preserve"> PAGEREF _Toc434306137 \h </w:instrText>
      </w:r>
      <w:r w:rsidRPr="004215E0">
        <w:rPr>
          <w:noProof/>
        </w:rPr>
      </w:r>
      <w:r w:rsidRPr="004215E0">
        <w:rPr>
          <w:noProof/>
        </w:rPr>
        <w:fldChar w:fldCharType="separate"/>
      </w:r>
      <w:r w:rsidR="009C3C14">
        <w:rPr>
          <w:noProof/>
        </w:rPr>
        <w:t>1</w:t>
      </w:r>
      <w:r w:rsidRPr="004215E0">
        <w:rPr>
          <w:noProof/>
        </w:rPr>
        <w:fldChar w:fldCharType="end"/>
      </w:r>
    </w:p>
    <w:p w:rsidR="00142E58" w:rsidRPr="004215E0" w:rsidRDefault="00142E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5E0">
        <w:rPr>
          <w:noProof/>
        </w:rPr>
        <w:t>3</w:t>
      </w:r>
      <w:r w:rsidRPr="004215E0">
        <w:rPr>
          <w:noProof/>
        </w:rPr>
        <w:tab/>
        <w:t>Authority</w:t>
      </w:r>
      <w:r w:rsidRPr="004215E0">
        <w:rPr>
          <w:noProof/>
        </w:rPr>
        <w:tab/>
      </w:r>
      <w:r w:rsidRPr="004215E0">
        <w:rPr>
          <w:noProof/>
        </w:rPr>
        <w:fldChar w:fldCharType="begin"/>
      </w:r>
      <w:r w:rsidRPr="004215E0">
        <w:rPr>
          <w:noProof/>
        </w:rPr>
        <w:instrText xml:space="preserve"> PAGEREF _Toc434306138 \h </w:instrText>
      </w:r>
      <w:r w:rsidRPr="004215E0">
        <w:rPr>
          <w:noProof/>
        </w:rPr>
      </w:r>
      <w:r w:rsidRPr="004215E0">
        <w:rPr>
          <w:noProof/>
        </w:rPr>
        <w:fldChar w:fldCharType="separate"/>
      </w:r>
      <w:r w:rsidR="009C3C14">
        <w:rPr>
          <w:noProof/>
        </w:rPr>
        <w:t>1</w:t>
      </w:r>
      <w:r w:rsidRPr="004215E0">
        <w:rPr>
          <w:noProof/>
        </w:rPr>
        <w:fldChar w:fldCharType="end"/>
      </w:r>
    </w:p>
    <w:p w:rsidR="00142E58" w:rsidRPr="004215E0" w:rsidRDefault="00142E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5E0">
        <w:rPr>
          <w:noProof/>
        </w:rPr>
        <w:t>4</w:t>
      </w:r>
      <w:r w:rsidRPr="004215E0">
        <w:rPr>
          <w:noProof/>
        </w:rPr>
        <w:tab/>
        <w:t>Schedules</w:t>
      </w:r>
      <w:r w:rsidRPr="004215E0">
        <w:rPr>
          <w:noProof/>
        </w:rPr>
        <w:tab/>
      </w:r>
      <w:r w:rsidRPr="004215E0">
        <w:rPr>
          <w:noProof/>
        </w:rPr>
        <w:fldChar w:fldCharType="begin"/>
      </w:r>
      <w:r w:rsidRPr="004215E0">
        <w:rPr>
          <w:noProof/>
        </w:rPr>
        <w:instrText xml:space="preserve"> PAGEREF _Toc434306139 \h </w:instrText>
      </w:r>
      <w:r w:rsidRPr="004215E0">
        <w:rPr>
          <w:noProof/>
        </w:rPr>
      </w:r>
      <w:r w:rsidRPr="004215E0">
        <w:rPr>
          <w:noProof/>
        </w:rPr>
        <w:fldChar w:fldCharType="separate"/>
      </w:r>
      <w:r w:rsidR="009C3C14">
        <w:rPr>
          <w:noProof/>
        </w:rPr>
        <w:t>1</w:t>
      </w:r>
      <w:r w:rsidRPr="004215E0">
        <w:rPr>
          <w:noProof/>
        </w:rPr>
        <w:fldChar w:fldCharType="end"/>
      </w:r>
    </w:p>
    <w:p w:rsidR="00142E58" w:rsidRPr="004215E0" w:rsidRDefault="00142E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215E0">
        <w:rPr>
          <w:noProof/>
        </w:rPr>
        <w:t>Schedule</w:t>
      </w:r>
      <w:r w:rsidR="004215E0" w:rsidRPr="004215E0">
        <w:rPr>
          <w:noProof/>
        </w:rPr>
        <w:t> </w:t>
      </w:r>
      <w:r w:rsidRPr="004215E0">
        <w:rPr>
          <w:noProof/>
        </w:rPr>
        <w:t>1—Amendments</w:t>
      </w:r>
      <w:r w:rsidRPr="004215E0">
        <w:rPr>
          <w:b w:val="0"/>
          <w:noProof/>
          <w:sz w:val="18"/>
        </w:rPr>
        <w:tab/>
      </w:r>
      <w:r w:rsidRPr="004215E0">
        <w:rPr>
          <w:b w:val="0"/>
          <w:noProof/>
          <w:sz w:val="18"/>
        </w:rPr>
        <w:fldChar w:fldCharType="begin"/>
      </w:r>
      <w:r w:rsidRPr="004215E0">
        <w:rPr>
          <w:b w:val="0"/>
          <w:noProof/>
          <w:sz w:val="18"/>
        </w:rPr>
        <w:instrText xml:space="preserve"> PAGEREF _Toc434306140 \h </w:instrText>
      </w:r>
      <w:r w:rsidRPr="004215E0">
        <w:rPr>
          <w:b w:val="0"/>
          <w:noProof/>
          <w:sz w:val="18"/>
        </w:rPr>
      </w:r>
      <w:r w:rsidRPr="004215E0">
        <w:rPr>
          <w:b w:val="0"/>
          <w:noProof/>
          <w:sz w:val="18"/>
        </w:rPr>
        <w:fldChar w:fldCharType="separate"/>
      </w:r>
      <w:r w:rsidR="009C3C14">
        <w:rPr>
          <w:b w:val="0"/>
          <w:noProof/>
          <w:sz w:val="18"/>
        </w:rPr>
        <w:t>2</w:t>
      </w:r>
      <w:r w:rsidRPr="004215E0">
        <w:rPr>
          <w:b w:val="0"/>
          <w:noProof/>
          <w:sz w:val="18"/>
        </w:rPr>
        <w:fldChar w:fldCharType="end"/>
      </w:r>
    </w:p>
    <w:p w:rsidR="00142E58" w:rsidRPr="004215E0" w:rsidRDefault="00142E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215E0">
        <w:rPr>
          <w:noProof/>
        </w:rPr>
        <w:t>Imported Food Control Regulations</w:t>
      </w:r>
      <w:r w:rsidR="004215E0" w:rsidRPr="004215E0">
        <w:rPr>
          <w:noProof/>
        </w:rPr>
        <w:t> </w:t>
      </w:r>
      <w:r w:rsidRPr="004215E0">
        <w:rPr>
          <w:noProof/>
        </w:rPr>
        <w:t>1993</w:t>
      </w:r>
      <w:r w:rsidRPr="004215E0">
        <w:rPr>
          <w:i w:val="0"/>
          <w:noProof/>
          <w:sz w:val="18"/>
        </w:rPr>
        <w:tab/>
      </w:r>
      <w:r w:rsidRPr="004215E0">
        <w:rPr>
          <w:i w:val="0"/>
          <w:noProof/>
          <w:sz w:val="18"/>
        </w:rPr>
        <w:fldChar w:fldCharType="begin"/>
      </w:r>
      <w:r w:rsidRPr="004215E0">
        <w:rPr>
          <w:i w:val="0"/>
          <w:noProof/>
          <w:sz w:val="18"/>
        </w:rPr>
        <w:instrText xml:space="preserve"> PAGEREF _Toc434306141 \h </w:instrText>
      </w:r>
      <w:r w:rsidRPr="004215E0">
        <w:rPr>
          <w:i w:val="0"/>
          <w:noProof/>
          <w:sz w:val="18"/>
        </w:rPr>
      </w:r>
      <w:r w:rsidRPr="004215E0">
        <w:rPr>
          <w:i w:val="0"/>
          <w:noProof/>
          <w:sz w:val="18"/>
        </w:rPr>
        <w:fldChar w:fldCharType="separate"/>
      </w:r>
      <w:r w:rsidR="009C3C14">
        <w:rPr>
          <w:i w:val="0"/>
          <w:noProof/>
          <w:sz w:val="18"/>
        </w:rPr>
        <w:t>2</w:t>
      </w:r>
      <w:r w:rsidRPr="004215E0">
        <w:rPr>
          <w:i w:val="0"/>
          <w:noProof/>
          <w:sz w:val="18"/>
        </w:rPr>
        <w:fldChar w:fldCharType="end"/>
      </w:r>
    </w:p>
    <w:p w:rsidR="00833416" w:rsidRPr="004215E0" w:rsidRDefault="00142E58" w:rsidP="0048364F">
      <w:r w:rsidRPr="004215E0">
        <w:fldChar w:fldCharType="end"/>
      </w:r>
    </w:p>
    <w:p w:rsidR="00722023" w:rsidRPr="004215E0" w:rsidRDefault="00722023" w:rsidP="0048364F">
      <w:pPr>
        <w:sectPr w:rsidR="00722023" w:rsidRPr="004215E0" w:rsidSect="00C8723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215E0" w:rsidRDefault="0048364F" w:rsidP="0048364F">
      <w:pPr>
        <w:pStyle w:val="ActHead5"/>
      </w:pPr>
      <w:bookmarkStart w:id="3" w:name="_Toc434306136"/>
      <w:r w:rsidRPr="004215E0">
        <w:rPr>
          <w:rStyle w:val="CharSectno"/>
        </w:rPr>
        <w:lastRenderedPageBreak/>
        <w:t>1</w:t>
      </w:r>
      <w:r w:rsidRPr="004215E0">
        <w:t xml:space="preserve">  </w:t>
      </w:r>
      <w:r w:rsidR="004F676E" w:rsidRPr="004215E0">
        <w:t>Name</w:t>
      </w:r>
      <w:bookmarkEnd w:id="3"/>
    </w:p>
    <w:p w:rsidR="0048364F" w:rsidRPr="004215E0" w:rsidRDefault="0048364F" w:rsidP="0048364F">
      <w:pPr>
        <w:pStyle w:val="subsection"/>
      </w:pPr>
      <w:r w:rsidRPr="004215E0">
        <w:tab/>
      </w:r>
      <w:r w:rsidRPr="004215E0">
        <w:tab/>
        <w:t>Th</w:t>
      </w:r>
      <w:r w:rsidR="00F24C35" w:rsidRPr="004215E0">
        <w:t>is</w:t>
      </w:r>
      <w:r w:rsidRPr="004215E0">
        <w:t xml:space="preserve"> </w:t>
      </w:r>
      <w:r w:rsidR="00F24C35" w:rsidRPr="004215E0">
        <w:t>is</w:t>
      </w:r>
      <w:r w:rsidR="003801D0" w:rsidRPr="004215E0">
        <w:t xml:space="preserve"> the</w:t>
      </w:r>
      <w:r w:rsidRPr="004215E0">
        <w:t xml:space="preserve"> </w:t>
      </w:r>
      <w:bookmarkStart w:id="4" w:name="BKCheck15B_4"/>
      <w:bookmarkEnd w:id="4"/>
      <w:r w:rsidR="00CB0180" w:rsidRPr="004215E0">
        <w:rPr>
          <w:i/>
        </w:rPr>
        <w:fldChar w:fldCharType="begin"/>
      </w:r>
      <w:r w:rsidR="00CB0180" w:rsidRPr="004215E0">
        <w:rPr>
          <w:i/>
        </w:rPr>
        <w:instrText xml:space="preserve"> STYLEREF  ShortT </w:instrText>
      </w:r>
      <w:r w:rsidR="00CB0180" w:rsidRPr="004215E0">
        <w:rPr>
          <w:i/>
        </w:rPr>
        <w:fldChar w:fldCharType="separate"/>
      </w:r>
      <w:r w:rsidR="009C3C14">
        <w:rPr>
          <w:i/>
          <w:noProof/>
        </w:rPr>
        <w:t>Imported Food Control Amendment (Fees) Regulation 2015</w:t>
      </w:r>
      <w:r w:rsidR="00CB0180" w:rsidRPr="004215E0">
        <w:rPr>
          <w:i/>
        </w:rPr>
        <w:fldChar w:fldCharType="end"/>
      </w:r>
      <w:r w:rsidRPr="004215E0">
        <w:t>.</w:t>
      </w:r>
    </w:p>
    <w:p w:rsidR="0048364F" w:rsidRPr="004215E0" w:rsidRDefault="0048364F" w:rsidP="0048364F">
      <w:pPr>
        <w:pStyle w:val="ActHead5"/>
      </w:pPr>
      <w:bookmarkStart w:id="5" w:name="_Toc434306137"/>
      <w:r w:rsidRPr="004215E0">
        <w:rPr>
          <w:rStyle w:val="CharSectno"/>
        </w:rPr>
        <w:t>2</w:t>
      </w:r>
      <w:r w:rsidRPr="004215E0">
        <w:t xml:space="preserve">  Commencement</w:t>
      </w:r>
      <w:bookmarkEnd w:id="5"/>
    </w:p>
    <w:p w:rsidR="00F02F50" w:rsidRPr="004215E0" w:rsidRDefault="00F02F50" w:rsidP="00B96990">
      <w:pPr>
        <w:pStyle w:val="subsection"/>
      </w:pPr>
      <w:bookmarkStart w:id="6" w:name="_GoBack"/>
      <w:r w:rsidRPr="004215E0">
        <w:tab/>
        <w:t>(1)</w:t>
      </w:r>
      <w:r w:rsidRPr="004215E0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F02F50" w:rsidRPr="004215E0" w:rsidRDefault="00F02F50" w:rsidP="00B9699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02F50" w:rsidRPr="004215E0" w:rsidTr="00B9699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02F50" w:rsidRPr="004215E0" w:rsidRDefault="00F02F50" w:rsidP="00B96990">
            <w:pPr>
              <w:pStyle w:val="TableHeading"/>
            </w:pPr>
            <w:r w:rsidRPr="004215E0">
              <w:t>Commencement information</w:t>
            </w:r>
          </w:p>
        </w:tc>
      </w:tr>
      <w:tr w:rsidR="00F02F50" w:rsidRPr="004215E0" w:rsidTr="00B9699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2F50" w:rsidRPr="004215E0" w:rsidRDefault="00F02F50" w:rsidP="00B96990">
            <w:pPr>
              <w:pStyle w:val="TableHeading"/>
            </w:pPr>
            <w:r w:rsidRPr="004215E0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2F50" w:rsidRPr="004215E0" w:rsidRDefault="00F02F50" w:rsidP="00B96990">
            <w:pPr>
              <w:pStyle w:val="TableHeading"/>
            </w:pPr>
            <w:r w:rsidRPr="004215E0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2F50" w:rsidRPr="004215E0" w:rsidRDefault="00F02F50" w:rsidP="00B96990">
            <w:pPr>
              <w:pStyle w:val="TableHeading"/>
            </w:pPr>
            <w:r w:rsidRPr="004215E0">
              <w:t>Column 3</w:t>
            </w:r>
          </w:p>
        </w:tc>
      </w:tr>
      <w:tr w:rsidR="00F02F50" w:rsidRPr="004215E0" w:rsidTr="00B9699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2F50" w:rsidRPr="004215E0" w:rsidRDefault="00F02F50" w:rsidP="00B96990">
            <w:pPr>
              <w:pStyle w:val="TableHeading"/>
            </w:pPr>
            <w:r w:rsidRPr="004215E0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2F50" w:rsidRPr="004215E0" w:rsidRDefault="00F02F50" w:rsidP="00B96990">
            <w:pPr>
              <w:pStyle w:val="TableHeading"/>
            </w:pPr>
            <w:r w:rsidRPr="004215E0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2F50" w:rsidRPr="004215E0" w:rsidRDefault="00F02F50" w:rsidP="00B96990">
            <w:pPr>
              <w:pStyle w:val="TableHeading"/>
            </w:pPr>
            <w:r w:rsidRPr="004215E0">
              <w:t>Date/Details</w:t>
            </w:r>
          </w:p>
        </w:tc>
      </w:tr>
      <w:tr w:rsidR="00F02F50" w:rsidRPr="004215E0" w:rsidTr="00B9699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02F50" w:rsidRPr="004215E0" w:rsidRDefault="00F02F50" w:rsidP="00B96990">
            <w:pPr>
              <w:pStyle w:val="Tabletext"/>
            </w:pPr>
            <w:r w:rsidRPr="004215E0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02F50" w:rsidRPr="004215E0" w:rsidRDefault="00F02F50" w:rsidP="008575E0">
            <w:pPr>
              <w:pStyle w:val="Tabletext"/>
            </w:pPr>
            <w:r w:rsidRPr="004215E0">
              <w:t>1</w:t>
            </w:r>
            <w:r w:rsidR="004215E0" w:rsidRPr="004215E0">
              <w:t> </w:t>
            </w:r>
            <w:r w:rsidR="008575E0" w:rsidRPr="004215E0">
              <w:t xml:space="preserve">December </w:t>
            </w:r>
            <w:r w:rsidRPr="004215E0">
              <w:t>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2F50" w:rsidRPr="004215E0" w:rsidRDefault="00F02F50" w:rsidP="008575E0">
            <w:pPr>
              <w:pStyle w:val="Tabletext"/>
            </w:pPr>
            <w:r w:rsidRPr="004215E0">
              <w:t>1</w:t>
            </w:r>
            <w:r w:rsidR="004215E0" w:rsidRPr="004215E0">
              <w:t> </w:t>
            </w:r>
            <w:r w:rsidR="008575E0" w:rsidRPr="004215E0">
              <w:t>Dec</w:t>
            </w:r>
            <w:r w:rsidRPr="004215E0">
              <w:t>ember 2015</w:t>
            </w:r>
          </w:p>
        </w:tc>
      </w:tr>
    </w:tbl>
    <w:p w:rsidR="00F02F50" w:rsidRPr="004215E0" w:rsidRDefault="00F02F50" w:rsidP="00B96990">
      <w:pPr>
        <w:pStyle w:val="notetext"/>
      </w:pPr>
      <w:r w:rsidRPr="004215E0">
        <w:rPr>
          <w:snapToGrid w:val="0"/>
          <w:lang w:eastAsia="en-US"/>
        </w:rPr>
        <w:t>Note:</w:t>
      </w:r>
      <w:r w:rsidRPr="004215E0">
        <w:rPr>
          <w:snapToGrid w:val="0"/>
          <w:lang w:eastAsia="en-US"/>
        </w:rPr>
        <w:tab/>
        <w:t xml:space="preserve">This table relates only to the provisions of this </w:t>
      </w:r>
      <w:r w:rsidRPr="004215E0">
        <w:t xml:space="preserve">instrument </w:t>
      </w:r>
      <w:r w:rsidRPr="004215E0">
        <w:rPr>
          <w:snapToGrid w:val="0"/>
          <w:lang w:eastAsia="en-US"/>
        </w:rPr>
        <w:t xml:space="preserve">as originally made. It will not be amended to deal with any later amendments of this </w:t>
      </w:r>
      <w:r w:rsidRPr="004215E0">
        <w:t>instrument</w:t>
      </w:r>
      <w:r w:rsidRPr="004215E0">
        <w:rPr>
          <w:snapToGrid w:val="0"/>
          <w:lang w:eastAsia="en-US"/>
        </w:rPr>
        <w:t>.</w:t>
      </w:r>
    </w:p>
    <w:p w:rsidR="00F02F50" w:rsidRPr="004215E0" w:rsidRDefault="00F02F50" w:rsidP="00B96990">
      <w:pPr>
        <w:pStyle w:val="subsection"/>
      </w:pPr>
      <w:r w:rsidRPr="004215E0">
        <w:tab/>
        <w:t>(2)</w:t>
      </w:r>
      <w:r w:rsidRPr="004215E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4215E0" w:rsidRDefault="007769D4" w:rsidP="007769D4">
      <w:pPr>
        <w:pStyle w:val="ActHead5"/>
      </w:pPr>
      <w:bookmarkStart w:id="7" w:name="_Toc434306138"/>
      <w:r w:rsidRPr="004215E0">
        <w:rPr>
          <w:rStyle w:val="CharSectno"/>
        </w:rPr>
        <w:t>3</w:t>
      </w:r>
      <w:r w:rsidRPr="004215E0">
        <w:t xml:space="preserve">  Authority</w:t>
      </w:r>
      <w:bookmarkEnd w:id="7"/>
    </w:p>
    <w:p w:rsidR="007769D4" w:rsidRPr="004215E0" w:rsidRDefault="007769D4" w:rsidP="007769D4">
      <w:pPr>
        <w:pStyle w:val="subsection"/>
      </w:pPr>
      <w:r w:rsidRPr="004215E0">
        <w:tab/>
      </w:r>
      <w:r w:rsidRPr="004215E0">
        <w:tab/>
      </w:r>
      <w:r w:rsidR="00AF0336" w:rsidRPr="004215E0">
        <w:t xml:space="preserve">This </w:t>
      </w:r>
      <w:r w:rsidR="00F02F50" w:rsidRPr="004215E0">
        <w:t>instrument</w:t>
      </w:r>
      <w:r w:rsidR="00AF0336" w:rsidRPr="004215E0">
        <w:t xml:space="preserve"> is made under the </w:t>
      </w:r>
      <w:r w:rsidR="00F02F50" w:rsidRPr="004215E0">
        <w:rPr>
          <w:i/>
        </w:rPr>
        <w:t>Imported Food Control Act 1992</w:t>
      </w:r>
      <w:r w:rsidR="00D83D21" w:rsidRPr="004215E0">
        <w:rPr>
          <w:i/>
        </w:rPr>
        <w:t>.</w:t>
      </w:r>
    </w:p>
    <w:p w:rsidR="00557C7A" w:rsidRPr="004215E0" w:rsidRDefault="007769D4" w:rsidP="00557C7A">
      <w:pPr>
        <w:pStyle w:val="ActHead5"/>
      </w:pPr>
      <w:bookmarkStart w:id="8" w:name="_Toc434306139"/>
      <w:r w:rsidRPr="004215E0">
        <w:rPr>
          <w:rStyle w:val="CharSectno"/>
        </w:rPr>
        <w:t>4</w:t>
      </w:r>
      <w:r w:rsidR="00557C7A" w:rsidRPr="004215E0">
        <w:t xml:space="preserve">  </w:t>
      </w:r>
      <w:r w:rsidR="00B332B8" w:rsidRPr="004215E0">
        <w:t>Schedules</w:t>
      </w:r>
      <w:bookmarkEnd w:id="8"/>
    </w:p>
    <w:p w:rsidR="000F6B02" w:rsidRPr="004215E0" w:rsidRDefault="00557C7A" w:rsidP="000F6B02">
      <w:pPr>
        <w:pStyle w:val="subsection"/>
      </w:pPr>
      <w:r w:rsidRPr="004215E0">
        <w:tab/>
      </w:r>
      <w:r w:rsidRPr="004215E0">
        <w:tab/>
      </w:r>
      <w:r w:rsidR="000F6B02" w:rsidRPr="004215E0">
        <w:t xml:space="preserve">Each instrument that is specified in a Schedule to </w:t>
      </w:r>
      <w:r w:rsidR="00F02F50" w:rsidRPr="004215E0">
        <w:t>this instrument</w:t>
      </w:r>
      <w:r w:rsidR="000F6B02" w:rsidRPr="004215E0">
        <w:t xml:space="preserve"> is amended or repealed as set out in the applicable items in the Schedule concerned, and any other item in a Schedule to </w:t>
      </w:r>
      <w:r w:rsidR="00F02F50" w:rsidRPr="004215E0">
        <w:t>this instrument</w:t>
      </w:r>
      <w:r w:rsidR="000F6B02" w:rsidRPr="004215E0">
        <w:t xml:space="preserve"> has effect according to its terms.</w:t>
      </w:r>
    </w:p>
    <w:p w:rsidR="0048364F" w:rsidRPr="004215E0" w:rsidRDefault="0048364F" w:rsidP="00FF3089">
      <w:pPr>
        <w:pStyle w:val="ActHead6"/>
        <w:pageBreakBefore/>
      </w:pPr>
      <w:bookmarkStart w:id="9" w:name="_Toc434306140"/>
      <w:bookmarkStart w:id="10" w:name="opcAmSched"/>
      <w:bookmarkStart w:id="11" w:name="opcCurrentFind"/>
      <w:r w:rsidRPr="004215E0">
        <w:rPr>
          <w:rStyle w:val="CharAmSchNo"/>
        </w:rPr>
        <w:t>Schedule</w:t>
      </w:r>
      <w:r w:rsidR="004215E0" w:rsidRPr="004215E0">
        <w:rPr>
          <w:rStyle w:val="CharAmSchNo"/>
        </w:rPr>
        <w:t> </w:t>
      </w:r>
      <w:r w:rsidRPr="004215E0">
        <w:rPr>
          <w:rStyle w:val="CharAmSchNo"/>
        </w:rPr>
        <w:t>1</w:t>
      </w:r>
      <w:r w:rsidRPr="004215E0">
        <w:t>—</w:t>
      </w:r>
      <w:r w:rsidR="00460499" w:rsidRPr="004215E0">
        <w:rPr>
          <w:rStyle w:val="CharAmSchText"/>
        </w:rPr>
        <w:t>Amendments</w:t>
      </w:r>
      <w:bookmarkEnd w:id="9"/>
    </w:p>
    <w:bookmarkEnd w:id="10"/>
    <w:bookmarkEnd w:id="11"/>
    <w:p w:rsidR="0004044E" w:rsidRPr="004215E0" w:rsidRDefault="0004044E" w:rsidP="0004044E">
      <w:pPr>
        <w:pStyle w:val="Header"/>
      </w:pPr>
      <w:r w:rsidRPr="004215E0">
        <w:rPr>
          <w:rStyle w:val="CharAmPartNo"/>
        </w:rPr>
        <w:t xml:space="preserve"> </w:t>
      </w:r>
      <w:r w:rsidRPr="004215E0">
        <w:rPr>
          <w:rStyle w:val="CharAmPartText"/>
        </w:rPr>
        <w:t xml:space="preserve"> </w:t>
      </w:r>
    </w:p>
    <w:p w:rsidR="00F02F50" w:rsidRPr="004215E0" w:rsidRDefault="00F02F50" w:rsidP="00F02F50">
      <w:pPr>
        <w:pStyle w:val="ActHead9"/>
      </w:pPr>
      <w:bookmarkStart w:id="12" w:name="_Toc434306141"/>
      <w:r w:rsidRPr="004215E0">
        <w:t>Imported Food Control Regulations</w:t>
      </w:r>
      <w:r w:rsidR="004215E0" w:rsidRPr="004215E0">
        <w:t> </w:t>
      </w:r>
      <w:r w:rsidRPr="004215E0">
        <w:t>1993</w:t>
      </w:r>
      <w:bookmarkEnd w:id="12"/>
    </w:p>
    <w:p w:rsidR="00CD59BD" w:rsidRPr="004215E0" w:rsidRDefault="00B80189" w:rsidP="00CD59BD">
      <w:pPr>
        <w:pStyle w:val="ItemHead"/>
      </w:pPr>
      <w:r w:rsidRPr="004215E0">
        <w:t>1</w:t>
      </w:r>
      <w:r w:rsidR="00CD59BD" w:rsidRPr="004215E0">
        <w:t xml:space="preserve">  Subregulation</w:t>
      </w:r>
      <w:r w:rsidR="004215E0" w:rsidRPr="004215E0">
        <w:t> </w:t>
      </w:r>
      <w:r w:rsidR="00CD59BD" w:rsidRPr="004215E0">
        <w:t>3(1)</w:t>
      </w:r>
    </w:p>
    <w:p w:rsidR="00CD59BD" w:rsidRPr="004215E0" w:rsidRDefault="00CD59BD" w:rsidP="00CD59BD">
      <w:pPr>
        <w:pStyle w:val="Item"/>
      </w:pPr>
      <w:r w:rsidRPr="004215E0">
        <w:t>Omit “(1)” (first occurring).</w:t>
      </w:r>
    </w:p>
    <w:p w:rsidR="00CD59BD" w:rsidRPr="004215E0" w:rsidRDefault="00B80189" w:rsidP="00CD59BD">
      <w:pPr>
        <w:pStyle w:val="ItemHead"/>
      </w:pPr>
      <w:r w:rsidRPr="004215E0">
        <w:t>2</w:t>
      </w:r>
      <w:r w:rsidR="00CD59BD" w:rsidRPr="004215E0">
        <w:t xml:space="preserve">  Subregulation</w:t>
      </w:r>
      <w:r w:rsidR="004215E0" w:rsidRPr="004215E0">
        <w:t> </w:t>
      </w:r>
      <w:r w:rsidR="00CD59BD" w:rsidRPr="004215E0">
        <w:t>3(1)</w:t>
      </w:r>
    </w:p>
    <w:p w:rsidR="00CD59BD" w:rsidRPr="004215E0" w:rsidRDefault="00CD59BD" w:rsidP="00CD59BD">
      <w:pPr>
        <w:pStyle w:val="Item"/>
      </w:pPr>
      <w:r w:rsidRPr="004215E0">
        <w:t>Insert:</w:t>
      </w:r>
    </w:p>
    <w:p w:rsidR="00FF42E5" w:rsidRPr="004215E0" w:rsidRDefault="00FF42E5" w:rsidP="00FF42E5">
      <w:pPr>
        <w:pStyle w:val="Definition"/>
      </w:pPr>
      <w:r w:rsidRPr="004215E0">
        <w:rPr>
          <w:b/>
          <w:i/>
        </w:rPr>
        <w:t>Departmental holiday</w:t>
      </w:r>
      <w:r w:rsidRPr="004215E0">
        <w:t>, for the provision of a chargeable service, means a Monday, Tuesday, Wednesday, Thursday or Friday that is observed as a public holiday in the place where the service is provided.</w:t>
      </w:r>
    </w:p>
    <w:p w:rsidR="00CD59BD" w:rsidRPr="004215E0" w:rsidRDefault="00FF42E5" w:rsidP="00FF42E5">
      <w:pPr>
        <w:pStyle w:val="Definition"/>
      </w:pPr>
      <w:r w:rsidRPr="004215E0">
        <w:rPr>
          <w:b/>
          <w:i/>
        </w:rPr>
        <w:t>in</w:t>
      </w:r>
      <w:r w:rsidR="004215E0">
        <w:rPr>
          <w:b/>
          <w:i/>
        </w:rPr>
        <w:noBreakHyphen/>
      </w:r>
      <w:r w:rsidRPr="004215E0">
        <w:rPr>
          <w:b/>
          <w:i/>
        </w:rPr>
        <w:t>office</w:t>
      </w:r>
      <w:r w:rsidRPr="004215E0">
        <w:t>, in relation to the provision of a chargeable service, means the provision of the service at a location where services of an authorised officer are available on an ongoing basis.</w:t>
      </w:r>
    </w:p>
    <w:p w:rsidR="00FF42E5" w:rsidRPr="004215E0" w:rsidRDefault="00FF42E5" w:rsidP="00FF42E5">
      <w:pPr>
        <w:pStyle w:val="Definition"/>
      </w:pPr>
      <w:r w:rsidRPr="004215E0">
        <w:rPr>
          <w:b/>
          <w:i/>
        </w:rPr>
        <w:t>ordinary hours of duty</w:t>
      </w:r>
      <w:r w:rsidRPr="004215E0">
        <w:t xml:space="preserve"> means the period that begins at 6.30 am and ends at 6.30 pm on any weekday.</w:t>
      </w:r>
    </w:p>
    <w:p w:rsidR="00FF42E5" w:rsidRPr="004215E0" w:rsidRDefault="00FF42E5" w:rsidP="00FF42E5">
      <w:pPr>
        <w:pStyle w:val="Definition"/>
      </w:pPr>
      <w:r w:rsidRPr="004215E0">
        <w:rPr>
          <w:b/>
          <w:i/>
        </w:rPr>
        <w:t>out</w:t>
      </w:r>
      <w:r w:rsidR="004215E0">
        <w:rPr>
          <w:b/>
          <w:i/>
        </w:rPr>
        <w:noBreakHyphen/>
      </w:r>
      <w:r w:rsidRPr="004215E0">
        <w:rPr>
          <w:b/>
          <w:i/>
        </w:rPr>
        <w:t>of</w:t>
      </w:r>
      <w:r w:rsidR="004215E0">
        <w:rPr>
          <w:b/>
          <w:i/>
        </w:rPr>
        <w:noBreakHyphen/>
      </w:r>
      <w:r w:rsidRPr="004215E0">
        <w:rPr>
          <w:b/>
          <w:i/>
        </w:rPr>
        <w:t>office</w:t>
      </w:r>
      <w:r w:rsidRPr="004215E0">
        <w:t>, in relation to the provision of a chargeable service, means the provision of the service at a location where services of an authorised officer are not available on an ongoing basis.</w:t>
      </w:r>
    </w:p>
    <w:p w:rsidR="00FF42E5" w:rsidRPr="004215E0" w:rsidRDefault="00FF42E5" w:rsidP="00FF42E5">
      <w:pPr>
        <w:pStyle w:val="Definition"/>
      </w:pPr>
      <w:r w:rsidRPr="004215E0">
        <w:rPr>
          <w:b/>
          <w:i/>
        </w:rPr>
        <w:t>weekday</w:t>
      </w:r>
      <w:r w:rsidRPr="004215E0">
        <w:t>, for the provision of a chargeable service, means a Monday, Tuesday, Wednesday, Thursday or Friday that is not a Departmental holiday in the place where the service is provided.</w:t>
      </w:r>
    </w:p>
    <w:p w:rsidR="00FF42E5" w:rsidRPr="004215E0" w:rsidRDefault="00FF42E5" w:rsidP="00FF42E5">
      <w:pPr>
        <w:pStyle w:val="Definition"/>
      </w:pPr>
      <w:r w:rsidRPr="004215E0">
        <w:rPr>
          <w:b/>
          <w:i/>
        </w:rPr>
        <w:t>working day</w:t>
      </w:r>
      <w:r w:rsidRPr="004215E0">
        <w:t>, for the provision of a chargeable service, means a period of 7.5 hours for which an authorised officer provides the service during the ordinary hours of duty on a weekday.</w:t>
      </w:r>
    </w:p>
    <w:p w:rsidR="00F34D89" w:rsidRPr="004215E0" w:rsidRDefault="00B80189" w:rsidP="0076453C">
      <w:pPr>
        <w:pStyle w:val="ItemHead"/>
      </w:pPr>
      <w:r w:rsidRPr="004215E0">
        <w:t>3</w:t>
      </w:r>
      <w:r w:rsidR="00F34D89" w:rsidRPr="004215E0">
        <w:t xml:space="preserve">  Regulation</w:t>
      </w:r>
      <w:r w:rsidR="004215E0" w:rsidRPr="004215E0">
        <w:t> </w:t>
      </w:r>
      <w:r w:rsidR="00B60F4F" w:rsidRPr="004215E0">
        <w:t>33</w:t>
      </w:r>
    </w:p>
    <w:p w:rsidR="00F34D89" w:rsidRPr="004215E0" w:rsidRDefault="00F34D89" w:rsidP="00F34D89">
      <w:pPr>
        <w:pStyle w:val="Item"/>
      </w:pPr>
      <w:r w:rsidRPr="004215E0">
        <w:t>Repeal the regulation, substitute:</w:t>
      </w:r>
    </w:p>
    <w:p w:rsidR="00F34D89" w:rsidRPr="004215E0" w:rsidRDefault="00F34D89" w:rsidP="00F34D89">
      <w:pPr>
        <w:pStyle w:val="ActHead5"/>
      </w:pPr>
      <w:bookmarkStart w:id="13" w:name="_Toc434306142"/>
      <w:r w:rsidRPr="004215E0">
        <w:rPr>
          <w:rStyle w:val="CharSectno"/>
        </w:rPr>
        <w:t>33</w:t>
      </w:r>
      <w:r w:rsidRPr="004215E0">
        <w:t xml:space="preserve">  Fee</w:t>
      </w:r>
      <w:r w:rsidR="00B60F4F" w:rsidRPr="004215E0">
        <w:t>s</w:t>
      </w:r>
      <w:r w:rsidRPr="004215E0">
        <w:t xml:space="preserve"> for chargeable services</w:t>
      </w:r>
      <w:bookmarkEnd w:id="13"/>
    </w:p>
    <w:p w:rsidR="00F34D89" w:rsidRPr="004215E0" w:rsidRDefault="00F34D89" w:rsidP="00772B41">
      <w:pPr>
        <w:pStyle w:val="subsection"/>
      </w:pPr>
      <w:r w:rsidRPr="004215E0">
        <w:tab/>
      </w:r>
      <w:r w:rsidR="0087560E" w:rsidRPr="004215E0">
        <w:t>(1)</w:t>
      </w:r>
      <w:r w:rsidRPr="004215E0">
        <w:tab/>
        <w:t xml:space="preserve">For </w:t>
      </w:r>
      <w:r w:rsidR="00B60F4F" w:rsidRPr="004215E0">
        <w:t>sub</w:t>
      </w:r>
      <w:r w:rsidRPr="004215E0">
        <w:t>section</w:t>
      </w:r>
      <w:r w:rsidR="004215E0" w:rsidRPr="004215E0">
        <w:t> </w:t>
      </w:r>
      <w:r w:rsidRPr="004215E0">
        <w:t>36</w:t>
      </w:r>
      <w:r w:rsidR="00B60F4F" w:rsidRPr="004215E0">
        <w:t>(1)</w:t>
      </w:r>
      <w:r w:rsidRPr="004215E0">
        <w:t xml:space="preserve"> of the</w:t>
      </w:r>
      <w:r w:rsidR="00B60F4F" w:rsidRPr="004215E0">
        <w:t xml:space="preserve"> </w:t>
      </w:r>
      <w:r w:rsidRPr="004215E0">
        <w:t xml:space="preserve">Act, </w:t>
      </w:r>
      <w:r w:rsidR="006F439A" w:rsidRPr="004215E0">
        <w:t xml:space="preserve">the fee that </w:t>
      </w:r>
      <w:r w:rsidR="00BD52B6" w:rsidRPr="004215E0">
        <w:t xml:space="preserve">a person is liable to pay to the Commonwealth </w:t>
      </w:r>
      <w:r w:rsidR="006F439A" w:rsidRPr="004215E0">
        <w:t xml:space="preserve">in respect of </w:t>
      </w:r>
      <w:r w:rsidR="00BD52B6" w:rsidRPr="004215E0">
        <w:t xml:space="preserve">the provision of </w:t>
      </w:r>
      <w:r w:rsidR="00B60F4F" w:rsidRPr="004215E0">
        <w:t xml:space="preserve">a chargeable service </w:t>
      </w:r>
      <w:r w:rsidR="002B422E" w:rsidRPr="004215E0">
        <w:t xml:space="preserve">referred to </w:t>
      </w:r>
      <w:r w:rsidR="006F439A" w:rsidRPr="004215E0">
        <w:t>in column 1 of an</w:t>
      </w:r>
      <w:r w:rsidR="00772B41" w:rsidRPr="004215E0">
        <w:t xml:space="preserve"> item in the following table is </w:t>
      </w:r>
      <w:r w:rsidR="006F439A" w:rsidRPr="004215E0">
        <w:t xml:space="preserve">the </w:t>
      </w:r>
      <w:r w:rsidR="00750AFC" w:rsidRPr="004215E0">
        <w:t>amount</w:t>
      </w:r>
      <w:r w:rsidR="00950C27" w:rsidRPr="004215E0">
        <w:t xml:space="preserve"> </w:t>
      </w:r>
      <w:r w:rsidR="006F439A" w:rsidRPr="004215E0">
        <w:t>set out in, or worked out in accordance with, column 2</w:t>
      </w:r>
      <w:r w:rsidR="00B60F4F" w:rsidRPr="004215E0">
        <w:t xml:space="preserve"> of </w:t>
      </w:r>
      <w:r w:rsidR="006F439A" w:rsidRPr="004215E0">
        <w:t>the item</w:t>
      </w:r>
      <w:r w:rsidR="00772B41" w:rsidRPr="004215E0">
        <w:t>.</w:t>
      </w:r>
    </w:p>
    <w:p w:rsidR="00B60F4F" w:rsidRPr="004215E0" w:rsidRDefault="00B60F4F" w:rsidP="00B60F4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B60F4F" w:rsidRPr="004215E0" w:rsidTr="00E05022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60F4F" w:rsidRPr="004215E0" w:rsidRDefault="0087560E" w:rsidP="0087560E">
            <w:pPr>
              <w:pStyle w:val="TableHeading"/>
            </w:pPr>
            <w:r w:rsidRPr="004215E0">
              <w:t>Fees</w:t>
            </w:r>
          </w:p>
        </w:tc>
      </w:tr>
      <w:tr w:rsidR="00B60F4F" w:rsidRPr="004215E0" w:rsidTr="00E05022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0F4F" w:rsidRPr="004215E0" w:rsidRDefault="0087560E" w:rsidP="00B96990">
            <w:pPr>
              <w:pStyle w:val="TableHeading"/>
            </w:pPr>
            <w:r w:rsidRPr="004215E0">
              <w:t>Item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0F4F" w:rsidRPr="004215E0" w:rsidRDefault="0087560E" w:rsidP="00B96990">
            <w:pPr>
              <w:pStyle w:val="TableHeading"/>
            </w:pPr>
            <w:r w:rsidRPr="004215E0">
              <w:t>Column 1</w:t>
            </w:r>
            <w:r w:rsidRPr="004215E0">
              <w:br/>
            </w:r>
            <w:r w:rsidR="00B60F4F" w:rsidRPr="004215E0">
              <w:t>Chargeable service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60F4F" w:rsidRPr="004215E0" w:rsidRDefault="0087560E" w:rsidP="00750AFC">
            <w:pPr>
              <w:pStyle w:val="TableHeading"/>
            </w:pPr>
            <w:r w:rsidRPr="004215E0">
              <w:t>Column 2</w:t>
            </w:r>
            <w:r w:rsidRPr="004215E0">
              <w:br/>
            </w:r>
            <w:r w:rsidR="00750AFC" w:rsidRPr="004215E0">
              <w:t>Amount</w:t>
            </w:r>
          </w:p>
        </w:tc>
      </w:tr>
      <w:tr w:rsidR="00B60F4F" w:rsidRPr="004215E0" w:rsidTr="00E0502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60F4F" w:rsidRPr="004215E0" w:rsidRDefault="00B60F4F" w:rsidP="00B96990">
            <w:pPr>
              <w:pStyle w:val="Tabletext"/>
            </w:pPr>
            <w:r w:rsidRPr="004215E0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B60F4F" w:rsidRPr="004215E0" w:rsidRDefault="000227F2" w:rsidP="00B32CAC">
            <w:pPr>
              <w:pStyle w:val="Tabletext"/>
            </w:pPr>
            <w:r w:rsidRPr="004215E0">
              <w:t>In</w:t>
            </w:r>
            <w:r w:rsidR="004215E0">
              <w:noBreakHyphen/>
            </w:r>
            <w:r w:rsidRPr="004215E0">
              <w:t xml:space="preserve">office assessment, </w:t>
            </w:r>
            <w:r w:rsidR="00933B29" w:rsidRPr="004215E0">
              <w:t xml:space="preserve">issue of </w:t>
            </w:r>
            <w:r w:rsidR="00E75D32" w:rsidRPr="004215E0">
              <w:t>approval</w:t>
            </w:r>
            <w:r w:rsidR="000D425E" w:rsidRPr="004215E0">
              <w:t xml:space="preserve"> </w:t>
            </w:r>
            <w:r w:rsidR="00B32CAC" w:rsidRPr="004215E0">
              <w:t>or</w:t>
            </w:r>
            <w:r w:rsidR="000D425E" w:rsidRPr="004215E0">
              <w:t xml:space="preserve"> other relevant documentation</w:t>
            </w:r>
            <w:r w:rsidR="00E75D32" w:rsidRPr="004215E0">
              <w:t>, inspection, treatment, audit</w:t>
            </w:r>
            <w:r w:rsidR="00933B29" w:rsidRPr="004215E0">
              <w:t xml:space="preserve">, </w:t>
            </w:r>
            <w:r w:rsidRPr="004215E0">
              <w:t xml:space="preserve">analysis, </w:t>
            </w:r>
            <w:r w:rsidR="00AA5365" w:rsidRPr="004215E0">
              <w:t xml:space="preserve">training, </w:t>
            </w:r>
            <w:r w:rsidRPr="004215E0">
              <w:t xml:space="preserve">or other </w:t>
            </w:r>
            <w:r w:rsidR="007315DC" w:rsidRPr="004215E0">
              <w:t xml:space="preserve">chargeable </w:t>
            </w:r>
            <w:r w:rsidR="00B32CAC" w:rsidRPr="004215E0">
              <w:t>service</w:t>
            </w:r>
            <w:r w:rsidRPr="004215E0">
              <w:t xml:space="preserve"> in relation to </w:t>
            </w:r>
            <w:r w:rsidR="007315DC" w:rsidRPr="004215E0">
              <w:t>food to which the Act applies</w:t>
            </w:r>
            <w:r w:rsidR="00E00E2E" w:rsidRPr="004215E0">
              <w:t>,</w:t>
            </w:r>
            <w:r w:rsidR="00772B41" w:rsidRPr="004215E0">
              <w:t xml:space="preserve"> </w:t>
            </w:r>
            <w:r w:rsidR="00B32CAC" w:rsidRPr="004215E0">
              <w:t xml:space="preserve">provided </w:t>
            </w:r>
            <w:r w:rsidR="00772B41" w:rsidRPr="004215E0">
              <w:t>during ordinary hours of duty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B60F4F" w:rsidRPr="004215E0" w:rsidRDefault="000227F2" w:rsidP="00B96990">
            <w:pPr>
              <w:pStyle w:val="Tabletext"/>
            </w:pPr>
            <w:r w:rsidRPr="004215E0">
              <w:t xml:space="preserve">For each </w:t>
            </w:r>
            <w:r w:rsidR="006F439A" w:rsidRPr="004215E0">
              <w:t xml:space="preserve">authorised </w:t>
            </w:r>
            <w:r w:rsidRPr="004215E0">
              <w:t xml:space="preserve">officer </w:t>
            </w:r>
            <w:r w:rsidR="00B96990" w:rsidRPr="004215E0">
              <w:t xml:space="preserve">providing </w:t>
            </w:r>
            <w:r w:rsidRPr="004215E0">
              <w:t xml:space="preserve">the </w:t>
            </w:r>
            <w:r w:rsidR="006F439A" w:rsidRPr="004215E0">
              <w:t xml:space="preserve">chargeable </w:t>
            </w:r>
            <w:r w:rsidR="00384C0B" w:rsidRPr="004215E0">
              <w:t>service—$30</w:t>
            </w:r>
            <w:r w:rsidRPr="004215E0">
              <w:t xml:space="preserve"> for each quarter hour or part of a quarter hour</w:t>
            </w:r>
          </w:p>
        </w:tc>
      </w:tr>
      <w:tr w:rsidR="00E05022" w:rsidRPr="004215E0" w:rsidTr="00E05022">
        <w:tc>
          <w:tcPr>
            <w:tcW w:w="714" w:type="dxa"/>
            <w:shd w:val="clear" w:color="auto" w:fill="auto"/>
          </w:tcPr>
          <w:p w:rsidR="00E05022" w:rsidRPr="004215E0" w:rsidRDefault="00E05022" w:rsidP="0078115C">
            <w:pPr>
              <w:pStyle w:val="Tabletext"/>
            </w:pPr>
            <w:r w:rsidRPr="004215E0">
              <w:t>2</w:t>
            </w:r>
          </w:p>
        </w:tc>
        <w:tc>
          <w:tcPr>
            <w:tcW w:w="3186" w:type="dxa"/>
            <w:shd w:val="clear" w:color="auto" w:fill="auto"/>
          </w:tcPr>
          <w:p w:rsidR="00E05022" w:rsidRPr="004215E0" w:rsidRDefault="00E05022" w:rsidP="0078115C">
            <w:pPr>
              <w:pStyle w:val="Tabletext"/>
            </w:pPr>
            <w:r w:rsidRPr="004215E0">
              <w:t>In</w:t>
            </w:r>
            <w:r w:rsidR="004215E0">
              <w:noBreakHyphen/>
            </w:r>
            <w:r w:rsidRPr="004215E0">
              <w:t>office chargeable service mentioned in item</w:t>
            </w:r>
            <w:r w:rsidR="004215E0" w:rsidRPr="004215E0">
              <w:t> </w:t>
            </w:r>
            <w:r w:rsidRPr="004215E0">
              <w:t>1 provided on a weekday outside ordinary hours of duty</w:t>
            </w:r>
          </w:p>
        </w:tc>
        <w:tc>
          <w:tcPr>
            <w:tcW w:w="3186" w:type="dxa"/>
            <w:shd w:val="clear" w:color="auto" w:fill="auto"/>
          </w:tcPr>
          <w:p w:rsidR="00E05022" w:rsidRPr="004215E0" w:rsidRDefault="00E05022" w:rsidP="0078115C">
            <w:pPr>
              <w:pStyle w:val="Tabletext"/>
            </w:pPr>
            <w:r w:rsidRPr="004215E0">
              <w:t>For each authorised officer providing the chargeable service:</w:t>
            </w:r>
          </w:p>
          <w:p w:rsidR="00E05022" w:rsidRPr="004215E0" w:rsidRDefault="00E05022" w:rsidP="0078115C">
            <w:pPr>
              <w:pStyle w:val="Tablea"/>
            </w:pPr>
            <w:r w:rsidRPr="004215E0">
              <w:t>(a) if the service is provided immediately before or immediately after an in</w:t>
            </w:r>
            <w:r w:rsidR="004215E0">
              <w:noBreakHyphen/>
            </w:r>
            <w:r w:rsidR="00ED55A5" w:rsidRPr="004215E0">
              <w:t>office</w:t>
            </w:r>
            <w:r w:rsidRPr="004215E0">
              <w:t xml:space="preserve"> chargeable service provided by the authorised officer during ordinary hours of duty—</w:t>
            </w:r>
            <w:r w:rsidR="000746A0" w:rsidRPr="004215E0">
              <w:t>$4</w:t>
            </w:r>
            <w:r w:rsidR="000A4380" w:rsidRPr="004215E0">
              <w:t>5</w:t>
            </w:r>
            <w:r w:rsidRPr="004215E0">
              <w:t xml:space="preserve"> for each quarter hour or part of a quarter hour; or</w:t>
            </w:r>
          </w:p>
          <w:p w:rsidR="00E05022" w:rsidRPr="004215E0" w:rsidRDefault="00E05022" w:rsidP="0078115C">
            <w:pPr>
              <w:pStyle w:val="Tablea"/>
            </w:pPr>
            <w:r w:rsidRPr="004215E0">
              <w:t>(b) in any other case:</w:t>
            </w:r>
          </w:p>
          <w:p w:rsidR="00E05022" w:rsidRPr="004215E0" w:rsidRDefault="00E05022" w:rsidP="0078115C">
            <w:pPr>
              <w:pStyle w:val="Tablei"/>
            </w:pPr>
            <w:r w:rsidRPr="004215E0">
              <w:t>(i) for any period up to 3</w:t>
            </w:r>
            <w:r w:rsidR="000746A0" w:rsidRPr="004215E0">
              <w:t>0</w:t>
            </w:r>
            <w:r w:rsidRPr="004215E0">
              <w:t xml:space="preserve"> </w:t>
            </w:r>
            <w:r w:rsidR="000746A0" w:rsidRPr="004215E0">
              <w:t>minutes</w:t>
            </w:r>
            <w:r w:rsidRPr="004215E0">
              <w:t>—</w:t>
            </w:r>
            <w:r w:rsidR="007C784D" w:rsidRPr="004215E0">
              <w:t>$</w:t>
            </w:r>
            <w:r w:rsidR="000A4380" w:rsidRPr="004215E0">
              <w:t>9</w:t>
            </w:r>
            <w:r w:rsidR="000746A0" w:rsidRPr="004215E0">
              <w:t>0</w:t>
            </w:r>
            <w:r w:rsidRPr="004215E0">
              <w:t>; and</w:t>
            </w:r>
          </w:p>
          <w:p w:rsidR="00E05022" w:rsidRPr="004215E0" w:rsidRDefault="00E05022" w:rsidP="000746A0">
            <w:pPr>
              <w:pStyle w:val="Tablei"/>
            </w:pPr>
            <w:r w:rsidRPr="004215E0">
              <w:t xml:space="preserve">(ii) for each quarter hour, or part of a quarter hour, after </w:t>
            </w:r>
            <w:r w:rsidR="000746A0" w:rsidRPr="004215E0">
              <w:t>the first 30 minutes</w:t>
            </w:r>
            <w:r w:rsidRPr="004215E0">
              <w:t>—</w:t>
            </w:r>
            <w:r w:rsidR="000746A0" w:rsidRPr="004215E0">
              <w:t>$4</w:t>
            </w:r>
            <w:r w:rsidR="000A4380" w:rsidRPr="004215E0">
              <w:t>5</w:t>
            </w:r>
          </w:p>
        </w:tc>
      </w:tr>
      <w:tr w:rsidR="00E05022" w:rsidRPr="004215E0" w:rsidTr="00E05022">
        <w:tc>
          <w:tcPr>
            <w:tcW w:w="714" w:type="dxa"/>
            <w:shd w:val="clear" w:color="auto" w:fill="auto"/>
          </w:tcPr>
          <w:p w:rsidR="00E05022" w:rsidRPr="004215E0" w:rsidRDefault="00E05022" w:rsidP="0078115C">
            <w:pPr>
              <w:pStyle w:val="Tabletext"/>
            </w:pPr>
            <w:r w:rsidRPr="004215E0">
              <w:t>3</w:t>
            </w:r>
          </w:p>
        </w:tc>
        <w:tc>
          <w:tcPr>
            <w:tcW w:w="3186" w:type="dxa"/>
            <w:shd w:val="clear" w:color="auto" w:fill="auto"/>
          </w:tcPr>
          <w:p w:rsidR="00E05022" w:rsidRPr="004215E0" w:rsidRDefault="00E05022" w:rsidP="00E05022">
            <w:pPr>
              <w:pStyle w:val="Tabletext"/>
            </w:pPr>
            <w:r w:rsidRPr="004215E0">
              <w:t>In</w:t>
            </w:r>
            <w:r w:rsidR="004215E0">
              <w:noBreakHyphen/>
            </w:r>
            <w:r w:rsidRPr="004215E0">
              <w:t>office chargeable service mentioned in item</w:t>
            </w:r>
            <w:r w:rsidR="004215E0" w:rsidRPr="004215E0">
              <w:t> </w:t>
            </w:r>
            <w:r w:rsidRPr="004215E0">
              <w:t>1 provided on a Saturday, Sunday or a Departmental holiday</w:t>
            </w:r>
          </w:p>
        </w:tc>
        <w:tc>
          <w:tcPr>
            <w:tcW w:w="3186" w:type="dxa"/>
            <w:shd w:val="clear" w:color="auto" w:fill="auto"/>
          </w:tcPr>
          <w:p w:rsidR="00E05022" w:rsidRPr="004215E0" w:rsidRDefault="00E05022" w:rsidP="0078115C">
            <w:pPr>
              <w:pStyle w:val="Tabletext"/>
            </w:pPr>
            <w:r w:rsidRPr="004215E0">
              <w:t>For each authorised officer providing the chargeable service:</w:t>
            </w:r>
          </w:p>
          <w:p w:rsidR="00E05022" w:rsidRPr="004215E0" w:rsidRDefault="00E05022" w:rsidP="0078115C">
            <w:pPr>
              <w:pStyle w:val="Tablea"/>
            </w:pPr>
            <w:r w:rsidRPr="004215E0">
              <w:t>(a) for any period up to 3</w:t>
            </w:r>
            <w:r w:rsidR="000746A0" w:rsidRPr="004215E0">
              <w:t>0</w:t>
            </w:r>
            <w:r w:rsidRPr="004215E0">
              <w:t xml:space="preserve"> </w:t>
            </w:r>
            <w:r w:rsidR="000746A0" w:rsidRPr="004215E0">
              <w:t>minutes</w:t>
            </w:r>
            <w:r w:rsidRPr="004215E0">
              <w:t>—</w:t>
            </w:r>
            <w:r w:rsidR="007C784D" w:rsidRPr="004215E0">
              <w:rPr>
                <w:lang w:eastAsia="en-US"/>
              </w:rPr>
              <w:t>$</w:t>
            </w:r>
            <w:r w:rsidR="000A4380" w:rsidRPr="004215E0">
              <w:rPr>
                <w:lang w:eastAsia="en-US"/>
              </w:rPr>
              <w:t>10</w:t>
            </w:r>
            <w:r w:rsidR="000746A0" w:rsidRPr="004215E0">
              <w:rPr>
                <w:lang w:eastAsia="en-US"/>
              </w:rPr>
              <w:t>0</w:t>
            </w:r>
            <w:r w:rsidRPr="004215E0">
              <w:t>; and</w:t>
            </w:r>
          </w:p>
          <w:p w:rsidR="00E05022" w:rsidRPr="004215E0" w:rsidRDefault="00E05022" w:rsidP="000746A0">
            <w:pPr>
              <w:pStyle w:val="Tablea"/>
            </w:pPr>
            <w:r w:rsidRPr="004215E0">
              <w:t xml:space="preserve">(b) for each quarter hour, or part of a quarter hour, after </w:t>
            </w:r>
            <w:r w:rsidR="000746A0" w:rsidRPr="004215E0">
              <w:t xml:space="preserve">the first </w:t>
            </w:r>
            <w:r w:rsidRPr="004215E0">
              <w:t>3</w:t>
            </w:r>
            <w:r w:rsidR="000746A0" w:rsidRPr="004215E0">
              <w:t>0</w:t>
            </w:r>
            <w:r w:rsidRPr="004215E0">
              <w:t xml:space="preserve"> </w:t>
            </w:r>
            <w:r w:rsidR="000746A0" w:rsidRPr="004215E0">
              <w:t>minutes</w:t>
            </w:r>
            <w:r w:rsidRPr="004215E0">
              <w:t>—</w:t>
            </w:r>
            <w:r w:rsidR="000A4380" w:rsidRPr="004215E0">
              <w:t>$50</w:t>
            </w:r>
          </w:p>
        </w:tc>
      </w:tr>
      <w:tr w:rsidR="00B60F4F" w:rsidRPr="004215E0" w:rsidTr="00E05022">
        <w:tc>
          <w:tcPr>
            <w:tcW w:w="714" w:type="dxa"/>
            <w:shd w:val="clear" w:color="auto" w:fill="auto"/>
          </w:tcPr>
          <w:p w:rsidR="00B60F4F" w:rsidRPr="004215E0" w:rsidRDefault="00E05022" w:rsidP="00B96990">
            <w:pPr>
              <w:pStyle w:val="Tabletext"/>
            </w:pPr>
            <w:r w:rsidRPr="004215E0">
              <w:t>4</w:t>
            </w:r>
          </w:p>
        </w:tc>
        <w:tc>
          <w:tcPr>
            <w:tcW w:w="3186" w:type="dxa"/>
            <w:shd w:val="clear" w:color="auto" w:fill="auto"/>
          </w:tcPr>
          <w:p w:rsidR="00B60F4F" w:rsidRPr="004215E0" w:rsidRDefault="000227F2" w:rsidP="00B32CAC">
            <w:pPr>
              <w:pStyle w:val="Tabletext"/>
            </w:pPr>
            <w:r w:rsidRPr="004215E0">
              <w:t>Out</w:t>
            </w:r>
            <w:r w:rsidR="004215E0">
              <w:noBreakHyphen/>
            </w:r>
            <w:r w:rsidRPr="004215E0">
              <w:t>of</w:t>
            </w:r>
            <w:r w:rsidR="004215E0">
              <w:noBreakHyphen/>
            </w:r>
            <w:r w:rsidRPr="004215E0">
              <w:t xml:space="preserve">office </w:t>
            </w:r>
            <w:r w:rsidR="00933B29" w:rsidRPr="004215E0">
              <w:t>assessment</w:t>
            </w:r>
            <w:r w:rsidR="00E75D32" w:rsidRPr="004215E0">
              <w:t>, issue of approval</w:t>
            </w:r>
            <w:r w:rsidR="000D425E" w:rsidRPr="004215E0">
              <w:t xml:space="preserve"> </w:t>
            </w:r>
            <w:r w:rsidR="00B32CAC" w:rsidRPr="004215E0">
              <w:t>or</w:t>
            </w:r>
            <w:r w:rsidR="000D425E" w:rsidRPr="004215E0">
              <w:t xml:space="preserve"> other relevant documentation</w:t>
            </w:r>
            <w:r w:rsidR="00933B29" w:rsidRPr="004215E0">
              <w:t xml:space="preserve">, </w:t>
            </w:r>
            <w:r w:rsidRPr="004215E0">
              <w:t xml:space="preserve">inspection, </w:t>
            </w:r>
            <w:r w:rsidR="00E75D32" w:rsidRPr="004215E0">
              <w:t>treatment, audit</w:t>
            </w:r>
            <w:r w:rsidR="00933B29" w:rsidRPr="004215E0">
              <w:t>, analysis</w:t>
            </w:r>
            <w:r w:rsidRPr="004215E0">
              <w:t xml:space="preserve">, </w:t>
            </w:r>
            <w:r w:rsidR="00AA5365" w:rsidRPr="004215E0">
              <w:t xml:space="preserve">training, </w:t>
            </w:r>
            <w:r w:rsidRPr="004215E0">
              <w:t xml:space="preserve">or other </w:t>
            </w:r>
            <w:r w:rsidR="00933B29" w:rsidRPr="004215E0">
              <w:t xml:space="preserve">chargeable </w:t>
            </w:r>
            <w:r w:rsidR="00B32CAC" w:rsidRPr="004215E0">
              <w:t>service</w:t>
            </w:r>
            <w:r w:rsidRPr="004215E0">
              <w:t xml:space="preserve"> in relation to </w:t>
            </w:r>
            <w:r w:rsidR="00B96990" w:rsidRPr="004215E0">
              <w:t>food to which the Act applies</w:t>
            </w:r>
            <w:r w:rsidR="00E00E2E" w:rsidRPr="004215E0">
              <w:t>,</w:t>
            </w:r>
            <w:r w:rsidR="00772B41" w:rsidRPr="004215E0">
              <w:t xml:space="preserve"> </w:t>
            </w:r>
            <w:r w:rsidR="00B32CAC" w:rsidRPr="004215E0">
              <w:t xml:space="preserve">provided </w:t>
            </w:r>
            <w:r w:rsidR="00772B41" w:rsidRPr="004215E0">
              <w:t>during ordinary hours of duty</w:t>
            </w:r>
          </w:p>
        </w:tc>
        <w:tc>
          <w:tcPr>
            <w:tcW w:w="3186" w:type="dxa"/>
            <w:shd w:val="clear" w:color="auto" w:fill="auto"/>
          </w:tcPr>
          <w:p w:rsidR="002B422E" w:rsidRPr="004215E0" w:rsidRDefault="000227F2" w:rsidP="006F439A">
            <w:pPr>
              <w:pStyle w:val="Tabletext"/>
            </w:pPr>
            <w:r w:rsidRPr="004215E0">
              <w:t xml:space="preserve">For each </w:t>
            </w:r>
            <w:r w:rsidR="006F439A" w:rsidRPr="004215E0">
              <w:t xml:space="preserve">authorised officer </w:t>
            </w:r>
            <w:r w:rsidR="00B96990" w:rsidRPr="004215E0">
              <w:t xml:space="preserve">providing </w:t>
            </w:r>
            <w:r w:rsidRPr="004215E0">
              <w:t xml:space="preserve">the </w:t>
            </w:r>
            <w:r w:rsidR="006F439A" w:rsidRPr="004215E0">
              <w:t xml:space="preserve">chargeable </w:t>
            </w:r>
            <w:r w:rsidRPr="004215E0">
              <w:t>service</w:t>
            </w:r>
            <w:r w:rsidR="002B422E" w:rsidRPr="004215E0">
              <w:t>:</w:t>
            </w:r>
          </w:p>
          <w:p w:rsidR="0059108C" w:rsidRPr="004215E0" w:rsidRDefault="0059108C" w:rsidP="002B422E">
            <w:pPr>
              <w:pStyle w:val="Tablea"/>
            </w:pPr>
            <w:r w:rsidRPr="004215E0">
              <w:t>(a) for less than a working day—$50 for each quarter hour or part of a quarter hour; or</w:t>
            </w:r>
          </w:p>
          <w:p w:rsidR="0059108C" w:rsidRPr="004215E0" w:rsidRDefault="0059108C" w:rsidP="002B422E">
            <w:pPr>
              <w:pStyle w:val="Tablea"/>
            </w:pPr>
            <w:r w:rsidRPr="004215E0">
              <w:t>(b) for:</w:t>
            </w:r>
          </w:p>
          <w:p w:rsidR="002B422E" w:rsidRPr="004215E0" w:rsidRDefault="0059108C" w:rsidP="0059108C">
            <w:pPr>
              <w:pStyle w:val="Tablei"/>
            </w:pPr>
            <w:r w:rsidRPr="004215E0">
              <w:t xml:space="preserve">(i) </w:t>
            </w:r>
            <w:r w:rsidR="002B422E" w:rsidRPr="004215E0">
              <w:t>each working day—$1</w:t>
            </w:r>
            <w:r w:rsidR="004215E0" w:rsidRPr="004215E0">
              <w:t> </w:t>
            </w:r>
            <w:r w:rsidR="00384C0B" w:rsidRPr="004215E0">
              <w:t>000</w:t>
            </w:r>
            <w:r w:rsidRPr="004215E0">
              <w:t>; and</w:t>
            </w:r>
          </w:p>
          <w:p w:rsidR="00B60F4F" w:rsidRPr="004215E0" w:rsidRDefault="0059108C" w:rsidP="0059108C">
            <w:pPr>
              <w:pStyle w:val="Tablei"/>
            </w:pPr>
            <w:r w:rsidRPr="004215E0">
              <w:t>(ii) each additional quarter hour, or part of a quarter hour, on that day—$50</w:t>
            </w:r>
          </w:p>
        </w:tc>
      </w:tr>
      <w:tr w:rsidR="00304FA5" w:rsidRPr="004215E0" w:rsidTr="00E05022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04FA5" w:rsidRPr="004215E0" w:rsidRDefault="0078356A" w:rsidP="005626BC">
            <w:pPr>
              <w:pStyle w:val="Tabletext"/>
            </w:pPr>
            <w:r w:rsidRPr="004215E0">
              <w:t>5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304FA5" w:rsidRPr="004215E0" w:rsidRDefault="00304FA5" w:rsidP="00304FA5">
            <w:pPr>
              <w:pStyle w:val="Tabletext"/>
            </w:pPr>
            <w:r w:rsidRPr="004215E0">
              <w:t>Out</w:t>
            </w:r>
            <w:r w:rsidR="004215E0">
              <w:noBreakHyphen/>
            </w:r>
            <w:r w:rsidRPr="004215E0">
              <w:t>of</w:t>
            </w:r>
            <w:r w:rsidR="004215E0">
              <w:noBreakHyphen/>
            </w:r>
            <w:r w:rsidRPr="004215E0">
              <w:t>office chargeable service mentioned in item</w:t>
            </w:r>
            <w:r w:rsidR="004215E0" w:rsidRPr="004215E0">
              <w:t> </w:t>
            </w:r>
            <w:r w:rsidR="0078356A" w:rsidRPr="004215E0">
              <w:t>4</w:t>
            </w:r>
            <w:r w:rsidRPr="004215E0">
              <w:t xml:space="preserve"> provided on a weekday outside ordinary hours of duty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304FA5" w:rsidRPr="004215E0" w:rsidRDefault="00304FA5" w:rsidP="005626BC">
            <w:pPr>
              <w:pStyle w:val="Tabletext"/>
            </w:pPr>
            <w:r w:rsidRPr="004215E0">
              <w:t>For each authorised officer providing the chargeable service:</w:t>
            </w:r>
          </w:p>
          <w:p w:rsidR="00304FA5" w:rsidRPr="004215E0" w:rsidRDefault="00304FA5" w:rsidP="005626BC">
            <w:pPr>
              <w:pStyle w:val="Tablea"/>
            </w:pPr>
            <w:r w:rsidRPr="004215E0">
              <w:t>(a) if the service is provided immediately before or immediately after an out</w:t>
            </w:r>
            <w:r w:rsidR="004215E0">
              <w:noBreakHyphen/>
            </w:r>
            <w:r w:rsidRPr="004215E0">
              <w:t>of</w:t>
            </w:r>
            <w:r w:rsidR="004215E0">
              <w:noBreakHyphen/>
            </w:r>
            <w:r w:rsidRPr="004215E0">
              <w:t>office chargeable service provided by the authorised officer during ordinary hours of duty—</w:t>
            </w:r>
            <w:r w:rsidR="000746A0" w:rsidRPr="004215E0">
              <w:t>$6</w:t>
            </w:r>
            <w:r w:rsidR="000A4380" w:rsidRPr="004215E0">
              <w:t>5</w:t>
            </w:r>
            <w:r w:rsidRPr="004215E0">
              <w:t xml:space="preserve"> for each quarter hour or part of a quarter hour; or</w:t>
            </w:r>
          </w:p>
          <w:p w:rsidR="00304FA5" w:rsidRPr="004215E0" w:rsidRDefault="00304FA5" w:rsidP="005626BC">
            <w:pPr>
              <w:pStyle w:val="Tablea"/>
            </w:pPr>
            <w:r w:rsidRPr="004215E0">
              <w:t>(b) in any other case:</w:t>
            </w:r>
          </w:p>
          <w:p w:rsidR="00304FA5" w:rsidRPr="004215E0" w:rsidRDefault="00304FA5" w:rsidP="000746A0">
            <w:pPr>
              <w:pStyle w:val="Tablei"/>
            </w:pPr>
            <w:r w:rsidRPr="004215E0">
              <w:t>(i) for any period up to 3</w:t>
            </w:r>
            <w:r w:rsidR="000746A0" w:rsidRPr="004215E0">
              <w:t>0</w:t>
            </w:r>
            <w:r w:rsidRPr="004215E0">
              <w:t xml:space="preserve"> </w:t>
            </w:r>
            <w:r w:rsidR="000746A0" w:rsidRPr="004215E0">
              <w:t>minutes</w:t>
            </w:r>
            <w:r w:rsidRPr="004215E0">
              <w:t>—</w:t>
            </w:r>
            <w:r w:rsidR="007C784D" w:rsidRPr="004215E0">
              <w:rPr>
                <w:lang w:eastAsia="en-US"/>
              </w:rPr>
              <w:t>$</w:t>
            </w:r>
            <w:r w:rsidR="000A4380" w:rsidRPr="004215E0">
              <w:rPr>
                <w:lang w:eastAsia="en-US"/>
              </w:rPr>
              <w:t>13</w:t>
            </w:r>
            <w:r w:rsidR="000746A0" w:rsidRPr="004215E0">
              <w:rPr>
                <w:lang w:eastAsia="en-US"/>
              </w:rPr>
              <w:t>0</w:t>
            </w:r>
            <w:r w:rsidRPr="004215E0">
              <w:t>; and</w:t>
            </w:r>
          </w:p>
          <w:p w:rsidR="00304FA5" w:rsidRPr="004215E0" w:rsidRDefault="00304FA5" w:rsidP="000746A0">
            <w:pPr>
              <w:pStyle w:val="Tablei"/>
            </w:pPr>
            <w:r w:rsidRPr="004215E0">
              <w:t xml:space="preserve">(ii) for each quarter hour, or part of a quarter hour, after </w:t>
            </w:r>
            <w:r w:rsidR="000746A0" w:rsidRPr="004215E0">
              <w:t xml:space="preserve">the first </w:t>
            </w:r>
            <w:r w:rsidRPr="004215E0">
              <w:t>3</w:t>
            </w:r>
            <w:r w:rsidR="000746A0" w:rsidRPr="004215E0">
              <w:t>0 minutes</w:t>
            </w:r>
            <w:r w:rsidRPr="004215E0">
              <w:t>—</w:t>
            </w:r>
            <w:r w:rsidR="000746A0" w:rsidRPr="004215E0">
              <w:t>$6</w:t>
            </w:r>
            <w:r w:rsidR="000A4380" w:rsidRPr="004215E0">
              <w:t>5</w:t>
            </w:r>
          </w:p>
        </w:tc>
      </w:tr>
      <w:tr w:rsidR="00B60F4F" w:rsidRPr="004215E0" w:rsidTr="007C784D">
        <w:tc>
          <w:tcPr>
            <w:tcW w:w="714" w:type="dxa"/>
            <w:shd w:val="clear" w:color="auto" w:fill="auto"/>
          </w:tcPr>
          <w:p w:rsidR="00B60F4F" w:rsidRPr="004215E0" w:rsidRDefault="0078356A" w:rsidP="00B96990">
            <w:pPr>
              <w:pStyle w:val="Tabletext"/>
            </w:pPr>
            <w:r w:rsidRPr="004215E0">
              <w:t>6</w:t>
            </w:r>
          </w:p>
        </w:tc>
        <w:tc>
          <w:tcPr>
            <w:tcW w:w="3186" w:type="dxa"/>
            <w:shd w:val="clear" w:color="auto" w:fill="auto"/>
          </w:tcPr>
          <w:p w:rsidR="00B60F4F" w:rsidRPr="004215E0" w:rsidRDefault="00E05022" w:rsidP="00E05022">
            <w:pPr>
              <w:pStyle w:val="Tabletext"/>
            </w:pPr>
            <w:r w:rsidRPr="004215E0">
              <w:t>Out</w:t>
            </w:r>
            <w:r w:rsidR="004215E0">
              <w:noBreakHyphen/>
            </w:r>
            <w:r w:rsidRPr="004215E0">
              <w:t>of</w:t>
            </w:r>
            <w:r w:rsidR="004215E0">
              <w:noBreakHyphen/>
            </w:r>
            <w:r w:rsidRPr="004215E0">
              <w:t>office c</w:t>
            </w:r>
            <w:r w:rsidR="000227F2" w:rsidRPr="004215E0">
              <w:t>hargeable servi</w:t>
            </w:r>
            <w:r w:rsidR="00B96990" w:rsidRPr="004215E0">
              <w:t>ce mentioned in item</w:t>
            </w:r>
            <w:r w:rsidR="004215E0" w:rsidRPr="004215E0">
              <w:t> </w:t>
            </w:r>
            <w:r w:rsidRPr="004215E0">
              <w:t>4</w:t>
            </w:r>
            <w:r w:rsidR="00BD52B6" w:rsidRPr="004215E0">
              <w:t xml:space="preserve"> </w:t>
            </w:r>
            <w:r w:rsidR="00482FFE" w:rsidRPr="004215E0">
              <w:t xml:space="preserve">provided </w:t>
            </w:r>
            <w:r w:rsidR="000227F2" w:rsidRPr="004215E0">
              <w:t>on a Saturday, Sunday or a Departmental holiday</w:t>
            </w:r>
          </w:p>
        </w:tc>
        <w:tc>
          <w:tcPr>
            <w:tcW w:w="3186" w:type="dxa"/>
            <w:shd w:val="clear" w:color="auto" w:fill="auto"/>
          </w:tcPr>
          <w:p w:rsidR="000227F2" w:rsidRPr="004215E0" w:rsidRDefault="000227F2" w:rsidP="000227F2">
            <w:pPr>
              <w:pStyle w:val="Tabletext"/>
            </w:pPr>
            <w:r w:rsidRPr="004215E0">
              <w:t xml:space="preserve">For each </w:t>
            </w:r>
            <w:r w:rsidR="00B96990" w:rsidRPr="004215E0">
              <w:t xml:space="preserve">authorised </w:t>
            </w:r>
            <w:r w:rsidRPr="004215E0">
              <w:t xml:space="preserve">officer </w:t>
            </w:r>
            <w:r w:rsidR="00B96990" w:rsidRPr="004215E0">
              <w:t xml:space="preserve">providing </w:t>
            </w:r>
            <w:r w:rsidRPr="004215E0">
              <w:t>the chargeable service:</w:t>
            </w:r>
          </w:p>
          <w:p w:rsidR="000227F2" w:rsidRPr="004215E0" w:rsidRDefault="000227F2" w:rsidP="000227F2">
            <w:pPr>
              <w:pStyle w:val="Tablea"/>
            </w:pPr>
            <w:r w:rsidRPr="004215E0">
              <w:t xml:space="preserve">(a) for </w:t>
            </w:r>
            <w:r w:rsidR="00772B41" w:rsidRPr="004215E0">
              <w:t xml:space="preserve">any period up to </w:t>
            </w:r>
            <w:r w:rsidR="000746A0" w:rsidRPr="004215E0">
              <w:t>30 minutes</w:t>
            </w:r>
            <w:r w:rsidR="00772B41" w:rsidRPr="004215E0">
              <w:rPr>
                <w:lang w:eastAsia="en-US"/>
              </w:rPr>
              <w:t>—</w:t>
            </w:r>
            <w:r w:rsidR="007C784D" w:rsidRPr="004215E0">
              <w:rPr>
                <w:lang w:eastAsia="en-US"/>
              </w:rPr>
              <w:t>$</w:t>
            </w:r>
            <w:r w:rsidR="000A4380" w:rsidRPr="004215E0">
              <w:rPr>
                <w:lang w:eastAsia="en-US"/>
              </w:rPr>
              <w:t>14</w:t>
            </w:r>
            <w:r w:rsidR="000746A0" w:rsidRPr="004215E0">
              <w:rPr>
                <w:lang w:eastAsia="en-US"/>
              </w:rPr>
              <w:t>0</w:t>
            </w:r>
            <w:r w:rsidRPr="004215E0">
              <w:rPr>
                <w:lang w:eastAsia="en-US"/>
              </w:rPr>
              <w:t>;</w:t>
            </w:r>
            <w:r w:rsidRPr="004215E0">
              <w:t xml:space="preserve"> and</w:t>
            </w:r>
          </w:p>
          <w:p w:rsidR="00B60F4F" w:rsidRPr="004215E0" w:rsidRDefault="000227F2" w:rsidP="000746A0">
            <w:pPr>
              <w:pStyle w:val="Tablea"/>
            </w:pPr>
            <w:r w:rsidRPr="004215E0">
              <w:t>(b) for each quarter hour, or part of a quarter hour,</w:t>
            </w:r>
            <w:r w:rsidR="00384C0B" w:rsidRPr="004215E0">
              <w:t xml:space="preserve"> after </w:t>
            </w:r>
            <w:r w:rsidR="000746A0" w:rsidRPr="004215E0">
              <w:t xml:space="preserve">the first </w:t>
            </w:r>
            <w:r w:rsidR="00384C0B" w:rsidRPr="004215E0">
              <w:t>3</w:t>
            </w:r>
            <w:r w:rsidR="000746A0" w:rsidRPr="004215E0">
              <w:t>0 minutes</w:t>
            </w:r>
            <w:r w:rsidR="00384C0B" w:rsidRPr="004215E0">
              <w:t>—$</w:t>
            </w:r>
            <w:r w:rsidR="000A4380" w:rsidRPr="004215E0">
              <w:t>70</w:t>
            </w:r>
          </w:p>
        </w:tc>
      </w:tr>
      <w:tr w:rsidR="007C784D" w:rsidRPr="004215E0" w:rsidTr="00E05022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7C784D" w:rsidRPr="004215E0" w:rsidRDefault="007C784D" w:rsidP="00B96990">
            <w:pPr>
              <w:pStyle w:val="Tabletext"/>
            </w:pPr>
            <w:r w:rsidRPr="004215E0">
              <w:t>7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7C784D" w:rsidRPr="004215E0" w:rsidRDefault="007C784D" w:rsidP="00B80189">
            <w:pPr>
              <w:pStyle w:val="Tabletext"/>
            </w:pPr>
            <w:r w:rsidRPr="004215E0">
              <w:t>Chargeable s</w:t>
            </w:r>
            <w:r w:rsidR="00B80189" w:rsidRPr="004215E0">
              <w:t>ervice provided</w:t>
            </w:r>
            <w:r w:rsidRPr="004215E0">
              <w:t xml:space="preserve"> by a person </w:t>
            </w:r>
            <w:r w:rsidR="00B80189" w:rsidRPr="004215E0">
              <w:t xml:space="preserve">by arrangement with </w:t>
            </w:r>
            <w:r w:rsidRPr="004215E0">
              <w:t>the Commonwealth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7C784D" w:rsidRPr="004215E0" w:rsidRDefault="007C784D" w:rsidP="00B80189">
            <w:pPr>
              <w:pStyle w:val="Tabletext"/>
            </w:pPr>
            <w:r w:rsidRPr="004215E0">
              <w:t xml:space="preserve">A fee equivalent to the cost incurred by the Commonwealth in arranging and paying for the person to provide the </w:t>
            </w:r>
            <w:r w:rsidR="00B80189" w:rsidRPr="004215E0">
              <w:t>chargeable service</w:t>
            </w:r>
          </w:p>
        </w:tc>
      </w:tr>
    </w:tbl>
    <w:p w:rsidR="000227F2" w:rsidRPr="004215E0" w:rsidRDefault="00772B41" w:rsidP="000227F2">
      <w:pPr>
        <w:pStyle w:val="subsection"/>
      </w:pPr>
      <w:r w:rsidRPr="004215E0">
        <w:tab/>
        <w:t>(2</w:t>
      </w:r>
      <w:r w:rsidR="000227F2" w:rsidRPr="004215E0">
        <w:t>)</w:t>
      </w:r>
      <w:r w:rsidR="000227F2" w:rsidRPr="004215E0">
        <w:tab/>
        <w:t xml:space="preserve">If a person requests a </w:t>
      </w:r>
      <w:r w:rsidR="00B96990" w:rsidRPr="004215E0">
        <w:t xml:space="preserve">chargeable </w:t>
      </w:r>
      <w:r w:rsidR="000227F2" w:rsidRPr="004215E0">
        <w:t>service to be provided at a particular time, and the provision of the servi</w:t>
      </w:r>
      <w:r w:rsidRPr="004215E0">
        <w:t xml:space="preserve">ce at that time would </w:t>
      </w:r>
      <w:r w:rsidR="00750AFC" w:rsidRPr="004215E0">
        <w:t xml:space="preserve">mean that the person would be liable to pay </w:t>
      </w:r>
      <w:r w:rsidRPr="004215E0">
        <w:t>a</w:t>
      </w:r>
      <w:r w:rsidR="000227F2" w:rsidRPr="004215E0">
        <w:t xml:space="preserve"> </w:t>
      </w:r>
      <w:r w:rsidR="00950C27" w:rsidRPr="004215E0">
        <w:t xml:space="preserve">fee </w:t>
      </w:r>
      <w:r w:rsidR="000227F2" w:rsidRPr="004215E0">
        <w:t xml:space="preserve">under </w:t>
      </w:r>
      <w:r w:rsidRPr="004215E0">
        <w:t>item</w:t>
      </w:r>
      <w:r w:rsidR="004215E0" w:rsidRPr="004215E0">
        <w:t> </w:t>
      </w:r>
      <w:r w:rsidR="0078356A" w:rsidRPr="004215E0">
        <w:t xml:space="preserve">2, </w:t>
      </w:r>
      <w:r w:rsidRPr="004215E0">
        <w:t>3</w:t>
      </w:r>
      <w:r w:rsidR="0078356A" w:rsidRPr="004215E0">
        <w:t>, 5 or 6</w:t>
      </w:r>
      <w:r w:rsidRPr="004215E0">
        <w:t xml:space="preserve"> of the table in subregulation</w:t>
      </w:r>
      <w:r w:rsidR="004215E0" w:rsidRPr="004215E0">
        <w:t> </w:t>
      </w:r>
      <w:r w:rsidRPr="004215E0">
        <w:t xml:space="preserve">(1), </w:t>
      </w:r>
      <w:r w:rsidR="000D425E" w:rsidRPr="004215E0">
        <w:t xml:space="preserve">an authorised officer </w:t>
      </w:r>
      <w:r w:rsidR="000227F2" w:rsidRPr="004215E0">
        <w:t xml:space="preserve">must tell the person about the </w:t>
      </w:r>
      <w:r w:rsidR="00950C27" w:rsidRPr="004215E0">
        <w:t xml:space="preserve">fee </w:t>
      </w:r>
      <w:r w:rsidR="000227F2" w:rsidRPr="004215E0">
        <w:t>before the service is provided.</w:t>
      </w:r>
    </w:p>
    <w:p w:rsidR="00B60F4F" w:rsidRPr="004215E0" w:rsidRDefault="00B80189" w:rsidP="00B60F4F">
      <w:pPr>
        <w:pStyle w:val="ItemHead"/>
      </w:pPr>
      <w:r w:rsidRPr="004215E0">
        <w:t>4</w:t>
      </w:r>
      <w:r w:rsidR="00B60F4F" w:rsidRPr="004215E0">
        <w:t xml:space="preserve">  Regulation</w:t>
      </w:r>
      <w:r w:rsidR="004215E0" w:rsidRPr="004215E0">
        <w:t> </w:t>
      </w:r>
      <w:r w:rsidR="00B60F4F" w:rsidRPr="004215E0">
        <w:t>34</w:t>
      </w:r>
    </w:p>
    <w:p w:rsidR="005A3CD5" w:rsidRPr="004215E0" w:rsidRDefault="005A3CD5" w:rsidP="005A3CD5">
      <w:pPr>
        <w:pStyle w:val="Item"/>
      </w:pPr>
      <w:r w:rsidRPr="004215E0">
        <w:t xml:space="preserve">Omit </w:t>
      </w:r>
      <w:r w:rsidR="00A739C9" w:rsidRPr="004215E0">
        <w:t>“</w:t>
      </w:r>
      <w:r w:rsidR="00170603" w:rsidRPr="004215E0">
        <w:t xml:space="preserve">within 28 days after </w:t>
      </w:r>
      <w:r w:rsidR="00A739C9" w:rsidRPr="004215E0">
        <w:t>the last day on which the payment was due</w:t>
      </w:r>
      <w:r w:rsidRPr="004215E0">
        <w:t>”, substitute “</w:t>
      </w:r>
      <w:r w:rsidR="00170603" w:rsidRPr="004215E0">
        <w:t xml:space="preserve">the amount that was paid within 30 days after </w:t>
      </w:r>
      <w:r w:rsidR="00A739C9" w:rsidRPr="004215E0">
        <w:t xml:space="preserve">the day the </w:t>
      </w:r>
      <w:r w:rsidRPr="004215E0">
        <w:t>demand for payment of the amount is made”.</w:t>
      </w:r>
    </w:p>
    <w:p w:rsidR="009E469E" w:rsidRPr="004215E0" w:rsidRDefault="00B80189" w:rsidP="009E469E">
      <w:pPr>
        <w:pStyle w:val="ItemHead"/>
      </w:pPr>
      <w:r w:rsidRPr="004215E0">
        <w:t>5</w:t>
      </w:r>
      <w:r w:rsidR="009E469E" w:rsidRPr="004215E0">
        <w:t xml:space="preserve">  Regulation</w:t>
      </w:r>
      <w:r w:rsidR="004215E0" w:rsidRPr="004215E0">
        <w:t> </w:t>
      </w:r>
      <w:r w:rsidR="009E469E" w:rsidRPr="004215E0">
        <w:t>35</w:t>
      </w:r>
    </w:p>
    <w:p w:rsidR="00F77A1A" w:rsidRPr="004215E0" w:rsidRDefault="00F77A1A" w:rsidP="00F77A1A">
      <w:pPr>
        <w:pStyle w:val="Item"/>
      </w:pPr>
      <w:r w:rsidRPr="004215E0">
        <w:t>Repeal the regulation, substitute:</w:t>
      </w:r>
    </w:p>
    <w:p w:rsidR="00F77A1A" w:rsidRPr="004215E0" w:rsidRDefault="00F77A1A" w:rsidP="00F77A1A">
      <w:pPr>
        <w:pStyle w:val="ActHead5"/>
      </w:pPr>
      <w:bookmarkStart w:id="14" w:name="_Toc434306143"/>
      <w:r w:rsidRPr="004215E0">
        <w:rPr>
          <w:rStyle w:val="CharSectno"/>
        </w:rPr>
        <w:t>35</w:t>
      </w:r>
      <w:r w:rsidRPr="004215E0">
        <w:t xml:space="preserve">  W</w:t>
      </w:r>
      <w:r w:rsidR="00273E69" w:rsidRPr="004215E0">
        <w:t>aiver of</w:t>
      </w:r>
      <w:r w:rsidRPr="004215E0">
        <w:t xml:space="preserve"> fees</w:t>
      </w:r>
      <w:bookmarkEnd w:id="14"/>
    </w:p>
    <w:p w:rsidR="00F77A1A" w:rsidRPr="004215E0" w:rsidRDefault="00F77A1A" w:rsidP="00F77A1A">
      <w:pPr>
        <w:pStyle w:val="subsection"/>
      </w:pPr>
      <w:r w:rsidRPr="004215E0">
        <w:tab/>
        <w:t>(1)</w:t>
      </w:r>
      <w:r w:rsidRPr="004215E0">
        <w:tab/>
        <w:t>The Secretary may waive a fee for a chargeable service if the Secretary considers it appropriate to do so in all the circumstances.</w:t>
      </w:r>
    </w:p>
    <w:p w:rsidR="00F77A1A" w:rsidRPr="004215E0" w:rsidRDefault="00F77A1A" w:rsidP="00F77A1A">
      <w:pPr>
        <w:pStyle w:val="subsection"/>
      </w:pPr>
      <w:r w:rsidRPr="004215E0">
        <w:tab/>
        <w:t>(2)</w:t>
      </w:r>
      <w:r w:rsidRPr="004215E0">
        <w:tab/>
        <w:t>The Secretary may do so on his or her own initiative or on written application by a person.</w:t>
      </w:r>
    </w:p>
    <w:p w:rsidR="004276AD" w:rsidRPr="004215E0" w:rsidRDefault="00B80189" w:rsidP="004276AD">
      <w:pPr>
        <w:pStyle w:val="ItemHead"/>
      </w:pPr>
      <w:r w:rsidRPr="004215E0">
        <w:t>6</w:t>
      </w:r>
      <w:r w:rsidR="004276AD" w:rsidRPr="004215E0">
        <w:t xml:space="preserve">  At the end of paragraph</w:t>
      </w:r>
      <w:r w:rsidR="004215E0" w:rsidRPr="004215E0">
        <w:t> </w:t>
      </w:r>
      <w:r w:rsidR="004276AD" w:rsidRPr="004215E0">
        <w:t>36(c)</w:t>
      </w:r>
    </w:p>
    <w:p w:rsidR="004276AD" w:rsidRPr="004215E0" w:rsidRDefault="004276AD" w:rsidP="004276AD">
      <w:pPr>
        <w:pStyle w:val="Item"/>
      </w:pPr>
      <w:r w:rsidRPr="004215E0">
        <w:t>Add “, including carrying out audits”.</w:t>
      </w:r>
    </w:p>
    <w:p w:rsidR="00732B75" w:rsidRPr="004215E0" w:rsidRDefault="00B80189" w:rsidP="00732B75">
      <w:pPr>
        <w:pStyle w:val="ItemHead"/>
      </w:pPr>
      <w:r w:rsidRPr="004215E0">
        <w:t>7</w:t>
      </w:r>
      <w:r w:rsidR="00732B75" w:rsidRPr="004215E0">
        <w:t xml:space="preserve">  </w:t>
      </w:r>
      <w:r w:rsidR="00C43B09" w:rsidRPr="004215E0">
        <w:t>P</w:t>
      </w:r>
      <w:r w:rsidR="00F77A1A" w:rsidRPr="004215E0">
        <w:t>aragraph</w:t>
      </w:r>
      <w:r w:rsidR="00D60E50" w:rsidRPr="004215E0">
        <w:t xml:space="preserve"> </w:t>
      </w:r>
      <w:r w:rsidR="00732B75" w:rsidRPr="004215E0">
        <w:t>36</w:t>
      </w:r>
      <w:r w:rsidR="00F77A1A" w:rsidRPr="004215E0">
        <w:t>(d)</w:t>
      </w:r>
    </w:p>
    <w:p w:rsidR="00C43B09" w:rsidRPr="004215E0" w:rsidRDefault="00AA5365" w:rsidP="00C43B09">
      <w:pPr>
        <w:pStyle w:val="Item"/>
      </w:pPr>
      <w:r w:rsidRPr="004215E0">
        <w:t>Repeal the paragraph, substitute:</w:t>
      </w:r>
    </w:p>
    <w:p w:rsidR="00AA5365" w:rsidRPr="004215E0" w:rsidRDefault="00AA5365" w:rsidP="00AA5365">
      <w:pPr>
        <w:pStyle w:val="paragraph"/>
      </w:pPr>
      <w:r w:rsidRPr="004215E0">
        <w:tab/>
        <w:t>(d)</w:t>
      </w:r>
      <w:r w:rsidRPr="004215E0">
        <w:tab/>
        <w:t xml:space="preserve">training of a person </w:t>
      </w:r>
      <w:r w:rsidR="00304FA5" w:rsidRPr="004215E0">
        <w:t xml:space="preserve">in relation to </w:t>
      </w:r>
      <w:r w:rsidR="00867CE0" w:rsidRPr="004215E0">
        <w:t xml:space="preserve">matters covered by </w:t>
      </w:r>
      <w:r w:rsidR="00283BF5" w:rsidRPr="004215E0">
        <w:t>a compliance agreement or another arrangement with the Commonwealth</w:t>
      </w:r>
      <w:r w:rsidRPr="004215E0">
        <w:t>;</w:t>
      </w:r>
    </w:p>
    <w:p w:rsidR="00C43B09" w:rsidRPr="004215E0" w:rsidRDefault="00B80189" w:rsidP="00C43B09">
      <w:pPr>
        <w:pStyle w:val="ItemHead"/>
      </w:pPr>
      <w:r w:rsidRPr="004215E0">
        <w:t>8</w:t>
      </w:r>
      <w:r w:rsidR="00C43B09" w:rsidRPr="004215E0">
        <w:t xml:space="preserve">  At the end of paragraph</w:t>
      </w:r>
      <w:r w:rsidR="004215E0" w:rsidRPr="004215E0">
        <w:t> </w:t>
      </w:r>
      <w:r w:rsidR="00C43B09" w:rsidRPr="004215E0">
        <w:t>36(e)</w:t>
      </w:r>
    </w:p>
    <w:p w:rsidR="00F77A1A" w:rsidRPr="004215E0" w:rsidRDefault="00F77A1A" w:rsidP="00F77A1A">
      <w:pPr>
        <w:pStyle w:val="Item"/>
      </w:pPr>
      <w:r w:rsidRPr="004215E0">
        <w:t>Add “, including carrying out audits”.</w:t>
      </w:r>
    </w:p>
    <w:p w:rsidR="008E0453" w:rsidRPr="004215E0" w:rsidRDefault="00B80189" w:rsidP="008E0453">
      <w:pPr>
        <w:pStyle w:val="ItemHead"/>
      </w:pPr>
      <w:r w:rsidRPr="004215E0">
        <w:t>9</w:t>
      </w:r>
      <w:r w:rsidR="008E0453" w:rsidRPr="004215E0">
        <w:t xml:space="preserve">  </w:t>
      </w:r>
      <w:r w:rsidR="00E06A86" w:rsidRPr="004215E0">
        <w:t xml:space="preserve">After </w:t>
      </w:r>
      <w:r w:rsidR="008E0453" w:rsidRPr="004215E0">
        <w:t>Part</w:t>
      </w:r>
      <w:r w:rsidR="004215E0" w:rsidRPr="004215E0">
        <w:t> </w:t>
      </w:r>
      <w:r w:rsidR="00E06A86" w:rsidRPr="004215E0">
        <w:t>4</w:t>
      </w:r>
    </w:p>
    <w:p w:rsidR="008E0453" w:rsidRPr="004215E0" w:rsidRDefault="00E06A86" w:rsidP="008E0453">
      <w:pPr>
        <w:pStyle w:val="Item"/>
      </w:pPr>
      <w:r w:rsidRPr="004215E0">
        <w:t>Insert</w:t>
      </w:r>
      <w:r w:rsidR="008E0453" w:rsidRPr="004215E0">
        <w:t>:</w:t>
      </w:r>
    </w:p>
    <w:p w:rsidR="00E06A86" w:rsidRPr="004215E0" w:rsidRDefault="00E06A86" w:rsidP="00E06A86">
      <w:pPr>
        <w:pStyle w:val="ActHead2"/>
      </w:pPr>
      <w:bookmarkStart w:id="15" w:name="_Toc434306144"/>
      <w:r w:rsidRPr="004215E0">
        <w:rPr>
          <w:rStyle w:val="CharPartNo"/>
        </w:rPr>
        <w:t>Part</w:t>
      </w:r>
      <w:r w:rsidR="004215E0" w:rsidRPr="004215E0">
        <w:rPr>
          <w:rStyle w:val="CharPartNo"/>
        </w:rPr>
        <w:t> </w:t>
      </w:r>
      <w:r w:rsidRPr="004215E0">
        <w:rPr>
          <w:rStyle w:val="CharPartNo"/>
        </w:rPr>
        <w:t>5</w:t>
      </w:r>
      <w:r w:rsidRPr="004215E0">
        <w:t>—</w:t>
      </w:r>
      <w:r w:rsidR="000C2351" w:rsidRPr="004215E0">
        <w:rPr>
          <w:rStyle w:val="CharPartText"/>
        </w:rPr>
        <w:t>Application and t</w:t>
      </w:r>
      <w:r w:rsidRPr="004215E0">
        <w:rPr>
          <w:rStyle w:val="CharPartText"/>
        </w:rPr>
        <w:t>ransitional provisions</w:t>
      </w:r>
      <w:bookmarkEnd w:id="15"/>
    </w:p>
    <w:p w:rsidR="00E06A86" w:rsidRPr="004215E0" w:rsidRDefault="00E06A86" w:rsidP="00E06A86">
      <w:pPr>
        <w:pStyle w:val="Header"/>
      </w:pPr>
      <w:r w:rsidRPr="004215E0">
        <w:rPr>
          <w:rStyle w:val="CharDivNo"/>
        </w:rPr>
        <w:t xml:space="preserve"> </w:t>
      </w:r>
      <w:r w:rsidRPr="004215E0">
        <w:rPr>
          <w:rStyle w:val="CharDivText"/>
        </w:rPr>
        <w:t xml:space="preserve"> </w:t>
      </w:r>
    </w:p>
    <w:p w:rsidR="008E0453" w:rsidRPr="004215E0" w:rsidRDefault="00E06A86" w:rsidP="00867806">
      <w:pPr>
        <w:pStyle w:val="ActHead5"/>
      </w:pPr>
      <w:bookmarkStart w:id="16" w:name="_Toc434306145"/>
      <w:r w:rsidRPr="004215E0">
        <w:rPr>
          <w:rStyle w:val="CharSectno"/>
        </w:rPr>
        <w:t>37</w:t>
      </w:r>
      <w:r w:rsidR="008E0453" w:rsidRPr="004215E0">
        <w:t xml:space="preserve">  </w:t>
      </w:r>
      <w:r w:rsidRPr="004215E0">
        <w:t xml:space="preserve">Application of amendments made </w:t>
      </w:r>
      <w:r w:rsidR="00094B79" w:rsidRPr="004215E0">
        <w:t xml:space="preserve">by </w:t>
      </w:r>
      <w:r w:rsidR="008E0453" w:rsidRPr="004215E0">
        <w:t xml:space="preserve">the </w:t>
      </w:r>
      <w:r w:rsidR="008E0453" w:rsidRPr="004215E0">
        <w:rPr>
          <w:i/>
        </w:rPr>
        <w:t>Imported Food Control Amendment (Fees) Regulation</w:t>
      </w:r>
      <w:r w:rsidR="004215E0" w:rsidRPr="004215E0">
        <w:rPr>
          <w:i/>
        </w:rPr>
        <w:t> </w:t>
      </w:r>
      <w:r w:rsidR="008E0453" w:rsidRPr="004215E0">
        <w:rPr>
          <w:i/>
        </w:rPr>
        <w:t>2015</w:t>
      </w:r>
      <w:bookmarkEnd w:id="16"/>
    </w:p>
    <w:p w:rsidR="00E06A86" w:rsidRPr="004215E0" w:rsidRDefault="00E06A86" w:rsidP="00E06A86">
      <w:pPr>
        <w:pStyle w:val="subsection"/>
      </w:pPr>
      <w:r w:rsidRPr="004215E0">
        <w:tab/>
      </w:r>
      <w:r w:rsidRPr="004215E0">
        <w:tab/>
        <w:t>The amendments made by Schedule</w:t>
      </w:r>
      <w:r w:rsidR="004215E0" w:rsidRPr="004215E0">
        <w:t> </w:t>
      </w:r>
      <w:r w:rsidRPr="004215E0">
        <w:t xml:space="preserve">1 to the </w:t>
      </w:r>
      <w:r w:rsidRPr="004215E0">
        <w:rPr>
          <w:i/>
        </w:rPr>
        <w:t>Imported Food Control Amendment (Fees) Regulation</w:t>
      </w:r>
      <w:r w:rsidR="004215E0" w:rsidRPr="004215E0">
        <w:rPr>
          <w:i/>
        </w:rPr>
        <w:t> </w:t>
      </w:r>
      <w:r w:rsidRPr="004215E0">
        <w:rPr>
          <w:i/>
        </w:rPr>
        <w:t>2015</w:t>
      </w:r>
      <w:r w:rsidRPr="004215E0">
        <w:t xml:space="preserve"> apply in relation to a chargeable service that is provided on or after 1</w:t>
      </w:r>
      <w:r w:rsidR="004215E0" w:rsidRPr="004215E0">
        <w:t> </w:t>
      </w:r>
      <w:r w:rsidR="008575E0" w:rsidRPr="004215E0">
        <w:t>Dec</w:t>
      </w:r>
      <w:r w:rsidRPr="004215E0">
        <w:t>ember 2015.</w:t>
      </w:r>
    </w:p>
    <w:p w:rsidR="004959D1" w:rsidRPr="004215E0" w:rsidRDefault="004959D1" w:rsidP="004959D1">
      <w:pPr>
        <w:pStyle w:val="ActHead5"/>
      </w:pPr>
      <w:bookmarkStart w:id="17" w:name="_Toc434306146"/>
      <w:r w:rsidRPr="004215E0">
        <w:rPr>
          <w:rStyle w:val="CharSectno"/>
        </w:rPr>
        <w:t>38</w:t>
      </w:r>
      <w:r w:rsidRPr="004215E0">
        <w:t xml:space="preserve">  Repeal of this Part</w:t>
      </w:r>
      <w:bookmarkEnd w:id="17"/>
    </w:p>
    <w:p w:rsidR="00C25DBB" w:rsidRPr="004215E0" w:rsidRDefault="00C25DBB" w:rsidP="00E06A86">
      <w:pPr>
        <w:pStyle w:val="subsection"/>
      </w:pPr>
      <w:r w:rsidRPr="004215E0">
        <w:tab/>
      </w:r>
      <w:r w:rsidRPr="004215E0">
        <w:tab/>
        <w:t xml:space="preserve">This </w:t>
      </w:r>
      <w:r w:rsidR="004959D1" w:rsidRPr="004215E0">
        <w:t xml:space="preserve">Part </w:t>
      </w:r>
      <w:r w:rsidRPr="004215E0">
        <w:t xml:space="preserve">is repealed </w:t>
      </w:r>
      <w:r w:rsidR="00772B41" w:rsidRPr="004215E0">
        <w:t>at the start of 1</w:t>
      </w:r>
      <w:r w:rsidR="004215E0" w:rsidRPr="004215E0">
        <w:t> </w:t>
      </w:r>
      <w:r w:rsidR="00772B41" w:rsidRPr="004215E0">
        <w:t>July 2016</w:t>
      </w:r>
      <w:r w:rsidRPr="004215E0">
        <w:t>.</w:t>
      </w:r>
    </w:p>
    <w:p w:rsidR="00E06A86" w:rsidRPr="004215E0" w:rsidRDefault="00B80189" w:rsidP="00F31EF3">
      <w:pPr>
        <w:pStyle w:val="ItemHead"/>
      </w:pPr>
      <w:r w:rsidRPr="004215E0">
        <w:t>10</w:t>
      </w:r>
      <w:r w:rsidR="00E06A86" w:rsidRPr="004215E0">
        <w:t xml:space="preserve">  Schedules (heading before Schedule</w:t>
      </w:r>
      <w:r w:rsidR="004215E0" w:rsidRPr="004215E0">
        <w:t> </w:t>
      </w:r>
      <w:r w:rsidR="00E06A86" w:rsidRPr="004215E0">
        <w:t>1)</w:t>
      </w:r>
    </w:p>
    <w:p w:rsidR="00E06A86" w:rsidRPr="004215E0" w:rsidRDefault="00E06A86" w:rsidP="00E06A86">
      <w:pPr>
        <w:pStyle w:val="Item"/>
      </w:pPr>
      <w:r w:rsidRPr="004215E0">
        <w:t>Repeal the heading.</w:t>
      </w:r>
    </w:p>
    <w:p w:rsidR="00F31EF3" w:rsidRPr="004215E0" w:rsidRDefault="00B80189" w:rsidP="00F31EF3">
      <w:pPr>
        <w:pStyle w:val="ItemHead"/>
      </w:pPr>
      <w:r w:rsidRPr="004215E0">
        <w:t>11</w:t>
      </w:r>
      <w:r w:rsidR="00F31EF3" w:rsidRPr="004215E0">
        <w:t xml:space="preserve">  Schedule</w:t>
      </w:r>
      <w:r w:rsidR="004215E0" w:rsidRPr="004215E0">
        <w:t> </w:t>
      </w:r>
      <w:r w:rsidR="00F31EF3" w:rsidRPr="004215E0">
        <w:t>2</w:t>
      </w:r>
    </w:p>
    <w:p w:rsidR="00F31EF3" w:rsidRPr="004215E0" w:rsidRDefault="00F31EF3" w:rsidP="001F4F92">
      <w:pPr>
        <w:pStyle w:val="Item"/>
      </w:pPr>
      <w:r w:rsidRPr="004215E0">
        <w:t>Repeal the Schedule.</w:t>
      </w:r>
    </w:p>
    <w:sectPr w:rsidR="00F31EF3" w:rsidRPr="004215E0" w:rsidSect="00C872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8E" w:rsidRDefault="00F41A8E" w:rsidP="0048364F">
      <w:pPr>
        <w:spacing w:line="240" w:lineRule="auto"/>
      </w:pPr>
      <w:r>
        <w:separator/>
      </w:r>
    </w:p>
  </w:endnote>
  <w:endnote w:type="continuationSeparator" w:id="0">
    <w:p w:rsidR="00F41A8E" w:rsidRDefault="00F41A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C87233" w:rsidRDefault="00F41A8E" w:rsidP="00C872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7233">
      <w:rPr>
        <w:i/>
        <w:sz w:val="18"/>
      </w:rPr>
      <w:t xml:space="preserve"> </w:t>
    </w:r>
    <w:r w:rsidR="00C87233" w:rsidRPr="00C87233">
      <w:rPr>
        <w:i/>
        <w:sz w:val="18"/>
      </w:rPr>
      <w:t>OPC61479 -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33" w:rsidRDefault="00C87233" w:rsidP="00C87233">
    <w:pPr>
      <w:pStyle w:val="Footer"/>
    </w:pPr>
    <w:r w:rsidRPr="00C87233">
      <w:rPr>
        <w:i/>
        <w:sz w:val="18"/>
      </w:rPr>
      <w:t>OPC61479 -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C87233" w:rsidRDefault="00F41A8E" w:rsidP="00486382">
    <w:pPr>
      <w:pStyle w:val="Footer"/>
      <w:rPr>
        <w:sz w:val="18"/>
      </w:rPr>
    </w:pPr>
  </w:p>
  <w:p w:rsidR="00F41A8E" w:rsidRPr="00C87233" w:rsidRDefault="00C87233" w:rsidP="00C87233">
    <w:pPr>
      <w:pStyle w:val="Footer"/>
      <w:rPr>
        <w:sz w:val="18"/>
      </w:rPr>
    </w:pPr>
    <w:r w:rsidRPr="00C87233">
      <w:rPr>
        <w:i/>
        <w:sz w:val="18"/>
      </w:rPr>
      <w:t>OPC61479 -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C87233" w:rsidRDefault="00F41A8E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41A8E" w:rsidRPr="00C8723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1A8E" w:rsidRPr="00C87233" w:rsidRDefault="00F41A8E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87233">
            <w:rPr>
              <w:rFonts w:cs="Times New Roman"/>
              <w:i/>
              <w:sz w:val="18"/>
            </w:rPr>
            <w:fldChar w:fldCharType="begin"/>
          </w:r>
          <w:r w:rsidRPr="00C87233">
            <w:rPr>
              <w:rFonts w:cs="Times New Roman"/>
              <w:i/>
              <w:sz w:val="18"/>
            </w:rPr>
            <w:instrText xml:space="preserve"> PAGE </w:instrText>
          </w:r>
          <w:r w:rsidRPr="00C87233">
            <w:rPr>
              <w:rFonts w:cs="Times New Roman"/>
              <w:i/>
              <w:sz w:val="18"/>
            </w:rPr>
            <w:fldChar w:fldCharType="separate"/>
          </w:r>
          <w:r w:rsidR="00ED5BEB">
            <w:rPr>
              <w:rFonts w:cs="Times New Roman"/>
              <w:i/>
              <w:noProof/>
              <w:sz w:val="18"/>
            </w:rPr>
            <w:t>ii</w:t>
          </w:r>
          <w:r w:rsidRPr="00C8723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1A8E" w:rsidRPr="00C87233" w:rsidRDefault="00F41A8E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7233">
            <w:rPr>
              <w:rFonts w:cs="Times New Roman"/>
              <w:i/>
              <w:sz w:val="18"/>
            </w:rPr>
            <w:fldChar w:fldCharType="begin"/>
          </w:r>
          <w:r w:rsidRPr="00C87233">
            <w:rPr>
              <w:rFonts w:cs="Times New Roman"/>
              <w:i/>
              <w:sz w:val="18"/>
            </w:rPr>
            <w:instrText xml:space="preserve"> DOCPROPERTY ShortT </w:instrText>
          </w:r>
          <w:r w:rsidRPr="00C87233">
            <w:rPr>
              <w:rFonts w:cs="Times New Roman"/>
              <w:i/>
              <w:sz w:val="18"/>
            </w:rPr>
            <w:fldChar w:fldCharType="separate"/>
          </w:r>
          <w:r w:rsidR="009C3C14">
            <w:rPr>
              <w:rFonts w:cs="Times New Roman"/>
              <w:i/>
              <w:sz w:val="18"/>
            </w:rPr>
            <w:t>Imported Food Control Amendment (Fees) Regulation 2015</w:t>
          </w:r>
          <w:r w:rsidRPr="00C8723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A8E" w:rsidRPr="00C87233" w:rsidRDefault="00F41A8E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87233">
            <w:rPr>
              <w:rFonts w:cs="Times New Roman"/>
              <w:i/>
              <w:sz w:val="18"/>
            </w:rPr>
            <w:fldChar w:fldCharType="begin"/>
          </w:r>
          <w:r w:rsidRPr="00C87233">
            <w:rPr>
              <w:rFonts w:cs="Times New Roman"/>
              <w:i/>
              <w:sz w:val="18"/>
            </w:rPr>
            <w:instrText xml:space="preserve"> DOCPROPERTY ActNo </w:instrText>
          </w:r>
          <w:r w:rsidRPr="00C87233">
            <w:rPr>
              <w:rFonts w:cs="Times New Roman"/>
              <w:i/>
              <w:sz w:val="18"/>
            </w:rPr>
            <w:fldChar w:fldCharType="separate"/>
          </w:r>
          <w:r w:rsidR="009C3C14">
            <w:rPr>
              <w:rFonts w:cs="Times New Roman"/>
              <w:i/>
              <w:sz w:val="18"/>
            </w:rPr>
            <w:t>No. 193, 2015</w:t>
          </w:r>
          <w:r w:rsidRPr="00C8723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F41A8E" w:rsidRPr="00C87233" w:rsidRDefault="00C87233" w:rsidP="00C87233">
    <w:pPr>
      <w:rPr>
        <w:rFonts w:cs="Times New Roman"/>
        <w:i/>
        <w:sz w:val="18"/>
      </w:rPr>
    </w:pPr>
    <w:r w:rsidRPr="00C87233">
      <w:rPr>
        <w:rFonts w:cs="Times New Roman"/>
        <w:i/>
        <w:sz w:val="18"/>
      </w:rPr>
      <w:t>OPC61479 -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E33C1C" w:rsidRDefault="00F41A8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1A8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A8E" w:rsidRDefault="00F41A8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C14">
            <w:rPr>
              <w:i/>
              <w:sz w:val="18"/>
            </w:rPr>
            <w:t>No. 193,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1A8E" w:rsidRDefault="00F41A8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C14">
            <w:rPr>
              <w:i/>
              <w:sz w:val="18"/>
            </w:rPr>
            <w:t>Imported Food Control Amendment (Fees)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1A8E" w:rsidRDefault="00F41A8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7EF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1A8E" w:rsidRPr="00ED79B6" w:rsidRDefault="00C87233" w:rsidP="00C87233">
    <w:pPr>
      <w:rPr>
        <w:i/>
        <w:sz w:val="18"/>
      </w:rPr>
    </w:pPr>
    <w:r w:rsidRPr="00C87233">
      <w:rPr>
        <w:rFonts w:cs="Times New Roman"/>
        <w:i/>
        <w:sz w:val="18"/>
      </w:rPr>
      <w:t>OPC61479 -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C87233" w:rsidRDefault="00F41A8E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41A8E" w:rsidRPr="00C8723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1A8E" w:rsidRPr="00C87233" w:rsidRDefault="00F41A8E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87233">
            <w:rPr>
              <w:rFonts w:cs="Times New Roman"/>
              <w:i/>
              <w:sz w:val="18"/>
            </w:rPr>
            <w:fldChar w:fldCharType="begin"/>
          </w:r>
          <w:r w:rsidRPr="00C87233">
            <w:rPr>
              <w:rFonts w:cs="Times New Roman"/>
              <w:i/>
              <w:sz w:val="18"/>
            </w:rPr>
            <w:instrText xml:space="preserve"> PAGE </w:instrText>
          </w:r>
          <w:r w:rsidRPr="00C87233">
            <w:rPr>
              <w:rFonts w:cs="Times New Roman"/>
              <w:i/>
              <w:sz w:val="18"/>
            </w:rPr>
            <w:fldChar w:fldCharType="separate"/>
          </w:r>
          <w:r w:rsidR="009E33A6">
            <w:rPr>
              <w:rFonts w:cs="Times New Roman"/>
              <w:i/>
              <w:noProof/>
              <w:sz w:val="18"/>
            </w:rPr>
            <w:t>6</w:t>
          </w:r>
          <w:r w:rsidRPr="00C8723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1A8E" w:rsidRPr="00C87233" w:rsidRDefault="00F41A8E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7233">
            <w:rPr>
              <w:rFonts w:cs="Times New Roman"/>
              <w:i/>
              <w:sz w:val="18"/>
            </w:rPr>
            <w:fldChar w:fldCharType="begin"/>
          </w:r>
          <w:r w:rsidRPr="00C87233">
            <w:rPr>
              <w:rFonts w:cs="Times New Roman"/>
              <w:i/>
              <w:sz w:val="18"/>
            </w:rPr>
            <w:instrText xml:space="preserve"> DOCPROPERTY ShortT </w:instrText>
          </w:r>
          <w:r w:rsidRPr="00C87233">
            <w:rPr>
              <w:rFonts w:cs="Times New Roman"/>
              <w:i/>
              <w:sz w:val="18"/>
            </w:rPr>
            <w:fldChar w:fldCharType="separate"/>
          </w:r>
          <w:r w:rsidR="009C3C14">
            <w:rPr>
              <w:rFonts w:cs="Times New Roman"/>
              <w:i/>
              <w:sz w:val="18"/>
            </w:rPr>
            <w:t>Imported Food Control Amendment (Fees) Regulation 2015</w:t>
          </w:r>
          <w:r w:rsidRPr="00C8723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A8E" w:rsidRPr="00C87233" w:rsidRDefault="00F41A8E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87233">
            <w:rPr>
              <w:rFonts w:cs="Times New Roman"/>
              <w:i/>
              <w:sz w:val="18"/>
            </w:rPr>
            <w:fldChar w:fldCharType="begin"/>
          </w:r>
          <w:r w:rsidRPr="00C87233">
            <w:rPr>
              <w:rFonts w:cs="Times New Roman"/>
              <w:i/>
              <w:sz w:val="18"/>
            </w:rPr>
            <w:instrText xml:space="preserve"> DOCPROPERTY ActNo </w:instrText>
          </w:r>
          <w:r w:rsidRPr="00C87233">
            <w:rPr>
              <w:rFonts w:cs="Times New Roman"/>
              <w:i/>
              <w:sz w:val="18"/>
            </w:rPr>
            <w:fldChar w:fldCharType="separate"/>
          </w:r>
          <w:r w:rsidR="009C3C14">
            <w:rPr>
              <w:rFonts w:cs="Times New Roman"/>
              <w:i/>
              <w:sz w:val="18"/>
            </w:rPr>
            <w:t>No. 193, 2015</w:t>
          </w:r>
          <w:r w:rsidRPr="00C8723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F41A8E" w:rsidRPr="00C87233" w:rsidRDefault="00C87233" w:rsidP="00C87233">
    <w:pPr>
      <w:rPr>
        <w:rFonts w:cs="Times New Roman"/>
        <w:i/>
        <w:sz w:val="18"/>
      </w:rPr>
    </w:pPr>
    <w:r w:rsidRPr="00C87233">
      <w:rPr>
        <w:rFonts w:cs="Times New Roman"/>
        <w:i/>
        <w:sz w:val="18"/>
      </w:rPr>
      <w:t>OPC61479 -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E33C1C" w:rsidRDefault="00F41A8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1A8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A8E" w:rsidRDefault="00F41A8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C14">
            <w:rPr>
              <w:i/>
              <w:sz w:val="18"/>
            </w:rPr>
            <w:t>No. 193,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1A8E" w:rsidRDefault="00F41A8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C14">
            <w:rPr>
              <w:i/>
              <w:sz w:val="18"/>
            </w:rPr>
            <w:t>Imported Food Control Amendment (Fees)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1A8E" w:rsidRDefault="00F41A8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7EF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1A8E" w:rsidRPr="00ED79B6" w:rsidRDefault="00C87233" w:rsidP="00C87233">
    <w:pPr>
      <w:rPr>
        <w:i/>
        <w:sz w:val="18"/>
      </w:rPr>
    </w:pPr>
    <w:r w:rsidRPr="00C87233">
      <w:rPr>
        <w:rFonts w:cs="Times New Roman"/>
        <w:i/>
        <w:sz w:val="18"/>
      </w:rPr>
      <w:t>OPC61479 -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E33C1C" w:rsidRDefault="00F41A8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41A8E" w:rsidTr="00B969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A8E" w:rsidRDefault="00F41A8E" w:rsidP="00B96990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C14">
            <w:rPr>
              <w:i/>
              <w:sz w:val="18"/>
            </w:rPr>
            <w:t>No. 193,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41A8E" w:rsidRDefault="00F41A8E" w:rsidP="00B969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C14">
            <w:rPr>
              <w:i/>
              <w:sz w:val="18"/>
            </w:rPr>
            <w:t>Imported Food Control Amendment (Fees)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41A8E" w:rsidRDefault="00F41A8E" w:rsidP="00B96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5B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1A8E" w:rsidRPr="00ED79B6" w:rsidRDefault="00F41A8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8E" w:rsidRDefault="00F41A8E" w:rsidP="0048364F">
      <w:pPr>
        <w:spacing w:line="240" w:lineRule="auto"/>
      </w:pPr>
      <w:r>
        <w:separator/>
      </w:r>
    </w:p>
  </w:footnote>
  <w:footnote w:type="continuationSeparator" w:id="0">
    <w:p w:rsidR="00F41A8E" w:rsidRDefault="00F41A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5F1388" w:rsidRDefault="00F41A8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5F1388" w:rsidRDefault="00F41A8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5F1388" w:rsidRDefault="00F41A8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ED79B6" w:rsidRDefault="00F41A8E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ED79B6" w:rsidRDefault="00F41A8E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ED79B6" w:rsidRDefault="00F41A8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A961C4" w:rsidRDefault="00F41A8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E33A6">
      <w:rPr>
        <w:b/>
        <w:sz w:val="20"/>
      </w:rPr>
      <w:fldChar w:fldCharType="separate"/>
    </w:r>
    <w:r w:rsidR="009E33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E33A6">
      <w:rPr>
        <w:sz w:val="20"/>
      </w:rPr>
      <w:fldChar w:fldCharType="separate"/>
    </w:r>
    <w:r w:rsidR="009E33A6">
      <w:rPr>
        <w:noProof/>
        <w:sz w:val="20"/>
      </w:rPr>
      <w:t>Amendments</w:t>
    </w:r>
    <w:r>
      <w:rPr>
        <w:sz w:val="20"/>
      </w:rPr>
      <w:fldChar w:fldCharType="end"/>
    </w:r>
  </w:p>
  <w:p w:rsidR="00F41A8E" w:rsidRPr="00A961C4" w:rsidRDefault="00F41A8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41A8E" w:rsidRPr="00A961C4" w:rsidRDefault="00F41A8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A961C4" w:rsidRDefault="00F41A8E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41A8E" w:rsidRPr="00A961C4" w:rsidRDefault="00F41A8E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41A8E" w:rsidRPr="00A961C4" w:rsidRDefault="00F41A8E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8E" w:rsidRPr="00A961C4" w:rsidRDefault="00F41A8E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80212"/>
    <w:multiLevelType w:val="hybridMultilevel"/>
    <w:tmpl w:val="1270B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4D550DE"/>
    <w:multiLevelType w:val="hybridMultilevel"/>
    <w:tmpl w:val="4E848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0"/>
    <w:rsid w:val="000041C6"/>
    <w:rsid w:val="000063E4"/>
    <w:rsid w:val="00011222"/>
    <w:rsid w:val="000113BC"/>
    <w:rsid w:val="00012F0B"/>
    <w:rsid w:val="000136AF"/>
    <w:rsid w:val="000227F2"/>
    <w:rsid w:val="00025060"/>
    <w:rsid w:val="00030FF9"/>
    <w:rsid w:val="00036BA0"/>
    <w:rsid w:val="0004044E"/>
    <w:rsid w:val="000614BF"/>
    <w:rsid w:val="000746A0"/>
    <w:rsid w:val="00094B79"/>
    <w:rsid w:val="000A4380"/>
    <w:rsid w:val="000C2351"/>
    <w:rsid w:val="000C4E79"/>
    <w:rsid w:val="000C70EC"/>
    <w:rsid w:val="000D05EF"/>
    <w:rsid w:val="000D2EA2"/>
    <w:rsid w:val="000D425E"/>
    <w:rsid w:val="000F21C1"/>
    <w:rsid w:val="000F6B02"/>
    <w:rsid w:val="000F7427"/>
    <w:rsid w:val="0010495F"/>
    <w:rsid w:val="0010745C"/>
    <w:rsid w:val="00110D5C"/>
    <w:rsid w:val="00116207"/>
    <w:rsid w:val="00116975"/>
    <w:rsid w:val="00126F1A"/>
    <w:rsid w:val="00142E58"/>
    <w:rsid w:val="00154EAC"/>
    <w:rsid w:val="001643C9"/>
    <w:rsid w:val="00165568"/>
    <w:rsid w:val="00166C2F"/>
    <w:rsid w:val="00170603"/>
    <w:rsid w:val="001716C9"/>
    <w:rsid w:val="00171EAE"/>
    <w:rsid w:val="00187A5A"/>
    <w:rsid w:val="00191859"/>
    <w:rsid w:val="00193461"/>
    <w:rsid w:val="001939E1"/>
    <w:rsid w:val="00195382"/>
    <w:rsid w:val="00196382"/>
    <w:rsid w:val="001B3097"/>
    <w:rsid w:val="001B7A5D"/>
    <w:rsid w:val="001C69C4"/>
    <w:rsid w:val="001D4229"/>
    <w:rsid w:val="001D4399"/>
    <w:rsid w:val="001D7F83"/>
    <w:rsid w:val="001E04A3"/>
    <w:rsid w:val="001E16D0"/>
    <w:rsid w:val="001E2A6C"/>
    <w:rsid w:val="001E3590"/>
    <w:rsid w:val="001E562E"/>
    <w:rsid w:val="001E7407"/>
    <w:rsid w:val="001F4F92"/>
    <w:rsid w:val="001F6924"/>
    <w:rsid w:val="0020109A"/>
    <w:rsid w:val="00201D27"/>
    <w:rsid w:val="00231427"/>
    <w:rsid w:val="0023725D"/>
    <w:rsid w:val="00240749"/>
    <w:rsid w:val="00265FBC"/>
    <w:rsid w:val="00266D05"/>
    <w:rsid w:val="00273E69"/>
    <w:rsid w:val="00283BF5"/>
    <w:rsid w:val="002932B1"/>
    <w:rsid w:val="00295408"/>
    <w:rsid w:val="00297ECB"/>
    <w:rsid w:val="002A0FFD"/>
    <w:rsid w:val="002B104E"/>
    <w:rsid w:val="002B2731"/>
    <w:rsid w:val="002B422E"/>
    <w:rsid w:val="002B5B89"/>
    <w:rsid w:val="002B657A"/>
    <w:rsid w:val="002B7D96"/>
    <w:rsid w:val="002C1337"/>
    <w:rsid w:val="002C6695"/>
    <w:rsid w:val="002D043A"/>
    <w:rsid w:val="00304E75"/>
    <w:rsid w:val="00304FA5"/>
    <w:rsid w:val="003072FA"/>
    <w:rsid w:val="0031713F"/>
    <w:rsid w:val="003415D3"/>
    <w:rsid w:val="00352B0F"/>
    <w:rsid w:val="00356FD0"/>
    <w:rsid w:val="00361BD9"/>
    <w:rsid w:val="00363549"/>
    <w:rsid w:val="003801D0"/>
    <w:rsid w:val="003820CD"/>
    <w:rsid w:val="00384C0B"/>
    <w:rsid w:val="0039228E"/>
    <w:rsid w:val="003926B5"/>
    <w:rsid w:val="003B04EC"/>
    <w:rsid w:val="003B2BF1"/>
    <w:rsid w:val="003C5F2B"/>
    <w:rsid w:val="003D0BFE"/>
    <w:rsid w:val="003D5700"/>
    <w:rsid w:val="003E3787"/>
    <w:rsid w:val="003E5FF5"/>
    <w:rsid w:val="003F4CA9"/>
    <w:rsid w:val="003F567B"/>
    <w:rsid w:val="004010E7"/>
    <w:rsid w:val="00401403"/>
    <w:rsid w:val="004075AD"/>
    <w:rsid w:val="004116CD"/>
    <w:rsid w:val="00412B83"/>
    <w:rsid w:val="004215E0"/>
    <w:rsid w:val="00424CA9"/>
    <w:rsid w:val="004276AD"/>
    <w:rsid w:val="00433910"/>
    <w:rsid w:val="0044291A"/>
    <w:rsid w:val="00446362"/>
    <w:rsid w:val="004541B9"/>
    <w:rsid w:val="00460499"/>
    <w:rsid w:val="00473035"/>
    <w:rsid w:val="00480FB9"/>
    <w:rsid w:val="00482FFE"/>
    <w:rsid w:val="0048364F"/>
    <w:rsid w:val="00486382"/>
    <w:rsid w:val="004959D1"/>
    <w:rsid w:val="00496F97"/>
    <w:rsid w:val="004A2484"/>
    <w:rsid w:val="004C0255"/>
    <w:rsid w:val="004C5B23"/>
    <w:rsid w:val="004C5B5A"/>
    <w:rsid w:val="004C6444"/>
    <w:rsid w:val="004C6DE1"/>
    <w:rsid w:val="004D2ED9"/>
    <w:rsid w:val="004F1FAC"/>
    <w:rsid w:val="004F3A90"/>
    <w:rsid w:val="004F676E"/>
    <w:rsid w:val="00516B8D"/>
    <w:rsid w:val="00517CD8"/>
    <w:rsid w:val="00520A1E"/>
    <w:rsid w:val="00533610"/>
    <w:rsid w:val="00537FBC"/>
    <w:rsid w:val="00543469"/>
    <w:rsid w:val="00557C7A"/>
    <w:rsid w:val="00575D2F"/>
    <w:rsid w:val="00577714"/>
    <w:rsid w:val="00584811"/>
    <w:rsid w:val="005851A5"/>
    <w:rsid w:val="0058646E"/>
    <w:rsid w:val="0059108C"/>
    <w:rsid w:val="00591E07"/>
    <w:rsid w:val="00593AA6"/>
    <w:rsid w:val="00594161"/>
    <w:rsid w:val="00594749"/>
    <w:rsid w:val="005A3CD5"/>
    <w:rsid w:val="005B4067"/>
    <w:rsid w:val="005B7EE2"/>
    <w:rsid w:val="005C12DE"/>
    <w:rsid w:val="005C3F41"/>
    <w:rsid w:val="005C6791"/>
    <w:rsid w:val="005E3C56"/>
    <w:rsid w:val="005E552A"/>
    <w:rsid w:val="00600219"/>
    <w:rsid w:val="006249E6"/>
    <w:rsid w:val="00630733"/>
    <w:rsid w:val="00631487"/>
    <w:rsid w:val="0064468A"/>
    <w:rsid w:val="00654CCA"/>
    <w:rsid w:val="006560AF"/>
    <w:rsid w:val="00656DE9"/>
    <w:rsid w:val="00663A0C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439A"/>
    <w:rsid w:val="006F536F"/>
    <w:rsid w:val="00700B2C"/>
    <w:rsid w:val="00701E6A"/>
    <w:rsid w:val="00713084"/>
    <w:rsid w:val="00722023"/>
    <w:rsid w:val="00722466"/>
    <w:rsid w:val="007315DC"/>
    <w:rsid w:val="00731E00"/>
    <w:rsid w:val="00732B75"/>
    <w:rsid w:val="007334AA"/>
    <w:rsid w:val="007440B7"/>
    <w:rsid w:val="00750AFC"/>
    <w:rsid w:val="007634AD"/>
    <w:rsid w:val="0076453C"/>
    <w:rsid w:val="007715C9"/>
    <w:rsid w:val="007719C6"/>
    <w:rsid w:val="00772B41"/>
    <w:rsid w:val="00774EDD"/>
    <w:rsid w:val="007757EC"/>
    <w:rsid w:val="007769D4"/>
    <w:rsid w:val="007770F8"/>
    <w:rsid w:val="0078356A"/>
    <w:rsid w:val="00785AFA"/>
    <w:rsid w:val="007903AC"/>
    <w:rsid w:val="007A7F9F"/>
    <w:rsid w:val="007C30AD"/>
    <w:rsid w:val="007C3A9B"/>
    <w:rsid w:val="007C784D"/>
    <w:rsid w:val="007E7D4A"/>
    <w:rsid w:val="007F6179"/>
    <w:rsid w:val="00825457"/>
    <w:rsid w:val="00826DA5"/>
    <w:rsid w:val="00833416"/>
    <w:rsid w:val="00856A31"/>
    <w:rsid w:val="008575E0"/>
    <w:rsid w:val="00867806"/>
    <w:rsid w:val="00867CE0"/>
    <w:rsid w:val="00874B69"/>
    <w:rsid w:val="008754D0"/>
    <w:rsid w:val="0087560E"/>
    <w:rsid w:val="00877D48"/>
    <w:rsid w:val="00880795"/>
    <w:rsid w:val="0089783B"/>
    <w:rsid w:val="008B2069"/>
    <w:rsid w:val="008C2126"/>
    <w:rsid w:val="008D0EE0"/>
    <w:rsid w:val="008D1D8F"/>
    <w:rsid w:val="008D5BAB"/>
    <w:rsid w:val="008E0453"/>
    <w:rsid w:val="008E2BC2"/>
    <w:rsid w:val="008F07E3"/>
    <w:rsid w:val="008F4F1C"/>
    <w:rsid w:val="008F7431"/>
    <w:rsid w:val="0090469F"/>
    <w:rsid w:val="00905FC8"/>
    <w:rsid w:val="00907271"/>
    <w:rsid w:val="00932377"/>
    <w:rsid w:val="00932A33"/>
    <w:rsid w:val="00933B29"/>
    <w:rsid w:val="00942F27"/>
    <w:rsid w:val="00950C27"/>
    <w:rsid w:val="009848EC"/>
    <w:rsid w:val="009B3629"/>
    <w:rsid w:val="009C3C14"/>
    <w:rsid w:val="009C49D8"/>
    <w:rsid w:val="009D69F8"/>
    <w:rsid w:val="009D7EF1"/>
    <w:rsid w:val="009E33A6"/>
    <w:rsid w:val="009E3601"/>
    <w:rsid w:val="009E469E"/>
    <w:rsid w:val="009F727E"/>
    <w:rsid w:val="00A1027A"/>
    <w:rsid w:val="00A1300D"/>
    <w:rsid w:val="00A1516A"/>
    <w:rsid w:val="00A2057D"/>
    <w:rsid w:val="00A231E2"/>
    <w:rsid w:val="00A2550D"/>
    <w:rsid w:val="00A26DBE"/>
    <w:rsid w:val="00A326A4"/>
    <w:rsid w:val="00A4169B"/>
    <w:rsid w:val="00A4361F"/>
    <w:rsid w:val="00A5197F"/>
    <w:rsid w:val="00A606D7"/>
    <w:rsid w:val="00A64912"/>
    <w:rsid w:val="00A70A74"/>
    <w:rsid w:val="00A71C4E"/>
    <w:rsid w:val="00A739C9"/>
    <w:rsid w:val="00A75FEF"/>
    <w:rsid w:val="00A85651"/>
    <w:rsid w:val="00A87AB9"/>
    <w:rsid w:val="00AA5365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6060"/>
    <w:rsid w:val="00B32CAC"/>
    <w:rsid w:val="00B332B8"/>
    <w:rsid w:val="00B33632"/>
    <w:rsid w:val="00B33B3C"/>
    <w:rsid w:val="00B44657"/>
    <w:rsid w:val="00B60F4F"/>
    <w:rsid w:val="00B61D2C"/>
    <w:rsid w:val="00B63BDE"/>
    <w:rsid w:val="00B80189"/>
    <w:rsid w:val="00B96990"/>
    <w:rsid w:val="00BA4B5E"/>
    <w:rsid w:val="00BA5026"/>
    <w:rsid w:val="00BB46B1"/>
    <w:rsid w:val="00BB6E79"/>
    <w:rsid w:val="00BC4F91"/>
    <w:rsid w:val="00BD52B6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25DBB"/>
    <w:rsid w:val="00C42BF8"/>
    <w:rsid w:val="00C43B09"/>
    <w:rsid w:val="00C45369"/>
    <w:rsid w:val="00C460AE"/>
    <w:rsid w:val="00C50043"/>
    <w:rsid w:val="00C63713"/>
    <w:rsid w:val="00C7573B"/>
    <w:rsid w:val="00C76CF3"/>
    <w:rsid w:val="00C77E30"/>
    <w:rsid w:val="00C814F5"/>
    <w:rsid w:val="00C87233"/>
    <w:rsid w:val="00CA1942"/>
    <w:rsid w:val="00CA5323"/>
    <w:rsid w:val="00CB0180"/>
    <w:rsid w:val="00CB3470"/>
    <w:rsid w:val="00CB7047"/>
    <w:rsid w:val="00CC61A4"/>
    <w:rsid w:val="00CD59BD"/>
    <w:rsid w:val="00CD606E"/>
    <w:rsid w:val="00CD7ECB"/>
    <w:rsid w:val="00CE594C"/>
    <w:rsid w:val="00CF0BB2"/>
    <w:rsid w:val="00CF5A96"/>
    <w:rsid w:val="00D0104A"/>
    <w:rsid w:val="00D122E9"/>
    <w:rsid w:val="00D13441"/>
    <w:rsid w:val="00D17B17"/>
    <w:rsid w:val="00D243A3"/>
    <w:rsid w:val="00D2773A"/>
    <w:rsid w:val="00D333D9"/>
    <w:rsid w:val="00D33440"/>
    <w:rsid w:val="00D40403"/>
    <w:rsid w:val="00D52EFE"/>
    <w:rsid w:val="00D60E50"/>
    <w:rsid w:val="00D63EF6"/>
    <w:rsid w:val="00D70DFB"/>
    <w:rsid w:val="00D766DF"/>
    <w:rsid w:val="00D83D21"/>
    <w:rsid w:val="00D84B58"/>
    <w:rsid w:val="00D925D1"/>
    <w:rsid w:val="00DE2FFE"/>
    <w:rsid w:val="00DE6636"/>
    <w:rsid w:val="00E00E2E"/>
    <w:rsid w:val="00E05022"/>
    <w:rsid w:val="00E05704"/>
    <w:rsid w:val="00E05C46"/>
    <w:rsid w:val="00E06A86"/>
    <w:rsid w:val="00E30206"/>
    <w:rsid w:val="00E31B12"/>
    <w:rsid w:val="00E33C1C"/>
    <w:rsid w:val="00E443FC"/>
    <w:rsid w:val="00E45FE7"/>
    <w:rsid w:val="00E476B8"/>
    <w:rsid w:val="00E54292"/>
    <w:rsid w:val="00E55BCD"/>
    <w:rsid w:val="00E71958"/>
    <w:rsid w:val="00E73EC4"/>
    <w:rsid w:val="00E74DC7"/>
    <w:rsid w:val="00E75D32"/>
    <w:rsid w:val="00E76FAB"/>
    <w:rsid w:val="00E81A3C"/>
    <w:rsid w:val="00E83E2E"/>
    <w:rsid w:val="00E84B32"/>
    <w:rsid w:val="00E87699"/>
    <w:rsid w:val="00EC611F"/>
    <w:rsid w:val="00ED3A7D"/>
    <w:rsid w:val="00ED55A5"/>
    <w:rsid w:val="00ED5BEB"/>
    <w:rsid w:val="00EE40F7"/>
    <w:rsid w:val="00EE536C"/>
    <w:rsid w:val="00EF2E3A"/>
    <w:rsid w:val="00F02F50"/>
    <w:rsid w:val="00F047E2"/>
    <w:rsid w:val="00F078DC"/>
    <w:rsid w:val="00F13E86"/>
    <w:rsid w:val="00F238DE"/>
    <w:rsid w:val="00F24C35"/>
    <w:rsid w:val="00F31EF3"/>
    <w:rsid w:val="00F34D89"/>
    <w:rsid w:val="00F412A3"/>
    <w:rsid w:val="00F41A8E"/>
    <w:rsid w:val="00F56759"/>
    <w:rsid w:val="00F6143D"/>
    <w:rsid w:val="00F677A9"/>
    <w:rsid w:val="00F77A1A"/>
    <w:rsid w:val="00F80CDD"/>
    <w:rsid w:val="00F84CF5"/>
    <w:rsid w:val="00FA420B"/>
    <w:rsid w:val="00FB03B3"/>
    <w:rsid w:val="00FB192C"/>
    <w:rsid w:val="00FC11ED"/>
    <w:rsid w:val="00FD130A"/>
    <w:rsid w:val="00FD7CFE"/>
    <w:rsid w:val="00FF3089"/>
    <w:rsid w:val="00FF3B04"/>
    <w:rsid w:val="00FF3D26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15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F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F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F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F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F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F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F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F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15E0"/>
  </w:style>
  <w:style w:type="paragraph" w:customStyle="1" w:styleId="OPCParaBase">
    <w:name w:val="OPCParaBase"/>
    <w:qFormat/>
    <w:rsid w:val="004215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15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15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15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15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15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215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15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15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15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15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15E0"/>
  </w:style>
  <w:style w:type="paragraph" w:customStyle="1" w:styleId="Blocks">
    <w:name w:val="Blocks"/>
    <w:aliases w:val="bb"/>
    <w:basedOn w:val="OPCParaBase"/>
    <w:qFormat/>
    <w:rsid w:val="004215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15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15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15E0"/>
    <w:rPr>
      <w:i/>
    </w:rPr>
  </w:style>
  <w:style w:type="paragraph" w:customStyle="1" w:styleId="BoxList">
    <w:name w:val="BoxList"/>
    <w:aliases w:val="bl"/>
    <w:basedOn w:val="BoxText"/>
    <w:qFormat/>
    <w:rsid w:val="004215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15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15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15E0"/>
    <w:pPr>
      <w:ind w:left="1985" w:hanging="851"/>
    </w:pPr>
  </w:style>
  <w:style w:type="character" w:customStyle="1" w:styleId="CharAmPartNo">
    <w:name w:val="CharAmPartNo"/>
    <w:basedOn w:val="OPCCharBase"/>
    <w:qFormat/>
    <w:rsid w:val="004215E0"/>
  </w:style>
  <w:style w:type="character" w:customStyle="1" w:styleId="CharAmPartText">
    <w:name w:val="CharAmPartText"/>
    <w:basedOn w:val="OPCCharBase"/>
    <w:qFormat/>
    <w:rsid w:val="004215E0"/>
  </w:style>
  <w:style w:type="character" w:customStyle="1" w:styleId="CharAmSchNo">
    <w:name w:val="CharAmSchNo"/>
    <w:basedOn w:val="OPCCharBase"/>
    <w:qFormat/>
    <w:rsid w:val="004215E0"/>
  </w:style>
  <w:style w:type="character" w:customStyle="1" w:styleId="CharAmSchText">
    <w:name w:val="CharAmSchText"/>
    <w:basedOn w:val="OPCCharBase"/>
    <w:qFormat/>
    <w:rsid w:val="004215E0"/>
  </w:style>
  <w:style w:type="character" w:customStyle="1" w:styleId="CharBoldItalic">
    <w:name w:val="CharBoldItalic"/>
    <w:basedOn w:val="OPCCharBase"/>
    <w:uiPriority w:val="1"/>
    <w:qFormat/>
    <w:rsid w:val="004215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15E0"/>
  </w:style>
  <w:style w:type="character" w:customStyle="1" w:styleId="CharChapText">
    <w:name w:val="CharChapText"/>
    <w:basedOn w:val="OPCCharBase"/>
    <w:uiPriority w:val="1"/>
    <w:qFormat/>
    <w:rsid w:val="004215E0"/>
  </w:style>
  <w:style w:type="character" w:customStyle="1" w:styleId="CharDivNo">
    <w:name w:val="CharDivNo"/>
    <w:basedOn w:val="OPCCharBase"/>
    <w:uiPriority w:val="1"/>
    <w:qFormat/>
    <w:rsid w:val="004215E0"/>
  </w:style>
  <w:style w:type="character" w:customStyle="1" w:styleId="CharDivText">
    <w:name w:val="CharDivText"/>
    <w:basedOn w:val="OPCCharBase"/>
    <w:uiPriority w:val="1"/>
    <w:qFormat/>
    <w:rsid w:val="004215E0"/>
  </w:style>
  <w:style w:type="character" w:customStyle="1" w:styleId="CharItalic">
    <w:name w:val="CharItalic"/>
    <w:basedOn w:val="OPCCharBase"/>
    <w:uiPriority w:val="1"/>
    <w:qFormat/>
    <w:rsid w:val="004215E0"/>
    <w:rPr>
      <w:i/>
    </w:rPr>
  </w:style>
  <w:style w:type="character" w:customStyle="1" w:styleId="CharPartNo">
    <w:name w:val="CharPartNo"/>
    <w:basedOn w:val="OPCCharBase"/>
    <w:uiPriority w:val="1"/>
    <w:qFormat/>
    <w:rsid w:val="004215E0"/>
  </w:style>
  <w:style w:type="character" w:customStyle="1" w:styleId="CharPartText">
    <w:name w:val="CharPartText"/>
    <w:basedOn w:val="OPCCharBase"/>
    <w:uiPriority w:val="1"/>
    <w:qFormat/>
    <w:rsid w:val="004215E0"/>
  </w:style>
  <w:style w:type="character" w:customStyle="1" w:styleId="CharSectno">
    <w:name w:val="CharSectno"/>
    <w:basedOn w:val="OPCCharBase"/>
    <w:qFormat/>
    <w:rsid w:val="004215E0"/>
  </w:style>
  <w:style w:type="character" w:customStyle="1" w:styleId="CharSubdNo">
    <w:name w:val="CharSubdNo"/>
    <w:basedOn w:val="OPCCharBase"/>
    <w:uiPriority w:val="1"/>
    <w:qFormat/>
    <w:rsid w:val="004215E0"/>
  </w:style>
  <w:style w:type="character" w:customStyle="1" w:styleId="CharSubdText">
    <w:name w:val="CharSubdText"/>
    <w:basedOn w:val="OPCCharBase"/>
    <w:uiPriority w:val="1"/>
    <w:qFormat/>
    <w:rsid w:val="004215E0"/>
  </w:style>
  <w:style w:type="paragraph" w:customStyle="1" w:styleId="CTA--">
    <w:name w:val="CTA --"/>
    <w:basedOn w:val="OPCParaBase"/>
    <w:next w:val="Normal"/>
    <w:rsid w:val="004215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15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15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15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15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15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15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15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15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15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15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15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15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15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15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15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15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15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15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15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15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15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15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15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15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15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15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15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15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15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15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15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15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15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15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15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15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15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15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15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15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15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15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15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15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15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15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15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15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15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15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15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15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15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15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215E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215E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215E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215E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215E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215E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215E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215E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215E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215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15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15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15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15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15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15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15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215E0"/>
    <w:rPr>
      <w:sz w:val="16"/>
    </w:rPr>
  </w:style>
  <w:style w:type="table" w:customStyle="1" w:styleId="CFlag">
    <w:name w:val="CFlag"/>
    <w:basedOn w:val="TableNormal"/>
    <w:uiPriority w:val="99"/>
    <w:rsid w:val="004215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21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15E0"/>
    <w:rPr>
      <w:color w:val="0000FF"/>
      <w:u w:val="single"/>
    </w:rPr>
  </w:style>
  <w:style w:type="table" w:styleId="TableGrid">
    <w:name w:val="Table Grid"/>
    <w:basedOn w:val="TableNormal"/>
    <w:uiPriority w:val="59"/>
    <w:rsid w:val="00421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15E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215E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215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15E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15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15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15E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215E0"/>
  </w:style>
  <w:style w:type="paragraph" w:customStyle="1" w:styleId="CompiledActNo">
    <w:name w:val="CompiledActNo"/>
    <w:basedOn w:val="OPCParaBase"/>
    <w:next w:val="Normal"/>
    <w:rsid w:val="004215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15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15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215E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215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15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215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15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215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15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15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15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15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15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215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15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15E0"/>
  </w:style>
  <w:style w:type="character" w:customStyle="1" w:styleId="CharSubPartNoCASA">
    <w:name w:val="CharSubPartNo(CASA)"/>
    <w:basedOn w:val="OPCCharBase"/>
    <w:uiPriority w:val="1"/>
    <w:rsid w:val="004215E0"/>
  </w:style>
  <w:style w:type="paragraph" w:customStyle="1" w:styleId="ENoteTTIndentHeadingSub">
    <w:name w:val="ENoteTTIndentHeadingSub"/>
    <w:aliases w:val="enTTHis"/>
    <w:basedOn w:val="OPCParaBase"/>
    <w:rsid w:val="004215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15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15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15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15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15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15E0"/>
    <w:rPr>
      <w:sz w:val="22"/>
    </w:rPr>
  </w:style>
  <w:style w:type="paragraph" w:customStyle="1" w:styleId="SOTextNote">
    <w:name w:val="SO TextNote"/>
    <w:aliases w:val="sont"/>
    <w:basedOn w:val="SOText"/>
    <w:qFormat/>
    <w:rsid w:val="004215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15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15E0"/>
    <w:rPr>
      <w:sz w:val="22"/>
    </w:rPr>
  </w:style>
  <w:style w:type="paragraph" w:customStyle="1" w:styleId="FileName">
    <w:name w:val="FileName"/>
    <w:basedOn w:val="Normal"/>
    <w:rsid w:val="004215E0"/>
  </w:style>
  <w:style w:type="paragraph" w:customStyle="1" w:styleId="TableHeading">
    <w:name w:val="TableHeading"/>
    <w:aliases w:val="th"/>
    <w:basedOn w:val="OPCParaBase"/>
    <w:next w:val="Tabletext"/>
    <w:rsid w:val="004215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15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15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15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15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15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15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15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15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15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15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15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2F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2F5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2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F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F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F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F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F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F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F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title1">
    <w:name w:val="charlegtitle1"/>
    <w:basedOn w:val="DefaultParagraphFont"/>
    <w:rsid w:val="00CD59BD"/>
    <w:rPr>
      <w:rFonts w:ascii="Helvetica Neue" w:hAnsi="Helvetica Neue" w:hint="default"/>
      <w:b/>
      <w:bCs/>
      <w:color w:val="10418E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15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F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F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F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F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F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F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F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F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15E0"/>
  </w:style>
  <w:style w:type="paragraph" w:customStyle="1" w:styleId="OPCParaBase">
    <w:name w:val="OPCParaBase"/>
    <w:qFormat/>
    <w:rsid w:val="004215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15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15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15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15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15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215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15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15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15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15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15E0"/>
  </w:style>
  <w:style w:type="paragraph" w:customStyle="1" w:styleId="Blocks">
    <w:name w:val="Blocks"/>
    <w:aliases w:val="bb"/>
    <w:basedOn w:val="OPCParaBase"/>
    <w:qFormat/>
    <w:rsid w:val="004215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15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15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15E0"/>
    <w:rPr>
      <w:i/>
    </w:rPr>
  </w:style>
  <w:style w:type="paragraph" w:customStyle="1" w:styleId="BoxList">
    <w:name w:val="BoxList"/>
    <w:aliases w:val="bl"/>
    <w:basedOn w:val="BoxText"/>
    <w:qFormat/>
    <w:rsid w:val="004215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15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15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15E0"/>
    <w:pPr>
      <w:ind w:left="1985" w:hanging="851"/>
    </w:pPr>
  </w:style>
  <w:style w:type="character" w:customStyle="1" w:styleId="CharAmPartNo">
    <w:name w:val="CharAmPartNo"/>
    <w:basedOn w:val="OPCCharBase"/>
    <w:qFormat/>
    <w:rsid w:val="004215E0"/>
  </w:style>
  <w:style w:type="character" w:customStyle="1" w:styleId="CharAmPartText">
    <w:name w:val="CharAmPartText"/>
    <w:basedOn w:val="OPCCharBase"/>
    <w:qFormat/>
    <w:rsid w:val="004215E0"/>
  </w:style>
  <w:style w:type="character" w:customStyle="1" w:styleId="CharAmSchNo">
    <w:name w:val="CharAmSchNo"/>
    <w:basedOn w:val="OPCCharBase"/>
    <w:qFormat/>
    <w:rsid w:val="004215E0"/>
  </w:style>
  <w:style w:type="character" w:customStyle="1" w:styleId="CharAmSchText">
    <w:name w:val="CharAmSchText"/>
    <w:basedOn w:val="OPCCharBase"/>
    <w:qFormat/>
    <w:rsid w:val="004215E0"/>
  </w:style>
  <w:style w:type="character" w:customStyle="1" w:styleId="CharBoldItalic">
    <w:name w:val="CharBoldItalic"/>
    <w:basedOn w:val="OPCCharBase"/>
    <w:uiPriority w:val="1"/>
    <w:qFormat/>
    <w:rsid w:val="004215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15E0"/>
  </w:style>
  <w:style w:type="character" w:customStyle="1" w:styleId="CharChapText">
    <w:name w:val="CharChapText"/>
    <w:basedOn w:val="OPCCharBase"/>
    <w:uiPriority w:val="1"/>
    <w:qFormat/>
    <w:rsid w:val="004215E0"/>
  </w:style>
  <w:style w:type="character" w:customStyle="1" w:styleId="CharDivNo">
    <w:name w:val="CharDivNo"/>
    <w:basedOn w:val="OPCCharBase"/>
    <w:uiPriority w:val="1"/>
    <w:qFormat/>
    <w:rsid w:val="004215E0"/>
  </w:style>
  <w:style w:type="character" w:customStyle="1" w:styleId="CharDivText">
    <w:name w:val="CharDivText"/>
    <w:basedOn w:val="OPCCharBase"/>
    <w:uiPriority w:val="1"/>
    <w:qFormat/>
    <w:rsid w:val="004215E0"/>
  </w:style>
  <w:style w:type="character" w:customStyle="1" w:styleId="CharItalic">
    <w:name w:val="CharItalic"/>
    <w:basedOn w:val="OPCCharBase"/>
    <w:uiPriority w:val="1"/>
    <w:qFormat/>
    <w:rsid w:val="004215E0"/>
    <w:rPr>
      <w:i/>
    </w:rPr>
  </w:style>
  <w:style w:type="character" w:customStyle="1" w:styleId="CharPartNo">
    <w:name w:val="CharPartNo"/>
    <w:basedOn w:val="OPCCharBase"/>
    <w:uiPriority w:val="1"/>
    <w:qFormat/>
    <w:rsid w:val="004215E0"/>
  </w:style>
  <w:style w:type="character" w:customStyle="1" w:styleId="CharPartText">
    <w:name w:val="CharPartText"/>
    <w:basedOn w:val="OPCCharBase"/>
    <w:uiPriority w:val="1"/>
    <w:qFormat/>
    <w:rsid w:val="004215E0"/>
  </w:style>
  <w:style w:type="character" w:customStyle="1" w:styleId="CharSectno">
    <w:name w:val="CharSectno"/>
    <w:basedOn w:val="OPCCharBase"/>
    <w:qFormat/>
    <w:rsid w:val="004215E0"/>
  </w:style>
  <w:style w:type="character" w:customStyle="1" w:styleId="CharSubdNo">
    <w:name w:val="CharSubdNo"/>
    <w:basedOn w:val="OPCCharBase"/>
    <w:uiPriority w:val="1"/>
    <w:qFormat/>
    <w:rsid w:val="004215E0"/>
  </w:style>
  <w:style w:type="character" w:customStyle="1" w:styleId="CharSubdText">
    <w:name w:val="CharSubdText"/>
    <w:basedOn w:val="OPCCharBase"/>
    <w:uiPriority w:val="1"/>
    <w:qFormat/>
    <w:rsid w:val="004215E0"/>
  </w:style>
  <w:style w:type="paragraph" w:customStyle="1" w:styleId="CTA--">
    <w:name w:val="CTA --"/>
    <w:basedOn w:val="OPCParaBase"/>
    <w:next w:val="Normal"/>
    <w:rsid w:val="004215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15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15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15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15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15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15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15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15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15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15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15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15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15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15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15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15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15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15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15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15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15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15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15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15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15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15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15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15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15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15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15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15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15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15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15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15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15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15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15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15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15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15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15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15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15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15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15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15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15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15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15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15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15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15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215E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215E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215E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215E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215E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215E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215E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215E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215E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215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15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15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15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15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15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15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15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215E0"/>
    <w:rPr>
      <w:sz w:val="16"/>
    </w:rPr>
  </w:style>
  <w:style w:type="table" w:customStyle="1" w:styleId="CFlag">
    <w:name w:val="CFlag"/>
    <w:basedOn w:val="TableNormal"/>
    <w:uiPriority w:val="99"/>
    <w:rsid w:val="004215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21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15E0"/>
    <w:rPr>
      <w:color w:val="0000FF"/>
      <w:u w:val="single"/>
    </w:rPr>
  </w:style>
  <w:style w:type="table" w:styleId="TableGrid">
    <w:name w:val="Table Grid"/>
    <w:basedOn w:val="TableNormal"/>
    <w:uiPriority w:val="59"/>
    <w:rsid w:val="00421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15E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215E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215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15E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15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15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15E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215E0"/>
  </w:style>
  <w:style w:type="paragraph" w:customStyle="1" w:styleId="CompiledActNo">
    <w:name w:val="CompiledActNo"/>
    <w:basedOn w:val="OPCParaBase"/>
    <w:next w:val="Normal"/>
    <w:rsid w:val="004215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15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15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215E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215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15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215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15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215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15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15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15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15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15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215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15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15E0"/>
  </w:style>
  <w:style w:type="character" w:customStyle="1" w:styleId="CharSubPartNoCASA">
    <w:name w:val="CharSubPartNo(CASA)"/>
    <w:basedOn w:val="OPCCharBase"/>
    <w:uiPriority w:val="1"/>
    <w:rsid w:val="004215E0"/>
  </w:style>
  <w:style w:type="paragraph" w:customStyle="1" w:styleId="ENoteTTIndentHeadingSub">
    <w:name w:val="ENoteTTIndentHeadingSub"/>
    <w:aliases w:val="enTTHis"/>
    <w:basedOn w:val="OPCParaBase"/>
    <w:rsid w:val="004215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15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15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15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15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15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15E0"/>
    <w:rPr>
      <w:sz w:val="22"/>
    </w:rPr>
  </w:style>
  <w:style w:type="paragraph" w:customStyle="1" w:styleId="SOTextNote">
    <w:name w:val="SO TextNote"/>
    <w:aliases w:val="sont"/>
    <w:basedOn w:val="SOText"/>
    <w:qFormat/>
    <w:rsid w:val="004215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15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15E0"/>
    <w:rPr>
      <w:sz w:val="22"/>
    </w:rPr>
  </w:style>
  <w:style w:type="paragraph" w:customStyle="1" w:styleId="FileName">
    <w:name w:val="FileName"/>
    <w:basedOn w:val="Normal"/>
    <w:rsid w:val="004215E0"/>
  </w:style>
  <w:style w:type="paragraph" w:customStyle="1" w:styleId="TableHeading">
    <w:name w:val="TableHeading"/>
    <w:aliases w:val="th"/>
    <w:basedOn w:val="OPCParaBase"/>
    <w:next w:val="Tabletext"/>
    <w:rsid w:val="004215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15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15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15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15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15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15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15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15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15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15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15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2F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2F5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2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F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F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F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F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F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F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F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title1">
    <w:name w:val="charlegtitle1"/>
    <w:basedOn w:val="DefaultParagraphFont"/>
    <w:rsid w:val="00CD59BD"/>
    <w:rPr>
      <w:rFonts w:ascii="Helvetica Neue" w:hAnsi="Helvetica Neue" w:hint="default"/>
      <w:b/>
      <w:bCs/>
      <w:color w:val="10418E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1316</Words>
  <Characters>6507</Characters>
  <Application>Microsoft Office Word</Application>
  <DocSecurity>0</DocSecurity>
  <PresentationFormat/>
  <Lines>253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Control Amendment (Fees) Regulation 2015</vt:lpstr>
    </vt:vector>
  </TitlesOfParts>
  <Manager/>
  <Company/>
  <LinksUpToDate>false</LinksUpToDate>
  <CharactersWithSpaces>7730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2015-10-08T01:39:00Z</cp:lastPrinted>
  <dcterms:created xsi:type="dcterms:W3CDTF">2015-11-24T03:00:00Z</dcterms:created>
  <dcterms:modified xsi:type="dcterms:W3CDTF">2015-11-24T03:00:00Z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193, 2015</vt:lpwstr>
  </property>
  <property fmtid="{D5CDD505-2E9C-101B-9397-08002B2CF9AE}" pid="3" name="ShortT">
    <vt:lpwstr>Imported Food Control Amendment (Fees)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November 2015</vt:lpwstr>
  </property>
  <property fmtid="{D5CDD505-2E9C-101B-9397-08002B2CF9AE}" pid="10" name="Authority">
    <vt:lpwstr/>
  </property>
  <property fmtid="{D5CDD505-2E9C-101B-9397-08002B2CF9AE}" pid="11" name="ID">
    <vt:lpwstr>OPC61479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Imported Food Control Act 1992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PreventSessionPrompt">
    <vt:lpwstr>Yes</vt:lpwstr>
  </property>
  <property fmtid="{D5CDD505-2E9C-101B-9397-08002B2CF9AE}" pid="19" name="Number">
    <vt:lpwstr>A</vt:lpwstr>
  </property>
  <property fmtid="{D5CDD505-2E9C-101B-9397-08002B2CF9AE}" pid="20" name="CounterSign">
    <vt:lpwstr/>
  </property>
  <property fmtid="{D5CDD505-2E9C-101B-9397-08002B2CF9AE}" pid="21" name="ExcoDate">
    <vt:lpwstr>26 November 2015</vt:lpwstr>
  </property>
</Properties>
</file>