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05087" w:rsidRDefault="00DA186E" w:rsidP="00B05CF4">
      <w:pPr>
        <w:rPr>
          <w:sz w:val="28"/>
        </w:rPr>
      </w:pPr>
      <w:r w:rsidRPr="00505087">
        <w:rPr>
          <w:noProof/>
          <w:lang w:eastAsia="en-AU"/>
        </w:rPr>
        <w:drawing>
          <wp:inline distT="0" distB="0" distL="0" distR="0" wp14:anchorId="30DC8B50" wp14:editId="17D959B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05087" w:rsidRDefault="00715914" w:rsidP="00715914">
      <w:pPr>
        <w:rPr>
          <w:sz w:val="19"/>
        </w:rPr>
      </w:pPr>
    </w:p>
    <w:p w:rsidR="00715914" w:rsidRPr="00505087" w:rsidRDefault="001916BC" w:rsidP="00715914">
      <w:pPr>
        <w:pStyle w:val="ShortT"/>
      </w:pPr>
      <w:r w:rsidRPr="00505087">
        <w:t>Foreign Acquisitions and Takeovers Legislation (Transitional) Rule</w:t>
      </w:r>
      <w:r w:rsidR="00505087" w:rsidRPr="00505087">
        <w:t> </w:t>
      </w:r>
      <w:r w:rsidRPr="00505087">
        <w:t>2015</w:t>
      </w:r>
    </w:p>
    <w:p w:rsidR="00A72A28" w:rsidRPr="00505087" w:rsidRDefault="00A72A28" w:rsidP="000C5962">
      <w:pPr>
        <w:pStyle w:val="SignCoverPageStart"/>
        <w:rPr>
          <w:szCs w:val="22"/>
        </w:rPr>
      </w:pPr>
      <w:r w:rsidRPr="00505087">
        <w:rPr>
          <w:szCs w:val="22"/>
        </w:rPr>
        <w:t>I, Scott Morrison, Treasurer, make the following rule.</w:t>
      </w:r>
    </w:p>
    <w:p w:rsidR="00A72A28" w:rsidRPr="00505087" w:rsidRDefault="00A72A28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505087">
        <w:rPr>
          <w:szCs w:val="22"/>
        </w:rPr>
        <w:t>Dated</w:t>
      </w:r>
      <w:r w:rsidRPr="00505087">
        <w:rPr>
          <w:szCs w:val="22"/>
        </w:rPr>
        <w:tab/>
      </w:r>
      <w:bookmarkStart w:id="0" w:name="BKCheck15B_1"/>
      <w:bookmarkEnd w:id="0"/>
      <w:r w:rsidRPr="00505087">
        <w:rPr>
          <w:szCs w:val="22"/>
        </w:rPr>
        <w:fldChar w:fldCharType="begin"/>
      </w:r>
      <w:r w:rsidRPr="00505087">
        <w:rPr>
          <w:szCs w:val="22"/>
        </w:rPr>
        <w:instrText xml:space="preserve"> DOCPROPERTY  DateMade </w:instrText>
      </w:r>
      <w:r w:rsidRPr="00505087">
        <w:rPr>
          <w:szCs w:val="22"/>
        </w:rPr>
        <w:fldChar w:fldCharType="separate"/>
      </w:r>
      <w:r w:rsidR="00DB754D">
        <w:rPr>
          <w:szCs w:val="22"/>
        </w:rPr>
        <w:t>30 November 2015</w:t>
      </w:r>
      <w:r w:rsidRPr="00505087">
        <w:rPr>
          <w:szCs w:val="22"/>
        </w:rPr>
        <w:fldChar w:fldCharType="end"/>
      </w:r>
    </w:p>
    <w:p w:rsidR="00A72A28" w:rsidRPr="00505087" w:rsidRDefault="00A72A28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05087">
        <w:rPr>
          <w:szCs w:val="22"/>
        </w:rPr>
        <w:t>Scott Morrison</w:t>
      </w:r>
    </w:p>
    <w:p w:rsidR="00A72A28" w:rsidRPr="00505087" w:rsidRDefault="00A72A28" w:rsidP="003347DA">
      <w:pPr>
        <w:pStyle w:val="SignCoverPageEnd"/>
      </w:pPr>
      <w:r w:rsidRPr="00505087">
        <w:rPr>
          <w:szCs w:val="22"/>
        </w:rPr>
        <w:t>Treasurer</w:t>
      </w:r>
    </w:p>
    <w:p w:rsidR="00A72A28" w:rsidRPr="00505087" w:rsidRDefault="00A72A28" w:rsidP="00A72A28"/>
    <w:p w:rsidR="00715914" w:rsidRPr="00505087" w:rsidRDefault="00715914" w:rsidP="00715914">
      <w:pPr>
        <w:pStyle w:val="Header"/>
        <w:tabs>
          <w:tab w:val="clear" w:pos="4150"/>
          <w:tab w:val="clear" w:pos="8307"/>
        </w:tabs>
      </w:pPr>
      <w:r w:rsidRPr="00505087">
        <w:rPr>
          <w:rStyle w:val="CharChapNo"/>
        </w:rPr>
        <w:t xml:space="preserve"> </w:t>
      </w:r>
      <w:r w:rsidRPr="00505087">
        <w:rPr>
          <w:rStyle w:val="CharChapText"/>
        </w:rPr>
        <w:t xml:space="preserve"> </w:t>
      </w:r>
    </w:p>
    <w:p w:rsidR="00715914" w:rsidRPr="00505087" w:rsidRDefault="00715914" w:rsidP="00715914">
      <w:pPr>
        <w:pStyle w:val="Header"/>
        <w:tabs>
          <w:tab w:val="clear" w:pos="4150"/>
          <w:tab w:val="clear" w:pos="8307"/>
        </w:tabs>
      </w:pPr>
      <w:r w:rsidRPr="00505087">
        <w:rPr>
          <w:rStyle w:val="CharPartNo"/>
        </w:rPr>
        <w:t xml:space="preserve"> </w:t>
      </w:r>
      <w:r w:rsidRPr="00505087">
        <w:rPr>
          <w:rStyle w:val="CharPartText"/>
        </w:rPr>
        <w:t xml:space="preserve"> </w:t>
      </w:r>
    </w:p>
    <w:p w:rsidR="00715914" w:rsidRPr="00505087" w:rsidRDefault="00715914" w:rsidP="00715914">
      <w:pPr>
        <w:pStyle w:val="Header"/>
        <w:tabs>
          <w:tab w:val="clear" w:pos="4150"/>
          <w:tab w:val="clear" w:pos="8307"/>
        </w:tabs>
      </w:pPr>
      <w:r w:rsidRPr="00505087">
        <w:rPr>
          <w:rStyle w:val="CharDivNo"/>
        </w:rPr>
        <w:t xml:space="preserve"> </w:t>
      </w:r>
      <w:r w:rsidRPr="00505087">
        <w:rPr>
          <w:rStyle w:val="CharDivText"/>
        </w:rPr>
        <w:t xml:space="preserve"> </w:t>
      </w:r>
    </w:p>
    <w:p w:rsidR="00715914" w:rsidRPr="00505087" w:rsidRDefault="00715914" w:rsidP="00715914">
      <w:pPr>
        <w:sectPr w:rsidR="00715914" w:rsidRPr="00505087" w:rsidSect="00F54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  <w:bookmarkStart w:id="1" w:name="_GoBack"/>
      <w:bookmarkEnd w:id="1"/>
    </w:p>
    <w:p w:rsidR="00F67BCA" w:rsidRPr="00505087" w:rsidRDefault="00715914" w:rsidP="004B4B05">
      <w:pPr>
        <w:rPr>
          <w:sz w:val="36"/>
        </w:rPr>
      </w:pPr>
      <w:r w:rsidRPr="00505087">
        <w:rPr>
          <w:sz w:val="36"/>
        </w:rPr>
        <w:lastRenderedPageBreak/>
        <w:t>Contents</w:t>
      </w:r>
    </w:p>
    <w:bookmarkStart w:id="2" w:name="BKCheck15B_2"/>
    <w:bookmarkEnd w:id="2"/>
    <w:p w:rsidR="00F7176F" w:rsidRPr="00505087" w:rsidRDefault="00F717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05087">
        <w:fldChar w:fldCharType="begin"/>
      </w:r>
      <w:r w:rsidRPr="00505087">
        <w:instrText xml:space="preserve"> TOC \o "1-9" </w:instrText>
      </w:r>
      <w:r w:rsidRPr="00505087">
        <w:fldChar w:fldCharType="separate"/>
      </w:r>
      <w:r w:rsidRPr="00505087">
        <w:rPr>
          <w:noProof/>
        </w:rPr>
        <w:t>Part</w:t>
      </w:r>
      <w:r w:rsidR="00505087" w:rsidRPr="00505087">
        <w:rPr>
          <w:noProof/>
        </w:rPr>
        <w:t> </w:t>
      </w:r>
      <w:r w:rsidRPr="00505087">
        <w:rPr>
          <w:noProof/>
        </w:rPr>
        <w:t>1—Preliminary</w:t>
      </w:r>
      <w:r w:rsidRPr="00505087">
        <w:rPr>
          <w:b w:val="0"/>
          <w:noProof/>
          <w:sz w:val="18"/>
        </w:rPr>
        <w:tab/>
      </w:r>
      <w:r w:rsidRPr="00505087">
        <w:rPr>
          <w:b w:val="0"/>
          <w:noProof/>
          <w:sz w:val="18"/>
        </w:rPr>
        <w:fldChar w:fldCharType="begin"/>
      </w:r>
      <w:r w:rsidRPr="00505087">
        <w:rPr>
          <w:b w:val="0"/>
          <w:noProof/>
          <w:sz w:val="18"/>
        </w:rPr>
        <w:instrText xml:space="preserve"> PAGEREF _Toc436380802 \h </w:instrText>
      </w:r>
      <w:r w:rsidRPr="00505087">
        <w:rPr>
          <w:b w:val="0"/>
          <w:noProof/>
          <w:sz w:val="18"/>
        </w:rPr>
      </w:r>
      <w:r w:rsidRPr="00505087">
        <w:rPr>
          <w:b w:val="0"/>
          <w:noProof/>
          <w:sz w:val="18"/>
        </w:rPr>
        <w:fldChar w:fldCharType="separate"/>
      </w:r>
      <w:r w:rsidR="00DB754D">
        <w:rPr>
          <w:b w:val="0"/>
          <w:noProof/>
          <w:sz w:val="18"/>
        </w:rPr>
        <w:t>1</w:t>
      </w:r>
      <w:r w:rsidRPr="00505087">
        <w:rPr>
          <w:b w:val="0"/>
          <w:noProof/>
          <w:sz w:val="18"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1</w:t>
      </w:r>
      <w:r w:rsidRPr="00505087">
        <w:rPr>
          <w:noProof/>
        </w:rPr>
        <w:tab/>
        <w:t>Name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_Toc436380803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1</w:t>
      </w:r>
      <w:r w:rsidRPr="00505087">
        <w:rPr>
          <w:noProof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2</w:t>
      </w:r>
      <w:r w:rsidRPr="00505087">
        <w:rPr>
          <w:noProof/>
        </w:rPr>
        <w:tab/>
        <w:t>Commencement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_Toc436380804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1</w:t>
      </w:r>
      <w:r w:rsidRPr="00505087">
        <w:rPr>
          <w:noProof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3</w:t>
      </w:r>
      <w:r w:rsidRPr="00505087">
        <w:rPr>
          <w:noProof/>
        </w:rPr>
        <w:tab/>
        <w:t>Authority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_Toc436380805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1</w:t>
      </w:r>
      <w:r w:rsidRPr="00505087">
        <w:rPr>
          <w:noProof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4</w:t>
      </w:r>
      <w:r w:rsidRPr="00505087">
        <w:rPr>
          <w:noProof/>
        </w:rPr>
        <w:tab/>
        <w:t>Definitions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_Toc436380806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1</w:t>
      </w:r>
      <w:r w:rsidRPr="00505087">
        <w:rPr>
          <w:noProof/>
        </w:rPr>
        <w:fldChar w:fldCharType="end"/>
      </w:r>
    </w:p>
    <w:p w:rsidR="00F7176F" w:rsidRPr="00505087" w:rsidRDefault="00F717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05087">
        <w:rPr>
          <w:noProof/>
        </w:rPr>
        <w:t>Part</w:t>
      </w:r>
      <w:r w:rsidR="00505087" w:rsidRPr="00505087">
        <w:rPr>
          <w:noProof/>
        </w:rPr>
        <w:t> </w:t>
      </w:r>
      <w:r w:rsidRPr="00505087">
        <w:rPr>
          <w:noProof/>
        </w:rPr>
        <w:t>2—Notices given under the Policy</w:t>
      </w:r>
      <w:r w:rsidRPr="00505087">
        <w:rPr>
          <w:b w:val="0"/>
          <w:noProof/>
          <w:sz w:val="18"/>
        </w:rPr>
        <w:tab/>
      </w:r>
      <w:r w:rsidRPr="00505087">
        <w:rPr>
          <w:b w:val="0"/>
          <w:noProof/>
          <w:sz w:val="18"/>
        </w:rPr>
        <w:fldChar w:fldCharType="begin"/>
      </w:r>
      <w:r w:rsidRPr="00505087">
        <w:rPr>
          <w:b w:val="0"/>
          <w:noProof/>
          <w:sz w:val="18"/>
        </w:rPr>
        <w:instrText xml:space="preserve"> PAGEREF _Toc436380807 \h </w:instrText>
      </w:r>
      <w:r w:rsidRPr="00505087">
        <w:rPr>
          <w:b w:val="0"/>
          <w:noProof/>
          <w:sz w:val="18"/>
        </w:rPr>
      </w:r>
      <w:r w:rsidRPr="00505087">
        <w:rPr>
          <w:b w:val="0"/>
          <w:noProof/>
          <w:sz w:val="18"/>
        </w:rPr>
        <w:fldChar w:fldCharType="separate"/>
      </w:r>
      <w:r w:rsidR="00DB754D">
        <w:rPr>
          <w:b w:val="0"/>
          <w:noProof/>
          <w:sz w:val="18"/>
        </w:rPr>
        <w:t>2</w:t>
      </w:r>
      <w:r w:rsidRPr="00505087">
        <w:rPr>
          <w:b w:val="0"/>
          <w:noProof/>
          <w:sz w:val="18"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5</w:t>
      </w:r>
      <w:r w:rsidRPr="00505087">
        <w:rPr>
          <w:noProof/>
        </w:rPr>
        <w:tab/>
        <w:t>Notices given under the Policy before commencement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_Toc436380808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2</w:t>
      </w:r>
      <w:r w:rsidRPr="00505087">
        <w:rPr>
          <w:noProof/>
        </w:rPr>
        <w:fldChar w:fldCharType="end"/>
      </w:r>
    </w:p>
    <w:p w:rsidR="00F7176F" w:rsidRPr="00505087" w:rsidRDefault="00F717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05087">
        <w:rPr>
          <w:noProof/>
        </w:rPr>
        <w:t>Part</w:t>
      </w:r>
      <w:r w:rsidR="00505087" w:rsidRPr="00505087">
        <w:rPr>
          <w:noProof/>
        </w:rPr>
        <w:t> </w:t>
      </w:r>
      <w:r w:rsidRPr="00505087">
        <w:rPr>
          <w:noProof/>
        </w:rPr>
        <w:t>3—Applications for exemption certificates</w:t>
      </w:r>
      <w:r w:rsidRPr="00505087">
        <w:rPr>
          <w:b w:val="0"/>
          <w:noProof/>
          <w:sz w:val="18"/>
        </w:rPr>
        <w:tab/>
      </w:r>
      <w:r w:rsidRPr="00505087">
        <w:rPr>
          <w:b w:val="0"/>
          <w:noProof/>
          <w:sz w:val="18"/>
        </w:rPr>
        <w:fldChar w:fldCharType="begin"/>
      </w:r>
      <w:r w:rsidRPr="00505087">
        <w:rPr>
          <w:b w:val="0"/>
          <w:noProof/>
          <w:sz w:val="18"/>
        </w:rPr>
        <w:instrText xml:space="preserve"> PAGEREF _Toc436380809 \h </w:instrText>
      </w:r>
      <w:r w:rsidRPr="00505087">
        <w:rPr>
          <w:b w:val="0"/>
          <w:noProof/>
          <w:sz w:val="18"/>
        </w:rPr>
      </w:r>
      <w:r w:rsidRPr="00505087">
        <w:rPr>
          <w:b w:val="0"/>
          <w:noProof/>
          <w:sz w:val="18"/>
        </w:rPr>
        <w:fldChar w:fldCharType="separate"/>
      </w:r>
      <w:r w:rsidR="00DB754D">
        <w:rPr>
          <w:b w:val="0"/>
          <w:noProof/>
          <w:sz w:val="18"/>
        </w:rPr>
        <w:t>3</w:t>
      </w:r>
      <w:r w:rsidRPr="00505087">
        <w:rPr>
          <w:b w:val="0"/>
          <w:noProof/>
          <w:sz w:val="18"/>
        </w:rPr>
        <w:fldChar w:fldCharType="end"/>
      </w:r>
    </w:p>
    <w:p w:rsidR="00F7176F" w:rsidRPr="00505087" w:rsidRDefault="00F717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5087">
        <w:rPr>
          <w:noProof/>
        </w:rPr>
        <w:t>6</w:t>
      </w:r>
      <w:r w:rsidRPr="00505087">
        <w:rPr>
          <w:noProof/>
        </w:rPr>
        <w:tab/>
        <w:t>Applications made before commencement</w:t>
      </w:r>
      <w:r w:rsidRPr="00505087">
        <w:rPr>
          <w:noProof/>
        </w:rPr>
        <w:tab/>
      </w:r>
      <w:r w:rsidRPr="00505087">
        <w:rPr>
          <w:noProof/>
        </w:rPr>
        <w:fldChar w:fldCharType="begin"/>
      </w:r>
      <w:r w:rsidRPr="00505087">
        <w:rPr>
          <w:noProof/>
        </w:rPr>
        <w:instrText xml:space="preserve"> PAGEREF _Toc436380810 \h </w:instrText>
      </w:r>
      <w:r w:rsidRPr="00505087">
        <w:rPr>
          <w:noProof/>
        </w:rPr>
      </w:r>
      <w:r w:rsidRPr="00505087">
        <w:rPr>
          <w:noProof/>
        </w:rPr>
        <w:fldChar w:fldCharType="separate"/>
      </w:r>
      <w:r w:rsidR="00DB754D">
        <w:rPr>
          <w:noProof/>
        </w:rPr>
        <w:t>3</w:t>
      </w:r>
      <w:r w:rsidRPr="00505087">
        <w:rPr>
          <w:noProof/>
        </w:rPr>
        <w:fldChar w:fldCharType="end"/>
      </w:r>
    </w:p>
    <w:p w:rsidR="00670EA1" w:rsidRPr="00505087" w:rsidRDefault="00F7176F" w:rsidP="00715914">
      <w:r w:rsidRPr="00505087">
        <w:fldChar w:fldCharType="end"/>
      </w:r>
    </w:p>
    <w:p w:rsidR="00670EA1" w:rsidRPr="00505087" w:rsidRDefault="00670EA1" w:rsidP="00715914">
      <w:pPr>
        <w:sectPr w:rsidR="00670EA1" w:rsidRPr="00505087" w:rsidSect="00F54F3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05087" w:rsidRDefault="00715914" w:rsidP="00715914">
      <w:pPr>
        <w:pStyle w:val="ActHead2"/>
      </w:pPr>
      <w:bookmarkStart w:id="3" w:name="_Toc436380802"/>
      <w:r w:rsidRPr="00505087">
        <w:rPr>
          <w:rStyle w:val="CharPartNo"/>
        </w:rPr>
        <w:lastRenderedPageBreak/>
        <w:t>Part</w:t>
      </w:r>
      <w:r w:rsidR="00505087" w:rsidRPr="00505087">
        <w:rPr>
          <w:rStyle w:val="CharPartNo"/>
        </w:rPr>
        <w:t> </w:t>
      </w:r>
      <w:r w:rsidRPr="00505087">
        <w:rPr>
          <w:rStyle w:val="CharPartNo"/>
        </w:rPr>
        <w:t>1</w:t>
      </w:r>
      <w:r w:rsidRPr="00505087">
        <w:t>—</w:t>
      </w:r>
      <w:r w:rsidRPr="00505087">
        <w:rPr>
          <w:rStyle w:val="CharPartText"/>
        </w:rPr>
        <w:t>Preliminary</w:t>
      </w:r>
      <w:bookmarkEnd w:id="3"/>
    </w:p>
    <w:p w:rsidR="00715914" w:rsidRPr="00505087" w:rsidRDefault="00715914" w:rsidP="00715914">
      <w:pPr>
        <w:pStyle w:val="Header"/>
      </w:pPr>
      <w:r w:rsidRPr="00505087">
        <w:rPr>
          <w:rStyle w:val="CharDivNo"/>
        </w:rPr>
        <w:t xml:space="preserve"> </w:t>
      </w:r>
      <w:r w:rsidRPr="00505087">
        <w:rPr>
          <w:rStyle w:val="CharDivText"/>
        </w:rPr>
        <w:t xml:space="preserve"> </w:t>
      </w:r>
    </w:p>
    <w:p w:rsidR="00715914" w:rsidRPr="00505087" w:rsidRDefault="00715914" w:rsidP="00715914">
      <w:pPr>
        <w:pStyle w:val="ActHead5"/>
      </w:pPr>
      <w:bookmarkStart w:id="4" w:name="_Toc436380803"/>
      <w:r w:rsidRPr="00505087">
        <w:rPr>
          <w:rStyle w:val="CharSectno"/>
        </w:rPr>
        <w:t>1</w:t>
      </w:r>
      <w:r w:rsidRPr="00505087">
        <w:t xml:space="preserve">  </w:t>
      </w:r>
      <w:r w:rsidR="00CE493D" w:rsidRPr="00505087">
        <w:t>Name</w:t>
      </w:r>
      <w:bookmarkEnd w:id="4"/>
    </w:p>
    <w:p w:rsidR="00715914" w:rsidRPr="00505087" w:rsidRDefault="00715914" w:rsidP="00715914">
      <w:pPr>
        <w:pStyle w:val="subsection"/>
      </w:pPr>
      <w:r w:rsidRPr="00505087">
        <w:tab/>
      </w:r>
      <w:r w:rsidRPr="00505087">
        <w:tab/>
        <w:t xml:space="preserve">This </w:t>
      </w:r>
      <w:r w:rsidR="00CE493D" w:rsidRPr="00505087">
        <w:t xml:space="preserve">is the </w:t>
      </w:r>
      <w:bookmarkStart w:id="5" w:name="BKCheck15B_3"/>
      <w:bookmarkEnd w:id="5"/>
      <w:r w:rsidR="00BC76AC" w:rsidRPr="00505087">
        <w:rPr>
          <w:i/>
        </w:rPr>
        <w:fldChar w:fldCharType="begin"/>
      </w:r>
      <w:r w:rsidR="00BC76AC" w:rsidRPr="00505087">
        <w:rPr>
          <w:i/>
        </w:rPr>
        <w:instrText xml:space="preserve"> STYLEREF  ShortT </w:instrText>
      </w:r>
      <w:r w:rsidR="00BC76AC" w:rsidRPr="00505087">
        <w:rPr>
          <w:i/>
        </w:rPr>
        <w:fldChar w:fldCharType="separate"/>
      </w:r>
      <w:r w:rsidR="00DB754D">
        <w:rPr>
          <w:i/>
          <w:noProof/>
        </w:rPr>
        <w:t>Foreign Acquisitions and Takeovers Legislation (Transitional) Rule 2015</w:t>
      </w:r>
      <w:r w:rsidR="00BC76AC" w:rsidRPr="00505087">
        <w:rPr>
          <w:i/>
        </w:rPr>
        <w:fldChar w:fldCharType="end"/>
      </w:r>
      <w:r w:rsidRPr="00505087">
        <w:t>.</w:t>
      </w:r>
    </w:p>
    <w:p w:rsidR="00715914" w:rsidRPr="00505087" w:rsidRDefault="00715914" w:rsidP="00715914">
      <w:pPr>
        <w:pStyle w:val="ActHead5"/>
      </w:pPr>
      <w:bookmarkStart w:id="6" w:name="_Toc436380804"/>
      <w:r w:rsidRPr="00505087">
        <w:rPr>
          <w:rStyle w:val="CharSectno"/>
        </w:rPr>
        <w:t>2</w:t>
      </w:r>
      <w:r w:rsidRPr="00505087">
        <w:t xml:space="preserve">  Commencement</w:t>
      </w:r>
      <w:bookmarkEnd w:id="6"/>
    </w:p>
    <w:p w:rsidR="001916BC" w:rsidRPr="00505087" w:rsidRDefault="001916BC" w:rsidP="004B4B05">
      <w:pPr>
        <w:pStyle w:val="subsection"/>
      </w:pPr>
      <w:r w:rsidRPr="00505087">
        <w:tab/>
        <w:t>(1)</w:t>
      </w:r>
      <w:r w:rsidRPr="0050508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916BC" w:rsidRPr="00505087" w:rsidRDefault="001916BC" w:rsidP="004B4B0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B05C1" w:rsidRPr="00505087" w:rsidTr="00AB05C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Commencement information</w:t>
            </w:r>
          </w:p>
        </w:tc>
      </w:tr>
      <w:tr w:rsidR="00AB05C1" w:rsidRPr="00505087" w:rsidTr="00AB05C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Column 3</w:t>
            </w:r>
          </w:p>
        </w:tc>
      </w:tr>
      <w:tr w:rsidR="00AB05C1" w:rsidRPr="00505087" w:rsidTr="00AB05C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916BC" w:rsidRPr="00505087" w:rsidRDefault="001916BC" w:rsidP="004B4B05">
            <w:pPr>
              <w:pStyle w:val="TableHeading"/>
            </w:pPr>
            <w:r w:rsidRPr="00505087">
              <w:t>Date/Details</w:t>
            </w:r>
          </w:p>
        </w:tc>
      </w:tr>
      <w:tr w:rsidR="00AB05C1" w:rsidRPr="00505087" w:rsidTr="00AB05C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05C1" w:rsidRPr="00505087" w:rsidRDefault="00AB05C1" w:rsidP="00AB05C1">
            <w:pPr>
              <w:pStyle w:val="Tabletext"/>
            </w:pPr>
            <w:r w:rsidRPr="0050508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24C2" w:rsidRPr="00505087" w:rsidRDefault="00D024C2" w:rsidP="003B59CC">
            <w:pPr>
              <w:pStyle w:val="Tabletext"/>
            </w:pPr>
            <w:r w:rsidRPr="00505087">
              <w:t>The later of:</w:t>
            </w:r>
          </w:p>
          <w:p w:rsidR="00D024C2" w:rsidRPr="00505087" w:rsidRDefault="00D024C2" w:rsidP="00D624C2">
            <w:pPr>
              <w:pStyle w:val="Tablea"/>
            </w:pPr>
            <w:r w:rsidRPr="00505087">
              <w:t xml:space="preserve">(a) the </w:t>
            </w:r>
            <w:r w:rsidR="00D624C2" w:rsidRPr="00505087">
              <w:t xml:space="preserve">start of the </w:t>
            </w:r>
            <w:r w:rsidRPr="00505087">
              <w:t>day after this instrument is registered; and</w:t>
            </w:r>
          </w:p>
          <w:p w:rsidR="00AB05C1" w:rsidRPr="00505087" w:rsidRDefault="00D024C2" w:rsidP="00D024C2">
            <w:pPr>
              <w:pStyle w:val="Tablea"/>
            </w:pPr>
            <w:r w:rsidRPr="00505087">
              <w:t>(b) immediately after the commencement of Schedule</w:t>
            </w:r>
            <w:r w:rsidR="00505087" w:rsidRPr="00505087">
              <w:t> </w:t>
            </w:r>
            <w:r w:rsidRPr="00505087">
              <w:t xml:space="preserve">3 to the </w:t>
            </w:r>
            <w:r w:rsidRPr="00505087">
              <w:rPr>
                <w:i/>
              </w:rPr>
              <w:t>Foreign Acquisitions and Takeovers Legislation Amendment Act 2015</w:t>
            </w:r>
            <w:r w:rsidRPr="00505087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05C1" w:rsidRPr="00505087" w:rsidRDefault="00AB05C1" w:rsidP="004B4B05">
            <w:pPr>
              <w:pStyle w:val="Tabletext"/>
            </w:pPr>
          </w:p>
        </w:tc>
      </w:tr>
    </w:tbl>
    <w:p w:rsidR="001916BC" w:rsidRPr="00505087" w:rsidRDefault="001916BC" w:rsidP="004B4B05">
      <w:pPr>
        <w:pStyle w:val="notetext"/>
      </w:pPr>
      <w:r w:rsidRPr="00505087">
        <w:rPr>
          <w:snapToGrid w:val="0"/>
          <w:lang w:eastAsia="en-US"/>
        </w:rPr>
        <w:t>Note:</w:t>
      </w:r>
      <w:r w:rsidRPr="00505087">
        <w:rPr>
          <w:snapToGrid w:val="0"/>
          <w:lang w:eastAsia="en-US"/>
        </w:rPr>
        <w:tab/>
        <w:t xml:space="preserve">This table relates only to the provisions of this </w:t>
      </w:r>
      <w:r w:rsidRPr="00505087">
        <w:t xml:space="preserve">instrument </w:t>
      </w:r>
      <w:r w:rsidRPr="00505087">
        <w:rPr>
          <w:snapToGrid w:val="0"/>
          <w:lang w:eastAsia="en-US"/>
        </w:rPr>
        <w:t xml:space="preserve">as originally made. It will not be amended to deal with any later amendments of this </w:t>
      </w:r>
      <w:r w:rsidRPr="00505087">
        <w:t>instrument</w:t>
      </w:r>
      <w:r w:rsidRPr="00505087">
        <w:rPr>
          <w:snapToGrid w:val="0"/>
          <w:lang w:eastAsia="en-US"/>
        </w:rPr>
        <w:t>.</w:t>
      </w:r>
    </w:p>
    <w:p w:rsidR="001916BC" w:rsidRPr="00505087" w:rsidRDefault="001916BC" w:rsidP="004B4B05">
      <w:pPr>
        <w:pStyle w:val="subsection"/>
      </w:pPr>
      <w:r w:rsidRPr="00505087">
        <w:tab/>
        <w:t>(2)</w:t>
      </w:r>
      <w:r w:rsidRPr="00505087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505087" w:rsidRDefault="007500C8" w:rsidP="007500C8">
      <w:pPr>
        <w:pStyle w:val="ActHead5"/>
      </w:pPr>
      <w:bookmarkStart w:id="7" w:name="_Toc436380805"/>
      <w:r w:rsidRPr="00505087">
        <w:rPr>
          <w:rStyle w:val="CharSectno"/>
        </w:rPr>
        <w:t>3</w:t>
      </w:r>
      <w:r w:rsidRPr="00505087">
        <w:t xml:space="preserve">  Authority</w:t>
      </w:r>
      <w:bookmarkEnd w:id="7"/>
    </w:p>
    <w:p w:rsidR="00157B8B" w:rsidRPr="00505087" w:rsidRDefault="007500C8" w:rsidP="007E667A">
      <w:pPr>
        <w:pStyle w:val="subsection"/>
      </w:pPr>
      <w:r w:rsidRPr="00505087">
        <w:tab/>
      </w:r>
      <w:r w:rsidRPr="00505087">
        <w:tab/>
        <w:t xml:space="preserve">This </w:t>
      </w:r>
      <w:r w:rsidR="001916BC" w:rsidRPr="00505087">
        <w:t>instrument</w:t>
      </w:r>
      <w:r w:rsidRPr="00505087">
        <w:t xml:space="preserve"> is made under the </w:t>
      </w:r>
      <w:r w:rsidR="001916BC" w:rsidRPr="00505087">
        <w:rPr>
          <w:i/>
        </w:rPr>
        <w:t>Foreign Acquisitions and Takeovers Legislation Amendment Act 2015</w:t>
      </w:r>
      <w:r w:rsidR="00F4350D" w:rsidRPr="00505087">
        <w:t>.</w:t>
      </w:r>
    </w:p>
    <w:p w:rsidR="001916BC" w:rsidRPr="00505087" w:rsidRDefault="001916BC" w:rsidP="001916BC">
      <w:pPr>
        <w:pStyle w:val="ActHead5"/>
      </w:pPr>
      <w:bookmarkStart w:id="8" w:name="_Toc436380806"/>
      <w:r w:rsidRPr="00505087">
        <w:rPr>
          <w:rStyle w:val="CharSectno"/>
        </w:rPr>
        <w:t>4</w:t>
      </w:r>
      <w:r w:rsidRPr="00505087">
        <w:t xml:space="preserve">  </w:t>
      </w:r>
      <w:r w:rsidR="00A72A28" w:rsidRPr="00505087">
        <w:t>Definitions</w:t>
      </w:r>
      <w:bookmarkEnd w:id="8"/>
    </w:p>
    <w:p w:rsidR="00A72A28" w:rsidRPr="00505087" w:rsidRDefault="00A72A28" w:rsidP="00A72A28">
      <w:pPr>
        <w:pStyle w:val="subsection"/>
      </w:pPr>
      <w:r w:rsidRPr="00505087">
        <w:tab/>
      </w:r>
      <w:r w:rsidR="00B146C3" w:rsidRPr="00505087">
        <w:tab/>
      </w:r>
      <w:r w:rsidRPr="00505087">
        <w:t>In this instrument:</w:t>
      </w:r>
    </w:p>
    <w:p w:rsidR="00A72A28" w:rsidRPr="00505087" w:rsidRDefault="00A72A28" w:rsidP="00A72A28">
      <w:pPr>
        <w:pStyle w:val="Definition"/>
      </w:pPr>
      <w:r w:rsidRPr="00505087">
        <w:rPr>
          <w:b/>
          <w:i/>
        </w:rPr>
        <w:t>Act</w:t>
      </w:r>
      <w:r w:rsidRPr="00505087">
        <w:t xml:space="preserve"> means the </w:t>
      </w:r>
      <w:r w:rsidR="00B146C3" w:rsidRPr="00505087">
        <w:rPr>
          <w:i/>
        </w:rPr>
        <w:t>Foreign Acquisitions and Takeovers Legislation Amendment Act 2015</w:t>
      </w:r>
      <w:r w:rsidR="00B146C3" w:rsidRPr="00505087">
        <w:t>.</w:t>
      </w:r>
    </w:p>
    <w:p w:rsidR="00B146C3" w:rsidRPr="00505087" w:rsidRDefault="00B146C3" w:rsidP="00B146C3">
      <w:pPr>
        <w:pStyle w:val="Definition"/>
      </w:pPr>
      <w:r w:rsidRPr="00505087">
        <w:rPr>
          <w:b/>
          <w:i/>
        </w:rPr>
        <w:t>commencement</w:t>
      </w:r>
      <w:r w:rsidRPr="00505087">
        <w:t xml:space="preserve"> means the commencement of Schedule</w:t>
      </w:r>
      <w:r w:rsidR="00505087" w:rsidRPr="00505087">
        <w:t> </w:t>
      </w:r>
      <w:r w:rsidRPr="00505087">
        <w:t>1 to the Act.</w:t>
      </w:r>
    </w:p>
    <w:p w:rsidR="002644D8" w:rsidRPr="00505087" w:rsidRDefault="002644D8" w:rsidP="002644D8">
      <w:pPr>
        <w:pStyle w:val="notetext"/>
      </w:pPr>
      <w:r w:rsidRPr="00505087">
        <w:t>Note:</w:t>
      </w:r>
      <w:r w:rsidRPr="00505087">
        <w:tab/>
        <w:t>Both Schedules</w:t>
      </w:r>
      <w:r w:rsidR="00505087" w:rsidRPr="00505087">
        <w:t> </w:t>
      </w:r>
      <w:r w:rsidR="00D024C2" w:rsidRPr="00505087">
        <w:t xml:space="preserve">1 and 3 to the Act </w:t>
      </w:r>
      <w:r w:rsidRPr="00505087">
        <w:t>commence on 1</w:t>
      </w:r>
      <w:r w:rsidR="00505087" w:rsidRPr="00505087">
        <w:t> </w:t>
      </w:r>
      <w:r w:rsidRPr="00505087">
        <w:t>December 2015.</w:t>
      </w:r>
    </w:p>
    <w:p w:rsidR="00D15465" w:rsidRPr="00505087" w:rsidRDefault="00B146C3" w:rsidP="00B146C3">
      <w:pPr>
        <w:pStyle w:val="Definition"/>
      </w:pPr>
      <w:r w:rsidRPr="00505087">
        <w:rPr>
          <w:b/>
          <w:i/>
        </w:rPr>
        <w:t>Policy</w:t>
      </w:r>
      <w:r w:rsidRPr="00505087">
        <w:t xml:space="preserve"> has the meaning given by item</w:t>
      </w:r>
      <w:r w:rsidR="00505087" w:rsidRPr="00505087">
        <w:t> </w:t>
      </w:r>
      <w:r w:rsidRPr="00505087">
        <w:t>1 of Schedule</w:t>
      </w:r>
      <w:r w:rsidR="00505087" w:rsidRPr="00505087">
        <w:t> </w:t>
      </w:r>
      <w:r w:rsidRPr="00505087">
        <w:t>3 to the Act.</w:t>
      </w:r>
    </w:p>
    <w:p w:rsidR="001916BC" w:rsidRPr="00505087" w:rsidRDefault="001916BC" w:rsidP="001916BC">
      <w:pPr>
        <w:pStyle w:val="ActHead2"/>
        <w:pageBreakBefore/>
      </w:pPr>
      <w:bookmarkStart w:id="9" w:name="_Toc436380807"/>
      <w:r w:rsidRPr="00505087">
        <w:rPr>
          <w:rStyle w:val="CharPartNo"/>
        </w:rPr>
        <w:lastRenderedPageBreak/>
        <w:t>Part</w:t>
      </w:r>
      <w:r w:rsidR="00505087" w:rsidRPr="00505087">
        <w:rPr>
          <w:rStyle w:val="CharPartNo"/>
        </w:rPr>
        <w:t> </w:t>
      </w:r>
      <w:r w:rsidRPr="00505087">
        <w:rPr>
          <w:rStyle w:val="CharPartNo"/>
        </w:rPr>
        <w:t>2</w:t>
      </w:r>
      <w:r w:rsidRPr="00505087">
        <w:t>—</w:t>
      </w:r>
      <w:r w:rsidRPr="00505087">
        <w:rPr>
          <w:rStyle w:val="CharPartText"/>
        </w:rPr>
        <w:t xml:space="preserve">Notices given </w:t>
      </w:r>
      <w:r w:rsidR="00912630" w:rsidRPr="00505087">
        <w:rPr>
          <w:rStyle w:val="CharPartText"/>
        </w:rPr>
        <w:t>under the Policy</w:t>
      </w:r>
      <w:bookmarkEnd w:id="9"/>
    </w:p>
    <w:p w:rsidR="00D024C2" w:rsidRPr="00505087" w:rsidRDefault="00D024C2" w:rsidP="00D024C2">
      <w:pPr>
        <w:pStyle w:val="Header"/>
      </w:pPr>
      <w:r w:rsidRPr="00505087">
        <w:rPr>
          <w:rStyle w:val="CharDivNo"/>
        </w:rPr>
        <w:t xml:space="preserve"> </w:t>
      </w:r>
      <w:r w:rsidRPr="00505087">
        <w:rPr>
          <w:rStyle w:val="CharDivText"/>
        </w:rPr>
        <w:t xml:space="preserve"> </w:t>
      </w:r>
    </w:p>
    <w:p w:rsidR="001916BC" w:rsidRPr="00505087" w:rsidRDefault="00D04CD6" w:rsidP="001916BC">
      <w:pPr>
        <w:pStyle w:val="ActHead5"/>
      </w:pPr>
      <w:bookmarkStart w:id="10" w:name="_Toc436380808"/>
      <w:r w:rsidRPr="00505087">
        <w:rPr>
          <w:rStyle w:val="CharSectno"/>
        </w:rPr>
        <w:t>5</w:t>
      </w:r>
      <w:r w:rsidR="001916BC" w:rsidRPr="00505087">
        <w:t xml:space="preserve">  </w:t>
      </w:r>
      <w:r w:rsidR="00912630" w:rsidRPr="00505087">
        <w:t>Notices given under the Policy before commencement</w:t>
      </w:r>
      <w:bookmarkEnd w:id="10"/>
    </w:p>
    <w:p w:rsidR="00D15465" w:rsidRPr="00505087" w:rsidRDefault="00D15465" w:rsidP="00D15465">
      <w:pPr>
        <w:pStyle w:val="subsection"/>
      </w:pPr>
      <w:r w:rsidRPr="00505087">
        <w:tab/>
        <w:t>(1)</w:t>
      </w:r>
      <w:r w:rsidRPr="00505087">
        <w:tab/>
        <w:t xml:space="preserve">This section applies </w:t>
      </w:r>
      <w:r w:rsidR="00F1703E" w:rsidRPr="00505087">
        <w:t xml:space="preserve">in relation </w:t>
      </w:r>
      <w:r w:rsidRPr="00505087">
        <w:t xml:space="preserve">to a notice </w:t>
      </w:r>
      <w:r w:rsidR="00912630" w:rsidRPr="00505087">
        <w:t>given</w:t>
      </w:r>
      <w:r w:rsidR="00381FA2" w:rsidRPr="00505087">
        <w:t xml:space="preserve"> </w:t>
      </w:r>
      <w:r w:rsidR="00912630" w:rsidRPr="00505087">
        <w:t>under the Policy before commencement</w:t>
      </w:r>
      <w:r w:rsidRPr="00505087">
        <w:t xml:space="preserve"> if:</w:t>
      </w:r>
    </w:p>
    <w:p w:rsidR="00D15465" w:rsidRPr="00505087" w:rsidRDefault="00D15465" w:rsidP="00D15465">
      <w:pPr>
        <w:pStyle w:val="paragraph"/>
      </w:pPr>
      <w:r w:rsidRPr="00505087">
        <w:tab/>
        <w:t>(a)</w:t>
      </w:r>
      <w:r w:rsidRPr="00505087">
        <w:tab/>
      </w:r>
      <w:proofErr w:type="spellStart"/>
      <w:r w:rsidRPr="00505087">
        <w:t>subitem</w:t>
      </w:r>
      <w:proofErr w:type="spellEnd"/>
      <w:r w:rsidR="00505087" w:rsidRPr="00505087">
        <w:t> </w:t>
      </w:r>
      <w:r w:rsidRPr="00505087">
        <w:t>2(1) of Schedule</w:t>
      </w:r>
      <w:r w:rsidR="00505087" w:rsidRPr="00505087">
        <w:t> </w:t>
      </w:r>
      <w:r w:rsidRPr="00505087">
        <w:t>3 to the Act applies to the notice; and</w:t>
      </w:r>
    </w:p>
    <w:p w:rsidR="00D15465" w:rsidRPr="00505087" w:rsidRDefault="00D15465" w:rsidP="00D15465">
      <w:pPr>
        <w:pStyle w:val="paragraph"/>
      </w:pPr>
      <w:r w:rsidRPr="00505087">
        <w:tab/>
        <w:t>(b)</w:t>
      </w:r>
      <w:r w:rsidRPr="00505087">
        <w:tab/>
      </w:r>
      <w:r w:rsidR="00AE48F9" w:rsidRPr="00505087">
        <w:t>a</w:t>
      </w:r>
      <w:r w:rsidR="00912630" w:rsidRPr="00505087">
        <w:t xml:space="preserve"> decision in relation to the notice </w:t>
      </w:r>
      <w:r w:rsidR="00274C8C" w:rsidRPr="00505087">
        <w:t>has</w:t>
      </w:r>
      <w:r w:rsidR="00912630" w:rsidRPr="00505087">
        <w:t xml:space="preserve"> not been </w:t>
      </w:r>
      <w:r w:rsidR="00AE48F9" w:rsidRPr="00505087">
        <w:t>made</w:t>
      </w:r>
      <w:r w:rsidR="00912630" w:rsidRPr="00505087">
        <w:t xml:space="preserve"> immediately before commencement.</w:t>
      </w:r>
    </w:p>
    <w:p w:rsidR="00381FA2" w:rsidRPr="00505087" w:rsidRDefault="00381FA2" w:rsidP="00381FA2">
      <w:pPr>
        <w:pStyle w:val="notetext"/>
      </w:pPr>
      <w:r w:rsidRPr="00505087">
        <w:t>Note:</w:t>
      </w:r>
      <w:r w:rsidRPr="00505087">
        <w:tab/>
      </w:r>
      <w:r w:rsidR="0016115A" w:rsidRPr="00505087">
        <w:t xml:space="preserve">For the purposes of the </w:t>
      </w:r>
      <w:r w:rsidR="0016115A" w:rsidRPr="00505087">
        <w:rPr>
          <w:i/>
        </w:rPr>
        <w:t>Foreign Acquisitions and Takeovers Act 1975</w:t>
      </w:r>
      <w:r w:rsidR="0016115A" w:rsidRPr="00505087">
        <w:t xml:space="preserve"> (as in force after commencement), a</w:t>
      </w:r>
      <w:r w:rsidRPr="00505087">
        <w:t xml:space="preserve"> notice given under the Policy before commencement is taken, after commencement, to be a notice that a significant action (that is not a notifiable action) is proposed to be taken.</w:t>
      </w:r>
    </w:p>
    <w:p w:rsidR="00D024C2" w:rsidRPr="00505087" w:rsidRDefault="00381FA2" w:rsidP="00381FA2">
      <w:pPr>
        <w:pStyle w:val="subsection"/>
      </w:pPr>
      <w:r w:rsidRPr="00505087">
        <w:tab/>
        <w:t>(2)</w:t>
      </w:r>
      <w:r w:rsidRPr="00505087">
        <w:tab/>
        <w:t xml:space="preserve">For </w:t>
      </w:r>
      <w:r w:rsidR="00BF7EA8" w:rsidRPr="00505087">
        <w:t xml:space="preserve">the purposes of </w:t>
      </w:r>
      <w:r w:rsidRPr="00505087">
        <w:t>section</w:t>
      </w:r>
      <w:r w:rsidR="00505087" w:rsidRPr="00505087">
        <w:t> </w:t>
      </w:r>
      <w:r w:rsidRPr="00505087">
        <w:t xml:space="preserve">77 of the </w:t>
      </w:r>
      <w:r w:rsidRPr="00505087">
        <w:rPr>
          <w:i/>
        </w:rPr>
        <w:t>Foreign Acquisitions and Takeovers Act 1975</w:t>
      </w:r>
      <w:r w:rsidR="00B146C3" w:rsidRPr="00505087">
        <w:t xml:space="preserve"> (</w:t>
      </w:r>
      <w:r w:rsidR="00D024C2" w:rsidRPr="00505087">
        <w:t>as in force after commencement), the notice is taken to have been given on commencement.</w:t>
      </w:r>
    </w:p>
    <w:p w:rsidR="006E5316" w:rsidRPr="00505087" w:rsidRDefault="006E5316" w:rsidP="006E5316">
      <w:pPr>
        <w:pStyle w:val="notetext"/>
      </w:pPr>
      <w:r w:rsidRPr="00505087">
        <w:t>Note:</w:t>
      </w:r>
      <w:r w:rsidRPr="00505087">
        <w:tab/>
        <w:t>Section</w:t>
      </w:r>
      <w:r w:rsidR="00505087" w:rsidRPr="00505087">
        <w:t> </w:t>
      </w:r>
      <w:r w:rsidRPr="00505087">
        <w:t xml:space="preserve">77 of the </w:t>
      </w:r>
      <w:r w:rsidRPr="00505087">
        <w:rPr>
          <w:i/>
        </w:rPr>
        <w:t>Foreign Acquisitions and Takeovers Act 1975</w:t>
      </w:r>
      <w:r w:rsidRPr="00505087">
        <w:t xml:space="preserve"> (as in force after commencement) provides that certain action by the Treasurer in relation to these and other notices can only be taken within </w:t>
      </w:r>
      <w:r w:rsidR="004F44EF" w:rsidRPr="00505087">
        <w:t>a certain period</w:t>
      </w:r>
      <w:r w:rsidRPr="00505087">
        <w:t xml:space="preserve"> after they are given.</w:t>
      </w:r>
    </w:p>
    <w:p w:rsidR="00D04CD6" w:rsidRPr="00505087" w:rsidRDefault="00D04CD6" w:rsidP="00D04CD6">
      <w:pPr>
        <w:pStyle w:val="ActHead2"/>
        <w:pageBreakBefore/>
      </w:pPr>
      <w:bookmarkStart w:id="11" w:name="f_Check_Lines_above"/>
      <w:bookmarkStart w:id="12" w:name="_Toc436380809"/>
      <w:bookmarkEnd w:id="11"/>
      <w:r w:rsidRPr="00505087">
        <w:rPr>
          <w:rStyle w:val="CharPartNo"/>
        </w:rPr>
        <w:lastRenderedPageBreak/>
        <w:t>Part</w:t>
      </w:r>
      <w:r w:rsidR="00505087" w:rsidRPr="00505087">
        <w:rPr>
          <w:rStyle w:val="CharPartNo"/>
        </w:rPr>
        <w:t> </w:t>
      </w:r>
      <w:r w:rsidRPr="00505087">
        <w:rPr>
          <w:rStyle w:val="CharPartNo"/>
        </w:rPr>
        <w:t>3</w:t>
      </w:r>
      <w:r w:rsidRPr="00505087">
        <w:t>—</w:t>
      </w:r>
      <w:r w:rsidR="00915F97" w:rsidRPr="00505087">
        <w:rPr>
          <w:rStyle w:val="CharPartText"/>
        </w:rPr>
        <w:t xml:space="preserve">Applications </w:t>
      </w:r>
      <w:r w:rsidR="00F1703E" w:rsidRPr="00505087">
        <w:rPr>
          <w:rStyle w:val="CharPartText"/>
        </w:rPr>
        <w:t xml:space="preserve">for exemption </w:t>
      </w:r>
      <w:r w:rsidR="00915F97" w:rsidRPr="00505087">
        <w:rPr>
          <w:rStyle w:val="CharPartText"/>
        </w:rPr>
        <w:t>certificates</w:t>
      </w:r>
      <w:bookmarkEnd w:id="12"/>
    </w:p>
    <w:p w:rsidR="0016115A" w:rsidRPr="00505087" w:rsidRDefault="0016115A" w:rsidP="0016115A">
      <w:pPr>
        <w:pStyle w:val="Header"/>
      </w:pPr>
      <w:r w:rsidRPr="00505087">
        <w:rPr>
          <w:rStyle w:val="CharDivNo"/>
        </w:rPr>
        <w:t xml:space="preserve"> </w:t>
      </w:r>
      <w:r w:rsidRPr="00505087">
        <w:rPr>
          <w:rStyle w:val="CharDivText"/>
        </w:rPr>
        <w:t xml:space="preserve"> </w:t>
      </w:r>
    </w:p>
    <w:p w:rsidR="00D04CD6" w:rsidRPr="00505087" w:rsidRDefault="000271B3" w:rsidP="00D04CD6">
      <w:pPr>
        <w:pStyle w:val="ActHead5"/>
      </w:pPr>
      <w:bookmarkStart w:id="13" w:name="_Toc436380810"/>
      <w:r w:rsidRPr="00505087">
        <w:rPr>
          <w:rStyle w:val="CharSectno"/>
        </w:rPr>
        <w:t>6</w:t>
      </w:r>
      <w:r w:rsidR="00D04CD6" w:rsidRPr="00505087">
        <w:t xml:space="preserve">  </w:t>
      </w:r>
      <w:r w:rsidR="00915F97" w:rsidRPr="00505087">
        <w:t>Applications made</w:t>
      </w:r>
      <w:r w:rsidR="00D04CD6" w:rsidRPr="00505087">
        <w:t xml:space="preserve"> before commencement</w:t>
      </w:r>
      <w:bookmarkEnd w:id="13"/>
    </w:p>
    <w:p w:rsidR="007639A9" w:rsidRPr="00505087" w:rsidRDefault="007639A9" w:rsidP="007639A9">
      <w:pPr>
        <w:pStyle w:val="subsection"/>
      </w:pPr>
      <w:r w:rsidRPr="00505087">
        <w:tab/>
        <w:t>(1)</w:t>
      </w:r>
      <w:r w:rsidRPr="00505087">
        <w:tab/>
        <w:t xml:space="preserve">This section applies </w:t>
      </w:r>
      <w:r w:rsidR="00F1703E" w:rsidRPr="00505087">
        <w:t xml:space="preserve">in relation </w:t>
      </w:r>
      <w:r w:rsidR="00993942" w:rsidRPr="00505087">
        <w:t>to an application</w:t>
      </w:r>
      <w:r w:rsidR="0053185C" w:rsidRPr="00505087">
        <w:t xml:space="preserve">, made </w:t>
      </w:r>
      <w:r w:rsidRPr="00505087">
        <w:t>before commencement</w:t>
      </w:r>
      <w:r w:rsidR="0053185C" w:rsidRPr="00505087">
        <w:t xml:space="preserve">, </w:t>
      </w:r>
      <w:r w:rsidRPr="00505087">
        <w:t>if:</w:t>
      </w:r>
    </w:p>
    <w:p w:rsidR="007639A9" w:rsidRPr="00505087" w:rsidRDefault="007639A9" w:rsidP="007639A9">
      <w:pPr>
        <w:pStyle w:val="paragraph"/>
      </w:pPr>
      <w:r w:rsidRPr="00505087">
        <w:tab/>
        <w:t>(a)</w:t>
      </w:r>
      <w:r w:rsidRPr="00505087">
        <w:tab/>
      </w:r>
      <w:r w:rsidR="0053185C" w:rsidRPr="00505087">
        <w:t xml:space="preserve">the application is for a certificate mentioned in </w:t>
      </w:r>
      <w:proofErr w:type="spellStart"/>
      <w:r w:rsidRPr="00505087">
        <w:t>subitem</w:t>
      </w:r>
      <w:proofErr w:type="spellEnd"/>
      <w:r w:rsidR="00505087" w:rsidRPr="00505087">
        <w:t> </w:t>
      </w:r>
      <w:r w:rsidR="0053185C" w:rsidRPr="00505087">
        <w:t>8</w:t>
      </w:r>
      <w:r w:rsidRPr="00505087">
        <w:t>(1)</w:t>
      </w:r>
      <w:r w:rsidR="0053185C" w:rsidRPr="00505087">
        <w:t xml:space="preserve"> or (2) of Schedule</w:t>
      </w:r>
      <w:r w:rsidR="00505087" w:rsidRPr="00505087">
        <w:t> </w:t>
      </w:r>
      <w:r w:rsidR="0053185C" w:rsidRPr="00505087">
        <w:t>3 to the Act</w:t>
      </w:r>
      <w:r w:rsidRPr="00505087">
        <w:t>; and</w:t>
      </w:r>
    </w:p>
    <w:p w:rsidR="007639A9" w:rsidRPr="00505087" w:rsidRDefault="007639A9" w:rsidP="007639A9">
      <w:pPr>
        <w:pStyle w:val="paragraph"/>
      </w:pPr>
      <w:r w:rsidRPr="00505087">
        <w:tab/>
        <w:t>(b)</w:t>
      </w:r>
      <w:r w:rsidRPr="00505087">
        <w:tab/>
      </w:r>
      <w:r w:rsidR="0053185C" w:rsidRPr="00505087">
        <w:t xml:space="preserve">a decision on the application </w:t>
      </w:r>
      <w:r w:rsidR="00274C8C" w:rsidRPr="00505087">
        <w:t>has</w:t>
      </w:r>
      <w:r w:rsidRPr="00505087">
        <w:t xml:space="preserve"> not been </w:t>
      </w:r>
      <w:r w:rsidR="0053185C" w:rsidRPr="00505087">
        <w:t>made</w:t>
      </w:r>
      <w:r w:rsidRPr="00505087">
        <w:t xml:space="preserve"> </w:t>
      </w:r>
      <w:r w:rsidR="00274C8C" w:rsidRPr="00505087">
        <w:t>by</w:t>
      </w:r>
      <w:r w:rsidRPr="00505087">
        <w:t xml:space="preserve"> commencement.</w:t>
      </w:r>
    </w:p>
    <w:p w:rsidR="007639A9" w:rsidRPr="00505087" w:rsidRDefault="007639A9" w:rsidP="007639A9">
      <w:pPr>
        <w:pStyle w:val="notetext"/>
      </w:pPr>
      <w:r w:rsidRPr="00505087">
        <w:t>Note:</w:t>
      </w:r>
      <w:r w:rsidRPr="00505087">
        <w:tab/>
      </w:r>
      <w:r w:rsidR="00993942" w:rsidRPr="00505087">
        <w:t>The</w:t>
      </w:r>
      <w:r w:rsidR="00A563A2" w:rsidRPr="00505087">
        <w:t xml:space="preserve"> c</w:t>
      </w:r>
      <w:r w:rsidR="00993942" w:rsidRPr="00505087">
        <w:t>ertificates</w:t>
      </w:r>
      <w:r w:rsidR="003B7FD1" w:rsidRPr="00505087">
        <w:t xml:space="preserve"> mentioned in </w:t>
      </w:r>
      <w:proofErr w:type="spellStart"/>
      <w:r w:rsidR="003B7FD1" w:rsidRPr="00505087">
        <w:t>subitem</w:t>
      </w:r>
      <w:r w:rsidR="00573098" w:rsidRPr="00505087">
        <w:t>s</w:t>
      </w:r>
      <w:proofErr w:type="spellEnd"/>
      <w:r w:rsidR="00505087" w:rsidRPr="00505087">
        <w:t> </w:t>
      </w:r>
      <w:r w:rsidR="003B7FD1" w:rsidRPr="00505087">
        <w:t xml:space="preserve">8(1) </w:t>
      </w:r>
      <w:r w:rsidR="00993942" w:rsidRPr="00505087">
        <w:t>and</w:t>
      </w:r>
      <w:r w:rsidR="003B7FD1" w:rsidRPr="00505087">
        <w:t xml:space="preserve"> (2) </w:t>
      </w:r>
      <w:r w:rsidR="00A563A2" w:rsidRPr="00505087">
        <w:t>of Schedule</w:t>
      </w:r>
      <w:r w:rsidR="00505087" w:rsidRPr="00505087">
        <w:t> </w:t>
      </w:r>
      <w:r w:rsidR="00A563A2" w:rsidRPr="00505087">
        <w:t xml:space="preserve">3 to the Act </w:t>
      </w:r>
      <w:r w:rsidR="003B7FD1" w:rsidRPr="00505087">
        <w:t>were, before commencement, given under paragraph</w:t>
      </w:r>
      <w:r w:rsidR="00505087" w:rsidRPr="00505087">
        <w:t> </w:t>
      </w:r>
      <w:r w:rsidR="003B7FD1" w:rsidRPr="00505087">
        <w:t xml:space="preserve">3(e), (h) or (r) of the </w:t>
      </w:r>
      <w:r w:rsidR="003B7FD1" w:rsidRPr="00505087">
        <w:rPr>
          <w:i/>
        </w:rPr>
        <w:t>Foreign Acquisitions and Takeovers Regulations</w:t>
      </w:r>
      <w:r w:rsidR="00505087" w:rsidRPr="00505087">
        <w:rPr>
          <w:i/>
        </w:rPr>
        <w:t> </w:t>
      </w:r>
      <w:r w:rsidR="003B7FD1" w:rsidRPr="00505087">
        <w:rPr>
          <w:i/>
        </w:rPr>
        <w:t xml:space="preserve">1989 </w:t>
      </w:r>
      <w:r w:rsidR="003B7FD1" w:rsidRPr="00505087">
        <w:t>(</w:t>
      </w:r>
      <w:r w:rsidR="006E5316" w:rsidRPr="00505087">
        <w:t xml:space="preserve">which are </w:t>
      </w:r>
      <w:r w:rsidR="003B7FD1" w:rsidRPr="00505087">
        <w:t>repealed on commencement).</w:t>
      </w:r>
    </w:p>
    <w:p w:rsidR="00274C8C" w:rsidRPr="00505087" w:rsidRDefault="007639A9" w:rsidP="007639A9">
      <w:pPr>
        <w:pStyle w:val="subsection"/>
      </w:pPr>
      <w:r w:rsidRPr="00505087">
        <w:tab/>
        <w:t>(2)</w:t>
      </w:r>
      <w:r w:rsidRPr="00505087">
        <w:tab/>
      </w:r>
      <w:r w:rsidR="006E5316" w:rsidRPr="00505087">
        <w:t>For the purposes of section</w:t>
      </w:r>
      <w:r w:rsidR="00505087" w:rsidRPr="00505087">
        <w:t> </w:t>
      </w:r>
      <w:r w:rsidR="006E5316" w:rsidRPr="00505087">
        <w:t xml:space="preserve">61 of the </w:t>
      </w:r>
      <w:r w:rsidR="006E5316" w:rsidRPr="00505087">
        <w:rPr>
          <w:i/>
        </w:rPr>
        <w:t>Foreign Acquisitions and Takeovers Act 1975</w:t>
      </w:r>
      <w:r w:rsidR="006E5316" w:rsidRPr="00505087">
        <w:t xml:space="preserve"> (as in force after commencement), t</w:t>
      </w:r>
      <w:r w:rsidR="00274C8C" w:rsidRPr="00505087">
        <w:t>he application is taken:</w:t>
      </w:r>
    </w:p>
    <w:p w:rsidR="00274C8C" w:rsidRPr="00505087" w:rsidRDefault="00274C8C" w:rsidP="00274C8C">
      <w:pPr>
        <w:pStyle w:val="paragraph"/>
      </w:pPr>
      <w:r w:rsidRPr="00505087">
        <w:tab/>
        <w:t>(a)</w:t>
      </w:r>
      <w:r w:rsidRPr="00505087">
        <w:tab/>
      </w:r>
      <w:r w:rsidR="00202716" w:rsidRPr="00505087">
        <w:t xml:space="preserve">to have been made </w:t>
      </w:r>
      <w:r w:rsidRPr="00505087">
        <w:t>under section</w:t>
      </w:r>
      <w:r w:rsidR="00505087" w:rsidRPr="00505087">
        <w:t> </w:t>
      </w:r>
      <w:r w:rsidRPr="00505087">
        <w:t>57 or 58 of</w:t>
      </w:r>
      <w:r w:rsidR="00D63F9A" w:rsidRPr="00505087">
        <w:t xml:space="preserve"> the</w:t>
      </w:r>
      <w:r w:rsidRPr="00505087">
        <w:t xml:space="preserve"> </w:t>
      </w:r>
      <w:r w:rsidRPr="00505087">
        <w:rPr>
          <w:i/>
        </w:rPr>
        <w:t>Foreign Acquisitions and Takeovers Act 1975</w:t>
      </w:r>
      <w:r w:rsidRPr="00505087">
        <w:t xml:space="preserve"> (as in force after commencement)</w:t>
      </w:r>
      <w:r w:rsidR="00202716" w:rsidRPr="00505087">
        <w:t>, as the case requires, for a certificate under the relevant section</w:t>
      </w:r>
      <w:r w:rsidRPr="00505087">
        <w:t>; and</w:t>
      </w:r>
    </w:p>
    <w:p w:rsidR="00274C8C" w:rsidRPr="00505087" w:rsidRDefault="00274C8C" w:rsidP="00274C8C">
      <w:pPr>
        <w:pStyle w:val="paragraph"/>
      </w:pPr>
      <w:r w:rsidRPr="00505087">
        <w:tab/>
        <w:t>(b)</w:t>
      </w:r>
      <w:r w:rsidRPr="00505087">
        <w:tab/>
      </w:r>
      <w:r w:rsidR="00202716" w:rsidRPr="00505087">
        <w:t xml:space="preserve">to have been made </w:t>
      </w:r>
      <w:r w:rsidRPr="00505087">
        <w:t>on commencement.</w:t>
      </w:r>
    </w:p>
    <w:p w:rsidR="004F44EF" w:rsidRPr="00505087" w:rsidRDefault="004F44EF" w:rsidP="00D624C2">
      <w:pPr>
        <w:pStyle w:val="notetext"/>
      </w:pPr>
      <w:r w:rsidRPr="00505087">
        <w:t>Note:</w:t>
      </w:r>
      <w:r w:rsidRPr="00505087">
        <w:tab/>
        <w:t>Section</w:t>
      </w:r>
      <w:r w:rsidR="00505087" w:rsidRPr="00505087">
        <w:t> </w:t>
      </w:r>
      <w:r w:rsidRPr="00505087">
        <w:t xml:space="preserve">61 of the </w:t>
      </w:r>
      <w:r w:rsidRPr="00505087">
        <w:rPr>
          <w:i/>
        </w:rPr>
        <w:t>Foreign Acquisitions and Takeovers Act 1975</w:t>
      </w:r>
      <w:r w:rsidRPr="00505087">
        <w:t xml:space="preserve"> (as in force after commencement) provides that the Treasurer must make a decision whether to grant an application under section</w:t>
      </w:r>
      <w:r w:rsidR="00505087" w:rsidRPr="00505087">
        <w:t> </w:t>
      </w:r>
      <w:r w:rsidRPr="00505087">
        <w:t>57 or 58 of that Act within a certain period after the application is made.</w:t>
      </w:r>
    </w:p>
    <w:sectPr w:rsidR="004F44EF" w:rsidRPr="00505087" w:rsidSect="00F54F3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05" w:rsidRDefault="004B4B05" w:rsidP="00715914">
      <w:pPr>
        <w:spacing w:line="240" w:lineRule="auto"/>
      </w:pPr>
      <w:r>
        <w:separator/>
      </w:r>
    </w:p>
  </w:endnote>
  <w:endnote w:type="continuationSeparator" w:id="0">
    <w:p w:rsidR="004B4B05" w:rsidRDefault="004B4B0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1" w:rsidRPr="00F54F31" w:rsidRDefault="00F54F31" w:rsidP="00F54F31">
    <w:pPr>
      <w:pStyle w:val="Footer"/>
      <w:rPr>
        <w:i/>
        <w:sz w:val="18"/>
      </w:rPr>
    </w:pPr>
    <w:r w:rsidRPr="00F54F31">
      <w:rPr>
        <w:i/>
        <w:sz w:val="18"/>
      </w:rPr>
      <w:t>OPC61771 -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Default="004B4B05" w:rsidP="007500C8">
    <w:pPr>
      <w:pStyle w:val="Footer"/>
    </w:pPr>
  </w:p>
  <w:p w:rsidR="004B4B05" w:rsidRPr="007500C8" w:rsidRDefault="00F54F31" w:rsidP="00F54F31">
    <w:pPr>
      <w:pStyle w:val="Footer"/>
    </w:pPr>
    <w:r w:rsidRPr="00F54F31">
      <w:rPr>
        <w:i/>
        <w:sz w:val="18"/>
      </w:rPr>
      <w:t>OPC61771 -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D79B6" w:rsidRDefault="004B4B05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F54F31" w:rsidRDefault="004B4B05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B4B05" w:rsidRPr="00F54F31" w:rsidTr="002363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rPr>
              <w:rFonts w:cs="Times New Roman"/>
              <w:i/>
              <w:sz w:val="18"/>
            </w:rPr>
          </w:pPr>
          <w:r w:rsidRPr="00F54F31">
            <w:rPr>
              <w:rFonts w:cs="Times New Roman"/>
              <w:i/>
              <w:sz w:val="18"/>
            </w:rPr>
            <w:fldChar w:fldCharType="begin"/>
          </w:r>
          <w:r w:rsidRPr="00F54F31">
            <w:rPr>
              <w:rFonts w:cs="Times New Roman"/>
              <w:i/>
              <w:sz w:val="18"/>
            </w:rPr>
            <w:instrText xml:space="preserve"> PAGE </w:instrText>
          </w:r>
          <w:r w:rsidRPr="00F54F31">
            <w:rPr>
              <w:rFonts w:cs="Times New Roman"/>
              <w:i/>
              <w:sz w:val="18"/>
            </w:rPr>
            <w:fldChar w:fldCharType="separate"/>
          </w:r>
          <w:r w:rsidR="00DB754D">
            <w:rPr>
              <w:rFonts w:cs="Times New Roman"/>
              <w:i/>
              <w:noProof/>
              <w:sz w:val="18"/>
            </w:rPr>
            <w:t>iii</w:t>
          </w:r>
          <w:r w:rsidRPr="00F54F3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54F31">
            <w:rPr>
              <w:rFonts w:cs="Times New Roman"/>
              <w:i/>
              <w:sz w:val="18"/>
            </w:rPr>
            <w:fldChar w:fldCharType="begin"/>
          </w:r>
          <w:r w:rsidRPr="00F54F31">
            <w:rPr>
              <w:rFonts w:cs="Times New Roman"/>
              <w:i/>
              <w:sz w:val="18"/>
            </w:rPr>
            <w:instrText xml:space="preserve"> DOCPROPERTY ShortT </w:instrText>
          </w:r>
          <w:r w:rsidRPr="00F54F31">
            <w:rPr>
              <w:rFonts w:cs="Times New Roman"/>
              <w:i/>
              <w:sz w:val="18"/>
            </w:rPr>
            <w:fldChar w:fldCharType="separate"/>
          </w:r>
          <w:r w:rsidR="00DB754D">
            <w:rPr>
              <w:rFonts w:cs="Times New Roman"/>
              <w:i/>
              <w:sz w:val="18"/>
            </w:rPr>
            <w:t>Foreign Acquisitions and Takeovers Legislation (Transitional) Rule 2015</w:t>
          </w:r>
          <w:r w:rsidRPr="00F54F3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4B4B05" w:rsidRPr="00F54F31" w:rsidRDefault="00F54F31" w:rsidP="00F54F31">
    <w:pPr>
      <w:rPr>
        <w:rFonts w:cs="Times New Roman"/>
        <w:i/>
        <w:sz w:val="18"/>
      </w:rPr>
    </w:pPr>
    <w:r w:rsidRPr="00F54F31">
      <w:rPr>
        <w:rFonts w:cs="Times New Roman"/>
        <w:i/>
        <w:sz w:val="18"/>
      </w:rPr>
      <w:t>OPC61771 -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33C1C" w:rsidRDefault="004B4B0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4B4B05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754D">
            <w:rPr>
              <w:i/>
              <w:sz w:val="18"/>
            </w:rPr>
            <w:t>Foreign Acquisitions and Takeovers Legislation (Transitional)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754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B4B05" w:rsidRPr="00ED79B6" w:rsidRDefault="00F54F31" w:rsidP="00F54F31">
    <w:pPr>
      <w:rPr>
        <w:i/>
        <w:sz w:val="18"/>
      </w:rPr>
    </w:pPr>
    <w:r w:rsidRPr="00F54F31">
      <w:rPr>
        <w:rFonts w:cs="Times New Roman"/>
        <w:i/>
        <w:sz w:val="18"/>
      </w:rPr>
      <w:t>OPC61771 -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F54F31" w:rsidRDefault="004B4B05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B4B05" w:rsidRPr="00F54F31" w:rsidTr="002363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rPr>
              <w:rFonts w:cs="Times New Roman"/>
              <w:i/>
              <w:sz w:val="18"/>
            </w:rPr>
          </w:pPr>
          <w:r w:rsidRPr="00F54F31">
            <w:rPr>
              <w:rFonts w:cs="Times New Roman"/>
              <w:i/>
              <w:sz w:val="18"/>
            </w:rPr>
            <w:fldChar w:fldCharType="begin"/>
          </w:r>
          <w:r w:rsidRPr="00F54F31">
            <w:rPr>
              <w:rFonts w:cs="Times New Roman"/>
              <w:i/>
              <w:sz w:val="18"/>
            </w:rPr>
            <w:instrText xml:space="preserve"> PAGE </w:instrText>
          </w:r>
          <w:r w:rsidRPr="00F54F31">
            <w:rPr>
              <w:rFonts w:cs="Times New Roman"/>
              <w:i/>
              <w:sz w:val="18"/>
            </w:rPr>
            <w:fldChar w:fldCharType="separate"/>
          </w:r>
          <w:r w:rsidR="00DB754D">
            <w:rPr>
              <w:rFonts w:cs="Times New Roman"/>
              <w:i/>
              <w:noProof/>
              <w:sz w:val="18"/>
            </w:rPr>
            <w:t>2</w:t>
          </w:r>
          <w:r w:rsidRPr="00F54F3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54F31">
            <w:rPr>
              <w:rFonts w:cs="Times New Roman"/>
              <w:i/>
              <w:sz w:val="18"/>
            </w:rPr>
            <w:fldChar w:fldCharType="begin"/>
          </w:r>
          <w:r w:rsidRPr="00F54F31">
            <w:rPr>
              <w:rFonts w:cs="Times New Roman"/>
              <w:i/>
              <w:sz w:val="18"/>
            </w:rPr>
            <w:instrText xml:space="preserve"> DOCPROPERTY ShortT </w:instrText>
          </w:r>
          <w:r w:rsidRPr="00F54F31">
            <w:rPr>
              <w:rFonts w:cs="Times New Roman"/>
              <w:i/>
              <w:sz w:val="18"/>
            </w:rPr>
            <w:fldChar w:fldCharType="separate"/>
          </w:r>
          <w:r w:rsidR="00DB754D">
            <w:rPr>
              <w:rFonts w:cs="Times New Roman"/>
              <w:i/>
              <w:sz w:val="18"/>
            </w:rPr>
            <w:t>Foreign Acquisitions and Takeovers Legislation (Transitional) Rule 2015</w:t>
          </w:r>
          <w:r w:rsidRPr="00F54F3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B4B05" w:rsidRPr="00F54F31" w:rsidRDefault="004B4B05" w:rsidP="004B4B0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4B4B05" w:rsidRPr="00F54F31" w:rsidRDefault="00F54F31" w:rsidP="00F54F31">
    <w:pPr>
      <w:rPr>
        <w:rFonts w:cs="Times New Roman"/>
        <w:i/>
        <w:sz w:val="18"/>
      </w:rPr>
    </w:pPr>
    <w:r w:rsidRPr="00F54F31">
      <w:rPr>
        <w:rFonts w:cs="Times New Roman"/>
        <w:i/>
        <w:sz w:val="18"/>
      </w:rPr>
      <w:t>OPC61771 -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33C1C" w:rsidRDefault="004B4B0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B4B05" w:rsidTr="004B4B0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754D">
            <w:rPr>
              <w:i/>
              <w:sz w:val="18"/>
            </w:rPr>
            <w:t>Foreign Acquisitions and Takeovers Legislation (Transitional)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754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B4B05" w:rsidRPr="00ED79B6" w:rsidRDefault="00F54F31" w:rsidP="00F54F31">
    <w:pPr>
      <w:rPr>
        <w:i/>
        <w:sz w:val="18"/>
      </w:rPr>
    </w:pPr>
    <w:r w:rsidRPr="00F54F31">
      <w:rPr>
        <w:rFonts w:cs="Times New Roman"/>
        <w:i/>
        <w:sz w:val="18"/>
      </w:rPr>
      <w:t>OPC61771 -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33C1C" w:rsidRDefault="004B4B0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B4B05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754D">
            <w:rPr>
              <w:i/>
              <w:sz w:val="18"/>
            </w:rPr>
            <w:t>Foreign Acquisitions and Takeovers Legislation (Transitional)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B4B05" w:rsidRDefault="004B4B05" w:rsidP="004B4B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754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B4B05" w:rsidRPr="00ED79B6" w:rsidRDefault="004B4B05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05" w:rsidRDefault="004B4B05" w:rsidP="00715914">
      <w:pPr>
        <w:spacing w:line="240" w:lineRule="auto"/>
      </w:pPr>
      <w:r>
        <w:separator/>
      </w:r>
    </w:p>
  </w:footnote>
  <w:footnote w:type="continuationSeparator" w:id="0">
    <w:p w:rsidR="004B4B05" w:rsidRDefault="004B4B0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5F1388" w:rsidRDefault="004B4B0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5F1388" w:rsidRDefault="004B4B0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5F1388" w:rsidRDefault="004B4B0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D79B6" w:rsidRDefault="004B4B0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D79B6" w:rsidRDefault="004B4B0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ED79B6" w:rsidRDefault="004B4B0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Default="004B4B0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4B4B05" w:rsidRDefault="004B4B0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DB754D">
      <w:rPr>
        <w:b/>
        <w:sz w:val="20"/>
      </w:rPr>
      <w:fldChar w:fldCharType="separate"/>
    </w:r>
    <w:r w:rsidR="00DB754D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DB754D">
      <w:rPr>
        <w:sz w:val="20"/>
      </w:rPr>
      <w:fldChar w:fldCharType="separate"/>
    </w:r>
    <w:r w:rsidR="00DB754D">
      <w:rPr>
        <w:noProof/>
        <w:sz w:val="20"/>
      </w:rPr>
      <w:t>Notices given under the Policy</w:t>
    </w:r>
    <w:r>
      <w:rPr>
        <w:sz w:val="20"/>
      </w:rPr>
      <w:fldChar w:fldCharType="end"/>
    </w:r>
  </w:p>
  <w:p w:rsidR="004B4B05" w:rsidRPr="007A1328" w:rsidRDefault="004B4B0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4B4B05" w:rsidRPr="007A1328" w:rsidRDefault="004B4B05" w:rsidP="00715914">
    <w:pPr>
      <w:rPr>
        <w:b/>
        <w:sz w:val="24"/>
      </w:rPr>
    </w:pPr>
  </w:p>
  <w:p w:rsidR="004B4B05" w:rsidRPr="007A1328" w:rsidRDefault="004B4B05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B754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B754D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7A1328" w:rsidRDefault="004B4B0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4B4B05" w:rsidRPr="007A1328" w:rsidRDefault="004B4B0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DB754D">
      <w:rPr>
        <w:sz w:val="20"/>
      </w:rPr>
      <w:fldChar w:fldCharType="separate"/>
    </w:r>
    <w:r w:rsidR="00DB754D">
      <w:rPr>
        <w:noProof/>
        <w:sz w:val="20"/>
      </w:rPr>
      <w:t>Applications for exemption certificates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DB754D">
      <w:rPr>
        <w:b/>
        <w:sz w:val="20"/>
      </w:rPr>
      <w:fldChar w:fldCharType="separate"/>
    </w:r>
    <w:r w:rsidR="00DB754D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4B4B05" w:rsidRPr="007A1328" w:rsidRDefault="004B4B0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4B4B05" w:rsidRPr="007A1328" w:rsidRDefault="004B4B05" w:rsidP="00715914">
    <w:pPr>
      <w:jc w:val="right"/>
      <w:rPr>
        <w:b/>
        <w:sz w:val="24"/>
      </w:rPr>
    </w:pPr>
  </w:p>
  <w:p w:rsidR="004B4B05" w:rsidRPr="007A1328" w:rsidRDefault="004B4B05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B754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B754D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5" w:rsidRPr="007A1328" w:rsidRDefault="004B4B05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5E3C"/>
    <w:multiLevelType w:val="hybridMultilevel"/>
    <w:tmpl w:val="F9607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B500D3"/>
    <w:multiLevelType w:val="hybridMultilevel"/>
    <w:tmpl w:val="B43A8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446932F0"/>
    <w:multiLevelType w:val="hybridMultilevel"/>
    <w:tmpl w:val="AD82C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5B1C"/>
    <w:multiLevelType w:val="hybridMultilevel"/>
    <w:tmpl w:val="008AF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C6E45"/>
    <w:multiLevelType w:val="hybridMultilevel"/>
    <w:tmpl w:val="3F0E4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54AC6"/>
    <w:multiLevelType w:val="hybridMultilevel"/>
    <w:tmpl w:val="9D86A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0C8C"/>
    <w:multiLevelType w:val="hybridMultilevel"/>
    <w:tmpl w:val="27567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BC"/>
    <w:rsid w:val="00004470"/>
    <w:rsid w:val="000136AF"/>
    <w:rsid w:val="00017671"/>
    <w:rsid w:val="000271B3"/>
    <w:rsid w:val="000437C1"/>
    <w:rsid w:val="0005365D"/>
    <w:rsid w:val="000614BF"/>
    <w:rsid w:val="000A2AE4"/>
    <w:rsid w:val="000B0A3E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115A"/>
    <w:rsid w:val="00166C2F"/>
    <w:rsid w:val="001809D7"/>
    <w:rsid w:val="001916BC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2716"/>
    <w:rsid w:val="00206C4D"/>
    <w:rsid w:val="0021053C"/>
    <w:rsid w:val="002122A0"/>
    <w:rsid w:val="00215AF1"/>
    <w:rsid w:val="002321E8"/>
    <w:rsid w:val="00236345"/>
    <w:rsid w:val="00236EEC"/>
    <w:rsid w:val="0024010F"/>
    <w:rsid w:val="00240749"/>
    <w:rsid w:val="00243018"/>
    <w:rsid w:val="00254998"/>
    <w:rsid w:val="002564A4"/>
    <w:rsid w:val="002644D8"/>
    <w:rsid w:val="0026736C"/>
    <w:rsid w:val="00274C8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1FA2"/>
    <w:rsid w:val="003B7FD1"/>
    <w:rsid w:val="003C0FF6"/>
    <w:rsid w:val="003C6231"/>
    <w:rsid w:val="003D0BFE"/>
    <w:rsid w:val="003D5700"/>
    <w:rsid w:val="003E341B"/>
    <w:rsid w:val="004116CD"/>
    <w:rsid w:val="004144EC"/>
    <w:rsid w:val="00417EB9"/>
    <w:rsid w:val="00424CA9"/>
    <w:rsid w:val="004315E3"/>
    <w:rsid w:val="00431E9B"/>
    <w:rsid w:val="0043636C"/>
    <w:rsid w:val="004379E3"/>
    <w:rsid w:val="0044015E"/>
    <w:rsid w:val="0044291A"/>
    <w:rsid w:val="00444ABD"/>
    <w:rsid w:val="00467661"/>
    <w:rsid w:val="004705B7"/>
    <w:rsid w:val="00472DBE"/>
    <w:rsid w:val="00474A19"/>
    <w:rsid w:val="00493625"/>
    <w:rsid w:val="00496F97"/>
    <w:rsid w:val="00497C6D"/>
    <w:rsid w:val="004B4B05"/>
    <w:rsid w:val="004C6AE8"/>
    <w:rsid w:val="004E063A"/>
    <w:rsid w:val="004E7BEC"/>
    <w:rsid w:val="004F44EF"/>
    <w:rsid w:val="00505087"/>
    <w:rsid w:val="00505D3D"/>
    <w:rsid w:val="00506AF6"/>
    <w:rsid w:val="00516B8D"/>
    <w:rsid w:val="00526ECA"/>
    <w:rsid w:val="0053185C"/>
    <w:rsid w:val="0053595F"/>
    <w:rsid w:val="00537FBC"/>
    <w:rsid w:val="005574D1"/>
    <w:rsid w:val="00573098"/>
    <w:rsid w:val="00584811"/>
    <w:rsid w:val="00585784"/>
    <w:rsid w:val="00593AA6"/>
    <w:rsid w:val="00594161"/>
    <w:rsid w:val="00594749"/>
    <w:rsid w:val="005B4067"/>
    <w:rsid w:val="005C3F41"/>
    <w:rsid w:val="005D2D09"/>
    <w:rsid w:val="005E6A0F"/>
    <w:rsid w:val="00600219"/>
    <w:rsid w:val="00603761"/>
    <w:rsid w:val="00603DC4"/>
    <w:rsid w:val="00620076"/>
    <w:rsid w:val="00670EA1"/>
    <w:rsid w:val="00677CC2"/>
    <w:rsid w:val="006905DE"/>
    <w:rsid w:val="0069207B"/>
    <w:rsid w:val="006B5789"/>
    <w:rsid w:val="006C30C5"/>
    <w:rsid w:val="006C7F8C"/>
    <w:rsid w:val="006E5316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39A9"/>
    <w:rsid w:val="0076681A"/>
    <w:rsid w:val="007715C9"/>
    <w:rsid w:val="00771613"/>
    <w:rsid w:val="00774EDD"/>
    <w:rsid w:val="007757EC"/>
    <w:rsid w:val="00783E89"/>
    <w:rsid w:val="00793915"/>
    <w:rsid w:val="007C2253"/>
    <w:rsid w:val="007D2FC4"/>
    <w:rsid w:val="007D5A63"/>
    <w:rsid w:val="007E163D"/>
    <w:rsid w:val="007E667A"/>
    <w:rsid w:val="007F28C9"/>
    <w:rsid w:val="00803587"/>
    <w:rsid w:val="008117E9"/>
    <w:rsid w:val="00824498"/>
    <w:rsid w:val="00833331"/>
    <w:rsid w:val="00856A31"/>
    <w:rsid w:val="00864B24"/>
    <w:rsid w:val="00865742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2630"/>
    <w:rsid w:val="00915932"/>
    <w:rsid w:val="00915DF9"/>
    <w:rsid w:val="00915F97"/>
    <w:rsid w:val="009254C3"/>
    <w:rsid w:val="00932377"/>
    <w:rsid w:val="00947D5A"/>
    <w:rsid w:val="009532A5"/>
    <w:rsid w:val="00954CF8"/>
    <w:rsid w:val="00982242"/>
    <w:rsid w:val="009868E9"/>
    <w:rsid w:val="00993942"/>
    <w:rsid w:val="009C3748"/>
    <w:rsid w:val="009E5CFC"/>
    <w:rsid w:val="009F6B04"/>
    <w:rsid w:val="00A079CB"/>
    <w:rsid w:val="00A12128"/>
    <w:rsid w:val="00A22C98"/>
    <w:rsid w:val="00A231E2"/>
    <w:rsid w:val="00A27926"/>
    <w:rsid w:val="00A563A2"/>
    <w:rsid w:val="00A64912"/>
    <w:rsid w:val="00A70A74"/>
    <w:rsid w:val="00A72A28"/>
    <w:rsid w:val="00AB05C1"/>
    <w:rsid w:val="00AD5641"/>
    <w:rsid w:val="00AD7889"/>
    <w:rsid w:val="00AE48F9"/>
    <w:rsid w:val="00AF021B"/>
    <w:rsid w:val="00AF06CF"/>
    <w:rsid w:val="00B05CF4"/>
    <w:rsid w:val="00B07CDB"/>
    <w:rsid w:val="00B11148"/>
    <w:rsid w:val="00B146C3"/>
    <w:rsid w:val="00B16A31"/>
    <w:rsid w:val="00B17DFD"/>
    <w:rsid w:val="00B308FE"/>
    <w:rsid w:val="00B33709"/>
    <w:rsid w:val="00B33B3C"/>
    <w:rsid w:val="00B50ADC"/>
    <w:rsid w:val="00B566B1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7EA8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24C2"/>
    <w:rsid w:val="00D04CD6"/>
    <w:rsid w:val="00D050E6"/>
    <w:rsid w:val="00D13441"/>
    <w:rsid w:val="00D150E7"/>
    <w:rsid w:val="00D15465"/>
    <w:rsid w:val="00D32F65"/>
    <w:rsid w:val="00D468BA"/>
    <w:rsid w:val="00D52DC2"/>
    <w:rsid w:val="00D53BCC"/>
    <w:rsid w:val="00D624C2"/>
    <w:rsid w:val="00D63F9A"/>
    <w:rsid w:val="00D70DFB"/>
    <w:rsid w:val="00D766DF"/>
    <w:rsid w:val="00DA186E"/>
    <w:rsid w:val="00DA4116"/>
    <w:rsid w:val="00DB251C"/>
    <w:rsid w:val="00DB4630"/>
    <w:rsid w:val="00DB754D"/>
    <w:rsid w:val="00DC4F88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1703E"/>
    <w:rsid w:val="00F32BA8"/>
    <w:rsid w:val="00F349F1"/>
    <w:rsid w:val="00F41484"/>
    <w:rsid w:val="00F4350D"/>
    <w:rsid w:val="00F54F31"/>
    <w:rsid w:val="00F555ED"/>
    <w:rsid w:val="00F567F7"/>
    <w:rsid w:val="00F57A65"/>
    <w:rsid w:val="00F62036"/>
    <w:rsid w:val="00F65B52"/>
    <w:rsid w:val="00F67BCA"/>
    <w:rsid w:val="00F7176F"/>
    <w:rsid w:val="00F73BD6"/>
    <w:rsid w:val="00F83989"/>
    <w:rsid w:val="00F85099"/>
    <w:rsid w:val="00F9379C"/>
    <w:rsid w:val="00F9632C"/>
    <w:rsid w:val="00FA1E52"/>
    <w:rsid w:val="00FC55A6"/>
    <w:rsid w:val="00FE4688"/>
    <w:rsid w:val="00FF35A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08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6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6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6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6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05087"/>
  </w:style>
  <w:style w:type="paragraph" w:customStyle="1" w:styleId="OPCParaBase">
    <w:name w:val="OPCParaBase"/>
    <w:qFormat/>
    <w:rsid w:val="005050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050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050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050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050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050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050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050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050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050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050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05087"/>
  </w:style>
  <w:style w:type="paragraph" w:customStyle="1" w:styleId="Blocks">
    <w:name w:val="Blocks"/>
    <w:aliases w:val="bb"/>
    <w:basedOn w:val="OPCParaBase"/>
    <w:qFormat/>
    <w:rsid w:val="005050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050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05087"/>
    <w:rPr>
      <w:i/>
    </w:rPr>
  </w:style>
  <w:style w:type="paragraph" w:customStyle="1" w:styleId="BoxList">
    <w:name w:val="BoxList"/>
    <w:aliases w:val="bl"/>
    <w:basedOn w:val="BoxText"/>
    <w:qFormat/>
    <w:rsid w:val="005050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050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050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0508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05087"/>
  </w:style>
  <w:style w:type="character" w:customStyle="1" w:styleId="CharAmPartText">
    <w:name w:val="CharAmPartText"/>
    <w:basedOn w:val="OPCCharBase"/>
    <w:uiPriority w:val="1"/>
    <w:qFormat/>
    <w:rsid w:val="00505087"/>
  </w:style>
  <w:style w:type="character" w:customStyle="1" w:styleId="CharAmSchNo">
    <w:name w:val="CharAmSchNo"/>
    <w:basedOn w:val="OPCCharBase"/>
    <w:uiPriority w:val="1"/>
    <w:qFormat/>
    <w:rsid w:val="00505087"/>
  </w:style>
  <w:style w:type="character" w:customStyle="1" w:styleId="CharAmSchText">
    <w:name w:val="CharAmSchText"/>
    <w:basedOn w:val="OPCCharBase"/>
    <w:uiPriority w:val="1"/>
    <w:qFormat/>
    <w:rsid w:val="00505087"/>
  </w:style>
  <w:style w:type="character" w:customStyle="1" w:styleId="CharBoldItalic">
    <w:name w:val="CharBoldItalic"/>
    <w:basedOn w:val="OPCCharBase"/>
    <w:uiPriority w:val="1"/>
    <w:qFormat/>
    <w:rsid w:val="00505087"/>
    <w:rPr>
      <w:b/>
      <w:i/>
    </w:rPr>
  </w:style>
  <w:style w:type="character" w:customStyle="1" w:styleId="CharChapNo">
    <w:name w:val="CharChapNo"/>
    <w:basedOn w:val="OPCCharBase"/>
    <w:qFormat/>
    <w:rsid w:val="00505087"/>
  </w:style>
  <w:style w:type="character" w:customStyle="1" w:styleId="CharChapText">
    <w:name w:val="CharChapText"/>
    <w:basedOn w:val="OPCCharBase"/>
    <w:qFormat/>
    <w:rsid w:val="00505087"/>
  </w:style>
  <w:style w:type="character" w:customStyle="1" w:styleId="CharDivNo">
    <w:name w:val="CharDivNo"/>
    <w:basedOn w:val="OPCCharBase"/>
    <w:qFormat/>
    <w:rsid w:val="00505087"/>
  </w:style>
  <w:style w:type="character" w:customStyle="1" w:styleId="CharDivText">
    <w:name w:val="CharDivText"/>
    <w:basedOn w:val="OPCCharBase"/>
    <w:qFormat/>
    <w:rsid w:val="00505087"/>
  </w:style>
  <w:style w:type="character" w:customStyle="1" w:styleId="CharItalic">
    <w:name w:val="CharItalic"/>
    <w:basedOn w:val="OPCCharBase"/>
    <w:uiPriority w:val="1"/>
    <w:qFormat/>
    <w:rsid w:val="00505087"/>
    <w:rPr>
      <w:i/>
    </w:rPr>
  </w:style>
  <w:style w:type="character" w:customStyle="1" w:styleId="CharPartNo">
    <w:name w:val="CharPartNo"/>
    <w:basedOn w:val="OPCCharBase"/>
    <w:qFormat/>
    <w:rsid w:val="00505087"/>
  </w:style>
  <w:style w:type="character" w:customStyle="1" w:styleId="CharPartText">
    <w:name w:val="CharPartText"/>
    <w:basedOn w:val="OPCCharBase"/>
    <w:qFormat/>
    <w:rsid w:val="00505087"/>
  </w:style>
  <w:style w:type="character" w:customStyle="1" w:styleId="CharSectno">
    <w:name w:val="CharSectno"/>
    <w:basedOn w:val="OPCCharBase"/>
    <w:qFormat/>
    <w:rsid w:val="00505087"/>
  </w:style>
  <w:style w:type="character" w:customStyle="1" w:styleId="CharSubdNo">
    <w:name w:val="CharSubdNo"/>
    <w:basedOn w:val="OPCCharBase"/>
    <w:uiPriority w:val="1"/>
    <w:qFormat/>
    <w:rsid w:val="00505087"/>
  </w:style>
  <w:style w:type="character" w:customStyle="1" w:styleId="CharSubdText">
    <w:name w:val="CharSubdText"/>
    <w:basedOn w:val="OPCCharBase"/>
    <w:uiPriority w:val="1"/>
    <w:qFormat/>
    <w:rsid w:val="00505087"/>
  </w:style>
  <w:style w:type="paragraph" w:customStyle="1" w:styleId="CTA--">
    <w:name w:val="CTA --"/>
    <w:basedOn w:val="OPCParaBase"/>
    <w:next w:val="Normal"/>
    <w:rsid w:val="005050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050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050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050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050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050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050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050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050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050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050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050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050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050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050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0508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0508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050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050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050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050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050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050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050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050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0508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050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050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050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050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050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050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050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050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050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050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050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050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050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050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050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050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050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050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050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050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050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050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050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050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050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050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050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050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0508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0508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0508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0508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050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050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050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050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050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050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050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050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05087"/>
    <w:rPr>
      <w:sz w:val="16"/>
    </w:rPr>
  </w:style>
  <w:style w:type="table" w:customStyle="1" w:styleId="CFlag">
    <w:name w:val="CFlag"/>
    <w:basedOn w:val="TableNormal"/>
    <w:uiPriority w:val="99"/>
    <w:rsid w:val="0050508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05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050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0508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0508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050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05087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0508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0508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0508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050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050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0508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050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050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050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050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050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050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050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050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0508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05087"/>
  </w:style>
  <w:style w:type="character" w:customStyle="1" w:styleId="CharSubPartNoCASA">
    <w:name w:val="CharSubPartNo(CASA)"/>
    <w:basedOn w:val="OPCCharBase"/>
    <w:uiPriority w:val="1"/>
    <w:rsid w:val="00505087"/>
  </w:style>
  <w:style w:type="paragraph" w:customStyle="1" w:styleId="ENoteTTIndentHeadingSub">
    <w:name w:val="ENoteTTIndentHeadingSub"/>
    <w:aliases w:val="enTTHis"/>
    <w:basedOn w:val="OPCParaBase"/>
    <w:rsid w:val="005050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050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050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0508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0508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05087"/>
    <w:rPr>
      <w:sz w:val="22"/>
    </w:rPr>
  </w:style>
  <w:style w:type="paragraph" w:customStyle="1" w:styleId="SOTextNote">
    <w:name w:val="SO TextNote"/>
    <w:aliases w:val="sont"/>
    <w:basedOn w:val="SOText"/>
    <w:qFormat/>
    <w:rsid w:val="0050508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0508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05087"/>
    <w:rPr>
      <w:sz w:val="22"/>
    </w:rPr>
  </w:style>
  <w:style w:type="paragraph" w:customStyle="1" w:styleId="FileName">
    <w:name w:val="FileName"/>
    <w:basedOn w:val="Normal"/>
    <w:rsid w:val="00505087"/>
  </w:style>
  <w:style w:type="paragraph" w:customStyle="1" w:styleId="TableHeading">
    <w:name w:val="TableHeading"/>
    <w:aliases w:val="th"/>
    <w:basedOn w:val="OPCParaBase"/>
    <w:next w:val="Tabletext"/>
    <w:rsid w:val="0050508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0508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0508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0508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0508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0508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0508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0508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0508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0508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0508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16B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16B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6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6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6B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6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08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6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6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6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6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05087"/>
  </w:style>
  <w:style w:type="paragraph" w:customStyle="1" w:styleId="OPCParaBase">
    <w:name w:val="OPCParaBase"/>
    <w:qFormat/>
    <w:rsid w:val="005050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050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050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050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050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050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050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050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050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050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050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05087"/>
  </w:style>
  <w:style w:type="paragraph" w:customStyle="1" w:styleId="Blocks">
    <w:name w:val="Blocks"/>
    <w:aliases w:val="bb"/>
    <w:basedOn w:val="OPCParaBase"/>
    <w:qFormat/>
    <w:rsid w:val="005050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050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05087"/>
    <w:rPr>
      <w:i/>
    </w:rPr>
  </w:style>
  <w:style w:type="paragraph" w:customStyle="1" w:styleId="BoxList">
    <w:name w:val="BoxList"/>
    <w:aliases w:val="bl"/>
    <w:basedOn w:val="BoxText"/>
    <w:qFormat/>
    <w:rsid w:val="005050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050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050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0508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05087"/>
  </w:style>
  <w:style w:type="character" w:customStyle="1" w:styleId="CharAmPartText">
    <w:name w:val="CharAmPartText"/>
    <w:basedOn w:val="OPCCharBase"/>
    <w:uiPriority w:val="1"/>
    <w:qFormat/>
    <w:rsid w:val="00505087"/>
  </w:style>
  <w:style w:type="character" w:customStyle="1" w:styleId="CharAmSchNo">
    <w:name w:val="CharAmSchNo"/>
    <w:basedOn w:val="OPCCharBase"/>
    <w:uiPriority w:val="1"/>
    <w:qFormat/>
    <w:rsid w:val="00505087"/>
  </w:style>
  <w:style w:type="character" w:customStyle="1" w:styleId="CharAmSchText">
    <w:name w:val="CharAmSchText"/>
    <w:basedOn w:val="OPCCharBase"/>
    <w:uiPriority w:val="1"/>
    <w:qFormat/>
    <w:rsid w:val="00505087"/>
  </w:style>
  <w:style w:type="character" w:customStyle="1" w:styleId="CharBoldItalic">
    <w:name w:val="CharBoldItalic"/>
    <w:basedOn w:val="OPCCharBase"/>
    <w:uiPriority w:val="1"/>
    <w:qFormat/>
    <w:rsid w:val="00505087"/>
    <w:rPr>
      <w:b/>
      <w:i/>
    </w:rPr>
  </w:style>
  <w:style w:type="character" w:customStyle="1" w:styleId="CharChapNo">
    <w:name w:val="CharChapNo"/>
    <w:basedOn w:val="OPCCharBase"/>
    <w:qFormat/>
    <w:rsid w:val="00505087"/>
  </w:style>
  <w:style w:type="character" w:customStyle="1" w:styleId="CharChapText">
    <w:name w:val="CharChapText"/>
    <w:basedOn w:val="OPCCharBase"/>
    <w:qFormat/>
    <w:rsid w:val="00505087"/>
  </w:style>
  <w:style w:type="character" w:customStyle="1" w:styleId="CharDivNo">
    <w:name w:val="CharDivNo"/>
    <w:basedOn w:val="OPCCharBase"/>
    <w:qFormat/>
    <w:rsid w:val="00505087"/>
  </w:style>
  <w:style w:type="character" w:customStyle="1" w:styleId="CharDivText">
    <w:name w:val="CharDivText"/>
    <w:basedOn w:val="OPCCharBase"/>
    <w:qFormat/>
    <w:rsid w:val="00505087"/>
  </w:style>
  <w:style w:type="character" w:customStyle="1" w:styleId="CharItalic">
    <w:name w:val="CharItalic"/>
    <w:basedOn w:val="OPCCharBase"/>
    <w:uiPriority w:val="1"/>
    <w:qFormat/>
    <w:rsid w:val="00505087"/>
    <w:rPr>
      <w:i/>
    </w:rPr>
  </w:style>
  <w:style w:type="character" w:customStyle="1" w:styleId="CharPartNo">
    <w:name w:val="CharPartNo"/>
    <w:basedOn w:val="OPCCharBase"/>
    <w:qFormat/>
    <w:rsid w:val="00505087"/>
  </w:style>
  <w:style w:type="character" w:customStyle="1" w:styleId="CharPartText">
    <w:name w:val="CharPartText"/>
    <w:basedOn w:val="OPCCharBase"/>
    <w:qFormat/>
    <w:rsid w:val="00505087"/>
  </w:style>
  <w:style w:type="character" w:customStyle="1" w:styleId="CharSectno">
    <w:name w:val="CharSectno"/>
    <w:basedOn w:val="OPCCharBase"/>
    <w:qFormat/>
    <w:rsid w:val="00505087"/>
  </w:style>
  <w:style w:type="character" w:customStyle="1" w:styleId="CharSubdNo">
    <w:name w:val="CharSubdNo"/>
    <w:basedOn w:val="OPCCharBase"/>
    <w:uiPriority w:val="1"/>
    <w:qFormat/>
    <w:rsid w:val="00505087"/>
  </w:style>
  <w:style w:type="character" w:customStyle="1" w:styleId="CharSubdText">
    <w:name w:val="CharSubdText"/>
    <w:basedOn w:val="OPCCharBase"/>
    <w:uiPriority w:val="1"/>
    <w:qFormat/>
    <w:rsid w:val="00505087"/>
  </w:style>
  <w:style w:type="paragraph" w:customStyle="1" w:styleId="CTA--">
    <w:name w:val="CTA --"/>
    <w:basedOn w:val="OPCParaBase"/>
    <w:next w:val="Normal"/>
    <w:rsid w:val="005050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050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050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050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050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050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050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050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050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050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050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050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050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050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050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0508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0508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050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050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050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050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050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050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050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050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0508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050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050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050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050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050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050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050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050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050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050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050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050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050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050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050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050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050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050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050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050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050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050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050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050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050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050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050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050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0508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0508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0508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0508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0508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050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050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050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050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050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050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050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050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05087"/>
    <w:rPr>
      <w:sz w:val="16"/>
    </w:rPr>
  </w:style>
  <w:style w:type="table" w:customStyle="1" w:styleId="CFlag">
    <w:name w:val="CFlag"/>
    <w:basedOn w:val="TableNormal"/>
    <w:uiPriority w:val="99"/>
    <w:rsid w:val="0050508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05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050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0508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0508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050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05087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0508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0508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0508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050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050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0508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050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050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050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050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050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050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050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050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0508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05087"/>
  </w:style>
  <w:style w:type="character" w:customStyle="1" w:styleId="CharSubPartNoCASA">
    <w:name w:val="CharSubPartNo(CASA)"/>
    <w:basedOn w:val="OPCCharBase"/>
    <w:uiPriority w:val="1"/>
    <w:rsid w:val="00505087"/>
  </w:style>
  <w:style w:type="paragraph" w:customStyle="1" w:styleId="ENoteTTIndentHeadingSub">
    <w:name w:val="ENoteTTIndentHeadingSub"/>
    <w:aliases w:val="enTTHis"/>
    <w:basedOn w:val="OPCParaBase"/>
    <w:rsid w:val="005050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050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050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0508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0508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05087"/>
    <w:rPr>
      <w:sz w:val="22"/>
    </w:rPr>
  </w:style>
  <w:style w:type="paragraph" w:customStyle="1" w:styleId="SOTextNote">
    <w:name w:val="SO TextNote"/>
    <w:aliases w:val="sont"/>
    <w:basedOn w:val="SOText"/>
    <w:qFormat/>
    <w:rsid w:val="0050508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0508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05087"/>
    <w:rPr>
      <w:sz w:val="22"/>
    </w:rPr>
  </w:style>
  <w:style w:type="paragraph" w:customStyle="1" w:styleId="FileName">
    <w:name w:val="FileName"/>
    <w:basedOn w:val="Normal"/>
    <w:rsid w:val="00505087"/>
  </w:style>
  <w:style w:type="paragraph" w:customStyle="1" w:styleId="TableHeading">
    <w:name w:val="TableHeading"/>
    <w:aliases w:val="th"/>
    <w:basedOn w:val="OPCParaBase"/>
    <w:next w:val="Tabletext"/>
    <w:rsid w:val="0050508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0508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0508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0508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0508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0508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0508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0508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0508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050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0508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0508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16B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16B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6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6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6B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6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71F5-4DA5-41A2-A827-421FB56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762</Words>
  <Characters>3858</Characters>
  <Application>Microsoft Office Word</Application>
  <DocSecurity>0</DocSecurity>
  <PresentationFormat/>
  <Lines>116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2015-11-26T04:23:00Z</cp:lastPrinted>
  <dcterms:created xsi:type="dcterms:W3CDTF">2015-11-30T00:33:00Z</dcterms:created>
  <dcterms:modified xsi:type="dcterms:W3CDTF">2015-11-30T00:37:00Z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Foreign Acquisitions and Takeovers Legislation (Transitional) Rule 2015</vt:lpwstr>
  </property>
  <property fmtid="{D5CDD505-2E9C-101B-9397-08002B2CF9AE}" pid="4" name="Header">
    <vt:lpwstr>Section</vt:lpwstr>
  </property>
  <property fmtid="{D5CDD505-2E9C-101B-9397-08002B2CF9AE}" pid="5" name="Class">
    <vt:lpwstr>Rule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OPC61771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Foreign Acquisitions and Takeovers Legislation Amendment Act 2015</vt:lpwstr>
  </property>
  <property fmtid="{D5CDD505-2E9C-101B-9397-08002B2CF9AE}" pid="14" name="NonLegInst">
    <vt:lpwstr>0</vt:lpwstr>
  </property>
  <property fmtid="{D5CDD505-2E9C-101B-9397-08002B2CF9AE}" pid="15" name="DoNotAsk">
    <vt:lpwstr>1</vt:lpwstr>
  </property>
  <property fmtid="{D5CDD505-2E9C-101B-9397-08002B2CF9AE}" pid="16" name="ChangedTitle">
    <vt:lpwstr>Foreign Acquisitions and Takeovers Legislation (Transitional) Rule 2015</vt:lpwstr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 30 November 2015</vt:lpwstr>
  </property>
</Properties>
</file>