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58" w:rsidRDefault="00E23358" w:rsidP="00E23358">
      <w:pPr>
        <w:spacing w:before="0"/>
        <w:ind w:right="91"/>
        <w:jc w:val="center"/>
        <w:rPr>
          <w:b/>
          <w:u w:val="single"/>
        </w:rPr>
      </w:pPr>
      <w:r>
        <w:rPr>
          <w:b/>
          <w:u w:val="single"/>
        </w:rPr>
        <w:t xml:space="preserve">EXPLANATORY </w:t>
      </w:r>
      <w:r w:rsidR="00A36ED1">
        <w:rPr>
          <w:b/>
          <w:u w:val="single"/>
        </w:rPr>
        <w:t>STATEMENT</w:t>
      </w:r>
    </w:p>
    <w:p w:rsidR="00A36ED1" w:rsidRDefault="00A36ED1" w:rsidP="00E23358">
      <w:pPr>
        <w:spacing w:before="0"/>
        <w:ind w:right="91"/>
        <w:jc w:val="center"/>
        <w:rPr>
          <w:b/>
          <w:u w:val="single"/>
        </w:rPr>
      </w:pPr>
    </w:p>
    <w:p w:rsidR="00A36ED1" w:rsidRDefault="00A36ED1" w:rsidP="00E23358">
      <w:pPr>
        <w:spacing w:before="0"/>
        <w:ind w:right="91"/>
        <w:jc w:val="center"/>
        <w:rPr>
          <w:b/>
          <w:u w:val="single"/>
        </w:rPr>
      </w:pPr>
      <w:r>
        <w:rPr>
          <w:b/>
          <w:u w:val="single"/>
        </w:rPr>
        <w:t>Select Legislative Instrument No.</w:t>
      </w:r>
      <w:r w:rsidR="00152D07">
        <w:rPr>
          <w:b/>
          <w:u w:val="single"/>
        </w:rPr>
        <w:t xml:space="preserve"> 207,</w:t>
      </w:r>
      <w:r w:rsidR="00152D07">
        <w:rPr>
          <w:b/>
          <w:u w:val="single"/>
        </w:rPr>
        <w:t xml:space="preserve"> 2015</w:t>
      </w:r>
    </w:p>
    <w:p w:rsidR="00A36ED1" w:rsidRDefault="00A36ED1" w:rsidP="00E23358">
      <w:pPr>
        <w:spacing w:before="0"/>
        <w:ind w:right="91"/>
        <w:jc w:val="center"/>
        <w:rPr>
          <w:b/>
          <w:u w:val="single"/>
        </w:rPr>
      </w:pPr>
    </w:p>
    <w:p w:rsidR="00A36ED1" w:rsidRDefault="00A36ED1" w:rsidP="00E23358">
      <w:pPr>
        <w:spacing w:before="0"/>
        <w:ind w:right="91"/>
        <w:jc w:val="center"/>
        <w:rPr>
          <w:b/>
          <w:u w:val="single"/>
        </w:rPr>
      </w:pPr>
      <w:r>
        <w:rPr>
          <w:b/>
          <w:u w:val="single"/>
        </w:rPr>
        <w:t>Issued by the authority of the Attorney-General</w:t>
      </w:r>
    </w:p>
    <w:p w:rsidR="00A36ED1" w:rsidRDefault="00A36ED1" w:rsidP="00E23358">
      <w:pPr>
        <w:spacing w:before="0"/>
        <w:ind w:right="91"/>
        <w:jc w:val="center"/>
        <w:rPr>
          <w:b/>
          <w:u w:val="single"/>
        </w:rPr>
      </w:pPr>
    </w:p>
    <w:p w:rsidR="00A36ED1" w:rsidRPr="009D38F8" w:rsidRDefault="00A36ED1" w:rsidP="00E23358">
      <w:pPr>
        <w:spacing w:before="0"/>
        <w:ind w:right="91"/>
        <w:jc w:val="center"/>
        <w:rPr>
          <w:i/>
        </w:rPr>
      </w:pPr>
      <w:r w:rsidRPr="009D38F8">
        <w:rPr>
          <w:i/>
        </w:rPr>
        <w:t>Foreign Judgments Act 1991</w:t>
      </w:r>
    </w:p>
    <w:p w:rsidR="00A36ED1" w:rsidRPr="00A36ED1" w:rsidRDefault="00A36ED1" w:rsidP="00E23358">
      <w:pPr>
        <w:spacing w:before="0"/>
        <w:ind w:right="91"/>
        <w:jc w:val="center"/>
        <w:rPr>
          <w:i/>
          <w:u w:val="single"/>
        </w:rPr>
      </w:pPr>
    </w:p>
    <w:p w:rsidR="00A36ED1" w:rsidRPr="00A36ED1" w:rsidRDefault="00A36ED1" w:rsidP="00E23358">
      <w:pPr>
        <w:spacing w:before="0"/>
        <w:ind w:right="91"/>
        <w:jc w:val="center"/>
        <w:rPr>
          <w:i/>
        </w:rPr>
      </w:pPr>
      <w:bookmarkStart w:id="0" w:name="_GoBack"/>
      <w:r w:rsidRPr="00A36ED1">
        <w:rPr>
          <w:i/>
        </w:rPr>
        <w:t xml:space="preserve">Foreign Judgments Amendment </w:t>
      </w:r>
      <w:r w:rsidR="00330EF5">
        <w:rPr>
          <w:i/>
        </w:rPr>
        <w:t xml:space="preserve">(Miscellaneous) </w:t>
      </w:r>
      <w:r w:rsidRPr="00A36ED1">
        <w:rPr>
          <w:i/>
        </w:rPr>
        <w:t>Regulation 2015</w:t>
      </w:r>
      <w:bookmarkEnd w:id="0"/>
    </w:p>
    <w:p w:rsidR="00E23358" w:rsidRDefault="00E23358" w:rsidP="00E23358">
      <w:pPr>
        <w:spacing w:before="0"/>
        <w:ind w:right="91"/>
        <w:jc w:val="center"/>
      </w:pPr>
    </w:p>
    <w:p w:rsidR="002432F1" w:rsidRDefault="002432F1" w:rsidP="00A36ED1">
      <w:pPr>
        <w:spacing w:before="0"/>
        <w:ind w:left="1418" w:right="91" w:hanging="425"/>
      </w:pPr>
    </w:p>
    <w:p w:rsidR="002432F1" w:rsidRDefault="002432F1" w:rsidP="00E23358">
      <w:pPr>
        <w:pStyle w:val="Paragraphnumbered"/>
        <w:numPr>
          <w:ilvl w:val="0"/>
          <w:numId w:val="0"/>
        </w:numPr>
      </w:pPr>
      <w:r w:rsidRPr="002432F1">
        <w:t xml:space="preserve">The </w:t>
      </w:r>
      <w:r w:rsidRPr="002432F1">
        <w:rPr>
          <w:i/>
        </w:rPr>
        <w:t>Foreign Judgments Act 1991</w:t>
      </w:r>
      <w:r w:rsidRPr="002432F1">
        <w:t xml:space="preserve"> </w:t>
      </w:r>
      <w:r>
        <w:t xml:space="preserve">(the Act) </w:t>
      </w:r>
      <w:r w:rsidRPr="002432F1">
        <w:t xml:space="preserve">provides a streamlined procedure for the recognition and enforcement of certain judgments of courts prescribed in the </w:t>
      </w:r>
      <w:r w:rsidRPr="00011FD8">
        <w:rPr>
          <w:i/>
        </w:rPr>
        <w:t>Foreign Judgments Regulations 1992</w:t>
      </w:r>
      <w:r w:rsidRPr="002432F1">
        <w:t xml:space="preserve"> </w:t>
      </w:r>
      <w:r w:rsidR="001F0976">
        <w:t xml:space="preserve">(the Regulations) </w:t>
      </w:r>
      <w:r w:rsidRPr="002432F1">
        <w:t xml:space="preserve">based upon reciprocity of enforcement.  Under the Act, a </w:t>
      </w:r>
      <w:r w:rsidR="001828EE">
        <w:t xml:space="preserve">foreign </w:t>
      </w:r>
      <w:r w:rsidRPr="002432F1">
        <w:t>judgment may be registered and then enforced as if it was a judgment of a local court.  However, the Act only applies to judgments rendered by superior and specified inferior courts in countries nominated in the</w:t>
      </w:r>
      <w:r w:rsidR="00011FD8" w:rsidRPr="00011FD8">
        <w:t xml:space="preserve"> Regulations</w:t>
      </w:r>
      <w:r w:rsidRPr="00011FD8">
        <w:t>.</w:t>
      </w:r>
      <w:r w:rsidRPr="002432F1">
        <w:t xml:space="preserve">  </w:t>
      </w:r>
    </w:p>
    <w:p w:rsidR="00E156A7" w:rsidRDefault="009C1770" w:rsidP="00716483">
      <w:pPr>
        <w:pStyle w:val="Paragraphnumbered"/>
        <w:numPr>
          <w:ilvl w:val="0"/>
          <w:numId w:val="0"/>
        </w:numPr>
      </w:pPr>
      <w:r>
        <w:t>T</w:t>
      </w:r>
      <w:r w:rsidR="000229F1">
        <w:t xml:space="preserve">he Act provides </w:t>
      </w:r>
      <w:r w:rsidR="00716483">
        <w:t xml:space="preserve">that the </w:t>
      </w:r>
      <w:r w:rsidR="00E156A7">
        <w:t xml:space="preserve">legislation will be applied with respect to judgments of courts of a particular country, by regulations, where the </w:t>
      </w:r>
      <w:r w:rsidR="00716483">
        <w:t xml:space="preserve">Governor General </w:t>
      </w:r>
      <w:r w:rsidR="00E156A7">
        <w:t xml:space="preserve">is satisfied that substantial reciprocity of treatment will be given to the enforcement in that country of corresponding Australian judgments. </w:t>
      </w:r>
    </w:p>
    <w:p w:rsidR="00EF4093" w:rsidRDefault="00EF4093" w:rsidP="00EF4093">
      <w:r>
        <w:t>Section 16 of the Act provides that the Governor-General may make regulations, not inconsistent with the Act, prescribing all matters required or permitted by the Act to be prescribed, or necessary or convenient to be prescribed for carrying out or giving effect to the Act.</w:t>
      </w:r>
    </w:p>
    <w:p w:rsidR="00AF5155" w:rsidRDefault="000470EF" w:rsidP="00AF5155">
      <w:pPr>
        <w:pStyle w:val="Paragraphnumbered"/>
        <w:numPr>
          <w:ilvl w:val="0"/>
          <w:numId w:val="0"/>
        </w:numPr>
      </w:pPr>
      <w:r>
        <w:t xml:space="preserve">The </w:t>
      </w:r>
      <w:r w:rsidR="008E2FB3">
        <w:t>Regulation</w:t>
      </w:r>
      <w:r w:rsidR="009D38F8">
        <w:t xml:space="preserve"> </w:t>
      </w:r>
      <w:r w:rsidR="00AF5155">
        <w:t>remove</w:t>
      </w:r>
      <w:r w:rsidR="009D38F8">
        <w:t>s</w:t>
      </w:r>
      <w:r w:rsidR="00AF5155">
        <w:t xml:space="preserve"> </w:t>
      </w:r>
      <w:r w:rsidR="009D38F8">
        <w:t xml:space="preserve">the reference to </w:t>
      </w:r>
      <w:r w:rsidR="00AF5155">
        <w:t xml:space="preserve">New Zealand </w:t>
      </w:r>
      <w:r w:rsidR="009D38F8">
        <w:t xml:space="preserve">from the Regulations </w:t>
      </w:r>
      <w:r w:rsidR="00AF5155">
        <w:t>since recognition of judgments from New Zealan</w:t>
      </w:r>
      <w:r w:rsidR="009D38F8">
        <w:t>d</w:t>
      </w:r>
      <w:r w:rsidR="00AF5155">
        <w:t xml:space="preserve">’s courts in Australia is now wholly governed by the </w:t>
      </w:r>
      <w:r w:rsidR="00AF5155" w:rsidRPr="001F0976">
        <w:rPr>
          <w:i/>
        </w:rPr>
        <w:t>Trans-Tasman Proceedings Act 2010</w:t>
      </w:r>
      <w:r w:rsidR="009D38F8">
        <w:t xml:space="preserve">.  In addition, the </w:t>
      </w:r>
      <w:r w:rsidR="008E2FB3">
        <w:t>Regulation</w:t>
      </w:r>
      <w:r w:rsidR="009D38F8">
        <w:t xml:space="preserve"> corrects the</w:t>
      </w:r>
      <w:r w:rsidR="00AF5155">
        <w:t xml:space="preserve"> </w:t>
      </w:r>
      <w:r w:rsidR="009D38F8">
        <w:t>name</w:t>
      </w:r>
      <w:r w:rsidR="004E3B71">
        <w:t>s</w:t>
      </w:r>
      <w:r w:rsidR="009D38F8">
        <w:t xml:space="preserve"> </w:t>
      </w:r>
      <w:r w:rsidR="00AF5155">
        <w:t xml:space="preserve">of the United Kingdom </w:t>
      </w:r>
      <w:r w:rsidR="004E3B71">
        <w:t>c</w:t>
      </w:r>
      <w:r w:rsidR="00AF5155">
        <w:t>ourt</w:t>
      </w:r>
      <w:r w:rsidR="004E3B71">
        <w:t>s</w:t>
      </w:r>
      <w:r w:rsidR="00AF5155">
        <w:t xml:space="preserve"> listed in the Schedule as the name</w:t>
      </w:r>
      <w:r w:rsidR="008E2FB3">
        <w:t>s</w:t>
      </w:r>
      <w:r w:rsidR="00AF5155">
        <w:t xml:space="preserve"> of the </w:t>
      </w:r>
      <w:r w:rsidR="004E3B71">
        <w:t>c</w:t>
      </w:r>
      <w:r w:rsidR="00AF5155">
        <w:t>ourt</w:t>
      </w:r>
      <w:r w:rsidR="004E3B71">
        <w:t>s</w:t>
      </w:r>
      <w:r w:rsidR="00AF5155">
        <w:t xml:space="preserve"> ha</w:t>
      </w:r>
      <w:r w:rsidR="008E2FB3">
        <w:t>ve</w:t>
      </w:r>
      <w:r w:rsidR="00AF5155">
        <w:t xml:space="preserve"> changed.  </w:t>
      </w:r>
    </w:p>
    <w:p w:rsidR="00A238A2" w:rsidRDefault="00A238A2" w:rsidP="00E23358">
      <w:pPr>
        <w:tabs>
          <w:tab w:val="left" w:pos="6521"/>
        </w:tabs>
        <w:spacing w:before="0"/>
        <w:ind w:right="91"/>
      </w:pPr>
    </w:p>
    <w:p w:rsidR="00E23358" w:rsidRDefault="00E23358" w:rsidP="00E23358">
      <w:pPr>
        <w:tabs>
          <w:tab w:val="left" w:pos="6521"/>
        </w:tabs>
        <w:spacing w:before="0"/>
        <w:ind w:right="91"/>
      </w:pPr>
      <w:r>
        <w:t xml:space="preserve">Details of the Regulation are set out in the </w:t>
      </w:r>
      <w:r>
        <w:rPr>
          <w:u w:val="single"/>
        </w:rPr>
        <w:t>Attachment</w:t>
      </w:r>
      <w:r>
        <w:t>.</w:t>
      </w:r>
    </w:p>
    <w:p w:rsidR="00E23358" w:rsidRDefault="00E23358" w:rsidP="00E23358">
      <w:pPr>
        <w:tabs>
          <w:tab w:val="left" w:pos="6521"/>
        </w:tabs>
        <w:spacing w:before="0"/>
        <w:ind w:right="91"/>
      </w:pPr>
    </w:p>
    <w:p w:rsidR="00E23358" w:rsidRDefault="00E23358" w:rsidP="00E23358">
      <w:pPr>
        <w:tabs>
          <w:tab w:val="left" w:pos="6521"/>
        </w:tabs>
        <w:spacing w:before="0"/>
        <w:ind w:right="91"/>
      </w:pPr>
      <w:r>
        <w:t>The Act</w:t>
      </w:r>
      <w:r w:rsidR="004E3B71">
        <w:t xml:space="preserve"> does not</w:t>
      </w:r>
      <w:r>
        <w:t xml:space="preserve"> specif</w:t>
      </w:r>
      <w:r w:rsidR="004E3B71">
        <w:t>y</w:t>
      </w:r>
      <w:r>
        <w:t xml:space="preserve"> </w:t>
      </w:r>
      <w:r w:rsidR="004E3B71">
        <w:t xml:space="preserve">any </w:t>
      </w:r>
      <w:r>
        <w:t>conditions that need to be satisfied before the power to make the proposed Regulation may be exercised.</w:t>
      </w:r>
    </w:p>
    <w:p w:rsidR="00E23358" w:rsidRDefault="00E23358" w:rsidP="00E23358">
      <w:pPr>
        <w:tabs>
          <w:tab w:val="left" w:pos="6521"/>
        </w:tabs>
        <w:spacing w:before="0"/>
        <w:ind w:right="91"/>
      </w:pPr>
    </w:p>
    <w:p w:rsidR="00E23358" w:rsidRDefault="00E23358" w:rsidP="00E23358">
      <w:pPr>
        <w:tabs>
          <w:tab w:val="left" w:pos="6521"/>
        </w:tabs>
        <w:spacing w:before="0"/>
        <w:ind w:right="91"/>
      </w:pPr>
      <w:r>
        <w:t xml:space="preserve">The Regulation </w:t>
      </w:r>
      <w:r w:rsidR="009D38F8">
        <w:t>is</w:t>
      </w:r>
      <w:r>
        <w:t xml:space="preserve"> a legislative instrument for the purposes of the </w:t>
      </w:r>
      <w:r w:rsidR="004E3B71" w:rsidRPr="004E3B71">
        <w:rPr>
          <w:i/>
        </w:rPr>
        <w:t>Legislative Instruments Act 2003</w:t>
      </w:r>
      <w:r>
        <w:t>.</w:t>
      </w:r>
    </w:p>
    <w:p w:rsidR="00E23358" w:rsidRDefault="00E23358" w:rsidP="00E23358">
      <w:pPr>
        <w:tabs>
          <w:tab w:val="center" w:pos="4111"/>
          <w:tab w:val="left" w:pos="4536"/>
        </w:tabs>
        <w:spacing w:before="0"/>
        <w:ind w:right="91"/>
      </w:pPr>
      <w:r>
        <w:tab/>
      </w:r>
    </w:p>
    <w:p w:rsidR="009D38F8" w:rsidRDefault="009D38F8" w:rsidP="00E23358">
      <w:pPr>
        <w:tabs>
          <w:tab w:val="left" w:pos="6521"/>
        </w:tabs>
        <w:spacing w:before="0"/>
        <w:ind w:right="91"/>
      </w:pPr>
      <w:r>
        <w:t>The Office of Best Practice Regulation was consulted and a Regulation Impact Statement was not required.</w:t>
      </w:r>
    </w:p>
    <w:p w:rsidR="009D38F8" w:rsidRDefault="009D38F8" w:rsidP="00E23358">
      <w:pPr>
        <w:tabs>
          <w:tab w:val="left" w:pos="6521"/>
        </w:tabs>
        <w:spacing w:before="0"/>
        <w:ind w:right="91"/>
      </w:pPr>
    </w:p>
    <w:p w:rsidR="00E23358" w:rsidRDefault="00E23358" w:rsidP="00E23358">
      <w:pPr>
        <w:tabs>
          <w:tab w:val="left" w:pos="6521"/>
        </w:tabs>
        <w:spacing w:before="0"/>
        <w:ind w:right="91"/>
      </w:pPr>
      <w:r>
        <w:t>The Regulation commence</w:t>
      </w:r>
      <w:r w:rsidR="009D38F8">
        <w:t>d</w:t>
      </w:r>
      <w:r>
        <w:t xml:space="preserve"> on </w:t>
      </w:r>
      <w:r w:rsidR="00A238A2">
        <w:t xml:space="preserve">the day after the instrument </w:t>
      </w:r>
      <w:r w:rsidR="009D38F8">
        <w:t>wa</w:t>
      </w:r>
      <w:r w:rsidR="00A238A2">
        <w:t>s registered</w:t>
      </w:r>
      <w:r>
        <w:t>.</w:t>
      </w:r>
    </w:p>
    <w:p w:rsidR="00E23358" w:rsidRDefault="00E23358" w:rsidP="00E23358">
      <w:pPr>
        <w:tabs>
          <w:tab w:val="left" w:pos="6521"/>
        </w:tabs>
        <w:spacing w:before="0"/>
        <w:ind w:right="91"/>
      </w:pPr>
    </w:p>
    <w:p w:rsidR="00E23358" w:rsidRDefault="00E23358" w:rsidP="00E23358">
      <w:pPr>
        <w:tabs>
          <w:tab w:val="left" w:pos="6521"/>
        </w:tabs>
        <w:spacing w:before="0"/>
        <w:ind w:right="91"/>
        <w:jc w:val="both"/>
      </w:pPr>
    </w:p>
    <w:p w:rsidR="00E23358" w:rsidRPr="00010381" w:rsidRDefault="00E23358" w:rsidP="00E23358">
      <w:pPr>
        <w:tabs>
          <w:tab w:val="left" w:pos="3969"/>
          <w:tab w:val="left" w:pos="5245"/>
        </w:tabs>
        <w:spacing w:before="0"/>
        <w:ind w:right="91"/>
      </w:pPr>
      <w:r>
        <w:tab/>
        <w:t xml:space="preserve">              </w:t>
      </w:r>
      <w:r w:rsidRPr="00010381">
        <w:rPr>
          <w:u w:val="single"/>
        </w:rPr>
        <w:t>Authority:</w:t>
      </w:r>
      <w:r w:rsidRPr="00010381">
        <w:t xml:space="preserve">  </w:t>
      </w:r>
      <w:r w:rsidR="004E3B71">
        <w:t>Section 16</w:t>
      </w:r>
      <w:r w:rsidR="009C1770">
        <w:t xml:space="preserve"> </w:t>
      </w:r>
      <w:r w:rsidRPr="00010381">
        <w:t xml:space="preserve">of the </w:t>
      </w:r>
    </w:p>
    <w:p w:rsidR="00ED3DAE" w:rsidRDefault="00E23358" w:rsidP="00C84944">
      <w:pPr>
        <w:tabs>
          <w:tab w:val="left" w:pos="3969"/>
          <w:tab w:val="left" w:pos="5245"/>
        </w:tabs>
        <w:spacing w:before="0"/>
        <w:ind w:right="91"/>
        <w:rPr>
          <w:b/>
          <w:u w:val="single"/>
        </w:rPr>
      </w:pPr>
      <w:r w:rsidRPr="00010381">
        <w:rPr>
          <w:i/>
        </w:rPr>
        <w:tab/>
      </w:r>
      <w:r w:rsidRPr="00010381">
        <w:rPr>
          <w:i/>
        </w:rPr>
        <w:tab/>
        <w:t xml:space="preserve">           </w:t>
      </w:r>
      <w:r w:rsidR="009C1770">
        <w:rPr>
          <w:i/>
        </w:rPr>
        <w:t>Foreign Judgments Act 1991</w:t>
      </w:r>
    </w:p>
    <w:p w:rsidR="00A54F77" w:rsidRPr="00E23358" w:rsidRDefault="00A54F77" w:rsidP="00E23358"/>
    <w:sectPr w:rsidR="00A54F77" w:rsidRPr="00E23358" w:rsidSect="005C65E0">
      <w:footerReference w:type="default" r:id="rId9"/>
      <w:pgSz w:w="11906" w:h="16838"/>
      <w:pgMar w:top="426" w:right="1440" w:bottom="284"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84" w:rsidRDefault="00555884" w:rsidP="00555884">
      <w:pPr>
        <w:spacing w:before="0"/>
      </w:pPr>
      <w:r>
        <w:separator/>
      </w:r>
    </w:p>
  </w:endnote>
  <w:endnote w:type="continuationSeparator" w:id="0">
    <w:p w:rsidR="00555884" w:rsidRDefault="00555884" w:rsidP="005558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84" w:rsidRDefault="00555884">
    <w:pPr>
      <w:pStyle w:val="Footer"/>
      <w:jc w:val="center"/>
    </w:pPr>
  </w:p>
  <w:p w:rsidR="00555884" w:rsidRDefault="00555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84" w:rsidRDefault="00555884" w:rsidP="00555884">
      <w:pPr>
        <w:spacing w:before="0"/>
      </w:pPr>
      <w:r>
        <w:separator/>
      </w:r>
    </w:p>
  </w:footnote>
  <w:footnote w:type="continuationSeparator" w:id="0">
    <w:p w:rsidR="00555884" w:rsidRDefault="00555884" w:rsidP="0055588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nsid w:val="48756D42"/>
    <w:multiLevelType w:val="multilevel"/>
    <w:tmpl w:val="990A8EC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E2E0478"/>
    <w:multiLevelType w:val="singleLevel"/>
    <w:tmpl w:val="FD0A1E24"/>
    <w:lvl w:ilvl="0">
      <w:start w:val="1"/>
      <w:numFmt w:val="decimal"/>
      <w:pStyle w:val="Paragraphnumbered"/>
      <w:lvlText w:val="%1."/>
      <w:lvlJc w:val="left"/>
      <w:pPr>
        <w:ind w:left="567" w:hanging="567"/>
      </w:pPr>
      <w:rPr>
        <w:rFonts w:hint="default"/>
        <w:b w:val="0"/>
      </w:r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nsid w:val="7EBF46C3"/>
    <w:multiLevelType w:val="hybridMultilevel"/>
    <w:tmpl w:val="B7F49F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77"/>
    <w:rsid w:val="000031C5"/>
    <w:rsid w:val="00010381"/>
    <w:rsid w:val="00011FD8"/>
    <w:rsid w:val="000229F1"/>
    <w:rsid w:val="000449ED"/>
    <w:rsid w:val="000470EF"/>
    <w:rsid w:val="000542FE"/>
    <w:rsid w:val="000D2988"/>
    <w:rsid w:val="000D50CD"/>
    <w:rsid w:val="0015046B"/>
    <w:rsid w:val="00152D07"/>
    <w:rsid w:val="001828EE"/>
    <w:rsid w:val="001D6D73"/>
    <w:rsid w:val="001F0976"/>
    <w:rsid w:val="001F2F03"/>
    <w:rsid w:val="002432F1"/>
    <w:rsid w:val="00262448"/>
    <w:rsid w:val="002B4BF1"/>
    <w:rsid w:val="002C0D20"/>
    <w:rsid w:val="002F5A78"/>
    <w:rsid w:val="00322C12"/>
    <w:rsid w:val="00330EF5"/>
    <w:rsid w:val="00385B23"/>
    <w:rsid w:val="004E3B71"/>
    <w:rsid w:val="005431BE"/>
    <w:rsid w:val="00555884"/>
    <w:rsid w:val="005674D3"/>
    <w:rsid w:val="00585557"/>
    <w:rsid w:val="005903DF"/>
    <w:rsid w:val="005B50E5"/>
    <w:rsid w:val="005C65E0"/>
    <w:rsid w:val="005D33D5"/>
    <w:rsid w:val="00617835"/>
    <w:rsid w:val="006A13E9"/>
    <w:rsid w:val="00716483"/>
    <w:rsid w:val="00785173"/>
    <w:rsid w:val="007C2738"/>
    <w:rsid w:val="007D23B2"/>
    <w:rsid w:val="007E3912"/>
    <w:rsid w:val="00830C87"/>
    <w:rsid w:val="00882508"/>
    <w:rsid w:val="00884D5E"/>
    <w:rsid w:val="008E2FB3"/>
    <w:rsid w:val="008F0AB1"/>
    <w:rsid w:val="0091498E"/>
    <w:rsid w:val="00917A61"/>
    <w:rsid w:val="00926D1E"/>
    <w:rsid w:val="00930D61"/>
    <w:rsid w:val="009766F2"/>
    <w:rsid w:val="009932EF"/>
    <w:rsid w:val="009A227E"/>
    <w:rsid w:val="009C1770"/>
    <w:rsid w:val="009D38F8"/>
    <w:rsid w:val="009F5BC6"/>
    <w:rsid w:val="00A238A2"/>
    <w:rsid w:val="00A36ED1"/>
    <w:rsid w:val="00A54F77"/>
    <w:rsid w:val="00AF12DA"/>
    <w:rsid w:val="00AF5155"/>
    <w:rsid w:val="00B02361"/>
    <w:rsid w:val="00B169CD"/>
    <w:rsid w:val="00BF375A"/>
    <w:rsid w:val="00C450AB"/>
    <w:rsid w:val="00C84944"/>
    <w:rsid w:val="00D339D6"/>
    <w:rsid w:val="00DE0881"/>
    <w:rsid w:val="00E156A7"/>
    <w:rsid w:val="00E23358"/>
    <w:rsid w:val="00E55B8B"/>
    <w:rsid w:val="00E67899"/>
    <w:rsid w:val="00E710F2"/>
    <w:rsid w:val="00E73180"/>
    <w:rsid w:val="00E77F35"/>
    <w:rsid w:val="00ED3DAE"/>
    <w:rsid w:val="00EF4093"/>
    <w:rsid w:val="00F21407"/>
    <w:rsid w:val="00FE0DBE"/>
    <w:rsid w:val="00FF7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77"/>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A54F7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54F77"/>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54F77"/>
    <w:rPr>
      <w:b/>
      <w:sz w:val="24"/>
    </w:rPr>
  </w:style>
  <w:style w:type="paragraph" w:customStyle="1" w:styleId="Appendix">
    <w:name w:val="Appendix"/>
    <w:basedOn w:val="Normal"/>
    <w:link w:val="AppendixCharChar"/>
    <w:rsid w:val="00A54F77"/>
    <w:pPr>
      <w:spacing w:before="0"/>
      <w:jc w:val="right"/>
    </w:pPr>
    <w:rPr>
      <w:rFonts w:asciiTheme="minorHAnsi" w:eastAsiaTheme="minorHAnsi" w:hAnsiTheme="minorHAnsi" w:cstheme="minorBidi"/>
      <w:b/>
      <w:szCs w:val="22"/>
      <w:lang w:eastAsia="en-US"/>
    </w:rPr>
  </w:style>
  <w:style w:type="paragraph" w:customStyle="1" w:styleId="HB-dotpoint">
    <w:name w:val="HB - dotpoint"/>
    <w:basedOn w:val="Normal"/>
    <w:rsid w:val="00A54F77"/>
    <w:pPr>
      <w:numPr>
        <w:numId w:val="1"/>
      </w:numPr>
      <w:spacing w:before="180"/>
    </w:pPr>
  </w:style>
  <w:style w:type="paragraph" w:customStyle="1" w:styleId="Paragraphnumbered">
    <w:name w:val="Paragraph (numbered)"/>
    <w:basedOn w:val="Normal"/>
    <w:rsid w:val="00555884"/>
    <w:pPr>
      <w:numPr>
        <w:numId w:val="3"/>
      </w:numPr>
    </w:pPr>
  </w:style>
  <w:style w:type="paragraph" w:styleId="Header">
    <w:name w:val="header"/>
    <w:basedOn w:val="Normal"/>
    <w:link w:val="HeaderChar"/>
    <w:uiPriority w:val="99"/>
    <w:unhideWhenUsed/>
    <w:rsid w:val="00555884"/>
    <w:pPr>
      <w:tabs>
        <w:tab w:val="center" w:pos="4513"/>
        <w:tab w:val="right" w:pos="9026"/>
      </w:tabs>
      <w:spacing w:before="0"/>
    </w:pPr>
  </w:style>
  <w:style w:type="character" w:customStyle="1" w:styleId="HeaderChar">
    <w:name w:val="Header Char"/>
    <w:basedOn w:val="DefaultParagraphFont"/>
    <w:link w:val="Header"/>
    <w:uiPriority w:val="99"/>
    <w:rsid w:val="0055588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555884"/>
    <w:pPr>
      <w:tabs>
        <w:tab w:val="center" w:pos="4513"/>
        <w:tab w:val="right" w:pos="9026"/>
      </w:tabs>
      <w:spacing w:before="0"/>
    </w:pPr>
  </w:style>
  <w:style w:type="character" w:customStyle="1" w:styleId="FooterChar">
    <w:name w:val="Footer Char"/>
    <w:basedOn w:val="DefaultParagraphFont"/>
    <w:link w:val="Footer"/>
    <w:uiPriority w:val="99"/>
    <w:rsid w:val="00555884"/>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semiHidden/>
    <w:unhideWhenUsed/>
    <w:rsid w:val="005431BE"/>
    <w:rPr>
      <w:sz w:val="20"/>
    </w:rPr>
  </w:style>
  <w:style w:type="character" w:customStyle="1" w:styleId="CommentTextChar">
    <w:name w:val="Comment Text Char"/>
    <w:basedOn w:val="DefaultParagraphFont"/>
    <w:link w:val="CommentText"/>
    <w:uiPriority w:val="99"/>
    <w:semiHidden/>
    <w:rsid w:val="005431B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229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F1"/>
    <w:rPr>
      <w:rFonts w:ascii="Tahoma" w:eastAsia="Times New Roman" w:hAnsi="Tahoma" w:cs="Tahoma"/>
      <w:sz w:val="16"/>
      <w:szCs w:val="16"/>
      <w:lang w:eastAsia="en-AU"/>
    </w:rPr>
  </w:style>
  <w:style w:type="paragraph" w:styleId="ListParagraph">
    <w:name w:val="List Paragraph"/>
    <w:basedOn w:val="Normal"/>
    <w:uiPriority w:val="34"/>
    <w:qFormat/>
    <w:rsid w:val="000470EF"/>
    <w:pPr>
      <w:spacing w:before="0"/>
      <w:ind w:left="720"/>
    </w:pPr>
    <w:rPr>
      <w:rFonts w:eastAsiaTheme="minorHAnsi"/>
      <w:szCs w:val="24"/>
    </w:rPr>
  </w:style>
  <w:style w:type="character" w:styleId="CommentReference">
    <w:name w:val="annotation reference"/>
    <w:basedOn w:val="DefaultParagraphFont"/>
    <w:uiPriority w:val="99"/>
    <w:semiHidden/>
    <w:unhideWhenUsed/>
    <w:rsid w:val="00A238A2"/>
    <w:rPr>
      <w:sz w:val="16"/>
      <w:szCs w:val="16"/>
    </w:rPr>
  </w:style>
  <w:style w:type="paragraph" w:styleId="CommentSubject">
    <w:name w:val="annotation subject"/>
    <w:basedOn w:val="CommentText"/>
    <w:next w:val="CommentText"/>
    <w:link w:val="CommentSubjectChar"/>
    <w:uiPriority w:val="99"/>
    <w:semiHidden/>
    <w:unhideWhenUsed/>
    <w:rsid w:val="00A238A2"/>
    <w:rPr>
      <w:b/>
      <w:bCs/>
    </w:rPr>
  </w:style>
  <w:style w:type="character" w:customStyle="1" w:styleId="CommentSubjectChar">
    <w:name w:val="Comment Subject Char"/>
    <w:basedOn w:val="CommentTextChar"/>
    <w:link w:val="CommentSubject"/>
    <w:uiPriority w:val="99"/>
    <w:semiHidden/>
    <w:rsid w:val="00A238A2"/>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77"/>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semiHidden/>
    <w:unhideWhenUsed/>
    <w:qFormat/>
    <w:rsid w:val="00A54F7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54F77"/>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54F77"/>
    <w:rPr>
      <w:b/>
      <w:sz w:val="24"/>
    </w:rPr>
  </w:style>
  <w:style w:type="paragraph" w:customStyle="1" w:styleId="Appendix">
    <w:name w:val="Appendix"/>
    <w:basedOn w:val="Normal"/>
    <w:link w:val="AppendixCharChar"/>
    <w:rsid w:val="00A54F77"/>
    <w:pPr>
      <w:spacing w:before="0"/>
      <w:jc w:val="right"/>
    </w:pPr>
    <w:rPr>
      <w:rFonts w:asciiTheme="minorHAnsi" w:eastAsiaTheme="minorHAnsi" w:hAnsiTheme="minorHAnsi" w:cstheme="minorBidi"/>
      <w:b/>
      <w:szCs w:val="22"/>
      <w:lang w:eastAsia="en-US"/>
    </w:rPr>
  </w:style>
  <w:style w:type="paragraph" w:customStyle="1" w:styleId="HB-dotpoint">
    <w:name w:val="HB - dotpoint"/>
    <w:basedOn w:val="Normal"/>
    <w:rsid w:val="00A54F77"/>
    <w:pPr>
      <w:numPr>
        <w:numId w:val="1"/>
      </w:numPr>
      <w:spacing w:before="180"/>
    </w:pPr>
  </w:style>
  <w:style w:type="paragraph" w:customStyle="1" w:styleId="Paragraphnumbered">
    <w:name w:val="Paragraph (numbered)"/>
    <w:basedOn w:val="Normal"/>
    <w:rsid w:val="00555884"/>
    <w:pPr>
      <w:numPr>
        <w:numId w:val="3"/>
      </w:numPr>
    </w:pPr>
  </w:style>
  <w:style w:type="paragraph" w:styleId="Header">
    <w:name w:val="header"/>
    <w:basedOn w:val="Normal"/>
    <w:link w:val="HeaderChar"/>
    <w:uiPriority w:val="99"/>
    <w:unhideWhenUsed/>
    <w:rsid w:val="00555884"/>
    <w:pPr>
      <w:tabs>
        <w:tab w:val="center" w:pos="4513"/>
        <w:tab w:val="right" w:pos="9026"/>
      </w:tabs>
      <w:spacing w:before="0"/>
    </w:pPr>
  </w:style>
  <w:style w:type="character" w:customStyle="1" w:styleId="HeaderChar">
    <w:name w:val="Header Char"/>
    <w:basedOn w:val="DefaultParagraphFont"/>
    <w:link w:val="Header"/>
    <w:uiPriority w:val="99"/>
    <w:rsid w:val="0055588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555884"/>
    <w:pPr>
      <w:tabs>
        <w:tab w:val="center" w:pos="4513"/>
        <w:tab w:val="right" w:pos="9026"/>
      </w:tabs>
      <w:spacing w:before="0"/>
    </w:pPr>
  </w:style>
  <w:style w:type="character" w:customStyle="1" w:styleId="FooterChar">
    <w:name w:val="Footer Char"/>
    <w:basedOn w:val="DefaultParagraphFont"/>
    <w:link w:val="Footer"/>
    <w:uiPriority w:val="99"/>
    <w:rsid w:val="00555884"/>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semiHidden/>
    <w:unhideWhenUsed/>
    <w:rsid w:val="005431BE"/>
    <w:rPr>
      <w:sz w:val="20"/>
    </w:rPr>
  </w:style>
  <w:style w:type="character" w:customStyle="1" w:styleId="CommentTextChar">
    <w:name w:val="Comment Text Char"/>
    <w:basedOn w:val="DefaultParagraphFont"/>
    <w:link w:val="CommentText"/>
    <w:uiPriority w:val="99"/>
    <w:semiHidden/>
    <w:rsid w:val="005431B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0229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9F1"/>
    <w:rPr>
      <w:rFonts w:ascii="Tahoma" w:eastAsia="Times New Roman" w:hAnsi="Tahoma" w:cs="Tahoma"/>
      <w:sz w:val="16"/>
      <w:szCs w:val="16"/>
      <w:lang w:eastAsia="en-AU"/>
    </w:rPr>
  </w:style>
  <w:style w:type="paragraph" w:styleId="ListParagraph">
    <w:name w:val="List Paragraph"/>
    <w:basedOn w:val="Normal"/>
    <w:uiPriority w:val="34"/>
    <w:qFormat/>
    <w:rsid w:val="000470EF"/>
    <w:pPr>
      <w:spacing w:before="0"/>
      <w:ind w:left="720"/>
    </w:pPr>
    <w:rPr>
      <w:rFonts w:eastAsiaTheme="minorHAnsi"/>
      <w:szCs w:val="24"/>
    </w:rPr>
  </w:style>
  <w:style w:type="character" w:styleId="CommentReference">
    <w:name w:val="annotation reference"/>
    <w:basedOn w:val="DefaultParagraphFont"/>
    <w:uiPriority w:val="99"/>
    <w:semiHidden/>
    <w:unhideWhenUsed/>
    <w:rsid w:val="00A238A2"/>
    <w:rPr>
      <w:sz w:val="16"/>
      <w:szCs w:val="16"/>
    </w:rPr>
  </w:style>
  <w:style w:type="paragraph" w:styleId="CommentSubject">
    <w:name w:val="annotation subject"/>
    <w:basedOn w:val="CommentText"/>
    <w:next w:val="CommentText"/>
    <w:link w:val="CommentSubjectChar"/>
    <w:uiPriority w:val="99"/>
    <w:semiHidden/>
    <w:unhideWhenUsed/>
    <w:rsid w:val="00A238A2"/>
    <w:rPr>
      <w:b/>
      <w:bCs/>
    </w:rPr>
  </w:style>
  <w:style w:type="character" w:customStyle="1" w:styleId="CommentSubjectChar">
    <w:name w:val="Comment Subject Char"/>
    <w:basedOn w:val="CommentTextChar"/>
    <w:link w:val="CommentSubject"/>
    <w:uiPriority w:val="99"/>
    <w:semiHidden/>
    <w:rsid w:val="00A238A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4409">
      <w:bodyDiv w:val="1"/>
      <w:marLeft w:val="0"/>
      <w:marRight w:val="0"/>
      <w:marTop w:val="0"/>
      <w:marBottom w:val="0"/>
      <w:divBdr>
        <w:top w:val="none" w:sz="0" w:space="0" w:color="auto"/>
        <w:left w:val="none" w:sz="0" w:space="0" w:color="auto"/>
        <w:bottom w:val="none" w:sz="0" w:space="0" w:color="auto"/>
        <w:right w:val="none" w:sz="0" w:space="0" w:color="auto"/>
      </w:divBdr>
    </w:div>
    <w:div w:id="411243250">
      <w:bodyDiv w:val="1"/>
      <w:marLeft w:val="0"/>
      <w:marRight w:val="0"/>
      <w:marTop w:val="0"/>
      <w:marBottom w:val="0"/>
      <w:divBdr>
        <w:top w:val="none" w:sz="0" w:space="0" w:color="auto"/>
        <w:left w:val="none" w:sz="0" w:space="0" w:color="auto"/>
        <w:bottom w:val="none" w:sz="0" w:space="0" w:color="auto"/>
        <w:right w:val="none" w:sz="0" w:space="0" w:color="auto"/>
      </w:divBdr>
    </w:div>
    <w:div w:id="905841614">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21202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7BB8-2035-46A3-B125-402FBF9C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branss</dc:creator>
  <cp:lastModifiedBy>Alabaster, John</cp:lastModifiedBy>
  <cp:revision>2</cp:revision>
  <dcterms:created xsi:type="dcterms:W3CDTF">2015-11-25T03:32:00Z</dcterms:created>
  <dcterms:modified xsi:type="dcterms:W3CDTF">2015-11-25T03:32:00Z</dcterms:modified>
</cp:coreProperties>
</file>