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314" w:rsidRPr="006E6314" w:rsidRDefault="006E6314" w:rsidP="006E6314">
      <w:pPr>
        <w:spacing w:before="120" w:after="120" w:line="240" w:lineRule="auto"/>
        <w:jc w:val="center"/>
        <w:rPr>
          <w:rFonts w:ascii="Times New Roman" w:eastAsia="Times New Roman" w:hAnsi="Times New Roman" w:cs="Times New Roman"/>
          <w:sz w:val="24"/>
          <w:szCs w:val="24"/>
          <w:lang w:val="en-US" w:eastAsia="en-AU"/>
        </w:rPr>
      </w:pPr>
      <w:r w:rsidRPr="006E6314">
        <w:rPr>
          <w:rFonts w:ascii="Times New Roman" w:eastAsia="Times New Roman" w:hAnsi="Times New Roman" w:cs="Times New Roman"/>
          <w:b/>
          <w:bCs/>
          <w:sz w:val="24"/>
          <w:szCs w:val="24"/>
          <w:u w:val="single"/>
          <w:lang w:eastAsia="en-AU"/>
        </w:rPr>
        <w:t>EXPLANATORY STATEMENT</w:t>
      </w:r>
    </w:p>
    <w:p w:rsidR="006E6314" w:rsidRPr="006E6314" w:rsidRDefault="006E6314" w:rsidP="006E6314">
      <w:pPr>
        <w:spacing w:before="120" w:after="120" w:line="240" w:lineRule="auto"/>
        <w:rPr>
          <w:rFonts w:ascii="Times New Roman" w:eastAsia="Times New Roman" w:hAnsi="Times New Roman" w:cs="Times New Roman"/>
          <w:sz w:val="24"/>
          <w:szCs w:val="24"/>
          <w:lang w:val="en-US" w:eastAsia="en-AU"/>
        </w:rPr>
      </w:pPr>
      <w:r w:rsidRPr="006E6314">
        <w:rPr>
          <w:rFonts w:ascii="Times New Roman" w:eastAsia="Times New Roman" w:hAnsi="Times New Roman" w:cs="Times New Roman"/>
          <w:b/>
          <w:bCs/>
          <w:sz w:val="24"/>
          <w:szCs w:val="24"/>
          <w:lang w:eastAsia="en-AU"/>
        </w:rPr>
        <w:t> </w:t>
      </w:r>
    </w:p>
    <w:p w:rsidR="006E6314" w:rsidRPr="006E6314" w:rsidRDefault="006E6314" w:rsidP="006E6314">
      <w:pPr>
        <w:spacing w:before="120" w:after="120" w:line="240" w:lineRule="auto"/>
        <w:jc w:val="center"/>
        <w:rPr>
          <w:rFonts w:ascii="Times New Roman" w:eastAsia="Times New Roman" w:hAnsi="Times New Roman" w:cs="Times New Roman"/>
          <w:sz w:val="24"/>
          <w:szCs w:val="24"/>
          <w:lang w:val="en-US" w:eastAsia="en-AU"/>
        </w:rPr>
      </w:pPr>
      <w:r w:rsidRPr="006E6314">
        <w:rPr>
          <w:rFonts w:ascii="Times New Roman" w:eastAsia="Times New Roman" w:hAnsi="Times New Roman" w:cs="Times New Roman"/>
          <w:b/>
          <w:bCs/>
          <w:sz w:val="24"/>
          <w:szCs w:val="24"/>
          <w:lang w:eastAsia="en-AU"/>
        </w:rPr>
        <w:t>Medicines Advisory Statements Specification 201</w:t>
      </w:r>
      <w:r w:rsidR="008A28C7">
        <w:rPr>
          <w:rFonts w:ascii="Times New Roman" w:eastAsia="Times New Roman" w:hAnsi="Times New Roman" w:cs="Times New Roman"/>
          <w:b/>
          <w:bCs/>
          <w:sz w:val="24"/>
          <w:szCs w:val="24"/>
          <w:lang w:eastAsia="en-AU"/>
        </w:rPr>
        <w:t>6</w:t>
      </w:r>
    </w:p>
    <w:p w:rsidR="006E6314" w:rsidRPr="006E6314" w:rsidRDefault="006E6314" w:rsidP="006E6314">
      <w:pPr>
        <w:spacing w:before="120" w:after="120" w:line="240" w:lineRule="auto"/>
        <w:jc w:val="center"/>
        <w:rPr>
          <w:rFonts w:ascii="Times New Roman" w:eastAsia="Times New Roman" w:hAnsi="Times New Roman" w:cs="Times New Roman"/>
          <w:sz w:val="24"/>
          <w:szCs w:val="24"/>
          <w:lang w:val="en-US" w:eastAsia="en-AU"/>
        </w:rPr>
      </w:pPr>
      <w:r w:rsidRPr="006E6314">
        <w:rPr>
          <w:rFonts w:ascii="Times New Roman" w:eastAsia="Times New Roman" w:hAnsi="Times New Roman" w:cs="Times New Roman"/>
          <w:i/>
          <w:iCs/>
          <w:sz w:val="24"/>
          <w:szCs w:val="24"/>
          <w:lang w:eastAsia="en-AU"/>
        </w:rPr>
        <w:t> </w:t>
      </w:r>
    </w:p>
    <w:p w:rsidR="006E6314" w:rsidRPr="006E6314" w:rsidRDefault="006E6314" w:rsidP="006E6314">
      <w:pPr>
        <w:spacing w:before="120" w:after="120" w:line="240" w:lineRule="auto"/>
        <w:jc w:val="center"/>
        <w:rPr>
          <w:rFonts w:ascii="Times New Roman" w:eastAsia="Times New Roman" w:hAnsi="Times New Roman" w:cs="Times New Roman"/>
          <w:sz w:val="24"/>
          <w:szCs w:val="24"/>
          <w:lang w:val="en-US" w:eastAsia="en-AU"/>
        </w:rPr>
      </w:pPr>
      <w:r w:rsidRPr="006E6314">
        <w:rPr>
          <w:rFonts w:ascii="Times New Roman" w:eastAsia="Times New Roman" w:hAnsi="Times New Roman" w:cs="Times New Roman"/>
          <w:i/>
          <w:iCs/>
          <w:sz w:val="24"/>
          <w:szCs w:val="24"/>
          <w:lang w:eastAsia="en-AU"/>
        </w:rPr>
        <w:t>Subsection 3(5A), Therapeutic Goods Act 1989</w:t>
      </w:r>
    </w:p>
    <w:p w:rsidR="006E6314" w:rsidRPr="006E6314" w:rsidRDefault="006E6314" w:rsidP="006E6314">
      <w:pPr>
        <w:spacing w:before="120" w:after="120" w:line="240" w:lineRule="auto"/>
        <w:jc w:val="center"/>
        <w:rPr>
          <w:rFonts w:ascii="Times New Roman" w:eastAsia="Times New Roman" w:hAnsi="Times New Roman" w:cs="Times New Roman"/>
          <w:sz w:val="24"/>
          <w:szCs w:val="24"/>
          <w:lang w:val="en-US" w:eastAsia="en-AU"/>
        </w:rPr>
      </w:pPr>
      <w:r w:rsidRPr="006E6314">
        <w:rPr>
          <w:rFonts w:ascii="Times New Roman" w:eastAsia="Times New Roman" w:hAnsi="Times New Roman" w:cs="Times New Roman"/>
          <w:sz w:val="24"/>
          <w:szCs w:val="24"/>
          <w:lang w:eastAsia="en-AU"/>
        </w:rPr>
        <w:t> </w:t>
      </w:r>
    </w:p>
    <w:p w:rsidR="006E6314" w:rsidRPr="006E6314" w:rsidRDefault="006E6314" w:rsidP="00FA4CE6">
      <w:pPr>
        <w:spacing w:before="120" w:after="120" w:line="240" w:lineRule="auto"/>
        <w:rPr>
          <w:rFonts w:ascii="Times New Roman" w:eastAsia="Times New Roman" w:hAnsi="Times New Roman" w:cs="Times New Roman"/>
          <w:sz w:val="24"/>
          <w:szCs w:val="24"/>
          <w:lang w:val="en-US" w:eastAsia="en-AU"/>
        </w:rPr>
      </w:pPr>
      <w:r w:rsidRPr="006E6314">
        <w:rPr>
          <w:rFonts w:ascii="Times New Roman" w:eastAsia="Times New Roman" w:hAnsi="Times New Roman" w:cs="Times New Roman"/>
          <w:sz w:val="24"/>
          <w:szCs w:val="24"/>
          <w:lang w:eastAsia="en-AU"/>
        </w:rPr>
        <w:t xml:space="preserve">The </w:t>
      </w:r>
      <w:r w:rsidRPr="006E6314">
        <w:rPr>
          <w:rFonts w:ascii="Times New Roman" w:eastAsia="Times New Roman" w:hAnsi="Times New Roman" w:cs="Times New Roman"/>
          <w:i/>
          <w:iCs/>
          <w:sz w:val="24"/>
          <w:szCs w:val="24"/>
          <w:lang w:eastAsia="en-AU"/>
        </w:rPr>
        <w:t>Therapeutic Goods Act 1989</w:t>
      </w:r>
      <w:r w:rsidRPr="006E6314">
        <w:rPr>
          <w:rFonts w:ascii="Times New Roman" w:eastAsia="Times New Roman" w:hAnsi="Times New Roman" w:cs="Times New Roman"/>
          <w:sz w:val="24"/>
          <w:szCs w:val="24"/>
          <w:lang w:eastAsia="en-AU"/>
        </w:rPr>
        <w:t xml:space="preserve"> (the Act) provides for the establishment and maintenance of a national system of controls for the quality, safety, efficacy and timely availability of therapeutic goods that are used in or exported from Australia.  The Therapeutic Goods Administration (the TGA) is responsible for administering the Act.</w:t>
      </w:r>
    </w:p>
    <w:p w:rsidR="006E6314" w:rsidRPr="006E6314" w:rsidRDefault="006E6314" w:rsidP="00FA4CE6">
      <w:pPr>
        <w:spacing w:before="120" w:after="120" w:line="240" w:lineRule="auto"/>
        <w:rPr>
          <w:rFonts w:ascii="Times New Roman" w:hAnsi="Times New Roman"/>
          <w:sz w:val="24"/>
          <w:szCs w:val="24"/>
        </w:rPr>
      </w:pPr>
      <w:r w:rsidRPr="006E6314">
        <w:rPr>
          <w:rFonts w:ascii="Times New Roman" w:hAnsi="Times New Roman"/>
          <w:sz w:val="24"/>
          <w:szCs w:val="24"/>
        </w:rPr>
        <w:t xml:space="preserve">The Medicines Advisory Statements Specification </w:t>
      </w:r>
      <w:r>
        <w:rPr>
          <w:rFonts w:ascii="Times New Roman" w:hAnsi="Times New Roman"/>
          <w:sz w:val="24"/>
          <w:szCs w:val="24"/>
        </w:rPr>
        <w:t>201</w:t>
      </w:r>
      <w:r w:rsidR="008A28C7">
        <w:rPr>
          <w:rFonts w:ascii="Times New Roman" w:hAnsi="Times New Roman"/>
          <w:sz w:val="24"/>
          <w:szCs w:val="24"/>
        </w:rPr>
        <w:t>6</w:t>
      </w:r>
      <w:r>
        <w:rPr>
          <w:rFonts w:ascii="Times New Roman" w:hAnsi="Times New Roman"/>
          <w:sz w:val="24"/>
          <w:szCs w:val="24"/>
        </w:rPr>
        <w:t xml:space="preserve"> </w:t>
      </w:r>
      <w:r w:rsidRPr="006E6314">
        <w:rPr>
          <w:rFonts w:ascii="Times New Roman" w:hAnsi="Times New Roman"/>
          <w:sz w:val="24"/>
          <w:szCs w:val="24"/>
        </w:rPr>
        <w:t xml:space="preserve">(the </w:t>
      </w:r>
      <w:r w:rsidR="00B01312">
        <w:rPr>
          <w:rFonts w:ascii="Times New Roman" w:hAnsi="Times New Roman"/>
          <w:sz w:val="24"/>
          <w:szCs w:val="24"/>
        </w:rPr>
        <w:t xml:space="preserve">2016 </w:t>
      </w:r>
      <w:r w:rsidRPr="006E6314">
        <w:rPr>
          <w:rFonts w:ascii="Times New Roman" w:hAnsi="Times New Roman"/>
          <w:sz w:val="24"/>
          <w:szCs w:val="24"/>
        </w:rPr>
        <w:t>Specification) is made by the Minister under subsection 3(5A) of the Act, and has the effect of specifying, for the purposes of paragraph 3(5)(ca) of the Act, advisory statements that are required to be set out on the label of medicines that are included in a class of medicines prescribed by the regulations.</w:t>
      </w:r>
      <w:bookmarkStart w:id="0" w:name="_GoBack"/>
      <w:bookmarkEnd w:id="0"/>
    </w:p>
    <w:p w:rsidR="006E6314" w:rsidRPr="006E6314" w:rsidRDefault="006E6314" w:rsidP="00FA4CE6">
      <w:pPr>
        <w:autoSpaceDE w:val="0"/>
        <w:autoSpaceDN w:val="0"/>
        <w:adjustRightInd w:val="0"/>
        <w:spacing w:before="120" w:after="120" w:line="240" w:lineRule="auto"/>
        <w:rPr>
          <w:rFonts w:ascii="Times New Roman" w:hAnsi="Times New Roman"/>
          <w:sz w:val="24"/>
          <w:szCs w:val="24"/>
        </w:rPr>
      </w:pPr>
      <w:r w:rsidRPr="006E6314">
        <w:rPr>
          <w:rFonts w:ascii="Times New Roman" w:hAnsi="Times New Roman"/>
          <w:sz w:val="24"/>
          <w:szCs w:val="24"/>
        </w:rPr>
        <w:t>Under regulation 3AA of the Therapeutic Goods Regulations 1990 (the Regulations), such medicines are, principally, medicines other than medicines mentioned in Part 1 of Schedule 10 to the Regulations.</w:t>
      </w:r>
    </w:p>
    <w:p w:rsidR="006E6314" w:rsidRPr="006E6314" w:rsidRDefault="006E6314" w:rsidP="00FA4CE6">
      <w:pPr>
        <w:autoSpaceDE w:val="0"/>
        <w:autoSpaceDN w:val="0"/>
        <w:adjustRightInd w:val="0"/>
        <w:spacing w:before="120" w:after="120" w:line="240" w:lineRule="auto"/>
        <w:rPr>
          <w:rFonts w:ascii="Times New Roman" w:hAnsi="Times New Roman"/>
          <w:sz w:val="24"/>
          <w:szCs w:val="24"/>
        </w:rPr>
      </w:pPr>
      <w:r w:rsidRPr="006E6314">
        <w:rPr>
          <w:rFonts w:ascii="Times New Roman" w:hAnsi="Times New Roman"/>
          <w:sz w:val="24"/>
          <w:szCs w:val="24"/>
        </w:rPr>
        <w:t xml:space="preserve">As Part 1 of Schedule 10 lists prescription medicines, and a number of medicines such as radiopharmaceuticals and medical gases that are not usually supplied directly to consumers, the main kinds of medicines required to comply with the </w:t>
      </w:r>
      <w:r w:rsidR="00B01312">
        <w:rPr>
          <w:rFonts w:ascii="Times New Roman" w:hAnsi="Times New Roman"/>
          <w:sz w:val="24"/>
          <w:szCs w:val="24"/>
        </w:rPr>
        <w:t xml:space="preserve">2016 </w:t>
      </w:r>
      <w:r w:rsidRPr="006E6314">
        <w:rPr>
          <w:rFonts w:ascii="Times New Roman" w:hAnsi="Times New Roman"/>
          <w:sz w:val="24"/>
          <w:szCs w:val="24"/>
        </w:rPr>
        <w:t xml:space="preserve">Specification are medicines </w:t>
      </w:r>
      <w:r w:rsidRPr="006E6314">
        <w:rPr>
          <w:rFonts w:ascii="Times New Roman" w:hAnsi="Times New Roman"/>
          <w:i/>
          <w:sz w:val="24"/>
          <w:szCs w:val="24"/>
        </w:rPr>
        <w:t>other than</w:t>
      </w:r>
      <w:r w:rsidRPr="006E6314">
        <w:rPr>
          <w:rFonts w:ascii="Times New Roman" w:hAnsi="Times New Roman"/>
          <w:sz w:val="24"/>
          <w:szCs w:val="24"/>
        </w:rPr>
        <w:t xml:space="preserve"> such products.</w:t>
      </w:r>
    </w:p>
    <w:p w:rsidR="006E6314" w:rsidRPr="006E6314" w:rsidRDefault="006E6314" w:rsidP="00FA4CE6">
      <w:pPr>
        <w:autoSpaceDE w:val="0"/>
        <w:autoSpaceDN w:val="0"/>
        <w:adjustRightInd w:val="0"/>
        <w:spacing w:before="120" w:after="120" w:line="240" w:lineRule="auto"/>
        <w:rPr>
          <w:rFonts w:ascii="Times New Roman" w:hAnsi="Times New Roman"/>
          <w:sz w:val="24"/>
          <w:szCs w:val="24"/>
        </w:rPr>
      </w:pPr>
      <w:r w:rsidRPr="006E6314">
        <w:rPr>
          <w:rFonts w:ascii="Times New Roman" w:hAnsi="Times New Roman"/>
          <w:sz w:val="24"/>
          <w:szCs w:val="24"/>
        </w:rPr>
        <w:t xml:space="preserve">The </w:t>
      </w:r>
      <w:r w:rsidR="00B01312">
        <w:rPr>
          <w:rFonts w:ascii="Times New Roman" w:hAnsi="Times New Roman"/>
          <w:sz w:val="24"/>
          <w:szCs w:val="24"/>
        </w:rPr>
        <w:t xml:space="preserve">2016 </w:t>
      </w:r>
      <w:r w:rsidRPr="006E6314">
        <w:rPr>
          <w:rFonts w:ascii="Times New Roman" w:hAnsi="Times New Roman"/>
          <w:sz w:val="24"/>
          <w:szCs w:val="24"/>
        </w:rPr>
        <w:t>Specification commence</w:t>
      </w:r>
      <w:r w:rsidR="008A28C7">
        <w:rPr>
          <w:rFonts w:ascii="Times New Roman" w:hAnsi="Times New Roman"/>
          <w:sz w:val="24"/>
          <w:szCs w:val="24"/>
        </w:rPr>
        <w:t>s</w:t>
      </w:r>
      <w:r w:rsidRPr="006E6314">
        <w:rPr>
          <w:rFonts w:ascii="Times New Roman" w:hAnsi="Times New Roman"/>
          <w:sz w:val="24"/>
          <w:szCs w:val="24"/>
        </w:rPr>
        <w:t xml:space="preserve"> on </w:t>
      </w:r>
      <w:r w:rsidR="008A28C7">
        <w:rPr>
          <w:rFonts w:ascii="Times New Roman" w:hAnsi="Times New Roman"/>
          <w:sz w:val="24"/>
          <w:szCs w:val="24"/>
        </w:rPr>
        <w:t>1 January 2016</w:t>
      </w:r>
      <w:r w:rsidRPr="006E6314">
        <w:rPr>
          <w:rFonts w:ascii="Times New Roman" w:hAnsi="Times New Roman"/>
          <w:sz w:val="24"/>
          <w:szCs w:val="24"/>
        </w:rPr>
        <w:t>.</w:t>
      </w:r>
    </w:p>
    <w:p w:rsidR="006E6314" w:rsidRPr="006E6314" w:rsidRDefault="006E6314" w:rsidP="00FA4CE6">
      <w:pPr>
        <w:spacing w:before="240" w:after="120" w:line="240" w:lineRule="auto"/>
        <w:rPr>
          <w:rFonts w:ascii="Times New Roman" w:eastAsia="Times New Roman" w:hAnsi="Times New Roman" w:cs="Times New Roman"/>
          <w:sz w:val="24"/>
          <w:szCs w:val="24"/>
          <w:lang w:val="en-US" w:eastAsia="en-AU"/>
        </w:rPr>
      </w:pPr>
      <w:r w:rsidRPr="006E6314">
        <w:rPr>
          <w:rFonts w:ascii="Times New Roman" w:eastAsia="Times New Roman" w:hAnsi="Times New Roman" w:cs="Times New Roman"/>
          <w:b/>
          <w:bCs/>
          <w:sz w:val="24"/>
          <w:szCs w:val="24"/>
          <w:lang w:eastAsia="en-AU"/>
        </w:rPr>
        <w:t>BACKGROUND</w:t>
      </w:r>
    </w:p>
    <w:p w:rsidR="006E6314" w:rsidRPr="006E6314" w:rsidRDefault="006E6314" w:rsidP="00FA4CE6">
      <w:pPr>
        <w:spacing w:before="120" w:after="120" w:line="240" w:lineRule="auto"/>
        <w:rPr>
          <w:rFonts w:ascii="Times New Roman" w:eastAsia="Times New Roman" w:hAnsi="Times New Roman" w:cs="Times New Roman"/>
          <w:sz w:val="24"/>
          <w:szCs w:val="24"/>
          <w:lang w:val="en-US" w:eastAsia="en-AU"/>
        </w:rPr>
      </w:pPr>
      <w:r w:rsidRPr="006E6314">
        <w:rPr>
          <w:rFonts w:ascii="Times New Roman" w:eastAsia="Times New Roman" w:hAnsi="Times New Roman" w:cs="Times New Roman"/>
          <w:sz w:val="24"/>
          <w:szCs w:val="24"/>
          <w:lang w:eastAsia="en-AU"/>
        </w:rPr>
        <w:t>Subsection 3(5) of the Act sets out a number of circumstances in which the presentation of therapeutic goods is considered to be unacceptable for the purposes of the Act including, for example, where the presentation of a therapeutic good states or suggests that the goods have ingredients, components or characteristics that they do not have, or where the label of the goods does not declare the presence of a therapeutically active ingredient.</w:t>
      </w:r>
    </w:p>
    <w:p w:rsidR="006E6314" w:rsidRPr="006E6314" w:rsidRDefault="006E6314" w:rsidP="00FA4CE6">
      <w:pPr>
        <w:spacing w:before="120" w:after="120" w:line="240" w:lineRule="auto"/>
        <w:rPr>
          <w:rFonts w:ascii="Times New Roman" w:eastAsia="Times New Roman" w:hAnsi="Times New Roman" w:cs="Times New Roman"/>
          <w:sz w:val="24"/>
          <w:szCs w:val="24"/>
          <w:lang w:val="en-US" w:eastAsia="en-AU"/>
        </w:rPr>
      </w:pPr>
      <w:r w:rsidRPr="006E6314">
        <w:rPr>
          <w:rFonts w:ascii="Times New Roman" w:eastAsia="Times New Roman" w:hAnsi="Times New Roman" w:cs="Times New Roman"/>
          <w:sz w:val="24"/>
          <w:szCs w:val="24"/>
          <w:lang w:eastAsia="en-AU"/>
        </w:rPr>
        <w:t>One of these circumstances is, at paragraph 3(5)(ca) of the Act, where the therapeutic goods in question are medicines that are included in a class of medicine prescribed by the Regulations for the purposes of that paragraph, and where the medicine’s label does not contain the advisory statements specified under subsection 3(5A) of the Act in relation to the medicine.</w:t>
      </w:r>
    </w:p>
    <w:p w:rsidR="006E6314" w:rsidRDefault="006E6314" w:rsidP="00FA4CE6">
      <w:pPr>
        <w:spacing w:before="120" w:after="120" w:line="240" w:lineRule="auto"/>
        <w:rPr>
          <w:rFonts w:ascii="Times New Roman" w:eastAsia="Times New Roman" w:hAnsi="Times New Roman" w:cs="Times New Roman"/>
          <w:sz w:val="24"/>
          <w:szCs w:val="24"/>
          <w:lang w:eastAsia="en-AU"/>
        </w:rPr>
      </w:pPr>
      <w:r w:rsidRPr="006E6314">
        <w:rPr>
          <w:rFonts w:ascii="Times New Roman" w:eastAsia="Times New Roman" w:hAnsi="Times New Roman" w:cs="Times New Roman"/>
          <w:sz w:val="24"/>
          <w:szCs w:val="24"/>
          <w:lang w:eastAsia="en-AU"/>
        </w:rPr>
        <w:t> Subsection 3(5A) of the Act authorises the Minister to make a legislative instrument specifying advisory statements in relation to medicine</w:t>
      </w:r>
      <w:r w:rsidR="00401129">
        <w:rPr>
          <w:rFonts w:ascii="Times New Roman" w:eastAsia="Times New Roman" w:hAnsi="Times New Roman" w:cs="Times New Roman"/>
          <w:sz w:val="24"/>
          <w:szCs w:val="24"/>
          <w:lang w:eastAsia="en-AU"/>
        </w:rPr>
        <w:t>s</w:t>
      </w:r>
      <w:r w:rsidRPr="006E6314">
        <w:rPr>
          <w:rFonts w:ascii="Times New Roman" w:eastAsia="Times New Roman" w:hAnsi="Times New Roman" w:cs="Times New Roman"/>
          <w:sz w:val="24"/>
          <w:szCs w:val="24"/>
          <w:lang w:eastAsia="en-AU"/>
        </w:rPr>
        <w:t xml:space="preserve"> for the purposes of paragraph 3(5)(ca) of the Act.</w:t>
      </w:r>
    </w:p>
    <w:p w:rsidR="0055666B" w:rsidRPr="006E6314" w:rsidRDefault="0055666B" w:rsidP="00FA4CE6">
      <w:pPr>
        <w:spacing w:before="120" w:after="120" w:line="240" w:lineRule="auto"/>
        <w:rPr>
          <w:rFonts w:ascii="Times New Roman" w:eastAsia="Times New Roman" w:hAnsi="Times New Roman" w:cs="Times New Roman"/>
          <w:sz w:val="24"/>
          <w:szCs w:val="24"/>
          <w:lang w:val="en-US" w:eastAsia="en-AU"/>
        </w:rPr>
      </w:pPr>
      <w:r w:rsidRPr="006E6314">
        <w:rPr>
          <w:rFonts w:ascii="Times New Roman" w:eastAsia="Times New Roman" w:hAnsi="Times New Roman" w:cs="Times New Roman"/>
          <w:sz w:val="24"/>
          <w:szCs w:val="24"/>
          <w:lang w:eastAsia="en-AU"/>
        </w:rPr>
        <w:t xml:space="preserve">The main kinds of medicines required to comply with the Specification are over the counter medicines and complementary medicines. Prescription medicines and medicines such as radiopharmaceuticals and medical gases (that are not usually supplied directly to consumers), are not within the scope of the instrument. </w:t>
      </w:r>
    </w:p>
    <w:p w:rsidR="0055666B" w:rsidRPr="006E6314" w:rsidRDefault="0055666B" w:rsidP="00FA4CE6">
      <w:pPr>
        <w:spacing w:before="120" w:after="120" w:line="240" w:lineRule="auto"/>
        <w:rPr>
          <w:rFonts w:ascii="Times New Roman" w:eastAsia="Times New Roman" w:hAnsi="Times New Roman" w:cs="Times New Roman"/>
          <w:sz w:val="24"/>
          <w:szCs w:val="24"/>
          <w:lang w:val="en-US" w:eastAsia="en-AU"/>
        </w:rPr>
      </w:pPr>
      <w:r w:rsidRPr="006E6314">
        <w:rPr>
          <w:rFonts w:ascii="Times New Roman" w:eastAsia="Times New Roman" w:hAnsi="Times New Roman" w:cs="Times New Roman"/>
          <w:sz w:val="24"/>
          <w:szCs w:val="24"/>
          <w:lang w:eastAsia="en-AU"/>
        </w:rPr>
        <w:lastRenderedPageBreak/>
        <w:t>The advi</w:t>
      </w:r>
      <w:r>
        <w:rPr>
          <w:rFonts w:ascii="Times New Roman" w:eastAsia="Times New Roman" w:hAnsi="Times New Roman" w:cs="Times New Roman"/>
          <w:sz w:val="24"/>
          <w:szCs w:val="24"/>
          <w:lang w:eastAsia="en-AU"/>
        </w:rPr>
        <w:t xml:space="preserve">sory statements set out in the </w:t>
      </w:r>
      <w:r w:rsidR="00B01312">
        <w:rPr>
          <w:rFonts w:ascii="Times New Roman" w:eastAsia="Times New Roman" w:hAnsi="Times New Roman" w:cs="Times New Roman"/>
          <w:sz w:val="24"/>
          <w:szCs w:val="24"/>
          <w:lang w:eastAsia="en-AU"/>
        </w:rPr>
        <w:t xml:space="preserve">2016 </w:t>
      </w:r>
      <w:r w:rsidRPr="006E6314">
        <w:rPr>
          <w:rFonts w:ascii="Times New Roman" w:eastAsia="Times New Roman" w:hAnsi="Times New Roman" w:cs="Times New Roman"/>
          <w:sz w:val="24"/>
          <w:szCs w:val="24"/>
          <w:lang w:eastAsia="en-AU"/>
        </w:rPr>
        <w:t xml:space="preserve">Specification are designed to address specific risks related to the use of medicines that have been identified via pharmacovigilance activities, testing, adverse event reports or other scientific or clinical information. Having advisory statements on medicine labels ensures that consumers are informed about these risks.   </w:t>
      </w:r>
    </w:p>
    <w:p w:rsidR="0055666B" w:rsidRDefault="0055666B" w:rsidP="00FA4CE6">
      <w:pPr>
        <w:pStyle w:val="ListParagraph"/>
        <w:autoSpaceDE w:val="0"/>
        <w:autoSpaceDN w:val="0"/>
        <w:adjustRightInd w:val="0"/>
        <w:spacing w:before="120" w:beforeAutospacing="0" w:after="120" w:afterAutospacing="0"/>
      </w:pPr>
      <w:r>
        <w:t>The need for new advisory statements to be included on the labels of relevant medicines may arise for a number of reasons, including the entry of new medicines into the market, the approval of new substances for inclusion in listed medicines, the identification of new risks associated with particular medicines and “down-scheduling” of medicines in the Poisons Standard.</w:t>
      </w:r>
    </w:p>
    <w:p w:rsidR="0055666B" w:rsidRDefault="0055666B" w:rsidP="00FA4CE6">
      <w:pPr>
        <w:pStyle w:val="ListParagraph"/>
        <w:autoSpaceDE w:val="0"/>
        <w:autoSpaceDN w:val="0"/>
        <w:adjustRightInd w:val="0"/>
        <w:spacing w:before="120" w:beforeAutospacing="0" w:after="120" w:afterAutospacing="0"/>
      </w:pPr>
      <w:r>
        <w:t>“Down-scheduling” refers to where the Secretary moves a medicine from a higher risk schedule of the Poisons Standard to a lower risk schedule, meaning an affected product may then be more widely available for self-selection by consumers.  Consequently, there may be a need in such circumstances for advisory statements to help consumers to self-select in an informed manner and to use such medicines safely and effectively.</w:t>
      </w:r>
    </w:p>
    <w:p w:rsidR="0055666B" w:rsidRPr="0055666B" w:rsidRDefault="00AA2711" w:rsidP="00FA4CE6">
      <w:pPr>
        <w:spacing w:before="120" w:after="120"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T</w:t>
      </w:r>
      <w:r w:rsidR="0055666B" w:rsidRPr="0055666B">
        <w:rPr>
          <w:rFonts w:ascii="Times New Roman" w:eastAsia="Times New Roman" w:hAnsi="Times New Roman" w:cs="Times New Roman"/>
          <w:sz w:val="24"/>
          <w:szCs w:val="24"/>
          <w:lang w:val="en-US" w:eastAsia="en-AU"/>
        </w:rPr>
        <w:t xml:space="preserve">he </w:t>
      </w:r>
      <w:r w:rsidR="001A6503">
        <w:rPr>
          <w:rFonts w:ascii="Times New Roman" w:eastAsia="Times New Roman" w:hAnsi="Times New Roman" w:cs="Times New Roman"/>
          <w:sz w:val="24"/>
          <w:szCs w:val="24"/>
          <w:lang w:val="en-US" w:eastAsia="en-AU"/>
        </w:rPr>
        <w:t>Medicines Advisory Statements Specification</w:t>
      </w:r>
      <w:r w:rsidR="0055666B" w:rsidRPr="0055666B">
        <w:rPr>
          <w:rFonts w:ascii="Times New Roman" w:eastAsia="Times New Roman" w:hAnsi="Times New Roman" w:cs="Times New Roman"/>
          <w:sz w:val="24"/>
          <w:szCs w:val="24"/>
          <w:lang w:val="en-US" w:eastAsia="en-AU"/>
        </w:rPr>
        <w:t xml:space="preserve"> 201</w:t>
      </w:r>
      <w:r w:rsidR="008A28C7">
        <w:rPr>
          <w:rFonts w:ascii="Times New Roman" w:eastAsia="Times New Roman" w:hAnsi="Times New Roman" w:cs="Times New Roman"/>
          <w:sz w:val="24"/>
          <w:szCs w:val="24"/>
          <w:lang w:val="en-US" w:eastAsia="en-AU"/>
        </w:rPr>
        <w:t>6</w:t>
      </w:r>
      <w:r>
        <w:rPr>
          <w:rFonts w:ascii="Times New Roman" w:eastAsia="Times New Roman" w:hAnsi="Times New Roman" w:cs="Times New Roman"/>
          <w:sz w:val="24"/>
          <w:szCs w:val="24"/>
          <w:lang w:val="en-US" w:eastAsia="en-AU"/>
        </w:rPr>
        <w:t xml:space="preserve"> (the 2016 Specification</w:t>
      </w:r>
      <w:r w:rsidR="0055666B" w:rsidRPr="0055666B">
        <w:rPr>
          <w:rFonts w:ascii="Times New Roman" w:eastAsia="Times New Roman" w:hAnsi="Times New Roman" w:cs="Times New Roman"/>
          <w:sz w:val="24"/>
          <w:szCs w:val="24"/>
          <w:lang w:val="en-US" w:eastAsia="en-AU"/>
        </w:rPr>
        <w:t xml:space="preserve">) </w:t>
      </w:r>
      <w:r>
        <w:rPr>
          <w:rFonts w:ascii="Times New Roman" w:eastAsia="Times New Roman" w:hAnsi="Times New Roman" w:cs="Times New Roman"/>
          <w:sz w:val="24"/>
          <w:szCs w:val="24"/>
          <w:lang w:val="en-US" w:eastAsia="en-AU"/>
        </w:rPr>
        <w:t xml:space="preserve">is intended </w:t>
      </w:r>
      <w:r w:rsidR="00A60380">
        <w:rPr>
          <w:rFonts w:ascii="Times New Roman" w:eastAsia="Times New Roman" w:hAnsi="Times New Roman" w:cs="Times New Roman"/>
          <w:sz w:val="24"/>
          <w:szCs w:val="24"/>
          <w:lang w:val="en-US" w:eastAsia="en-AU"/>
        </w:rPr>
        <w:t xml:space="preserve">to </w:t>
      </w:r>
      <w:r w:rsidR="00EC0C6C">
        <w:rPr>
          <w:rFonts w:ascii="Times New Roman" w:eastAsia="Times New Roman" w:hAnsi="Times New Roman" w:cs="Times New Roman"/>
          <w:sz w:val="24"/>
          <w:szCs w:val="24"/>
          <w:lang w:val="en-US" w:eastAsia="en-AU"/>
        </w:rPr>
        <w:t>succeed</w:t>
      </w:r>
      <w:r w:rsidR="0055666B" w:rsidRPr="0055666B">
        <w:rPr>
          <w:rFonts w:ascii="Times New Roman" w:eastAsia="Times New Roman" w:hAnsi="Times New Roman" w:cs="Times New Roman"/>
          <w:sz w:val="24"/>
          <w:szCs w:val="24"/>
          <w:lang w:val="en-US" w:eastAsia="en-AU"/>
        </w:rPr>
        <w:t xml:space="preserve"> the previous </w:t>
      </w:r>
      <w:r w:rsidR="001A6503">
        <w:rPr>
          <w:rFonts w:ascii="Times New Roman" w:eastAsia="Times New Roman" w:hAnsi="Times New Roman" w:cs="Times New Roman"/>
          <w:sz w:val="24"/>
          <w:szCs w:val="24"/>
          <w:lang w:val="en-US" w:eastAsia="en-AU"/>
        </w:rPr>
        <w:t>Specification</w:t>
      </w:r>
      <w:r w:rsidR="0055666B" w:rsidRPr="0055666B">
        <w:rPr>
          <w:rFonts w:ascii="Times New Roman" w:eastAsia="Times New Roman" w:hAnsi="Times New Roman" w:cs="Times New Roman"/>
          <w:sz w:val="24"/>
          <w:szCs w:val="24"/>
          <w:lang w:val="en-US" w:eastAsia="en-AU"/>
        </w:rPr>
        <w:t xml:space="preserve">.  The previous </w:t>
      </w:r>
      <w:r w:rsidR="001A6503">
        <w:rPr>
          <w:rFonts w:ascii="Times New Roman" w:eastAsia="Times New Roman" w:hAnsi="Times New Roman" w:cs="Times New Roman"/>
          <w:sz w:val="24"/>
          <w:szCs w:val="24"/>
          <w:lang w:val="en-US" w:eastAsia="en-AU"/>
        </w:rPr>
        <w:t>Specification</w:t>
      </w:r>
      <w:r w:rsidR="0055666B" w:rsidRPr="0055666B">
        <w:rPr>
          <w:rFonts w:ascii="Times New Roman" w:eastAsia="Times New Roman" w:hAnsi="Times New Roman" w:cs="Times New Roman"/>
          <w:sz w:val="24"/>
          <w:szCs w:val="24"/>
          <w:lang w:val="en-US" w:eastAsia="en-AU"/>
        </w:rPr>
        <w:t xml:space="preserve"> is the </w:t>
      </w:r>
      <w:r w:rsidR="001A6503">
        <w:rPr>
          <w:rFonts w:ascii="Times New Roman" w:eastAsia="Times New Roman" w:hAnsi="Times New Roman" w:cs="Times New Roman"/>
          <w:sz w:val="24"/>
          <w:szCs w:val="24"/>
          <w:lang w:val="en-US" w:eastAsia="en-AU"/>
        </w:rPr>
        <w:t>Medicines Advisory Statements Specification</w:t>
      </w:r>
      <w:r w:rsidR="001A6503" w:rsidRPr="0055666B">
        <w:rPr>
          <w:rFonts w:ascii="Times New Roman" w:eastAsia="Times New Roman" w:hAnsi="Times New Roman" w:cs="Times New Roman"/>
          <w:sz w:val="24"/>
          <w:szCs w:val="24"/>
          <w:lang w:val="en-US" w:eastAsia="en-AU"/>
        </w:rPr>
        <w:t xml:space="preserve"> 201</w:t>
      </w:r>
      <w:r w:rsidR="00A109A2">
        <w:rPr>
          <w:rFonts w:ascii="Times New Roman" w:eastAsia="Times New Roman" w:hAnsi="Times New Roman" w:cs="Times New Roman"/>
          <w:sz w:val="24"/>
          <w:szCs w:val="24"/>
          <w:lang w:val="en-US" w:eastAsia="en-AU"/>
        </w:rPr>
        <w:t>4</w:t>
      </w:r>
      <w:r w:rsidR="0055666B" w:rsidRPr="0055666B">
        <w:rPr>
          <w:rFonts w:ascii="Times New Roman" w:eastAsia="Times New Roman" w:hAnsi="Times New Roman" w:cs="Times New Roman"/>
          <w:sz w:val="24"/>
          <w:szCs w:val="24"/>
          <w:lang w:val="en-US" w:eastAsia="en-AU"/>
        </w:rPr>
        <w:t xml:space="preserve"> (which commenced on </w:t>
      </w:r>
      <w:r w:rsidR="001A6503">
        <w:rPr>
          <w:rFonts w:ascii="Times New Roman" w:eastAsia="Times New Roman" w:hAnsi="Times New Roman" w:cs="Times New Roman"/>
          <w:sz w:val="24"/>
          <w:szCs w:val="24"/>
          <w:lang w:val="en-US" w:eastAsia="en-AU"/>
        </w:rPr>
        <w:t>12 June 2014</w:t>
      </w:r>
      <w:r w:rsidR="0055666B" w:rsidRPr="0055666B">
        <w:rPr>
          <w:rFonts w:ascii="Times New Roman" w:eastAsia="Times New Roman" w:hAnsi="Times New Roman" w:cs="Times New Roman"/>
          <w:sz w:val="24"/>
          <w:szCs w:val="24"/>
          <w:lang w:val="en-US" w:eastAsia="en-AU"/>
        </w:rPr>
        <w:t>)</w:t>
      </w:r>
      <w:r w:rsidR="00A109A2">
        <w:rPr>
          <w:rFonts w:ascii="Times New Roman" w:eastAsia="Times New Roman" w:hAnsi="Times New Roman" w:cs="Times New Roman"/>
          <w:sz w:val="24"/>
          <w:szCs w:val="24"/>
          <w:lang w:val="en-US" w:eastAsia="en-AU"/>
        </w:rPr>
        <w:t xml:space="preserve"> (the 2014 Specification), as amended in May 2015 by the Medicines Advisory Statements Amendment Specification 2015 (No.1)</w:t>
      </w:r>
      <w:r w:rsidR="0055666B" w:rsidRPr="0055666B">
        <w:rPr>
          <w:rFonts w:ascii="Times New Roman" w:eastAsia="Times New Roman" w:hAnsi="Times New Roman" w:cs="Times New Roman"/>
          <w:sz w:val="24"/>
          <w:szCs w:val="24"/>
          <w:lang w:val="en-US" w:eastAsia="en-AU"/>
        </w:rPr>
        <w:t>.</w:t>
      </w:r>
    </w:p>
    <w:p w:rsidR="00A109A2" w:rsidRDefault="008B49D5" w:rsidP="00FA4CE6">
      <w:pPr>
        <w:spacing w:before="120" w:after="120" w:line="240" w:lineRule="auto"/>
        <w:rPr>
          <w:rFonts w:ascii="Times New Roman" w:eastAsia="Times New Roman" w:hAnsi="Times New Roman" w:cs="Times New Roman"/>
          <w:sz w:val="24"/>
          <w:szCs w:val="24"/>
          <w:lang w:eastAsia="en-AU"/>
        </w:rPr>
      </w:pPr>
      <w:r w:rsidRPr="006E6314">
        <w:rPr>
          <w:rFonts w:ascii="Times New Roman" w:eastAsia="Times New Roman" w:hAnsi="Times New Roman" w:cs="Times New Roman"/>
          <w:sz w:val="24"/>
          <w:szCs w:val="24"/>
          <w:lang w:eastAsia="en-AU"/>
        </w:rPr>
        <w:t xml:space="preserve">The </w:t>
      </w:r>
      <w:r w:rsidR="00B01312">
        <w:rPr>
          <w:rFonts w:ascii="Times New Roman" w:eastAsia="Times New Roman" w:hAnsi="Times New Roman" w:cs="Times New Roman"/>
          <w:sz w:val="24"/>
          <w:szCs w:val="24"/>
          <w:lang w:eastAsia="en-AU"/>
        </w:rPr>
        <w:t xml:space="preserve">2016 </w:t>
      </w:r>
      <w:r w:rsidRPr="006E6314">
        <w:rPr>
          <w:rFonts w:ascii="Times New Roman" w:eastAsia="Times New Roman" w:hAnsi="Times New Roman" w:cs="Times New Roman"/>
          <w:sz w:val="24"/>
          <w:szCs w:val="24"/>
          <w:lang w:eastAsia="en-AU"/>
        </w:rPr>
        <w:t xml:space="preserve">Specification is </w:t>
      </w:r>
      <w:r w:rsidR="00A109A2">
        <w:rPr>
          <w:rFonts w:ascii="Times New Roman" w:eastAsia="Times New Roman" w:hAnsi="Times New Roman" w:cs="Times New Roman"/>
          <w:sz w:val="24"/>
          <w:szCs w:val="24"/>
          <w:lang w:eastAsia="en-AU"/>
        </w:rPr>
        <w:t>principally</w:t>
      </w:r>
      <w:r w:rsidRPr="006E6314">
        <w:rPr>
          <w:rFonts w:ascii="Times New Roman" w:eastAsia="Times New Roman" w:hAnsi="Times New Roman" w:cs="Times New Roman"/>
          <w:sz w:val="24"/>
          <w:szCs w:val="24"/>
          <w:lang w:eastAsia="en-AU"/>
        </w:rPr>
        <w:t xml:space="preserve"> based on the TGA document the Required Advisory Statements for Medicine Labels (the RASML).  </w:t>
      </w:r>
    </w:p>
    <w:p w:rsidR="00A109A2" w:rsidRDefault="00A109A2" w:rsidP="00FA4CE6">
      <w:pPr>
        <w:spacing w:before="120"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Currently, the 2014 Specification (as amended earlier this year), requires that for the first 18 months after it commenced on 12 June 2014, medicine sponsors must comply </w:t>
      </w:r>
      <w:r w:rsidR="00FA0BFF">
        <w:rPr>
          <w:rFonts w:ascii="Times New Roman" w:eastAsia="Times New Roman" w:hAnsi="Times New Roman" w:cs="Times New Roman"/>
          <w:sz w:val="24"/>
          <w:szCs w:val="24"/>
          <w:lang w:eastAsia="en-AU"/>
        </w:rPr>
        <w:t>with Schedule 1 of that S</w:t>
      </w:r>
      <w:r>
        <w:rPr>
          <w:rFonts w:ascii="Times New Roman" w:eastAsia="Times New Roman" w:hAnsi="Times New Roman" w:cs="Times New Roman"/>
          <w:sz w:val="24"/>
          <w:szCs w:val="24"/>
          <w:lang w:eastAsia="en-AU"/>
        </w:rPr>
        <w:t>pecification</w:t>
      </w:r>
      <w:r w:rsidR="00E943FD" w:rsidRPr="00E943FD">
        <w:rPr>
          <w:rFonts w:ascii="Times New Roman" w:eastAsia="Times New Roman" w:hAnsi="Times New Roman" w:cs="Times New Roman"/>
          <w:sz w:val="24"/>
          <w:szCs w:val="24"/>
          <w:lang w:eastAsia="en-AU"/>
        </w:rPr>
        <w:t xml:space="preserve"> </w:t>
      </w:r>
      <w:r w:rsidR="00E943FD">
        <w:rPr>
          <w:rFonts w:ascii="Times New Roman" w:eastAsia="Times New Roman" w:hAnsi="Times New Roman" w:cs="Times New Roman"/>
          <w:sz w:val="24"/>
          <w:szCs w:val="24"/>
          <w:lang w:eastAsia="en-AU"/>
        </w:rPr>
        <w:t>in respect of the labels of their products</w:t>
      </w:r>
      <w:r w:rsidR="00FA0BFF">
        <w:rPr>
          <w:rFonts w:ascii="Times New Roman" w:eastAsia="Times New Roman" w:hAnsi="Times New Roman" w:cs="Times New Roman"/>
          <w:sz w:val="24"/>
          <w:szCs w:val="24"/>
          <w:lang w:eastAsia="en-AU"/>
        </w:rPr>
        <w:t>.  Schedule 1 of that S</w:t>
      </w:r>
      <w:r>
        <w:rPr>
          <w:rFonts w:ascii="Times New Roman" w:eastAsia="Times New Roman" w:hAnsi="Times New Roman" w:cs="Times New Roman"/>
          <w:sz w:val="24"/>
          <w:szCs w:val="24"/>
          <w:lang w:eastAsia="en-AU"/>
        </w:rPr>
        <w:t xml:space="preserve">pecification consists of the edition of </w:t>
      </w:r>
      <w:r w:rsidR="00672214">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RASML</w:t>
      </w:r>
      <w:r w:rsidR="00672214">
        <w:rPr>
          <w:rFonts w:ascii="Times New Roman" w:eastAsia="Times New Roman" w:hAnsi="Times New Roman" w:cs="Times New Roman"/>
          <w:sz w:val="24"/>
          <w:szCs w:val="24"/>
          <w:lang w:eastAsia="en-AU"/>
        </w:rPr>
        <w:t xml:space="preserve"> </w:t>
      </w:r>
      <w:r w:rsidR="00377699">
        <w:rPr>
          <w:rFonts w:ascii="Times New Roman" w:eastAsia="Times New Roman" w:hAnsi="Times New Roman" w:cs="Times New Roman"/>
          <w:sz w:val="24"/>
          <w:szCs w:val="24"/>
          <w:lang w:eastAsia="en-AU"/>
        </w:rPr>
        <w:t>cited as RASML</w:t>
      </w:r>
      <w:r w:rsidR="00E943FD">
        <w:rPr>
          <w:rFonts w:ascii="Times New Roman" w:eastAsia="Times New Roman" w:hAnsi="Times New Roman" w:cs="Times New Roman"/>
          <w:sz w:val="24"/>
          <w:szCs w:val="24"/>
          <w:lang w:eastAsia="en-AU"/>
        </w:rPr>
        <w:t xml:space="preserve"> 1</w:t>
      </w:r>
      <w:r w:rsidR="0037769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dated September 2008.</w:t>
      </w:r>
      <w:r w:rsidR="00672214">
        <w:rPr>
          <w:rFonts w:ascii="Times New Roman" w:eastAsia="Times New Roman" w:hAnsi="Times New Roman" w:cs="Times New Roman"/>
          <w:sz w:val="24"/>
          <w:szCs w:val="24"/>
          <w:lang w:eastAsia="en-AU"/>
        </w:rPr>
        <w:t xml:space="preserve">  After that initial 18 month period, sponsors must </w:t>
      </w:r>
      <w:r w:rsidR="00E943FD">
        <w:rPr>
          <w:rFonts w:ascii="Times New Roman" w:eastAsia="Times New Roman" w:hAnsi="Times New Roman" w:cs="Times New Roman"/>
          <w:sz w:val="24"/>
          <w:szCs w:val="24"/>
          <w:lang w:eastAsia="en-AU"/>
        </w:rPr>
        <w:t xml:space="preserve">then </w:t>
      </w:r>
      <w:r w:rsidR="00672214">
        <w:rPr>
          <w:rFonts w:ascii="Times New Roman" w:eastAsia="Times New Roman" w:hAnsi="Times New Roman" w:cs="Times New Roman"/>
          <w:sz w:val="24"/>
          <w:szCs w:val="24"/>
          <w:lang w:eastAsia="en-AU"/>
        </w:rPr>
        <w:t>comply with Schedule 2 of the 2014 Specification.</w:t>
      </w:r>
      <w:r w:rsidR="00681D2C">
        <w:rPr>
          <w:rFonts w:ascii="Times New Roman" w:eastAsia="Times New Roman" w:hAnsi="Times New Roman" w:cs="Times New Roman"/>
          <w:sz w:val="24"/>
          <w:szCs w:val="24"/>
          <w:lang w:eastAsia="en-AU"/>
        </w:rPr>
        <w:t xml:space="preserve">  Schedule 2 principally consists of</w:t>
      </w:r>
      <w:r w:rsidR="00B81839">
        <w:rPr>
          <w:rFonts w:ascii="Times New Roman" w:eastAsia="Times New Roman" w:hAnsi="Times New Roman" w:cs="Times New Roman"/>
          <w:sz w:val="24"/>
          <w:szCs w:val="24"/>
          <w:lang w:eastAsia="en-AU"/>
        </w:rPr>
        <w:t xml:space="preserve"> RASML 2 – being,</w:t>
      </w:r>
      <w:r w:rsidR="00681D2C">
        <w:rPr>
          <w:rFonts w:ascii="Times New Roman" w:eastAsia="Times New Roman" w:hAnsi="Times New Roman" w:cs="Times New Roman"/>
          <w:sz w:val="24"/>
          <w:szCs w:val="24"/>
          <w:lang w:eastAsia="en-AU"/>
        </w:rPr>
        <w:t xml:space="preserve"> the RASML as amended by “Update 5” and “Update 6” of that document, which were provided for public comment to industry in 2009 and 2011, respectively.</w:t>
      </w:r>
      <w:r w:rsidR="00672214">
        <w:rPr>
          <w:rFonts w:ascii="Times New Roman" w:eastAsia="Times New Roman" w:hAnsi="Times New Roman" w:cs="Times New Roman"/>
          <w:sz w:val="24"/>
          <w:szCs w:val="24"/>
          <w:lang w:eastAsia="en-AU"/>
        </w:rPr>
        <w:t xml:space="preserve"> </w:t>
      </w:r>
      <w:r w:rsidR="00681D2C">
        <w:rPr>
          <w:rFonts w:ascii="Times New Roman" w:eastAsia="Times New Roman" w:hAnsi="Times New Roman" w:cs="Times New Roman"/>
          <w:sz w:val="24"/>
          <w:szCs w:val="24"/>
          <w:lang w:eastAsia="en-AU"/>
        </w:rPr>
        <w:t xml:space="preserve"> </w:t>
      </w:r>
      <w:r w:rsidR="00F66147">
        <w:rPr>
          <w:rFonts w:ascii="Times New Roman" w:eastAsia="Times New Roman" w:hAnsi="Times New Roman" w:cs="Times New Roman"/>
          <w:sz w:val="24"/>
          <w:szCs w:val="24"/>
          <w:lang w:eastAsia="en-AU"/>
        </w:rPr>
        <w:t>Under the 2014 Specification, however, s</w:t>
      </w:r>
      <w:r w:rsidR="00FA0BFF">
        <w:rPr>
          <w:rFonts w:ascii="Times New Roman" w:eastAsia="Times New Roman" w:hAnsi="Times New Roman" w:cs="Times New Roman"/>
          <w:sz w:val="24"/>
          <w:szCs w:val="24"/>
          <w:lang w:eastAsia="en-AU"/>
        </w:rPr>
        <w:t>ponsors have the option of</w:t>
      </w:r>
      <w:r w:rsidR="00F66147">
        <w:rPr>
          <w:rFonts w:ascii="Times New Roman" w:eastAsia="Times New Roman" w:hAnsi="Times New Roman" w:cs="Times New Roman"/>
          <w:sz w:val="24"/>
          <w:szCs w:val="24"/>
          <w:lang w:eastAsia="en-AU"/>
        </w:rPr>
        <w:t xml:space="preserve"> </w:t>
      </w:r>
      <w:r w:rsidR="00672214">
        <w:rPr>
          <w:rFonts w:ascii="Times New Roman" w:eastAsia="Times New Roman" w:hAnsi="Times New Roman" w:cs="Times New Roman"/>
          <w:sz w:val="24"/>
          <w:szCs w:val="24"/>
          <w:lang w:eastAsia="en-AU"/>
        </w:rPr>
        <w:t>elect</w:t>
      </w:r>
      <w:r w:rsidR="00FA0BFF">
        <w:rPr>
          <w:rFonts w:ascii="Times New Roman" w:eastAsia="Times New Roman" w:hAnsi="Times New Roman" w:cs="Times New Roman"/>
          <w:sz w:val="24"/>
          <w:szCs w:val="24"/>
          <w:lang w:eastAsia="en-AU"/>
        </w:rPr>
        <w:t>ing</w:t>
      </w:r>
      <w:r w:rsidR="00672214">
        <w:rPr>
          <w:rFonts w:ascii="Times New Roman" w:eastAsia="Times New Roman" w:hAnsi="Times New Roman" w:cs="Times New Roman"/>
          <w:sz w:val="24"/>
          <w:szCs w:val="24"/>
          <w:lang w:eastAsia="en-AU"/>
        </w:rPr>
        <w:t xml:space="preserve"> to comply with Schedule 2 during that initial 18 month period</w:t>
      </w:r>
      <w:r w:rsidR="00F66147">
        <w:rPr>
          <w:rFonts w:ascii="Times New Roman" w:eastAsia="Times New Roman" w:hAnsi="Times New Roman" w:cs="Times New Roman"/>
          <w:sz w:val="24"/>
          <w:szCs w:val="24"/>
          <w:lang w:eastAsia="en-AU"/>
        </w:rPr>
        <w:t>,</w:t>
      </w:r>
      <w:r w:rsidR="00672214">
        <w:rPr>
          <w:rFonts w:ascii="Times New Roman" w:eastAsia="Times New Roman" w:hAnsi="Times New Roman" w:cs="Times New Roman"/>
          <w:sz w:val="24"/>
          <w:szCs w:val="24"/>
          <w:lang w:eastAsia="en-AU"/>
        </w:rPr>
        <w:t xml:space="preserve"> if they wish to do so.</w:t>
      </w:r>
    </w:p>
    <w:p w:rsidR="00377699" w:rsidRDefault="00672214" w:rsidP="00FA4CE6">
      <w:pPr>
        <w:spacing w:before="120"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On 12 December 2015, the initial 18 month period from the commencement of the 2014 Specification will end, with the effect that medicine sponsors would, under the 2014 Specification, only have the option of complying with Schedule 2 of that instrument</w:t>
      </w:r>
      <w:r w:rsidR="00681D2C">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in relation to their medicine labels</w:t>
      </w:r>
      <w:r w:rsidR="00FA0BFF">
        <w:rPr>
          <w:rFonts w:ascii="Times New Roman" w:eastAsia="Times New Roman" w:hAnsi="Times New Roman" w:cs="Times New Roman"/>
          <w:sz w:val="24"/>
          <w:szCs w:val="24"/>
          <w:lang w:eastAsia="en-AU"/>
        </w:rPr>
        <w:t xml:space="preserve"> after that date</w:t>
      </w:r>
      <w:r>
        <w:rPr>
          <w:rFonts w:ascii="Times New Roman" w:eastAsia="Times New Roman" w:hAnsi="Times New Roman" w:cs="Times New Roman"/>
          <w:sz w:val="24"/>
          <w:szCs w:val="24"/>
          <w:lang w:eastAsia="en-AU"/>
        </w:rPr>
        <w:t xml:space="preserve">.  </w:t>
      </w:r>
    </w:p>
    <w:p w:rsidR="0055666B" w:rsidRPr="0055666B" w:rsidRDefault="00672214" w:rsidP="00FA4CE6">
      <w:pPr>
        <w:spacing w:before="120" w:after="120"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eastAsia="en-AU"/>
        </w:rPr>
        <w:t xml:space="preserve">The </w:t>
      </w:r>
      <w:r w:rsidR="00B306E3">
        <w:rPr>
          <w:rFonts w:ascii="Times New Roman" w:eastAsia="Times New Roman" w:hAnsi="Times New Roman" w:cs="Times New Roman"/>
          <w:sz w:val="24"/>
          <w:szCs w:val="24"/>
          <w:lang w:eastAsia="en-AU"/>
        </w:rPr>
        <w:t xml:space="preserve">2016 </w:t>
      </w:r>
      <w:r>
        <w:rPr>
          <w:rFonts w:ascii="Times New Roman" w:eastAsia="Times New Roman" w:hAnsi="Times New Roman" w:cs="Times New Roman"/>
          <w:sz w:val="24"/>
          <w:szCs w:val="24"/>
          <w:lang w:eastAsia="en-AU"/>
        </w:rPr>
        <w:t>Specification</w:t>
      </w:r>
      <w:r w:rsidR="00377699">
        <w:rPr>
          <w:rFonts w:ascii="Times New Roman" w:eastAsia="Times New Roman" w:hAnsi="Times New Roman" w:cs="Times New Roman"/>
          <w:sz w:val="24"/>
          <w:szCs w:val="24"/>
          <w:lang w:eastAsia="en-AU"/>
        </w:rPr>
        <w:t>, however,</w:t>
      </w:r>
      <w:r>
        <w:rPr>
          <w:rFonts w:ascii="Times New Roman" w:eastAsia="Times New Roman" w:hAnsi="Times New Roman" w:cs="Times New Roman"/>
          <w:sz w:val="24"/>
          <w:szCs w:val="24"/>
          <w:lang w:eastAsia="en-AU"/>
        </w:rPr>
        <w:t xml:space="preserve"> </w:t>
      </w:r>
      <w:r w:rsidR="00B306E3">
        <w:rPr>
          <w:rFonts w:ascii="Times New Roman" w:eastAsia="Times New Roman" w:hAnsi="Times New Roman" w:cs="Times New Roman"/>
          <w:sz w:val="24"/>
          <w:szCs w:val="24"/>
          <w:lang w:eastAsia="en-AU"/>
        </w:rPr>
        <w:t>giv</w:t>
      </w:r>
      <w:r w:rsidR="00A60380">
        <w:rPr>
          <w:rFonts w:ascii="Times New Roman" w:eastAsia="Times New Roman" w:hAnsi="Times New Roman" w:cs="Times New Roman"/>
          <w:sz w:val="24"/>
          <w:szCs w:val="24"/>
          <w:lang w:eastAsia="en-AU"/>
        </w:rPr>
        <w:t>es</w:t>
      </w:r>
      <w:r>
        <w:rPr>
          <w:rFonts w:ascii="Times New Roman" w:eastAsia="Times New Roman" w:hAnsi="Times New Roman" w:cs="Times New Roman"/>
          <w:sz w:val="24"/>
          <w:szCs w:val="24"/>
          <w:lang w:eastAsia="en-AU"/>
        </w:rPr>
        <w:t xml:space="preserve"> sponsors the option, for the first 18 months after its </w:t>
      </w:r>
      <w:r w:rsidR="00B01312">
        <w:rPr>
          <w:rFonts w:ascii="Times New Roman" w:eastAsia="Times New Roman" w:hAnsi="Times New Roman" w:cs="Times New Roman"/>
          <w:sz w:val="24"/>
          <w:szCs w:val="24"/>
          <w:lang w:eastAsia="en-AU"/>
        </w:rPr>
        <w:t>commencement</w:t>
      </w:r>
      <w:r w:rsidR="00B306E3">
        <w:rPr>
          <w:rFonts w:ascii="Times New Roman" w:eastAsia="Times New Roman" w:hAnsi="Times New Roman" w:cs="Times New Roman"/>
          <w:sz w:val="24"/>
          <w:szCs w:val="24"/>
          <w:lang w:eastAsia="en-AU"/>
        </w:rPr>
        <w:t xml:space="preserve"> on 1 January 2016</w:t>
      </w:r>
      <w:r w:rsidR="00B01312">
        <w:rPr>
          <w:rFonts w:ascii="Times New Roman" w:eastAsia="Times New Roman" w:hAnsi="Times New Roman" w:cs="Times New Roman"/>
          <w:sz w:val="24"/>
          <w:szCs w:val="24"/>
          <w:lang w:eastAsia="en-AU"/>
        </w:rPr>
        <w:t xml:space="preserve">, of complying </w:t>
      </w:r>
      <w:r w:rsidR="00681D2C">
        <w:rPr>
          <w:rFonts w:ascii="Times New Roman" w:eastAsia="Times New Roman" w:hAnsi="Times New Roman" w:cs="Times New Roman"/>
          <w:sz w:val="24"/>
          <w:szCs w:val="24"/>
          <w:lang w:eastAsia="en-AU"/>
        </w:rPr>
        <w:t xml:space="preserve">either </w:t>
      </w:r>
      <w:r w:rsidR="00B01312">
        <w:rPr>
          <w:rFonts w:ascii="Times New Roman" w:eastAsia="Times New Roman" w:hAnsi="Times New Roman" w:cs="Times New Roman"/>
          <w:sz w:val="24"/>
          <w:szCs w:val="24"/>
          <w:lang w:eastAsia="en-AU"/>
        </w:rPr>
        <w:t xml:space="preserve">with </w:t>
      </w:r>
      <w:r>
        <w:rPr>
          <w:rFonts w:ascii="Times New Roman" w:eastAsia="Times New Roman" w:hAnsi="Times New Roman" w:cs="Times New Roman"/>
          <w:sz w:val="24"/>
          <w:szCs w:val="24"/>
          <w:lang w:eastAsia="en-AU"/>
        </w:rPr>
        <w:t>R</w:t>
      </w:r>
      <w:r w:rsidR="00681D2C">
        <w:rPr>
          <w:rFonts w:ascii="Times New Roman" w:eastAsia="Times New Roman" w:hAnsi="Times New Roman" w:cs="Times New Roman"/>
          <w:sz w:val="24"/>
          <w:szCs w:val="24"/>
          <w:lang w:eastAsia="en-AU"/>
        </w:rPr>
        <w:t>ASML 2 (</w:t>
      </w:r>
      <w:r w:rsidR="00B01312">
        <w:rPr>
          <w:rFonts w:ascii="Times New Roman" w:eastAsia="Times New Roman" w:hAnsi="Times New Roman" w:cs="Times New Roman"/>
          <w:sz w:val="24"/>
          <w:szCs w:val="24"/>
          <w:lang w:eastAsia="en-AU"/>
        </w:rPr>
        <w:t>i.e. the version of the RASML currently set out in Schedule 2 of t</w:t>
      </w:r>
      <w:r w:rsidR="00B306E3">
        <w:rPr>
          <w:rFonts w:ascii="Times New Roman" w:eastAsia="Times New Roman" w:hAnsi="Times New Roman" w:cs="Times New Roman"/>
          <w:sz w:val="24"/>
          <w:szCs w:val="24"/>
          <w:lang w:eastAsia="en-AU"/>
        </w:rPr>
        <w:t xml:space="preserve">he 2014 Specification) as </w:t>
      </w:r>
      <w:r>
        <w:rPr>
          <w:rFonts w:ascii="Times New Roman" w:eastAsia="Times New Roman" w:hAnsi="Times New Roman" w:cs="Times New Roman"/>
          <w:sz w:val="24"/>
          <w:szCs w:val="24"/>
          <w:lang w:eastAsia="en-AU"/>
        </w:rPr>
        <w:t xml:space="preserve">set out in </w:t>
      </w:r>
      <w:r w:rsidR="008B49D5" w:rsidRPr="006E6314">
        <w:rPr>
          <w:rFonts w:ascii="Times New Roman" w:eastAsia="Times New Roman" w:hAnsi="Times New Roman" w:cs="Times New Roman"/>
          <w:sz w:val="24"/>
          <w:szCs w:val="24"/>
          <w:lang w:eastAsia="en-AU"/>
        </w:rPr>
        <w:t xml:space="preserve">Schedule 1 of the </w:t>
      </w:r>
      <w:r w:rsidR="00B306E3">
        <w:rPr>
          <w:rFonts w:ascii="Times New Roman" w:eastAsia="Times New Roman" w:hAnsi="Times New Roman" w:cs="Times New Roman"/>
          <w:sz w:val="24"/>
          <w:szCs w:val="24"/>
          <w:lang w:eastAsia="en-AU"/>
        </w:rPr>
        <w:t xml:space="preserve">2016 </w:t>
      </w:r>
      <w:r w:rsidR="008B49D5" w:rsidRPr="006E6314">
        <w:rPr>
          <w:rFonts w:ascii="Times New Roman" w:eastAsia="Times New Roman" w:hAnsi="Times New Roman" w:cs="Times New Roman"/>
          <w:sz w:val="24"/>
          <w:szCs w:val="24"/>
          <w:lang w:eastAsia="en-AU"/>
        </w:rPr>
        <w:t>Specification</w:t>
      </w:r>
      <w:r w:rsidR="00377699">
        <w:rPr>
          <w:rFonts w:ascii="Times New Roman" w:eastAsia="Times New Roman" w:hAnsi="Times New Roman" w:cs="Times New Roman"/>
          <w:sz w:val="24"/>
          <w:szCs w:val="24"/>
          <w:lang w:eastAsia="en-AU"/>
        </w:rPr>
        <w:t>,</w:t>
      </w:r>
      <w:r w:rsidR="008B49D5" w:rsidRPr="006E6314">
        <w:rPr>
          <w:rFonts w:ascii="Times New Roman" w:eastAsia="Times New Roman" w:hAnsi="Times New Roman" w:cs="Times New Roman"/>
          <w:sz w:val="24"/>
          <w:szCs w:val="24"/>
          <w:lang w:eastAsia="en-AU"/>
        </w:rPr>
        <w:t xml:space="preserve"> </w:t>
      </w:r>
      <w:r w:rsidR="00377699">
        <w:rPr>
          <w:rFonts w:ascii="Times New Roman" w:eastAsia="Times New Roman" w:hAnsi="Times New Roman" w:cs="Times New Roman"/>
          <w:sz w:val="24"/>
          <w:szCs w:val="24"/>
          <w:lang w:eastAsia="en-AU"/>
        </w:rPr>
        <w:t>or</w:t>
      </w:r>
      <w:r w:rsidR="00792B20">
        <w:rPr>
          <w:rFonts w:ascii="Times New Roman" w:eastAsia="Times New Roman" w:hAnsi="Times New Roman" w:cs="Times New Roman"/>
          <w:sz w:val="24"/>
          <w:szCs w:val="24"/>
          <w:lang w:eastAsia="en-AU"/>
        </w:rPr>
        <w:t xml:space="preserve"> </w:t>
      </w:r>
      <w:r w:rsidR="00377699">
        <w:rPr>
          <w:rFonts w:ascii="Times New Roman" w:eastAsia="Times New Roman" w:hAnsi="Times New Roman" w:cs="Times New Roman"/>
          <w:sz w:val="24"/>
          <w:szCs w:val="24"/>
          <w:lang w:eastAsia="en-AU"/>
        </w:rPr>
        <w:t xml:space="preserve">new </w:t>
      </w:r>
      <w:r w:rsidR="00792B20">
        <w:rPr>
          <w:rFonts w:ascii="Times New Roman" w:eastAsia="Times New Roman" w:hAnsi="Times New Roman" w:cs="Times New Roman"/>
          <w:sz w:val="24"/>
          <w:szCs w:val="24"/>
          <w:lang w:eastAsia="en-AU"/>
        </w:rPr>
        <w:t>RASML 3</w:t>
      </w:r>
      <w:r w:rsidR="00377699">
        <w:rPr>
          <w:rFonts w:ascii="Times New Roman" w:eastAsia="Times New Roman" w:hAnsi="Times New Roman" w:cs="Times New Roman"/>
          <w:sz w:val="24"/>
          <w:szCs w:val="24"/>
          <w:lang w:eastAsia="en-AU"/>
        </w:rPr>
        <w:t>, which is set out in Schedule 2 of the Specification.</w:t>
      </w:r>
    </w:p>
    <w:p w:rsidR="00746508" w:rsidRDefault="00377699" w:rsidP="00FA4CE6">
      <w:pPr>
        <w:spacing w:before="120" w:after="120"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 xml:space="preserve">RASML 3 incorporates a number of new changes as compared with RASML 2.  These </w:t>
      </w:r>
      <w:r w:rsidR="003C08D0">
        <w:rPr>
          <w:rFonts w:ascii="Times New Roman" w:eastAsia="Times New Roman" w:hAnsi="Times New Roman" w:cs="Times New Roman"/>
          <w:sz w:val="24"/>
          <w:szCs w:val="24"/>
          <w:lang w:val="en-US" w:eastAsia="en-AU"/>
        </w:rPr>
        <w:t xml:space="preserve">changes, which were canvassed with industry on various dates during the period November 2013 and October 2015, </w:t>
      </w:r>
      <w:r w:rsidR="003B1AA2">
        <w:rPr>
          <w:rFonts w:ascii="Times New Roman" w:eastAsia="Times New Roman" w:hAnsi="Times New Roman" w:cs="Times New Roman"/>
          <w:sz w:val="24"/>
          <w:szCs w:val="24"/>
          <w:lang w:val="en-US" w:eastAsia="en-AU"/>
        </w:rPr>
        <w:t xml:space="preserve">consist of amendments to advisory statements </w:t>
      </w:r>
      <w:r>
        <w:rPr>
          <w:rFonts w:ascii="Times New Roman" w:eastAsia="Times New Roman" w:hAnsi="Times New Roman" w:cs="Times New Roman"/>
          <w:sz w:val="24"/>
          <w:szCs w:val="24"/>
          <w:lang w:val="en-US" w:eastAsia="en-AU"/>
        </w:rPr>
        <w:t>for</w:t>
      </w:r>
      <w:r w:rsidR="003B1AA2">
        <w:rPr>
          <w:rFonts w:ascii="Times New Roman" w:eastAsia="Times New Roman" w:hAnsi="Times New Roman" w:cs="Times New Roman"/>
          <w:sz w:val="24"/>
          <w:szCs w:val="24"/>
          <w:lang w:val="en-US" w:eastAsia="en-AU"/>
        </w:rPr>
        <w:t xml:space="preserve"> a number of </w:t>
      </w:r>
      <w:r w:rsidR="003B1AA2">
        <w:rPr>
          <w:rFonts w:ascii="Times New Roman" w:eastAsia="Times New Roman" w:hAnsi="Times New Roman" w:cs="Times New Roman"/>
          <w:sz w:val="24"/>
          <w:szCs w:val="24"/>
          <w:lang w:val="en-US" w:eastAsia="en-AU"/>
        </w:rPr>
        <w:lastRenderedPageBreak/>
        <w:t xml:space="preserve">substances, as well as </w:t>
      </w:r>
      <w:r>
        <w:rPr>
          <w:rFonts w:ascii="Times New Roman" w:eastAsia="Times New Roman" w:hAnsi="Times New Roman" w:cs="Times New Roman"/>
          <w:sz w:val="24"/>
          <w:szCs w:val="24"/>
          <w:lang w:val="en-US" w:eastAsia="en-AU"/>
        </w:rPr>
        <w:t>the introduction of</w:t>
      </w:r>
      <w:r w:rsidR="003B1AA2">
        <w:rPr>
          <w:rFonts w:ascii="Times New Roman" w:eastAsia="Times New Roman" w:hAnsi="Times New Roman" w:cs="Times New Roman"/>
          <w:sz w:val="24"/>
          <w:szCs w:val="24"/>
          <w:lang w:val="en-US" w:eastAsia="en-AU"/>
        </w:rPr>
        <w:t xml:space="preserve"> </w:t>
      </w:r>
      <w:r w:rsidR="0097295E">
        <w:rPr>
          <w:rFonts w:ascii="Times New Roman" w:eastAsia="Times New Roman" w:hAnsi="Times New Roman" w:cs="Times New Roman"/>
          <w:sz w:val="24"/>
          <w:szCs w:val="24"/>
          <w:lang w:val="en-US" w:eastAsia="en-AU"/>
        </w:rPr>
        <w:t xml:space="preserve">a </w:t>
      </w:r>
      <w:r w:rsidR="003B1AA2">
        <w:rPr>
          <w:rFonts w:ascii="Times New Roman" w:eastAsia="Times New Roman" w:hAnsi="Times New Roman" w:cs="Times New Roman"/>
          <w:sz w:val="24"/>
          <w:szCs w:val="24"/>
          <w:lang w:val="en-US" w:eastAsia="en-AU"/>
        </w:rPr>
        <w:t xml:space="preserve">number of new advisory statements for substances not previously included in the </w:t>
      </w:r>
      <w:r w:rsidR="00E22DB6">
        <w:rPr>
          <w:rFonts w:ascii="Times New Roman" w:eastAsia="Times New Roman" w:hAnsi="Times New Roman" w:cs="Times New Roman"/>
          <w:sz w:val="24"/>
          <w:szCs w:val="24"/>
          <w:lang w:val="en-US" w:eastAsia="en-AU"/>
        </w:rPr>
        <w:t>20</w:t>
      </w:r>
      <w:r w:rsidR="0097295E">
        <w:rPr>
          <w:rFonts w:ascii="Times New Roman" w:eastAsia="Times New Roman" w:hAnsi="Times New Roman" w:cs="Times New Roman"/>
          <w:sz w:val="24"/>
          <w:szCs w:val="24"/>
          <w:lang w:val="en-US" w:eastAsia="en-AU"/>
        </w:rPr>
        <w:t>1</w:t>
      </w:r>
      <w:r w:rsidR="00F172AE">
        <w:rPr>
          <w:rFonts w:ascii="Times New Roman" w:eastAsia="Times New Roman" w:hAnsi="Times New Roman" w:cs="Times New Roman"/>
          <w:sz w:val="24"/>
          <w:szCs w:val="24"/>
          <w:lang w:val="en-US" w:eastAsia="en-AU"/>
        </w:rPr>
        <w:t>4</w:t>
      </w:r>
      <w:r w:rsidR="00E22DB6">
        <w:rPr>
          <w:rFonts w:ascii="Times New Roman" w:eastAsia="Times New Roman" w:hAnsi="Times New Roman" w:cs="Times New Roman"/>
          <w:sz w:val="24"/>
          <w:szCs w:val="24"/>
          <w:lang w:val="en-US" w:eastAsia="en-AU"/>
        </w:rPr>
        <w:t xml:space="preserve"> </w:t>
      </w:r>
      <w:r w:rsidR="003B1AA2">
        <w:rPr>
          <w:rFonts w:ascii="Times New Roman" w:eastAsia="Times New Roman" w:hAnsi="Times New Roman" w:cs="Times New Roman"/>
          <w:sz w:val="24"/>
          <w:szCs w:val="24"/>
          <w:lang w:val="en-US" w:eastAsia="en-AU"/>
        </w:rPr>
        <w:t>Specification</w:t>
      </w:r>
      <w:r w:rsidR="00746508">
        <w:rPr>
          <w:rFonts w:ascii="Times New Roman" w:eastAsia="Times New Roman" w:hAnsi="Times New Roman" w:cs="Times New Roman"/>
          <w:sz w:val="24"/>
          <w:szCs w:val="24"/>
          <w:lang w:val="en-US" w:eastAsia="en-AU"/>
        </w:rPr>
        <w:t>, as follows:</w:t>
      </w:r>
    </w:p>
    <w:p w:rsidR="00746508" w:rsidRPr="00E8218F" w:rsidRDefault="00746508" w:rsidP="00FA4CE6">
      <w:pPr>
        <w:numPr>
          <w:ilvl w:val="0"/>
          <w:numId w:val="1"/>
        </w:numPr>
        <w:spacing w:before="120" w:after="120" w:line="240" w:lineRule="auto"/>
        <w:ind w:left="709" w:hanging="709"/>
        <w:rPr>
          <w:rFonts w:ascii="Times New Roman" w:hAnsi="Times New Roman" w:cs="Times New Roman"/>
          <w:sz w:val="24"/>
          <w:szCs w:val="24"/>
          <w:lang w:val="en"/>
        </w:rPr>
      </w:pPr>
      <w:r w:rsidRPr="00E8218F">
        <w:rPr>
          <w:rFonts w:ascii="Times New Roman" w:hAnsi="Times New Roman" w:cs="Times New Roman"/>
          <w:bCs/>
          <w:kern w:val="36"/>
          <w:sz w:val="24"/>
          <w:szCs w:val="24"/>
          <w:lang w:val="en"/>
        </w:rPr>
        <w:t xml:space="preserve">cimetidine, famotidine, nizatidine and ranitidine </w:t>
      </w:r>
      <w:r>
        <w:rPr>
          <w:rFonts w:ascii="Times New Roman" w:hAnsi="Times New Roman" w:cs="Times New Roman"/>
          <w:bCs/>
          <w:kern w:val="36"/>
          <w:sz w:val="24"/>
          <w:szCs w:val="24"/>
          <w:lang w:val="en"/>
        </w:rPr>
        <w:t>– corrected advisory statement</w:t>
      </w:r>
      <w:r w:rsidRPr="00E8218F">
        <w:rPr>
          <w:rFonts w:ascii="Times New Roman" w:eastAsia="Times New Roman" w:hAnsi="Times New Roman" w:cs="Times New Roman"/>
          <w:sz w:val="24"/>
          <w:szCs w:val="24"/>
          <w:lang w:val="en-US" w:eastAsia="en-AU"/>
        </w:rPr>
        <w:t>;</w:t>
      </w:r>
    </w:p>
    <w:p w:rsidR="00746508" w:rsidRPr="00E8218F" w:rsidRDefault="00746508" w:rsidP="00FA4CE6">
      <w:pPr>
        <w:numPr>
          <w:ilvl w:val="0"/>
          <w:numId w:val="1"/>
        </w:numPr>
        <w:spacing w:before="120" w:after="120" w:line="240" w:lineRule="auto"/>
        <w:ind w:left="709" w:hanging="709"/>
        <w:rPr>
          <w:rFonts w:ascii="Times New Roman" w:hAnsi="Times New Roman" w:cs="Times New Roman"/>
          <w:sz w:val="24"/>
          <w:szCs w:val="24"/>
          <w:lang w:val="en"/>
        </w:rPr>
      </w:pPr>
      <w:r>
        <w:rPr>
          <w:rFonts w:ascii="Times New Roman" w:eastAsia="Times New Roman" w:hAnsi="Times New Roman" w:cs="Times New Roman"/>
          <w:sz w:val="24"/>
          <w:szCs w:val="24"/>
          <w:lang w:val="en" w:eastAsia="en-AU"/>
        </w:rPr>
        <w:t>m</w:t>
      </w:r>
      <w:r w:rsidRPr="00E53D37">
        <w:rPr>
          <w:rFonts w:ascii="Times New Roman" w:eastAsia="Times New Roman" w:hAnsi="Times New Roman" w:cs="Times New Roman"/>
          <w:sz w:val="24"/>
          <w:szCs w:val="24"/>
          <w:lang w:val="en" w:eastAsia="en-AU"/>
        </w:rPr>
        <w:t xml:space="preserve">etoclopramide - </w:t>
      </w:r>
      <w:r>
        <w:rPr>
          <w:rFonts w:ascii="Times New Roman" w:eastAsia="Times New Roman" w:hAnsi="Times New Roman" w:cs="Times New Roman"/>
          <w:sz w:val="24"/>
          <w:szCs w:val="24"/>
          <w:lang w:val="en" w:eastAsia="en-AU"/>
        </w:rPr>
        <w:t>new advisory statements</w:t>
      </w:r>
      <w:r w:rsidRPr="00E8218F">
        <w:rPr>
          <w:rFonts w:ascii="Times New Roman" w:eastAsia="Times New Roman" w:hAnsi="Times New Roman" w:cs="Times New Roman"/>
          <w:sz w:val="24"/>
          <w:szCs w:val="24"/>
          <w:lang w:val="en-US" w:eastAsia="en-AU"/>
        </w:rPr>
        <w:t>;</w:t>
      </w:r>
    </w:p>
    <w:p w:rsidR="00746508" w:rsidRPr="00E8218F" w:rsidRDefault="00746508" w:rsidP="00FA4CE6">
      <w:pPr>
        <w:numPr>
          <w:ilvl w:val="0"/>
          <w:numId w:val="1"/>
        </w:numPr>
        <w:spacing w:before="120" w:after="120" w:line="240" w:lineRule="auto"/>
        <w:ind w:left="709" w:hanging="709"/>
        <w:rPr>
          <w:rFonts w:ascii="Times New Roman" w:hAnsi="Times New Roman" w:cs="Times New Roman"/>
          <w:sz w:val="24"/>
          <w:szCs w:val="24"/>
          <w:lang w:val="en"/>
        </w:rPr>
      </w:pPr>
      <w:r w:rsidRPr="003B1AA2">
        <w:rPr>
          <w:rFonts w:ascii="Times New Roman" w:eastAsia="Times New Roman" w:hAnsi="Times New Roman" w:cs="Times New Roman"/>
          <w:sz w:val="24"/>
          <w:szCs w:val="24"/>
          <w:lang w:val="en" w:eastAsia="en-AU"/>
        </w:rPr>
        <w:t>diclofenac, flurbiprofen, ibuprofen, ketoprofen, mefenamic acid and naproxen</w:t>
      </w:r>
      <w:r>
        <w:rPr>
          <w:rFonts w:ascii="Times New Roman" w:eastAsia="Times New Roman" w:hAnsi="Times New Roman" w:cs="Times New Roman"/>
          <w:sz w:val="24"/>
          <w:szCs w:val="24"/>
          <w:lang w:val="en" w:eastAsia="en-AU"/>
        </w:rPr>
        <w:t xml:space="preserve"> (n</w:t>
      </w:r>
      <w:r w:rsidRPr="003B1AA2">
        <w:rPr>
          <w:rFonts w:ascii="Times New Roman" w:eastAsia="Times New Roman" w:hAnsi="Times New Roman" w:cs="Times New Roman"/>
          <w:sz w:val="24"/>
          <w:szCs w:val="24"/>
          <w:lang w:val="en" w:eastAsia="en-AU"/>
        </w:rPr>
        <w:t>on-steroidal anti-inflammatory drugs [NSAIDs]</w:t>
      </w:r>
      <w:r>
        <w:rPr>
          <w:rFonts w:ascii="Times New Roman" w:eastAsia="Times New Roman" w:hAnsi="Times New Roman" w:cs="Times New Roman"/>
          <w:sz w:val="24"/>
          <w:szCs w:val="24"/>
          <w:lang w:val="en" w:eastAsia="en-AU"/>
        </w:rPr>
        <w:t>)</w:t>
      </w:r>
      <w:r w:rsidRPr="003B1AA2">
        <w:rPr>
          <w:rFonts w:ascii="Times New Roman" w:eastAsia="Times New Roman" w:hAnsi="Times New Roman" w:cs="Times New Roman"/>
          <w:sz w:val="24"/>
          <w:szCs w:val="24"/>
          <w:lang w:val="en" w:eastAsia="en-AU"/>
        </w:rPr>
        <w:t xml:space="preserve"> for oral use</w:t>
      </w:r>
      <w:r>
        <w:rPr>
          <w:rFonts w:ascii="Times New Roman" w:eastAsia="Times New Roman" w:hAnsi="Times New Roman" w:cs="Times New Roman"/>
          <w:sz w:val="24"/>
          <w:szCs w:val="24"/>
          <w:lang w:val="en" w:eastAsia="en-AU"/>
        </w:rPr>
        <w:t xml:space="preserve"> - additional advisory statement</w:t>
      </w:r>
      <w:r>
        <w:rPr>
          <w:rFonts w:ascii="Times New Roman" w:hAnsi="Times New Roman" w:cs="Times New Roman"/>
          <w:sz w:val="24"/>
          <w:szCs w:val="24"/>
          <w:lang w:val="en"/>
        </w:rPr>
        <w:t>;</w:t>
      </w:r>
      <w:r w:rsidRPr="00E8218F">
        <w:rPr>
          <w:rFonts w:ascii="Times New Roman" w:eastAsia="Times New Roman" w:hAnsi="Times New Roman" w:cs="Times New Roman"/>
          <w:sz w:val="24"/>
          <w:szCs w:val="24"/>
          <w:lang w:eastAsia="en-AU"/>
        </w:rPr>
        <w:t xml:space="preserve"> </w:t>
      </w:r>
    </w:p>
    <w:p w:rsidR="00746508" w:rsidRPr="00E8218F" w:rsidRDefault="00746508" w:rsidP="00FA4CE6">
      <w:pPr>
        <w:numPr>
          <w:ilvl w:val="0"/>
          <w:numId w:val="1"/>
        </w:numPr>
        <w:spacing w:before="120" w:after="120" w:line="240" w:lineRule="auto"/>
        <w:ind w:left="709" w:hanging="709"/>
        <w:rPr>
          <w:rFonts w:ascii="Times New Roman" w:hAnsi="Times New Roman" w:cs="Times New Roman"/>
          <w:sz w:val="24"/>
          <w:szCs w:val="24"/>
          <w:lang w:val="en"/>
        </w:rPr>
      </w:pPr>
      <w:r>
        <w:rPr>
          <w:rFonts w:ascii="Times New Roman" w:eastAsia="Times New Roman" w:hAnsi="Times New Roman" w:cs="Times New Roman"/>
          <w:sz w:val="24"/>
          <w:szCs w:val="24"/>
          <w:lang w:val="en" w:eastAsia="en-AU"/>
        </w:rPr>
        <w:t>e</w:t>
      </w:r>
      <w:r w:rsidRPr="003B1AA2">
        <w:rPr>
          <w:rFonts w:ascii="Times New Roman" w:eastAsia="Times New Roman" w:hAnsi="Times New Roman" w:cs="Times New Roman"/>
          <w:sz w:val="24"/>
          <w:szCs w:val="24"/>
          <w:lang w:val="en" w:eastAsia="en-AU"/>
        </w:rPr>
        <w:t>someprazole</w:t>
      </w:r>
      <w:r>
        <w:rPr>
          <w:rFonts w:ascii="Times New Roman" w:eastAsia="Times New Roman" w:hAnsi="Times New Roman" w:cs="Times New Roman"/>
          <w:sz w:val="24"/>
          <w:szCs w:val="24"/>
          <w:lang w:val="en" w:eastAsia="en-AU"/>
        </w:rPr>
        <w:t xml:space="preserve"> -</w:t>
      </w:r>
      <w:r w:rsidRPr="003B1AA2">
        <w:rPr>
          <w:rFonts w:ascii="Times New Roman" w:eastAsia="Times New Roman" w:hAnsi="Times New Roman" w:cs="Times New Roman"/>
          <w:sz w:val="24"/>
          <w:szCs w:val="24"/>
          <w:lang w:val="en" w:eastAsia="en-AU"/>
        </w:rPr>
        <w:t xml:space="preserve"> </w:t>
      </w:r>
      <w:r>
        <w:rPr>
          <w:rFonts w:ascii="Times New Roman" w:eastAsia="Times New Roman" w:hAnsi="Times New Roman" w:cs="Times New Roman"/>
          <w:sz w:val="24"/>
          <w:szCs w:val="24"/>
          <w:lang w:val="en" w:eastAsia="en-AU"/>
        </w:rPr>
        <w:t>new advisory statement</w:t>
      </w:r>
      <w:r w:rsidR="00464D05">
        <w:rPr>
          <w:rFonts w:ascii="Times New Roman" w:eastAsia="Times New Roman" w:hAnsi="Times New Roman" w:cs="Times New Roman"/>
          <w:sz w:val="24"/>
          <w:szCs w:val="24"/>
          <w:lang w:val="en" w:eastAsia="en-AU"/>
        </w:rPr>
        <w:t>s</w:t>
      </w:r>
      <w:r>
        <w:rPr>
          <w:rFonts w:ascii="Times New Roman" w:eastAsia="Times New Roman" w:hAnsi="Times New Roman" w:cs="Times New Roman"/>
          <w:sz w:val="24"/>
          <w:szCs w:val="24"/>
          <w:lang w:eastAsia="en-AU"/>
        </w:rPr>
        <w:t>;</w:t>
      </w:r>
      <w:r w:rsidRPr="00E8218F">
        <w:rPr>
          <w:rFonts w:ascii="Times New Roman" w:eastAsia="Times New Roman" w:hAnsi="Times New Roman" w:cs="Times New Roman"/>
          <w:sz w:val="24"/>
          <w:szCs w:val="24"/>
          <w:lang w:eastAsia="en-AU"/>
        </w:rPr>
        <w:t xml:space="preserve"> </w:t>
      </w:r>
    </w:p>
    <w:p w:rsidR="00746508" w:rsidRPr="00E8218F" w:rsidRDefault="00746508" w:rsidP="00FA4CE6">
      <w:pPr>
        <w:numPr>
          <w:ilvl w:val="0"/>
          <w:numId w:val="1"/>
        </w:numPr>
        <w:spacing w:before="120" w:after="120" w:line="240" w:lineRule="auto"/>
        <w:ind w:left="709" w:hanging="709"/>
        <w:rPr>
          <w:rFonts w:ascii="Times New Roman" w:hAnsi="Times New Roman" w:cs="Times New Roman"/>
          <w:sz w:val="24"/>
          <w:szCs w:val="24"/>
          <w:lang w:val="en"/>
        </w:rPr>
      </w:pPr>
      <w:r>
        <w:rPr>
          <w:rFonts w:ascii="Times New Roman" w:eastAsia="Times New Roman" w:hAnsi="Times New Roman" w:cs="Times New Roman"/>
          <w:sz w:val="24"/>
          <w:szCs w:val="24"/>
          <w:lang w:val="en" w:eastAsia="en-AU"/>
        </w:rPr>
        <w:t xml:space="preserve">methoxamine, naphazoline, oxymetazoline, phenylephrine, tetrahydrozoline, tramazoline, tymazoline and xylometazoline in </w:t>
      </w:r>
      <w:r w:rsidRPr="00BE3D96">
        <w:rPr>
          <w:rFonts w:ascii="Times New Roman" w:eastAsia="Times New Roman" w:hAnsi="Times New Roman" w:cs="Times New Roman"/>
          <w:sz w:val="24"/>
          <w:szCs w:val="24"/>
          <w:lang w:val="en" w:eastAsia="en-AU"/>
        </w:rPr>
        <w:t xml:space="preserve">nasal decongestant preparations for topical use - </w:t>
      </w:r>
      <w:r>
        <w:rPr>
          <w:rFonts w:ascii="Times New Roman" w:eastAsia="Times New Roman" w:hAnsi="Times New Roman" w:cs="Times New Roman"/>
          <w:sz w:val="24"/>
          <w:szCs w:val="24"/>
          <w:lang w:val="en" w:eastAsia="en-AU"/>
        </w:rPr>
        <w:t>additional advisory statements</w:t>
      </w:r>
      <w:r w:rsidRPr="00E8218F">
        <w:rPr>
          <w:rFonts w:ascii="Times New Roman" w:eastAsia="Times New Roman" w:hAnsi="Times New Roman" w:cs="Times New Roman"/>
          <w:sz w:val="24"/>
          <w:szCs w:val="24"/>
          <w:lang w:val="en-US" w:eastAsia="en-AU"/>
        </w:rPr>
        <w:t>;</w:t>
      </w:r>
    </w:p>
    <w:p w:rsidR="00746508" w:rsidRPr="00E8218F" w:rsidRDefault="00746508" w:rsidP="00FA4CE6">
      <w:pPr>
        <w:numPr>
          <w:ilvl w:val="0"/>
          <w:numId w:val="1"/>
        </w:numPr>
        <w:spacing w:before="120" w:after="120" w:line="240" w:lineRule="auto"/>
        <w:ind w:left="709" w:hanging="709"/>
        <w:rPr>
          <w:rFonts w:ascii="Times New Roman" w:hAnsi="Times New Roman" w:cs="Times New Roman"/>
          <w:sz w:val="24"/>
          <w:szCs w:val="24"/>
          <w:lang w:val="en"/>
        </w:rPr>
      </w:pPr>
      <w:r w:rsidRPr="00BE3D96">
        <w:rPr>
          <w:rFonts w:ascii="Times New Roman" w:hAnsi="Times New Roman"/>
          <w:sz w:val="24"/>
          <w:szCs w:val="21"/>
          <w:lang w:val="en"/>
        </w:rPr>
        <w:t xml:space="preserve">ammonium salts, bromhexine, </w:t>
      </w:r>
      <w:r w:rsidR="00A7532E">
        <w:rPr>
          <w:rFonts w:ascii="Times New Roman" w:hAnsi="Times New Roman"/>
          <w:sz w:val="24"/>
          <w:szCs w:val="21"/>
          <w:lang w:val="en"/>
        </w:rPr>
        <w:t xml:space="preserve">codeine, </w:t>
      </w:r>
      <w:r w:rsidRPr="00BE3D96">
        <w:rPr>
          <w:rFonts w:ascii="Times New Roman" w:hAnsi="Times New Roman"/>
          <w:sz w:val="24"/>
          <w:szCs w:val="21"/>
          <w:lang w:val="en"/>
        </w:rPr>
        <w:t xml:space="preserve">dextromethorphan, dihydrocodeine, guaifenesin, ipecacuanha, </w:t>
      </w:r>
      <w:r w:rsidR="00A7532E">
        <w:rPr>
          <w:rFonts w:ascii="Times New Roman" w:hAnsi="Times New Roman"/>
          <w:sz w:val="24"/>
          <w:szCs w:val="21"/>
          <w:lang w:val="en"/>
        </w:rPr>
        <w:t xml:space="preserve">pentoxyverine, </w:t>
      </w:r>
      <w:r w:rsidRPr="00BE3D96">
        <w:rPr>
          <w:rFonts w:ascii="Times New Roman" w:hAnsi="Times New Roman"/>
          <w:sz w:val="24"/>
          <w:szCs w:val="21"/>
          <w:lang w:val="en"/>
        </w:rPr>
        <w:t xml:space="preserve">pholcodine, and senega and ammonia </w:t>
      </w:r>
      <w:r>
        <w:rPr>
          <w:rFonts w:ascii="Times New Roman" w:eastAsia="Times New Roman" w:hAnsi="Times New Roman" w:cs="Times New Roman"/>
          <w:sz w:val="24"/>
          <w:szCs w:val="24"/>
          <w:lang w:val="en" w:eastAsia="en-AU"/>
        </w:rPr>
        <w:t xml:space="preserve">in </w:t>
      </w:r>
      <w:r w:rsidRPr="00BE3D96">
        <w:rPr>
          <w:rFonts w:ascii="Times New Roman" w:eastAsia="Times New Roman" w:hAnsi="Times New Roman" w:cs="Times New Roman"/>
          <w:sz w:val="24"/>
          <w:szCs w:val="24"/>
          <w:lang w:val="en" w:eastAsia="en-AU"/>
        </w:rPr>
        <w:t>cough</w:t>
      </w:r>
      <w:r>
        <w:rPr>
          <w:rFonts w:ascii="Times New Roman" w:eastAsia="Times New Roman" w:hAnsi="Times New Roman" w:cs="Times New Roman"/>
          <w:sz w:val="24"/>
          <w:szCs w:val="24"/>
          <w:lang w:val="en" w:eastAsia="en-AU"/>
        </w:rPr>
        <w:t xml:space="preserve"> </w:t>
      </w:r>
      <w:r w:rsidRPr="00BE3D96">
        <w:rPr>
          <w:rFonts w:ascii="Times New Roman" w:eastAsia="Times New Roman" w:hAnsi="Times New Roman" w:cs="Times New Roman"/>
          <w:sz w:val="24"/>
          <w:szCs w:val="24"/>
          <w:lang w:val="en" w:eastAsia="en-AU"/>
        </w:rPr>
        <w:t>medicines for oral use</w:t>
      </w:r>
      <w:r>
        <w:rPr>
          <w:rFonts w:ascii="Times New Roman" w:eastAsia="Times New Roman" w:hAnsi="Times New Roman" w:cs="Times New Roman"/>
          <w:sz w:val="24"/>
          <w:szCs w:val="24"/>
          <w:lang w:val="en" w:eastAsia="en-AU"/>
        </w:rPr>
        <w:t xml:space="preserve"> -additional</w:t>
      </w:r>
      <w:r w:rsidRPr="00BE3D96">
        <w:rPr>
          <w:rFonts w:ascii="Times New Roman" w:eastAsia="Times New Roman" w:hAnsi="Times New Roman" w:cs="Times New Roman"/>
          <w:sz w:val="24"/>
          <w:szCs w:val="24"/>
          <w:lang w:val="en" w:eastAsia="en-AU"/>
        </w:rPr>
        <w:t xml:space="preserve"> advisory statement</w:t>
      </w:r>
      <w:r w:rsidRPr="00E8218F">
        <w:rPr>
          <w:rFonts w:ascii="Times New Roman" w:eastAsia="Times New Roman" w:hAnsi="Times New Roman" w:cs="Times New Roman"/>
          <w:sz w:val="24"/>
          <w:szCs w:val="24"/>
          <w:lang w:val="en-US" w:eastAsia="en-AU"/>
        </w:rPr>
        <w:t>;</w:t>
      </w:r>
    </w:p>
    <w:p w:rsidR="00746508" w:rsidRPr="00E8218F" w:rsidRDefault="00746508" w:rsidP="00FA4CE6">
      <w:pPr>
        <w:numPr>
          <w:ilvl w:val="0"/>
          <w:numId w:val="1"/>
        </w:numPr>
        <w:spacing w:before="120" w:after="120" w:line="240" w:lineRule="auto"/>
        <w:ind w:left="709" w:hanging="709"/>
        <w:rPr>
          <w:rFonts w:ascii="Times New Roman" w:eastAsia="Times New Roman" w:hAnsi="Times New Roman" w:cs="Times New Roman"/>
          <w:sz w:val="24"/>
          <w:szCs w:val="24"/>
          <w:lang w:val="en" w:eastAsia="en-AU"/>
        </w:rPr>
      </w:pPr>
      <w:r w:rsidRPr="00A74869">
        <w:rPr>
          <w:rFonts w:ascii="Times New Roman" w:eastAsia="Times New Roman" w:hAnsi="Times New Roman" w:cs="Times New Roman"/>
          <w:sz w:val="24"/>
          <w:szCs w:val="24"/>
          <w:lang w:val="en" w:eastAsia="en-AU"/>
        </w:rPr>
        <w:t>chloramphenicol, propamidine, dibromopropamidine and sulfacetamide for ophthalmic use</w:t>
      </w:r>
      <w:r>
        <w:rPr>
          <w:rFonts w:ascii="Times New Roman" w:eastAsia="Times New Roman" w:hAnsi="Times New Roman" w:cs="Times New Roman"/>
          <w:sz w:val="24"/>
          <w:szCs w:val="24"/>
          <w:lang w:val="en" w:eastAsia="en-AU"/>
        </w:rPr>
        <w:t xml:space="preserve"> - new advisory statement</w:t>
      </w:r>
      <w:r w:rsidR="00464D05">
        <w:rPr>
          <w:rFonts w:ascii="Times New Roman" w:eastAsia="Times New Roman" w:hAnsi="Times New Roman" w:cs="Times New Roman"/>
          <w:sz w:val="24"/>
          <w:szCs w:val="24"/>
          <w:lang w:val="en" w:eastAsia="en-AU"/>
        </w:rPr>
        <w:t>s</w:t>
      </w:r>
      <w:r>
        <w:rPr>
          <w:rFonts w:ascii="Times New Roman" w:hAnsi="Times New Roman" w:cs="Times New Roman"/>
          <w:sz w:val="24"/>
          <w:szCs w:val="24"/>
        </w:rPr>
        <w:t>;</w:t>
      </w:r>
    </w:p>
    <w:p w:rsidR="00746508" w:rsidRPr="006A417A" w:rsidRDefault="00746508" w:rsidP="000F3259">
      <w:pPr>
        <w:pStyle w:val="ListParagraph"/>
        <w:numPr>
          <w:ilvl w:val="0"/>
          <w:numId w:val="1"/>
        </w:numPr>
        <w:spacing w:before="120" w:beforeAutospacing="0" w:after="120" w:afterAutospacing="0"/>
        <w:ind w:hanging="720"/>
        <w:rPr>
          <w:lang w:val="en-US"/>
        </w:rPr>
      </w:pPr>
      <w:r w:rsidRPr="006A417A">
        <w:rPr>
          <w:i/>
          <w:lang w:val="en"/>
        </w:rPr>
        <w:t xml:space="preserve">Euphausia superba </w:t>
      </w:r>
      <w:r w:rsidRPr="00BC08F7">
        <w:rPr>
          <w:lang w:val="en"/>
        </w:rPr>
        <w:t xml:space="preserve">oil </w:t>
      </w:r>
      <w:r w:rsidRPr="006A417A">
        <w:rPr>
          <w:lang w:val="en"/>
        </w:rPr>
        <w:t>(Krill Oil) in Listed Medicines</w:t>
      </w:r>
      <w:r>
        <w:rPr>
          <w:lang w:val="en"/>
        </w:rPr>
        <w:t xml:space="preserve"> – new advisory statement</w:t>
      </w:r>
      <w:r w:rsidRPr="006A417A">
        <w:rPr>
          <w:lang w:val="en"/>
        </w:rPr>
        <w:t xml:space="preserve">.  </w:t>
      </w:r>
      <w:r w:rsidRPr="006A417A">
        <w:rPr>
          <w:lang w:val="en-US"/>
        </w:rPr>
        <w:t xml:space="preserve"> </w:t>
      </w:r>
      <w:r w:rsidRPr="006A417A">
        <w:t> </w:t>
      </w:r>
    </w:p>
    <w:p w:rsidR="00E22DB6" w:rsidRDefault="00E22DB6" w:rsidP="00FA4CE6">
      <w:pPr>
        <w:spacing w:before="120" w:after="120" w:line="240" w:lineRule="auto"/>
        <w:ind w:right="-96"/>
        <w:rPr>
          <w:rFonts w:ascii="Times New Roman" w:eastAsia="Times New Roman" w:hAnsi="Times New Roman" w:cs="Times New Roman"/>
          <w:b/>
          <w:bCs/>
          <w:sz w:val="24"/>
          <w:szCs w:val="24"/>
          <w:lang w:eastAsia="en-AU"/>
        </w:rPr>
      </w:pPr>
    </w:p>
    <w:p w:rsidR="006E6314" w:rsidRPr="006E6314" w:rsidRDefault="006E6314" w:rsidP="00FA4CE6">
      <w:pPr>
        <w:spacing w:before="240" w:after="120" w:line="240" w:lineRule="auto"/>
        <w:ind w:right="-96"/>
        <w:rPr>
          <w:rFonts w:ascii="Times New Roman" w:eastAsia="Times New Roman" w:hAnsi="Times New Roman" w:cs="Times New Roman"/>
          <w:sz w:val="24"/>
          <w:szCs w:val="24"/>
          <w:lang w:val="en-US" w:eastAsia="en-AU"/>
        </w:rPr>
      </w:pPr>
      <w:r w:rsidRPr="006E6314">
        <w:rPr>
          <w:rFonts w:ascii="Times New Roman" w:eastAsia="Times New Roman" w:hAnsi="Times New Roman" w:cs="Times New Roman"/>
          <w:b/>
          <w:bCs/>
          <w:sz w:val="24"/>
          <w:szCs w:val="24"/>
          <w:lang w:eastAsia="en-AU"/>
        </w:rPr>
        <w:t>CONSULTATION</w:t>
      </w:r>
    </w:p>
    <w:p w:rsidR="006A417A" w:rsidRPr="00E8218F" w:rsidRDefault="006A417A" w:rsidP="00FA4CE6">
      <w:pPr>
        <w:spacing w:before="120" w:after="120" w:line="240" w:lineRule="auto"/>
        <w:rPr>
          <w:rFonts w:ascii="Times New Roman" w:eastAsia="Times New Roman" w:hAnsi="Times New Roman" w:cs="Times New Roman"/>
          <w:sz w:val="24"/>
          <w:szCs w:val="24"/>
          <w:lang w:val="en" w:eastAsia="en-AU"/>
        </w:rPr>
      </w:pPr>
      <w:r w:rsidRPr="00E8218F">
        <w:rPr>
          <w:rFonts w:ascii="Times New Roman" w:eastAsia="Times New Roman" w:hAnsi="Times New Roman" w:cs="Times New Roman"/>
          <w:sz w:val="24"/>
          <w:szCs w:val="24"/>
          <w:lang w:val="en-US" w:eastAsia="en-AU"/>
        </w:rPr>
        <w:t>Public comment was invited on</w:t>
      </w:r>
      <w:r>
        <w:rPr>
          <w:rFonts w:ascii="Times New Roman" w:eastAsia="Times New Roman" w:hAnsi="Times New Roman" w:cs="Times New Roman"/>
          <w:sz w:val="24"/>
          <w:szCs w:val="24"/>
          <w:lang w:val="en-US" w:eastAsia="en-AU"/>
        </w:rPr>
        <w:t xml:space="preserve"> the </w:t>
      </w:r>
      <w:r w:rsidRPr="00E8218F">
        <w:rPr>
          <w:rFonts w:ascii="Times New Roman" w:eastAsia="Times New Roman" w:hAnsi="Times New Roman" w:cs="Times New Roman"/>
          <w:sz w:val="24"/>
          <w:szCs w:val="24"/>
          <w:lang w:val="en-US" w:eastAsia="en-AU"/>
        </w:rPr>
        <w:t>propos</w:t>
      </w:r>
      <w:r w:rsidR="003C08D0">
        <w:rPr>
          <w:rFonts w:ascii="Times New Roman" w:eastAsia="Times New Roman" w:hAnsi="Times New Roman" w:cs="Times New Roman"/>
          <w:sz w:val="24"/>
          <w:szCs w:val="24"/>
          <w:lang w:val="en-US" w:eastAsia="en-AU"/>
        </w:rPr>
        <w:t>ed amendments</w:t>
      </w:r>
      <w:r>
        <w:rPr>
          <w:rFonts w:ascii="Times New Roman" w:eastAsia="Times New Roman" w:hAnsi="Times New Roman" w:cs="Times New Roman"/>
          <w:sz w:val="24"/>
          <w:szCs w:val="24"/>
          <w:lang w:val="en-US" w:eastAsia="en-AU"/>
        </w:rPr>
        <w:t xml:space="preserve"> in relation </w:t>
      </w:r>
      <w:r w:rsidR="00D00D5D">
        <w:rPr>
          <w:rFonts w:ascii="Times New Roman" w:eastAsia="Times New Roman" w:hAnsi="Times New Roman" w:cs="Times New Roman"/>
          <w:sz w:val="24"/>
          <w:szCs w:val="24"/>
          <w:lang w:val="en-US" w:eastAsia="en-AU"/>
        </w:rPr>
        <w:t xml:space="preserve">to </w:t>
      </w:r>
      <w:r>
        <w:rPr>
          <w:rFonts w:ascii="Times New Roman" w:eastAsia="Times New Roman" w:hAnsi="Times New Roman" w:cs="Times New Roman"/>
          <w:sz w:val="24"/>
          <w:szCs w:val="24"/>
          <w:lang w:val="en-US" w:eastAsia="en-AU"/>
        </w:rPr>
        <w:t>these substances, as follows</w:t>
      </w:r>
      <w:r w:rsidRPr="00E8218F">
        <w:rPr>
          <w:rFonts w:ascii="Times New Roman" w:eastAsia="Times New Roman" w:hAnsi="Times New Roman" w:cs="Times New Roman"/>
          <w:sz w:val="24"/>
          <w:szCs w:val="24"/>
          <w:lang w:val="en-US" w:eastAsia="en-AU"/>
        </w:rPr>
        <w:t>:</w:t>
      </w:r>
    </w:p>
    <w:p w:rsidR="006A417A" w:rsidRPr="00E8218F" w:rsidRDefault="006A417A" w:rsidP="00FA4CE6">
      <w:pPr>
        <w:numPr>
          <w:ilvl w:val="0"/>
          <w:numId w:val="1"/>
        </w:numPr>
        <w:spacing w:before="120" w:after="120" w:line="240" w:lineRule="auto"/>
        <w:ind w:left="709" w:hanging="709"/>
        <w:rPr>
          <w:rFonts w:ascii="Times New Roman" w:hAnsi="Times New Roman" w:cs="Times New Roman"/>
          <w:sz w:val="24"/>
          <w:szCs w:val="24"/>
          <w:lang w:val="en"/>
        </w:rPr>
      </w:pPr>
      <w:bookmarkStart w:id="1" w:name="consult"/>
      <w:r w:rsidRPr="00E8218F">
        <w:rPr>
          <w:rFonts w:ascii="Times New Roman" w:hAnsi="Times New Roman" w:cs="Times New Roman"/>
          <w:bCs/>
          <w:kern w:val="36"/>
          <w:sz w:val="24"/>
          <w:szCs w:val="24"/>
          <w:lang w:val="en"/>
        </w:rPr>
        <w:t>cimetidine, famotidine, nizatidine and ranitidine</w:t>
      </w:r>
      <w:bookmarkEnd w:id="1"/>
      <w:r w:rsidRPr="00E8218F">
        <w:rPr>
          <w:rFonts w:ascii="Times New Roman" w:hAnsi="Times New Roman" w:cs="Times New Roman"/>
          <w:bCs/>
          <w:kern w:val="36"/>
          <w:sz w:val="24"/>
          <w:szCs w:val="24"/>
          <w:lang w:val="en"/>
        </w:rPr>
        <w:t xml:space="preserve"> </w:t>
      </w:r>
      <w:r>
        <w:rPr>
          <w:rFonts w:ascii="Times New Roman" w:hAnsi="Times New Roman" w:cs="Times New Roman"/>
          <w:bCs/>
          <w:kern w:val="36"/>
          <w:sz w:val="24"/>
          <w:szCs w:val="24"/>
          <w:lang w:val="en"/>
        </w:rPr>
        <w:t xml:space="preserve">– </w:t>
      </w:r>
      <w:r w:rsidRPr="00E8218F">
        <w:rPr>
          <w:rFonts w:ascii="Times New Roman" w:eastAsia="Times New Roman" w:hAnsi="Times New Roman" w:cs="Times New Roman"/>
          <w:sz w:val="24"/>
          <w:szCs w:val="24"/>
          <w:lang w:eastAsia="en-AU"/>
        </w:rPr>
        <w:t xml:space="preserve">the </w:t>
      </w:r>
      <w:r w:rsidRPr="00E8218F">
        <w:rPr>
          <w:rFonts w:ascii="Times New Roman" w:eastAsia="Times New Roman" w:hAnsi="Times New Roman" w:cs="Times New Roman"/>
          <w:sz w:val="24"/>
          <w:szCs w:val="24"/>
          <w:lang w:val="en-US" w:eastAsia="en-AU"/>
        </w:rPr>
        <w:t>invitation to comment in relation to this correction was advertised on the TGA website (</w:t>
      </w:r>
      <w:hyperlink r:id="rId9" w:history="1">
        <w:r w:rsidRPr="00E8218F">
          <w:rPr>
            <w:rFonts w:ascii="Times New Roman" w:eastAsia="Times New Roman" w:hAnsi="Times New Roman" w:cs="Times New Roman"/>
            <w:sz w:val="24"/>
            <w:szCs w:val="24"/>
            <w:lang w:val="en-US" w:eastAsia="en-AU"/>
          </w:rPr>
          <w:t>www.tga.gov.au</w:t>
        </w:r>
      </w:hyperlink>
      <w:r w:rsidRPr="00E8218F">
        <w:rPr>
          <w:rFonts w:ascii="Times New Roman" w:eastAsia="Times New Roman" w:hAnsi="Times New Roman" w:cs="Times New Roman"/>
          <w:sz w:val="24"/>
          <w:szCs w:val="24"/>
          <w:lang w:val="en-US" w:eastAsia="en-AU"/>
        </w:rPr>
        <w:t>) from 1 October 2015, and closed on 29 October 2015;</w:t>
      </w:r>
    </w:p>
    <w:p w:rsidR="006A417A" w:rsidRPr="00E8218F" w:rsidRDefault="006A417A" w:rsidP="00FA4CE6">
      <w:pPr>
        <w:numPr>
          <w:ilvl w:val="0"/>
          <w:numId w:val="1"/>
        </w:numPr>
        <w:spacing w:before="120" w:after="120" w:line="240" w:lineRule="auto"/>
        <w:ind w:left="709" w:hanging="709"/>
        <w:rPr>
          <w:rFonts w:ascii="Times New Roman" w:hAnsi="Times New Roman" w:cs="Times New Roman"/>
          <w:sz w:val="24"/>
          <w:szCs w:val="24"/>
          <w:lang w:val="en"/>
        </w:rPr>
      </w:pPr>
      <w:r>
        <w:rPr>
          <w:rFonts w:ascii="Times New Roman" w:eastAsia="Times New Roman" w:hAnsi="Times New Roman" w:cs="Times New Roman"/>
          <w:sz w:val="24"/>
          <w:szCs w:val="24"/>
          <w:lang w:val="en" w:eastAsia="en-AU"/>
        </w:rPr>
        <w:t>m</w:t>
      </w:r>
      <w:r w:rsidRPr="00E53D37">
        <w:rPr>
          <w:rFonts w:ascii="Times New Roman" w:eastAsia="Times New Roman" w:hAnsi="Times New Roman" w:cs="Times New Roman"/>
          <w:sz w:val="24"/>
          <w:szCs w:val="24"/>
          <w:lang w:val="en" w:eastAsia="en-AU"/>
        </w:rPr>
        <w:t xml:space="preserve">etoclopramide - </w:t>
      </w:r>
      <w:r w:rsidRPr="00E8218F">
        <w:rPr>
          <w:rFonts w:ascii="Times New Roman" w:eastAsia="Times New Roman" w:hAnsi="Times New Roman" w:cs="Times New Roman"/>
          <w:sz w:val="24"/>
          <w:szCs w:val="24"/>
          <w:lang w:eastAsia="en-AU"/>
        </w:rPr>
        <w:t xml:space="preserve">the </w:t>
      </w:r>
      <w:r w:rsidRPr="00E8218F">
        <w:rPr>
          <w:rFonts w:ascii="Times New Roman" w:eastAsia="Times New Roman" w:hAnsi="Times New Roman" w:cs="Times New Roman"/>
          <w:sz w:val="24"/>
          <w:szCs w:val="24"/>
          <w:lang w:val="en-US" w:eastAsia="en-AU"/>
        </w:rPr>
        <w:t xml:space="preserve">invitation to comment in relation to this </w:t>
      </w:r>
      <w:r w:rsidR="00464D05">
        <w:rPr>
          <w:rFonts w:ascii="Times New Roman" w:eastAsia="Times New Roman" w:hAnsi="Times New Roman" w:cs="Times New Roman"/>
          <w:sz w:val="24"/>
          <w:szCs w:val="24"/>
          <w:lang w:val="en-US" w:eastAsia="en-AU"/>
        </w:rPr>
        <w:t xml:space="preserve">new requirement </w:t>
      </w:r>
      <w:r w:rsidRPr="00E8218F">
        <w:rPr>
          <w:rFonts w:ascii="Times New Roman" w:eastAsia="Times New Roman" w:hAnsi="Times New Roman" w:cs="Times New Roman"/>
          <w:sz w:val="24"/>
          <w:szCs w:val="24"/>
          <w:lang w:val="en-US" w:eastAsia="en-AU"/>
        </w:rPr>
        <w:t>was advertised on the TGA website (</w:t>
      </w:r>
      <w:hyperlink r:id="rId10" w:history="1">
        <w:r w:rsidRPr="00E8218F">
          <w:rPr>
            <w:rFonts w:ascii="Times New Roman" w:eastAsia="Times New Roman" w:hAnsi="Times New Roman" w:cs="Times New Roman"/>
            <w:sz w:val="24"/>
            <w:szCs w:val="24"/>
            <w:lang w:val="en-US" w:eastAsia="en-AU"/>
          </w:rPr>
          <w:t>www.tga.gov.au</w:t>
        </w:r>
      </w:hyperlink>
      <w:r w:rsidRPr="00E8218F">
        <w:rPr>
          <w:rFonts w:ascii="Times New Roman" w:eastAsia="Times New Roman" w:hAnsi="Times New Roman" w:cs="Times New Roman"/>
          <w:sz w:val="24"/>
          <w:szCs w:val="24"/>
          <w:lang w:val="en-US" w:eastAsia="en-AU"/>
        </w:rPr>
        <w:t xml:space="preserve">) from </w:t>
      </w:r>
      <w:r>
        <w:rPr>
          <w:rFonts w:ascii="Times New Roman" w:eastAsia="Times New Roman" w:hAnsi="Times New Roman" w:cs="Times New Roman"/>
          <w:sz w:val="24"/>
          <w:szCs w:val="24"/>
          <w:lang w:val="en-US" w:eastAsia="en-AU"/>
        </w:rPr>
        <w:t>10 March 2015</w:t>
      </w:r>
      <w:r w:rsidRPr="00E8218F">
        <w:rPr>
          <w:rFonts w:ascii="Times New Roman" w:eastAsia="Times New Roman" w:hAnsi="Times New Roman" w:cs="Times New Roman"/>
          <w:sz w:val="24"/>
          <w:szCs w:val="24"/>
          <w:lang w:val="en-US" w:eastAsia="en-AU"/>
        </w:rPr>
        <w:t xml:space="preserve">, and closed on </w:t>
      </w:r>
      <w:r>
        <w:rPr>
          <w:rFonts w:ascii="Times New Roman" w:eastAsia="Times New Roman" w:hAnsi="Times New Roman" w:cs="Times New Roman"/>
          <w:sz w:val="24"/>
          <w:szCs w:val="24"/>
          <w:lang w:val="en-US" w:eastAsia="en-AU"/>
        </w:rPr>
        <w:t xml:space="preserve">7 April 2015 - </w:t>
      </w:r>
      <w:r w:rsidRPr="00E53D37">
        <w:rPr>
          <w:rFonts w:ascii="Times New Roman" w:hAnsi="Times New Roman" w:cs="Times New Roman"/>
          <w:sz w:val="24"/>
          <w:szCs w:val="24"/>
          <w:lang w:val="en"/>
        </w:rPr>
        <w:t>Submissions and TGA response</w:t>
      </w:r>
      <w:r>
        <w:rPr>
          <w:rFonts w:ascii="Times New Roman" w:hAnsi="Times New Roman" w:cs="Times New Roman"/>
          <w:sz w:val="24"/>
          <w:szCs w:val="24"/>
          <w:lang w:val="en"/>
        </w:rPr>
        <w:t xml:space="preserve"> were published on</w:t>
      </w:r>
      <w:r w:rsidRPr="00E8218F">
        <w:rPr>
          <w:rFonts w:ascii="Times New Roman" w:eastAsia="Times New Roman" w:hAnsi="Times New Roman" w:cs="Times New Roman"/>
          <w:sz w:val="24"/>
          <w:szCs w:val="24"/>
          <w:lang w:val="en-US" w:eastAsia="en-AU"/>
        </w:rPr>
        <w:t xml:space="preserve"> the TGA website</w:t>
      </w:r>
      <w:r>
        <w:rPr>
          <w:rFonts w:ascii="Times New Roman" w:eastAsia="Times New Roman" w:hAnsi="Times New Roman" w:cs="Times New Roman"/>
          <w:sz w:val="24"/>
          <w:szCs w:val="24"/>
          <w:lang w:val="en-US" w:eastAsia="en-AU"/>
        </w:rPr>
        <w:t xml:space="preserve"> on</w:t>
      </w:r>
      <w:r w:rsidRPr="00E8218F">
        <w:rPr>
          <w:rFonts w:ascii="Times New Roman" w:eastAsia="Times New Roman" w:hAnsi="Times New Roman" w:cs="Times New Roman"/>
          <w:sz w:val="24"/>
          <w:szCs w:val="24"/>
          <w:lang w:val="en-US" w:eastAsia="en-AU"/>
        </w:rPr>
        <w:t xml:space="preserve"> </w:t>
      </w:r>
      <w:r w:rsidRPr="00E8218F">
        <w:rPr>
          <w:rFonts w:ascii="Times New Roman" w:hAnsi="Times New Roman" w:cs="Times New Roman"/>
          <w:sz w:val="24"/>
          <w:szCs w:val="24"/>
          <w:lang w:val="en"/>
        </w:rPr>
        <w:t>13 May 2015</w:t>
      </w:r>
      <w:r w:rsidRPr="00E8218F">
        <w:rPr>
          <w:rFonts w:ascii="Times New Roman" w:eastAsia="Times New Roman" w:hAnsi="Times New Roman" w:cs="Times New Roman"/>
          <w:sz w:val="24"/>
          <w:szCs w:val="24"/>
          <w:lang w:val="en-US" w:eastAsia="en-AU"/>
        </w:rPr>
        <w:t>;</w:t>
      </w:r>
    </w:p>
    <w:p w:rsidR="006A417A" w:rsidRPr="00E8218F" w:rsidRDefault="006A417A" w:rsidP="00FA4CE6">
      <w:pPr>
        <w:numPr>
          <w:ilvl w:val="0"/>
          <w:numId w:val="1"/>
        </w:numPr>
        <w:spacing w:before="120" w:after="120" w:line="240" w:lineRule="auto"/>
        <w:ind w:left="709" w:hanging="709"/>
        <w:rPr>
          <w:rFonts w:ascii="Times New Roman" w:hAnsi="Times New Roman" w:cs="Times New Roman"/>
          <w:sz w:val="24"/>
          <w:szCs w:val="24"/>
          <w:lang w:val="en"/>
        </w:rPr>
      </w:pPr>
      <w:r w:rsidRPr="003B1AA2">
        <w:rPr>
          <w:rFonts w:ascii="Times New Roman" w:eastAsia="Times New Roman" w:hAnsi="Times New Roman" w:cs="Times New Roman"/>
          <w:sz w:val="24"/>
          <w:szCs w:val="24"/>
          <w:lang w:val="en" w:eastAsia="en-AU"/>
        </w:rPr>
        <w:t>diclofenac, flurbiprofen, ibuprofen, ketoprofen, mefenamic acid and naproxen</w:t>
      </w:r>
      <w:r>
        <w:rPr>
          <w:rFonts w:ascii="Times New Roman" w:eastAsia="Times New Roman" w:hAnsi="Times New Roman" w:cs="Times New Roman"/>
          <w:sz w:val="24"/>
          <w:szCs w:val="24"/>
          <w:lang w:val="en" w:eastAsia="en-AU"/>
        </w:rPr>
        <w:t xml:space="preserve"> (n</w:t>
      </w:r>
      <w:r w:rsidRPr="003B1AA2">
        <w:rPr>
          <w:rFonts w:ascii="Times New Roman" w:eastAsia="Times New Roman" w:hAnsi="Times New Roman" w:cs="Times New Roman"/>
          <w:sz w:val="24"/>
          <w:szCs w:val="24"/>
          <w:lang w:val="en" w:eastAsia="en-AU"/>
        </w:rPr>
        <w:t>on-steroidal anti-inflammatory drugs [NSAIDs]</w:t>
      </w:r>
      <w:r>
        <w:rPr>
          <w:rFonts w:ascii="Times New Roman" w:eastAsia="Times New Roman" w:hAnsi="Times New Roman" w:cs="Times New Roman"/>
          <w:sz w:val="24"/>
          <w:szCs w:val="24"/>
          <w:lang w:val="en" w:eastAsia="en-AU"/>
        </w:rPr>
        <w:t>)</w:t>
      </w:r>
      <w:r w:rsidRPr="003B1AA2">
        <w:rPr>
          <w:rFonts w:ascii="Times New Roman" w:eastAsia="Times New Roman" w:hAnsi="Times New Roman" w:cs="Times New Roman"/>
          <w:sz w:val="24"/>
          <w:szCs w:val="24"/>
          <w:lang w:val="en" w:eastAsia="en-AU"/>
        </w:rPr>
        <w:t xml:space="preserve"> for oral use</w:t>
      </w:r>
      <w:r>
        <w:rPr>
          <w:rFonts w:ascii="Times New Roman" w:eastAsia="Times New Roman" w:hAnsi="Times New Roman" w:cs="Times New Roman"/>
          <w:sz w:val="24"/>
          <w:szCs w:val="24"/>
          <w:lang w:val="en" w:eastAsia="en-AU"/>
        </w:rPr>
        <w:t xml:space="preserve">  </w:t>
      </w:r>
      <w:r w:rsidRPr="00E8218F">
        <w:rPr>
          <w:rFonts w:ascii="Times New Roman" w:eastAsia="Times New Roman" w:hAnsi="Times New Roman" w:cs="Times New Roman"/>
          <w:sz w:val="24"/>
          <w:szCs w:val="24"/>
          <w:lang w:eastAsia="en-AU"/>
        </w:rPr>
        <w:t xml:space="preserve">- the </w:t>
      </w:r>
      <w:r w:rsidRPr="00E8218F">
        <w:rPr>
          <w:rFonts w:ascii="Times New Roman" w:eastAsia="Times New Roman" w:hAnsi="Times New Roman" w:cs="Times New Roman"/>
          <w:sz w:val="24"/>
          <w:szCs w:val="24"/>
          <w:lang w:val="en-US" w:eastAsia="en-AU"/>
        </w:rPr>
        <w:t xml:space="preserve">invitation to comment in relation to this </w:t>
      </w:r>
      <w:r>
        <w:rPr>
          <w:rFonts w:ascii="Times New Roman" w:eastAsia="Times New Roman" w:hAnsi="Times New Roman" w:cs="Times New Roman"/>
          <w:sz w:val="24"/>
          <w:szCs w:val="24"/>
          <w:lang w:val="en-US" w:eastAsia="en-AU"/>
        </w:rPr>
        <w:t>change</w:t>
      </w:r>
      <w:r w:rsidRPr="00E8218F">
        <w:rPr>
          <w:rFonts w:ascii="Times New Roman" w:eastAsia="Times New Roman" w:hAnsi="Times New Roman" w:cs="Times New Roman"/>
          <w:sz w:val="24"/>
          <w:szCs w:val="24"/>
          <w:lang w:val="en-US" w:eastAsia="en-AU"/>
        </w:rPr>
        <w:t xml:space="preserve"> was advertised on the TGA website (</w:t>
      </w:r>
      <w:hyperlink r:id="rId11" w:history="1">
        <w:r w:rsidRPr="00E8218F">
          <w:rPr>
            <w:rFonts w:ascii="Times New Roman" w:eastAsia="Times New Roman" w:hAnsi="Times New Roman" w:cs="Times New Roman"/>
            <w:sz w:val="24"/>
            <w:szCs w:val="24"/>
            <w:lang w:val="en-US" w:eastAsia="en-AU"/>
          </w:rPr>
          <w:t>www.tga.gov.au</w:t>
        </w:r>
      </w:hyperlink>
      <w:r w:rsidRPr="00E8218F">
        <w:rPr>
          <w:rFonts w:ascii="Times New Roman" w:eastAsia="Times New Roman" w:hAnsi="Times New Roman" w:cs="Times New Roman"/>
          <w:sz w:val="24"/>
          <w:szCs w:val="24"/>
          <w:lang w:val="en-US" w:eastAsia="en-AU"/>
        </w:rPr>
        <w:t xml:space="preserve">) from </w:t>
      </w:r>
      <w:r>
        <w:rPr>
          <w:rFonts w:ascii="Times New Roman" w:eastAsia="Times New Roman" w:hAnsi="Times New Roman" w:cs="Times New Roman"/>
          <w:sz w:val="24"/>
          <w:szCs w:val="24"/>
          <w:lang w:val="en-US" w:eastAsia="en-AU"/>
        </w:rPr>
        <w:t>4 February 2015</w:t>
      </w:r>
      <w:r w:rsidRPr="00E8218F">
        <w:rPr>
          <w:rFonts w:ascii="Times New Roman" w:eastAsia="Times New Roman" w:hAnsi="Times New Roman" w:cs="Times New Roman"/>
          <w:sz w:val="24"/>
          <w:szCs w:val="24"/>
          <w:lang w:val="en-US" w:eastAsia="en-AU"/>
        </w:rPr>
        <w:t xml:space="preserve">, and closed on </w:t>
      </w:r>
      <w:r>
        <w:rPr>
          <w:rFonts w:ascii="Times New Roman" w:eastAsia="Times New Roman" w:hAnsi="Times New Roman" w:cs="Times New Roman"/>
          <w:sz w:val="24"/>
          <w:szCs w:val="24"/>
          <w:lang w:val="en-US" w:eastAsia="en-AU"/>
        </w:rPr>
        <w:t>18 March 2015 -</w:t>
      </w:r>
      <w:r w:rsidRPr="00E8218F">
        <w:rPr>
          <w:rFonts w:ascii="Times New Roman" w:eastAsia="Times New Roman" w:hAnsi="Times New Roman" w:cs="Times New Roman"/>
          <w:sz w:val="24"/>
          <w:szCs w:val="24"/>
          <w:lang w:val="en" w:eastAsia="en-AU"/>
        </w:rPr>
        <w:t xml:space="preserve"> </w:t>
      </w:r>
      <w:bookmarkStart w:id="2" w:name="consultNSAIDs"/>
      <w:r w:rsidRPr="003B1AA2">
        <w:rPr>
          <w:rFonts w:ascii="Times New Roman" w:hAnsi="Times New Roman" w:cs="Times New Roman"/>
          <w:sz w:val="24"/>
          <w:szCs w:val="24"/>
          <w:lang w:val="en"/>
        </w:rPr>
        <w:t>Submissions and TGA response</w:t>
      </w:r>
      <w:bookmarkEnd w:id="2"/>
      <w:r w:rsidRPr="00E8218F">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were published on </w:t>
      </w:r>
      <w:r w:rsidRPr="00E8218F">
        <w:rPr>
          <w:rFonts w:ascii="Times New Roman" w:eastAsia="Times New Roman" w:hAnsi="Times New Roman" w:cs="Times New Roman"/>
          <w:sz w:val="24"/>
          <w:szCs w:val="24"/>
          <w:lang w:val="en-US" w:eastAsia="en-AU"/>
        </w:rPr>
        <w:t>the TGA website</w:t>
      </w:r>
      <w:r>
        <w:rPr>
          <w:rFonts w:ascii="Times New Roman" w:eastAsia="Times New Roman" w:hAnsi="Times New Roman" w:cs="Times New Roman"/>
          <w:sz w:val="24"/>
          <w:szCs w:val="24"/>
          <w:lang w:val="en-US" w:eastAsia="en-AU"/>
        </w:rPr>
        <w:t xml:space="preserve"> on</w:t>
      </w:r>
      <w:r w:rsidRPr="00E8218F">
        <w:rPr>
          <w:rFonts w:ascii="Times New Roman" w:eastAsia="Times New Roman" w:hAnsi="Times New Roman" w:cs="Times New Roman"/>
          <w:sz w:val="24"/>
          <w:szCs w:val="24"/>
          <w:lang w:val="en-US" w:eastAsia="en-AU"/>
        </w:rPr>
        <w:t xml:space="preserve"> </w:t>
      </w:r>
      <w:r w:rsidRPr="00E8218F">
        <w:rPr>
          <w:rFonts w:ascii="Times New Roman" w:hAnsi="Times New Roman" w:cs="Times New Roman"/>
          <w:sz w:val="24"/>
          <w:szCs w:val="24"/>
          <w:lang w:val="en"/>
        </w:rPr>
        <w:t>11 June 2015</w:t>
      </w:r>
      <w:r>
        <w:rPr>
          <w:rFonts w:ascii="Times New Roman" w:hAnsi="Times New Roman" w:cs="Times New Roman"/>
          <w:sz w:val="24"/>
          <w:szCs w:val="24"/>
          <w:lang w:val="en"/>
        </w:rPr>
        <w:t>;</w:t>
      </w:r>
      <w:r w:rsidRPr="00E8218F">
        <w:rPr>
          <w:rFonts w:ascii="Times New Roman" w:eastAsia="Times New Roman" w:hAnsi="Times New Roman" w:cs="Times New Roman"/>
          <w:sz w:val="24"/>
          <w:szCs w:val="24"/>
          <w:lang w:eastAsia="en-AU"/>
        </w:rPr>
        <w:t xml:space="preserve"> </w:t>
      </w:r>
    </w:p>
    <w:p w:rsidR="006A417A" w:rsidRPr="00E8218F" w:rsidRDefault="006A417A" w:rsidP="00FA4CE6">
      <w:pPr>
        <w:numPr>
          <w:ilvl w:val="0"/>
          <w:numId w:val="1"/>
        </w:numPr>
        <w:spacing w:before="120" w:after="120" w:line="240" w:lineRule="auto"/>
        <w:ind w:left="709" w:hanging="709"/>
        <w:rPr>
          <w:rFonts w:ascii="Times New Roman" w:hAnsi="Times New Roman" w:cs="Times New Roman"/>
          <w:sz w:val="24"/>
          <w:szCs w:val="24"/>
          <w:lang w:val="en"/>
        </w:rPr>
      </w:pPr>
      <w:r>
        <w:rPr>
          <w:rFonts w:ascii="Times New Roman" w:eastAsia="Times New Roman" w:hAnsi="Times New Roman" w:cs="Times New Roman"/>
          <w:sz w:val="24"/>
          <w:szCs w:val="24"/>
          <w:lang w:val="en" w:eastAsia="en-AU"/>
        </w:rPr>
        <w:t>e</w:t>
      </w:r>
      <w:r w:rsidRPr="003B1AA2">
        <w:rPr>
          <w:rFonts w:ascii="Times New Roman" w:eastAsia="Times New Roman" w:hAnsi="Times New Roman" w:cs="Times New Roman"/>
          <w:sz w:val="24"/>
          <w:szCs w:val="24"/>
          <w:lang w:val="en" w:eastAsia="en-AU"/>
        </w:rPr>
        <w:t>someprazole</w:t>
      </w:r>
      <w:r>
        <w:rPr>
          <w:rFonts w:ascii="Times New Roman" w:eastAsia="Times New Roman" w:hAnsi="Times New Roman" w:cs="Times New Roman"/>
          <w:sz w:val="24"/>
          <w:szCs w:val="24"/>
          <w:lang w:val="en" w:eastAsia="en-AU"/>
        </w:rPr>
        <w:t xml:space="preserve"> -</w:t>
      </w:r>
      <w:r w:rsidRPr="00E8218F">
        <w:rPr>
          <w:rFonts w:ascii="Times New Roman" w:eastAsia="Times New Roman" w:hAnsi="Times New Roman" w:cs="Times New Roman"/>
          <w:sz w:val="24"/>
          <w:szCs w:val="24"/>
          <w:lang w:val="en" w:eastAsia="en-AU"/>
        </w:rPr>
        <w:t xml:space="preserve"> </w:t>
      </w:r>
      <w:r w:rsidRPr="00E8218F">
        <w:rPr>
          <w:rFonts w:ascii="Times New Roman" w:eastAsia="Times New Roman" w:hAnsi="Times New Roman" w:cs="Times New Roman"/>
          <w:sz w:val="24"/>
          <w:szCs w:val="24"/>
          <w:lang w:eastAsia="en-AU"/>
        </w:rPr>
        <w:t xml:space="preserve">the </w:t>
      </w:r>
      <w:r w:rsidRPr="00E8218F">
        <w:rPr>
          <w:rFonts w:ascii="Times New Roman" w:eastAsia="Times New Roman" w:hAnsi="Times New Roman" w:cs="Times New Roman"/>
          <w:sz w:val="24"/>
          <w:szCs w:val="24"/>
          <w:lang w:val="en-US" w:eastAsia="en-AU"/>
        </w:rPr>
        <w:t xml:space="preserve">invitation to comment in relation to this </w:t>
      </w:r>
      <w:r>
        <w:rPr>
          <w:rFonts w:ascii="Times New Roman" w:eastAsia="Times New Roman" w:hAnsi="Times New Roman" w:cs="Times New Roman"/>
          <w:sz w:val="24"/>
          <w:szCs w:val="24"/>
          <w:lang w:val="en-US" w:eastAsia="en-AU"/>
        </w:rPr>
        <w:t>requirement</w:t>
      </w:r>
      <w:r w:rsidRPr="00E8218F">
        <w:rPr>
          <w:rFonts w:ascii="Times New Roman" w:eastAsia="Times New Roman" w:hAnsi="Times New Roman" w:cs="Times New Roman"/>
          <w:sz w:val="24"/>
          <w:szCs w:val="24"/>
          <w:lang w:val="en-US" w:eastAsia="en-AU"/>
        </w:rPr>
        <w:t xml:space="preserve"> </w:t>
      </w:r>
      <w:r>
        <w:rPr>
          <w:rFonts w:ascii="Times New Roman" w:eastAsia="Times New Roman" w:hAnsi="Times New Roman" w:cs="Times New Roman"/>
          <w:sz w:val="24"/>
          <w:szCs w:val="24"/>
          <w:lang w:val="en-US" w:eastAsia="en-AU"/>
        </w:rPr>
        <w:t xml:space="preserve">for the newly down-scheduled medicines </w:t>
      </w:r>
      <w:r w:rsidRPr="00E8218F">
        <w:rPr>
          <w:rFonts w:ascii="Times New Roman" w:eastAsia="Times New Roman" w:hAnsi="Times New Roman" w:cs="Times New Roman"/>
          <w:sz w:val="24"/>
          <w:szCs w:val="24"/>
          <w:lang w:val="en-US" w:eastAsia="en-AU"/>
        </w:rPr>
        <w:t>was advertised on the TGA website (</w:t>
      </w:r>
      <w:hyperlink r:id="rId12" w:history="1">
        <w:r w:rsidRPr="00E8218F">
          <w:rPr>
            <w:rFonts w:ascii="Times New Roman" w:eastAsia="Times New Roman" w:hAnsi="Times New Roman" w:cs="Times New Roman"/>
            <w:sz w:val="24"/>
            <w:szCs w:val="24"/>
            <w:lang w:val="en-US" w:eastAsia="en-AU"/>
          </w:rPr>
          <w:t>www.tga.gov.au</w:t>
        </w:r>
      </w:hyperlink>
      <w:r w:rsidRPr="00E8218F">
        <w:rPr>
          <w:rFonts w:ascii="Times New Roman" w:eastAsia="Times New Roman" w:hAnsi="Times New Roman" w:cs="Times New Roman"/>
          <w:sz w:val="24"/>
          <w:szCs w:val="24"/>
          <w:lang w:val="en-US" w:eastAsia="en-AU"/>
        </w:rPr>
        <w:t xml:space="preserve">) from </w:t>
      </w:r>
      <w:r>
        <w:rPr>
          <w:rFonts w:ascii="Times New Roman" w:eastAsia="Times New Roman" w:hAnsi="Times New Roman" w:cs="Times New Roman"/>
          <w:sz w:val="24"/>
          <w:szCs w:val="24"/>
          <w:lang w:val="en-US" w:eastAsia="en-AU"/>
        </w:rPr>
        <w:t>12 September 2014</w:t>
      </w:r>
      <w:r w:rsidRPr="00E8218F">
        <w:rPr>
          <w:rFonts w:ascii="Times New Roman" w:eastAsia="Times New Roman" w:hAnsi="Times New Roman" w:cs="Times New Roman"/>
          <w:sz w:val="24"/>
          <w:szCs w:val="24"/>
          <w:lang w:val="en-US" w:eastAsia="en-AU"/>
        </w:rPr>
        <w:t xml:space="preserve">, and closed on </w:t>
      </w:r>
      <w:r w:rsidRPr="00E8218F">
        <w:rPr>
          <w:rFonts w:ascii="Times New Roman" w:eastAsia="Times New Roman" w:hAnsi="Times New Roman" w:cs="Times New Roman"/>
          <w:sz w:val="24"/>
          <w:szCs w:val="24"/>
          <w:lang w:val="en" w:eastAsia="en-AU"/>
        </w:rPr>
        <w:t xml:space="preserve">10 October 2014 </w:t>
      </w:r>
      <w:r>
        <w:rPr>
          <w:rFonts w:ascii="Times New Roman" w:eastAsia="Times New Roman" w:hAnsi="Times New Roman" w:cs="Times New Roman"/>
          <w:sz w:val="24"/>
          <w:szCs w:val="24"/>
          <w:lang w:val="en" w:eastAsia="en-AU"/>
        </w:rPr>
        <w:t>-</w:t>
      </w:r>
      <w:r w:rsidRPr="00BE3D96">
        <w:rPr>
          <w:rFonts w:ascii="Times New Roman" w:hAnsi="Times New Roman" w:cs="Times New Roman"/>
          <w:sz w:val="24"/>
          <w:szCs w:val="24"/>
          <w:lang w:val="en"/>
        </w:rPr>
        <w:t>Submissions and TGA response</w:t>
      </w:r>
      <w:r w:rsidRPr="00E8218F">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were published on </w:t>
      </w:r>
      <w:r w:rsidRPr="00E8218F">
        <w:rPr>
          <w:rFonts w:ascii="Times New Roman" w:eastAsia="Times New Roman" w:hAnsi="Times New Roman" w:cs="Times New Roman"/>
          <w:sz w:val="24"/>
          <w:szCs w:val="24"/>
          <w:lang w:val="en-US" w:eastAsia="en-AU"/>
        </w:rPr>
        <w:t>the TGA website</w:t>
      </w:r>
      <w:r>
        <w:rPr>
          <w:rFonts w:ascii="Times New Roman" w:eastAsia="Times New Roman" w:hAnsi="Times New Roman" w:cs="Times New Roman"/>
          <w:sz w:val="24"/>
          <w:szCs w:val="24"/>
          <w:lang w:val="en-US" w:eastAsia="en-AU"/>
        </w:rPr>
        <w:t xml:space="preserve"> on</w:t>
      </w:r>
      <w:r w:rsidRPr="00E8218F">
        <w:rPr>
          <w:rFonts w:ascii="Times New Roman" w:eastAsia="Times New Roman" w:hAnsi="Times New Roman" w:cs="Times New Roman"/>
          <w:sz w:val="24"/>
          <w:szCs w:val="24"/>
          <w:lang w:val="en-US" w:eastAsia="en-AU"/>
        </w:rPr>
        <w:t xml:space="preserve"> </w:t>
      </w:r>
      <w:r w:rsidRPr="00E8218F">
        <w:rPr>
          <w:rFonts w:ascii="Times New Roman" w:hAnsi="Times New Roman" w:cs="Times New Roman"/>
          <w:sz w:val="24"/>
          <w:szCs w:val="24"/>
          <w:lang w:val="en"/>
        </w:rPr>
        <w:t>2 December 2014</w:t>
      </w:r>
      <w:r>
        <w:rPr>
          <w:rFonts w:ascii="Times New Roman" w:eastAsia="Times New Roman" w:hAnsi="Times New Roman" w:cs="Times New Roman"/>
          <w:sz w:val="24"/>
          <w:szCs w:val="24"/>
          <w:lang w:eastAsia="en-AU"/>
        </w:rPr>
        <w:t>;</w:t>
      </w:r>
      <w:r w:rsidRPr="00E8218F">
        <w:rPr>
          <w:rFonts w:ascii="Times New Roman" w:eastAsia="Times New Roman" w:hAnsi="Times New Roman" w:cs="Times New Roman"/>
          <w:sz w:val="24"/>
          <w:szCs w:val="24"/>
          <w:lang w:eastAsia="en-AU"/>
        </w:rPr>
        <w:t xml:space="preserve"> </w:t>
      </w:r>
    </w:p>
    <w:p w:rsidR="006A417A" w:rsidRPr="00E8218F" w:rsidRDefault="006A417A" w:rsidP="00FA4CE6">
      <w:pPr>
        <w:numPr>
          <w:ilvl w:val="0"/>
          <w:numId w:val="1"/>
        </w:numPr>
        <w:spacing w:before="120" w:after="120" w:line="240" w:lineRule="auto"/>
        <w:ind w:left="709" w:hanging="709"/>
        <w:rPr>
          <w:rFonts w:ascii="Times New Roman" w:hAnsi="Times New Roman" w:cs="Times New Roman"/>
          <w:sz w:val="24"/>
          <w:szCs w:val="24"/>
          <w:lang w:val="en"/>
        </w:rPr>
      </w:pPr>
      <w:r>
        <w:rPr>
          <w:rFonts w:ascii="Times New Roman" w:eastAsia="Times New Roman" w:hAnsi="Times New Roman" w:cs="Times New Roman"/>
          <w:sz w:val="24"/>
          <w:szCs w:val="24"/>
          <w:lang w:val="en" w:eastAsia="en-AU"/>
        </w:rPr>
        <w:t xml:space="preserve">methoxamine, naphazoline, oxymetazoline, phenylephrine, tetrahydrozoline, tramazoline, tymazoline and xylometazoline in </w:t>
      </w:r>
      <w:r w:rsidRPr="00BE3D96">
        <w:rPr>
          <w:rFonts w:ascii="Times New Roman" w:eastAsia="Times New Roman" w:hAnsi="Times New Roman" w:cs="Times New Roman"/>
          <w:sz w:val="24"/>
          <w:szCs w:val="24"/>
          <w:lang w:val="en" w:eastAsia="en-AU"/>
        </w:rPr>
        <w:t xml:space="preserve">nasal decongestant preparations for topical use </w:t>
      </w:r>
      <w:r w:rsidRPr="00E8218F">
        <w:rPr>
          <w:rFonts w:ascii="Times New Roman" w:eastAsia="Times New Roman" w:hAnsi="Times New Roman" w:cs="Times New Roman"/>
          <w:sz w:val="24"/>
          <w:szCs w:val="24"/>
          <w:lang w:eastAsia="en-AU"/>
        </w:rPr>
        <w:t xml:space="preserve">- the </w:t>
      </w:r>
      <w:r w:rsidRPr="00E8218F">
        <w:rPr>
          <w:rFonts w:ascii="Times New Roman" w:eastAsia="Times New Roman" w:hAnsi="Times New Roman" w:cs="Times New Roman"/>
          <w:sz w:val="24"/>
          <w:szCs w:val="24"/>
          <w:lang w:val="en-US" w:eastAsia="en-AU"/>
        </w:rPr>
        <w:t xml:space="preserve">invitation to comment in relation to this </w:t>
      </w:r>
      <w:r>
        <w:rPr>
          <w:rFonts w:ascii="Times New Roman" w:eastAsia="Times New Roman" w:hAnsi="Times New Roman" w:cs="Times New Roman"/>
          <w:sz w:val="24"/>
          <w:szCs w:val="24"/>
          <w:lang w:val="en-US" w:eastAsia="en-AU"/>
        </w:rPr>
        <w:t>change</w:t>
      </w:r>
      <w:r w:rsidRPr="00E8218F">
        <w:rPr>
          <w:rFonts w:ascii="Times New Roman" w:eastAsia="Times New Roman" w:hAnsi="Times New Roman" w:cs="Times New Roman"/>
          <w:sz w:val="24"/>
          <w:szCs w:val="24"/>
          <w:lang w:val="en-US" w:eastAsia="en-AU"/>
        </w:rPr>
        <w:t xml:space="preserve"> was advertised on the TGA website (</w:t>
      </w:r>
      <w:hyperlink r:id="rId13" w:history="1">
        <w:r w:rsidRPr="00E8218F">
          <w:rPr>
            <w:rFonts w:ascii="Times New Roman" w:eastAsia="Times New Roman" w:hAnsi="Times New Roman" w:cs="Times New Roman"/>
            <w:sz w:val="24"/>
            <w:szCs w:val="24"/>
            <w:lang w:val="en-US" w:eastAsia="en-AU"/>
          </w:rPr>
          <w:t>www.tga.gov.au</w:t>
        </w:r>
      </w:hyperlink>
      <w:r w:rsidRPr="00E8218F">
        <w:rPr>
          <w:rFonts w:ascii="Times New Roman" w:eastAsia="Times New Roman" w:hAnsi="Times New Roman" w:cs="Times New Roman"/>
          <w:sz w:val="24"/>
          <w:szCs w:val="24"/>
          <w:lang w:val="en-US" w:eastAsia="en-AU"/>
        </w:rPr>
        <w:t xml:space="preserve">) from </w:t>
      </w:r>
      <w:r>
        <w:rPr>
          <w:rFonts w:ascii="Times New Roman" w:eastAsia="Times New Roman" w:hAnsi="Times New Roman" w:cs="Times New Roman"/>
          <w:sz w:val="24"/>
          <w:szCs w:val="24"/>
          <w:lang w:val="en-US" w:eastAsia="en-AU"/>
        </w:rPr>
        <w:t>28 March 2014</w:t>
      </w:r>
      <w:r w:rsidRPr="00E8218F">
        <w:rPr>
          <w:rFonts w:ascii="Times New Roman" w:eastAsia="Times New Roman" w:hAnsi="Times New Roman" w:cs="Times New Roman"/>
          <w:sz w:val="24"/>
          <w:szCs w:val="24"/>
          <w:lang w:val="en-US" w:eastAsia="en-AU"/>
        </w:rPr>
        <w:t xml:space="preserve">, and closed on </w:t>
      </w:r>
      <w:r w:rsidRPr="00E8218F">
        <w:rPr>
          <w:rFonts w:ascii="Times New Roman" w:eastAsia="Times New Roman" w:hAnsi="Times New Roman" w:cs="Times New Roman"/>
          <w:sz w:val="24"/>
          <w:szCs w:val="24"/>
          <w:lang w:val="en" w:eastAsia="en-AU"/>
        </w:rPr>
        <w:t xml:space="preserve">5 May 2014 </w:t>
      </w:r>
      <w:r>
        <w:rPr>
          <w:rFonts w:ascii="Times New Roman" w:eastAsia="Times New Roman" w:hAnsi="Times New Roman" w:cs="Times New Roman"/>
          <w:sz w:val="24"/>
          <w:szCs w:val="24"/>
          <w:lang w:val="en" w:eastAsia="en-AU"/>
        </w:rPr>
        <w:t xml:space="preserve">- </w:t>
      </w:r>
      <w:r w:rsidRPr="00BE3D96">
        <w:rPr>
          <w:rFonts w:ascii="Times New Roman" w:hAnsi="Times New Roman" w:cs="Times New Roman"/>
          <w:sz w:val="24"/>
          <w:szCs w:val="24"/>
          <w:lang w:val="en"/>
        </w:rPr>
        <w:lastRenderedPageBreak/>
        <w:t>Submissions and TGA response</w:t>
      </w:r>
      <w:r>
        <w:rPr>
          <w:rFonts w:ascii="Times New Roman" w:hAnsi="Times New Roman" w:cs="Times New Roman"/>
          <w:sz w:val="24"/>
          <w:szCs w:val="24"/>
          <w:lang w:val="en"/>
        </w:rPr>
        <w:t xml:space="preserve"> were published on</w:t>
      </w:r>
      <w:r w:rsidRPr="00E8218F">
        <w:rPr>
          <w:rFonts w:ascii="Times New Roman" w:hAnsi="Times New Roman" w:cs="Times New Roman"/>
          <w:sz w:val="24"/>
          <w:szCs w:val="24"/>
          <w:lang w:val="en"/>
        </w:rPr>
        <w:t xml:space="preserve"> </w:t>
      </w:r>
      <w:r w:rsidRPr="00E8218F">
        <w:rPr>
          <w:rFonts w:ascii="Times New Roman" w:eastAsia="Times New Roman" w:hAnsi="Times New Roman" w:cs="Times New Roman"/>
          <w:sz w:val="24"/>
          <w:szCs w:val="24"/>
          <w:lang w:val="en-US" w:eastAsia="en-AU"/>
        </w:rPr>
        <w:t>the TGA website</w:t>
      </w:r>
      <w:r>
        <w:rPr>
          <w:rFonts w:ascii="Times New Roman" w:eastAsia="Times New Roman" w:hAnsi="Times New Roman" w:cs="Times New Roman"/>
          <w:sz w:val="24"/>
          <w:szCs w:val="24"/>
          <w:lang w:val="en-US" w:eastAsia="en-AU"/>
        </w:rPr>
        <w:t xml:space="preserve"> on</w:t>
      </w:r>
      <w:r w:rsidRPr="00E8218F">
        <w:rPr>
          <w:rFonts w:ascii="Times New Roman" w:eastAsia="Times New Roman" w:hAnsi="Times New Roman" w:cs="Times New Roman"/>
          <w:sz w:val="24"/>
          <w:szCs w:val="24"/>
          <w:lang w:val="en-US" w:eastAsia="en-AU"/>
        </w:rPr>
        <w:t xml:space="preserve"> </w:t>
      </w:r>
      <w:r w:rsidRPr="00E8218F">
        <w:rPr>
          <w:rFonts w:ascii="Times New Roman" w:hAnsi="Times New Roman" w:cs="Times New Roman"/>
          <w:sz w:val="24"/>
          <w:szCs w:val="24"/>
          <w:lang w:val="en"/>
        </w:rPr>
        <w:t>9 September 2014</w:t>
      </w:r>
      <w:r w:rsidRPr="00E8218F">
        <w:rPr>
          <w:rFonts w:ascii="Times New Roman" w:eastAsia="Times New Roman" w:hAnsi="Times New Roman" w:cs="Times New Roman"/>
          <w:sz w:val="24"/>
          <w:szCs w:val="24"/>
          <w:lang w:val="en-US" w:eastAsia="en-AU"/>
        </w:rPr>
        <w:t>;</w:t>
      </w:r>
    </w:p>
    <w:p w:rsidR="006A417A" w:rsidRPr="00E8218F" w:rsidRDefault="006A417A" w:rsidP="00FA4CE6">
      <w:pPr>
        <w:numPr>
          <w:ilvl w:val="0"/>
          <w:numId w:val="1"/>
        </w:numPr>
        <w:spacing w:before="120" w:after="120" w:line="240" w:lineRule="auto"/>
        <w:ind w:left="709" w:hanging="709"/>
        <w:rPr>
          <w:rFonts w:ascii="Times New Roman" w:hAnsi="Times New Roman" w:cs="Times New Roman"/>
          <w:sz w:val="24"/>
          <w:szCs w:val="24"/>
          <w:lang w:val="en"/>
        </w:rPr>
      </w:pPr>
      <w:r w:rsidRPr="00BE3D96">
        <w:rPr>
          <w:rFonts w:ascii="Times New Roman" w:hAnsi="Times New Roman"/>
          <w:sz w:val="24"/>
          <w:szCs w:val="21"/>
          <w:lang w:val="en"/>
        </w:rPr>
        <w:t xml:space="preserve">ammonium salts, bromhexine, </w:t>
      </w:r>
      <w:r w:rsidR="003F5198">
        <w:rPr>
          <w:rFonts w:ascii="Times New Roman" w:hAnsi="Times New Roman"/>
          <w:sz w:val="24"/>
          <w:szCs w:val="21"/>
          <w:lang w:val="en"/>
        </w:rPr>
        <w:t xml:space="preserve">codeine, </w:t>
      </w:r>
      <w:r w:rsidRPr="00BE3D96">
        <w:rPr>
          <w:rFonts w:ascii="Times New Roman" w:hAnsi="Times New Roman"/>
          <w:sz w:val="24"/>
          <w:szCs w:val="21"/>
          <w:lang w:val="en"/>
        </w:rPr>
        <w:t xml:space="preserve">dextromethorphan, dihydrocodeine, guaifenesin, ipecacuanha, </w:t>
      </w:r>
      <w:r w:rsidR="003F5198">
        <w:rPr>
          <w:rFonts w:ascii="Times New Roman" w:hAnsi="Times New Roman"/>
          <w:sz w:val="24"/>
          <w:szCs w:val="21"/>
          <w:lang w:val="en"/>
        </w:rPr>
        <w:t xml:space="preserve">pentoxyverine, </w:t>
      </w:r>
      <w:r w:rsidRPr="00BE3D96">
        <w:rPr>
          <w:rFonts w:ascii="Times New Roman" w:hAnsi="Times New Roman"/>
          <w:sz w:val="24"/>
          <w:szCs w:val="21"/>
          <w:lang w:val="en"/>
        </w:rPr>
        <w:t xml:space="preserve">pholcodine, and senega and ammonia </w:t>
      </w:r>
      <w:r>
        <w:rPr>
          <w:rFonts w:ascii="Times New Roman" w:eastAsia="Times New Roman" w:hAnsi="Times New Roman" w:cs="Times New Roman"/>
          <w:sz w:val="24"/>
          <w:szCs w:val="24"/>
          <w:lang w:val="en" w:eastAsia="en-AU"/>
        </w:rPr>
        <w:t xml:space="preserve">in </w:t>
      </w:r>
      <w:r w:rsidRPr="00BE3D96">
        <w:rPr>
          <w:rFonts w:ascii="Times New Roman" w:eastAsia="Times New Roman" w:hAnsi="Times New Roman" w:cs="Times New Roman"/>
          <w:sz w:val="24"/>
          <w:szCs w:val="24"/>
          <w:lang w:val="en" w:eastAsia="en-AU"/>
        </w:rPr>
        <w:t>cough</w:t>
      </w:r>
      <w:r>
        <w:rPr>
          <w:rFonts w:ascii="Times New Roman" w:eastAsia="Times New Roman" w:hAnsi="Times New Roman" w:cs="Times New Roman"/>
          <w:sz w:val="24"/>
          <w:szCs w:val="24"/>
          <w:lang w:val="en" w:eastAsia="en-AU"/>
        </w:rPr>
        <w:t xml:space="preserve"> </w:t>
      </w:r>
      <w:r w:rsidRPr="00BE3D96">
        <w:rPr>
          <w:rFonts w:ascii="Times New Roman" w:eastAsia="Times New Roman" w:hAnsi="Times New Roman" w:cs="Times New Roman"/>
          <w:sz w:val="24"/>
          <w:szCs w:val="24"/>
          <w:lang w:val="en" w:eastAsia="en-AU"/>
        </w:rPr>
        <w:t>medicines for oral use</w:t>
      </w:r>
      <w:r w:rsidRPr="00E8218F">
        <w:rPr>
          <w:rFonts w:ascii="Times New Roman" w:eastAsia="Times New Roman" w:hAnsi="Times New Roman" w:cs="Times New Roman"/>
          <w:sz w:val="24"/>
          <w:szCs w:val="24"/>
          <w:lang w:eastAsia="en-AU"/>
        </w:rPr>
        <w:t xml:space="preserve"> - the </w:t>
      </w:r>
      <w:r w:rsidRPr="00E8218F">
        <w:rPr>
          <w:rFonts w:ascii="Times New Roman" w:eastAsia="Times New Roman" w:hAnsi="Times New Roman" w:cs="Times New Roman"/>
          <w:sz w:val="24"/>
          <w:szCs w:val="24"/>
          <w:lang w:val="en-US" w:eastAsia="en-AU"/>
        </w:rPr>
        <w:t xml:space="preserve">invitation to comment in relation to this </w:t>
      </w:r>
      <w:r>
        <w:rPr>
          <w:rFonts w:ascii="Times New Roman" w:eastAsia="Times New Roman" w:hAnsi="Times New Roman" w:cs="Times New Roman"/>
          <w:sz w:val="24"/>
          <w:szCs w:val="24"/>
          <w:lang w:val="en-US" w:eastAsia="en-AU"/>
        </w:rPr>
        <w:t xml:space="preserve">change </w:t>
      </w:r>
      <w:r w:rsidRPr="00E8218F">
        <w:rPr>
          <w:rFonts w:ascii="Times New Roman" w:eastAsia="Times New Roman" w:hAnsi="Times New Roman" w:cs="Times New Roman"/>
          <w:sz w:val="24"/>
          <w:szCs w:val="24"/>
          <w:lang w:val="en-US" w:eastAsia="en-AU"/>
        </w:rPr>
        <w:t>was advertised on the TGA website (</w:t>
      </w:r>
      <w:hyperlink r:id="rId14" w:history="1">
        <w:r w:rsidRPr="00E8218F">
          <w:rPr>
            <w:rFonts w:ascii="Times New Roman" w:eastAsia="Times New Roman" w:hAnsi="Times New Roman" w:cs="Times New Roman"/>
            <w:sz w:val="24"/>
            <w:szCs w:val="24"/>
            <w:lang w:val="en-US" w:eastAsia="en-AU"/>
          </w:rPr>
          <w:t>www.tga.gov.au</w:t>
        </w:r>
      </w:hyperlink>
      <w:r w:rsidRPr="00E8218F">
        <w:rPr>
          <w:rFonts w:ascii="Times New Roman" w:eastAsia="Times New Roman" w:hAnsi="Times New Roman" w:cs="Times New Roman"/>
          <w:sz w:val="24"/>
          <w:szCs w:val="24"/>
          <w:lang w:val="en-US" w:eastAsia="en-AU"/>
        </w:rPr>
        <w:t xml:space="preserve">) from </w:t>
      </w:r>
      <w:r>
        <w:rPr>
          <w:rFonts w:ascii="Times New Roman" w:eastAsia="Times New Roman" w:hAnsi="Times New Roman" w:cs="Times New Roman"/>
          <w:sz w:val="24"/>
          <w:szCs w:val="24"/>
          <w:lang w:val="en-US" w:eastAsia="en-AU"/>
        </w:rPr>
        <w:t>28 March 2014</w:t>
      </w:r>
      <w:r w:rsidRPr="00E8218F">
        <w:rPr>
          <w:rFonts w:ascii="Times New Roman" w:eastAsia="Times New Roman" w:hAnsi="Times New Roman" w:cs="Times New Roman"/>
          <w:sz w:val="24"/>
          <w:szCs w:val="24"/>
          <w:lang w:val="en-US" w:eastAsia="en-AU"/>
        </w:rPr>
        <w:t xml:space="preserve">, and closed on </w:t>
      </w:r>
      <w:r>
        <w:rPr>
          <w:rFonts w:ascii="Times New Roman" w:eastAsia="Times New Roman" w:hAnsi="Times New Roman" w:cs="Times New Roman"/>
          <w:sz w:val="24"/>
          <w:szCs w:val="24"/>
          <w:lang w:val="en-US" w:eastAsia="en-AU"/>
        </w:rPr>
        <w:t xml:space="preserve">5 May 2014 - </w:t>
      </w:r>
      <w:r w:rsidRPr="00A74869">
        <w:rPr>
          <w:rFonts w:ascii="Times New Roman" w:hAnsi="Times New Roman" w:cs="Times New Roman"/>
          <w:sz w:val="24"/>
          <w:szCs w:val="24"/>
          <w:lang w:val="en"/>
        </w:rPr>
        <w:t>Submissions and TGA response</w:t>
      </w:r>
      <w:r w:rsidRPr="00E8218F">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were published on </w:t>
      </w:r>
      <w:r w:rsidRPr="00E8218F">
        <w:rPr>
          <w:rFonts w:ascii="Times New Roman" w:eastAsia="Times New Roman" w:hAnsi="Times New Roman" w:cs="Times New Roman"/>
          <w:sz w:val="24"/>
          <w:szCs w:val="24"/>
          <w:lang w:val="en-US" w:eastAsia="en-AU"/>
        </w:rPr>
        <w:t>the TGA website</w:t>
      </w:r>
      <w:r>
        <w:rPr>
          <w:rFonts w:ascii="Times New Roman" w:eastAsia="Times New Roman" w:hAnsi="Times New Roman" w:cs="Times New Roman"/>
          <w:sz w:val="24"/>
          <w:szCs w:val="24"/>
          <w:lang w:val="en-US" w:eastAsia="en-AU"/>
        </w:rPr>
        <w:t xml:space="preserve"> on</w:t>
      </w:r>
      <w:r w:rsidRPr="00E8218F">
        <w:rPr>
          <w:rFonts w:ascii="Times New Roman" w:eastAsia="Times New Roman" w:hAnsi="Times New Roman" w:cs="Times New Roman"/>
          <w:sz w:val="24"/>
          <w:szCs w:val="24"/>
          <w:lang w:val="en-US" w:eastAsia="en-AU"/>
        </w:rPr>
        <w:t xml:space="preserve"> </w:t>
      </w:r>
      <w:r w:rsidRPr="00E8218F">
        <w:rPr>
          <w:rFonts w:ascii="Times New Roman" w:hAnsi="Times New Roman" w:cs="Times New Roman"/>
          <w:sz w:val="24"/>
          <w:szCs w:val="24"/>
          <w:lang w:val="en"/>
        </w:rPr>
        <w:t>9 September 2014</w:t>
      </w:r>
      <w:r w:rsidRPr="00E8218F">
        <w:rPr>
          <w:rFonts w:ascii="Times New Roman" w:eastAsia="Times New Roman" w:hAnsi="Times New Roman" w:cs="Times New Roman"/>
          <w:sz w:val="24"/>
          <w:szCs w:val="24"/>
          <w:lang w:val="en-US" w:eastAsia="en-AU"/>
        </w:rPr>
        <w:t>;</w:t>
      </w:r>
    </w:p>
    <w:p w:rsidR="00D00D5D" w:rsidRPr="00D00D5D" w:rsidRDefault="006A417A" w:rsidP="00FA4CE6">
      <w:pPr>
        <w:numPr>
          <w:ilvl w:val="0"/>
          <w:numId w:val="1"/>
        </w:numPr>
        <w:spacing w:before="120" w:after="120" w:line="240" w:lineRule="auto"/>
        <w:ind w:left="709" w:hanging="709"/>
        <w:rPr>
          <w:rFonts w:ascii="Times New Roman" w:eastAsia="Times New Roman" w:hAnsi="Times New Roman" w:cs="Times New Roman"/>
          <w:sz w:val="24"/>
          <w:szCs w:val="24"/>
          <w:lang w:val="en" w:eastAsia="en-AU"/>
        </w:rPr>
      </w:pPr>
      <w:r w:rsidRPr="00A74869">
        <w:rPr>
          <w:rFonts w:ascii="Times New Roman" w:eastAsia="Times New Roman" w:hAnsi="Times New Roman" w:cs="Times New Roman"/>
          <w:sz w:val="24"/>
          <w:szCs w:val="24"/>
          <w:lang w:val="en" w:eastAsia="en-AU"/>
        </w:rPr>
        <w:t>chloramphenicol, propamidine, dibromopropamidine and sulfacetamide for ophthalmic use</w:t>
      </w:r>
      <w:r>
        <w:rPr>
          <w:rFonts w:ascii="Times New Roman" w:eastAsia="Times New Roman" w:hAnsi="Times New Roman" w:cs="Times New Roman"/>
          <w:sz w:val="24"/>
          <w:szCs w:val="24"/>
          <w:lang w:val="en" w:eastAsia="en-AU"/>
        </w:rPr>
        <w:t xml:space="preserve"> </w:t>
      </w:r>
      <w:r w:rsidR="00D00D5D">
        <w:rPr>
          <w:rFonts w:ascii="Times New Roman" w:eastAsia="Times New Roman" w:hAnsi="Times New Roman" w:cs="Times New Roman"/>
          <w:sz w:val="24"/>
          <w:szCs w:val="24"/>
          <w:lang w:val="en" w:eastAsia="en-AU"/>
        </w:rPr>
        <w:t xml:space="preserve"> </w:t>
      </w:r>
      <w:r w:rsidRPr="00E8218F">
        <w:rPr>
          <w:rFonts w:ascii="Times New Roman" w:eastAsia="Times New Roman" w:hAnsi="Times New Roman" w:cs="Times New Roman"/>
          <w:sz w:val="24"/>
          <w:szCs w:val="24"/>
          <w:lang w:eastAsia="en-AU"/>
        </w:rPr>
        <w:t xml:space="preserve">- the </w:t>
      </w:r>
      <w:r w:rsidRPr="00E8218F">
        <w:rPr>
          <w:rFonts w:ascii="Times New Roman" w:eastAsia="Times New Roman" w:hAnsi="Times New Roman" w:cs="Times New Roman"/>
          <w:sz w:val="24"/>
          <w:szCs w:val="24"/>
          <w:lang w:val="en-US" w:eastAsia="en-AU"/>
        </w:rPr>
        <w:t xml:space="preserve">invitation to comment in relation to this </w:t>
      </w:r>
      <w:r>
        <w:rPr>
          <w:rFonts w:ascii="Times New Roman" w:eastAsia="Times New Roman" w:hAnsi="Times New Roman" w:cs="Times New Roman"/>
          <w:sz w:val="24"/>
          <w:szCs w:val="24"/>
          <w:lang w:val="en-US" w:eastAsia="en-AU"/>
        </w:rPr>
        <w:t>new requirement for these medicine</w:t>
      </w:r>
      <w:r w:rsidR="00464D05">
        <w:rPr>
          <w:rFonts w:ascii="Times New Roman" w:eastAsia="Times New Roman" w:hAnsi="Times New Roman" w:cs="Times New Roman"/>
          <w:sz w:val="24"/>
          <w:szCs w:val="24"/>
          <w:lang w:val="en-US" w:eastAsia="en-AU"/>
        </w:rPr>
        <w:t>s</w:t>
      </w:r>
      <w:r>
        <w:rPr>
          <w:rFonts w:ascii="Times New Roman" w:eastAsia="Times New Roman" w:hAnsi="Times New Roman" w:cs="Times New Roman"/>
          <w:sz w:val="24"/>
          <w:szCs w:val="24"/>
          <w:lang w:val="en-US" w:eastAsia="en-AU"/>
        </w:rPr>
        <w:t xml:space="preserve"> </w:t>
      </w:r>
      <w:r w:rsidRPr="00E8218F">
        <w:rPr>
          <w:rFonts w:ascii="Times New Roman" w:eastAsia="Times New Roman" w:hAnsi="Times New Roman" w:cs="Times New Roman"/>
          <w:sz w:val="24"/>
          <w:szCs w:val="24"/>
          <w:lang w:val="en-US" w:eastAsia="en-AU"/>
        </w:rPr>
        <w:t>was advertised on the TGA website (</w:t>
      </w:r>
      <w:hyperlink r:id="rId15" w:history="1">
        <w:r w:rsidRPr="00E8218F">
          <w:rPr>
            <w:rFonts w:ascii="Times New Roman" w:eastAsia="Times New Roman" w:hAnsi="Times New Roman" w:cs="Times New Roman"/>
            <w:sz w:val="24"/>
            <w:szCs w:val="24"/>
            <w:lang w:val="en-US" w:eastAsia="en-AU"/>
          </w:rPr>
          <w:t>www.tga.gov.au</w:t>
        </w:r>
      </w:hyperlink>
      <w:r w:rsidRPr="00E8218F">
        <w:rPr>
          <w:rFonts w:ascii="Times New Roman" w:eastAsia="Times New Roman" w:hAnsi="Times New Roman" w:cs="Times New Roman"/>
          <w:sz w:val="24"/>
          <w:szCs w:val="24"/>
          <w:lang w:val="en-US" w:eastAsia="en-AU"/>
        </w:rPr>
        <w:t xml:space="preserve">) from </w:t>
      </w:r>
      <w:r>
        <w:rPr>
          <w:rFonts w:ascii="Times New Roman" w:eastAsia="Times New Roman" w:hAnsi="Times New Roman" w:cs="Times New Roman"/>
          <w:sz w:val="24"/>
          <w:szCs w:val="24"/>
          <w:lang w:val="en-US" w:eastAsia="en-AU"/>
        </w:rPr>
        <w:t>22 November 2013</w:t>
      </w:r>
      <w:r w:rsidRPr="00E8218F">
        <w:rPr>
          <w:rFonts w:ascii="Times New Roman" w:eastAsia="Times New Roman" w:hAnsi="Times New Roman" w:cs="Times New Roman"/>
          <w:sz w:val="24"/>
          <w:szCs w:val="24"/>
          <w:lang w:val="en-US" w:eastAsia="en-AU"/>
        </w:rPr>
        <w:t xml:space="preserve">, and closed on </w:t>
      </w:r>
      <w:r>
        <w:rPr>
          <w:rFonts w:ascii="Times New Roman" w:eastAsia="Times New Roman" w:hAnsi="Times New Roman" w:cs="Times New Roman"/>
          <w:sz w:val="24"/>
          <w:szCs w:val="24"/>
          <w:lang w:val="en-US" w:eastAsia="en-AU"/>
        </w:rPr>
        <w:t>10 January 2014 -</w:t>
      </w:r>
      <w:r>
        <w:rPr>
          <w:rFonts w:ascii="Times New Roman" w:eastAsia="Times New Roman" w:hAnsi="Times New Roman" w:cs="Times New Roman"/>
          <w:sz w:val="24"/>
          <w:szCs w:val="24"/>
          <w:lang w:val="en" w:eastAsia="en-AU"/>
        </w:rPr>
        <w:t xml:space="preserve"> </w:t>
      </w:r>
      <w:r w:rsidRPr="00A74869">
        <w:rPr>
          <w:rFonts w:ascii="Times New Roman" w:hAnsi="Times New Roman" w:cs="Times New Roman"/>
          <w:sz w:val="24"/>
          <w:szCs w:val="24"/>
          <w:lang w:val="en"/>
        </w:rPr>
        <w:t>Submissions and TGA response</w:t>
      </w:r>
      <w:r w:rsidRPr="00E8218F">
        <w:rPr>
          <w:rFonts w:ascii="Times New Roman" w:eastAsia="Times New Roman" w:hAnsi="Times New Roman" w:cs="Times New Roman"/>
          <w:sz w:val="24"/>
          <w:szCs w:val="24"/>
          <w:lang w:val="en" w:eastAsia="en-AU"/>
        </w:rPr>
        <w:t xml:space="preserve"> </w:t>
      </w:r>
      <w:r>
        <w:rPr>
          <w:rFonts w:ascii="Times New Roman" w:eastAsia="Times New Roman" w:hAnsi="Times New Roman" w:cs="Times New Roman"/>
          <w:sz w:val="24"/>
          <w:szCs w:val="24"/>
          <w:lang w:val="en" w:eastAsia="en-AU"/>
        </w:rPr>
        <w:t xml:space="preserve">were published on </w:t>
      </w:r>
      <w:r w:rsidRPr="00E8218F">
        <w:rPr>
          <w:rFonts w:ascii="Times New Roman" w:eastAsia="Times New Roman" w:hAnsi="Times New Roman" w:cs="Times New Roman"/>
          <w:sz w:val="24"/>
          <w:szCs w:val="24"/>
          <w:lang w:val="en-US" w:eastAsia="en-AU"/>
        </w:rPr>
        <w:t>the TGA website</w:t>
      </w:r>
      <w:r>
        <w:rPr>
          <w:rFonts w:ascii="Times New Roman" w:eastAsia="Times New Roman" w:hAnsi="Times New Roman" w:cs="Times New Roman"/>
          <w:sz w:val="24"/>
          <w:szCs w:val="24"/>
          <w:lang w:val="en-US" w:eastAsia="en-AU"/>
        </w:rPr>
        <w:t xml:space="preserve"> on</w:t>
      </w:r>
      <w:r w:rsidRPr="00E8218F">
        <w:rPr>
          <w:rFonts w:ascii="Times New Roman" w:eastAsia="Times New Roman" w:hAnsi="Times New Roman" w:cs="Times New Roman"/>
          <w:sz w:val="24"/>
          <w:szCs w:val="24"/>
          <w:lang w:val="en-US" w:eastAsia="en-AU"/>
        </w:rPr>
        <w:t xml:space="preserve"> </w:t>
      </w:r>
      <w:r w:rsidRPr="00E8218F">
        <w:rPr>
          <w:rFonts w:ascii="Times New Roman" w:hAnsi="Times New Roman" w:cs="Times New Roman"/>
          <w:sz w:val="24"/>
          <w:szCs w:val="24"/>
        </w:rPr>
        <w:t>4 March 2014</w:t>
      </w:r>
      <w:r>
        <w:rPr>
          <w:rFonts w:ascii="Times New Roman" w:hAnsi="Times New Roman" w:cs="Times New Roman"/>
          <w:sz w:val="24"/>
          <w:szCs w:val="24"/>
        </w:rPr>
        <w:t>;</w:t>
      </w:r>
      <w:bookmarkStart w:id="3" w:name="_Amendment_to_RASML_1"/>
      <w:bookmarkEnd w:id="3"/>
    </w:p>
    <w:p w:rsidR="00746508" w:rsidRPr="00E8218F" w:rsidRDefault="00746508" w:rsidP="00FA4CE6">
      <w:pPr>
        <w:spacing w:before="120" w:after="120" w:line="240" w:lineRule="auto"/>
        <w:rPr>
          <w:rFonts w:ascii="Times New Roman" w:hAnsi="Times New Roman" w:cs="Times New Roman"/>
          <w:sz w:val="24"/>
          <w:szCs w:val="24"/>
        </w:rPr>
      </w:pPr>
      <w:r w:rsidRPr="00E8218F">
        <w:rPr>
          <w:rFonts w:ascii="Times New Roman" w:hAnsi="Times New Roman" w:cs="Times New Roman"/>
          <w:sz w:val="24"/>
          <w:szCs w:val="24"/>
        </w:rPr>
        <w:t>These consultations were consistent with the level of consultation agreed between the TGA and industry for the updating of the RASML.</w:t>
      </w:r>
    </w:p>
    <w:p w:rsidR="00D00D5D" w:rsidRPr="006E6314" w:rsidRDefault="00D00D5D" w:rsidP="00FA4CE6">
      <w:pPr>
        <w:spacing w:before="120" w:after="120" w:line="240" w:lineRule="auto"/>
        <w:ind w:right="-96"/>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eastAsia="en-AU"/>
        </w:rPr>
        <w:t xml:space="preserve">A number of submissions were received in each case. A clear majority of submissions </w:t>
      </w:r>
      <w:r w:rsidRPr="006E6314">
        <w:rPr>
          <w:rFonts w:ascii="Times New Roman" w:eastAsia="Times New Roman" w:hAnsi="Times New Roman" w:cs="Times New Roman"/>
          <w:sz w:val="24"/>
          <w:szCs w:val="24"/>
          <w:lang w:eastAsia="en-AU"/>
        </w:rPr>
        <w:t>supported the proposals</w:t>
      </w:r>
      <w:r>
        <w:rPr>
          <w:rFonts w:ascii="Times New Roman" w:eastAsia="Times New Roman" w:hAnsi="Times New Roman" w:cs="Times New Roman"/>
          <w:sz w:val="24"/>
          <w:szCs w:val="24"/>
          <w:lang w:eastAsia="en-AU"/>
        </w:rPr>
        <w:t xml:space="preserve">, with suggestions for rewording being </w:t>
      </w:r>
      <w:r w:rsidR="00377699">
        <w:rPr>
          <w:rFonts w:ascii="Times New Roman" w:eastAsia="Times New Roman" w:hAnsi="Times New Roman" w:cs="Times New Roman"/>
          <w:sz w:val="24"/>
          <w:szCs w:val="24"/>
          <w:lang w:eastAsia="en-AU"/>
        </w:rPr>
        <w:t>proposed</w:t>
      </w:r>
      <w:r>
        <w:rPr>
          <w:rFonts w:ascii="Times New Roman" w:eastAsia="Times New Roman" w:hAnsi="Times New Roman" w:cs="Times New Roman"/>
          <w:sz w:val="24"/>
          <w:szCs w:val="24"/>
          <w:lang w:eastAsia="en-AU"/>
        </w:rPr>
        <w:t xml:space="preserve"> in some cases – as explained in the  associated ‘Submissions and TGA response’ advice that was published on the TGA website in each case.</w:t>
      </w:r>
    </w:p>
    <w:p w:rsidR="00D00D5D" w:rsidRPr="00D00D5D" w:rsidRDefault="00D00D5D" w:rsidP="00FA4CE6">
      <w:pPr>
        <w:spacing w:before="120" w:after="120" w:line="240" w:lineRule="auto"/>
        <w:rPr>
          <w:rFonts w:ascii="Times New Roman" w:eastAsia="Times New Roman" w:hAnsi="Times New Roman" w:cs="Times New Roman"/>
          <w:sz w:val="24"/>
          <w:szCs w:val="24"/>
          <w:lang w:val="en" w:eastAsia="en-AU"/>
        </w:rPr>
      </w:pPr>
      <w:r>
        <w:rPr>
          <w:rFonts w:ascii="Times New Roman" w:hAnsi="Times New Roman" w:cs="Times New Roman"/>
          <w:sz w:val="24"/>
          <w:szCs w:val="24"/>
          <w:lang w:val="en" w:eastAsia="en-AU"/>
        </w:rPr>
        <w:t>Public consultation was not held in regards to the new statement</w:t>
      </w:r>
      <w:r w:rsidRPr="00D00D5D">
        <w:rPr>
          <w:rFonts w:ascii="Times New Roman" w:hAnsi="Times New Roman" w:cs="Times New Roman"/>
          <w:sz w:val="24"/>
          <w:szCs w:val="24"/>
          <w:lang w:val="en" w:eastAsia="en-AU"/>
        </w:rPr>
        <w:t xml:space="preserve"> for </w:t>
      </w:r>
      <w:r w:rsidRPr="00D00D5D">
        <w:rPr>
          <w:rFonts w:ascii="Times New Roman" w:hAnsi="Times New Roman" w:cs="Times New Roman"/>
          <w:i/>
          <w:sz w:val="24"/>
          <w:szCs w:val="24"/>
          <w:lang w:val="en" w:eastAsia="en-AU"/>
        </w:rPr>
        <w:t xml:space="preserve">Euphausia superba </w:t>
      </w:r>
      <w:r w:rsidRPr="00BC08F7">
        <w:rPr>
          <w:rFonts w:ascii="Times New Roman" w:hAnsi="Times New Roman" w:cs="Times New Roman"/>
          <w:sz w:val="24"/>
          <w:szCs w:val="24"/>
          <w:lang w:val="en" w:eastAsia="en-AU"/>
        </w:rPr>
        <w:t xml:space="preserve">oil </w:t>
      </w:r>
      <w:r w:rsidRPr="00D00D5D">
        <w:rPr>
          <w:rFonts w:ascii="Times New Roman" w:hAnsi="Times New Roman" w:cs="Times New Roman"/>
          <w:sz w:val="24"/>
          <w:szCs w:val="24"/>
          <w:lang w:val="en" w:eastAsia="en-AU"/>
        </w:rPr>
        <w:t>(Krill Oil)</w:t>
      </w:r>
      <w:r>
        <w:rPr>
          <w:rFonts w:ascii="Times New Roman" w:hAnsi="Times New Roman" w:cs="Times New Roman"/>
          <w:sz w:val="24"/>
          <w:szCs w:val="24"/>
          <w:lang w:val="en" w:eastAsia="en-AU"/>
        </w:rPr>
        <w:t xml:space="preserve"> in listed medicines, as </w:t>
      </w:r>
      <w:r w:rsidR="00377699">
        <w:rPr>
          <w:rFonts w:ascii="Times New Roman" w:hAnsi="Times New Roman" w:cs="Times New Roman"/>
          <w:sz w:val="24"/>
          <w:szCs w:val="24"/>
          <w:lang w:val="en" w:eastAsia="en-AU"/>
        </w:rPr>
        <w:t>the inclusion of this statement on the label of relevant medicines</w:t>
      </w:r>
      <w:r>
        <w:rPr>
          <w:rFonts w:ascii="Times New Roman" w:hAnsi="Times New Roman" w:cs="Times New Roman"/>
          <w:sz w:val="24"/>
          <w:szCs w:val="24"/>
          <w:lang w:val="en" w:eastAsia="en-AU"/>
        </w:rPr>
        <w:t xml:space="preserve"> has been a </w:t>
      </w:r>
      <w:r w:rsidR="00377699">
        <w:rPr>
          <w:rFonts w:ascii="Times New Roman" w:hAnsi="Times New Roman" w:cs="Times New Roman"/>
          <w:sz w:val="24"/>
          <w:szCs w:val="24"/>
          <w:lang w:val="en" w:eastAsia="en-AU"/>
        </w:rPr>
        <w:t>c</w:t>
      </w:r>
      <w:r>
        <w:rPr>
          <w:rFonts w:ascii="Times New Roman" w:hAnsi="Times New Roman" w:cs="Times New Roman"/>
          <w:sz w:val="24"/>
          <w:szCs w:val="24"/>
          <w:lang w:val="en" w:eastAsia="en-AU"/>
        </w:rPr>
        <w:t xml:space="preserve">ondition of </w:t>
      </w:r>
      <w:r w:rsidR="00377699">
        <w:rPr>
          <w:rFonts w:ascii="Times New Roman" w:hAnsi="Times New Roman" w:cs="Times New Roman"/>
          <w:sz w:val="24"/>
          <w:szCs w:val="24"/>
          <w:lang w:val="en" w:eastAsia="en-AU"/>
        </w:rPr>
        <w:t>l</w:t>
      </w:r>
      <w:r>
        <w:rPr>
          <w:rFonts w:ascii="Times New Roman" w:hAnsi="Times New Roman" w:cs="Times New Roman"/>
          <w:sz w:val="24"/>
          <w:szCs w:val="24"/>
          <w:lang w:val="en" w:eastAsia="en-AU"/>
        </w:rPr>
        <w:t>isting for these m</w:t>
      </w:r>
      <w:r w:rsidRPr="00D00D5D">
        <w:rPr>
          <w:rFonts w:ascii="Times New Roman" w:hAnsi="Times New Roman" w:cs="Times New Roman"/>
          <w:sz w:val="24"/>
          <w:szCs w:val="24"/>
          <w:lang w:val="en" w:eastAsia="en-AU"/>
        </w:rPr>
        <w:t>edicines</w:t>
      </w:r>
      <w:r>
        <w:rPr>
          <w:rFonts w:ascii="Times New Roman" w:hAnsi="Times New Roman" w:cs="Times New Roman"/>
          <w:sz w:val="24"/>
          <w:szCs w:val="24"/>
          <w:lang w:val="en" w:eastAsia="en-AU"/>
        </w:rPr>
        <w:t xml:space="preserve"> </w:t>
      </w:r>
      <w:r w:rsidRPr="00D00D5D">
        <w:rPr>
          <w:rFonts w:ascii="Times New Roman" w:hAnsi="Times New Roman" w:cs="Times New Roman"/>
          <w:sz w:val="24"/>
          <w:szCs w:val="24"/>
          <w:lang w:val="en" w:eastAsia="en-AU"/>
        </w:rPr>
        <w:t>since June 2015</w:t>
      </w:r>
      <w:r>
        <w:rPr>
          <w:rFonts w:ascii="Times New Roman" w:hAnsi="Times New Roman" w:cs="Times New Roman"/>
          <w:sz w:val="24"/>
          <w:szCs w:val="24"/>
          <w:lang w:val="en" w:eastAsia="en-AU"/>
        </w:rPr>
        <w:t>. This</w:t>
      </w:r>
      <w:r w:rsidRPr="00D00D5D">
        <w:rPr>
          <w:rFonts w:ascii="Times New Roman" w:hAnsi="Times New Roman" w:cs="Times New Roman"/>
          <w:sz w:val="24"/>
          <w:szCs w:val="24"/>
          <w:lang w:val="en" w:eastAsia="en-AU"/>
        </w:rPr>
        <w:t xml:space="preserve"> </w:t>
      </w:r>
      <w:r>
        <w:rPr>
          <w:rFonts w:ascii="Times New Roman" w:hAnsi="Times New Roman" w:cs="Times New Roman"/>
          <w:sz w:val="24"/>
          <w:szCs w:val="24"/>
          <w:lang w:val="en" w:eastAsia="en-AU"/>
        </w:rPr>
        <w:t xml:space="preserve">current </w:t>
      </w:r>
      <w:r w:rsidR="00377699">
        <w:rPr>
          <w:rFonts w:ascii="Times New Roman" w:hAnsi="Times New Roman" w:cs="Times New Roman"/>
          <w:sz w:val="24"/>
          <w:szCs w:val="24"/>
          <w:lang w:val="en" w:eastAsia="en-AU"/>
        </w:rPr>
        <w:t>c</w:t>
      </w:r>
      <w:r w:rsidRPr="00D00D5D">
        <w:rPr>
          <w:rFonts w:ascii="Times New Roman" w:hAnsi="Times New Roman" w:cs="Times New Roman"/>
          <w:sz w:val="24"/>
          <w:szCs w:val="24"/>
          <w:lang w:val="en" w:eastAsia="en-AU"/>
        </w:rPr>
        <w:t xml:space="preserve">ondition of </w:t>
      </w:r>
      <w:r w:rsidR="00377699">
        <w:rPr>
          <w:rFonts w:ascii="Times New Roman" w:hAnsi="Times New Roman" w:cs="Times New Roman"/>
          <w:sz w:val="24"/>
          <w:szCs w:val="24"/>
          <w:lang w:val="en" w:eastAsia="en-AU"/>
        </w:rPr>
        <w:t>l</w:t>
      </w:r>
      <w:r w:rsidRPr="00D00D5D">
        <w:rPr>
          <w:rFonts w:ascii="Times New Roman" w:hAnsi="Times New Roman" w:cs="Times New Roman"/>
          <w:sz w:val="24"/>
          <w:szCs w:val="24"/>
          <w:lang w:val="en" w:eastAsia="en-AU"/>
        </w:rPr>
        <w:t xml:space="preserve">isting </w:t>
      </w:r>
      <w:r>
        <w:rPr>
          <w:rFonts w:ascii="Times New Roman" w:hAnsi="Times New Roman" w:cs="Times New Roman"/>
          <w:sz w:val="24"/>
          <w:szCs w:val="24"/>
          <w:lang w:val="en" w:eastAsia="en-AU"/>
        </w:rPr>
        <w:t>requires</w:t>
      </w:r>
      <w:r w:rsidRPr="00D00D5D">
        <w:rPr>
          <w:rFonts w:ascii="Times New Roman" w:hAnsi="Times New Roman" w:cs="Times New Roman"/>
          <w:sz w:val="24"/>
          <w:szCs w:val="24"/>
          <w:lang w:val="en" w:eastAsia="en-AU"/>
        </w:rPr>
        <w:t xml:space="preserve"> that all listed medicines containing this ingredient are labelled with the warning ‘Contains crustacean shellfish’ or ‘Derived from seafood’ (as </w:t>
      </w:r>
      <w:r w:rsidRPr="00D00D5D">
        <w:rPr>
          <w:rFonts w:ascii="Times New Roman" w:hAnsi="Times New Roman" w:cs="Times New Roman"/>
          <w:sz w:val="24"/>
          <w:szCs w:val="24"/>
          <w:lang w:val="en"/>
        </w:rPr>
        <w:t>advised</w:t>
      </w:r>
      <w:r w:rsidRPr="00D00D5D">
        <w:rPr>
          <w:rFonts w:ascii="Times New Roman" w:hAnsi="Times New Roman" w:cs="Times New Roman"/>
          <w:sz w:val="24"/>
          <w:szCs w:val="24"/>
          <w:lang w:val="en" w:eastAsia="en-AU"/>
        </w:rPr>
        <w:t xml:space="preserve"> in the TGA eBusiness Services News on 29 April 2015). </w:t>
      </w:r>
      <w:r>
        <w:rPr>
          <w:rFonts w:ascii="Times New Roman" w:hAnsi="Times New Roman" w:cs="Times New Roman"/>
          <w:sz w:val="24"/>
          <w:szCs w:val="24"/>
          <w:lang w:val="en" w:eastAsia="en-AU"/>
        </w:rPr>
        <w:t>The new requirement in the RASML No. 3 is identical to the requirement of th</w:t>
      </w:r>
      <w:r w:rsidR="00377699">
        <w:rPr>
          <w:rFonts w:ascii="Times New Roman" w:hAnsi="Times New Roman" w:cs="Times New Roman"/>
          <w:sz w:val="24"/>
          <w:szCs w:val="24"/>
          <w:lang w:val="en" w:eastAsia="en-AU"/>
        </w:rPr>
        <w:t>is</w:t>
      </w:r>
      <w:r>
        <w:rPr>
          <w:rFonts w:ascii="Times New Roman" w:hAnsi="Times New Roman" w:cs="Times New Roman"/>
          <w:sz w:val="24"/>
          <w:szCs w:val="24"/>
          <w:lang w:val="en" w:eastAsia="en-AU"/>
        </w:rPr>
        <w:t xml:space="preserve"> </w:t>
      </w:r>
      <w:r w:rsidR="00377699">
        <w:rPr>
          <w:rFonts w:ascii="Times New Roman" w:hAnsi="Times New Roman" w:cs="Times New Roman"/>
          <w:sz w:val="24"/>
          <w:szCs w:val="24"/>
          <w:lang w:val="en" w:eastAsia="en-AU"/>
        </w:rPr>
        <w:t>c</w:t>
      </w:r>
      <w:r>
        <w:rPr>
          <w:rFonts w:ascii="Times New Roman" w:hAnsi="Times New Roman" w:cs="Times New Roman"/>
          <w:sz w:val="24"/>
          <w:szCs w:val="24"/>
          <w:lang w:val="en" w:eastAsia="en-AU"/>
        </w:rPr>
        <w:t xml:space="preserve">ondition of </w:t>
      </w:r>
      <w:r w:rsidR="00377699">
        <w:rPr>
          <w:rFonts w:ascii="Times New Roman" w:hAnsi="Times New Roman" w:cs="Times New Roman"/>
          <w:sz w:val="24"/>
          <w:szCs w:val="24"/>
          <w:lang w:val="en" w:eastAsia="en-AU"/>
        </w:rPr>
        <w:t>l</w:t>
      </w:r>
      <w:r>
        <w:rPr>
          <w:rFonts w:ascii="Times New Roman" w:hAnsi="Times New Roman" w:cs="Times New Roman"/>
          <w:sz w:val="24"/>
          <w:szCs w:val="24"/>
          <w:lang w:val="en" w:eastAsia="en-AU"/>
        </w:rPr>
        <w:t xml:space="preserve">isting as currently in force, and therefore </w:t>
      </w:r>
      <w:r w:rsidR="00377699">
        <w:rPr>
          <w:rFonts w:ascii="Times New Roman" w:hAnsi="Times New Roman" w:cs="Times New Roman"/>
          <w:sz w:val="24"/>
          <w:szCs w:val="24"/>
          <w:lang w:val="en" w:eastAsia="en-AU"/>
        </w:rPr>
        <w:t>does</w:t>
      </w:r>
      <w:r>
        <w:rPr>
          <w:rFonts w:ascii="Times New Roman" w:hAnsi="Times New Roman" w:cs="Times New Roman"/>
          <w:sz w:val="24"/>
          <w:szCs w:val="24"/>
          <w:lang w:val="en" w:eastAsia="en-AU"/>
        </w:rPr>
        <w:t xml:space="preserve"> not </w:t>
      </w:r>
      <w:r w:rsidR="00377699">
        <w:rPr>
          <w:rFonts w:ascii="Times New Roman" w:hAnsi="Times New Roman" w:cs="Times New Roman"/>
          <w:sz w:val="24"/>
          <w:szCs w:val="24"/>
          <w:lang w:val="en" w:eastAsia="en-AU"/>
        </w:rPr>
        <w:t xml:space="preserve">involve </w:t>
      </w:r>
      <w:r>
        <w:rPr>
          <w:rFonts w:ascii="Times New Roman" w:hAnsi="Times New Roman" w:cs="Times New Roman"/>
          <w:sz w:val="24"/>
          <w:szCs w:val="24"/>
          <w:lang w:val="en" w:eastAsia="en-AU"/>
        </w:rPr>
        <w:t>any new requirements for the labels of  medicine</w:t>
      </w:r>
      <w:r w:rsidR="0074371B">
        <w:rPr>
          <w:rFonts w:ascii="Times New Roman" w:hAnsi="Times New Roman" w:cs="Times New Roman"/>
          <w:sz w:val="24"/>
          <w:szCs w:val="24"/>
          <w:lang w:val="en" w:eastAsia="en-AU"/>
        </w:rPr>
        <w:t>s</w:t>
      </w:r>
      <w:r w:rsidR="00377699">
        <w:rPr>
          <w:rFonts w:ascii="Times New Roman" w:hAnsi="Times New Roman" w:cs="Times New Roman"/>
          <w:sz w:val="24"/>
          <w:szCs w:val="24"/>
          <w:lang w:val="en" w:eastAsia="en-AU"/>
        </w:rPr>
        <w:t xml:space="preserve"> containing this ingredient</w:t>
      </w:r>
      <w:r>
        <w:rPr>
          <w:rFonts w:ascii="Times New Roman" w:hAnsi="Times New Roman" w:cs="Times New Roman"/>
          <w:sz w:val="24"/>
          <w:szCs w:val="24"/>
          <w:lang w:val="en" w:eastAsia="en-AU"/>
        </w:rPr>
        <w:t xml:space="preserve">. </w:t>
      </w:r>
      <w:r w:rsidRPr="00D00D5D">
        <w:rPr>
          <w:lang w:val="en-US"/>
        </w:rPr>
        <w:t xml:space="preserve"> </w:t>
      </w:r>
      <w:r w:rsidRPr="006A417A">
        <w:rPr>
          <w:rFonts w:ascii="Times New Roman" w:eastAsia="Times New Roman" w:hAnsi="Times New Roman" w:cs="Times New Roman"/>
          <w:sz w:val="24"/>
          <w:szCs w:val="24"/>
          <w:lang w:eastAsia="en-AU"/>
        </w:rPr>
        <w:t> </w:t>
      </w:r>
    </w:p>
    <w:p w:rsidR="006E6314" w:rsidRDefault="006E6314" w:rsidP="00FA4CE6">
      <w:pPr>
        <w:spacing w:before="120" w:after="120" w:line="240" w:lineRule="auto"/>
        <w:rPr>
          <w:rFonts w:ascii="Times New Roman" w:eastAsia="Times New Roman" w:hAnsi="Times New Roman" w:cs="Times New Roman"/>
          <w:sz w:val="24"/>
          <w:szCs w:val="24"/>
          <w:lang w:eastAsia="en-AU"/>
        </w:rPr>
      </w:pPr>
      <w:r w:rsidRPr="006E6314">
        <w:rPr>
          <w:rFonts w:ascii="Times New Roman" w:eastAsia="Times New Roman" w:hAnsi="Times New Roman" w:cs="Times New Roman"/>
          <w:sz w:val="24"/>
          <w:szCs w:val="24"/>
          <w:lang w:eastAsia="en-AU"/>
        </w:rPr>
        <w:t xml:space="preserve">The </w:t>
      </w:r>
      <w:r w:rsidR="00E22DB6">
        <w:rPr>
          <w:rFonts w:ascii="Times New Roman" w:eastAsia="Times New Roman" w:hAnsi="Times New Roman" w:cs="Times New Roman"/>
          <w:sz w:val="24"/>
          <w:szCs w:val="24"/>
          <w:lang w:eastAsia="en-AU"/>
        </w:rPr>
        <w:t xml:space="preserve">2016 </w:t>
      </w:r>
      <w:r w:rsidRPr="006E6314">
        <w:rPr>
          <w:rFonts w:ascii="Times New Roman" w:eastAsia="Times New Roman" w:hAnsi="Times New Roman" w:cs="Times New Roman"/>
          <w:sz w:val="24"/>
          <w:szCs w:val="24"/>
          <w:lang w:eastAsia="en-AU"/>
        </w:rPr>
        <w:t xml:space="preserve">Specification is a legislative instrument for the purposes of the </w:t>
      </w:r>
      <w:r w:rsidRPr="006E6314">
        <w:rPr>
          <w:rFonts w:ascii="Times New Roman" w:eastAsia="Times New Roman" w:hAnsi="Times New Roman" w:cs="Times New Roman"/>
          <w:i/>
          <w:iCs/>
          <w:sz w:val="24"/>
          <w:szCs w:val="24"/>
          <w:lang w:eastAsia="en-AU"/>
        </w:rPr>
        <w:t>Legislative Instruments Act 2003</w:t>
      </w:r>
      <w:r w:rsidRPr="006E6314">
        <w:rPr>
          <w:rFonts w:ascii="Times New Roman" w:eastAsia="Times New Roman" w:hAnsi="Times New Roman" w:cs="Times New Roman"/>
          <w:sz w:val="24"/>
          <w:szCs w:val="24"/>
          <w:lang w:eastAsia="en-AU"/>
        </w:rPr>
        <w:t>.</w:t>
      </w:r>
    </w:p>
    <w:p w:rsidR="00510702" w:rsidRDefault="006E6314" w:rsidP="006E6314">
      <w:pPr>
        <w:spacing w:before="120" w:after="120" w:line="240" w:lineRule="auto"/>
        <w:rPr>
          <w:rFonts w:ascii="Times New Roman" w:eastAsia="Times New Roman" w:hAnsi="Times New Roman" w:cs="Times New Roman"/>
          <w:sz w:val="24"/>
          <w:szCs w:val="24"/>
          <w:lang w:eastAsia="en-AU"/>
        </w:rPr>
      </w:pPr>
      <w:r w:rsidRPr="006E6314">
        <w:rPr>
          <w:rFonts w:ascii="Times New Roman" w:eastAsia="Times New Roman" w:hAnsi="Times New Roman" w:cs="Times New Roman"/>
          <w:sz w:val="24"/>
          <w:szCs w:val="24"/>
          <w:lang w:eastAsia="en-AU"/>
        </w:rPr>
        <w:t> </w:t>
      </w:r>
    </w:p>
    <w:p w:rsidR="00510702" w:rsidRDefault="00510702">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br w:type="page"/>
      </w:r>
    </w:p>
    <w:p w:rsidR="006E6314" w:rsidRPr="006E6314" w:rsidRDefault="006E6314" w:rsidP="006E6314">
      <w:pPr>
        <w:spacing w:before="120" w:after="120" w:line="240" w:lineRule="auto"/>
        <w:rPr>
          <w:rFonts w:ascii="Times New Roman" w:eastAsia="Times New Roman" w:hAnsi="Times New Roman" w:cs="Times New Roman"/>
          <w:sz w:val="24"/>
          <w:szCs w:val="24"/>
          <w:lang w:val="en-US" w:eastAsia="en-AU"/>
        </w:rPr>
      </w:pPr>
      <w:r w:rsidRPr="006E6314">
        <w:rPr>
          <w:rFonts w:ascii="Times New Roman" w:eastAsia="Times New Roman" w:hAnsi="Times New Roman" w:cs="Times New Roman"/>
          <w:b/>
          <w:bCs/>
          <w:sz w:val="24"/>
          <w:szCs w:val="24"/>
          <w:lang w:eastAsia="en-AU"/>
        </w:rPr>
        <w:lastRenderedPageBreak/>
        <w:t xml:space="preserve">SUPPLEMENTARY MATERIAL - STATEMENT OF COMPATIBILITY WITH HUMAN RIGHTS FOR A LEGISLATIVE INSTRUMENT THAT </w:t>
      </w:r>
      <w:r w:rsidRPr="006E6314">
        <w:rPr>
          <w:rFonts w:ascii="Times New Roman" w:eastAsia="Times New Roman" w:hAnsi="Times New Roman" w:cs="Times New Roman"/>
          <w:b/>
          <w:bCs/>
          <w:sz w:val="24"/>
          <w:szCs w:val="24"/>
          <w:u w:val="single"/>
          <w:lang w:eastAsia="en-AU"/>
        </w:rPr>
        <w:t>DOES NOT</w:t>
      </w:r>
      <w:r w:rsidRPr="006E6314">
        <w:rPr>
          <w:rFonts w:ascii="Times New Roman" w:eastAsia="Times New Roman" w:hAnsi="Times New Roman" w:cs="Times New Roman"/>
          <w:b/>
          <w:bCs/>
          <w:sz w:val="24"/>
          <w:szCs w:val="24"/>
          <w:lang w:eastAsia="en-AU"/>
        </w:rPr>
        <w:t xml:space="preserve"> RAISE ANY HUMAN RIGHTS ISSUES</w:t>
      </w:r>
    </w:p>
    <w:p w:rsidR="003C08D0" w:rsidRDefault="003C08D0" w:rsidP="006E6314">
      <w:pPr>
        <w:spacing w:before="120" w:after="120" w:line="240" w:lineRule="auto"/>
        <w:rPr>
          <w:rFonts w:ascii="Times New Roman" w:eastAsia="Times New Roman" w:hAnsi="Times New Roman" w:cs="Times New Roman"/>
          <w:b/>
          <w:bCs/>
          <w:sz w:val="28"/>
          <w:szCs w:val="28"/>
          <w:lang w:eastAsia="en-AU"/>
        </w:rPr>
      </w:pPr>
    </w:p>
    <w:p w:rsidR="006E6314" w:rsidRPr="006E6314" w:rsidRDefault="006E6314" w:rsidP="006E6314">
      <w:pPr>
        <w:spacing w:before="120" w:after="120" w:line="240" w:lineRule="auto"/>
        <w:rPr>
          <w:rFonts w:ascii="Times New Roman" w:eastAsia="Times New Roman" w:hAnsi="Times New Roman" w:cs="Times New Roman"/>
          <w:sz w:val="24"/>
          <w:szCs w:val="24"/>
          <w:lang w:val="en-US" w:eastAsia="en-AU"/>
        </w:rPr>
      </w:pPr>
      <w:r w:rsidRPr="006E6314">
        <w:rPr>
          <w:rFonts w:ascii="Times New Roman" w:eastAsia="Times New Roman" w:hAnsi="Times New Roman" w:cs="Times New Roman"/>
          <w:b/>
          <w:bCs/>
          <w:sz w:val="28"/>
          <w:szCs w:val="28"/>
          <w:lang w:eastAsia="en-AU"/>
        </w:rPr>
        <w:t>Statement of Compatibility with Human Rights</w:t>
      </w:r>
    </w:p>
    <w:p w:rsidR="006E6314" w:rsidRPr="006E6314" w:rsidRDefault="006E6314" w:rsidP="006E6314">
      <w:pPr>
        <w:spacing w:before="120" w:after="120" w:line="240" w:lineRule="auto"/>
        <w:rPr>
          <w:rFonts w:ascii="Times New Roman" w:eastAsia="Times New Roman" w:hAnsi="Times New Roman" w:cs="Times New Roman"/>
          <w:sz w:val="24"/>
          <w:szCs w:val="24"/>
          <w:lang w:val="en-US" w:eastAsia="en-AU"/>
        </w:rPr>
      </w:pPr>
      <w:r w:rsidRPr="006E6314">
        <w:rPr>
          <w:rFonts w:ascii="Times New Roman" w:eastAsia="Times New Roman" w:hAnsi="Times New Roman" w:cs="Times New Roman"/>
          <w:i/>
          <w:iCs/>
          <w:sz w:val="24"/>
          <w:szCs w:val="24"/>
          <w:lang w:eastAsia="en-AU"/>
        </w:rPr>
        <w:t>Prepared in accordance with Part 3 of the Human Rights (Parliamentary Scrutiny) Act 2011</w:t>
      </w:r>
    </w:p>
    <w:p w:rsidR="003C08D0" w:rsidRDefault="003C08D0" w:rsidP="006E6314">
      <w:pPr>
        <w:spacing w:before="120" w:after="120" w:line="240" w:lineRule="auto"/>
        <w:rPr>
          <w:rFonts w:ascii="Times New Roman" w:eastAsia="Times New Roman" w:hAnsi="Times New Roman" w:cs="Times New Roman"/>
          <w:b/>
          <w:bCs/>
          <w:sz w:val="24"/>
          <w:szCs w:val="24"/>
          <w:lang w:eastAsia="en-AU"/>
        </w:rPr>
      </w:pPr>
    </w:p>
    <w:p w:rsidR="006E6314" w:rsidRPr="006E6314" w:rsidRDefault="006E6314" w:rsidP="006E6314">
      <w:pPr>
        <w:spacing w:before="120" w:after="120" w:line="240" w:lineRule="auto"/>
        <w:rPr>
          <w:rFonts w:ascii="Times New Roman" w:eastAsia="Times New Roman" w:hAnsi="Times New Roman" w:cs="Times New Roman"/>
          <w:sz w:val="24"/>
          <w:szCs w:val="24"/>
          <w:lang w:val="en-US" w:eastAsia="en-AU"/>
        </w:rPr>
      </w:pPr>
      <w:r w:rsidRPr="006E6314">
        <w:rPr>
          <w:rFonts w:ascii="Times New Roman" w:eastAsia="Times New Roman" w:hAnsi="Times New Roman" w:cs="Times New Roman"/>
          <w:b/>
          <w:bCs/>
          <w:sz w:val="24"/>
          <w:szCs w:val="24"/>
          <w:lang w:eastAsia="en-AU"/>
        </w:rPr>
        <w:t>Medicines Advisory Statements Specification 201</w:t>
      </w:r>
      <w:r w:rsidR="00E22DB6">
        <w:rPr>
          <w:rFonts w:ascii="Times New Roman" w:eastAsia="Times New Roman" w:hAnsi="Times New Roman" w:cs="Times New Roman"/>
          <w:b/>
          <w:bCs/>
          <w:sz w:val="24"/>
          <w:szCs w:val="24"/>
          <w:lang w:eastAsia="en-AU"/>
        </w:rPr>
        <w:t>6</w:t>
      </w:r>
    </w:p>
    <w:p w:rsidR="006E6314" w:rsidRPr="006E6314" w:rsidRDefault="006E6314" w:rsidP="006E6314">
      <w:pPr>
        <w:spacing w:before="120" w:after="120" w:line="240" w:lineRule="auto"/>
        <w:rPr>
          <w:rFonts w:ascii="Times New Roman" w:eastAsia="Times New Roman" w:hAnsi="Times New Roman" w:cs="Times New Roman"/>
          <w:sz w:val="24"/>
          <w:szCs w:val="24"/>
          <w:lang w:val="en-US" w:eastAsia="en-AU"/>
        </w:rPr>
      </w:pPr>
      <w:r w:rsidRPr="006E6314">
        <w:rPr>
          <w:rFonts w:ascii="Times New Roman" w:eastAsia="Times New Roman" w:hAnsi="Times New Roman" w:cs="Times New Roman"/>
          <w:sz w:val="24"/>
          <w:szCs w:val="24"/>
          <w:lang w:eastAsia="en-AU"/>
        </w:rPr>
        <w:t xml:space="preserve">This legislative instrument is compatible with the human rights and freedoms recognised or declared in the international instruments listed in section 3 of the </w:t>
      </w:r>
      <w:r w:rsidRPr="006E6314">
        <w:rPr>
          <w:rFonts w:ascii="Times New Roman" w:eastAsia="Times New Roman" w:hAnsi="Times New Roman" w:cs="Times New Roman"/>
          <w:i/>
          <w:iCs/>
          <w:sz w:val="24"/>
          <w:szCs w:val="24"/>
          <w:lang w:eastAsia="en-AU"/>
        </w:rPr>
        <w:t>Human Rights (Parliamentary Scrutiny) Act 2011</w:t>
      </w:r>
      <w:r w:rsidRPr="006E6314">
        <w:rPr>
          <w:rFonts w:ascii="Times New Roman" w:eastAsia="Times New Roman" w:hAnsi="Times New Roman" w:cs="Times New Roman"/>
          <w:sz w:val="24"/>
          <w:szCs w:val="24"/>
          <w:lang w:eastAsia="en-AU"/>
        </w:rPr>
        <w:t>.</w:t>
      </w:r>
    </w:p>
    <w:p w:rsidR="003C08D0" w:rsidRDefault="003C08D0" w:rsidP="006E6314">
      <w:pPr>
        <w:spacing w:before="120" w:after="120" w:line="240" w:lineRule="auto"/>
        <w:rPr>
          <w:rFonts w:ascii="Times New Roman" w:eastAsia="Times New Roman" w:hAnsi="Times New Roman" w:cs="Times New Roman"/>
          <w:b/>
          <w:bCs/>
          <w:sz w:val="24"/>
          <w:szCs w:val="24"/>
          <w:lang w:eastAsia="en-AU"/>
        </w:rPr>
      </w:pPr>
    </w:p>
    <w:p w:rsidR="006E6314" w:rsidRPr="006E6314" w:rsidRDefault="006E6314" w:rsidP="006E6314">
      <w:pPr>
        <w:spacing w:before="120" w:after="120" w:line="240" w:lineRule="auto"/>
        <w:rPr>
          <w:rFonts w:ascii="Times New Roman" w:eastAsia="Times New Roman" w:hAnsi="Times New Roman" w:cs="Times New Roman"/>
          <w:sz w:val="24"/>
          <w:szCs w:val="24"/>
          <w:lang w:val="en-US" w:eastAsia="en-AU"/>
        </w:rPr>
      </w:pPr>
      <w:r w:rsidRPr="006E6314">
        <w:rPr>
          <w:rFonts w:ascii="Times New Roman" w:eastAsia="Times New Roman" w:hAnsi="Times New Roman" w:cs="Times New Roman"/>
          <w:b/>
          <w:bCs/>
          <w:sz w:val="24"/>
          <w:szCs w:val="24"/>
          <w:lang w:eastAsia="en-AU"/>
        </w:rPr>
        <w:t>Overview of the Legislative Instrument</w:t>
      </w:r>
    </w:p>
    <w:p w:rsidR="006E6314" w:rsidRDefault="006E6314" w:rsidP="006E6314">
      <w:pPr>
        <w:spacing w:before="120" w:after="120" w:line="240" w:lineRule="auto"/>
        <w:rPr>
          <w:rFonts w:ascii="Times New Roman" w:eastAsia="Times New Roman" w:hAnsi="Times New Roman" w:cs="Times New Roman"/>
          <w:sz w:val="24"/>
          <w:szCs w:val="24"/>
          <w:lang w:eastAsia="en-AU"/>
        </w:rPr>
      </w:pPr>
      <w:r w:rsidRPr="006E6314">
        <w:rPr>
          <w:rFonts w:ascii="Times New Roman" w:eastAsia="Times New Roman" w:hAnsi="Times New Roman" w:cs="Times New Roman"/>
          <w:sz w:val="24"/>
          <w:szCs w:val="24"/>
          <w:lang w:eastAsia="en-AU"/>
        </w:rPr>
        <w:t xml:space="preserve">The </w:t>
      </w:r>
      <w:r w:rsidRPr="006E6314">
        <w:rPr>
          <w:rFonts w:ascii="Times New Roman" w:eastAsia="Times New Roman" w:hAnsi="Times New Roman" w:cs="Times New Roman"/>
          <w:i/>
          <w:iCs/>
          <w:sz w:val="24"/>
          <w:szCs w:val="24"/>
          <w:lang w:eastAsia="en-AU"/>
        </w:rPr>
        <w:t>Medicines Advisory Statements Specification 201</w:t>
      </w:r>
      <w:r w:rsidR="00E22DB6">
        <w:rPr>
          <w:rFonts w:ascii="Times New Roman" w:eastAsia="Times New Roman" w:hAnsi="Times New Roman" w:cs="Times New Roman"/>
          <w:i/>
          <w:iCs/>
          <w:sz w:val="24"/>
          <w:szCs w:val="24"/>
          <w:lang w:eastAsia="en-AU"/>
        </w:rPr>
        <w:t>6</w:t>
      </w:r>
      <w:r w:rsidRPr="006E6314">
        <w:rPr>
          <w:rFonts w:ascii="Times New Roman" w:eastAsia="Times New Roman" w:hAnsi="Times New Roman" w:cs="Times New Roman"/>
          <w:sz w:val="24"/>
          <w:szCs w:val="24"/>
          <w:lang w:eastAsia="en-AU"/>
        </w:rPr>
        <w:t xml:space="preserve"> (the </w:t>
      </w:r>
      <w:r w:rsidR="00E22DB6">
        <w:rPr>
          <w:rFonts w:ascii="Times New Roman" w:eastAsia="Times New Roman" w:hAnsi="Times New Roman" w:cs="Times New Roman"/>
          <w:sz w:val="24"/>
          <w:szCs w:val="24"/>
          <w:lang w:eastAsia="en-AU"/>
        </w:rPr>
        <w:t xml:space="preserve">2016 </w:t>
      </w:r>
      <w:r w:rsidRPr="006E6314">
        <w:rPr>
          <w:rFonts w:ascii="Times New Roman" w:eastAsia="Times New Roman" w:hAnsi="Times New Roman" w:cs="Times New Roman"/>
          <w:sz w:val="24"/>
          <w:szCs w:val="24"/>
          <w:lang w:eastAsia="en-AU"/>
        </w:rPr>
        <w:t>Specification) is made by the Minister under s</w:t>
      </w:r>
      <w:r w:rsidR="00B81839">
        <w:rPr>
          <w:rFonts w:ascii="Times New Roman" w:eastAsia="Times New Roman" w:hAnsi="Times New Roman" w:cs="Times New Roman"/>
          <w:sz w:val="24"/>
          <w:szCs w:val="24"/>
          <w:lang w:eastAsia="en-AU"/>
        </w:rPr>
        <w:t xml:space="preserve">ubsection </w:t>
      </w:r>
      <w:r w:rsidRPr="006E6314">
        <w:rPr>
          <w:rFonts w:ascii="Times New Roman" w:eastAsia="Times New Roman" w:hAnsi="Times New Roman" w:cs="Times New Roman"/>
          <w:sz w:val="24"/>
          <w:szCs w:val="24"/>
          <w:lang w:eastAsia="en-AU"/>
        </w:rPr>
        <w:t xml:space="preserve">3(5A) of the </w:t>
      </w:r>
      <w:r w:rsidRPr="006E6314">
        <w:rPr>
          <w:rFonts w:ascii="Times New Roman" w:eastAsia="Times New Roman" w:hAnsi="Times New Roman" w:cs="Times New Roman"/>
          <w:i/>
          <w:iCs/>
          <w:sz w:val="24"/>
          <w:szCs w:val="24"/>
          <w:lang w:eastAsia="en-AU"/>
        </w:rPr>
        <w:t>Therapeutic Goods Act 1989</w:t>
      </w:r>
      <w:r w:rsidR="001F3187">
        <w:rPr>
          <w:rFonts w:ascii="Times New Roman" w:eastAsia="Times New Roman" w:hAnsi="Times New Roman" w:cs="Times New Roman"/>
          <w:sz w:val="24"/>
          <w:szCs w:val="24"/>
          <w:lang w:eastAsia="en-AU"/>
        </w:rPr>
        <w:t xml:space="preserve">, and </w:t>
      </w:r>
      <w:r w:rsidRPr="006E6314">
        <w:rPr>
          <w:rFonts w:ascii="Times New Roman" w:eastAsia="Times New Roman" w:hAnsi="Times New Roman" w:cs="Times New Roman"/>
          <w:sz w:val="24"/>
          <w:szCs w:val="24"/>
          <w:lang w:eastAsia="en-AU"/>
        </w:rPr>
        <w:t xml:space="preserve">sets out advisory statements required to be </w:t>
      </w:r>
      <w:r w:rsidR="001F3187">
        <w:rPr>
          <w:rFonts w:ascii="Times New Roman" w:eastAsia="Times New Roman" w:hAnsi="Times New Roman" w:cs="Times New Roman"/>
          <w:sz w:val="24"/>
          <w:szCs w:val="24"/>
          <w:lang w:eastAsia="en-AU"/>
        </w:rPr>
        <w:t xml:space="preserve">included </w:t>
      </w:r>
      <w:r w:rsidRPr="006E6314">
        <w:rPr>
          <w:rFonts w:ascii="Times New Roman" w:eastAsia="Times New Roman" w:hAnsi="Times New Roman" w:cs="Times New Roman"/>
          <w:sz w:val="24"/>
          <w:szCs w:val="24"/>
          <w:lang w:eastAsia="en-AU"/>
        </w:rPr>
        <w:t xml:space="preserve">on labels of prescribed kinds of medicines (mainly, those </w:t>
      </w:r>
      <w:r w:rsidRPr="006E6314">
        <w:rPr>
          <w:rFonts w:ascii="Times New Roman" w:eastAsia="Times New Roman" w:hAnsi="Times New Roman" w:cs="Times New Roman"/>
          <w:i/>
          <w:iCs/>
          <w:sz w:val="24"/>
          <w:szCs w:val="24"/>
          <w:lang w:eastAsia="en-AU"/>
        </w:rPr>
        <w:t>other than</w:t>
      </w:r>
      <w:r w:rsidRPr="006E6314">
        <w:rPr>
          <w:rFonts w:ascii="Times New Roman" w:eastAsia="Times New Roman" w:hAnsi="Times New Roman" w:cs="Times New Roman"/>
          <w:sz w:val="24"/>
          <w:szCs w:val="24"/>
          <w:lang w:eastAsia="en-AU"/>
        </w:rPr>
        <w:t xml:space="preserve"> prescription medicines or certain medicines used mostly in hospitals, e.g. radiopharmaceuticals). These advisory statements are intended to help consumers be aware of important safety information, and to assist them to make informed decisions on medicine selection and safe use.</w:t>
      </w:r>
    </w:p>
    <w:p w:rsidR="00FC3D24" w:rsidRDefault="001C2DA6" w:rsidP="001C2DA6">
      <w:pPr>
        <w:spacing w:before="120" w:after="120" w:line="240" w:lineRule="auto"/>
        <w:rPr>
          <w:rFonts w:ascii="Times New Roman" w:eastAsia="Times New Roman" w:hAnsi="Times New Roman" w:cs="Times New Roman"/>
          <w:sz w:val="24"/>
          <w:szCs w:val="24"/>
          <w:lang w:val="en-US" w:eastAsia="en-AU"/>
        </w:rPr>
      </w:pPr>
      <w:r w:rsidRPr="0055666B">
        <w:rPr>
          <w:rFonts w:ascii="Times New Roman" w:eastAsia="Times New Roman" w:hAnsi="Times New Roman" w:cs="Times New Roman"/>
          <w:sz w:val="24"/>
          <w:szCs w:val="24"/>
          <w:lang w:val="en-US" w:eastAsia="en-AU"/>
        </w:rPr>
        <w:t xml:space="preserve">The </w:t>
      </w:r>
      <w:r w:rsidRPr="00FC3D24">
        <w:rPr>
          <w:rFonts w:ascii="Times New Roman" w:eastAsia="Times New Roman" w:hAnsi="Times New Roman" w:cs="Times New Roman"/>
          <w:i/>
          <w:sz w:val="24"/>
          <w:szCs w:val="24"/>
          <w:lang w:val="en-US" w:eastAsia="en-AU"/>
        </w:rPr>
        <w:t>Medicines Advisory Statements Specification 201</w:t>
      </w:r>
      <w:r w:rsidR="00E22DB6">
        <w:rPr>
          <w:rFonts w:ascii="Times New Roman" w:eastAsia="Times New Roman" w:hAnsi="Times New Roman" w:cs="Times New Roman"/>
          <w:i/>
          <w:sz w:val="24"/>
          <w:szCs w:val="24"/>
          <w:lang w:val="en-US" w:eastAsia="en-AU"/>
        </w:rPr>
        <w:t>6</w:t>
      </w:r>
      <w:r w:rsidR="00F14B22">
        <w:rPr>
          <w:rFonts w:ascii="Times New Roman" w:eastAsia="Times New Roman" w:hAnsi="Times New Roman" w:cs="Times New Roman"/>
          <w:sz w:val="24"/>
          <w:szCs w:val="24"/>
          <w:lang w:val="en-US" w:eastAsia="en-AU"/>
        </w:rPr>
        <w:t xml:space="preserve"> (the 2016 Specification</w:t>
      </w:r>
      <w:r w:rsidRPr="0055666B">
        <w:rPr>
          <w:rFonts w:ascii="Times New Roman" w:eastAsia="Times New Roman" w:hAnsi="Times New Roman" w:cs="Times New Roman"/>
          <w:sz w:val="24"/>
          <w:szCs w:val="24"/>
          <w:lang w:val="en-US" w:eastAsia="en-AU"/>
        </w:rPr>
        <w:t xml:space="preserve">) </w:t>
      </w:r>
      <w:r w:rsidR="00F14B22">
        <w:rPr>
          <w:rFonts w:ascii="Times New Roman" w:eastAsia="Times New Roman" w:hAnsi="Times New Roman" w:cs="Times New Roman"/>
          <w:sz w:val="24"/>
          <w:szCs w:val="24"/>
          <w:lang w:val="en-US" w:eastAsia="en-AU"/>
        </w:rPr>
        <w:t>is intended to succeed</w:t>
      </w:r>
      <w:r w:rsidRPr="0055666B">
        <w:rPr>
          <w:rFonts w:ascii="Times New Roman" w:eastAsia="Times New Roman" w:hAnsi="Times New Roman" w:cs="Times New Roman"/>
          <w:sz w:val="24"/>
          <w:szCs w:val="24"/>
          <w:lang w:val="en-US" w:eastAsia="en-AU"/>
        </w:rPr>
        <w:t xml:space="preserve"> the previous </w:t>
      </w:r>
      <w:r>
        <w:rPr>
          <w:rFonts w:ascii="Times New Roman" w:eastAsia="Times New Roman" w:hAnsi="Times New Roman" w:cs="Times New Roman"/>
          <w:sz w:val="24"/>
          <w:szCs w:val="24"/>
          <w:lang w:val="en-US" w:eastAsia="en-AU"/>
        </w:rPr>
        <w:t>Specification</w:t>
      </w:r>
      <w:r w:rsidR="00B3119B">
        <w:rPr>
          <w:rFonts w:ascii="Times New Roman" w:eastAsia="Times New Roman" w:hAnsi="Times New Roman" w:cs="Times New Roman"/>
          <w:sz w:val="24"/>
          <w:szCs w:val="24"/>
          <w:lang w:val="en-US" w:eastAsia="en-AU"/>
        </w:rPr>
        <w:t xml:space="preserve"> - t</w:t>
      </w:r>
      <w:r w:rsidRPr="0055666B">
        <w:rPr>
          <w:rFonts w:ascii="Times New Roman" w:eastAsia="Times New Roman" w:hAnsi="Times New Roman" w:cs="Times New Roman"/>
          <w:sz w:val="24"/>
          <w:szCs w:val="24"/>
          <w:lang w:val="en-US" w:eastAsia="en-AU"/>
        </w:rPr>
        <w:t xml:space="preserve">he previous </w:t>
      </w:r>
      <w:r>
        <w:rPr>
          <w:rFonts w:ascii="Times New Roman" w:eastAsia="Times New Roman" w:hAnsi="Times New Roman" w:cs="Times New Roman"/>
          <w:sz w:val="24"/>
          <w:szCs w:val="24"/>
          <w:lang w:val="en-US" w:eastAsia="en-AU"/>
        </w:rPr>
        <w:t>Specification</w:t>
      </w:r>
      <w:r w:rsidRPr="0055666B">
        <w:rPr>
          <w:rFonts w:ascii="Times New Roman" w:eastAsia="Times New Roman" w:hAnsi="Times New Roman" w:cs="Times New Roman"/>
          <w:sz w:val="24"/>
          <w:szCs w:val="24"/>
          <w:lang w:val="en-US" w:eastAsia="en-AU"/>
        </w:rPr>
        <w:t xml:space="preserve"> is the </w:t>
      </w:r>
      <w:r>
        <w:rPr>
          <w:rFonts w:ascii="Times New Roman" w:eastAsia="Times New Roman" w:hAnsi="Times New Roman" w:cs="Times New Roman"/>
          <w:sz w:val="24"/>
          <w:szCs w:val="24"/>
          <w:lang w:val="en-US" w:eastAsia="en-AU"/>
        </w:rPr>
        <w:t>Medicines Advisory Statements Specification</w:t>
      </w:r>
      <w:r w:rsidRPr="0055666B">
        <w:rPr>
          <w:rFonts w:ascii="Times New Roman" w:eastAsia="Times New Roman" w:hAnsi="Times New Roman" w:cs="Times New Roman"/>
          <w:sz w:val="24"/>
          <w:szCs w:val="24"/>
          <w:lang w:val="en-US" w:eastAsia="en-AU"/>
        </w:rPr>
        <w:t xml:space="preserve"> 201</w:t>
      </w:r>
      <w:r w:rsidR="0016218F">
        <w:rPr>
          <w:rFonts w:ascii="Times New Roman" w:eastAsia="Times New Roman" w:hAnsi="Times New Roman" w:cs="Times New Roman"/>
          <w:sz w:val="24"/>
          <w:szCs w:val="24"/>
          <w:lang w:val="en-US" w:eastAsia="en-AU"/>
        </w:rPr>
        <w:t>4</w:t>
      </w:r>
      <w:r w:rsidRPr="0055666B">
        <w:rPr>
          <w:rFonts w:ascii="Times New Roman" w:eastAsia="Times New Roman" w:hAnsi="Times New Roman" w:cs="Times New Roman"/>
          <w:sz w:val="24"/>
          <w:szCs w:val="24"/>
          <w:lang w:val="en-US" w:eastAsia="en-AU"/>
        </w:rPr>
        <w:t xml:space="preserve"> (which commenced on </w:t>
      </w:r>
      <w:r>
        <w:rPr>
          <w:rFonts w:ascii="Times New Roman" w:eastAsia="Times New Roman" w:hAnsi="Times New Roman" w:cs="Times New Roman"/>
          <w:sz w:val="24"/>
          <w:szCs w:val="24"/>
          <w:lang w:val="en-US" w:eastAsia="en-AU"/>
        </w:rPr>
        <w:t>12 June 2014</w:t>
      </w:r>
      <w:r w:rsidRPr="0055666B">
        <w:rPr>
          <w:rFonts w:ascii="Times New Roman" w:eastAsia="Times New Roman" w:hAnsi="Times New Roman" w:cs="Times New Roman"/>
          <w:sz w:val="24"/>
          <w:szCs w:val="24"/>
          <w:lang w:val="en-US" w:eastAsia="en-AU"/>
        </w:rPr>
        <w:t>)</w:t>
      </w:r>
      <w:r w:rsidR="00B81839">
        <w:rPr>
          <w:rFonts w:ascii="Times New Roman" w:eastAsia="Times New Roman" w:hAnsi="Times New Roman" w:cs="Times New Roman"/>
          <w:sz w:val="24"/>
          <w:szCs w:val="24"/>
          <w:lang w:val="en-US" w:eastAsia="en-AU"/>
        </w:rPr>
        <w:t xml:space="preserve"> (the 2014 Specification)</w:t>
      </w:r>
      <w:r w:rsidR="00FC3D24">
        <w:rPr>
          <w:rFonts w:ascii="Times New Roman" w:eastAsia="Times New Roman" w:hAnsi="Times New Roman" w:cs="Times New Roman"/>
          <w:sz w:val="24"/>
          <w:szCs w:val="24"/>
          <w:lang w:val="en-US" w:eastAsia="en-AU"/>
        </w:rPr>
        <w:t xml:space="preserve">, as amended by the </w:t>
      </w:r>
      <w:r w:rsidR="00FC3D24" w:rsidRPr="00FC3D24">
        <w:rPr>
          <w:rFonts w:ascii="Times New Roman" w:eastAsia="Times New Roman" w:hAnsi="Times New Roman" w:cs="Times New Roman"/>
          <w:i/>
          <w:sz w:val="24"/>
          <w:szCs w:val="24"/>
          <w:lang w:val="en-US" w:eastAsia="en-AU"/>
        </w:rPr>
        <w:t>Medicines Advisory Statements Amendment Specification 2015 (No.1</w:t>
      </w:r>
      <w:r w:rsidR="00FC3D24">
        <w:rPr>
          <w:rFonts w:ascii="Times New Roman" w:eastAsia="Times New Roman" w:hAnsi="Times New Roman" w:cs="Times New Roman"/>
          <w:sz w:val="24"/>
          <w:szCs w:val="24"/>
          <w:lang w:val="en-US" w:eastAsia="en-AU"/>
        </w:rPr>
        <w:t>)</w:t>
      </w:r>
      <w:r w:rsidRPr="0055666B">
        <w:rPr>
          <w:rFonts w:ascii="Times New Roman" w:eastAsia="Times New Roman" w:hAnsi="Times New Roman" w:cs="Times New Roman"/>
          <w:sz w:val="24"/>
          <w:szCs w:val="24"/>
          <w:lang w:val="en-US" w:eastAsia="en-AU"/>
        </w:rPr>
        <w:t>.</w:t>
      </w:r>
      <w:r>
        <w:rPr>
          <w:rFonts w:ascii="Times New Roman" w:eastAsia="Times New Roman" w:hAnsi="Times New Roman" w:cs="Times New Roman"/>
          <w:sz w:val="24"/>
          <w:szCs w:val="24"/>
          <w:lang w:val="en-US" w:eastAsia="en-AU"/>
        </w:rPr>
        <w:t xml:space="preserve"> </w:t>
      </w:r>
    </w:p>
    <w:p w:rsidR="00B81839" w:rsidRDefault="00B81839" w:rsidP="0097295E">
      <w:pPr>
        <w:spacing w:before="120"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Under the 2014 Specification, medicine sponsors must comply with Schedule 1 of that Specification in relation to the labels of their products</w:t>
      </w:r>
      <w:r w:rsidR="001F3187" w:rsidRPr="001F3187">
        <w:rPr>
          <w:rFonts w:ascii="Times New Roman" w:eastAsia="Times New Roman" w:hAnsi="Times New Roman" w:cs="Times New Roman"/>
          <w:sz w:val="24"/>
          <w:szCs w:val="24"/>
          <w:lang w:eastAsia="en-AU"/>
        </w:rPr>
        <w:t xml:space="preserve"> </w:t>
      </w:r>
      <w:r w:rsidR="001F3187">
        <w:rPr>
          <w:rFonts w:ascii="Times New Roman" w:eastAsia="Times New Roman" w:hAnsi="Times New Roman" w:cs="Times New Roman"/>
          <w:sz w:val="24"/>
          <w:szCs w:val="24"/>
          <w:lang w:eastAsia="en-AU"/>
        </w:rPr>
        <w:t>for the first 18 months after it commenced on 12 June 2014</w:t>
      </w:r>
      <w:r>
        <w:rPr>
          <w:rFonts w:ascii="Times New Roman" w:eastAsia="Times New Roman" w:hAnsi="Times New Roman" w:cs="Times New Roman"/>
          <w:sz w:val="24"/>
          <w:szCs w:val="24"/>
          <w:lang w:eastAsia="en-AU"/>
        </w:rPr>
        <w:t xml:space="preserve">.  Schedule 1 of that Specification consists of the edition of the </w:t>
      </w:r>
      <w:r w:rsidRPr="006E6314">
        <w:rPr>
          <w:rFonts w:ascii="Times New Roman" w:eastAsia="Times New Roman" w:hAnsi="Times New Roman" w:cs="Times New Roman"/>
          <w:sz w:val="24"/>
          <w:szCs w:val="24"/>
          <w:lang w:eastAsia="en-AU"/>
        </w:rPr>
        <w:t xml:space="preserve">TGA document the </w:t>
      </w:r>
      <w:r>
        <w:rPr>
          <w:rFonts w:ascii="Times New Roman" w:eastAsia="Times New Roman" w:hAnsi="Times New Roman" w:cs="Times New Roman"/>
          <w:sz w:val="24"/>
          <w:szCs w:val="24"/>
          <w:lang w:eastAsia="en-AU"/>
        </w:rPr>
        <w:t>‘</w:t>
      </w:r>
      <w:r w:rsidRPr="006E6314">
        <w:rPr>
          <w:rFonts w:ascii="Times New Roman" w:eastAsia="Times New Roman" w:hAnsi="Times New Roman" w:cs="Times New Roman"/>
          <w:sz w:val="24"/>
          <w:szCs w:val="24"/>
          <w:lang w:eastAsia="en-AU"/>
        </w:rPr>
        <w:t>Required Advisory Statements for Medicine Labels</w:t>
      </w:r>
      <w:r>
        <w:rPr>
          <w:rFonts w:ascii="Times New Roman" w:eastAsia="Times New Roman" w:hAnsi="Times New Roman" w:cs="Times New Roman"/>
          <w:sz w:val="24"/>
          <w:szCs w:val="24"/>
          <w:lang w:eastAsia="en-AU"/>
        </w:rPr>
        <w:t>’ (</w:t>
      </w:r>
      <w:r w:rsidRPr="006E6314">
        <w:rPr>
          <w:rFonts w:ascii="Times New Roman" w:eastAsia="Times New Roman" w:hAnsi="Times New Roman" w:cs="Times New Roman"/>
          <w:sz w:val="24"/>
          <w:szCs w:val="24"/>
          <w:lang w:eastAsia="en-AU"/>
        </w:rPr>
        <w:t>RASML)</w:t>
      </w:r>
      <w:r>
        <w:rPr>
          <w:rFonts w:ascii="Times New Roman" w:eastAsia="Times New Roman" w:hAnsi="Times New Roman" w:cs="Times New Roman"/>
          <w:sz w:val="24"/>
          <w:szCs w:val="24"/>
          <w:lang w:eastAsia="en-AU"/>
        </w:rPr>
        <w:t xml:space="preserve"> cited as RASML 1, dated September 2008.  After that initial 18 month period, sponsors must then comply with Schedule 2 of the 2014 Specification.  Schedule 2 principally consists of RASML 2 – being, the RASML as amended by “Update 5” and “Update 6” of th</w:t>
      </w:r>
      <w:r w:rsidR="00D541F7">
        <w:rPr>
          <w:rFonts w:ascii="Times New Roman" w:eastAsia="Times New Roman" w:hAnsi="Times New Roman" w:cs="Times New Roman"/>
          <w:sz w:val="24"/>
          <w:szCs w:val="24"/>
          <w:lang w:eastAsia="en-AU"/>
        </w:rPr>
        <w:t>at document, which were released</w:t>
      </w:r>
      <w:r>
        <w:rPr>
          <w:rFonts w:ascii="Times New Roman" w:eastAsia="Times New Roman" w:hAnsi="Times New Roman" w:cs="Times New Roman"/>
          <w:sz w:val="24"/>
          <w:szCs w:val="24"/>
          <w:lang w:eastAsia="en-AU"/>
        </w:rPr>
        <w:t xml:space="preserve"> for public comment in 2009 and 2011, respectively.  Sponsors may, however, comply with Schedule 2 during that initial 18 month period if they wish to do so.</w:t>
      </w:r>
    </w:p>
    <w:p w:rsidR="00B81839" w:rsidRDefault="00B81839" w:rsidP="00B81839">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On 12 December 2015, the initial 18 month period from the commencement of the 2014 Specification ends, with the effect that sponsors will only have the option of complying with </w:t>
      </w:r>
      <w:r w:rsidR="00D541F7">
        <w:rPr>
          <w:rFonts w:ascii="Times New Roman" w:eastAsia="Times New Roman" w:hAnsi="Times New Roman" w:cs="Times New Roman"/>
          <w:sz w:val="24"/>
          <w:szCs w:val="24"/>
          <w:lang w:eastAsia="en-AU"/>
        </w:rPr>
        <w:t>Schedule 2 of the 2014 Specification</w:t>
      </w:r>
      <w:r>
        <w:rPr>
          <w:rFonts w:ascii="Times New Roman" w:eastAsia="Times New Roman" w:hAnsi="Times New Roman" w:cs="Times New Roman"/>
          <w:sz w:val="24"/>
          <w:szCs w:val="24"/>
          <w:lang w:eastAsia="en-AU"/>
        </w:rPr>
        <w:t xml:space="preserve"> in relation to their medicine labels after that date.  </w:t>
      </w:r>
    </w:p>
    <w:p w:rsidR="00B81839" w:rsidRPr="0055666B" w:rsidRDefault="00B81839" w:rsidP="00B81839">
      <w:pPr>
        <w:spacing w:before="100" w:beforeAutospacing="1" w:after="100" w:afterAutospacing="1"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eastAsia="en-AU"/>
        </w:rPr>
        <w:t>The 2016 Specification, however, giv</w:t>
      </w:r>
      <w:r w:rsidR="00320913">
        <w:rPr>
          <w:rFonts w:ascii="Times New Roman" w:eastAsia="Times New Roman" w:hAnsi="Times New Roman" w:cs="Times New Roman"/>
          <w:sz w:val="24"/>
          <w:szCs w:val="24"/>
          <w:lang w:eastAsia="en-AU"/>
        </w:rPr>
        <w:t>es sponsors the option of complying either with RASML 2 (i.e. the version of the RASML currently in Schedule 2 of the 2014 Specification),</w:t>
      </w:r>
      <w:r w:rsidR="00320913" w:rsidRPr="006E6314">
        <w:rPr>
          <w:rFonts w:ascii="Times New Roman" w:eastAsia="Times New Roman" w:hAnsi="Times New Roman" w:cs="Times New Roman"/>
          <w:sz w:val="24"/>
          <w:szCs w:val="24"/>
          <w:lang w:eastAsia="en-AU"/>
        </w:rPr>
        <w:t xml:space="preserve"> </w:t>
      </w:r>
      <w:r w:rsidR="00320913">
        <w:rPr>
          <w:rFonts w:ascii="Times New Roman" w:eastAsia="Times New Roman" w:hAnsi="Times New Roman" w:cs="Times New Roman"/>
          <w:sz w:val="24"/>
          <w:szCs w:val="24"/>
          <w:lang w:eastAsia="en-AU"/>
        </w:rPr>
        <w:t>or new RASML 3, in</w:t>
      </w:r>
      <w:r>
        <w:rPr>
          <w:rFonts w:ascii="Times New Roman" w:eastAsia="Times New Roman" w:hAnsi="Times New Roman" w:cs="Times New Roman"/>
          <w:sz w:val="24"/>
          <w:szCs w:val="24"/>
          <w:lang w:eastAsia="en-AU"/>
        </w:rPr>
        <w:t xml:space="preserve"> the first 18 months after its commencement on 1 January 2016.</w:t>
      </w:r>
    </w:p>
    <w:p w:rsidR="00B3119B" w:rsidRDefault="00B81839" w:rsidP="00B81839">
      <w:pPr>
        <w:spacing w:before="120"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val="en-US" w:eastAsia="en-AU"/>
        </w:rPr>
        <w:t>RASML 3 incorpor</w:t>
      </w:r>
      <w:r w:rsidR="00D541F7">
        <w:rPr>
          <w:rFonts w:ascii="Times New Roman" w:eastAsia="Times New Roman" w:hAnsi="Times New Roman" w:cs="Times New Roman"/>
          <w:sz w:val="24"/>
          <w:szCs w:val="24"/>
          <w:lang w:val="en-US" w:eastAsia="en-AU"/>
        </w:rPr>
        <w:t xml:space="preserve">ates a number of new changes </w:t>
      </w:r>
      <w:r>
        <w:rPr>
          <w:rFonts w:ascii="Times New Roman" w:eastAsia="Times New Roman" w:hAnsi="Times New Roman" w:cs="Times New Roman"/>
          <w:sz w:val="24"/>
          <w:szCs w:val="24"/>
          <w:lang w:val="en-US" w:eastAsia="en-AU"/>
        </w:rPr>
        <w:t xml:space="preserve">compared with RASML 2.  These changes, which were canvassed with industry on various dates </w:t>
      </w:r>
      <w:r w:rsidR="00D541F7">
        <w:rPr>
          <w:rFonts w:ascii="Times New Roman" w:eastAsia="Times New Roman" w:hAnsi="Times New Roman" w:cs="Times New Roman"/>
          <w:sz w:val="24"/>
          <w:szCs w:val="24"/>
          <w:lang w:val="en-US" w:eastAsia="en-AU"/>
        </w:rPr>
        <w:t>between</w:t>
      </w:r>
      <w:r>
        <w:rPr>
          <w:rFonts w:ascii="Times New Roman" w:eastAsia="Times New Roman" w:hAnsi="Times New Roman" w:cs="Times New Roman"/>
          <w:sz w:val="24"/>
          <w:szCs w:val="24"/>
          <w:lang w:val="en-US" w:eastAsia="en-AU"/>
        </w:rPr>
        <w:t xml:space="preserve"> November 2013 and October </w:t>
      </w:r>
      <w:r>
        <w:rPr>
          <w:rFonts w:ascii="Times New Roman" w:eastAsia="Times New Roman" w:hAnsi="Times New Roman" w:cs="Times New Roman"/>
          <w:sz w:val="24"/>
          <w:szCs w:val="24"/>
          <w:lang w:val="en-US" w:eastAsia="en-AU"/>
        </w:rPr>
        <w:lastRenderedPageBreak/>
        <w:t xml:space="preserve">2015, consist of amendments to </w:t>
      </w:r>
      <w:r w:rsidR="00D541F7">
        <w:rPr>
          <w:rFonts w:ascii="Times New Roman" w:eastAsia="Times New Roman" w:hAnsi="Times New Roman" w:cs="Times New Roman"/>
          <w:sz w:val="24"/>
          <w:szCs w:val="24"/>
          <w:lang w:val="en-US" w:eastAsia="en-AU"/>
        </w:rPr>
        <w:t xml:space="preserve">existing </w:t>
      </w:r>
      <w:r>
        <w:rPr>
          <w:rFonts w:ascii="Times New Roman" w:eastAsia="Times New Roman" w:hAnsi="Times New Roman" w:cs="Times New Roman"/>
          <w:sz w:val="24"/>
          <w:szCs w:val="24"/>
          <w:lang w:val="en-US" w:eastAsia="en-AU"/>
        </w:rPr>
        <w:t>advisory statements</w:t>
      </w:r>
      <w:r w:rsidR="00D541F7">
        <w:rPr>
          <w:rFonts w:ascii="Times New Roman" w:eastAsia="Times New Roman" w:hAnsi="Times New Roman" w:cs="Times New Roman"/>
          <w:sz w:val="24"/>
          <w:szCs w:val="24"/>
          <w:lang w:val="en-US" w:eastAsia="en-AU"/>
        </w:rPr>
        <w:t>,</w:t>
      </w:r>
      <w:r>
        <w:rPr>
          <w:rFonts w:ascii="Times New Roman" w:eastAsia="Times New Roman" w:hAnsi="Times New Roman" w:cs="Times New Roman"/>
          <w:sz w:val="24"/>
          <w:szCs w:val="24"/>
          <w:lang w:val="en-US" w:eastAsia="en-AU"/>
        </w:rPr>
        <w:t xml:space="preserve"> </w:t>
      </w:r>
      <w:r w:rsidR="00D541F7">
        <w:rPr>
          <w:rFonts w:ascii="Times New Roman" w:eastAsia="Times New Roman" w:hAnsi="Times New Roman" w:cs="Times New Roman"/>
          <w:sz w:val="24"/>
          <w:szCs w:val="24"/>
          <w:lang w:val="en-US" w:eastAsia="en-AU"/>
        </w:rPr>
        <w:t>and</w:t>
      </w:r>
      <w:r>
        <w:rPr>
          <w:rFonts w:ascii="Times New Roman" w:eastAsia="Times New Roman" w:hAnsi="Times New Roman" w:cs="Times New Roman"/>
          <w:sz w:val="24"/>
          <w:szCs w:val="24"/>
          <w:lang w:val="en-US" w:eastAsia="en-AU"/>
        </w:rPr>
        <w:t xml:space="preserve"> the introduction of number of new advisory statements for substances not previously included in the </w:t>
      </w:r>
      <w:r w:rsidR="00D541F7">
        <w:rPr>
          <w:rFonts w:ascii="Times New Roman" w:eastAsia="Times New Roman" w:hAnsi="Times New Roman" w:cs="Times New Roman"/>
          <w:sz w:val="24"/>
          <w:szCs w:val="24"/>
          <w:lang w:val="en-US" w:eastAsia="en-AU"/>
        </w:rPr>
        <w:t>2014</w:t>
      </w:r>
      <w:r>
        <w:rPr>
          <w:rFonts w:ascii="Times New Roman" w:eastAsia="Times New Roman" w:hAnsi="Times New Roman" w:cs="Times New Roman"/>
          <w:sz w:val="24"/>
          <w:szCs w:val="24"/>
          <w:lang w:val="en-US" w:eastAsia="en-AU"/>
        </w:rPr>
        <w:t xml:space="preserve"> Specification</w:t>
      </w:r>
      <w:r w:rsidR="00D541F7">
        <w:rPr>
          <w:rFonts w:ascii="Times New Roman" w:eastAsia="Times New Roman" w:hAnsi="Times New Roman" w:cs="Times New Roman"/>
          <w:sz w:val="24"/>
          <w:szCs w:val="24"/>
          <w:lang w:val="en-US" w:eastAsia="en-AU"/>
        </w:rPr>
        <w:t>.</w:t>
      </w:r>
    </w:p>
    <w:p w:rsidR="00B3119B" w:rsidRDefault="00B3119B" w:rsidP="001C2DA6">
      <w:pPr>
        <w:spacing w:before="120" w:after="120" w:line="240" w:lineRule="auto"/>
        <w:rPr>
          <w:rFonts w:ascii="Times New Roman" w:eastAsia="Times New Roman" w:hAnsi="Times New Roman" w:cs="Times New Roman"/>
          <w:sz w:val="24"/>
          <w:szCs w:val="24"/>
          <w:lang w:eastAsia="en-AU"/>
        </w:rPr>
      </w:pPr>
    </w:p>
    <w:p w:rsidR="006E6314" w:rsidRPr="006E6314" w:rsidRDefault="006E6314" w:rsidP="006E6314">
      <w:pPr>
        <w:spacing w:before="120" w:after="120" w:line="240" w:lineRule="auto"/>
        <w:rPr>
          <w:rFonts w:ascii="Times New Roman" w:eastAsia="Times New Roman" w:hAnsi="Times New Roman" w:cs="Times New Roman"/>
          <w:sz w:val="24"/>
          <w:szCs w:val="24"/>
          <w:lang w:val="en-US" w:eastAsia="en-AU"/>
        </w:rPr>
      </w:pPr>
      <w:r w:rsidRPr="006E6314">
        <w:rPr>
          <w:rFonts w:ascii="Times New Roman" w:eastAsia="Times New Roman" w:hAnsi="Times New Roman" w:cs="Times New Roman"/>
          <w:b/>
          <w:bCs/>
          <w:sz w:val="24"/>
          <w:szCs w:val="24"/>
          <w:lang w:eastAsia="en-AU"/>
        </w:rPr>
        <w:t>Human rights implications</w:t>
      </w:r>
    </w:p>
    <w:p w:rsidR="006E6314" w:rsidRPr="006E6314" w:rsidRDefault="006E6314" w:rsidP="006E6314">
      <w:pPr>
        <w:spacing w:before="120" w:after="120" w:line="240" w:lineRule="auto"/>
        <w:rPr>
          <w:rFonts w:ascii="Times New Roman" w:eastAsia="Times New Roman" w:hAnsi="Times New Roman" w:cs="Times New Roman"/>
          <w:sz w:val="24"/>
          <w:szCs w:val="24"/>
          <w:lang w:val="en-US" w:eastAsia="en-AU"/>
        </w:rPr>
      </w:pPr>
      <w:r w:rsidRPr="006E6314">
        <w:rPr>
          <w:rFonts w:ascii="Times New Roman" w:eastAsia="Times New Roman" w:hAnsi="Times New Roman" w:cs="Times New Roman"/>
          <w:sz w:val="24"/>
          <w:szCs w:val="24"/>
          <w:lang w:eastAsia="en-AU"/>
        </w:rPr>
        <w:t>This legislative instrument does not engage any of the applicable rights or freedoms.</w:t>
      </w:r>
    </w:p>
    <w:p w:rsidR="00D541F7" w:rsidRDefault="00D541F7" w:rsidP="006E6314">
      <w:pPr>
        <w:spacing w:before="120" w:after="120" w:line="240" w:lineRule="auto"/>
        <w:rPr>
          <w:rFonts w:ascii="Times New Roman" w:eastAsia="Times New Roman" w:hAnsi="Times New Roman" w:cs="Times New Roman"/>
          <w:b/>
          <w:bCs/>
          <w:sz w:val="24"/>
          <w:szCs w:val="24"/>
          <w:lang w:eastAsia="en-AU"/>
        </w:rPr>
      </w:pPr>
    </w:p>
    <w:p w:rsidR="006E6314" w:rsidRPr="006E6314" w:rsidRDefault="006E6314" w:rsidP="006E6314">
      <w:pPr>
        <w:spacing w:before="120" w:after="120" w:line="240" w:lineRule="auto"/>
        <w:rPr>
          <w:rFonts w:ascii="Times New Roman" w:eastAsia="Times New Roman" w:hAnsi="Times New Roman" w:cs="Times New Roman"/>
          <w:sz w:val="24"/>
          <w:szCs w:val="24"/>
          <w:lang w:val="en-US" w:eastAsia="en-AU"/>
        </w:rPr>
      </w:pPr>
      <w:r w:rsidRPr="006E6314">
        <w:rPr>
          <w:rFonts w:ascii="Times New Roman" w:eastAsia="Times New Roman" w:hAnsi="Times New Roman" w:cs="Times New Roman"/>
          <w:b/>
          <w:bCs/>
          <w:sz w:val="24"/>
          <w:szCs w:val="24"/>
          <w:lang w:eastAsia="en-AU"/>
        </w:rPr>
        <w:t>Conclusion</w:t>
      </w:r>
    </w:p>
    <w:p w:rsidR="006E6314" w:rsidRPr="006E6314" w:rsidRDefault="006E6314" w:rsidP="006E6314">
      <w:pPr>
        <w:spacing w:before="120" w:after="120" w:line="240" w:lineRule="auto"/>
        <w:rPr>
          <w:rFonts w:ascii="Times New Roman" w:eastAsia="Times New Roman" w:hAnsi="Times New Roman" w:cs="Times New Roman"/>
          <w:sz w:val="24"/>
          <w:szCs w:val="24"/>
          <w:lang w:val="en-US" w:eastAsia="en-AU"/>
        </w:rPr>
      </w:pPr>
      <w:r w:rsidRPr="006E6314">
        <w:rPr>
          <w:rFonts w:ascii="Times New Roman" w:eastAsia="Times New Roman" w:hAnsi="Times New Roman" w:cs="Times New Roman"/>
          <w:sz w:val="24"/>
          <w:szCs w:val="24"/>
          <w:lang w:eastAsia="en-AU"/>
        </w:rPr>
        <w:t>This legislative instrument is compatible with human rights as it does not raise any human rights issues.</w:t>
      </w:r>
    </w:p>
    <w:p w:rsidR="00510702" w:rsidRDefault="00510702" w:rsidP="006E6314">
      <w:pPr>
        <w:spacing w:before="120" w:after="120" w:line="240" w:lineRule="auto"/>
        <w:rPr>
          <w:rFonts w:ascii="Times New Roman" w:eastAsia="Times New Roman" w:hAnsi="Times New Roman" w:cs="Times New Roman"/>
          <w:b/>
          <w:bCs/>
          <w:sz w:val="24"/>
          <w:szCs w:val="24"/>
          <w:lang w:eastAsia="en-AU"/>
        </w:rPr>
      </w:pPr>
    </w:p>
    <w:p w:rsidR="006E6314" w:rsidRPr="006E6314" w:rsidRDefault="00510702" w:rsidP="006E6314">
      <w:pPr>
        <w:spacing w:before="120" w:after="120"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t>Mary McDonald</w:t>
      </w:r>
      <w:r w:rsidR="006E6314" w:rsidRPr="006E6314">
        <w:rPr>
          <w:rFonts w:ascii="Times New Roman" w:eastAsia="Times New Roman" w:hAnsi="Times New Roman" w:cs="Times New Roman"/>
          <w:b/>
          <w:bCs/>
          <w:sz w:val="24"/>
          <w:szCs w:val="24"/>
          <w:lang w:eastAsia="en-AU"/>
        </w:rPr>
        <w:t>, delegate of the Minister for Health</w:t>
      </w:r>
    </w:p>
    <w:p w:rsidR="00652E0E" w:rsidRDefault="006E6314" w:rsidP="0097295E">
      <w:pPr>
        <w:spacing w:before="120" w:after="120" w:line="240" w:lineRule="auto"/>
        <w:ind w:hanging="1797"/>
      </w:pPr>
      <w:r w:rsidRPr="006E6314">
        <w:rPr>
          <w:rFonts w:ascii="Arial" w:eastAsia="Times New Roman" w:hAnsi="Arial" w:cs="Arial"/>
          <w:i/>
          <w:iCs/>
          <w:sz w:val="19"/>
          <w:szCs w:val="19"/>
          <w:lang w:eastAsia="en-AU"/>
        </w:rPr>
        <w:t> </w:t>
      </w:r>
    </w:p>
    <w:sectPr w:rsidR="00652E0E" w:rsidSect="00B21812">
      <w:head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812" w:rsidRDefault="00B21812" w:rsidP="00B21812">
      <w:pPr>
        <w:spacing w:after="0" w:line="240" w:lineRule="auto"/>
      </w:pPr>
      <w:r>
        <w:separator/>
      </w:r>
    </w:p>
  </w:endnote>
  <w:endnote w:type="continuationSeparator" w:id="0">
    <w:p w:rsidR="00B21812" w:rsidRDefault="00B21812" w:rsidP="00B21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812" w:rsidRDefault="00B21812" w:rsidP="00B21812">
      <w:pPr>
        <w:spacing w:after="0" w:line="240" w:lineRule="auto"/>
      </w:pPr>
      <w:r>
        <w:separator/>
      </w:r>
    </w:p>
  </w:footnote>
  <w:footnote w:type="continuationSeparator" w:id="0">
    <w:p w:rsidR="00B21812" w:rsidRDefault="00B21812" w:rsidP="00B21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23414"/>
      <w:docPartObj>
        <w:docPartGallery w:val="Page Numbers (Top of Page)"/>
        <w:docPartUnique/>
      </w:docPartObj>
    </w:sdtPr>
    <w:sdtEndPr>
      <w:rPr>
        <w:noProof/>
      </w:rPr>
    </w:sdtEndPr>
    <w:sdtContent>
      <w:p w:rsidR="00B21812" w:rsidRDefault="00B21812">
        <w:pPr>
          <w:pStyle w:val="Header"/>
          <w:jc w:val="center"/>
        </w:pPr>
        <w:r>
          <w:fldChar w:fldCharType="begin"/>
        </w:r>
        <w:r>
          <w:instrText xml:space="preserve"> PAGE   \* MERGEFORMAT </w:instrText>
        </w:r>
        <w:r>
          <w:fldChar w:fldCharType="separate"/>
        </w:r>
        <w:r w:rsidR="0072153E">
          <w:rPr>
            <w:noProof/>
          </w:rPr>
          <w:t>5</w:t>
        </w:r>
        <w:r>
          <w:rPr>
            <w:noProof/>
          </w:rPr>
          <w:fldChar w:fldCharType="end"/>
        </w:r>
      </w:p>
    </w:sdtContent>
  </w:sdt>
  <w:p w:rsidR="00B21812" w:rsidRDefault="00B218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4E7819"/>
    <w:multiLevelType w:val="multilevel"/>
    <w:tmpl w:val="47865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314"/>
    <w:rsid w:val="000F3259"/>
    <w:rsid w:val="00116A91"/>
    <w:rsid w:val="0016218F"/>
    <w:rsid w:val="001A6503"/>
    <w:rsid w:val="001C2DA6"/>
    <w:rsid w:val="001F3187"/>
    <w:rsid w:val="002234D6"/>
    <w:rsid w:val="002F4550"/>
    <w:rsid w:val="00320913"/>
    <w:rsid w:val="00365EE7"/>
    <w:rsid w:val="00377699"/>
    <w:rsid w:val="003B1AA2"/>
    <w:rsid w:val="003C08D0"/>
    <w:rsid w:val="003F5198"/>
    <w:rsid w:val="00401129"/>
    <w:rsid w:val="00434104"/>
    <w:rsid w:val="00464D05"/>
    <w:rsid w:val="00510702"/>
    <w:rsid w:val="0055666B"/>
    <w:rsid w:val="005B7610"/>
    <w:rsid w:val="00652E0E"/>
    <w:rsid w:val="00672214"/>
    <w:rsid w:val="00681D2C"/>
    <w:rsid w:val="006A417A"/>
    <w:rsid w:val="006E6314"/>
    <w:rsid w:val="0072153E"/>
    <w:rsid w:val="00740DD6"/>
    <w:rsid w:val="0074371B"/>
    <w:rsid w:val="00746508"/>
    <w:rsid w:val="00792B20"/>
    <w:rsid w:val="007F58BF"/>
    <w:rsid w:val="00837450"/>
    <w:rsid w:val="008A28C7"/>
    <w:rsid w:val="008B49D5"/>
    <w:rsid w:val="00904123"/>
    <w:rsid w:val="0097295E"/>
    <w:rsid w:val="00A109A2"/>
    <w:rsid w:val="00A60380"/>
    <w:rsid w:val="00A74869"/>
    <w:rsid w:val="00A7532E"/>
    <w:rsid w:val="00AA2711"/>
    <w:rsid w:val="00AE45E4"/>
    <w:rsid w:val="00B01312"/>
    <w:rsid w:val="00B21812"/>
    <w:rsid w:val="00B26E36"/>
    <w:rsid w:val="00B306E3"/>
    <w:rsid w:val="00B3119B"/>
    <w:rsid w:val="00B81839"/>
    <w:rsid w:val="00BA06EB"/>
    <w:rsid w:val="00BC08F7"/>
    <w:rsid w:val="00BE3D96"/>
    <w:rsid w:val="00C140F0"/>
    <w:rsid w:val="00C962DC"/>
    <w:rsid w:val="00D00D5D"/>
    <w:rsid w:val="00D377C0"/>
    <w:rsid w:val="00D52522"/>
    <w:rsid w:val="00D541F7"/>
    <w:rsid w:val="00E22DB6"/>
    <w:rsid w:val="00E53D37"/>
    <w:rsid w:val="00E8218F"/>
    <w:rsid w:val="00E943FD"/>
    <w:rsid w:val="00EC0C6C"/>
    <w:rsid w:val="00F14B22"/>
    <w:rsid w:val="00F172AE"/>
    <w:rsid w:val="00F52D87"/>
    <w:rsid w:val="00F66147"/>
    <w:rsid w:val="00FA0BFF"/>
    <w:rsid w:val="00FA4CE6"/>
    <w:rsid w:val="00FC3D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31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6E631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rsid w:val="006E6314"/>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1A6503"/>
    <w:rPr>
      <w:color w:val="0000FF"/>
      <w:u w:val="single"/>
    </w:rPr>
  </w:style>
  <w:style w:type="character" w:styleId="FollowedHyperlink">
    <w:name w:val="FollowedHyperlink"/>
    <w:basedOn w:val="DefaultParagraphFont"/>
    <w:uiPriority w:val="99"/>
    <w:semiHidden/>
    <w:unhideWhenUsed/>
    <w:rsid w:val="00E8218F"/>
    <w:rPr>
      <w:color w:val="800080" w:themeColor="followedHyperlink"/>
      <w:u w:val="single"/>
    </w:rPr>
  </w:style>
  <w:style w:type="paragraph" w:styleId="BalloonText">
    <w:name w:val="Balloon Text"/>
    <w:basedOn w:val="Normal"/>
    <w:link w:val="BalloonTextChar"/>
    <w:uiPriority w:val="99"/>
    <w:semiHidden/>
    <w:unhideWhenUsed/>
    <w:rsid w:val="00A10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9A2"/>
    <w:rPr>
      <w:rFonts w:ascii="Tahoma" w:hAnsi="Tahoma" w:cs="Tahoma"/>
      <w:sz w:val="16"/>
      <w:szCs w:val="16"/>
    </w:rPr>
  </w:style>
  <w:style w:type="character" w:styleId="CommentReference">
    <w:name w:val="annotation reference"/>
    <w:basedOn w:val="DefaultParagraphFont"/>
    <w:uiPriority w:val="99"/>
    <w:semiHidden/>
    <w:unhideWhenUsed/>
    <w:rsid w:val="00672214"/>
    <w:rPr>
      <w:sz w:val="16"/>
      <w:szCs w:val="16"/>
    </w:rPr>
  </w:style>
  <w:style w:type="paragraph" w:styleId="CommentText">
    <w:name w:val="annotation text"/>
    <w:basedOn w:val="Normal"/>
    <w:link w:val="CommentTextChar"/>
    <w:uiPriority w:val="99"/>
    <w:semiHidden/>
    <w:unhideWhenUsed/>
    <w:rsid w:val="00672214"/>
    <w:pPr>
      <w:spacing w:line="240" w:lineRule="auto"/>
    </w:pPr>
    <w:rPr>
      <w:sz w:val="20"/>
      <w:szCs w:val="20"/>
    </w:rPr>
  </w:style>
  <w:style w:type="character" w:customStyle="1" w:styleId="CommentTextChar">
    <w:name w:val="Comment Text Char"/>
    <w:basedOn w:val="DefaultParagraphFont"/>
    <w:link w:val="CommentText"/>
    <w:uiPriority w:val="99"/>
    <w:semiHidden/>
    <w:rsid w:val="00672214"/>
    <w:rPr>
      <w:sz w:val="20"/>
      <w:szCs w:val="20"/>
    </w:rPr>
  </w:style>
  <w:style w:type="paragraph" w:styleId="CommentSubject">
    <w:name w:val="annotation subject"/>
    <w:basedOn w:val="CommentText"/>
    <w:next w:val="CommentText"/>
    <w:link w:val="CommentSubjectChar"/>
    <w:uiPriority w:val="99"/>
    <w:semiHidden/>
    <w:unhideWhenUsed/>
    <w:rsid w:val="00672214"/>
    <w:rPr>
      <w:b/>
      <w:bCs/>
    </w:rPr>
  </w:style>
  <w:style w:type="character" w:customStyle="1" w:styleId="CommentSubjectChar">
    <w:name w:val="Comment Subject Char"/>
    <w:basedOn w:val="CommentTextChar"/>
    <w:link w:val="CommentSubject"/>
    <w:uiPriority w:val="99"/>
    <w:semiHidden/>
    <w:rsid w:val="00672214"/>
    <w:rPr>
      <w:b/>
      <w:bCs/>
      <w:sz w:val="20"/>
      <w:szCs w:val="20"/>
    </w:rPr>
  </w:style>
  <w:style w:type="paragraph" w:styleId="Footer">
    <w:name w:val="footer"/>
    <w:basedOn w:val="Normal"/>
    <w:link w:val="FooterChar"/>
    <w:uiPriority w:val="99"/>
    <w:unhideWhenUsed/>
    <w:rsid w:val="00B218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8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31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6E631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rsid w:val="006E6314"/>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1A6503"/>
    <w:rPr>
      <w:color w:val="0000FF"/>
      <w:u w:val="single"/>
    </w:rPr>
  </w:style>
  <w:style w:type="character" w:styleId="FollowedHyperlink">
    <w:name w:val="FollowedHyperlink"/>
    <w:basedOn w:val="DefaultParagraphFont"/>
    <w:uiPriority w:val="99"/>
    <w:semiHidden/>
    <w:unhideWhenUsed/>
    <w:rsid w:val="00E8218F"/>
    <w:rPr>
      <w:color w:val="800080" w:themeColor="followedHyperlink"/>
      <w:u w:val="single"/>
    </w:rPr>
  </w:style>
  <w:style w:type="paragraph" w:styleId="BalloonText">
    <w:name w:val="Balloon Text"/>
    <w:basedOn w:val="Normal"/>
    <w:link w:val="BalloonTextChar"/>
    <w:uiPriority w:val="99"/>
    <w:semiHidden/>
    <w:unhideWhenUsed/>
    <w:rsid w:val="00A10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9A2"/>
    <w:rPr>
      <w:rFonts w:ascii="Tahoma" w:hAnsi="Tahoma" w:cs="Tahoma"/>
      <w:sz w:val="16"/>
      <w:szCs w:val="16"/>
    </w:rPr>
  </w:style>
  <w:style w:type="character" w:styleId="CommentReference">
    <w:name w:val="annotation reference"/>
    <w:basedOn w:val="DefaultParagraphFont"/>
    <w:uiPriority w:val="99"/>
    <w:semiHidden/>
    <w:unhideWhenUsed/>
    <w:rsid w:val="00672214"/>
    <w:rPr>
      <w:sz w:val="16"/>
      <w:szCs w:val="16"/>
    </w:rPr>
  </w:style>
  <w:style w:type="paragraph" w:styleId="CommentText">
    <w:name w:val="annotation text"/>
    <w:basedOn w:val="Normal"/>
    <w:link w:val="CommentTextChar"/>
    <w:uiPriority w:val="99"/>
    <w:semiHidden/>
    <w:unhideWhenUsed/>
    <w:rsid w:val="00672214"/>
    <w:pPr>
      <w:spacing w:line="240" w:lineRule="auto"/>
    </w:pPr>
    <w:rPr>
      <w:sz w:val="20"/>
      <w:szCs w:val="20"/>
    </w:rPr>
  </w:style>
  <w:style w:type="character" w:customStyle="1" w:styleId="CommentTextChar">
    <w:name w:val="Comment Text Char"/>
    <w:basedOn w:val="DefaultParagraphFont"/>
    <w:link w:val="CommentText"/>
    <w:uiPriority w:val="99"/>
    <w:semiHidden/>
    <w:rsid w:val="00672214"/>
    <w:rPr>
      <w:sz w:val="20"/>
      <w:szCs w:val="20"/>
    </w:rPr>
  </w:style>
  <w:style w:type="paragraph" w:styleId="CommentSubject">
    <w:name w:val="annotation subject"/>
    <w:basedOn w:val="CommentText"/>
    <w:next w:val="CommentText"/>
    <w:link w:val="CommentSubjectChar"/>
    <w:uiPriority w:val="99"/>
    <w:semiHidden/>
    <w:unhideWhenUsed/>
    <w:rsid w:val="00672214"/>
    <w:rPr>
      <w:b/>
      <w:bCs/>
    </w:rPr>
  </w:style>
  <w:style w:type="character" w:customStyle="1" w:styleId="CommentSubjectChar">
    <w:name w:val="Comment Subject Char"/>
    <w:basedOn w:val="CommentTextChar"/>
    <w:link w:val="CommentSubject"/>
    <w:uiPriority w:val="99"/>
    <w:semiHidden/>
    <w:rsid w:val="00672214"/>
    <w:rPr>
      <w:b/>
      <w:bCs/>
      <w:sz w:val="20"/>
      <w:szCs w:val="20"/>
    </w:rPr>
  </w:style>
  <w:style w:type="paragraph" w:styleId="Footer">
    <w:name w:val="footer"/>
    <w:basedOn w:val="Normal"/>
    <w:link w:val="FooterChar"/>
    <w:uiPriority w:val="99"/>
    <w:unhideWhenUsed/>
    <w:rsid w:val="00B218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932142">
      <w:bodyDiv w:val="1"/>
      <w:marLeft w:val="0"/>
      <w:marRight w:val="0"/>
      <w:marTop w:val="0"/>
      <w:marBottom w:val="0"/>
      <w:divBdr>
        <w:top w:val="none" w:sz="0" w:space="0" w:color="auto"/>
        <w:left w:val="none" w:sz="0" w:space="0" w:color="auto"/>
        <w:bottom w:val="none" w:sz="0" w:space="0" w:color="auto"/>
        <w:right w:val="none" w:sz="0" w:space="0" w:color="auto"/>
      </w:divBdr>
      <w:divsChild>
        <w:div w:id="1553152091">
          <w:marLeft w:val="0"/>
          <w:marRight w:val="0"/>
          <w:marTop w:val="0"/>
          <w:marBottom w:val="0"/>
          <w:divBdr>
            <w:top w:val="none" w:sz="0" w:space="0" w:color="auto"/>
            <w:left w:val="none" w:sz="0" w:space="0" w:color="auto"/>
            <w:bottom w:val="none" w:sz="0" w:space="0" w:color="auto"/>
            <w:right w:val="none" w:sz="0" w:space="0" w:color="auto"/>
          </w:divBdr>
          <w:divsChild>
            <w:div w:id="814880482">
              <w:marLeft w:val="0"/>
              <w:marRight w:val="0"/>
              <w:marTop w:val="0"/>
              <w:marBottom w:val="0"/>
              <w:divBdr>
                <w:top w:val="none" w:sz="0" w:space="0" w:color="auto"/>
                <w:left w:val="none" w:sz="0" w:space="0" w:color="auto"/>
                <w:bottom w:val="none" w:sz="0" w:space="0" w:color="auto"/>
                <w:right w:val="none" w:sz="0" w:space="0" w:color="auto"/>
              </w:divBdr>
              <w:divsChild>
                <w:div w:id="25496548">
                  <w:marLeft w:val="0"/>
                  <w:marRight w:val="0"/>
                  <w:marTop w:val="0"/>
                  <w:marBottom w:val="0"/>
                  <w:divBdr>
                    <w:top w:val="none" w:sz="0" w:space="0" w:color="auto"/>
                    <w:left w:val="none" w:sz="0" w:space="0" w:color="auto"/>
                    <w:bottom w:val="none" w:sz="0" w:space="0" w:color="auto"/>
                    <w:right w:val="none" w:sz="0" w:space="0" w:color="auto"/>
                  </w:divBdr>
                  <w:divsChild>
                    <w:div w:id="539824796">
                      <w:marLeft w:val="0"/>
                      <w:marRight w:val="0"/>
                      <w:marTop w:val="0"/>
                      <w:marBottom w:val="0"/>
                      <w:divBdr>
                        <w:top w:val="none" w:sz="0" w:space="0" w:color="auto"/>
                        <w:left w:val="none" w:sz="0" w:space="0" w:color="auto"/>
                        <w:bottom w:val="none" w:sz="0" w:space="0" w:color="auto"/>
                        <w:right w:val="none" w:sz="0" w:space="0" w:color="auto"/>
                      </w:divBdr>
                      <w:divsChild>
                        <w:div w:id="1602375860">
                          <w:marLeft w:val="0"/>
                          <w:marRight w:val="0"/>
                          <w:marTop w:val="0"/>
                          <w:marBottom w:val="0"/>
                          <w:divBdr>
                            <w:top w:val="none" w:sz="0" w:space="0" w:color="auto"/>
                            <w:left w:val="none" w:sz="0" w:space="0" w:color="auto"/>
                            <w:bottom w:val="none" w:sz="0" w:space="0" w:color="auto"/>
                            <w:right w:val="none" w:sz="0" w:space="0" w:color="auto"/>
                          </w:divBdr>
                          <w:divsChild>
                            <w:div w:id="1367565688">
                              <w:marLeft w:val="0"/>
                              <w:marRight w:val="0"/>
                              <w:marTop w:val="0"/>
                              <w:marBottom w:val="0"/>
                              <w:divBdr>
                                <w:top w:val="single" w:sz="6" w:space="0" w:color="828282"/>
                                <w:left w:val="single" w:sz="6" w:space="0" w:color="828282"/>
                                <w:bottom w:val="single" w:sz="6" w:space="0" w:color="828282"/>
                                <w:right w:val="single" w:sz="6" w:space="0" w:color="828282"/>
                              </w:divBdr>
                              <w:divsChild>
                                <w:div w:id="496922814">
                                  <w:marLeft w:val="0"/>
                                  <w:marRight w:val="0"/>
                                  <w:marTop w:val="0"/>
                                  <w:marBottom w:val="0"/>
                                  <w:divBdr>
                                    <w:top w:val="none" w:sz="0" w:space="0" w:color="auto"/>
                                    <w:left w:val="none" w:sz="0" w:space="0" w:color="auto"/>
                                    <w:bottom w:val="none" w:sz="0" w:space="0" w:color="auto"/>
                                    <w:right w:val="none" w:sz="0" w:space="0" w:color="auto"/>
                                  </w:divBdr>
                                  <w:divsChild>
                                    <w:div w:id="985472473">
                                      <w:marLeft w:val="0"/>
                                      <w:marRight w:val="0"/>
                                      <w:marTop w:val="0"/>
                                      <w:marBottom w:val="0"/>
                                      <w:divBdr>
                                        <w:top w:val="none" w:sz="0" w:space="0" w:color="auto"/>
                                        <w:left w:val="none" w:sz="0" w:space="0" w:color="auto"/>
                                        <w:bottom w:val="none" w:sz="0" w:space="0" w:color="auto"/>
                                        <w:right w:val="none" w:sz="0" w:space="0" w:color="auto"/>
                                      </w:divBdr>
                                      <w:divsChild>
                                        <w:div w:id="231817953">
                                          <w:marLeft w:val="0"/>
                                          <w:marRight w:val="0"/>
                                          <w:marTop w:val="0"/>
                                          <w:marBottom w:val="0"/>
                                          <w:divBdr>
                                            <w:top w:val="none" w:sz="0" w:space="0" w:color="auto"/>
                                            <w:left w:val="none" w:sz="0" w:space="0" w:color="auto"/>
                                            <w:bottom w:val="none" w:sz="0" w:space="0" w:color="auto"/>
                                            <w:right w:val="none" w:sz="0" w:space="0" w:color="auto"/>
                                          </w:divBdr>
                                          <w:divsChild>
                                            <w:div w:id="652565909">
                                              <w:marLeft w:val="0"/>
                                              <w:marRight w:val="0"/>
                                              <w:marTop w:val="0"/>
                                              <w:marBottom w:val="0"/>
                                              <w:divBdr>
                                                <w:top w:val="none" w:sz="0" w:space="0" w:color="auto"/>
                                                <w:left w:val="none" w:sz="0" w:space="0" w:color="auto"/>
                                                <w:bottom w:val="none" w:sz="0" w:space="0" w:color="auto"/>
                                                <w:right w:val="none" w:sz="0" w:space="0" w:color="auto"/>
                                              </w:divBdr>
                                              <w:divsChild>
                                                <w:div w:id="1976134197">
                                                  <w:marLeft w:val="0"/>
                                                  <w:marRight w:val="0"/>
                                                  <w:marTop w:val="0"/>
                                                  <w:marBottom w:val="0"/>
                                                  <w:divBdr>
                                                    <w:top w:val="none" w:sz="0" w:space="0" w:color="auto"/>
                                                    <w:left w:val="none" w:sz="0" w:space="0" w:color="auto"/>
                                                    <w:bottom w:val="none" w:sz="0" w:space="0" w:color="auto"/>
                                                    <w:right w:val="none" w:sz="0" w:space="0" w:color="auto"/>
                                                  </w:divBdr>
                                                  <w:divsChild>
                                                    <w:div w:id="168638678">
                                                      <w:marLeft w:val="0"/>
                                                      <w:marRight w:val="0"/>
                                                      <w:marTop w:val="0"/>
                                                      <w:marBottom w:val="0"/>
                                                      <w:divBdr>
                                                        <w:top w:val="none" w:sz="0" w:space="0" w:color="auto"/>
                                                        <w:left w:val="none" w:sz="0" w:space="0" w:color="auto"/>
                                                        <w:bottom w:val="none" w:sz="0" w:space="0" w:color="auto"/>
                                                        <w:right w:val="none" w:sz="0" w:space="0" w:color="auto"/>
                                                      </w:divBdr>
                                                      <w:divsChild>
                                                        <w:div w:id="6308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5990128">
      <w:bodyDiv w:val="1"/>
      <w:marLeft w:val="0"/>
      <w:marRight w:val="0"/>
      <w:marTop w:val="0"/>
      <w:marBottom w:val="0"/>
      <w:divBdr>
        <w:top w:val="none" w:sz="0" w:space="0" w:color="auto"/>
        <w:left w:val="none" w:sz="0" w:space="0" w:color="auto"/>
        <w:bottom w:val="none" w:sz="0" w:space="0" w:color="auto"/>
        <w:right w:val="none" w:sz="0" w:space="0" w:color="auto"/>
      </w:divBdr>
      <w:divsChild>
        <w:div w:id="1442336431">
          <w:marLeft w:val="0"/>
          <w:marRight w:val="0"/>
          <w:marTop w:val="0"/>
          <w:marBottom w:val="0"/>
          <w:divBdr>
            <w:top w:val="none" w:sz="0" w:space="0" w:color="auto"/>
            <w:left w:val="none" w:sz="0" w:space="0" w:color="auto"/>
            <w:bottom w:val="none" w:sz="0" w:space="0" w:color="auto"/>
            <w:right w:val="none" w:sz="0" w:space="0" w:color="auto"/>
          </w:divBdr>
          <w:divsChild>
            <w:div w:id="2088843350">
              <w:marLeft w:val="0"/>
              <w:marRight w:val="0"/>
              <w:marTop w:val="0"/>
              <w:marBottom w:val="0"/>
              <w:divBdr>
                <w:top w:val="none" w:sz="0" w:space="0" w:color="auto"/>
                <w:left w:val="none" w:sz="0" w:space="0" w:color="auto"/>
                <w:bottom w:val="none" w:sz="0" w:space="0" w:color="auto"/>
                <w:right w:val="none" w:sz="0" w:space="0" w:color="auto"/>
              </w:divBdr>
              <w:divsChild>
                <w:div w:id="1257441274">
                  <w:marLeft w:val="0"/>
                  <w:marRight w:val="0"/>
                  <w:marTop w:val="0"/>
                  <w:marBottom w:val="0"/>
                  <w:divBdr>
                    <w:top w:val="none" w:sz="0" w:space="0" w:color="auto"/>
                    <w:left w:val="none" w:sz="0" w:space="0" w:color="auto"/>
                    <w:bottom w:val="none" w:sz="0" w:space="0" w:color="auto"/>
                    <w:right w:val="none" w:sz="0" w:space="0" w:color="auto"/>
                  </w:divBdr>
                  <w:divsChild>
                    <w:div w:id="386537806">
                      <w:marLeft w:val="0"/>
                      <w:marRight w:val="0"/>
                      <w:marTop w:val="0"/>
                      <w:marBottom w:val="0"/>
                      <w:divBdr>
                        <w:top w:val="none" w:sz="0" w:space="0" w:color="auto"/>
                        <w:left w:val="none" w:sz="0" w:space="0" w:color="auto"/>
                        <w:bottom w:val="none" w:sz="0" w:space="0" w:color="auto"/>
                        <w:right w:val="none" w:sz="0" w:space="0" w:color="auto"/>
                      </w:divBdr>
                      <w:divsChild>
                        <w:div w:id="2129011174">
                          <w:marLeft w:val="0"/>
                          <w:marRight w:val="0"/>
                          <w:marTop w:val="0"/>
                          <w:marBottom w:val="0"/>
                          <w:divBdr>
                            <w:top w:val="none" w:sz="0" w:space="0" w:color="auto"/>
                            <w:left w:val="none" w:sz="0" w:space="0" w:color="auto"/>
                            <w:bottom w:val="none" w:sz="0" w:space="0" w:color="auto"/>
                            <w:right w:val="none" w:sz="0" w:space="0" w:color="auto"/>
                          </w:divBdr>
                          <w:divsChild>
                            <w:div w:id="16083391">
                              <w:marLeft w:val="0"/>
                              <w:marRight w:val="0"/>
                              <w:marTop w:val="0"/>
                              <w:marBottom w:val="0"/>
                              <w:divBdr>
                                <w:top w:val="single" w:sz="6" w:space="0" w:color="828282"/>
                                <w:left w:val="single" w:sz="6" w:space="0" w:color="828282"/>
                                <w:bottom w:val="single" w:sz="6" w:space="0" w:color="828282"/>
                                <w:right w:val="single" w:sz="6" w:space="0" w:color="828282"/>
                              </w:divBdr>
                              <w:divsChild>
                                <w:div w:id="1843349139">
                                  <w:marLeft w:val="0"/>
                                  <w:marRight w:val="0"/>
                                  <w:marTop w:val="0"/>
                                  <w:marBottom w:val="0"/>
                                  <w:divBdr>
                                    <w:top w:val="none" w:sz="0" w:space="0" w:color="auto"/>
                                    <w:left w:val="none" w:sz="0" w:space="0" w:color="auto"/>
                                    <w:bottom w:val="none" w:sz="0" w:space="0" w:color="auto"/>
                                    <w:right w:val="none" w:sz="0" w:space="0" w:color="auto"/>
                                  </w:divBdr>
                                  <w:divsChild>
                                    <w:div w:id="976449523">
                                      <w:marLeft w:val="0"/>
                                      <w:marRight w:val="0"/>
                                      <w:marTop w:val="0"/>
                                      <w:marBottom w:val="0"/>
                                      <w:divBdr>
                                        <w:top w:val="none" w:sz="0" w:space="0" w:color="auto"/>
                                        <w:left w:val="none" w:sz="0" w:space="0" w:color="auto"/>
                                        <w:bottom w:val="none" w:sz="0" w:space="0" w:color="auto"/>
                                        <w:right w:val="none" w:sz="0" w:space="0" w:color="auto"/>
                                      </w:divBdr>
                                      <w:divsChild>
                                        <w:div w:id="992835213">
                                          <w:marLeft w:val="0"/>
                                          <w:marRight w:val="0"/>
                                          <w:marTop w:val="0"/>
                                          <w:marBottom w:val="0"/>
                                          <w:divBdr>
                                            <w:top w:val="none" w:sz="0" w:space="0" w:color="auto"/>
                                            <w:left w:val="none" w:sz="0" w:space="0" w:color="auto"/>
                                            <w:bottom w:val="none" w:sz="0" w:space="0" w:color="auto"/>
                                            <w:right w:val="none" w:sz="0" w:space="0" w:color="auto"/>
                                          </w:divBdr>
                                          <w:divsChild>
                                            <w:div w:id="1393963910">
                                              <w:marLeft w:val="0"/>
                                              <w:marRight w:val="0"/>
                                              <w:marTop w:val="0"/>
                                              <w:marBottom w:val="0"/>
                                              <w:divBdr>
                                                <w:top w:val="none" w:sz="0" w:space="0" w:color="auto"/>
                                                <w:left w:val="none" w:sz="0" w:space="0" w:color="auto"/>
                                                <w:bottom w:val="none" w:sz="0" w:space="0" w:color="auto"/>
                                                <w:right w:val="none" w:sz="0" w:space="0" w:color="auto"/>
                                              </w:divBdr>
                                              <w:divsChild>
                                                <w:div w:id="2018533028">
                                                  <w:marLeft w:val="0"/>
                                                  <w:marRight w:val="0"/>
                                                  <w:marTop w:val="0"/>
                                                  <w:marBottom w:val="0"/>
                                                  <w:divBdr>
                                                    <w:top w:val="none" w:sz="0" w:space="0" w:color="auto"/>
                                                    <w:left w:val="none" w:sz="0" w:space="0" w:color="auto"/>
                                                    <w:bottom w:val="none" w:sz="0" w:space="0" w:color="auto"/>
                                                    <w:right w:val="none" w:sz="0" w:space="0" w:color="auto"/>
                                                  </w:divBdr>
                                                  <w:divsChild>
                                                    <w:div w:id="188496296">
                                                      <w:marLeft w:val="0"/>
                                                      <w:marRight w:val="0"/>
                                                      <w:marTop w:val="0"/>
                                                      <w:marBottom w:val="0"/>
                                                      <w:divBdr>
                                                        <w:top w:val="none" w:sz="0" w:space="0" w:color="auto"/>
                                                        <w:left w:val="none" w:sz="0" w:space="0" w:color="auto"/>
                                                        <w:bottom w:val="none" w:sz="0" w:space="0" w:color="auto"/>
                                                        <w:right w:val="none" w:sz="0" w:space="0" w:color="auto"/>
                                                      </w:divBdr>
                                                      <w:divsChild>
                                                        <w:div w:id="132292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ga.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ga.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ga.gov.au" TargetMode="External"/><Relationship Id="rId5" Type="http://schemas.openxmlformats.org/officeDocument/2006/relationships/settings" Target="settings.xml"/><Relationship Id="rId15" Type="http://schemas.openxmlformats.org/officeDocument/2006/relationships/hyperlink" Target="http://www.tga.gov.au" TargetMode="External"/><Relationship Id="rId10" Type="http://schemas.openxmlformats.org/officeDocument/2006/relationships/hyperlink" Target="http://www.tga.gov.au" TargetMode="External"/><Relationship Id="rId4" Type="http://schemas.microsoft.com/office/2007/relationships/stylesWithEffects" Target="stylesWithEffects.xml"/><Relationship Id="rId9" Type="http://schemas.openxmlformats.org/officeDocument/2006/relationships/hyperlink" Target="http://www.tga.gov.au" TargetMode="External"/><Relationship Id="rId14" Type="http://schemas.openxmlformats.org/officeDocument/2006/relationships/hyperlink" Target="http://www.tg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2B4BF-552F-4FAC-86DA-2CA71D4A6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2193</Words>
  <Characters>12506</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Sharp</dc:creator>
  <cp:lastModifiedBy>Alabaster, John</cp:lastModifiedBy>
  <cp:revision>2</cp:revision>
  <cp:lastPrinted>2015-11-17T05:19:00Z</cp:lastPrinted>
  <dcterms:created xsi:type="dcterms:W3CDTF">2015-12-02T02:54:00Z</dcterms:created>
  <dcterms:modified xsi:type="dcterms:W3CDTF">2015-12-02T02:54:00Z</dcterms:modified>
</cp:coreProperties>
</file>