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E092" w14:textId="77777777" w:rsidR="00D314FA" w:rsidRPr="00A04193" w:rsidRDefault="00D314FA" w:rsidP="00D314FA">
      <w:pPr>
        <w:tabs>
          <w:tab w:val="left" w:pos="851"/>
        </w:tabs>
        <w:rPr>
          <w:noProof/>
          <w:sz w:val="20"/>
          <w:szCs w:val="20"/>
          <w:lang w:eastAsia="en-AU" w:bidi="ar-SA"/>
        </w:rPr>
      </w:pPr>
      <w:r w:rsidRPr="00A04193">
        <w:rPr>
          <w:noProof/>
          <w:sz w:val="20"/>
          <w:szCs w:val="20"/>
          <w:lang w:eastAsia="en-GB" w:bidi="ar-SA"/>
        </w:rPr>
        <w:drawing>
          <wp:inline distT="0" distB="0" distL="0" distR="0" wp14:anchorId="316FEAB3" wp14:editId="2D8BA2A8">
            <wp:extent cx="2657475" cy="438150"/>
            <wp:effectExtent l="0" t="0" r="9525" b="0"/>
            <wp:docPr id="6" name="Picture 6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2584" w14:textId="77777777" w:rsidR="00D314FA" w:rsidRPr="00A04193" w:rsidRDefault="00D314FA" w:rsidP="00D314FA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70FC290B" w14:textId="77777777" w:rsidR="00D314FA" w:rsidRPr="00A04193" w:rsidRDefault="00D314FA" w:rsidP="00D314FA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A04193">
        <w:rPr>
          <w:rFonts w:cs="Arial"/>
          <w:b/>
          <w:i/>
          <w:sz w:val="20"/>
          <w:szCs w:val="20"/>
          <w:lang w:bidi="ar-SA"/>
        </w:rPr>
        <w:t>Australia New Zealand Food Standards Code</w:t>
      </w:r>
      <w:r w:rsidRPr="00A04193">
        <w:rPr>
          <w:rFonts w:cs="Arial"/>
          <w:b/>
          <w:sz w:val="20"/>
          <w:szCs w:val="20"/>
          <w:lang w:bidi="ar-SA"/>
        </w:rPr>
        <w:t xml:space="preserve"> –</w:t>
      </w:r>
      <w:r w:rsidRPr="00A04193">
        <w:rPr>
          <w:rFonts w:cs="Arial"/>
          <w:b/>
          <w:color w:val="000000"/>
          <w:sz w:val="20"/>
          <w:szCs w:val="20"/>
          <w:lang w:bidi="ar-SA"/>
        </w:rPr>
        <w:t xml:space="preserve"> Transitional Variation</w:t>
      </w:r>
      <w:r w:rsidRPr="00A04193">
        <w:rPr>
          <w:rFonts w:cs="Arial"/>
          <w:b/>
          <w:sz w:val="20"/>
          <w:szCs w:val="20"/>
          <w:lang w:bidi="ar-SA"/>
        </w:rPr>
        <w:t xml:space="preserve"> 2015 (</w:t>
      </w:r>
      <w:r w:rsidRPr="00A04193">
        <w:rPr>
          <w:b/>
          <w:sz w:val="20"/>
          <w:szCs w:val="20"/>
          <w:lang w:bidi="ar-SA"/>
        </w:rPr>
        <w:t>P1038 – Vitamin &amp; Mineral Claims &amp; Sodium Claims about Food containing Alcohol</w:t>
      </w:r>
      <w:r w:rsidRPr="00A04193">
        <w:rPr>
          <w:rFonts w:cs="Arial"/>
          <w:b/>
          <w:sz w:val="20"/>
          <w:szCs w:val="20"/>
          <w:lang w:bidi="ar-SA"/>
        </w:rPr>
        <w:t>)</w:t>
      </w:r>
      <w:r w:rsidRPr="00A04193">
        <w:rPr>
          <w:b/>
          <w:sz w:val="20"/>
          <w:szCs w:val="20"/>
          <w:lang w:bidi="ar-SA"/>
        </w:rPr>
        <w:t xml:space="preserve"> </w:t>
      </w:r>
    </w:p>
    <w:p w14:paraId="14BF8103" w14:textId="77777777" w:rsidR="00D314FA" w:rsidRPr="00A04193" w:rsidRDefault="00D314FA" w:rsidP="00D314FA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11C506DE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4EA51DA8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A04193">
        <w:rPr>
          <w:i/>
          <w:sz w:val="20"/>
          <w:szCs w:val="20"/>
          <w:lang w:bidi="ar-SA"/>
        </w:rPr>
        <w:t>Food Standards Australia New Zealand Act 1991</w:t>
      </w:r>
      <w:r w:rsidRPr="00A04193">
        <w:rPr>
          <w:sz w:val="20"/>
          <w:szCs w:val="20"/>
          <w:lang w:bidi="ar-SA"/>
        </w:rPr>
        <w:t>.  The Standard commences on the date specified in clause 2 of the variation.</w:t>
      </w:r>
    </w:p>
    <w:p w14:paraId="2F6F99E9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0297EA1B" w14:textId="77777777" w:rsidR="00BD6844" w:rsidRPr="00BD6844" w:rsidRDefault="00BD6844" w:rsidP="00BD6844">
      <w:pPr>
        <w:rPr>
          <w:sz w:val="20"/>
        </w:rPr>
      </w:pPr>
      <w:r w:rsidRPr="00BD6844">
        <w:rPr>
          <w:sz w:val="20"/>
        </w:rPr>
        <w:t>30 November 2015</w:t>
      </w:r>
    </w:p>
    <w:p w14:paraId="5254D9B8" w14:textId="79F46175" w:rsidR="00D314FA" w:rsidRPr="00A04193" w:rsidRDefault="00BD43BC" w:rsidP="00D314FA">
      <w:pPr>
        <w:tabs>
          <w:tab w:val="left" w:pos="851"/>
        </w:tabs>
        <w:rPr>
          <w:sz w:val="20"/>
          <w:szCs w:val="20"/>
          <w:lang w:bidi="ar-SA"/>
        </w:rPr>
      </w:pPr>
      <w:r w:rsidRPr="00980624">
        <w:rPr>
          <w:noProof/>
          <w:lang w:eastAsia="en-GB"/>
        </w:rPr>
        <w:drawing>
          <wp:inline distT="0" distB="0" distL="0" distR="0" wp14:anchorId="12B2364C" wp14:editId="59D9BCF4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314F66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>Standards Management Officer</w:t>
      </w:r>
    </w:p>
    <w:p w14:paraId="2ABFB095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  <w:r w:rsidRPr="00A04193">
        <w:rPr>
          <w:sz w:val="20"/>
          <w:szCs w:val="20"/>
          <w:lang w:bidi="ar-SA"/>
        </w:rPr>
        <w:t>Delegate of the Board of Food Standards Australia New Zealand</w:t>
      </w:r>
    </w:p>
    <w:p w14:paraId="16E60445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113E9121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28524C19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783E1BE4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01C0FE9B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6D87B58C" w14:textId="77777777" w:rsidR="00BD6844" w:rsidRPr="00BD6844" w:rsidRDefault="00BD6844" w:rsidP="00BD6844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BD6844">
        <w:rPr>
          <w:b/>
          <w:sz w:val="20"/>
          <w:szCs w:val="20"/>
          <w:lang w:val="en-AU"/>
        </w:rPr>
        <w:t xml:space="preserve">Note:  </w:t>
      </w:r>
    </w:p>
    <w:p w14:paraId="0A4CB3E6" w14:textId="77777777" w:rsidR="00BD6844" w:rsidRPr="00BD6844" w:rsidRDefault="00BD6844" w:rsidP="00BD684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3B9E3195" w14:textId="77777777" w:rsidR="00BD6844" w:rsidRPr="00BD6844" w:rsidRDefault="00BD6844" w:rsidP="00BD684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BD6844">
        <w:rPr>
          <w:sz w:val="20"/>
          <w:szCs w:val="20"/>
          <w:lang w:val="en-AU"/>
        </w:rPr>
        <w:t xml:space="preserve">This variation will be published in the Commonwealth of Australia Gazette No. FSC 101 on 7 December 2015. </w:t>
      </w:r>
    </w:p>
    <w:p w14:paraId="503F7109" w14:textId="77777777" w:rsidR="00D314FA" w:rsidRPr="00A04193" w:rsidRDefault="00D314FA" w:rsidP="00D314FA">
      <w:pPr>
        <w:tabs>
          <w:tab w:val="left" w:pos="851"/>
        </w:tabs>
        <w:rPr>
          <w:sz w:val="20"/>
          <w:szCs w:val="20"/>
          <w:lang w:bidi="ar-SA"/>
        </w:rPr>
      </w:pPr>
    </w:p>
    <w:p w14:paraId="2CE03C24" w14:textId="77777777" w:rsidR="00D314FA" w:rsidRPr="00A04193" w:rsidRDefault="00D314FA" w:rsidP="00D314FA">
      <w:pPr>
        <w:keepNext/>
        <w:keepLines/>
        <w:widowControl/>
        <w:spacing w:before="360"/>
        <w:ind w:left="964" w:hanging="964"/>
        <w:rPr>
          <w:rFonts w:cs="Arial"/>
          <w:b/>
          <w:szCs w:val="22"/>
          <w:lang w:eastAsia="en-AU" w:bidi="ar-SA"/>
        </w:rPr>
      </w:pPr>
      <w:r w:rsidRPr="00A04193">
        <w:rPr>
          <w:rFonts w:cs="Arial"/>
          <w:b/>
          <w:szCs w:val="22"/>
          <w:lang w:eastAsia="en-AU" w:bidi="ar-SA"/>
        </w:rPr>
        <w:br w:type="page"/>
      </w:r>
    </w:p>
    <w:p w14:paraId="5A61AF86" w14:textId="77777777" w:rsidR="00631261" w:rsidRPr="00A04193" w:rsidRDefault="00631261" w:rsidP="00631261">
      <w:pPr>
        <w:keepNext/>
        <w:keepLines/>
        <w:widowControl/>
        <w:ind w:left="851" w:hanging="851"/>
        <w:rPr>
          <w:b/>
          <w:sz w:val="20"/>
          <w:szCs w:val="20"/>
          <w:lang w:eastAsia="en-AU" w:bidi="ar-SA"/>
        </w:rPr>
      </w:pPr>
      <w:r w:rsidRPr="00A04193">
        <w:rPr>
          <w:b/>
          <w:sz w:val="20"/>
          <w:szCs w:val="20"/>
          <w:lang w:eastAsia="en-AU" w:bidi="ar-SA"/>
        </w:rPr>
        <w:lastRenderedPageBreak/>
        <w:t>1</w:t>
      </w:r>
      <w:r w:rsidRPr="00A04193">
        <w:rPr>
          <w:b/>
          <w:sz w:val="20"/>
          <w:szCs w:val="20"/>
          <w:lang w:eastAsia="en-AU" w:bidi="ar-SA"/>
        </w:rPr>
        <w:tab/>
        <w:t>Name of instrument</w:t>
      </w:r>
    </w:p>
    <w:p w14:paraId="5A61AF87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</w:p>
    <w:p w14:paraId="5A61AF88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  <w:r w:rsidRPr="00A04193">
        <w:rPr>
          <w:sz w:val="20"/>
          <w:szCs w:val="20"/>
          <w:lang w:eastAsia="en-AU" w:bidi="ar-SA"/>
        </w:rPr>
        <w:t xml:space="preserve">This instrument is the </w:t>
      </w:r>
      <w:r w:rsidRPr="00A04193">
        <w:rPr>
          <w:i/>
          <w:sz w:val="20"/>
          <w:szCs w:val="20"/>
          <w:lang w:eastAsia="en-AU" w:bidi="ar-SA"/>
        </w:rPr>
        <w:t xml:space="preserve">Australia New Zealand Food Standards Code </w:t>
      </w:r>
      <w:r w:rsidRPr="00A04193">
        <w:rPr>
          <w:i/>
          <w:color w:val="000000"/>
          <w:sz w:val="20"/>
          <w:szCs w:val="20"/>
          <w:lang w:eastAsia="en-AU" w:bidi="ar-SA"/>
        </w:rPr>
        <w:t>– Transitional Variation</w:t>
      </w:r>
      <w:r w:rsidRPr="00A04193">
        <w:rPr>
          <w:i/>
          <w:sz w:val="20"/>
          <w:szCs w:val="20"/>
          <w:lang w:eastAsia="en-AU" w:bidi="ar-SA"/>
        </w:rPr>
        <w:t xml:space="preserve"> 2015 (P1038 – Vitamin &amp; Mineral Claims &amp; Sodium Claims about Food containing Alcohol)</w:t>
      </w:r>
      <w:r w:rsidRPr="00A04193">
        <w:rPr>
          <w:sz w:val="20"/>
          <w:szCs w:val="20"/>
          <w:lang w:eastAsia="en-AU" w:bidi="ar-SA"/>
        </w:rPr>
        <w:t>.</w:t>
      </w:r>
    </w:p>
    <w:p w14:paraId="5A61AF89" w14:textId="77777777" w:rsidR="00631261" w:rsidRPr="00A04193" w:rsidRDefault="00631261" w:rsidP="00631261">
      <w:pPr>
        <w:tabs>
          <w:tab w:val="left" w:pos="851"/>
        </w:tabs>
        <w:rPr>
          <w:szCs w:val="20"/>
          <w:lang w:bidi="ar-SA"/>
        </w:rPr>
      </w:pPr>
    </w:p>
    <w:p w14:paraId="5A61AF8A" w14:textId="77777777" w:rsidR="00631261" w:rsidRPr="00A04193" w:rsidRDefault="00631261" w:rsidP="00631261">
      <w:pPr>
        <w:keepNext/>
        <w:keepLines/>
        <w:widowControl/>
        <w:ind w:left="851" w:hanging="851"/>
        <w:rPr>
          <w:rFonts w:cs="Arial"/>
          <w:b/>
          <w:sz w:val="20"/>
          <w:szCs w:val="20"/>
          <w:lang w:eastAsia="en-AU" w:bidi="ar-SA"/>
        </w:rPr>
      </w:pPr>
      <w:r w:rsidRPr="00A04193">
        <w:rPr>
          <w:rFonts w:cs="Arial"/>
          <w:b/>
          <w:sz w:val="20"/>
          <w:szCs w:val="20"/>
          <w:lang w:eastAsia="en-AU" w:bidi="ar-SA"/>
        </w:rPr>
        <w:t>2</w:t>
      </w:r>
      <w:r w:rsidRPr="00A04193">
        <w:rPr>
          <w:rFonts w:cs="Arial"/>
          <w:b/>
          <w:sz w:val="20"/>
          <w:szCs w:val="20"/>
          <w:lang w:eastAsia="en-AU" w:bidi="ar-SA"/>
        </w:rPr>
        <w:tab/>
        <w:t>Commencement</w:t>
      </w:r>
    </w:p>
    <w:p w14:paraId="5A61AF8B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</w:p>
    <w:p w14:paraId="5A61AF8C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  <w:r w:rsidRPr="00A04193">
        <w:rPr>
          <w:sz w:val="20"/>
          <w:szCs w:val="20"/>
          <w:lang w:eastAsia="en-AU" w:bidi="ar-SA"/>
        </w:rPr>
        <w:t>The Schedule commences on 1 March 2016 immediately after the commencement of Standard 5.1.1 – Revocation and transitional provisions — 2014 Revision.</w:t>
      </w:r>
    </w:p>
    <w:p w14:paraId="5A61AF8D" w14:textId="77777777" w:rsidR="00631261" w:rsidRPr="00A04193" w:rsidRDefault="00631261" w:rsidP="00631261">
      <w:pPr>
        <w:tabs>
          <w:tab w:val="left" w:pos="851"/>
        </w:tabs>
        <w:rPr>
          <w:szCs w:val="20"/>
          <w:lang w:bidi="ar-SA"/>
        </w:rPr>
      </w:pPr>
    </w:p>
    <w:p w14:paraId="5A61AF8E" w14:textId="77777777" w:rsidR="00631261" w:rsidRPr="00A04193" w:rsidRDefault="00631261" w:rsidP="00631261">
      <w:pPr>
        <w:keepNext/>
        <w:keepLines/>
        <w:widowControl/>
        <w:ind w:left="851" w:hanging="851"/>
        <w:rPr>
          <w:rFonts w:cs="Arial"/>
          <w:b/>
          <w:sz w:val="20"/>
          <w:szCs w:val="20"/>
          <w:lang w:eastAsia="en-AU" w:bidi="ar-SA"/>
        </w:rPr>
      </w:pPr>
      <w:r w:rsidRPr="00A04193">
        <w:rPr>
          <w:rFonts w:cs="Arial"/>
          <w:b/>
          <w:sz w:val="20"/>
          <w:szCs w:val="20"/>
          <w:lang w:eastAsia="en-AU" w:bidi="ar-SA"/>
        </w:rPr>
        <w:t>3</w:t>
      </w:r>
      <w:r w:rsidRPr="00A04193">
        <w:rPr>
          <w:rFonts w:cs="Arial"/>
          <w:b/>
          <w:sz w:val="20"/>
          <w:szCs w:val="20"/>
          <w:lang w:eastAsia="en-AU" w:bidi="ar-SA"/>
        </w:rPr>
        <w:tab/>
        <w:t>Variation of Standards</w:t>
      </w:r>
    </w:p>
    <w:p w14:paraId="5A61AF8F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</w:p>
    <w:p w14:paraId="5A61AF90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  <w:r w:rsidRPr="00A04193">
        <w:rPr>
          <w:sz w:val="20"/>
          <w:szCs w:val="20"/>
          <w:lang w:eastAsia="en-AU" w:bidi="ar-SA"/>
        </w:rPr>
        <w:t xml:space="preserve">The Schedule varies a Standard and a Schedule of the </w:t>
      </w:r>
      <w:r w:rsidRPr="00A04193">
        <w:rPr>
          <w:i/>
          <w:sz w:val="20"/>
          <w:szCs w:val="20"/>
          <w:lang w:eastAsia="en-AU" w:bidi="ar-SA"/>
        </w:rPr>
        <w:t>Australia New Zealand Food Standards Code</w:t>
      </w:r>
      <w:r w:rsidRPr="00A04193">
        <w:rPr>
          <w:sz w:val="20"/>
          <w:szCs w:val="20"/>
          <w:lang w:eastAsia="en-AU" w:bidi="ar-SA"/>
        </w:rPr>
        <w:t xml:space="preserve">. </w:t>
      </w:r>
    </w:p>
    <w:p w14:paraId="5A61AF91" w14:textId="77777777" w:rsidR="00631261" w:rsidRPr="00A04193" w:rsidRDefault="00631261" w:rsidP="00631261">
      <w:pPr>
        <w:keepNext/>
        <w:keepLines/>
        <w:widowControl/>
        <w:spacing w:before="240"/>
        <w:jc w:val="center"/>
        <w:rPr>
          <w:rFonts w:cs="Arial"/>
          <w:b/>
          <w:color w:val="000000"/>
          <w:sz w:val="20"/>
          <w:szCs w:val="20"/>
          <w:lang w:eastAsia="en-AU" w:bidi="ar-SA"/>
        </w:rPr>
      </w:pPr>
      <w:r w:rsidRPr="00A04193">
        <w:rPr>
          <w:rFonts w:cs="Arial"/>
          <w:b/>
          <w:color w:val="000000"/>
          <w:sz w:val="20"/>
          <w:szCs w:val="20"/>
          <w:lang w:eastAsia="en-AU" w:bidi="ar-SA"/>
        </w:rPr>
        <w:t>Schedule</w:t>
      </w:r>
    </w:p>
    <w:p w14:paraId="5A61AF92" w14:textId="77777777" w:rsidR="00631261" w:rsidRPr="00A04193" w:rsidRDefault="00631261" w:rsidP="00631261">
      <w:pPr>
        <w:tabs>
          <w:tab w:val="left" w:pos="851"/>
        </w:tabs>
        <w:rPr>
          <w:sz w:val="20"/>
          <w:szCs w:val="20"/>
          <w:lang w:eastAsia="en-AU" w:bidi="ar-SA"/>
        </w:rPr>
      </w:pPr>
    </w:p>
    <w:p w14:paraId="1715E447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eastAsia="en-AU" w:bidi="ar-SA"/>
        </w:rPr>
      </w:pPr>
      <w:r w:rsidRPr="00720010">
        <w:rPr>
          <w:b/>
          <w:sz w:val="20"/>
          <w:szCs w:val="20"/>
          <w:lang w:eastAsia="en-AU" w:bidi="ar-SA"/>
        </w:rPr>
        <w:t>[1]</w:t>
      </w:r>
      <w:r w:rsidRPr="00720010">
        <w:rPr>
          <w:b/>
          <w:sz w:val="20"/>
          <w:szCs w:val="20"/>
          <w:lang w:eastAsia="en-AU" w:bidi="ar-SA"/>
        </w:rPr>
        <w:tab/>
        <w:t>Standard 1.2.7</w:t>
      </w:r>
      <w:r w:rsidRPr="00720010">
        <w:rPr>
          <w:sz w:val="20"/>
          <w:szCs w:val="20"/>
          <w:lang w:eastAsia="en-AU" w:bidi="ar-SA"/>
        </w:rPr>
        <w:t xml:space="preserve"> is varied by deleting subsections 1.2.7—4(1) and (2), substituting </w:t>
      </w:r>
    </w:p>
    <w:p w14:paraId="3DE325E0" w14:textId="77777777" w:rsidR="00720010" w:rsidRPr="00720010" w:rsidRDefault="00720010" w:rsidP="00720010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A *nutrition content claim or *health claim must not be made about:</w:t>
      </w:r>
    </w:p>
    <w:p w14:paraId="4E30D10D" w14:textId="77777777" w:rsidR="00720010" w:rsidRPr="00720010" w:rsidRDefault="00720010" w:rsidP="00720010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(a)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kava; or</w:t>
      </w:r>
    </w:p>
    <w:p w14:paraId="41D0AEEC" w14:textId="77777777" w:rsidR="00720010" w:rsidRPr="00720010" w:rsidRDefault="00720010" w:rsidP="00720010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(b)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an infant formula product; or</w:t>
      </w:r>
    </w:p>
    <w:p w14:paraId="7DD36D58" w14:textId="77777777" w:rsidR="00720010" w:rsidRPr="00720010" w:rsidRDefault="00720010" w:rsidP="00720010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(c)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a food that contains more than 1.15% alcohol by volume, other than a *nutrition content claim about:</w:t>
      </w:r>
    </w:p>
    <w:p w14:paraId="3316D277" w14:textId="77777777" w:rsidR="00720010" w:rsidRPr="00720010" w:rsidRDefault="00720010" w:rsidP="00720010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(i)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energy content, carbohydrate content or gluten content; or</w:t>
      </w:r>
    </w:p>
    <w:p w14:paraId="0D94DEB3" w14:textId="77777777" w:rsidR="00720010" w:rsidRPr="00720010" w:rsidRDefault="00720010" w:rsidP="00720010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(ii)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salt or sodium content about a food that is not a beverage.</w:t>
      </w:r>
    </w:p>
    <w:p w14:paraId="233026BC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bidi="ar-SA"/>
        </w:rPr>
      </w:pPr>
      <w:r w:rsidRPr="00720010">
        <w:rPr>
          <w:b/>
          <w:sz w:val="20"/>
          <w:szCs w:val="20"/>
          <w:lang w:bidi="ar-SA"/>
        </w:rPr>
        <w:t>[2]</w:t>
      </w:r>
      <w:r w:rsidRPr="00720010">
        <w:rPr>
          <w:b/>
          <w:sz w:val="20"/>
          <w:szCs w:val="20"/>
          <w:lang w:bidi="ar-SA"/>
        </w:rPr>
        <w:tab/>
        <w:t xml:space="preserve">Schedule 4 </w:t>
      </w:r>
      <w:r w:rsidRPr="00720010">
        <w:rPr>
          <w:sz w:val="20"/>
          <w:szCs w:val="20"/>
          <w:lang w:bidi="ar-SA"/>
        </w:rPr>
        <w:t xml:space="preserve">is varied by </w:t>
      </w:r>
    </w:p>
    <w:p w14:paraId="094ACC7F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bidi="ar-SA"/>
        </w:rPr>
      </w:pPr>
    </w:p>
    <w:p w14:paraId="1593E195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bidi="ar-SA"/>
        </w:rPr>
      </w:pPr>
      <w:r w:rsidRPr="00720010">
        <w:rPr>
          <w:sz w:val="20"/>
          <w:szCs w:val="20"/>
          <w:lang w:bidi="ar-SA"/>
        </w:rPr>
        <w:t>[2.1]</w:t>
      </w:r>
      <w:r w:rsidRPr="00720010">
        <w:rPr>
          <w:sz w:val="20"/>
          <w:szCs w:val="20"/>
          <w:lang w:bidi="ar-SA"/>
        </w:rPr>
        <w:tab/>
        <w:t xml:space="preserve">inserting the following at the beginning of section S4—2 </w:t>
      </w:r>
    </w:p>
    <w:p w14:paraId="6541C281" w14:textId="77777777" w:rsidR="00720010" w:rsidRPr="00720010" w:rsidRDefault="00720010" w:rsidP="00720010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iCs/>
          <w:sz w:val="20"/>
          <w:szCs w:val="22"/>
          <w:lang w:val="en-AU" w:eastAsia="en-AU" w:bidi="ar-SA"/>
        </w:rPr>
        <w:tab/>
      </w:r>
      <w:r w:rsidRPr="00720010">
        <w:rPr>
          <w:rFonts w:cs="Arial"/>
          <w:iCs/>
          <w:sz w:val="20"/>
          <w:szCs w:val="22"/>
          <w:lang w:val="en-AU" w:eastAsia="en-AU" w:bidi="ar-SA"/>
        </w:rPr>
        <w:tab/>
        <w:t>In this Schedule:</w:t>
      </w:r>
    </w:p>
    <w:p w14:paraId="26CFC39A" w14:textId="77777777" w:rsidR="00720010" w:rsidRPr="00720010" w:rsidRDefault="00720010" w:rsidP="00720010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b/>
          <w:i/>
          <w:iCs/>
          <w:sz w:val="20"/>
          <w:szCs w:val="22"/>
          <w:lang w:val="en-AU" w:eastAsia="en-AU" w:bidi="ar-SA"/>
        </w:rPr>
        <w:t>maximum claimable amount</w:t>
      </w:r>
      <w:r w:rsidRPr="00720010">
        <w:rPr>
          <w:rFonts w:cs="Arial"/>
          <w:b/>
          <w:iCs/>
          <w:sz w:val="20"/>
          <w:szCs w:val="22"/>
          <w:lang w:val="en-AU" w:eastAsia="en-AU" w:bidi="ar-SA"/>
        </w:rPr>
        <w:t xml:space="preserve"> 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 xml:space="preserve">means the maximum claimable amount as prescribed by section 1.3.2—4 or 1.3.2—5. </w:t>
      </w:r>
    </w:p>
    <w:p w14:paraId="0B8FC4A3" w14:textId="77777777" w:rsidR="00720010" w:rsidRPr="00720010" w:rsidRDefault="00720010" w:rsidP="00720010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val="en-AU" w:eastAsia="en-AU" w:bidi="ar-SA"/>
        </w:rPr>
      </w:pPr>
      <w:r w:rsidRPr="00720010">
        <w:rPr>
          <w:rFonts w:cs="Arial"/>
          <w:b/>
          <w:i/>
          <w:iCs/>
          <w:sz w:val="20"/>
          <w:szCs w:val="22"/>
          <w:lang w:val="en-AU" w:eastAsia="en-AU" w:bidi="ar-SA"/>
        </w:rPr>
        <w:t xml:space="preserve">reference quantity </w:t>
      </w:r>
      <w:r w:rsidRPr="00720010">
        <w:rPr>
          <w:rFonts w:cs="Arial"/>
          <w:iCs/>
          <w:sz w:val="20"/>
          <w:szCs w:val="22"/>
          <w:lang w:val="en-AU" w:eastAsia="en-AU" w:bidi="ar-SA"/>
        </w:rPr>
        <w:t>means the reference quantity specified for the food in the Table to section S17—4.</w:t>
      </w:r>
    </w:p>
    <w:p w14:paraId="257764F4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bidi="ar-SA"/>
        </w:rPr>
      </w:pPr>
      <w:r w:rsidRPr="00720010">
        <w:rPr>
          <w:sz w:val="20"/>
          <w:szCs w:val="20"/>
          <w:lang w:bidi="ar-SA"/>
        </w:rPr>
        <w:t>[2.2]</w:t>
      </w:r>
      <w:r w:rsidRPr="00720010">
        <w:rPr>
          <w:sz w:val="20"/>
          <w:szCs w:val="20"/>
          <w:lang w:bidi="ar-SA"/>
        </w:rPr>
        <w:tab/>
        <w:t>deleting Column 2 of the entry for “Vitamin or mineral (not including potassium or sodium)” from the table to section S4—3, and substituting</w:t>
      </w:r>
    </w:p>
    <w:p w14:paraId="70689FE8" w14:textId="77777777" w:rsidR="00720010" w:rsidRPr="00720010" w:rsidRDefault="00720010" w:rsidP="00720010">
      <w:pPr>
        <w:tabs>
          <w:tab w:val="left" w:pos="851"/>
        </w:tabs>
        <w:rPr>
          <w:sz w:val="20"/>
          <w:szCs w:val="20"/>
          <w:lang w:bidi="ar-SA"/>
        </w:rPr>
      </w:pPr>
    </w:p>
    <w:tbl>
      <w:tblPr>
        <w:tblW w:w="9072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2819"/>
        <w:gridCol w:w="1559"/>
        <w:gridCol w:w="3152"/>
      </w:tblGrid>
      <w:tr w:rsidR="00720010" w:rsidRPr="00720010" w14:paraId="427FB304" w14:textId="77777777" w:rsidTr="00DD110A"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7B1E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br w:type="page"/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270F" w14:textId="77777777" w:rsidR="00720010" w:rsidRPr="00720010" w:rsidRDefault="00720010" w:rsidP="00720010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(a)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The vitamin or mineral is mentioned in Column 1 of the table to section S1—2 or S1—3; and</w:t>
            </w:r>
          </w:p>
          <w:p w14:paraId="5ECA3959" w14:textId="77777777" w:rsidR="00720010" w:rsidRPr="00720010" w:rsidRDefault="00720010" w:rsidP="00720010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(b)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serving of the food contains at least 10% *RDI or *ESADDI for that vitamin or mineral; and</w:t>
            </w:r>
          </w:p>
          <w:p w14:paraId="0F06EF71" w14:textId="77777777" w:rsidR="00720010" w:rsidRPr="00720010" w:rsidRDefault="00720010" w:rsidP="00720010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(c)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claim is not for more of the particular vitamin or mineral than the amount permitted by section 1.3.2—4 or 1.3.2—5; and</w:t>
            </w:r>
          </w:p>
          <w:p w14:paraId="181C68F1" w14:textId="77777777" w:rsidR="00720010" w:rsidRPr="00720010" w:rsidRDefault="00720010" w:rsidP="00720010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(d)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the food is not any of the following:</w:t>
            </w:r>
          </w:p>
          <w:p w14:paraId="14F2A372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formulated caffeinated beverage;</w:t>
            </w:r>
          </w:p>
          <w:p w14:paraId="3B75013D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food for infants;</w:t>
            </w:r>
          </w:p>
          <w:p w14:paraId="12BD5D2D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(iii)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formulated meal replacement;</w:t>
            </w:r>
          </w:p>
          <w:p w14:paraId="05AC3CED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(iv)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 xml:space="preserve">a formulated 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lastRenderedPageBreak/>
              <w:t>supplementary food;</w:t>
            </w:r>
          </w:p>
          <w:p w14:paraId="3BA9FEB4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 xml:space="preserve">(v) 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formulated supplementary sports food.</w:t>
            </w:r>
          </w:p>
          <w:p w14:paraId="039D187C" w14:textId="77777777" w:rsidR="00720010" w:rsidRPr="00720010" w:rsidRDefault="00720010" w:rsidP="00720010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Paragraph (b) does not apply where:</w:t>
            </w:r>
          </w:p>
          <w:p w14:paraId="3CC0FF66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a maximum claimable amount applies in relation to the mineral or vitamin; and</w:t>
            </w:r>
          </w:p>
          <w:p w14:paraId="5312C84A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the serving size is less than the reference quantity; and</w:t>
            </w:r>
          </w:p>
          <w:p w14:paraId="129AAFBA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(iii)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the reference quantity contains at least 10% *RDI or *ESADDI for the vitamin or mineral; and</w:t>
            </w:r>
          </w:p>
          <w:p w14:paraId="53543B2D" w14:textId="77777777" w:rsidR="00720010" w:rsidRPr="00720010" w:rsidRDefault="00720010" w:rsidP="00720010">
            <w:pPr>
              <w:keepLines/>
              <w:widowControl/>
              <w:spacing w:before="60" w:after="60"/>
              <w:ind w:left="794" w:hanging="397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(iv)</w:t>
            </w:r>
            <w:r w:rsidRPr="00720010">
              <w:rPr>
                <w:rFonts w:cs="Arial"/>
                <w:sz w:val="18"/>
                <w:szCs w:val="22"/>
                <w:lang w:eastAsia="en-AU" w:bidi="ar-SA"/>
              </w:rPr>
              <w:tab/>
              <w:t>the maximum claimable amount is less than 10% *RDI or *ESADDI per serving.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F078F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1ED76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</w:tr>
      <w:tr w:rsidR="00720010" w:rsidRPr="00720010" w14:paraId="5A94D4D4" w14:textId="77777777" w:rsidTr="00DD110A"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708D" w14:textId="77777777" w:rsidR="00720010" w:rsidRPr="00720010" w:rsidRDefault="00720010" w:rsidP="00720010">
            <w:pPr>
              <w:tabs>
                <w:tab w:val="left" w:pos="851"/>
              </w:tabs>
              <w:rPr>
                <w:rFonts w:cs="Arial"/>
                <w:iCs/>
                <w:szCs w:val="22"/>
                <w:lang w:bidi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1B1BA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For food for infants, the food satisfies the condition for making a claim under subsection 2.9.2—10(2).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0C2AFA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8D97CC8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</w:tr>
      <w:tr w:rsidR="00720010" w:rsidRPr="00720010" w14:paraId="0A5D7DA7" w14:textId="77777777" w:rsidTr="00DD110A"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B07F" w14:textId="77777777" w:rsidR="00720010" w:rsidRPr="00720010" w:rsidRDefault="00720010" w:rsidP="00720010">
            <w:pPr>
              <w:tabs>
                <w:tab w:val="left" w:pos="851"/>
              </w:tabs>
              <w:rPr>
                <w:rFonts w:cs="Arial"/>
                <w:iCs/>
                <w:szCs w:val="22"/>
                <w:lang w:bidi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4740A5B1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For a formulated meal replacement, the food meets the condition for making a claim under subsection 2.9.3—4(2).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2161ED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9B686C9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</w:tr>
      <w:tr w:rsidR="00720010" w:rsidRPr="00720010" w14:paraId="766D4035" w14:textId="77777777" w:rsidTr="00DD110A"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1EB9" w14:textId="77777777" w:rsidR="00720010" w:rsidRPr="00720010" w:rsidRDefault="00720010" w:rsidP="00720010">
            <w:pPr>
              <w:tabs>
                <w:tab w:val="left" w:pos="851"/>
              </w:tabs>
              <w:rPr>
                <w:rFonts w:cs="Arial"/>
                <w:iCs/>
                <w:szCs w:val="22"/>
                <w:lang w:bidi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7C697BBD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For a formulated supplementary food, the food meets the conditions for making a claim under subsection 2.9.3—6(2).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BD0E5F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0DD575B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</w:tr>
      <w:tr w:rsidR="00720010" w:rsidRPr="00720010" w14:paraId="7311C02B" w14:textId="77777777" w:rsidTr="00DD110A"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1EB9" w14:textId="77777777" w:rsidR="00720010" w:rsidRPr="00720010" w:rsidRDefault="00720010" w:rsidP="00720010">
            <w:pPr>
              <w:tabs>
                <w:tab w:val="left" w:pos="851"/>
              </w:tabs>
              <w:rPr>
                <w:rFonts w:cs="Arial"/>
                <w:iCs/>
                <w:szCs w:val="22"/>
                <w:lang w:bidi="ar-SA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6EB88794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  <w:r w:rsidRPr="00720010">
              <w:rPr>
                <w:rFonts w:cs="Arial"/>
                <w:sz w:val="18"/>
                <w:szCs w:val="22"/>
                <w:lang w:eastAsia="en-AU" w:bidi="ar-SA"/>
              </w:rPr>
              <w:t>For a formulated supplementary food for young children, the food meets the conditions for making a claim under 2.9.3—8(2).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3639F1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359B216" w14:textId="77777777" w:rsidR="00720010" w:rsidRPr="00720010" w:rsidRDefault="00720010" w:rsidP="00720010">
            <w:pPr>
              <w:keepLines/>
              <w:widowControl/>
              <w:spacing w:before="60" w:after="60"/>
              <w:rPr>
                <w:rFonts w:cs="Arial"/>
                <w:sz w:val="18"/>
                <w:szCs w:val="22"/>
                <w:lang w:eastAsia="en-AU" w:bidi="ar-SA"/>
              </w:rPr>
            </w:pPr>
          </w:p>
        </w:tc>
      </w:tr>
    </w:tbl>
    <w:p w14:paraId="0B062B15" w14:textId="77777777" w:rsidR="00720010" w:rsidRPr="00720010" w:rsidRDefault="00720010" w:rsidP="00720010">
      <w:pPr>
        <w:rPr>
          <w:sz w:val="18"/>
          <w:lang w:bidi="ar-SA"/>
        </w:rPr>
      </w:pPr>
    </w:p>
    <w:p w14:paraId="5A61AFCA" w14:textId="77777777" w:rsidR="00D5526B" w:rsidRPr="00720010" w:rsidRDefault="00D5526B" w:rsidP="00720010">
      <w:pPr>
        <w:tabs>
          <w:tab w:val="left" w:pos="851"/>
        </w:tabs>
        <w:rPr>
          <w:sz w:val="18"/>
        </w:rPr>
      </w:pPr>
    </w:p>
    <w:sectPr w:rsidR="00D5526B" w:rsidRPr="00720010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1AFCD" w14:textId="77777777" w:rsidR="009B0ED4" w:rsidRDefault="009B0ED4" w:rsidP="00631261">
      <w:r>
        <w:separator/>
      </w:r>
    </w:p>
  </w:endnote>
  <w:endnote w:type="continuationSeparator" w:id="0">
    <w:p w14:paraId="5A61AFCE" w14:textId="77777777" w:rsidR="009B0ED4" w:rsidRDefault="009B0ED4" w:rsidP="006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536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1AFCF" w14:textId="77777777" w:rsidR="00631261" w:rsidRDefault="00631261" w:rsidP="00631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1AFCB" w14:textId="77777777" w:rsidR="009B0ED4" w:rsidRDefault="009B0ED4" w:rsidP="00631261">
      <w:r>
        <w:separator/>
      </w:r>
    </w:p>
  </w:footnote>
  <w:footnote w:type="continuationSeparator" w:id="0">
    <w:p w14:paraId="5A61AFCC" w14:textId="77777777" w:rsidR="009B0ED4" w:rsidRDefault="009B0ED4" w:rsidP="0063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6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31261"/>
    <w:rsid w:val="006B6900"/>
    <w:rsid w:val="006D473E"/>
    <w:rsid w:val="00720010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B0ED4"/>
    <w:rsid w:val="009E265A"/>
    <w:rsid w:val="00A25B29"/>
    <w:rsid w:val="00A26F82"/>
    <w:rsid w:val="00B53154"/>
    <w:rsid w:val="00BC2133"/>
    <w:rsid w:val="00BD43BC"/>
    <w:rsid w:val="00BD6844"/>
    <w:rsid w:val="00BE4F3A"/>
    <w:rsid w:val="00C019A6"/>
    <w:rsid w:val="00C572A2"/>
    <w:rsid w:val="00D314FA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63126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FA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63126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FA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MMF7YEMDTSDN-102-29626</_dlc_DocId>
    <_dlc_DocIdUrl xmlns="5759555f-5bed-45a4-a4c2-4e28e2623455">
      <Url>http://fsintranet/Sections/OLC/_layouts/15/DocIdRedir.aspx?ID=MMF7YEMDTSDN-102-29626</Url>
      <Description>MMF7YEMDTSDN-102-29626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0B87-FA4D-4305-8593-88830C55E2BC}"/>
</file>

<file path=customXml/itemProps2.xml><?xml version="1.0" encoding="utf-8"?>
<ds:datastoreItem xmlns:ds="http://schemas.openxmlformats.org/officeDocument/2006/customXml" ds:itemID="{BB7EAC69-167C-4018-802C-774264E27D89}"/>
</file>

<file path=customXml/itemProps3.xml><?xml version="1.0" encoding="utf-8"?>
<ds:datastoreItem xmlns:ds="http://schemas.openxmlformats.org/officeDocument/2006/customXml" ds:itemID="{36419F8E-1DAA-4F93-A306-9807F21EF5BA}"/>
</file>

<file path=customXml/itemProps4.xml><?xml version="1.0" encoding="utf-8"?>
<ds:datastoreItem xmlns:ds="http://schemas.openxmlformats.org/officeDocument/2006/customXml" ds:itemID="{CAF3AC73-BFA5-4B15-9C5B-AA7FB6326349}"/>
</file>

<file path=customXml/itemProps5.xml><?xml version="1.0" encoding="utf-8"?>
<ds:datastoreItem xmlns:ds="http://schemas.openxmlformats.org/officeDocument/2006/customXml" ds:itemID="{E04998D6-AFD9-4CA1-843C-FDF3AEAD0D64}"/>
</file>

<file path=customXml/itemProps6.xml><?xml version="1.0" encoding="utf-8"?>
<ds:datastoreItem xmlns:ds="http://schemas.openxmlformats.org/officeDocument/2006/customXml" ds:itemID="{F67D5D29-5C13-491E-A4E7-1CBFD6BDAE9C}"/>
</file>

<file path=customXml/itemProps7.xml><?xml version="1.0" encoding="utf-8"?>
<ds:datastoreItem xmlns:ds="http://schemas.openxmlformats.org/officeDocument/2006/customXml" ds:itemID="{0FDE6CDC-8817-44F1-BC78-305A82681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2916</Characters>
  <Application>Microsoft Office Word</Application>
  <DocSecurity>0</DocSecurity>
  <Lines>24</Lines>
  <Paragraphs>6</Paragraphs>
  <ScaleCrop>false</ScaleCrop>
  <Company>Food Standards Australia New Zealand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cp:lastPrinted>2015-11-30T03:06:00Z</cp:lastPrinted>
  <dcterms:created xsi:type="dcterms:W3CDTF">2015-09-24T00:07:00Z</dcterms:created>
  <dcterms:modified xsi:type="dcterms:W3CDTF">2015-11-30T03:06:00Z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e0418e68-771c-44ef-bdef-fe24b71b09b0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