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9E550" w14:textId="77777777" w:rsidR="00EF57FB" w:rsidRPr="00D80068" w:rsidRDefault="00EF57FB" w:rsidP="00EF57FB">
      <w:pPr>
        <w:rPr>
          <w:noProof/>
          <w:sz w:val="20"/>
          <w:lang w:val="en-AU" w:eastAsia="en-AU"/>
        </w:rPr>
      </w:pPr>
      <w:r w:rsidRPr="00D80068">
        <w:rPr>
          <w:noProof/>
          <w:sz w:val="20"/>
          <w:lang w:eastAsia="en-GB" w:bidi="ar-SA"/>
        </w:rPr>
        <w:drawing>
          <wp:inline distT="0" distB="0" distL="0" distR="0" wp14:anchorId="3569E61A" wp14:editId="3569E61B">
            <wp:extent cx="2657475" cy="438150"/>
            <wp:effectExtent l="0" t="0" r="9525" b="0"/>
            <wp:docPr id="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569E551" w14:textId="77777777" w:rsidR="00EF57FB" w:rsidRPr="00D80068" w:rsidRDefault="00EF57FB" w:rsidP="00EF57FB">
      <w:pPr>
        <w:pBdr>
          <w:bottom w:val="single" w:sz="4" w:space="1" w:color="auto"/>
        </w:pBdr>
        <w:tabs>
          <w:tab w:val="left" w:pos="851"/>
        </w:tabs>
        <w:jc w:val="center"/>
        <w:rPr>
          <w:sz w:val="20"/>
          <w:szCs w:val="20"/>
          <w:lang w:bidi="ar-SA"/>
        </w:rPr>
      </w:pPr>
    </w:p>
    <w:p w14:paraId="3569E552" w14:textId="77777777" w:rsidR="00EF57FB" w:rsidRDefault="00EF57FB" w:rsidP="00EF57FB">
      <w:pPr>
        <w:pBdr>
          <w:bottom w:val="single" w:sz="4" w:space="1" w:color="auto"/>
        </w:pBdr>
        <w:rPr>
          <w:b/>
          <w:sz w:val="20"/>
          <w:szCs w:val="20"/>
        </w:rPr>
      </w:pPr>
      <w:r w:rsidRPr="00CB5D78">
        <w:rPr>
          <w:rFonts w:cs="Arial"/>
          <w:b/>
          <w:i/>
          <w:sz w:val="20"/>
          <w:szCs w:val="20"/>
        </w:rPr>
        <w:t>Australia New Zealand Food Standards Code</w:t>
      </w:r>
      <w:r w:rsidRPr="00D80068">
        <w:rPr>
          <w:rFonts w:cs="Arial"/>
          <w:b/>
          <w:sz w:val="20"/>
          <w:szCs w:val="20"/>
        </w:rPr>
        <w:t xml:space="preserve"> –</w:t>
      </w:r>
      <w:r w:rsidRPr="00D80068">
        <w:rPr>
          <w:rFonts w:cs="Arial"/>
          <w:b/>
          <w:color w:val="000000"/>
          <w:sz w:val="20"/>
          <w:szCs w:val="20"/>
        </w:rPr>
        <w:t xml:space="preserve"> Transitional Variation</w:t>
      </w:r>
      <w:r w:rsidRPr="00D80068">
        <w:rPr>
          <w:rFonts w:cs="Arial"/>
          <w:b/>
          <w:sz w:val="20"/>
          <w:szCs w:val="20"/>
        </w:rPr>
        <w:t xml:space="preserve"> 2015 (</w:t>
      </w:r>
      <w:r w:rsidRPr="00D80068">
        <w:rPr>
          <w:b/>
          <w:sz w:val="20"/>
        </w:rPr>
        <w:t xml:space="preserve">Proposal P1037 – Amendments associated with Nutrition </w:t>
      </w:r>
      <w:r>
        <w:rPr>
          <w:b/>
          <w:sz w:val="20"/>
        </w:rPr>
        <w:t xml:space="preserve">Content &amp; Health </w:t>
      </w:r>
      <w:r w:rsidRPr="00D80068">
        <w:rPr>
          <w:b/>
          <w:sz w:val="20"/>
        </w:rPr>
        <w:t>Claims</w:t>
      </w:r>
      <w:r w:rsidRPr="00D80068">
        <w:rPr>
          <w:rFonts w:cs="Arial"/>
          <w:b/>
          <w:sz w:val="20"/>
          <w:szCs w:val="20"/>
        </w:rPr>
        <w:t>)</w:t>
      </w:r>
      <w:r w:rsidRPr="00D80068">
        <w:rPr>
          <w:b/>
          <w:sz w:val="20"/>
          <w:szCs w:val="20"/>
        </w:rPr>
        <w:t xml:space="preserve"> </w:t>
      </w:r>
    </w:p>
    <w:p w14:paraId="3569E553" w14:textId="77777777" w:rsidR="00EF57FB" w:rsidRPr="00D80068" w:rsidRDefault="00EF57FB" w:rsidP="00EF57FB">
      <w:pPr>
        <w:pBdr>
          <w:bottom w:val="single" w:sz="4" w:space="1" w:color="auto"/>
        </w:pBdr>
        <w:rPr>
          <w:b/>
          <w:sz w:val="20"/>
          <w:szCs w:val="20"/>
        </w:rPr>
      </w:pPr>
    </w:p>
    <w:p w14:paraId="3569E554" w14:textId="77777777" w:rsidR="00EF57FB" w:rsidRPr="00D80068" w:rsidRDefault="00EF57FB" w:rsidP="00EF57FB">
      <w:pPr>
        <w:rPr>
          <w:sz w:val="20"/>
        </w:rPr>
      </w:pPr>
    </w:p>
    <w:p w14:paraId="3569E555" w14:textId="77777777" w:rsidR="00EF57FB" w:rsidRPr="00D80068" w:rsidRDefault="00EF57FB" w:rsidP="00EF57FB">
      <w:pPr>
        <w:rPr>
          <w:sz w:val="20"/>
        </w:rPr>
      </w:pPr>
      <w:r w:rsidRPr="00D80068">
        <w:rPr>
          <w:sz w:val="20"/>
        </w:rPr>
        <w:t xml:space="preserve">The Board of Food Standards Australia New Zealand gives notice of the making of this variation under section 92 of the </w:t>
      </w:r>
      <w:r w:rsidRPr="00D80068">
        <w:rPr>
          <w:i/>
          <w:sz w:val="20"/>
        </w:rPr>
        <w:t>Food Standards Australia New Zealand Act 1991</w:t>
      </w:r>
      <w:r w:rsidRPr="00D80068">
        <w:rPr>
          <w:sz w:val="20"/>
        </w:rPr>
        <w:t>.  Th</w:t>
      </w:r>
      <w:r>
        <w:rPr>
          <w:sz w:val="20"/>
        </w:rPr>
        <w:t>is</w:t>
      </w:r>
      <w:r w:rsidRPr="00D80068">
        <w:rPr>
          <w:sz w:val="20"/>
        </w:rPr>
        <w:t xml:space="preserve"> </w:t>
      </w:r>
      <w:r>
        <w:rPr>
          <w:sz w:val="20"/>
        </w:rPr>
        <w:t>variation</w:t>
      </w:r>
      <w:r w:rsidRPr="00D80068">
        <w:rPr>
          <w:sz w:val="20"/>
        </w:rPr>
        <w:t xml:space="preserve"> commences on the date specified in clause 2 of the variation.</w:t>
      </w:r>
    </w:p>
    <w:p w14:paraId="3569E556" w14:textId="77777777" w:rsidR="00EF57FB" w:rsidRPr="00D80068" w:rsidRDefault="00EF57FB" w:rsidP="00EF57FB">
      <w:pPr>
        <w:rPr>
          <w:sz w:val="20"/>
        </w:rPr>
      </w:pPr>
    </w:p>
    <w:p w14:paraId="27E503AB" w14:textId="77777777" w:rsidR="002265D8" w:rsidRPr="002265D8" w:rsidRDefault="002265D8" w:rsidP="002265D8">
      <w:pPr>
        <w:rPr>
          <w:sz w:val="20"/>
        </w:rPr>
      </w:pPr>
      <w:r w:rsidRPr="002265D8">
        <w:rPr>
          <w:sz w:val="20"/>
        </w:rPr>
        <w:t>30 November 2015</w:t>
      </w:r>
    </w:p>
    <w:p w14:paraId="3569E558" w14:textId="01ABD27E" w:rsidR="00EF57FB" w:rsidRPr="00D80068" w:rsidRDefault="007F2897" w:rsidP="00EF57FB">
      <w:pPr>
        <w:rPr>
          <w:sz w:val="20"/>
        </w:rPr>
      </w:pPr>
      <w:r w:rsidRPr="00980624">
        <w:rPr>
          <w:noProof/>
          <w:lang w:eastAsia="en-GB"/>
        </w:rPr>
        <w:drawing>
          <wp:inline distT="0" distB="0" distL="0" distR="0" wp14:anchorId="37B6EA57" wp14:editId="7F48D8C8">
            <wp:extent cx="1343025" cy="790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3569E55D" w14:textId="77777777" w:rsidR="00EF57FB" w:rsidRPr="00D80068" w:rsidRDefault="00EF57FB" w:rsidP="00EF57FB">
      <w:pPr>
        <w:rPr>
          <w:sz w:val="20"/>
        </w:rPr>
      </w:pPr>
      <w:bookmarkStart w:id="0" w:name="_GoBack"/>
      <w:bookmarkEnd w:id="0"/>
      <w:r w:rsidRPr="00D80068">
        <w:rPr>
          <w:sz w:val="20"/>
        </w:rPr>
        <w:t>Standards Management Officer</w:t>
      </w:r>
    </w:p>
    <w:p w14:paraId="3569E55E" w14:textId="77777777" w:rsidR="00EF57FB" w:rsidRPr="00D80068" w:rsidRDefault="00EF57FB" w:rsidP="00EF57FB">
      <w:pPr>
        <w:rPr>
          <w:sz w:val="20"/>
        </w:rPr>
      </w:pPr>
      <w:r w:rsidRPr="00D80068">
        <w:rPr>
          <w:sz w:val="20"/>
        </w:rPr>
        <w:t>Delegate of the Board of Food Standards Australia New Zealand</w:t>
      </w:r>
    </w:p>
    <w:p w14:paraId="3569E55F" w14:textId="77777777" w:rsidR="00EF57FB" w:rsidRPr="00D80068" w:rsidRDefault="00EF57FB" w:rsidP="00EF57FB">
      <w:pPr>
        <w:rPr>
          <w:sz w:val="20"/>
        </w:rPr>
      </w:pPr>
    </w:p>
    <w:p w14:paraId="3569E560" w14:textId="77777777" w:rsidR="00EF57FB" w:rsidRPr="00D80068" w:rsidRDefault="00EF57FB" w:rsidP="00EF57FB">
      <w:pPr>
        <w:rPr>
          <w:sz w:val="20"/>
        </w:rPr>
      </w:pPr>
    </w:p>
    <w:p w14:paraId="3569E561" w14:textId="77777777" w:rsidR="00EF57FB" w:rsidRPr="00D80068" w:rsidRDefault="00EF57FB" w:rsidP="00EF57FB">
      <w:pPr>
        <w:rPr>
          <w:sz w:val="20"/>
        </w:rPr>
      </w:pPr>
    </w:p>
    <w:p w14:paraId="3569E562" w14:textId="77777777" w:rsidR="00EF57FB" w:rsidRPr="00D80068" w:rsidRDefault="00EF57FB" w:rsidP="00EF57FB">
      <w:pPr>
        <w:rPr>
          <w:sz w:val="20"/>
        </w:rPr>
      </w:pPr>
    </w:p>
    <w:p w14:paraId="3569E563" w14:textId="77777777" w:rsidR="00EF57FB" w:rsidRPr="00D80068" w:rsidRDefault="00EF57FB" w:rsidP="00EF57FB">
      <w:pPr>
        <w:rPr>
          <w:sz w:val="20"/>
        </w:rPr>
      </w:pPr>
    </w:p>
    <w:p w14:paraId="55AEAA05" w14:textId="77777777" w:rsidR="002265D8" w:rsidRPr="002265D8" w:rsidRDefault="002265D8" w:rsidP="002265D8">
      <w:pPr>
        <w:keepNext/>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2265D8">
        <w:rPr>
          <w:b/>
          <w:sz w:val="20"/>
          <w:szCs w:val="20"/>
          <w:lang w:val="en-AU"/>
        </w:rPr>
        <w:t xml:space="preserve">Note:  </w:t>
      </w:r>
    </w:p>
    <w:p w14:paraId="28BD5DE8" w14:textId="77777777" w:rsidR="002265D8" w:rsidRPr="002265D8" w:rsidRDefault="002265D8" w:rsidP="002265D8">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03C849D4" w14:textId="77777777" w:rsidR="002265D8" w:rsidRPr="002265D8" w:rsidRDefault="002265D8" w:rsidP="002265D8">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2265D8">
        <w:rPr>
          <w:sz w:val="20"/>
          <w:szCs w:val="20"/>
          <w:lang w:val="en-AU"/>
        </w:rPr>
        <w:t xml:space="preserve">This variation will be published in the Commonwealth of Australia Gazette No. FSC 101 on 7 December 2015. </w:t>
      </w:r>
    </w:p>
    <w:p w14:paraId="3569E567" w14:textId="77777777" w:rsidR="00EF57FB" w:rsidRPr="00D80068" w:rsidRDefault="00EF57FB" w:rsidP="00EF57FB">
      <w:pPr>
        <w:rPr>
          <w:sz w:val="20"/>
        </w:rPr>
      </w:pPr>
    </w:p>
    <w:p w14:paraId="3569E568" w14:textId="77777777" w:rsidR="00EF57FB" w:rsidRPr="00D80068" w:rsidRDefault="00EF57FB" w:rsidP="00EF57FB">
      <w:pPr>
        <w:keepNext/>
        <w:keepLines/>
        <w:widowControl/>
        <w:spacing w:before="360"/>
        <w:ind w:left="964" w:hanging="964"/>
        <w:rPr>
          <w:rFonts w:cs="Arial"/>
          <w:b/>
          <w:szCs w:val="22"/>
          <w:lang w:val="en-AU" w:eastAsia="en-AU" w:bidi="ar-SA"/>
        </w:rPr>
      </w:pPr>
      <w:r w:rsidRPr="00D80068">
        <w:rPr>
          <w:rFonts w:cs="Arial"/>
          <w:b/>
          <w:szCs w:val="22"/>
          <w:lang w:val="en-AU" w:eastAsia="en-AU" w:bidi="ar-SA"/>
        </w:rPr>
        <w:br w:type="page"/>
      </w:r>
    </w:p>
    <w:p w14:paraId="3569E569" w14:textId="77777777" w:rsidR="00EF57FB" w:rsidRPr="00D80068" w:rsidRDefault="00EF57FB" w:rsidP="00EF57FB">
      <w:pPr>
        <w:keepNext/>
        <w:keepLines/>
        <w:widowControl/>
        <w:ind w:left="851" w:hanging="851"/>
        <w:rPr>
          <w:b/>
          <w:sz w:val="20"/>
          <w:szCs w:val="20"/>
          <w:lang w:val="en-AU" w:eastAsia="en-AU" w:bidi="ar-SA"/>
        </w:rPr>
      </w:pPr>
      <w:r w:rsidRPr="00D80068">
        <w:rPr>
          <w:b/>
          <w:sz w:val="20"/>
          <w:szCs w:val="20"/>
          <w:lang w:val="en-AU" w:eastAsia="en-AU" w:bidi="ar-SA"/>
        </w:rPr>
        <w:lastRenderedPageBreak/>
        <w:t>1</w:t>
      </w:r>
      <w:r w:rsidRPr="00D80068">
        <w:rPr>
          <w:b/>
          <w:sz w:val="20"/>
          <w:szCs w:val="20"/>
          <w:lang w:val="en-AU" w:eastAsia="en-AU" w:bidi="ar-SA"/>
        </w:rPr>
        <w:tab/>
        <w:t>Name of instrument</w:t>
      </w:r>
    </w:p>
    <w:p w14:paraId="3569E56A" w14:textId="77777777" w:rsidR="00EF57FB" w:rsidRDefault="00EF57FB" w:rsidP="00EF57FB">
      <w:pPr>
        <w:keepLines/>
        <w:widowControl/>
        <w:tabs>
          <w:tab w:val="right" w:pos="794"/>
        </w:tabs>
        <w:ind w:left="851" w:hanging="851"/>
        <w:jc w:val="both"/>
        <w:rPr>
          <w:rFonts w:cs="Arial"/>
          <w:sz w:val="20"/>
          <w:szCs w:val="20"/>
          <w:lang w:val="en-AU" w:eastAsia="en-AU" w:bidi="ar-SA"/>
        </w:rPr>
      </w:pPr>
    </w:p>
    <w:p w14:paraId="3569E56B" w14:textId="77777777" w:rsidR="00EF57FB" w:rsidRDefault="00EF57FB" w:rsidP="00EF57FB">
      <w:pPr>
        <w:keepLines/>
        <w:widowControl/>
        <w:rPr>
          <w:rFonts w:cs="Arial"/>
          <w:i/>
          <w:sz w:val="20"/>
          <w:szCs w:val="20"/>
          <w:lang w:val="en-AU" w:eastAsia="en-AU" w:bidi="ar-SA"/>
        </w:rPr>
      </w:pPr>
      <w:r w:rsidRPr="00D80068">
        <w:rPr>
          <w:rFonts w:cs="Arial"/>
          <w:sz w:val="20"/>
          <w:szCs w:val="20"/>
          <w:lang w:val="en-AU" w:eastAsia="en-AU" w:bidi="ar-SA"/>
        </w:rPr>
        <w:t xml:space="preserve">This instrument is the </w:t>
      </w:r>
      <w:r w:rsidRPr="00D80068">
        <w:rPr>
          <w:rFonts w:cs="Arial"/>
          <w:i/>
          <w:sz w:val="20"/>
          <w:szCs w:val="20"/>
          <w:lang w:val="en-AU" w:eastAsia="en-AU" w:bidi="ar-SA"/>
        </w:rPr>
        <w:t>Australia New Zealand Food Standards Code –</w:t>
      </w:r>
      <w:r w:rsidRPr="00D80068">
        <w:rPr>
          <w:rFonts w:cs="Arial"/>
          <w:i/>
          <w:color w:val="000000"/>
          <w:sz w:val="20"/>
          <w:szCs w:val="20"/>
          <w:lang w:val="en-AU" w:eastAsia="en-AU" w:bidi="ar-SA"/>
        </w:rPr>
        <w:t xml:space="preserve"> Transitional Variation</w:t>
      </w:r>
      <w:r w:rsidRPr="00D80068">
        <w:rPr>
          <w:rFonts w:cs="Arial"/>
          <w:i/>
          <w:sz w:val="20"/>
          <w:szCs w:val="20"/>
          <w:lang w:val="en-AU" w:eastAsia="en-AU" w:bidi="ar-SA"/>
        </w:rPr>
        <w:t xml:space="preserve"> 2015 (</w:t>
      </w:r>
      <w:r w:rsidRPr="00D80068">
        <w:rPr>
          <w:rFonts w:cs="Arial"/>
          <w:i/>
          <w:sz w:val="20"/>
          <w:lang w:val="en-AU" w:eastAsia="en-AU" w:bidi="ar-SA"/>
        </w:rPr>
        <w:t xml:space="preserve">Proposal P1037 – Amendments associated with Nutrition </w:t>
      </w:r>
      <w:r>
        <w:rPr>
          <w:rFonts w:cs="Arial"/>
          <w:i/>
          <w:sz w:val="20"/>
          <w:lang w:val="en-AU" w:eastAsia="en-AU" w:bidi="ar-SA"/>
        </w:rPr>
        <w:t xml:space="preserve">Content &amp; Health </w:t>
      </w:r>
      <w:r w:rsidRPr="00D80068">
        <w:rPr>
          <w:rFonts w:cs="Arial"/>
          <w:i/>
          <w:sz w:val="20"/>
          <w:lang w:val="en-AU" w:eastAsia="en-AU" w:bidi="ar-SA"/>
        </w:rPr>
        <w:t>Claims</w:t>
      </w:r>
      <w:r w:rsidRPr="00D80068">
        <w:rPr>
          <w:rFonts w:cs="Arial"/>
          <w:i/>
          <w:sz w:val="20"/>
          <w:szCs w:val="20"/>
          <w:lang w:val="en-AU" w:eastAsia="en-AU" w:bidi="ar-SA"/>
        </w:rPr>
        <w:t>).</w:t>
      </w:r>
    </w:p>
    <w:p w14:paraId="3569E56C" w14:textId="77777777" w:rsidR="00EF57FB" w:rsidRPr="00D80068" w:rsidRDefault="00EF57FB" w:rsidP="00EF57FB">
      <w:pPr>
        <w:keepLines/>
        <w:widowControl/>
        <w:jc w:val="both"/>
        <w:rPr>
          <w:rFonts w:cs="Arial"/>
          <w:sz w:val="20"/>
          <w:szCs w:val="20"/>
          <w:lang w:val="en-AU" w:eastAsia="en-AU" w:bidi="ar-SA"/>
        </w:rPr>
      </w:pPr>
    </w:p>
    <w:p w14:paraId="3569E56D" w14:textId="77777777" w:rsidR="00EF57FB" w:rsidRDefault="00EF57FB" w:rsidP="00EF57FB">
      <w:pPr>
        <w:keepNext/>
        <w:keepLines/>
        <w:widowControl/>
        <w:ind w:left="851" w:hanging="851"/>
        <w:rPr>
          <w:rFonts w:cs="Arial"/>
          <w:b/>
          <w:sz w:val="20"/>
          <w:szCs w:val="20"/>
          <w:lang w:val="en-AU" w:eastAsia="en-AU" w:bidi="ar-SA"/>
        </w:rPr>
      </w:pPr>
      <w:r w:rsidRPr="00D80068">
        <w:rPr>
          <w:rFonts w:cs="Arial"/>
          <w:b/>
          <w:sz w:val="20"/>
          <w:szCs w:val="20"/>
          <w:lang w:val="en-AU" w:eastAsia="en-AU" w:bidi="ar-SA"/>
        </w:rPr>
        <w:t>2</w:t>
      </w:r>
      <w:r w:rsidRPr="00D80068">
        <w:rPr>
          <w:rFonts w:cs="Arial"/>
          <w:b/>
          <w:sz w:val="20"/>
          <w:szCs w:val="20"/>
          <w:lang w:val="en-AU" w:eastAsia="en-AU" w:bidi="ar-SA"/>
        </w:rPr>
        <w:tab/>
        <w:t>Commencement</w:t>
      </w:r>
    </w:p>
    <w:p w14:paraId="3569E56E" w14:textId="77777777" w:rsidR="00EF57FB" w:rsidRPr="00D80068" w:rsidRDefault="00EF57FB" w:rsidP="00EF57FB">
      <w:pPr>
        <w:keepNext/>
        <w:keepLines/>
        <w:widowControl/>
        <w:ind w:left="851" w:hanging="851"/>
        <w:rPr>
          <w:rFonts w:cs="Arial"/>
          <w:b/>
          <w:sz w:val="20"/>
          <w:szCs w:val="20"/>
          <w:lang w:val="en-AU" w:eastAsia="en-AU" w:bidi="ar-SA"/>
        </w:rPr>
      </w:pPr>
    </w:p>
    <w:p w14:paraId="3569E56F" w14:textId="77777777" w:rsidR="00EF57FB" w:rsidRDefault="00EF57FB" w:rsidP="00EF57FB">
      <w:pPr>
        <w:keepLines/>
        <w:widowControl/>
        <w:rPr>
          <w:rFonts w:cs="Arial"/>
          <w:sz w:val="20"/>
          <w:szCs w:val="20"/>
          <w:lang w:val="en-AU" w:eastAsia="en-AU" w:bidi="ar-SA"/>
        </w:rPr>
      </w:pPr>
      <w:r w:rsidRPr="00D80068">
        <w:rPr>
          <w:rFonts w:cs="Arial"/>
          <w:sz w:val="20"/>
          <w:szCs w:val="20"/>
          <w:lang w:val="en-AU" w:eastAsia="en-AU" w:bidi="ar-SA"/>
        </w:rPr>
        <w:t>This instrument commences on 1 March 2016 immediately after the commencement of Standard 5.1.1 – Revocation and transitional provisions — 2014 Revision.</w:t>
      </w:r>
    </w:p>
    <w:p w14:paraId="3569E570" w14:textId="77777777" w:rsidR="00EF57FB" w:rsidRPr="00D80068" w:rsidRDefault="00EF57FB" w:rsidP="00EF57FB">
      <w:pPr>
        <w:keepLines/>
        <w:widowControl/>
        <w:jc w:val="both"/>
        <w:rPr>
          <w:rFonts w:cs="Arial"/>
          <w:sz w:val="20"/>
          <w:szCs w:val="20"/>
          <w:lang w:val="en-AU" w:eastAsia="en-AU" w:bidi="ar-SA"/>
        </w:rPr>
      </w:pPr>
    </w:p>
    <w:p w14:paraId="3569E571" w14:textId="77777777" w:rsidR="00EF57FB" w:rsidRDefault="00EF57FB" w:rsidP="00EF57FB">
      <w:pPr>
        <w:keepNext/>
        <w:keepLines/>
        <w:widowControl/>
        <w:ind w:left="851" w:hanging="851"/>
        <w:rPr>
          <w:b/>
          <w:i/>
          <w:sz w:val="20"/>
          <w:szCs w:val="20"/>
          <w:lang w:val="en-AU" w:eastAsia="en-AU" w:bidi="ar-SA"/>
        </w:rPr>
      </w:pPr>
      <w:r w:rsidRPr="00D80068">
        <w:rPr>
          <w:rFonts w:cs="Arial"/>
          <w:b/>
          <w:sz w:val="20"/>
          <w:szCs w:val="20"/>
          <w:lang w:val="en-AU" w:eastAsia="en-AU" w:bidi="ar-SA"/>
        </w:rPr>
        <w:t>3</w:t>
      </w:r>
      <w:r w:rsidRPr="00D80068">
        <w:rPr>
          <w:rFonts w:cs="Arial"/>
          <w:b/>
          <w:sz w:val="20"/>
          <w:szCs w:val="20"/>
          <w:lang w:val="en-AU" w:eastAsia="en-AU" w:bidi="ar-SA"/>
        </w:rPr>
        <w:tab/>
        <w:t xml:space="preserve">Variation </w:t>
      </w:r>
      <w:r w:rsidRPr="00D80068">
        <w:rPr>
          <w:b/>
          <w:sz w:val="20"/>
          <w:szCs w:val="20"/>
          <w:lang w:val="en-AU" w:eastAsia="en-AU" w:bidi="ar-SA"/>
        </w:rPr>
        <w:t xml:space="preserve">to Standards in the </w:t>
      </w:r>
      <w:r w:rsidRPr="00D80068">
        <w:rPr>
          <w:b/>
          <w:i/>
          <w:sz w:val="20"/>
          <w:szCs w:val="20"/>
          <w:lang w:val="en-AU" w:eastAsia="en-AU" w:bidi="ar-SA"/>
        </w:rPr>
        <w:t>Australia New Zealand Food Standards Code</w:t>
      </w:r>
    </w:p>
    <w:p w14:paraId="3569E572" w14:textId="77777777" w:rsidR="00EF57FB" w:rsidRPr="00D80068" w:rsidRDefault="00EF57FB" w:rsidP="00EF57FB">
      <w:pPr>
        <w:keepNext/>
        <w:keepLines/>
        <w:widowControl/>
        <w:ind w:left="851" w:hanging="851"/>
        <w:rPr>
          <w:rFonts w:cs="Arial"/>
          <w:b/>
          <w:sz w:val="20"/>
          <w:szCs w:val="20"/>
          <w:lang w:val="en-AU" w:eastAsia="en-AU" w:bidi="ar-SA"/>
        </w:rPr>
      </w:pPr>
    </w:p>
    <w:p w14:paraId="3569E573" w14:textId="77777777" w:rsidR="00EF57FB" w:rsidRDefault="00EF57FB" w:rsidP="00EF57FB">
      <w:pPr>
        <w:keepLines/>
        <w:widowControl/>
        <w:jc w:val="both"/>
        <w:rPr>
          <w:rFonts w:cs="Arial"/>
          <w:sz w:val="20"/>
          <w:szCs w:val="20"/>
          <w:lang w:val="en-AU" w:eastAsia="en-AU" w:bidi="ar-SA"/>
        </w:rPr>
      </w:pPr>
      <w:r w:rsidRPr="00D80068">
        <w:rPr>
          <w:rFonts w:cs="Arial"/>
          <w:sz w:val="20"/>
          <w:szCs w:val="20"/>
          <w:lang w:val="en-AU" w:eastAsia="en-AU" w:bidi="ar-SA"/>
        </w:rPr>
        <w:t xml:space="preserve">The Schedule varies Standards in the </w:t>
      </w:r>
      <w:r w:rsidRPr="00D80068">
        <w:rPr>
          <w:rFonts w:cs="Arial"/>
          <w:i/>
          <w:sz w:val="20"/>
          <w:szCs w:val="20"/>
          <w:lang w:val="en-AU" w:eastAsia="en-AU" w:bidi="ar-SA"/>
        </w:rPr>
        <w:t>Australia New Zealand Food Standards Code</w:t>
      </w:r>
      <w:r w:rsidRPr="00D80068">
        <w:rPr>
          <w:rFonts w:cs="Arial"/>
          <w:sz w:val="20"/>
          <w:szCs w:val="20"/>
          <w:lang w:val="en-AU" w:eastAsia="en-AU" w:bidi="ar-SA"/>
        </w:rPr>
        <w:t>.</w:t>
      </w:r>
    </w:p>
    <w:p w14:paraId="3569E574" w14:textId="77777777" w:rsidR="00EF57FB" w:rsidRDefault="00EF57FB" w:rsidP="00EF57FB">
      <w:pPr>
        <w:keepLines/>
        <w:widowControl/>
        <w:jc w:val="both"/>
        <w:rPr>
          <w:rFonts w:cs="Arial"/>
          <w:sz w:val="20"/>
          <w:szCs w:val="20"/>
          <w:lang w:val="en-AU" w:eastAsia="en-AU" w:bidi="ar-SA"/>
        </w:rPr>
      </w:pPr>
    </w:p>
    <w:p w14:paraId="3569E575" w14:textId="77777777" w:rsidR="00EF57FB" w:rsidRDefault="00EF57FB" w:rsidP="00EF57FB">
      <w:pPr>
        <w:keepNext/>
        <w:keepLines/>
        <w:widowControl/>
        <w:ind w:left="851" w:hanging="851"/>
        <w:rPr>
          <w:b/>
          <w:i/>
          <w:sz w:val="20"/>
          <w:szCs w:val="20"/>
          <w:lang w:val="en-AU" w:eastAsia="en-AU" w:bidi="ar-SA"/>
        </w:rPr>
      </w:pPr>
      <w:r>
        <w:rPr>
          <w:rFonts w:cs="Arial"/>
          <w:b/>
          <w:sz w:val="20"/>
          <w:szCs w:val="20"/>
          <w:lang w:val="en-AU" w:eastAsia="en-AU" w:bidi="ar-SA"/>
        </w:rPr>
        <w:t>4</w:t>
      </w:r>
      <w:r w:rsidRPr="00D80068">
        <w:rPr>
          <w:rFonts w:cs="Arial"/>
          <w:b/>
          <w:sz w:val="20"/>
          <w:szCs w:val="20"/>
          <w:lang w:val="en-AU" w:eastAsia="en-AU" w:bidi="ar-SA"/>
        </w:rPr>
        <w:tab/>
      </w:r>
      <w:r>
        <w:rPr>
          <w:rFonts w:cs="Arial"/>
          <w:b/>
          <w:sz w:val="20"/>
          <w:szCs w:val="20"/>
          <w:lang w:val="en-AU" w:eastAsia="en-AU" w:bidi="ar-SA"/>
        </w:rPr>
        <w:t>Effect of prescribed v</w:t>
      </w:r>
      <w:r w:rsidRPr="00D80068">
        <w:rPr>
          <w:rFonts w:cs="Arial"/>
          <w:b/>
          <w:sz w:val="20"/>
          <w:szCs w:val="20"/>
          <w:lang w:val="en-AU" w:eastAsia="en-AU" w:bidi="ar-SA"/>
        </w:rPr>
        <w:t>ariation</w:t>
      </w:r>
      <w:r>
        <w:rPr>
          <w:rFonts w:cs="Arial"/>
          <w:b/>
          <w:sz w:val="20"/>
          <w:szCs w:val="20"/>
          <w:lang w:val="en-AU" w:eastAsia="en-AU" w:bidi="ar-SA"/>
        </w:rPr>
        <w:t>s</w:t>
      </w:r>
      <w:r w:rsidRPr="00D80068">
        <w:rPr>
          <w:rFonts w:cs="Arial"/>
          <w:b/>
          <w:sz w:val="20"/>
          <w:szCs w:val="20"/>
          <w:lang w:val="en-AU" w:eastAsia="en-AU" w:bidi="ar-SA"/>
        </w:rPr>
        <w:t xml:space="preserve"> </w:t>
      </w:r>
    </w:p>
    <w:p w14:paraId="3569E576" w14:textId="77777777" w:rsidR="00EF57FB" w:rsidRPr="00D80068" w:rsidRDefault="00EF57FB" w:rsidP="00EF57FB">
      <w:pPr>
        <w:keepNext/>
        <w:keepLines/>
        <w:widowControl/>
        <w:ind w:left="851" w:hanging="851"/>
        <w:rPr>
          <w:rFonts w:cs="Arial"/>
          <w:b/>
          <w:sz w:val="20"/>
          <w:szCs w:val="20"/>
          <w:lang w:val="en-AU" w:eastAsia="en-AU" w:bidi="ar-SA"/>
        </w:rPr>
      </w:pPr>
    </w:p>
    <w:p w14:paraId="3569E577" w14:textId="77777777" w:rsidR="00EF57FB" w:rsidRDefault="00EF57FB" w:rsidP="00EF57FB">
      <w:pPr>
        <w:pStyle w:val="Subclause"/>
      </w:pPr>
      <w:r>
        <w:t>(1)</w:t>
      </w:r>
      <w:r>
        <w:tab/>
      </w:r>
      <w:r w:rsidRPr="00AE1AEF">
        <w:t xml:space="preserve">In this </w:t>
      </w:r>
      <w:r>
        <w:t>section:</w:t>
      </w:r>
    </w:p>
    <w:p w14:paraId="3569E578" w14:textId="77777777" w:rsidR="00EF57FB" w:rsidRDefault="00EF57FB" w:rsidP="00EF57FB">
      <w:pPr>
        <w:pStyle w:val="ListParagraph"/>
        <w:tabs>
          <w:tab w:val="left" w:pos="851"/>
        </w:tabs>
        <w:ind w:left="0"/>
        <w:rPr>
          <w:sz w:val="20"/>
          <w:szCs w:val="20"/>
        </w:rPr>
      </w:pPr>
    </w:p>
    <w:p w14:paraId="3569E579" w14:textId="77777777" w:rsidR="00EF57FB" w:rsidRDefault="00EF57FB" w:rsidP="00EF57FB">
      <w:pPr>
        <w:pStyle w:val="Clause"/>
        <w:ind w:left="1701" w:hanging="850"/>
        <w:rPr>
          <w:rFonts w:cs="Arial"/>
          <w:i/>
          <w:lang w:val="en-AU" w:eastAsia="en-AU" w:bidi="ar-SA"/>
        </w:rPr>
      </w:pPr>
      <w:r>
        <w:rPr>
          <w:b/>
        </w:rPr>
        <w:t xml:space="preserve">the Code </w:t>
      </w:r>
      <w:r w:rsidRPr="00EE0CA2">
        <w:t>means the</w:t>
      </w:r>
      <w:r>
        <w:rPr>
          <w:b/>
        </w:rPr>
        <w:t xml:space="preserve"> </w:t>
      </w:r>
      <w:r w:rsidRPr="00D80068">
        <w:rPr>
          <w:rFonts w:cs="Arial"/>
          <w:i/>
          <w:lang w:val="en-AU" w:eastAsia="en-AU" w:bidi="ar-SA"/>
        </w:rPr>
        <w:t xml:space="preserve">Australia </w:t>
      </w:r>
      <w:r>
        <w:rPr>
          <w:rFonts w:cs="Arial"/>
          <w:i/>
          <w:lang w:val="en-AU" w:eastAsia="en-AU" w:bidi="ar-SA"/>
        </w:rPr>
        <w:t>New Zealand Food Standards Code.</w:t>
      </w:r>
    </w:p>
    <w:p w14:paraId="3569E57A" w14:textId="77777777" w:rsidR="00EF57FB" w:rsidRDefault="00EF57FB" w:rsidP="00EF57FB">
      <w:pPr>
        <w:pStyle w:val="Clause"/>
        <w:ind w:left="1701" w:hanging="850"/>
        <w:rPr>
          <w:b/>
        </w:rPr>
      </w:pPr>
    </w:p>
    <w:p w14:paraId="3569E57B" w14:textId="77777777" w:rsidR="00EF57FB" w:rsidRPr="00AE1AEF" w:rsidRDefault="00EF57FB" w:rsidP="00EF57FB">
      <w:pPr>
        <w:pStyle w:val="Clause"/>
        <w:ind w:left="1701" w:hanging="850"/>
      </w:pPr>
      <w:r>
        <w:rPr>
          <w:b/>
        </w:rPr>
        <w:t>prescribed variations</w:t>
      </w:r>
      <w:r>
        <w:t xml:space="preserve"> means the variations to the Code made by this instrument other than the variations made by items 1, 2 and 3.1 of the Schedule.</w:t>
      </w:r>
    </w:p>
    <w:p w14:paraId="3569E57C" w14:textId="77777777" w:rsidR="00EF57FB" w:rsidRDefault="00EF57FB" w:rsidP="00EF57FB">
      <w:pPr>
        <w:pStyle w:val="Clause"/>
        <w:ind w:left="1701" w:hanging="850"/>
        <w:rPr>
          <w:b/>
        </w:rPr>
      </w:pPr>
    </w:p>
    <w:p w14:paraId="3569E57D" w14:textId="77777777" w:rsidR="00EF57FB" w:rsidRDefault="00EF57FB" w:rsidP="00EF57FB">
      <w:pPr>
        <w:pStyle w:val="Clause"/>
        <w:ind w:left="1701" w:hanging="850"/>
      </w:pPr>
      <w:r w:rsidRPr="00080437">
        <w:rPr>
          <w:b/>
        </w:rPr>
        <w:t>transitional period</w:t>
      </w:r>
      <w:r w:rsidRPr="00080437">
        <w:t xml:space="preserve"> means the period of time that commences on </w:t>
      </w:r>
      <w:r>
        <w:t xml:space="preserve">1 March 2016 and </w:t>
      </w:r>
      <w:r w:rsidRPr="00080437">
        <w:t xml:space="preserve">ends on </w:t>
      </w:r>
      <w:r>
        <w:t>18 January 2017.</w:t>
      </w:r>
    </w:p>
    <w:p w14:paraId="3569E57E" w14:textId="77777777" w:rsidR="00EF57FB" w:rsidRDefault="00EF57FB" w:rsidP="00EF57FB">
      <w:pPr>
        <w:pStyle w:val="Subclause"/>
      </w:pPr>
    </w:p>
    <w:p w14:paraId="3569E57F" w14:textId="77777777" w:rsidR="00EF57FB" w:rsidRDefault="00EF57FB" w:rsidP="00EF57FB">
      <w:pPr>
        <w:pStyle w:val="Subclause"/>
      </w:pPr>
      <w:r>
        <w:t>(2)</w:t>
      </w:r>
      <w:r>
        <w:tab/>
        <w:t>Section 1.1.1</w:t>
      </w:r>
      <w:r w:rsidRPr="00D80068">
        <w:t>—</w:t>
      </w:r>
      <w:r>
        <w:t>9 of the Code</w:t>
      </w:r>
      <w:r>
        <w:rPr>
          <w:i/>
        </w:rPr>
        <w:t xml:space="preserve"> </w:t>
      </w:r>
      <w:r>
        <w:t>does not apply to the prescribed variations.</w:t>
      </w:r>
    </w:p>
    <w:p w14:paraId="3569E580" w14:textId="77777777" w:rsidR="00EF57FB" w:rsidRDefault="00EF57FB" w:rsidP="00EF57FB">
      <w:pPr>
        <w:pStyle w:val="Subclause"/>
      </w:pPr>
    </w:p>
    <w:p w14:paraId="3569E581" w14:textId="77777777" w:rsidR="00EF57FB" w:rsidRDefault="00EF57FB" w:rsidP="00EF57FB">
      <w:pPr>
        <w:pStyle w:val="Subclause"/>
      </w:pPr>
      <w:r>
        <w:t>(3)</w:t>
      </w:r>
      <w:r>
        <w:tab/>
      </w:r>
      <w:r w:rsidRPr="00080437">
        <w:t xml:space="preserve">During </w:t>
      </w:r>
      <w:r>
        <w:t xml:space="preserve">the </w:t>
      </w:r>
      <w:r w:rsidRPr="00080437">
        <w:t xml:space="preserve">transition period, </w:t>
      </w:r>
      <w:r>
        <w:rPr>
          <w:rStyle w:val="SubclauseChar"/>
          <w:rFonts w:eastAsiaTheme="majorEastAsia" w:cstheme="minorBidi"/>
        </w:rPr>
        <w:t>a food</w:t>
      </w:r>
      <w:r w:rsidRPr="00080437">
        <w:t xml:space="preserve"> may comply with either</w:t>
      </w:r>
      <w:r>
        <w:t>:</w:t>
      </w:r>
    </w:p>
    <w:p w14:paraId="3569E582" w14:textId="77777777" w:rsidR="00EF57FB" w:rsidRPr="0053202C" w:rsidRDefault="00EF57FB" w:rsidP="00EF57FB">
      <w:pPr>
        <w:pStyle w:val="Subclause"/>
      </w:pPr>
    </w:p>
    <w:p w14:paraId="3569E583" w14:textId="77777777" w:rsidR="00EF57FB" w:rsidRDefault="00EF57FB" w:rsidP="00EF57FB">
      <w:pPr>
        <w:pStyle w:val="Paragraph"/>
      </w:pPr>
      <w:r>
        <w:t>(a)</w:t>
      </w:r>
      <w:r>
        <w:tab/>
      </w:r>
      <w:r w:rsidRPr="00080437">
        <w:t xml:space="preserve">the Code as </w:t>
      </w:r>
      <w:r>
        <w:t>in force without the prescribed amendments</w:t>
      </w:r>
      <w:r w:rsidRPr="00080437">
        <w:t>; or</w:t>
      </w:r>
    </w:p>
    <w:p w14:paraId="3569E584" w14:textId="77777777" w:rsidR="00EF57FB" w:rsidRDefault="00EF57FB" w:rsidP="00EF57FB">
      <w:pPr>
        <w:pStyle w:val="Paragraph"/>
      </w:pPr>
      <w:r>
        <w:t xml:space="preserve">(b) </w:t>
      </w:r>
      <w:r>
        <w:tab/>
      </w:r>
      <w:r w:rsidRPr="00080437">
        <w:t xml:space="preserve">the Code </w:t>
      </w:r>
      <w:r w:rsidRPr="00AE1AEF">
        <w:t xml:space="preserve">as amended by </w:t>
      </w:r>
      <w:r>
        <w:t>the prescribed variations.</w:t>
      </w:r>
    </w:p>
    <w:p w14:paraId="3569E585" w14:textId="77777777" w:rsidR="00EF57FB" w:rsidRDefault="00EF57FB" w:rsidP="00EF57FB">
      <w:pPr>
        <w:pStyle w:val="ListParagraph"/>
        <w:widowControl/>
        <w:tabs>
          <w:tab w:val="left" w:pos="851"/>
        </w:tabs>
        <w:ind w:left="0"/>
        <w:rPr>
          <w:sz w:val="20"/>
        </w:rPr>
      </w:pPr>
    </w:p>
    <w:p w14:paraId="3569E586" w14:textId="77777777" w:rsidR="00EF57FB" w:rsidRDefault="00EF57FB" w:rsidP="00EF57FB">
      <w:pPr>
        <w:pStyle w:val="Subclause"/>
      </w:pPr>
      <w:r w:rsidRPr="0089156C">
        <w:t>but not a combination of both.</w:t>
      </w:r>
    </w:p>
    <w:p w14:paraId="3569E587" w14:textId="77777777" w:rsidR="00EF57FB" w:rsidRPr="0053202C" w:rsidRDefault="00EF57FB" w:rsidP="00EF57FB">
      <w:pPr>
        <w:tabs>
          <w:tab w:val="left" w:pos="851"/>
        </w:tabs>
        <w:rPr>
          <w:sz w:val="20"/>
          <w:szCs w:val="20"/>
        </w:rPr>
      </w:pPr>
    </w:p>
    <w:p w14:paraId="3569E588" w14:textId="77777777" w:rsidR="00EF57FB" w:rsidRPr="004D1A65" w:rsidRDefault="00EF57FB" w:rsidP="00EF57FB">
      <w:pPr>
        <w:pStyle w:val="Subclause"/>
      </w:pPr>
      <w:r>
        <w:t>(4)</w:t>
      </w:r>
      <w:r>
        <w:tab/>
      </w:r>
      <w:r w:rsidRPr="00C50958">
        <w:t xml:space="preserve">A food is taken to comply with the Code as amended by </w:t>
      </w:r>
      <w:r>
        <w:t>the prescribed variations</w:t>
      </w:r>
      <w:r w:rsidRPr="00C50958">
        <w:t xml:space="preserve"> for a period of 12 months commencing on </w:t>
      </w:r>
      <w:r>
        <w:t xml:space="preserve">18 January 2017 </w:t>
      </w:r>
      <w:r w:rsidRPr="00C50958">
        <w:t xml:space="preserve">if the food otherwise complied with the Code before </w:t>
      </w:r>
      <w:r>
        <w:t>that date</w:t>
      </w:r>
      <w:r w:rsidRPr="00C50958">
        <w:t>.</w:t>
      </w:r>
      <w:r>
        <w:br/>
      </w:r>
    </w:p>
    <w:p w14:paraId="3569E589" w14:textId="77777777" w:rsidR="00EF57FB" w:rsidRPr="00055DB1" w:rsidRDefault="00EF57FB" w:rsidP="00EF57FB">
      <w:pPr>
        <w:keepNext/>
        <w:keepLines/>
        <w:widowControl/>
        <w:ind w:left="2410" w:hanging="2410"/>
        <w:jc w:val="center"/>
        <w:rPr>
          <w:rFonts w:ascii="Arial Bold" w:hAnsi="Arial Bold" w:cs="Arial"/>
          <w:b/>
          <w:caps/>
          <w:color w:val="000000"/>
          <w:sz w:val="20"/>
          <w:szCs w:val="20"/>
          <w:lang w:val="en-AU" w:eastAsia="en-AU" w:bidi="ar-SA"/>
        </w:rPr>
      </w:pPr>
      <w:r w:rsidRPr="00055DB1">
        <w:rPr>
          <w:rFonts w:ascii="Arial Bold" w:hAnsi="Arial Bold" w:cs="Arial"/>
          <w:b/>
          <w:caps/>
          <w:color w:val="000000"/>
          <w:sz w:val="20"/>
          <w:szCs w:val="20"/>
          <w:lang w:val="en-AU" w:eastAsia="en-AU" w:bidi="ar-SA"/>
        </w:rPr>
        <w:t>Schedule</w:t>
      </w:r>
    </w:p>
    <w:p w14:paraId="06A10973"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b/>
          <w:iCs/>
          <w:sz w:val="20"/>
          <w:szCs w:val="22"/>
          <w:lang w:val="en-AU" w:eastAsia="en-AU" w:bidi="ar-SA"/>
        </w:rPr>
        <w:t>[1]</w:t>
      </w:r>
      <w:r w:rsidRPr="00FF65A1">
        <w:rPr>
          <w:rFonts w:cs="Arial"/>
          <w:b/>
          <w:iCs/>
          <w:sz w:val="20"/>
          <w:szCs w:val="22"/>
          <w:lang w:val="en-AU" w:eastAsia="en-AU" w:bidi="ar-SA"/>
        </w:rPr>
        <w:tab/>
        <w:t>Standard 1.1.2</w:t>
      </w:r>
      <w:r w:rsidRPr="00FF65A1">
        <w:rPr>
          <w:rFonts w:cs="Arial"/>
          <w:iCs/>
          <w:sz w:val="20"/>
          <w:szCs w:val="22"/>
          <w:lang w:val="en-AU" w:eastAsia="en-AU" w:bidi="ar-SA"/>
        </w:rPr>
        <w:t xml:space="preserve"> is varied by </w:t>
      </w:r>
    </w:p>
    <w:p w14:paraId="6AF4403D" w14:textId="77777777" w:rsidR="00FF65A1" w:rsidRPr="00FF65A1" w:rsidRDefault="00FF65A1" w:rsidP="00FF65A1">
      <w:pPr>
        <w:tabs>
          <w:tab w:val="left" w:pos="1134"/>
        </w:tabs>
        <w:spacing w:before="120" w:after="120"/>
        <w:ind w:left="1701" w:hanging="1701"/>
        <w:rPr>
          <w:rFonts w:cs="Arial"/>
          <w:b/>
          <w:iCs/>
          <w:sz w:val="20"/>
          <w:szCs w:val="22"/>
          <w:lang w:val="en-AU" w:eastAsia="en-AU" w:bidi="ar-SA"/>
        </w:rPr>
      </w:pPr>
      <w:r w:rsidRPr="00FF65A1">
        <w:rPr>
          <w:rFonts w:cs="Arial"/>
          <w:iCs/>
          <w:sz w:val="20"/>
          <w:szCs w:val="22"/>
          <w:lang w:val="en-AU" w:eastAsia="en-AU" w:bidi="ar-SA"/>
        </w:rPr>
        <w:t>[1.1]</w:t>
      </w:r>
      <w:r w:rsidRPr="00FF65A1">
        <w:rPr>
          <w:rFonts w:cs="Arial"/>
          <w:b/>
          <w:iCs/>
          <w:sz w:val="20"/>
          <w:szCs w:val="22"/>
          <w:lang w:val="en-AU" w:eastAsia="en-AU" w:bidi="ar-SA"/>
        </w:rPr>
        <w:tab/>
      </w:r>
      <w:r w:rsidRPr="00FF65A1">
        <w:rPr>
          <w:rFonts w:cs="Arial"/>
          <w:iCs/>
          <w:sz w:val="20"/>
          <w:szCs w:val="22"/>
          <w:lang w:val="en-AU" w:eastAsia="en-AU" w:bidi="ar-SA"/>
        </w:rPr>
        <w:t>inserting after section 1.1.2—14</w:t>
      </w:r>
    </w:p>
    <w:p w14:paraId="37515E98" w14:textId="77777777" w:rsidR="00FF65A1" w:rsidRPr="00FF65A1" w:rsidRDefault="00FF65A1" w:rsidP="00FF65A1">
      <w:pPr>
        <w:keepNext/>
        <w:spacing w:before="240" w:after="120"/>
        <w:ind w:left="1701" w:hanging="1701"/>
        <w:outlineLvl w:val="4"/>
        <w:rPr>
          <w:b/>
          <w:bCs/>
          <w:kern w:val="32"/>
          <w:lang w:eastAsia="en-AU" w:bidi="ar-SA"/>
        </w:rPr>
      </w:pPr>
      <w:r w:rsidRPr="00FF65A1">
        <w:rPr>
          <w:b/>
          <w:bCs/>
          <w:kern w:val="32"/>
          <w:lang w:eastAsia="en-AU" w:bidi="ar-SA"/>
        </w:rPr>
        <w:t>“1.1.2—15</w:t>
      </w:r>
      <w:r w:rsidRPr="00FF65A1">
        <w:rPr>
          <w:b/>
          <w:bCs/>
          <w:kern w:val="32"/>
          <w:lang w:eastAsia="en-AU" w:bidi="ar-SA"/>
        </w:rPr>
        <w:tab/>
        <w:t>Definition of Permitted Health Star Rating symbol</w:t>
      </w:r>
    </w:p>
    <w:p w14:paraId="47A6BF6A" w14:textId="77777777" w:rsidR="00FF65A1" w:rsidRPr="00FF65A1" w:rsidRDefault="00FF65A1" w:rsidP="00FF65A1">
      <w:pPr>
        <w:tabs>
          <w:tab w:val="left" w:pos="1134"/>
        </w:tabs>
        <w:spacing w:before="120" w:after="120"/>
        <w:ind w:left="1701" w:hanging="1701"/>
        <w:rPr>
          <w:rFonts w:cs="Arial"/>
          <w:iCs/>
          <w:sz w:val="20"/>
          <w:szCs w:val="20"/>
          <w:lang w:val="en-AU" w:eastAsia="en-GB" w:bidi="ar-SA"/>
        </w:rPr>
      </w:pPr>
      <w:r w:rsidRPr="00FF65A1">
        <w:rPr>
          <w:rFonts w:cs="Arial"/>
          <w:iCs/>
          <w:sz w:val="20"/>
          <w:szCs w:val="22"/>
          <w:lang w:val="en-AU" w:eastAsia="en-AU" w:bidi="ar-SA"/>
        </w:rPr>
        <w:tab/>
        <w:t>(1)</w:t>
      </w:r>
      <w:r w:rsidRPr="00FF65A1">
        <w:rPr>
          <w:rFonts w:cs="Arial"/>
          <w:iCs/>
          <w:sz w:val="20"/>
          <w:szCs w:val="22"/>
          <w:lang w:val="en-AU" w:eastAsia="en-AU" w:bidi="ar-SA"/>
        </w:rPr>
        <w:tab/>
        <w:t xml:space="preserve">In this Code, </w:t>
      </w:r>
      <w:r w:rsidRPr="00FF65A1">
        <w:rPr>
          <w:rFonts w:cs="Arial"/>
          <w:b/>
          <w:i/>
          <w:iCs/>
          <w:sz w:val="20"/>
          <w:szCs w:val="22"/>
          <w:lang w:val="en-AU" w:eastAsia="en-AU" w:bidi="ar-SA"/>
        </w:rPr>
        <w:t>Permitted</w:t>
      </w:r>
      <w:r w:rsidRPr="00FF65A1">
        <w:rPr>
          <w:rFonts w:eastAsia="Calibri" w:cs="Arial"/>
          <w:b/>
          <w:i/>
          <w:iCs/>
          <w:sz w:val="20"/>
          <w:szCs w:val="22"/>
          <w:lang w:val="en-AU" w:eastAsia="en-AU" w:bidi="ar-SA"/>
        </w:rPr>
        <w:t xml:space="preserve"> Health Star Rating </w:t>
      </w:r>
      <w:r w:rsidRPr="00FF65A1">
        <w:rPr>
          <w:rFonts w:cs="Arial"/>
          <w:b/>
          <w:i/>
          <w:iCs/>
          <w:sz w:val="20"/>
          <w:szCs w:val="22"/>
          <w:lang w:val="en-AU" w:eastAsia="en-AU" w:bidi="ar-SA"/>
        </w:rPr>
        <w:t>symbol</w:t>
      </w:r>
      <w:r w:rsidRPr="00FF65A1">
        <w:rPr>
          <w:rFonts w:cs="Arial"/>
          <w:iCs/>
          <w:sz w:val="20"/>
          <w:szCs w:val="22"/>
          <w:lang w:val="en-AU" w:eastAsia="en-AU" w:bidi="ar-SA"/>
        </w:rPr>
        <w:t xml:space="preserve"> means </w:t>
      </w:r>
      <w:r w:rsidRPr="00FF65A1">
        <w:rPr>
          <w:rFonts w:cs="Arial"/>
          <w:iCs/>
          <w:sz w:val="20"/>
          <w:szCs w:val="20"/>
          <w:lang w:val="en-AU" w:eastAsia="en-AU" w:bidi="ar-SA"/>
        </w:rPr>
        <w:t>an image subject to any of the following</w:t>
      </w:r>
      <w:r w:rsidRPr="00FF65A1">
        <w:rPr>
          <w:rFonts w:cs="Arial"/>
          <w:iCs/>
          <w:sz w:val="20"/>
          <w:szCs w:val="20"/>
          <w:lang w:val="en-AU" w:eastAsia="en-GB" w:bidi="ar-SA"/>
        </w:rPr>
        <w:t>:</w:t>
      </w:r>
    </w:p>
    <w:p w14:paraId="630A294F" w14:textId="77777777" w:rsidR="00FF65A1" w:rsidRPr="00FF65A1" w:rsidRDefault="00FF65A1" w:rsidP="00FF65A1">
      <w:pPr>
        <w:tabs>
          <w:tab w:val="left" w:pos="1701"/>
        </w:tabs>
        <w:spacing w:before="60" w:after="60"/>
        <w:ind w:left="2268" w:hanging="2268"/>
        <w:rPr>
          <w:rFonts w:cs="Arial"/>
          <w:iCs/>
          <w:sz w:val="20"/>
          <w:szCs w:val="22"/>
          <w:lang w:val="en-AU" w:eastAsia="en-AU" w:bidi="ar-SA"/>
        </w:rPr>
      </w:pPr>
      <w:r w:rsidRPr="00FF65A1">
        <w:rPr>
          <w:rFonts w:cs="Arial"/>
          <w:iCs/>
          <w:sz w:val="20"/>
          <w:szCs w:val="22"/>
          <w:lang w:val="en-AU" w:eastAsia="en-AU" w:bidi="ar-SA"/>
        </w:rPr>
        <w:tab/>
        <w:t xml:space="preserve">(a) </w:t>
      </w:r>
      <w:r w:rsidRPr="00FF65A1">
        <w:rPr>
          <w:rFonts w:cs="Arial"/>
          <w:iCs/>
          <w:sz w:val="20"/>
          <w:szCs w:val="22"/>
          <w:lang w:val="en-AU" w:eastAsia="en-AU" w:bidi="ar-SA"/>
        </w:rPr>
        <w:tab/>
        <w:t>an Australian Trade Mark numbered 1641445, 1641446 or 1641447</w:t>
      </w:r>
      <w:r w:rsidRPr="00FF65A1">
        <w:rPr>
          <w:rFonts w:cs="Arial"/>
          <w:iCs/>
          <w:sz w:val="20"/>
          <w:szCs w:val="22"/>
          <w:lang w:val="en-AU" w:eastAsia="en-GB" w:bidi="ar-SA"/>
        </w:rPr>
        <w:t>;</w:t>
      </w:r>
    </w:p>
    <w:p w14:paraId="17DFB9CE" w14:textId="77777777" w:rsidR="00FF65A1" w:rsidRPr="00FF65A1" w:rsidRDefault="00FF65A1" w:rsidP="00FF65A1">
      <w:pPr>
        <w:tabs>
          <w:tab w:val="left" w:pos="1701"/>
        </w:tabs>
        <w:spacing w:before="60" w:after="60"/>
        <w:ind w:left="2268" w:hanging="2268"/>
        <w:rPr>
          <w:rFonts w:cs="Arial"/>
          <w:iCs/>
          <w:sz w:val="20"/>
          <w:szCs w:val="22"/>
          <w:lang w:val="en-AU" w:eastAsia="en-AU" w:bidi="ar-SA"/>
        </w:rPr>
      </w:pPr>
      <w:r w:rsidRPr="00FF65A1">
        <w:rPr>
          <w:rFonts w:cs="Arial"/>
          <w:iCs/>
          <w:sz w:val="20"/>
          <w:szCs w:val="22"/>
          <w:lang w:val="en-AU" w:eastAsia="en-AU" w:bidi="ar-SA"/>
        </w:rPr>
        <w:tab/>
        <w:t xml:space="preserve">(b) </w:t>
      </w:r>
      <w:r w:rsidRPr="00FF65A1">
        <w:rPr>
          <w:rFonts w:cs="Arial"/>
          <w:iCs/>
          <w:sz w:val="20"/>
          <w:szCs w:val="22"/>
          <w:lang w:val="en-AU" w:eastAsia="en-AU" w:bidi="ar-SA"/>
        </w:rPr>
        <w:tab/>
        <w:t>a New Zealand Trade Mark numbered 1018807, 1018808 or 1018809.</w:t>
      </w:r>
    </w:p>
    <w:p w14:paraId="7CE7E235" w14:textId="77777777" w:rsidR="00FF65A1" w:rsidRPr="00FF65A1" w:rsidRDefault="00FF65A1" w:rsidP="00FF65A1">
      <w:pPr>
        <w:tabs>
          <w:tab w:val="left" w:pos="1134"/>
        </w:tabs>
        <w:spacing w:before="120" w:after="120"/>
        <w:ind w:left="1701" w:hanging="1701"/>
        <w:rPr>
          <w:rFonts w:cs="Arial"/>
          <w:b/>
          <w:iCs/>
          <w:sz w:val="20"/>
          <w:szCs w:val="22"/>
          <w:lang w:val="en-AU" w:eastAsia="en-AU" w:bidi="ar-SA"/>
        </w:rPr>
      </w:pPr>
      <w:r w:rsidRPr="00FF65A1">
        <w:rPr>
          <w:rFonts w:cs="Arial"/>
          <w:iCs/>
          <w:sz w:val="20"/>
          <w:szCs w:val="22"/>
          <w:lang w:val="en-AU" w:eastAsia="en-AU" w:bidi="ar-SA"/>
        </w:rPr>
        <w:tab/>
        <w:t>(2)</w:t>
      </w:r>
      <w:r w:rsidRPr="00FF65A1">
        <w:rPr>
          <w:rFonts w:cs="Arial"/>
          <w:iCs/>
          <w:sz w:val="20"/>
          <w:szCs w:val="22"/>
          <w:lang w:val="en-AU" w:eastAsia="en-AU" w:bidi="ar-SA"/>
        </w:rPr>
        <w:tab/>
        <w:t xml:space="preserve">To avoid doubt, an image mentioned in subsection (1) does not cease to be a Permitted </w:t>
      </w:r>
      <w:r w:rsidRPr="00FF65A1">
        <w:rPr>
          <w:rFonts w:eastAsia="Calibri" w:cs="Arial"/>
          <w:iCs/>
          <w:sz w:val="20"/>
          <w:szCs w:val="22"/>
          <w:lang w:val="en-AU" w:eastAsia="en-AU" w:bidi="ar-SA"/>
        </w:rPr>
        <w:t xml:space="preserve">Health Star Rating </w:t>
      </w:r>
      <w:r w:rsidRPr="00FF65A1">
        <w:rPr>
          <w:rFonts w:cs="Arial"/>
          <w:iCs/>
          <w:sz w:val="20"/>
          <w:szCs w:val="22"/>
          <w:lang w:val="en-AU" w:eastAsia="en-AU" w:bidi="ar-SA"/>
        </w:rPr>
        <w:t xml:space="preserve">symbol </w:t>
      </w:r>
      <w:r w:rsidRPr="00FF65A1">
        <w:rPr>
          <w:rFonts w:cs="Arial"/>
          <w:iCs/>
          <w:noProof/>
          <w:sz w:val="20"/>
          <w:szCs w:val="22"/>
          <w:lang w:val="en-AU" w:eastAsia="en-AU" w:bidi="ar-SA"/>
        </w:rPr>
        <w:t xml:space="preserve">by </w:t>
      </w:r>
      <w:r w:rsidRPr="00FF65A1">
        <w:rPr>
          <w:rFonts w:cs="Arial"/>
          <w:iCs/>
          <w:sz w:val="20"/>
          <w:szCs w:val="22"/>
          <w:lang w:val="en-AU" w:eastAsia="en-AU" w:bidi="ar-SA"/>
        </w:rPr>
        <w:t>reason only of the image indicating:</w:t>
      </w:r>
    </w:p>
    <w:p w14:paraId="66DE0B4E" w14:textId="77777777" w:rsidR="00FF65A1" w:rsidRPr="00FF65A1" w:rsidRDefault="00FF65A1" w:rsidP="00FF65A1">
      <w:pPr>
        <w:tabs>
          <w:tab w:val="left" w:pos="1701"/>
        </w:tabs>
        <w:spacing w:before="60" w:after="60"/>
        <w:ind w:left="2268" w:hanging="2268"/>
        <w:rPr>
          <w:rFonts w:cs="Arial"/>
          <w:iCs/>
          <w:sz w:val="20"/>
          <w:szCs w:val="22"/>
          <w:lang w:val="en-AU" w:eastAsia="en-AU" w:bidi="ar-SA"/>
        </w:rPr>
      </w:pPr>
      <w:r w:rsidRPr="00FF65A1">
        <w:rPr>
          <w:rFonts w:cs="Arial"/>
          <w:iCs/>
          <w:sz w:val="20"/>
          <w:szCs w:val="22"/>
          <w:lang w:val="en-AU" w:eastAsia="en-AU" w:bidi="ar-SA"/>
        </w:rPr>
        <w:tab/>
        <w:t>(a)</w:t>
      </w:r>
      <w:r w:rsidRPr="00FF65A1">
        <w:rPr>
          <w:rFonts w:cs="Arial"/>
          <w:iCs/>
          <w:sz w:val="20"/>
          <w:szCs w:val="22"/>
          <w:lang w:val="en-AU" w:eastAsia="en-AU" w:bidi="ar-SA"/>
        </w:rPr>
        <w:tab/>
        <w:t>energy or nutrient content on a per 100 g, per 100 ml or per pack basis; or</w:t>
      </w:r>
    </w:p>
    <w:p w14:paraId="6F649982" w14:textId="77777777" w:rsidR="00FF65A1" w:rsidRPr="00FF65A1" w:rsidRDefault="00FF65A1" w:rsidP="00FF65A1">
      <w:pPr>
        <w:tabs>
          <w:tab w:val="left" w:pos="1701"/>
        </w:tabs>
        <w:spacing w:before="60" w:after="60"/>
        <w:ind w:left="2268" w:hanging="2268"/>
        <w:rPr>
          <w:rFonts w:cs="Arial"/>
          <w:iCs/>
          <w:sz w:val="20"/>
          <w:szCs w:val="22"/>
          <w:lang w:val="en-AU" w:eastAsia="en-AU" w:bidi="ar-SA"/>
        </w:rPr>
      </w:pPr>
      <w:r w:rsidRPr="00FF65A1">
        <w:rPr>
          <w:rFonts w:cs="Arial"/>
          <w:iCs/>
          <w:sz w:val="20"/>
          <w:szCs w:val="22"/>
          <w:lang w:val="en-AU" w:eastAsia="en-AU" w:bidi="ar-SA"/>
        </w:rPr>
        <w:tab/>
        <w:t>(b)</w:t>
      </w:r>
      <w:r w:rsidRPr="00FF65A1">
        <w:rPr>
          <w:rFonts w:cs="Arial"/>
          <w:iCs/>
          <w:sz w:val="20"/>
          <w:szCs w:val="22"/>
          <w:lang w:val="en-AU" w:eastAsia="en-AU" w:bidi="ar-SA"/>
        </w:rPr>
        <w:tab/>
        <w:t xml:space="preserve">energy or nutrient content </w:t>
      </w:r>
      <w:r w:rsidRPr="00FF65A1">
        <w:rPr>
          <w:rFonts w:cs="Arial"/>
          <w:iCs/>
          <w:sz w:val="20"/>
          <w:szCs w:val="20"/>
          <w:lang w:val="en-AU" w:eastAsia="en-GB" w:bidi="ar-SA"/>
        </w:rPr>
        <w:t>on a per serving or per reference portion basis</w:t>
      </w:r>
      <w:r w:rsidRPr="00FF65A1">
        <w:rPr>
          <w:rFonts w:cs="Arial"/>
          <w:iCs/>
          <w:sz w:val="20"/>
          <w:szCs w:val="22"/>
          <w:lang w:val="en-AU" w:eastAsia="en-AU" w:bidi="ar-SA"/>
        </w:rPr>
        <w:t>; or</w:t>
      </w:r>
    </w:p>
    <w:p w14:paraId="0161F8D5" w14:textId="77777777" w:rsidR="00FF65A1" w:rsidRPr="00FF65A1" w:rsidRDefault="00FF65A1" w:rsidP="00FF65A1">
      <w:pPr>
        <w:tabs>
          <w:tab w:val="left" w:pos="1701"/>
        </w:tabs>
        <w:spacing w:before="60" w:after="60"/>
        <w:ind w:left="2268" w:hanging="2268"/>
        <w:rPr>
          <w:rFonts w:cs="Arial"/>
          <w:iCs/>
          <w:sz w:val="20"/>
          <w:szCs w:val="22"/>
          <w:lang w:val="en-AU" w:eastAsia="en-AU" w:bidi="ar-SA"/>
        </w:rPr>
      </w:pPr>
      <w:r w:rsidRPr="00FF65A1">
        <w:rPr>
          <w:rFonts w:cs="Arial"/>
          <w:iCs/>
          <w:sz w:val="20"/>
          <w:szCs w:val="22"/>
          <w:lang w:val="en-AU" w:eastAsia="en-AU" w:bidi="ar-SA"/>
        </w:rPr>
        <w:tab/>
        <w:t>(c)</w:t>
      </w:r>
      <w:r w:rsidRPr="00FF65A1">
        <w:rPr>
          <w:rFonts w:cs="Arial"/>
          <w:iCs/>
          <w:sz w:val="20"/>
          <w:szCs w:val="22"/>
          <w:lang w:val="en-AU" w:eastAsia="en-AU" w:bidi="ar-SA"/>
        </w:rPr>
        <w:tab/>
      </w:r>
      <w:r w:rsidRPr="00FF65A1">
        <w:rPr>
          <w:rFonts w:cs="Arial"/>
          <w:sz w:val="20"/>
          <w:szCs w:val="22"/>
          <w:lang w:val="en-AU" w:eastAsia="en-AU" w:bidi="ar-SA"/>
        </w:rPr>
        <w:t>energy or</w:t>
      </w:r>
      <w:r w:rsidRPr="00FF65A1">
        <w:rPr>
          <w:rFonts w:cs="Arial"/>
          <w:iCs/>
          <w:sz w:val="20"/>
          <w:szCs w:val="20"/>
          <w:lang w:val="en-AU" w:eastAsia="en-GB" w:bidi="ar-SA"/>
        </w:rPr>
        <w:t xml:space="preserve"> nutrient content </w:t>
      </w:r>
      <w:r w:rsidRPr="00FF65A1">
        <w:rPr>
          <w:rFonts w:cs="Arial"/>
          <w:iCs/>
          <w:sz w:val="20"/>
          <w:szCs w:val="22"/>
          <w:lang w:val="en-AU" w:eastAsia="en-AU" w:bidi="ar-SA"/>
        </w:rPr>
        <w:t>at zero or amounts greater than zero</w:t>
      </w:r>
      <w:r w:rsidRPr="00FF65A1">
        <w:rPr>
          <w:rFonts w:cs="Arial"/>
          <w:iCs/>
          <w:sz w:val="20"/>
          <w:szCs w:val="20"/>
          <w:lang w:val="en-AU" w:eastAsia="en-GB" w:bidi="ar-SA"/>
        </w:rPr>
        <w:t>; or</w:t>
      </w:r>
    </w:p>
    <w:p w14:paraId="2693A65F" w14:textId="77777777" w:rsidR="00FF65A1" w:rsidRPr="00FF65A1" w:rsidRDefault="00FF65A1" w:rsidP="00FF65A1">
      <w:pPr>
        <w:tabs>
          <w:tab w:val="left" w:pos="1701"/>
        </w:tabs>
        <w:spacing w:before="60" w:after="60"/>
        <w:ind w:left="2268" w:hanging="2268"/>
        <w:rPr>
          <w:rFonts w:cs="Arial"/>
          <w:iCs/>
          <w:sz w:val="20"/>
          <w:szCs w:val="22"/>
          <w:lang w:val="en-AU" w:eastAsia="en-AU" w:bidi="ar-SA"/>
        </w:rPr>
      </w:pPr>
      <w:r w:rsidRPr="00FF65A1">
        <w:rPr>
          <w:rFonts w:cs="Arial"/>
          <w:iCs/>
          <w:sz w:val="20"/>
          <w:szCs w:val="22"/>
          <w:lang w:val="en-AU" w:eastAsia="en-AU" w:bidi="ar-SA"/>
        </w:rPr>
        <w:tab/>
        <w:t xml:space="preserve">(d) </w:t>
      </w:r>
      <w:r w:rsidRPr="00FF65A1">
        <w:rPr>
          <w:rFonts w:cs="Arial"/>
          <w:iCs/>
          <w:sz w:val="20"/>
          <w:szCs w:val="22"/>
          <w:lang w:val="en-AU" w:eastAsia="en-AU" w:bidi="ar-SA"/>
        </w:rPr>
        <w:tab/>
        <w:t>energy content on a percentage daily intake basis in addition to an amount shown in kilojoules.”</w:t>
      </w:r>
    </w:p>
    <w:p w14:paraId="09625DB0"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b/>
          <w:iCs/>
          <w:sz w:val="20"/>
          <w:szCs w:val="22"/>
          <w:lang w:val="en-AU" w:eastAsia="en-AU" w:bidi="ar-SA"/>
        </w:rPr>
        <w:t>[2]</w:t>
      </w:r>
      <w:r w:rsidRPr="00FF65A1">
        <w:rPr>
          <w:rFonts w:cs="Arial"/>
          <w:b/>
          <w:iCs/>
          <w:sz w:val="20"/>
          <w:szCs w:val="22"/>
          <w:lang w:val="en-AU" w:eastAsia="en-AU" w:bidi="ar-SA"/>
        </w:rPr>
        <w:tab/>
        <w:t>Standard 1.2.7</w:t>
      </w:r>
      <w:r w:rsidRPr="00FF65A1">
        <w:rPr>
          <w:rFonts w:cs="Arial"/>
          <w:iCs/>
          <w:sz w:val="20"/>
          <w:szCs w:val="22"/>
          <w:lang w:val="en-AU" w:eastAsia="en-AU" w:bidi="ar-SA"/>
        </w:rPr>
        <w:t xml:space="preserve"> is varied by </w:t>
      </w:r>
      <w:r w:rsidRPr="00FF65A1">
        <w:rPr>
          <w:rFonts w:cs="Arial"/>
          <w:iCs/>
          <w:sz w:val="20"/>
          <w:szCs w:val="22"/>
          <w:lang w:val="en-AU" w:eastAsia="en-AU" w:bidi="ar-SA"/>
        </w:rPr>
        <w:br w:type="page"/>
      </w:r>
    </w:p>
    <w:p w14:paraId="1DB0D962"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iCs/>
          <w:sz w:val="20"/>
          <w:szCs w:val="22"/>
          <w:lang w:val="en-AU" w:eastAsia="en-AU" w:bidi="ar-SA"/>
        </w:rPr>
        <w:lastRenderedPageBreak/>
        <w:t>[2.1]</w:t>
      </w:r>
      <w:r w:rsidRPr="00FF65A1">
        <w:rPr>
          <w:rFonts w:cs="Arial"/>
          <w:iCs/>
          <w:sz w:val="20"/>
          <w:szCs w:val="22"/>
          <w:lang w:val="en-AU" w:eastAsia="en-AU" w:bidi="ar-SA"/>
        </w:rPr>
        <w:tab/>
        <w:t>inserting after section 1.2.7—3</w:t>
      </w:r>
    </w:p>
    <w:p w14:paraId="2490356B" w14:textId="77777777" w:rsidR="00FF65A1" w:rsidRPr="00FF65A1" w:rsidRDefault="00FF65A1" w:rsidP="00FF65A1">
      <w:pPr>
        <w:tabs>
          <w:tab w:val="left" w:pos="1701"/>
        </w:tabs>
        <w:spacing w:before="60" w:after="60"/>
        <w:ind w:left="2268" w:hanging="2268"/>
        <w:rPr>
          <w:rFonts w:cs="Arial"/>
          <w:sz w:val="20"/>
          <w:szCs w:val="20"/>
          <w:lang w:eastAsia="en-AU" w:bidi="ar-SA"/>
        </w:rPr>
      </w:pPr>
      <w:r w:rsidRPr="00FF65A1">
        <w:rPr>
          <w:rFonts w:cs="Arial"/>
          <w:sz w:val="16"/>
          <w:szCs w:val="18"/>
          <w:lang w:eastAsia="en-AU" w:bidi="ar-SA"/>
        </w:rPr>
        <w:t>“</w:t>
      </w:r>
      <w:r w:rsidRPr="00FF65A1">
        <w:rPr>
          <w:rFonts w:cs="Arial"/>
          <w:b/>
          <w:i/>
          <w:sz w:val="16"/>
          <w:szCs w:val="18"/>
          <w:lang w:eastAsia="en-AU" w:bidi="ar-SA"/>
        </w:rPr>
        <w:t>Note</w:t>
      </w:r>
      <w:r w:rsidRPr="00FF65A1">
        <w:rPr>
          <w:rFonts w:cs="Arial"/>
          <w:sz w:val="16"/>
          <w:szCs w:val="18"/>
          <w:lang w:eastAsia="en-AU" w:bidi="ar-SA"/>
        </w:rPr>
        <w:tab/>
      </w:r>
      <w:r w:rsidRPr="00FF65A1">
        <w:rPr>
          <w:rFonts w:eastAsiaTheme="minorHAnsi" w:cs="Arial"/>
          <w:sz w:val="16"/>
          <w:szCs w:val="18"/>
          <w:lang w:eastAsia="en-AU" w:bidi="ar-SA"/>
        </w:rPr>
        <w:t xml:space="preserve">Standard 1.2.8 </w:t>
      </w:r>
      <w:r w:rsidRPr="00FF65A1">
        <w:rPr>
          <w:rFonts w:cs="Arial"/>
          <w:sz w:val="16"/>
          <w:szCs w:val="18"/>
          <w:lang w:eastAsia="en-AU" w:bidi="ar-SA"/>
        </w:rPr>
        <w:t>may prescribe additional labelling requirements for claims regulated by this Standard.</w:t>
      </w:r>
      <w:r w:rsidRPr="00FF65A1">
        <w:rPr>
          <w:rFonts w:cs="Arial"/>
          <w:sz w:val="20"/>
          <w:szCs w:val="20"/>
          <w:lang w:eastAsia="en-AU" w:bidi="ar-SA"/>
        </w:rPr>
        <w:t>”</w:t>
      </w:r>
    </w:p>
    <w:p w14:paraId="4B5E1D87" w14:textId="77777777" w:rsidR="00FF65A1" w:rsidRPr="00FF65A1" w:rsidRDefault="00FF65A1" w:rsidP="00FF65A1">
      <w:pPr>
        <w:tabs>
          <w:tab w:val="left" w:pos="1134"/>
        </w:tabs>
        <w:spacing w:before="120" w:after="120"/>
        <w:ind w:left="1701" w:hanging="1701"/>
        <w:rPr>
          <w:rFonts w:eastAsia="Calibri" w:cs="Arial"/>
          <w:iCs/>
          <w:sz w:val="20"/>
          <w:szCs w:val="22"/>
          <w:lang w:val="en-AU" w:eastAsia="en-AU" w:bidi="ar-SA"/>
        </w:rPr>
      </w:pPr>
      <w:r w:rsidRPr="00FF65A1">
        <w:rPr>
          <w:rFonts w:cs="Arial"/>
          <w:iCs/>
          <w:sz w:val="20"/>
          <w:szCs w:val="22"/>
          <w:lang w:val="en-AU" w:eastAsia="en-AU" w:bidi="ar-SA"/>
        </w:rPr>
        <w:t>[2.2]</w:t>
      </w:r>
      <w:r w:rsidRPr="00FF65A1">
        <w:rPr>
          <w:rFonts w:cs="Arial"/>
          <w:iCs/>
          <w:sz w:val="20"/>
          <w:szCs w:val="22"/>
          <w:lang w:val="en-AU" w:eastAsia="en-AU" w:bidi="ar-SA"/>
        </w:rPr>
        <w:tab/>
        <w:t>omitting paragraph 1.2.7—6(c) and substituting</w:t>
      </w:r>
    </w:p>
    <w:p w14:paraId="749FA975" w14:textId="77777777" w:rsidR="00FF65A1" w:rsidRPr="00FF65A1" w:rsidRDefault="00FF65A1" w:rsidP="00FF65A1">
      <w:pPr>
        <w:tabs>
          <w:tab w:val="left" w:pos="1701"/>
        </w:tabs>
        <w:spacing w:before="60" w:after="60"/>
        <w:ind w:left="2268" w:hanging="2268"/>
        <w:rPr>
          <w:rFonts w:eastAsia="Calibri" w:cs="Arial"/>
          <w:iCs/>
          <w:sz w:val="20"/>
          <w:szCs w:val="20"/>
          <w:lang w:val="en-AU" w:eastAsia="en-AU" w:bidi="ar-SA"/>
        </w:rPr>
      </w:pPr>
      <w:r w:rsidRPr="00FF65A1">
        <w:rPr>
          <w:rFonts w:cs="Arial"/>
          <w:iCs/>
          <w:sz w:val="20"/>
          <w:szCs w:val="22"/>
          <w:lang w:val="en-AU" w:eastAsia="en-AU" w:bidi="ar-SA"/>
        </w:rPr>
        <w:tab/>
        <w:t>“(c)</w:t>
      </w:r>
      <w:r w:rsidRPr="00FF65A1">
        <w:rPr>
          <w:rFonts w:cs="Arial"/>
          <w:iCs/>
          <w:sz w:val="20"/>
          <w:szCs w:val="22"/>
          <w:lang w:val="en-AU" w:eastAsia="en-AU" w:bidi="ar-SA"/>
        </w:rPr>
        <w:tab/>
      </w:r>
      <w:r w:rsidRPr="00FF65A1">
        <w:rPr>
          <w:rFonts w:eastAsia="Calibri" w:cs="Arial"/>
          <w:iCs/>
          <w:sz w:val="20"/>
          <w:szCs w:val="20"/>
          <w:lang w:val="en-AU" w:eastAsia="en-AU" w:bidi="ar-SA"/>
        </w:rPr>
        <w:t>a declaration that is required by an application Act; or</w:t>
      </w:r>
    </w:p>
    <w:p w14:paraId="2C34D4D5" w14:textId="77777777" w:rsidR="00FF65A1" w:rsidRPr="00FF65A1" w:rsidRDefault="00FF65A1" w:rsidP="00FF65A1">
      <w:pPr>
        <w:tabs>
          <w:tab w:val="left" w:pos="1701"/>
        </w:tabs>
        <w:spacing w:before="60" w:after="60"/>
        <w:ind w:left="2268" w:hanging="2268"/>
        <w:rPr>
          <w:rFonts w:cs="Arial"/>
          <w:iCs/>
          <w:sz w:val="20"/>
          <w:szCs w:val="22"/>
          <w:lang w:val="en-AU" w:eastAsia="en-AU" w:bidi="ar-SA"/>
        </w:rPr>
      </w:pPr>
      <w:r w:rsidRPr="00FF65A1">
        <w:rPr>
          <w:rFonts w:eastAsia="Calibri" w:cs="Arial"/>
          <w:iCs/>
          <w:sz w:val="20"/>
          <w:szCs w:val="20"/>
          <w:lang w:val="en-AU" w:eastAsia="en-AU" w:bidi="ar-SA"/>
        </w:rPr>
        <w:tab/>
        <w:t>(d)</w:t>
      </w:r>
      <w:r w:rsidRPr="00FF65A1">
        <w:rPr>
          <w:rFonts w:eastAsia="Calibri" w:cs="Arial"/>
          <w:iCs/>
          <w:sz w:val="20"/>
          <w:szCs w:val="20"/>
          <w:lang w:val="en-AU" w:eastAsia="en-AU" w:bidi="ar-SA"/>
        </w:rPr>
        <w:tab/>
        <w:t>a permitted Health Star Rating symbol</w:t>
      </w:r>
      <w:r w:rsidRPr="00FF65A1">
        <w:rPr>
          <w:rFonts w:cs="Arial"/>
          <w:iCs/>
          <w:sz w:val="20"/>
          <w:szCs w:val="20"/>
          <w:lang w:val="en-AU" w:eastAsia="en-AU" w:bidi="ar-SA"/>
        </w:rPr>
        <w:t>.</w:t>
      </w:r>
      <w:r w:rsidRPr="00FF65A1">
        <w:rPr>
          <w:rFonts w:cs="Arial"/>
          <w:iCs/>
          <w:sz w:val="20"/>
          <w:szCs w:val="22"/>
          <w:lang w:val="en-AU" w:eastAsia="en-AU" w:bidi="ar-SA"/>
        </w:rPr>
        <w:t>”</w:t>
      </w:r>
    </w:p>
    <w:p w14:paraId="01D5B571"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b/>
          <w:iCs/>
          <w:sz w:val="20"/>
          <w:szCs w:val="22"/>
          <w:lang w:val="en-AU" w:eastAsia="en-AU" w:bidi="ar-SA"/>
        </w:rPr>
        <w:t>[3]</w:t>
      </w:r>
      <w:r w:rsidRPr="00FF65A1">
        <w:rPr>
          <w:rFonts w:cs="Arial"/>
          <w:b/>
          <w:iCs/>
          <w:sz w:val="20"/>
          <w:szCs w:val="22"/>
          <w:lang w:val="en-AU" w:eastAsia="en-AU" w:bidi="ar-SA"/>
        </w:rPr>
        <w:tab/>
        <w:t>Standard 1.2.8</w:t>
      </w:r>
      <w:r w:rsidRPr="00FF65A1">
        <w:rPr>
          <w:rFonts w:cs="Arial"/>
          <w:iCs/>
          <w:sz w:val="20"/>
          <w:szCs w:val="22"/>
          <w:lang w:val="en-AU" w:eastAsia="en-AU" w:bidi="ar-SA"/>
        </w:rPr>
        <w:t xml:space="preserve"> is varied by </w:t>
      </w:r>
    </w:p>
    <w:p w14:paraId="7E9E5D27" w14:textId="77777777" w:rsidR="00FF65A1" w:rsidRPr="00FF65A1" w:rsidRDefault="00FF65A1" w:rsidP="00FF65A1">
      <w:pPr>
        <w:tabs>
          <w:tab w:val="left" w:pos="1134"/>
        </w:tabs>
        <w:spacing w:before="120" w:after="120"/>
        <w:rPr>
          <w:rFonts w:cs="Arial"/>
          <w:iCs/>
          <w:sz w:val="20"/>
          <w:szCs w:val="22"/>
          <w:lang w:val="en-AU" w:eastAsia="en-AU" w:bidi="ar-SA"/>
        </w:rPr>
      </w:pPr>
      <w:r w:rsidRPr="00FF65A1">
        <w:rPr>
          <w:rFonts w:cs="Arial"/>
          <w:iCs/>
          <w:sz w:val="20"/>
          <w:szCs w:val="22"/>
          <w:lang w:val="en-AU" w:eastAsia="en-AU" w:bidi="ar-SA"/>
        </w:rPr>
        <w:t>[3.1]</w:t>
      </w:r>
      <w:r w:rsidRPr="00FF65A1">
        <w:rPr>
          <w:rFonts w:cs="Arial"/>
          <w:iCs/>
          <w:sz w:val="20"/>
          <w:szCs w:val="22"/>
          <w:lang w:val="en-AU" w:eastAsia="en-AU" w:bidi="ar-SA"/>
        </w:rPr>
        <w:tab/>
        <w:t xml:space="preserve">omitting “infant formula products” from section 1.2.8—3 and substituting “infant formula products or </w:t>
      </w:r>
      <w:r w:rsidRPr="00FF65A1">
        <w:rPr>
          <w:rFonts w:eastAsia="Calibri" w:cs="Arial"/>
          <w:iCs/>
          <w:sz w:val="20"/>
          <w:szCs w:val="22"/>
          <w:lang w:val="en-AU" w:eastAsia="en-AU" w:bidi="ar-SA"/>
        </w:rPr>
        <w:t>a Permitted Health Star Rating symbol.”</w:t>
      </w:r>
    </w:p>
    <w:p w14:paraId="1C68AEB6"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iCs/>
          <w:sz w:val="20"/>
          <w:szCs w:val="22"/>
          <w:lang w:val="en-AU" w:eastAsia="en-AU" w:bidi="ar-SA"/>
        </w:rPr>
        <w:t>[3.2]</w:t>
      </w:r>
      <w:r w:rsidRPr="00FF65A1">
        <w:rPr>
          <w:rFonts w:cs="Arial"/>
          <w:iCs/>
          <w:sz w:val="20"/>
          <w:szCs w:val="22"/>
          <w:lang w:val="en-AU" w:eastAsia="en-AU" w:bidi="ar-SA"/>
        </w:rPr>
        <w:tab/>
        <w:t>inserting after subsection 1.2.8—6(10)</w:t>
      </w:r>
    </w:p>
    <w:p w14:paraId="77034B2A" w14:textId="77777777" w:rsidR="00FF65A1" w:rsidRPr="00FF65A1" w:rsidRDefault="00FF65A1" w:rsidP="00FF65A1">
      <w:pPr>
        <w:keepNext/>
        <w:spacing w:before="120" w:after="60"/>
        <w:ind w:left="1701"/>
        <w:rPr>
          <w:rFonts w:cs="Arial"/>
          <w:bCs/>
          <w:i/>
          <w:kern w:val="32"/>
          <w:sz w:val="20"/>
          <w:szCs w:val="32"/>
          <w:lang w:val="en-AU" w:eastAsia="en-AU" w:bidi="ar-SA"/>
        </w:rPr>
      </w:pPr>
      <w:r w:rsidRPr="00FF65A1">
        <w:rPr>
          <w:rFonts w:cs="Arial"/>
          <w:bCs/>
          <w:i/>
          <w:kern w:val="32"/>
          <w:sz w:val="20"/>
          <w:szCs w:val="32"/>
          <w:lang w:val="en-AU" w:eastAsia="en-AU" w:bidi="ar-SA"/>
        </w:rPr>
        <w:t>“Claims about lactose</w:t>
      </w:r>
    </w:p>
    <w:p w14:paraId="54677C4C"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iCs/>
          <w:sz w:val="20"/>
          <w:szCs w:val="22"/>
          <w:lang w:val="en-AU" w:eastAsia="en-AU" w:bidi="ar-SA"/>
        </w:rPr>
        <w:tab/>
        <w:t>(11)</w:t>
      </w:r>
      <w:r w:rsidRPr="00FF65A1">
        <w:rPr>
          <w:rFonts w:cs="Arial"/>
          <w:iCs/>
          <w:sz w:val="20"/>
          <w:szCs w:val="22"/>
          <w:lang w:val="en-AU" w:eastAsia="en-AU" w:bidi="ar-SA"/>
        </w:rPr>
        <w:tab/>
        <w:t>If a *claim requiring nutrition information is made in relation to lactose, a nutrition information panel must include a declaration of the average quantity of galactose in accordance with section S12—3.</w:t>
      </w:r>
    </w:p>
    <w:p w14:paraId="21185AFC" w14:textId="77777777" w:rsidR="00FF65A1" w:rsidRPr="00FF65A1" w:rsidRDefault="00FF65A1" w:rsidP="00FF65A1">
      <w:pPr>
        <w:keepNext/>
        <w:spacing w:before="120" w:after="60"/>
        <w:ind w:left="1701"/>
        <w:rPr>
          <w:rFonts w:cs="Arial"/>
          <w:bCs/>
          <w:i/>
          <w:kern w:val="32"/>
          <w:sz w:val="20"/>
          <w:szCs w:val="32"/>
          <w:lang w:val="en-AU" w:eastAsia="en-AU" w:bidi="ar-SA"/>
        </w:rPr>
      </w:pPr>
      <w:r w:rsidRPr="00FF65A1">
        <w:rPr>
          <w:rFonts w:cs="Arial"/>
          <w:bCs/>
          <w:i/>
          <w:kern w:val="32"/>
          <w:sz w:val="20"/>
          <w:szCs w:val="32"/>
          <w:lang w:val="en-AU" w:eastAsia="en-AU" w:bidi="ar-SA"/>
        </w:rPr>
        <w:t xml:space="preserve">Claims about salt or sodium </w:t>
      </w:r>
    </w:p>
    <w:p w14:paraId="3E673430"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iCs/>
          <w:sz w:val="20"/>
          <w:szCs w:val="22"/>
          <w:lang w:val="en-AU" w:eastAsia="en-AU" w:bidi="ar-SA"/>
        </w:rPr>
        <w:tab/>
        <w:t>(12)</w:t>
      </w:r>
      <w:r w:rsidRPr="00FF65A1">
        <w:rPr>
          <w:rFonts w:cs="Arial"/>
          <w:iCs/>
          <w:sz w:val="20"/>
          <w:szCs w:val="22"/>
          <w:lang w:val="en-AU" w:eastAsia="en-AU" w:bidi="ar-SA"/>
        </w:rPr>
        <w:tab/>
        <w:t>If a *claim requiring nutrition information is made in relation to salt or sodium, the nutrition information panel must include a declaration of the average quantity of potassium in accordance with section S12—3.</w:t>
      </w:r>
    </w:p>
    <w:p w14:paraId="1849E996" w14:textId="77777777" w:rsidR="00FF65A1" w:rsidRPr="00FF65A1" w:rsidRDefault="00FF65A1" w:rsidP="00FF65A1">
      <w:pPr>
        <w:keepNext/>
        <w:spacing w:before="120" w:after="60"/>
        <w:ind w:left="1701"/>
        <w:rPr>
          <w:rFonts w:cs="Arial"/>
          <w:bCs/>
          <w:i/>
          <w:kern w:val="32"/>
          <w:sz w:val="20"/>
          <w:szCs w:val="32"/>
          <w:lang w:val="en-AU" w:eastAsia="en-AU" w:bidi="ar-SA"/>
        </w:rPr>
      </w:pPr>
      <w:r w:rsidRPr="00FF65A1">
        <w:rPr>
          <w:rFonts w:cs="Arial"/>
          <w:bCs/>
          <w:i/>
          <w:kern w:val="32"/>
          <w:sz w:val="20"/>
          <w:szCs w:val="32"/>
          <w:lang w:val="en-AU" w:eastAsia="en-AU" w:bidi="ar-SA"/>
        </w:rPr>
        <w:t>Claims about omega-3 fatty acids</w:t>
      </w:r>
    </w:p>
    <w:p w14:paraId="6692D24B"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iCs/>
          <w:sz w:val="20"/>
          <w:szCs w:val="22"/>
          <w:lang w:val="en-AU" w:eastAsia="en-AU" w:bidi="ar-SA"/>
        </w:rPr>
        <w:tab/>
        <w:t>(13)</w:t>
      </w:r>
      <w:r w:rsidRPr="00FF65A1">
        <w:rPr>
          <w:rFonts w:cs="Arial"/>
          <w:iCs/>
          <w:sz w:val="20"/>
          <w:szCs w:val="22"/>
          <w:lang w:val="en-AU" w:eastAsia="en-AU" w:bidi="ar-SA"/>
        </w:rPr>
        <w:tab/>
        <w:t>If a *claim requiring nutrition information is made in relation to omega-3 fatty acids, the nutrition information panel must include declarations of each of the following in accordance with section S12—3:</w:t>
      </w:r>
    </w:p>
    <w:p w14:paraId="299A66EE" w14:textId="77777777" w:rsidR="00FF65A1" w:rsidRPr="00FF65A1" w:rsidRDefault="00FF65A1" w:rsidP="00FF65A1">
      <w:pPr>
        <w:tabs>
          <w:tab w:val="left" w:pos="1701"/>
        </w:tabs>
        <w:spacing w:before="60" w:after="60"/>
        <w:ind w:left="2268" w:hanging="2268"/>
        <w:rPr>
          <w:rFonts w:cs="Arial"/>
          <w:iCs/>
          <w:sz w:val="20"/>
          <w:szCs w:val="22"/>
          <w:lang w:val="en-AU" w:eastAsia="en-AU" w:bidi="ar-SA"/>
        </w:rPr>
      </w:pPr>
      <w:r w:rsidRPr="00FF65A1">
        <w:rPr>
          <w:rFonts w:cs="Arial"/>
          <w:iCs/>
          <w:sz w:val="20"/>
          <w:szCs w:val="20"/>
          <w:lang w:val="en-AU" w:eastAsia="en-AU" w:bidi="ar-SA"/>
        </w:rPr>
        <w:tab/>
        <w:t>(a)</w:t>
      </w:r>
      <w:r w:rsidRPr="00FF65A1">
        <w:rPr>
          <w:rFonts w:cs="Arial"/>
          <w:iCs/>
          <w:sz w:val="20"/>
          <w:szCs w:val="20"/>
          <w:lang w:val="en-AU" w:eastAsia="en-AU" w:bidi="ar-SA"/>
        </w:rPr>
        <w:tab/>
      </w:r>
      <w:r w:rsidRPr="00FF65A1">
        <w:rPr>
          <w:rFonts w:cs="Arial"/>
          <w:iCs/>
          <w:sz w:val="20"/>
          <w:szCs w:val="22"/>
          <w:lang w:val="en-AU" w:eastAsia="en-AU" w:bidi="ar-SA"/>
        </w:rPr>
        <w:t>the average quantity of each type of omega-3 fatty acids (</w:t>
      </w:r>
      <w:r w:rsidRPr="00FF65A1">
        <w:rPr>
          <w:rFonts w:eastAsia="Calibri" w:cs="Arial"/>
          <w:iCs/>
          <w:sz w:val="20"/>
          <w:szCs w:val="22"/>
          <w:lang w:val="en-AU" w:eastAsia="en-AU" w:bidi="ar-SA"/>
        </w:rPr>
        <w:t>that is, alpha</w:t>
      </w:r>
      <w:r w:rsidRPr="00FF65A1">
        <w:rPr>
          <w:rFonts w:eastAsia="Calibri" w:cs="Arial"/>
          <w:iCs/>
          <w:sz w:val="20"/>
          <w:szCs w:val="22"/>
          <w:lang w:val="en-AU" w:eastAsia="en-AU" w:bidi="ar-SA"/>
        </w:rPr>
        <w:noBreakHyphen/>
        <w:t xml:space="preserve">linolenic acid, docosahexaenoic acid, eicosapentaenoic acid or a combination of these); </w:t>
      </w:r>
      <w:r w:rsidRPr="00FF65A1">
        <w:rPr>
          <w:rFonts w:cs="Arial"/>
          <w:iCs/>
          <w:sz w:val="20"/>
          <w:szCs w:val="22"/>
          <w:lang w:val="en-AU" w:eastAsia="en-AU" w:bidi="ar-SA"/>
        </w:rPr>
        <w:t>and</w:t>
      </w:r>
    </w:p>
    <w:p w14:paraId="236B9094" w14:textId="77777777" w:rsidR="00FF65A1" w:rsidRPr="00FF65A1" w:rsidRDefault="00FF65A1" w:rsidP="00FF65A1">
      <w:pPr>
        <w:tabs>
          <w:tab w:val="left" w:pos="1701"/>
        </w:tabs>
        <w:spacing w:before="60" w:after="60"/>
        <w:ind w:left="2268" w:hanging="2268"/>
        <w:rPr>
          <w:rFonts w:cs="Arial"/>
          <w:iCs/>
          <w:sz w:val="20"/>
          <w:szCs w:val="22"/>
          <w:lang w:val="en-AU" w:eastAsia="en-AU" w:bidi="ar-SA"/>
        </w:rPr>
      </w:pPr>
      <w:r w:rsidRPr="00FF65A1">
        <w:rPr>
          <w:rFonts w:cs="Arial"/>
          <w:iCs/>
          <w:sz w:val="20"/>
          <w:szCs w:val="22"/>
          <w:lang w:val="en-AU" w:eastAsia="en-AU" w:bidi="ar-SA"/>
        </w:rPr>
        <w:tab/>
        <w:t>(b)</w:t>
      </w:r>
      <w:r w:rsidRPr="00FF65A1">
        <w:rPr>
          <w:rFonts w:cs="Arial"/>
          <w:iCs/>
          <w:sz w:val="20"/>
          <w:szCs w:val="22"/>
          <w:lang w:val="en-AU" w:eastAsia="en-AU" w:bidi="ar-SA"/>
        </w:rPr>
        <w:tab/>
        <w:t>the average quantity of the total of omega-3 fatty acids.”</w:t>
      </w:r>
    </w:p>
    <w:p w14:paraId="7096489E" w14:textId="77777777" w:rsidR="00FF65A1" w:rsidRPr="00FF65A1" w:rsidRDefault="00FF65A1" w:rsidP="00FF65A1">
      <w:pPr>
        <w:tabs>
          <w:tab w:val="left" w:pos="1134"/>
        </w:tabs>
        <w:spacing w:before="120" w:after="120"/>
        <w:rPr>
          <w:rFonts w:cs="Arial"/>
          <w:iCs/>
          <w:sz w:val="20"/>
          <w:szCs w:val="22"/>
          <w:lang w:val="en-AU" w:eastAsia="en-AU" w:bidi="ar-SA"/>
        </w:rPr>
      </w:pPr>
      <w:r w:rsidRPr="00FF65A1">
        <w:rPr>
          <w:rFonts w:cs="Arial"/>
          <w:iCs/>
          <w:sz w:val="20"/>
          <w:szCs w:val="20"/>
          <w:lang w:val="en-AU" w:eastAsia="en-AU" w:bidi="ar-SA"/>
        </w:rPr>
        <w:t>[3.3]</w:t>
      </w:r>
      <w:r w:rsidRPr="00FF65A1">
        <w:rPr>
          <w:rFonts w:cs="Arial"/>
          <w:iCs/>
          <w:sz w:val="20"/>
          <w:szCs w:val="20"/>
          <w:lang w:val="en-AU" w:eastAsia="en-AU" w:bidi="ar-SA"/>
        </w:rPr>
        <w:tab/>
      </w:r>
      <w:r w:rsidRPr="00FF65A1">
        <w:rPr>
          <w:rFonts w:cs="Arial"/>
          <w:iCs/>
          <w:sz w:val="20"/>
          <w:szCs w:val="22"/>
          <w:lang w:val="en-AU" w:eastAsia="en-AU" w:bidi="ar-SA"/>
        </w:rPr>
        <w:t>omitting from paragraph 1.2.8—14(1)(c) “a declaration of unavailable carbohydrate (not including dietary fibre)” and substituting “a declaration of the average quantity of unavailable carbohydrate (not including dietary fibre) per serving of the food”</w:t>
      </w:r>
    </w:p>
    <w:p w14:paraId="506CC0D8" w14:textId="77777777" w:rsidR="00FF65A1" w:rsidRPr="00FF65A1" w:rsidRDefault="00FF65A1" w:rsidP="00FF65A1">
      <w:pPr>
        <w:tabs>
          <w:tab w:val="left" w:pos="1134"/>
        </w:tabs>
        <w:spacing w:before="120" w:after="120"/>
        <w:rPr>
          <w:rFonts w:cs="Arial"/>
          <w:iCs/>
          <w:sz w:val="20"/>
          <w:szCs w:val="22"/>
          <w:lang w:val="en-AU" w:eastAsia="en-AU" w:bidi="ar-SA"/>
        </w:rPr>
      </w:pPr>
      <w:r w:rsidRPr="00FF65A1">
        <w:rPr>
          <w:rFonts w:cs="Arial"/>
          <w:iCs/>
          <w:sz w:val="20"/>
          <w:szCs w:val="22"/>
          <w:lang w:val="en-AU" w:eastAsia="en-AU" w:bidi="ar-SA"/>
        </w:rPr>
        <w:t>[3.4]</w:t>
      </w:r>
      <w:r w:rsidRPr="00FF65A1">
        <w:rPr>
          <w:rFonts w:cs="Arial"/>
          <w:iCs/>
          <w:sz w:val="20"/>
          <w:szCs w:val="22"/>
          <w:lang w:val="en-AU" w:eastAsia="en-AU" w:bidi="ar-SA"/>
        </w:rPr>
        <w:tab/>
        <w:t>omitting from paragraph 1.2.8—14(1)(c) “the presence in the food” and substituting “the average quantity per serving of the food”</w:t>
      </w:r>
    </w:p>
    <w:p w14:paraId="772F0A70"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iCs/>
          <w:sz w:val="20"/>
          <w:szCs w:val="22"/>
          <w:lang w:val="en-AU" w:eastAsia="en-AU" w:bidi="ar-SA"/>
        </w:rPr>
        <w:t>[3.5]</w:t>
      </w:r>
      <w:r w:rsidRPr="00FF65A1">
        <w:rPr>
          <w:rFonts w:cs="Arial"/>
          <w:iCs/>
          <w:sz w:val="20"/>
          <w:szCs w:val="22"/>
          <w:lang w:val="en-AU" w:eastAsia="en-AU" w:bidi="ar-SA"/>
        </w:rPr>
        <w:tab/>
        <w:t>omitting “‘metric cup’,” from subsection 1.2.8—14(2)</w:t>
      </w:r>
    </w:p>
    <w:p w14:paraId="62B06113"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b/>
          <w:iCs/>
          <w:sz w:val="20"/>
          <w:szCs w:val="22"/>
          <w:lang w:val="en-AU" w:eastAsia="en-AU" w:bidi="ar-SA"/>
        </w:rPr>
        <w:t>[4]</w:t>
      </w:r>
      <w:r w:rsidRPr="00FF65A1">
        <w:rPr>
          <w:rFonts w:cs="Arial"/>
          <w:b/>
          <w:iCs/>
          <w:sz w:val="20"/>
          <w:szCs w:val="22"/>
          <w:lang w:val="en-AU" w:eastAsia="en-AU" w:bidi="ar-SA"/>
        </w:rPr>
        <w:tab/>
        <w:t>Schedule 4</w:t>
      </w:r>
      <w:r w:rsidRPr="00FF65A1">
        <w:rPr>
          <w:rFonts w:cs="Arial"/>
          <w:iCs/>
          <w:sz w:val="20"/>
          <w:szCs w:val="22"/>
          <w:lang w:val="en-AU" w:eastAsia="en-AU" w:bidi="ar-SA"/>
        </w:rPr>
        <w:t xml:space="preserve"> is varied by </w:t>
      </w:r>
    </w:p>
    <w:p w14:paraId="2388EF72" w14:textId="77777777" w:rsidR="00FF65A1" w:rsidRPr="00FF65A1" w:rsidRDefault="00FF65A1" w:rsidP="00FF65A1">
      <w:pPr>
        <w:tabs>
          <w:tab w:val="left" w:pos="1134"/>
        </w:tabs>
        <w:spacing w:before="120" w:after="120"/>
        <w:rPr>
          <w:rFonts w:cs="Arial"/>
          <w:iCs/>
          <w:sz w:val="20"/>
          <w:szCs w:val="22"/>
          <w:lang w:val="en-AU" w:eastAsia="en-AU" w:bidi="ar-SA"/>
        </w:rPr>
      </w:pPr>
      <w:r w:rsidRPr="00FF65A1">
        <w:rPr>
          <w:rFonts w:cs="Arial"/>
          <w:iCs/>
          <w:sz w:val="20"/>
          <w:szCs w:val="22"/>
          <w:lang w:val="en-AU" w:eastAsia="en-AU" w:bidi="ar-SA"/>
        </w:rPr>
        <w:t>[4.1]</w:t>
      </w:r>
      <w:r w:rsidRPr="00FF65A1">
        <w:rPr>
          <w:rFonts w:cs="Arial"/>
          <w:iCs/>
          <w:sz w:val="20"/>
          <w:szCs w:val="22"/>
          <w:lang w:val="en-AU" w:eastAsia="en-AU" w:bidi="ar-SA"/>
        </w:rPr>
        <w:tab/>
        <w:t xml:space="preserve">omitting from the entry for Lactose in the table to section S4—3 “The nutrition information panel indicates the lactose and galactose content.” </w:t>
      </w:r>
    </w:p>
    <w:p w14:paraId="57569E36" w14:textId="77777777" w:rsidR="00FF65A1" w:rsidRPr="00FF65A1" w:rsidRDefault="00FF65A1" w:rsidP="00FF65A1">
      <w:pPr>
        <w:tabs>
          <w:tab w:val="left" w:pos="1134"/>
        </w:tabs>
        <w:spacing w:before="120" w:after="120"/>
        <w:rPr>
          <w:rFonts w:eastAsia="Calibri" w:cs="Arial"/>
          <w:iCs/>
          <w:sz w:val="20"/>
          <w:szCs w:val="22"/>
          <w:lang w:val="en-AU" w:eastAsia="en-AU" w:bidi="ar-SA"/>
        </w:rPr>
      </w:pPr>
      <w:r w:rsidRPr="00FF65A1">
        <w:rPr>
          <w:rFonts w:cs="Arial"/>
          <w:iCs/>
          <w:sz w:val="20"/>
          <w:szCs w:val="22"/>
          <w:lang w:val="en-AU" w:eastAsia="en-AU" w:bidi="ar-SA"/>
        </w:rPr>
        <w:t xml:space="preserve">[4.2] </w:t>
      </w:r>
      <w:r w:rsidRPr="00FF65A1">
        <w:rPr>
          <w:rFonts w:cs="Arial"/>
          <w:iCs/>
          <w:sz w:val="20"/>
          <w:szCs w:val="22"/>
          <w:lang w:val="en-AU" w:eastAsia="en-AU" w:bidi="ar-SA"/>
        </w:rPr>
        <w:tab/>
        <w:t>omitting from the entry for Salt or sodium in the table to section S4—3 “</w:t>
      </w:r>
      <w:r w:rsidRPr="00FF65A1">
        <w:rPr>
          <w:rFonts w:eastAsia="Calibri" w:cs="Arial"/>
          <w:iCs/>
          <w:sz w:val="20"/>
          <w:szCs w:val="22"/>
          <w:lang w:val="en-AU" w:eastAsia="en-AU" w:bidi="ar-SA"/>
        </w:rPr>
        <w:t>The nutrition information panel indicates the potassium content.”</w:t>
      </w:r>
    </w:p>
    <w:p w14:paraId="3100677E" w14:textId="77777777" w:rsidR="00FF65A1" w:rsidRPr="00FF65A1" w:rsidRDefault="00FF65A1" w:rsidP="00FF65A1">
      <w:pPr>
        <w:tabs>
          <w:tab w:val="left" w:pos="1134"/>
        </w:tabs>
        <w:spacing w:before="120" w:after="120"/>
        <w:ind w:left="1701" w:hanging="1701"/>
        <w:rPr>
          <w:rFonts w:eastAsia="Calibri" w:cs="Arial"/>
          <w:iCs/>
          <w:sz w:val="20"/>
          <w:szCs w:val="22"/>
          <w:lang w:val="en-AU" w:eastAsia="en-AU" w:bidi="ar-SA"/>
        </w:rPr>
      </w:pPr>
      <w:r w:rsidRPr="00FF65A1">
        <w:rPr>
          <w:rFonts w:eastAsia="Calibri" w:cs="Arial"/>
          <w:iCs/>
          <w:sz w:val="20"/>
          <w:szCs w:val="22"/>
          <w:lang w:val="en-AU" w:eastAsia="en-AU" w:bidi="ar-SA"/>
        </w:rPr>
        <w:t xml:space="preserve">[4.3] </w:t>
      </w:r>
      <w:r w:rsidRPr="00FF65A1">
        <w:rPr>
          <w:rFonts w:eastAsia="Calibri" w:cs="Arial"/>
          <w:iCs/>
          <w:sz w:val="20"/>
          <w:szCs w:val="22"/>
          <w:lang w:val="en-AU" w:eastAsia="en-AU" w:bidi="ar-SA"/>
        </w:rPr>
        <w:tab/>
        <w:t>omitting from the table to section S4—3</w:t>
      </w:r>
    </w:p>
    <w:p w14:paraId="778F197F" w14:textId="77777777" w:rsidR="00FF65A1" w:rsidRPr="00FF65A1" w:rsidRDefault="00FF65A1" w:rsidP="00FF65A1">
      <w:pPr>
        <w:rPr>
          <w:rFonts w:eastAsia="Calibri" w:cs="Arial"/>
          <w:sz w:val="20"/>
          <w:szCs w:val="20"/>
          <w:lang w:eastAsia="en-AU"/>
        </w:rPr>
      </w:pPr>
      <w:r w:rsidRPr="00FF65A1">
        <w:rPr>
          <w:rFonts w:eastAsia="Calibri" w:cs="Arial"/>
          <w:sz w:val="20"/>
          <w:szCs w:val="20"/>
          <w:lang w:eastAsia="en-AU"/>
        </w:rPr>
        <w:br w:type="page"/>
      </w:r>
    </w:p>
    <w:p w14:paraId="47D21D57" w14:textId="77777777" w:rsidR="00FF65A1" w:rsidRPr="00FF65A1" w:rsidRDefault="00FF65A1" w:rsidP="00FF65A1">
      <w:pPr>
        <w:keepNext/>
        <w:rPr>
          <w:rFonts w:eastAsia="Calibri" w:cs="Arial"/>
          <w:sz w:val="20"/>
          <w:szCs w:val="20"/>
          <w:lang w:eastAsia="en-AU"/>
        </w:rPr>
      </w:pPr>
    </w:p>
    <w:tbl>
      <w:tblPr>
        <w:tblW w:w="9072"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1"/>
        <w:gridCol w:w="2819"/>
        <w:gridCol w:w="1560"/>
        <w:gridCol w:w="3152"/>
      </w:tblGrid>
      <w:tr w:rsidR="00FF65A1" w:rsidRPr="00FF65A1" w14:paraId="4227433B" w14:textId="77777777" w:rsidTr="00DD110A">
        <w:trPr>
          <w:cantSplit/>
          <w:trHeight w:val="2481"/>
        </w:trPr>
        <w:tc>
          <w:tcPr>
            <w:tcW w:w="1547" w:type="dxa"/>
            <w:vMerge w:val="restart"/>
            <w:tcBorders>
              <w:top w:val="single" w:sz="6" w:space="0" w:color="auto"/>
              <w:left w:val="nil"/>
              <w:bottom w:val="single" w:sz="6" w:space="0" w:color="auto"/>
              <w:right w:val="nil"/>
            </w:tcBorders>
            <w:hideMark/>
          </w:tcPr>
          <w:p w14:paraId="62BC645A" w14:textId="77777777" w:rsidR="00FF65A1" w:rsidRPr="00FF65A1" w:rsidRDefault="00FF65A1" w:rsidP="00FF65A1">
            <w:pPr>
              <w:keepLines/>
              <w:widowControl/>
              <w:spacing w:before="60" w:after="60"/>
              <w:rPr>
                <w:rFonts w:cs="Arial"/>
                <w:sz w:val="18"/>
                <w:szCs w:val="22"/>
                <w:lang w:eastAsia="en-AU" w:bidi="ar-SA"/>
              </w:rPr>
            </w:pPr>
            <w:r w:rsidRPr="00FF65A1">
              <w:rPr>
                <w:rFonts w:cs="Arial"/>
                <w:sz w:val="18"/>
                <w:szCs w:val="22"/>
                <w:lang w:eastAsia="en-AU" w:bidi="ar-SA"/>
              </w:rPr>
              <w:t>Omega-3 fatty acids</w:t>
            </w:r>
          </w:p>
        </w:tc>
        <w:tc>
          <w:tcPr>
            <w:tcW w:w="2829" w:type="dxa"/>
            <w:vMerge w:val="restart"/>
            <w:tcBorders>
              <w:top w:val="single" w:sz="6" w:space="0" w:color="auto"/>
              <w:left w:val="nil"/>
              <w:bottom w:val="single" w:sz="6" w:space="0" w:color="auto"/>
              <w:right w:val="nil"/>
            </w:tcBorders>
            <w:hideMark/>
          </w:tcPr>
          <w:p w14:paraId="7062B10D"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(a)</w:t>
            </w:r>
            <w:r w:rsidRPr="00FF65A1">
              <w:rPr>
                <w:rFonts w:cs="Arial"/>
                <w:sz w:val="18"/>
                <w:szCs w:val="22"/>
                <w:lang w:eastAsia="en-AU" w:bidi="ar-SA"/>
              </w:rPr>
              <w:tab/>
              <w:t>The food meets the conditions for a nutrition content claim about omega fatty acids; and</w:t>
            </w:r>
          </w:p>
          <w:p w14:paraId="152F3031"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(b)</w:t>
            </w:r>
            <w:r w:rsidRPr="00FF65A1">
              <w:rPr>
                <w:rFonts w:cs="Arial"/>
                <w:sz w:val="18"/>
                <w:szCs w:val="22"/>
                <w:lang w:eastAsia="en-AU" w:bidi="ar-SA"/>
              </w:rPr>
              <w:tab/>
              <w:t>the food contains no less than:</w:t>
            </w:r>
          </w:p>
          <w:p w14:paraId="4E589401" w14:textId="77777777" w:rsidR="00FF65A1" w:rsidRPr="00FF65A1" w:rsidRDefault="00FF65A1" w:rsidP="00FF65A1">
            <w:pPr>
              <w:keepLines/>
              <w:widowControl/>
              <w:spacing w:before="60" w:after="60"/>
              <w:ind w:left="794" w:hanging="397"/>
              <w:rPr>
                <w:rFonts w:cs="Arial"/>
                <w:sz w:val="18"/>
                <w:szCs w:val="22"/>
                <w:lang w:val="en-AU" w:eastAsia="en-AU" w:bidi="ar-SA"/>
              </w:rPr>
            </w:pPr>
            <w:r w:rsidRPr="00FF65A1">
              <w:rPr>
                <w:rFonts w:cs="Arial"/>
                <w:sz w:val="18"/>
                <w:szCs w:val="22"/>
                <w:lang w:val="en-AU" w:eastAsia="en-AU" w:bidi="ar-SA"/>
              </w:rPr>
              <w:t>(i)</w:t>
            </w:r>
            <w:r w:rsidRPr="00FF65A1">
              <w:rPr>
                <w:rFonts w:cs="Arial"/>
                <w:sz w:val="18"/>
                <w:szCs w:val="22"/>
                <w:lang w:val="en-AU" w:eastAsia="en-AU" w:bidi="ar-SA"/>
              </w:rPr>
              <w:tab/>
              <w:t>200 mg alpha-linolenic acid per serving; or</w:t>
            </w:r>
          </w:p>
          <w:p w14:paraId="3732B9CA" w14:textId="77777777" w:rsidR="00FF65A1" w:rsidRPr="00FF65A1" w:rsidRDefault="00FF65A1" w:rsidP="00FF65A1">
            <w:pPr>
              <w:keepLines/>
              <w:widowControl/>
              <w:spacing w:before="60" w:after="60"/>
              <w:ind w:left="794" w:hanging="397"/>
              <w:rPr>
                <w:rFonts w:cs="Arial"/>
                <w:sz w:val="18"/>
                <w:szCs w:val="22"/>
                <w:lang w:val="en-AU" w:eastAsia="en-AU" w:bidi="ar-SA"/>
              </w:rPr>
            </w:pPr>
            <w:r w:rsidRPr="00FF65A1">
              <w:rPr>
                <w:rFonts w:cs="Arial"/>
                <w:sz w:val="18"/>
                <w:szCs w:val="22"/>
                <w:lang w:val="en-AU" w:eastAsia="en-AU" w:bidi="ar-SA"/>
              </w:rPr>
              <w:t>(ii)</w:t>
            </w:r>
            <w:r w:rsidRPr="00FF65A1">
              <w:rPr>
                <w:rFonts w:cs="Arial"/>
                <w:sz w:val="18"/>
                <w:szCs w:val="22"/>
                <w:lang w:val="en-AU" w:eastAsia="en-AU" w:bidi="ar-SA"/>
              </w:rPr>
              <w:tab/>
              <w:t xml:space="preserve">30 mg total eicosapentaenoic acid and docosahexaenoic acid per serving; and </w:t>
            </w:r>
          </w:p>
          <w:p w14:paraId="300E428A"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(c)</w:t>
            </w:r>
            <w:r w:rsidRPr="00FF65A1">
              <w:rPr>
                <w:rFonts w:cs="Arial"/>
                <w:sz w:val="18"/>
                <w:szCs w:val="22"/>
                <w:lang w:eastAsia="en-AU" w:bidi="ar-SA"/>
              </w:rPr>
              <w:tab/>
              <w:t>other than for fish or fish products with no added *saturated fatty acids, the food contains:</w:t>
            </w:r>
          </w:p>
          <w:p w14:paraId="2E1B7EE7" w14:textId="77777777" w:rsidR="00FF65A1" w:rsidRPr="00FF65A1" w:rsidRDefault="00FF65A1" w:rsidP="00FF65A1">
            <w:pPr>
              <w:keepLines/>
              <w:widowControl/>
              <w:spacing w:before="60" w:after="60"/>
              <w:ind w:left="794" w:hanging="397"/>
              <w:rPr>
                <w:rFonts w:cs="Arial"/>
                <w:sz w:val="18"/>
                <w:szCs w:val="22"/>
                <w:lang w:val="en-AU" w:eastAsia="en-AU" w:bidi="ar-SA"/>
              </w:rPr>
            </w:pPr>
            <w:r w:rsidRPr="00FF65A1">
              <w:rPr>
                <w:rFonts w:cs="Arial"/>
                <w:sz w:val="18"/>
                <w:szCs w:val="22"/>
                <w:lang w:val="en-AU" w:eastAsia="en-AU" w:bidi="ar-SA"/>
              </w:rPr>
              <w:t>(i)</w:t>
            </w:r>
            <w:r w:rsidRPr="00FF65A1">
              <w:rPr>
                <w:rFonts w:cs="Arial"/>
                <w:sz w:val="18"/>
                <w:szCs w:val="22"/>
                <w:lang w:val="en-AU" w:eastAsia="en-AU" w:bidi="ar-SA"/>
              </w:rPr>
              <w:tab/>
              <w:t>as a proportion of the total fatty acid content, no more than 28% saturated fatty acids and trans fatty acids; or</w:t>
            </w:r>
          </w:p>
          <w:p w14:paraId="6FE0246E" w14:textId="77777777" w:rsidR="00FF65A1" w:rsidRPr="00FF65A1" w:rsidRDefault="00FF65A1" w:rsidP="00FF65A1">
            <w:pPr>
              <w:keepLines/>
              <w:widowControl/>
              <w:spacing w:before="60" w:after="60"/>
              <w:ind w:left="794" w:hanging="397"/>
              <w:rPr>
                <w:rFonts w:cs="Arial"/>
                <w:sz w:val="18"/>
                <w:szCs w:val="22"/>
                <w:lang w:val="en-AU" w:eastAsia="en-AU" w:bidi="ar-SA"/>
              </w:rPr>
            </w:pPr>
            <w:r w:rsidRPr="00FF65A1">
              <w:rPr>
                <w:rFonts w:cs="Arial"/>
                <w:sz w:val="18"/>
                <w:szCs w:val="22"/>
                <w:lang w:val="en-AU" w:eastAsia="en-AU" w:bidi="ar-SA"/>
              </w:rPr>
              <w:t>(ii)</w:t>
            </w:r>
            <w:r w:rsidRPr="00FF65A1">
              <w:rPr>
                <w:rFonts w:cs="Arial"/>
                <w:sz w:val="18"/>
                <w:szCs w:val="22"/>
                <w:lang w:val="en-AU" w:eastAsia="en-AU" w:bidi="ar-SA"/>
              </w:rPr>
              <w:tab/>
              <w:t>no more saturated fatty acids and *trans fatty acids than 5 g per 100 g; and</w:t>
            </w:r>
          </w:p>
          <w:p w14:paraId="04E278DD"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(d)</w:t>
            </w:r>
            <w:r w:rsidRPr="00FF65A1">
              <w:rPr>
                <w:rFonts w:cs="Arial"/>
                <w:sz w:val="18"/>
                <w:szCs w:val="22"/>
                <w:lang w:eastAsia="en-AU" w:bidi="ar-SA"/>
              </w:rPr>
              <w:tab/>
              <w:t>the nutrition information panel indicates the type and amount of omega-3 fatty acids, that is, alpha-linolenic acid, docosahexaenoic acid or eicosapentaenoic acid, or a combination of the above.</w:t>
            </w:r>
          </w:p>
        </w:tc>
        <w:tc>
          <w:tcPr>
            <w:tcW w:w="1565" w:type="dxa"/>
            <w:tcBorders>
              <w:top w:val="single" w:sz="6" w:space="0" w:color="auto"/>
              <w:left w:val="nil"/>
              <w:bottom w:val="nil"/>
              <w:right w:val="nil"/>
            </w:tcBorders>
            <w:hideMark/>
          </w:tcPr>
          <w:p w14:paraId="7F437525" w14:textId="77777777" w:rsidR="00FF65A1" w:rsidRPr="00FF65A1" w:rsidRDefault="00FF65A1" w:rsidP="00FF65A1">
            <w:pPr>
              <w:keepLines/>
              <w:widowControl/>
              <w:spacing w:before="60" w:after="60"/>
              <w:rPr>
                <w:rFonts w:cs="Arial"/>
                <w:sz w:val="18"/>
                <w:szCs w:val="22"/>
                <w:lang w:eastAsia="en-AU" w:bidi="ar-SA"/>
              </w:rPr>
            </w:pPr>
            <w:r w:rsidRPr="00FF65A1">
              <w:rPr>
                <w:rFonts w:cs="Arial"/>
                <w:sz w:val="18"/>
                <w:szCs w:val="22"/>
                <w:lang w:eastAsia="en-AU" w:bidi="ar-SA"/>
              </w:rPr>
              <w:t>Good Source</w:t>
            </w:r>
          </w:p>
        </w:tc>
        <w:tc>
          <w:tcPr>
            <w:tcW w:w="3163" w:type="dxa"/>
            <w:tcBorders>
              <w:top w:val="single" w:sz="6" w:space="0" w:color="auto"/>
              <w:left w:val="nil"/>
              <w:bottom w:val="nil"/>
              <w:right w:val="nil"/>
            </w:tcBorders>
            <w:hideMark/>
          </w:tcPr>
          <w:p w14:paraId="59F21BDA"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(a)</w:t>
            </w:r>
            <w:r w:rsidRPr="00FF65A1">
              <w:rPr>
                <w:rFonts w:cs="Arial"/>
                <w:sz w:val="18"/>
                <w:szCs w:val="22"/>
                <w:lang w:eastAsia="en-AU" w:bidi="ar-SA"/>
              </w:rPr>
              <w:tab/>
              <w:t>The food contains no less than 60 mg total eicosapentaenoic acid and docosahexaenoic acid/serving; and</w:t>
            </w:r>
          </w:p>
          <w:p w14:paraId="38236D5C"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(b)</w:t>
            </w:r>
            <w:r w:rsidRPr="00FF65A1">
              <w:rPr>
                <w:rFonts w:cs="Arial"/>
                <w:sz w:val="18"/>
                <w:szCs w:val="22"/>
                <w:lang w:eastAsia="en-AU" w:bidi="ar-SA"/>
              </w:rPr>
              <w:tab/>
              <w:t>the food may contain less than 200 mg alpha-linolenic acid/serving.</w:t>
            </w:r>
          </w:p>
        </w:tc>
      </w:tr>
      <w:tr w:rsidR="00FF65A1" w:rsidRPr="00FF65A1" w14:paraId="6BF72927" w14:textId="77777777" w:rsidTr="00DD110A">
        <w:trPr>
          <w:trHeight w:val="3247"/>
        </w:trPr>
        <w:tc>
          <w:tcPr>
            <w:tcW w:w="1547" w:type="dxa"/>
            <w:vMerge/>
            <w:tcBorders>
              <w:top w:val="single" w:sz="6" w:space="0" w:color="auto"/>
              <w:left w:val="nil"/>
              <w:bottom w:val="single" w:sz="6" w:space="0" w:color="auto"/>
              <w:right w:val="nil"/>
            </w:tcBorders>
            <w:vAlign w:val="center"/>
            <w:hideMark/>
          </w:tcPr>
          <w:p w14:paraId="774AFBFB" w14:textId="77777777" w:rsidR="00FF65A1" w:rsidRPr="00FF65A1" w:rsidRDefault="00FF65A1" w:rsidP="00FF65A1">
            <w:pPr>
              <w:rPr>
                <w:rFonts w:cs="Arial"/>
                <w:sz w:val="18"/>
                <w:szCs w:val="22"/>
                <w:lang w:eastAsia="en-AU"/>
              </w:rPr>
            </w:pPr>
          </w:p>
        </w:tc>
        <w:tc>
          <w:tcPr>
            <w:tcW w:w="2829" w:type="dxa"/>
            <w:vMerge/>
            <w:tcBorders>
              <w:top w:val="single" w:sz="6" w:space="0" w:color="auto"/>
              <w:left w:val="nil"/>
              <w:bottom w:val="single" w:sz="6" w:space="0" w:color="auto"/>
              <w:right w:val="nil"/>
            </w:tcBorders>
            <w:vAlign w:val="center"/>
            <w:hideMark/>
          </w:tcPr>
          <w:p w14:paraId="12B1CC50" w14:textId="77777777" w:rsidR="00FF65A1" w:rsidRPr="00FF65A1" w:rsidRDefault="00FF65A1" w:rsidP="00FF65A1">
            <w:pPr>
              <w:rPr>
                <w:rFonts w:cs="Arial"/>
                <w:sz w:val="18"/>
                <w:szCs w:val="22"/>
                <w:lang w:eastAsia="en-AU"/>
              </w:rPr>
            </w:pPr>
          </w:p>
        </w:tc>
        <w:tc>
          <w:tcPr>
            <w:tcW w:w="1565" w:type="dxa"/>
            <w:tcBorders>
              <w:top w:val="nil"/>
              <w:left w:val="nil"/>
              <w:bottom w:val="single" w:sz="6" w:space="0" w:color="auto"/>
              <w:right w:val="nil"/>
            </w:tcBorders>
            <w:hideMark/>
          </w:tcPr>
          <w:p w14:paraId="49F7E3C4" w14:textId="77777777" w:rsidR="00FF65A1" w:rsidRPr="00FF65A1" w:rsidRDefault="00FF65A1" w:rsidP="00FF65A1">
            <w:pPr>
              <w:keepLines/>
              <w:widowControl/>
              <w:spacing w:before="60" w:after="60"/>
              <w:rPr>
                <w:rFonts w:cs="Arial"/>
                <w:sz w:val="18"/>
                <w:szCs w:val="22"/>
                <w:lang w:eastAsia="en-AU" w:bidi="ar-SA"/>
              </w:rPr>
            </w:pPr>
            <w:r w:rsidRPr="00FF65A1">
              <w:rPr>
                <w:rFonts w:cs="Arial"/>
                <w:sz w:val="18"/>
                <w:szCs w:val="22"/>
                <w:lang w:eastAsia="en-AU" w:bidi="ar-SA"/>
              </w:rPr>
              <w:t>Increased</w:t>
            </w:r>
          </w:p>
        </w:tc>
        <w:tc>
          <w:tcPr>
            <w:tcW w:w="3163" w:type="dxa"/>
            <w:tcBorders>
              <w:top w:val="nil"/>
              <w:left w:val="nil"/>
              <w:bottom w:val="single" w:sz="6" w:space="0" w:color="auto"/>
              <w:right w:val="nil"/>
            </w:tcBorders>
            <w:hideMark/>
          </w:tcPr>
          <w:p w14:paraId="45E9B3B7"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(a)</w:t>
            </w:r>
            <w:r w:rsidRPr="00FF65A1">
              <w:rPr>
                <w:rFonts w:cs="Arial"/>
                <w:sz w:val="18"/>
                <w:szCs w:val="22"/>
                <w:lang w:eastAsia="en-AU" w:bidi="ar-SA"/>
              </w:rPr>
              <w:tab/>
              <w:t>The food contains at least 25% more omega-3 fatty acids than in the same amount of *reference food; and</w:t>
            </w:r>
          </w:p>
          <w:p w14:paraId="31A04155"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(b)</w:t>
            </w:r>
            <w:r w:rsidRPr="00FF65A1">
              <w:rPr>
                <w:rFonts w:cs="Arial"/>
                <w:sz w:val="18"/>
                <w:szCs w:val="22"/>
                <w:lang w:eastAsia="en-AU" w:bidi="ar-SA"/>
              </w:rPr>
              <w:tab/>
              <w:t>the reference food meets the general claim conditions for a nutrition content claim about omega-3 fatty acids.</w:t>
            </w:r>
          </w:p>
        </w:tc>
      </w:tr>
    </w:tbl>
    <w:p w14:paraId="03F29DC1" w14:textId="77777777" w:rsidR="00FF65A1" w:rsidRPr="00FF65A1" w:rsidRDefault="00FF65A1" w:rsidP="00FF65A1">
      <w:pPr>
        <w:jc w:val="right"/>
        <w:rPr>
          <w:rFonts w:eastAsia="Calibri" w:cs="Arial"/>
          <w:sz w:val="20"/>
          <w:szCs w:val="20"/>
          <w:lang w:eastAsia="en-AU"/>
        </w:rPr>
      </w:pPr>
    </w:p>
    <w:p w14:paraId="020BB17B" w14:textId="77777777" w:rsidR="00FF65A1" w:rsidRPr="00FF65A1" w:rsidRDefault="00FF65A1" w:rsidP="00FF65A1">
      <w:pPr>
        <w:rPr>
          <w:rFonts w:eastAsia="Calibri" w:cs="Arial"/>
          <w:sz w:val="20"/>
          <w:szCs w:val="20"/>
          <w:lang w:eastAsia="en-AU"/>
        </w:rPr>
      </w:pPr>
      <w:r w:rsidRPr="00FF65A1">
        <w:rPr>
          <w:rFonts w:eastAsia="Calibri" w:cs="Arial"/>
          <w:sz w:val="20"/>
          <w:szCs w:val="20"/>
          <w:lang w:eastAsia="en-AU"/>
        </w:rPr>
        <w:t>and substituting</w:t>
      </w:r>
    </w:p>
    <w:p w14:paraId="15A45AC8" w14:textId="77777777" w:rsidR="00FF65A1" w:rsidRPr="00FF65A1" w:rsidRDefault="00FF65A1" w:rsidP="00FF65A1">
      <w:pPr>
        <w:rPr>
          <w:rFonts w:eastAsia="Calibri" w:cs="Arial"/>
          <w:sz w:val="20"/>
          <w:szCs w:val="20"/>
          <w:lang w:eastAsia="en-AU"/>
        </w:rPr>
      </w:pPr>
    </w:p>
    <w:p w14:paraId="5D3B6CBE" w14:textId="77777777" w:rsidR="00FF65A1" w:rsidRPr="00FF65A1" w:rsidRDefault="00FF65A1" w:rsidP="00FF65A1">
      <w:pPr>
        <w:rPr>
          <w:rFonts w:eastAsia="Calibri" w:cs="Arial"/>
          <w:sz w:val="20"/>
          <w:szCs w:val="20"/>
          <w:lang w:eastAsia="en-AU"/>
        </w:rPr>
      </w:pPr>
      <w:r w:rsidRPr="00FF65A1">
        <w:rPr>
          <w:rFonts w:eastAsia="Calibri" w:cs="Arial"/>
          <w:sz w:val="20"/>
          <w:szCs w:val="20"/>
          <w:lang w:eastAsia="en-AU"/>
        </w:rPr>
        <w:br w:type="page"/>
      </w:r>
    </w:p>
    <w:p w14:paraId="4BC7ADCF" w14:textId="77777777" w:rsidR="00FF65A1" w:rsidRPr="00FF65A1" w:rsidRDefault="00FF65A1" w:rsidP="00FF65A1">
      <w:pPr>
        <w:rPr>
          <w:rFonts w:eastAsia="Calibri" w:cs="Arial"/>
          <w:sz w:val="20"/>
          <w:szCs w:val="20"/>
          <w:lang w:eastAsia="en-AU"/>
        </w:rPr>
      </w:pPr>
    </w:p>
    <w:tbl>
      <w:tblPr>
        <w:tblW w:w="9075"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2"/>
        <w:gridCol w:w="2820"/>
        <w:gridCol w:w="1560"/>
        <w:gridCol w:w="3153"/>
      </w:tblGrid>
      <w:tr w:rsidR="00FF65A1" w:rsidRPr="00FF65A1" w14:paraId="1BD0ACDF" w14:textId="77777777" w:rsidTr="00DD110A">
        <w:trPr>
          <w:cantSplit/>
          <w:trHeight w:val="2300"/>
        </w:trPr>
        <w:tc>
          <w:tcPr>
            <w:tcW w:w="1542" w:type="dxa"/>
            <w:vMerge w:val="restart"/>
            <w:tcBorders>
              <w:top w:val="single" w:sz="6" w:space="0" w:color="auto"/>
              <w:left w:val="nil"/>
              <w:bottom w:val="single" w:sz="6" w:space="0" w:color="auto"/>
              <w:right w:val="nil"/>
            </w:tcBorders>
            <w:hideMark/>
          </w:tcPr>
          <w:p w14:paraId="4663B08C"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Omega-3 fatty acids</w:t>
            </w:r>
          </w:p>
        </w:tc>
        <w:tc>
          <w:tcPr>
            <w:tcW w:w="2819" w:type="dxa"/>
            <w:vMerge w:val="restart"/>
            <w:tcBorders>
              <w:top w:val="single" w:sz="6" w:space="0" w:color="auto"/>
              <w:left w:val="nil"/>
              <w:bottom w:val="single" w:sz="6" w:space="0" w:color="auto"/>
              <w:right w:val="nil"/>
            </w:tcBorders>
            <w:hideMark/>
          </w:tcPr>
          <w:p w14:paraId="7978B63C"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(a)</w:t>
            </w:r>
            <w:r w:rsidRPr="00FF65A1">
              <w:rPr>
                <w:rFonts w:cs="Arial"/>
                <w:sz w:val="18"/>
                <w:szCs w:val="22"/>
                <w:lang w:eastAsia="en-AU" w:bidi="ar-SA"/>
              </w:rPr>
              <w:tab/>
              <w:t>The food meets the conditions for a nutrition content claim about omega fatty acids; and</w:t>
            </w:r>
          </w:p>
          <w:p w14:paraId="26F411A9"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(b)</w:t>
            </w:r>
            <w:r w:rsidRPr="00FF65A1">
              <w:rPr>
                <w:rFonts w:cs="Arial"/>
                <w:sz w:val="18"/>
                <w:szCs w:val="22"/>
                <w:lang w:eastAsia="en-AU" w:bidi="ar-SA"/>
              </w:rPr>
              <w:tab/>
              <w:t>the food contains no less than:</w:t>
            </w:r>
          </w:p>
          <w:p w14:paraId="7C564F97" w14:textId="77777777" w:rsidR="00FF65A1" w:rsidRPr="00FF65A1" w:rsidRDefault="00FF65A1" w:rsidP="00FF65A1">
            <w:pPr>
              <w:keepLines/>
              <w:widowControl/>
              <w:spacing w:before="60" w:after="60"/>
              <w:ind w:left="794" w:hanging="397"/>
              <w:rPr>
                <w:rFonts w:cs="Arial"/>
                <w:sz w:val="18"/>
                <w:szCs w:val="22"/>
                <w:lang w:eastAsia="en-AU" w:bidi="ar-SA"/>
              </w:rPr>
            </w:pPr>
            <w:r w:rsidRPr="00FF65A1">
              <w:rPr>
                <w:rFonts w:cs="Arial"/>
                <w:sz w:val="18"/>
                <w:szCs w:val="22"/>
                <w:lang w:eastAsia="en-AU" w:bidi="ar-SA"/>
              </w:rPr>
              <w:t>(i)</w:t>
            </w:r>
            <w:r w:rsidRPr="00FF65A1">
              <w:rPr>
                <w:rFonts w:cs="Arial"/>
                <w:sz w:val="18"/>
                <w:szCs w:val="22"/>
                <w:lang w:eastAsia="en-AU" w:bidi="ar-SA"/>
              </w:rPr>
              <w:tab/>
              <w:t>200 mg alpha-linolenic acid per serving; or</w:t>
            </w:r>
          </w:p>
          <w:p w14:paraId="163853D6" w14:textId="77777777" w:rsidR="00FF65A1" w:rsidRPr="00FF65A1" w:rsidRDefault="00FF65A1" w:rsidP="00FF65A1">
            <w:pPr>
              <w:keepLines/>
              <w:widowControl/>
              <w:spacing w:before="60" w:after="60"/>
              <w:ind w:left="794" w:hanging="397"/>
              <w:rPr>
                <w:rFonts w:cs="Arial"/>
                <w:sz w:val="18"/>
                <w:szCs w:val="22"/>
                <w:lang w:eastAsia="en-AU" w:bidi="ar-SA"/>
              </w:rPr>
            </w:pPr>
            <w:r w:rsidRPr="00FF65A1">
              <w:rPr>
                <w:rFonts w:cs="Arial"/>
                <w:sz w:val="18"/>
                <w:szCs w:val="22"/>
                <w:lang w:eastAsia="en-AU" w:bidi="ar-SA"/>
              </w:rPr>
              <w:t>(ii)</w:t>
            </w:r>
            <w:r w:rsidRPr="00FF65A1">
              <w:rPr>
                <w:rFonts w:cs="Arial"/>
                <w:sz w:val="18"/>
                <w:szCs w:val="22"/>
                <w:lang w:eastAsia="en-AU" w:bidi="ar-SA"/>
              </w:rPr>
              <w:tab/>
              <w:t xml:space="preserve">30 mg total eicosapentaenoic acid and docosahexaenoic acid per serving; and </w:t>
            </w:r>
          </w:p>
          <w:p w14:paraId="09F4F583"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(c)</w:t>
            </w:r>
            <w:r w:rsidRPr="00FF65A1">
              <w:rPr>
                <w:rFonts w:cs="Arial"/>
                <w:sz w:val="18"/>
                <w:szCs w:val="22"/>
                <w:lang w:eastAsia="en-AU" w:bidi="ar-SA"/>
              </w:rPr>
              <w:tab/>
              <w:t>other than for fish or fish products with no added *saturated fatty acids, the food contains:</w:t>
            </w:r>
          </w:p>
          <w:p w14:paraId="157B61FB" w14:textId="77777777" w:rsidR="00FF65A1" w:rsidRPr="00FF65A1" w:rsidRDefault="00FF65A1" w:rsidP="00FF65A1">
            <w:pPr>
              <w:keepLines/>
              <w:widowControl/>
              <w:spacing w:before="60" w:after="60"/>
              <w:ind w:left="794" w:hanging="397"/>
              <w:rPr>
                <w:rFonts w:cs="Arial"/>
                <w:sz w:val="18"/>
                <w:szCs w:val="22"/>
                <w:lang w:eastAsia="en-AU" w:bidi="ar-SA"/>
              </w:rPr>
            </w:pPr>
            <w:r w:rsidRPr="00FF65A1">
              <w:rPr>
                <w:rFonts w:cs="Arial"/>
                <w:sz w:val="18"/>
                <w:szCs w:val="22"/>
                <w:lang w:eastAsia="en-AU" w:bidi="ar-SA"/>
              </w:rPr>
              <w:t>(i)</w:t>
            </w:r>
            <w:r w:rsidRPr="00FF65A1">
              <w:rPr>
                <w:rFonts w:cs="Arial"/>
                <w:sz w:val="18"/>
                <w:szCs w:val="22"/>
                <w:lang w:eastAsia="en-AU" w:bidi="ar-SA"/>
              </w:rPr>
              <w:tab/>
              <w:t>as a proportion of the total fatty acid content, no more than 28% saturated fatty acids and trans fatty acids; or</w:t>
            </w:r>
          </w:p>
          <w:p w14:paraId="396AA749" w14:textId="77777777" w:rsidR="00FF65A1" w:rsidRPr="00FF65A1" w:rsidRDefault="00FF65A1" w:rsidP="00FF65A1">
            <w:pPr>
              <w:keepLines/>
              <w:widowControl/>
              <w:spacing w:before="60" w:after="60"/>
              <w:ind w:left="794" w:hanging="397"/>
              <w:rPr>
                <w:rFonts w:cs="Arial"/>
                <w:sz w:val="18"/>
                <w:szCs w:val="22"/>
                <w:lang w:eastAsia="en-AU" w:bidi="ar-SA"/>
              </w:rPr>
            </w:pPr>
            <w:r w:rsidRPr="00FF65A1">
              <w:rPr>
                <w:rFonts w:cs="Arial"/>
                <w:sz w:val="18"/>
                <w:szCs w:val="22"/>
                <w:lang w:eastAsia="en-AU" w:bidi="ar-SA"/>
              </w:rPr>
              <w:t>(ii)</w:t>
            </w:r>
            <w:r w:rsidRPr="00FF65A1">
              <w:rPr>
                <w:rFonts w:cs="Arial"/>
                <w:sz w:val="18"/>
                <w:szCs w:val="22"/>
                <w:lang w:eastAsia="en-AU" w:bidi="ar-SA"/>
              </w:rPr>
              <w:tab/>
              <w:t>no more saturated fatty acids and *trans fatty acids than 5 g per 100 g</w:t>
            </w:r>
          </w:p>
        </w:tc>
        <w:tc>
          <w:tcPr>
            <w:tcW w:w="1559" w:type="dxa"/>
            <w:tcBorders>
              <w:top w:val="single" w:sz="6" w:space="0" w:color="auto"/>
              <w:left w:val="nil"/>
              <w:bottom w:val="nil"/>
              <w:right w:val="nil"/>
            </w:tcBorders>
            <w:hideMark/>
          </w:tcPr>
          <w:p w14:paraId="4BA071D6"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Good Source</w:t>
            </w:r>
          </w:p>
        </w:tc>
        <w:tc>
          <w:tcPr>
            <w:tcW w:w="3152" w:type="dxa"/>
            <w:tcBorders>
              <w:top w:val="single" w:sz="6" w:space="0" w:color="auto"/>
              <w:left w:val="nil"/>
              <w:bottom w:val="nil"/>
              <w:right w:val="nil"/>
            </w:tcBorders>
            <w:hideMark/>
          </w:tcPr>
          <w:p w14:paraId="653C022C"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(a)</w:t>
            </w:r>
            <w:r w:rsidRPr="00FF65A1">
              <w:rPr>
                <w:rFonts w:cs="Arial"/>
                <w:sz w:val="18"/>
                <w:szCs w:val="22"/>
                <w:lang w:eastAsia="en-AU" w:bidi="ar-SA"/>
              </w:rPr>
              <w:tab/>
              <w:t>The food contains no less than 60 mg total eicosapentaenoic acid and docosahexaenoic acid/serving; and</w:t>
            </w:r>
          </w:p>
          <w:p w14:paraId="4A2C2D3F"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(b)</w:t>
            </w:r>
            <w:r w:rsidRPr="00FF65A1">
              <w:rPr>
                <w:rFonts w:cs="Arial"/>
                <w:sz w:val="18"/>
                <w:szCs w:val="22"/>
                <w:lang w:eastAsia="en-AU" w:bidi="ar-SA"/>
              </w:rPr>
              <w:tab/>
              <w:t>the food may contain less than 200 mg alpha-linolenic acid/serving.</w:t>
            </w:r>
          </w:p>
        </w:tc>
      </w:tr>
      <w:tr w:rsidR="00FF65A1" w:rsidRPr="00FF65A1" w14:paraId="57BFB841" w14:textId="77777777" w:rsidTr="00DD110A">
        <w:trPr>
          <w:trHeight w:val="3010"/>
        </w:trPr>
        <w:tc>
          <w:tcPr>
            <w:tcW w:w="1542" w:type="dxa"/>
            <w:vMerge/>
            <w:tcBorders>
              <w:top w:val="single" w:sz="6" w:space="0" w:color="auto"/>
              <w:left w:val="nil"/>
              <w:bottom w:val="single" w:sz="6" w:space="0" w:color="auto"/>
              <w:right w:val="nil"/>
            </w:tcBorders>
            <w:vAlign w:val="center"/>
            <w:hideMark/>
          </w:tcPr>
          <w:p w14:paraId="2F849877" w14:textId="77777777" w:rsidR="00FF65A1" w:rsidRPr="00FF65A1" w:rsidRDefault="00FF65A1" w:rsidP="00FF65A1">
            <w:pPr>
              <w:rPr>
                <w:rFonts w:cs="Arial"/>
                <w:sz w:val="18"/>
                <w:szCs w:val="22"/>
                <w:lang w:eastAsia="en-AU"/>
              </w:rPr>
            </w:pPr>
          </w:p>
        </w:tc>
        <w:tc>
          <w:tcPr>
            <w:tcW w:w="2819" w:type="dxa"/>
            <w:vMerge/>
            <w:tcBorders>
              <w:top w:val="single" w:sz="6" w:space="0" w:color="auto"/>
              <w:left w:val="nil"/>
              <w:bottom w:val="single" w:sz="6" w:space="0" w:color="auto"/>
              <w:right w:val="nil"/>
            </w:tcBorders>
            <w:vAlign w:val="center"/>
            <w:hideMark/>
          </w:tcPr>
          <w:p w14:paraId="0CD9E294" w14:textId="77777777" w:rsidR="00FF65A1" w:rsidRPr="00FF65A1" w:rsidRDefault="00FF65A1" w:rsidP="00FF65A1">
            <w:pPr>
              <w:rPr>
                <w:rFonts w:cs="Arial"/>
                <w:sz w:val="18"/>
                <w:szCs w:val="22"/>
                <w:lang w:eastAsia="en-AU"/>
              </w:rPr>
            </w:pPr>
          </w:p>
        </w:tc>
        <w:tc>
          <w:tcPr>
            <w:tcW w:w="1559" w:type="dxa"/>
            <w:tcBorders>
              <w:top w:val="nil"/>
              <w:left w:val="nil"/>
              <w:bottom w:val="single" w:sz="6" w:space="0" w:color="auto"/>
              <w:right w:val="nil"/>
            </w:tcBorders>
            <w:hideMark/>
          </w:tcPr>
          <w:p w14:paraId="1DD5F6F9"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Increased</w:t>
            </w:r>
          </w:p>
        </w:tc>
        <w:tc>
          <w:tcPr>
            <w:tcW w:w="3152" w:type="dxa"/>
            <w:tcBorders>
              <w:top w:val="nil"/>
              <w:left w:val="nil"/>
              <w:bottom w:val="single" w:sz="6" w:space="0" w:color="auto"/>
              <w:right w:val="nil"/>
            </w:tcBorders>
            <w:hideMark/>
          </w:tcPr>
          <w:p w14:paraId="34707291"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(a)</w:t>
            </w:r>
            <w:r w:rsidRPr="00FF65A1">
              <w:rPr>
                <w:rFonts w:cs="Arial"/>
                <w:sz w:val="18"/>
                <w:szCs w:val="22"/>
                <w:lang w:eastAsia="en-AU" w:bidi="ar-SA"/>
              </w:rPr>
              <w:tab/>
              <w:t>The food contains at least 25% more omega-3 fatty acids than in the same amount of *reference food; and</w:t>
            </w:r>
          </w:p>
          <w:p w14:paraId="58E802C9"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(b)</w:t>
            </w:r>
            <w:r w:rsidRPr="00FF65A1">
              <w:rPr>
                <w:rFonts w:cs="Arial"/>
                <w:sz w:val="18"/>
                <w:szCs w:val="22"/>
                <w:lang w:eastAsia="en-AU" w:bidi="ar-SA"/>
              </w:rPr>
              <w:tab/>
              <w:t>the reference food meets the general claim conditions for a nutrition content claim about omega-3 fatty acids.</w:t>
            </w:r>
          </w:p>
        </w:tc>
      </w:tr>
    </w:tbl>
    <w:p w14:paraId="710C6A48" w14:textId="77777777" w:rsidR="00FF65A1" w:rsidRPr="00FF65A1" w:rsidRDefault="00FF65A1" w:rsidP="00FF65A1">
      <w:pPr>
        <w:jc w:val="right"/>
        <w:rPr>
          <w:rFonts w:eastAsia="Calibri" w:cs="Arial"/>
          <w:sz w:val="20"/>
          <w:szCs w:val="20"/>
          <w:lang w:eastAsia="en-AU"/>
        </w:rPr>
      </w:pPr>
    </w:p>
    <w:p w14:paraId="04562FBD"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b/>
          <w:iCs/>
          <w:sz w:val="20"/>
          <w:szCs w:val="22"/>
          <w:lang w:val="en-AU" w:eastAsia="en-AU" w:bidi="ar-SA"/>
        </w:rPr>
        <w:t>[5]</w:t>
      </w:r>
      <w:r w:rsidRPr="00FF65A1">
        <w:rPr>
          <w:rFonts w:cs="Arial"/>
          <w:b/>
          <w:iCs/>
          <w:sz w:val="20"/>
          <w:szCs w:val="22"/>
          <w:lang w:val="en-AU" w:eastAsia="en-AU" w:bidi="ar-SA"/>
        </w:rPr>
        <w:tab/>
        <w:t>Schedule 5</w:t>
      </w:r>
      <w:r w:rsidRPr="00FF65A1">
        <w:rPr>
          <w:rFonts w:cs="Arial"/>
          <w:iCs/>
          <w:sz w:val="20"/>
          <w:szCs w:val="22"/>
          <w:lang w:val="en-AU" w:eastAsia="en-AU" w:bidi="ar-SA"/>
        </w:rPr>
        <w:t xml:space="preserve"> is varied by</w:t>
      </w:r>
    </w:p>
    <w:p w14:paraId="79722891" w14:textId="77777777" w:rsidR="00FF65A1" w:rsidRPr="00FF65A1" w:rsidRDefault="00FF65A1" w:rsidP="00FF65A1">
      <w:pPr>
        <w:tabs>
          <w:tab w:val="left" w:pos="1134"/>
        </w:tabs>
        <w:spacing w:before="120" w:after="120"/>
        <w:rPr>
          <w:rFonts w:cs="Arial"/>
          <w:iCs/>
          <w:sz w:val="20"/>
          <w:szCs w:val="22"/>
          <w:lang w:val="en-AU" w:eastAsia="en-AU" w:bidi="ar-SA"/>
        </w:rPr>
      </w:pPr>
      <w:r w:rsidRPr="00FF65A1">
        <w:rPr>
          <w:rFonts w:cs="Arial"/>
          <w:iCs/>
          <w:sz w:val="20"/>
          <w:szCs w:val="22"/>
          <w:lang w:val="en-AU" w:eastAsia="en-AU" w:bidi="ar-SA"/>
        </w:rPr>
        <w:t>[5.1]</w:t>
      </w:r>
      <w:r w:rsidRPr="00FF65A1">
        <w:rPr>
          <w:rFonts w:cs="Arial"/>
          <w:iCs/>
          <w:sz w:val="20"/>
          <w:szCs w:val="22"/>
          <w:lang w:val="en-AU" w:eastAsia="en-AU" w:bidi="ar-SA"/>
        </w:rPr>
        <w:tab/>
        <w:t>omitting “the content of energy and each nutrient” from section S5—3 and substituting “the average energy content and the average quantity of each nutrient”</w:t>
      </w:r>
    </w:p>
    <w:p w14:paraId="2B8B4ABF" w14:textId="77777777" w:rsidR="00FF65A1" w:rsidRPr="00FF65A1" w:rsidRDefault="00FF65A1" w:rsidP="00FF65A1">
      <w:pPr>
        <w:tabs>
          <w:tab w:val="left" w:pos="1134"/>
        </w:tabs>
        <w:spacing w:before="120" w:after="120"/>
        <w:rPr>
          <w:rFonts w:cs="Arial"/>
          <w:iCs/>
          <w:sz w:val="20"/>
          <w:szCs w:val="22"/>
          <w:lang w:val="en-AU" w:eastAsia="en-AU" w:bidi="ar-SA"/>
        </w:rPr>
      </w:pPr>
      <w:r w:rsidRPr="00FF65A1">
        <w:rPr>
          <w:rFonts w:cs="Arial"/>
          <w:iCs/>
          <w:sz w:val="20"/>
          <w:szCs w:val="22"/>
          <w:lang w:val="en-AU" w:eastAsia="en-AU" w:bidi="ar-SA"/>
        </w:rPr>
        <w:t>[5.2]</w:t>
      </w:r>
      <w:r w:rsidRPr="00FF65A1">
        <w:rPr>
          <w:rFonts w:cs="Arial"/>
          <w:iCs/>
          <w:sz w:val="20"/>
          <w:szCs w:val="22"/>
          <w:lang w:val="en-AU" w:eastAsia="en-AU" w:bidi="ar-SA"/>
        </w:rPr>
        <w:tab/>
        <w:t>omitting “</w:t>
      </w:r>
      <w:r w:rsidRPr="00FF65A1">
        <w:rPr>
          <w:rFonts w:cs="Arial"/>
          <w:b/>
          <w:i/>
          <w:iCs/>
          <w:sz w:val="20"/>
          <w:szCs w:val="22"/>
          <w:lang w:val="en-AU" w:eastAsia="en-AU" w:bidi="ar-SA"/>
        </w:rPr>
        <w:t xml:space="preserve">AEC </w:t>
      </w:r>
      <w:r w:rsidRPr="00FF65A1">
        <w:rPr>
          <w:rFonts w:cs="Arial"/>
          <w:iCs/>
          <w:sz w:val="20"/>
          <w:szCs w:val="22"/>
          <w:lang w:val="en-AU" w:eastAsia="en-AU" w:bidi="ar-SA"/>
        </w:rPr>
        <w:t>is the number of points for average energy content” from section S5—3 and substituting “</w:t>
      </w:r>
      <w:r w:rsidRPr="00FF65A1">
        <w:rPr>
          <w:rFonts w:cs="Arial"/>
          <w:b/>
          <w:i/>
          <w:iCs/>
          <w:sz w:val="20"/>
          <w:szCs w:val="22"/>
          <w:lang w:val="en-AU" w:eastAsia="en-AU" w:bidi="ar-SA"/>
        </w:rPr>
        <w:t xml:space="preserve">AEC </w:t>
      </w:r>
      <w:r w:rsidRPr="00FF65A1">
        <w:rPr>
          <w:rFonts w:cs="Arial"/>
          <w:iCs/>
          <w:sz w:val="20"/>
          <w:szCs w:val="22"/>
          <w:lang w:val="en-AU" w:eastAsia="en-AU" w:bidi="ar-SA"/>
        </w:rPr>
        <w:t>is the number of points for the average energy content in the unit quantity of the food”</w:t>
      </w:r>
    </w:p>
    <w:p w14:paraId="19BF55D5" w14:textId="77777777" w:rsidR="00FF65A1" w:rsidRPr="00FF65A1" w:rsidRDefault="00FF65A1" w:rsidP="00FF65A1">
      <w:pPr>
        <w:tabs>
          <w:tab w:val="left" w:pos="1134"/>
        </w:tabs>
        <w:spacing w:before="120" w:after="120"/>
        <w:rPr>
          <w:rFonts w:cs="Arial"/>
          <w:iCs/>
          <w:sz w:val="20"/>
          <w:szCs w:val="22"/>
          <w:lang w:val="en-AU" w:eastAsia="en-AU" w:bidi="ar-SA"/>
        </w:rPr>
      </w:pPr>
      <w:r w:rsidRPr="00FF65A1">
        <w:rPr>
          <w:rFonts w:cs="Arial"/>
          <w:iCs/>
          <w:sz w:val="20"/>
          <w:szCs w:val="22"/>
          <w:lang w:val="en-AU" w:eastAsia="en-AU" w:bidi="ar-SA"/>
        </w:rPr>
        <w:t>[5.3]</w:t>
      </w:r>
      <w:r w:rsidRPr="00FF65A1">
        <w:rPr>
          <w:rFonts w:cs="Arial"/>
          <w:iCs/>
          <w:sz w:val="20"/>
          <w:szCs w:val="22"/>
          <w:lang w:val="en-AU" w:eastAsia="en-AU" w:bidi="ar-SA"/>
        </w:rPr>
        <w:tab/>
        <w:t>omitting “</w:t>
      </w:r>
      <w:r w:rsidRPr="00FF65A1">
        <w:rPr>
          <w:rFonts w:cs="Arial"/>
          <w:b/>
          <w:i/>
          <w:iCs/>
          <w:sz w:val="20"/>
          <w:szCs w:val="22"/>
          <w:lang w:val="en-AU" w:eastAsia="en-AU" w:bidi="ar-SA"/>
        </w:rPr>
        <w:t xml:space="preserve">ASFA </w:t>
      </w:r>
      <w:r w:rsidRPr="00FF65A1">
        <w:rPr>
          <w:rFonts w:cs="Arial"/>
          <w:iCs/>
          <w:sz w:val="20"/>
          <w:szCs w:val="22"/>
          <w:lang w:val="en-AU" w:eastAsia="en-AU" w:bidi="ar-SA"/>
        </w:rPr>
        <w:t>is the number of points for average saturated fatty acids” from section S5—3 and substituting “</w:t>
      </w:r>
      <w:r w:rsidRPr="00FF65A1">
        <w:rPr>
          <w:rFonts w:cs="Arial"/>
          <w:b/>
          <w:i/>
          <w:iCs/>
          <w:sz w:val="20"/>
          <w:szCs w:val="22"/>
          <w:lang w:val="en-AU" w:eastAsia="en-AU" w:bidi="ar-SA"/>
        </w:rPr>
        <w:t xml:space="preserve">ASFA </w:t>
      </w:r>
      <w:r w:rsidRPr="00FF65A1">
        <w:rPr>
          <w:rFonts w:cs="Arial"/>
          <w:iCs/>
          <w:sz w:val="20"/>
          <w:szCs w:val="22"/>
          <w:lang w:val="en-AU" w:eastAsia="en-AU" w:bidi="ar-SA"/>
        </w:rPr>
        <w:t>is the number of points for the average quantity of saturated fatty acids in the unit quantity of the food”</w:t>
      </w:r>
    </w:p>
    <w:p w14:paraId="5C4C9B0D" w14:textId="77777777" w:rsidR="00FF65A1" w:rsidRPr="00FF65A1" w:rsidRDefault="00FF65A1" w:rsidP="00FF65A1">
      <w:pPr>
        <w:tabs>
          <w:tab w:val="left" w:pos="1134"/>
        </w:tabs>
        <w:spacing w:before="120" w:after="120"/>
        <w:rPr>
          <w:rFonts w:cs="Arial"/>
          <w:iCs/>
          <w:sz w:val="20"/>
          <w:szCs w:val="22"/>
          <w:lang w:val="en-AU" w:eastAsia="en-AU" w:bidi="ar-SA"/>
        </w:rPr>
      </w:pPr>
      <w:r w:rsidRPr="00FF65A1">
        <w:rPr>
          <w:rFonts w:cs="Arial"/>
          <w:iCs/>
          <w:sz w:val="20"/>
          <w:szCs w:val="22"/>
          <w:lang w:val="en-AU" w:eastAsia="en-AU" w:bidi="ar-SA"/>
        </w:rPr>
        <w:t>[5.4]</w:t>
      </w:r>
      <w:r w:rsidRPr="00FF65A1">
        <w:rPr>
          <w:rFonts w:cs="Arial"/>
          <w:iCs/>
          <w:sz w:val="20"/>
          <w:szCs w:val="22"/>
          <w:lang w:val="en-AU" w:eastAsia="en-AU" w:bidi="ar-SA"/>
        </w:rPr>
        <w:tab/>
        <w:t>omitting “</w:t>
      </w:r>
      <w:r w:rsidRPr="00FF65A1">
        <w:rPr>
          <w:rFonts w:cs="Arial"/>
          <w:b/>
          <w:i/>
          <w:iCs/>
          <w:sz w:val="20"/>
          <w:szCs w:val="22"/>
          <w:lang w:val="en-AU" w:eastAsia="en-AU" w:bidi="ar-SA"/>
        </w:rPr>
        <w:t xml:space="preserve">ATS </w:t>
      </w:r>
      <w:r w:rsidRPr="00FF65A1">
        <w:rPr>
          <w:rFonts w:cs="Arial"/>
          <w:iCs/>
          <w:sz w:val="20"/>
          <w:szCs w:val="22"/>
          <w:lang w:val="en-AU" w:eastAsia="en-AU" w:bidi="ar-SA"/>
        </w:rPr>
        <w:t>is the number of points for average total sugars” from section S5—3 and substituting “</w:t>
      </w:r>
      <w:r w:rsidRPr="00FF65A1">
        <w:rPr>
          <w:rFonts w:cs="Arial"/>
          <w:b/>
          <w:i/>
          <w:iCs/>
          <w:sz w:val="20"/>
          <w:szCs w:val="22"/>
          <w:lang w:val="en-AU" w:eastAsia="en-AU" w:bidi="ar-SA"/>
        </w:rPr>
        <w:t xml:space="preserve">ATS </w:t>
      </w:r>
      <w:r w:rsidRPr="00FF65A1">
        <w:rPr>
          <w:rFonts w:cs="Arial"/>
          <w:iCs/>
          <w:sz w:val="20"/>
          <w:szCs w:val="22"/>
          <w:lang w:val="en-AU" w:eastAsia="en-AU" w:bidi="ar-SA"/>
        </w:rPr>
        <w:t>is the number of points for the average quantity of sugars in the unit quantity of the food:”</w:t>
      </w:r>
    </w:p>
    <w:p w14:paraId="01E5374A" w14:textId="77777777" w:rsidR="00FF65A1" w:rsidRPr="00FF65A1" w:rsidRDefault="00FF65A1" w:rsidP="00FF65A1">
      <w:pPr>
        <w:tabs>
          <w:tab w:val="left" w:pos="1134"/>
        </w:tabs>
        <w:spacing w:before="120" w:after="120"/>
        <w:rPr>
          <w:rFonts w:cs="Arial"/>
          <w:iCs/>
          <w:sz w:val="20"/>
          <w:szCs w:val="22"/>
          <w:lang w:val="en-AU" w:eastAsia="en-AU" w:bidi="ar-SA"/>
        </w:rPr>
      </w:pPr>
      <w:r w:rsidRPr="00FF65A1">
        <w:rPr>
          <w:rFonts w:cs="Arial"/>
          <w:iCs/>
          <w:sz w:val="20"/>
          <w:szCs w:val="22"/>
          <w:lang w:val="en-AU" w:eastAsia="en-AU" w:bidi="ar-SA"/>
        </w:rPr>
        <w:t>[5.5]</w:t>
      </w:r>
      <w:r w:rsidRPr="00FF65A1">
        <w:rPr>
          <w:rFonts w:cs="Arial"/>
          <w:iCs/>
          <w:sz w:val="20"/>
          <w:szCs w:val="22"/>
          <w:lang w:val="en-AU" w:eastAsia="en-AU" w:bidi="ar-SA"/>
        </w:rPr>
        <w:tab/>
        <w:t>omitting “</w:t>
      </w:r>
      <w:r w:rsidRPr="00FF65A1">
        <w:rPr>
          <w:rFonts w:cs="Arial"/>
          <w:b/>
          <w:i/>
          <w:iCs/>
          <w:sz w:val="20"/>
          <w:szCs w:val="22"/>
          <w:lang w:val="en-AU" w:eastAsia="en-AU" w:bidi="ar-SA"/>
        </w:rPr>
        <w:t xml:space="preserve">AS </w:t>
      </w:r>
      <w:r w:rsidRPr="00FF65A1">
        <w:rPr>
          <w:rFonts w:cs="Arial"/>
          <w:iCs/>
          <w:sz w:val="20"/>
          <w:szCs w:val="22"/>
          <w:lang w:val="en-AU" w:eastAsia="en-AU" w:bidi="ar-SA"/>
        </w:rPr>
        <w:t>is the number of points for average sodium” from section S5—3 and substituting “</w:t>
      </w:r>
      <w:r w:rsidRPr="00FF65A1">
        <w:rPr>
          <w:rFonts w:cs="Arial"/>
          <w:b/>
          <w:i/>
          <w:iCs/>
          <w:sz w:val="20"/>
          <w:szCs w:val="22"/>
          <w:lang w:val="en-AU" w:eastAsia="en-AU" w:bidi="ar-SA"/>
        </w:rPr>
        <w:t xml:space="preserve">AS </w:t>
      </w:r>
      <w:r w:rsidRPr="00FF65A1">
        <w:rPr>
          <w:rFonts w:cs="Arial"/>
          <w:iCs/>
          <w:sz w:val="20"/>
          <w:szCs w:val="22"/>
          <w:lang w:val="en-AU" w:eastAsia="en-AU" w:bidi="ar-SA"/>
        </w:rPr>
        <w:t>is the number of points for the average quantity of sodium in the unit quantity of the food”</w:t>
      </w:r>
    </w:p>
    <w:p w14:paraId="5186C522"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iCs/>
          <w:sz w:val="20"/>
          <w:szCs w:val="22"/>
          <w:lang w:val="en-AU" w:eastAsia="en-AU" w:bidi="ar-SA"/>
        </w:rPr>
        <w:t>[5.6]</w:t>
      </w:r>
      <w:r w:rsidRPr="00FF65A1">
        <w:rPr>
          <w:rFonts w:cs="Arial"/>
          <w:iCs/>
          <w:sz w:val="20"/>
          <w:szCs w:val="22"/>
          <w:lang w:val="en-AU" w:eastAsia="en-AU" w:bidi="ar-SA"/>
        </w:rPr>
        <w:tab/>
        <w:t xml:space="preserve">omitting “total” from Table 1 to S5—3 </w:t>
      </w:r>
    </w:p>
    <w:p w14:paraId="3A458C7C"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iCs/>
          <w:sz w:val="20"/>
          <w:szCs w:val="22"/>
          <w:lang w:val="en-AU" w:eastAsia="en-AU" w:bidi="ar-SA"/>
        </w:rPr>
        <w:t>[5.7]</w:t>
      </w:r>
      <w:r w:rsidRPr="00FF65A1">
        <w:rPr>
          <w:rFonts w:cs="Arial"/>
          <w:iCs/>
          <w:sz w:val="20"/>
          <w:szCs w:val="22"/>
          <w:lang w:val="en-AU" w:eastAsia="en-AU" w:bidi="ar-SA"/>
        </w:rPr>
        <w:tab/>
        <w:t>omitting “total” from Table 2 to S5—3</w:t>
      </w:r>
    </w:p>
    <w:p w14:paraId="192B4771"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iCs/>
          <w:sz w:val="20"/>
          <w:szCs w:val="22"/>
          <w:lang w:val="en-AU" w:eastAsia="en-AU" w:bidi="ar-SA"/>
        </w:rPr>
        <w:t>[5.8]</w:t>
      </w:r>
      <w:r w:rsidRPr="00FF65A1">
        <w:rPr>
          <w:rFonts w:cs="Arial"/>
          <w:iCs/>
          <w:sz w:val="20"/>
          <w:szCs w:val="22"/>
          <w:lang w:val="en-AU" w:eastAsia="en-AU" w:bidi="ar-SA"/>
        </w:rPr>
        <w:tab/>
        <w:t>omitting “sources” wherever occurring in section S5—4</w:t>
      </w:r>
    </w:p>
    <w:p w14:paraId="2C607E16"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iCs/>
          <w:sz w:val="20"/>
          <w:szCs w:val="22"/>
          <w:lang w:val="en-AU" w:eastAsia="en-AU" w:bidi="ar-SA"/>
        </w:rPr>
        <w:t>[5.9]</w:t>
      </w:r>
      <w:r w:rsidRPr="00FF65A1">
        <w:rPr>
          <w:rFonts w:cs="Arial"/>
          <w:iCs/>
          <w:sz w:val="20"/>
          <w:szCs w:val="22"/>
          <w:lang w:val="en-AU" w:eastAsia="en-AU" w:bidi="ar-SA"/>
        </w:rPr>
        <w:tab/>
        <w:t>omitting subsection S5—5(1) and substituting</w:t>
      </w:r>
    </w:p>
    <w:p w14:paraId="0CD1E923" w14:textId="77777777" w:rsidR="00FF65A1" w:rsidRPr="00FF65A1" w:rsidRDefault="00FF65A1" w:rsidP="00FF65A1">
      <w:pPr>
        <w:tabs>
          <w:tab w:val="left" w:pos="1134"/>
        </w:tabs>
        <w:spacing w:before="120" w:after="120"/>
        <w:ind w:left="1701" w:hanging="1701"/>
        <w:rPr>
          <w:rFonts w:eastAsia="Calibri" w:cs="Arial"/>
          <w:iCs/>
          <w:sz w:val="20"/>
          <w:szCs w:val="22"/>
          <w:lang w:val="en-AU" w:eastAsia="en-AU" w:bidi="ar-SA"/>
        </w:rPr>
      </w:pPr>
      <w:r w:rsidRPr="00FF65A1">
        <w:rPr>
          <w:rFonts w:cs="Arial"/>
          <w:iCs/>
          <w:sz w:val="20"/>
          <w:szCs w:val="22"/>
          <w:lang w:val="en-AU" w:eastAsia="en-AU" w:bidi="ar-SA"/>
        </w:rPr>
        <w:tab/>
        <w:t>“(1)</w:t>
      </w:r>
      <w:r w:rsidRPr="00FF65A1">
        <w:rPr>
          <w:rFonts w:cs="Arial"/>
          <w:iCs/>
          <w:sz w:val="20"/>
          <w:szCs w:val="22"/>
          <w:lang w:val="en-AU" w:eastAsia="en-AU" w:bidi="ar-SA"/>
        </w:rPr>
        <w:tab/>
      </w:r>
      <w:r w:rsidRPr="00FF65A1">
        <w:rPr>
          <w:rFonts w:eastAsia="Calibri" w:cs="Arial"/>
          <w:iCs/>
          <w:sz w:val="20"/>
          <w:szCs w:val="22"/>
          <w:lang w:val="en-AU" w:eastAsia="en-AU" w:bidi="ar-SA"/>
        </w:rPr>
        <w:t>Use Table 4 to determine the ‘P points’ scored, depending on the average quantity of protein in 100 g or 100 mL of the food product (based on the units used in the nutrition information panel). A maximum of five points can be awarded.”</w:t>
      </w:r>
    </w:p>
    <w:p w14:paraId="6BE9A0B4"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iCs/>
          <w:sz w:val="20"/>
          <w:szCs w:val="22"/>
          <w:lang w:val="en-AU" w:eastAsia="en-AU" w:bidi="ar-SA"/>
        </w:rPr>
        <w:t>[5.10]</w:t>
      </w:r>
      <w:r w:rsidRPr="00FF65A1">
        <w:rPr>
          <w:rFonts w:cs="Arial"/>
          <w:iCs/>
          <w:sz w:val="20"/>
          <w:szCs w:val="22"/>
          <w:lang w:val="en-AU" w:eastAsia="en-AU" w:bidi="ar-SA"/>
        </w:rPr>
        <w:tab/>
        <w:t>omitting subsection S5—6(1) and substituting</w:t>
      </w:r>
    </w:p>
    <w:p w14:paraId="7CC7140B" w14:textId="77777777" w:rsidR="00FF65A1" w:rsidRPr="00FF65A1" w:rsidRDefault="00FF65A1" w:rsidP="00FF65A1">
      <w:pPr>
        <w:tabs>
          <w:tab w:val="left" w:pos="1134"/>
        </w:tabs>
        <w:spacing w:before="120" w:after="120"/>
        <w:ind w:left="1701" w:hanging="1701"/>
        <w:rPr>
          <w:rFonts w:eastAsia="Calibri" w:cs="Arial"/>
          <w:iCs/>
          <w:sz w:val="20"/>
          <w:szCs w:val="22"/>
          <w:lang w:val="en-AU" w:eastAsia="en-AU" w:bidi="ar-SA"/>
        </w:rPr>
      </w:pPr>
      <w:r w:rsidRPr="00FF65A1">
        <w:rPr>
          <w:rFonts w:cs="Arial"/>
          <w:iCs/>
          <w:sz w:val="20"/>
          <w:szCs w:val="22"/>
          <w:lang w:val="en-AU" w:eastAsia="en-AU" w:bidi="ar-SA"/>
        </w:rPr>
        <w:tab/>
        <w:t>“(1)</w:t>
      </w:r>
      <w:r w:rsidRPr="00FF65A1">
        <w:rPr>
          <w:rFonts w:cs="Arial"/>
          <w:iCs/>
          <w:sz w:val="20"/>
          <w:szCs w:val="22"/>
          <w:lang w:val="en-AU" w:eastAsia="en-AU" w:bidi="ar-SA"/>
        </w:rPr>
        <w:tab/>
      </w:r>
      <w:r w:rsidRPr="00FF65A1">
        <w:rPr>
          <w:rFonts w:eastAsia="Calibri" w:cs="Arial"/>
          <w:iCs/>
          <w:sz w:val="20"/>
          <w:szCs w:val="22"/>
          <w:lang w:val="en-AU" w:eastAsia="en-AU" w:bidi="ar-SA"/>
        </w:rPr>
        <w:t xml:space="preserve">Use Table 5 to determine the ‘F points’ scored, depending on the average quantity of </w:t>
      </w:r>
      <w:r w:rsidRPr="00FF65A1">
        <w:rPr>
          <w:rFonts w:cs="Arial"/>
          <w:iCs/>
          <w:sz w:val="20"/>
          <w:szCs w:val="22"/>
          <w:lang w:val="en-AU" w:eastAsia="en-AU" w:bidi="ar-SA"/>
        </w:rPr>
        <w:t>*</w:t>
      </w:r>
      <w:r w:rsidRPr="00FF65A1">
        <w:rPr>
          <w:rFonts w:eastAsia="Calibri" w:cs="Arial"/>
          <w:iCs/>
          <w:sz w:val="20"/>
          <w:szCs w:val="22"/>
          <w:lang w:val="en-AU" w:eastAsia="en-AU" w:bidi="ar-SA"/>
        </w:rPr>
        <w:t>dietary fibre in 100 g or 100 mL of the food product (based on the units used in the nutrition information panel). A maximum of five points can be awarded.”</w:t>
      </w:r>
      <w:r w:rsidRPr="00FF65A1">
        <w:rPr>
          <w:rFonts w:eastAsia="Calibri" w:cs="Arial"/>
          <w:iCs/>
          <w:sz w:val="20"/>
          <w:szCs w:val="22"/>
          <w:lang w:val="en-AU" w:eastAsia="en-AU" w:bidi="ar-SA"/>
        </w:rPr>
        <w:br w:type="page"/>
      </w:r>
    </w:p>
    <w:p w14:paraId="7C58F788"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b/>
          <w:iCs/>
          <w:sz w:val="20"/>
          <w:szCs w:val="22"/>
          <w:lang w:val="en-AU" w:eastAsia="en-AU" w:bidi="ar-SA"/>
        </w:rPr>
        <w:lastRenderedPageBreak/>
        <w:t>[6]</w:t>
      </w:r>
      <w:r w:rsidRPr="00FF65A1">
        <w:rPr>
          <w:rFonts w:cs="Arial"/>
          <w:b/>
          <w:iCs/>
          <w:sz w:val="20"/>
          <w:szCs w:val="22"/>
          <w:lang w:val="en-AU" w:eastAsia="en-AU" w:bidi="ar-SA"/>
        </w:rPr>
        <w:tab/>
        <w:t>Schedule 12</w:t>
      </w:r>
      <w:r w:rsidRPr="00FF65A1">
        <w:rPr>
          <w:rFonts w:cs="Arial"/>
          <w:iCs/>
          <w:sz w:val="20"/>
          <w:szCs w:val="22"/>
          <w:lang w:val="en-AU" w:eastAsia="en-AU" w:bidi="ar-SA"/>
        </w:rPr>
        <w:t xml:space="preserve"> is varied by omitting “1.2.8—6(3) and 1.2.8—6(5)” from section S12—3 and substituting “1.2.8—6(3), 1.2.8—6(5), 1.2.8—6(11), 1.2.8—6(12) and 1.2.8—6(13)”</w:t>
      </w:r>
    </w:p>
    <w:p w14:paraId="7C1D2140" w14:textId="77777777" w:rsidR="00FF65A1" w:rsidRPr="00FF65A1" w:rsidRDefault="00FF65A1" w:rsidP="00FF65A1">
      <w:pPr>
        <w:tabs>
          <w:tab w:val="left" w:pos="1134"/>
        </w:tabs>
        <w:spacing w:before="120" w:after="120"/>
        <w:ind w:left="1701" w:hanging="1701"/>
        <w:rPr>
          <w:rFonts w:cs="Arial"/>
          <w:iCs/>
          <w:sz w:val="20"/>
          <w:szCs w:val="22"/>
          <w:lang w:val="en-AU" w:eastAsia="en-AU" w:bidi="ar-SA"/>
        </w:rPr>
      </w:pPr>
      <w:r w:rsidRPr="00FF65A1">
        <w:rPr>
          <w:rFonts w:cs="Arial"/>
          <w:b/>
          <w:iCs/>
          <w:sz w:val="20"/>
          <w:szCs w:val="22"/>
          <w:lang w:val="en-AU" w:eastAsia="en-AU" w:bidi="ar-SA"/>
        </w:rPr>
        <w:t>[7]</w:t>
      </w:r>
      <w:r w:rsidRPr="00FF65A1">
        <w:rPr>
          <w:rFonts w:cs="Arial"/>
          <w:b/>
          <w:iCs/>
          <w:sz w:val="20"/>
          <w:szCs w:val="22"/>
          <w:lang w:val="en-AU" w:eastAsia="en-AU" w:bidi="ar-SA"/>
        </w:rPr>
        <w:tab/>
        <w:t>Schedule 13</w:t>
      </w:r>
      <w:r w:rsidRPr="00FF65A1">
        <w:rPr>
          <w:rFonts w:cs="Arial"/>
          <w:iCs/>
          <w:sz w:val="20"/>
          <w:szCs w:val="22"/>
          <w:lang w:val="en-AU" w:eastAsia="en-AU" w:bidi="ar-SA"/>
        </w:rPr>
        <w:t xml:space="preserve"> is varied by omitting the table to section S13—2, and substituting</w:t>
      </w:r>
    </w:p>
    <w:p w14:paraId="04919668" w14:textId="77777777" w:rsidR="00FF65A1" w:rsidRPr="00FF65A1" w:rsidRDefault="00FF65A1" w:rsidP="00FF65A1">
      <w:pPr>
        <w:keepNext/>
        <w:keepLines/>
        <w:widowControl/>
        <w:spacing w:before="240" w:after="120"/>
        <w:jc w:val="center"/>
        <w:rPr>
          <w:rFonts w:cs="Arial"/>
          <w:b/>
          <w:color w:val="000000"/>
          <w:sz w:val="18"/>
          <w:szCs w:val="22"/>
          <w:lang w:val="en-AU" w:eastAsia="en-AU" w:bidi="ar-SA"/>
        </w:rPr>
      </w:pPr>
      <w:r w:rsidRPr="00FF65A1">
        <w:rPr>
          <w:rFonts w:cs="Arial"/>
          <w:b/>
          <w:color w:val="000000"/>
          <w:sz w:val="18"/>
          <w:szCs w:val="22"/>
          <w:lang w:val="en-AU" w:eastAsia="en-AU" w:bidi="ar-SA"/>
        </w:rPr>
        <w:t>Nutrition information for food in small packages</w:t>
      </w:r>
    </w:p>
    <w:tbl>
      <w:tblPr>
        <w:tblW w:w="9072" w:type="dxa"/>
        <w:jc w:val="center"/>
        <w:tblLook w:val="04A0" w:firstRow="1" w:lastRow="0" w:firstColumn="1" w:lastColumn="0" w:noHBand="0" w:noVBand="1"/>
      </w:tblPr>
      <w:tblGrid>
        <w:gridCol w:w="4865"/>
        <w:gridCol w:w="4207"/>
      </w:tblGrid>
      <w:tr w:rsidR="00FF65A1" w:rsidRPr="00FF65A1" w14:paraId="38A25107" w14:textId="77777777" w:rsidTr="00DD110A">
        <w:trPr>
          <w:tblHeader/>
          <w:jc w:val="center"/>
        </w:trPr>
        <w:tc>
          <w:tcPr>
            <w:tcW w:w="4865" w:type="dxa"/>
            <w:tcBorders>
              <w:top w:val="single" w:sz="4" w:space="0" w:color="auto"/>
              <w:left w:val="nil"/>
              <w:bottom w:val="single" w:sz="4" w:space="0" w:color="auto"/>
              <w:right w:val="nil"/>
            </w:tcBorders>
            <w:hideMark/>
          </w:tcPr>
          <w:p w14:paraId="6043B486" w14:textId="77777777" w:rsidR="00FF65A1" w:rsidRPr="00FF65A1" w:rsidRDefault="00FF65A1" w:rsidP="00FF65A1">
            <w:pPr>
              <w:keepNext/>
              <w:keepLines/>
              <w:widowControl/>
              <w:spacing w:before="60" w:after="60"/>
              <w:rPr>
                <w:rFonts w:cs="Arial"/>
                <w:b/>
                <w:i/>
                <w:sz w:val="18"/>
                <w:szCs w:val="22"/>
                <w:lang w:eastAsia="en-AU" w:bidi="ar-SA"/>
              </w:rPr>
            </w:pPr>
            <w:r w:rsidRPr="00FF65A1">
              <w:rPr>
                <w:rFonts w:cs="Arial"/>
                <w:b/>
                <w:i/>
                <w:sz w:val="18"/>
                <w:szCs w:val="22"/>
                <w:lang w:eastAsia="en-AU" w:bidi="ar-SA"/>
              </w:rPr>
              <w:t>Column 1</w:t>
            </w:r>
          </w:p>
        </w:tc>
        <w:tc>
          <w:tcPr>
            <w:tcW w:w="4207" w:type="dxa"/>
            <w:tcBorders>
              <w:top w:val="single" w:sz="4" w:space="0" w:color="auto"/>
              <w:left w:val="nil"/>
              <w:bottom w:val="single" w:sz="4" w:space="0" w:color="auto"/>
              <w:right w:val="nil"/>
            </w:tcBorders>
            <w:hideMark/>
          </w:tcPr>
          <w:p w14:paraId="207160FB" w14:textId="77777777" w:rsidR="00FF65A1" w:rsidRPr="00FF65A1" w:rsidRDefault="00FF65A1" w:rsidP="00FF65A1">
            <w:pPr>
              <w:keepNext/>
              <w:keepLines/>
              <w:widowControl/>
              <w:spacing w:before="60" w:after="60"/>
              <w:rPr>
                <w:rFonts w:cs="Arial"/>
                <w:b/>
                <w:i/>
                <w:sz w:val="18"/>
                <w:szCs w:val="22"/>
                <w:lang w:eastAsia="en-AU" w:bidi="ar-SA"/>
              </w:rPr>
            </w:pPr>
            <w:r w:rsidRPr="00FF65A1">
              <w:rPr>
                <w:rFonts w:cs="Arial"/>
                <w:b/>
                <w:i/>
                <w:sz w:val="18"/>
                <w:szCs w:val="22"/>
                <w:lang w:eastAsia="en-AU" w:bidi="ar-SA"/>
              </w:rPr>
              <w:t>Column 2</w:t>
            </w:r>
          </w:p>
        </w:tc>
      </w:tr>
      <w:tr w:rsidR="00FF65A1" w:rsidRPr="00FF65A1" w14:paraId="3F6E8E7F" w14:textId="77777777" w:rsidTr="00DD110A">
        <w:trPr>
          <w:tblHeader/>
          <w:jc w:val="center"/>
        </w:trPr>
        <w:tc>
          <w:tcPr>
            <w:tcW w:w="4865" w:type="dxa"/>
            <w:tcBorders>
              <w:top w:val="single" w:sz="4" w:space="0" w:color="auto"/>
              <w:left w:val="nil"/>
              <w:bottom w:val="single" w:sz="4" w:space="0" w:color="auto"/>
              <w:right w:val="nil"/>
            </w:tcBorders>
            <w:hideMark/>
          </w:tcPr>
          <w:p w14:paraId="460B5D33" w14:textId="77777777" w:rsidR="00FF65A1" w:rsidRPr="00FF65A1" w:rsidRDefault="00FF65A1" w:rsidP="00FF65A1">
            <w:pPr>
              <w:keepNext/>
              <w:keepLines/>
              <w:widowControl/>
              <w:spacing w:before="60" w:after="60"/>
              <w:rPr>
                <w:rFonts w:cs="Arial"/>
                <w:i/>
                <w:sz w:val="18"/>
                <w:szCs w:val="22"/>
                <w:lang w:eastAsia="en-AU" w:bidi="ar-SA"/>
              </w:rPr>
            </w:pPr>
            <w:r w:rsidRPr="00FF65A1">
              <w:rPr>
                <w:rFonts w:cs="Arial"/>
                <w:i/>
                <w:sz w:val="18"/>
                <w:szCs w:val="22"/>
                <w:lang w:eastAsia="en-AU" w:bidi="ar-SA"/>
              </w:rPr>
              <w:t>Claim is about</w:t>
            </w:r>
          </w:p>
        </w:tc>
        <w:tc>
          <w:tcPr>
            <w:tcW w:w="4207" w:type="dxa"/>
            <w:tcBorders>
              <w:top w:val="single" w:sz="4" w:space="0" w:color="auto"/>
              <w:left w:val="nil"/>
              <w:bottom w:val="single" w:sz="4" w:space="0" w:color="auto"/>
              <w:right w:val="nil"/>
            </w:tcBorders>
            <w:hideMark/>
          </w:tcPr>
          <w:p w14:paraId="3D033755" w14:textId="77777777" w:rsidR="00FF65A1" w:rsidRPr="00FF65A1" w:rsidRDefault="00FF65A1" w:rsidP="00FF65A1">
            <w:pPr>
              <w:keepNext/>
              <w:keepLines/>
              <w:widowControl/>
              <w:spacing w:before="60" w:after="60"/>
              <w:rPr>
                <w:rFonts w:cs="Arial"/>
                <w:i/>
                <w:sz w:val="18"/>
                <w:szCs w:val="22"/>
                <w:lang w:eastAsia="en-AU" w:bidi="ar-SA"/>
              </w:rPr>
            </w:pPr>
            <w:r w:rsidRPr="00FF65A1">
              <w:rPr>
                <w:rFonts w:cs="Arial"/>
                <w:i/>
                <w:sz w:val="18"/>
                <w:szCs w:val="22"/>
                <w:lang w:eastAsia="en-AU" w:bidi="ar-SA"/>
              </w:rPr>
              <w:t>Label must include</w:t>
            </w:r>
          </w:p>
        </w:tc>
      </w:tr>
      <w:tr w:rsidR="00FF65A1" w:rsidRPr="00FF65A1" w14:paraId="22045B7A" w14:textId="77777777" w:rsidTr="00DD110A">
        <w:trPr>
          <w:cantSplit/>
          <w:jc w:val="center"/>
        </w:trPr>
        <w:tc>
          <w:tcPr>
            <w:tcW w:w="4865" w:type="dxa"/>
            <w:tcBorders>
              <w:top w:val="single" w:sz="4" w:space="0" w:color="auto"/>
              <w:left w:val="nil"/>
              <w:bottom w:val="nil"/>
              <w:right w:val="nil"/>
            </w:tcBorders>
            <w:hideMark/>
          </w:tcPr>
          <w:p w14:paraId="0F5D7714"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Any nutrient or biologically active substance (other than a vitamin or mineral with a RDI)</w:t>
            </w:r>
          </w:p>
        </w:tc>
        <w:tc>
          <w:tcPr>
            <w:tcW w:w="4207" w:type="dxa"/>
            <w:tcBorders>
              <w:top w:val="single" w:sz="4" w:space="0" w:color="auto"/>
              <w:left w:val="nil"/>
              <w:bottom w:val="nil"/>
              <w:right w:val="nil"/>
            </w:tcBorders>
            <w:hideMark/>
          </w:tcPr>
          <w:p w14:paraId="0FAE050C"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Average quantity of the nutrient or biologically  active substance present per serving of the food</w:t>
            </w:r>
          </w:p>
        </w:tc>
      </w:tr>
      <w:tr w:rsidR="00FF65A1" w:rsidRPr="00FF65A1" w14:paraId="6557DDCE" w14:textId="77777777" w:rsidTr="00DD110A">
        <w:trPr>
          <w:cantSplit/>
          <w:jc w:val="center"/>
        </w:trPr>
        <w:tc>
          <w:tcPr>
            <w:tcW w:w="4865" w:type="dxa"/>
            <w:tcBorders>
              <w:top w:val="nil"/>
              <w:left w:val="nil"/>
              <w:bottom w:val="nil"/>
              <w:right w:val="nil"/>
            </w:tcBorders>
            <w:hideMark/>
          </w:tcPr>
          <w:p w14:paraId="1C36210D"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Any vitamin or mineral with a RDI</w:t>
            </w:r>
          </w:p>
        </w:tc>
        <w:tc>
          <w:tcPr>
            <w:tcW w:w="4207" w:type="dxa"/>
            <w:tcBorders>
              <w:top w:val="nil"/>
              <w:left w:val="nil"/>
              <w:bottom w:val="nil"/>
              <w:right w:val="nil"/>
            </w:tcBorders>
            <w:hideMark/>
          </w:tcPr>
          <w:p w14:paraId="639EBF5F"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(a)</w:t>
            </w:r>
            <w:r w:rsidRPr="00FF65A1">
              <w:rPr>
                <w:rFonts w:cs="Arial"/>
                <w:sz w:val="18"/>
                <w:szCs w:val="22"/>
                <w:lang w:eastAsia="en-AU" w:bidi="ar-SA"/>
              </w:rPr>
              <w:tab/>
              <w:t>*Average quantity of the vitamin or mineral present per serving of the food; and</w:t>
            </w:r>
          </w:p>
          <w:p w14:paraId="5C207C92" w14:textId="77777777" w:rsidR="00FF65A1" w:rsidRPr="00FF65A1" w:rsidRDefault="00FF65A1" w:rsidP="00FF65A1">
            <w:pPr>
              <w:keepLines/>
              <w:widowControl/>
              <w:spacing w:before="60" w:after="60"/>
              <w:ind w:left="397" w:hanging="397"/>
              <w:rPr>
                <w:rFonts w:cs="Arial"/>
                <w:sz w:val="18"/>
                <w:szCs w:val="22"/>
                <w:lang w:eastAsia="en-AU" w:bidi="ar-SA"/>
              </w:rPr>
            </w:pPr>
            <w:r w:rsidRPr="00FF65A1">
              <w:rPr>
                <w:rFonts w:cs="Arial"/>
                <w:sz w:val="18"/>
                <w:szCs w:val="22"/>
                <w:lang w:eastAsia="en-AU" w:bidi="ar-SA"/>
              </w:rPr>
              <w:t>(b)</w:t>
            </w:r>
            <w:r w:rsidRPr="00FF65A1">
              <w:rPr>
                <w:rFonts w:cs="Arial"/>
                <w:sz w:val="18"/>
                <w:szCs w:val="22"/>
                <w:lang w:eastAsia="en-AU" w:bidi="ar-SA"/>
              </w:rPr>
              <w:tab/>
              <w:t>Percentage of the RDI for the vitamin or mineral contributed by one serving of the food, and calculated in accordance with section 1.2.8—9.</w:t>
            </w:r>
          </w:p>
        </w:tc>
      </w:tr>
      <w:tr w:rsidR="00FF65A1" w:rsidRPr="00FF65A1" w14:paraId="4CEEC41E" w14:textId="77777777" w:rsidTr="00DD110A">
        <w:trPr>
          <w:cantSplit/>
          <w:jc w:val="center"/>
        </w:trPr>
        <w:tc>
          <w:tcPr>
            <w:tcW w:w="4865" w:type="dxa"/>
            <w:tcBorders>
              <w:top w:val="nil"/>
              <w:left w:val="nil"/>
              <w:bottom w:val="nil"/>
              <w:right w:val="nil"/>
            </w:tcBorders>
            <w:hideMark/>
          </w:tcPr>
          <w:p w14:paraId="76E50FD5" w14:textId="77777777" w:rsidR="00FF65A1" w:rsidRPr="00FF65A1" w:rsidRDefault="00FF65A1" w:rsidP="00FF65A1">
            <w:pPr>
              <w:keepLines/>
              <w:widowControl/>
              <w:tabs>
                <w:tab w:val="right" w:pos="3969"/>
              </w:tabs>
              <w:spacing w:before="60" w:after="60"/>
              <w:rPr>
                <w:rFonts w:cs="Arial"/>
                <w:bCs/>
                <w:sz w:val="18"/>
                <w:szCs w:val="20"/>
                <w:lang w:eastAsia="en-AU" w:bidi="ar-SA"/>
              </w:rPr>
            </w:pPr>
            <w:r w:rsidRPr="00FF65A1">
              <w:rPr>
                <w:rFonts w:cs="Arial"/>
                <w:bCs/>
                <w:sz w:val="18"/>
                <w:szCs w:val="20"/>
                <w:lang w:eastAsia="en-AU" w:bidi="ar-SA"/>
              </w:rPr>
              <w:t>Polyunsaturated fatty acids or monounsaturated fatty acids in a food standardised in Standard 2.4.1 or 2.4.2</w:t>
            </w:r>
          </w:p>
        </w:tc>
        <w:tc>
          <w:tcPr>
            <w:tcW w:w="4207" w:type="dxa"/>
            <w:tcBorders>
              <w:top w:val="nil"/>
              <w:left w:val="nil"/>
              <w:bottom w:val="nil"/>
              <w:right w:val="nil"/>
            </w:tcBorders>
            <w:hideMark/>
          </w:tcPr>
          <w:p w14:paraId="4C9D6314"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Saturated fatty acids, trans fatty acids, *polyunsaturated fatty acids and monounsaturated fatty acids content per serving of the food</w:t>
            </w:r>
          </w:p>
        </w:tc>
      </w:tr>
      <w:tr w:rsidR="00FF65A1" w:rsidRPr="00FF65A1" w14:paraId="23FB43C3" w14:textId="77777777" w:rsidTr="00DD110A">
        <w:trPr>
          <w:cantSplit/>
          <w:jc w:val="center"/>
        </w:trPr>
        <w:tc>
          <w:tcPr>
            <w:tcW w:w="4865" w:type="dxa"/>
            <w:tcBorders>
              <w:top w:val="nil"/>
              <w:left w:val="nil"/>
              <w:bottom w:val="nil"/>
              <w:right w:val="nil"/>
            </w:tcBorders>
            <w:hideMark/>
          </w:tcPr>
          <w:p w14:paraId="7EE6822B" w14:textId="77777777" w:rsidR="00FF65A1" w:rsidRPr="00FF65A1" w:rsidRDefault="00FF65A1" w:rsidP="00FF65A1">
            <w:pPr>
              <w:keepLines/>
              <w:widowControl/>
              <w:tabs>
                <w:tab w:val="right" w:pos="3969"/>
              </w:tabs>
              <w:spacing w:before="60" w:after="60"/>
              <w:rPr>
                <w:rFonts w:cs="Arial"/>
                <w:bCs/>
                <w:sz w:val="18"/>
                <w:szCs w:val="20"/>
                <w:lang w:eastAsia="en-AU" w:bidi="ar-SA"/>
              </w:rPr>
            </w:pPr>
            <w:r w:rsidRPr="00FF65A1">
              <w:rPr>
                <w:rFonts w:cs="Arial"/>
                <w:bCs/>
                <w:sz w:val="18"/>
                <w:szCs w:val="20"/>
                <w:lang w:eastAsia="en-AU" w:bidi="ar-SA"/>
              </w:rPr>
              <w:t>Polyunsaturated fatty acids or monounsaturated fatty acids in a food that is not a food standardised in Standard 2.4.1 or 2.4.2</w:t>
            </w:r>
          </w:p>
        </w:tc>
        <w:tc>
          <w:tcPr>
            <w:tcW w:w="4207" w:type="dxa"/>
            <w:tcBorders>
              <w:top w:val="nil"/>
              <w:left w:val="nil"/>
              <w:bottom w:val="nil"/>
              <w:right w:val="nil"/>
            </w:tcBorders>
            <w:hideMark/>
          </w:tcPr>
          <w:p w14:paraId="6C1CB291"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Average quantity of saturated fatty acids, trans fatty acids, *polyunsaturated fatty acids and monounsaturated fatty acids content per serving of the food</w:t>
            </w:r>
          </w:p>
        </w:tc>
      </w:tr>
      <w:tr w:rsidR="00FF65A1" w:rsidRPr="00FF65A1" w14:paraId="5EDCEC43" w14:textId="77777777" w:rsidTr="00DD110A">
        <w:trPr>
          <w:cantSplit/>
          <w:jc w:val="center"/>
        </w:trPr>
        <w:tc>
          <w:tcPr>
            <w:tcW w:w="4865" w:type="dxa"/>
            <w:tcBorders>
              <w:top w:val="nil"/>
              <w:left w:val="nil"/>
              <w:bottom w:val="nil"/>
              <w:right w:val="nil"/>
            </w:tcBorders>
            <w:hideMark/>
          </w:tcPr>
          <w:p w14:paraId="796356A5" w14:textId="77777777" w:rsidR="00FF65A1" w:rsidRPr="00FF65A1" w:rsidRDefault="00FF65A1" w:rsidP="00FF65A1">
            <w:pPr>
              <w:keepLines/>
              <w:widowControl/>
              <w:tabs>
                <w:tab w:val="right" w:pos="3969"/>
              </w:tabs>
              <w:spacing w:before="60" w:after="60"/>
              <w:rPr>
                <w:rFonts w:cs="Arial"/>
                <w:bCs/>
                <w:sz w:val="18"/>
                <w:szCs w:val="20"/>
                <w:lang w:eastAsia="en-AU" w:bidi="ar-SA"/>
              </w:rPr>
            </w:pPr>
            <w:r w:rsidRPr="00FF65A1">
              <w:rPr>
                <w:rFonts w:cs="Arial"/>
                <w:bCs/>
                <w:iCs/>
                <w:sz w:val="18"/>
                <w:szCs w:val="20"/>
                <w:lang w:val="en-NZ" w:eastAsia="en-AU" w:bidi="ar-SA"/>
              </w:rPr>
              <w:t>Cholesterol, saturated fatty acids, trans fatty acids, omega-6 or omega-9 fatty acids</w:t>
            </w:r>
          </w:p>
        </w:tc>
        <w:tc>
          <w:tcPr>
            <w:tcW w:w="4207" w:type="dxa"/>
            <w:tcBorders>
              <w:top w:val="nil"/>
              <w:left w:val="nil"/>
              <w:bottom w:val="nil"/>
              <w:right w:val="nil"/>
            </w:tcBorders>
            <w:hideMark/>
          </w:tcPr>
          <w:p w14:paraId="72FFEABB"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Average quantity of saturated fatty acids, trans fatty acids, *polyunsaturated fatty acids and monounsaturated fatty acids content per serving of the food</w:t>
            </w:r>
          </w:p>
        </w:tc>
      </w:tr>
      <w:tr w:rsidR="00FF65A1" w:rsidRPr="00FF65A1" w14:paraId="5B149ABE" w14:textId="77777777" w:rsidTr="00DD110A">
        <w:trPr>
          <w:cantSplit/>
          <w:jc w:val="center"/>
        </w:trPr>
        <w:tc>
          <w:tcPr>
            <w:tcW w:w="4865" w:type="dxa"/>
            <w:tcBorders>
              <w:top w:val="nil"/>
              <w:left w:val="nil"/>
              <w:bottom w:val="nil"/>
              <w:right w:val="nil"/>
            </w:tcBorders>
            <w:hideMark/>
          </w:tcPr>
          <w:p w14:paraId="5C60A892" w14:textId="77777777" w:rsidR="00FF65A1" w:rsidRPr="00FF65A1" w:rsidRDefault="00FF65A1" w:rsidP="00FF65A1">
            <w:pPr>
              <w:keepLines/>
              <w:widowControl/>
              <w:tabs>
                <w:tab w:val="right" w:pos="3969"/>
              </w:tabs>
              <w:spacing w:before="60" w:after="60"/>
              <w:rPr>
                <w:rFonts w:cs="Arial"/>
                <w:bCs/>
                <w:sz w:val="18"/>
                <w:szCs w:val="20"/>
                <w:lang w:eastAsia="en-AU" w:bidi="ar-SA"/>
              </w:rPr>
            </w:pPr>
            <w:r w:rsidRPr="00FF65A1">
              <w:rPr>
                <w:rFonts w:cs="Arial"/>
                <w:bCs/>
                <w:sz w:val="18"/>
                <w:szCs w:val="20"/>
                <w:lang w:eastAsia="en-AU" w:bidi="ar-SA"/>
              </w:rPr>
              <w:t>Dietary fibre, sugars or any other *carbohydrate</w:t>
            </w:r>
          </w:p>
        </w:tc>
        <w:tc>
          <w:tcPr>
            <w:tcW w:w="4207" w:type="dxa"/>
            <w:tcBorders>
              <w:top w:val="nil"/>
              <w:left w:val="nil"/>
              <w:bottom w:val="nil"/>
              <w:right w:val="nil"/>
            </w:tcBorders>
          </w:tcPr>
          <w:p w14:paraId="032FC7E7"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Average energy content per serving of the food and average quantity of carbohydrate, sugars and dietary (calculated in accordance with section S11—4) present per serving of the food</w:t>
            </w:r>
          </w:p>
        </w:tc>
      </w:tr>
      <w:tr w:rsidR="00FF65A1" w:rsidRPr="00FF65A1" w14:paraId="15E5C569" w14:textId="77777777" w:rsidTr="00DD110A">
        <w:trPr>
          <w:cantSplit/>
          <w:jc w:val="center"/>
        </w:trPr>
        <w:tc>
          <w:tcPr>
            <w:tcW w:w="4865" w:type="dxa"/>
            <w:tcBorders>
              <w:top w:val="nil"/>
              <w:left w:val="nil"/>
              <w:bottom w:val="nil"/>
              <w:right w:val="nil"/>
            </w:tcBorders>
            <w:hideMark/>
          </w:tcPr>
          <w:p w14:paraId="40816336"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Energy</w:t>
            </w:r>
          </w:p>
        </w:tc>
        <w:tc>
          <w:tcPr>
            <w:tcW w:w="4207" w:type="dxa"/>
            <w:tcBorders>
              <w:top w:val="nil"/>
              <w:left w:val="nil"/>
              <w:bottom w:val="nil"/>
              <w:right w:val="nil"/>
            </w:tcBorders>
            <w:hideMark/>
          </w:tcPr>
          <w:p w14:paraId="3EC7E695"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Average energy content per serving of the food</w:t>
            </w:r>
          </w:p>
        </w:tc>
      </w:tr>
      <w:tr w:rsidR="00FF65A1" w:rsidRPr="00FF65A1" w14:paraId="6B7B20FD" w14:textId="77777777" w:rsidTr="00DD110A">
        <w:trPr>
          <w:cantSplit/>
          <w:jc w:val="center"/>
        </w:trPr>
        <w:tc>
          <w:tcPr>
            <w:tcW w:w="4865" w:type="dxa"/>
            <w:tcBorders>
              <w:top w:val="nil"/>
              <w:left w:val="nil"/>
              <w:bottom w:val="nil"/>
              <w:right w:val="nil"/>
            </w:tcBorders>
            <w:hideMark/>
          </w:tcPr>
          <w:p w14:paraId="2AD31A79"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Fat-free</w:t>
            </w:r>
          </w:p>
        </w:tc>
        <w:tc>
          <w:tcPr>
            <w:tcW w:w="4207" w:type="dxa"/>
            <w:tcBorders>
              <w:top w:val="nil"/>
              <w:left w:val="nil"/>
              <w:bottom w:val="nil"/>
              <w:right w:val="nil"/>
            </w:tcBorders>
            <w:hideMark/>
          </w:tcPr>
          <w:p w14:paraId="7FAB58D0"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Average energy content per serving of the food</w:t>
            </w:r>
          </w:p>
        </w:tc>
      </w:tr>
      <w:tr w:rsidR="00FF65A1" w:rsidRPr="00FF65A1" w14:paraId="5AA31003" w14:textId="77777777" w:rsidTr="00DD110A">
        <w:trPr>
          <w:cantSplit/>
          <w:jc w:val="center"/>
        </w:trPr>
        <w:tc>
          <w:tcPr>
            <w:tcW w:w="4865" w:type="dxa"/>
            <w:tcBorders>
              <w:top w:val="nil"/>
              <w:left w:val="nil"/>
              <w:bottom w:val="nil"/>
              <w:right w:val="nil"/>
            </w:tcBorders>
          </w:tcPr>
          <w:p w14:paraId="6DAD8CA8"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Omega-3 fatty acids</w:t>
            </w:r>
          </w:p>
        </w:tc>
        <w:tc>
          <w:tcPr>
            <w:tcW w:w="4207" w:type="dxa"/>
            <w:tcBorders>
              <w:top w:val="nil"/>
              <w:left w:val="nil"/>
              <w:bottom w:val="nil"/>
              <w:right w:val="nil"/>
            </w:tcBorders>
          </w:tcPr>
          <w:p w14:paraId="35FA07E3" w14:textId="77777777" w:rsidR="00FF65A1" w:rsidRPr="00FF65A1" w:rsidRDefault="00FF65A1" w:rsidP="00FF65A1">
            <w:pPr>
              <w:keepLines/>
              <w:widowControl/>
              <w:spacing w:before="60" w:after="60"/>
              <w:ind w:left="397" w:hanging="397"/>
              <w:rPr>
                <w:rFonts w:cs="Arial"/>
                <w:bCs/>
                <w:sz w:val="18"/>
                <w:szCs w:val="22"/>
                <w:lang w:eastAsia="en-AU" w:bidi="ar-SA"/>
              </w:rPr>
            </w:pPr>
            <w:r w:rsidRPr="00FF65A1">
              <w:rPr>
                <w:rFonts w:cs="Arial"/>
                <w:bCs/>
                <w:sz w:val="18"/>
                <w:szCs w:val="22"/>
                <w:lang w:eastAsia="en-AU" w:bidi="ar-SA"/>
              </w:rPr>
              <w:t xml:space="preserve">(a) </w:t>
            </w:r>
            <w:r w:rsidRPr="00FF65A1">
              <w:rPr>
                <w:rFonts w:cs="Arial"/>
                <w:bCs/>
                <w:sz w:val="18"/>
                <w:szCs w:val="22"/>
                <w:lang w:eastAsia="en-AU" w:bidi="ar-SA"/>
              </w:rPr>
              <w:tab/>
            </w:r>
            <w:r w:rsidRPr="00FF65A1">
              <w:rPr>
                <w:rFonts w:cs="Arial"/>
                <w:sz w:val="18"/>
                <w:szCs w:val="22"/>
                <w:lang w:eastAsia="en-AU" w:bidi="ar-SA"/>
              </w:rPr>
              <w:t>Average quantity of *saturated fatty acids, *trans fatty acids, *polyunsaturated fatty acids and *monounsaturated fatty acids content per serving of the food</w:t>
            </w:r>
            <w:r w:rsidRPr="00FF65A1">
              <w:rPr>
                <w:rFonts w:cs="Arial"/>
                <w:bCs/>
                <w:sz w:val="18"/>
                <w:szCs w:val="22"/>
                <w:lang w:eastAsia="en-AU" w:bidi="ar-SA"/>
              </w:rPr>
              <w:t>; and</w:t>
            </w:r>
          </w:p>
          <w:p w14:paraId="540D56DF" w14:textId="77777777" w:rsidR="00FF65A1" w:rsidRPr="00FF65A1" w:rsidRDefault="00FF65A1" w:rsidP="00FF65A1">
            <w:pPr>
              <w:keepLines/>
              <w:widowControl/>
              <w:spacing w:before="60" w:after="60"/>
              <w:ind w:left="397" w:hanging="397"/>
              <w:rPr>
                <w:rFonts w:cs="Arial"/>
                <w:bCs/>
                <w:sz w:val="18"/>
                <w:szCs w:val="22"/>
                <w:lang w:eastAsia="en-AU" w:bidi="ar-SA"/>
              </w:rPr>
            </w:pPr>
            <w:r w:rsidRPr="00FF65A1">
              <w:rPr>
                <w:rFonts w:cs="Arial"/>
                <w:bCs/>
                <w:sz w:val="18"/>
                <w:szCs w:val="22"/>
                <w:lang w:eastAsia="en-AU" w:bidi="ar-SA"/>
              </w:rPr>
              <w:t>(b)</w:t>
            </w:r>
            <w:r w:rsidRPr="00FF65A1">
              <w:rPr>
                <w:rFonts w:cs="Arial"/>
                <w:bCs/>
                <w:sz w:val="18"/>
                <w:szCs w:val="22"/>
                <w:lang w:eastAsia="en-AU" w:bidi="ar-SA"/>
              </w:rPr>
              <w:tab/>
            </w:r>
            <w:r w:rsidRPr="00FF65A1">
              <w:rPr>
                <w:rFonts w:cs="Arial"/>
                <w:sz w:val="18"/>
                <w:szCs w:val="22"/>
                <w:lang w:eastAsia="en-AU" w:bidi="ar-SA"/>
              </w:rPr>
              <w:t xml:space="preserve">Average quantity of each type of omega-3 fatty acids </w:t>
            </w:r>
            <w:r w:rsidRPr="00FF65A1">
              <w:rPr>
                <w:rFonts w:cs="Arial"/>
                <w:bCs/>
                <w:sz w:val="18"/>
                <w:szCs w:val="22"/>
                <w:lang w:eastAsia="en-AU" w:bidi="ar-SA"/>
              </w:rPr>
              <w:t>per serving of the food</w:t>
            </w:r>
            <w:r w:rsidRPr="00FF65A1">
              <w:rPr>
                <w:rFonts w:cs="Arial"/>
                <w:sz w:val="18"/>
                <w:szCs w:val="22"/>
                <w:lang w:eastAsia="en-AU" w:bidi="ar-SA"/>
              </w:rPr>
              <w:t xml:space="preserve"> (</w:t>
            </w:r>
            <w:r w:rsidRPr="00FF65A1">
              <w:rPr>
                <w:rFonts w:cs="Arial"/>
                <w:bCs/>
                <w:sz w:val="18"/>
                <w:szCs w:val="22"/>
                <w:lang w:eastAsia="en-AU" w:bidi="ar-SA"/>
              </w:rPr>
              <w:t>that is, alpha</w:t>
            </w:r>
            <w:r w:rsidRPr="00FF65A1">
              <w:rPr>
                <w:rFonts w:cs="Arial"/>
                <w:bCs/>
                <w:sz w:val="18"/>
                <w:szCs w:val="22"/>
                <w:lang w:eastAsia="en-AU" w:bidi="ar-SA"/>
              </w:rPr>
              <w:noBreakHyphen/>
              <w:t>linolenic acid, docosahexaenoic acid, eicosapentaenoic acid or a combination of these); and</w:t>
            </w:r>
          </w:p>
          <w:p w14:paraId="1ECA86D3" w14:textId="77777777" w:rsidR="00FF65A1" w:rsidRPr="00FF65A1" w:rsidRDefault="00FF65A1" w:rsidP="00FF65A1">
            <w:pPr>
              <w:keepLines/>
              <w:widowControl/>
              <w:spacing w:before="60" w:after="60"/>
              <w:ind w:left="397" w:hanging="397"/>
              <w:rPr>
                <w:rFonts w:cs="Arial"/>
                <w:bCs/>
                <w:sz w:val="18"/>
                <w:szCs w:val="22"/>
                <w:lang w:eastAsia="en-AU" w:bidi="ar-SA"/>
              </w:rPr>
            </w:pPr>
            <w:r w:rsidRPr="00FF65A1">
              <w:rPr>
                <w:rFonts w:cs="Arial"/>
                <w:bCs/>
                <w:sz w:val="18"/>
                <w:szCs w:val="22"/>
                <w:lang w:eastAsia="en-AU" w:bidi="ar-SA"/>
              </w:rPr>
              <w:t xml:space="preserve">(c) </w:t>
            </w:r>
            <w:r w:rsidRPr="00FF65A1">
              <w:rPr>
                <w:rFonts w:cs="Arial"/>
                <w:bCs/>
                <w:sz w:val="18"/>
                <w:szCs w:val="22"/>
                <w:lang w:eastAsia="en-AU" w:bidi="ar-SA"/>
              </w:rPr>
              <w:tab/>
            </w:r>
            <w:r w:rsidRPr="00FF65A1">
              <w:rPr>
                <w:rFonts w:cs="Arial"/>
                <w:sz w:val="18"/>
                <w:szCs w:val="22"/>
                <w:lang w:eastAsia="en-AU" w:bidi="ar-SA"/>
              </w:rPr>
              <w:t>Average quantity of the total of omega-3 fatty acids per serving of the food</w:t>
            </w:r>
          </w:p>
        </w:tc>
      </w:tr>
      <w:tr w:rsidR="00FF65A1" w:rsidRPr="00FF65A1" w14:paraId="55DB6F3B" w14:textId="77777777" w:rsidTr="00DD110A">
        <w:trPr>
          <w:cantSplit/>
          <w:jc w:val="center"/>
        </w:trPr>
        <w:tc>
          <w:tcPr>
            <w:tcW w:w="4865" w:type="dxa"/>
            <w:tcBorders>
              <w:top w:val="nil"/>
              <w:left w:val="nil"/>
              <w:bottom w:val="nil"/>
              <w:right w:val="nil"/>
            </w:tcBorders>
          </w:tcPr>
          <w:p w14:paraId="3CAA283E"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Lactose</w:t>
            </w:r>
          </w:p>
        </w:tc>
        <w:tc>
          <w:tcPr>
            <w:tcW w:w="4207" w:type="dxa"/>
            <w:tcBorders>
              <w:top w:val="nil"/>
              <w:left w:val="nil"/>
              <w:bottom w:val="nil"/>
              <w:right w:val="nil"/>
            </w:tcBorders>
          </w:tcPr>
          <w:p w14:paraId="66D6B49A"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Average quantity of galactose content per serving of the food</w:t>
            </w:r>
          </w:p>
        </w:tc>
      </w:tr>
      <w:tr w:rsidR="00FF65A1" w:rsidRPr="00FF65A1" w14:paraId="402CFC37" w14:textId="77777777" w:rsidTr="00DD110A">
        <w:trPr>
          <w:cantSplit/>
          <w:jc w:val="center"/>
        </w:trPr>
        <w:tc>
          <w:tcPr>
            <w:tcW w:w="4865" w:type="dxa"/>
            <w:tcBorders>
              <w:top w:val="nil"/>
              <w:left w:val="nil"/>
              <w:bottom w:val="nil"/>
              <w:right w:val="nil"/>
            </w:tcBorders>
          </w:tcPr>
          <w:p w14:paraId="5E470ADD"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Potassium</w:t>
            </w:r>
          </w:p>
        </w:tc>
        <w:tc>
          <w:tcPr>
            <w:tcW w:w="4207" w:type="dxa"/>
            <w:tcBorders>
              <w:top w:val="nil"/>
              <w:left w:val="nil"/>
              <w:bottom w:val="nil"/>
              <w:right w:val="nil"/>
            </w:tcBorders>
          </w:tcPr>
          <w:p w14:paraId="6678B7B8"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Average quantity of sodium content per serving of the food</w:t>
            </w:r>
          </w:p>
        </w:tc>
      </w:tr>
      <w:tr w:rsidR="00FF65A1" w:rsidRPr="00FF65A1" w14:paraId="5CF95193" w14:textId="77777777" w:rsidTr="00DD110A">
        <w:trPr>
          <w:cantSplit/>
          <w:jc w:val="center"/>
        </w:trPr>
        <w:tc>
          <w:tcPr>
            <w:tcW w:w="4865" w:type="dxa"/>
            <w:tcBorders>
              <w:top w:val="nil"/>
              <w:left w:val="nil"/>
              <w:bottom w:val="single" w:sz="4" w:space="0" w:color="auto"/>
              <w:right w:val="nil"/>
            </w:tcBorders>
          </w:tcPr>
          <w:p w14:paraId="18D492D0"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Sodium or salt</w:t>
            </w:r>
          </w:p>
        </w:tc>
        <w:tc>
          <w:tcPr>
            <w:tcW w:w="4207" w:type="dxa"/>
            <w:tcBorders>
              <w:top w:val="nil"/>
              <w:left w:val="nil"/>
              <w:bottom w:val="single" w:sz="4" w:space="0" w:color="auto"/>
              <w:right w:val="nil"/>
            </w:tcBorders>
          </w:tcPr>
          <w:p w14:paraId="2E10FE52" w14:textId="77777777" w:rsidR="00FF65A1" w:rsidRPr="00FF65A1" w:rsidRDefault="00FF65A1" w:rsidP="00FF65A1">
            <w:pPr>
              <w:keepLines/>
              <w:widowControl/>
              <w:tabs>
                <w:tab w:val="right" w:pos="3969"/>
              </w:tabs>
              <w:spacing w:before="60" w:after="60"/>
              <w:rPr>
                <w:rFonts w:cs="Arial"/>
                <w:sz w:val="18"/>
                <w:szCs w:val="20"/>
                <w:lang w:eastAsia="en-AU" w:bidi="ar-SA"/>
              </w:rPr>
            </w:pPr>
            <w:r w:rsidRPr="00FF65A1">
              <w:rPr>
                <w:rFonts w:cs="Arial"/>
                <w:sz w:val="18"/>
                <w:szCs w:val="20"/>
                <w:lang w:eastAsia="en-AU" w:bidi="ar-SA"/>
              </w:rPr>
              <w:t>Average quantity of sodium and potassium content per serving of the food</w:t>
            </w:r>
          </w:p>
        </w:tc>
      </w:tr>
    </w:tbl>
    <w:p w14:paraId="63BB60AC" w14:textId="77777777" w:rsidR="00FF65A1" w:rsidRPr="00FF65A1" w:rsidRDefault="00FF65A1" w:rsidP="00FF65A1">
      <w:pPr>
        <w:jc w:val="right"/>
        <w:rPr>
          <w:sz w:val="20"/>
        </w:rPr>
      </w:pPr>
    </w:p>
    <w:p w14:paraId="3569E619" w14:textId="77777777" w:rsidR="00D5526B" w:rsidRPr="00184403" w:rsidRDefault="00D5526B" w:rsidP="00FF65A1">
      <w:pPr>
        <w:pStyle w:val="FSCtMain"/>
      </w:pPr>
    </w:p>
    <w:sectPr w:rsidR="00D5526B" w:rsidRPr="00184403" w:rsidSect="008E2339">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9E61E" w14:textId="77777777" w:rsidR="004061DF" w:rsidRDefault="004061DF" w:rsidP="00EF57FB">
      <w:r>
        <w:separator/>
      </w:r>
    </w:p>
  </w:endnote>
  <w:endnote w:type="continuationSeparator" w:id="0">
    <w:p w14:paraId="3569E61F" w14:textId="77777777" w:rsidR="004061DF" w:rsidRDefault="004061DF" w:rsidP="00EF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192849"/>
      <w:docPartObj>
        <w:docPartGallery w:val="Page Numbers (Bottom of Page)"/>
        <w:docPartUnique/>
      </w:docPartObj>
    </w:sdtPr>
    <w:sdtEndPr>
      <w:rPr>
        <w:noProof/>
      </w:rPr>
    </w:sdtEndPr>
    <w:sdtContent>
      <w:p w14:paraId="3569E620" w14:textId="77777777" w:rsidR="00EF57FB" w:rsidRDefault="00EF57FB" w:rsidP="00EF57FB">
        <w:pPr>
          <w:pStyle w:val="Footer"/>
          <w:jc w:val="center"/>
        </w:pPr>
        <w:r>
          <w:fldChar w:fldCharType="begin"/>
        </w:r>
        <w:r>
          <w:instrText xml:space="preserve"> PAGE   \* MERGEFORMAT </w:instrText>
        </w:r>
        <w:r>
          <w:fldChar w:fldCharType="separate"/>
        </w:r>
        <w:r w:rsidR="007F289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9E61C" w14:textId="77777777" w:rsidR="004061DF" w:rsidRDefault="004061DF" w:rsidP="00EF57FB">
      <w:r>
        <w:separator/>
      </w:r>
    </w:p>
  </w:footnote>
  <w:footnote w:type="continuationSeparator" w:id="0">
    <w:p w14:paraId="3569E61D" w14:textId="77777777" w:rsidR="004061DF" w:rsidRDefault="004061DF" w:rsidP="00EF5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7FB"/>
    <w:rsid w:val="0000542C"/>
    <w:rsid w:val="00041643"/>
    <w:rsid w:val="000622E7"/>
    <w:rsid w:val="00066854"/>
    <w:rsid w:val="00066D85"/>
    <w:rsid w:val="000A38F8"/>
    <w:rsid w:val="000F2196"/>
    <w:rsid w:val="001734EA"/>
    <w:rsid w:val="00184403"/>
    <w:rsid w:val="00191770"/>
    <w:rsid w:val="001C5126"/>
    <w:rsid w:val="001E696B"/>
    <w:rsid w:val="002232B1"/>
    <w:rsid w:val="002265D8"/>
    <w:rsid w:val="00234C31"/>
    <w:rsid w:val="0033021F"/>
    <w:rsid w:val="00341D25"/>
    <w:rsid w:val="00404702"/>
    <w:rsid w:val="004061DF"/>
    <w:rsid w:val="00441D77"/>
    <w:rsid w:val="00443F05"/>
    <w:rsid w:val="00486619"/>
    <w:rsid w:val="004D3868"/>
    <w:rsid w:val="004E6694"/>
    <w:rsid w:val="0054036E"/>
    <w:rsid w:val="005B578D"/>
    <w:rsid w:val="005C1996"/>
    <w:rsid w:val="006B6900"/>
    <w:rsid w:val="006D473E"/>
    <w:rsid w:val="00793DE6"/>
    <w:rsid w:val="007F2897"/>
    <w:rsid w:val="007F6456"/>
    <w:rsid w:val="00830393"/>
    <w:rsid w:val="00833D5A"/>
    <w:rsid w:val="00860EE7"/>
    <w:rsid w:val="00877A81"/>
    <w:rsid w:val="008931F6"/>
    <w:rsid w:val="008E2339"/>
    <w:rsid w:val="00935023"/>
    <w:rsid w:val="009806A5"/>
    <w:rsid w:val="009E265A"/>
    <w:rsid w:val="00A25B29"/>
    <w:rsid w:val="00A26F82"/>
    <w:rsid w:val="00AD6568"/>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F57FB"/>
    <w:rsid w:val="00F019C9"/>
    <w:rsid w:val="00F4105E"/>
    <w:rsid w:val="00F616DA"/>
    <w:rsid w:val="00F76F95"/>
    <w:rsid w:val="00FD4B8D"/>
    <w:rsid w:val="00FF55E9"/>
    <w:rsid w:val="00FF6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F57F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019A6"/>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link w:val="SubclauseChar"/>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SCh6Subsec">
    <w:name w:val="FSC_h6_Subsec"/>
    <w:aliases w:val="h6_Subsec"/>
    <w:basedOn w:val="Normal"/>
    <w:next w:val="FSCtMain"/>
    <w:rsid w:val="00EF57FB"/>
    <w:pPr>
      <w:keepNext/>
      <w:spacing w:before="120" w:after="60"/>
      <w:ind w:left="1701"/>
    </w:pPr>
    <w:rPr>
      <w:rFonts w:cs="Arial"/>
      <w:bCs/>
      <w:i/>
      <w:kern w:val="32"/>
      <w:sz w:val="20"/>
      <w:szCs w:val="32"/>
      <w:lang w:val="en-AU" w:eastAsia="en-AU" w:bidi="ar-SA"/>
    </w:rPr>
  </w:style>
  <w:style w:type="paragraph" w:customStyle="1" w:styleId="FSCtMain">
    <w:name w:val="FSC_t_Main"/>
    <w:aliases w:val="t1_Main"/>
    <w:basedOn w:val="Normal"/>
    <w:rsid w:val="00EF57FB"/>
    <w:pPr>
      <w:tabs>
        <w:tab w:val="left" w:pos="1134"/>
      </w:tabs>
      <w:spacing w:before="120" w:after="120"/>
      <w:ind w:left="1701" w:hanging="1701"/>
    </w:pPr>
    <w:rPr>
      <w:rFonts w:cs="Arial"/>
      <w:iCs/>
      <w:sz w:val="20"/>
      <w:szCs w:val="22"/>
      <w:lang w:val="en-AU" w:eastAsia="en-AU" w:bidi="ar-SA"/>
    </w:rPr>
  </w:style>
  <w:style w:type="paragraph" w:customStyle="1" w:styleId="FSCtPara">
    <w:name w:val="FSC_t_Para"/>
    <w:aliases w:val="t2_Para"/>
    <w:basedOn w:val="FSCtMain"/>
    <w:rsid w:val="00EF57FB"/>
    <w:pPr>
      <w:tabs>
        <w:tab w:val="clear" w:pos="1134"/>
        <w:tab w:val="left" w:pos="1701"/>
      </w:tabs>
      <w:spacing w:before="60" w:after="60"/>
      <w:ind w:left="2268" w:hanging="2268"/>
    </w:pPr>
  </w:style>
  <w:style w:type="paragraph" w:customStyle="1" w:styleId="FSCtblASubpara">
    <w:name w:val="FSC_tbl_A_Subpara"/>
    <w:aliases w:val="tbA_t2_Subpara"/>
    <w:basedOn w:val="Normal"/>
    <w:rsid w:val="00EF57FB"/>
    <w:pPr>
      <w:keepLines/>
      <w:widowControl/>
      <w:spacing w:before="60" w:after="60"/>
      <w:ind w:left="794" w:hanging="397"/>
    </w:pPr>
    <w:rPr>
      <w:rFonts w:cs="Arial"/>
      <w:sz w:val="18"/>
      <w:szCs w:val="22"/>
      <w:lang w:val="en-AU" w:eastAsia="en-AU" w:bidi="ar-SA"/>
    </w:rPr>
  </w:style>
  <w:style w:type="paragraph" w:customStyle="1" w:styleId="FSCtblBh2">
    <w:name w:val="FSC_tbl_B_h2"/>
    <w:aliases w:val="tbB_h2"/>
    <w:basedOn w:val="Normal"/>
    <w:rsid w:val="00EF57FB"/>
    <w:pPr>
      <w:keepNext/>
      <w:keepLines/>
      <w:widowControl/>
      <w:spacing w:before="240" w:after="120"/>
      <w:jc w:val="center"/>
    </w:pPr>
    <w:rPr>
      <w:rFonts w:cs="Arial"/>
      <w:b/>
      <w:color w:val="000000"/>
      <w:sz w:val="18"/>
      <w:szCs w:val="22"/>
      <w:lang w:val="en-AU" w:eastAsia="en-AU" w:bidi="ar-SA"/>
    </w:rPr>
  </w:style>
  <w:style w:type="paragraph" w:customStyle="1" w:styleId="FSCh5Section">
    <w:name w:val="FSC_h5_Section"/>
    <w:basedOn w:val="Normal"/>
    <w:next w:val="FSCtMain"/>
    <w:qFormat/>
    <w:rsid w:val="00EF57FB"/>
    <w:pPr>
      <w:keepNext/>
      <w:spacing w:before="240" w:after="120"/>
      <w:ind w:left="1701" w:hanging="1701"/>
      <w:outlineLvl w:val="4"/>
    </w:pPr>
    <w:rPr>
      <w:b/>
      <w:bCs/>
      <w:kern w:val="32"/>
      <w:lang w:eastAsia="en-AU" w:bidi="ar-SA"/>
    </w:rPr>
  </w:style>
  <w:style w:type="paragraph" w:customStyle="1" w:styleId="FSCnMain">
    <w:name w:val="FSC_n_Main"/>
    <w:basedOn w:val="FSCtPara"/>
    <w:rsid w:val="00EF57FB"/>
    <w:rPr>
      <w:iCs w:val="0"/>
      <w:sz w:val="16"/>
      <w:szCs w:val="18"/>
      <w:lang w:val="en-GB"/>
    </w:rPr>
  </w:style>
  <w:style w:type="character" w:customStyle="1" w:styleId="SubclauseChar">
    <w:name w:val="Subclause Char"/>
    <w:basedOn w:val="ClauseChar"/>
    <w:link w:val="Subclause"/>
    <w:locked/>
    <w:rsid w:val="00EF57FB"/>
    <w:rPr>
      <w:rFonts w:eastAsia="Times New Roman" w:cs="Times New Roman"/>
      <w:sz w:val="20"/>
      <w:szCs w:val="20"/>
      <w:lang w:val="en-GB"/>
    </w:rPr>
  </w:style>
  <w:style w:type="paragraph" w:customStyle="1" w:styleId="FSCtblh3">
    <w:name w:val="FSC_tbl_h3"/>
    <w:basedOn w:val="Normal"/>
    <w:next w:val="Normal"/>
    <w:rsid w:val="00EF57F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EF57FB"/>
    <w:pPr>
      <w:keepNext/>
      <w:keepLines/>
      <w:widowControl/>
      <w:spacing w:before="60" w:after="60"/>
    </w:pPr>
    <w:rPr>
      <w:rFonts w:cs="Arial"/>
      <w:i/>
      <w:sz w:val="18"/>
      <w:szCs w:val="22"/>
      <w:lang w:eastAsia="en-AU" w:bidi="ar-SA"/>
    </w:rPr>
  </w:style>
  <w:style w:type="paragraph" w:customStyle="1" w:styleId="FSCtblMain">
    <w:name w:val="FSC_tbl_Main"/>
    <w:basedOn w:val="Normal"/>
    <w:rsid w:val="00EF57FB"/>
    <w:pPr>
      <w:keepLines/>
      <w:widowControl/>
      <w:tabs>
        <w:tab w:val="right" w:pos="3969"/>
      </w:tabs>
      <w:spacing w:before="60" w:after="60"/>
    </w:pPr>
    <w:rPr>
      <w:rFonts w:cs="Arial"/>
      <w:sz w:val="18"/>
      <w:szCs w:val="20"/>
      <w:lang w:eastAsia="en-AU" w:bidi="ar-SA"/>
    </w:rPr>
  </w:style>
  <w:style w:type="paragraph" w:customStyle="1" w:styleId="FSCtblPara">
    <w:name w:val="FSC_tbl_Para"/>
    <w:basedOn w:val="Normal"/>
    <w:rsid w:val="00EF57F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EF57FB"/>
    <w:pPr>
      <w:keepLines/>
      <w:widowControl/>
      <w:spacing w:before="60" w:after="60"/>
      <w:ind w:left="794" w:hanging="397"/>
    </w:pPr>
    <w:rPr>
      <w:rFonts w:cs="Arial"/>
      <w:sz w:val="18"/>
      <w:szCs w:val="22"/>
      <w:lang w:eastAsia="en-AU" w:bidi="ar-SA"/>
    </w:rPr>
  </w:style>
  <w:style w:type="paragraph" w:styleId="BalloonText">
    <w:name w:val="Balloon Text"/>
    <w:basedOn w:val="Normal"/>
    <w:link w:val="BalloonTextChar"/>
    <w:uiPriority w:val="99"/>
    <w:semiHidden/>
    <w:unhideWhenUsed/>
    <w:rsid w:val="00EF57FB"/>
    <w:rPr>
      <w:rFonts w:ascii="Tahoma" w:hAnsi="Tahoma" w:cs="Tahoma"/>
      <w:sz w:val="16"/>
      <w:szCs w:val="16"/>
    </w:rPr>
  </w:style>
  <w:style w:type="character" w:customStyle="1" w:styleId="BalloonTextChar">
    <w:name w:val="Balloon Text Char"/>
    <w:basedOn w:val="DefaultParagraphFont"/>
    <w:link w:val="BalloonText"/>
    <w:uiPriority w:val="99"/>
    <w:semiHidden/>
    <w:rsid w:val="00EF57FB"/>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F57F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019A6"/>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link w:val="SubclauseChar"/>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SCh6Subsec">
    <w:name w:val="FSC_h6_Subsec"/>
    <w:aliases w:val="h6_Subsec"/>
    <w:basedOn w:val="Normal"/>
    <w:next w:val="FSCtMain"/>
    <w:rsid w:val="00EF57FB"/>
    <w:pPr>
      <w:keepNext/>
      <w:spacing w:before="120" w:after="60"/>
      <w:ind w:left="1701"/>
    </w:pPr>
    <w:rPr>
      <w:rFonts w:cs="Arial"/>
      <w:bCs/>
      <w:i/>
      <w:kern w:val="32"/>
      <w:sz w:val="20"/>
      <w:szCs w:val="32"/>
      <w:lang w:val="en-AU" w:eastAsia="en-AU" w:bidi="ar-SA"/>
    </w:rPr>
  </w:style>
  <w:style w:type="paragraph" w:customStyle="1" w:styleId="FSCtMain">
    <w:name w:val="FSC_t_Main"/>
    <w:aliases w:val="t1_Main"/>
    <w:basedOn w:val="Normal"/>
    <w:rsid w:val="00EF57FB"/>
    <w:pPr>
      <w:tabs>
        <w:tab w:val="left" w:pos="1134"/>
      </w:tabs>
      <w:spacing w:before="120" w:after="120"/>
      <w:ind w:left="1701" w:hanging="1701"/>
    </w:pPr>
    <w:rPr>
      <w:rFonts w:cs="Arial"/>
      <w:iCs/>
      <w:sz w:val="20"/>
      <w:szCs w:val="22"/>
      <w:lang w:val="en-AU" w:eastAsia="en-AU" w:bidi="ar-SA"/>
    </w:rPr>
  </w:style>
  <w:style w:type="paragraph" w:customStyle="1" w:styleId="FSCtPara">
    <w:name w:val="FSC_t_Para"/>
    <w:aliases w:val="t2_Para"/>
    <w:basedOn w:val="FSCtMain"/>
    <w:rsid w:val="00EF57FB"/>
    <w:pPr>
      <w:tabs>
        <w:tab w:val="clear" w:pos="1134"/>
        <w:tab w:val="left" w:pos="1701"/>
      </w:tabs>
      <w:spacing w:before="60" w:after="60"/>
      <w:ind w:left="2268" w:hanging="2268"/>
    </w:pPr>
  </w:style>
  <w:style w:type="paragraph" w:customStyle="1" w:styleId="FSCtblASubpara">
    <w:name w:val="FSC_tbl_A_Subpara"/>
    <w:aliases w:val="tbA_t2_Subpara"/>
    <w:basedOn w:val="Normal"/>
    <w:rsid w:val="00EF57FB"/>
    <w:pPr>
      <w:keepLines/>
      <w:widowControl/>
      <w:spacing w:before="60" w:after="60"/>
      <w:ind w:left="794" w:hanging="397"/>
    </w:pPr>
    <w:rPr>
      <w:rFonts w:cs="Arial"/>
      <w:sz w:val="18"/>
      <w:szCs w:val="22"/>
      <w:lang w:val="en-AU" w:eastAsia="en-AU" w:bidi="ar-SA"/>
    </w:rPr>
  </w:style>
  <w:style w:type="paragraph" w:customStyle="1" w:styleId="FSCtblBh2">
    <w:name w:val="FSC_tbl_B_h2"/>
    <w:aliases w:val="tbB_h2"/>
    <w:basedOn w:val="Normal"/>
    <w:rsid w:val="00EF57FB"/>
    <w:pPr>
      <w:keepNext/>
      <w:keepLines/>
      <w:widowControl/>
      <w:spacing w:before="240" w:after="120"/>
      <w:jc w:val="center"/>
    </w:pPr>
    <w:rPr>
      <w:rFonts w:cs="Arial"/>
      <w:b/>
      <w:color w:val="000000"/>
      <w:sz w:val="18"/>
      <w:szCs w:val="22"/>
      <w:lang w:val="en-AU" w:eastAsia="en-AU" w:bidi="ar-SA"/>
    </w:rPr>
  </w:style>
  <w:style w:type="paragraph" w:customStyle="1" w:styleId="FSCh5Section">
    <w:name w:val="FSC_h5_Section"/>
    <w:basedOn w:val="Normal"/>
    <w:next w:val="FSCtMain"/>
    <w:qFormat/>
    <w:rsid w:val="00EF57FB"/>
    <w:pPr>
      <w:keepNext/>
      <w:spacing w:before="240" w:after="120"/>
      <w:ind w:left="1701" w:hanging="1701"/>
      <w:outlineLvl w:val="4"/>
    </w:pPr>
    <w:rPr>
      <w:b/>
      <w:bCs/>
      <w:kern w:val="32"/>
      <w:lang w:eastAsia="en-AU" w:bidi="ar-SA"/>
    </w:rPr>
  </w:style>
  <w:style w:type="paragraph" w:customStyle="1" w:styleId="FSCnMain">
    <w:name w:val="FSC_n_Main"/>
    <w:basedOn w:val="FSCtPara"/>
    <w:rsid w:val="00EF57FB"/>
    <w:rPr>
      <w:iCs w:val="0"/>
      <w:sz w:val="16"/>
      <w:szCs w:val="18"/>
      <w:lang w:val="en-GB"/>
    </w:rPr>
  </w:style>
  <w:style w:type="character" w:customStyle="1" w:styleId="SubclauseChar">
    <w:name w:val="Subclause Char"/>
    <w:basedOn w:val="ClauseChar"/>
    <w:link w:val="Subclause"/>
    <w:locked/>
    <w:rsid w:val="00EF57FB"/>
    <w:rPr>
      <w:rFonts w:eastAsia="Times New Roman" w:cs="Times New Roman"/>
      <w:sz w:val="20"/>
      <w:szCs w:val="20"/>
      <w:lang w:val="en-GB"/>
    </w:rPr>
  </w:style>
  <w:style w:type="paragraph" w:customStyle="1" w:styleId="FSCtblh3">
    <w:name w:val="FSC_tbl_h3"/>
    <w:basedOn w:val="Normal"/>
    <w:next w:val="Normal"/>
    <w:rsid w:val="00EF57F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EF57FB"/>
    <w:pPr>
      <w:keepNext/>
      <w:keepLines/>
      <w:widowControl/>
      <w:spacing w:before="60" w:after="60"/>
    </w:pPr>
    <w:rPr>
      <w:rFonts w:cs="Arial"/>
      <w:i/>
      <w:sz w:val="18"/>
      <w:szCs w:val="22"/>
      <w:lang w:eastAsia="en-AU" w:bidi="ar-SA"/>
    </w:rPr>
  </w:style>
  <w:style w:type="paragraph" w:customStyle="1" w:styleId="FSCtblMain">
    <w:name w:val="FSC_tbl_Main"/>
    <w:basedOn w:val="Normal"/>
    <w:rsid w:val="00EF57FB"/>
    <w:pPr>
      <w:keepLines/>
      <w:widowControl/>
      <w:tabs>
        <w:tab w:val="right" w:pos="3969"/>
      </w:tabs>
      <w:spacing w:before="60" w:after="60"/>
    </w:pPr>
    <w:rPr>
      <w:rFonts w:cs="Arial"/>
      <w:sz w:val="18"/>
      <w:szCs w:val="20"/>
      <w:lang w:eastAsia="en-AU" w:bidi="ar-SA"/>
    </w:rPr>
  </w:style>
  <w:style w:type="paragraph" w:customStyle="1" w:styleId="FSCtblPara">
    <w:name w:val="FSC_tbl_Para"/>
    <w:basedOn w:val="Normal"/>
    <w:rsid w:val="00EF57F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EF57FB"/>
    <w:pPr>
      <w:keepLines/>
      <w:widowControl/>
      <w:spacing w:before="60" w:after="60"/>
      <w:ind w:left="794" w:hanging="397"/>
    </w:pPr>
    <w:rPr>
      <w:rFonts w:cs="Arial"/>
      <w:sz w:val="18"/>
      <w:szCs w:val="22"/>
      <w:lang w:eastAsia="en-AU" w:bidi="ar-SA"/>
    </w:rPr>
  </w:style>
  <w:style w:type="paragraph" w:styleId="BalloonText">
    <w:name w:val="Balloon Text"/>
    <w:basedOn w:val="Normal"/>
    <w:link w:val="BalloonTextChar"/>
    <w:uiPriority w:val="99"/>
    <w:semiHidden/>
    <w:unhideWhenUsed/>
    <w:rsid w:val="00EF57FB"/>
    <w:rPr>
      <w:rFonts w:ascii="Tahoma" w:hAnsi="Tahoma" w:cs="Tahoma"/>
      <w:sz w:val="16"/>
      <w:szCs w:val="16"/>
    </w:rPr>
  </w:style>
  <w:style w:type="character" w:customStyle="1" w:styleId="BalloonTextChar">
    <w:name w:val="Balloon Text Char"/>
    <w:basedOn w:val="DefaultParagraphFont"/>
    <w:link w:val="BalloonText"/>
    <w:uiPriority w:val="99"/>
    <w:semiHidden/>
    <w:rsid w:val="00EF57FB"/>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MMF7YEMDTSDN-102-29622</_dlc_DocId>
    <_dlc_DocIdUrl xmlns="5759555f-5bed-45a4-a4c2-4e28e2623455">
      <Url>http://fsintranet/Sections/OLC/_layouts/15/DocIdRedir.aspx?ID=MMF7YEMDTSDN-102-29622</Url>
      <Description>MMF7YEMDTSDN-102-29622</Description>
    </_dlc_DocIdUrl>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documentManagement>
</p:propertie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606c7f3048980190d400f6217b2f637f">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742cfcd1a1bf302fc77acc68189ead82"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FF24-FCED-4D76-A99B-63D8BEB2E529}"/>
</file>

<file path=customXml/itemProps2.xml><?xml version="1.0" encoding="utf-8"?>
<ds:datastoreItem xmlns:ds="http://schemas.openxmlformats.org/officeDocument/2006/customXml" ds:itemID="{4C6A72A5-5268-4A26-BC09-28EAF98E5B53}"/>
</file>

<file path=customXml/itemProps3.xml><?xml version="1.0" encoding="utf-8"?>
<ds:datastoreItem xmlns:ds="http://schemas.openxmlformats.org/officeDocument/2006/customXml" ds:itemID="{2D392D82-2B43-4FD4-8D41-1673B898D6E1}"/>
</file>

<file path=customXml/itemProps4.xml><?xml version="1.0" encoding="utf-8"?>
<ds:datastoreItem xmlns:ds="http://schemas.openxmlformats.org/officeDocument/2006/customXml" ds:itemID="{D7882DC4-DDF5-4638-896A-479CC07FCCEE}"/>
</file>

<file path=customXml/itemProps5.xml><?xml version="1.0" encoding="utf-8"?>
<ds:datastoreItem xmlns:ds="http://schemas.openxmlformats.org/officeDocument/2006/customXml" ds:itemID="{7804EA08-189C-41AC-9AF8-2E0F18D7BA8F}"/>
</file>

<file path=customXml/itemProps6.xml><?xml version="1.0" encoding="utf-8"?>
<ds:datastoreItem xmlns:ds="http://schemas.openxmlformats.org/officeDocument/2006/customXml" ds:itemID="{E7578039-24A3-432B-826F-1AEE75D07376}"/>
</file>

<file path=customXml/itemProps7.xml><?xml version="1.0" encoding="utf-8"?>
<ds:datastoreItem xmlns:ds="http://schemas.openxmlformats.org/officeDocument/2006/customXml" ds:itemID="{C4870EF7-208D-46C7-82A4-FCBA71BD4384}"/>
</file>

<file path=docProps/app.xml><?xml version="1.0" encoding="utf-8"?>
<Properties xmlns="http://schemas.openxmlformats.org/officeDocument/2006/extended-properties" xmlns:vt="http://schemas.openxmlformats.org/officeDocument/2006/docPropsVTypes">
  <Template>Normal.dotm</Template>
  <TotalTime>3</TotalTime>
  <Pages>6</Pages>
  <Words>1773</Words>
  <Characters>10107</Characters>
  <Application>Microsoft Office Word</Application>
  <DocSecurity>0</DocSecurity>
  <Lines>84</Lines>
  <Paragraphs>23</Paragraphs>
  <ScaleCrop>false</ScaleCrop>
  <Company>Food Standards Australia New Zealand</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6</cp:revision>
  <cp:lastPrinted>2015-11-30T03:04:00Z</cp:lastPrinted>
  <dcterms:created xsi:type="dcterms:W3CDTF">2015-09-24T00:03:00Z</dcterms:created>
  <dcterms:modified xsi:type="dcterms:W3CDTF">2015-11-30T03:04:00Z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775d9e50-4fdd-4489-85e6-7b714b9028ae</vt:lpwstr>
  </property>
  <property fmtid="{D5CDD505-2E9C-101B-9397-08002B2CF9AE}" pid="3" name="ContentTypeId">
    <vt:lpwstr>0x01010004C4C934AD08B647A78FCADD498BE3190200D482D0D9192A52408BEE3ADFA02384A3</vt:lpwstr>
  </property>
  <property fmtid="{D5CDD505-2E9C-101B-9397-08002B2CF9AE}" pid="4" name="DisposalClass">
    <vt:lpwstr/>
  </property>
  <property fmtid="{D5CDD505-2E9C-101B-9397-08002B2CF9AE}" pid="5" name="BCS_">
    <vt:lpwstr>531;#FOOD STANDARDS:Instruments|4a8ff5e5-1f0e-4751-ab44-bc0d33b46a80</vt:lpwstr>
  </property>
</Properties>
</file>