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F3B7E" w14:textId="179B1D85" w:rsidR="00BA64B9" w:rsidRDefault="004F7AB9" w:rsidP="00FA277E">
      <w:pPr>
        <w:jc w:val="center"/>
        <w:rPr>
          <w:rFonts w:ascii="Times New Roman" w:hAnsi="Times New Roman" w:cs="Times New Roman"/>
          <w:b/>
          <w:bCs/>
          <w:sz w:val="28"/>
          <w:szCs w:val="28"/>
        </w:rPr>
      </w:pPr>
      <w:r w:rsidRPr="00277675">
        <w:rPr>
          <w:rFonts w:ascii="Times New Roman" w:hAnsi="Times New Roman" w:cs="Times New Roman"/>
          <w:b/>
          <w:bCs/>
          <w:sz w:val="28"/>
          <w:szCs w:val="28"/>
        </w:rPr>
        <w:t xml:space="preserve">ASIC </w:t>
      </w:r>
      <w:r w:rsidR="00D176C2" w:rsidRPr="00277675">
        <w:rPr>
          <w:rFonts w:ascii="Times New Roman" w:hAnsi="Times New Roman" w:cs="Times New Roman"/>
          <w:b/>
          <w:bCs/>
          <w:sz w:val="28"/>
          <w:szCs w:val="28"/>
        </w:rPr>
        <w:t>C</w:t>
      </w:r>
      <w:r w:rsidR="00BA64B9">
        <w:rPr>
          <w:rFonts w:ascii="Times New Roman" w:hAnsi="Times New Roman" w:cs="Times New Roman"/>
          <w:b/>
          <w:bCs/>
          <w:sz w:val="28"/>
          <w:szCs w:val="28"/>
        </w:rPr>
        <w:t xml:space="preserve">orporations </w:t>
      </w:r>
      <w:r w:rsidR="00D176C2" w:rsidRPr="00277675">
        <w:rPr>
          <w:rFonts w:ascii="Times New Roman" w:hAnsi="Times New Roman" w:cs="Times New Roman"/>
          <w:b/>
          <w:bCs/>
          <w:sz w:val="28"/>
          <w:szCs w:val="28"/>
        </w:rPr>
        <w:t>(</w:t>
      </w:r>
      <w:r w:rsidR="00992848">
        <w:rPr>
          <w:rFonts w:ascii="Times New Roman" w:hAnsi="Times New Roman" w:cs="Times New Roman"/>
          <w:b/>
          <w:bCs/>
          <w:sz w:val="28"/>
          <w:szCs w:val="28"/>
        </w:rPr>
        <w:t>Effect of Licensing Exemptions</w:t>
      </w:r>
      <w:r w:rsidR="00C548FA">
        <w:rPr>
          <w:rFonts w:ascii="Times New Roman" w:hAnsi="Times New Roman" w:cs="Times New Roman"/>
          <w:b/>
          <w:bCs/>
          <w:sz w:val="28"/>
          <w:szCs w:val="28"/>
        </w:rPr>
        <w:t>)</w:t>
      </w:r>
      <w:r w:rsidR="00BA64B9">
        <w:rPr>
          <w:rFonts w:ascii="Times New Roman" w:hAnsi="Times New Roman" w:cs="Times New Roman"/>
          <w:b/>
          <w:bCs/>
          <w:sz w:val="28"/>
          <w:szCs w:val="28"/>
        </w:rPr>
        <w:t xml:space="preserve"> </w:t>
      </w:r>
      <w:r w:rsidR="00D176C2" w:rsidRPr="00277675">
        <w:rPr>
          <w:rFonts w:ascii="Times New Roman" w:hAnsi="Times New Roman" w:cs="Times New Roman"/>
          <w:b/>
          <w:bCs/>
          <w:sz w:val="28"/>
          <w:szCs w:val="28"/>
        </w:rPr>
        <w:t>I</w:t>
      </w:r>
      <w:r w:rsidR="00BA64B9">
        <w:rPr>
          <w:rFonts w:ascii="Times New Roman" w:hAnsi="Times New Roman" w:cs="Times New Roman"/>
          <w:b/>
          <w:bCs/>
          <w:sz w:val="28"/>
          <w:szCs w:val="28"/>
        </w:rPr>
        <w:t>nstrument 2015/</w:t>
      </w:r>
      <w:r w:rsidR="00992848">
        <w:rPr>
          <w:rFonts w:ascii="Times New Roman" w:hAnsi="Times New Roman" w:cs="Times New Roman"/>
          <w:b/>
          <w:bCs/>
          <w:sz w:val="28"/>
          <w:szCs w:val="28"/>
        </w:rPr>
        <w:t>1115</w:t>
      </w:r>
    </w:p>
    <w:p w14:paraId="774A4434" w14:textId="77777777" w:rsidR="00FA277E" w:rsidRPr="00277675" w:rsidRDefault="00FA277E" w:rsidP="00FA277E">
      <w:pPr>
        <w:jc w:val="center"/>
        <w:rPr>
          <w:rFonts w:ascii="Times New Roman" w:hAnsi="Times New Roman" w:cs="Times New Roman"/>
          <w:sz w:val="28"/>
          <w:szCs w:val="28"/>
        </w:rPr>
      </w:pPr>
      <w:r w:rsidRPr="00277675">
        <w:rPr>
          <w:rFonts w:ascii="Times New Roman" w:hAnsi="Times New Roman" w:cs="Times New Roman"/>
          <w:b/>
          <w:bCs/>
          <w:sz w:val="28"/>
          <w:szCs w:val="28"/>
        </w:rPr>
        <w:t>EXPLANATORY STATEMENT</w:t>
      </w:r>
    </w:p>
    <w:p w14:paraId="77277845" w14:textId="77777777" w:rsidR="00FA277E" w:rsidRPr="00277675" w:rsidRDefault="00FA277E" w:rsidP="00FA277E">
      <w:pPr>
        <w:jc w:val="center"/>
        <w:rPr>
          <w:rFonts w:ascii="Times New Roman" w:hAnsi="Times New Roman" w:cs="Times New Roman"/>
          <w:sz w:val="24"/>
          <w:szCs w:val="24"/>
        </w:rPr>
      </w:pPr>
      <w:r w:rsidRPr="00277675">
        <w:rPr>
          <w:rFonts w:ascii="Times New Roman" w:hAnsi="Times New Roman" w:cs="Times New Roman"/>
          <w:sz w:val="24"/>
          <w:szCs w:val="24"/>
        </w:rPr>
        <w:t>Prepared by the Australian Securi</w:t>
      </w:r>
      <w:r w:rsidR="00741143" w:rsidRPr="00277675">
        <w:rPr>
          <w:rFonts w:ascii="Times New Roman" w:hAnsi="Times New Roman" w:cs="Times New Roman"/>
          <w:sz w:val="24"/>
          <w:szCs w:val="24"/>
        </w:rPr>
        <w:t>ties and Investments Commission</w:t>
      </w:r>
    </w:p>
    <w:p w14:paraId="403DF929" w14:textId="77777777" w:rsidR="00FA277E" w:rsidRPr="00277675" w:rsidRDefault="00FA277E" w:rsidP="00FA277E">
      <w:pPr>
        <w:jc w:val="center"/>
        <w:rPr>
          <w:rFonts w:ascii="Times New Roman" w:hAnsi="Times New Roman" w:cs="Times New Roman"/>
          <w:sz w:val="24"/>
          <w:szCs w:val="24"/>
        </w:rPr>
      </w:pPr>
      <w:r w:rsidRPr="00277675">
        <w:rPr>
          <w:rFonts w:ascii="Times New Roman" w:hAnsi="Times New Roman" w:cs="Times New Roman"/>
          <w:i/>
          <w:iCs/>
          <w:sz w:val="24"/>
          <w:szCs w:val="24"/>
        </w:rPr>
        <w:t>Corporations Act 2001</w:t>
      </w:r>
    </w:p>
    <w:p w14:paraId="3088B5B8" w14:textId="44DFFC84" w:rsidR="00BA64B9" w:rsidRDefault="00C71094" w:rsidP="00BA64B9">
      <w:pPr>
        <w:rPr>
          <w:rFonts w:ascii="Times New Roman" w:hAnsi="Times New Roman" w:cs="Times New Roman"/>
          <w:sz w:val="24"/>
          <w:szCs w:val="24"/>
        </w:rPr>
      </w:pPr>
      <w:r w:rsidRPr="00277675">
        <w:rPr>
          <w:rFonts w:ascii="Times New Roman" w:hAnsi="Times New Roman" w:cs="Times New Roman"/>
          <w:sz w:val="24"/>
          <w:szCs w:val="24"/>
        </w:rPr>
        <w:t>The Australian Securities and Investments Commission (</w:t>
      </w:r>
      <w:r w:rsidRPr="00277675">
        <w:rPr>
          <w:rFonts w:ascii="Times New Roman" w:hAnsi="Times New Roman" w:cs="Times New Roman"/>
          <w:b/>
          <w:bCs/>
          <w:i/>
          <w:iCs/>
          <w:sz w:val="24"/>
          <w:szCs w:val="24"/>
        </w:rPr>
        <w:t>ASIC</w:t>
      </w:r>
      <w:r w:rsidRPr="00277675">
        <w:rPr>
          <w:rFonts w:ascii="Times New Roman" w:hAnsi="Times New Roman" w:cs="Times New Roman"/>
          <w:sz w:val="24"/>
          <w:szCs w:val="24"/>
        </w:rPr>
        <w:t>) makes</w:t>
      </w:r>
      <w:r w:rsidR="004F7AB9" w:rsidRPr="00277675">
        <w:rPr>
          <w:rFonts w:ascii="Times New Roman" w:hAnsi="Times New Roman" w:cs="Times New Roman"/>
          <w:sz w:val="24"/>
          <w:szCs w:val="24"/>
        </w:rPr>
        <w:t xml:space="preserve"> </w:t>
      </w:r>
      <w:r w:rsidR="004F7AB9" w:rsidRPr="00C548FA">
        <w:rPr>
          <w:rFonts w:ascii="Times New Roman" w:hAnsi="Times New Roman" w:cs="Times New Roman"/>
          <w:i/>
          <w:sz w:val="24"/>
          <w:szCs w:val="24"/>
        </w:rPr>
        <w:t>A</w:t>
      </w:r>
      <w:r w:rsidR="008E18F2" w:rsidRPr="00C548FA">
        <w:rPr>
          <w:rFonts w:ascii="Times New Roman" w:hAnsi="Times New Roman" w:cs="Times New Roman"/>
          <w:i/>
          <w:sz w:val="24"/>
          <w:szCs w:val="24"/>
        </w:rPr>
        <w:t>SIC</w:t>
      </w:r>
      <w:r w:rsidR="004F7AB9" w:rsidRPr="00C548FA">
        <w:rPr>
          <w:rFonts w:ascii="Times New Roman" w:hAnsi="Times New Roman" w:cs="Times New Roman"/>
          <w:i/>
          <w:sz w:val="24"/>
          <w:szCs w:val="24"/>
        </w:rPr>
        <w:t xml:space="preserve"> </w:t>
      </w:r>
      <w:r w:rsidR="00D176C2" w:rsidRPr="00C548FA">
        <w:rPr>
          <w:rFonts w:ascii="Times New Roman" w:hAnsi="Times New Roman" w:cs="Times New Roman"/>
          <w:i/>
          <w:sz w:val="24"/>
          <w:szCs w:val="24"/>
        </w:rPr>
        <w:t>Corporations (</w:t>
      </w:r>
      <w:r w:rsidR="00992848">
        <w:rPr>
          <w:rFonts w:ascii="Times New Roman" w:hAnsi="Times New Roman" w:cs="Times New Roman"/>
          <w:i/>
          <w:sz w:val="24"/>
          <w:szCs w:val="24"/>
        </w:rPr>
        <w:t>Effect of Licensing Exemptions</w:t>
      </w:r>
      <w:r w:rsidR="00D176C2" w:rsidRPr="00C548FA">
        <w:rPr>
          <w:rFonts w:ascii="Times New Roman" w:hAnsi="Times New Roman" w:cs="Times New Roman"/>
          <w:i/>
          <w:sz w:val="24"/>
          <w:szCs w:val="24"/>
        </w:rPr>
        <w:t>) Instrument 2015</w:t>
      </w:r>
      <w:r w:rsidR="0088604D" w:rsidRPr="00C548FA">
        <w:rPr>
          <w:rFonts w:ascii="Times New Roman" w:hAnsi="Times New Roman" w:cs="Times New Roman"/>
          <w:i/>
          <w:sz w:val="24"/>
          <w:szCs w:val="24"/>
        </w:rPr>
        <w:t>/</w:t>
      </w:r>
      <w:r w:rsidR="00992848">
        <w:rPr>
          <w:rFonts w:ascii="Times New Roman" w:hAnsi="Times New Roman" w:cs="Times New Roman"/>
          <w:i/>
          <w:sz w:val="24"/>
          <w:szCs w:val="24"/>
        </w:rPr>
        <w:t>1115</w:t>
      </w:r>
      <w:r w:rsidR="004F7AB9" w:rsidRPr="00277675">
        <w:rPr>
          <w:rFonts w:ascii="Times New Roman" w:hAnsi="Times New Roman" w:cs="Times New Roman"/>
          <w:sz w:val="24"/>
          <w:szCs w:val="24"/>
        </w:rPr>
        <w:t xml:space="preserve"> </w:t>
      </w:r>
      <w:r w:rsidRPr="00277675">
        <w:rPr>
          <w:rFonts w:ascii="Times New Roman" w:hAnsi="Times New Roman" w:cs="Times New Roman"/>
          <w:sz w:val="24"/>
          <w:szCs w:val="24"/>
        </w:rPr>
        <w:t xml:space="preserve">under </w:t>
      </w:r>
      <w:r w:rsidR="00AE7D20">
        <w:rPr>
          <w:rFonts w:ascii="Times New Roman" w:hAnsi="Times New Roman" w:cs="Times New Roman"/>
          <w:sz w:val="24"/>
          <w:szCs w:val="24"/>
        </w:rPr>
        <w:t>sub</w:t>
      </w:r>
      <w:r w:rsidRPr="00277675">
        <w:rPr>
          <w:rFonts w:ascii="Times New Roman" w:hAnsi="Times New Roman" w:cs="Times New Roman"/>
          <w:sz w:val="24"/>
          <w:szCs w:val="24"/>
        </w:rPr>
        <w:t>section</w:t>
      </w:r>
      <w:r w:rsidR="00C548FA">
        <w:rPr>
          <w:rFonts w:ascii="Times New Roman" w:hAnsi="Times New Roman" w:cs="Times New Roman"/>
          <w:sz w:val="24"/>
          <w:szCs w:val="24"/>
        </w:rPr>
        <w:t xml:space="preserve"> </w:t>
      </w:r>
      <w:r w:rsidR="00AE7D20">
        <w:rPr>
          <w:rFonts w:ascii="Times New Roman" w:hAnsi="Times New Roman" w:cs="Times New Roman"/>
          <w:sz w:val="24"/>
          <w:szCs w:val="24"/>
        </w:rPr>
        <w:t xml:space="preserve">926A(2) of the </w:t>
      </w:r>
      <w:r w:rsidRPr="00277675">
        <w:rPr>
          <w:rFonts w:ascii="Times New Roman" w:hAnsi="Times New Roman" w:cs="Times New Roman"/>
          <w:i/>
          <w:iCs/>
          <w:sz w:val="24"/>
          <w:szCs w:val="24"/>
        </w:rPr>
        <w:t xml:space="preserve">Corporations Act 2001 </w:t>
      </w:r>
      <w:r w:rsidRPr="00277675">
        <w:rPr>
          <w:rFonts w:ascii="Times New Roman" w:hAnsi="Times New Roman" w:cs="Times New Roman"/>
          <w:sz w:val="24"/>
          <w:szCs w:val="24"/>
        </w:rPr>
        <w:t xml:space="preserve">(the </w:t>
      </w:r>
      <w:r w:rsidRPr="00277675">
        <w:rPr>
          <w:rFonts w:ascii="Times New Roman" w:hAnsi="Times New Roman" w:cs="Times New Roman"/>
          <w:b/>
          <w:bCs/>
          <w:i/>
          <w:iCs/>
          <w:sz w:val="24"/>
          <w:szCs w:val="24"/>
        </w:rPr>
        <w:t>Act</w:t>
      </w:r>
      <w:r w:rsidRPr="00277675">
        <w:rPr>
          <w:rFonts w:ascii="Times New Roman" w:hAnsi="Times New Roman" w:cs="Times New Roman"/>
          <w:sz w:val="24"/>
          <w:szCs w:val="24"/>
        </w:rPr>
        <w:t xml:space="preserve">). </w:t>
      </w:r>
      <w:r w:rsidR="005A0102" w:rsidRPr="00277675">
        <w:rPr>
          <w:rFonts w:ascii="Times New Roman" w:hAnsi="Times New Roman" w:cs="Times New Roman"/>
          <w:sz w:val="24"/>
          <w:szCs w:val="24"/>
        </w:rPr>
        <w:t xml:space="preserve"> </w:t>
      </w:r>
    </w:p>
    <w:p w14:paraId="3EEAB7A3" w14:textId="504D69C8" w:rsidR="00A879B9" w:rsidRDefault="00AE7D20" w:rsidP="003556E0">
      <w:pPr>
        <w:rPr>
          <w:rFonts w:ascii="Times New Roman" w:hAnsi="Times New Roman" w:cs="Times New Roman"/>
          <w:iCs/>
          <w:sz w:val="24"/>
          <w:szCs w:val="24"/>
        </w:rPr>
      </w:pPr>
      <w:r>
        <w:rPr>
          <w:rFonts w:ascii="Times New Roman" w:hAnsi="Times New Roman" w:cs="Times New Roman"/>
          <w:iCs/>
          <w:sz w:val="24"/>
          <w:szCs w:val="24"/>
        </w:rPr>
        <w:t xml:space="preserve">Part 7.6 of the Act contains a licensing framework </w:t>
      </w:r>
      <w:r w:rsidR="00A879B9">
        <w:rPr>
          <w:rFonts w:ascii="Times New Roman" w:hAnsi="Times New Roman" w:cs="Times New Roman"/>
          <w:iCs/>
          <w:sz w:val="24"/>
          <w:szCs w:val="24"/>
        </w:rPr>
        <w:t xml:space="preserve">for </w:t>
      </w:r>
      <w:r>
        <w:rPr>
          <w:rFonts w:ascii="Times New Roman" w:hAnsi="Times New Roman" w:cs="Times New Roman"/>
          <w:iCs/>
          <w:sz w:val="24"/>
          <w:szCs w:val="24"/>
        </w:rPr>
        <w:t>persons who carry on a financial</w:t>
      </w:r>
      <w:r w:rsidR="00A879B9">
        <w:rPr>
          <w:rFonts w:ascii="Times New Roman" w:hAnsi="Times New Roman" w:cs="Times New Roman"/>
          <w:iCs/>
          <w:sz w:val="24"/>
          <w:szCs w:val="24"/>
        </w:rPr>
        <w:t> </w:t>
      </w:r>
      <w:r>
        <w:rPr>
          <w:rFonts w:ascii="Times New Roman" w:hAnsi="Times New Roman" w:cs="Times New Roman"/>
          <w:iCs/>
          <w:sz w:val="24"/>
          <w:szCs w:val="24"/>
        </w:rPr>
        <w:t>services business</w:t>
      </w:r>
      <w:r w:rsidR="00A879B9">
        <w:rPr>
          <w:rFonts w:ascii="Times New Roman" w:hAnsi="Times New Roman" w:cs="Times New Roman"/>
          <w:iCs/>
          <w:sz w:val="24"/>
          <w:szCs w:val="24"/>
        </w:rPr>
        <w:t xml:space="preserve"> in this jurisdiction</w:t>
      </w:r>
      <w:r>
        <w:rPr>
          <w:rFonts w:ascii="Times New Roman" w:hAnsi="Times New Roman" w:cs="Times New Roman"/>
          <w:iCs/>
          <w:sz w:val="24"/>
          <w:szCs w:val="24"/>
        </w:rPr>
        <w:t xml:space="preserve">. </w:t>
      </w:r>
      <w:r w:rsidR="00A879B9">
        <w:rPr>
          <w:rFonts w:ascii="Times New Roman" w:hAnsi="Times New Roman" w:cs="Times New Roman"/>
          <w:iCs/>
          <w:sz w:val="24"/>
          <w:szCs w:val="24"/>
        </w:rPr>
        <w:t>S</w:t>
      </w:r>
      <w:r>
        <w:rPr>
          <w:rFonts w:ascii="Times New Roman" w:hAnsi="Times New Roman" w:cs="Times New Roman"/>
          <w:iCs/>
          <w:sz w:val="24"/>
          <w:szCs w:val="24"/>
        </w:rPr>
        <w:t xml:space="preserve">ubsection 926A(2) </w:t>
      </w:r>
      <w:r w:rsidR="00A879B9">
        <w:rPr>
          <w:rFonts w:ascii="Times New Roman" w:hAnsi="Times New Roman" w:cs="Times New Roman"/>
          <w:iCs/>
          <w:sz w:val="24"/>
          <w:szCs w:val="24"/>
        </w:rPr>
        <w:t xml:space="preserve">of the Act </w:t>
      </w:r>
      <w:r>
        <w:rPr>
          <w:rFonts w:ascii="Times New Roman" w:hAnsi="Times New Roman" w:cs="Times New Roman"/>
          <w:iCs/>
          <w:sz w:val="24"/>
          <w:szCs w:val="24"/>
        </w:rPr>
        <w:t>provides that ASIC may</w:t>
      </w:r>
      <w:r w:rsidR="00A879B9">
        <w:rPr>
          <w:rFonts w:ascii="Times New Roman" w:hAnsi="Times New Roman" w:cs="Times New Roman"/>
          <w:iCs/>
          <w:sz w:val="24"/>
          <w:szCs w:val="24"/>
        </w:rPr>
        <w:t xml:space="preserve"> </w:t>
      </w:r>
      <w:r>
        <w:rPr>
          <w:rFonts w:ascii="Times New Roman" w:hAnsi="Times New Roman" w:cs="Times New Roman"/>
          <w:iCs/>
          <w:sz w:val="24"/>
          <w:szCs w:val="24"/>
        </w:rPr>
        <w:t>exempt a class of</w:t>
      </w:r>
      <w:r w:rsidR="00A879B9">
        <w:rPr>
          <w:rFonts w:ascii="Times New Roman" w:hAnsi="Times New Roman" w:cs="Times New Roman"/>
          <w:iCs/>
          <w:sz w:val="24"/>
          <w:szCs w:val="24"/>
        </w:rPr>
        <w:t xml:space="preserve"> persons from Part 7.6 of the Act (other than Divisions 4 and 8). The sub</w:t>
      </w:r>
      <w:r w:rsidR="00A879B9">
        <w:rPr>
          <w:rFonts w:ascii="Times New Roman" w:hAnsi="Times New Roman" w:cs="Times New Roman"/>
          <w:iCs/>
          <w:sz w:val="24"/>
          <w:szCs w:val="24"/>
        </w:rPr>
        <w:t xml:space="preserve">section </w:t>
      </w:r>
      <w:r w:rsidR="00A879B9">
        <w:rPr>
          <w:rFonts w:ascii="Times New Roman" w:hAnsi="Times New Roman" w:cs="Times New Roman"/>
          <w:iCs/>
          <w:sz w:val="24"/>
          <w:szCs w:val="24"/>
        </w:rPr>
        <w:t xml:space="preserve">also </w:t>
      </w:r>
      <w:r w:rsidR="00A879B9">
        <w:rPr>
          <w:rFonts w:ascii="Times New Roman" w:hAnsi="Times New Roman" w:cs="Times New Roman"/>
          <w:iCs/>
          <w:sz w:val="24"/>
          <w:szCs w:val="24"/>
        </w:rPr>
        <w:t xml:space="preserve">provides that ASIC may, among other things, </w:t>
      </w:r>
      <w:r w:rsidR="00A879B9">
        <w:rPr>
          <w:rFonts w:ascii="Times New Roman" w:hAnsi="Times New Roman" w:cs="Times New Roman"/>
          <w:iCs/>
          <w:sz w:val="24"/>
          <w:szCs w:val="24"/>
        </w:rPr>
        <w:t xml:space="preserve">declare that Part 7.6 of the Act (other than Divisions 4 and 8) applies in relation to a class of persons as if specified provisions were modified or varied as specified in the declaration. </w:t>
      </w:r>
    </w:p>
    <w:p w14:paraId="4E39CD5A" w14:textId="007EB30B" w:rsidR="00FA277E" w:rsidRPr="00277675" w:rsidRDefault="0086790D" w:rsidP="0086790D">
      <w:pPr>
        <w:keepNext/>
        <w:ind w:left="567" w:hanging="567"/>
        <w:rPr>
          <w:rFonts w:ascii="Times New Roman" w:hAnsi="Times New Roman" w:cs="Times New Roman"/>
          <w:b/>
          <w:sz w:val="24"/>
          <w:szCs w:val="24"/>
        </w:rPr>
      </w:pPr>
      <w:r w:rsidRPr="00277675">
        <w:rPr>
          <w:rFonts w:ascii="Times New Roman" w:hAnsi="Times New Roman" w:cs="Times New Roman"/>
          <w:b/>
          <w:sz w:val="24"/>
          <w:szCs w:val="24"/>
        </w:rPr>
        <w:t>1.</w:t>
      </w:r>
      <w:r w:rsidRPr="00277675">
        <w:rPr>
          <w:rFonts w:ascii="Times New Roman" w:hAnsi="Times New Roman" w:cs="Times New Roman"/>
          <w:b/>
          <w:sz w:val="24"/>
          <w:szCs w:val="24"/>
        </w:rPr>
        <w:tab/>
      </w:r>
      <w:r w:rsidR="00B40240" w:rsidRPr="00277675">
        <w:rPr>
          <w:rFonts w:ascii="Times New Roman" w:hAnsi="Times New Roman" w:cs="Times New Roman"/>
          <w:b/>
          <w:sz w:val="24"/>
          <w:szCs w:val="24"/>
        </w:rPr>
        <w:t>Background</w:t>
      </w:r>
    </w:p>
    <w:p w14:paraId="5F5E6600" w14:textId="779B00FC" w:rsidR="00F45DA6" w:rsidRDefault="00F45DA6" w:rsidP="003556E0">
      <w:pPr>
        <w:rPr>
          <w:rFonts w:ascii="Times New Roman" w:hAnsi="Times New Roman" w:cs="Times New Roman"/>
          <w:iCs/>
          <w:sz w:val="24"/>
          <w:szCs w:val="24"/>
        </w:rPr>
      </w:pPr>
      <w:r>
        <w:rPr>
          <w:rFonts w:ascii="Times New Roman" w:hAnsi="Times New Roman" w:cs="Times New Roman"/>
          <w:iCs/>
          <w:sz w:val="24"/>
          <w:szCs w:val="24"/>
        </w:rPr>
        <w:t xml:space="preserve">Subsection 911A(1) of the Act provides that a person who carries on a financial services business in this jurisdiction  must hold an Australian financial services licence covering the provision of the financial services.       </w:t>
      </w:r>
    </w:p>
    <w:p w14:paraId="019A764B" w14:textId="04D6D852" w:rsidR="00A879B9" w:rsidRDefault="00A879B9" w:rsidP="003556E0">
      <w:pPr>
        <w:rPr>
          <w:rFonts w:ascii="Times New Roman" w:hAnsi="Times New Roman" w:cs="Times New Roman"/>
          <w:iCs/>
          <w:sz w:val="24"/>
          <w:szCs w:val="24"/>
        </w:rPr>
      </w:pPr>
      <w:r>
        <w:rPr>
          <w:rFonts w:ascii="Times New Roman" w:hAnsi="Times New Roman" w:cs="Times New Roman"/>
          <w:iCs/>
          <w:sz w:val="24"/>
          <w:szCs w:val="24"/>
        </w:rPr>
        <w:t xml:space="preserve">ASIC has two </w:t>
      </w:r>
      <w:r w:rsidR="00CA7FD2">
        <w:rPr>
          <w:rFonts w:ascii="Times New Roman" w:hAnsi="Times New Roman" w:cs="Times New Roman"/>
          <w:iCs/>
          <w:sz w:val="24"/>
          <w:szCs w:val="24"/>
        </w:rPr>
        <w:t xml:space="preserve">independent </w:t>
      </w:r>
      <w:r>
        <w:rPr>
          <w:rFonts w:ascii="Times New Roman" w:hAnsi="Times New Roman" w:cs="Times New Roman"/>
          <w:iCs/>
          <w:sz w:val="24"/>
          <w:szCs w:val="24"/>
        </w:rPr>
        <w:t xml:space="preserve">sources of power in Part 7.6 of the Act to grant an exemption to a person or </w:t>
      </w:r>
      <w:r w:rsidR="00D87219">
        <w:rPr>
          <w:rFonts w:ascii="Times New Roman" w:hAnsi="Times New Roman" w:cs="Times New Roman"/>
          <w:iCs/>
          <w:sz w:val="24"/>
          <w:szCs w:val="24"/>
        </w:rPr>
        <w:t xml:space="preserve">a </w:t>
      </w:r>
      <w:r>
        <w:rPr>
          <w:rFonts w:ascii="Times New Roman" w:hAnsi="Times New Roman" w:cs="Times New Roman"/>
          <w:iCs/>
          <w:sz w:val="24"/>
          <w:szCs w:val="24"/>
        </w:rPr>
        <w:t xml:space="preserve">class of persons from the requirement to hold an Australian financial services licence covering the provision of financial </w:t>
      </w:r>
      <w:r w:rsidR="00F45DA6">
        <w:rPr>
          <w:rFonts w:ascii="Times New Roman" w:hAnsi="Times New Roman" w:cs="Times New Roman"/>
          <w:iCs/>
          <w:sz w:val="24"/>
          <w:szCs w:val="24"/>
        </w:rPr>
        <w:t xml:space="preserve">services. The sources of power are: </w:t>
      </w:r>
      <w:r>
        <w:rPr>
          <w:rFonts w:ascii="Times New Roman" w:hAnsi="Times New Roman" w:cs="Times New Roman"/>
          <w:iCs/>
          <w:sz w:val="24"/>
          <w:szCs w:val="24"/>
        </w:rPr>
        <w:t xml:space="preserve"> </w:t>
      </w:r>
    </w:p>
    <w:p w14:paraId="51454C73" w14:textId="1AB475C1" w:rsidR="00A879B9" w:rsidRDefault="00A879B9" w:rsidP="00A879B9">
      <w:pPr>
        <w:ind w:left="567" w:hanging="567"/>
        <w:rPr>
          <w:rFonts w:ascii="Times New Roman" w:hAnsi="Times New Roman" w:cs="Times New Roman"/>
          <w:iCs/>
          <w:sz w:val="24"/>
          <w:szCs w:val="24"/>
        </w:rPr>
      </w:pPr>
      <w:r>
        <w:rPr>
          <w:rFonts w:ascii="Times New Roman" w:hAnsi="Times New Roman" w:cs="Times New Roman"/>
          <w:iCs/>
          <w:sz w:val="24"/>
          <w:szCs w:val="24"/>
        </w:rPr>
        <w:t>(a)</w:t>
      </w:r>
      <w:r>
        <w:rPr>
          <w:rFonts w:ascii="Times New Roman" w:hAnsi="Times New Roman" w:cs="Times New Roman"/>
          <w:iCs/>
          <w:sz w:val="24"/>
          <w:szCs w:val="24"/>
        </w:rPr>
        <w:tab/>
        <w:t xml:space="preserve">      paragraphs 911A(2)(h) and (l) of the Act; and </w:t>
      </w:r>
    </w:p>
    <w:p w14:paraId="1FDF3D1F" w14:textId="73F184C2" w:rsidR="00A879B9" w:rsidRPr="00A879B9" w:rsidRDefault="00A879B9" w:rsidP="00A879B9">
      <w:pPr>
        <w:ind w:left="567" w:hanging="567"/>
        <w:rPr>
          <w:rFonts w:ascii="Times New Roman" w:hAnsi="Times New Roman" w:cs="Times New Roman"/>
          <w:iCs/>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Cs/>
          <w:sz w:val="24"/>
          <w:szCs w:val="24"/>
        </w:rPr>
        <w:tab/>
        <w:t xml:space="preserve">   subsection 926A(2) of the Act. </w:t>
      </w:r>
    </w:p>
    <w:p w14:paraId="5F4CCBDE" w14:textId="3B43ABAE" w:rsidR="001014E4" w:rsidRDefault="00EB6D5F" w:rsidP="003556E0">
      <w:pPr>
        <w:rPr>
          <w:rFonts w:ascii="Times New Roman" w:hAnsi="Times New Roman" w:cs="Times New Roman"/>
          <w:iCs/>
          <w:sz w:val="24"/>
          <w:szCs w:val="24"/>
        </w:rPr>
      </w:pPr>
      <w:r>
        <w:rPr>
          <w:rFonts w:ascii="Times New Roman" w:hAnsi="Times New Roman" w:cs="Times New Roman"/>
          <w:iCs/>
          <w:sz w:val="24"/>
          <w:szCs w:val="24"/>
        </w:rPr>
        <w:t>Subs</w:t>
      </w:r>
      <w:r w:rsidR="00F45DA6">
        <w:rPr>
          <w:rFonts w:ascii="Times New Roman" w:hAnsi="Times New Roman" w:cs="Times New Roman"/>
          <w:iCs/>
          <w:sz w:val="24"/>
          <w:szCs w:val="24"/>
        </w:rPr>
        <w:t>ection 911B</w:t>
      </w:r>
      <w:r>
        <w:rPr>
          <w:rFonts w:ascii="Times New Roman" w:hAnsi="Times New Roman" w:cs="Times New Roman"/>
          <w:iCs/>
          <w:sz w:val="24"/>
          <w:szCs w:val="24"/>
        </w:rPr>
        <w:t xml:space="preserve">(1) </w:t>
      </w:r>
      <w:r w:rsidR="00F45DA6">
        <w:rPr>
          <w:rFonts w:ascii="Times New Roman" w:hAnsi="Times New Roman" w:cs="Times New Roman"/>
          <w:iCs/>
          <w:sz w:val="24"/>
          <w:szCs w:val="24"/>
        </w:rPr>
        <w:t xml:space="preserve">of the Act provides that a person (the </w:t>
      </w:r>
      <w:r w:rsidR="00F45DA6" w:rsidRPr="00F45DA6">
        <w:rPr>
          <w:rFonts w:ascii="Times New Roman" w:hAnsi="Times New Roman" w:cs="Times New Roman"/>
          <w:b/>
          <w:i/>
          <w:iCs/>
          <w:sz w:val="24"/>
          <w:szCs w:val="24"/>
        </w:rPr>
        <w:t>provider</w:t>
      </w:r>
      <w:r w:rsidR="00F45DA6">
        <w:rPr>
          <w:rFonts w:ascii="Times New Roman" w:hAnsi="Times New Roman" w:cs="Times New Roman"/>
          <w:iCs/>
          <w:sz w:val="24"/>
          <w:szCs w:val="24"/>
        </w:rPr>
        <w:t xml:space="preserve">) must only provide a financial service in this jurisdiction on behalf of another person (the </w:t>
      </w:r>
      <w:r w:rsidR="00F45DA6" w:rsidRPr="00F45DA6">
        <w:rPr>
          <w:rFonts w:ascii="Times New Roman" w:hAnsi="Times New Roman" w:cs="Times New Roman"/>
          <w:b/>
          <w:i/>
          <w:iCs/>
          <w:sz w:val="24"/>
          <w:szCs w:val="24"/>
        </w:rPr>
        <w:t>principal</w:t>
      </w:r>
      <w:r w:rsidR="00F45DA6">
        <w:rPr>
          <w:rFonts w:ascii="Times New Roman" w:hAnsi="Times New Roman" w:cs="Times New Roman"/>
          <w:iCs/>
          <w:sz w:val="24"/>
          <w:szCs w:val="24"/>
        </w:rPr>
        <w:t xml:space="preserve">) who carries on a financial services business in certain circumstances. </w:t>
      </w:r>
    </w:p>
    <w:p w14:paraId="3759633C" w14:textId="1144BF5D" w:rsidR="001014E4" w:rsidRDefault="00F45DA6" w:rsidP="003556E0">
      <w:pPr>
        <w:rPr>
          <w:rFonts w:ascii="Times New Roman" w:hAnsi="Times New Roman" w:cs="Times New Roman"/>
          <w:iCs/>
          <w:sz w:val="24"/>
          <w:szCs w:val="24"/>
        </w:rPr>
      </w:pPr>
      <w:r>
        <w:rPr>
          <w:rFonts w:ascii="Times New Roman" w:hAnsi="Times New Roman" w:cs="Times New Roman"/>
          <w:iCs/>
          <w:sz w:val="24"/>
          <w:szCs w:val="24"/>
        </w:rPr>
        <w:t xml:space="preserve">Under paragraph 911B(1)(e), one such circumstance is where, if the principal (rather than the provider) provided the service, the principal would not need an Australian financial services licence because the provision of the </w:t>
      </w:r>
      <w:r w:rsidR="001014E4">
        <w:rPr>
          <w:rFonts w:ascii="Times New Roman" w:hAnsi="Times New Roman" w:cs="Times New Roman"/>
          <w:iCs/>
          <w:sz w:val="24"/>
          <w:szCs w:val="24"/>
        </w:rPr>
        <w:t xml:space="preserve">financial </w:t>
      </w:r>
      <w:r>
        <w:rPr>
          <w:rFonts w:ascii="Times New Roman" w:hAnsi="Times New Roman" w:cs="Times New Roman"/>
          <w:iCs/>
          <w:sz w:val="24"/>
          <w:szCs w:val="24"/>
        </w:rPr>
        <w:t>service would be exempt under subsection</w:t>
      </w:r>
      <w:r w:rsidR="001014E4">
        <w:rPr>
          <w:rFonts w:ascii="Times New Roman" w:hAnsi="Times New Roman" w:cs="Times New Roman"/>
          <w:iCs/>
          <w:sz w:val="24"/>
          <w:szCs w:val="24"/>
        </w:rPr>
        <w:t> </w:t>
      </w:r>
      <w:r>
        <w:rPr>
          <w:rFonts w:ascii="Times New Roman" w:hAnsi="Times New Roman" w:cs="Times New Roman"/>
          <w:iCs/>
          <w:sz w:val="24"/>
          <w:szCs w:val="24"/>
        </w:rPr>
        <w:t xml:space="preserve">911A(2) of the Act. </w:t>
      </w:r>
      <w:r w:rsidR="001014E4">
        <w:rPr>
          <w:rFonts w:ascii="Times New Roman" w:hAnsi="Times New Roman" w:cs="Times New Roman"/>
          <w:iCs/>
          <w:sz w:val="24"/>
          <w:szCs w:val="24"/>
        </w:rPr>
        <w:t xml:space="preserve">This would cover licensing exemptions granted by ASIC under </w:t>
      </w:r>
      <w:r w:rsidR="001014E4">
        <w:rPr>
          <w:rFonts w:ascii="Times New Roman" w:hAnsi="Times New Roman" w:cs="Times New Roman"/>
          <w:iCs/>
          <w:sz w:val="24"/>
          <w:szCs w:val="24"/>
        </w:rPr>
        <w:t>paragraphs 911A(2)(h) and (l) of the Act</w:t>
      </w:r>
      <w:r w:rsidR="001014E4">
        <w:rPr>
          <w:rFonts w:ascii="Times New Roman" w:hAnsi="Times New Roman" w:cs="Times New Roman"/>
          <w:iCs/>
          <w:sz w:val="24"/>
          <w:szCs w:val="24"/>
        </w:rPr>
        <w:t xml:space="preserve"> but would not cover licensing exemptions granted by ASIC under </w:t>
      </w:r>
      <w:r w:rsidR="001014E4">
        <w:rPr>
          <w:rFonts w:ascii="Times New Roman" w:hAnsi="Times New Roman" w:cs="Times New Roman"/>
          <w:iCs/>
          <w:sz w:val="24"/>
          <w:szCs w:val="24"/>
        </w:rPr>
        <w:t xml:space="preserve">subsection 926A(2) of the Act. </w:t>
      </w:r>
      <w:r w:rsidR="0005670C">
        <w:rPr>
          <w:rFonts w:ascii="Times New Roman" w:hAnsi="Times New Roman" w:cs="Times New Roman"/>
          <w:iCs/>
          <w:sz w:val="24"/>
          <w:szCs w:val="24"/>
        </w:rPr>
        <w:t xml:space="preserve">ASIC considers that to be an anomaly.    </w:t>
      </w:r>
    </w:p>
    <w:p w14:paraId="1CA0DB49" w14:textId="77777777" w:rsidR="00CA7FD2" w:rsidRDefault="00CA7FD2" w:rsidP="003556E0">
      <w:pPr>
        <w:rPr>
          <w:rFonts w:ascii="Times New Roman" w:hAnsi="Times New Roman" w:cs="Times New Roman"/>
          <w:iCs/>
          <w:sz w:val="24"/>
          <w:szCs w:val="24"/>
        </w:rPr>
      </w:pPr>
    </w:p>
    <w:p w14:paraId="62093EAF" w14:textId="77777777" w:rsidR="00CA7FD2" w:rsidRDefault="00CA7FD2" w:rsidP="003556E0">
      <w:pPr>
        <w:rPr>
          <w:rFonts w:ascii="Times New Roman" w:hAnsi="Times New Roman" w:cs="Times New Roman"/>
          <w:iCs/>
          <w:sz w:val="24"/>
          <w:szCs w:val="24"/>
        </w:rPr>
      </w:pPr>
    </w:p>
    <w:p w14:paraId="17B69E23" w14:textId="77777777" w:rsidR="00CA7FD2" w:rsidRDefault="00CA7FD2" w:rsidP="003556E0">
      <w:pPr>
        <w:rPr>
          <w:rFonts w:ascii="Times New Roman" w:hAnsi="Times New Roman" w:cs="Times New Roman"/>
          <w:iCs/>
          <w:sz w:val="24"/>
          <w:szCs w:val="24"/>
        </w:rPr>
      </w:pPr>
    </w:p>
    <w:p w14:paraId="7E5B2912" w14:textId="183C0160" w:rsidR="00990873" w:rsidRPr="00277675" w:rsidRDefault="0086790D" w:rsidP="0086790D">
      <w:pPr>
        <w:ind w:left="567" w:hanging="567"/>
        <w:rPr>
          <w:rFonts w:ascii="Times New Roman" w:hAnsi="Times New Roman" w:cs="Times New Roman"/>
          <w:b/>
          <w:sz w:val="24"/>
          <w:szCs w:val="24"/>
          <w:lang w:val="en-US"/>
        </w:rPr>
      </w:pPr>
      <w:r w:rsidRPr="00277675">
        <w:rPr>
          <w:rFonts w:ascii="Times New Roman" w:hAnsi="Times New Roman" w:cs="Times New Roman"/>
          <w:b/>
          <w:sz w:val="24"/>
          <w:szCs w:val="24"/>
          <w:lang w:val="en-US"/>
        </w:rPr>
        <w:lastRenderedPageBreak/>
        <w:t>2.</w:t>
      </w:r>
      <w:r w:rsidRPr="00277675">
        <w:rPr>
          <w:rFonts w:ascii="Times New Roman" w:hAnsi="Times New Roman" w:cs="Times New Roman"/>
          <w:b/>
          <w:sz w:val="24"/>
          <w:szCs w:val="24"/>
          <w:lang w:val="en-US"/>
        </w:rPr>
        <w:tab/>
      </w:r>
      <w:r w:rsidR="00D51EB9" w:rsidRPr="00277675">
        <w:rPr>
          <w:rFonts w:ascii="Times New Roman" w:hAnsi="Times New Roman" w:cs="Times New Roman"/>
          <w:b/>
          <w:sz w:val="24"/>
          <w:szCs w:val="24"/>
          <w:lang w:val="en-US"/>
        </w:rPr>
        <w:t xml:space="preserve">Purpose of the </w:t>
      </w:r>
      <w:r w:rsidR="00DE32D6">
        <w:rPr>
          <w:rFonts w:ascii="Times New Roman" w:hAnsi="Times New Roman" w:cs="Times New Roman"/>
          <w:b/>
          <w:sz w:val="24"/>
          <w:szCs w:val="24"/>
          <w:lang w:val="en-US"/>
        </w:rPr>
        <w:t>instrument</w:t>
      </w:r>
    </w:p>
    <w:p w14:paraId="648B3D35" w14:textId="5FE72C24" w:rsidR="003556E0" w:rsidRDefault="000F09CE" w:rsidP="00EE5FE1">
      <w:pPr>
        <w:rPr>
          <w:rFonts w:ascii="Times New Roman" w:hAnsi="Times New Roman" w:cs="Times New Roman"/>
          <w:sz w:val="24"/>
          <w:szCs w:val="24"/>
        </w:rPr>
      </w:pPr>
      <w:r w:rsidRPr="00F66008">
        <w:rPr>
          <w:rFonts w:ascii="Times New Roman" w:hAnsi="Times New Roman" w:cs="Times New Roman"/>
          <w:sz w:val="24"/>
          <w:szCs w:val="24"/>
        </w:rPr>
        <w:t>The purpose of</w:t>
      </w:r>
      <w:r w:rsidR="00805213" w:rsidRPr="00F66008">
        <w:rPr>
          <w:rFonts w:ascii="Times New Roman" w:hAnsi="Times New Roman" w:cs="Times New Roman"/>
          <w:sz w:val="24"/>
          <w:szCs w:val="24"/>
        </w:rPr>
        <w:t xml:space="preserve"> </w:t>
      </w:r>
      <w:r w:rsidR="00DE32D6" w:rsidRPr="00F66008">
        <w:rPr>
          <w:rFonts w:ascii="Times New Roman" w:hAnsi="Times New Roman" w:cs="Times New Roman"/>
          <w:sz w:val="24"/>
          <w:szCs w:val="24"/>
        </w:rPr>
        <w:t xml:space="preserve">the instrument </w:t>
      </w:r>
      <w:r w:rsidR="00805213" w:rsidRPr="00F66008">
        <w:rPr>
          <w:rFonts w:ascii="Times New Roman" w:hAnsi="Times New Roman" w:cs="Times New Roman"/>
          <w:sz w:val="24"/>
          <w:szCs w:val="24"/>
        </w:rPr>
        <w:t xml:space="preserve">is </w:t>
      </w:r>
      <w:r w:rsidR="009A630C">
        <w:rPr>
          <w:rFonts w:ascii="Times New Roman" w:hAnsi="Times New Roman" w:cs="Times New Roman"/>
          <w:sz w:val="24"/>
          <w:szCs w:val="24"/>
        </w:rPr>
        <w:t xml:space="preserve">to </w:t>
      </w:r>
      <w:r w:rsidR="001014E4">
        <w:rPr>
          <w:rFonts w:ascii="Times New Roman" w:hAnsi="Times New Roman" w:cs="Times New Roman"/>
          <w:sz w:val="24"/>
          <w:szCs w:val="24"/>
        </w:rPr>
        <w:t xml:space="preserve">ensure that </w:t>
      </w:r>
      <w:r w:rsidR="00EB6D5F">
        <w:rPr>
          <w:rFonts w:ascii="Times New Roman" w:hAnsi="Times New Roman" w:cs="Times New Roman"/>
          <w:sz w:val="24"/>
          <w:szCs w:val="24"/>
        </w:rPr>
        <w:t>sub</w:t>
      </w:r>
      <w:r w:rsidR="00CA7FD2">
        <w:rPr>
          <w:rFonts w:ascii="Times New Roman" w:hAnsi="Times New Roman" w:cs="Times New Roman"/>
          <w:sz w:val="24"/>
          <w:szCs w:val="24"/>
        </w:rPr>
        <w:t>section 911B</w:t>
      </w:r>
      <w:r w:rsidR="00EB6D5F">
        <w:rPr>
          <w:rFonts w:ascii="Times New Roman" w:hAnsi="Times New Roman" w:cs="Times New Roman"/>
          <w:sz w:val="24"/>
          <w:szCs w:val="24"/>
        </w:rPr>
        <w:t>(1)</w:t>
      </w:r>
      <w:r w:rsidR="00CA7FD2">
        <w:rPr>
          <w:rFonts w:ascii="Times New Roman" w:hAnsi="Times New Roman" w:cs="Times New Roman"/>
          <w:sz w:val="24"/>
          <w:szCs w:val="24"/>
        </w:rPr>
        <w:t xml:space="preserve"> of the Act </w:t>
      </w:r>
      <w:r w:rsidR="00D87219">
        <w:rPr>
          <w:rFonts w:ascii="Times New Roman" w:hAnsi="Times New Roman" w:cs="Times New Roman"/>
          <w:sz w:val="24"/>
          <w:szCs w:val="24"/>
        </w:rPr>
        <w:t xml:space="preserve">operates in the same way for any licensing exemption granted by ASIC, irrespective of the source of power used by ASIC to grant the exemption. </w:t>
      </w:r>
    </w:p>
    <w:p w14:paraId="6A571F97" w14:textId="0EB93B12" w:rsidR="00D51EB9" w:rsidRPr="00277675" w:rsidRDefault="00E92606" w:rsidP="00E92606">
      <w:pPr>
        <w:ind w:left="567" w:hanging="567"/>
        <w:rPr>
          <w:rFonts w:ascii="Times New Roman" w:hAnsi="Times New Roman" w:cs="Times New Roman"/>
          <w:b/>
          <w:sz w:val="24"/>
          <w:szCs w:val="24"/>
          <w:lang w:val="en-US"/>
        </w:rPr>
      </w:pPr>
      <w:r w:rsidRPr="00277675">
        <w:rPr>
          <w:rFonts w:ascii="Times New Roman" w:hAnsi="Times New Roman" w:cs="Times New Roman"/>
          <w:b/>
          <w:sz w:val="24"/>
          <w:szCs w:val="24"/>
          <w:lang w:val="en-US"/>
        </w:rPr>
        <w:t>3.</w:t>
      </w:r>
      <w:r w:rsidRPr="00277675">
        <w:rPr>
          <w:rFonts w:ascii="Times New Roman" w:hAnsi="Times New Roman" w:cs="Times New Roman"/>
          <w:b/>
          <w:sz w:val="24"/>
          <w:szCs w:val="24"/>
          <w:lang w:val="en-US"/>
        </w:rPr>
        <w:tab/>
      </w:r>
      <w:r w:rsidR="00D51EB9" w:rsidRPr="00277675">
        <w:rPr>
          <w:rFonts w:ascii="Times New Roman" w:hAnsi="Times New Roman" w:cs="Times New Roman"/>
          <w:b/>
          <w:sz w:val="24"/>
          <w:szCs w:val="24"/>
          <w:lang w:val="en-US"/>
        </w:rPr>
        <w:t xml:space="preserve">Operation of the </w:t>
      </w:r>
      <w:r w:rsidR="00285110">
        <w:rPr>
          <w:rFonts w:ascii="Times New Roman" w:hAnsi="Times New Roman" w:cs="Times New Roman"/>
          <w:b/>
          <w:sz w:val="24"/>
          <w:szCs w:val="24"/>
          <w:lang w:val="en-US"/>
        </w:rPr>
        <w:t>instrument</w:t>
      </w:r>
    </w:p>
    <w:p w14:paraId="0872F667" w14:textId="42955943" w:rsidR="00D87219" w:rsidRDefault="009A630C" w:rsidP="00D87219">
      <w:pPr>
        <w:rPr>
          <w:rFonts w:ascii="Times New Roman" w:hAnsi="Times New Roman" w:cs="Times New Roman"/>
          <w:sz w:val="24"/>
          <w:szCs w:val="24"/>
        </w:rPr>
      </w:pPr>
      <w:r>
        <w:rPr>
          <w:rFonts w:ascii="Times New Roman" w:hAnsi="Times New Roman" w:cs="Times New Roman"/>
          <w:sz w:val="24"/>
          <w:szCs w:val="24"/>
        </w:rPr>
        <w:t xml:space="preserve">The instrument </w:t>
      </w:r>
      <w:r w:rsidR="00EB6D5F">
        <w:rPr>
          <w:rFonts w:ascii="Times New Roman" w:hAnsi="Times New Roman" w:cs="Times New Roman"/>
          <w:sz w:val="24"/>
          <w:szCs w:val="24"/>
        </w:rPr>
        <w:t>inserts a new notional paragraph 911B(1)(da) into the Act which applies in relation to licensing exemptions granted by ASIC under subsection 926A(2) of the Act</w:t>
      </w:r>
      <w:r w:rsidR="00D87219">
        <w:rPr>
          <w:rFonts w:ascii="Times New Roman" w:hAnsi="Times New Roman" w:cs="Times New Roman"/>
          <w:sz w:val="24"/>
          <w:szCs w:val="24"/>
        </w:rPr>
        <w:t xml:space="preserve">. This </w:t>
      </w:r>
      <w:r w:rsidR="00EB6D5F">
        <w:rPr>
          <w:rFonts w:ascii="Times New Roman" w:hAnsi="Times New Roman" w:cs="Times New Roman"/>
          <w:sz w:val="24"/>
          <w:szCs w:val="24"/>
        </w:rPr>
        <w:t xml:space="preserve">reproduces the </w:t>
      </w:r>
      <w:r w:rsidR="00D87219">
        <w:rPr>
          <w:rFonts w:ascii="Times New Roman" w:hAnsi="Times New Roman" w:cs="Times New Roman"/>
          <w:sz w:val="24"/>
          <w:szCs w:val="24"/>
        </w:rPr>
        <w:t xml:space="preserve">same </w:t>
      </w:r>
      <w:r w:rsidR="00EB6D5F">
        <w:rPr>
          <w:rFonts w:ascii="Times New Roman" w:hAnsi="Times New Roman" w:cs="Times New Roman"/>
          <w:sz w:val="24"/>
          <w:szCs w:val="24"/>
        </w:rPr>
        <w:t xml:space="preserve">effect of paragraph 911B(1)(e) </w:t>
      </w:r>
      <w:r w:rsidR="00D87219">
        <w:rPr>
          <w:rFonts w:ascii="Times New Roman" w:hAnsi="Times New Roman" w:cs="Times New Roman"/>
          <w:sz w:val="24"/>
          <w:szCs w:val="24"/>
        </w:rPr>
        <w:t xml:space="preserve">in relation to licensing </w:t>
      </w:r>
      <w:r w:rsidR="00D87219">
        <w:rPr>
          <w:rFonts w:ascii="Times New Roman" w:hAnsi="Times New Roman" w:cs="Times New Roman"/>
          <w:sz w:val="24"/>
          <w:szCs w:val="24"/>
        </w:rPr>
        <w:t xml:space="preserve">exemptions granted by ASIC under paragraph 911A(2)(h) or (l) of the Act.  </w:t>
      </w:r>
    </w:p>
    <w:p w14:paraId="28027704" w14:textId="723F6371" w:rsidR="00D51EB9" w:rsidRPr="00277675" w:rsidRDefault="00EB6D5F" w:rsidP="00D87219">
      <w:pPr>
        <w:rPr>
          <w:rFonts w:ascii="Times New Roman" w:hAnsi="Times New Roman" w:cs="Times New Roman"/>
          <w:b/>
          <w:sz w:val="24"/>
          <w:szCs w:val="24"/>
          <w:lang w:val="en-US"/>
        </w:rPr>
      </w:pPr>
      <w:r>
        <w:rPr>
          <w:rFonts w:ascii="Times New Roman" w:hAnsi="Times New Roman" w:cs="Times New Roman"/>
          <w:sz w:val="24"/>
          <w:szCs w:val="24"/>
        </w:rPr>
        <w:t xml:space="preserve"> </w:t>
      </w:r>
      <w:r w:rsidR="008901BD">
        <w:rPr>
          <w:rFonts w:ascii="Times New Roman" w:hAnsi="Times New Roman" w:cs="Times New Roman"/>
          <w:b/>
          <w:sz w:val="24"/>
          <w:szCs w:val="24"/>
          <w:lang w:val="en-US"/>
        </w:rPr>
        <w:t>4</w:t>
      </w:r>
      <w:r w:rsidR="00D51EB9" w:rsidRPr="00277675">
        <w:rPr>
          <w:rFonts w:ascii="Times New Roman" w:hAnsi="Times New Roman" w:cs="Times New Roman"/>
          <w:b/>
          <w:sz w:val="24"/>
          <w:szCs w:val="24"/>
          <w:lang w:val="en-US"/>
        </w:rPr>
        <w:t>.</w:t>
      </w:r>
      <w:r w:rsidR="00D51EB9" w:rsidRPr="00277675">
        <w:rPr>
          <w:rFonts w:ascii="Times New Roman" w:hAnsi="Times New Roman" w:cs="Times New Roman"/>
          <w:b/>
          <w:sz w:val="24"/>
          <w:szCs w:val="24"/>
          <w:lang w:val="en-US"/>
        </w:rPr>
        <w:tab/>
        <w:t>Consultation</w:t>
      </w:r>
    </w:p>
    <w:p w14:paraId="33380EBD" w14:textId="35D6C174" w:rsidR="006B2CCF" w:rsidRDefault="008901BD" w:rsidP="000B7129">
      <w:pPr>
        <w:keepNext/>
        <w:rPr>
          <w:rFonts w:ascii="Times New Roman" w:hAnsi="Times New Roman" w:cs="Times New Roman"/>
          <w:sz w:val="24"/>
          <w:szCs w:val="24"/>
        </w:rPr>
      </w:pPr>
      <w:r>
        <w:rPr>
          <w:rFonts w:ascii="Times New Roman" w:hAnsi="Times New Roman" w:cs="Times New Roman"/>
          <w:sz w:val="24"/>
          <w:szCs w:val="24"/>
        </w:rPr>
        <w:t xml:space="preserve">ASIC did not engage in consultation before making the instrument as the </w:t>
      </w:r>
      <w:r w:rsidR="00EB6D5F">
        <w:rPr>
          <w:rFonts w:ascii="Times New Roman" w:hAnsi="Times New Roman" w:cs="Times New Roman"/>
          <w:sz w:val="24"/>
          <w:szCs w:val="24"/>
        </w:rPr>
        <w:t xml:space="preserve">effect of the instrument </w:t>
      </w:r>
      <w:r>
        <w:rPr>
          <w:rFonts w:ascii="Times New Roman" w:hAnsi="Times New Roman" w:cs="Times New Roman"/>
          <w:sz w:val="24"/>
          <w:szCs w:val="24"/>
        </w:rPr>
        <w:t xml:space="preserve">is </w:t>
      </w:r>
      <w:r w:rsidR="000B7129">
        <w:rPr>
          <w:rFonts w:ascii="Times New Roman" w:hAnsi="Times New Roman" w:cs="Times New Roman"/>
          <w:sz w:val="24"/>
          <w:szCs w:val="24"/>
        </w:rPr>
        <w:t xml:space="preserve">of </w:t>
      </w:r>
      <w:r>
        <w:rPr>
          <w:rFonts w:ascii="Times New Roman" w:hAnsi="Times New Roman" w:cs="Times New Roman"/>
          <w:sz w:val="24"/>
          <w:szCs w:val="24"/>
        </w:rPr>
        <w:t xml:space="preserve">a minor </w:t>
      </w:r>
      <w:r w:rsidR="00AA05B3">
        <w:rPr>
          <w:rFonts w:ascii="Times New Roman" w:hAnsi="Times New Roman" w:cs="Times New Roman"/>
          <w:sz w:val="24"/>
          <w:szCs w:val="24"/>
        </w:rPr>
        <w:t xml:space="preserve">or machinery </w:t>
      </w:r>
      <w:r>
        <w:rPr>
          <w:rFonts w:ascii="Times New Roman" w:hAnsi="Times New Roman" w:cs="Times New Roman"/>
          <w:sz w:val="24"/>
          <w:szCs w:val="24"/>
        </w:rPr>
        <w:t xml:space="preserve">nature. </w:t>
      </w:r>
    </w:p>
    <w:p w14:paraId="39AC3ECC" w14:textId="1E159D63" w:rsidR="009D7298" w:rsidRDefault="009D7298">
      <w:pPr>
        <w:rPr>
          <w:rFonts w:ascii="Times New Roman" w:hAnsi="Times New Roman" w:cs="Times New Roman"/>
          <w:sz w:val="24"/>
          <w:szCs w:val="24"/>
        </w:rPr>
      </w:pPr>
      <w:r>
        <w:rPr>
          <w:rFonts w:ascii="Times New Roman" w:hAnsi="Times New Roman" w:cs="Times New Roman"/>
          <w:sz w:val="24"/>
          <w:szCs w:val="24"/>
        </w:rPr>
        <w:br w:type="page"/>
      </w:r>
    </w:p>
    <w:p w14:paraId="1FF1E61D" w14:textId="77777777" w:rsidR="009D7298" w:rsidRPr="00277675" w:rsidRDefault="009D7298" w:rsidP="00A54461">
      <w:pPr>
        <w:rPr>
          <w:rFonts w:ascii="Times New Roman" w:hAnsi="Times New Roman" w:cs="Times New Roman"/>
          <w:sz w:val="24"/>
          <w:szCs w:val="24"/>
        </w:rPr>
      </w:pPr>
    </w:p>
    <w:p w14:paraId="732EEFD6" w14:textId="580101BB" w:rsidR="00367A1B" w:rsidRPr="009D7298" w:rsidRDefault="00FF6A03" w:rsidP="00B160E1">
      <w:pPr>
        <w:jc w:val="center"/>
        <w:rPr>
          <w:rFonts w:ascii="Times New Roman" w:hAnsi="Times New Roman" w:cs="Times New Roman"/>
          <w:b/>
          <w:sz w:val="24"/>
          <w:szCs w:val="24"/>
        </w:rPr>
      </w:pPr>
      <w:r w:rsidRPr="00B160E1">
        <w:rPr>
          <w:rFonts w:ascii="Times New Roman" w:hAnsi="Times New Roman" w:cs="Times New Roman"/>
          <w:b/>
          <w:sz w:val="24"/>
          <w:szCs w:val="24"/>
        </w:rPr>
        <w:t>Statement of Compatibility with Human Rights</w:t>
      </w:r>
    </w:p>
    <w:p w14:paraId="6AB3D74E" w14:textId="77777777" w:rsidR="00FF6A03" w:rsidRPr="00277675" w:rsidRDefault="00FF6A03" w:rsidP="00FF6A03">
      <w:pPr>
        <w:rPr>
          <w:rFonts w:ascii="Times New Roman" w:hAnsi="Times New Roman" w:cs="Times New Roman"/>
          <w:i/>
          <w:sz w:val="24"/>
          <w:szCs w:val="24"/>
        </w:rPr>
      </w:pPr>
      <w:r w:rsidRPr="00277675">
        <w:rPr>
          <w:rFonts w:ascii="Times New Roman" w:hAnsi="Times New Roman" w:cs="Times New Roman"/>
          <w:i/>
          <w:sz w:val="24"/>
          <w:szCs w:val="24"/>
        </w:rPr>
        <w:t>Prepared in accordance with Part 3 of the Human Rights (Parliamentary Scrutiny) Act 2011</w:t>
      </w:r>
    </w:p>
    <w:p w14:paraId="198D2AFB" w14:textId="2B7C8FD5" w:rsidR="009D7298" w:rsidRPr="00B160E1" w:rsidRDefault="009D7298">
      <w:pPr>
        <w:jc w:val="center"/>
        <w:rPr>
          <w:rFonts w:ascii="Times New Roman" w:hAnsi="Times New Roman" w:cs="Times New Roman"/>
          <w:b/>
          <w:bCs/>
          <w:sz w:val="24"/>
          <w:szCs w:val="24"/>
        </w:rPr>
      </w:pPr>
      <w:r w:rsidRPr="00B160E1">
        <w:rPr>
          <w:rFonts w:ascii="Times New Roman" w:hAnsi="Times New Roman" w:cs="Times New Roman"/>
          <w:b/>
          <w:bCs/>
          <w:sz w:val="24"/>
          <w:szCs w:val="24"/>
        </w:rPr>
        <w:t>ASIC Corporations (</w:t>
      </w:r>
      <w:r w:rsidR="00D87219">
        <w:rPr>
          <w:rFonts w:ascii="Times New Roman" w:hAnsi="Times New Roman" w:cs="Times New Roman"/>
          <w:b/>
          <w:bCs/>
          <w:sz w:val="24"/>
          <w:szCs w:val="24"/>
        </w:rPr>
        <w:t>Effect of Licensing Exemptions</w:t>
      </w:r>
      <w:r w:rsidRPr="00B160E1">
        <w:rPr>
          <w:rFonts w:ascii="Times New Roman" w:hAnsi="Times New Roman" w:cs="Times New Roman"/>
          <w:b/>
          <w:bCs/>
          <w:sz w:val="24"/>
          <w:szCs w:val="24"/>
        </w:rPr>
        <w:t>) Instrument 2015/</w:t>
      </w:r>
      <w:r w:rsidR="00D87219">
        <w:rPr>
          <w:rFonts w:ascii="Times New Roman" w:hAnsi="Times New Roman" w:cs="Times New Roman"/>
          <w:b/>
          <w:bCs/>
          <w:sz w:val="24"/>
          <w:szCs w:val="24"/>
        </w:rPr>
        <w:t>1115</w:t>
      </w:r>
    </w:p>
    <w:p w14:paraId="119B90A8" w14:textId="17FC082F" w:rsidR="00FF6A03" w:rsidRPr="00277675" w:rsidRDefault="009D7298" w:rsidP="00FF6A03">
      <w:pPr>
        <w:rPr>
          <w:rFonts w:ascii="Times New Roman" w:hAnsi="Times New Roman" w:cs="Times New Roman"/>
          <w:sz w:val="24"/>
          <w:szCs w:val="24"/>
        </w:rPr>
      </w:pPr>
      <w:r>
        <w:rPr>
          <w:rFonts w:ascii="Times New Roman" w:hAnsi="Times New Roman" w:cs="Times New Roman"/>
          <w:sz w:val="24"/>
          <w:szCs w:val="24"/>
        </w:rPr>
        <w:t xml:space="preserve">The </w:t>
      </w:r>
      <w:r w:rsidR="0005670C">
        <w:rPr>
          <w:rFonts w:ascii="Times New Roman" w:hAnsi="Times New Roman" w:cs="Times New Roman"/>
          <w:sz w:val="24"/>
          <w:szCs w:val="24"/>
        </w:rPr>
        <w:t xml:space="preserve">legislative </w:t>
      </w:r>
      <w:r>
        <w:rPr>
          <w:rFonts w:ascii="Times New Roman" w:hAnsi="Times New Roman" w:cs="Times New Roman"/>
          <w:sz w:val="24"/>
          <w:szCs w:val="24"/>
        </w:rPr>
        <w:t xml:space="preserve">instrument </w:t>
      </w:r>
      <w:r w:rsidR="000B7129">
        <w:rPr>
          <w:rFonts w:ascii="Times New Roman" w:hAnsi="Times New Roman" w:cs="Times New Roman"/>
          <w:sz w:val="24"/>
          <w:szCs w:val="24"/>
        </w:rPr>
        <w:t>is</w:t>
      </w:r>
      <w:r w:rsidR="00AE32E4" w:rsidRPr="00277675">
        <w:rPr>
          <w:rFonts w:ascii="Times New Roman" w:hAnsi="Times New Roman" w:cs="Times New Roman"/>
          <w:sz w:val="24"/>
          <w:szCs w:val="24"/>
        </w:rPr>
        <w:t xml:space="preserve"> </w:t>
      </w:r>
      <w:r w:rsidR="00FF6A03" w:rsidRPr="00277675">
        <w:rPr>
          <w:rFonts w:ascii="Times New Roman" w:hAnsi="Times New Roman" w:cs="Times New Roman"/>
          <w:sz w:val="24"/>
          <w:szCs w:val="24"/>
        </w:rPr>
        <w:t xml:space="preserve">compatible with the human rights and freedoms recognised or declared in the international instruments listed in section 3 of the </w:t>
      </w:r>
      <w:r w:rsidR="00FF6A03" w:rsidRPr="00277675">
        <w:rPr>
          <w:rFonts w:ascii="Times New Roman" w:hAnsi="Times New Roman" w:cs="Times New Roman"/>
          <w:i/>
          <w:sz w:val="24"/>
          <w:szCs w:val="24"/>
        </w:rPr>
        <w:t>Human Rights (Parliamentary Scrutiny) Act 2011</w:t>
      </w:r>
      <w:r w:rsidR="00FF6A03" w:rsidRPr="00277675">
        <w:rPr>
          <w:rFonts w:ascii="Times New Roman" w:hAnsi="Times New Roman" w:cs="Times New Roman"/>
          <w:sz w:val="24"/>
          <w:szCs w:val="24"/>
        </w:rPr>
        <w:t>.</w:t>
      </w:r>
    </w:p>
    <w:p w14:paraId="18092951" w14:textId="12EF5AD2" w:rsidR="00FF6A03" w:rsidRPr="00277675" w:rsidRDefault="00FF6A03" w:rsidP="00FF6A03">
      <w:pPr>
        <w:rPr>
          <w:rFonts w:ascii="Times New Roman" w:hAnsi="Times New Roman" w:cs="Times New Roman"/>
          <w:b/>
          <w:sz w:val="24"/>
          <w:szCs w:val="24"/>
        </w:rPr>
      </w:pPr>
      <w:r w:rsidRPr="00277675">
        <w:rPr>
          <w:rFonts w:ascii="Times New Roman" w:hAnsi="Times New Roman" w:cs="Times New Roman"/>
          <w:b/>
          <w:sz w:val="24"/>
          <w:szCs w:val="24"/>
        </w:rPr>
        <w:t xml:space="preserve">Overview of the </w:t>
      </w:r>
      <w:r w:rsidR="009D7298">
        <w:rPr>
          <w:rFonts w:ascii="Times New Roman" w:hAnsi="Times New Roman" w:cs="Times New Roman"/>
          <w:b/>
          <w:sz w:val="24"/>
          <w:szCs w:val="24"/>
        </w:rPr>
        <w:t>instrument</w:t>
      </w:r>
    </w:p>
    <w:p w14:paraId="4D7EB8DA" w14:textId="7B9CF400" w:rsidR="00AA05B3" w:rsidRDefault="00AA05B3" w:rsidP="00AA05B3">
      <w:pPr>
        <w:rPr>
          <w:rFonts w:ascii="Times New Roman" w:hAnsi="Times New Roman" w:cs="Times New Roman"/>
          <w:iCs/>
          <w:sz w:val="24"/>
          <w:szCs w:val="24"/>
        </w:rPr>
      </w:pPr>
      <w:r>
        <w:rPr>
          <w:rFonts w:ascii="Times New Roman" w:hAnsi="Times New Roman" w:cs="Times New Roman"/>
          <w:iCs/>
          <w:sz w:val="24"/>
          <w:szCs w:val="24"/>
        </w:rPr>
        <w:t xml:space="preserve">ASIC has two independent sources of power in the </w:t>
      </w:r>
      <w:r w:rsidRPr="00AA05B3">
        <w:rPr>
          <w:rFonts w:ascii="Times New Roman" w:hAnsi="Times New Roman" w:cs="Times New Roman"/>
          <w:i/>
          <w:iCs/>
          <w:sz w:val="24"/>
          <w:szCs w:val="24"/>
        </w:rPr>
        <w:t xml:space="preserve">Corporations </w:t>
      </w:r>
      <w:r w:rsidRPr="00AA05B3">
        <w:rPr>
          <w:rFonts w:ascii="Times New Roman" w:hAnsi="Times New Roman" w:cs="Times New Roman"/>
          <w:i/>
          <w:iCs/>
          <w:sz w:val="24"/>
          <w:szCs w:val="24"/>
        </w:rPr>
        <w:t xml:space="preserve">Act </w:t>
      </w:r>
      <w:r w:rsidRPr="00AA05B3">
        <w:rPr>
          <w:rFonts w:ascii="Times New Roman" w:hAnsi="Times New Roman" w:cs="Times New Roman"/>
          <w:i/>
          <w:iCs/>
          <w:sz w:val="24"/>
          <w:szCs w:val="24"/>
        </w:rPr>
        <w:t>2001</w:t>
      </w:r>
      <w:r>
        <w:rPr>
          <w:rFonts w:ascii="Times New Roman" w:hAnsi="Times New Roman" w:cs="Times New Roman"/>
          <w:iCs/>
          <w:sz w:val="24"/>
          <w:szCs w:val="24"/>
        </w:rPr>
        <w:t xml:space="preserve"> (the </w:t>
      </w:r>
      <w:r w:rsidRPr="00AA05B3">
        <w:rPr>
          <w:rFonts w:ascii="Times New Roman" w:hAnsi="Times New Roman" w:cs="Times New Roman"/>
          <w:b/>
          <w:i/>
          <w:iCs/>
          <w:sz w:val="24"/>
          <w:szCs w:val="24"/>
        </w:rPr>
        <w:t>Act</w:t>
      </w:r>
      <w:r>
        <w:rPr>
          <w:rFonts w:ascii="Times New Roman" w:hAnsi="Times New Roman" w:cs="Times New Roman"/>
          <w:iCs/>
          <w:sz w:val="24"/>
          <w:szCs w:val="24"/>
        </w:rPr>
        <w:t xml:space="preserve">) </w:t>
      </w:r>
      <w:r>
        <w:rPr>
          <w:rFonts w:ascii="Times New Roman" w:hAnsi="Times New Roman" w:cs="Times New Roman"/>
          <w:iCs/>
          <w:sz w:val="24"/>
          <w:szCs w:val="24"/>
        </w:rPr>
        <w:t>to grant an exemption to a person from the requirement to hold an Australian financial services licence covering the provision of financial services.</w:t>
      </w:r>
      <w:r>
        <w:rPr>
          <w:rFonts w:ascii="Times New Roman" w:hAnsi="Times New Roman" w:cs="Times New Roman"/>
          <w:iCs/>
          <w:sz w:val="24"/>
          <w:szCs w:val="24"/>
        </w:rPr>
        <w:t xml:space="preserve"> </w:t>
      </w:r>
    </w:p>
    <w:p w14:paraId="62E24E91" w14:textId="156E0C2F" w:rsidR="00AA05B3" w:rsidRDefault="00AA05B3" w:rsidP="00AA05B3">
      <w:pPr>
        <w:rPr>
          <w:rFonts w:ascii="Times New Roman" w:hAnsi="Times New Roman" w:cs="Times New Roman"/>
          <w:iCs/>
          <w:sz w:val="24"/>
          <w:szCs w:val="24"/>
        </w:rPr>
      </w:pPr>
      <w:r>
        <w:rPr>
          <w:rFonts w:ascii="Times New Roman" w:hAnsi="Times New Roman" w:cs="Times New Roman"/>
          <w:iCs/>
          <w:sz w:val="24"/>
          <w:szCs w:val="24"/>
        </w:rPr>
        <w:t xml:space="preserve">Under the Act, </w:t>
      </w:r>
      <w:r>
        <w:rPr>
          <w:rFonts w:ascii="Times New Roman" w:hAnsi="Times New Roman" w:cs="Times New Roman"/>
          <w:iCs/>
          <w:sz w:val="24"/>
          <w:szCs w:val="24"/>
        </w:rPr>
        <w:t xml:space="preserve">a person must only provide a financial service in this jurisdiction on behalf of another person who carries on a financial services business in certain circumstances. </w:t>
      </w:r>
      <w:r>
        <w:rPr>
          <w:rFonts w:ascii="Times New Roman" w:hAnsi="Times New Roman" w:cs="Times New Roman"/>
          <w:iCs/>
          <w:sz w:val="24"/>
          <w:szCs w:val="24"/>
        </w:rPr>
        <w:t xml:space="preserve">One such circumstance is where the </w:t>
      </w:r>
      <w:r w:rsidR="0005670C">
        <w:rPr>
          <w:rFonts w:ascii="Times New Roman" w:hAnsi="Times New Roman" w:cs="Times New Roman"/>
          <w:iCs/>
          <w:sz w:val="24"/>
          <w:szCs w:val="24"/>
        </w:rPr>
        <w:t xml:space="preserve">person on whose behalf the financial service is provided </w:t>
      </w:r>
      <w:r>
        <w:rPr>
          <w:rFonts w:ascii="Times New Roman" w:hAnsi="Times New Roman" w:cs="Times New Roman"/>
          <w:iCs/>
          <w:sz w:val="24"/>
          <w:szCs w:val="24"/>
        </w:rPr>
        <w:t xml:space="preserve">is exempt from the licensing requirement because of an ASIC exemption under a particular head of power. That circumstance does not </w:t>
      </w:r>
      <w:r w:rsidR="0005670C">
        <w:rPr>
          <w:rFonts w:ascii="Times New Roman" w:hAnsi="Times New Roman" w:cs="Times New Roman"/>
          <w:iCs/>
          <w:sz w:val="24"/>
          <w:szCs w:val="24"/>
        </w:rPr>
        <w:t xml:space="preserve">apply where the </w:t>
      </w:r>
      <w:r>
        <w:rPr>
          <w:rFonts w:ascii="Times New Roman" w:hAnsi="Times New Roman" w:cs="Times New Roman"/>
          <w:iCs/>
          <w:sz w:val="24"/>
          <w:szCs w:val="24"/>
        </w:rPr>
        <w:t>ASIC</w:t>
      </w:r>
      <w:r w:rsidR="0005670C">
        <w:rPr>
          <w:rFonts w:ascii="Times New Roman" w:hAnsi="Times New Roman" w:cs="Times New Roman"/>
          <w:iCs/>
          <w:sz w:val="24"/>
          <w:szCs w:val="24"/>
        </w:rPr>
        <w:t xml:space="preserve"> exemption was made under the other head of power. ASIC considers that to be an anomaly.    </w:t>
      </w:r>
    </w:p>
    <w:p w14:paraId="1379EF97" w14:textId="03E270B3" w:rsidR="00AA05B3" w:rsidRDefault="000B7129" w:rsidP="00AA05B3">
      <w:pPr>
        <w:rPr>
          <w:rFonts w:ascii="Times New Roman" w:hAnsi="Times New Roman" w:cs="Times New Roman"/>
          <w:sz w:val="24"/>
          <w:szCs w:val="24"/>
        </w:rPr>
      </w:pPr>
      <w:r>
        <w:rPr>
          <w:rFonts w:ascii="Times New Roman" w:hAnsi="Times New Roman" w:cs="Times New Roman"/>
          <w:iCs/>
          <w:sz w:val="24"/>
          <w:szCs w:val="24"/>
        </w:rPr>
        <w:t xml:space="preserve">The </w:t>
      </w:r>
      <w:r w:rsidR="00AA05B3" w:rsidRPr="00F66008">
        <w:rPr>
          <w:rFonts w:ascii="Times New Roman" w:hAnsi="Times New Roman" w:cs="Times New Roman"/>
          <w:sz w:val="24"/>
          <w:szCs w:val="24"/>
        </w:rPr>
        <w:t xml:space="preserve">instrument </w:t>
      </w:r>
      <w:r w:rsidR="0005670C">
        <w:rPr>
          <w:rFonts w:ascii="Times New Roman" w:hAnsi="Times New Roman" w:cs="Times New Roman"/>
          <w:sz w:val="24"/>
          <w:szCs w:val="24"/>
        </w:rPr>
        <w:t>remo</w:t>
      </w:r>
      <w:bookmarkStart w:id="0" w:name="_GoBack"/>
      <w:bookmarkEnd w:id="0"/>
      <w:r w:rsidR="0005670C">
        <w:rPr>
          <w:rFonts w:ascii="Times New Roman" w:hAnsi="Times New Roman" w:cs="Times New Roman"/>
          <w:sz w:val="24"/>
          <w:szCs w:val="24"/>
        </w:rPr>
        <w:t xml:space="preserve">ves the anomaly to ensure </w:t>
      </w:r>
      <w:r w:rsidR="00AA05B3">
        <w:rPr>
          <w:rFonts w:ascii="Times New Roman" w:hAnsi="Times New Roman" w:cs="Times New Roman"/>
          <w:sz w:val="24"/>
          <w:szCs w:val="24"/>
        </w:rPr>
        <w:t>the Act operates in the same way for any licensing exemption granted by ASIC, irrespective of the source of power used by ASIC</w:t>
      </w:r>
      <w:r w:rsidR="0005670C">
        <w:rPr>
          <w:rFonts w:ascii="Times New Roman" w:hAnsi="Times New Roman" w:cs="Times New Roman"/>
          <w:sz w:val="24"/>
          <w:szCs w:val="24"/>
        </w:rPr>
        <w:t xml:space="preserve">. </w:t>
      </w:r>
    </w:p>
    <w:p w14:paraId="1FE45644" w14:textId="77777777" w:rsidR="00FF6A03" w:rsidRPr="00277675" w:rsidRDefault="00FF6A03" w:rsidP="00FF6A03">
      <w:pPr>
        <w:rPr>
          <w:rFonts w:ascii="Times New Roman" w:hAnsi="Times New Roman" w:cs="Times New Roman"/>
          <w:b/>
          <w:sz w:val="24"/>
          <w:szCs w:val="24"/>
        </w:rPr>
      </w:pPr>
      <w:r w:rsidRPr="00277675">
        <w:rPr>
          <w:rFonts w:ascii="Times New Roman" w:hAnsi="Times New Roman" w:cs="Times New Roman"/>
          <w:b/>
          <w:sz w:val="24"/>
          <w:szCs w:val="24"/>
        </w:rPr>
        <w:t>Human rights implications</w:t>
      </w:r>
    </w:p>
    <w:p w14:paraId="6A00EE04" w14:textId="0EDB77A8" w:rsidR="00604A80" w:rsidRPr="00277675" w:rsidRDefault="000B7129" w:rsidP="00FF6A03">
      <w:pPr>
        <w:rPr>
          <w:rFonts w:ascii="Times New Roman" w:hAnsi="Times New Roman" w:cs="Times New Roman"/>
          <w:sz w:val="24"/>
          <w:szCs w:val="24"/>
        </w:rPr>
      </w:pPr>
      <w:r>
        <w:rPr>
          <w:rFonts w:ascii="Times New Roman" w:hAnsi="Times New Roman" w:cs="Times New Roman"/>
          <w:sz w:val="24"/>
          <w:szCs w:val="24"/>
        </w:rPr>
        <w:t xml:space="preserve">The </w:t>
      </w:r>
      <w:r w:rsidR="007A6381">
        <w:rPr>
          <w:rFonts w:ascii="Times New Roman" w:hAnsi="Times New Roman" w:cs="Times New Roman"/>
          <w:sz w:val="24"/>
          <w:szCs w:val="24"/>
        </w:rPr>
        <w:t xml:space="preserve">instrument </w:t>
      </w:r>
      <w:r>
        <w:rPr>
          <w:rFonts w:ascii="Times New Roman" w:hAnsi="Times New Roman" w:cs="Times New Roman"/>
          <w:sz w:val="24"/>
          <w:szCs w:val="24"/>
        </w:rPr>
        <w:t xml:space="preserve">does not </w:t>
      </w:r>
      <w:r w:rsidR="00FF6A03" w:rsidRPr="00277675">
        <w:rPr>
          <w:rFonts w:ascii="Times New Roman" w:hAnsi="Times New Roman" w:cs="Times New Roman"/>
          <w:sz w:val="24"/>
          <w:szCs w:val="24"/>
        </w:rPr>
        <w:t>engage any of the applicable rights or freedoms.</w:t>
      </w:r>
    </w:p>
    <w:p w14:paraId="5CAA26EB" w14:textId="40B7F595" w:rsidR="00FF6A03" w:rsidRPr="00277675" w:rsidRDefault="00FF6A03" w:rsidP="00FF6A03">
      <w:pPr>
        <w:rPr>
          <w:rFonts w:ascii="Times New Roman" w:hAnsi="Times New Roman" w:cs="Times New Roman"/>
          <w:b/>
          <w:sz w:val="24"/>
          <w:szCs w:val="24"/>
        </w:rPr>
      </w:pPr>
      <w:r w:rsidRPr="00277675">
        <w:rPr>
          <w:rFonts w:ascii="Times New Roman" w:hAnsi="Times New Roman" w:cs="Times New Roman"/>
          <w:b/>
          <w:sz w:val="24"/>
          <w:szCs w:val="24"/>
        </w:rPr>
        <w:t>Conclusion</w:t>
      </w:r>
    </w:p>
    <w:p w14:paraId="06A3E44F" w14:textId="148A1CA2" w:rsidR="00FF6A03" w:rsidRPr="00277675" w:rsidRDefault="000B7129" w:rsidP="00FF6A03">
      <w:pPr>
        <w:rPr>
          <w:rFonts w:ascii="Times New Roman" w:hAnsi="Times New Roman" w:cs="Times New Roman"/>
          <w:sz w:val="24"/>
          <w:szCs w:val="24"/>
        </w:rPr>
      </w:pPr>
      <w:r>
        <w:rPr>
          <w:rFonts w:ascii="Times New Roman" w:hAnsi="Times New Roman" w:cs="Times New Roman"/>
          <w:sz w:val="24"/>
          <w:szCs w:val="24"/>
        </w:rPr>
        <w:t xml:space="preserve">The </w:t>
      </w:r>
      <w:r w:rsidR="007A6381">
        <w:rPr>
          <w:rFonts w:ascii="Times New Roman" w:hAnsi="Times New Roman" w:cs="Times New Roman"/>
          <w:sz w:val="24"/>
          <w:szCs w:val="24"/>
        </w:rPr>
        <w:t xml:space="preserve">instrument </w:t>
      </w:r>
      <w:r>
        <w:rPr>
          <w:rFonts w:ascii="Times New Roman" w:hAnsi="Times New Roman" w:cs="Times New Roman"/>
          <w:sz w:val="24"/>
          <w:szCs w:val="24"/>
        </w:rPr>
        <w:t>is</w:t>
      </w:r>
      <w:r w:rsidR="007A6381">
        <w:rPr>
          <w:rFonts w:ascii="Times New Roman" w:hAnsi="Times New Roman" w:cs="Times New Roman"/>
          <w:sz w:val="24"/>
          <w:szCs w:val="24"/>
        </w:rPr>
        <w:t xml:space="preserve"> </w:t>
      </w:r>
      <w:r w:rsidR="00FF6A03" w:rsidRPr="00277675">
        <w:rPr>
          <w:rFonts w:ascii="Times New Roman" w:hAnsi="Times New Roman" w:cs="Times New Roman"/>
          <w:sz w:val="24"/>
          <w:szCs w:val="24"/>
        </w:rPr>
        <w:t xml:space="preserve">compatible with human rights as </w:t>
      </w:r>
      <w:r w:rsidR="000024F9">
        <w:rPr>
          <w:rFonts w:ascii="Times New Roman" w:hAnsi="Times New Roman" w:cs="Times New Roman"/>
          <w:sz w:val="24"/>
          <w:szCs w:val="24"/>
        </w:rPr>
        <w:t xml:space="preserve">it </w:t>
      </w:r>
      <w:r w:rsidR="00B35304" w:rsidRPr="00277675">
        <w:rPr>
          <w:rFonts w:ascii="Times New Roman" w:hAnsi="Times New Roman" w:cs="Times New Roman"/>
          <w:sz w:val="24"/>
          <w:szCs w:val="24"/>
        </w:rPr>
        <w:t>do</w:t>
      </w:r>
      <w:r w:rsidR="000024F9">
        <w:rPr>
          <w:rFonts w:ascii="Times New Roman" w:hAnsi="Times New Roman" w:cs="Times New Roman"/>
          <w:sz w:val="24"/>
          <w:szCs w:val="24"/>
        </w:rPr>
        <w:t>es</w:t>
      </w:r>
      <w:r w:rsidR="00FF6A03" w:rsidRPr="00277675">
        <w:rPr>
          <w:rFonts w:ascii="Times New Roman" w:hAnsi="Times New Roman" w:cs="Times New Roman"/>
          <w:sz w:val="24"/>
          <w:szCs w:val="24"/>
        </w:rPr>
        <w:t xml:space="preserve"> not raise any human</w:t>
      </w:r>
      <w:r>
        <w:rPr>
          <w:rFonts w:ascii="Times New Roman" w:hAnsi="Times New Roman" w:cs="Times New Roman"/>
          <w:sz w:val="24"/>
          <w:szCs w:val="24"/>
        </w:rPr>
        <w:t> </w:t>
      </w:r>
      <w:r w:rsidR="00FF6A03" w:rsidRPr="00277675">
        <w:rPr>
          <w:rFonts w:ascii="Times New Roman" w:hAnsi="Times New Roman" w:cs="Times New Roman"/>
          <w:sz w:val="24"/>
          <w:szCs w:val="24"/>
        </w:rPr>
        <w:t>rights issues.</w:t>
      </w:r>
    </w:p>
    <w:sectPr w:rsidR="00FF6A03" w:rsidRPr="00277675" w:rsidSect="003D74C3">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BD4F5" w14:textId="77777777" w:rsidR="00473B17" w:rsidRDefault="00473B17" w:rsidP="00FA277E">
      <w:pPr>
        <w:spacing w:after="0" w:line="240" w:lineRule="auto"/>
      </w:pPr>
      <w:r>
        <w:separator/>
      </w:r>
    </w:p>
  </w:endnote>
  <w:endnote w:type="continuationSeparator" w:id="0">
    <w:p w14:paraId="0E585DBB" w14:textId="77777777" w:rsidR="00473B17" w:rsidRDefault="00473B17" w:rsidP="00FA277E">
      <w:pPr>
        <w:spacing w:after="0" w:line="240" w:lineRule="auto"/>
      </w:pPr>
      <w:r>
        <w:continuationSeparator/>
      </w:r>
    </w:p>
  </w:endnote>
  <w:endnote w:type="continuationNotice" w:id="1">
    <w:p w14:paraId="680BA071" w14:textId="77777777" w:rsidR="00473B17" w:rsidRDefault="00473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38016"/>
      <w:docPartObj>
        <w:docPartGallery w:val="Page Numbers (Bottom of Page)"/>
        <w:docPartUnique/>
      </w:docPartObj>
    </w:sdtPr>
    <w:sdtEndPr/>
    <w:sdtContent>
      <w:p w14:paraId="286D159C" w14:textId="77777777" w:rsidR="008328EB" w:rsidRDefault="008328EB" w:rsidP="0005670C">
        <w:pPr>
          <w:pStyle w:val="Footer"/>
          <w:jc w:val="center"/>
        </w:pPr>
        <w:r>
          <w:fldChar w:fldCharType="begin"/>
        </w:r>
        <w:r>
          <w:instrText xml:space="preserve"> PAGE   \* MERGEFORMAT </w:instrText>
        </w:r>
        <w:r>
          <w:fldChar w:fldCharType="separate"/>
        </w:r>
        <w:r w:rsidR="001E7FD8">
          <w:rPr>
            <w:noProof/>
          </w:rPr>
          <w:t>2</w:t>
        </w:r>
        <w:r>
          <w:rPr>
            <w:noProof/>
          </w:rPr>
          <w:fldChar w:fldCharType="end"/>
        </w:r>
      </w:p>
    </w:sdtContent>
  </w:sdt>
  <w:p w14:paraId="7BE2D6A3" w14:textId="77777777" w:rsidR="008328EB" w:rsidRDefault="00832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15A52" w14:textId="77777777" w:rsidR="00473B17" w:rsidRDefault="00473B17" w:rsidP="00FA277E">
      <w:pPr>
        <w:spacing w:after="0" w:line="240" w:lineRule="auto"/>
      </w:pPr>
      <w:r>
        <w:separator/>
      </w:r>
    </w:p>
  </w:footnote>
  <w:footnote w:type="continuationSeparator" w:id="0">
    <w:p w14:paraId="3510F6DB" w14:textId="77777777" w:rsidR="00473B17" w:rsidRDefault="00473B17" w:rsidP="00FA277E">
      <w:pPr>
        <w:spacing w:after="0" w:line="240" w:lineRule="auto"/>
      </w:pPr>
      <w:r>
        <w:continuationSeparator/>
      </w:r>
    </w:p>
  </w:footnote>
  <w:footnote w:type="continuationNotice" w:id="1">
    <w:p w14:paraId="79EDB7C7" w14:textId="77777777" w:rsidR="00473B17" w:rsidRDefault="00473B1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156"/>
    <w:multiLevelType w:val="hybridMultilevel"/>
    <w:tmpl w:val="60700C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ED0CB0"/>
    <w:multiLevelType w:val="hybridMultilevel"/>
    <w:tmpl w:val="4DCAC5DE"/>
    <w:lvl w:ilvl="0" w:tplc="A85419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83733D"/>
    <w:multiLevelType w:val="hybridMultilevel"/>
    <w:tmpl w:val="8E480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C21292"/>
    <w:multiLevelType w:val="hybridMultilevel"/>
    <w:tmpl w:val="1CCC40E4"/>
    <w:lvl w:ilvl="0" w:tplc="90BAD6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DCD1089"/>
    <w:multiLevelType w:val="hybridMultilevel"/>
    <w:tmpl w:val="222E8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FC3D78"/>
    <w:multiLevelType w:val="hybridMultilevel"/>
    <w:tmpl w:val="EFC02F40"/>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196216"/>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A2068A5"/>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260F6C"/>
    <w:multiLevelType w:val="hybridMultilevel"/>
    <w:tmpl w:val="8702D69A"/>
    <w:lvl w:ilvl="0" w:tplc="B0540D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FA1DAA"/>
    <w:multiLevelType w:val="hybridMultilevel"/>
    <w:tmpl w:val="509616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DF020E"/>
    <w:multiLevelType w:val="hybridMultilevel"/>
    <w:tmpl w:val="0C32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861807"/>
    <w:multiLevelType w:val="multilevel"/>
    <w:tmpl w:val="FFF0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462F77"/>
    <w:multiLevelType w:val="hybridMultilevel"/>
    <w:tmpl w:val="B9825BBE"/>
    <w:lvl w:ilvl="0" w:tplc="A49CA5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1465EDD"/>
    <w:multiLevelType w:val="hybridMultilevel"/>
    <w:tmpl w:val="EFC02F40"/>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2D65CF5"/>
    <w:multiLevelType w:val="hybridMultilevel"/>
    <w:tmpl w:val="BB94BF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51A27A6"/>
    <w:multiLevelType w:val="hybridMultilevel"/>
    <w:tmpl w:val="213A2610"/>
    <w:lvl w:ilvl="0" w:tplc="9CEC862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CB75F31"/>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DF318B4"/>
    <w:multiLevelType w:val="hybridMultilevel"/>
    <w:tmpl w:val="397488C6"/>
    <w:lvl w:ilvl="0" w:tplc="0E52B236">
      <w:start w:val="1"/>
      <w:numFmt w:val="lowerLetter"/>
      <w:lvlText w:val="(%1)"/>
      <w:lvlJc w:val="left"/>
      <w:pPr>
        <w:ind w:left="2629"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14"/>
  </w:num>
  <w:num w:numId="2">
    <w:abstractNumId w:val="2"/>
  </w:num>
  <w:num w:numId="3">
    <w:abstractNumId w:val="10"/>
  </w:num>
  <w:num w:numId="4">
    <w:abstractNumId w:val="15"/>
  </w:num>
  <w:num w:numId="5">
    <w:abstractNumId w:val="9"/>
  </w:num>
  <w:num w:numId="6">
    <w:abstractNumId w:val="0"/>
  </w:num>
  <w:num w:numId="7">
    <w:abstractNumId w:val="4"/>
  </w:num>
  <w:num w:numId="8">
    <w:abstractNumId w:val="7"/>
  </w:num>
  <w:num w:numId="9">
    <w:abstractNumId w:val="11"/>
  </w:num>
  <w:num w:numId="10">
    <w:abstractNumId w:val="16"/>
  </w:num>
  <w:num w:numId="11">
    <w:abstractNumId w:val="6"/>
  </w:num>
  <w:num w:numId="12">
    <w:abstractNumId w:val="1"/>
  </w:num>
  <w:num w:numId="13">
    <w:abstractNumId w:val="17"/>
  </w:num>
  <w:num w:numId="14">
    <w:abstractNumId w:val="5"/>
  </w:num>
  <w:num w:numId="15">
    <w:abstractNumId w:val="13"/>
  </w:num>
  <w:num w:numId="16">
    <w:abstractNumId w:val="8"/>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7E"/>
    <w:rsid w:val="000024F9"/>
    <w:rsid w:val="00002980"/>
    <w:rsid w:val="00003F57"/>
    <w:rsid w:val="00006D03"/>
    <w:rsid w:val="000145DE"/>
    <w:rsid w:val="0001697A"/>
    <w:rsid w:val="00023FF3"/>
    <w:rsid w:val="00024230"/>
    <w:rsid w:val="00025081"/>
    <w:rsid w:val="00026B6F"/>
    <w:rsid w:val="00026E36"/>
    <w:rsid w:val="00027262"/>
    <w:rsid w:val="000304BE"/>
    <w:rsid w:val="000310C1"/>
    <w:rsid w:val="00032158"/>
    <w:rsid w:val="00036D14"/>
    <w:rsid w:val="00036DAA"/>
    <w:rsid w:val="00040D50"/>
    <w:rsid w:val="000446E7"/>
    <w:rsid w:val="0004659C"/>
    <w:rsid w:val="0005670C"/>
    <w:rsid w:val="00062859"/>
    <w:rsid w:val="00063F50"/>
    <w:rsid w:val="00067212"/>
    <w:rsid w:val="00071C21"/>
    <w:rsid w:val="0007600B"/>
    <w:rsid w:val="000801CA"/>
    <w:rsid w:val="0008257A"/>
    <w:rsid w:val="00082805"/>
    <w:rsid w:val="00090761"/>
    <w:rsid w:val="00092ED8"/>
    <w:rsid w:val="00093991"/>
    <w:rsid w:val="00097DEC"/>
    <w:rsid w:val="000A0F94"/>
    <w:rsid w:val="000A243D"/>
    <w:rsid w:val="000A352E"/>
    <w:rsid w:val="000A5F02"/>
    <w:rsid w:val="000A658C"/>
    <w:rsid w:val="000B24F7"/>
    <w:rsid w:val="000B2F28"/>
    <w:rsid w:val="000B5843"/>
    <w:rsid w:val="000B7129"/>
    <w:rsid w:val="000C18C1"/>
    <w:rsid w:val="000C5523"/>
    <w:rsid w:val="000C7B99"/>
    <w:rsid w:val="000D0E72"/>
    <w:rsid w:val="000D31C8"/>
    <w:rsid w:val="000E0765"/>
    <w:rsid w:val="000E1048"/>
    <w:rsid w:val="000F09CE"/>
    <w:rsid w:val="000F29E9"/>
    <w:rsid w:val="000F4299"/>
    <w:rsid w:val="000F4D36"/>
    <w:rsid w:val="001014E4"/>
    <w:rsid w:val="001019BA"/>
    <w:rsid w:val="001043FA"/>
    <w:rsid w:val="00107563"/>
    <w:rsid w:val="00107744"/>
    <w:rsid w:val="001108BE"/>
    <w:rsid w:val="00114BEB"/>
    <w:rsid w:val="001258E1"/>
    <w:rsid w:val="00127800"/>
    <w:rsid w:val="00131B25"/>
    <w:rsid w:val="00156963"/>
    <w:rsid w:val="00157C3C"/>
    <w:rsid w:val="00171BF6"/>
    <w:rsid w:val="00173700"/>
    <w:rsid w:val="00177179"/>
    <w:rsid w:val="00177A82"/>
    <w:rsid w:val="00181ED4"/>
    <w:rsid w:val="001853A5"/>
    <w:rsid w:val="00186839"/>
    <w:rsid w:val="0019378C"/>
    <w:rsid w:val="00195118"/>
    <w:rsid w:val="00195D03"/>
    <w:rsid w:val="001A0A91"/>
    <w:rsid w:val="001A318F"/>
    <w:rsid w:val="001A3FFB"/>
    <w:rsid w:val="001A7025"/>
    <w:rsid w:val="001B1E7A"/>
    <w:rsid w:val="001B2D16"/>
    <w:rsid w:val="001C008E"/>
    <w:rsid w:val="001C047A"/>
    <w:rsid w:val="001C0838"/>
    <w:rsid w:val="001C1D5B"/>
    <w:rsid w:val="001C2591"/>
    <w:rsid w:val="001C61AB"/>
    <w:rsid w:val="001C6B3F"/>
    <w:rsid w:val="001D0BCC"/>
    <w:rsid w:val="001D3428"/>
    <w:rsid w:val="001D386B"/>
    <w:rsid w:val="001D735D"/>
    <w:rsid w:val="001E4720"/>
    <w:rsid w:val="001E78AA"/>
    <w:rsid w:val="001E7FD8"/>
    <w:rsid w:val="001F2541"/>
    <w:rsid w:val="001F3DB9"/>
    <w:rsid w:val="001F6CDE"/>
    <w:rsid w:val="001F78D0"/>
    <w:rsid w:val="00201C09"/>
    <w:rsid w:val="00212B00"/>
    <w:rsid w:val="0021461B"/>
    <w:rsid w:val="00217C65"/>
    <w:rsid w:val="00220ACF"/>
    <w:rsid w:val="00225CA5"/>
    <w:rsid w:val="002364DC"/>
    <w:rsid w:val="00236C13"/>
    <w:rsid w:val="002529D3"/>
    <w:rsid w:val="002555B3"/>
    <w:rsid w:val="00255815"/>
    <w:rsid w:val="00262689"/>
    <w:rsid w:val="0026584E"/>
    <w:rsid w:val="00266C6C"/>
    <w:rsid w:val="00267966"/>
    <w:rsid w:val="002679E7"/>
    <w:rsid w:val="00277675"/>
    <w:rsid w:val="002803BD"/>
    <w:rsid w:val="00280434"/>
    <w:rsid w:val="00285110"/>
    <w:rsid w:val="0029166C"/>
    <w:rsid w:val="00293CC6"/>
    <w:rsid w:val="00294A71"/>
    <w:rsid w:val="0029512D"/>
    <w:rsid w:val="002A1FAA"/>
    <w:rsid w:val="002A2C40"/>
    <w:rsid w:val="002B410C"/>
    <w:rsid w:val="002B504F"/>
    <w:rsid w:val="002B7469"/>
    <w:rsid w:val="002C31AA"/>
    <w:rsid w:val="002C348A"/>
    <w:rsid w:val="002C34A3"/>
    <w:rsid w:val="002C5004"/>
    <w:rsid w:val="002D0E2A"/>
    <w:rsid w:val="002D7516"/>
    <w:rsid w:val="002E2F0B"/>
    <w:rsid w:val="002E544C"/>
    <w:rsid w:val="002E775F"/>
    <w:rsid w:val="002F42FA"/>
    <w:rsid w:val="003005C2"/>
    <w:rsid w:val="00301E64"/>
    <w:rsid w:val="0030318C"/>
    <w:rsid w:val="00303687"/>
    <w:rsid w:val="0030512D"/>
    <w:rsid w:val="00310610"/>
    <w:rsid w:val="003117C5"/>
    <w:rsid w:val="00312EDC"/>
    <w:rsid w:val="00313489"/>
    <w:rsid w:val="00313DF1"/>
    <w:rsid w:val="00315432"/>
    <w:rsid w:val="00317381"/>
    <w:rsid w:val="00320054"/>
    <w:rsid w:val="003215FD"/>
    <w:rsid w:val="00327CA0"/>
    <w:rsid w:val="00330FF9"/>
    <w:rsid w:val="0033454D"/>
    <w:rsid w:val="00336D55"/>
    <w:rsid w:val="0034028E"/>
    <w:rsid w:val="003425EB"/>
    <w:rsid w:val="00352950"/>
    <w:rsid w:val="003556E0"/>
    <w:rsid w:val="00357645"/>
    <w:rsid w:val="00360586"/>
    <w:rsid w:val="00362E2D"/>
    <w:rsid w:val="00364BE6"/>
    <w:rsid w:val="003660D8"/>
    <w:rsid w:val="00366D52"/>
    <w:rsid w:val="00367A1B"/>
    <w:rsid w:val="00370228"/>
    <w:rsid w:val="00371AB4"/>
    <w:rsid w:val="003730B7"/>
    <w:rsid w:val="0038467A"/>
    <w:rsid w:val="00384903"/>
    <w:rsid w:val="00386C16"/>
    <w:rsid w:val="00395E12"/>
    <w:rsid w:val="003A257E"/>
    <w:rsid w:val="003A2A1B"/>
    <w:rsid w:val="003C3737"/>
    <w:rsid w:val="003D094A"/>
    <w:rsid w:val="003D0EEF"/>
    <w:rsid w:val="003D3422"/>
    <w:rsid w:val="003D483F"/>
    <w:rsid w:val="003D74C3"/>
    <w:rsid w:val="003F1353"/>
    <w:rsid w:val="00400EA8"/>
    <w:rsid w:val="004036DF"/>
    <w:rsid w:val="00403743"/>
    <w:rsid w:val="0040635A"/>
    <w:rsid w:val="00406579"/>
    <w:rsid w:val="00415410"/>
    <w:rsid w:val="00420E9F"/>
    <w:rsid w:val="004220E2"/>
    <w:rsid w:val="004245BB"/>
    <w:rsid w:val="00433A6F"/>
    <w:rsid w:val="00435F48"/>
    <w:rsid w:val="00436EFE"/>
    <w:rsid w:val="00442A1A"/>
    <w:rsid w:val="004439CD"/>
    <w:rsid w:val="00447AB9"/>
    <w:rsid w:val="00452A65"/>
    <w:rsid w:val="004557D5"/>
    <w:rsid w:val="004605C3"/>
    <w:rsid w:val="00463184"/>
    <w:rsid w:val="00466771"/>
    <w:rsid w:val="00473B17"/>
    <w:rsid w:val="004755E1"/>
    <w:rsid w:val="00483FA6"/>
    <w:rsid w:val="00484657"/>
    <w:rsid w:val="00491F3A"/>
    <w:rsid w:val="0049403C"/>
    <w:rsid w:val="004A0F90"/>
    <w:rsid w:val="004A43EE"/>
    <w:rsid w:val="004A48D8"/>
    <w:rsid w:val="004A6D07"/>
    <w:rsid w:val="004B06E8"/>
    <w:rsid w:val="004B0D73"/>
    <w:rsid w:val="004B1BEC"/>
    <w:rsid w:val="004B3994"/>
    <w:rsid w:val="004B6897"/>
    <w:rsid w:val="004C3C48"/>
    <w:rsid w:val="004C5E03"/>
    <w:rsid w:val="004D518B"/>
    <w:rsid w:val="004D66A7"/>
    <w:rsid w:val="004E0513"/>
    <w:rsid w:val="004E36A9"/>
    <w:rsid w:val="004E4743"/>
    <w:rsid w:val="004E745A"/>
    <w:rsid w:val="004F7AB9"/>
    <w:rsid w:val="004F7CA6"/>
    <w:rsid w:val="00501796"/>
    <w:rsid w:val="00501F3A"/>
    <w:rsid w:val="00503D3D"/>
    <w:rsid w:val="00505DD0"/>
    <w:rsid w:val="00506038"/>
    <w:rsid w:val="00506506"/>
    <w:rsid w:val="00507CA9"/>
    <w:rsid w:val="00514622"/>
    <w:rsid w:val="005155F5"/>
    <w:rsid w:val="00533869"/>
    <w:rsid w:val="00540116"/>
    <w:rsid w:val="0054675A"/>
    <w:rsid w:val="00546C50"/>
    <w:rsid w:val="0055416A"/>
    <w:rsid w:val="00555F9A"/>
    <w:rsid w:val="00562C26"/>
    <w:rsid w:val="0057434D"/>
    <w:rsid w:val="00582A22"/>
    <w:rsid w:val="00585710"/>
    <w:rsid w:val="00587E5A"/>
    <w:rsid w:val="00590C9B"/>
    <w:rsid w:val="005947A6"/>
    <w:rsid w:val="005A0102"/>
    <w:rsid w:val="005A6160"/>
    <w:rsid w:val="005A68BD"/>
    <w:rsid w:val="005B093D"/>
    <w:rsid w:val="005B1D48"/>
    <w:rsid w:val="005B2A47"/>
    <w:rsid w:val="005B463B"/>
    <w:rsid w:val="005B7791"/>
    <w:rsid w:val="005C047A"/>
    <w:rsid w:val="005C0FDA"/>
    <w:rsid w:val="005C1AB5"/>
    <w:rsid w:val="005C3146"/>
    <w:rsid w:val="005C562A"/>
    <w:rsid w:val="005C7DFD"/>
    <w:rsid w:val="005D14E8"/>
    <w:rsid w:val="005D6C10"/>
    <w:rsid w:val="005E338E"/>
    <w:rsid w:val="005F2EE1"/>
    <w:rsid w:val="00601CBD"/>
    <w:rsid w:val="00603D0C"/>
    <w:rsid w:val="00604A80"/>
    <w:rsid w:val="0061050F"/>
    <w:rsid w:val="00612C63"/>
    <w:rsid w:val="006171A4"/>
    <w:rsid w:val="00617609"/>
    <w:rsid w:val="0062567D"/>
    <w:rsid w:val="006268ED"/>
    <w:rsid w:val="00632358"/>
    <w:rsid w:val="00633760"/>
    <w:rsid w:val="00635B71"/>
    <w:rsid w:val="0064008E"/>
    <w:rsid w:val="00642F75"/>
    <w:rsid w:val="00642FDD"/>
    <w:rsid w:val="00643703"/>
    <w:rsid w:val="00643D51"/>
    <w:rsid w:val="00645597"/>
    <w:rsid w:val="0065432C"/>
    <w:rsid w:val="006641CD"/>
    <w:rsid w:val="00670E27"/>
    <w:rsid w:val="006717DC"/>
    <w:rsid w:val="006820E0"/>
    <w:rsid w:val="006823F3"/>
    <w:rsid w:val="00684727"/>
    <w:rsid w:val="0069662C"/>
    <w:rsid w:val="006A046B"/>
    <w:rsid w:val="006A1C16"/>
    <w:rsid w:val="006A5450"/>
    <w:rsid w:val="006B2CCF"/>
    <w:rsid w:val="006B3969"/>
    <w:rsid w:val="006B4F22"/>
    <w:rsid w:val="006C2313"/>
    <w:rsid w:val="006C2B90"/>
    <w:rsid w:val="006C4108"/>
    <w:rsid w:val="006C4755"/>
    <w:rsid w:val="006D540C"/>
    <w:rsid w:val="006E1D2E"/>
    <w:rsid w:val="006E5D01"/>
    <w:rsid w:val="006F482E"/>
    <w:rsid w:val="006F6C32"/>
    <w:rsid w:val="006F777D"/>
    <w:rsid w:val="00702CDA"/>
    <w:rsid w:val="007042DE"/>
    <w:rsid w:val="00712CF1"/>
    <w:rsid w:val="00715140"/>
    <w:rsid w:val="0071541C"/>
    <w:rsid w:val="007201DA"/>
    <w:rsid w:val="007214A9"/>
    <w:rsid w:val="00722BB5"/>
    <w:rsid w:val="00732423"/>
    <w:rsid w:val="00732611"/>
    <w:rsid w:val="00741143"/>
    <w:rsid w:val="00741E6D"/>
    <w:rsid w:val="007520BD"/>
    <w:rsid w:val="007838AA"/>
    <w:rsid w:val="00790F0F"/>
    <w:rsid w:val="00792B58"/>
    <w:rsid w:val="00793B68"/>
    <w:rsid w:val="007A0B1E"/>
    <w:rsid w:val="007A28C7"/>
    <w:rsid w:val="007A31C2"/>
    <w:rsid w:val="007A6381"/>
    <w:rsid w:val="007A7C21"/>
    <w:rsid w:val="007D4DF5"/>
    <w:rsid w:val="007D703F"/>
    <w:rsid w:val="007D7707"/>
    <w:rsid w:val="007E4057"/>
    <w:rsid w:val="007F035F"/>
    <w:rsid w:val="007F5510"/>
    <w:rsid w:val="00801931"/>
    <w:rsid w:val="00805213"/>
    <w:rsid w:val="00811F04"/>
    <w:rsid w:val="00812329"/>
    <w:rsid w:val="00813B16"/>
    <w:rsid w:val="00814FA8"/>
    <w:rsid w:val="00815D7F"/>
    <w:rsid w:val="00817DB2"/>
    <w:rsid w:val="00817DE5"/>
    <w:rsid w:val="00823A93"/>
    <w:rsid w:val="008328EB"/>
    <w:rsid w:val="008359E2"/>
    <w:rsid w:val="00835F67"/>
    <w:rsid w:val="00837BE2"/>
    <w:rsid w:val="00837ED8"/>
    <w:rsid w:val="00841538"/>
    <w:rsid w:val="00851EBA"/>
    <w:rsid w:val="00863E33"/>
    <w:rsid w:val="0086790D"/>
    <w:rsid w:val="008764CF"/>
    <w:rsid w:val="00876F31"/>
    <w:rsid w:val="0088604D"/>
    <w:rsid w:val="008871A2"/>
    <w:rsid w:val="008901BD"/>
    <w:rsid w:val="008958DD"/>
    <w:rsid w:val="008A06EF"/>
    <w:rsid w:val="008A0CD5"/>
    <w:rsid w:val="008A1B7F"/>
    <w:rsid w:val="008A420E"/>
    <w:rsid w:val="008B1107"/>
    <w:rsid w:val="008B207B"/>
    <w:rsid w:val="008B2553"/>
    <w:rsid w:val="008B3759"/>
    <w:rsid w:val="008B4619"/>
    <w:rsid w:val="008C0BA0"/>
    <w:rsid w:val="008C3226"/>
    <w:rsid w:val="008C3508"/>
    <w:rsid w:val="008C7179"/>
    <w:rsid w:val="008D2FC9"/>
    <w:rsid w:val="008E0699"/>
    <w:rsid w:val="008E092E"/>
    <w:rsid w:val="008E18F2"/>
    <w:rsid w:val="008E3B65"/>
    <w:rsid w:val="008E4AA9"/>
    <w:rsid w:val="008F3C43"/>
    <w:rsid w:val="008F3DE0"/>
    <w:rsid w:val="008F6701"/>
    <w:rsid w:val="008F6BAD"/>
    <w:rsid w:val="008F73C4"/>
    <w:rsid w:val="00904C3D"/>
    <w:rsid w:val="0090547A"/>
    <w:rsid w:val="009063BE"/>
    <w:rsid w:val="00911C1E"/>
    <w:rsid w:val="0092139E"/>
    <w:rsid w:val="00922355"/>
    <w:rsid w:val="00927030"/>
    <w:rsid w:val="009304C5"/>
    <w:rsid w:val="00934D0E"/>
    <w:rsid w:val="00940DBA"/>
    <w:rsid w:val="00941E28"/>
    <w:rsid w:val="00944166"/>
    <w:rsid w:val="009472B5"/>
    <w:rsid w:val="00950B0A"/>
    <w:rsid w:val="00950C44"/>
    <w:rsid w:val="0095370C"/>
    <w:rsid w:val="00956F21"/>
    <w:rsid w:val="00960A43"/>
    <w:rsid w:val="00961466"/>
    <w:rsid w:val="009651EF"/>
    <w:rsid w:val="00965548"/>
    <w:rsid w:val="009659A8"/>
    <w:rsid w:val="00967ED0"/>
    <w:rsid w:val="00970906"/>
    <w:rsid w:val="00972227"/>
    <w:rsid w:val="00975079"/>
    <w:rsid w:val="00975158"/>
    <w:rsid w:val="00982B4C"/>
    <w:rsid w:val="00982EEE"/>
    <w:rsid w:val="00990873"/>
    <w:rsid w:val="009909CA"/>
    <w:rsid w:val="00992479"/>
    <w:rsid w:val="00992848"/>
    <w:rsid w:val="009943A4"/>
    <w:rsid w:val="009953CE"/>
    <w:rsid w:val="009957ED"/>
    <w:rsid w:val="00995B9B"/>
    <w:rsid w:val="00995BEF"/>
    <w:rsid w:val="00995DD5"/>
    <w:rsid w:val="009A1B39"/>
    <w:rsid w:val="009A3B2A"/>
    <w:rsid w:val="009A630C"/>
    <w:rsid w:val="009B662E"/>
    <w:rsid w:val="009B67A1"/>
    <w:rsid w:val="009C48FB"/>
    <w:rsid w:val="009C6610"/>
    <w:rsid w:val="009D6873"/>
    <w:rsid w:val="009D7298"/>
    <w:rsid w:val="009D7579"/>
    <w:rsid w:val="009E6ED3"/>
    <w:rsid w:val="009F1D31"/>
    <w:rsid w:val="009F2315"/>
    <w:rsid w:val="00A032C1"/>
    <w:rsid w:val="00A0381E"/>
    <w:rsid w:val="00A0454A"/>
    <w:rsid w:val="00A04CA7"/>
    <w:rsid w:val="00A06036"/>
    <w:rsid w:val="00A061CC"/>
    <w:rsid w:val="00A062CD"/>
    <w:rsid w:val="00A11AD0"/>
    <w:rsid w:val="00A11E27"/>
    <w:rsid w:val="00A20900"/>
    <w:rsid w:val="00A24097"/>
    <w:rsid w:val="00A24859"/>
    <w:rsid w:val="00A314F0"/>
    <w:rsid w:val="00A34799"/>
    <w:rsid w:val="00A34E1B"/>
    <w:rsid w:val="00A35DFB"/>
    <w:rsid w:val="00A41C17"/>
    <w:rsid w:val="00A45FA9"/>
    <w:rsid w:val="00A500D7"/>
    <w:rsid w:val="00A50B05"/>
    <w:rsid w:val="00A537AE"/>
    <w:rsid w:val="00A54461"/>
    <w:rsid w:val="00A66360"/>
    <w:rsid w:val="00A702AF"/>
    <w:rsid w:val="00A72779"/>
    <w:rsid w:val="00A72F5B"/>
    <w:rsid w:val="00A73972"/>
    <w:rsid w:val="00A7496B"/>
    <w:rsid w:val="00A77005"/>
    <w:rsid w:val="00A77739"/>
    <w:rsid w:val="00A77868"/>
    <w:rsid w:val="00A83118"/>
    <w:rsid w:val="00A850BA"/>
    <w:rsid w:val="00A879B9"/>
    <w:rsid w:val="00A9157C"/>
    <w:rsid w:val="00A956D0"/>
    <w:rsid w:val="00A959EB"/>
    <w:rsid w:val="00A96FB8"/>
    <w:rsid w:val="00A97B8E"/>
    <w:rsid w:val="00AA05B3"/>
    <w:rsid w:val="00AA1680"/>
    <w:rsid w:val="00AA1BB4"/>
    <w:rsid w:val="00AA253F"/>
    <w:rsid w:val="00AA38E2"/>
    <w:rsid w:val="00AA3A34"/>
    <w:rsid w:val="00AA44EF"/>
    <w:rsid w:val="00AA5795"/>
    <w:rsid w:val="00AA70C2"/>
    <w:rsid w:val="00AB330B"/>
    <w:rsid w:val="00AB3C5D"/>
    <w:rsid w:val="00AC69CA"/>
    <w:rsid w:val="00AD120D"/>
    <w:rsid w:val="00AD186A"/>
    <w:rsid w:val="00AD380D"/>
    <w:rsid w:val="00AE32E4"/>
    <w:rsid w:val="00AE7D20"/>
    <w:rsid w:val="00AF4D63"/>
    <w:rsid w:val="00AF4F84"/>
    <w:rsid w:val="00AF7911"/>
    <w:rsid w:val="00B065CB"/>
    <w:rsid w:val="00B10DD3"/>
    <w:rsid w:val="00B15B4F"/>
    <w:rsid w:val="00B160E1"/>
    <w:rsid w:val="00B31F83"/>
    <w:rsid w:val="00B33173"/>
    <w:rsid w:val="00B3435B"/>
    <w:rsid w:val="00B35304"/>
    <w:rsid w:val="00B363FC"/>
    <w:rsid w:val="00B36694"/>
    <w:rsid w:val="00B40240"/>
    <w:rsid w:val="00B439CC"/>
    <w:rsid w:val="00B51A47"/>
    <w:rsid w:val="00B61FCF"/>
    <w:rsid w:val="00B6205F"/>
    <w:rsid w:val="00B64DFD"/>
    <w:rsid w:val="00B666D5"/>
    <w:rsid w:val="00B71F79"/>
    <w:rsid w:val="00B72DE8"/>
    <w:rsid w:val="00B76E3B"/>
    <w:rsid w:val="00B772AC"/>
    <w:rsid w:val="00B91248"/>
    <w:rsid w:val="00B964FE"/>
    <w:rsid w:val="00BA04B0"/>
    <w:rsid w:val="00BA12CD"/>
    <w:rsid w:val="00BA3E50"/>
    <w:rsid w:val="00BA64B9"/>
    <w:rsid w:val="00BA6BF8"/>
    <w:rsid w:val="00BB04CC"/>
    <w:rsid w:val="00BB0FAE"/>
    <w:rsid w:val="00BC256A"/>
    <w:rsid w:val="00BD6273"/>
    <w:rsid w:val="00BE5A3D"/>
    <w:rsid w:val="00BF3A91"/>
    <w:rsid w:val="00BF7B34"/>
    <w:rsid w:val="00C03355"/>
    <w:rsid w:val="00C12928"/>
    <w:rsid w:val="00C14B19"/>
    <w:rsid w:val="00C150F4"/>
    <w:rsid w:val="00C205CA"/>
    <w:rsid w:val="00C2082C"/>
    <w:rsid w:val="00C21CAB"/>
    <w:rsid w:val="00C26A35"/>
    <w:rsid w:val="00C277EB"/>
    <w:rsid w:val="00C30DB7"/>
    <w:rsid w:val="00C31B09"/>
    <w:rsid w:val="00C34809"/>
    <w:rsid w:val="00C3569F"/>
    <w:rsid w:val="00C3729A"/>
    <w:rsid w:val="00C406AF"/>
    <w:rsid w:val="00C429BA"/>
    <w:rsid w:val="00C43A54"/>
    <w:rsid w:val="00C44E3C"/>
    <w:rsid w:val="00C548FA"/>
    <w:rsid w:val="00C55C81"/>
    <w:rsid w:val="00C56726"/>
    <w:rsid w:val="00C60CE4"/>
    <w:rsid w:val="00C61AA4"/>
    <w:rsid w:val="00C62F90"/>
    <w:rsid w:val="00C63390"/>
    <w:rsid w:val="00C64C81"/>
    <w:rsid w:val="00C661CA"/>
    <w:rsid w:val="00C700B4"/>
    <w:rsid w:val="00C70B60"/>
    <w:rsid w:val="00C71094"/>
    <w:rsid w:val="00C73799"/>
    <w:rsid w:val="00C80D86"/>
    <w:rsid w:val="00C82461"/>
    <w:rsid w:val="00C84DF9"/>
    <w:rsid w:val="00C85A54"/>
    <w:rsid w:val="00C86FDC"/>
    <w:rsid w:val="00C877BC"/>
    <w:rsid w:val="00C87960"/>
    <w:rsid w:val="00C924F7"/>
    <w:rsid w:val="00C96BF5"/>
    <w:rsid w:val="00CA198D"/>
    <w:rsid w:val="00CA3B05"/>
    <w:rsid w:val="00CA6BE5"/>
    <w:rsid w:val="00CA7FD2"/>
    <w:rsid w:val="00CB2733"/>
    <w:rsid w:val="00CB5749"/>
    <w:rsid w:val="00CC1572"/>
    <w:rsid w:val="00CC15E6"/>
    <w:rsid w:val="00CC18BE"/>
    <w:rsid w:val="00CC34A5"/>
    <w:rsid w:val="00CC45EE"/>
    <w:rsid w:val="00CC770A"/>
    <w:rsid w:val="00CD37C5"/>
    <w:rsid w:val="00CD41BF"/>
    <w:rsid w:val="00CD522F"/>
    <w:rsid w:val="00CD5CE4"/>
    <w:rsid w:val="00CD6621"/>
    <w:rsid w:val="00CE103D"/>
    <w:rsid w:val="00CE2931"/>
    <w:rsid w:val="00CF387F"/>
    <w:rsid w:val="00CF5D78"/>
    <w:rsid w:val="00CF7BBA"/>
    <w:rsid w:val="00D010EE"/>
    <w:rsid w:val="00D03726"/>
    <w:rsid w:val="00D040EB"/>
    <w:rsid w:val="00D04F37"/>
    <w:rsid w:val="00D06A93"/>
    <w:rsid w:val="00D13FF3"/>
    <w:rsid w:val="00D16565"/>
    <w:rsid w:val="00D176C2"/>
    <w:rsid w:val="00D200AB"/>
    <w:rsid w:val="00D240C8"/>
    <w:rsid w:val="00D27009"/>
    <w:rsid w:val="00D27EB4"/>
    <w:rsid w:val="00D30176"/>
    <w:rsid w:val="00D306A2"/>
    <w:rsid w:val="00D30F11"/>
    <w:rsid w:val="00D3485F"/>
    <w:rsid w:val="00D516BF"/>
    <w:rsid w:val="00D51EB9"/>
    <w:rsid w:val="00D567E7"/>
    <w:rsid w:val="00D62CBC"/>
    <w:rsid w:val="00D63C4D"/>
    <w:rsid w:val="00D65279"/>
    <w:rsid w:val="00D65CD0"/>
    <w:rsid w:val="00D7276E"/>
    <w:rsid w:val="00D73D87"/>
    <w:rsid w:val="00D8253A"/>
    <w:rsid w:val="00D840D5"/>
    <w:rsid w:val="00D870F0"/>
    <w:rsid w:val="00D87219"/>
    <w:rsid w:val="00D90B18"/>
    <w:rsid w:val="00D934C9"/>
    <w:rsid w:val="00D9708B"/>
    <w:rsid w:val="00D974BF"/>
    <w:rsid w:val="00D97557"/>
    <w:rsid w:val="00DA1311"/>
    <w:rsid w:val="00DA13EE"/>
    <w:rsid w:val="00DA162D"/>
    <w:rsid w:val="00DA74EB"/>
    <w:rsid w:val="00DA7A5E"/>
    <w:rsid w:val="00DB168B"/>
    <w:rsid w:val="00DB7836"/>
    <w:rsid w:val="00DC0699"/>
    <w:rsid w:val="00DC192F"/>
    <w:rsid w:val="00DD252E"/>
    <w:rsid w:val="00DD39F2"/>
    <w:rsid w:val="00DD791D"/>
    <w:rsid w:val="00DE14EE"/>
    <w:rsid w:val="00DE2431"/>
    <w:rsid w:val="00DE32D6"/>
    <w:rsid w:val="00DE7055"/>
    <w:rsid w:val="00DE758C"/>
    <w:rsid w:val="00DF2FB3"/>
    <w:rsid w:val="00DF311E"/>
    <w:rsid w:val="00DF3319"/>
    <w:rsid w:val="00DF3A2D"/>
    <w:rsid w:val="00DF3CF7"/>
    <w:rsid w:val="00DF5A72"/>
    <w:rsid w:val="00DF7ABA"/>
    <w:rsid w:val="00E020B2"/>
    <w:rsid w:val="00E04F1B"/>
    <w:rsid w:val="00E0664B"/>
    <w:rsid w:val="00E07FEE"/>
    <w:rsid w:val="00E136D4"/>
    <w:rsid w:val="00E176DB"/>
    <w:rsid w:val="00E17BE3"/>
    <w:rsid w:val="00E213CA"/>
    <w:rsid w:val="00E219BC"/>
    <w:rsid w:val="00E22162"/>
    <w:rsid w:val="00E22381"/>
    <w:rsid w:val="00E22CB6"/>
    <w:rsid w:val="00E234BB"/>
    <w:rsid w:val="00E24809"/>
    <w:rsid w:val="00E24928"/>
    <w:rsid w:val="00E26484"/>
    <w:rsid w:val="00E3000A"/>
    <w:rsid w:val="00E301A6"/>
    <w:rsid w:val="00E315D7"/>
    <w:rsid w:val="00E31ACA"/>
    <w:rsid w:val="00E324FA"/>
    <w:rsid w:val="00E4225C"/>
    <w:rsid w:val="00E45CAA"/>
    <w:rsid w:val="00E470BA"/>
    <w:rsid w:val="00E51668"/>
    <w:rsid w:val="00E55E19"/>
    <w:rsid w:val="00E60B08"/>
    <w:rsid w:val="00E627FF"/>
    <w:rsid w:val="00E6465A"/>
    <w:rsid w:val="00E67E70"/>
    <w:rsid w:val="00E7004A"/>
    <w:rsid w:val="00E73D15"/>
    <w:rsid w:val="00E749A0"/>
    <w:rsid w:val="00E75B4E"/>
    <w:rsid w:val="00E76EAD"/>
    <w:rsid w:val="00E81000"/>
    <w:rsid w:val="00E85105"/>
    <w:rsid w:val="00E9129B"/>
    <w:rsid w:val="00E92606"/>
    <w:rsid w:val="00E939B4"/>
    <w:rsid w:val="00E943EA"/>
    <w:rsid w:val="00E94432"/>
    <w:rsid w:val="00EA46B7"/>
    <w:rsid w:val="00EA534A"/>
    <w:rsid w:val="00EA5E5A"/>
    <w:rsid w:val="00EA640C"/>
    <w:rsid w:val="00EA65E6"/>
    <w:rsid w:val="00EB6D5F"/>
    <w:rsid w:val="00EC3B12"/>
    <w:rsid w:val="00EC4F7C"/>
    <w:rsid w:val="00EC6DD5"/>
    <w:rsid w:val="00ED11E2"/>
    <w:rsid w:val="00ED2A20"/>
    <w:rsid w:val="00ED37A8"/>
    <w:rsid w:val="00ED3CEB"/>
    <w:rsid w:val="00ED623B"/>
    <w:rsid w:val="00EE0A3F"/>
    <w:rsid w:val="00EE16B4"/>
    <w:rsid w:val="00EE3D69"/>
    <w:rsid w:val="00EE3ED4"/>
    <w:rsid w:val="00EE5FE1"/>
    <w:rsid w:val="00EF1D89"/>
    <w:rsid w:val="00EF34C2"/>
    <w:rsid w:val="00EF4235"/>
    <w:rsid w:val="00EF5764"/>
    <w:rsid w:val="00EF69F4"/>
    <w:rsid w:val="00F02367"/>
    <w:rsid w:val="00F036B1"/>
    <w:rsid w:val="00F03E6A"/>
    <w:rsid w:val="00F112CD"/>
    <w:rsid w:val="00F12E84"/>
    <w:rsid w:val="00F152C9"/>
    <w:rsid w:val="00F2067E"/>
    <w:rsid w:val="00F22C17"/>
    <w:rsid w:val="00F22F22"/>
    <w:rsid w:val="00F2381D"/>
    <w:rsid w:val="00F2437B"/>
    <w:rsid w:val="00F24BD1"/>
    <w:rsid w:val="00F24FBD"/>
    <w:rsid w:val="00F261D6"/>
    <w:rsid w:val="00F269D7"/>
    <w:rsid w:val="00F3369C"/>
    <w:rsid w:val="00F33A54"/>
    <w:rsid w:val="00F3761A"/>
    <w:rsid w:val="00F410A9"/>
    <w:rsid w:val="00F44188"/>
    <w:rsid w:val="00F4433F"/>
    <w:rsid w:val="00F45458"/>
    <w:rsid w:val="00F45DA6"/>
    <w:rsid w:val="00F46244"/>
    <w:rsid w:val="00F4753A"/>
    <w:rsid w:val="00F53409"/>
    <w:rsid w:val="00F62268"/>
    <w:rsid w:val="00F66008"/>
    <w:rsid w:val="00F73D03"/>
    <w:rsid w:val="00F800C3"/>
    <w:rsid w:val="00F81692"/>
    <w:rsid w:val="00F824CB"/>
    <w:rsid w:val="00F85187"/>
    <w:rsid w:val="00F85676"/>
    <w:rsid w:val="00F85834"/>
    <w:rsid w:val="00F860F6"/>
    <w:rsid w:val="00F87A81"/>
    <w:rsid w:val="00F90E01"/>
    <w:rsid w:val="00F9247C"/>
    <w:rsid w:val="00F92E70"/>
    <w:rsid w:val="00F949BF"/>
    <w:rsid w:val="00FA277E"/>
    <w:rsid w:val="00FA3697"/>
    <w:rsid w:val="00FA615D"/>
    <w:rsid w:val="00FB0119"/>
    <w:rsid w:val="00FB21CA"/>
    <w:rsid w:val="00FB23C7"/>
    <w:rsid w:val="00FB39D0"/>
    <w:rsid w:val="00FC3136"/>
    <w:rsid w:val="00FC3404"/>
    <w:rsid w:val="00FD06AA"/>
    <w:rsid w:val="00FD14A4"/>
    <w:rsid w:val="00FE0CCF"/>
    <w:rsid w:val="00FE362F"/>
    <w:rsid w:val="00FE4AB4"/>
    <w:rsid w:val="00FE6138"/>
    <w:rsid w:val="00FE6A05"/>
    <w:rsid w:val="00FF6A03"/>
    <w:rsid w:val="00FF7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customStyle="1" w:styleId="Default">
    <w:name w:val="Default"/>
    <w:rsid w:val="00FA36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B662E"/>
    <w:rPr>
      <w:color w:val="0000FF" w:themeColor="hyperlink"/>
      <w:u w:val="single"/>
    </w:rPr>
  </w:style>
  <w:style w:type="paragraph" w:styleId="BalloonText">
    <w:name w:val="Balloon Text"/>
    <w:basedOn w:val="Normal"/>
    <w:link w:val="BalloonTextChar"/>
    <w:uiPriority w:val="99"/>
    <w:semiHidden/>
    <w:unhideWhenUsed/>
    <w:rsid w:val="007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0F"/>
    <w:rPr>
      <w:rFonts w:ascii="Tahoma" w:hAnsi="Tahoma" w:cs="Tahoma"/>
      <w:sz w:val="16"/>
      <w:szCs w:val="16"/>
    </w:rPr>
  </w:style>
  <w:style w:type="character" w:styleId="CommentReference">
    <w:name w:val="annotation reference"/>
    <w:basedOn w:val="DefaultParagraphFont"/>
    <w:uiPriority w:val="99"/>
    <w:semiHidden/>
    <w:unhideWhenUsed/>
    <w:rsid w:val="007F5510"/>
    <w:rPr>
      <w:sz w:val="16"/>
      <w:szCs w:val="16"/>
    </w:rPr>
  </w:style>
  <w:style w:type="paragraph" w:styleId="CommentText">
    <w:name w:val="annotation text"/>
    <w:basedOn w:val="Normal"/>
    <w:link w:val="CommentTextChar"/>
    <w:uiPriority w:val="99"/>
    <w:semiHidden/>
    <w:unhideWhenUsed/>
    <w:rsid w:val="007F5510"/>
    <w:pPr>
      <w:spacing w:line="240" w:lineRule="auto"/>
    </w:pPr>
    <w:rPr>
      <w:sz w:val="20"/>
      <w:szCs w:val="20"/>
    </w:rPr>
  </w:style>
  <w:style w:type="character" w:customStyle="1" w:styleId="CommentTextChar">
    <w:name w:val="Comment Text Char"/>
    <w:basedOn w:val="DefaultParagraphFont"/>
    <w:link w:val="CommentText"/>
    <w:uiPriority w:val="99"/>
    <w:semiHidden/>
    <w:rsid w:val="007F5510"/>
    <w:rPr>
      <w:sz w:val="20"/>
      <w:szCs w:val="20"/>
    </w:rPr>
  </w:style>
  <w:style w:type="paragraph" w:styleId="CommentSubject">
    <w:name w:val="annotation subject"/>
    <w:basedOn w:val="CommentText"/>
    <w:next w:val="CommentText"/>
    <w:link w:val="CommentSubjectChar"/>
    <w:uiPriority w:val="99"/>
    <w:semiHidden/>
    <w:unhideWhenUsed/>
    <w:rsid w:val="007F5510"/>
    <w:rPr>
      <w:b/>
      <w:bCs/>
    </w:rPr>
  </w:style>
  <w:style w:type="character" w:customStyle="1" w:styleId="CommentSubjectChar">
    <w:name w:val="Comment Subject Char"/>
    <w:basedOn w:val="CommentTextChar"/>
    <w:link w:val="CommentSubject"/>
    <w:uiPriority w:val="99"/>
    <w:semiHidden/>
    <w:rsid w:val="007F5510"/>
    <w:rPr>
      <w:b/>
      <w:bCs/>
      <w:sz w:val="20"/>
      <w:szCs w:val="20"/>
    </w:rPr>
  </w:style>
  <w:style w:type="paragraph" w:styleId="FootnoteText">
    <w:name w:val="footnote text"/>
    <w:basedOn w:val="Normal"/>
    <w:link w:val="FootnoteTextChar"/>
    <w:uiPriority w:val="99"/>
    <w:semiHidden/>
    <w:unhideWhenUsed/>
    <w:rsid w:val="00911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1E"/>
    <w:rPr>
      <w:sz w:val="20"/>
      <w:szCs w:val="20"/>
    </w:rPr>
  </w:style>
  <w:style w:type="character" w:styleId="FootnoteReference">
    <w:name w:val="footnote reference"/>
    <w:basedOn w:val="DefaultParagraphFont"/>
    <w:uiPriority w:val="99"/>
    <w:semiHidden/>
    <w:unhideWhenUsed/>
    <w:rsid w:val="00911C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customStyle="1" w:styleId="Default">
    <w:name w:val="Default"/>
    <w:rsid w:val="00FA36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B662E"/>
    <w:rPr>
      <w:color w:val="0000FF" w:themeColor="hyperlink"/>
      <w:u w:val="single"/>
    </w:rPr>
  </w:style>
  <w:style w:type="paragraph" w:styleId="BalloonText">
    <w:name w:val="Balloon Text"/>
    <w:basedOn w:val="Normal"/>
    <w:link w:val="BalloonTextChar"/>
    <w:uiPriority w:val="99"/>
    <w:semiHidden/>
    <w:unhideWhenUsed/>
    <w:rsid w:val="007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0F"/>
    <w:rPr>
      <w:rFonts w:ascii="Tahoma" w:hAnsi="Tahoma" w:cs="Tahoma"/>
      <w:sz w:val="16"/>
      <w:szCs w:val="16"/>
    </w:rPr>
  </w:style>
  <w:style w:type="character" w:styleId="CommentReference">
    <w:name w:val="annotation reference"/>
    <w:basedOn w:val="DefaultParagraphFont"/>
    <w:uiPriority w:val="99"/>
    <w:semiHidden/>
    <w:unhideWhenUsed/>
    <w:rsid w:val="007F5510"/>
    <w:rPr>
      <w:sz w:val="16"/>
      <w:szCs w:val="16"/>
    </w:rPr>
  </w:style>
  <w:style w:type="paragraph" w:styleId="CommentText">
    <w:name w:val="annotation text"/>
    <w:basedOn w:val="Normal"/>
    <w:link w:val="CommentTextChar"/>
    <w:uiPriority w:val="99"/>
    <w:semiHidden/>
    <w:unhideWhenUsed/>
    <w:rsid w:val="007F5510"/>
    <w:pPr>
      <w:spacing w:line="240" w:lineRule="auto"/>
    </w:pPr>
    <w:rPr>
      <w:sz w:val="20"/>
      <w:szCs w:val="20"/>
    </w:rPr>
  </w:style>
  <w:style w:type="character" w:customStyle="1" w:styleId="CommentTextChar">
    <w:name w:val="Comment Text Char"/>
    <w:basedOn w:val="DefaultParagraphFont"/>
    <w:link w:val="CommentText"/>
    <w:uiPriority w:val="99"/>
    <w:semiHidden/>
    <w:rsid w:val="007F5510"/>
    <w:rPr>
      <w:sz w:val="20"/>
      <w:szCs w:val="20"/>
    </w:rPr>
  </w:style>
  <w:style w:type="paragraph" w:styleId="CommentSubject">
    <w:name w:val="annotation subject"/>
    <w:basedOn w:val="CommentText"/>
    <w:next w:val="CommentText"/>
    <w:link w:val="CommentSubjectChar"/>
    <w:uiPriority w:val="99"/>
    <w:semiHidden/>
    <w:unhideWhenUsed/>
    <w:rsid w:val="007F5510"/>
    <w:rPr>
      <w:b/>
      <w:bCs/>
    </w:rPr>
  </w:style>
  <w:style w:type="character" w:customStyle="1" w:styleId="CommentSubjectChar">
    <w:name w:val="Comment Subject Char"/>
    <w:basedOn w:val="CommentTextChar"/>
    <w:link w:val="CommentSubject"/>
    <w:uiPriority w:val="99"/>
    <w:semiHidden/>
    <w:rsid w:val="007F5510"/>
    <w:rPr>
      <w:b/>
      <w:bCs/>
      <w:sz w:val="20"/>
      <w:szCs w:val="20"/>
    </w:rPr>
  </w:style>
  <w:style w:type="paragraph" w:styleId="FootnoteText">
    <w:name w:val="footnote text"/>
    <w:basedOn w:val="Normal"/>
    <w:link w:val="FootnoteTextChar"/>
    <w:uiPriority w:val="99"/>
    <w:semiHidden/>
    <w:unhideWhenUsed/>
    <w:rsid w:val="00911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1E"/>
    <w:rPr>
      <w:sz w:val="20"/>
      <w:szCs w:val="20"/>
    </w:rPr>
  </w:style>
  <w:style w:type="character" w:styleId="FootnoteReference">
    <w:name w:val="footnote reference"/>
    <w:basedOn w:val="DefaultParagraphFont"/>
    <w:uiPriority w:val="99"/>
    <w:semiHidden/>
    <w:unhideWhenUsed/>
    <w:rsid w:val="00911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6727">
      <w:bodyDiv w:val="1"/>
      <w:marLeft w:val="0"/>
      <w:marRight w:val="0"/>
      <w:marTop w:val="0"/>
      <w:marBottom w:val="0"/>
      <w:divBdr>
        <w:top w:val="none" w:sz="0" w:space="0" w:color="auto"/>
        <w:left w:val="none" w:sz="0" w:space="0" w:color="auto"/>
        <w:bottom w:val="none" w:sz="0" w:space="0" w:color="auto"/>
        <w:right w:val="none" w:sz="0" w:space="0" w:color="auto"/>
      </w:divBdr>
    </w:div>
    <w:div w:id="17401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31B8-7044-45BC-8A58-87ADB2EF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Phillips</dc:creator>
  <cp:lastModifiedBy>grant.moodie</cp:lastModifiedBy>
  <cp:revision>3</cp:revision>
  <cp:lastPrinted>2015-05-01T07:49:00Z</cp:lastPrinted>
  <dcterms:created xsi:type="dcterms:W3CDTF">2015-11-24T23:10:00Z</dcterms:created>
  <dcterms:modified xsi:type="dcterms:W3CDTF">2015-11-25T00:33:00Z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C347802</vt:lpwstr>
  </property>
  <property fmtid="{D5CDD505-2E9C-101B-9397-08002B2CF9AE}" pid="4" name="Objective-Title">
    <vt:lpwstr>ASIC Corporations (Externally-Administered Bodies) Instrument 2015/251 Explanatory Statement</vt:lpwstr>
  </property>
  <property fmtid="{D5CDD505-2E9C-101B-9397-08002B2CF9AE}" pid="5" name="Objective-Comment">
    <vt:lpwstr>
    </vt:lpwstr>
  </property>
  <property fmtid="{D5CDD505-2E9C-101B-9397-08002B2CF9AE}" pid="6" name="Objective-CreationStamp">
    <vt:filetime>2015-05-25T00:10:38Z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2015-05-25T00:15:42Z</vt:filetime>
  </property>
  <property fmtid="{D5CDD505-2E9C-101B-9397-08002B2CF9AE}" pid="11" name="Objective-Owner">
    <vt:lpwstr>Kyle Wright</vt:lpwstr>
  </property>
  <property fmtid="{D5CDD505-2E9C-101B-9397-08002B2CF9AE}" pid="12" name="Objective-Path">
    <vt:lpwstr>BCS:ASIC:POLICY &amp; REGULATORY FRAMEWORK:Policy Development:Corporate Finance:RG 174 Externally Administered Companies Review:Current working documents:</vt:lpwstr>
  </property>
  <property fmtid="{D5CDD505-2E9C-101B-9397-08002B2CF9AE}" pid="13" name="Objective-Parent">
    <vt:lpwstr>Current working documents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2013 - 000485</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