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2A" w:rsidRPr="000C5DAC" w:rsidRDefault="00B2192A" w:rsidP="00B2192A">
      <w:pPr>
        <w:spacing w:before="0" w:after="120"/>
        <w:ind w:right="91"/>
        <w:jc w:val="center"/>
        <w:rPr>
          <w:rFonts w:ascii="Arial" w:hAnsi="Arial" w:cs="Arial"/>
          <w:b/>
          <w:szCs w:val="24"/>
          <w:u w:val="single"/>
        </w:rPr>
      </w:pPr>
      <w:bookmarkStart w:id="0" w:name="_GoBack"/>
      <w:bookmarkEnd w:id="0"/>
      <w:r w:rsidRPr="000C5DAC">
        <w:rPr>
          <w:rFonts w:ascii="Arial" w:hAnsi="Arial" w:cs="Arial"/>
          <w:b/>
          <w:szCs w:val="24"/>
          <w:u w:val="single"/>
        </w:rPr>
        <w:t xml:space="preserve">EXPLANATORY STATEMENT </w:t>
      </w:r>
    </w:p>
    <w:p w:rsidR="00B2192A" w:rsidRPr="000C5DAC" w:rsidRDefault="00B2192A" w:rsidP="00B2192A">
      <w:pPr>
        <w:spacing w:before="0"/>
        <w:ind w:right="91"/>
        <w:jc w:val="center"/>
        <w:rPr>
          <w:rFonts w:ascii="Arial" w:hAnsi="Arial" w:cs="Arial"/>
          <w:b/>
          <w:szCs w:val="24"/>
          <w:u w:val="single"/>
        </w:rPr>
      </w:pPr>
    </w:p>
    <w:p w:rsidR="00B2192A" w:rsidRPr="000C5DAC" w:rsidRDefault="00B2192A" w:rsidP="00B2192A">
      <w:pPr>
        <w:spacing w:before="0"/>
        <w:ind w:right="91"/>
        <w:jc w:val="center"/>
        <w:rPr>
          <w:rFonts w:ascii="Arial" w:hAnsi="Arial" w:cs="Arial"/>
          <w:szCs w:val="24"/>
        </w:rPr>
      </w:pPr>
      <w:r w:rsidRPr="000C5DAC">
        <w:rPr>
          <w:rFonts w:ascii="Arial" w:hAnsi="Arial" w:cs="Arial"/>
          <w:szCs w:val="24"/>
        </w:rPr>
        <w:t xml:space="preserve">Issued by the authority of the Minister for Social Services </w:t>
      </w:r>
    </w:p>
    <w:p w:rsidR="00B2192A" w:rsidRPr="000C5DAC" w:rsidRDefault="001851F4" w:rsidP="00B2192A">
      <w:pPr>
        <w:autoSpaceDE w:val="0"/>
        <w:autoSpaceDN w:val="0"/>
        <w:adjustRightInd w:val="0"/>
        <w:jc w:val="center"/>
        <w:rPr>
          <w:rFonts w:ascii="Arial" w:hAnsi="Arial" w:cs="Arial"/>
          <w:b/>
          <w:bCs/>
          <w:szCs w:val="24"/>
        </w:rPr>
      </w:pPr>
      <w:r>
        <w:rPr>
          <w:rFonts w:ascii="Arial" w:hAnsi="Arial" w:cs="Arial"/>
          <w:bCs/>
          <w:i/>
          <w:szCs w:val="24"/>
        </w:rPr>
        <w:t>A New Tax System (Family Assistance)</w:t>
      </w:r>
      <w:r w:rsidR="00B2192A" w:rsidRPr="000C5DAC">
        <w:rPr>
          <w:rFonts w:ascii="Arial" w:hAnsi="Arial" w:cs="Arial"/>
          <w:bCs/>
          <w:i/>
          <w:szCs w:val="24"/>
        </w:rPr>
        <w:t xml:space="preserve"> Act 199</w:t>
      </w:r>
      <w:r>
        <w:rPr>
          <w:rFonts w:ascii="Arial" w:hAnsi="Arial" w:cs="Arial"/>
          <w:bCs/>
          <w:i/>
          <w:szCs w:val="24"/>
        </w:rPr>
        <w:t>9</w:t>
      </w:r>
    </w:p>
    <w:p w:rsidR="00B2192A" w:rsidRPr="000C5DAC" w:rsidRDefault="001851F4" w:rsidP="00B2192A">
      <w:pPr>
        <w:autoSpaceDE w:val="0"/>
        <w:autoSpaceDN w:val="0"/>
        <w:adjustRightInd w:val="0"/>
        <w:jc w:val="center"/>
        <w:rPr>
          <w:rFonts w:ascii="Arial" w:hAnsi="Arial" w:cs="Arial"/>
          <w:bCs/>
          <w:i/>
          <w:szCs w:val="24"/>
        </w:rPr>
      </w:pPr>
      <w:r>
        <w:rPr>
          <w:rFonts w:ascii="Arial" w:hAnsi="Arial" w:cs="Arial"/>
          <w:bCs/>
          <w:i/>
          <w:szCs w:val="24"/>
        </w:rPr>
        <w:t>Family Assistance (Vaccination Schedules) (DSS) Determination 2015</w:t>
      </w:r>
    </w:p>
    <w:p w:rsidR="00B2192A" w:rsidRPr="000C5DAC" w:rsidRDefault="00B2192A" w:rsidP="00B2192A">
      <w:pPr>
        <w:spacing w:before="0"/>
        <w:ind w:right="91"/>
        <w:jc w:val="center"/>
        <w:rPr>
          <w:rFonts w:ascii="Arial" w:hAnsi="Arial" w:cs="Arial"/>
          <w:i/>
          <w:szCs w:val="24"/>
        </w:rPr>
      </w:pPr>
    </w:p>
    <w:p w:rsidR="00B2192A" w:rsidRPr="000C5DAC" w:rsidRDefault="00B2192A" w:rsidP="00B2192A">
      <w:pPr>
        <w:spacing w:before="0"/>
        <w:ind w:right="91"/>
        <w:rPr>
          <w:rFonts w:ascii="Arial" w:hAnsi="Arial" w:cs="Arial"/>
          <w:b/>
          <w:szCs w:val="24"/>
        </w:rPr>
      </w:pPr>
      <w:r w:rsidRPr="000C5DAC">
        <w:rPr>
          <w:rFonts w:ascii="Arial" w:hAnsi="Arial" w:cs="Arial"/>
          <w:b/>
          <w:szCs w:val="24"/>
        </w:rPr>
        <w:t>Purpose</w:t>
      </w:r>
    </w:p>
    <w:p w:rsidR="007B0256" w:rsidRDefault="00B2192A" w:rsidP="00B2192A">
      <w:pPr>
        <w:rPr>
          <w:rFonts w:ascii="Arial" w:hAnsi="Arial" w:cs="Arial"/>
          <w:bCs/>
          <w:szCs w:val="24"/>
        </w:rPr>
      </w:pPr>
      <w:r w:rsidRPr="000C5DAC">
        <w:rPr>
          <w:rStyle w:val="BookTitle"/>
          <w:rFonts w:ascii="Arial" w:hAnsi="Arial" w:cs="Arial"/>
          <w:i w:val="0"/>
          <w:iCs w:val="0"/>
          <w:smallCaps w:val="0"/>
          <w:spacing w:val="0"/>
          <w:szCs w:val="24"/>
        </w:rPr>
        <w:t xml:space="preserve">The purpose of this Determination is to </w:t>
      </w:r>
      <w:r w:rsidR="001851F4">
        <w:rPr>
          <w:rStyle w:val="BookTitle"/>
          <w:rFonts w:ascii="Arial" w:hAnsi="Arial" w:cs="Arial"/>
          <w:i w:val="0"/>
          <w:iCs w:val="0"/>
          <w:smallCaps w:val="0"/>
          <w:spacing w:val="0"/>
          <w:szCs w:val="24"/>
        </w:rPr>
        <w:t>provide new vaccination schedule</w:t>
      </w:r>
      <w:r w:rsidR="003A56AA">
        <w:rPr>
          <w:rStyle w:val="BookTitle"/>
          <w:rFonts w:ascii="Arial" w:hAnsi="Arial" w:cs="Arial"/>
          <w:i w:val="0"/>
          <w:iCs w:val="0"/>
          <w:smallCaps w:val="0"/>
          <w:spacing w:val="0"/>
          <w:szCs w:val="24"/>
        </w:rPr>
        <w:t>s</w:t>
      </w:r>
      <w:r w:rsidR="001851F4">
        <w:rPr>
          <w:rStyle w:val="BookTitle"/>
          <w:rFonts w:ascii="Arial" w:hAnsi="Arial" w:cs="Arial"/>
          <w:i w:val="0"/>
          <w:iCs w:val="0"/>
          <w:smallCaps w:val="0"/>
          <w:spacing w:val="0"/>
          <w:szCs w:val="24"/>
        </w:rPr>
        <w:t xml:space="preserve"> for the purposes of the immunisation requirements for Family Tax Benefit (FTB) Part A supplement</w:t>
      </w:r>
      <w:r w:rsidRPr="000C5DAC">
        <w:rPr>
          <w:rFonts w:ascii="Arial" w:hAnsi="Arial" w:cs="Arial"/>
          <w:bCs/>
          <w:szCs w:val="24"/>
        </w:rPr>
        <w:t>.</w:t>
      </w:r>
    </w:p>
    <w:p w:rsidR="00A74AFA" w:rsidRPr="002635EA" w:rsidRDefault="00A74AFA" w:rsidP="00A74AFA">
      <w:pPr>
        <w:rPr>
          <w:rFonts w:ascii="Arial" w:hAnsi="Arial" w:cs="Arial"/>
          <w:b/>
          <w:szCs w:val="24"/>
        </w:rPr>
      </w:pPr>
      <w:r w:rsidRPr="002635EA">
        <w:rPr>
          <w:rFonts w:ascii="Arial" w:hAnsi="Arial" w:cs="Arial"/>
          <w:b/>
          <w:szCs w:val="24"/>
        </w:rPr>
        <w:t>Background</w:t>
      </w:r>
    </w:p>
    <w:p w:rsidR="001E6F8B" w:rsidRDefault="00E80A36" w:rsidP="0029549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Currently, the</w:t>
      </w:r>
      <w:r w:rsidR="001E6F8B">
        <w:rPr>
          <w:rStyle w:val="BookTitle"/>
          <w:rFonts w:ascii="Arial" w:hAnsi="Arial" w:cs="Arial"/>
          <w:i w:val="0"/>
          <w:iCs w:val="0"/>
          <w:smallCaps w:val="0"/>
          <w:spacing w:val="0"/>
          <w:szCs w:val="24"/>
        </w:rPr>
        <w:t xml:space="preserve"> general effect of section 61B of the </w:t>
      </w:r>
      <w:r w:rsidR="001E6F8B">
        <w:rPr>
          <w:rStyle w:val="BookTitle"/>
          <w:rFonts w:ascii="Arial" w:hAnsi="Arial" w:cs="Arial"/>
          <w:iCs w:val="0"/>
          <w:smallCaps w:val="0"/>
          <w:spacing w:val="0"/>
          <w:szCs w:val="24"/>
        </w:rPr>
        <w:t xml:space="preserve">A New Tax System (Family Assistance) Act 1999 </w:t>
      </w:r>
      <w:r w:rsidR="001E6F8B">
        <w:rPr>
          <w:rStyle w:val="BookTitle"/>
          <w:rFonts w:ascii="Arial" w:hAnsi="Arial" w:cs="Arial"/>
          <w:i w:val="0"/>
          <w:iCs w:val="0"/>
          <w:smallCaps w:val="0"/>
          <w:spacing w:val="0"/>
          <w:szCs w:val="24"/>
        </w:rPr>
        <w:t xml:space="preserve">(the Act) is that FTB Part A supplement is not to be paid </w:t>
      </w:r>
      <w:r>
        <w:rPr>
          <w:rStyle w:val="BookTitle"/>
          <w:rFonts w:ascii="Arial" w:hAnsi="Arial" w:cs="Arial"/>
          <w:i w:val="0"/>
          <w:iCs w:val="0"/>
          <w:smallCaps w:val="0"/>
          <w:spacing w:val="0"/>
          <w:szCs w:val="24"/>
        </w:rPr>
        <w:t xml:space="preserve">for income years in which an FTB child turns </w:t>
      </w:r>
      <w:r w:rsidR="00764F0B">
        <w:rPr>
          <w:rStyle w:val="BookTitle"/>
          <w:rFonts w:ascii="Arial" w:hAnsi="Arial" w:cs="Arial"/>
          <w:i w:val="0"/>
          <w:iCs w:val="0"/>
          <w:smallCaps w:val="0"/>
          <w:spacing w:val="0"/>
          <w:szCs w:val="24"/>
        </w:rPr>
        <w:t>one</w:t>
      </w:r>
      <w:r>
        <w:rPr>
          <w:rStyle w:val="BookTitle"/>
          <w:rFonts w:ascii="Arial" w:hAnsi="Arial" w:cs="Arial"/>
          <w:i w:val="0"/>
          <w:iCs w:val="0"/>
          <w:smallCaps w:val="0"/>
          <w:spacing w:val="0"/>
          <w:szCs w:val="24"/>
        </w:rPr>
        <w:t xml:space="preserve">, </w:t>
      </w:r>
      <w:r w:rsidR="00764F0B">
        <w:rPr>
          <w:rStyle w:val="BookTitle"/>
          <w:rFonts w:ascii="Arial" w:hAnsi="Arial" w:cs="Arial"/>
          <w:i w:val="0"/>
          <w:iCs w:val="0"/>
          <w:smallCaps w:val="0"/>
          <w:spacing w:val="0"/>
          <w:szCs w:val="24"/>
        </w:rPr>
        <w:t>two</w:t>
      </w:r>
      <w:r>
        <w:rPr>
          <w:rStyle w:val="BookTitle"/>
          <w:rFonts w:ascii="Arial" w:hAnsi="Arial" w:cs="Arial"/>
          <w:i w:val="0"/>
          <w:iCs w:val="0"/>
          <w:smallCaps w:val="0"/>
          <w:spacing w:val="0"/>
          <w:szCs w:val="24"/>
        </w:rPr>
        <w:t xml:space="preserve"> and </w:t>
      </w:r>
      <w:r w:rsidR="00764F0B">
        <w:rPr>
          <w:rStyle w:val="BookTitle"/>
          <w:rFonts w:ascii="Arial" w:hAnsi="Arial" w:cs="Arial"/>
          <w:i w:val="0"/>
          <w:iCs w:val="0"/>
          <w:smallCaps w:val="0"/>
          <w:spacing w:val="0"/>
          <w:szCs w:val="24"/>
        </w:rPr>
        <w:t>five</w:t>
      </w:r>
      <w:r w:rsidR="003A56AA">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1E6F8B">
        <w:rPr>
          <w:rStyle w:val="BookTitle"/>
          <w:rFonts w:ascii="Arial" w:hAnsi="Arial" w:cs="Arial"/>
          <w:i w:val="0"/>
          <w:iCs w:val="0"/>
          <w:smallCaps w:val="0"/>
          <w:spacing w:val="0"/>
          <w:szCs w:val="24"/>
        </w:rPr>
        <w:t>unless the child meets the immunisation requirements. Section 6 of the Act provides for the immunisation requirements.  One of the ways in which a child meets the immunisation requirements is if the child has been immunised.</w:t>
      </w:r>
    </w:p>
    <w:p w:rsidR="00295495" w:rsidRDefault="00087B1B" w:rsidP="00295495">
      <w:pPr>
        <w:rPr>
          <w:rFonts w:ascii="Arial" w:hAnsi="Arial"/>
        </w:rPr>
      </w:pPr>
      <w:r>
        <w:rPr>
          <w:rFonts w:ascii="Arial" w:hAnsi="Arial"/>
          <w:b/>
          <w:i/>
        </w:rPr>
        <w:t>Immunised</w:t>
      </w:r>
      <w:r>
        <w:rPr>
          <w:rFonts w:ascii="Arial" w:hAnsi="Arial"/>
        </w:rPr>
        <w:t xml:space="preserve"> is defined in subsection 3(1) of the Act as meaning immunised in accordance with a standard or catch up vaccination schedule determined under section 4 of the Act.  Under section 4 of the Act, the Minister must, by legislative instrument, determine one or more of each of those schedules.</w:t>
      </w:r>
    </w:p>
    <w:p w:rsidR="00087B1B" w:rsidRPr="00087B1B" w:rsidRDefault="00087B1B" w:rsidP="0029549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E80A36">
        <w:rPr>
          <w:rStyle w:val="BookTitle"/>
          <w:rFonts w:ascii="Arial" w:hAnsi="Arial" w:cs="Arial"/>
          <w:iCs w:val="0"/>
          <w:smallCaps w:val="0"/>
          <w:spacing w:val="0"/>
          <w:szCs w:val="24"/>
        </w:rPr>
        <w:t xml:space="preserve">Family Assistance (Vaccination Schedules) (FaHCSIA) Determination 2008 </w:t>
      </w:r>
      <w:r w:rsidR="00E80A36">
        <w:rPr>
          <w:rStyle w:val="BookTitle"/>
          <w:rFonts w:ascii="Arial" w:hAnsi="Arial" w:cs="Arial"/>
          <w:i w:val="0"/>
          <w:iCs w:val="0"/>
          <w:smallCaps w:val="0"/>
          <w:spacing w:val="0"/>
          <w:szCs w:val="24"/>
        </w:rPr>
        <w:t>(2008</w:t>
      </w:r>
      <w:r w:rsidR="000D7712">
        <w:rPr>
          <w:rStyle w:val="BookTitle"/>
          <w:rFonts w:ascii="Arial" w:hAnsi="Arial" w:cs="Arial"/>
          <w:i w:val="0"/>
          <w:iCs w:val="0"/>
          <w:smallCaps w:val="0"/>
          <w:spacing w:val="0"/>
          <w:szCs w:val="24"/>
        </w:rPr>
        <w:t xml:space="preserve"> Determination</w:t>
      </w:r>
      <w:r w:rsidR="00E80A36">
        <w:rPr>
          <w:rStyle w:val="BookTitle"/>
          <w:rFonts w:ascii="Arial" w:hAnsi="Arial" w:cs="Arial"/>
          <w:i w:val="0"/>
          <w:iCs w:val="0"/>
          <w:smallCaps w:val="0"/>
          <w:spacing w:val="0"/>
          <w:szCs w:val="24"/>
        </w:rPr>
        <w:t xml:space="preserve">) and </w:t>
      </w:r>
      <w:r>
        <w:rPr>
          <w:rStyle w:val="BookTitle"/>
          <w:rFonts w:ascii="Arial" w:hAnsi="Arial" w:cs="Arial"/>
          <w:iCs w:val="0"/>
          <w:smallCaps w:val="0"/>
          <w:spacing w:val="0"/>
          <w:szCs w:val="24"/>
        </w:rPr>
        <w:t xml:space="preserve">Family Assistance (Vaccination Schedules) (FaHCSIA) Determination 2012 </w:t>
      </w:r>
      <w:r>
        <w:rPr>
          <w:rStyle w:val="BookTitle"/>
          <w:rFonts w:ascii="Arial" w:hAnsi="Arial" w:cs="Arial"/>
          <w:i w:val="0"/>
          <w:iCs w:val="0"/>
          <w:smallCaps w:val="0"/>
          <w:spacing w:val="0"/>
          <w:szCs w:val="24"/>
        </w:rPr>
        <w:t xml:space="preserve">(2012 Determination) </w:t>
      </w:r>
      <w:r w:rsidR="000D7712">
        <w:rPr>
          <w:rStyle w:val="BookTitle"/>
          <w:rFonts w:ascii="Arial" w:hAnsi="Arial" w:cs="Arial"/>
          <w:i w:val="0"/>
          <w:iCs w:val="0"/>
          <w:smallCaps w:val="0"/>
          <w:spacing w:val="0"/>
          <w:szCs w:val="24"/>
        </w:rPr>
        <w:t>are</w:t>
      </w:r>
      <w:r>
        <w:rPr>
          <w:rStyle w:val="BookTitle"/>
          <w:rFonts w:ascii="Arial" w:hAnsi="Arial" w:cs="Arial"/>
          <w:i w:val="0"/>
          <w:iCs w:val="0"/>
          <w:smallCaps w:val="0"/>
          <w:spacing w:val="0"/>
          <w:szCs w:val="24"/>
        </w:rPr>
        <w:t xml:space="preserve"> determined for the purposes of </w:t>
      </w:r>
      <w:r w:rsidR="00731127">
        <w:rPr>
          <w:rStyle w:val="BookTitle"/>
          <w:rFonts w:ascii="Arial" w:hAnsi="Arial" w:cs="Arial"/>
          <w:i w:val="0"/>
          <w:iCs w:val="0"/>
          <w:smallCaps w:val="0"/>
          <w:spacing w:val="0"/>
          <w:szCs w:val="24"/>
        </w:rPr>
        <w:t>section </w:t>
      </w:r>
      <w:r>
        <w:rPr>
          <w:rStyle w:val="BookTitle"/>
          <w:rFonts w:ascii="Arial" w:hAnsi="Arial" w:cs="Arial"/>
          <w:i w:val="0"/>
          <w:iCs w:val="0"/>
          <w:smallCaps w:val="0"/>
          <w:spacing w:val="0"/>
          <w:szCs w:val="24"/>
        </w:rPr>
        <w:t xml:space="preserve">4.  This Determination revokes the </w:t>
      </w:r>
      <w:r w:rsidR="00E80A36">
        <w:rPr>
          <w:rStyle w:val="BookTitle"/>
          <w:rFonts w:ascii="Arial" w:hAnsi="Arial" w:cs="Arial"/>
          <w:i w:val="0"/>
          <w:iCs w:val="0"/>
          <w:smallCaps w:val="0"/>
          <w:spacing w:val="0"/>
          <w:szCs w:val="24"/>
        </w:rPr>
        <w:t xml:space="preserve">2008 Determination and the </w:t>
      </w:r>
      <w:r w:rsidR="00511A86">
        <w:rPr>
          <w:rStyle w:val="BookTitle"/>
          <w:rFonts w:ascii="Arial" w:hAnsi="Arial" w:cs="Arial"/>
          <w:i w:val="0"/>
          <w:iCs w:val="0"/>
          <w:smallCaps w:val="0"/>
          <w:spacing w:val="0"/>
          <w:szCs w:val="24"/>
        </w:rPr>
        <w:t>2012 </w:t>
      </w:r>
      <w:r>
        <w:rPr>
          <w:rStyle w:val="BookTitle"/>
          <w:rFonts w:ascii="Arial" w:hAnsi="Arial" w:cs="Arial"/>
          <w:i w:val="0"/>
          <w:iCs w:val="0"/>
          <w:smallCaps w:val="0"/>
          <w:spacing w:val="0"/>
          <w:szCs w:val="24"/>
        </w:rPr>
        <w:t>Determination and determines new standard vaccination schedules and catch up vaccination schedules for the purposes of section 4 of the Act.</w:t>
      </w:r>
    </w:p>
    <w:p w:rsidR="00A74AFA" w:rsidRDefault="00A20531" w:rsidP="00DC1EDC">
      <w:pPr>
        <w:rPr>
          <w:rFonts w:ascii="Arial" w:hAnsi="Arial" w:cs="Arial"/>
        </w:rPr>
      </w:pPr>
      <w:r w:rsidRPr="00435CA9">
        <w:rPr>
          <w:rFonts w:ascii="Arial" w:hAnsi="Arial" w:cs="Arial"/>
        </w:rPr>
        <w:t xml:space="preserve">Under subsection 33(3) of the </w:t>
      </w:r>
      <w:r w:rsidRPr="00435CA9">
        <w:rPr>
          <w:rFonts w:ascii="Arial" w:hAnsi="Arial" w:cs="Arial"/>
          <w:i/>
        </w:rPr>
        <w:t>Acts Interpretation Act 1901</w:t>
      </w:r>
      <w:r w:rsidRPr="00435CA9">
        <w:rPr>
          <w:rFonts w:ascii="Arial" w:hAnsi="Arial" w:cs="Arial"/>
        </w:rPr>
        <w:t>, where an Act confers a power to make any instrument of a legislative or administrative character, the power shall be construed as including a power exercisable in the like manner and subject to the like conditions (if any) to revoke such instrument</w:t>
      </w:r>
      <w:r>
        <w:rPr>
          <w:rFonts w:ascii="Arial" w:hAnsi="Arial" w:cs="Arial"/>
        </w:rPr>
        <w:t>.</w:t>
      </w:r>
    </w:p>
    <w:p w:rsidR="00E80A36" w:rsidRPr="00E80A36" w:rsidRDefault="00E80A36" w:rsidP="00DC1EDC">
      <w:pPr>
        <w:rPr>
          <w:rFonts w:ascii="Arial" w:hAnsi="Arial" w:cs="Arial"/>
        </w:rPr>
      </w:pPr>
      <w:r>
        <w:rPr>
          <w:rFonts w:ascii="Arial" w:hAnsi="Arial" w:cs="Arial"/>
        </w:rPr>
        <w:t xml:space="preserve">The </w:t>
      </w:r>
      <w:r w:rsidRPr="003A56AA">
        <w:rPr>
          <w:rFonts w:ascii="Arial" w:hAnsi="Arial" w:cs="Arial"/>
          <w:i/>
        </w:rPr>
        <w:t xml:space="preserve">Social Services Legislation Amendment (No Jab, No Pay) </w:t>
      </w:r>
      <w:r w:rsidR="003A56AA" w:rsidRPr="003A56AA">
        <w:rPr>
          <w:rFonts w:ascii="Arial" w:hAnsi="Arial" w:cs="Arial"/>
          <w:i/>
        </w:rPr>
        <w:t>Act</w:t>
      </w:r>
      <w:r w:rsidRPr="003A56AA">
        <w:rPr>
          <w:rFonts w:ascii="Arial" w:hAnsi="Arial" w:cs="Arial"/>
          <w:i/>
        </w:rPr>
        <w:t xml:space="preserve"> 2015</w:t>
      </w:r>
      <w:r>
        <w:rPr>
          <w:rFonts w:ascii="Arial" w:hAnsi="Arial" w:cs="Arial"/>
        </w:rPr>
        <w:t xml:space="preserve"> </w:t>
      </w:r>
      <w:r w:rsidR="000D7712">
        <w:rPr>
          <w:rFonts w:ascii="Arial" w:hAnsi="Arial" w:cs="Arial"/>
        </w:rPr>
        <w:t xml:space="preserve">(No Jab, No Pay </w:t>
      </w:r>
      <w:r w:rsidR="003A56AA">
        <w:rPr>
          <w:rFonts w:ascii="Arial" w:hAnsi="Arial" w:cs="Arial"/>
        </w:rPr>
        <w:t>Act</w:t>
      </w:r>
      <w:r w:rsidR="000D7712">
        <w:rPr>
          <w:rFonts w:ascii="Arial" w:hAnsi="Arial" w:cs="Arial"/>
        </w:rPr>
        <w:t xml:space="preserve">) </w:t>
      </w:r>
      <w:r>
        <w:rPr>
          <w:rFonts w:ascii="Arial" w:hAnsi="Arial" w:cs="Arial"/>
        </w:rPr>
        <w:t xml:space="preserve">amends, from 1 January 2016, the immunisation requirements for FTB </w:t>
      </w:r>
      <w:r w:rsidR="00731127">
        <w:rPr>
          <w:rFonts w:ascii="Arial" w:hAnsi="Arial" w:cs="Arial"/>
        </w:rPr>
        <w:t>Part </w:t>
      </w:r>
      <w:r>
        <w:rPr>
          <w:rFonts w:ascii="Arial" w:hAnsi="Arial" w:cs="Arial"/>
        </w:rPr>
        <w:t>A supplement</w:t>
      </w:r>
      <w:r w:rsidR="00E71327">
        <w:rPr>
          <w:rFonts w:ascii="Arial" w:hAnsi="Arial" w:cs="Arial"/>
        </w:rPr>
        <w:t xml:space="preserve">.  Following those amendments, an FTB child will need to meet the immunisation requirements in the </w:t>
      </w:r>
      <w:r>
        <w:rPr>
          <w:rFonts w:ascii="Arial" w:hAnsi="Arial" w:cs="Arial"/>
        </w:rPr>
        <w:t>income year</w:t>
      </w:r>
      <w:r w:rsidR="00E71327">
        <w:rPr>
          <w:rFonts w:ascii="Arial" w:hAnsi="Arial" w:cs="Arial"/>
        </w:rPr>
        <w:t xml:space="preserve"> in which the child turns </w:t>
      </w:r>
      <w:r w:rsidR="00764F0B">
        <w:rPr>
          <w:rFonts w:ascii="Arial" w:hAnsi="Arial" w:cs="Arial"/>
        </w:rPr>
        <w:t>one</w:t>
      </w:r>
      <w:r>
        <w:rPr>
          <w:rFonts w:ascii="Arial" w:hAnsi="Arial" w:cs="Arial"/>
        </w:rPr>
        <w:t xml:space="preserve">, and </w:t>
      </w:r>
      <w:r w:rsidR="00785F8B">
        <w:rPr>
          <w:rFonts w:ascii="Arial" w:hAnsi="Arial" w:cs="Arial"/>
        </w:rPr>
        <w:t xml:space="preserve">also </w:t>
      </w:r>
      <w:r>
        <w:rPr>
          <w:rFonts w:ascii="Arial" w:hAnsi="Arial" w:cs="Arial"/>
        </w:rPr>
        <w:t>in each income year after that.  This Determination clarifies which vaccination schedule applies for children born from 1997 onwards.</w:t>
      </w:r>
    </w:p>
    <w:p w:rsidR="006D2F33" w:rsidRDefault="0081794F" w:rsidP="00DC1EDC">
      <w:pPr>
        <w:rPr>
          <w:rFonts w:ascii="Arial" w:hAnsi="Arial" w:cs="Arial"/>
        </w:rPr>
      </w:pPr>
      <w:r>
        <w:rPr>
          <w:rFonts w:ascii="Arial" w:hAnsi="Arial" w:cs="Arial"/>
        </w:rPr>
        <w:t xml:space="preserve">This Determination applies for the purposes of FTB Part A supplement.  Under the Administrative Arrangements Order, the Minister for Education and Training is responsible for administering the Act insofar as it relates to child care benefit (CCB).  </w:t>
      </w:r>
      <w:r>
        <w:rPr>
          <w:rFonts w:ascii="Arial" w:hAnsi="Arial" w:cs="Arial"/>
        </w:rPr>
        <w:lastRenderedPageBreak/>
        <w:t>As such, the Minister for Education and Training is responsible for determining vaccination schedules for the purposes of CCB.</w:t>
      </w:r>
    </w:p>
    <w:p w:rsidR="002635EA" w:rsidRDefault="002635EA" w:rsidP="00A74868">
      <w:pPr>
        <w:keepNext/>
        <w:rPr>
          <w:rFonts w:ascii="Arial" w:hAnsi="Arial" w:cs="Arial"/>
          <w:b/>
        </w:rPr>
      </w:pPr>
      <w:r>
        <w:rPr>
          <w:rFonts w:ascii="Arial" w:hAnsi="Arial" w:cs="Arial"/>
          <w:b/>
        </w:rPr>
        <w:t>Commencement</w:t>
      </w:r>
    </w:p>
    <w:p w:rsidR="002635EA" w:rsidRDefault="002635EA" w:rsidP="00DC1EDC">
      <w:pPr>
        <w:rPr>
          <w:rFonts w:ascii="Arial" w:hAnsi="Arial" w:cs="Arial"/>
        </w:rPr>
      </w:pPr>
      <w:r>
        <w:rPr>
          <w:rFonts w:ascii="Arial" w:hAnsi="Arial" w:cs="Arial"/>
        </w:rPr>
        <w:t>Th</w:t>
      </w:r>
      <w:r w:rsidR="00516E41">
        <w:rPr>
          <w:rFonts w:ascii="Arial" w:hAnsi="Arial" w:cs="Arial"/>
        </w:rPr>
        <w:t>is</w:t>
      </w:r>
      <w:r>
        <w:rPr>
          <w:rFonts w:ascii="Arial" w:hAnsi="Arial" w:cs="Arial"/>
        </w:rPr>
        <w:t xml:space="preserve"> Determination commences on 1 </w:t>
      </w:r>
      <w:r w:rsidR="001851F4">
        <w:rPr>
          <w:rFonts w:ascii="Arial" w:hAnsi="Arial" w:cs="Arial"/>
        </w:rPr>
        <w:t>January</w:t>
      </w:r>
      <w:r>
        <w:rPr>
          <w:rFonts w:ascii="Arial" w:hAnsi="Arial" w:cs="Arial"/>
        </w:rPr>
        <w:t xml:space="preserve"> 201</w:t>
      </w:r>
      <w:r w:rsidR="001851F4">
        <w:rPr>
          <w:rFonts w:ascii="Arial" w:hAnsi="Arial" w:cs="Arial"/>
        </w:rPr>
        <w:t>6</w:t>
      </w:r>
      <w:r>
        <w:rPr>
          <w:rFonts w:ascii="Arial" w:hAnsi="Arial" w:cs="Arial"/>
        </w:rPr>
        <w:t>.</w:t>
      </w:r>
    </w:p>
    <w:p w:rsidR="002635EA" w:rsidRPr="00BC76EB" w:rsidRDefault="002635EA" w:rsidP="002635E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2635EA" w:rsidRDefault="00764F0B" w:rsidP="002635EA">
      <w:pPr>
        <w:rPr>
          <w:rFonts w:ascii="Arial" w:hAnsi="Arial" w:cs="Arial"/>
          <w:szCs w:val="24"/>
        </w:rPr>
      </w:pPr>
      <w:r>
        <w:rPr>
          <w:rFonts w:ascii="Arial" w:hAnsi="Arial" w:cs="Arial"/>
          <w:szCs w:val="24"/>
        </w:rPr>
        <w:t>The Department of Health, the Department of Human Services and the Department of Education</w:t>
      </w:r>
      <w:r w:rsidR="00E35B13">
        <w:rPr>
          <w:rFonts w:ascii="Arial" w:hAnsi="Arial" w:cs="Arial"/>
          <w:szCs w:val="24"/>
        </w:rPr>
        <w:t xml:space="preserve"> and Training</w:t>
      </w:r>
      <w:r>
        <w:rPr>
          <w:rFonts w:ascii="Arial" w:hAnsi="Arial" w:cs="Arial"/>
          <w:szCs w:val="24"/>
        </w:rPr>
        <w:t xml:space="preserve"> were consulted in the preparation of this Determination. The Department of Health provided advice on the National Immunisation Programme early childhood schedule</w:t>
      </w:r>
      <w:r w:rsidR="00E35B13">
        <w:rPr>
          <w:rFonts w:ascii="Arial" w:hAnsi="Arial" w:cs="Arial"/>
          <w:szCs w:val="24"/>
        </w:rPr>
        <w:t xml:space="preserve"> and</w:t>
      </w:r>
      <w:r>
        <w:rPr>
          <w:rFonts w:ascii="Arial" w:hAnsi="Arial" w:cs="Arial"/>
          <w:szCs w:val="24"/>
        </w:rPr>
        <w:t xml:space="preserve"> the Australian Immunisation Handbook in relation to catch up schedules</w:t>
      </w:r>
      <w:r w:rsidR="00E35B13">
        <w:rPr>
          <w:rFonts w:ascii="Arial" w:hAnsi="Arial" w:cs="Arial"/>
          <w:szCs w:val="24"/>
        </w:rPr>
        <w:t xml:space="preserve">. The Department of Human Services provided advice in relation to the Australian Childhood Immunisation Register and historical vaccination schedules for the purposes of receiving Maternity Immunisation Allowance and the FTB Part A supplement. The Department of Education and Training provided input to ensure the definition of </w:t>
      </w:r>
      <w:r w:rsidR="00E35B13" w:rsidRPr="000A244E">
        <w:rPr>
          <w:rFonts w:ascii="Arial" w:hAnsi="Arial" w:cs="Arial"/>
          <w:b/>
          <w:i/>
          <w:szCs w:val="24"/>
        </w:rPr>
        <w:t>immunised</w:t>
      </w:r>
      <w:r w:rsidR="00E35B13">
        <w:rPr>
          <w:rFonts w:ascii="Arial" w:hAnsi="Arial" w:cs="Arial"/>
          <w:szCs w:val="24"/>
        </w:rPr>
        <w:t xml:space="preserve"> is aligned between </w:t>
      </w:r>
      <w:r w:rsidR="005C076F">
        <w:rPr>
          <w:rFonts w:ascii="Arial" w:hAnsi="Arial" w:cs="Arial"/>
          <w:szCs w:val="24"/>
        </w:rPr>
        <w:t>f</w:t>
      </w:r>
      <w:r w:rsidR="00E35B13">
        <w:rPr>
          <w:rFonts w:ascii="Arial" w:hAnsi="Arial" w:cs="Arial"/>
          <w:szCs w:val="24"/>
        </w:rPr>
        <w:t xml:space="preserve">amily </w:t>
      </w:r>
      <w:r w:rsidR="005C076F">
        <w:rPr>
          <w:rFonts w:ascii="Arial" w:hAnsi="Arial" w:cs="Arial"/>
          <w:szCs w:val="24"/>
        </w:rPr>
        <w:t>a</w:t>
      </w:r>
      <w:r w:rsidR="00E35B13">
        <w:rPr>
          <w:rFonts w:ascii="Arial" w:hAnsi="Arial" w:cs="Arial"/>
          <w:szCs w:val="24"/>
        </w:rPr>
        <w:t>ssistance payments.</w:t>
      </w:r>
    </w:p>
    <w:p w:rsidR="002635EA" w:rsidRPr="00BC76EB" w:rsidRDefault="002635EA" w:rsidP="002635EA">
      <w:pPr>
        <w:spacing w:after="240"/>
        <w:jc w:val="both"/>
        <w:rPr>
          <w:rFonts w:ascii="Arial" w:hAnsi="Arial" w:cs="Arial"/>
          <w:b/>
          <w:szCs w:val="24"/>
        </w:rPr>
      </w:pPr>
      <w:r w:rsidRPr="00BC76EB">
        <w:rPr>
          <w:rFonts w:ascii="Arial" w:hAnsi="Arial" w:cs="Arial"/>
          <w:b/>
          <w:szCs w:val="24"/>
        </w:rPr>
        <w:t>Regulation Impact Statement (RIS)</w:t>
      </w:r>
    </w:p>
    <w:p w:rsidR="002635EA" w:rsidRPr="0019288B" w:rsidRDefault="002635EA" w:rsidP="002635EA">
      <w:pPr>
        <w:spacing w:before="120"/>
        <w:rPr>
          <w:rFonts w:ascii="Arial" w:hAnsi="Arial" w:cs="Arial"/>
          <w:szCs w:val="24"/>
        </w:rPr>
      </w:pPr>
      <w:r w:rsidRPr="0019288B">
        <w:rPr>
          <w:rFonts w:ascii="Arial" w:hAnsi="Arial" w:cs="Arial"/>
          <w:szCs w:val="24"/>
        </w:rPr>
        <w:t>Th</w:t>
      </w:r>
      <w:r w:rsidR="00516E41">
        <w:rPr>
          <w:rFonts w:ascii="Arial" w:hAnsi="Arial" w:cs="Arial"/>
          <w:szCs w:val="24"/>
        </w:rPr>
        <w:t>is</w:t>
      </w:r>
      <w:r w:rsidRPr="0019288B">
        <w:rPr>
          <w:rFonts w:ascii="Arial" w:hAnsi="Arial" w:cs="Arial"/>
          <w:szCs w:val="24"/>
        </w:rPr>
        <w:t xml:space="preserve"> Determination does not require a Regulation Impact Statement because the Determination is not regulatory in nature, will not impact on business activity and will have no or minimal compliance costs or competition impact.</w:t>
      </w:r>
    </w:p>
    <w:p w:rsidR="002635EA" w:rsidRPr="00BC76EB" w:rsidRDefault="002635EA" w:rsidP="002635E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3B20E2" w:rsidRDefault="003B20E2" w:rsidP="002635E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 1 - Preliminary</w:t>
      </w:r>
    </w:p>
    <w:p w:rsidR="002635EA" w:rsidRDefault="002635EA" w:rsidP="002635E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r w:rsidRPr="00BC76EB">
        <w:rPr>
          <w:rStyle w:val="BookTitle"/>
          <w:rFonts w:ascii="Arial" w:hAnsi="Arial" w:cs="Arial"/>
          <w:i w:val="0"/>
          <w:iCs w:val="0"/>
          <w:smallCaps w:val="0"/>
          <w:spacing w:val="0"/>
          <w:szCs w:val="24"/>
        </w:rPr>
        <w:t xml:space="preserve"> </w:t>
      </w:r>
    </w:p>
    <w:p w:rsidR="003B20E2" w:rsidRDefault="003B20E2" w:rsidP="002635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how the Determination is to be cited, that is, as the </w:t>
      </w:r>
      <w:r>
        <w:rPr>
          <w:rStyle w:val="BookTitle"/>
          <w:rFonts w:ascii="Arial" w:hAnsi="Arial" w:cs="Arial"/>
          <w:iCs w:val="0"/>
          <w:smallCaps w:val="0"/>
          <w:spacing w:val="0"/>
          <w:szCs w:val="24"/>
        </w:rPr>
        <w:t xml:space="preserve">Family Assistance </w:t>
      </w:r>
      <w:r w:rsidR="000D7712">
        <w:rPr>
          <w:rStyle w:val="BookTitle"/>
          <w:rFonts w:ascii="Arial" w:hAnsi="Arial" w:cs="Arial"/>
          <w:iCs w:val="0"/>
          <w:smallCaps w:val="0"/>
          <w:spacing w:val="0"/>
          <w:szCs w:val="24"/>
        </w:rPr>
        <w:t>(Vaccination Schedules) (DSS) Determination 2015</w:t>
      </w:r>
      <w:r w:rsidR="000D7712">
        <w:rPr>
          <w:rStyle w:val="BookTitle"/>
          <w:rFonts w:ascii="Arial" w:hAnsi="Arial" w:cs="Arial"/>
          <w:i w:val="0"/>
          <w:iCs w:val="0"/>
          <w:smallCaps w:val="0"/>
          <w:spacing w:val="0"/>
          <w:szCs w:val="24"/>
        </w:rPr>
        <w:t>.</w:t>
      </w:r>
    </w:p>
    <w:p w:rsidR="000D7712" w:rsidRDefault="000D7712" w:rsidP="002635E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2</w:t>
      </w:r>
    </w:p>
    <w:p w:rsidR="000D7712" w:rsidRDefault="000D7712" w:rsidP="002635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Determination commences on 1 January 2016.  This is the same day on which the amendments made by the No Jab, No Pay </w:t>
      </w:r>
      <w:r w:rsidR="00785F8B">
        <w:rPr>
          <w:rStyle w:val="BookTitle"/>
          <w:rFonts w:ascii="Arial" w:hAnsi="Arial" w:cs="Arial"/>
          <w:i w:val="0"/>
          <w:iCs w:val="0"/>
          <w:smallCaps w:val="0"/>
          <w:spacing w:val="0"/>
          <w:szCs w:val="24"/>
        </w:rPr>
        <w:t>Act</w:t>
      </w:r>
      <w:r>
        <w:rPr>
          <w:rStyle w:val="BookTitle"/>
          <w:rFonts w:ascii="Arial" w:hAnsi="Arial" w:cs="Arial"/>
          <w:i w:val="0"/>
          <w:iCs w:val="0"/>
          <w:smallCaps w:val="0"/>
          <w:spacing w:val="0"/>
          <w:szCs w:val="24"/>
        </w:rPr>
        <w:t xml:space="preserve"> commence.</w:t>
      </w:r>
    </w:p>
    <w:p w:rsidR="000D7712" w:rsidRDefault="000D7712" w:rsidP="002635E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3</w:t>
      </w:r>
    </w:p>
    <w:p w:rsidR="000D7712" w:rsidRDefault="000D7712" w:rsidP="002635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3 provides that the 2008 Determination and the 2012 Determination are revoked.  The vaccination schedules will now be provided for under this Determination.</w:t>
      </w:r>
    </w:p>
    <w:p w:rsidR="000D7712" w:rsidRDefault="00A6737D" w:rsidP="002635E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4</w:t>
      </w:r>
    </w:p>
    <w:p w:rsidR="00A6737D" w:rsidRPr="00247182" w:rsidRDefault="00A6737D" w:rsidP="002635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defines </w:t>
      </w:r>
      <w:r w:rsidR="00E71327">
        <w:rPr>
          <w:rStyle w:val="BookTitle"/>
          <w:rFonts w:ascii="Arial" w:hAnsi="Arial" w:cs="Arial"/>
          <w:b/>
          <w:iCs w:val="0"/>
          <w:smallCaps w:val="0"/>
          <w:spacing w:val="0"/>
          <w:szCs w:val="24"/>
        </w:rPr>
        <w:t>National Health and Medical Research Council</w:t>
      </w:r>
      <w:r w:rsidR="00E71327">
        <w:rPr>
          <w:rStyle w:val="BookTitle"/>
          <w:rFonts w:ascii="Arial" w:hAnsi="Arial" w:cs="Arial"/>
          <w:i w:val="0"/>
          <w:iCs w:val="0"/>
          <w:smallCaps w:val="0"/>
          <w:spacing w:val="0"/>
          <w:szCs w:val="24"/>
        </w:rPr>
        <w:t xml:space="preserve">, </w:t>
      </w:r>
      <w:r w:rsidR="00E71327">
        <w:rPr>
          <w:rStyle w:val="BookTitle"/>
          <w:rFonts w:ascii="Arial" w:hAnsi="Arial" w:cs="Arial"/>
          <w:b/>
          <w:iCs w:val="0"/>
          <w:smallCaps w:val="0"/>
          <w:spacing w:val="0"/>
          <w:szCs w:val="24"/>
        </w:rPr>
        <w:t xml:space="preserve">Australian Immunisation Handbook </w:t>
      </w:r>
      <w:r w:rsidR="00E71327">
        <w:rPr>
          <w:rStyle w:val="BookTitle"/>
          <w:rFonts w:ascii="Arial" w:hAnsi="Arial" w:cs="Arial"/>
          <w:i w:val="0"/>
          <w:iCs w:val="0"/>
          <w:smallCaps w:val="0"/>
          <w:spacing w:val="0"/>
          <w:szCs w:val="24"/>
        </w:rPr>
        <w:t xml:space="preserve">and </w:t>
      </w:r>
      <w:r w:rsidR="00E71327">
        <w:rPr>
          <w:rStyle w:val="BookTitle"/>
          <w:rFonts w:ascii="Arial" w:hAnsi="Arial" w:cs="Arial"/>
          <w:b/>
          <w:iCs w:val="0"/>
          <w:smallCaps w:val="0"/>
          <w:spacing w:val="0"/>
          <w:szCs w:val="24"/>
        </w:rPr>
        <w:t>H</w:t>
      </w:r>
      <w:r w:rsidR="00247182">
        <w:rPr>
          <w:rStyle w:val="BookTitle"/>
          <w:rFonts w:ascii="Arial" w:hAnsi="Arial" w:cs="Arial"/>
          <w:b/>
          <w:iCs w:val="0"/>
          <w:smallCaps w:val="0"/>
          <w:spacing w:val="0"/>
          <w:szCs w:val="24"/>
        </w:rPr>
        <w:t>ib</w:t>
      </w:r>
      <w:r>
        <w:rPr>
          <w:rStyle w:val="BookTitle"/>
          <w:rFonts w:ascii="Arial" w:hAnsi="Arial" w:cs="Arial"/>
          <w:i w:val="0"/>
          <w:iCs w:val="0"/>
          <w:smallCaps w:val="0"/>
          <w:spacing w:val="0"/>
          <w:szCs w:val="24"/>
        </w:rPr>
        <w:t xml:space="preserve"> </w:t>
      </w:r>
      <w:r w:rsidR="00247182">
        <w:rPr>
          <w:rStyle w:val="BookTitle"/>
          <w:rFonts w:ascii="Arial" w:hAnsi="Arial" w:cs="Arial"/>
          <w:i w:val="0"/>
          <w:iCs w:val="0"/>
          <w:smallCaps w:val="0"/>
          <w:spacing w:val="0"/>
          <w:szCs w:val="24"/>
        </w:rPr>
        <w:t>for the purpose of</w:t>
      </w:r>
      <w:r>
        <w:rPr>
          <w:rStyle w:val="BookTitle"/>
          <w:rFonts w:ascii="Arial" w:hAnsi="Arial" w:cs="Arial"/>
          <w:i w:val="0"/>
          <w:iCs w:val="0"/>
          <w:smallCaps w:val="0"/>
          <w:spacing w:val="0"/>
          <w:szCs w:val="24"/>
        </w:rPr>
        <w:t xml:space="preserve"> the Determination.</w:t>
      </w:r>
      <w:r w:rsidR="00247182">
        <w:rPr>
          <w:rStyle w:val="BookTitle"/>
          <w:rFonts w:ascii="Arial" w:hAnsi="Arial" w:cs="Arial"/>
          <w:i w:val="0"/>
          <w:iCs w:val="0"/>
          <w:smallCaps w:val="0"/>
          <w:spacing w:val="0"/>
          <w:szCs w:val="24"/>
        </w:rPr>
        <w:t xml:space="preserve">  </w:t>
      </w:r>
      <w:r w:rsidR="00247182">
        <w:rPr>
          <w:rStyle w:val="BookTitle"/>
          <w:rFonts w:ascii="Arial" w:hAnsi="Arial" w:cs="Arial"/>
          <w:b/>
          <w:iCs w:val="0"/>
          <w:smallCaps w:val="0"/>
          <w:spacing w:val="0"/>
          <w:szCs w:val="24"/>
        </w:rPr>
        <w:t xml:space="preserve">Australian Immunisation Handbook </w:t>
      </w:r>
      <w:r w:rsidR="00247182">
        <w:rPr>
          <w:rStyle w:val="BookTitle"/>
          <w:rFonts w:ascii="Arial" w:hAnsi="Arial" w:cs="Arial"/>
          <w:i w:val="0"/>
          <w:iCs w:val="0"/>
          <w:smallCaps w:val="0"/>
          <w:spacing w:val="0"/>
          <w:szCs w:val="24"/>
        </w:rPr>
        <w:t>is now defined by reference to the 10</w:t>
      </w:r>
      <w:r w:rsidR="00247182" w:rsidRPr="00247182">
        <w:rPr>
          <w:rStyle w:val="BookTitle"/>
          <w:rFonts w:ascii="Arial" w:hAnsi="Arial" w:cs="Arial"/>
          <w:i w:val="0"/>
          <w:iCs w:val="0"/>
          <w:smallCaps w:val="0"/>
          <w:spacing w:val="0"/>
          <w:szCs w:val="24"/>
          <w:vertAlign w:val="superscript"/>
        </w:rPr>
        <w:t>th</w:t>
      </w:r>
      <w:r w:rsidR="00247182">
        <w:rPr>
          <w:rStyle w:val="BookTitle"/>
          <w:rFonts w:ascii="Arial" w:hAnsi="Arial" w:cs="Arial"/>
          <w:i w:val="0"/>
          <w:iCs w:val="0"/>
          <w:smallCaps w:val="0"/>
          <w:spacing w:val="0"/>
          <w:szCs w:val="24"/>
        </w:rPr>
        <w:t xml:space="preserve"> edition published by the National Health and Medical Research Council (the 2012 Determination </w:t>
      </w:r>
      <w:r w:rsidR="00247182">
        <w:rPr>
          <w:rStyle w:val="BookTitle"/>
          <w:rFonts w:ascii="Arial" w:hAnsi="Arial" w:cs="Arial"/>
          <w:i w:val="0"/>
          <w:iCs w:val="0"/>
          <w:smallCaps w:val="0"/>
          <w:spacing w:val="0"/>
          <w:szCs w:val="24"/>
        </w:rPr>
        <w:lastRenderedPageBreak/>
        <w:t>defined the term by reference to the 9</w:t>
      </w:r>
      <w:r w:rsidR="00247182" w:rsidRPr="00247182">
        <w:rPr>
          <w:rStyle w:val="BookTitle"/>
          <w:rFonts w:ascii="Arial" w:hAnsi="Arial" w:cs="Arial"/>
          <w:i w:val="0"/>
          <w:iCs w:val="0"/>
          <w:smallCaps w:val="0"/>
          <w:spacing w:val="0"/>
          <w:szCs w:val="24"/>
          <w:vertAlign w:val="superscript"/>
        </w:rPr>
        <w:t>th</w:t>
      </w:r>
      <w:r w:rsidR="00247182">
        <w:rPr>
          <w:rStyle w:val="BookTitle"/>
          <w:rFonts w:ascii="Arial" w:hAnsi="Arial" w:cs="Arial"/>
          <w:i w:val="0"/>
          <w:iCs w:val="0"/>
          <w:smallCaps w:val="0"/>
          <w:spacing w:val="0"/>
          <w:szCs w:val="24"/>
        </w:rPr>
        <w:t xml:space="preserve"> edition).  The other two terms defined in section 4 are defined in the same way as they were defined in the 2012 Determination.</w:t>
      </w:r>
    </w:p>
    <w:p w:rsidR="0001649D" w:rsidRDefault="0001649D" w:rsidP="002635E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5</w:t>
      </w:r>
    </w:p>
    <w:p w:rsidR="0001649D" w:rsidRDefault="0001649D" w:rsidP="002635EA">
      <w:pPr>
        <w:rPr>
          <w:rFonts w:ascii="Arial" w:hAnsi="Arial" w:cs="Arial"/>
        </w:rPr>
      </w:pPr>
      <w:r>
        <w:rPr>
          <w:rStyle w:val="BookTitle"/>
          <w:rFonts w:ascii="Arial" w:hAnsi="Arial" w:cs="Arial"/>
          <w:i w:val="0"/>
          <w:iCs w:val="0"/>
          <w:smallCaps w:val="0"/>
          <w:spacing w:val="0"/>
          <w:szCs w:val="24"/>
        </w:rPr>
        <w:t xml:space="preserve">Subsection 5(1) provides that the Determination applies to FTB Part A supplement.  </w:t>
      </w:r>
      <w:r>
        <w:rPr>
          <w:rFonts w:ascii="Arial" w:hAnsi="Arial" w:cs="Arial"/>
        </w:rPr>
        <w:t>Under the Administrative Arrangements Order, the Minister for Education and Training is responsible for administering the Act insofar as it relates to CCB.  As such, the Minister for Education and Training is responsible for determining vaccination schedules for the purposes of CCB.</w:t>
      </w:r>
    </w:p>
    <w:p w:rsidR="0001649D" w:rsidRDefault="0001649D" w:rsidP="002635EA">
      <w:pPr>
        <w:rPr>
          <w:rFonts w:ascii="Arial" w:hAnsi="Arial" w:cs="Arial"/>
        </w:rPr>
      </w:pPr>
      <w:r>
        <w:rPr>
          <w:rFonts w:ascii="Arial" w:hAnsi="Arial" w:cs="Arial"/>
        </w:rPr>
        <w:t>Subsection 5(2) provides that the Determination applies only in relation to working out whether FTB Part A supplement is to be added to the rate of an individual’s Part A rate for a day on or after 1 January 2016.</w:t>
      </w:r>
    </w:p>
    <w:p w:rsidR="0001649D" w:rsidRDefault="0001649D" w:rsidP="006B0A13">
      <w:pPr>
        <w:keepNext/>
        <w:rPr>
          <w:rFonts w:ascii="Arial" w:hAnsi="Arial" w:cs="Arial"/>
          <w:u w:val="single"/>
        </w:rPr>
      </w:pPr>
      <w:r>
        <w:rPr>
          <w:rFonts w:ascii="Arial" w:hAnsi="Arial" w:cs="Arial"/>
          <w:u w:val="single"/>
        </w:rPr>
        <w:t>Part 2 – Vaccination schedules</w:t>
      </w:r>
    </w:p>
    <w:p w:rsidR="0001649D" w:rsidRDefault="0001649D" w:rsidP="002635EA">
      <w:pPr>
        <w:rPr>
          <w:rFonts w:ascii="Arial" w:hAnsi="Arial" w:cs="Arial"/>
        </w:rPr>
      </w:pPr>
      <w:r>
        <w:rPr>
          <w:rFonts w:ascii="Arial" w:hAnsi="Arial" w:cs="Arial"/>
          <w:u w:val="single"/>
        </w:rPr>
        <w:t>Section 6</w:t>
      </w:r>
      <w:r>
        <w:rPr>
          <w:rFonts w:ascii="Arial" w:hAnsi="Arial" w:cs="Arial"/>
        </w:rPr>
        <w:t xml:space="preserve"> </w:t>
      </w:r>
    </w:p>
    <w:p w:rsidR="0001649D" w:rsidRDefault="0001649D" w:rsidP="002635EA">
      <w:pPr>
        <w:rPr>
          <w:rFonts w:ascii="Arial" w:hAnsi="Arial" w:cs="Arial"/>
        </w:rPr>
      </w:pPr>
      <w:r>
        <w:rPr>
          <w:rFonts w:ascii="Arial" w:hAnsi="Arial" w:cs="Arial"/>
        </w:rPr>
        <w:t>S</w:t>
      </w:r>
      <w:r w:rsidR="000947FD">
        <w:rPr>
          <w:rFonts w:ascii="Arial" w:hAnsi="Arial" w:cs="Arial"/>
        </w:rPr>
        <w:t>ubs</w:t>
      </w:r>
      <w:r>
        <w:rPr>
          <w:rFonts w:ascii="Arial" w:hAnsi="Arial" w:cs="Arial"/>
        </w:rPr>
        <w:t>ection 6</w:t>
      </w:r>
      <w:r w:rsidR="000947FD">
        <w:rPr>
          <w:rFonts w:ascii="Arial" w:hAnsi="Arial" w:cs="Arial"/>
        </w:rPr>
        <w:t>(1)</w:t>
      </w:r>
      <w:r>
        <w:rPr>
          <w:rFonts w:ascii="Arial" w:hAnsi="Arial" w:cs="Arial"/>
        </w:rPr>
        <w:t xml:space="preserve"> </w:t>
      </w:r>
      <w:r w:rsidR="000947FD">
        <w:rPr>
          <w:rFonts w:ascii="Arial" w:hAnsi="Arial" w:cs="Arial"/>
        </w:rPr>
        <w:t>determines</w:t>
      </w:r>
      <w:r>
        <w:rPr>
          <w:rFonts w:ascii="Arial" w:hAnsi="Arial" w:cs="Arial"/>
        </w:rPr>
        <w:t xml:space="preserve"> standard vaccination schedules </w:t>
      </w:r>
      <w:r w:rsidR="000947FD">
        <w:rPr>
          <w:rFonts w:ascii="Arial" w:hAnsi="Arial" w:cs="Arial"/>
        </w:rPr>
        <w:t xml:space="preserve">for the purposes of paragraph (a) of the definition of </w:t>
      </w:r>
      <w:r w:rsidR="000947FD">
        <w:rPr>
          <w:rFonts w:ascii="Arial" w:hAnsi="Arial" w:cs="Arial"/>
          <w:b/>
          <w:i/>
        </w:rPr>
        <w:t xml:space="preserve">immunised </w:t>
      </w:r>
      <w:r w:rsidR="000947FD">
        <w:rPr>
          <w:rFonts w:ascii="Arial" w:hAnsi="Arial" w:cs="Arial"/>
        </w:rPr>
        <w:t>in subsection 3(1) of the Act.  The standard vaccination schedules are set out in Schedules 1 to 4 to the Determination. Which one of the schedules applies to a particular child depends on the child’s date of birth.</w:t>
      </w:r>
      <w:r w:rsidR="00963004">
        <w:rPr>
          <w:rFonts w:ascii="Arial" w:hAnsi="Arial" w:cs="Arial"/>
        </w:rPr>
        <w:t xml:space="preserve"> Schedule 1 applies if the child was born before 1 May 1998, Schedule 2 applies if the child was born on or after 1 May 1998 and before 1 July 2012, Schedule 3 applies if the child was born on or after 1 July 2012 and before 1 October 2014, and Schedule 4 applies if the child was born on or after 1 October 2014.</w:t>
      </w:r>
    </w:p>
    <w:p w:rsidR="00963004" w:rsidRDefault="00963004" w:rsidP="002635EA">
      <w:pPr>
        <w:rPr>
          <w:rFonts w:ascii="Arial" w:hAnsi="Arial" w:cs="Arial"/>
        </w:rPr>
      </w:pPr>
      <w:r w:rsidRPr="00963004">
        <w:rPr>
          <w:rFonts w:ascii="Arial" w:hAnsi="Arial" w:cs="Arial"/>
          <w:bCs/>
        </w:rPr>
        <w:t>Subsection 6(2)</w:t>
      </w:r>
      <w:r>
        <w:rPr>
          <w:rFonts w:ascii="Arial" w:hAnsi="Arial" w:cs="Arial"/>
        </w:rPr>
        <w:t xml:space="preserve"> provides that a child will not be overdue for a vaccination under the standard vaccination schedule for the child until 1 month after the vaccination was due. It also provides that, if the child is vaccinated in Australia, a vaccine used to vaccinate a child in accordance with the vaccination schedule for the child must be registered as a vaccine on the Australian Register of Therapeutic Goods and that the vaccine must be administered by a recognised immunisation provider.</w:t>
      </w:r>
    </w:p>
    <w:p w:rsidR="00963004" w:rsidRDefault="00963004" w:rsidP="002635EA">
      <w:pPr>
        <w:rPr>
          <w:rFonts w:ascii="Arial" w:hAnsi="Arial" w:cs="Arial"/>
          <w:u w:val="single"/>
        </w:rPr>
      </w:pPr>
      <w:r>
        <w:rPr>
          <w:rFonts w:ascii="Arial" w:hAnsi="Arial" w:cs="Arial"/>
          <w:u w:val="single"/>
        </w:rPr>
        <w:t>Section 7</w:t>
      </w:r>
    </w:p>
    <w:p w:rsidR="00C17EA1" w:rsidRDefault="00963004" w:rsidP="006B0A13">
      <w:pPr>
        <w:spacing w:before="100" w:beforeAutospacing="1" w:after="100" w:afterAutospacing="1"/>
        <w:rPr>
          <w:rFonts w:ascii="Arial" w:hAnsi="Arial" w:cs="Arial"/>
          <w:szCs w:val="24"/>
        </w:rPr>
      </w:pPr>
      <w:r>
        <w:rPr>
          <w:rFonts w:ascii="Arial" w:hAnsi="Arial" w:cs="Arial"/>
        </w:rPr>
        <w:t xml:space="preserve">Section 7 sets out the catch up vaccination schedule.  </w:t>
      </w:r>
      <w:r w:rsidR="00422F0B">
        <w:rPr>
          <w:rFonts w:ascii="Arial" w:hAnsi="Arial" w:cs="Arial"/>
          <w:szCs w:val="24"/>
        </w:rPr>
        <w:t>T</w:t>
      </w:r>
      <w:r w:rsidR="00422F0B" w:rsidRPr="00422F0B">
        <w:rPr>
          <w:rFonts w:ascii="Arial" w:hAnsi="Arial" w:cs="Arial"/>
          <w:szCs w:val="24"/>
        </w:rPr>
        <w:t xml:space="preserve">he catch up vaccination schedule </w:t>
      </w:r>
      <w:r w:rsidR="00422F0B">
        <w:rPr>
          <w:rFonts w:ascii="Arial" w:hAnsi="Arial" w:cs="Arial"/>
          <w:szCs w:val="24"/>
        </w:rPr>
        <w:t xml:space="preserve">is </w:t>
      </w:r>
      <w:r w:rsidR="00422F0B" w:rsidRPr="00422F0B">
        <w:rPr>
          <w:rFonts w:ascii="Arial" w:hAnsi="Arial" w:cs="Arial"/>
          <w:szCs w:val="24"/>
        </w:rPr>
        <w:t>determined in accordance with</w:t>
      </w:r>
      <w:r w:rsidR="00C17EA1">
        <w:rPr>
          <w:rFonts w:ascii="Arial" w:hAnsi="Arial" w:cs="Arial"/>
          <w:szCs w:val="24"/>
        </w:rPr>
        <w:t xml:space="preserve"> section 2.1.5 of the 10</w:t>
      </w:r>
      <w:r w:rsidR="00C17EA1" w:rsidRPr="00C17EA1">
        <w:rPr>
          <w:rFonts w:ascii="Arial" w:hAnsi="Arial" w:cs="Arial"/>
          <w:szCs w:val="24"/>
          <w:vertAlign w:val="superscript"/>
        </w:rPr>
        <w:t>th</w:t>
      </w:r>
      <w:r w:rsidR="00C17EA1">
        <w:rPr>
          <w:rFonts w:ascii="Arial" w:hAnsi="Arial" w:cs="Arial"/>
          <w:szCs w:val="24"/>
        </w:rPr>
        <w:t xml:space="preserve"> edition of</w:t>
      </w:r>
      <w:r w:rsidR="00422F0B" w:rsidRPr="00422F0B">
        <w:rPr>
          <w:rFonts w:ascii="Arial" w:hAnsi="Arial" w:cs="Arial"/>
          <w:szCs w:val="24"/>
        </w:rPr>
        <w:t xml:space="preserve"> the Australian Immunisation Handbook, in relation to the antigens and diseases mentioned in the standard vaccination schedule that would otherwise apply to the child. </w:t>
      </w:r>
      <w:r w:rsidR="00C17EA1">
        <w:rPr>
          <w:rFonts w:ascii="Arial" w:hAnsi="Arial" w:cs="Arial"/>
          <w:szCs w:val="24"/>
        </w:rPr>
        <w:t xml:space="preserve"> </w:t>
      </w:r>
    </w:p>
    <w:p w:rsidR="00785F8B" w:rsidRDefault="00C17EA1" w:rsidP="006B0A13">
      <w:pPr>
        <w:spacing w:before="100" w:beforeAutospacing="1" w:after="100" w:afterAutospacing="1"/>
        <w:rPr>
          <w:rFonts w:ascii="Arial" w:hAnsi="Arial" w:cs="Arial"/>
          <w:szCs w:val="24"/>
        </w:rPr>
      </w:pPr>
      <w:r>
        <w:rPr>
          <w:rFonts w:ascii="Arial" w:hAnsi="Arial" w:cs="Arial"/>
          <w:szCs w:val="24"/>
        </w:rPr>
        <w:t xml:space="preserve">Subsection 14(2) of the </w:t>
      </w:r>
      <w:r>
        <w:rPr>
          <w:rFonts w:ascii="Arial" w:hAnsi="Arial" w:cs="Arial"/>
          <w:i/>
          <w:szCs w:val="24"/>
        </w:rPr>
        <w:t xml:space="preserve">Legislative Instruments Act 2003 </w:t>
      </w:r>
      <w:r>
        <w:rPr>
          <w:rFonts w:ascii="Arial" w:hAnsi="Arial" w:cs="Arial"/>
          <w:szCs w:val="24"/>
        </w:rPr>
        <w:t xml:space="preserve">generally provides that a legislative instrument may not apply, adopt or incorporate any matter contained in an instrument or other writing as in force or existing from time to time.  This means that </w:t>
      </w:r>
      <w:r w:rsidR="00785F8B">
        <w:rPr>
          <w:rFonts w:ascii="Arial" w:hAnsi="Arial" w:cs="Arial"/>
          <w:szCs w:val="24"/>
        </w:rPr>
        <w:t xml:space="preserve">it is not possible to adopt the relevant section of the edition of the Australian Immunisation Handbook that is amended after this Determination is made. Rather, </w:t>
      </w:r>
      <w:r>
        <w:rPr>
          <w:rFonts w:ascii="Arial" w:hAnsi="Arial" w:cs="Arial"/>
          <w:szCs w:val="24"/>
        </w:rPr>
        <w:t xml:space="preserve">it is </w:t>
      </w:r>
      <w:r w:rsidR="00785F8B">
        <w:rPr>
          <w:rFonts w:ascii="Arial" w:hAnsi="Arial" w:cs="Arial"/>
          <w:szCs w:val="24"/>
        </w:rPr>
        <w:t xml:space="preserve">only </w:t>
      </w:r>
      <w:r>
        <w:rPr>
          <w:rFonts w:ascii="Arial" w:hAnsi="Arial" w:cs="Arial"/>
          <w:szCs w:val="24"/>
        </w:rPr>
        <w:t xml:space="preserve">possible to adopt the relevant section of the edition of the Australian Immunisation Handbook that is in effect when this Determination is made. </w:t>
      </w:r>
    </w:p>
    <w:p w:rsidR="00422F0B" w:rsidRPr="00422F0B" w:rsidRDefault="00422F0B" w:rsidP="006B0A13">
      <w:pPr>
        <w:spacing w:before="100" w:beforeAutospacing="1" w:after="100" w:afterAutospacing="1"/>
        <w:rPr>
          <w:szCs w:val="24"/>
        </w:rPr>
      </w:pPr>
      <w:r w:rsidRPr="00422F0B">
        <w:rPr>
          <w:rFonts w:ascii="Arial" w:hAnsi="Arial" w:cs="Arial"/>
          <w:szCs w:val="24"/>
        </w:rPr>
        <w:lastRenderedPageBreak/>
        <w:t>Catch up vaccination schedules apply where a child has missed the vaccinations required in the standard vaccination schedule for the child.  For example, this might apply to a child who has been adopted from overseas.</w:t>
      </w:r>
    </w:p>
    <w:p w:rsidR="00422F0B" w:rsidRDefault="00422F0B" w:rsidP="00C17EA1">
      <w:pPr>
        <w:keepNext/>
        <w:spacing w:before="100" w:beforeAutospacing="1" w:after="100" w:afterAutospacing="1"/>
        <w:rPr>
          <w:rFonts w:ascii="Arial" w:hAnsi="Arial" w:cs="Arial"/>
          <w:szCs w:val="24"/>
          <w:u w:val="single"/>
        </w:rPr>
      </w:pPr>
      <w:r>
        <w:rPr>
          <w:rFonts w:ascii="Arial" w:hAnsi="Arial" w:cs="Arial"/>
          <w:szCs w:val="24"/>
          <w:u w:val="single"/>
        </w:rPr>
        <w:t>Schedule 1</w:t>
      </w:r>
    </w:p>
    <w:p w:rsidR="00422F0B" w:rsidRDefault="00422F0B" w:rsidP="006B0A13">
      <w:pPr>
        <w:spacing w:before="100" w:beforeAutospacing="1" w:after="100" w:afterAutospacing="1"/>
        <w:rPr>
          <w:rFonts w:ascii="Arial" w:hAnsi="Arial" w:cs="Arial"/>
          <w:szCs w:val="24"/>
        </w:rPr>
      </w:pPr>
      <w:r>
        <w:rPr>
          <w:rFonts w:ascii="Arial" w:hAnsi="Arial" w:cs="Arial"/>
          <w:szCs w:val="24"/>
        </w:rPr>
        <w:t xml:space="preserve">Schedule 1 sets out the standard vaccination schedule for a child born before </w:t>
      </w:r>
      <w:r w:rsidR="0001397B">
        <w:rPr>
          <w:rFonts w:ascii="Arial" w:hAnsi="Arial" w:cs="Arial"/>
          <w:szCs w:val="24"/>
        </w:rPr>
        <w:t>1 May </w:t>
      </w:r>
      <w:r>
        <w:rPr>
          <w:rFonts w:ascii="Arial" w:hAnsi="Arial" w:cs="Arial"/>
          <w:szCs w:val="24"/>
        </w:rPr>
        <w:t>1998.  Following the amendments made by the No Jab</w:t>
      </w:r>
      <w:r w:rsidR="00920D6A">
        <w:rPr>
          <w:rFonts w:ascii="Arial" w:hAnsi="Arial" w:cs="Arial"/>
          <w:szCs w:val="24"/>
        </w:rPr>
        <w:t xml:space="preserve">, No Pay </w:t>
      </w:r>
      <w:r w:rsidR="00785F8B">
        <w:rPr>
          <w:rFonts w:ascii="Arial" w:hAnsi="Arial" w:cs="Arial"/>
          <w:szCs w:val="24"/>
        </w:rPr>
        <w:t>Act</w:t>
      </w:r>
      <w:r w:rsidR="00920D6A">
        <w:rPr>
          <w:rFonts w:ascii="Arial" w:hAnsi="Arial" w:cs="Arial"/>
          <w:szCs w:val="24"/>
        </w:rPr>
        <w:t xml:space="preserve">, </w:t>
      </w:r>
      <w:r w:rsidR="00507F8D">
        <w:rPr>
          <w:rFonts w:ascii="Arial" w:hAnsi="Arial" w:cs="Arial"/>
        </w:rPr>
        <w:t xml:space="preserve">an FTB child will need to meet the immunisation requirements in the income year in which the child turns 1, and </w:t>
      </w:r>
      <w:r w:rsidR="00785F8B">
        <w:rPr>
          <w:rFonts w:ascii="Arial" w:hAnsi="Arial" w:cs="Arial"/>
        </w:rPr>
        <w:t xml:space="preserve">also </w:t>
      </w:r>
      <w:r w:rsidR="00507F8D">
        <w:rPr>
          <w:rFonts w:ascii="Arial" w:hAnsi="Arial" w:cs="Arial"/>
        </w:rPr>
        <w:t>in each income year after that</w:t>
      </w:r>
      <w:r w:rsidR="00920D6A">
        <w:rPr>
          <w:rFonts w:ascii="Arial" w:hAnsi="Arial" w:cs="Arial"/>
          <w:szCs w:val="24"/>
        </w:rPr>
        <w:t xml:space="preserve">.  </w:t>
      </w:r>
    </w:p>
    <w:p w:rsidR="00920D6A" w:rsidRDefault="00920D6A" w:rsidP="006B0A13">
      <w:pPr>
        <w:spacing w:before="100" w:beforeAutospacing="1" w:after="100" w:afterAutospacing="1"/>
        <w:rPr>
          <w:rFonts w:ascii="Arial" w:hAnsi="Arial" w:cs="Arial"/>
          <w:szCs w:val="24"/>
        </w:rPr>
      </w:pPr>
      <w:r>
        <w:rPr>
          <w:rFonts w:ascii="Arial" w:hAnsi="Arial" w:cs="Arial"/>
          <w:szCs w:val="24"/>
        </w:rPr>
        <w:t>Schedule 1 contains the same antigens and diseases as are in Schedule 1 to the 2008 Determination, with the exception of Hepatitis B, which was included in Schedule 1 to the 2008 Determination, but</w:t>
      </w:r>
      <w:r w:rsidR="00785F8B">
        <w:rPr>
          <w:rFonts w:ascii="Arial" w:hAnsi="Arial" w:cs="Arial"/>
          <w:szCs w:val="24"/>
        </w:rPr>
        <w:t xml:space="preserve"> is</w:t>
      </w:r>
      <w:r>
        <w:rPr>
          <w:rFonts w:ascii="Arial" w:hAnsi="Arial" w:cs="Arial"/>
          <w:szCs w:val="24"/>
        </w:rPr>
        <w:t xml:space="preserve"> not in Schedule 1 to this Determination.</w:t>
      </w:r>
    </w:p>
    <w:p w:rsidR="00920D6A" w:rsidRDefault="00920D6A" w:rsidP="00507F8D">
      <w:pPr>
        <w:keepNext/>
        <w:spacing w:before="100" w:beforeAutospacing="1" w:after="100" w:afterAutospacing="1"/>
        <w:rPr>
          <w:rFonts w:ascii="Arial" w:hAnsi="Arial" w:cs="Arial"/>
          <w:szCs w:val="24"/>
          <w:u w:val="single"/>
        </w:rPr>
      </w:pPr>
      <w:r>
        <w:rPr>
          <w:rFonts w:ascii="Arial" w:hAnsi="Arial" w:cs="Arial"/>
          <w:szCs w:val="24"/>
          <w:u w:val="single"/>
        </w:rPr>
        <w:t>Schedule 2</w:t>
      </w:r>
    </w:p>
    <w:p w:rsidR="006B390B" w:rsidRDefault="00920D6A" w:rsidP="00507F8D">
      <w:pPr>
        <w:keepLines/>
        <w:spacing w:before="100" w:beforeAutospacing="1" w:after="100" w:afterAutospacing="1"/>
        <w:rPr>
          <w:rFonts w:ascii="Arial" w:hAnsi="Arial" w:cs="Arial"/>
          <w:szCs w:val="24"/>
        </w:rPr>
      </w:pPr>
      <w:r>
        <w:rPr>
          <w:rFonts w:ascii="Arial" w:hAnsi="Arial" w:cs="Arial"/>
          <w:szCs w:val="24"/>
        </w:rPr>
        <w:t xml:space="preserve">Schedule 2 sets out the standard vaccination schedule for a child born on or after </w:t>
      </w:r>
      <w:r w:rsidR="0001397B">
        <w:rPr>
          <w:rFonts w:ascii="Arial" w:hAnsi="Arial" w:cs="Arial"/>
          <w:szCs w:val="24"/>
        </w:rPr>
        <w:t>1 </w:t>
      </w:r>
      <w:r>
        <w:rPr>
          <w:rFonts w:ascii="Arial" w:hAnsi="Arial" w:cs="Arial"/>
          <w:szCs w:val="24"/>
        </w:rPr>
        <w:t>May 1998</w:t>
      </w:r>
      <w:r w:rsidR="006B390B">
        <w:rPr>
          <w:rFonts w:ascii="Arial" w:hAnsi="Arial" w:cs="Arial"/>
          <w:szCs w:val="24"/>
        </w:rPr>
        <w:t xml:space="preserve"> and before 1 July 2012.  This Schedule contains the same antigens and diseases as are in Schedule 1 to the 2008 Determination</w:t>
      </w:r>
      <w:r w:rsidR="006B0A13">
        <w:rPr>
          <w:rFonts w:ascii="Arial" w:hAnsi="Arial" w:cs="Arial"/>
          <w:szCs w:val="24"/>
        </w:rPr>
        <w:t xml:space="preserve"> and consolidates Schedules 1, 2 and 3 to the 2012 Determination</w:t>
      </w:r>
      <w:r w:rsidR="006B390B">
        <w:rPr>
          <w:rFonts w:ascii="Arial" w:hAnsi="Arial" w:cs="Arial"/>
          <w:szCs w:val="24"/>
        </w:rPr>
        <w:t>.  Hepatitis B is required only for a child born on or after 1 May 2000.</w:t>
      </w:r>
    </w:p>
    <w:p w:rsidR="00920D6A" w:rsidRDefault="006B390B" w:rsidP="006B0A13">
      <w:pPr>
        <w:keepNext/>
        <w:spacing w:before="100" w:beforeAutospacing="1" w:after="100" w:afterAutospacing="1"/>
        <w:rPr>
          <w:rFonts w:ascii="Arial" w:hAnsi="Arial" w:cs="Arial"/>
          <w:szCs w:val="24"/>
          <w:u w:val="single"/>
        </w:rPr>
      </w:pPr>
      <w:r w:rsidRPr="006B390B">
        <w:rPr>
          <w:rFonts w:ascii="Arial" w:hAnsi="Arial" w:cs="Arial"/>
          <w:szCs w:val="24"/>
          <w:u w:val="single"/>
        </w:rPr>
        <w:t xml:space="preserve">Schedule 3 </w:t>
      </w:r>
    </w:p>
    <w:p w:rsidR="006B390B" w:rsidRDefault="006B390B" w:rsidP="006B0A13">
      <w:pPr>
        <w:spacing w:before="100" w:beforeAutospacing="1" w:after="100" w:afterAutospacing="1"/>
        <w:rPr>
          <w:rFonts w:ascii="Arial" w:hAnsi="Arial" w:cs="Arial"/>
          <w:szCs w:val="24"/>
        </w:rPr>
      </w:pPr>
      <w:r>
        <w:rPr>
          <w:rFonts w:ascii="Arial" w:hAnsi="Arial" w:cs="Arial"/>
          <w:szCs w:val="24"/>
        </w:rPr>
        <w:t xml:space="preserve">Schedule 3 sets out the standard vaccination schedule for a child born on or after </w:t>
      </w:r>
      <w:r w:rsidR="0001397B">
        <w:rPr>
          <w:rFonts w:ascii="Arial" w:hAnsi="Arial" w:cs="Arial"/>
          <w:szCs w:val="24"/>
        </w:rPr>
        <w:t>1 </w:t>
      </w:r>
      <w:r>
        <w:rPr>
          <w:rFonts w:ascii="Arial" w:hAnsi="Arial" w:cs="Arial"/>
          <w:szCs w:val="24"/>
        </w:rPr>
        <w:t xml:space="preserve">July 2012 and before 1 October 2014.  This schedule consolidates Schedules 4 and 5 to the 2012 Determination, but it does not include a vaccine for Pneumococcal at 18 months. </w:t>
      </w:r>
    </w:p>
    <w:p w:rsidR="006B0A13" w:rsidRDefault="006B0A13" w:rsidP="006B0A13">
      <w:pPr>
        <w:spacing w:before="100" w:beforeAutospacing="1" w:after="100" w:afterAutospacing="1"/>
        <w:rPr>
          <w:rFonts w:ascii="Arial" w:hAnsi="Arial" w:cs="Arial"/>
          <w:szCs w:val="24"/>
          <w:u w:val="single"/>
        </w:rPr>
      </w:pPr>
      <w:r>
        <w:rPr>
          <w:rFonts w:ascii="Arial" w:hAnsi="Arial" w:cs="Arial"/>
          <w:szCs w:val="24"/>
          <w:u w:val="single"/>
        </w:rPr>
        <w:t>Schedule 4</w:t>
      </w:r>
    </w:p>
    <w:p w:rsidR="006B0A13" w:rsidRPr="00422F0B" w:rsidRDefault="006B0A13" w:rsidP="006B0A13">
      <w:pPr>
        <w:spacing w:before="100" w:beforeAutospacing="1" w:after="100" w:afterAutospacing="1"/>
        <w:rPr>
          <w:szCs w:val="24"/>
        </w:rPr>
      </w:pPr>
      <w:r>
        <w:rPr>
          <w:rFonts w:ascii="Arial" w:hAnsi="Arial" w:cs="Arial"/>
          <w:szCs w:val="24"/>
        </w:rPr>
        <w:t xml:space="preserve">Schedule 4 sets out the standard vaccination schedule for a child born on or after </w:t>
      </w:r>
      <w:r w:rsidR="0001397B">
        <w:rPr>
          <w:rFonts w:ascii="Arial" w:hAnsi="Arial" w:cs="Arial"/>
          <w:szCs w:val="24"/>
        </w:rPr>
        <w:t>1 </w:t>
      </w:r>
      <w:r>
        <w:rPr>
          <w:rFonts w:ascii="Arial" w:hAnsi="Arial" w:cs="Arial"/>
          <w:szCs w:val="24"/>
        </w:rPr>
        <w:t xml:space="preserve">October 2014.  </w:t>
      </w:r>
      <w:r w:rsidRPr="003B07B5">
        <w:rPr>
          <w:rFonts w:ascii="Arial" w:hAnsi="Arial" w:cs="Arial"/>
          <w:szCs w:val="24"/>
        </w:rPr>
        <w:t>This is a new schedule; it</w:t>
      </w:r>
      <w:r>
        <w:rPr>
          <w:rFonts w:ascii="Arial" w:hAnsi="Arial" w:cs="Arial"/>
          <w:szCs w:val="24"/>
        </w:rPr>
        <w:t xml:space="preserve"> is different to</w:t>
      </w:r>
      <w:r w:rsidRPr="003B07B5">
        <w:rPr>
          <w:rFonts w:ascii="Arial" w:hAnsi="Arial" w:cs="Arial"/>
          <w:szCs w:val="24"/>
        </w:rPr>
        <w:t xml:space="preserve"> Schedule 3 </w:t>
      </w:r>
      <w:r>
        <w:rPr>
          <w:rFonts w:ascii="Arial" w:hAnsi="Arial" w:cs="Arial"/>
          <w:szCs w:val="24"/>
        </w:rPr>
        <w:t>to</w:t>
      </w:r>
      <w:r w:rsidRPr="003B07B5">
        <w:rPr>
          <w:rFonts w:ascii="Arial" w:hAnsi="Arial" w:cs="Arial"/>
          <w:szCs w:val="24"/>
        </w:rPr>
        <w:t xml:space="preserve"> this </w:t>
      </w:r>
      <w:r>
        <w:rPr>
          <w:rFonts w:ascii="Arial" w:hAnsi="Arial" w:cs="Arial"/>
          <w:szCs w:val="24"/>
        </w:rPr>
        <w:t>Determination</w:t>
      </w:r>
      <w:r w:rsidRPr="003B07B5">
        <w:rPr>
          <w:rFonts w:ascii="Arial" w:hAnsi="Arial" w:cs="Arial"/>
          <w:szCs w:val="24"/>
        </w:rPr>
        <w:t xml:space="preserve"> as a vaccine for Hepatitis B is </w:t>
      </w:r>
      <w:r w:rsidR="00785F8B">
        <w:rPr>
          <w:rFonts w:ascii="Arial" w:hAnsi="Arial" w:cs="Arial"/>
          <w:szCs w:val="24"/>
        </w:rPr>
        <w:t xml:space="preserve">given </w:t>
      </w:r>
      <w:r w:rsidRPr="003B07B5">
        <w:rPr>
          <w:rFonts w:ascii="Arial" w:hAnsi="Arial" w:cs="Arial"/>
          <w:szCs w:val="24"/>
        </w:rPr>
        <w:t>at six months rather than at six or 12 months, and vaccines for Diphtheria, Tetanus and Pertussis are added at 18 months</w:t>
      </w:r>
      <w:r>
        <w:rPr>
          <w:rFonts w:ascii="Arial" w:hAnsi="Arial" w:cs="Arial"/>
          <w:szCs w:val="24"/>
        </w:rPr>
        <w:t>.</w:t>
      </w:r>
    </w:p>
    <w:p w:rsidR="006179D9" w:rsidRDefault="006179D9">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rsidR="006179D9" w:rsidRPr="00C41984" w:rsidRDefault="006179D9" w:rsidP="006179D9">
      <w:pPr>
        <w:spacing w:before="360" w:after="240"/>
        <w:jc w:val="center"/>
        <w:rPr>
          <w:rFonts w:ascii="Arial" w:hAnsi="Arial" w:cs="Arial"/>
          <w:b/>
          <w:szCs w:val="24"/>
        </w:rPr>
      </w:pPr>
      <w:bookmarkStart w:id="1" w:name="_Toc290210739"/>
      <w:r w:rsidRPr="00C41984">
        <w:rPr>
          <w:rFonts w:ascii="Arial" w:hAnsi="Arial" w:cs="Arial"/>
          <w:b/>
          <w:szCs w:val="24"/>
        </w:rPr>
        <w:lastRenderedPageBreak/>
        <w:t>Statement of Compatibility with Human Rights</w:t>
      </w:r>
    </w:p>
    <w:p w:rsidR="006179D9" w:rsidRPr="00C41984" w:rsidRDefault="006179D9" w:rsidP="006179D9">
      <w:pPr>
        <w:spacing w:before="120" w:after="240"/>
        <w:jc w:val="center"/>
        <w:rPr>
          <w:rFonts w:ascii="Arial" w:hAnsi="Arial" w:cs="Arial"/>
          <w:szCs w:val="24"/>
        </w:rPr>
      </w:pPr>
      <w:r w:rsidRPr="00C41984">
        <w:rPr>
          <w:rFonts w:ascii="Arial" w:hAnsi="Arial" w:cs="Arial"/>
          <w:i/>
          <w:szCs w:val="24"/>
        </w:rPr>
        <w:t>Prepared in accordance with Part 3 of the Human Rights (Parliamentary Scrutiny) Act 2011</w:t>
      </w:r>
    </w:p>
    <w:p w:rsidR="006179D9" w:rsidRPr="00C41984" w:rsidRDefault="006179D9" w:rsidP="006179D9">
      <w:pPr>
        <w:spacing w:before="120" w:after="240"/>
        <w:jc w:val="center"/>
        <w:rPr>
          <w:rFonts w:ascii="Arial" w:hAnsi="Arial" w:cs="Arial"/>
          <w:b/>
          <w:szCs w:val="24"/>
        </w:rPr>
      </w:pPr>
      <w:r w:rsidRPr="00C41984">
        <w:rPr>
          <w:rFonts w:ascii="Arial" w:hAnsi="Arial" w:cs="Arial"/>
          <w:b/>
          <w:szCs w:val="24"/>
        </w:rPr>
        <w:t>Family Assistance (Vaccination Schedules) (DSS) Determination 2015</w:t>
      </w:r>
    </w:p>
    <w:p w:rsidR="006179D9" w:rsidRPr="00C41984" w:rsidRDefault="006179D9" w:rsidP="006179D9">
      <w:pPr>
        <w:spacing w:before="120" w:after="240"/>
        <w:jc w:val="center"/>
        <w:rPr>
          <w:rFonts w:ascii="Arial" w:hAnsi="Arial" w:cs="Arial"/>
          <w:szCs w:val="24"/>
        </w:rPr>
      </w:pPr>
      <w:r w:rsidRPr="00C41984">
        <w:rPr>
          <w:rFonts w:ascii="Arial" w:hAnsi="Arial" w:cs="Arial"/>
          <w:szCs w:val="24"/>
        </w:rPr>
        <w:t xml:space="preserve">This Determination is compatible with the human rights and freedoms recognised or declared in the international instruments listed in section 3 of the </w:t>
      </w:r>
      <w:r w:rsidRPr="00C41984">
        <w:rPr>
          <w:rFonts w:ascii="Arial" w:hAnsi="Arial" w:cs="Arial"/>
          <w:i/>
          <w:szCs w:val="24"/>
        </w:rPr>
        <w:t>Human Rights (Parliamentary Scrutiny) Act 2011</w:t>
      </w:r>
      <w:r w:rsidRPr="00C41984">
        <w:rPr>
          <w:rFonts w:ascii="Arial" w:hAnsi="Arial" w:cs="Arial"/>
          <w:szCs w:val="24"/>
        </w:rPr>
        <w:t>.</w:t>
      </w:r>
    </w:p>
    <w:p w:rsidR="006179D9" w:rsidRPr="00C41984" w:rsidRDefault="006179D9" w:rsidP="006179D9">
      <w:pPr>
        <w:spacing w:before="120" w:after="240"/>
        <w:jc w:val="both"/>
        <w:rPr>
          <w:rFonts w:ascii="Arial" w:hAnsi="Arial" w:cs="Arial"/>
          <w:b/>
          <w:szCs w:val="24"/>
        </w:rPr>
      </w:pPr>
      <w:r w:rsidRPr="00C41984">
        <w:rPr>
          <w:rFonts w:ascii="Arial" w:hAnsi="Arial" w:cs="Arial"/>
          <w:b/>
          <w:szCs w:val="24"/>
        </w:rPr>
        <w:t>Overview of the Determination</w:t>
      </w:r>
    </w:p>
    <w:p w:rsidR="006179D9" w:rsidRPr="00C41984" w:rsidRDefault="006179D9" w:rsidP="006179D9">
      <w:pPr>
        <w:spacing w:before="120" w:after="240"/>
        <w:rPr>
          <w:rFonts w:ascii="Arial" w:hAnsi="Arial" w:cs="Arial"/>
          <w:szCs w:val="24"/>
        </w:rPr>
      </w:pPr>
      <w:r w:rsidRPr="00C41984">
        <w:rPr>
          <w:rFonts w:ascii="Arial" w:hAnsi="Arial" w:cs="Arial"/>
          <w:szCs w:val="24"/>
        </w:rPr>
        <w:t xml:space="preserve">The purpose of this Determination is to provide for a new vaccination schedule for the purposes of the immunisation requirements for Family Tax Benefit (FTB) Part A supplement. This Determination revokes and replaces the </w:t>
      </w:r>
      <w:r w:rsidRPr="00C41984">
        <w:rPr>
          <w:rFonts w:ascii="Arial" w:hAnsi="Arial" w:cs="Arial"/>
          <w:i/>
          <w:szCs w:val="24"/>
        </w:rPr>
        <w:t xml:space="preserve">Family Assistance (Vaccination Schedules (FaHCSIA) Determination 2008 </w:t>
      </w:r>
      <w:r w:rsidRPr="00C41984">
        <w:rPr>
          <w:rFonts w:ascii="Arial" w:hAnsi="Arial" w:cs="Arial"/>
          <w:szCs w:val="24"/>
        </w:rPr>
        <w:t xml:space="preserve">(Vaccination Schedules Determination 2008) and </w:t>
      </w:r>
      <w:r w:rsidRPr="00C41984">
        <w:rPr>
          <w:rFonts w:ascii="Arial" w:hAnsi="Arial" w:cs="Arial"/>
          <w:i/>
          <w:szCs w:val="24"/>
        </w:rPr>
        <w:t>Family Assistance (Vaccination Schedules) (FaHCSIA) Determination 2012</w:t>
      </w:r>
      <w:r w:rsidRPr="00C41984">
        <w:rPr>
          <w:rFonts w:ascii="Arial" w:hAnsi="Arial" w:cs="Arial"/>
          <w:szCs w:val="24"/>
        </w:rPr>
        <w:t xml:space="preserve"> (Vaccination Schedules Determination 2012).  This Determination is made for the purposes of the definition of </w:t>
      </w:r>
      <w:r w:rsidRPr="006179D9">
        <w:rPr>
          <w:rFonts w:ascii="Arial" w:hAnsi="Arial" w:cs="Arial"/>
          <w:b/>
          <w:i/>
          <w:szCs w:val="24"/>
        </w:rPr>
        <w:t>immunised</w:t>
      </w:r>
      <w:r w:rsidRPr="00C41984">
        <w:rPr>
          <w:rFonts w:ascii="Arial" w:hAnsi="Arial" w:cs="Arial"/>
          <w:szCs w:val="24"/>
        </w:rPr>
        <w:t xml:space="preserve"> in subsection 3(1) of the </w:t>
      </w:r>
      <w:r w:rsidRPr="00C41984">
        <w:rPr>
          <w:rFonts w:ascii="Arial" w:hAnsi="Arial" w:cs="Arial"/>
          <w:i/>
          <w:szCs w:val="24"/>
        </w:rPr>
        <w:t>A New Tax System (Family Assistance) Act 1999</w:t>
      </w:r>
      <w:r w:rsidRPr="00C41984">
        <w:rPr>
          <w:rFonts w:ascii="Arial" w:hAnsi="Arial" w:cs="Arial"/>
          <w:szCs w:val="24"/>
        </w:rPr>
        <w:t xml:space="preserve"> (the Family Assistance Act).</w:t>
      </w:r>
    </w:p>
    <w:p w:rsidR="006179D9" w:rsidRPr="00C41984" w:rsidRDefault="006179D9" w:rsidP="006179D9">
      <w:pPr>
        <w:spacing w:before="120" w:after="240"/>
        <w:rPr>
          <w:rFonts w:ascii="Arial" w:hAnsi="Arial" w:cs="Arial"/>
          <w:szCs w:val="24"/>
        </w:rPr>
      </w:pPr>
      <w:r w:rsidRPr="00C41984">
        <w:rPr>
          <w:rFonts w:ascii="Arial" w:hAnsi="Arial" w:cs="Arial"/>
          <w:szCs w:val="24"/>
        </w:rPr>
        <w:t>Currently immunisation requirements</w:t>
      </w:r>
      <w:r>
        <w:rPr>
          <w:rFonts w:ascii="Arial" w:hAnsi="Arial" w:cs="Arial"/>
          <w:szCs w:val="24"/>
        </w:rPr>
        <w:t xml:space="preserve"> must be met</w:t>
      </w:r>
      <w:r w:rsidRPr="00C41984">
        <w:rPr>
          <w:rFonts w:ascii="Arial" w:hAnsi="Arial" w:cs="Arial"/>
          <w:szCs w:val="24"/>
        </w:rPr>
        <w:t xml:space="preserve"> for the</w:t>
      </w:r>
      <w:r w:rsidRPr="00E652F0">
        <w:rPr>
          <w:szCs w:val="24"/>
        </w:rPr>
        <w:t xml:space="preserve"> </w:t>
      </w:r>
      <w:r w:rsidRPr="00C41984">
        <w:rPr>
          <w:rFonts w:ascii="Arial" w:hAnsi="Arial" w:cs="Arial"/>
          <w:szCs w:val="24"/>
        </w:rPr>
        <w:t xml:space="preserve">FTB Part A supplement </w:t>
      </w:r>
      <w:r>
        <w:rPr>
          <w:rFonts w:ascii="Arial" w:hAnsi="Arial" w:cs="Arial"/>
          <w:szCs w:val="24"/>
        </w:rPr>
        <w:t xml:space="preserve">to be payable </w:t>
      </w:r>
      <w:r w:rsidRPr="00C41984">
        <w:rPr>
          <w:rFonts w:ascii="Arial" w:hAnsi="Arial" w:cs="Arial"/>
          <w:szCs w:val="24"/>
        </w:rPr>
        <w:t xml:space="preserve">in the </w:t>
      </w:r>
      <w:r>
        <w:rPr>
          <w:rFonts w:ascii="Arial" w:hAnsi="Arial" w:cs="Arial"/>
          <w:szCs w:val="24"/>
        </w:rPr>
        <w:t xml:space="preserve">income </w:t>
      </w:r>
      <w:r w:rsidRPr="00C41984">
        <w:rPr>
          <w:rFonts w:ascii="Arial" w:hAnsi="Arial" w:cs="Arial"/>
          <w:szCs w:val="24"/>
        </w:rPr>
        <w:t>years which a</w:t>
      </w:r>
      <w:r>
        <w:rPr>
          <w:rFonts w:ascii="Arial" w:hAnsi="Arial" w:cs="Arial"/>
          <w:szCs w:val="24"/>
        </w:rPr>
        <w:t>n FTB</w:t>
      </w:r>
      <w:r w:rsidRPr="00C41984">
        <w:rPr>
          <w:rFonts w:ascii="Arial" w:hAnsi="Arial" w:cs="Arial"/>
          <w:szCs w:val="24"/>
        </w:rPr>
        <w:t xml:space="preserve"> child </w:t>
      </w:r>
      <w:r>
        <w:rPr>
          <w:rFonts w:ascii="Arial" w:hAnsi="Arial" w:cs="Arial"/>
          <w:szCs w:val="24"/>
        </w:rPr>
        <w:t>turned</w:t>
      </w:r>
      <w:r w:rsidRPr="00C41984">
        <w:rPr>
          <w:rFonts w:ascii="Arial" w:hAnsi="Arial" w:cs="Arial"/>
          <w:szCs w:val="24"/>
        </w:rPr>
        <w:t xml:space="preserve"> one, two and five years. From 1 January 2016, immunisation requirements for the FTB Part A supplement are to be amended and will apply to children</w:t>
      </w:r>
      <w:r>
        <w:rPr>
          <w:rFonts w:ascii="Arial" w:hAnsi="Arial" w:cs="Arial"/>
          <w:szCs w:val="24"/>
        </w:rPr>
        <w:t xml:space="preserve"> who turn</w:t>
      </w:r>
      <w:r w:rsidRPr="00C41984">
        <w:rPr>
          <w:rFonts w:ascii="Arial" w:hAnsi="Arial" w:cs="Arial"/>
          <w:szCs w:val="24"/>
        </w:rPr>
        <w:t xml:space="preserve"> one</w:t>
      </w:r>
      <w:r>
        <w:rPr>
          <w:rFonts w:ascii="Arial" w:hAnsi="Arial" w:cs="Arial"/>
          <w:szCs w:val="24"/>
        </w:rPr>
        <w:t xml:space="preserve"> in an income year</w:t>
      </w:r>
      <w:r w:rsidRPr="00C41984">
        <w:rPr>
          <w:rFonts w:ascii="Arial" w:hAnsi="Arial" w:cs="Arial"/>
          <w:szCs w:val="24"/>
        </w:rPr>
        <w:t xml:space="preserve">, </w:t>
      </w:r>
      <w:r>
        <w:rPr>
          <w:rFonts w:ascii="Arial" w:hAnsi="Arial" w:cs="Arial"/>
          <w:szCs w:val="24"/>
        </w:rPr>
        <w:t xml:space="preserve">and in each income year after that, </w:t>
      </w:r>
      <w:r w:rsidRPr="00C41984">
        <w:rPr>
          <w:rFonts w:ascii="Arial" w:hAnsi="Arial" w:cs="Arial"/>
          <w:szCs w:val="24"/>
        </w:rPr>
        <w:t xml:space="preserve">up to the end of the calendar year in which a child turns 19. Therefore this </w:t>
      </w:r>
      <w:r>
        <w:rPr>
          <w:rFonts w:ascii="Arial" w:hAnsi="Arial" w:cs="Arial"/>
          <w:szCs w:val="24"/>
        </w:rPr>
        <w:t>Determination</w:t>
      </w:r>
      <w:r w:rsidRPr="00C41984">
        <w:rPr>
          <w:rFonts w:ascii="Arial" w:hAnsi="Arial" w:cs="Arial"/>
          <w:szCs w:val="24"/>
        </w:rPr>
        <w:t xml:space="preserve"> </w:t>
      </w:r>
      <w:r>
        <w:rPr>
          <w:rFonts w:ascii="Arial" w:hAnsi="Arial" w:cs="Arial"/>
          <w:szCs w:val="24"/>
        </w:rPr>
        <w:t>clarifies</w:t>
      </w:r>
      <w:r w:rsidRPr="00C41984">
        <w:rPr>
          <w:rFonts w:ascii="Arial" w:hAnsi="Arial" w:cs="Arial"/>
          <w:szCs w:val="24"/>
        </w:rPr>
        <w:t xml:space="preserve"> which vaccination schedule applies for children born from 1997 onwards.</w:t>
      </w:r>
    </w:p>
    <w:p w:rsidR="006179D9" w:rsidRPr="00C41984" w:rsidRDefault="006179D9" w:rsidP="006179D9">
      <w:pPr>
        <w:spacing w:before="120" w:after="240"/>
        <w:rPr>
          <w:rFonts w:ascii="Arial" w:hAnsi="Arial" w:cs="Arial"/>
          <w:szCs w:val="24"/>
        </w:rPr>
      </w:pPr>
      <w:r>
        <w:rPr>
          <w:rFonts w:ascii="Arial" w:hAnsi="Arial" w:cs="Arial"/>
          <w:szCs w:val="24"/>
        </w:rPr>
        <w:t>This Determination</w:t>
      </w:r>
      <w:r w:rsidRPr="00C41984">
        <w:rPr>
          <w:rFonts w:ascii="Arial" w:hAnsi="Arial" w:cs="Arial"/>
          <w:szCs w:val="24"/>
        </w:rPr>
        <w:t xml:space="preserve"> provides four </w:t>
      </w:r>
      <w:r>
        <w:rPr>
          <w:rFonts w:ascii="Arial" w:hAnsi="Arial" w:cs="Arial"/>
          <w:szCs w:val="24"/>
        </w:rPr>
        <w:t>vaccination</w:t>
      </w:r>
      <w:r w:rsidRPr="00C41984">
        <w:rPr>
          <w:rFonts w:ascii="Arial" w:hAnsi="Arial" w:cs="Arial"/>
          <w:szCs w:val="24"/>
        </w:rPr>
        <w:t xml:space="preserve"> schedules which apply on the basis of the year in which the child was born. Schedule 1 </w:t>
      </w:r>
      <w:r>
        <w:rPr>
          <w:rFonts w:ascii="Arial" w:hAnsi="Arial" w:cs="Arial"/>
          <w:szCs w:val="24"/>
        </w:rPr>
        <w:t>to</w:t>
      </w:r>
      <w:r w:rsidRPr="00C41984">
        <w:rPr>
          <w:rFonts w:ascii="Arial" w:hAnsi="Arial" w:cs="Arial"/>
          <w:szCs w:val="24"/>
        </w:rPr>
        <w:t xml:space="preserve"> this </w:t>
      </w:r>
      <w:r>
        <w:rPr>
          <w:rFonts w:ascii="Arial" w:hAnsi="Arial" w:cs="Arial"/>
          <w:szCs w:val="24"/>
        </w:rPr>
        <w:t>Determination</w:t>
      </w:r>
      <w:r w:rsidRPr="00C41984">
        <w:rPr>
          <w:rFonts w:ascii="Arial" w:hAnsi="Arial" w:cs="Arial"/>
          <w:szCs w:val="24"/>
        </w:rPr>
        <w:t xml:space="preserve"> applies to children born before 1 May 1998</w:t>
      </w:r>
      <w:r>
        <w:rPr>
          <w:rFonts w:ascii="Arial" w:hAnsi="Arial" w:cs="Arial"/>
          <w:szCs w:val="24"/>
        </w:rPr>
        <w:t>.</w:t>
      </w:r>
      <w:r w:rsidRPr="00C41984">
        <w:rPr>
          <w:rFonts w:ascii="Arial" w:hAnsi="Arial" w:cs="Arial"/>
          <w:szCs w:val="24"/>
        </w:rPr>
        <w:t xml:space="preserve"> </w:t>
      </w:r>
      <w:r>
        <w:rPr>
          <w:rFonts w:ascii="Arial" w:hAnsi="Arial" w:cs="Arial"/>
          <w:szCs w:val="24"/>
        </w:rPr>
        <w:t xml:space="preserve">It contains the same antigens and diseases as are in </w:t>
      </w:r>
      <w:r w:rsidRPr="00C41984">
        <w:rPr>
          <w:rFonts w:ascii="Arial" w:hAnsi="Arial" w:cs="Arial"/>
          <w:szCs w:val="24"/>
        </w:rPr>
        <w:t xml:space="preserve">Schedule 1 </w:t>
      </w:r>
      <w:r>
        <w:rPr>
          <w:rFonts w:ascii="Arial" w:hAnsi="Arial" w:cs="Arial"/>
          <w:szCs w:val="24"/>
        </w:rPr>
        <w:t>to</w:t>
      </w:r>
      <w:r w:rsidRPr="00C41984">
        <w:rPr>
          <w:rFonts w:ascii="Arial" w:hAnsi="Arial" w:cs="Arial"/>
          <w:szCs w:val="24"/>
        </w:rPr>
        <w:t xml:space="preserve"> the Vaccination Schedules Determination 2008, </w:t>
      </w:r>
      <w:r>
        <w:rPr>
          <w:rFonts w:ascii="Arial" w:hAnsi="Arial" w:cs="Arial"/>
          <w:szCs w:val="24"/>
        </w:rPr>
        <w:t>with the exception of</w:t>
      </w:r>
      <w:r w:rsidRPr="00C41984">
        <w:rPr>
          <w:rFonts w:ascii="Arial" w:hAnsi="Arial" w:cs="Arial"/>
          <w:szCs w:val="24"/>
        </w:rPr>
        <w:t xml:space="preserve"> Hepatitis B</w:t>
      </w:r>
      <w:r>
        <w:rPr>
          <w:rFonts w:ascii="Arial" w:hAnsi="Arial" w:cs="Arial"/>
          <w:szCs w:val="24"/>
        </w:rPr>
        <w:t xml:space="preserve"> which was included in the Vaccination Schedules Determination 2008</w:t>
      </w:r>
      <w:r w:rsidRPr="00C41984">
        <w:rPr>
          <w:rFonts w:ascii="Arial" w:hAnsi="Arial" w:cs="Arial"/>
          <w:szCs w:val="24"/>
        </w:rPr>
        <w:t xml:space="preserve"> at two, four, six and 12 months and four years</w:t>
      </w:r>
      <w:r>
        <w:rPr>
          <w:rFonts w:ascii="Arial" w:hAnsi="Arial" w:cs="Arial"/>
          <w:szCs w:val="24"/>
        </w:rPr>
        <w:t>, but not in this Determination</w:t>
      </w:r>
      <w:r w:rsidRPr="00C41984">
        <w:rPr>
          <w:rFonts w:ascii="Arial" w:hAnsi="Arial" w:cs="Arial"/>
          <w:szCs w:val="24"/>
        </w:rPr>
        <w:t>.</w:t>
      </w:r>
    </w:p>
    <w:p w:rsidR="006179D9" w:rsidRPr="00C41984" w:rsidRDefault="006179D9" w:rsidP="006179D9">
      <w:pPr>
        <w:spacing w:before="120" w:after="240"/>
        <w:rPr>
          <w:rFonts w:ascii="Arial" w:hAnsi="Arial" w:cs="Arial"/>
          <w:szCs w:val="24"/>
        </w:rPr>
      </w:pPr>
      <w:r w:rsidRPr="00C41984">
        <w:rPr>
          <w:rFonts w:ascii="Arial" w:hAnsi="Arial" w:cs="Arial"/>
          <w:szCs w:val="24"/>
        </w:rPr>
        <w:t xml:space="preserve">Schedule 2 </w:t>
      </w:r>
      <w:r>
        <w:rPr>
          <w:rFonts w:ascii="Arial" w:hAnsi="Arial" w:cs="Arial"/>
          <w:szCs w:val="24"/>
        </w:rPr>
        <w:t>to</w:t>
      </w:r>
      <w:r w:rsidRPr="00C41984">
        <w:rPr>
          <w:rFonts w:ascii="Arial" w:hAnsi="Arial" w:cs="Arial"/>
          <w:szCs w:val="24"/>
        </w:rPr>
        <w:t xml:space="preserve"> this </w:t>
      </w:r>
      <w:r>
        <w:rPr>
          <w:rFonts w:ascii="Arial" w:hAnsi="Arial" w:cs="Arial"/>
          <w:szCs w:val="24"/>
        </w:rPr>
        <w:t>Determination</w:t>
      </w:r>
      <w:r w:rsidRPr="00C41984">
        <w:rPr>
          <w:rFonts w:ascii="Arial" w:hAnsi="Arial" w:cs="Arial"/>
          <w:szCs w:val="24"/>
        </w:rPr>
        <w:t xml:space="preserve"> applies to children born on or after 1 May 1998 and before 1 July 2012. This schedule aligns with Schedule 1 </w:t>
      </w:r>
      <w:r>
        <w:rPr>
          <w:rFonts w:ascii="Arial" w:hAnsi="Arial" w:cs="Arial"/>
          <w:szCs w:val="24"/>
        </w:rPr>
        <w:t>to</w:t>
      </w:r>
      <w:r w:rsidRPr="00C41984">
        <w:rPr>
          <w:rFonts w:ascii="Arial" w:hAnsi="Arial" w:cs="Arial"/>
          <w:szCs w:val="24"/>
        </w:rPr>
        <w:t xml:space="preserve"> the Vaccination Schedules Determination 2008 and amalgamates </w:t>
      </w:r>
      <w:r>
        <w:rPr>
          <w:rFonts w:ascii="Arial" w:hAnsi="Arial" w:cs="Arial"/>
          <w:szCs w:val="24"/>
        </w:rPr>
        <w:t>S</w:t>
      </w:r>
      <w:r w:rsidRPr="00C41984">
        <w:rPr>
          <w:rFonts w:ascii="Arial" w:hAnsi="Arial" w:cs="Arial"/>
          <w:szCs w:val="24"/>
        </w:rPr>
        <w:t xml:space="preserve">chedules 1, 2 and 3 </w:t>
      </w:r>
      <w:r>
        <w:rPr>
          <w:rFonts w:ascii="Arial" w:hAnsi="Arial" w:cs="Arial"/>
          <w:szCs w:val="24"/>
        </w:rPr>
        <w:t>to</w:t>
      </w:r>
      <w:r w:rsidRPr="00C41984">
        <w:rPr>
          <w:rFonts w:ascii="Arial" w:hAnsi="Arial" w:cs="Arial"/>
          <w:szCs w:val="24"/>
        </w:rPr>
        <w:t xml:space="preserve"> the Vaccination Schedules Determination 2012.</w:t>
      </w:r>
    </w:p>
    <w:p w:rsidR="006179D9" w:rsidRPr="00C41984" w:rsidRDefault="006179D9" w:rsidP="006179D9">
      <w:pPr>
        <w:spacing w:before="120" w:after="240"/>
        <w:rPr>
          <w:rFonts w:ascii="Arial" w:hAnsi="Arial" w:cs="Arial"/>
          <w:szCs w:val="24"/>
        </w:rPr>
      </w:pPr>
      <w:r w:rsidRPr="00C41984">
        <w:rPr>
          <w:rFonts w:ascii="Arial" w:hAnsi="Arial" w:cs="Arial"/>
          <w:szCs w:val="24"/>
        </w:rPr>
        <w:t xml:space="preserve">Schedule 3 </w:t>
      </w:r>
      <w:r>
        <w:rPr>
          <w:rFonts w:ascii="Arial" w:hAnsi="Arial" w:cs="Arial"/>
          <w:szCs w:val="24"/>
        </w:rPr>
        <w:t>to</w:t>
      </w:r>
      <w:r w:rsidRPr="00C41984">
        <w:rPr>
          <w:rFonts w:ascii="Arial" w:hAnsi="Arial" w:cs="Arial"/>
          <w:szCs w:val="24"/>
        </w:rPr>
        <w:t xml:space="preserve"> this </w:t>
      </w:r>
      <w:r>
        <w:rPr>
          <w:rFonts w:ascii="Arial" w:hAnsi="Arial" w:cs="Arial"/>
          <w:szCs w:val="24"/>
        </w:rPr>
        <w:t>Determination</w:t>
      </w:r>
      <w:r w:rsidRPr="00C41984">
        <w:rPr>
          <w:rFonts w:ascii="Arial" w:hAnsi="Arial" w:cs="Arial"/>
          <w:szCs w:val="24"/>
        </w:rPr>
        <w:t xml:space="preserve"> applies to children born on or after 1 July 2012 and before 1 October 2014. This schedule amalgamates </w:t>
      </w:r>
      <w:r>
        <w:rPr>
          <w:rFonts w:ascii="Arial" w:hAnsi="Arial" w:cs="Arial"/>
          <w:szCs w:val="24"/>
        </w:rPr>
        <w:t>S</w:t>
      </w:r>
      <w:r w:rsidRPr="00C41984">
        <w:rPr>
          <w:rFonts w:ascii="Arial" w:hAnsi="Arial" w:cs="Arial"/>
          <w:szCs w:val="24"/>
        </w:rPr>
        <w:t xml:space="preserve">chedules 4, 5 and 6 </w:t>
      </w:r>
      <w:r>
        <w:rPr>
          <w:rFonts w:ascii="Arial" w:hAnsi="Arial" w:cs="Arial"/>
          <w:szCs w:val="24"/>
        </w:rPr>
        <w:t>to</w:t>
      </w:r>
      <w:r w:rsidRPr="00C41984">
        <w:rPr>
          <w:rFonts w:ascii="Arial" w:hAnsi="Arial" w:cs="Arial"/>
          <w:szCs w:val="24"/>
        </w:rPr>
        <w:t xml:space="preserve"> the Vaccination Schedules Determination 2012, although removes a vaccine for Pneumococcal at 18 months.</w:t>
      </w:r>
    </w:p>
    <w:p w:rsidR="006179D9" w:rsidRPr="00C41984" w:rsidRDefault="006179D9" w:rsidP="006179D9">
      <w:pPr>
        <w:spacing w:before="120" w:after="240"/>
        <w:rPr>
          <w:rFonts w:ascii="Arial" w:hAnsi="Arial" w:cs="Arial"/>
          <w:szCs w:val="24"/>
        </w:rPr>
      </w:pPr>
      <w:r w:rsidRPr="00C41984">
        <w:rPr>
          <w:rFonts w:ascii="Arial" w:hAnsi="Arial" w:cs="Arial"/>
          <w:szCs w:val="24"/>
        </w:rPr>
        <w:t xml:space="preserve">Schedule 4 </w:t>
      </w:r>
      <w:r>
        <w:rPr>
          <w:rFonts w:ascii="Arial" w:hAnsi="Arial" w:cs="Arial"/>
          <w:szCs w:val="24"/>
        </w:rPr>
        <w:t>to</w:t>
      </w:r>
      <w:r w:rsidRPr="00C41984">
        <w:rPr>
          <w:rFonts w:ascii="Arial" w:hAnsi="Arial" w:cs="Arial"/>
          <w:szCs w:val="24"/>
        </w:rPr>
        <w:t xml:space="preserve"> this </w:t>
      </w:r>
      <w:r>
        <w:rPr>
          <w:rFonts w:ascii="Arial" w:hAnsi="Arial" w:cs="Arial"/>
          <w:szCs w:val="24"/>
        </w:rPr>
        <w:t>Determination</w:t>
      </w:r>
      <w:r w:rsidRPr="00C41984">
        <w:rPr>
          <w:rFonts w:ascii="Arial" w:hAnsi="Arial" w:cs="Arial"/>
          <w:szCs w:val="24"/>
        </w:rPr>
        <w:t xml:space="preserve"> applies to children born on or after 1 October 2014. This is a new schedule; it </w:t>
      </w:r>
      <w:r>
        <w:rPr>
          <w:rFonts w:ascii="Arial" w:hAnsi="Arial" w:cs="Arial"/>
          <w:szCs w:val="24"/>
        </w:rPr>
        <w:t>is different to</w:t>
      </w:r>
      <w:r w:rsidRPr="00C41984">
        <w:rPr>
          <w:rFonts w:ascii="Arial" w:hAnsi="Arial" w:cs="Arial"/>
          <w:szCs w:val="24"/>
        </w:rPr>
        <w:t xml:space="preserve"> Schedule 3 </w:t>
      </w:r>
      <w:r>
        <w:rPr>
          <w:rFonts w:ascii="Arial" w:hAnsi="Arial" w:cs="Arial"/>
          <w:szCs w:val="24"/>
        </w:rPr>
        <w:t>to</w:t>
      </w:r>
      <w:r w:rsidRPr="00C41984">
        <w:rPr>
          <w:rFonts w:ascii="Arial" w:hAnsi="Arial" w:cs="Arial"/>
          <w:szCs w:val="24"/>
        </w:rPr>
        <w:t xml:space="preserve"> this </w:t>
      </w:r>
      <w:r>
        <w:rPr>
          <w:rFonts w:ascii="Arial" w:hAnsi="Arial" w:cs="Arial"/>
          <w:szCs w:val="24"/>
        </w:rPr>
        <w:t>Determination</w:t>
      </w:r>
      <w:r w:rsidRPr="00C41984">
        <w:rPr>
          <w:rFonts w:ascii="Arial" w:hAnsi="Arial" w:cs="Arial"/>
          <w:szCs w:val="24"/>
        </w:rPr>
        <w:t xml:space="preserve"> as a </w:t>
      </w:r>
      <w:r w:rsidRPr="00C41984">
        <w:rPr>
          <w:rFonts w:ascii="Arial" w:hAnsi="Arial" w:cs="Arial"/>
          <w:szCs w:val="24"/>
        </w:rPr>
        <w:lastRenderedPageBreak/>
        <w:t xml:space="preserve">vaccine for Hepatitis B is </w:t>
      </w:r>
      <w:r>
        <w:rPr>
          <w:rFonts w:ascii="Arial" w:hAnsi="Arial" w:cs="Arial"/>
          <w:szCs w:val="24"/>
        </w:rPr>
        <w:t xml:space="preserve">included </w:t>
      </w:r>
      <w:r w:rsidRPr="00C41984">
        <w:rPr>
          <w:rFonts w:ascii="Arial" w:hAnsi="Arial" w:cs="Arial"/>
          <w:szCs w:val="24"/>
        </w:rPr>
        <w:t>at six months rather than at six or 12 months, and vaccines for Diphtheria, Tetanus and Pertussis are added at 18 months.</w:t>
      </w:r>
    </w:p>
    <w:p w:rsidR="006179D9" w:rsidRPr="00C41984" w:rsidRDefault="006179D9" w:rsidP="006179D9">
      <w:pPr>
        <w:spacing w:before="120" w:after="240"/>
        <w:rPr>
          <w:rFonts w:ascii="Arial" w:hAnsi="Arial" w:cs="Arial"/>
          <w:szCs w:val="24"/>
        </w:rPr>
      </w:pPr>
      <w:r w:rsidRPr="00C41984">
        <w:rPr>
          <w:rFonts w:ascii="Arial" w:hAnsi="Arial" w:cs="Arial"/>
          <w:szCs w:val="24"/>
        </w:rPr>
        <w:t>The catch up vaccination schedule continues to be a catch up vaccination schedule in accordance with the Australian Immunisation Handbook, although is limited to the antigens or diseases in the National Immunisation Program early childhood schedule.</w:t>
      </w:r>
    </w:p>
    <w:p w:rsidR="006179D9" w:rsidRPr="00C41984" w:rsidRDefault="006179D9" w:rsidP="006179D9">
      <w:pPr>
        <w:spacing w:before="120" w:after="240"/>
        <w:rPr>
          <w:rFonts w:ascii="Arial" w:hAnsi="Arial" w:cs="Arial"/>
          <w:szCs w:val="24"/>
        </w:rPr>
      </w:pPr>
      <w:r w:rsidRPr="00C41984">
        <w:rPr>
          <w:rFonts w:ascii="Arial" w:hAnsi="Arial" w:cs="Arial"/>
          <w:b/>
          <w:szCs w:val="24"/>
        </w:rPr>
        <w:t>Human rights implications</w:t>
      </w:r>
    </w:p>
    <w:p w:rsidR="006179D9" w:rsidRPr="00C41984" w:rsidRDefault="006179D9" w:rsidP="006179D9">
      <w:pPr>
        <w:spacing w:before="120" w:after="240"/>
        <w:rPr>
          <w:rFonts w:ascii="Arial" w:hAnsi="Arial" w:cs="Arial"/>
          <w:szCs w:val="24"/>
        </w:rPr>
      </w:pPr>
      <w:r w:rsidRPr="00C41984">
        <w:rPr>
          <w:rFonts w:ascii="Arial" w:hAnsi="Arial" w:cs="Arial"/>
          <w:szCs w:val="24"/>
        </w:rPr>
        <w:t>The setting out of a standard and catch-up vaccination schedule is likely to engage the right to health recognised in Article 12 of the International Covenant on Economic, Social and Cultural Rights (ICESCR).</w:t>
      </w:r>
    </w:p>
    <w:p w:rsidR="006179D9" w:rsidRPr="00C41984" w:rsidRDefault="006179D9" w:rsidP="006179D9">
      <w:pPr>
        <w:spacing w:before="120" w:after="240"/>
        <w:rPr>
          <w:rFonts w:ascii="Arial" w:hAnsi="Arial" w:cs="Arial"/>
          <w:szCs w:val="24"/>
        </w:rPr>
      </w:pPr>
      <w:r w:rsidRPr="00C41984">
        <w:rPr>
          <w:rFonts w:ascii="Arial" w:hAnsi="Arial" w:cs="Arial"/>
          <w:szCs w:val="24"/>
        </w:rPr>
        <w:t>The right to health in Article 12 of the ICESCR requires the recognition of the right of everyone to the enjoyment of the highest attainable standard of physical and mental health. In particular, countries should make provision for the healthy development of the child and the prevention, treatment and control of epidemic, endemic, occupational and other diseases.</w:t>
      </w:r>
    </w:p>
    <w:p w:rsidR="006179D9" w:rsidRPr="00C41984" w:rsidRDefault="006179D9" w:rsidP="006179D9">
      <w:pPr>
        <w:spacing w:before="120" w:after="240"/>
        <w:rPr>
          <w:rFonts w:ascii="Arial" w:hAnsi="Arial" w:cs="Arial"/>
          <w:szCs w:val="24"/>
        </w:rPr>
      </w:pPr>
      <w:r w:rsidRPr="00C41984">
        <w:rPr>
          <w:rFonts w:ascii="Arial" w:hAnsi="Arial" w:cs="Arial"/>
          <w:szCs w:val="24"/>
        </w:rPr>
        <w:t xml:space="preserve">By providing evidence based vaccination schedules designed to protect children from harmful diseases, this </w:t>
      </w:r>
      <w:r>
        <w:rPr>
          <w:rFonts w:ascii="Arial" w:hAnsi="Arial" w:cs="Arial"/>
          <w:szCs w:val="24"/>
        </w:rPr>
        <w:t>Determination</w:t>
      </w:r>
      <w:r w:rsidRPr="00C41984">
        <w:rPr>
          <w:rFonts w:ascii="Arial" w:hAnsi="Arial" w:cs="Arial"/>
          <w:szCs w:val="24"/>
        </w:rPr>
        <w:t xml:space="preserve"> clearly advances this right.</w:t>
      </w:r>
    </w:p>
    <w:p w:rsidR="006179D9" w:rsidRPr="00C41984" w:rsidRDefault="006179D9" w:rsidP="006179D9">
      <w:pPr>
        <w:spacing w:before="120" w:after="240"/>
        <w:rPr>
          <w:rFonts w:ascii="Arial" w:hAnsi="Arial" w:cs="Arial"/>
          <w:b/>
          <w:szCs w:val="24"/>
        </w:rPr>
      </w:pPr>
      <w:r w:rsidRPr="00C41984">
        <w:rPr>
          <w:rFonts w:ascii="Arial" w:hAnsi="Arial" w:cs="Arial"/>
          <w:b/>
          <w:szCs w:val="24"/>
        </w:rPr>
        <w:t xml:space="preserve">Conclusion </w:t>
      </w:r>
    </w:p>
    <w:p w:rsidR="006179D9" w:rsidRPr="00C41984" w:rsidRDefault="006179D9" w:rsidP="006179D9">
      <w:pPr>
        <w:spacing w:before="120" w:after="240"/>
        <w:rPr>
          <w:rFonts w:ascii="Arial" w:hAnsi="Arial" w:cs="Arial"/>
          <w:szCs w:val="24"/>
        </w:rPr>
      </w:pPr>
      <w:r w:rsidRPr="00C41984">
        <w:rPr>
          <w:rFonts w:ascii="Arial" w:hAnsi="Arial" w:cs="Arial"/>
          <w:szCs w:val="24"/>
        </w:rPr>
        <w:t xml:space="preserve">The </w:t>
      </w:r>
      <w:r>
        <w:rPr>
          <w:rFonts w:ascii="Arial" w:hAnsi="Arial" w:cs="Arial"/>
          <w:szCs w:val="24"/>
        </w:rPr>
        <w:t>Determination</w:t>
      </w:r>
      <w:r w:rsidRPr="00C41984">
        <w:rPr>
          <w:rFonts w:ascii="Arial" w:hAnsi="Arial" w:cs="Arial"/>
          <w:szCs w:val="24"/>
        </w:rPr>
        <w:t xml:space="preserve"> is compatible with human rights because it advances the human right to health.</w:t>
      </w:r>
    </w:p>
    <w:p w:rsidR="006179D9" w:rsidRPr="00C41984" w:rsidRDefault="006179D9" w:rsidP="006179D9">
      <w:pPr>
        <w:spacing w:before="120" w:after="240"/>
        <w:jc w:val="center"/>
        <w:rPr>
          <w:rFonts w:ascii="Arial" w:hAnsi="Arial" w:cs="Arial"/>
          <w:b/>
          <w:szCs w:val="24"/>
        </w:rPr>
      </w:pPr>
      <w:r w:rsidRPr="00C41984">
        <w:rPr>
          <w:rFonts w:ascii="Arial" w:hAnsi="Arial" w:cs="Arial"/>
          <w:b/>
          <w:szCs w:val="24"/>
        </w:rPr>
        <w:t xml:space="preserve">Minister </w:t>
      </w:r>
      <w:r>
        <w:rPr>
          <w:rFonts w:ascii="Arial" w:hAnsi="Arial" w:cs="Arial"/>
          <w:b/>
          <w:szCs w:val="24"/>
        </w:rPr>
        <w:t>for</w:t>
      </w:r>
      <w:r w:rsidRPr="00C41984">
        <w:rPr>
          <w:rFonts w:ascii="Arial" w:hAnsi="Arial" w:cs="Arial"/>
          <w:b/>
          <w:szCs w:val="24"/>
        </w:rPr>
        <w:t xml:space="preserve"> Social Services, the Honourable Christian Porter MP</w:t>
      </w:r>
      <w:bookmarkEnd w:id="1"/>
    </w:p>
    <w:p w:rsidR="00963004" w:rsidRPr="00963004" w:rsidRDefault="00963004" w:rsidP="002635EA">
      <w:pPr>
        <w:rPr>
          <w:rStyle w:val="BookTitle"/>
          <w:rFonts w:ascii="Arial" w:hAnsi="Arial" w:cs="Arial"/>
          <w:i w:val="0"/>
          <w:iCs w:val="0"/>
          <w:smallCaps w:val="0"/>
          <w:spacing w:val="0"/>
          <w:szCs w:val="24"/>
        </w:rPr>
      </w:pPr>
    </w:p>
    <w:sectPr w:rsidR="00963004" w:rsidRPr="00963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A31"/>
    <w:multiLevelType w:val="hybridMultilevel"/>
    <w:tmpl w:val="09822D1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nsid w:val="1F67624A"/>
    <w:multiLevelType w:val="hybridMultilevel"/>
    <w:tmpl w:val="D460F8C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C3F6C41"/>
    <w:multiLevelType w:val="hybridMultilevel"/>
    <w:tmpl w:val="445606AC"/>
    <w:lvl w:ilvl="0" w:tplc="67B06B42">
      <w:start w:val="1"/>
      <w:numFmt w:val="bullet"/>
      <w:lvlText w:val=""/>
      <w:lvlJc w:val="left"/>
      <w:pPr>
        <w:ind w:left="720" w:hanging="360"/>
      </w:pPr>
      <w:rPr>
        <w:rFonts w:ascii="Arial" w:hAnsi="Arial" w:cs="Aria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E25B3B"/>
    <w:multiLevelType w:val="hybridMultilevel"/>
    <w:tmpl w:val="90D4AD0C"/>
    <w:lvl w:ilvl="0" w:tplc="0C090001">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900826"/>
    <w:multiLevelType w:val="hybridMultilevel"/>
    <w:tmpl w:val="C254AD38"/>
    <w:lvl w:ilvl="0" w:tplc="690098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C95BBD"/>
    <w:multiLevelType w:val="hybridMultilevel"/>
    <w:tmpl w:val="27788FBA"/>
    <w:lvl w:ilvl="0" w:tplc="0C090001">
      <w:start w:val="1"/>
      <w:numFmt w:val="bullet"/>
      <w:lvlText w:val=""/>
      <w:lvlJc w:val="left"/>
      <w:pPr>
        <w:ind w:left="1069" w:hanging="360"/>
      </w:pPr>
      <w:rPr>
        <w:rFonts w:ascii="Symbol" w:hAnsi="Symbol" w:hint="default"/>
        <w:i w:val="0"/>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nsid w:val="66D300C5"/>
    <w:multiLevelType w:val="hybridMultilevel"/>
    <w:tmpl w:val="1D722280"/>
    <w:lvl w:ilvl="0" w:tplc="AA46C9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3914263"/>
    <w:multiLevelType w:val="hybridMultilevel"/>
    <w:tmpl w:val="F5D6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2A"/>
    <w:rsid w:val="0001397B"/>
    <w:rsid w:val="0001649D"/>
    <w:rsid w:val="00087B1B"/>
    <w:rsid w:val="000947FD"/>
    <w:rsid w:val="0009573B"/>
    <w:rsid w:val="000A244E"/>
    <w:rsid w:val="000D7712"/>
    <w:rsid w:val="000F23D5"/>
    <w:rsid w:val="00107EA1"/>
    <w:rsid w:val="00141477"/>
    <w:rsid w:val="00181F8E"/>
    <w:rsid w:val="00182AD7"/>
    <w:rsid w:val="001851F4"/>
    <w:rsid w:val="001A59AB"/>
    <w:rsid w:val="001E630D"/>
    <w:rsid w:val="001E6F8B"/>
    <w:rsid w:val="00247182"/>
    <w:rsid w:val="002635EA"/>
    <w:rsid w:val="00281F22"/>
    <w:rsid w:val="00295495"/>
    <w:rsid w:val="002F7208"/>
    <w:rsid w:val="00376E86"/>
    <w:rsid w:val="003A56AA"/>
    <w:rsid w:val="003B20E2"/>
    <w:rsid w:val="003B213E"/>
    <w:rsid w:val="003B2BB8"/>
    <w:rsid w:val="003C3813"/>
    <w:rsid w:val="003D34FF"/>
    <w:rsid w:val="00422F0B"/>
    <w:rsid w:val="00441B96"/>
    <w:rsid w:val="004970BE"/>
    <w:rsid w:val="004A24B5"/>
    <w:rsid w:val="004B54CA"/>
    <w:rsid w:val="004E5CBF"/>
    <w:rsid w:val="005017BE"/>
    <w:rsid w:val="00507F8D"/>
    <w:rsid w:val="00511A86"/>
    <w:rsid w:val="00516E41"/>
    <w:rsid w:val="00541B78"/>
    <w:rsid w:val="00590379"/>
    <w:rsid w:val="005C076F"/>
    <w:rsid w:val="005C3AA9"/>
    <w:rsid w:val="006179D9"/>
    <w:rsid w:val="006A4CE7"/>
    <w:rsid w:val="006B0A13"/>
    <w:rsid w:val="006B390B"/>
    <w:rsid w:val="006D2F33"/>
    <w:rsid w:val="00712E78"/>
    <w:rsid w:val="00731127"/>
    <w:rsid w:val="00764F0B"/>
    <w:rsid w:val="00785261"/>
    <w:rsid w:val="00785F8B"/>
    <w:rsid w:val="007B0256"/>
    <w:rsid w:val="007F19A7"/>
    <w:rsid w:val="0081794F"/>
    <w:rsid w:val="0086700E"/>
    <w:rsid w:val="00877965"/>
    <w:rsid w:val="008E3BD2"/>
    <w:rsid w:val="009131B5"/>
    <w:rsid w:val="00920D6A"/>
    <w:rsid w:val="009225F0"/>
    <w:rsid w:val="00963004"/>
    <w:rsid w:val="009774AB"/>
    <w:rsid w:val="00983F84"/>
    <w:rsid w:val="009B189F"/>
    <w:rsid w:val="009B70D2"/>
    <w:rsid w:val="00A20531"/>
    <w:rsid w:val="00A23B35"/>
    <w:rsid w:val="00A6737D"/>
    <w:rsid w:val="00A74868"/>
    <w:rsid w:val="00A74AFA"/>
    <w:rsid w:val="00A83E84"/>
    <w:rsid w:val="00B2159D"/>
    <w:rsid w:val="00B2192A"/>
    <w:rsid w:val="00B42965"/>
    <w:rsid w:val="00BA2DB9"/>
    <w:rsid w:val="00BC2CD4"/>
    <w:rsid w:val="00BE6378"/>
    <w:rsid w:val="00BE7148"/>
    <w:rsid w:val="00BF3248"/>
    <w:rsid w:val="00BF6393"/>
    <w:rsid w:val="00C16173"/>
    <w:rsid w:val="00C17EA1"/>
    <w:rsid w:val="00C51AAD"/>
    <w:rsid w:val="00C5655C"/>
    <w:rsid w:val="00D139DE"/>
    <w:rsid w:val="00D43E6A"/>
    <w:rsid w:val="00D824EF"/>
    <w:rsid w:val="00DC1EDC"/>
    <w:rsid w:val="00E35B13"/>
    <w:rsid w:val="00E71327"/>
    <w:rsid w:val="00E804B2"/>
    <w:rsid w:val="00E80A36"/>
    <w:rsid w:val="00E91828"/>
    <w:rsid w:val="00EE2D56"/>
    <w:rsid w:val="00F74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before="0"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before="0"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before="0" w:line="276" w:lineRule="auto"/>
      <w:outlineLvl w:val="7"/>
    </w:pPr>
    <w:rPr>
      <w:rFonts w:ascii="Arial" w:eastAsiaTheme="majorEastAsia" w:hAnsi="Arial" w:cstheme="majorBidi"/>
      <w:sz w:val="20"/>
      <w:lang w:eastAsia="en-US"/>
    </w:rPr>
  </w:style>
  <w:style w:type="paragraph" w:styleId="Heading9">
    <w:name w:val="heading 9"/>
    <w:basedOn w:val="Normal"/>
    <w:next w:val="Normal"/>
    <w:link w:val="Heading9Char"/>
    <w:uiPriority w:val="9"/>
    <w:unhideWhenUsed/>
    <w:qFormat/>
    <w:rsid w:val="004B54CA"/>
    <w:pPr>
      <w:spacing w:before="0" w:line="276" w:lineRule="auto"/>
      <w:outlineLvl w:val="8"/>
    </w:pPr>
    <w:rPr>
      <w:rFonts w:ascii="Arial" w:eastAsiaTheme="majorEastAsia" w:hAnsi="Arial"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ascii="Arial" w:eastAsiaTheme="majorEastAsia" w:hAnsi="Arial" w:cstheme="majorBidi"/>
      <w:i/>
      <w:iCs/>
      <w:spacing w:val="13"/>
      <w:szCs w:val="24"/>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section">
    <w:name w:val="subsection"/>
    <w:aliases w:val="ss"/>
    <w:basedOn w:val="Normal"/>
    <w:rsid w:val="00141477"/>
    <w:pPr>
      <w:tabs>
        <w:tab w:val="right" w:pos="1021"/>
      </w:tabs>
      <w:spacing w:before="180"/>
      <w:ind w:left="1134" w:hanging="1134"/>
    </w:pPr>
    <w:rPr>
      <w:sz w:val="22"/>
    </w:rPr>
  </w:style>
  <w:style w:type="character" w:styleId="CommentReference">
    <w:name w:val="annotation reference"/>
    <w:basedOn w:val="DefaultParagraphFont"/>
    <w:uiPriority w:val="99"/>
    <w:semiHidden/>
    <w:unhideWhenUsed/>
    <w:rsid w:val="003B20E2"/>
    <w:rPr>
      <w:sz w:val="16"/>
      <w:szCs w:val="16"/>
    </w:rPr>
  </w:style>
  <w:style w:type="paragraph" w:styleId="CommentText">
    <w:name w:val="annotation text"/>
    <w:basedOn w:val="Normal"/>
    <w:link w:val="CommentTextChar"/>
    <w:uiPriority w:val="99"/>
    <w:semiHidden/>
    <w:unhideWhenUsed/>
    <w:rsid w:val="003B20E2"/>
    <w:rPr>
      <w:sz w:val="20"/>
    </w:rPr>
  </w:style>
  <w:style w:type="character" w:customStyle="1" w:styleId="CommentTextChar">
    <w:name w:val="Comment Text Char"/>
    <w:basedOn w:val="DefaultParagraphFont"/>
    <w:link w:val="CommentText"/>
    <w:uiPriority w:val="99"/>
    <w:semiHidden/>
    <w:rsid w:val="003B20E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B20E2"/>
    <w:rPr>
      <w:b/>
      <w:bCs/>
    </w:rPr>
  </w:style>
  <w:style w:type="character" w:customStyle="1" w:styleId="CommentSubjectChar">
    <w:name w:val="Comment Subject Char"/>
    <w:basedOn w:val="CommentTextChar"/>
    <w:link w:val="CommentSubject"/>
    <w:uiPriority w:val="99"/>
    <w:semiHidden/>
    <w:rsid w:val="003B20E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B20E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E2"/>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before="0"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before="0"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before="0" w:line="276" w:lineRule="auto"/>
      <w:outlineLvl w:val="7"/>
    </w:pPr>
    <w:rPr>
      <w:rFonts w:ascii="Arial" w:eastAsiaTheme="majorEastAsia" w:hAnsi="Arial" w:cstheme="majorBidi"/>
      <w:sz w:val="20"/>
      <w:lang w:eastAsia="en-US"/>
    </w:rPr>
  </w:style>
  <w:style w:type="paragraph" w:styleId="Heading9">
    <w:name w:val="heading 9"/>
    <w:basedOn w:val="Normal"/>
    <w:next w:val="Normal"/>
    <w:link w:val="Heading9Char"/>
    <w:uiPriority w:val="9"/>
    <w:unhideWhenUsed/>
    <w:qFormat/>
    <w:rsid w:val="004B54CA"/>
    <w:pPr>
      <w:spacing w:before="0" w:line="276" w:lineRule="auto"/>
      <w:outlineLvl w:val="8"/>
    </w:pPr>
    <w:rPr>
      <w:rFonts w:ascii="Arial" w:eastAsiaTheme="majorEastAsia" w:hAnsi="Arial"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ascii="Arial" w:eastAsiaTheme="majorEastAsia" w:hAnsi="Arial" w:cstheme="majorBidi"/>
      <w:i/>
      <w:iCs/>
      <w:spacing w:val="13"/>
      <w:szCs w:val="24"/>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section">
    <w:name w:val="subsection"/>
    <w:aliases w:val="ss"/>
    <w:basedOn w:val="Normal"/>
    <w:rsid w:val="00141477"/>
    <w:pPr>
      <w:tabs>
        <w:tab w:val="right" w:pos="1021"/>
      </w:tabs>
      <w:spacing w:before="180"/>
      <w:ind w:left="1134" w:hanging="1134"/>
    </w:pPr>
    <w:rPr>
      <w:sz w:val="22"/>
    </w:rPr>
  </w:style>
  <w:style w:type="character" w:styleId="CommentReference">
    <w:name w:val="annotation reference"/>
    <w:basedOn w:val="DefaultParagraphFont"/>
    <w:uiPriority w:val="99"/>
    <w:semiHidden/>
    <w:unhideWhenUsed/>
    <w:rsid w:val="003B20E2"/>
    <w:rPr>
      <w:sz w:val="16"/>
      <w:szCs w:val="16"/>
    </w:rPr>
  </w:style>
  <w:style w:type="paragraph" w:styleId="CommentText">
    <w:name w:val="annotation text"/>
    <w:basedOn w:val="Normal"/>
    <w:link w:val="CommentTextChar"/>
    <w:uiPriority w:val="99"/>
    <w:semiHidden/>
    <w:unhideWhenUsed/>
    <w:rsid w:val="003B20E2"/>
    <w:rPr>
      <w:sz w:val="20"/>
    </w:rPr>
  </w:style>
  <w:style w:type="character" w:customStyle="1" w:styleId="CommentTextChar">
    <w:name w:val="Comment Text Char"/>
    <w:basedOn w:val="DefaultParagraphFont"/>
    <w:link w:val="CommentText"/>
    <w:uiPriority w:val="99"/>
    <w:semiHidden/>
    <w:rsid w:val="003B20E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B20E2"/>
    <w:rPr>
      <w:b/>
      <w:bCs/>
    </w:rPr>
  </w:style>
  <w:style w:type="character" w:customStyle="1" w:styleId="CommentSubjectChar">
    <w:name w:val="Comment Subject Char"/>
    <w:basedOn w:val="CommentTextChar"/>
    <w:link w:val="CommentSubject"/>
    <w:uiPriority w:val="99"/>
    <w:semiHidden/>
    <w:rsid w:val="003B20E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B20E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E2"/>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0338">
      <w:bodyDiv w:val="1"/>
      <w:marLeft w:val="0"/>
      <w:marRight w:val="0"/>
      <w:marTop w:val="0"/>
      <w:marBottom w:val="0"/>
      <w:divBdr>
        <w:top w:val="none" w:sz="0" w:space="0" w:color="auto"/>
        <w:left w:val="none" w:sz="0" w:space="0" w:color="auto"/>
        <w:bottom w:val="none" w:sz="0" w:space="0" w:color="auto"/>
        <w:right w:val="none" w:sz="0" w:space="0" w:color="auto"/>
      </w:divBdr>
      <w:divsChild>
        <w:div w:id="1956518670">
          <w:marLeft w:val="0"/>
          <w:marRight w:val="0"/>
          <w:marTop w:val="0"/>
          <w:marBottom w:val="0"/>
          <w:divBdr>
            <w:top w:val="none" w:sz="0" w:space="0" w:color="auto"/>
            <w:left w:val="none" w:sz="0" w:space="0" w:color="auto"/>
            <w:bottom w:val="none" w:sz="0" w:space="0" w:color="auto"/>
            <w:right w:val="none" w:sz="0" w:space="0" w:color="auto"/>
          </w:divBdr>
          <w:divsChild>
            <w:div w:id="104884761">
              <w:marLeft w:val="0"/>
              <w:marRight w:val="0"/>
              <w:marTop w:val="0"/>
              <w:marBottom w:val="0"/>
              <w:divBdr>
                <w:top w:val="none" w:sz="0" w:space="0" w:color="auto"/>
                <w:left w:val="none" w:sz="0" w:space="0" w:color="auto"/>
                <w:bottom w:val="none" w:sz="0" w:space="0" w:color="auto"/>
                <w:right w:val="none" w:sz="0" w:space="0" w:color="auto"/>
              </w:divBdr>
              <w:divsChild>
                <w:div w:id="1030758626">
                  <w:marLeft w:val="0"/>
                  <w:marRight w:val="0"/>
                  <w:marTop w:val="0"/>
                  <w:marBottom w:val="0"/>
                  <w:divBdr>
                    <w:top w:val="none" w:sz="0" w:space="0" w:color="auto"/>
                    <w:left w:val="none" w:sz="0" w:space="0" w:color="auto"/>
                    <w:bottom w:val="none" w:sz="0" w:space="0" w:color="auto"/>
                    <w:right w:val="none" w:sz="0" w:space="0" w:color="auto"/>
                  </w:divBdr>
                  <w:divsChild>
                    <w:div w:id="254436831">
                      <w:marLeft w:val="0"/>
                      <w:marRight w:val="0"/>
                      <w:marTop w:val="0"/>
                      <w:marBottom w:val="0"/>
                      <w:divBdr>
                        <w:top w:val="none" w:sz="0" w:space="0" w:color="auto"/>
                        <w:left w:val="none" w:sz="0" w:space="0" w:color="auto"/>
                        <w:bottom w:val="none" w:sz="0" w:space="0" w:color="auto"/>
                        <w:right w:val="none" w:sz="0" w:space="0" w:color="auto"/>
                      </w:divBdr>
                      <w:divsChild>
                        <w:div w:id="1554540014">
                          <w:marLeft w:val="0"/>
                          <w:marRight w:val="0"/>
                          <w:marTop w:val="0"/>
                          <w:marBottom w:val="0"/>
                          <w:divBdr>
                            <w:top w:val="none" w:sz="0" w:space="0" w:color="auto"/>
                            <w:left w:val="none" w:sz="0" w:space="0" w:color="auto"/>
                            <w:bottom w:val="none" w:sz="0" w:space="0" w:color="auto"/>
                            <w:right w:val="none" w:sz="0" w:space="0" w:color="auto"/>
                          </w:divBdr>
                          <w:divsChild>
                            <w:div w:id="712967424">
                              <w:marLeft w:val="0"/>
                              <w:marRight w:val="0"/>
                              <w:marTop w:val="0"/>
                              <w:marBottom w:val="0"/>
                              <w:divBdr>
                                <w:top w:val="single" w:sz="6" w:space="0" w:color="828282"/>
                                <w:left w:val="single" w:sz="6" w:space="0" w:color="828282"/>
                                <w:bottom w:val="single" w:sz="6" w:space="0" w:color="828282"/>
                                <w:right w:val="single" w:sz="6" w:space="0" w:color="828282"/>
                              </w:divBdr>
                              <w:divsChild>
                                <w:div w:id="459692109">
                                  <w:marLeft w:val="0"/>
                                  <w:marRight w:val="0"/>
                                  <w:marTop w:val="0"/>
                                  <w:marBottom w:val="0"/>
                                  <w:divBdr>
                                    <w:top w:val="none" w:sz="0" w:space="0" w:color="auto"/>
                                    <w:left w:val="none" w:sz="0" w:space="0" w:color="auto"/>
                                    <w:bottom w:val="none" w:sz="0" w:space="0" w:color="auto"/>
                                    <w:right w:val="none" w:sz="0" w:space="0" w:color="auto"/>
                                  </w:divBdr>
                                  <w:divsChild>
                                    <w:div w:id="2017688732">
                                      <w:marLeft w:val="0"/>
                                      <w:marRight w:val="0"/>
                                      <w:marTop w:val="0"/>
                                      <w:marBottom w:val="0"/>
                                      <w:divBdr>
                                        <w:top w:val="none" w:sz="0" w:space="0" w:color="auto"/>
                                        <w:left w:val="none" w:sz="0" w:space="0" w:color="auto"/>
                                        <w:bottom w:val="none" w:sz="0" w:space="0" w:color="auto"/>
                                        <w:right w:val="none" w:sz="0" w:space="0" w:color="auto"/>
                                      </w:divBdr>
                                      <w:divsChild>
                                        <w:div w:id="659311828">
                                          <w:marLeft w:val="0"/>
                                          <w:marRight w:val="0"/>
                                          <w:marTop w:val="0"/>
                                          <w:marBottom w:val="0"/>
                                          <w:divBdr>
                                            <w:top w:val="none" w:sz="0" w:space="0" w:color="auto"/>
                                            <w:left w:val="none" w:sz="0" w:space="0" w:color="auto"/>
                                            <w:bottom w:val="none" w:sz="0" w:space="0" w:color="auto"/>
                                            <w:right w:val="none" w:sz="0" w:space="0" w:color="auto"/>
                                          </w:divBdr>
                                          <w:divsChild>
                                            <w:div w:id="31422035">
                                              <w:marLeft w:val="0"/>
                                              <w:marRight w:val="0"/>
                                              <w:marTop w:val="0"/>
                                              <w:marBottom w:val="0"/>
                                              <w:divBdr>
                                                <w:top w:val="none" w:sz="0" w:space="0" w:color="auto"/>
                                                <w:left w:val="none" w:sz="0" w:space="0" w:color="auto"/>
                                                <w:bottom w:val="none" w:sz="0" w:space="0" w:color="auto"/>
                                                <w:right w:val="none" w:sz="0" w:space="0" w:color="auto"/>
                                              </w:divBdr>
                                              <w:divsChild>
                                                <w:div w:id="1160269172">
                                                  <w:marLeft w:val="0"/>
                                                  <w:marRight w:val="0"/>
                                                  <w:marTop w:val="0"/>
                                                  <w:marBottom w:val="0"/>
                                                  <w:divBdr>
                                                    <w:top w:val="none" w:sz="0" w:space="0" w:color="auto"/>
                                                    <w:left w:val="none" w:sz="0" w:space="0" w:color="auto"/>
                                                    <w:bottom w:val="none" w:sz="0" w:space="0" w:color="auto"/>
                                                    <w:right w:val="none" w:sz="0" w:space="0" w:color="auto"/>
                                                  </w:divBdr>
                                                  <w:divsChild>
                                                    <w:div w:id="1184510898">
                                                      <w:marLeft w:val="0"/>
                                                      <w:marRight w:val="0"/>
                                                      <w:marTop w:val="0"/>
                                                      <w:marBottom w:val="0"/>
                                                      <w:divBdr>
                                                        <w:top w:val="none" w:sz="0" w:space="0" w:color="auto"/>
                                                        <w:left w:val="none" w:sz="0" w:space="0" w:color="auto"/>
                                                        <w:bottom w:val="none" w:sz="0" w:space="0" w:color="auto"/>
                                                        <w:right w:val="none" w:sz="0" w:space="0" w:color="auto"/>
                                                      </w:divBdr>
                                                      <w:divsChild>
                                                        <w:div w:id="20322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Simon</dc:creator>
  <cp:keywords/>
  <dc:description/>
  <cp:lastModifiedBy>JORDAN, Simon</cp:lastModifiedBy>
  <cp:revision>2</cp:revision>
  <dcterms:created xsi:type="dcterms:W3CDTF">2015-11-05T02:53:00Z</dcterms:created>
  <dcterms:modified xsi:type="dcterms:W3CDTF">2015-11-05T02:53:00Z</dcterms:modified>
</cp:coreProperties>
</file>