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9D4DB" w14:textId="77777777" w:rsidR="0029588E" w:rsidRPr="0029588E" w:rsidRDefault="00D5436F" w:rsidP="0029588E">
      <w:pPr>
        <w:pStyle w:val="Paragraphnumbered"/>
        <w:spacing w:before="120" w:after="120" w:line="240" w:lineRule="auto"/>
        <w:ind w:left="360"/>
        <w:jc w:val="center"/>
        <w:rPr>
          <w:b/>
          <w:szCs w:val="24"/>
          <w:u w:val="single"/>
        </w:rPr>
      </w:pPr>
      <w:r w:rsidRPr="0029588E">
        <w:rPr>
          <w:b/>
          <w:szCs w:val="24"/>
          <w:u w:val="single"/>
        </w:rPr>
        <w:t>EXPLANATORY STATEMENT</w:t>
      </w:r>
    </w:p>
    <w:p w14:paraId="4B39D4DC" w14:textId="77777777" w:rsidR="0029588E" w:rsidRDefault="00A26BE9" w:rsidP="007248DE">
      <w:pPr>
        <w:pStyle w:val="Paragraphnumbered"/>
        <w:spacing w:before="0" w:line="240" w:lineRule="auto"/>
        <w:ind w:left="357"/>
        <w:rPr>
          <w:szCs w:val="24"/>
        </w:rPr>
      </w:pPr>
    </w:p>
    <w:p w14:paraId="4B39D4DD" w14:textId="1E174B11" w:rsidR="0029588E" w:rsidRDefault="00D5436F" w:rsidP="007248DE">
      <w:pPr>
        <w:pStyle w:val="Paragraphnumbered"/>
        <w:spacing w:before="0" w:line="240" w:lineRule="auto"/>
        <w:ind w:left="357"/>
        <w:jc w:val="center"/>
        <w:rPr>
          <w:szCs w:val="24"/>
        </w:rPr>
      </w:pPr>
      <w:r>
        <w:rPr>
          <w:szCs w:val="24"/>
        </w:rPr>
        <w:t>Issued by th</w:t>
      </w:r>
      <w:r w:rsidR="00B12349">
        <w:rPr>
          <w:szCs w:val="24"/>
        </w:rPr>
        <w:t xml:space="preserve">e Authority of the </w:t>
      </w:r>
      <w:bookmarkStart w:id="0" w:name="_GoBack"/>
      <w:r w:rsidR="00B12349">
        <w:rPr>
          <w:szCs w:val="24"/>
        </w:rPr>
        <w:t>Minister</w:t>
      </w:r>
      <w:bookmarkEnd w:id="0"/>
      <w:r w:rsidR="00B12349">
        <w:rPr>
          <w:szCs w:val="24"/>
        </w:rPr>
        <w:t xml:space="preserve"> for the Arts</w:t>
      </w:r>
    </w:p>
    <w:p w14:paraId="4B39D4DE" w14:textId="77777777" w:rsidR="0029588E" w:rsidRPr="0029588E" w:rsidRDefault="00D5436F" w:rsidP="007248DE">
      <w:pPr>
        <w:pStyle w:val="Paragraphnumbered"/>
        <w:spacing w:before="0" w:line="240" w:lineRule="auto"/>
        <w:ind w:left="357"/>
        <w:jc w:val="center"/>
        <w:rPr>
          <w:i/>
          <w:szCs w:val="24"/>
        </w:rPr>
      </w:pPr>
      <w:r w:rsidRPr="0029588E">
        <w:rPr>
          <w:i/>
          <w:szCs w:val="24"/>
        </w:rPr>
        <w:t>Classification (Publications, films and Computer Games) Act 1995</w:t>
      </w:r>
    </w:p>
    <w:p w14:paraId="4B39D4DF" w14:textId="77777777" w:rsidR="0029588E" w:rsidRDefault="00D5436F" w:rsidP="007248DE">
      <w:pPr>
        <w:pStyle w:val="Paragraphnumbered"/>
        <w:spacing w:before="0" w:line="240" w:lineRule="auto"/>
        <w:ind w:left="357"/>
        <w:jc w:val="center"/>
        <w:rPr>
          <w:i/>
        </w:rPr>
      </w:pPr>
      <w:r w:rsidRPr="00723FDD">
        <w:rPr>
          <w:i/>
        </w:rPr>
        <w:t xml:space="preserve">Classification (Publications, Films and Computer Games) (Markings and Consumer Advice) </w:t>
      </w:r>
      <w:r w:rsidRPr="0087393D">
        <w:rPr>
          <w:i/>
        </w:rPr>
        <w:t>Amendment</w:t>
      </w:r>
      <w:r>
        <w:rPr>
          <w:szCs w:val="24"/>
        </w:rPr>
        <w:t> </w:t>
      </w:r>
      <w:r w:rsidRPr="00723FDD">
        <w:rPr>
          <w:i/>
        </w:rPr>
        <w:t>Determination 2015</w:t>
      </w:r>
    </w:p>
    <w:p w14:paraId="4B39D4E0" w14:textId="77777777" w:rsidR="0029588E" w:rsidRDefault="00A26BE9" w:rsidP="007248DE">
      <w:pPr>
        <w:pStyle w:val="Paragraphnumbered"/>
        <w:spacing w:before="0" w:line="240" w:lineRule="auto"/>
        <w:ind w:left="357"/>
      </w:pPr>
    </w:p>
    <w:p w14:paraId="4B39D4E1" w14:textId="77777777" w:rsidR="0029588E" w:rsidRDefault="00D5436F" w:rsidP="00EE175E">
      <w:pPr>
        <w:pStyle w:val="Paragraphnumbered"/>
        <w:spacing w:before="0" w:line="240" w:lineRule="auto"/>
        <w:ind w:left="360"/>
        <w:rPr>
          <w:szCs w:val="24"/>
        </w:rPr>
      </w:pPr>
      <w:r>
        <w:t xml:space="preserve">The </w:t>
      </w:r>
      <w:r w:rsidRPr="0029588E">
        <w:rPr>
          <w:i/>
          <w:szCs w:val="24"/>
        </w:rPr>
        <w:t>Classification (Publications, films and Computer Games) Act 1995</w:t>
      </w:r>
      <w:r>
        <w:rPr>
          <w:szCs w:val="24"/>
        </w:rPr>
        <w:t xml:space="preserve"> (the Act) facilitates the operation of the co-operative legislative scheme for classification in Australia. The Act sets out procedures for the classification of films, computer games and some publications. </w:t>
      </w:r>
    </w:p>
    <w:p w14:paraId="4B39D4E2" w14:textId="77777777" w:rsidR="0029588E" w:rsidRDefault="00A26BE9" w:rsidP="00EE175E">
      <w:pPr>
        <w:pStyle w:val="Paragraphnumbered"/>
        <w:spacing w:before="0" w:line="240" w:lineRule="auto"/>
        <w:ind w:left="360"/>
        <w:rPr>
          <w:szCs w:val="24"/>
        </w:rPr>
      </w:pPr>
    </w:p>
    <w:p w14:paraId="4B39D4E3" w14:textId="77777777" w:rsidR="0029588E" w:rsidRPr="0029588E" w:rsidRDefault="00D5436F" w:rsidP="00EE175E">
      <w:pPr>
        <w:pStyle w:val="Paragraphnumbered"/>
        <w:spacing w:before="0" w:line="240" w:lineRule="auto"/>
        <w:ind w:left="360"/>
        <w:rPr>
          <w:b/>
          <w:szCs w:val="24"/>
        </w:rPr>
      </w:pPr>
      <w:r w:rsidRPr="0029588E">
        <w:rPr>
          <w:b/>
          <w:szCs w:val="24"/>
        </w:rPr>
        <w:t>Authority for making the instrument</w:t>
      </w:r>
    </w:p>
    <w:p w14:paraId="4B39D4E4" w14:textId="77777777" w:rsidR="0087393D" w:rsidRDefault="00A26BE9" w:rsidP="00EE175E">
      <w:pPr>
        <w:ind w:left="360"/>
        <w:rPr>
          <w:szCs w:val="24"/>
        </w:rPr>
      </w:pPr>
    </w:p>
    <w:p w14:paraId="4B39D4E5" w14:textId="77777777" w:rsidR="0087393D" w:rsidRPr="00FC336E" w:rsidRDefault="00D5436F" w:rsidP="00EE175E">
      <w:pPr>
        <w:ind w:left="360"/>
        <w:rPr>
          <w:szCs w:val="24"/>
        </w:rPr>
      </w:pPr>
      <w:r w:rsidRPr="00FC336E">
        <w:rPr>
          <w:szCs w:val="24"/>
        </w:rPr>
        <w:t>Subsection 8(1) of the Act enable</w:t>
      </w:r>
      <w:r>
        <w:rPr>
          <w:szCs w:val="24"/>
        </w:rPr>
        <w:t>s</w:t>
      </w:r>
      <w:r w:rsidRPr="00FC336E">
        <w:rPr>
          <w:szCs w:val="24"/>
        </w:rPr>
        <w:t xml:space="preserve"> the Minister, by legislative instrument, to determine markings for each type of classification giving information about the classification and principles relati</w:t>
      </w:r>
      <w:r>
        <w:rPr>
          <w:szCs w:val="24"/>
        </w:rPr>
        <w:t>ng</w:t>
      </w:r>
      <w:r w:rsidRPr="00FC336E">
        <w:rPr>
          <w:szCs w:val="24"/>
        </w:rPr>
        <w:t xml:space="preserve"> to the display of the markings and consumer advice. </w:t>
      </w:r>
    </w:p>
    <w:p w14:paraId="4B39D4E6" w14:textId="77777777" w:rsidR="0087393D" w:rsidRDefault="00A26BE9" w:rsidP="00EE175E">
      <w:pPr>
        <w:ind w:left="360"/>
        <w:rPr>
          <w:szCs w:val="24"/>
        </w:rPr>
      </w:pPr>
    </w:p>
    <w:p w14:paraId="4B39D4E7" w14:textId="77777777" w:rsidR="0087393D" w:rsidRPr="00FC336E" w:rsidRDefault="00D5436F" w:rsidP="00EE175E">
      <w:pPr>
        <w:ind w:left="360"/>
        <w:rPr>
          <w:szCs w:val="24"/>
        </w:rPr>
      </w:pPr>
      <w:r w:rsidRPr="00FC336E">
        <w:rPr>
          <w:szCs w:val="24"/>
        </w:rPr>
        <w:t xml:space="preserve">Subsection 8(1A) of the Act provides that the Minister may determine principles relating to the manner in which the markings are to be displayed. </w:t>
      </w:r>
    </w:p>
    <w:p w14:paraId="4B39D4E8" w14:textId="77777777" w:rsidR="0087393D" w:rsidRPr="00FC336E" w:rsidRDefault="00A26BE9" w:rsidP="00EE175E">
      <w:pPr>
        <w:ind w:left="360"/>
        <w:rPr>
          <w:szCs w:val="24"/>
        </w:rPr>
      </w:pPr>
    </w:p>
    <w:p w14:paraId="4B39D4E9" w14:textId="77777777" w:rsidR="0087393D" w:rsidRPr="00FC336E" w:rsidRDefault="00D5436F" w:rsidP="00EE175E">
      <w:pPr>
        <w:ind w:left="360"/>
        <w:rPr>
          <w:szCs w:val="24"/>
        </w:rPr>
      </w:pPr>
      <w:r w:rsidRPr="00FC336E">
        <w:rPr>
          <w:szCs w:val="24"/>
        </w:rPr>
        <w:t xml:space="preserve">Subsection 8(1B) of the Act provides that the Minister may determine principles relating to the manner in which the consumer advice </w:t>
      </w:r>
      <w:r>
        <w:rPr>
          <w:szCs w:val="24"/>
        </w:rPr>
        <w:t>is</w:t>
      </w:r>
      <w:r w:rsidRPr="00FC336E">
        <w:rPr>
          <w:szCs w:val="24"/>
        </w:rPr>
        <w:t xml:space="preserve"> to be displayed. </w:t>
      </w:r>
    </w:p>
    <w:p w14:paraId="4B39D4EA" w14:textId="77777777" w:rsidR="0087393D" w:rsidRPr="00FC336E" w:rsidRDefault="00A26BE9" w:rsidP="00EE175E">
      <w:pPr>
        <w:ind w:left="360"/>
        <w:rPr>
          <w:szCs w:val="24"/>
        </w:rPr>
      </w:pPr>
    </w:p>
    <w:p w14:paraId="4B39D4EB" w14:textId="77777777" w:rsidR="0029588E" w:rsidRPr="0029588E" w:rsidRDefault="00D5436F" w:rsidP="00EE175E">
      <w:pPr>
        <w:pStyle w:val="Paragraphnumbered"/>
        <w:spacing w:before="0" w:line="240" w:lineRule="auto"/>
        <w:ind w:left="360"/>
        <w:rPr>
          <w:b/>
          <w:szCs w:val="24"/>
        </w:rPr>
      </w:pPr>
      <w:r w:rsidRPr="0029588E">
        <w:rPr>
          <w:b/>
          <w:szCs w:val="24"/>
        </w:rPr>
        <w:t>Purpose of the instrument</w:t>
      </w:r>
    </w:p>
    <w:p w14:paraId="4B39D4EC" w14:textId="77777777" w:rsidR="00EE175E" w:rsidRDefault="00A26BE9" w:rsidP="00EE175E">
      <w:pPr>
        <w:pStyle w:val="Paragraphnumbered"/>
        <w:spacing w:before="0" w:line="240" w:lineRule="auto"/>
        <w:ind w:left="357"/>
        <w:rPr>
          <w:szCs w:val="24"/>
        </w:rPr>
      </w:pPr>
    </w:p>
    <w:p w14:paraId="4B39D4ED" w14:textId="77777777" w:rsidR="00B1575D" w:rsidRDefault="00D5436F" w:rsidP="00B1575D">
      <w:pPr>
        <w:pStyle w:val="Paragraphnumbered"/>
        <w:spacing w:before="0" w:line="240" w:lineRule="auto"/>
        <w:ind w:left="357"/>
        <w:rPr>
          <w:szCs w:val="24"/>
        </w:rPr>
      </w:pPr>
      <w:r>
        <w:rPr>
          <w:szCs w:val="24"/>
        </w:rPr>
        <w:t xml:space="preserve">This legislative instrument extends an exemption with regard to advertising in Part 4 of the </w:t>
      </w:r>
      <w:r w:rsidRPr="00723FDD">
        <w:rPr>
          <w:i/>
          <w:szCs w:val="24"/>
        </w:rPr>
        <w:t>Classification (Publications, Films and Computer Games) (Markings and Consumer Advice) Determination 2014</w:t>
      </w:r>
      <w:r>
        <w:rPr>
          <w:szCs w:val="24"/>
        </w:rPr>
        <w:t xml:space="preserve"> until 1 February 2017. </w:t>
      </w:r>
    </w:p>
    <w:p w14:paraId="4B39D4EE" w14:textId="77777777" w:rsidR="0029588E" w:rsidRPr="0029588E" w:rsidRDefault="00A26BE9" w:rsidP="00E71C46">
      <w:pPr>
        <w:pStyle w:val="Paragraphnumbered"/>
        <w:spacing w:before="0" w:line="240" w:lineRule="auto"/>
        <w:ind w:left="360"/>
        <w:rPr>
          <w:szCs w:val="24"/>
        </w:rPr>
      </w:pPr>
    </w:p>
    <w:p w14:paraId="4B39D4EF" w14:textId="77777777" w:rsidR="00E71C46" w:rsidRPr="00A02C7A" w:rsidRDefault="00D5436F" w:rsidP="00E71C46">
      <w:pPr>
        <w:ind w:left="360"/>
        <w:rPr>
          <w:b/>
          <w:szCs w:val="24"/>
        </w:rPr>
      </w:pPr>
      <w:r w:rsidRPr="00A02C7A">
        <w:rPr>
          <w:b/>
          <w:szCs w:val="24"/>
        </w:rPr>
        <w:t xml:space="preserve">Issues giving rise to the need </w:t>
      </w:r>
      <w:r>
        <w:rPr>
          <w:b/>
          <w:szCs w:val="24"/>
        </w:rPr>
        <w:t>for the instrument</w:t>
      </w:r>
    </w:p>
    <w:p w14:paraId="4B39D4F0" w14:textId="77777777" w:rsidR="00E71C46" w:rsidRDefault="00A26BE9" w:rsidP="00E71C46">
      <w:pPr>
        <w:ind w:left="360"/>
        <w:rPr>
          <w:szCs w:val="24"/>
        </w:rPr>
      </w:pPr>
    </w:p>
    <w:p w14:paraId="4B39D4F1" w14:textId="77777777" w:rsidR="007248DE" w:rsidRDefault="00D5436F" w:rsidP="00EE175E">
      <w:pPr>
        <w:pStyle w:val="Celltext"/>
        <w:spacing w:before="0"/>
        <w:ind w:left="360"/>
        <w:rPr>
          <w:szCs w:val="24"/>
        </w:rPr>
      </w:pPr>
      <w:r>
        <w:t xml:space="preserve">On </w:t>
      </w:r>
      <w:r w:rsidRPr="00FC336E">
        <w:rPr>
          <w:szCs w:val="24"/>
        </w:rPr>
        <w:t xml:space="preserve">11 September 2014, the </w:t>
      </w:r>
      <w:r w:rsidRPr="00FC336E">
        <w:rPr>
          <w:i/>
          <w:szCs w:val="24"/>
        </w:rPr>
        <w:t>Classification (Publications, Films and Computer Games) Amendment (Classification Tools and Other Measures) Act 2014</w:t>
      </w:r>
      <w:r w:rsidRPr="00FC336E">
        <w:rPr>
          <w:szCs w:val="24"/>
        </w:rPr>
        <w:t xml:space="preserve"> (Amending Act)</w:t>
      </w:r>
      <w:r>
        <w:rPr>
          <w:szCs w:val="24"/>
        </w:rPr>
        <w:t>,</w:t>
      </w:r>
      <w:r w:rsidRPr="00FC336E">
        <w:rPr>
          <w:szCs w:val="24"/>
        </w:rPr>
        <w:t xml:space="preserve"> which amended the Act to introduce these reforms</w:t>
      </w:r>
      <w:r>
        <w:rPr>
          <w:szCs w:val="24"/>
        </w:rPr>
        <w:t>,</w:t>
      </w:r>
      <w:r w:rsidRPr="00FC336E">
        <w:rPr>
          <w:szCs w:val="24"/>
        </w:rPr>
        <w:t xml:space="preserve"> received Royal Assent.  Schedule 5 of the Amending Act, which contains the relevant amendments on determined markings and consumer advice, commenced on 11 December 2014</w:t>
      </w:r>
      <w:r>
        <w:rPr>
          <w:szCs w:val="24"/>
        </w:rPr>
        <w:t xml:space="preserve">. </w:t>
      </w:r>
    </w:p>
    <w:p w14:paraId="4B39D4F2" w14:textId="77777777" w:rsidR="007248DE" w:rsidRDefault="00A26BE9" w:rsidP="00EE175E">
      <w:pPr>
        <w:pStyle w:val="Celltext"/>
        <w:spacing w:before="0"/>
        <w:ind w:left="360"/>
        <w:rPr>
          <w:szCs w:val="24"/>
        </w:rPr>
      </w:pPr>
    </w:p>
    <w:p w14:paraId="4B39D4F3" w14:textId="18D0138B" w:rsidR="007248DE" w:rsidRDefault="00D5436F" w:rsidP="00EE175E">
      <w:pPr>
        <w:pStyle w:val="Celltext"/>
        <w:spacing w:before="0"/>
        <w:ind w:left="360"/>
        <w:rPr>
          <w:szCs w:val="24"/>
        </w:rPr>
      </w:pPr>
      <w:r>
        <w:rPr>
          <w:szCs w:val="24"/>
        </w:rPr>
        <w:t xml:space="preserve">To allow for sufficient time for the </w:t>
      </w:r>
      <w:r>
        <w:t xml:space="preserve">cinema exhibition </w:t>
      </w:r>
      <w:r>
        <w:rPr>
          <w:szCs w:val="24"/>
        </w:rPr>
        <w:t xml:space="preserve">industry to adapt their systems and procedures </w:t>
      </w:r>
      <w:r w:rsidRPr="004E45A0">
        <w:rPr>
          <w:szCs w:val="24"/>
        </w:rPr>
        <w:t>and incorporat</w:t>
      </w:r>
      <w:r w:rsidR="00C96D16">
        <w:rPr>
          <w:szCs w:val="24"/>
        </w:rPr>
        <w:t>e</w:t>
      </w:r>
      <w:r w:rsidRPr="004E45A0">
        <w:rPr>
          <w:szCs w:val="24"/>
        </w:rPr>
        <w:t xml:space="preserve"> advances in digital technology, </w:t>
      </w:r>
      <w:r>
        <w:rPr>
          <w:szCs w:val="24"/>
        </w:rPr>
        <w:t>an</w:t>
      </w:r>
      <w:r w:rsidRPr="004E45A0">
        <w:rPr>
          <w:szCs w:val="24"/>
        </w:rPr>
        <w:t xml:space="preserve"> exemption </w:t>
      </w:r>
      <w:r>
        <w:rPr>
          <w:szCs w:val="24"/>
        </w:rPr>
        <w:t xml:space="preserve">was included in the instrument, giving industry a 12 month period to work with the department to assist with compliance with the determination when the exemption ends. This exemption will </w:t>
      </w:r>
      <w:r w:rsidRPr="004E45A0">
        <w:rPr>
          <w:szCs w:val="24"/>
        </w:rPr>
        <w:t xml:space="preserve">expire 11 December 2015. </w:t>
      </w:r>
    </w:p>
    <w:p w14:paraId="4B39D4F4" w14:textId="77777777" w:rsidR="007248DE" w:rsidRDefault="00A26BE9" w:rsidP="00EE175E">
      <w:pPr>
        <w:pStyle w:val="Celltext"/>
        <w:spacing w:before="0"/>
        <w:ind w:left="360"/>
        <w:rPr>
          <w:szCs w:val="24"/>
        </w:rPr>
      </w:pPr>
    </w:p>
    <w:p w14:paraId="4B39D4F5" w14:textId="77777777" w:rsidR="00EE175E" w:rsidRDefault="00D5436F" w:rsidP="00A60371">
      <w:pPr>
        <w:pStyle w:val="Celltext"/>
        <w:spacing w:before="0"/>
        <w:ind w:left="360"/>
        <w:rPr>
          <w:szCs w:val="24"/>
        </w:rPr>
      </w:pPr>
      <w:r>
        <w:t xml:space="preserve">Industry has since indicated that it is unable to comply with this requirement </w:t>
      </w:r>
      <w:r>
        <w:rPr>
          <w:szCs w:val="24"/>
        </w:rPr>
        <w:t>and has requested an extension of the exemption, until 1 February 2017. This extension will allow sufficient time for the department to work with industry to develop and pilot a technological solution and for industry to train staff to ensure a smooth and efficient transition enabling industry to comply with classification laws.</w:t>
      </w:r>
    </w:p>
    <w:p w14:paraId="4B39D4F6" w14:textId="77777777" w:rsidR="0029588E" w:rsidRDefault="00A26BE9" w:rsidP="00A60371">
      <w:pPr>
        <w:pStyle w:val="Paragraphnumbered"/>
        <w:spacing w:before="0" w:line="240" w:lineRule="auto"/>
        <w:ind w:left="360"/>
        <w:rPr>
          <w:szCs w:val="24"/>
        </w:rPr>
      </w:pPr>
    </w:p>
    <w:p w14:paraId="4B39D4F7" w14:textId="77777777" w:rsidR="00E71C46" w:rsidRPr="00E71C46" w:rsidRDefault="00D5436F" w:rsidP="00A60371">
      <w:pPr>
        <w:pStyle w:val="Paragraphnumbered"/>
        <w:spacing w:before="0" w:line="240" w:lineRule="auto"/>
        <w:ind w:left="360"/>
        <w:rPr>
          <w:b/>
          <w:szCs w:val="24"/>
        </w:rPr>
      </w:pPr>
      <w:r w:rsidRPr="00E71C46">
        <w:rPr>
          <w:b/>
          <w:szCs w:val="24"/>
        </w:rPr>
        <w:t>Consultation</w:t>
      </w:r>
    </w:p>
    <w:p w14:paraId="4B39D4F8" w14:textId="77777777" w:rsidR="00E71C46" w:rsidRPr="00E71C46" w:rsidRDefault="00A26BE9" w:rsidP="00A60371">
      <w:pPr>
        <w:pStyle w:val="Paragraphnumbered"/>
        <w:spacing w:before="0" w:line="240" w:lineRule="auto"/>
        <w:ind w:left="360"/>
        <w:rPr>
          <w:szCs w:val="24"/>
        </w:rPr>
      </w:pPr>
    </w:p>
    <w:p w14:paraId="4B39D4F9" w14:textId="77777777" w:rsidR="00E71C46" w:rsidRDefault="00D5436F" w:rsidP="00A60371">
      <w:pPr>
        <w:pStyle w:val="Paragraphnumbered"/>
        <w:spacing w:before="0" w:line="240" w:lineRule="auto"/>
        <w:ind w:left="360"/>
        <w:rPr>
          <w:szCs w:val="24"/>
        </w:rPr>
      </w:pPr>
      <w:r>
        <w:rPr>
          <w:szCs w:val="24"/>
        </w:rPr>
        <w:t xml:space="preserve">The department consulted state and territory classification officials and the following stakeholders. </w:t>
      </w:r>
    </w:p>
    <w:p w14:paraId="4B39D4FA" w14:textId="77777777" w:rsidR="00BA65E8" w:rsidRDefault="00A26BE9" w:rsidP="00A60371">
      <w:pPr>
        <w:pStyle w:val="Paragraphnumbered"/>
        <w:spacing w:before="0" w:line="240" w:lineRule="auto"/>
        <w:ind w:left="360"/>
        <w:rPr>
          <w:szCs w:val="24"/>
        </w:rPr>
      </w:pPr>
    </w:p>
    <w:p w14:paraId="4B39D4FB" w14:textId="77777777" w:rsidR="00BA65E8" w:rsidRDefault="00D5436F" w:rsidP="00A60371">
      <w:pPr>
        <w:pStyle w:val="Paragraphnumbered"/>
        <w:spacing w:before="0" w:line="240" w:lineRule="auto"/>
        <w:ind w:left="360"/>
      </w:pPr>
      <w:r>
        <w:rPr>
          <w:szCs w:val="24"/>
        </w:rPr>
        <w:t xml:space="preserve">Industry bodies: Dendy, </w:t>
      </w:r>
      <w:r>
        <w:t xml:space="preserve">Film Exhibition and Distribution Code Administration Committee (FEDCAC), Independent Cinema Association of Australia (ICAA), </w:t>
      </w:r>
      <w:r w:rsidRPr="00BA65E8">
        <w:rPr>
          <w:szCs w:val="24"/>
        </w:rPr>
        <w:t>Motion Picture Distributors Association of Australia (MPDAA),</w:t>
      </w:r>
      <w:r>
        <w:rPr>
          <w:szCs w:val="24"/>
        </w:rPr>
        <w:t xml:space="preserve"> </w:t>
      </w:r>
      <w:r>
        <w:t xml:space="preserve">National Association of Cinema Operators (NACO) and Sony Pictures. </w:t>
      </w:r>
    </w:p>
    <w:p w14:paraId="4B39D4FC" w14:textId="77777777" w:rsidR="00BA65E8" w:rsidRDefault="00A26BE9" w:rsidP="00A60371">
      <w:pPr>
        <w:pStyle w:val="Paragraphnumbered"/>
        <w:spacing w:before="0" w:line="240" w:lineRule="auto"/>
        <w:ind w:left="360"/>
      </w:pPr>
    </w:p>
    <w:p w14:paraId="4B39D4FD" w14:textId="1A0D9700" w:rsidR="00BA65E8" w:rsidRDefault="00D5436F" w:rsidP="00A60371">
      <w:pPr>
        <w:pStyle w:val="Paragraphnumbered"/>
        <w:spacing w:before="0" w:line="240" w:lineRule="auto"/>
        <w:ind w:left="360"/>
        <w:rPr>
          <w:szCs w:val="24"/>
        </w:rPr>
      </w:pPr>
      <w:r>
        <w:lastRenderedPageBreak/>
        <w:t>Industry is supportive of an extension to the expiry of the exemption</w:t>
      </w:r>
      <w:r w:rsidR="00EB0331">
        <w:t>. The extension will</w:t>
      </w:r>
      <w:r>
        <w:t xml:space="preserve"> provide sufficient time </w:t>
      </w:r>
      <w:r>
        <w:rPr>
          <w:szCs w:val="24"/>
        </w:rPr>
        <w:t xml:space="preserve">for the department to work with industry to develop and pilot a technological solution and for industry to train staff to ensure a smooth and efficient transition to </w:t>
      </w:r>
      <w:r w:rsidR="00EB0331">
        <w:rPr>
          <w:szCs w:val="24"/>
        </w:rPr>
        <w:t>the new arrangements.</w:t>
      </w:r>
      <w:r>
        <w:rPr>
          <w:szCs w:val="24"/>
        </w:rPr>
        <w:t xml:space="preserve"> </w:t>
      </w:r>
    </w:p>
    <w:p w14:paraId="0D340D50" w14:textId="77777777" w:rsidR="00EB0331" w:rsidRDefault="00EB0331" w:rsidP="00A60371">
      <w:pPr>
        <w:pStyle w:val="Paragraphnumbered"/>
        <w:spacing w:before="0" w:line="240" w:lineRule="auto"/>
        <w:ind w:left="360"/>
        <w:rPr>
          <w:szCs w:val="24"/>
        </w:rPr>
      </w:pPr>
    </w:p>
    <w:p w14:paraId="4B39D4FE" w14:textId="77777777" w:rsidR="00E71C46" w:rsidRPr="00E71C46" w:rsidRDefault="00D5436F" w:rsidP="00A60371">
      <w:pPr>
        <w:pStyle w:val="Paragraphnumbered"/>
        <w:spacing w:before="0" w:line="240" w:lineRule="auto"/>
        <w:ind w:left="360"/>
        <w:rPr>
          <w:b/>
          <w:szCs w:val="24"/>
        </w:rPr>
      </w:pPr>
      <w:r w:rsidRPr="00E71C46">
        <w:rPr>
          <w:b/>
          <w:szCs w:val="24"/>
        </w:rPr>
        <w:t>Commencement</w:t>
      </w:r>
    </w:p>
    <w:p w14:paraId="4B39D4FF" w14:textId="77777777" w:rsidR="00EE175E" w:rsidRPr="00E71C46" w:rsidRDefault="00A26BE9" w:rsidP="00A60371">
      <w:pPr>
        <w:pStyle w:val="Paragraphnumbered"/>
        <w:spacing w:before="0" w:line="240" w:lineRule="auto"/>
        <w:ind w:left="360"/>
        <w:rPr>
          <w:szCs w:val="24"/>
        </w:rPr>
      </w:pPr>
    </w:p>
    <w:p w14:paraId="4B39D501" w14:textId="4016C2F4" w:rsidR="00E71C46" w:rsidRPr="00D5436F" w:rsidRDefault="00D5436F" w:rsidP="00A60371">
      <w:pPr>
        <w:pStyle w:val="Paragraphnumbered"/>
        <w:spacing w:before="0" w:line="240" w:lineRule="auto"/>
        <w:ind w:left="360"/>
        <w:rPr>
          <w:szCs w:val="24"/>
        </w:rPr>
      </w:pPr>
      <w:r w:rsidRPr="00D5436F">
        <w:rPr>
          <w:szCs w:val="24"/>
        </w:rPr>
        <w:t>This legislative instrument commences on the day it is registered</w:t>
      </w:r>
      <w:r>
        <w:rPr>
          <w:szCs w:val="24"/>
        </w:rPr>
        <w:t>.</w:t>
      </w:r>
    </w:p>
    <w:p w14:paraId="07E07056" w14:textId="77777777" w:rsidR="00D5436F" w:rsidRDefault="00D5436F" w:rsidP="00A60371">
      <w:pPr>
        <w:pStyle w:val="Paragraphnumbered"/>
        <w:spacing w:before="0" w:line="240" w:lineRule="auto"/>
        <w:ind w:left="360"/>
        <w:rPr>
          <w:szCs w:val="24"/>
        </w:rPr>
      </w:pPr>
    </w:p>
    <w:p w14:paraId="4B39D502" w14:textId="77777777" w:rsidR="00E71C46" w:rsidRDefault="00D5436F" w:rsidP="00EE175E">
      <w:pPr>
        <w:pStyle w:val="Paragraphnumbered"/>
        <w:spacing w:before="0" w:line="240" w:lineRule="auto"/>
        <w:ind w:left="360"/>
        <w:rPr>
          <w:szCs w:val="24"/>
        </w:rPr>
      </w:pPr>
      <w:r>
        <w:rPr>
          <w:szCs w:val="24"/>
        </w:rPr>
        <w:t xml:space="preserve">In accordance with subsections 44(1) and 45(1) of the LIA, the legislative instrument is not subject to disallowance or </w:t>
      </w:r>
      <w:proofErr w:type="spellStart"/>
      <w:r>
        <w:rPr>
          <w:szCs w:val="24"/>
        </w:rPr>
        <w:t>sunsetting</w:t>
      </w:r>
      <w:proofErr w:type="spellEnd"/>
      <w:r>
        <w:rPr>
          <w:szCs w:val="24"/>
        </w:rPr>
        <w:t xml:space="preserve"> because the Act facilitates the establishment or operation of an intergovernmental scheme allowing the Commonwealth and one or more of the states, and authorises the instrument by made by the Minister. </w:t>
      </w:r>
    </w:p>
    <w:p w14:paraId="4B39D503" w14:textId="77777777" w:rsidR="00E71C46" w:rsidRDefault="00A26BE9" w:rsidP="00EE175E">
      <w:pPr>
        <w:pStyle w:val="Paragraphnumbered"/>
        <w:spacing w:before="0" w:line="240" w:lineRule="auto"/>
        <w:ind w:left="360"/>
        <w:rPr>
          <w:szCs w:val="24"/>
        </w:rPr>
      </w:pPr>
    </w:p>
    <w:p w14:paraId="6D76D6C5" w14:textId="77777777" w:rsidR="0045047C" w:rsidRDefault="0045047C" w:rsidP="00EE175E">
      <w:pPr>
        <w:pStyle w:val="Paragraphnumbered"/>
        <w:spacing w:before="0" w:line="240" w:lineRule="auto"/>
        <w:ind w:left="360"/>
        <w:rPr>
          <w:szCs w:val="24"/>
        </w:rPr>
      </w:pPr>
    </w:p>
    <w:p w14:paraId="031A24FA" w14:textId="77777777" w:rsidR="0045047C" w:rsidRDefault="0045047C" w:rsidP="00EE175E">
      <w:pPr>
        <w:pStyle w:val="Paragraphnumbered"/>
        <w:spacing w:before="0" w:line="240" w:lineRule="auto"/>
        <w:ind w:left="360"/>
        <w:rPr>
          <w:szCs w:val="24"/>
        </w:rPr>
      </w:pPr>
    </w:p>
    <w:p w14:paraId="4B39D504" w14:textId="77777777" w:rsidR="00E71C46" w:rsidRDefault="00A26BE9" w:rsidP="00EE175E">
      <w:pPr>
        <w:pStyle w:val="Paragraphnumbered"/>
        <w:spacing w:before="0" w:line="240" w:lineRule="auto"/>
        <w:ind w:left="360"/>
        <w:rPr>
          <w:szCs w:val="24"/>
        </w:rPr>
      </w:pPr>
    </w:p>
    <w:p w14:paraId="4B39D505" w14:textId="375B6504" w:rsidR="00E71C46" w:rsidRDefault="00704495" w:rsidP="00EE175E">
      <w:pPr>
        <w:pStyle w:val="Paragraphnumbered"/>
        <w:spacing w:before="0" w:line="240" w:lineRule="auto"/>
        <w:ind w:left="360"/>
        <w:rPr>
          <w:szCs w:val="24"/>
        </w:rPr>
      </w:pPr>
      <w:r>
        <w:rPr>
          <w:szCs w:val="24"/>
        </w:rPr>
        <w:t>Sen</w:t>
      </w:r>
      <w:r w:rsidR="00D5436F">
        <w:rPr>
          <w:szCs w:val="24"/>
        </w:rPr>
        <w:t xml:space="preserve"> </w:t>
      </w:r>
      <w:r>
        <w:rPr>
          <w:szCs w:val="24"/>
        </w:rPr>
        <w:t xml:space="preserve">the </w:t>
      </w:r>
      <w:proofErr w:type="spellStart"/>
      <w:r w:rsidR="00D5436F">
        <w:rPr>
          <w:szCs w:val="24"/>
        </w:rPr>
        <w:t>Hon</w:t>
      </w:r>
      <w:proofErr w:type="spellEnd"/>
      <w:r w:rsidR="00D5436F">
        <w:rPr>
          <w:szCs w:val="24"/>
        </w:rPr>
        <w:t xml:space="preserve"> </w:t>
      </w:r>
      <w:r w:rsidR="00B12349">
        <w:rPr>
          <w:szCs w:val="24"/>
        </w:rPr>
        <w:t>Mitch</w:t>
      </w:r>
      <w:r w:rsidR="00D5436F">
        <w:rPr>
          <w:szCs w:val="24"/>
        </w:rPr>
        <w:t xml:space="preserve"> </w:t>
      </w:r>
      <w:r>
        <w:rPr>
          <w:szCs w:val="24"/>
        </w:rPr>
        <w:t>Fifield</w:t>
      </w:r>
    </w:p>
    <w:p w14:paraId="4B39D506" w14:textId="3FDD1221" w:rsidR="00E71C46" w:rsidRPr="00E71C46" w:rsidRDefault="00D5436F" w:rsidP="00EE175E">
      <w:pPr>
        <w:pStyle w:val="Paragraphnumbered"/>
        <w:spacing w:before="0" w:line="240" w:lineRule="auto"/>
        <w:ind w:left="360"/>
        <w:rPr>
          <w:szCs w:val="24"/>
        </w:rPr>
      </w:pPr>
      <w:r>
        <w:rPr>
          <w:szCs w:val="24"/>
        </w:rPr>
        <w:t xml:space="preserve">Minister for </w:t>
      </w:r>
      <w:r w:rsidR="00B12349">
        <w:rPr>
          <w:szCs w:val="24"/>
        </w:rPr>
        <w:t>the Arts</w:t>
      </w:r>
    </w:p>
    <w:p w14:paraId="4B39D507" w14:textId="77777777" w:rsidR="00D10A7F" w:rsidRPr="00FF6235" w:rsidRDefault="00A26BE9" w:rsidP="00EE175E">
      <w:pPr>
        <w:pStyle w:val="Paragraphnumbered"/>
        <w:spacing w:before="0" w:line="240" w:lineRule="auto"/>
        <w:rPr>
          <w:color w:val="FF0000"/>
        </w:rPr>
      </w:pPr>
    </w:p>
    <w:sectPr w:rsidR="00D10A7F" w:rsidRPr="00FF6235" w:rsidSect="00AE16E3">
      <w:headerReference w:type="first" r:id="rId12"/>
      <w:footerReference w:type="first" r:id="rId13"/>
      <w:pgSz w:w="11907" w:h="16840" w:code="9"/>
      <w:pgMar w:top="851" w:right="567" w:bottom="426" w:left="198" w:header="426" w:footer="547" w:gutter="56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9D511" w14:textId="77777777" w:rsidR="00EC20D8" w:rsidRDefault="00D5436F">
      <w:r>
        <w:separator/>
      </w:r>
    </w:p>
  </w:endnote>
  <w:endnote w:type="continuationSeparator" w:id="0">
    <w:p w14:paraId="4B39D513" w14:textId="77777777" w:rsidR="00EC20D8" w:rsidRDefault="00D5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9D50A" w14:textId="77777777" w:rsidR="009E68B5" w:rsidRDefault="00D5436F" w:rsidP="009E68B5">
    <w:pPr>
      <w:pStyle w:val="Classification"/>
      <w:rPr>
        <w:b w:val="0"/>
        <w:sz w:val="24"/>
        <w:szCs w:val="24"/>
      </w:rPr>
    </w:pPr>
    <w:r>
      <w:rPr>
        <w:b w:val="0"/>
        <w:caps w:val="0"/>
        <w:sz w:val="24"/>
        <w:szCs w:val="24"/>
      </w:rPr>
      <w:t>DLM: For Official Use Only</w:t>
    </w:r>
  </w:p>
  <w:p w14:paraId="4B39D50B" w14:textId="77777777" w:rsidR="009E68B5" w:rsidRDefault="00D5436F" w:rsidP="009E68B5">
    <w:pPr>
      <w:pStyle w:val="Classification"/>
      <w:rPr>
        <w:sz w:val="24"/>
        <w:szCs w:val="24"/>
      </w:rPr>
    </w:pPr>
    <w:r>
      <w:rPr>
        <w:sz w:val="24"/>
        <w:szCs w:val="24"/>
      </w:rPr>
      <w:t>UNCLASSIFIED</w:t>
    </w:r>
  </w:p>
  <w:p w14:paraId="4B39D50C" w14:textId="77777777" w:rsidR="00096779" w:rsidRPr="009E68B5" w:rsidRDefault="00A26BE9" w:rsidP="009E6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9D50D" w14:textId="77777777" w:rsidR="00EC20D8" w:rsidRDefault="00D5436F">
      <w:r>
        <w:separator/>
      </w:r>
    </w:p>
  </w:footnote>
  <w:footnote w:type="continuationSeparator" w:id="0">
    <w:p w14:paraId="4B39D50F" w14:textId="77777777" w:rsidR="00EC20D8" w:rsidRDefault="00D54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9D508" w14:textId="77777777" w:rsidR="009E68B5" w:rsidRDefault="00D5436F" w:rsidP="009E68B5">
    <w:pPr>
      <w:pStyle w:val="Classification"/>
      <w:rPr>
        <w:sz w:val="24"/>
        <w:szCs w:val="24"/>
      </w:rPr>
    </w:pPr>
    <w:r>
      <w:rPr>
        <w:sz w:val="24"/>
        <w:szCs w:val="24"/>
      </w:rPr>
      <w:t>UNCLASSIFIED</w:t>
    </w:r>
  </w:p>
  <w:p w14:paraId="4B39D509" w14:textId="77777777" w:rsidR="00096779" w:rsidRPr="00130ED1" w:rsidRDefault="00D5436F" w:rsidP="00130ED1">
    <w:pPr>
      <w:pStyle w:val="Classification"/>
      <w:rPr>
        <w:b w:val="0"/>
        <w:sz w:val="24"/>
        <w:szCs w:val="24"/>
      </w:rPr>
    </w:pPr>
    <w:r>
      <w:rPr>
        <w:b w:val="0"/>
        <w:caps w:val="0"/>
        <w:sz w:val="24"/>
        <w:szCs w:val="24"/>
      </w:rPr>
      <w:t>DLM: 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E0478"/>
    <w:multiLevelType w:val="singleLevel"/>
    <w:tmpl w:val="0C090001"/>
    <w:lvl w:ilvl="0">
      <w:start w:val="1"/>
      <w:numFmt w:val="bullet"/>
      <w:lvlText w:val=""/>
      <w:lvlJc w:val="left"/>
      <w:pPr>
        <w:ind w:left="360" w:hanging="360"/>
      </w:pPr>
      <w:rPr>
        <w:rFonts w:ascii="Symbol" w:hAnsi="Symbol" w:hint="default"/>
        <w:color w:val="auto"/>
      </w:rPr>
    </w:lvl>
  </w:abstractNum>
  <w:abstractNum w:abstractNumId="1">
    <w:nsid w:val="4EDF13C0"/>
    <w:multiLevelType w:val="hybridMultilevel"/>
    <w:tmpl w:val="A12EE89A"/>
    <w:lvl w:ilvl="0" w:tplc="05BA32C2">
      <w:start w:val="1"/>
      <w:numFmt w:val="bullet"/>
      <w:lvlText w:val=""/>
      <w:lvlJc w:val="left"/>
      <w:pPr>
        <w:ind w:left="360" w:hanging="360"/>
      </w:pPr>
      <w:rPr>
        <w:rFonts w:ascii="Symbol" w:hAnsi="Symbol" w:hint="default"/>
      </w:rPr>
    </w:lvl>
    <w:lvl w:ilvl="1" w:tplc="85F80DE2" w:tentative="1">
      <w:start w:val="1"/>
      <w:numFmt w:val="bullet"/>
      <w:lvlText w:val="o"/>
      <w:lvlJc w:val="left"/>
      <w:pPr>
        <w:ind w:left="1080" w:hanging="360"/>
      </w:pPr>
      <w:rPr>
        <w:rFonts w:ascii="Courier New" w:hAnsi="Courier New" w:cs="Courier New" w:hint="default"/>
      </w:rPr>
    </w:lvl>
    <w:lvl w:ilvl="2" w:tplc="0C489E42" w:tentative="1">
      <w:start w:val="1"/>
      <w:numFmt w:val="bullet"/>
      <w:lvlText w:val=""/>
      <w:lvlJc w:val="left"/>
      <w:pPr>
        <w:ind w:left="1800" w:hanging="360"/>
      </w:pPr>
      <w:rPr>
        <w:rFonts w:ascii="Wingdings" w:hAnsi="Wingdings" w:hint="default"/>
      </w:rPr>
    </w:lvl>
    <w:lvl w:ilvl="3" w:tplc="EEB08244" w:tentative="1">
      <w:start w:val="1"/>
      <w:numFmt w:val="bullet"/>
      <w:lvlText w:val=""/>
      <w:lvlJc w:val="left"/>
      <w:pPr>
        <w:ind w:left="2520" w:hanging="360"/>
      </w:pPr>
      <w:rPr>
        <w:rFonts w:ascii="Symbol" w:hAnsi="Symbol" w:hint="default"/>
      </w:rPr>
    </w:lvl>
    <w:lvl w:ilvl="4" w:tplc="F23C9DEC" w:tentative="1">
      <w:start w:val="1"/>
      <w:numFmt w:val="bullet"/>
      <w:lvlText w:val="o"/>
      <w:lvlJc w:val="left"/>
      <w:pPr>
        <w:ind w:left="3240" w:hanging="360"/>
      </w:pPr>
      <w:rPr>
        <w:rFonts w:ascii="Courier New" w:hAnsi="Courier New" w:cs="Courier New" w:hint="default"/>
      </w:rPr>
    </w:lvl>
    <w:lvl w:ilvl="5" w:tplc="F7A2C2DA" w:tentative="1">
      <w:start w:val="1"/>
      <w:numFmt w:val="bullet"/>
      <w:lvlText w:val=""/>
      <w:lvlJc w:val="left"/>
      <w:pPr>
        <w:ind w:left="3960" w:hanging="360"/>
      </w:pPr>
      <w:rPr>
        <w:rFonts w:ascii="Wingdings" w:hAnsi="Wingdings" w:hint="default"/>
      </w:rPr>
    </w:lvl>
    <w:lvl w:ilvl="6" w:tplc="A5C28D66" w:tentative="1">
      <w:start w:val="1"/>
      <w:numFmt w:val="bullet"/>
      <w:lvlText w:val=""/>
      <w:lvlJc w:val="left"/>
      <w:pPr>
        <w:ind w:left="4680" w:hanging="360"/>
      </w:pPr>
      <w:rPr>
        <w:rFonts w:ascii="Symbol" w:hAnsi="Symbol" w:hint="default"/>
      </w:rPr>
    </w:lvl>
    <w:lvl w:ilvl="7" w:tplc="F2E84166" w:tentative="1">
      <w:start w:val="1"/>
      <w:numFmt w:val="bullet"/>
      <w:lvlText w:val="o"/>
      <w:lvlJc w:val="left"/>
      <w:pPr>
        <w:ind w:left="5400" w:hanging="360"/>
      </w:pPr>
      <w:rPr>
        <w:rFonts w:ascii="Courier New" w:hAnsi="Courier New" w:cs="Courier New" w:hint="default"/>
      </w:rPr>
    </w:lvl>
    <w:lvl w:ilvl="8" w:tplc="3212293E" w:tentative="1">
      <w:start w:val="1"/>
      <w:numFmt w:val="bullet"/>
      <w:lvlText w:val=""/>
      <w:lvlJc w:val="left"/>
      <w:pPr>
        <w:ind w:left="6120" w:hanging="360"/>
      </w:pPr>
      <w:rPr>
        <w:rFonts w:ascii="Wingdings" w:hAnsi="Wingdings" w:hint="default"/>
      </w:rPr>
    </w:lvl>
  </w:abstractNum>
  <w:abstractNum w:abstractNumId="2">
    <w:nsid w:val="584633FF"/>
    <w:multiLevelType w:val="hybridMultilevel"/>
    <w:tmpl w:val="E80461A6"/>
    <w:lvl w:ilvl="0" w:tplc="AF6E9358">
      <w:start w:val="1"/>
      <w:numFmt w:val="decimal"/>
      <w:lvlText w:val="%1)"/>
      <w:lvlJc w:val="left"/>
      <w:pPr>
        <w:ind w:left="720" w:hanging="360"/>
      </w:pPr>
      <w:rPr>
        <w:rFonts w:hint="default"/>
      </w:rPr>
    </w:lvl>
    <w:lvl w:ilvl="1" w:tplc="FF6A1278" w:tentative="1">
      <w:start w:val="1"/>
      <w:numFmt w:val="lowerLetter"/>
      <w:lvlText w:val="%2."/>
      <w:lvlJc w:val="left"/>
      <w:pPr>
        <w:ind w:left="1440" w:hanging="360"/>
      </w:pPr>
    </w:lvl>
    <w:lvl w:ilvl="2" w:tplc="E9564BE4" w:tentative="1">
      <w:start w:val="1"/>
      <w:numFmt w:val="lowerRoman"/>
      <w:lvlText w:val="%3."/>
      <w:lvlJc w:val="right"/>
      <w:pPr>
        <w:ind w:left="2160" w:hanging="180"/>
      </w:pPr>
    </w:lvl>
    <w:lvl w:ilvl="3" w:tplc="F9388DC4" w:tentative="1">
      <w:start w:val="1"/>
      <w:numFmt w:val="decimal"/>
      <w:lvlText w:val="%4."/>
      <w:lvlJc w:val="left"/>
      <w:pPr>
        <w:ind w:left="2880" w:hanging="360"/>
      </w:pPr>
    </w:lvl>
    <w:lvl w:ilvl="4" w:tplc="111A77EA" w:tentative="1">
      <w:start w:val="1"/>
      <w:numFmt w:val="lowerLetter"/>
      <w:lvlText w:val="%5."/>
      <w:lvlJc w:val="left"/>
      <w:pPr>
        <w:ind w:left="3600" w:hanging="360"/>
      </w:pPr>
    </w:lvl>
    <w:lvl w:ilvl="5" w:tplc="E4DC6646" w:tentative="1">
      <w:start w:val="1"/>
      <w:numFmt w:val="lowerRoman"/>
      <w:lvlText w:val="%6."/>
      <w:lvlJc w:val="right"/>
      <w:pPr>
        <w:ind w:left="4320" w:hanging="180"/>
      </w:pPr>
    </w:lvl>
    <w:lvl w:ilvl="6" w:tplc="E9F273EC" w:tentative="1">
      <w:start w:val="1"/>
      <w:numFmt w:val="decimal"/>
      <w:lvlText w:val="%7."/>
      <w:lvlJc w:val="left"/>
      <w:pPr>
        <w:ind w:left="5040" w:hanging="360"/>
      </w:pPr>
    </w:lvl>
    <w:lvl w:ilvl="7" w:tplc="8B1676EA" w:tentative="1">
      <w:start w:val="1"/>
      <w:numFmt w:val="lowerLetter"/>
      <w:lvlText w:val="%8."/>
      <w:lvlJc w:val="left"/>
      <w:pPr>
        <w:ind w:left="5760" w:hanging="360"/>
      </w:pPr>
    </w:lvl>
    <w:lvl w:ilvl="8" w:tplc="8256BF24" w:tentative="1">
      <w:start w:val="1"/>
      <w:numFmt w:val="lowerRoman"/>
      <w:lvlText w:val="%9."/>
      <w:lvlJc w:val="right"/>
      <w:pPr>
        <w:ind w:left="6480" w:hanging="180"/>
      </w:pPr>
    </w:lvl>
  </w:abstractNum>
  <w:abstractNum w:abstractNumId="3">
    <w:nsid w:val="6B2B1CA1"/>
    <w:multiLevelType w:val="hybridMultilevel"/>
    <w:tmpl w:val="DC7E486A"/>
    <w:lvl w:ilvl="0" w:tplc="241815F6">
      <w:start w:val="1"/>
      <w:numFmt w:val="decimal"/>
      <w:lvlText w:val="%1)"/>
      <w:lvlJc w:val="left"/>
      <w:pPr>
        <w:ind w:left="720" w:hanging="360"/>
      </w:pPr>
      <w:rPr>
        <w:rFonts w:hint="default"/>
      </w:rPr>
    </w:lvl>
    <w:lvl w:ilvl="1" w:tplc="024C703A" w:tentative="1">
      <w:start w:val="1"/>
      <w:numFmt w:val="lowerLetter"/>
      <w:lvlText w:val="%2."/>
      <w:lvlJc w:val="left"/>
      <w:pPr>
        <w:ind w:left="1440" w:hanging="360"/>
      </w:pPr>
    </w:lvl>
    <w:lvl w:ilvl="2" w:tplc="C5A85892" w:tentative="1">
      <w:start w:val="1"/>
      <w:numFmt w:val="lowerRoman"/>
      <w:lvlText w:val="%3."/>
      <w:lvlJc w:val="right"/>
      <w:pPr>
        <w:ind w:left="2160" w:hanging="180"/>
      </w:pPr>
    </w:lvl>
    <w:lvl w:ilvl="3" w:tplc="33AA685E" w:tentative="1">
      <w:start w:val="1"/>
      <w:numFmt w:val="decimal"/>
      <w:lvlText w:val="%4."/>
      <w:lvlJc w:val="left"/>
      <w:pPr>
        <w:ind w:left="2880" w:hanging="360"/>
      </w:pPr>
    </w:lvl>
    <w:lvl w:ilvl="4" w:tplc="7B8292C8" w:tentative="1">
      <w:start w:val="1"/>
      <w:numFmt w:val="lowerLetter"/>
      <w:lvlText w:val="%5."/>
      <w:lvlJc w:val="left"/>
      <w:pPr>
        <w:ind w:left="3600" w:hanging="360"/>
      </w:pPr>
    </w:lvl>
    <w:lvl w:ilvl="5" w:tplc="68889DAC" w:tentative="1">
      <w:start w:val="1"/>
      <w:numFmt w:val="lowerRoman"/>
      <w:lvlText w:val="%6."/>
      <w:lvlJc w:val="right"/>
      <w:pPr>
        <w:ind w:left="4320" w:hanging="180"/>
      </w:pPr>
    </w:lvl>
    <w:lvl w:ilvl="6" w:tplc="5C208E0C" w:tentative="1">
      <w:start w:val="1"/>
      <w:numFmt w:val="decimal"/>
      <w:lvlText w:val="%7."/>
      <w:lvlJc w:val="left"/>
      <w:pPr>
        <w:ind w:left="5040" w:hanging="360"/>
      </w:pPr>
    </w:lvl>
    <w:lvl w:ilvl="7" w:tplc="F17E119C" w:tentative="1">
      <w:start w:val="1"/>
      <w:numFmt w:val="lowerLetter"/>
      <w:lvlText w:val="%8."/>
      <w:lvlJc w:val="left"/>
      <w:pPr>
        <w:ind w:left="5760" w:hanging="360"/>
      </w:pPr>
    </w:lvl>
    <w:lvl w:ilvl="8" w:tplc="F1BC49A4" w:tentative="1">
      <w:start w:val="1"/>
      <w:numFmt w:val="lowerRoman"/>
      <w:lvlText w:val="%9."/>
      <w:lvlJc w:val="right"/>
      <w:pPr>
        <w:ind w:left="6480" w:hanging="180"/>
      </w:pPr>
    </w:lvl>
  </w:abstractNum>
  <w:abstractNum w:abstractNumId="4">
    <w:nsid w:val="7EEA2C0C"/>
    <w:multiLevelType w:val="hybridMultilevel"/>
    <w:tmpl w:val="EBA2458E"/>
    <w:lvl w:ilvl="0" w:tplc="441AE9EE">
      <w:start w:val="1"/>
      <w:numFmt w:val="decimal"/>
      <w:lvlText w:val="%1)"/>
      <w:lvlJc w:val="left"/>
      <w:pPr>
        <w:ind w:left="720" w:hanging="360"/>
      </w:pPr>
      <w:rPr>
        <w:rFonts w:hint="default"/>
      </w:rPr>
    </w:lvl>
    <w:lvl w:ilvl="1" w:tplc="D068CE6A" w:tentative="1">
      <w:start w:val="1"/>
      <w:numFmt w:val="lowerLetter"/>
      <w:lvlText w:val="%2."/>
      <w:lvlJc w:val="left"/>
      <w:pPr>
        <w:ind w:left="1440" w:hanging="360"/>
      </w:pPr>
    </w:lvl>
    <w:lvl w:ilvl="2" w:tplc="31D4158C" w:tentative="1">
      <w:start w:val="1"/>
      <w:numFmt w:val="lowerRoman"/>
      <w:lvlText w:val="%3."/>
      <w:lvlJc w:val="right"/>
      <w:pPr>
        <w:ind w:left="2160" w:hanging="180"/>
      </w:pPr>
    </w:lvl>
    <w:lvl w:ilvl="3" w:tplc="2128442C" w:tentative="1">
      <w:start w:val="1"/>
      <w:numFmt w:val="decimal"/>
      <w:lvlText w:val="%4."/>
      <w:lvlJc w:val="left"/>
      <w:pPr>
        <w:ind w:left="2880" w:hanging="360"/>
      </w:pPr>
    </w:lvl>
    <w:lvl w:ilvl="4" w:tplc="DAC8C6D6" w:tentative="1">
      <w:start w:val="1"/>
      <w:numFmt w:val="lowerLetter"/>
      <w:lvlText w:val="%5."/>
      <w:lvlJc w:val="left"/>
      <w:pPr>
        <w:ind w:left="3600" w:hanging="360"/>
      </w:pPr>
    </w:lvl>
    <w:lvl w:ilvl="5" w:tplc="932EC784" w:tentative="1">
      <w:start w:val="1"/>
      <w:numFmt w:val="lowerRoman"/>
      <w:lvlText w:val="%6."/>
      <w:lvlJc w:val="right"/>
      <w:pPr>
        <w:ind w:left="4320" w:hanging="180"/>
      </w:pPr>
    </w:lvl>
    <w:lvl w:ilvl="6" w:tplc="AEFC9856" w:tentative="1">
      <w:start w:val="1"/>
      <w:numFmt w:val="decimal"/>
      <w:lvlText w:val="%7."/>
      <w:lvlJc w:val="left"/>
      <w:pPr>
        <w:ind w:left="5040" w:hanging="360"/>
      </w:pPr>
    </w:lvl>
    <w:lvl w:ilvl="7" w:tplc="86CE1ED6" w:tentative="1">
      <w:start w:val="1"/>
      <w:numFmt w:val="lowerLetter"/>
      <w:lvlText w:val="%8."/>
      <w:lvlJc w:val="left"/>
      <w:pPr>
        <w:ind w:left="5760" w:hanging="360"/>
      </w:pPr>
    </w:lvl>
    <w:lvl w:ilvl="8" w:tplc="6BF2B5AC"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36F"/>
    <w:rsid w:val="0045047C"/>
    <w:rsid w:val="00561B88"/>
    <w:rsid w:val="00704495"/>
    <w:rsid w:val="008C7FAE"/>
    <w:rsid w:val="00A26BE9"/>
    <w:rsid w:val="00B12349"/>
    <w:rsid w:val="00C96D16"/>
    <w:rsid w:val="00D5436F"/>
    <w:rsid w:val="00EB0331"/>
    <w:rsid w:val="00EC2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A7F"/>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D10A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Heading1"/>
    <w:next w:val="Paragraphnumbered"/>
    <w:link w:val="Heading2Char"/>
    <w:qFormat/>
    <w:rsid w:val="00D10A7F"/>
    <w:pPr>
      <w:numPr>
        <w:ilvl w:val="12"/>
      </w:numPr>
      <w:spacing w:before="240" w:line="360" w:lineRule="auto"/>
      <w:outlineLvl w:val="1"/>
    </w:pPr>
    <w:rPr>
      <w:rFonts w:ascii="Times New Roman" w:eastAsia="Times New Roman" w:hAnsi="Times New Roman" w:cs="Times New Roman"/>
      <w:bC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D10A7F"/>
    <w:rPr>
      <w:rFonts w:ascii="Times New Roman" w:eastAsia="Times New Roman" w:hAnsi="Times New Roman" w:cs="Times New Roman"/>
      <w:b/>
      <w:sz w:val="24"/>
      <w:szCs w:val="20"/>
      <w:lang w:eastAsia="en-AU"/>
    </w:rPr>
  </w:style>
  <w:style w:type="paragraph" w:customStyle="1" w:styleId="Paragraphnumbered">
    <w:name w:val="Paragraph (numbered)"/>
    <w:basedOn w:val="Normal"/>
    <w:uiPriority w:val="99"/>
    <w:rsid w:val="00D10A7F"/>
    <w:pPr>
      <w:spacing w:before="240" w:line="360" w:lineRule="auto"/>
    </w:pPr>
  </w:style>
  <w:style w:type="paragraph" w:customStyle="1" w:styleId="Classification">
    <w:name w:val="Classification"/>
    <w:basedOn w:val="Normal"/>
    <w:rsid w:val="00D10A7F"/>
    <w:pPr>
      <w:spacing w:before="60" w:after="60"/>
      <w:jc w:val="center"/>
    </w:pPr>
    <w:rPr>
      <w:rFonts w:ascii="Arial" w:hAnsi="Arial"/>
      <w:b/>
      <w:caps/>
      <w:color w:val="FF0000"/>
      <w:sz w:val="28"/>
    </w:rPr>
  </w:style>
  <w:style w:type="paragraph" w:customStyle="1" w:styleId="Celltext">
    <w:name w:val="Cell text"/>
    <w:basedOn w:val="Normal"/>
    <w:rsid w:val="00D10A7F"/>
    <w:pPr>
      <w:spacing w:before="120"/>
    </w:pPr>
  </w:style>
  <w:style w:type="paragraph" w:customStyle="1" w:styleId="Celllabel">
    <w:name w:val="Cell label"/>
    <w:basedOn w:val="Celltext"/>
    <w:next w:val="Celltext"/>
    <w:rsid w:val="00D10A7F"/>
    <w:rPr>
      <w:b/>
    </w:rPr>
  </w:style>
  <w:style w:type="character" w:customStyle="1" w:styleId="Heading1Char">
    <w:name w:val="Heading 1 Char"/>
    <w:basedOn w:val="DefaultParagraphFont"/>
    <w:link w:val="Heading1"/>
    <w:uiPriority w:val="9"/>
    <w:rsid w:val="00D10A7F"/>
    <w:rPr>
      <w:rFonts w:asciiTheme="majorHAnsi" w:eastAsiaTheme="majorEastAsia" w:hAnsiTheme="majorHAnsi" w:cstheme="majorBidi"/>
      <w:b/>
      <w:bCs/>
      <w:color w:val="365F91" w:themeColor="accent1" w:themeShade="BF"/>
      <w:sz w:val="28"/>
      <w:szCs w:val="28"/>
      <w:lang w:eastAsia="en-AU"/>
    </w:rPr>
  </w:style>
  <w:style w:type="paragraph" w:styleId="BalloonText">
    <w:name w:val="Balloon Text"/>
    <w:basedOn w:val="Normal"/>
    <w:link w:val="BalloonTextChar"/>
    <w:uiPriority w:val="99"/>
    <w:semiHidden/>
    <w:unhideWhenUsed/>
    <w:rsid w:val="0056107B"/>
    <w:rPr>
      <w:rFonts w:ascii="Tahoma" w:hAnsi="Tahoma" w:cs="Tahoma"/>
      <w:sz w:val="16"/>
      <w:szCs w:val="16"/>
    </w:rPr>
  </w:style>
  <w:style w:type="character" w:customStyle="1" w:styleId="BalloonTextChar">
    <w:name w:val="Balloon Text Char"/>
    <w:basedOn w:val="DefaultParagraphFont"/>
    <w:link w:val="BalloonText"/>
    <w:uiPriority w:val="99"/>
    <w:semiHidden/>
    <w:rsid w:val="0056107B"/>
    <w:rPr>
      <w:rFonts w:ascii="Tahoma" w:eastAsia="Times New Roman" w:hAnsi="Tahoma" w:cs="Tahoma"/>
      <w:sz w:val="16"/>
      <w:szCs w:val="16"/>
      <w:lang w:eastAsia="en-AU"/>
    </w:rPr>
  </w:style>
  <w:style w:type="paragraph" w:styleId="Header">
    <w:name w:val="header"/>
    <w:basedOn w:val="Normal"/>
    <w:link w:val="HeaderChar"/>
    <w:uiPriority w:val="99"/>
    <w:unhideWhenUsed/>
    <w:rsid w:val="00DE4A0F"/>
    <w:pPr>
      <w:tabs>
        <w:tab w:val="center" w:pos="4513"/>
        <w:tab w:val="right" w:pos="9026"/>
      </w:tabs>
    </w:pPr>
  </w:style>
  <w:style w:type="character" w:customStyle="1" w:styleId="HeaderChar">
    <w:name w:val="Header Char"/>
    <w:basedOn w:val="DefaultParagraphFont"/>
    <w:link w:val="Header"/>
    <w:uiPriority w:val="99"/>
    <w:rsid w:val="00DE4A0F"/>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DE4A0F"/>
    <w:pPr>
      <w:tabs>
        <w:tab w:val="center" w:pos="4513"/>
        <w:tab w:val="right" w:pos="9026"/>
      </w:tabs>
    </w:pPr>
  </w:style>
  <w:style w:type="character" w:customStyle="1" w:styleId="FooterChar">
    <w:name w:val="Footer Char"/>
    <w:basedOn w:val="DefaultParagraphFont"/>
    <w:link w:val="Footer"/>
    <w:uiPriority w:val="99"/>
    <w:rsid w:val="00DE4A0F"/>
    <w:rPr>
      <w:rFonts w:ascii="Times New Roman" w:eastAsia="Times New Roman" w:hAnsi="Times New Roman" w:cs="Times New Roman"/>
      <w:sz w:val="24"/>
      <w:szCs w:val="20"/>
      <w:lang w:eastAsia="en-AU"/>
    </w:rPr>
  </w:style>
  <w:style w:type="character" w:styleId="PlaceholderText">
    <w:name w:val="Placeholder Text"/>
    <w:basedOn w:val="DefaultParagraphFont"/>
    <w:uiPriority w:val="99"/>
    <w:semiHidden/>
    <w:rsid w:val="00045BED"/>
    <w:rPr>
      <w:color w:val="808080"/>
    </w:rPr>
  </w:style>
  <w:style w:type="character" w:styleId="Hyperlink">
    <w:name w:val="Hyperlink"/>
    <w:basedOn w:val="DefaultParagraphFont"/>
    <w:uiPriority w:val="99"/>
    <w:unhideWhenUsed/>
    <w:rsid w:val="00787E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A7F"/>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D10A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Heading1"/>
    <w:next w:val="Paragraphnumbered"/>
    <w:link w:val="Heading2Char"/>
    <w:qFormat/>
    <w:rsid w:val="00D10A7F"/>
    <w:pPr>
      <w:numPr>
        <w:ilvl w:val="12"/>
      </w:numPr>
      <w:spacing w:before="240" w:line="360" w:lineRule="auto"/>
      <w:outlineLvl w:val="1"/>
    </w:pPr>
    <w:rPr>
      <w:rFonts w:ascii="Times New Roman" w:eastAsia="Times New Roman" w:hAnsi="Times New Roman" w:cs="Times New Roman"/>
      <w:bC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D10A7F"/>
    <w:rPr>
      <w:rFonts w:ascii="Times New Roman" w:eastAsia="Times New Roman" w:hAnsi="Times New Roman" w:cs="Times New Roman"/>
      <w:b/>
      <w:sz w:val="24"/>
      <w:szCs w:val="20"/>
      <w:lang w:eastAsia="en-AU"/>
    </w:rPr>
  </w:style>
  <w:style w:type="paragraph" w:customStyle="1" w:styleId="Paragraphnumbered">
    <w:name w:val="Paragraph (numbered)"/>
    <w:basedOn w:val="Normal"/>
    <w:uiPriority w:val="99"/>
    <w:rsid w:val="00D10A7F"/>
    <w:pPr>
      <w:spacing w:before="240" w:line="360" w:lineRule="auto"/>
    </w:pPr>
  </w:style>
  <w:style w:type="paragraph" w:customStyle="1" w:styleId="Classification">
    <w:name w:val="Classification"/>
    <w:basedOn w:val="Normal"/>
    <w:rsid w:val="00D10A7F"/>
    <w:pPr>
      <w:spacing w:before="60" w:after="60"/>
      <w:jc w:val="center"/>
    </w:pPr>
    <w:rPr>
      <w:rFonts w:ascii="Arial" w:hAnsi="Arial"/>
      <w:b/>
      <w:caps/>
      <w:color w:val="FF0000"/>
      <w:sz w:val="28"/>
    </w:rPr>
  </w:style>
  <w:style w:type="paragraph" w:customStyle="1" w:styleId="Celltext">
    <w:name w:val="Cell text"/>
    <w:basedOn w:val="Normal"/>
    <w:rsid w:val="00D10A7F"/>
    <w:pPr>
      <w:spacing w:before="120"/>
    </w:pPr>
  </w:style>
  <w:style w:type="paragraph" w:customStyle="1" w:styleId="Celllabel">
    <w:name w:val="Cell label"/>
    <w:basedOn w:val="Celltext"/>
    <w:next w:val="Celltext"/>
    <w:rsid w:val="00D10A7F"/>
    <w:rPr>
      <w:b/>
    </w:rPr>
  </w:style>
  <w:style w:type="character" w:customStyle="1" w:styleId="Heading1Char">
    <w:name w:val="Heading 1 Char"/>
    <w:basedOn w:val="DefaultParagraphFont"/>
    <w:link w:val="Heading1"/>
    <w:uiPriority w:val="9"/>
    <w:rsid w:val="00D10A7F"/>
    <w:rPr>
      <w:rFonts w:asciiTheme="majorHAnsi" w:eastAsiaTheme="majorEastAsia" w:hAnsiTheme="majorHAnsi" w:cstheme="majorBidi"/>
      <w:b/>
      <w:bCs/>
      <w:color w:val="365F91" w:themeColor="accent1" w:themeShade="BF"/>
      <w:sz w:val="28"/>
      <w:szCs w:val="28"/>
      <w:lang w:eastAsia="en-AU"/>
    </w:rPr>
  </w:style>
  <w:style w:type="paragraph" w:styleId="BalloonText">
    <w:name w:val="Balloon Text"/>
    <w:basedOn w:val="Normal"/>
    <w:link w:val="BalloonTextChar"/>
    <w:uiPriority w:val="99"/>
    <w:semiHidden/>
    <w:unhideWhenUsed/>
    <w:rsid w:val="0056107B"/>
    <w:rPr>
      <w:rFonts w:ascii="Tahoma" w:hAnsi="Tahoma" w:cs="Tahoma"/>
      <w:sz w:val="16"/>
      <w:szCs w:val="16"/>
    </w:rPr>
  </w:style>
  <w:style w:type="character" w:customStyle="1" w:styleId="BalloonTextChar">
    <w:name w:val="Balloon Text Char"/>
    <w:basedOn w:val="DefaultParagraphFont"/>
    <w:link w:val="BalloonText"/>
    <w:uiPriority w:val="99"/>
    <w:semiHidden/>
    <w:rsid w:val="0056107B"/>
    <w:rPr>
      <w:rFonts w:ascii="Tahoma" w:eastAsia="Times New Roman" w:hAnsi="Tahoma" w:cs="Tahoma"/>
      <w:sz w:val="16"/>
      <w:szCs w:val="16"/>
      <w:lang w:eastAsia="en-AU"/>
    </w:rPr>
  </w:style>
  <w:style w:type="paragraph" w:styleId="Header">
    <w:name w:val="header"/>
    <w:basedOn w:val="Normal"/>
    <w:link w:val="HeaderChar"/>
    <w:uiPriority w:val="99"/>
    <w:unhideWhenUsed/>
    <w:rsid w:val="00DE4A0F"/>
    <w:pPr>
      <w:tabs>
        <w:tab w:val="center" w:pos="4513"/>
        <w:tab w:val="right" w:pos="9026"/>
      </w:tabs>
    </w:pPr>
  </w:style>
  <w:style w:type="character" w:customStyle="1" w:styleId="HeaderChar">
    <w:name w:val="Header Char"/>
    <w:basedOn w:val="DefaultParagraphFont"/>
    <w:link w:val="Header"/>
    <w:uiPriority w:val="99"/>
    <w:rsid w:val="00DE4A0F"/>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DE4A0F"/>
    <w:pPr>
      <w:tabs>
        <w:tab w:val="center" w:pos="4513"/>
        <w:tab w:val="right" w:pos="9026"/>
      </w:tabs>
    </w:pPr>
  </w:style>
  <w:style w:type="character" w:customStyle="1" w:styleId="FooterChar">
    <w:name w:val="Footer Char"/>
    <w:basedOn w:val="DefaultParagraphFont"/>
    <w:link w:val="Footer"/>
    <w:uiPriority w:val="99"/>
    <w:rsid w:val="00DE4A0F"/>
    <w:rPr>
      <w:rFonts w:ascii="Times New Roman" w:eastAsia="Times New Roman" w:hAnsi="Times New Roman" w:cs="Times New Roman"/>
      <w:sz w:val="24"/>
      <w:szCs w:val="20"/>
      <w:lang w:eastAsia="en-AU"/>
    </w:rPr>
  </w:style>
  <w:style w:type="character" w:styleId="PlaceholderText">
    <w:name w:val="Placeholder Text"/>
    <w:basedOn w:val="DefaultParagraphFont"/>
    <w:uiPriority w:val="99"/>
    <w:semiHidden/>
    <w:rsid w:val="00045BED"/>
    <w:rPr>
      <w:color w:val="808080"/>
    </w:rPr>
  </w:style>
  <w:style w:type="character" w:styleId="Hyperlink">
    <w:name w:val="Hyperlink"/>
    <w:basedOn w:val="DefaultParagraphFont"/>
    <w:uiPriority w:val="99"/>
    <w:unhideWhenUsed/>
    <w:rsid w:val="00787E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1C5883DEDAB2B459BEBBDB88D3EF0CD" ma:contentTypeVersion="" ma:contentTypeDescription="PDMS Document Site Content Type" ma:contentTypeScope="" ma:versionID="ce29cdd550e2ec428c3a0db88863f987">
  <xsd:schema xmlns:xsd="http://www.w3.org/2001/XMLSchema" xmlns:xs="http://www.w3.org/2001/XMLSchema" xmlns:p="http://schemas.microsoft.com/office/2006/metadata/properties" xmlns:ns2="B18AE8BD-2E32-4990-9AD1-F61120477043" targetNamespace="http://schemas.microsoft.com/office/2006/metadata/properties" ma:root="true" ma:fieldsID="e68663a22102ea71d4917555c71917c0" ns2:_="">
    <xsd:import namespace="B18AE8BD-2E32-4990-9AD1-F611204770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AE8BD-2E32-4990-9AD1-F611204770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18AE8BD-2E32-4990-9AD1-F611204770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CC0E3-9FD9-44C1-9699-37C717917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AE8BD-2E32-4990-9AD1-F61120477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99677-925F-46AF-B5FB-63580D0466E1}">
  <ds:schemaRefs>
    <ds:schemaRef ds:uri="http://schemas.microsoft.com/office/2006/documentManagement/types"/>
    <ds:schemaRef ds:uri="B18AE8BD-2E32-4990-9AD1-F61120477043"/>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CC91ADC-8558-4E7B-90CC-1E775C938768}">
  <ds:schemaRefs>
    <ds:schemaRef ds:uri="http://schemas.microsoft.com/sharepoint/v3/contenttype/forms"/>
  </ds:schemaRefs>
</ds:datastoreItem>
</file>

<file path=customXml/itemProps4.xml><?xml version="1.0" encoding="utf-8"?>
<ds:datastoreItem xmlns:ds="http://schemas.openxmlformats.org/officeDocument/2006/customXml" ds:itemID="{373C6266-CCEC-462A-A3ED-A7D46BDE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 MFJ - Keenan</vt:lpstr>
    </vt:vector>
  </TitlesOfParts>
  <Company>Australian Attorney General's Department</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 MFJ - Keenan</dc:title>
  <dc:subject>Subject</dc:subject>
  <dc:creator>vucagj</dc:creator>
  <cp:lastModifiedBy>traynd</cp:lastModifiedBy>
  <cp:revision>3</cp:revision>
  <cp:lastPrinted>2015-08-25T00:07:00Z</cp:lastPrinted>
  <dcterms:created xsi:type="dcterms:W3CDTF">2015-10-02T03:26:00Z</dcterms:created>
  <dcterms:modified xsi:type="dcterms:W3CDTF">2015-10-02T03:26:00Z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Off">
    <vt:lpwstr>ActionOff</vt:lpwstr>
  </property>
  <property fmtid="{D5CDD505-2E9C-101B-9397-08002B2CF9AE}" pid="3" name="AdditionalSecurityInformation">
    <vt:lpwstr/>
  </property>
  <property fmtid="{D5CDD505-2E9C-101B-9397-08002B2CF9AE}" pid="4" name="AOPhone">
    <vt:lpwstr>AOPhone</vt:lpwstr>
  </property>
  <property fmtid="{D5CDD505-2E9C-101B-9397-08002B2CF9AE}" pid="5" name="Branch">
    <vt:lpwstr>Branch</vt:lpwstr>
  </property>
  <property fmtid="{D5CDD505-2E9C-101B-9397-08002B2CF9AE}" pid="6" name="ClearanceActualDate">
    <vt:lpwstr>04 September 2015</vt:lpwstr>
  </property>
  <property fmtid="{D5CDD505-2E9C-101B-9397-08002B2CF9AE}" pid="7" name="ClearanceDueDate">
    <vt:lpwstr>12 August 2015</vt:lpwstr>
  </property>
  <property fmtid="{D5CDD505-2E9C-101B-9397-08002B2CF9AE}" pid="8" name="ContentTypeId">
    <vt:lpwstr>0x010100266966F133664895A6EE3632470D45F502000D9B9BC653C56D4B8DD2F021CF503632</vt:lpwstr>
  </property>
  <property fmtid="{D5CDD505-2E9C-101B-9397-08002B2CF9AE}" pid="9" name="DateSenttoRO">
    <vt:lpwstr>DateSenttoRO</vt:lpwstr>
  </property>
  <property fmtid="{D5CDD505-2E9C-101B-9397-08002B2CF9AE}" pid="10" name="DivActionArea">
    <vt:lpwstr>DivActionArea</vt:lpwstr>
  </property>
  <property fmtid="{D5CDD505-2E9C-101B-9397-08002B2CF9AE}" pid="11" name="Division">
    <vt:lpwstr>Division</vt:lpwstr>
  </property>
  <property fmtid="{D5CDD505-2E9C-101B-9397-08002B2CF9AE}" pid="12" name="Electorates">
    <vt:lpwstr> </vt:lpwstr>
  </property>
  <property fmtid="{D5CDD505-2E9C-101B-9397-08002B2CF9AE}" pid="13" name="GroupResponsible">
    <vt:lpwstr>BRCH-CJLSG-CLD-Classification</vt:lpwstr>
  </property>
  <property fmtid="{D5CDD505-2E9C-101B-9397-08002B2CF9AE}" pid="14" name="HandlingProtocol">
    <vt:lpwstr>Standard</vt:lpwstr>
  </property>
  <property fmtid="{D5CDD505-2E9C-101B-9397-08002B2CF9AE}" pid="15" name="HPTRIM_Ignore">
    <vt:bool>true</vt:bool>
  </property>
  <property fmtid="{D5CDD505-2E9C-101B-9397-08002B2CF9AE}" pid="16" name="InformationMinister">
    <vt:lpwstr> </vt:lpwstr>
  </property>
  <property fmtid="{D5CDD505-2E9C-101B-9397-08002B2CF9AE}" pid="17" name="LastClearingOfficer">
    <vt:lpwstr>Matthew Minogue</vt:lpwstr>
  </property>
  <property fmtid="{D5CDD505-2E9C-101B-9397-08002B2CF9AE}" pid="18" name="LinkedMinCorro">
    <vt:lpwstr>LinkedMinCorro</vt:lpwstr>
  </property>
  <property fmtid="{D5CDD505-2E9C-101B-9397-08002B2CF9AE}" pid="19" name="Ministers">
    <vt:lpwstr>MFJ - Michael Keenan</vt:lpwstr>
  </property>
  <property fmtid="{D5CDD505-2E9C-101B-9397-08002B2CF9AE}" pid="20" name="PdrId">
    <vt:lpwstr>MS15-000596</vt:lpwstr>
  </property>
  <property fmtid="{D5CDD505-2E9C-101B-9397-08002B2CF9AE}" pid="21" name="Principal">
    <vt:lpwstr>Submission</vt:lpwstr>
  </property>
  <property fmtid="{D5CDD505-2E9C-101B-9397-08002B2CF9AE}" pid="22" name="ReasonForSensitivity">
    <vt:lpwstr/>
  </property>
  <property fmtid="{D5CDD505-2E9C-101B-9397-08002B2CF9AE}" pid="23" name="RefNo">
    <vt:lpwstr>RefNo</vt:lpwstr>
  </property>
  <property fmtid="{D5CDD505-2E9C-101B-9397-08002B2CF9AE}" pid="24" name="RegisteredDate">
    <vt:lpwstr>03 August 2015</vt:lpwstr>
  </property>
  <property fmtid="{D5CDD505-2E9C-101B-9397-08002B2CF9AE}" pid="25" name="RequestedAction">
    <vt:lpwstr>Action - Sign</vt:lpwstr>
  </property>
  <property fmtid="{D5CDD505-2E9C-101B-9397-08002B2CF9AE}" pid="26" name="RespDate">
    <vt:lpwstr>RespDate</vt:lpwstr>
  </property>
  <property fmtid="{D5CDD505-2E9C-101B-9397-08002B2CF9AE}" pid="27" name="RespOff">
    <vt:lpwstr>RespOff</vt:lpwstr>
  </property>
  <property fmtid="{D5CDD505-2E9C-101B-9397-08002B2CF9AE}" pid="28" name="RespOffRole">
    <vt:lpwstr>RespOffRole</vt:lpwstr>
  </property>
  <property fmtid="{D5CDD505-2E9C-101B-9397-08002B2CF9AE}" pid="29" name="ResponsibleMinister">
    <vt:lpwstr>MFJ - Michael Keenan</vt:lpwstr>
  </property>
  <property fmtid="{D5CDD505-2E9C-101B-9397-08002B2CF9AE}" pid="30" name="RespTel">
    <vt:lpwstr>RespTel</vt:lpwstr>
  </property>
  <property fmtid="{D5CDD505-2E9C-101B-9397-08002B2CF9AE}" pid="31" name="SecurityClassification">
    <vt:lpwstr>UNCLASSIFIED  </vt:lpwstr>
  </property>
  <property fmtid="{D5CDD505-2E9C-101B-9397-08002B2CF9AE}" pid="32" name="Subject">
    <vt:lpwstr>Approval of Classification (Publications, Films and Computer Games) (Markings and Consumer Advice) Amendment Determination 2015</vt:lpwstr>
  </property>
  <property fmtid="{D5CDD505-2E9C-101B-9397-08002B2CF9AE}" pid="33" name="TaskSeqNo">
    <vt:lpwstr>1</vt:lpwstr>
  </property>
  <property fmtid="{D5CDD505-2E9C-101B-9397-08002B2CF9AE}" pid="34" name="TemplateSubType">
    <vt:lpwstr>MFJ - Michael Keenan</vt:lpwstr>
  </property>
  <property fmtid="{D5CDD505-2E9C-101B-9397-08002B2CF9AE}" pid="35" name="TemplateType">
    <vt:lpwstr>Minister for Justice</vt:lpwstr>
  </property>
  <property fmtid="{D5CDD505-2E9C-101B-9397-08002B2CF9AE}" pid="36" name="TrustedGroups">
    <vt:lpwstr>Parliamentary Coordinator MS, DLO, Ministerial Staff - Coalition 2013, Business Administrator, Limited Distribution MS</vt:lpwstr>
  </property>
</Properties>
</file>