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E78" w:rsidRDefault="006E0E78" w:rsidP="006E0E78">
      <w:pPr>
        <w:spacing w:after="0"/>
        <w:rPr>
          <w:b/>
          <w:i/>
          <w:noProof/>
          <w:sz w:val="40"/>
          <w:szCs w:val="40"/>
          <w:lang w:eastAsia="en-US"/>
        </w:rPr>
      </w:pPr>
    </w:p>
    <w:p w:rsidR="006E0E78" w:rsidRDefault="006E0E78" w:rsidP="006E0E78">
      <w:pPr>
        <w:spacing w:after="0"/>
        <w:rPr>
          <w:b/>
          <w:i/>
          <w:noProof/>
          <w:sz w:val="40"/>
          <w:szCs w:val="40"/>
          <w:lang w:eastAsia="en-US"/>
        </w:rPr>
      </w:pPr>
    </w:p>
    <w:p w:rsidR="006E0E78" w:rsidRDefault="006E0E78" w:rsidP="006E0E78">
      <w:pPr>
        <w:spacing w:after="0"/>
        <w:rPr>
          <w:b/>
          <w:i/>
          <w:noProof/>
          <w:sz w:val="40"/>
          <w:szCs w:val="40"/>
          <w:lang w:eastAsia="en-US"/>
        </w:rPr>
      </w:pPr>
      <w:bookmarkStart w:id="0" w:name="_GoBack"/>
      <w:bookmarkEnd w:id="0"/>
    </w:p>
    <w:p w:rsidR="006E0E78" w:rsidRDefault="006E0E78" w:rsidP="006E0E78">
      <w:pPr>
        <w:spacing w:after="0"/>
        <w:rPr>
          <w:b/>
          <w:i/>
          <w:noProof/>
          <w:sz w:val="40"/>
          <w:szCs w:val="40"/>
          <w:lang w:eastAsia="en-US"/>
        </w:rPr>
      </w:pPr>
    </w:p>
    <w:p w:rsidR="006E0E78" w:rsidRDefault="006E0E78" w:rsidP="006E0E78">
      <w:pPr>
        <w:spacing w:after="0"/>
        <w:rPr>
          <w:b/>
          <w:i/>
          <w:noProof/>
          <w:sz w:val="40"/>
          <w:szCs w:val="40"/>
          <w:lang w:eastAsia="en-US"/>
        </w:rPr>
      </w:pPr>
    </w:p>
    <w:p w:rsidR="006E0E78" w:rsidRDefault="006E0E78" w:rsidP="006E0E78">
      <w:pPr>
        <w:spacing w:after="0"/>
        <w:rPr>
          <w:b/>
          <w:i/>
          <w:noProof/>
          <w:sz w:val="40"/>
          <w:szCs w:val="40"/>
          <w:lang w:eastAsia="en-US"/>
        </w:rPr>
      </w:pPr>
    </w:p>
    <w:p w:rsidR="006E0E78" w:rsidRPr="006E0E78" w:rsidRDefault="006E0E78" w:rsidP="006E0E78">
      <w:pPr>
        <w:spacing w:after="0"/>
        <w:rPr>
          <w:noProof/>
          <w:szCs w:val="22"/>
          <w:lang w:eastAsia="en-US"/>
        </w:rPr>
      </w:pPr>
      <w:r>
        <w:rPr>
          <w:b/>
          <w:i/>
          <w:noProof/>
          <w:sz w:val="40"/>
          <w:szCs w:val="40"/>
          <w:lang w:eastAsia="en-US"/>
        </w:rPr>
        <w:t>ASIC Derivative Transaction Rules (Clearing) 2015</w:t>
      </w:r>
    </w:p>
    <w:p w:rsidR="006E0E78" w:rsidRDefault="006E0E78" w:rsidP="006E0E78">
      <w:pPr>
        <w:spacing w:after="0"/>
        <w:rPr>
          <w:noProof/>
          <w:szCs w:val="22"/>
          <w:lang w:eastAsia="en-US"/>
        </w:rPr>
      </w:pPr>
    </w:p>
    <w:p w:rsidR="006E0E78" w:rsidRDefault="006E0E78" w:rsidP="006E0E78">
      <w:pPr>
        <w:spacing w:after="0"/>
        <w:rPr>
          <w:noProof/>
          <w:szCs w:val="22"/>
          <w:lang w:eastAsia="en-US"/>
        </w:rPr>
      </w:pPr>
    </w:p>
    <w:p w:rsidR="006E0E78" w:rsidRDefault="006E0E78" w:rsidP="006E0E78">
      <w:pPr>
        <w:spacing w:after="0"/>
        <w:rPr>
          <w:noProof/>
          <w:szCs w:val="22"/>
          <w:lang w:eastAsia="en-US"/>
        </w:rPr>
      </w:pPr>
    </w:p>
    <w:p w:rsidR="006E0E78" w:rsidRDefault="006E0E78" w:rsidP="006E0E78">
      <w:pPr>
        <w:spacing w:after="0"/>
        <w:rPr>
          <w:noProof/>
          <w:szCs w:val="22"/>
          <w:lang w:eastAsia="en-US"/>
        </w:rPr>
      </w:pPr>
    </w:p>
    <w:p w:rsidR="006E0E78" w:rsidRDefault="006E0E78" w:rsidP="006E0E78">
      <w:pPr>
        <w:spacing w:after="0"/>
        <w:rPr>
          <w:noProof/>
          <w:szCs w:val="22"/>
          <w:lang w:eastAsia="en-US"/>
        </w:rPr>
      </w:pPr>
    </w:p>
    <w:p w:rsidR="006E0E78" w:rsidRDefault="006E0E78" w:rsidP="006E0E78">
      <w:pPr>
        <w:spacing w:after="0"/>
        <w:rPr>
          <w:noProof/>
          <w:szCs w:val="22"/>
          <w:lang w:eastAsia="en-US"/>
        </w:rPr>
      </w:pPr>
    </w:p>
    <w:p w:rsidR="006E0E78" w:rsidRDefault="006E0E78" w:rsidP="006E0E78">
      <w:pPr>
        <w:spacing w:after="0"/>
        <w:rPr>
          <w:noProof/>
          <w:szCs w:val="22"/>
          <w:lang w:eastAsia="en-US"/>
        </w:rPr>
      </w:pPr>
    </w:p>
    <w:p w:rsidR="006E0E78" w:rsidRDefault="006E0E78" w:rsidP="006E0E78">
      <w:pPr>
        <w:spacing w:after="0"/>
        <w:rPr>
          <w:noProof/>
          <w:szCs w:val="22"/>
          <w:lang w:eastAsia="en-US"/>
        </w:rPr>
      </w:pPr>
    </w:p>
    <w:p w:rsidR="006E0E78" w:rsidRDefault="006E0E78" w:rsidP="006E0E78">
      <w:pPr>
        <w:spacing w:after="0"/>
        <w:rPr>
          <w:noProof/>
          <w:szCs w:val="22"/>
          <w:lang w:eastAsia="en-US"/>
        </w:rPr>
      </w:pPr>
    </w:p>
    <w:p w:rsidR="006E0E78" w:rsidRDefault="006E0E78" w:rsidP="006E0E78">
      <w:pPr>
        <w:spacing w:after="0"/>
        <w:rPr>
          <w:noProof/>
          <w:szCs w:val="22"/>
          <w:lang w:eastAsia="en-US"/>
        </w:rPr>
      </w:pPr>
    </w:p>
    <w:p w:rsidR="006E0E78" w:rsidRDefault="006E0E78" w:rsidP="006E0E78">
      <w:pPr>
        <w:spacing w:after="0"/>
        <w:rPr>
          <w:noProof/>
          <w:szCs w:val="22"/>
          <w:lang w:eastAsia="en-US"/>
        </w:rPr>
      </w:pPr>
    </w:p>
    <w:p w:rsidR="006E0E78" w:rsidRDefault="006E0E78" w:rsidP="006E0E78">
      <w:pPr>
        <w:spacing w:after="0"/>
        <w:rPr>
          <w:noProof/>
          <w:szCs w:val="22"/>
          <w:lang w:eastAsia="en-US"/>
        </w:rPr>
      </w:pPr>
    </w:p>
    <w:p w:rsidR="006E0E78" w:rsidRDefault="006E0E78" w:rsidP="006E0E78">
      <w:pPr>
        <w:spacing w:after="0"/>
        <w:rPr>
          <w:noProof/>
          <w:szCs w:val="22"/>
          <w:lang w:eastAsia="en-US"/>
        </w:rPr>
      </w:pPr>
    </w:p>
    <w:p w:rsidR="006E0E78" w:rsidRDefault="006E0E78" w:rsidP="006E0E78">
      <w:pPr>
        <w:spacing w:after="0"/>
        <w:rPr>
          <w:noProof/>
          <w:szCs w:val="22"/>
          <w:lang w:eastAsia="en-US"/>
        </w:rPr>
      </w:pPr>
    </w:p>
    <w:p w:rsidR="006E0E78" w:rsidRDefault="006E0E78" w:rsidP="006E0E78">
      <w:pPr>
        <w:spacing w:after="0"/>
        <w:rPr>
          <w:noProof/>
          <w:szCs w:val="22"/>
          <w:lang w:eastAsia="en-US"/>
        </w:rPr>
      </w:pPr>
    </w:p>
    <w:p w:rsidR="006E0E78" w:rsidRDefault="006E0E78" w:rsidP="006E0E78">
      <w:pPr>
        <w:spacing w:after="0"/>
        <w:rPr>
          <w:noProof/>
          <w:szCs w:val="22"/>
          <w:lang w:eastAsia="en-US"/>
        </w:rPr>
      </w:pPr>
    </w:p>
    <w:p w:rsidR="006E0E78" w:rsidRDefault="006E0E78" w:rsidP="006E0E78">
      <w:pPr>
        <w:spacing w:after="0"/>
        <w:rPr>
          <w:noProof/>
          <w:szCs w:val="22"/>
          <w:lang w:eastAsia="en-US"/>
        </w:rPr>
      </w:pPr>
    </w:p>
    <w:p w:rsidR="006E0E78" w:rsidRDefault="006E0E78" w:rsidP="006E0E78">
      <w:pPr>
        <w:spacing w:after="0"/>
        <w:rPr>
          <w:noProof/>
          <w:szCs w:val="22"/>
          <w:lang w:eastAsia="en-US"/>
        </w:rPr>
      </w:pPr>
      <w:r>
        <w:rPr>
          <w:noProof/>
          <w:szCs w:val="22"/>
          <w:lang w:eastAsia="en-US"/>
        </w:rPr>
        <w:t xml:space="preserve">I, </w:t>
      </w:r>
      <w:r w:rsidR="007B2C1B">
        <w:rPr>
          <w:noProof/>
          <w:szCs w:val="22"/>
          <w:lang w:eastAsia="en-US"/>
        </w:rPr>
        <w:t>Oliver Harvey</w:t>
      </w:r>
      <w:r>
        <w:rPr>
          <w:noProof/>
          <w:szCs w:val="22"/>
          <w:lang w:eastAsia="en-US"/>
        </w:rPr>
        <w:t xml:space="preserve">, acting with the written consent of the Minister, make the following derivative transaction rules under section 901A of the </w:t>
      </w:r>
      <w:r>
        <w:rPr>
          <w:i/>
          <w:noProof/>
          <w:szCs w:val="22"/>
          <w:lang w:eastAsia="en-US"/>
        </w:rPr>
        <w:t>Corporations Act 2001.</w:t>
      </w:r>
      <w:r>
        <w:rPr>
          <w:noProof/>
          <w:szCs w:val="22"/>
          <w:lang w:eastAsia="en-US"/>
        </w:rPr>
        <w:t xml:space="preserve"> </w:t>
      </w:r>
    </w:p>
    <w:p w:rsidR="006E0E78" w:rsidRDefault="006E0E78" w:rsidP="006E0E78">
      <w:pPr>
        <w:spacing w:after="0"/>
        <w:rPr>
          <w:noProof/>
          <w:szCs w:val="22"/>
          <w:lang w:eastAsia="en-US"/>
        </w:rPr>
      </w:pPr>
    </w:p>
    <w:p w:rsidR="006E0E78" w:rsidRDefault="006E0E78" w:rsidP="006E0E78">
      <w:pPr>
        <w:spacing w:after="0"/>
        <w:rPr>
          <w:noProof/>
          <w:szCs w:val="22"/>
          <w:lang w:eastAsia="en-US"/>
        </w:rPr>
      </w:pPr>
    </w:p>
    <w:p w:rsidR="006E0E78" w:rsidRDefault="006E0E78" w:rsidP="006E0E78">
      <w:pPr>
        <w:spacing w:after="0"/>
        <w:rPr>
          <w:noProof/>
          <w:szCs w:val="22"/>
          <w:lang w:eastAsia="en-US"/>
        </w:rPr>
      </w:pPr>
    </w:p>
    <w:p w:rsidR="006E0E78" w:rsidRDefault="006E0E78" w:rsidP="006E0E78">
      <w:pPr>
        <w:spacing w:after="0"/>
        <w:rPr>
          <w:noProof/>
          <w:szCs w:val="22"/>
          <w:lang w:eastAsia="en-US"/>
        </w:rPr>
      </w:pPr>
    </w:p>
    <w:p w:rsidR="006E0E78" w:rsidRDefault="006E0E78" w:rsidP="006E0E78">
      <w:pPr>
        <w:spacing w:after="0"/>
        <w:rPr>
          <w:noProof/>
          <w:szCs w:val="22"/>
          <w:lang w:eastAsia="en-US"/>
        </w:rPr>
      </w:pPr>
    </w:p>
    <w:p w:rsidR="006E0E78" w:rsidRDefault="006E0E78" w:rsidP="006E0E78">
      <w:pPr>
        <w:spacing w:after="0"/>
        <w:rPr>
          <w:noProof/>
          <w:szCs w:val="22"/>
          <w:lang w:eastAsia="en-US"/>
        </w:rPr>
      </w:pPr>
    </w:p>
    <w:p w:rsidR="006E0E78" w:rsidRDefault="006E0E78" w:rsidP="006E0E78">
      <w:pPr>
        <w:spacing w:after="0"/>
        <w:rPr>
          <w:noProof/>
          <w:szCs w:val="22"/>
          <w:lang w:eastAsia="en-US"/>
        </w:rPr>
      </w:pPr>
    </w:p>
    <w:p w:rsidR="006E0E78" w:rsidRDefault="006E0E78" w:rsidP="006E0E78">
      <w:pPr>
        <w:spacing w:after="0"/>
        <w:rPr>
          <w:noProof/>
          <w:szCs w:val="22"/>
          <w:lang w:eastAsia="en-US"/>
        </w:rPr>
      </w:pPr>
    </w:p>
    <w:p w:rsidR="006E0E78" w:rsidRDefault="006E0E78" w:rsidP="006E0E78">
      <w:pPr>
        <w:spacing w:after="0"/>
        <w:rPr>
          <w:noProof/>
          <w:szCs w:val="22"/>
          <w:lang w:eastAsia="en-US"/>
        </w:rPr>
      </w:pPr>
    </w:p>
    <w:p w:rsidR="006E0E78" w:rsidRDefault="006E0E78" w:rsidP="006E0E78">
      <w:pPr>
        <w:spacing w:after="0"/>
        <w:rPr>
          <w:noProof/>
          <w:szCs w:val="22"/>
          <w:lang w:eastAsia="en-US"/>
        </w:rPr>
      </w:pPr>
    </w:p>
    <w:p w:rsidR="006E0E78" w:rsidRDefault="006E0E78" w:rsidP="006E0E78">
      <w:pPr>
        <w:spacing w:after="0"/>
        <w:rPr>
          <w:noProof/>
          <w:szCs w:val="22"/>
          <w:lang w:eastAsia="en-US"/>
        </w:rPr>
      </w:pPr>
    </w:p>
    <w:p w:rsidR="006E0E78" w:rsidRDefault="006E0E78" w:rsidP="006E0E78">
      <w:pPr>
        <w:spacing w:after="0"/>
        <w:rPr>
          <w:noProof/>
          <w:szCs w:val="22"/>
          <w:lang w:eastAsia="en-US"/>
        </w:rPr>
      </w:pPr>
      <w:r>
        <w:rPr>
          <w:noProof/>
          <w:szCs w:val="22"/>
          <w:lang w:eastAsia="en-US"/>
        </w:rPr>
        <w:t xml:space="preserve">Dated this </w:t>
      </w:r>
      <w:r w:rsidR="007B2C1B">
        <w:rPr>
          <w:noProof/>
          <w:szCs w:val="22"/>
          <w:lang w:eastAsia="en-US"/>
        </w:rPr>
        <w:t>3rd</w:t>
      </w:r>
      <w:r>
        <w:rPr>
          <w:noProof/>
          <w:szCs w:val="22"/>
          <w:lang w:eastAsia="en-US"/>
        </w:rPr>
        <w:t xml:space="preserve"> day of </w:t>
      </w:r>
      <w:r w:rsidR="007B2C1B">
        <w:rPr>
          <w:noProof/>
          <w:szCs w:val="22"/>
          <w:lang w:eastAsia="en-US"/>
        </w:rPr>
        <w:t>December</w:t>
      </w:r>
      <w:r>
        <w:rPr>
          <w:noProof/>
          <w:szCs w:val="22"/>
          <w:lang w:eastAsia="en-US"/>
        </w:rPr>
        <w:t xml:space="preserve"> 2015 </w:t>
      </w:r>
    </w:p>
    <w:p w:rsidR="006E0E78" w:rsidRDefault="006E0E78" w:rsidP="006E0E78">
      <w:pPr>
        <w:spacing w:after="0"/>
        <w:rPr>
          <w:noProof/>
          <w:szCs w:val="22"/>
          <w:lang w:eastAsia="en-US"/>
        </w:rPr>
      </w:pPr>
    </w:p>
    <w:p w:rsidR="006E0E78" w:rsidRDefault="006E0E78" w:rsidP="006E0E78">
      <w:pPr>
        <w:spacing w:after="0"/>
        <w:rPr>
          <w:noProof/>
          <w:szCs w:val="22"/>
          <w:lang w:eastAsia="en-US"/>
        </w:rPr>
      </w:pPr>
    </w:p>
    <w:p w:rsidR="006E0E78" w:rsidRDefault="006E0E78" w:rsidP="006E0E78">
      <w:pPr>
        <w:spacing w:after="0"/>
        <w:rPr>
          <w:noProof/>
          <w:szCs w:val="22"/>
          <w:lang w:eastAsia="en-US"/>
        </w:rPr>
      </w:pPr>
    </w:p>
    <w:p w:rsidR="006E0E78" w:rsidRDefault="006E0E78" w:rsidP="006E0E78">
      <w:pPr>
        <w:spacing w:after="0"/>
        <w:rPr>
          <w:noProof/>
          <w:szCs w:val="22"/>
          <w:lang w:eastAsia="en-US"/>
        </w:rPr>
      </w:pPr>
    </w:p>
    <w:p w:rsidR="006E0E78" w:rsidRDefault="006E0E78" w:rsidP="006E0E78">
      <w:pPr>
        <w:spacing w:after="0"/>
        <w:rPr>
          <w:noProof/>
          <w:szCs w:val="22"/>
          <w:lang w:eastAsia="en-US"/>
        </w:rPr>
      </w:pPr>
      <w:r>
        <w:rPr>
          <w:noProof/>
          <w:szCs w:val="22"/>
          <w:lang w:eastAsia="en-US"/>
        </w:rPr>
        <w:t xml:space="preserve">Signed by </w:t>
      </w:r>
      <w:r w:rsidR="007B2C1B">
        <w:rPr>
          <w:noProof/>
          <w:szCs w:val="22"/>
          <w:lang w:eastAsia="en-US"/>
        </w:rPr>
        <w:t>Oliver Harvey</w:t>
      </w:r>
    </w:p>
    <w:p w:rsidR="006E0E78" w:rsidRDefault="006E0E78" w:rsidP="006E0E78">
      <w:pPr>
        <w:spacing w:after="0"/>
        <w:rPr>
          <w:noProof/>
          <w:szCs w:val="22"/>
          <w:lang w:eastAsia="en-US"/>
        </w:rPr>
      </w:pPr>
      <w:r>
        <w:rPr>
          <w:noProof/>
          <w:szCs w:val="22"/>
          <w:lang w:eastAsia="en-US"/>
        </w:rPr>
        <w:t xml:space="preserve">as delegate of the Australian Securities and Investments Commission </w:t>
      </w:r>
    </w:p>
    <w:p w:rsidR="006E0E78" w:rsidRDefault="006E0E78" w:rsidP="006E0E78">
      <w:pPr>
        <w:spacing w:after="0"/>
        <w:rPr>
          <w:noProof/>
          <w:szCs w:val="22"/>
          <w:lang w:eastAsia="en-US"/>
        </w:rPr>
        <w:sectPr w:rsidR="006E0E78" w:rsidSect="006E0E78">
          <w:type w:val="continuous"/>
          <w:pgSz w:w="11906" w:h="16838"/>
          <w:pgMar w:top="1644" w:right="1418" w:bottom="1418" w:left="1418" w:header="567" w:footer="567" w:gutter="0"/>
          <w:pgNumType w:start="1"/>
          <w:cols w:space="720"/>
        </w:sectPr>
      </w:pPr>
    </w:p>
    <w:p w:rsidR="006E0E78" w:rsidRDefault="006E0E78" w:rsidP="006E0E78">
      <w:pPr>
        <w:spacing w:after="0"/>
        <w:rPr>
          <w:noProof/>
          <w:szCs w:val="22"/>
          <w:lang w:eastAsia="en-US"/>
        </w:rPr>
      </w:pPr>
    </w:p>
    <w:p w:rsidR="00E14D12" w:rsidRPr="00F76596" w:rsidRDefault="00046BBA" w:rsidP="00E14D12">
      <w:pPr>
        <w:ind w:left="2268"/>
        <w:rPr>
          <w:noProof/>
          <w:szCs w:val="22"/>
          <w:lang w:eastAsia="en-US"/>
        </w:rPr>
      </w:pPr>
      <w:r>
        <w:rPr>
          <w:noProof/>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0;margin-top:12.9pt;width:100.5pt;height:73.5pt;z-index:251664384">
            <v:imagedata r:id="rId15" o:title=""/>
          </v:shape>
          <o:OLEObject Type="Embed" ProgID="Word.Picture.8" ShapeID="_x0000_s1030" DrawAspect="Content" ObjectID="_1510569881" r:id="rId16"/>
        </w:pict>
      </w:r>
      <w:r w:rsidR="00E14D12">
        <w:rPr>
          <w:noProof/>
          <w:szCs w:val="22"/>
        </w:rPr>
        <mc:AlternateContent>
          <mc:Choice Requires="wpc">
            <w:drawing>
              <wp:anchor distT="0" distB="0" distL="114300" distR="114300" simplePos="0" relativeHeight="251663360" behindDoc="0" locked="1" layoutInCell="1" allowOverlap="0" wp14:anchorId="66060200" wp14:editId="0F87B4D0">
                <wp:simplePos x="0" y="0"/>
                <wp:positionH relativeFrom="column">
                  <wp:posOffset>0</wp:posOffset>
                </wp:positionH>
                <wp:positionV relativeFrom="paragraph">
                  <wp:posOffset>173355</wp:posOffset>
                </wp:positionV>
                <wp:extent cx="5808345" cy="1296035"/>
                <wp:effectExtent l="0" t="1905" r="1905" b="0"/>
                <wp:wrapTopAndBottom/>
                <wp:docPr id="4"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3" name="Picture 4" descr="Identity 1 (Lttrhd siz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2827020" y="0"/>
                            <a:ext cx="2981325" cy="1296035"/>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14:sizeRelH relativeFrom="page">
                  <wp14:pctWidth>0</wp14:pctWidth>
                </wp14:sizeRelH>
                <wp14:sizeRelV relativeFrom="page">
                  <wp14:pctHeight>0</wp14:pctHeight>
                </wp14:sizeRelV>
              </wp:anchor>
            </w:drawing>
          </mc:Choice>
          <mc:Fallback>
            <w:pict>
              <v:group id="Canvas 4" o:spid="_x0000_s1026" editas="canvas" style="position:absolute;margin-left:0;margin-top:13.65pt;width:457.35pt;height:102.05pt;z-index:251663360" coordsize="58083,129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" o:allowoverlap="f">
                <v:shape id="_x0000_s1027" type="#_x0000_t75" style="position:absolute;width:58083;height:12960;visibility:visible;mso-wrap-style:square">
                  <v:fill o:detectmouseclick="t"/>
                  <v:path o:connecttype="none"/>
                </v:shape>
                <v:shape id="Picture 4" o:spid="_x0000_s1028" type="#_x0000_t75" alt="Identity 1 (Lttrhd size)" style="position:absolute;left:28270;width:29813;height:129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Mc5XCAAAA2gAAAA8AAABkcnMvZG93bnJldi54bWxEj91qwkAUhO8LvsNyhN7VjQaKpK5SpBUv&#10;CsWfBzhkT7OpOWdjdo3p23cFwcthZr5hFquBG9VTF2ovBqaTDBRJ6W0tlYHj4fNlDipEFIuNFzLw&#10;RwFWy9HTAgvrr7Kjfh8rlSASCjTgYmwLrUPpiDFMfEuSvB/fMcYku0rbDq8Jzo2eZdmrZqwlLThs&#10;ae2oPO0vbODru5Us5w25j/z31O+OfO7XbMzzeHh/AxVpiI/wvb21BnK4XUk3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DjHOVwgAAANoAAAAPAAAAAAAAAAAAAAAAAJ8C&#10;AABkcnMvZG93bnJldi54bWxQSwUGAAAAAAQABAD3AAAAjgMAAAAA&#10;">
                  <v:imagedata r:id="rId18" o:title="Identity 1 (Lttrhd size)"/>
                </v:shape>
                <w10:wrap type="topAndBottom"/>
                <w10:anchorlock/>
              </v:group>
            </w:pict>
          </mc:Fallback>
        </mc:AlternateContent>
      </w:r>
    </w:p>
    <w:p w:rsidR="00E14D12" w:rsidRPr="00F76596" w:rsidRDefault="00E14D12" w:rsidP="00E14D12">
      <w:pPr>
        <w:ind w:left="2268"/>
        <w:rPr>
          <w:noProof/>
          <w:szCs w:val="22"/>
          <w:lang w:eastAsia="en-US"/>
        </w:rPr>
      </w:pPr>
    </w:p>
    <w:p w:rsidR="00E14D12" w:rsidRPr="00F76596" w:rsidRDefault="00E14D12" w:rsidP="00E14D12">
      <w:pPr>
        <w:ind w:left="2268"/>
        <w:rPr>
          <w:noProof/>
          <w:szCs w:val="22"/>
          <w:lang w:eastAsia="en-US"/>
        </w:rPr>
      </w:pPr>
    </w:p>
    <w:p w:rsidR="00E14D12" w:rsidRDefault="007B2C1B" w:rsidP="00E14D12">
      <w:pPr>
        <w:ind w:left="2268"/>
        <w:rPr>
          <w:rFonts w:ascii="Arial" w:hAnsi="Arial" w:cs="Arial"/>
          <w:b/>
          <w:sz w:val="48"/>
          <w:szCs w:val="48"/>
        </w:rPr>
      </w:pPr>
      <w:fldSimple w:instr=" DOCPROPERTY  &quot;Document title&quot;  \* MERGEFORMAT ">
        <w:r w:rsidR="003F0C2B" w:rsidRPr="003F0C2B">
          <w:rPr>
            <w:rFonts w:ascii="Arial" w:hAnsi="Arial" w:cs="Arial"/>
            <w:b/>
            <w:sz w:val="48"/>
            <w:szCs w:val="48"/>
          </w:rPr>
          <w:t>ASIC Derivative Transaction Rules (Clearing) 2015</w:t>
        </w:r>
      </w:fldSimple>
    </w:p>
    <w:p w:rsidR="002426A2" w:rsidRPr="00F76596" w:rsidRDefault="002426A2">
      <w:pPr>
        <w:pStyle w:val="Bodytextplain"/>
        <w:pageBreakBefore/>
        <w:spacing w:after="200"/>
        <w:ind w:left="0"/>
        <w:rPr>
          <w:rFonts w:ascii="Arial" w:hAnsi="Arial" w:cs="Arial"/>
          <w:b/>
          <w:sz w:val="36"/>
          <w:szCs w:val="36"/>
        </w:rPr>
      </w:pPr>
      <w:r w:rsidRPr="00F76596">
        <w:rPr>
          <w:rFonts w:ascii="Arial" w:hAnsi="Arial" w:cs="Arial"/>
          <w:b/>
          <w:sz w:val="36"/>
          <w:szCs w:val="36"/>
        </w:rPr>
        <w:lastRenderedPageBreak/>
        <w:t>Contents</w:t>
      </w:r>
    </w:p>
    <w:p w:rsidR="00915FBC" w:rsidRDefault="00397B12">
      <w:pPr>
        <w:pStyle w:val="TOC1"/>
        <w:rPr>
          <w:rFonts w:asciiTheme="minorHAnsi" w:eastAsiaTheme="minorEastAsia" w:hAnsiTheme="minorHAnsi" w:cstheme="minorBidi"/>
          <w:b w:val="0"/>
          <w:sz w:val="22"/>
          <w:szCs w:val="22"/>
        </w:rPr>
      </w:pPr>
      <w:r w:rsidRPr="00F76596">
        <w:rPr>
          <w:rFonts w:ascii="HelveticaNeue LT 55 Roman" w:hAnsi="HelveticaNeue LT 55 Roman"/>
        </w:rPr>
        <w:fldChar w:fldCharType="begin"/>
      </w:r>
      <w:r w:rsidR="005C65FD" w:rsidRPr="00F76596">
        <w:rPr>
          <w:rFonts w:ascii="HelveticaNeue LT 55 Roman" w:hAnsi="HelveticaNeue LT 55 Roman"/>
        </w:rPr>
        <w:instrText xml:space="preserve"> TOC \h \z \t "Heading 1,1,MIR Heading 2 (Part),2,MIR Heading 1 (Chapter),1" </w:instrText>
      </w:r>
      <w:r w:rsidRPr="00F76596">
        <w:rPr>
          <w:rFonts w:ascii="HelveticaNeue LT 55 Roman" w:hAnsi="HelveticaNeue LT 55 Roman"/>
        </w:rPr>
        <w:fldChar w:fldCharType="separate"/>
      </w:r>
      <w:hyperlink w:anchor="_Toc434935749" w:history="1">
        <w:r w:rsidR="00915FBC" w:rsidRPr="00D924CA">
          <w:rPr>
            <w:rStyle w:val="Hyperlink"/>
          </w:rPr>
          <w:t>Chapter 1: Introduction</w:t>
        </w:r>
        <w:r w:rsidR="00915FBC">
          <w:rPr>
            <w:webHidden/>
          </w:rPr>
          <w:tab/>
        </w:r>
        <w:r w:rsidR="00915FBC">
          <w:rPr>
            <w:webHidden/>
          </w:rPr>
          <w:fldChar w:fldCharType="begin"/>
        </w:r>
        <w:r w:rsidR="00915FBC">
          <w:rPr>
            <w:webHidden/>
          </w:rPr>
          <w:instrText xml:space="preserve"> PAGEREF _Toc434935749 \h </w:instrText>
        </w:r>
        <w:r w:rsidR="00915FBC">
          <w:rPr>
            <w:webHidden/>
          </w:rPr>
        </w:r>
        <w:r w:rsidR="00915FBC">
          <w:rPr>
            <w:webHidden/>
          </w:rPr>
          <w:fldChar w:fldCharType="separate"/>
        </w:r>
        <w:r w:rsidR="00915FBC">
          <w:rPr>
            <w:webHidden/>
          </w:rPr>
          <w:t>2</w:t>
        </w:r>
        <w:r w:rsidR="00915FBC">
          <w:rPr>
            <w:webHidden/>
          </w:rPr>
          <w:fldChar w:fldCharType="end"/>
        </w:r>
      </w:hyperlink>
    </w:p>
    <w:p w:rsidR="00915FBC" w:rsidRDefault="00046BBA">
      <w:pPr>
        <w:pStyle w:val="TOC2"/>
        <w:rPr>
          <w:rFonts w:asciiTheme="minorHAnsi" w:eastAsiaTheme="minorEastAsia" w:hAnsiTheme="minorHAnsi" w:cstheme="minorBidi"/>
          <w:sz w:val="22"/>
          <w:szCs w:val="22"/>
        </w:rPr>
      </w:pPr>
      <w:hyperlink w:anchor="_Toc434935750" w:history="1">
        <w:r w:rsidR="00915FBC" w:rsidRPr="00D924CA">
          <w:rPr>
            <w:rStyle w:val="Hyperlink"/>
          </w:rPr>
          <w:t>Part 1.1</w:t>
        </w:r>
        <w:r w:rsidR="00915FBC">
          <w:rPr>
            <w:rFonts w:asciiTheme="minorHAnsi" w:eastAsiaTheme="minorEastAsia" w:hAnsiTheme="minorHAnsi" w:cstheme="minorBidi"/>
            <w:sz w:val="22"/>
            <w:szCs w:val="22"/>
          </w:rPr>
          <w:tab/>
        </w:r>
        <w:r w:rsidR="00915FBC" w:rsidRPr="00D924CA">
          <w:rPr>
            <w:rStyle w:val="Hyperlink"/>
          </w:rPr>
          <w:t>Preliminary</w:t>
        </w:r>
        <w:r w:rsidR="00915FBC">
          <w:rPr>
            <w:webHidden/>
          </w:rPr>
          <w:tab/>
        </w:r>
        <w:r w:rsidR="00915FBC">
          <w:rPr>
            <w:webHidden/>
          </w:rPr>
          <w:fldChar w:fldCharType="begin"/>
        </w:r>
        <w:r w:rsidR="00915FBC">
          <w:rPr>
            <w:webHidden/>
          </w:rPr>
          <w:instrText xml:space="preserve"> PAGEREF _Toc434935750 \h </w:instrText>
        </w:r>
        <w:r w:rsidR="00915FBC">
          <w:rPr>
            <w:webHidden/>
          </w:rPr>
        </w:r>
        <w:r w:rsidR="00915FBC">
          <w:rPr>
            <w:webHidden/>
          </w:rPr>
          <w:fldChar w:fldCharType="separate"/>
        </w:r>
        <w:r w:rsidR="00915FBC">
          <w:rPr>
            <w:webHidden/>
          </w:rPr>
          <w:t>2</w:t>
        </w:r>
        <w:r w:rsidR="00915FBC">
          <w:rPr>
            <w:webHidden/>
          </w:rPr>
          <w:fldChar w:fldCharType="end"/>
        </w:r>
      </w:hyperlink>
    </w:p>
    <w:p w:rsidR="00915FBC" w:rsidRDefault="00046BBA">
      <w:pPr>
        <w:pStyle w:val="TOC2"/>
        <w:rPr>
          <w:rFonts w:asciiTheme="minorHAnsi" w:eastAsiaTheme="minorEastAsia" w:hAnsiTheme="minorHAnsi" w:cstheme="minorBidi"/>
          <w:sz w:val="22"/>
          <w:szCs w:val="22"/>
        </w:rPr>
      </w:pPr>
      <w:hyperlink w:anchor="_Toc434935751" w:history="1">
        <w:r w:rsidR="00915FBC" w:rsidRPr="00D924CA">
          <w:rPr>
            <w:rStyle w:val="Hyperlink"/>
          </w:rPr>
          <w:t>Part 1.2</w:t>
        </w:r>
        <w:r w:rsidR="00915FBC">
          <w:rPr>
            <w:rFonts w:asciiTheme="minorHAnsi" w:eastAsiaTheme="minorEastAsia" w:hAnsiTheme="minorHAnsi" w:cstheme="minorBidi"/>
            <w:sz w:val="22"/>
            <w:szCs w:val="22"/>
          </w:rPr>
          <w:tab/>
        </w:r>
        <w:r w:rsidR="00915FBC" w:rsidRPr="00D924CA">
          <w:rPr>
            <w:rStyle w:val="Hyperlink"/>
          </w:rPr>
          <w:t>Interpretation</w:t>
        </w:r>
        <w:r w:rsidR="00915FBC">
          <w:rPr>
            <w:webHidden/>
          </w:rPr>
          <w:tab/>
        </w:r>
        <w:r w:rsidR="00915FBC">
          <w:rPr>
            <w:webHidden/>
          </w:rPr>
          <w:fldChar w:fldCharType="begin"/>
        </w:r>
        <w:r w:rsidR="00915FBC">
          <w:rPr>
            <w:webHidden/>
          </w:rPr>
          <w:instrText xml:space="preserve"> PAGEREF _Toc434935751 \h </w:instrText>
        </w:r>
        <w:r w:rsidR="00915FBC">
          <w:rPr>
            <w:webHidden/>
          </w:rPr>
        </w:r>
        <w:r w:rsidR="00915FBC">
          <w:rPr>
            <w:webHidden/>
          </w:rPr>
          <w:fldChar w:fldCharType="separate"/>
        </w:r>
        <w:r w:rsidR="00915FBC">
          <w:rPr>
            <w:webHidden/>
          </w:rPr>
          <w:t>2</w:t>
        </w:r>
        <w:r w:rsidR="00915FBC">
          <w:rPr>
            <w:webHidden/>
          </w:rPr>
          <w:fldChar w:fldCharType="end"/>
        </w:r>
      </w:hyperlink>
    </w:p>
    <w:p w:rsidR="00915FBC" w:rsidRDefault="00046BBA">
      <w:pPr>
        <w:pStyle w:val="TOC1"/>
        <w:rPr>
          <w:rFonts w:asciiTheme="minorHAnsi" w:eastAsiaTheme="minorEastAsia" w:hAnsiTheme="minorHAnsi" w:cstheme="minorBidi"/>
          <w:b w:val="0"/>
          <w:sz w:val="22"/>
          <w:szCs w:val="22"/>
        </w:rPr>
      </w:pPr>
      <w:hyperlink w:anchor="_Toc434935752" w:history="1">
        <w:r w:rsidR="00915FBC" w:rsidRPr="00D924CA">
          <w:rPr>
            <w:rStyle w:val="Hyperlink"/>
          </w:rPr>
          <w:t>Chapter 2: Clearing Requirements</w:t>
        </w:r>
        <w:r w:rsidR="00915FBC">
          <w:rPr>
            <w:webHidden/>
          </w:rPr>
          <w:tab/>
        </w:r>
        <w:r w:rsidR="00915FBC">
          <w:rPr>
            <w:webHidden/>
          </w:rPr>
          <w:fldChar w:fldCharType="begin"/>
        </w:r>
        <w:r w:rsidR="00915FBC">
          <w:rPr>
            <w:webHidden/>
          </w:rPr>
          <w:instrText xml:space="preserve"> PAGEREF _Toc434935752 \h </w:instrText>
        </w:r>
        <w:r w:rsidR="00915FBC">
          <w:rPr>
            <w:webHidden/>
          </w:rPr>
        </w:r>
        <w:r w:rsidR="00915FBC">
          <w:rPr>
            <w:webHidden/>
          </w:rPr>
          <w:fldChar w:fldCharType="separate"/>
        </w:r>
        <w:r w:rsidR="00915FBC">
          <w:rPr>
            <w:webHidden/>
          </w:rPr>
          <w:t>15</w:t>
        </w:r>
        <w:r w:rsidR="00915FBC">
          <w:rPr>
            <w:webHidden/>
          </w:rPr>
          <w:fldChar w:fldCharType="end"/>
        </w:r>
      </w:hyperlink>
    </w:p>
    <w:p w:rsidR="00915FBC" w:rsidRDefault="00046BBA">
      <w:pPr>
        <w:pStyle w:val="TOC1"/>
        <w:rPr>
          <w:rFonts w:asciiTheme="minorHAnsi" w:eastAsiaTheme="minorEastAsia" w:hAnsiTheme="minorHAnsi" w:cstheme="minorBidi"/>
          <w:b w:val="0"/>
          <w:sz w:val="22"/>
          <w:szCs w:val="22"/>
        </w:rPr>
      </w:pPr>
      <w:hyperlink w:anchor="_Toc434935753" w:history="1">
        <w:r w:rsidR="00915FBC" w:rsidRPr="00D924CA">
          <w:rPr>
            <w:rStyle w:val="Hyperlink"/>
          </w:rPr>
          <w:t>Chapter 3: Notifications and record keeping</w:t>
        </w:r>
        <w:r w:rsidR="00915FBC">
          <w:rPr>
            <w:webHidden/>
          </w:rPr>
          <w:tab/>
        </w:r>
        <w:r w:rsidR="00915FBC">
          <w:rPr>
            <w:webHidden/>
          </w:rPr>
          <w:fldChar w:fldCharType="begin"/>
        </w:r>
        <w:r w:rsidR="00915FBC">
          <w:rPr>
            <w:webHidden/>
          </w:rPr>
          <w:instrText xml:space="preserve"> PAGEREF _Toc434935753 \h </w:instrText>
        </w:r>
        <w:r w:rsidR="00915FBC">
          <w:rPr>
            <w:webHidden/>
          </w:rPr>
        </w:r>
        <w:r w:rsidR="00915FBC">
          <w:rPr>
            <w:webHidden/>
          </w:rPr>
          <w:fldChar w:fldCharType="separate"/>
        </w:r>
        <w:r w:rsidR="00915FBC">
          <w:rPr>
            <w:webHidden/>
          </w:rPr>
          <w:t>18</w:t>
        </w:r>
        <w:r w:rsidR="00915FBC">
          <w:rPr>
            <w:webHidden/>
          </w:rPr>
          <w:fldChar w:fldCharType="end"/>
        </w:r>
      </w:hyperlink>
    </w:p>
    <w:p w:rsidR="00915FBC" w:rsidRDefault="00046BBA">
      <w:pPr>
        <w:pStyle w:val="TOC2"/>
        <w:rPr>
          <w:rFonts w:asciiTheme="minorHAnsi" w:eastAsiaTheme="minorEastAsia" w:hAnsiTheme="minorHAnsi" w:cstheme="minorBidi"/>
          <w:sz w:val="22"/>
          <w:szCs w:val="22"/>
        </w:rPr>
      </w:pPr>
      <w:hyperlink w:anchor="_Toc434935754" w:history="1">
        <w:r w:rsidR="00915FBC" w:rsidRPr="00D924CA">
          <w:rPr>
            <w:rStyle w:val="Hyperlink"/>
          </w:rPr>
          <w:t>Part 3.1</w:t>
        </w:r>
        <w:r w:rsidR="00915FBC">
          <w:rPr>
            <w:rFonts w:asciiTheme="minorHAnsi" w:eastAsiaTheme="minorEastAsia" w:hAnsiTheme="minorHAnsi" w:cstheme="minorBidi"/>
            <w:sz w:val="22"/>
            <w:szCs w:val="22"/>
          </w:rPr>
          <w:tab/>
        </w:r>
        <w:r w:rsidR="00915FBC" w:rsidRPr="00D924CA">
          <w:rPr>
            <w:rStyle w:val="Hyperlink"/>
          </w:rPr>
          <w:t>Notifications</w:t>
        </w:r>
        <w:r w:rsidR="00915FBC">
          <w:rPr>
            <w:webHidden/>
          </w:rPr>
          <w:tab/>
        </w:r>
        <w:r w:rsidR="00915FBC">
          <w:rPr>
            <w:webHidden/>
          </w:rPr>
          <w:fldChar w:fldCharType="begin"/>
        </w:r>
        <w:r w:rsidR="00915FBC">
          <w:rPr>
            <w:webHidden/>
          </w:rPr>
          <w:instrText xml:space="preserve"> PAGEREF _Toc434935754 \h </w:instrText>
        </w:r>
        <w:r w:rsidR="00915FBC">
          <w:rPr>
            <w:webHidden/>
          </w:rPr>
        </w:r>
        <w:r w:rsidR="00915FBC">
          <w:rPr>
            <w:webHidden/>
          </w:rPr>
          <w:fldChar w:fldCharType="separate"/>
        </w:r>
        <w:r w:rsidR="00915FBC">
          <w:rPr>
            <w:webHidden/>
          </w:rPr>
          <w:t>18</w:t>
        </w:r>
        <w:r w:rsidR="00915FBC">
          <w:rPr>
            <w:webHidden/>
          </w:rPr>
          <w:fldChar w:fldCharType="end"/>
        </w:r>
      </w:hyperlink>
    </w:p>
    <w:p w:rsidR="00915FBC" w:rsidRDefault="00046BBA">
      <w:pPr>
        <w:pStyle w:val="TOC2"/>
        <w:rPr>
          <w:rFonts w:asciiTheme="minorHAnsi" w:eastAsiaTheme="minorEastAsia" w:hAnsiTheme="minorHAnsi" w:cstheme="minorBidi"/>
          <w:sz w:val="22"/>
          <w:szCs w:val="22"/>
        </w:rPr>
      </w:pPr>
      <w:hyperlink w:anchor="_Toc434935755" w:history="1">
        <w:r w:rsidR="00915FBC" w:rsidRPr="00D924CA">
          <w:rPr>
            <w:rStyle w:val="Hyperlink"/>
          </w:rPr>
          <w:t>Part 3.2</w:t>
        </w:r>
        <w:r w:rsidR="00915FBC">
          <w:rPr>
            <w:rFonts w:asciiTheme="minorHAnsi" w:eastAsiaTheme="minorEastAsia" w:hAnsiTheme="minorHAnsi" w:cstheme="minorBidi"/>
            <w:sz w:val="22"/>
            <w:szCs w:val="22"/>
          </w:rPr>
          <w:tab/>
        </w:r>
        <w:r w:rsidR="00915FBC" w:rsidRPr="00D924CA">
          <w:rPr>
            <w:rStyle w:val="Hyperlink"/>
          </w:rPr>
          <w:t>Records</w:t>
        </w:r>
        <w:r w:rsidR="00915FBC">
          <w:rPr>
            <w:webHidden/>
          </w:rPr>
          <w:tab/>
        </w:r>
        <w:r w:rsidR="00915FBC">
          <w:rPr>
            <w:webHidden/>
          </w:rPr>
          <w:fldChar w:fldCharType="begin"/>
        </w:r>
        <w:r w:rsidR="00915FBC">
          <w:rPr>
            <w:webHidden/>
          </w:rPr>
          <w:instrText xml:space="preserve"> PAGEREF _Toc434935755 \h </w:instrText>
        </w:r>
        <w:r w:rsidR="00915FBC">
          <w:rPr>
            <w:webHidden/>
          </w:rPr>
        </w:r>
        <w:r w:rsidR="00915FBC">
          <w:rPr>
            <w:webHidden/>
          </w:rPr>
          <w:fldChar w:fldCharType="separate"/>
        </w:r>
        <w:r w:rsidR="00915FBC">
          <w:rPr>
            <w:webHidden/>
          </w:rPr>
          <w:t>19</w:t>
        </w:r>
        <w:r w:rsidR="00915FBC">
          <w:rPr>
            <w:webHidden/>
          </w:rPr>
          <w:fldChar w:fldCharType="end"/>
        </w:r>
      </w:hyperlink>
    </w:p>
    <w:p w:rsidR="00550F5F" w:rsidRDefault="00397B12" w:rsidP="00DC56F8">
      <w:pPr>
        <w:pStyle w:val="MIRBodyText"/>
      </w:pPr>
      <w:r w:rsidRPr="00F76596">
        <w:rPr>
          <w:rFonts w:ascii="HelveticaNeue LT 55 Roman" w:hAnsi="HelveticaNeue LT 55 Roman" w:cs="Arial"/>
          <w:noProof/>
          <w:sz w:val="20"/>
        </w:rPr>
        <w:fldChar w:fldCharType="end"/>
      </w:r>
    </w:p>
    <w:p w:rsidR="00457AC6" w:rsidRPr="00550F5F" w:rsidRDefault="00457AC6" w:rsidP="00550F5F">
      <w:pPr>
        <w:sectPr w:rsidR="00457AC6" w:rsidRPr="00550F5F" w:rsidSect="005E6777">
          <w:headerReference w:type="default" r:id="rId19"/>
          <w:footerReference w:type="default" r:id="rId20"/>
          <w:headerReference w:type="first" r:id="rId21"/>
          <w:footerReference w:type="first" r:id="rId22"/>
          <w:pgSz w:w="11906" w:h="16838" w:code="9"/>
          <w:pgMar w:top="1644" w:right="1418" w:bottom="1418" w:left="1418" w:header="567" w:footer="567" w:gutter="0"/>
          <w:pgNumType w:start="0"/>
          <w:cols w:space="720"/>
          <w:titlePg/>
          <w:docGrid w:linePitch="299"/>
        </w:sectPr>
      </w:pPr>
    </w:p>
    <w:p w:rsidR="00AD457C" w:rsidRPr="00F76596" w:rsidRDefault="00AD457C" w:rsidP="000C3E7A">
      <w:pPr>
        <w:pStyle w:val="MIRHeading1Chapter"/>
      </w:pPr>
      <w:bookmarkStart w:id="1" w:name="_Toc290981880"/>
      <w:bookmarkStart w:id="2" w:name="_Toc306261282"/>
      <w:bookmarkStart w:id="3" w:name="_Toc420327393"/>
      <w:bookmarkStart w:id="4" w:name="_Toc434935749"/>
      <w:r w:rsidRPr="00F76596">
        <w:t>Chapter 1: Introduction</w:t>
      </w:r>
      <w:bookmarkEnd w:id="1"/>
      <w:bookmarkEnd w:id="2"/>
      <w:bookmarkEnd w:id="3"/>
      <w:bookmarkEnd w:id="4"/>
    </w:p>
    <w:p w:rsidR="00AD457C" w:rsidRPr="00F76596" w:rsidRDefault="00AD457C" w:rsidP="000C3E7A">
      <w:pPr>
        <w:pStyle w:val="MIRHeading2Part"/>
      </w:pPr>
      <w:bookmarkStart w:id="5" w:name="_Toc290981881"/>
      <w:bookmarkStart w:id="6" w:name="_Toc420327394"/>
      <w:bookmarkStart w:id="7" w:name="_Toc434935750"/>
      <w:r w:rsidRPr="00F76596">
        <w:t>Part 1.1</w:t>
      </w:r>
      <w:r w:rsidRPr="00F76596">
        <w:tab/>
        <w:t>Preliminary</w:t>
      </w:r>
      <w:bookmarkEnd w:id="5"/>
      <w:bookmarkEnd w:id="6"/>
      <w:bookmarkEnd w:id="7"/>
    </w:p>
    <w:p w:rsidR="00AD457C" w:rsidRPr="00F76596" w:rsidRDefault="00AD457C" w:rsidP="000C3E7A">
      <w:pPr>
        <w:pStyle w:val="MIRHeading3Rule"/>
      </w:pPr>
      <w:r w:rsidRPr="00F76596">
        <w:t>1.1.1</w:t>
      </w:r>
      <w:r w:rsidRPr="00F76596">
        <w:tab/>
        <w:t>Enabling legislation</w:t>
      </w:r>
    </w:p>
    <w:p w:rsidR="00AD457C" w:rsidRPr="00F76596" w:rsidRDefault="00AD457C" w:rsidP="000C3E7A">
      <w:pPr>
        <w:pStyle w:val="MIRBodyText"/>
      </w:pPr>
      <w:r w:rsidRPr="00F76596">
        <w:t xml:space="preserve">ASIC makes this instrument under section </w:t>
      </w:r>
      <w:r w:rsidR="00821259" w:rsidRPr="00F76596">
        <w:t>90</w:t>
      </w:r>
      <w:r w:rsidR="00E4286B" w:rsidRPr="00F76596">
        <w:t>1</w:t>
      </w:r>
      <w:r w:rsidR="00821259" w:rsidRPr="00F76596">
        <w:t>A</w:t>
      </w:r>
      <w:r w:rsidRPr="00F76596">
        <w:t xml:space="preserve"> of the </w:t>
      </w:r>
      <w:r w:rsidR="00CA6B1D" w:rsidRPr="00CA6B1D">
        <w:rPr>
          <w:i/>
        </w:rPr>
        <w:t xml:space="preserve">Corporations </w:t>
      </w:r>
      <w:r w:rsidRPr="00CA6B1D">
        <w:rPr>
          <w:i/>
        </w:rPr>
        <w:t>Act</w:t>
      </w:r>
      <w:r w:rsidR="00CA6B1D" w:rsidRPr="00CA6B1D">
        <w:rPr>
          <w:i/>
        </w:rPr>
        <w:t xml:space="preserve"> 2001</w:t>
      </w:r>
      <w:r w:rsidR="00CA6B1D">
        <w:t xml:space="preserve"> </w:t>
      </w:r>
      <w:r w:rsidR="00CA6B1D" w:rsidRPr="003F0C2B">
        <w:t>(</w:t>
      </w:r>
      <w:r w:rsidR="00A32D89" w:rsidRPr="0051767C">
        <w:rPr>
          <w:i/>
        </w:rPr>
        <w:t>the</w:t>
      </w:r>
      <w:r w:rsidR="00A32D89" w:rsidRPr="00A32D89">
        <w:rPr>
          <w:b/>
          <w:i/>
        </w:rPr>
        <w:t xml:space="preserve"> </w:t>
      </w:r>
      <w:r w:rsidR="00CA6B1D" w:rsidRPr="00A32D89">
        <w:rPr>
          <w:b/>
          <w:i/>
        </w:rPr>
        <w:t>Act</w:t>
      </w:r>
      <w:r w:rsidR="00CA6B1D" w:rsidRPr="003F0C2B">
        <w:t>)</w:t>
      </w:r>
      <w:r w:rsidRPr="00F76596">
        <w:t>.</w:t>
      </w:r>
    </w:p>
    <w:p w:rsidR="00AD457C" w:rsidRPr="00F76596" w:rsidRDefault="00AD457C" w:rsidP="000C3E7A">
      <w:pPr>
        <w:pStyle w:val="MIRHeading3Rule"/>
      </w:pPr>
      <w:r w:rsidRPr="00F76596">
        <w:t>1.1.2</w:t>
      </w:r>
      <w:r w:rsidRPr="00F76596">
        <w:tab/>
        <w:t>Title</w:t>
      </w:r>
    </w:p>
    <w:p w:rsidR="00AD457C" w:rsidRPr="00F76596" w:rsidRDefault="00AD457C" w:rsidP="00F420DC">
      <w:pPr>
        <w:pStyle w:val="MIRBodyText"/>
      </w:pPr>
      <w:r w:rsidRPr="00F76596">
        <w:t xml:space="preserve">This instrument is </w:t>
      </w:r>
      <w:r w:rsidR="00E4286B" w:rsidRPr="00F76596">
        <w:t xml:space="preserve">the </w:t>
      </w:r>
      <w:r w:rsidR="00E4286B" w:rsidRPr="00F76596">
        <w:rPr>
          <w:i/>
        </w:rPr>
        <w:t xml:space="preserve">ASIC </w:t>
      </w:r>
      <w:r w:rsidR="00821259" w:rsidRPr="00F76596">
        <w:rPr>
          <w:i/>
        </w:rPr>
        <w:t xml:space="preserve">Derivative </w:t>
      </w:r>
      <w:r w:rsidR="00E4286B" w:rsidRPr="00F76596">
        <w:rPr>
          <w:i/>
        </w:rPr>
        <w:t xml:space="preserve">Transaction </w:t>
      </w:r>
      <w:r w:rsidR="00821259" w:rsidRPr="00F76596">
        <w:rPr>
          <w:i/>
        </w:rPr>
        <w:t>Rules</w:t>
      </w:r>
      <w:r w:rsidR="00404E32" w:rsidRPr="00F76596">
        <w:rPr>
          <w:i/>
        </w:rPr>
        <w:t xml:space="preserve"> </w:t>
      </w:r>
      <w:r w:rsidR="006071AD">
        <w:rPr>
          <w:i/>
        </w:rPr>
        <w:t>(Clear</w:t>
      </w:r>
      <w:r w:rsidR="00207DB3" w:rsidRPr="00F76596">
        <w:rPr>
          <w:i/>
        </w:rPr>
        <w:t xml:space="preserve">ing) </w:t>
      </w:r>
      <w:r w:rsidR="00404E32" w:rsidRPr="00F76596">
        <w:rPr>
          <w:i/>
        </w:rPr>
        <w:t>201</w:t>
      </w:r>
      <w:r w:rsidR="001D7E8E">
        <w:rPr>
          <w:i/>
        </w:rPr>
        <w:t>5</w:t>
      </w:r>
      <w:r w:rsidRPr="00F76596">
        <w:t>.</w:t>
      </w:r>
    </w:p>
    <w:p w:rsidR="00AD457C" w:rsidRPr="00F76596" w:rsidRDefault="00AD457C" w:rsidP="005C65FD">
      <w:pPr>
        <w:pStyle w:val="MIRHeading3Rule"/>
      </w:pPr>
      <w:r w:rsidRPr="00F76596">
        <w:t>1.1.3</w:t>
      </w:r>
      <w:r w:rsidRPr="00F76596">
        <w:tab/>
        <w:t>Commencement</w:t>
      </w:r>
    </w:p>
    <w:p w:rsidR="00FE38EC" w:rsidRPr="00966B72" w:rsidRDefault="0004483D" w:rsidP="00685FFB">
      <w:pPr>
        <w:pStyle w:val="MIRBodyText"/>
        <w:numPr>
          <w:ilvl w:val="0"/>
          <w:numId w:val="0"/>
        </w:numPr>
        <w:ind w:left="851"/>
      </w:pPr>
      <w:r>
        <w:t>This</w:t>
      </w:r>
      <w:r w:rsidR="00AD457C" w:rsidRPr="00966B72">
        <w:t xml:space="preserve"> instrument commence</w:t>
      </w:r>
      <w:r w:rsidR="00B2611A">
        <w:t>s</w:t>
      </w:r>
      <w:r w:rsidR="00AD457C" w:rsidRPr="00966B72">
        <w:t xml:space="preserve"> on the day after </w:t>
      </w:r>
      <w:r w:rsidR="00CA6B1D" w:rsidRPr="00966B72">
        <w:rPr>
          <w:color w:val="000000"/>
        </w:rPr>
        <w:t xml:space="preserve">it is </w:t>
      </w:r>
      <w:r>
        <w:rPr>
          <w:color w:val="000000"/>
        </w:rPr>
        <w:t>registered</w:t>
      </w:r>
      <w:r w:rsidRPr="00966B72">
        <w:rPr>
          <w:color w:val="000000"/>
        </w:rPr>
        <w:t xml:space="preserve"> </w:t>
      </w:r>
      <w:r>
        <w:rPr>
          <w:color w:val="000000"/>
        </w:rPr>
        <w:t>on</w:t>
      </w:r>
      <w:r w:rsidRPr="00966B72">
        <w:rPr>
          <w:color w:val="000000"/>
        </w:rPr>
        <w:t xml:space="preserve"> </w:t>
      </w:r>
      <w:r w:rsidR="00CA6B1D" w:rsidRPr="00966B72">
        <w:rPr>
          <w:color w:val="000000"/>
        </w:rPr>
        <w:t>the Federal Register of Legislative Instruments.</w:t>
      </w:r>
    </w:p>
    <w:p w:rsidR="00FE43C9" w:rsidRPr="00F76596" w:rsidRDefault="00FE43C9" w:rsidP="00FE43C9">
      <w:pPr>
        <w:pStyle w:val="MIRNote"/>
      </w:pPr>
      <w:r w:rsidRPr="00F76596">
        <w:t xml:space="preserve">Note: </w:t>
      </w:r>
      <w:r w:rsidR="00CA6B1D">
        <w:rPr>
          <w:color w:val="000000"/>
          <w:szCs w:val="18"/>
        </w:rPr>
        <w:t xml:space="preserve">The register may be accessed at </w:t>
      </w:r>
      <w:hyperlink r:id="rId23" w:history="1">
        <w:r w:rsidR="00CA6B1D">
          <w:rPr>
            <w:color w:val="0000FF"/>
            <w:szCs w:val="18"/>
            <w:u w:val="single"/>
          </w:rPr>
          <w:t>http://www.comlaw.gov.au</w:t>
        </w:r>
      </w:hyperlink>
      <w:r w:rsidR="00CA6B1D">
        <w:rPr>
          <w:color w:val="000000"/>
          <w:szCs w:val="18"/>
        </w:rPr>
        <w:t>.</w:t>
      </w:r>
    </w:p>
    <w:p w:rsidR="00E92CC3" w:rsidRPr="00F76596" w:rsidRDefault="00E92CC3" w:rsidP="00E92CC3">
      <w:pPr>
        <w:pStyle w:val="MIRHeading3Rule"/>
      </w:pPr>
      <w:bookmarkStart w:id="8" w:name="_Toc267648178"/>
      <w:bookmarkStart w:id="9" w:name="_Toc290981883"/>
      <w:r w:rsidRPr="00F76596">
        <w:t>1.</w:t>
      </w:r>
      <w:r w:rsidR="006F7FE5" w:rsidRPr="00F76596">
        <w:t>1</w:t>
      </w:r>
      <w:r w:rsidRPr="00F76596">
        <w:t>.</w:t>
      </w:r>
      <w:r w:rsidR="00722B03" w:rsidRPr="00F76596">
        <w:t>4</w:t>
      </w:r>
      <w:r w:rsidRPr="00F76596">
        <w:tab/>
        <w:t>Penalties</w:t>
      </w:r>
    </w:p>
    <w:p w:rsidR="006F7FE5" w:rsidRPr="00F76596" w:rsidRDefault="006F7FE5" w:rsidP="006F7FE5">
      <w:pPr>
        <w:pStyle w:val="MIRBodyText"/>
      </w:pPr>
      <w:r w:rsidRPr="00F76596">
        <w:t>(1) For subsection 901A(4) of the Act, the penalty amount specified under a Rule is the penalty amount for that Rule.</w:t>
      </w:r>
    </w:p>
    <w:p w:rsidR="00E92CC3" w:rsidRPr="00F76596" w:rsidRDefault="006F7FE5" w:rsidP="00E92CC3">
      <w:pPr>
        <w:pStyle w:val="MIRBodyText"/>
      </w:pPr>
      <w:r w:rsidRPr="00F76596">
        <w:t>(2) If no penalty amount is specified under a Rule, there is no penalty for that Rule.</w:t>
      </w:r>
    </w:p>
    <w:p w:rsidR="00AD457C" w:rsidRPr="00F76596" w:rsidRDefault="00AD457C" w:rsidP="00AD457C">
      <w:pPr>
        <w:pStyle w:val="MIRHeading2Part"/>
      </w:pPr>
      <w:bookmarkStart w:id="10" w:name="_Toc290981884"/>
      <w:bookmarkStart w:id="11" w:name="_Toc420327395"/>
      <w:bookmarkStart w:id="12" w:name="_Toc434935751"/>
      <w:bookmarkEnd w:id="8"/>
      <w:bookmarkEnd w:id="9"/>
      <w:r w:rsidRPr="00F76596">
        <w:t>Part 1.</w:t>
      </w:r>
      <w:r w:rsidR="004D0E04" w:rsidRPr="00F76596">
        <w:t>2</w:t>
      </w:r>
      <w:r w:rsidRPr="00F76596">
        <w:tab/>
        <w:t>Interpretation</w:t>
      </w:r>
      <w:bookmarkEnd w:id="10"/>
      <w:bookmarkEnd w:id="11"/>
      <w:bookmarkEnd w:id="12"/>
    </w:p>
    <w:p w:rsidR="00280568" w:rsidRPr="00F76596" w:rsidRDefault="00280568" w:rsidP="00806B3F">
      <w:pPr>
        <w:pStyle w:val="MIRHeading3Rule"/>
      </w:pPr>
      <w:r w:rsidRPr="00F76596">
        <w:t>1.</w:t>
      </w:r>
      <w:r w:rsidR="004D0E04" w:rsidRPr="00F76596">
        <w:t>2</w:t>
      </w:r>
      <w:r w:rsidRPr="00F76596">
        <w:t>.</w:t>
      </w:r>
      <w:r w:rsidR="00167219">
        <w:t>1</w:t>
      </w:r>
      <w:r w:rsidRPr="00F76596">
        <w:tab/>
        <w:t>Definitions</w:t>
      </w:r>
    </w:p>
    <w:p w:rsidR="00A43407" w:rsidRDefault="00A43407" w:rsidP="00806B3F">
      <w:pPr>
        <w:pStyle w:val="MIRBodyText"/>
        <w:keepNext/>
      </w:pPr>
      <w:r w:rsidRPr="00F76596">
        <w:t>In these Rules:</w:t>
      </w:r>
    </w:p>
    <w:p w:rsidR="00280568" w:rsidRDefault="00280568" w:rsidP="00806B3F">
      <w:pPr>
        <w:pStyle w:val="MIRBodyText"/>
        <w:keepNext/>
      </w:pPr>
      <w:r w:rsidRPr="00F76596">
        <w:rPr>
          <w:b/>
          <w:i/>
        </w:rPr>
        <w:t>Act</w:t>
      </w:r>
      <w:r w:rsidR="00426EE8">
        <w:t xml:space="preserve"> </w:t>
      </w:r>
      <w:r w:rsidRPr="00F76596">
        <w:t xml:space="preserve">means the </w:t>
      </w:r>
      <w:r w:rsidRPr="00F76596">
        <w:rPr>
          <w:i/>
        </w:rPr>
        <w:t>Corporations Act 2001</w:t>
      </w:r>
      <w:r w:rsidRPr="00F76596">
        <w:t>.</w:t>
      </w:r>
    </w:p>
    <w:p w:rsidR="006531DE" w:rsidRPr="006531DE" w:rsidRDefault="006531DE" w:rsidP="00806B3F">
      <w:pPr>
        <w:pStyle w:val="MIRBodyText"/>
        <w:keepNext/>
        <w:numPr>
          <w:ilvl w:val="0"/>
          <w:numId w:val="0"/>
        </w:numPr>
        <w:ind w:left="851"/>
      </w:pPr>
      <w:r>
        <w:rPr>
          <w:b/>
          <w:i/>
        </w:rPr>
        <w:t>Australian ADI</w:t>
      </w:r>
      <w:r>
        <w:t xml:space="preserve"> has the meaning given by section 9 of the Act.</w:t>
      </w:r>
    </w:p>
    <w:p w:rsidR="00D718A6" w:rsidRDefault="00D33ADC" w:rsidP="00DC3712">
      <w:pPr>
        <w:pStyle w:val="MIRBodyText"/>
      </w:pPr>
      <w:r>
        <w:rPr>
          <w:b/>
          <w:i/>
        </w:rPr>
        <w:t>Australian Clearing Entity</w:t>
      </w:r>
      <w:r w:rsidR="00546EC7">
        <w:t>, in relation to a Derivative Transaction,</w:t>
      </w:r>
      <w:r>
        <w:t xml:space="preserve"> </w:t>
      </w:r>
      <w:r w:rsidR="00BF762C">
        <w:t xml:space="preserve">has the meaning given by </w:t>
      </w:r>
      <w:r w:rsidR="005773C1" w:rsidRPr="005773C1">
        <w:t>subr</w:t>
      </w:r>
      <w:r w:rsidR="00BF762C" w:rsidRPr="005773C1">
        <w:t>ule</w:t>
      </w:r>
      <w:r w:rsidR="005773C1" w:rsidRPr="005773C1">
        <w:t>s</w:t>
      </w:r>
      <w:r w:rsidR="00BF762C" w:rsidRPr="005773C1">
        <w:t xml:space="preserve"> 1.2.</w:t>
      </w:r>
      <w:r w:rsidR="00167219">
        <w:t>4</w:t>
      </w:r>
      <w:r w:rsidR="005773C1" w:rsidRPr="005773C1">
        <w:t>(2) and (3)</w:t>
      </w:r>
      <w:r w:rsidR="00BF762C" w:rsidRPr="005773C1">
        <w:t>.</w:t>
      </w:r>
    </w:p>
    <w:p w:rsidR="00132272" w:rsidRDefault="00A65EBF" w:rsidP="008F44BF">
      <w:pPr>
        <w:pStyle w:val="MIRBodyText"/>
      </w:pPr>
      <w:r w:rsidRPr="00B237BC">
        <w:rPr>
          <w:b/>
          <w:i/>
        </w:rPr>
        <w:t>Basis Swap</w:t>
      </w:r>
      <w:r w:rsidRPr="0054640D">
        <w:t xml:space="preserve"> means </w:t>
      </w:r>
      <w:r>
        <w:t>a</w:t>
      </w:r>
      <w:r w:rsidRPr="0054640D">
        <w:t xml:space="preserve"> </w:t>
      </w:r>
      <w:r w:rsidR="00CD7B31">
        <w:t>Swap under which</w:t>
      </w:r>
      <w:r w:rsidR="00132272">
        <w:t>:</w:t>
      </w:r>
      <w:r w:rsidR="00CD7B31">
        <w:t xml:space="preserve"> </w:t>
      </w:r>
    </w:p>
    <w:p w:rsidR="00132272" w:rsidRDefault="00CD7B31" w:rsidP="00132272">
      <w:pPr>
        <w:pStyle w:val="MIRSubpara"/>
      </w:pPr>
      <w:r>
        <w:t>the</w:t>
      </w:r>
      <w:r w:rsidR="00132272">
        <w:t xml:space="preserve"> payments for </w:t>
      </w:r>
      <w:r w:rsidR="006A3D94">
        <w:t>one</w:t>
      </w:r>
      <w:r w:rsidR="00132272">
        <w:t xml:space="preserve"> leg are determined by reference to</w:t>
      </w:r>
      <w:r w:rsidR="002F7410">
        <w:t>, or derived from,</w:t>
      </w:r>
      <w:r w:rsidR="00132272">
        <w:t xml:space="preserve"> a floating rate</w:t>
      </w:r>
      <w:r w:rsidR="00566736">
        <w:t xml:space="preserve"> and a notional principal amount</w:t>
      </w:r>
      <w:r w:rsidR="005C3EE7">
        <w:t>;</w:t>
      </w:r>
      <w:r w:rsidR="00132272">
        <w:t xml:space="preserve"> and</w:t>
      </w:r>
    </w:p>
    <w:p w:rsidR="008F44BF" w:rsidRDefault="00132272" w:rsidP="00132272">
      <w:pPr>
        <w:pStyle w:val="MIRSubpara"/>
      </w:pPr>
      <w:r>
        <w:t xml:space="preserve">the payments for the </w:t>
      </w:r>
      <w:r w:rsidR="006A3D94">
        <w:t xml:space="preserve">other </w:t>
      </w:r>
      <w:r>
        <w:t xml:space="preserve">leg are determined by reference </w:t>
      </w:r>
      <w:r w:rsidR="006103D4">
        <w:t>to</w:t>
      </w:r>
      <w:r w:rsidR="002F7410">
        <w:t>, or derived from,</w:t>
      </w:r>
      <w:r w:rsidR="006103D4">
        <w:t xml:space="preserve"> </w:t>
      </w:r>
      <w:r>
        <w:t>a different floating rate</w:t>
      </w:r>
      <w:r w:rsidR="00566736">
        <w:t xml:space="preserve"> </w:t>
      </w:r>
      <w:r w:rsidR="006103D4">
        <w:t>and the</w:t>
      </w:r>
      <w:r w:rsidR="00566736">
        <w:t xml:space="preserve"> same notional principal amount</w:t>
      </w:r>
      <w:r w:rsidR="00CD7B31">
        <w:t>.</w:t>
      </w:r>
    </w:p>
    <w:p w:rsidR="001C2AE3" w:rsidRDefault="003C62AD" w:rsidP="001C2AE3">
      <w:pPr>
        <w:pStyle w:val="MIRBodyText"/>
        <w:numPr>
          <w:ilvl w:val="0"/>
          <w:numId w:val="0"/>
        </w:numPr>
        <w:ind w:left="851"/>
      </w:pPr>
      <w:r>
        <w:rPr>
          <w:b/>
          <w:i/>
        </w:rPr>
        <w:t>Calculation Date</w:t>
      </w:r>
      <w:r>
        <w:t xml:space="preserve"> </w:t>
      </w:r>
      <w:r w:rsidR="00934FCF">
        <w:t>means</w:t>
      </w:r>
      <w:r w:rsidR="00761ADF">
        <w:t xml:space="preserve"> </w:t>
      </w:r>
      <w:r w:rsidR="00C910B4">
        <w:t xml:space="preserve">each of 31 March, 30 June, 30 September and 31 December </w:t>
      </w:r>
      <w:r w:rsidR="00DD1088">
        <w:t xml:space="preserve">in </w:t>
      </w:r>
      <w:r w:rsidR="00B13313">
        <w:t>each</w:t>
      </w:r>
      <w:r w:rsidR="002B0943">
        <w:t xml:space="preserve"> calendar</w:t>
      </w:r>
      <w:r w:rsidR="00C910B4">
        <w:t xml:space="preserve"> year</w:t>
      </w:r>
      <w:r w:rsidR="009B4014">
        <w:t xml:space="preserve">, </w:t>
      </w:r>
      <w:r w:rsidR="007C1B50">
        <w:t xml:space="preserve">commencing </w:t>
      </w:r>
      <w:r w:rsidR="00F72863">
        <w:t xml:space="preserve">on </w:t>
      </w:r>
      <w:r w:rsidR="00DB0D3F">
        <w:t>30 September 2015</w:t>
      </w:r>
      <w:r w:rsidR="00C910B4">
        <w:t>.</w:t>
      </w:r>
    </w:p>
    <w:p w:rsidR="004F43F9" w:rsidRPr="00B27B69" w:rsidRDefault="004F43F9" w:rsidP="004F43F9">
      <w:pPr>
        <w:pStyle w:val="MIRBodyText"/>
      </w:pPr>
      <w:r>
        <w:rPr>
          <w:b/>
          <w:i/>
        </w:rPr>
        <w:t>Central</w:t>
      </w:r>
      <w:r w:rsidRPr="00B27B69">
        <w:rPr>
          <w:b/>
          <w:i/>
        </w:rPr>
        <w:t xml:space="preserve"> Clearing Transaction</w:t>
      </w:r>
      <w:r>
        <w:t xml:space="preserve"> has the meaning given by subrule</w:t>
      </w:r>
      <w:r w:rsidR="00AD7B75">
        <w:t>s</w:t>
      </w:r>
      <w:r>
        <w:t xml:space="preserve"> 2.</w:t>
      </w:r>
      <w:r w:rsidR="005C33B4">
        <w:t>1</w:t>
      </w:r>
      <w:r>
        <w:t>.1(3)</w:t>
      </w:r>
      <w:r w:rsidR="00AD7B75">
        <w:t xml:space="preserve"> and (4)</w:t>
      </w:r>
      <w:r>
        <w:t>.</w:t>
      </w:r>
    </w:p>
    <w:p w:rsidR="00B50A01" w:rsidRDefault="00B50A01" w:rsidP="001C2AE3">
      <w:pPr>
        <w:pStyle w:val="MIRBodyText"/>
        <w:numPr>
          <w:ilvl w:val="0"/>
          <w:numId w:val="0"/>
        </w:numPr>
        <w:ind w:left="851"/>
      </w:pPr>
      <w:r>
        <w:rPr>
          <w:b/>
          <w:i/>
        </w:rPr>
        <w:t>Cleared Through</w:t>
      </w:r>
      <w:r w:rsidRPr="00B50A01">
        <w:t xml:space="preserve"> has the meaning given by subrule 2.</w:t>
      </w:r>
      <w:r w:rsidR="005C33B4">
        <w:t>1</w:t>
      </w:r>
      <w:r w:rsidRPr="00B50A01">
        <w:t>.1(2).</w:t>
      </w:r>
    </w:p>
    <w:p w:rsidR="005C3EE7" w:rsidRPr="005C3EE7" w:rsidRDefault="005C3EE7" w:rsidP="00E1637E">
      <w:pPr>
        <w:pStyle w:val="MIRBodyText"/>
      </w:pPr>
      <w:r>
        <w:rPr>
          <w:b/>
          <w:i/>
        </w:rPr>
        <w:t>Clearing Derivative</w:t>
      </w:r>
      <w:r w:rsidRPr="00EC746C">
        <w:rPr>
          <w:i/>
        </w:rPr>
        <w:t xml:space="preserve"> </w:t>
      </w:r>
      <w:r>
        <w:t>has the meaning given by Rule 1.2.</w:t>
      </w:r>
      <w:r w:rsidR="00167219">
        <w:t>3</w:t>
      </w:r>
      <w:r>
        <w:t>.</w:t>
      </w:r>
    </w:p>
    <w:p w:rsidR="00771766" w:rsidRDefault="000512C2" w:rsidP="00E1637E">
      <w:pPr>
        <w:pStyle w:val="MIRBodyText"/>
      </w:pPr>
      <w:r w:rsidRPr="001B29E9">
        <w:rPr>
          <w:b/>
          <w:i/>
        </w:rPr>
        <w:t>Clearing Entity</w:t>
      </w:r>
      <w:r w:rsidR="00771766">
        <w:t>:</w:t>
      </w:r>
      <w:r w:rsidR="00485A51" w:rsidRPr="00485A51">
        <w:t xml:space="preserve"> </w:t>
      </w:r>
    </w:p>
    <w:p w:rsidR="00895D2C" w:rsidRDefault="00170192" w:rsidP="00D020F8">
      <w:pPr>
        <w:pStyle w:val="MIRSubpara"/>
      </w:pPr>
      <w:r>
        <w:t xml:space="preserve">when used </w:t>
      </w:r>
      <w:r w:rsidR="00546EC7">
        <w:t xml:space="preserve">in relation to a Derivative Transaction, </w:t>
      </w:r>
      <w:r w:rsidR="00485A51" w:rsidRPr="00485A51">
        <w:t xml:space="preserve">has </w:t>
      </w:r>
      <w:r w:rsidR="00485A51">
        <w:t xml:space="preserve">the meaning given by </w:t>
      </w:r>
      <w:r w:rsidR="00672C33">
        <w:t xml:space="preserve">subrule </w:t>
      </w:r>
      <w:r w:rsidR="00485A51">
        <w:t>1.2.</w:t>
      </w:r>
      <w:r w:rsidR="00167219">
        <w:t>4</w:t>
      </w:r>
      <w:r w:rsidR="00672C33">
        <w:t>(1)</w:t>
      </w:r>
      <w:r w:rsidR="00771766">
        <w:t>; and</w:t>
      </w:r>
    </w:p>
    <w:p w:rsidR="00750690" w:rsidRDefault="0048686E" w:rsidP="00D020F8">
      <w:pPr>
        <w:pStyle w:val="MIRSubpara"/>
      </w:pPr>
      <w:r>
        <w:t xml:space="preserve">when used </w:t>
      </w:r>
      <w:r w:rsidR="00863ADD">
        <w:t>generally</w:t>
      </w:r>
      <w:r w:rsidR="00FE1738">
        <w:t>,</w:t>
      </w:r>
      <w:r>
        <w:t xml:space="preserve"> </w:t>
      </w:r>
      <w:r w:rsidR="00170192">
        <w:t xml:space="preserve">an entity is a </w:t>
      </w:r>
      <w:r w:rsidR="00170192" w:rsidRPr="00170192">
        <w:rPr>
          <w:b/>
          <w:i/>
        </w:rPr>
        <w:t>Clearing Entity</w:t>
      </w:r>
      <w:r w:rsidR="00170192">
        <w:t xml:space="preserve"> if </w:t>
      </w:r>
      <w:r>
        <w:t xml:space="preserve">it </w:t>
      </w:r>
      <w:r w:rsidR="00771766" w:rsidRPr="00D020F8">
        <w:t xml:space="preserve">is a Clearing Entity in relation to </w:t>
      </w:r>
      <w:r w:rsidR="00750690">
        <w:t>one or more of the following:</w:t>
      </w:r>
    </w:p>
    <w:p w:rsidR="00750690" w:rsidRDefault="00750690" w:rsidP="00750690">
      <w:pPr>
        <w:pStyle w:val="MIRSubsubpara"/>
      </w:pPr>
      <w:r>
        <w:t>a Derivative Transaction to which it is party in its Personal Capacity;</w:t>
      </w:r>
    </w:p>
    <w:p w:rsidR="00771766" w:rsidRPr="00D020F8" w:rsidRDefault="00750690" w:rsidP="00750690">
      <w:pPr>
        <w:pStyle w:val="MIRSubsubpara"/>
      </w:pPr>
      <w:r>
        <w:t>a Derivative Transaction to which it is party in a Representative Capacity</w:t>
      </w:r>
      <w:r w:rsidR="00771766" w:rsidRPr="00D020F8">
        <w:t>.</w:t>
      </w:r>
    </w:p>
    <w:p w:rsidR="00095484" w:rsidRDefault="004A1762" w:rsidP="00D33ADC">
      <w:pPr>
        <w:pStyle w:val="MIRBodyText"/>
      </w:pPr>
      <w:r w:rsidRPr="001B29E9">
        <w:rPr>
          <w:b/>
          <w:i/>
        </w:rPr>
        <w:t xml:space="preserve">Clearing </w:t>
      </w:r>
      <w:r w:rsidR="004E0E72" w:rsidRPr="001B29E9">
        <w:rPr>
          <w:b/>
          <w:i/>
        </w:rPr>
        <w:t xml:space="preserve">Facility </w:t>
      </w:r>
      <w:r w:rsidRPr="001B29E9">
        <w:t>means</w:t>
      </w:r>
      <w:r w:rsidR="00095484">
        <w:t>:</w:t>
      </w:r>
      <w:r w:rsidRPr="001B29E9">
        <w:t xml:space="preserve"> </w:t>
      </w:r>
    </w:p>
    <w:p w:rsidR="002D66D9" w:rsidRPr="005E6777" w:rsidRDefault="00095484" w:rsidP="002D66D9">
      <w:pPr>
        <w:pStyle w:val="MIRSubpara"/>
      </w:pPr>
      <w:r w:rsidRPr="00095484">
        <w:t xml:space="preserve">when used in relation to a Clearing </w:t>
      </w:r>
      <w:r w:rsidR="002D66D9">
        <w:t>Transaction</w:t>
      </w:r>
      <w:r w:rsidR="002D66D9" w:rsidRPr="005E6777">
        <w:t>:</w:t>
      </w:r>
    </w:p>
    <w:p w:rsidR="002D66D9" w:rsidRPr="00BD75E6" w:rsidRDefault="002D66D9" w:rsidP="002D66D9">
      <w:pPr>
        <w:pStyle w:val="MIRSubsubpara"/>
      </w:pPr>
      <w:r w:rsidRPr="00BD75E6">
        <w:t xml:space="preserve">a Licensed CS Facility, the licence for which authorises the Licensed CS Facility to provide services in respect of a class of </w:t>
      </w:r>
      <w:r w:rsidR="00FF3067">
        <w:t>f</w:t>
      </w:r>
      <w:r w:rsidRPr="00BD75E6">
        <w:t xml:space="preserve">inancial </w:t>
      </w:r>
      <w:r w:rsidR="00FF3067">
        <w:t>p</w:t>
      </w:r>
      <w:r w:rsidRPr="00BD75E6">
        <w:t xml:space="preserve">roducts that includes the </w:t>
      </w:r>
      <w:r>
        <w:t>Clearing Derivative</w:t>
      </w:r>
      <w:r w:rsidRPr="00BD75E6">
        <w:t xml:space="preserve"> to which the Clearing Transaction relates</w:t>
      </w:r>
      <w:r>
        <w:t>; or</w:t>
      </w:r>
    </w:p>
    <w:p w:rsidR="00095484" w:rsidRDefault="002D66D9" w:rsidP="002D66D9">
      <w:pPr>
        <w:pStyle w:val="MIRSubsubpara"/>
      </w:pPr>
      <w:r w:rsidRPr="00BD75E6">
        <w:t>a Prescribed CS Facility that is prescribed for the purposes of paragraph</w:t>
      </w:r>
      <w:r w:rsidR="00D764F7">
        <w:t> </w:t>
      </w:r>
      <w:r w:rsidRPr="00BD75E6">
        <w:t xml:space="preserve">901A(7)(b) of the Act in relation to a class of Derivatives that includes the </w:t>
      </w:r>
      <w:r>
        <w:t>Clearing Derivative</w:t>
      </w:r>
      <w:r w:rsidRPr="00BD75E6">
        <w:t xml:space="preserve"> to which the Clearing Transaction relates</w:t>
      </w:r>
      <w:r>
        <w:t>; and</w:t>
      </w:r>
    </w:p>
    <w:p w:rsidR="004A1762" w:rsidRPr="001B29E9" w:rsidRDefault="00095484" w:rsidP="00095484">
      <w:pPr>
        <w:pStyle w:val="MIRSubpara"/>
      </w:pPr>
      <w:r>
        <w:t xml:space="preserve">when used in general terms, </w:t>
      </w:r>
      <w:r w:rsidRPr="001B29E9">
        <w:t>a Licensed CS Facility</w:t>
      </w:r>
      <w:r>
        <w:t xml:space="preserve"> </w:t>
      </w:r>
      <w:r w:rsidRPr="001B29E9">
        <w:t>or a Prescribed CS Facility</w:t>
      </w:r>
      <w:r>
        <w:t>.</w:t>
      </w:r>
    </w:p>
    <w:p w:rsidR="009D5520" w:rsidRDefault="003B7D3E" w:rsidP="00D33ADC">
      <w:pPr>
        <w:pStyle w:val="MIRBodyText"/>
      </w:pPr>
      <w:r>
        <w:rPr>
          <w:b/>
          <w:i/>
        </w:rPr>
        <w:t>Clearing</w:t>
      </w:r>
      <w:r w:rsidRPr="003B7D3E">
        <w:rPr>
          <w:b/>
          <w:i/>
        </w:rPr>
        <w:t xml:space="preserve"> Requirement</w:t>
      </w:r>
      <w:r w:rsidR="009873F3">
        <w:rPr>
          <w:b/>
          <w:i/>
        </w:rPr>
        <w:t>s</w:t>
      </w:r>
      <w:r>
        <w:t xml:space="preserve"> </w:t>
      </w:r>
      <w:r w:rsidR="009873F3">
        <w:t>has the meaning given by subsection 901A(7) of the Act</w:t>
      </w:r>
      <w:r w:rsidR="009D5520">
        <w:t>.</w:t>
      </w:r>
    </w:p>
    <w:p w:rsidR="003B7D3E" w:rsidRDefault="009D5520" w:rsidP="009D5520">
      <w:pPr>
        <w:pStyle w:val="MIRNote"/>
      </w:pPr>
      <w:r w:rsidRPr="009D5520">
        <w:t xml:space="preserve">Note: Clearing Requirements </w:t>
      </w:r>
      <w:r w:rsidR="009873F3" w:rsidRPr="009D5520">
        <w:t>include</w:t>
      </w:r>
      <w:r w:rsidR="003B7D3E" w:rsidRPr="009D5520">
        <w:t xml:space="preserve"> the requirement</w:t>
      </w:r>
      <w:r w:rsidR="00DC3815">
        <w:t>s</w:t>
      </w:r>
      <w:r w:rsidR="003B7D3E">
        <w:t xml:space="preserve"> in </w:t>
      </w:r>
      <w:r w:rsidR="00B634D3">
        <w:t>Ru</w:t>
      </w:r>
      <w:r w:rsidR="003B7D3E">
        <w:t>le 2.</w:t>
      </w:r>
      <w:r w:rsidR="005C33B4">
        <w:t>1</w:t>
      </w:r>
      <w:r w:rsidR="003B7D3E">
        <w:t>.1</w:t>
      </w:r>
      <w:r w:rsidR="00DD5ACE">
        <w:t xml:space="preserve"> and subrule 2.1.6(2)</w:t>
      </w:r>
      <w:r w:rsidR="009873F3">
        <w:t>.</w:t>
      </w:r>
    </w:p>
    <w:p w:rsidR="00DF3CDB" w:rsidRPr="00DF3CDB" w:rsidRDefault="00DF3CDB" w:rsidP="0089435A">
      <w:pPr>
        <w:pStyle w:val="MIRBodyText"/>
      </w:pPr>
      <w:r w:rsidRPr="00DB635E">
        <w:rPr>
          <w:b/>
          <w:i/>
        </w:rPr>
        <w:t>Clearing Threshold</w:t>
      </w:r>
      <w:r w:rsidR="00DB635E">
        <w:t xml:space="preserve">: see the definition of </w:t>
      </w:r>
      <w:r w:rsidR="00DB635E" w:rsidRPr="00DB635E">
        <w:rPr>
          <w:b/>
          <w:i/>
        </w:rPr>
        <w:t>meets the Clearing Threshold</w:t>
      </w:r>
      <w:r w:rsidR="00DB635E">
        <w:t>.</w:t>
      </w:r>
    </w:p>
    <w:p w:rsidR="006E0D20" w:rsidRDefault="006E0D20" w:rsidP="0089435A">
      <w:pPr>
        <w:pStyle w:val="MIRBodyText"/>
      </w:pPr>
      <w:r>
        <w:rPr>
          <w:b/>
          <w:i/>
        </w:rPr>
        <w:t>Clearing Transaction</w:t>
      </w:r>
      <w:r>
        <w:t xml:space="preserve"> </w:t>
      </w:r>
      <w:r w:rsidR="00426EE8">
        <w:t xml:space="preserve">has the meaning given </w:t>
      </w:r>
      <w:r w:rsidR="00A07EA0">
        <w:t xml:space="preserve">by Rule </w:t>
      </w:r>
      <w:r w:rsidR="00426EE8">
        <w:t>1.2.</w:t>
      </w:r>
      <w:r w:rsidR="00167219">
        <w:t>5</w:t>
      </w:r>
      <w:r w:rsidR="00426EE8">
        <w:t xml:space="preserve">. </w:t>
      </w:r>
    </w:p>
    <w:p w:rsidR="00F127B0" w:rsidRPr="00F76596" w:rsidRDefault="00280568" w:rsidP="00280568">
      <w:pPr>
        <w:pStyle w:val="MIRBodyText"/>
      </w:pPr>
      <w:r w:rsidRPr="0051767C">
        <w:rPr>
          <w:b/>
          <w:i/>
        </w:rPr>
        <w:t>Derivative</w:t>
      </w:r>
      <w:r w:rsidRPr="00F76596">
        <w:t xml:space="preserve"> has the meaning given by s</w:t>
      </w:r>
      <w:r w:rsidR="003F134F" w:rsidRPr="00F76596">
        <w:t xml:space="preserve">ection </w:t>
      </w:r>
      <w:r w:rsidRPr="00F76596">
        <w:t>761D of the Act.</w:t>
      </w:r>
    </w:p>
    <w:p w:rsidR="008016AE" w:rsidRDefault="00280568" w:rsidP="00190CF0">
      <w:pPr>
        <w:pStyle w:val="MIRBodyText"/>
      </w:pPr>
      <w:r w:rsidRPr="00F76596">
        <w:rPr>
          <w:b/>
          <w:bCs/>
          <w:i/>
          <w:iCs/>
        </w:rPr>
        <w:t>Derivative Transaction</w:t>
      </w:r>
      <w:r w:rsidRPr="00F76596">
        <w:rPr>
          <w:b/>
          <w:bCs/>
          <w:iCs/>
        </w:rPr>
        <w:t xml:space="preserve"> </w:t>
      </w:r>
      <w:r w:rsidRPr="00F76596">
        <w:rPr>
          <w:bCs/>
          <w:iCs/>
        </w:rPr>
        <w:t>has</w:t>
      </w:r>
      <w:r w:rsidRPr="00F76596">
        <w:t xml:space="preserve"> the meaning given by </w:t>
      </w:r>
      <w:r w:rsidR="006719D4" w:rsidRPr="00F76596">
        <w:t>section 761A</w:t>
      </w:r>
      <w:r w:rsidRPr="00F76596">
        <w:t xml:space="preserve"> of the Act.</w:t>
      </w:r>
    </w:p>
    <w:p w:rsidR="00BF3F0B" w:rsidRDefault="00BF3F0B" w:rsidP="00752FA5">
      <w:pPr>
        <w:pStyle w:val="MIRBodyText"/>
      </w:pPr>
      <w:r w:rsidRPr="00BF3F0B">
        <w:rPr>
          <w:b/>
          <w:i/>
        </w:rPr>
        <w:t>Designated Business Identifier</w:t>
      </w:r>
      <w:r>
        <w:t xml:space="preserve"> means</w:t>
      </w:r>
      <w:r w:rsidR="005451C7">
        <w:t xml:space="preserve"> </w:t>
      </w:r>
      <w:r>
        <w:t xml:space="preserve">an international business entity identifier </w:t>
      </w:r>
      <w:r w:rsidR="00134D11">
        <w:t xml:space="preserve">(or </w:t>
      </w:r>
      <w:r w:rsidR="00EE7263">
        <w:t>“</w:t>
      </w:r>
      <w:r w:rsidR="00134D11">
        <w:t>AVID</w:t>
      </w:r>
      <w:r w:rsidR="00EE7263">
        <w:t>”</w:t>
      </w:r>
      <w:r w:rsidR="00134D11">
        <w:t xml:space="preserve">) issued by </w:t>
      </w:r>
      <w:r w:rsidR="00134D11" w:rsidRPr="00752FA5">
        <w:t>Avox Limited</w:t>
      </w:r>
      <w:r w:rsidR="00752FA5">
        <w:t xml:space="preserve"> (CRN</w:t>
      </w:r>
      <w:r w:rsidR="00752FA5" w:rsidRPr="00752FA5">
        <w:t xml:space="preserve"> 04806632)</w:t>
      </w:r>
      <w:r w:rsidRPr="00752FA5">
        <w:t>.</w:t>
      </w:r>
    </w:p>
    <w:p w:rsidR="004D75FB" w:rsidRDefault="00FD7989" w:rsidP="00FD7989">
      <w:pPr>
        <w:pStyle w:val="MIRBodyText"/>
      </w:pPr>
      <w:r>
        <w:rPr>
          <w:b/>
          <w:i/>
        </w:rPr>
        <w:t>Determined</w:t>
      </w:r>
      <w:r w:rsidRPr="003D495A">
        <w:rPr>
          <w:b/>
          <w:i/>
        </w:rPr>
        <w:t xml:space="preserve"> </w:t>
      </w:r>
      <w:r>
        <w:rPr>
          <w:b/>
          <w:i/>
        </w:rPr>
        <w:t xml:space="preserve">Clearing </w:t>
      </w:r>
      <w:r w:rsidRPr="003D495A">
        <w:rPr>
          <w:b/>
          <w:i/>
        </w:rPr>
        <w:t>Class</w:t>
      </w:r>
      <w:r w:rsidRPr="003D495A">
        <w:t xml:space="preserve"> means a class of Derivatives that the Minister has determined, under </w:t>
      </w:r>
      <w:r>
        <w:t>sub</w:t>
      </w:r>
      <w:r w:rsidRPr="003D495A">
        <w:t>section 901B</w:t>
      </w:r>
      <w:r>
        <w:t>(2)</w:t>
      </w:r>
      <w:r w:rsidRPr="003D495A">
        <w:t xml:space="preserve"> of the Act, as a class of Derivatives in relation to which Clearing Requirements may be imposed (and that determination has not been revoked).</w:t>
      </w:r>
    </w:p>
    <w:p w:rsidR="00FD7989" w:rsidRPr="00FD7989" w:rsidRDefault="004D75FB" w:rsidP="004D75FB">
      <w:pPr>
        <w:pStyle w:val="MIRNote"/>
      </w:pPr>
      <w:r>
        <w:t xml:space="preserve">Note: See section 5 of the </w:t>
      </w:r>
      <w:r w:rsidRPr="004D75FB">
        <w:rPr>
          <w:i/>
        </w:rPr>
        <w:t>Corporations (Derivatives) Determination 2013</w:t>
      </w:r>
      <w:r>
        <w:t>.</w:t>
      </w:r>
    </w:p>
    <w:p w:rsidR="00A7518C" w:rsidRDefault="00A7518C" w:rsidP="00A7518C">
      <w:pPr>
        <w:pStyle w:val="MIRBodyText"/>
      </w:pPr>
      <w:r w:rsidRPr="00A7518C">
        <w:rPr>
          <w:b/>
          <w:i/>
        </w:rPr>
        <w:t>Exempt Financial Market</w:t>
      </w:r>
      <w:r>
        <w:t xml:space="preserve">: a financial market is an Exempt Financial Market if: </w:t>
      </w:r>
    </w:p>
    <w:p w:rsidR="00A7518C" w:rsidRDefault="00A7518C" w:rsidP="00A7518C">
      <w:pPr>
        <w:pStyle w:val="MIRSubpara"/>
      </w:pPr>
      <w:r>
        <w:t xml:space="preserve">the financial market is a Relevant Financial Market as defined in subsection 5(4) of the </w:t>
      </w:r>
      <w:r w:rsidRPr="00A7518C">
        <w:rPr>
          <w:i/>
        </w:rPr>
        <w:t>ASIC Corporations (Derivative Transaction Reporting Exemption) Instrument 2015/844</w:t>
      </w:r>
      <w:r>
        <w:t xml:space="preserve"> (</w:t>
      </w:r>
      <w:r w:rsidRPr="00A7518C">
        <w:rPr>
          <w:b/>
          <w:i/>
        </w:rPr>
        <w:t>Derivative Transaction Reporting Exemption Instrument</w:t>
      </w:r>
      <w:r>
        <w:t>); and</w:t>
      </w:r>
    </w:p>
    <w:p w:rsidR="00A7518C" w:rsidRDefault="00A7518C" w:rsidP="00A7518C">
      <w:pPr>
        <w:pStyle w:val="MIRSubpara"/>
      </w:pPr>
      <w:r>
        <w:t xml:space="preserve">the Derivative Transaction Reporting Exemption Instrument exempts Reporting Entities from compliance with Rule 2.2.1 of the Reporting Rules in relation to Derivatives able to be traded on, and entered into on, the financial market. </w:t>
      </w:r>
    </w:p>
    <w:p w:rsidR="00A7518C" w:rsidRDefault="00A7518C" w:rsidP="00A7518C">
      <w:pPr>
        <w:pStyle w:val="MIRNote"/>
      </w:pPr>
      <w:r>
        <w:t>Note 1: As at the time of making these Rules, each Relevant Financial Market as defined in subsection 5(4) of the Derivative Transaction Reporting Exemption Instrument will be an Exempt Financial Market until 30 September 2018 (see subsection 5(1) of that instrument).</w:t>
      </w:r>
    </w:p>
    <w:p w:rsidR="00A7518C" w:rsidRDefault="00A7518C" w:rsidP="00A7518C">
      <w:pPr>
        <w:pStyle w:val="MIRNote"/>
      </w:pPr>
      <w:r>
        <w:t>Note 2: Reporting Entity is defined in the Reporting Rules.</w:t>
      </w:r>
    </w:p>
    <w:p w:rsidR="004A2192" w:rsidRPr="00A7518C" w:rsidRDefault="004A2192" w:rsidP="00A7518C">
      <w:pPr>
        <w:pStyle w:val="MIRNote"/>
      </w:pPr>
      <w:r>
        <w:t xml:space="preserve">Note 3: A reference in these Rules to a legislative instrument or to a provision of a legislative instrument includes a reference to the instrument or to the provision as amended or as repealed and remade: see section 10 of the </w:t>
      </w:r>
      <w:r w:rsidRPr="004A2192">
        <w:rPr>
          <w:i/>
        </w:rPr>
        <w:t>Acts Interpretation Act 1901</w:t>
      </w:r>
      <w:r>
        <w:t xml:space="preserve"> and paragraph 13(1)(a) of the </w:t>
      </w:r>
      <w:r w:rsidRPr="004A2192">
        <w:rPr>
          <w:i/>
        </w:rPr>
        <w:t>Legislative Instruments Act 2003</w:t>
      </w:r>
      <w:r>
        <w:t>.</w:t>
      </w:r>
    </w:p>
    <w:p w:rsidR="00EB0F46" w:rsidRDefault="00EB0F46" w:rsidP="00EB0F46">
      <w:pPr>
        <w:pStyle w:val="MIRBodyText"/>
      </w:pPr>
      <w:r w:rsidRPr="00EB0F46">
        <w:rPr>
          <w:b/>
          <w:i/>
        </w:rPr>
        <w:t>Exempt Foreign Licensee</w:t>
      </w:r>
      <w:r>
        <w:t xml:space="preserve"> means a</w:t>
      </w:r>
      <w:r w:rsidR="00FF3067">
        <w:t>n</w:t>
      </w:r>
      <w:r>
        <w:t xml:space="preserve"> </w:t>
      </w:r>
      <w:r w:rsidR="00FF3067">
        <w:t>entity</w:t>
      </w:r>
      <w:r>
        <w:t>:</w:t>
      </w:r>
    </w:p>
    <w:p w:rsidR="00FF3067" w:rsidRDefault="00FF3067" w:rsidP="00EB0F46">
      <w:pPr>
        <w:pStyle w:val="MIRSubpara"/>
      </w:pPr>
      <w:r>
        <w:t>that is incorporated or formed outside Australia; and</w:t>
      </w:r>
    </w:p>
    <w:p w:rsidR="00FF3067" w:rsidRDefault="00FF3067" w:rsidP="00EB0F46">
      <w:pPr>
        <w:pStyle w:val="MIRSubpara"/>
      </w:pPr>
      <w:r>
        <w:t>that</w:t>
      </w:r>
      <w:r w:rsidR="002C1DBE">
        <w:t>, in this jurisdiction,</w:t>
      </w:r>
      <w:r>
        <w:t xml:space="preserve"> provides financial services relating to Derivatives to wholesale clients (as defined in section 761G of the Act) and not to any other kind of clients; and</w:t>
      </w:r>
    </w:p>
    <w:p w:rsidR="00FF3067" w:rsidRDefault="00FF3067" w:rsidP="00EB0F46">
      <w:pPr>
        <w:pStyle w:val="MIRSubpara"/>
      </w:pPr>
      <w:r>
        <w:t>is exempt under the Act (including under the Regulations, or another instrument made under or for the purposes of the Act) from the requirement to hold a financial services licence for those financial services; and</w:t>
      </w:r>
    </w:p>
    <w:p w:rsidR="00EB0F46" w:rsidRPr="00017707" w:rsidRDefault="00EB0F46" w:rsidP="00FF3067">
      <w:pPr>
        <w:pStyle w:val="MIRSubpara"/>
        <w:rPr>
          <w:spacing w:val="-2"/>
        </w:rPr>
      </w:pPr>
      <w:r w:rsidRPr="00017707">
        <w:rPr>
          <w:spacing w:val="-2"/>
        </w:rPr>
        <w:t>whose activities relating to Derivatives are regulated by an overseas regulatory authority</w:t>
      </w:r>
      <w:r w:rsidR="00FF3067" w:rsidRPr="00017707">
        <w:rPr>
          <w:spacing w:val="-2"/>
        </w:rPr>
        <w:t>.</w:t>
      </w:r>
    </w:p>
    <w:p w:rsidR="00036E70" w:rsidRDefault="00036E70" w:rsidP="003B2E98">
      <w:pPr>
        <w:pStyle w:val="MIRBodyText"/>
      </w:pPr>
      <w:r>
        <w:rPr>
          <w:b/>
          <w:i/>
        </w:rPr>
        <w:t>Financial Entity</w:t>
      </w:r>
      <w:r>
        <w:rPr>
          <w:i/>
        </w:rPr>
        <w:t xml:space="preserve"> </w:t>
      </w:r>
      <w:r>
        <w:t xml:space="preserve">means </w:t>
      </w:r>
      <w:r w:rsidR="00134D11">
        <w:t xml:space="preserve">each </w:t>
      </w:r>
      <w:r>
        <w:t>of the following:</w:t>
      </w:r>
    </w:p>
    <w:p w:rsidR="00036E70" w:rsidRDefault="009A5DDE" w:rsidP="00036E70">
      <w:pPr>
        <w:pStyle w:val="MIRSubpara"/>
      </w:pPr>
      <w:r>
        <w:t>a financial services l</w:t>
      </w:r>
      <w:r w:rsidR="00272390">
        <w:t>icen</w:t>
      </w:r>
      <w:r w:rsidR="00125CE9">
        <w:t>see</w:t>
      </w:r>
      <w:r w:rsidR="00036E70">
        <w:t xml:space="preserve">; </w:t>
      </w:r>
    </w:p>
    <w:p w:rsidR="00036E70" w:rsidRDefault="00036E70" w:rsidP="00036E70">
      <w:pPr>
        <w:pStyle w:val="MIRSubpara"/>
      </w:pPr>
      <w:r>
        <w:t xml:space="preserve">an Australian ADI; </w:t>
      </w:r>
    </w:p>
    <w:p w:rsidR="00EB0F46" w:rsidRDefault="00EB0F46" w:rsidP="00036E70">
      <w:pPr>
        <w:pStyle w:val="MIRSubpara"/>
      </w:pPr>
      <w:r>
        <w:t>an Exempt Foreign Licensee.</w:t>
      </w:r>
    </w:p>
    <w:p w:rsidR="00132272" w:rsidRDefault="00B13313" w:rsidP="00B13313">
      <w:pPr>
        <w:pStyle w:val="MIRBodyText"/>
      </w:pPr>
      <w:r w:rsidRPr="00E71586">
        <w:rPr>
          <w:b/>
          <w:i/>
        </w:rPr>
        <w:t>Fixed-</w:t>
      </w:r>
      <w:r w:rsidRPr="00A65EBF">
        <w:rPr>
          <w:b/>
          <w:i/>
        </w:rPr>
        <w:t>to-Floating Swap</w:t>
      </w:r>
      <w:r w:rsidRPr="00A65EBF">
        <w:t xml:space="preserve"> means a </w:t>
      </w:r>
      <w:r w:rsidR="00132272">
        <w:t>Swap</w:t>
      </w:r>
      <w:r w:rsidR="00870898">
        <w:t>,</w:t>
      </w:r>
      <w:r w:rsidR="00132272" w:rsidRPr="00A65EBF">
        <w:t xml:space="preserve"> </w:t>
      </w:r>
      <w:r w:rsidR="00235D15">
        <w:t>other than a Forward Rate Agreement</w:t>
      </w:r>
      <w:r w:rsidR="00011659">
        <w:t xml:space="preserve"> or an Overnight Index Swap</w:t>
      </w:r>
      <w:r w:rsidR="00870898">
        <w:t>,</w:t>
      </w:r>
      <w:r w:rsidR="00235D15">
        <w:t xml:space="preserve"> </w:t>
      </w:r>
      <w:r w:rsidRPr="00A65EBF">
        <w:t>under which</w:t>
      </w:r>
      <w:r w:rsidR="00132272">
        <w:t>:</w:t>
      </w:r>
    </w:p>
    <w:p w:rsidR="00CB1157" w:rsidRDefault="00132272" w:rsidP="00132272">
      <w:pPr>
        <w:pStyle w:val="MIRSubpara"/>
      </w:pPr>
      <w:r>
        <w:t xml:space="preserve">the payments for </w:t>
      </w:r>
      <w:r w:rsidR="006A3D94">
        <w:t>one</w:t>
      </w:r>
      <w:r>
        <w:t xml:space="preserve"> leg are determined by reference to</w:t>
      </w:r>
      <w:r w:rsidR="00AC145B">
        <w:t>, or derived from,</w:t>
      </w:r>
      <w:r>
        <w:t xml:space="preserve"> </w:t>
      </w:r>
      <w:r w:rsidR="00B13313" w:rsidRPr="00A65EBF">
        <w:t>a fixed rate</w:t>
      </w:r>
      <w:r w:rsidR="0046264D">
        <w:t xml:space="preserve"> and a notional principal amount; and</w:t>
      </w:r>
      <w:r w:rsidR="00B13313" w:rsidRPr="00A65EBF">
        <w:t xml:space="preserve"> </w:t>
      </w:r>
    </w:p>
    <w:p w:rsidR="00C35D74" w:rsidRDefault="00132272" w:rsidP="0046264D">
      <w:pPr>
        <w:pStyle w:val="MIRSubpara"/>
      </w:pPr>
      <w:r>
        <w:t xml:space="preserve">the payments for the </w:t>
      </w:r>
      <w:r w:rsidR="006A3D94">
        <w:t xml:space="preserve">other </w:t>
      </w:r>
      <w:r>
        <w:t>leg</w:t>
      </w:r>
      <w:r w:rsidR="0046264D">
        <w:t xml:space="preserve"> are determined by reference to</w:t>
      </w:r>
      <w:r w:rsidR="00AC145B">
        <w:t>, or derived from,</w:t>
      </w:r>
      <w:r>
        <w:t xml:space="preserve"> </w:t>
      </w:r>
      <w:r w:rsidR="00B13313" w:rsidRPr="00A65EBF">
        <w:t>a floating rate</w:t>
      </w:r>
      <w:r w:rsidR="0046264D">
        <w:t xml:space="preserve"> and </w:t>
      </w:r>
      <w:r w:rsidR="00B13313" w:rsidRPr="00A65EBF">
        <w:t>the same notional principal amount</w:t>
      </w:r>
      <w:r w:rsidR="00B27E3B">
        <w:t>.</w:t>
      </w:r>
    </w:p>
    <w:p w:rsidR="00BF762C" w:rsidRDefault="00D33ADC" w:rsidP="00BF762C">
      <w:pPr>
        <w:pStyle w:val="MIRBodyText"/>
        <w:numPr>
          <w:ilvl w:val="0"/>
          <w:numId w:val="0"/>
        </w:numPr>
        <w:ind w:left="851"/>
      </w:pPr>
      <w:r>
        <w:rPr>
          <w:b/>
          <w:i/>
        </w:rPr>
        <w:t>Foreign Clearing Entity</w:t>
      </w:r>
      <w:r w:rsidR="00546EC7">
        <w:t>, in relation to a Derivative Transaction,</w:t>
      </w:r>
      <w:r>
        <w:t xml:space="preserve"> </w:t>
      </w:r>
      <w:r w:rsidR="00BF762C">
        <w:t xml:space="preserve">has the meaning given by </w:t>
      </w:r>
      <w:r w:rsidR="005773C1">
        <w:t xml:space="preserve">subrules </w:t>
      </w:r>
      <w:r w:rsidR="00BF762C">
        <w:t>1.2.</w:t>
      </w:r>
      <w:r w:rsidR="00167219">
        <w:t>4</w:t>
      </w:r>
      <w:r w:rsidR="00DF3CDB">
        <w:t>(</w:t>
      </w:r>
      <w:r w:rsidR="00672C33">
        <w:t>4</w:t>
      </w:r>
      <w:r w:rsidR="00DF3CDB">
        <w:t>)</w:t>
      </w:r>
      <w:r w:rsidR="00672C33">
        <w:t xml:space="preserve"> and (5)</w:t>
      </w:r>
      <w:r w:rsidR="00BF762C">
        <w:t>.</w:t>
      </w:r>
    </w:p>
    <w:p w:rsidR="0062226A" w:rsidRDefault="002816B3" w:rsidP="00647ABA">
      <w:pPr>
        <w:pStyle w:val="MIRBodyText"/>
      </w:pPr>
      <w:r w:rsidRPr="006A7690">
        <w:rPr>
          <w:b/>
          <w:i/>
        </w:rPr>
        <w:t>Foreign Internationally Active Dealer</w:t>
      </w:r>
      <w:r w:rsidR="00647ABA">
        <w:t xml:space="preserve"> has the meaning given by regulation 7.5A.65 of the Regulations.</w:t>
      </w:r>
    </w:p>
    <w:p w:rsidR="006103D4" w:rsidRDefault="00A65EBF" w:rsidP="0062226A">
      <w:pPr>
        <w:pStyle w:val="MIRBodyText"/>
      </w:pPr>
      <w:r w:rsidRPr="00A65EBF">
        <w:rPr>
          <w:b/>
          <w:i/>
        </w:rPr>
        <w:t>Forward Rate Agreement</w:t>
      </w:r>
      <w:r w:rsidRPr="00A65EBF">
        <w:t xml:space="preserve"> means</w:t>
      </w:r>
      <w:r w:rsidRPr="00A65EBF">
        <w:rPr>
          <w:b/>
          <w:i/>
        </w:rPr>
        <w:t xml:space="preserve"> </w:t>
      </w:r>
      <w:r w:rsidRPr="00A65EBF">
        <w:t xml:space="preserve">a </w:t>
      </w:r>
      <w:r w:rsidR="006103D4">
        <w:t>Swap</w:t>
      </w:r>
      <w:r w:rsidR="00FA230A">
        <w:t>,</w:t>
      </w:r>
      <w:r w:rsidR="006103D4" w:rsidRPr="00A65EBF">
        <w:t xml:space="preserve"> </w:t>
      </w:r>
      <w:r w:rsidR="00011659">
        <w:t>other than an Overnight Index Swap</w:t>
      </w:r>
      <w:r w:rsidR="00FA230A">
        <w:t>,</w:t>
      </w:r>
      <w:r w:rsidR="00011659">
        <w:t xml:space="preserve"> </w:t>
      </w:r>
      <w:r w:rsidRPr="00A65EBF">
        <w:t>under which</w:t>
      </w:r>
      <w:r w:rsidR="006103D4">
        <w:t>:</w:t>
      </w:r>
      <w:r w:rsidRPr="00A65EBF">
        <w:t xml:space="preserve"> </w:t>
      </w:r>
    </w:p>
    <w:p w:rsidR="006103D4" w:rsidRDefault="006103D4" w:rsidP="006103D4">
      <w:pPr>
        <w:pStyle w:val="MIRSubpara"/>
      </w:pPr>
      <w:r>
        <w:t xml:space="preserve">there is a single payment for </w:t>
      </w:r>
      <w:r w:rsidR="006A3D94">
        <w:t>one</w:t>
      </w:r>
      <w:r>
        <w:t xml:space="preserve"> leg that is determined by reference to</w:t>
      </w:r>
      <w:r w:rsidR="00AC145B">
        <w:t>, or derived from,</w:t>
      </w:r>
      <w:r>
        <w:t xml:space="preserve"> a fixed rate and a notional principal amount; and</w:t>
      </w:r>
    </w:p>
    <w:p w:rsidR="0062226A" w:rsidRPr="00017707" w:rsidRDefault="006103D4" w:rsidP="0062226A">
      <w:pPr>
        <w:pStyle w:val="MIRSubpara"/>
        <w:rPr>
          <w:spacing w:val="-4"/>
        </w:rPr>
      </w:pPr>
      <w:r w:rsidRPr="00017707">
        <w:rPr>
          <w:spacing w:val="-4"/>
        </w:rPr>
        <w:t xml:space="preserve">there is a single payment for the </w:t>
      </w:r>
      <w:r w:rsidR="006A3D94" w:rsidRPr="00017707">
        <w:rPr>
          <w:spacing w:val="-4"/>
        </w:rPr>
        <w:t xml:space="preserve">other </w:t>
      </w:r>
      <w:r w:rsidRPr="00017707">
        <w:rPr>
          <w:spacing w:val="-4"/>
        </w:rPr>
        <w:t>leg that is determined by reference to</w:t>
      </w:r>
      <w:r w:rsidR="00AC145B" w:rsidRPr="00017707">
        <w:rPr>
          <w:spacing w:val="-4"/>
        </w:rPr>
        <w:t>, or derived from,</w:t>
      </w:r>
      <w:r w:rsidRPr="00017707">
        <w:rPr>
          <w:spacing w:val="-4"/>
        </w:rPr>
        <w:t xml:space="preserve"> a floating rate as at a pre-determined date and the same notional principal amount; and</w:t>
      </w:r>
    </w:p>
    <w:p w:rsidR="000B2488" w:rsidRPr="00497175" w:rsidRDefault="006103D4" w:rsidP="0062226A">
      <w:pPr>
        <w:pStyle w:val="MIRSubpara"/>
      </w:pPr>
      <w:r w:rsidRPr="00497175">
        <w:t>the payments for each leg are exchanged on a pre-determined date</w:t>
      </w:r>
      <w:r w:rsidR="009D5520" w:rsidRPr="00497175">
        <w:t xml:space="preserve">, </w:t>
      </w:r>
      <w:r w:rsidR="002F7410" w:rsidRPr="00497175">
        <w:t>including, for the avoidance of doubt, by the payments for each leg being netted against one another so that there is a single payment between</w:t>
      </w:r>
      <w:r w:rsidR="009D5520" w:rsidRPr="00497175">
        <w:t xml:space="preserve"> the parties</w:t>
      </w:r>
      <w:r w:rsidR="002F7410" w:rsidRPr="00497175">
        <w:t>.</w:t>
      </w:r>
    </w:p>
    <w:p w:rsidR="00FD7989" w:rsidRPr="00FD7989" w:rsidRDefault="00FD7989" w:rsidP="00280568">
      <w:pPr>
        <w:pStyle w:val="MIRBodyText"/>
        <w:rPr>
          <w:b/>
          <w:i/>
        </w:rPr>
      </w:pPr>
      <w:r w:rsidRPr="00FD7989">
        <w:rPr>
          <w:b/>
          <w:i/>
        </w:rPr>
        <w:t>IRD Class Specifications</w:t>
      </w:r>
      <w:r w:rsidRPr="00FD7989">
        <w:t>: see the definition of</w:t>
      </w:r>
      <w:r w:rsidRPr="00FD7989">
        <w:rPr>
          <w:b/>
          <w:i/>
        </w:rPr>
        <w:t xml:space="preserve"> meets the IRD Class Specifications</w:t>
      </w:r>
      <w:r w:rsidRPr="00FD7989">
        <w:t>.</w:t>
      </w:r>
    </w:p>
    <w:p w:rsidR="00B424D7" w:rsidRPr="006A5385" w:rsidRDefault="00B424D7" w:rsidP="00280568">
      <w:pPr>
        <w:pStyle w:val="MIRBodyText"/>
        <w:rPr>
          <w:b/>
          <w:i/>
        </w:rPr>
      </w:pPr>
      <w:r w:rsidRPr="00B424D7">
        <w:rPr>
          <w:b/>
          <w:i/>
        </w:rPr>
        <w:t>LEI</w:t>
      </w:r>
      <w:r>
        <w:t xml:space="preserve"> means Legal Entity Identifier.</w:t>
      </w:r>
    </w:p>
    <w:p w:rsidR="002E12B9" w:rsidRDefault="00280568" w:rsidP="00DC3815">
      <w:pPr>
        <w:pStyle w:val="MIRBodyText"/>
        <w:rPr>
          <w:b/>
          <w:i/>
        </w:rPr>
      </w:pPr>
      <w:r w:rsidRPr="00F76596">
        <w:rPr>
          <w:b/>
          <w:i/>
        </w:rPr>
        <w:t>Licensed CS Facility</w:t>
      </w:r>
      <w:r w:rsidRPr="00F76596">
        <w:t xml:space="preserve"> has t</w:t>
      </w:r>
      <w:r w:rsidRPr="003C4A66">
        <w:t xml:space="preserve">he meaning given by </w:t>
      </w:r>
      <w:r w:rsidR="006719D4" w:rsidRPr="003C4A66">
        <w:t>section 761A</w:t>
      </w:r>
      <w:r w:rsidRPr="003C4A66">
        <w:t xml:space="preserve"> of the Act.</w:t>
      </w:r>
      <w:r w:rsidR="00DC3815">
        <w:rPr>
          <w:b/>
          <w:i/>
        </w:rPr>
        <w:t xml:space="preserve"> </w:t>
      </w:r>
    </w:p>
    <w:p w:rsidR="00EE5119" w:rsidRPr="001B29E9" w:rsidRDefault="00EE5119" w:rsidP="00EE5119">
      <w:pPr>
        <w:pStyle w:val="MIRBodyText"/>
      </w:pPr>
      <w:r>
        <w:rPr>
          <w:b/>
          <w:i/>
        </w:rPr>
        <w:t xml:space="preserve">meets the </w:t>
      </w:r>
      <w:r w:rsidRPr="00C3259D">
        <w:rPr>
          <w:b/>
          <w:i/>
        </w:rPr>
        <w:t>Clearing Threshold</w:t>
      </w:r>
      <w:r w:rsidRPr="001B29E9">
        <w:t xml:space="preserve"> </w:t>
      </w:r>
      <w:r>
        <w:t xml:space="preserve">has the meaning given by </w:t>
      </w:r>
      <w:r w:rsidRPr="001B29E9">
        <w:t xml:space="preserve">Rule </w:t>
      </w:r>
      <w:r>
        <w:t>1.2.</w:t>
      </w:r>
      <w:r w:rsidR="00167219">
        <w:t>7</w:t>
      </w:r>
      <w:r w:rsidRPr="001B29E9">
        <w:t>.</w:t>
      </w:r>
    </w:p>
    <w:p w:rsidR="00563E7F" w:rsidRPr="00B424D7" w:rsidRDefault="00563E7F" w:rsidP="00EE5119">
      <w:pPr>
        <w:pStyle w:val="MIRBodyText"/>
        <w:rPr>
          <w:b/>
          <w:i/>
        </w:rPr>
      </w:pPr>
      <w:r w:rsidRPr="00FD7989">
        <w:rPr>
          <w:b/>
          <w:i/>
        </w:rPr>
        <w:t>meets the IRD Class Specifications</w:t>
      </w:r>
      <w:r>
        <w:t xml:space="preserve"> has the meaning given by subrules 1.2.</w:t>
      </w:r>
      <w:r w:rsidR="00167219">
        <w:t>3</w:t>
      </w:r>
      <w:r>
        <w:t>(2) to (4).</w:t>
      </w:r>
    </w:p>
    <w:p w:rsidR="00B27B69" w:rsidRPr="00B27B69" w:rsidRDefault="00B27B69" w:rsidP="00563E7F">
      <w:pPr>
        <w:pStyle w:val="MIRBodyText"/>
      </w:pPr>
      <w:r w:rsidRPr="005E768A">
        <w:rPr>
          <w:b/>
          <w:i/>
        </w:rPr>
        <w:t xml:space="preserve">Multilateral </w:t>
      </w:r>
      <w:r w:rsidRPr="00B27B69">
        <w:rPr>
          <w:b/>
          <w:i/>
        </w:rPr>
        <w:t>Portfolio Compression Cycle</w:t>
      </w:r>
      <w:r w:rsidR="00AC145B">
        <w:t xml:space="preserve"> has the meaning given by subrule 2.</w:t>
      </w:r>
      <w:r w:rsidR="005C33B4">
        <w:t>1</w:t>
      </w:r>
      <w:r w:rsidR="00AC145B">
        <w:t>.5(2)</w:t>
      </w:r>
      <w:r>
        <w:t>.</w:t>
      </w:r>
    </w:p>
    <w:p w:rsidR="00CD4901" w:rsidRDefault="00CD4901" w:rsidP="00AC145B">
      <w:pPr>
        <w:pStyle w:val="MIRBodyText"/>
        <w:numPr>
          <w:ilvl w:val="0"/>
          <w:numId w:val="0"/>
        </w:numPr>
        <w:ind w:left="851"/>
      </w:pPr>
      <w:r w:rsidRPr="00CD4901">
        <w:rPr>
          <w:b/>
          <w:i/>
        </w:rPr>
        <w:t>Opt-In Australian Clearing Entity</w:t>
      </w:r>
      <w:r>
        <w:t xml:space="preserve"> has the meaning given by </w:t>
      </w:r>
      <w:r w:rsidR="002E12B9">
        <w:t>paragraph</w:t>
      </w:r>
      <w:r w:rsidR="00FA230A">
        <w:t>s</w:t>
      </w:r>
      <w:r w:rsidR="002E12B9">
        <w:t xml:space="preserve"> </w:t>
      </w:r>
      <w:r w:rsidR="009C035E">
        <w:t>1.2.</w:t>
      </w:r>
      <w:r w:rsidR="00167219">
        <w:t>8</w:t>
      </w:r>
      <w:r w:rsidR="002E12B9">
        <w:t>(4)(a)</w:t>
      </w:r>
      <w:r w:rsidR="00FA230A">
        <w:t xml:space="preserve"> and 1.2.</w:t>
      </w:r>
      <w:r w:rsidR="00167219">
        <w:t>8</w:t>
      </w:r>
      <w:r w:rsidR="00FA230A">
        <w:t>(5)(a)</w:t>
      </w:r>
      <w:r>
        <w:t>.</w:t>
      </w:r>
    </w:p>
    <w:p w:rsidR="00CA42CB" w:rsidRPr="00CA42CB" w:rsidRDefault="00CA42CB" w:rsidP="00723723">
      <w:pPr>
        <w:pStyle w:val="MIRBodyText"/>
      </w:pPr>
      <w:r w:rsidRPr="00CA42CB">
        <w:rPr>
          <w:b/>
          <w:i/>
        </w:rPr>
        <w:t>Opt-In Clearing Entity</w:t>
      </w:r>
      <w:r>
        <w:t xml:space="preserve"> means an Opt-In Australian Clearing Entity or an Opt-In Foreign Clearing Entity.</w:t>
      </w:r>
    </w:p>
    <w:p w:rsidR="00723723" w:rsidRDefault="00723723" w:rsidP="00723723">
      <w:pPr>
        <w:pStyle w:val="MIRBodyText"/>
      </w:pPr>
      <w:r w:rsidRPr="00CD4901">
        <w:rPr>
          <w:b/>
          <w:i/>
        </w:rPr>
        <w:t xml:space="preserve">Opt-In </w:t>
      </w:r>
      <w:r>
        <w:rPr>
          <w:b/>
          <w:i/>
        </w:rPr>
        <w:t>Foreign</w:t>
      </w:r>
      <w:r w:rsidRPr="00CD4901">
        <w:rPr>
          <w:b/>
          <w:i/>
        </w:rPr>
        <w:t xml:space="preserve"> Clearing Entity</w:t>
      </w:r>
      <w:r>
        <w:t xml:space="preserve"> has the meaning given by </w:t>
      </w:r>
      <w:r w:rsidR="002E12B9">
        <w:t>paragraph</w:t>
      </w:r>
      <w:r w:rsidR="00FA230A">
        <w:t>s</w:t>
      </w:r>
      <w:r w:rsidR="002E12B9">
        <w:t xml:space="preserve"> </w:t>
      </w:r>
      <w:r w:rsidR="009C035E">
        <w:t>1.2.</w:t>
      </w:r>
      <w:r w:rsidR="00167219">
        <w:t>8</w:t>
      </w:r>
      <w:r w:rsidR="002E12B9">
        <w:t>(4)(b)</w:t>
      </w:r>
      <w:r w:rsidR="00FA230A">
        <w:t xml:space="preserve"> and 1.2.</w:t>
      </w:r>
      <w:r w:rsidR="00167219">
        <w:t>8</w:t>
      </w:r>
      <w:r w:rsidR="00FA230A">
        <w:t>(5)(b)</w:t>
      </w:r>
      <w:r>
        <w:t>.</w:t>
      </w:r>
    </w:p>
    <w:p w:rsidR="00AA4CFD" w:rsidRDefault="003F1E67" w:rsidP="00AA4CFD">
      <w:pPr>
        <w:pStyle w:val="MIRBodyText"/>
      </w:pPr>
      <w:r w:rsidRPr="003F1E67">
        <w:rPr>
          <w:b/>
          <w:i/>
        </w:rPr>
        <w:t>Overnight Index Swap</w:t>
      </w:r>
      <w:r w:rsidRPr="003F1E67">
        <w:t xml:space="preserve"> means a </w:t>
      </w:r>
      <w:r w:rsidR="002F7410">
        <w:t xml:space="preserve">Swap </w:t>
      </w:r>
      <w:r w:rsidR="00AA4CFD" w:rsidRPr="00A65EBF">
        <w:t>under which</w:t>
      </w:r>
      <w:r w:rsidR="00AA4CFD">
        <w:t>:</w:t>
      </w:r>
      <w:r w:rsidR="00AA4CFD" w:rsidRPr="004937F4">
        <w:rPr>
          <w:b/>
          <w:i/>
        </w:rPr>
        <w:t xml:space="preserve"> </w:t>
      </w:r>
    </w:p>
    <w:p w:rsidR="00AA4CFD" w:rsidRDefault="002F7410" w:rsidP="00AA4CFD">
      <w:pPr>
        <w:pStyle w:val="MIRSubpara"/>
      </w:pPr>
      <w:r>
        <w:t xml:space="preserve">the payments for </w:t>
      </w:r>
      <w:r w:rsidR="006A3D94">
        <w:t>one</w:t>
      </w:r>
      <w:r>
        <w:t xml:space="preserve"> leg </w:t>
      </w:r>
      <w:r w:rsidR="00AA4CFD">
        <w:t>are determined by reference to</w:t>
      </w:r>
      <w:r w:rsidR="00AC145B">
        <w:t>, or derived from,</w:t>
      </w:r>
      <w:r>
        <w:t xml:space="preserve"> </w:t>
      </w:r>
      <w:r w:rsidR="00AA4CFD" w:rsidRPr="00A65EBF">
        <w:t>a fixed rate</w:t>
      </w:r>
      <w:r w:rsidR="00AA4CFD">
        <w:t xml:space="preserve"> and a notional principal amount; and</w:t>
      </w:r>
      <w:r w:rsidR="00AA4CFD" w:rsidRPr="00A65EBF">
        <w:t xml:space="preserve"> </w:t>
      </w:r>
    </w:p>
    <w:p w:rsidR="00AA4CFD" w:rsidRDefault="002F7410" w:rsidP="00AA4CFD">
      <w:pPr>
        <w:pStyle w:val="MIRSubpara"/>
      </w:pPr>
      <w:r>
        <w:t xml:space="preserve">the payments for the </w:t>
      </w:r>
      <w:r w:rsidR="006A3D94">
        <w:t xml:space="preserve">other </w:t>
      </w:r>
      <w:r>
        <w:t xml:space="preserve">leg </w:t>
      </w:r>
      <w:r w:rsidR="00AA4CFD">
        <w:t>are determined by reference to</w:t>
      </w:r>
      <w:r w:rsidR="00AC145B">
        <w:t>, or derived from,</w:t>
      </w:r>
      <w:r>
        <w:t xml:space="preserve"> </w:t>
      </w:r>
      <w:r w:rsidR="00AA4CFD" w:rsidRPr="00A65EBF">
        <w:t>a floating rate</w:t>
      </w:r>
      <w:r w:rsidR="00AA4CFD">
        <w:t xml:space="preserve"> based on a daily overnight rate and </w:t>
      </w:r>
      <w:r w:rsidR="00AA4CFD" w:rsidRPr="00A65EBF">
        <w:t>the same notional principal amount</w:t>
      </w:r>
      <w:r w:rsidR="00AA4CFD">
        <w:t>.</w:t>
      </w:r>
    </w:p>
    <w:p w:rsidR="00717656" w:rsidRPr="00F76596" w:rsidRDefault="00717656" w:rsidP="00717656">
      <w:pPr>
        <w:pStyle w:val="MIRBodyText"/>
      </w:pPr>
      <w:r w:rsidRPr="00717656">
        <w:rPr>
          <w:b/>
          <w:i/>
        </w:rPr>
        <w:t>Part 7.2A Market</w:t>
      </w:r>
      <w:r w:rsidRPr="00717656">
        <w:t xml:space="preserve"> means a financial market the operator of which is licensed under subsection 795B(1) of the Act, but does not include a financial market operated by an operator specified in regulation 10.15.02 of the </w:t>
      </w:r>
      <w:r w:rsidRPr="00335B17">
        <w:t>Regulations</w:t>
      </w:r>
      <w:r w:rsidR="00494725">
        <w:t>.</w:t>
      </w:r>
    </w:p>
    <w:p w:rsidR="008D082E" w:rsidRPr="008D082E" w:rsidRDefault="008D082E" w:rsidP="003D495A">
      <w:pPr>
        <w:pStyle w:val="MIRBodyText"/>
      </w:pPr>
      <w:r w:rsidRPr="008D082E">
        <w:rPr>
          <w:b/>
          <w:i/>
        </w:rPr>
        <w:t>Personal Capacity</w:t>
      </w:r>
      <w:r>
        <w:t xml:space="preserve">, in </w:t>
      </w:r>
      <w:r w:rsidRPr="00872E03">
        <w:t xml:space="preserve">relation to an entity, means the entity acting in </w:t>
      </w:r>
      <w:r w:rsidR="00872E03" w:rsidRPr="00872E03">
        <w:t>a capacity</w:t>
      </w:r>
      <w:r w:rsidR="00872E03">
        <w:t xml:space="preserve"> </w:t>
      </w:r>
      <w:r w:rsidR="00B3258C">
        <w:t>that is not a Representative Capacity</w:t>
      </w:r>
      <w:r w:rsidR="00872E03">
        <w:t>.</w:t>
      </w:r>
      <w:r w:rsidR="00B3258C">
        <w:t xml:space="preserve"> </w:t>
      </w:r>
    </w:p>
    <w:p w:rsidR="00717656" w:rsidRDefault="000B3AC0" w:rsidP="005007DD">
      <w:pPr>
        <w:pStyle w:val="MIRBodyText"/>
        <w:numPr>
          <w:ilvl w:val="0"/>
          <w:numId w:val="0"/>
        </w:numPr>
        <w:ind w:left="851"/>
      </w:pPr>
      <w:r>
        <w:rPr>
          <w:b/>
          <w:i/>
        </w:rPr>
        <w:t>Pres</w:t>
      </w:r>
      <w:r w:rsidR="004A1762">
        <w:rPr>
          <w:b/>
          <w:i/>
        </w:rPr>
        <w:t xml:space="preserve">cribed </w:t>
      </w:r>
      <w:r w:rsidR="008704C7">
        <w:rPr>
          <w:b/>
          <w:i/>
        </w:rPr>
        <w:t xml:space="preserve">CS </w:t>
      </w:r>
      <w:r w:rsidR="004E0E72">
        <w:rPr>
          <w:b/>
          <w:i/>
        </w:rPr>
        <w:t>Facility</w:t>
      </w:r>
      <w:r w:rsidR="00BC48F9">
        <w:rPr>
          <w:b/>
          <w:i/>
        </w:rPr>
        <w:t xml:space="preserve"> </w:t>
      </w:r>
      <w:r w:rsidR="004A1762">
        <w:t xml:space="preserve">means </w:t>
      </w:r>
      <w:r>
        <w:t xml:space="preserve">a facility </w:t>
      </w:r>
      <w:r w:rsidR="008704C7">
        <w:t>that is, or that is in a class of facilities that is, prescribed by regulations made for the purposes of paragraph</w:t>
      </w:r>
      <w:r>
        <w:t xml:space="preserve"> 901A(7)(b) of the Act.</w:t>
      </w:r>
      <w:r w:rsidR="00FF3F19">
        <w:t xml:space="preserve"> </w:t>
      </w:r>
    </w:p>
    <w:p w:rsidR="004D75FB" w:rsidRPr="004D75FB" w:rsidRDefault="004D75FB" w:rsidP="004D75FB">
      <w:pPr>
        <w:pStyle w:val="MIRNote"/>
      </w:pPr>
      <w:r>
        <w:t>Note: See regulation 7.5A.63 of the Regulations.</w:t>
      </w:r>
    </w:p>
    <w:p w:rsidR="00306C3A" w:rsidRDefault="00306C3A" w:rsidP="00306C3A">
      <w:pPr>
        <w:pStyle w:val="MIRBodyText"/>
      </w:pPr>
      <w:r>
        <w:rPr>
          <w:b/>
          <w:i/>
        </w:rPr>
        <w:t>Regulated Foreign Market</w:t>
      </w:r>
      <w:r>
        <w:t xml:space="preserve"> means any financial market: </w:t>
      </w:r>
    </w:p>
    <w:p w:rsidR="00306C3A" w:rsidRDefault="00306C3A" w:rsidP="00306C3A">
      <w:pPr>
        <w:pStyle w:val="MIRSubpara"/>
      </w:pPr>
      <w:r>
        <w:t xml:space="preserve">that is registered by the Commodity Futures Trading Commission of the United States of America as a “Designated Contract Market” under section 5h of the </w:t>
      </w:r>
      <w:r w:rsidRPr="00306C3A">
        <w:rPr>
          <w:i/>
        </w:rPr>
        <w:t xml:space="preserve">Commodity Exchange Act 1936 </w:t>
      </w:r>
      <w:r>
        <w:t>(US); or</w:t>
      </w:r>
    </w:p>
    <w:p w:rsidR="00306C3A" w:rsidRDefault="00306C3A" w:rsidP="00306C3A">
      <w:pPr>
        <w:pStyle w:val="MIRSubpara"/>
      </w:pPr>
      <w:r>
        <w:t>that is a “Regulated market” as defined in Article 4(1)(21) of Directive 2014/65/EU of the European Parliament and of the Council of 15 May 2014 on markets in financial instruments; or</w:t>
      </w:r>
    </w:p>
    <w:p w:rsidR="00306C3A" w:rsidRPr="00306C3A" w:rsidRDefault="00306C3A" w:rsidP="00306C3A">
      <w:pPr>
        <w:pStyle w:val="MIRSubpara"/>
      </w:pPr>
      <w:r>
        <w:t xml:space="preserve">that is a financial market, or is in a class of financial markets, that has been determined by ASIC as a Regulated Foreign Market under subrule 1.2.4(3) of the </w:t>
      </w:r>
      <w:r w:rsidR="00D42336" w:rsidRPr="00D42336">
        <w:t>Reporting Rules</w:t>
      </w:r>
      <w:r>
        <w:t>.</w:t>
      </w:r>
    </w:p>
    <w:p w:rsidR="00A32D89" w:rsidRDefault="00A32D89" w:rsidP="005007DD">
      <w:pPr>
        <w:pStyle w:val="MIRBodyText"/>
        <w:numPr>
          <w:ilvl w:val="0"/>
          <w:numId w:val="0"/>
        </w:numPr>
        <w:ind w:left="851"/>
      </w:pPr>
      <w:r w:rsidRPr="00335B17">
        <w:rPr>
          <w:b/>
          <w:i/>
        </w:rPr>
        <w:t>Regulations</w:t>
      </w:r>
      <w:r>
        <w:t xml:space="preserve"> means the </w:t>
      </w:r>
      <w:r w:rsidRPr="00335B17">
        <w:rPr>
          <w:i/>
        </w:rPr>
        <w:t>Corporations Regulations 2001</w:t>
      </w:r>
      <w:r>
        <w:t>.</w:t>
      </w:r>
    </w:p>
    <w:p w:rsidR="00D42336" w:rsidRDefault="00D42336" w:rsidP="005007DD">
      <w:pPr>
        <w:pStyle w:val="MIRBodyText"/>
        <w:numPr>
          <w:ilvl w:val="0"/>
          <w:numId w:val="0"/>
        </w:numPr>
        <w:ind w:left="851"/>
        <w:rPr>
          <w:b/>
          <w:i/>
        </w:rPr>
      </w:pPr>
      <w:r>
        <w:rPr>
          <w:b/>
          <w:i/>
        </w:rPr>
        <w:t xml:space="preserve">Reporting Rules </w:t>
      </w:r>
      <w:r>
        <w:t>means</w:t>
      </w:r>
      <w:r w:rsidRPr="00D42336">
        <w:t xml:space="preserve"> the </w:t>
      </w:r>
      <w:r w:rsidRPr="00AB58CC">
        <w:rPr>
          <w:i/>
        </w:rPr>
        <w:t>ASIC Derivative Transaction Rules (Reporting) 2013</w:t>
      </w:r>
      <w:r>
        <w:t>.</w:t>
      </w:r>
    </w:p>
    <w:p w:rsidR="00DF6F24" w:rsidRDefault="00DF6F24" w:rsidP="005007DD">
      <w:pPr>
        <w:pStyle w:val="MIRBodyText"/>
        <w:numPr>
          <w:ilvl w:val="0"/>
          <w:numId w:val="0"/>
        </w:numPr>
        <w:ind w:left="851"/>
      </w:pPr>
      <w:r>
        <w:rPr>
          <w:b/>
          <w:i/>
        </w:rPr>
        <w:t>Representative Capacity</w:t>
      </w:r>
      <w:r w:rsidR="00B3258C">
        <w:t>, in relation to an entity,</w:t>
      </w:r>
      <w:r w:rsidRPr="00DF6F24">
        <w:t xml:space="preserve"> </w:t>
      </w:r>
      <w:r w:rsidR="00B3258C">
        <w:t xml:space="preserve">means the </w:t>
      </w:r>
      <w:r w:rsidR="00497175">
        <w:t xml:space="preserve">entity </w:t>
      </w:r>
      <w:r w:rsidR="00B3258C">
        <w:t>acting in a</w:t>
      </w:r>
      <w:r w:rsidRPr="00DF6F24">
        <w:t xml:space="preserve"> capacity </w:t>
      </w:r>
      <w:r w:rsidR="00B3258C">
        <w:t>as</w:t>
      </w:r>
      <w:r w:rsidRPr="00DF6F24">
        <w:t xml:space="preserve"> the responsible entity for a registered scheme, or as the trustee of a trust.</w:t>
      </w:r>
    </w:p>
    <w:p w:rsidR="00306C3A" w:rsidRPr="00306C3A" w:rsidRDefault="00306C3A" w:rsidP="00306C3A">
      <w:pPr>
        <w:pStyle w:val="MIRBodyText"/>
      </w:pPr>
      <w:r w:rsidRPr="00F76596">
        <w:rPr>
          <w:b/>
          <w:i/>
        </w:rPr>
        <w:t>Rules</w:t>
      </w:r>
      <w:r w:rsidRPr="00F76596">
        <w:t xml:space="preserve"> means these </w:t>
      </w:r>
      <w:r w:rsidRPr="00F76596">
        <w:rPr>
          <w:i/>
        </w:rPr>
        <w:t xml:space="preserve">ASIC Derivative Transaction Rules </w:t>
      </w:r>
      <w:r>
        <w:rPr>
          <w:i/>
        </w:rPr>
        <w:t>(Clear</w:t>
      </w:r>
      <w:r w:rsidRPr="00F76596">
        <w:rPr>
          <w:i/>
        </w:rPr>
        <w:t>ing) 201</w:t>
      </w:r>
      <w:r>
        <w:rPr>
          <w:i/>
        </w:rPr>
        <w:t>5</w:t>
      </w:r>
      <w:r w:rsidRPr="00F76596">
        <w:t>.</w:t>
      </w:r>
      <w:r w:rsidRPr="00306C3A">
        <w:t xml:space="preserve"> </w:t>
      </w:r>
    </w:p>
    <w:p w:rsidR="00CD7B31" w:rsidRDefault="00CD7B31" w:rsidP="00CD7B31">
      <w:pPr>
        <w:pStyle w:val="MIRBodyText"/>
      </w:pPr>
      <w:r>
        <w:rPr>
          <w:b/>
          <w:i/>
        </w:rPr>
        <w:t xml:space="preserve">Swap </w:t>
      </w:r>
      <w:r w:rsidRPr="00CD7B31">
        <w:t>means a Derivative between two parties under which</w:t>
      </w:r>
      <w:r>
        <w:t xml:space="preserve">: </w:t>
      </w:r>
    </w:p>
    <w:p w:rsidR="00673D4A" w:rsidRPr="00132272" w:rsidRDefault="00CD7B31" w:rsidP="00620B0B">
      <w:pPr>
        <w:pStyle w:val="MIRSubpara"/>
      </w:pPr>
      <w:r w:rsidRPr="00CD7B31">
        <w:t>one party</w:t>
      </w:r>
      <w:r>
        <w:rPr>
          <w:b/>
          <w:i/>
        </w:rPr>
        <w:t xml:space="preserve"> </w:t>
      </w:r>
      <w:r w:rsidRPr="00673D4A">
        <w:t>(</w:t>
      </w:r>
      <w:r w:rsidR="00206331">
        <w:rPr>
          <w:b/>
          <w:i/>
        </w:rPr>
        <w:t xml:space="preserve">Party </w:t>
      </w:r>
      <w:r>
        <w:rPr>
          <w:b/>
          <w:i/>
        </w:rPr>
        <w:t>A</w:t>
      </w:r>
      <w:r w:rsidRPr="00673D4A">
        <w:t>)</w:t>
      </w:r>
      <w:r>
        <w:rPr>
          <w:b/>
          <w:i/>
        </w:rPr>
        <w:t xml:space="preserve"> </w:t>
      </w:r>
      <w:r w:rsidRPr="00CD7B31">
        <w:t>is required to make one or more payments</w:t>
      </w:r>
      <w:r w:rsidR="00132272">
        <w:t xml:space="preserve"> (</w:t>
      </w:r>
      <w:r w:rsidR="00132272" w:rsidRPr="00132272">
        <w:rPr>
          <w:b/>
          <w:i/>
        </w:rPr>
        <w:t>payments for the first leg</w:t>
      </w:r>
      <w:r w:rsidR="00132272">
        <w:t>)</w:t>
      </w:r>
      <w:r w:rsidRPr="00CD7B31">
        <w:t xml:space="preserve"> to the other party </w:t>
      </w:r>
      <w:r w:rsidRPr="00673D4A">
        <w:t>(</w:t>
      </w:r>
      <w:r w:rsidR="00206331">
        <w:rPr>
          <w:b/>
          <w:i/>
        </w:rPr>
        <w:t xml:space="preserve">Party </w:t>
      </w:r>
      <w:r>
        <w:rPr>
          <w:b/>
          <w:i/>
        </w:rPr>
        <w:t>B</w:t>
      </w:r>
      <w:r w:rsidRPr="00673D4A">
        <w:t>)</w:t>
      </w:r>
      <w:r w:rsidR="00673D4A" w:rsidRPr="00673D4A">
        <w:t>;</w:t>
      </w:r>
      <w:r w:rsidR="00A67DB0">
        <w:t xml:space="preserve"> and</w:t>
      </w:r>
      <w:r>
        <w:rPr>
          <w:b/>
          <w:i/>
        </w:rPr>
        <w:t xml:space="preserve"> </w:t>
      </w:r>
    </w:p>
    <w:p w:rsidR="00132272" w:rsidRDefault="00206331" w:rsidP="00620B0B">
      <w:pPr>
        <w:pStyle w:val="MIRSubpara"/>
      </w:pPr>
      <w:r>
        <w:t xml:space="preserve">Party </w:t>
      </w:r>
      <w:r w:rsidR="00132272">
        <w:t>B is required to make one or more payments (</w:t>
      </w:r>
      <w:r w:rsidR="00132272" w:rsidRPr="00132272">
        <w:rPr>
          <w:b/>
          <w:i/>
        </w:rPr>
        <w:t>payments for the second leg</w:t>
      </w:r>
      <w:r w:rsidR="00132272">
        <w:t xml:space="preserve">) to </w:t>
      </w:r>
      <w:r>
        <w:t xml:space="preserve">Party </w:t>
      </w:r>
      <w:r w:rsidR="00132272">
        <w:t>A;</w:t>
      </w:r>
    </w:p>
    <w:p w:rsidR="000C5198" w:rsidRPr="00B03495" w:rsidRDefault="00132272" w:rsidP="00966B72">
      <w:pPr>
        <w:pStyle w:val="MIRBodyText"/>
        <w:numPr>
          <w:ilvl w:val="0"/>
          <w:numId w:val="0"/>
        </w:numPr>
        <w:ind w:left="851"/>
        <w:rPr>
          <w:spacing w:val="-2"/>
        </w:rPr>
      </w:pPr>
      <w:r w:rsidRPr="00B03495">
        <w:rPr>
          <w:spacing w:val="-2"/>
        </w:rPr>
        <w:t>and includes a Derivative where some or all of those payments are netted against one another.</w:t>
      </w:r>
    </w:p>
    <w:p w:rsidR="005E768A" w:rsidRDefault="005E768A" w:rsidP="00966B72">
      <w:pPr>
        <w:pStyle w:val="MIRBodyText"/>
        <w:numPr>
          <w:ilvl w:val="0"/>
          <w:numId w:val="0"/>
        </w:numPr>
        <w:ind w:left="851"/>
        <w:rPr>
          <w:b/>
          <w:i/>
        </w:rPr>
      </w:pPr>
      <w:r>
        <w:rPr>
          <w:b/>
          <w:i/>
        </w:rPr>
        <w:t xml:space="preserve">total gross notional outstanding positions </w:t>
      </w:r>
      <w:r w:rsidRPr="005E768A">
        <w:t>has a meaning affected by Rule 1.2.</w:t>
      </w:r>
      <w:r w:rsidR="00167219">
        <w:t>6</w:t>
      </w:r>
      <w:r w:rsidRPr="005E768A">
        <w:t>.</w:t>
      </w:r>
      <w:r w:rsidR="00FB13E6">
        <w:t xml:space="preserve"> </w:t>
      </w:r>
    </w:p>
    <w:p w:rsidR="00966B72" w:rsidRPr="00F76596" w:rsidRDefault="00966B72" w:rsidP="00966B72">
      <w:pPr>
        <w:pStyle w:val="MIRNote"/>
      </w:pPr>
      <w:r>
        <w:t>Note</w:t>
      </w:r>
      <w:r w:rsidR="00D718A6">
        <w:t xml:space="preserve"> 1</w:t>
      </w:r>
      <w:r>
        <w:t>:</w:t>
      </w:r>
      <w:r w:rsidRPr="00966B72">
        <w:t xml:space="preserve"> </w:t>
      </w:r>
      <w:r w:rsidRPr="00F76596">
        <w:t xml:space="preserve">Words and expressions defined in the Act have </w:t>
      </w:r>
      <w:r>
        <w:t>the same meaning in these Rules</w:t>
      </w:r>
      <w:r w:rsidR="00D718A6">
        <w:t xml:space="preserve"> unless otherwise defined or specified in these Rules or the contrary intention appears</w:t>
      </w:r>
      <w:r>
        <w:t xml:space="preserve">: paragraph 13(1)(b) of the </w:t>
      </w:r>
      <w:r w:rsidRPr="007925A2">
        <w:rPr>
          <w:i/>
        </w:rPr>
        <w:t>Legislative Instruments Act 2003</w:t>
      </w:r>
      <w:r>
        <w:t xml:space="preserve">. </w:t>
      </w:r>
    </w:p>
    <w:p w:rsidR="00F20F79" w:rsidDel="00B90EF4" w:rsidRDefault="00F20F79" w:rsidP="00F20F79">
      <w:pPr>
        <w:pStyle w:val="MIRNote"/>
      </w:pPr>
      <w:r w:rsidDel="00B90EF4">
        <w:t xml:space="preserve">Note 2: </w:t>
      </w:r>
      <w:r w:rsidR="00966B72" w:rsidRPr="00F76596" w:rsidDel="00B90EF4">
        <w:t xml:space="preserve">For convenience, some words and expressions defined in the Act are </w:t>
      </w:r>
      <w:r w:rsidR="00966B72" w:rsidDel="00B90EF4">
        <w:t>defined</w:t>
      </w:r>
      <w:r w:rsidR="00966B72" w:rsidRPr="00F76596" w:rsidDel="00B90EF4">
        <w:t xml:space="preserve"> </w:t>
      </w:r>
      <w:r w:rsidR="00D718A6" w:rsidDel="00B90EF4">
        <w:t>in the same way in</w:t>
      </w:r>
      <w:r w:rsidR="00966B72" w:rsidRPr="00F76596" w:rsidDel="00B90EF4">
        <w:t xml:space="preserve"> </w:t>
      </w:r>
      <w:r w:rsidR="00A67DB0" w:rsidDel="00B90EF4">
        <w:t xml:space="preserve">this </w:t>
      </w:r>
      <w:r w:rsidR="003406D8" w:rsidDel="00B90EF4">
        <w:t>R</w:t>
      </w:r>
      <w:r w:rsidR="00A67DB0" w:rsidDel="00B90EF4">
        <w:t>ule</w:t>
      </w:r>
      <w:r w:rsidR="00966B72" w:rsidRPr="00F76596" w:rsidDel="00B90EF4">
        <w:t>.</w:t>
      </w:r>
    </w:p>
    <w:p w:rsidR="001572B9" w:rsidRPr="00995980" w:rsidRDefault="009913E9" w:rsidP="001572B9">
      <w:pPr>
        <w:pStyle w:val="MIRHeading3Rule"/>
      </w:pPr>
      <w:r>
        <w:t>1.2.</w:t>
      </w:r>
      <w:r w:rsidR="00167219">
        <w:t>2</w:t>
      </w:r>
      <w:r>
        <w:t xml:space="preserve"> </w:t>
      </w:r>
      <w:r>
        <w:tab/>
      </w:r>
      <w:r w:rsidR="001572B9" w:rsidRPr="00995980">
        <w:t>References to entity acting in a capacity</w:t>
      </w:r>
    </w:p>
    <w:p w:rsidR="00BB043F" w:rsidRDefault="001572B9" w:rsidP="00BB043F">
      <w:pPr>
        <w:pStyle w:val="MIRBodyText"/>
      </w:pPr>
      <w:r w:rsidRPr="00995980">
        <w:t>In these Rules, unless the contrary intention appears, a reference to an entity</w:t>
      </w:r>
      <w:r w:rsidRPr="00995980">
        <w:rPr>
          <w:b/>
          <w:i/>
        </w:rPr>
        <w:t xml:space="preserve"> acting in a capacity</w:t>
      </w:r>
      <w:r w:rsidRPr="00995980">
        <w:t xml:space="preserve"> or </w:t>
      </w:r>
      <w:r w:rsidRPr="00995980">
        <w:rPr>
          <w:b/>
          <w:i/>
        </w:rPr>
        <w:t>acting in a particular capacity</w:t>
      </w:r>
      <w:r w:rsidRPr="00995980">
        <w:t xml:space="preserve"> where the capacity is not specified is a reference to the entity acting in </w:t>
      </w:r>
      <w:r w:rsidR="00BB043F">
        <w:t xml:space="preserve">its Personal Capacity or in </w:t>
      </w:r>
      <w:r w:rsidR="00700536">
        <w:t xml:space="preserve">a Representative Capacity. </w:t>
      </w:r>
    </w:p>
    <w:p w:rsidR="00625181" w:rsidRDefault="00625181" w:rsidP="00A871B3">
      <w:pPr>
        <w:pStyle w:val="MIRHeading3Rule"/>
        <w:ind w:left="0" w:firstLine="0"/>
      </w:pPr>
      <w:r>
        <w:t>1.2.</w:t>
      </w:r>
      <w:r w:rsidR="00167219">
        <w:t>3</w:t>
      </w:r>
      <w:r>
        <w:tab/>
      </w:r>
      <w:r w:rsidR="00D24476">
        <w:t xml:space="preserve">Meaning of </w:t>
      </w:r>
      <w:r w:rsidR="00146681">
        <w:t>Clearing Derivative</w:t>
      </w:r>
    </w:p>
    <w:p w:rsidR="00973A21" w:rsidRDefault="00625181" w:rsidP="00625181">
      <w:pPr>
        <w:pStyle w:val="MIRBodyText"/>
      </w:pPr>
      <w:r>
        <w:t>(1) Subject to subrule</w:t>
      </w:r>
      <w:r w:rsidR="0087458A">
        <w:t>s</w:t>
      </w:r>
      <w:r>
        <w:t xml:space="preserve"> (</w:t>
      </w:r>
      <w:r w:rsidR="0044788C">
        <w:t>6</w:t>
      </w:r>
      <w:r>
        <w:t>)</w:t>
      </w:r>
      <w:r w:rsidR="0087458A">
        <w:t xml:space="preserve"> </w:t>
      </w:r>
      <w:r w:rsidR="00996F2E">
        <w:t xml:space="preserve">to </w:t>
      </w:r>
      <w:r w:rsidR="0087458A">
        <w:t>(</w:t>
      </w:r>
      <w:r w:rsidR="00EC7B6A">
        <w:t>8</w:t>
      </w:r>
      <w:r w:rsidR="0087458A">
        <w:t>)</w:t>
      </w:r>
      <w:r>
        <w:t xml:space="preserve">, a Derivative is a </w:t>
      </w:r>
      <w:r w:rsidR="005C3EE7">
        <w:rPr>
          <w:b/>
          <w:bCs/>
          <w:i/>
          <w:iCs/>
        </w:rPr>
        <w:t>Clearing Derivative</w:t>
      </w:r>
      <w:r>
        <w:rPr>
          <w:b/>
          <w:bCs/>
          <w:i/>
          <w:iCs/>
        </w:rPr>
        <w:t xml:space="preserve"> </w:t>
      </w:r>
      <w:r>
        <w:t>if the Derivative</w:t>
      </w:r>
      <w:r w:rsidR="00973A21">
        <w:t>:</w:t>
      </w:r>
    </w:p>
    <w:p w:rsidR="00973A21" w:rsidRDefault="00625181" w:rsidP="00973A21">
      <w:pPr>
        <w:pStyle w:val="MIRSubpara"/>
      </w:pPr>
      <w:r>
        <w:t xml:space="preserve">is in </w:t>
      </w:r>
      <w:r w:rsidR="007112A8">
        <w:t xml:space="preserve">a </w:t>
      </w:r>
      <w:r w:rsidR="00FD7989">
        <w:t xml:space="preserve">Determined </w:t>
      </w:r>
      <w:r w:rsidR="00011659">
        <w:t xml:space="preserve">Clearing </w:t>
      </w:r>
      <w:r>
        <w:t>Class</w:t>
      </w:r>
      <w:r w:rsidR="00973A21">
        <w:t>; and</w:t>
      </w:r>
    </w:p>
    <w:p w:rsidR="00A675ED" w:rsidRDefault="00973A21" w:rsidP="00973A21">
      <w:pPr>
        <w:pStyle w:val="MIRSubpara"/>
      </w:pPr>
      <w:r>
        <w:t>is a Basis Swap, Fixed-to-Floating Swap,</w:t>
      </w:r>
      <w:r w:rsidR="005E0694">
        <w:t xml:space="preserve"> Forward Rate Agreement or</w:t>
      </w:r>
      <w:r>
        <w:t xml:space="preserve"> </w:t>
      </w:r>
      <w:r w:rsidR="005E0694">
        <w:t>Overnight Index Swap</w:t>
      </w:r>
      <w:r w:rsidR="00A675ED">
        <w:t>; and</w:t>
      </w:r>
    </w:p>
    <w:p w:rsidR="00A675ED" w:rsidRDefault="00A675ED" w:rsidP="00A675ED">
      <w:pPr>
        <w:pStyle w:val="MIRSubpara"/>
      </w:pPr>
      <w:r>
        <w:t>meets the IRD Class Specifications</w:t>
      </w:r>
      <w:r w:rsidR="0087458A">
        <w:t>.</w:t>
      </w:r>
    </w:p>
    <w:p w:rsidR="00A759EA" w:rsidRPr="00B51BF2" w:rsidRDefault="00C40365" w:rsidP="00920496">
      <w:pPr>
        <w:pStyle w:val="MIRBodyText"/>
      </w:pPr>
      <w:r>
        <w:t>(2)</w:t>
      </w:r>
      <w:r w:rsidR="00915FBC">
        <w:t xml:space="preserve"> </w:t>
      </w:r>
      <w:r w:rsidR="00ED0B75">
        <w:t xml:space="preserve">A Derivative that is a Basis Swap or a Fixed-to-Floating Swap </w:t>
      </w:r>
      <w:r w:rsidR="00A759EA" w:rsidRPr="00563E7F">
        <w:rPr>
          <w:b/>
          <w:i/>
        </w:rPr>
        <w:t xml:space="preserve">meets the </w:t>
      </w:r>
      <w:r w:rsidR="00A759EA" w:rsidRPr="00A675ED">
        <w:rPr>
          <w:b/>
          <w:i/>
        </w:rPr>
        <w:t>IRD Class Specifications</w:t>
      </w:r>
      <w:r w:rsidR="00A759EA">
        <w:t xml:space="preserve"> if</w:t>
      </w:r>
      <w:r w:rsidR="00ED0B75">
        <w:t xml:space="preserve"> </w:t>
      </w:r>
      <w:r w:rsidR="00DC3712">
        <w:t>a row</w:t>
      </w:r>
      <w:r w:rsidR="00A759EA" w:rsidRPr="00B51BF2">
        <w:t xml:space="preserve"> of the </w:t>
      </w:r>
      <w:r w:rsidR="00ED0B75">
        <w:t>following table</w:t>
      </w:r>
      <w:r w:rsidR="00A759EA" w:rsidRPr="00B51BF2">
        <w:t xml:space="preserve"> </w:t>
      </w:r>
      <w:r w:rsidR="00DC3712">
        <w:t>contains</w:t>
      </w:r>
      <w:r w:rsidR="00A759EA" w:rsidRPr="00B51BF2">
        <w:t>:</w:t>
      </w:r>
    </w:p>
    <w:p w:rsidR="00A759EA" w:rsidRPr="00B51BF2" w:rsidRDefault="00A759EA" w:rsidP="00920496">
      <w:pPr>
        <w:pStyle w:val="MIRSubpara"/>
      </w:pPr>
      <w:r w:rsidRPr="00B51BF2">
        <w:t>the currency (</w:t>
      </w:r>
      <w:r w:rsidRPr="00920496">
        <w:rPr>
          <w:b/>
          <w:i/>
        </w:rPr>
        <w:t>Currency</w:t>
      </w:r>
      <w:r w:rsidRPr="00B51BF2">
        <w:t>) in which the notional principal amount and payment</w:t>
      </w:r>
      <w:r w:rsidR="00F93784">
        <w:t>s</w:t>
      </w:r>
      <w:r w:rsidRPr="00B51BF2">
        <w:t xml:space="preserve"> </w:t>
      </w:r>
      <w:r w:rsidR="00F93784">
        <w:t>under</w:t>
      </w:r>
      <w:r w:rsidRPr="00B51BF2">
        <w:t xml:space="preserve"> the Derivative are denominated; and</w:t>
      </w:r>
    </w:p>
    <w:p w:rsidR="00A759EA" w:rsidRDefault="00A759EA" w:rsidP="00920496">
      <w:pPr>
        <w:pStyle w:val="MIRSubpara"/>
      </w:pPr>
      <w:r w:rsidRPr="00B51BF2">
        <w:t>the benchmark, index or rate (</w:t>
      </w:r>
      <w:r w:rsidRPr="00B51BF2">
        <w:rPr>
          <w:b/>
          <w:i/>
        </w:rPr>
        <w:t>Floating Rate Index</w:t>
      </w:r>
      <w:r w:rsidRPr="00B51BF2">
        <w:t xml:space="preserve">) on which </w:t>
      </w:r>
      <w:r w:rsidR="00CF451E">
        <w:t>each</w:t>
      </w:r>
      <w:r w:rsidR="00CF451E" w:rsidRPr="00B51BF2">
        <w:t xml:space="preserve"> </w:t>
      </w:r>
      <w:r w:rsidRPr="00B51BF2">
        <w:t>floating rate for the Derivative is based; and</w:t>
      </w:r>
    </w:p>
    <w:p w:rsidR="00A759EA" w:rsidRDefault="00A759EA" w:rsidP="00FE01DD">
      <w:pPr>
        <w:pStyle w:val="MIRSubpara"/>
        <w:spacing w:after="120"/>
      </w:pPr>
      <w:r w:rsidRPr="00B51BF2">
        <w:t>a period of time (</w:t>
      </w:r>
      <w:r w:rsidRPr="00A759EA">
        <w:rPr>
          <w:b/>
          <w:i/>
        </w:rPr>
        <w:t>Termination Date Range</w:t>
      </w:r>
      <w:r w:rsidRPr="00B51BF2">
        <w:t>) which includes the period from entry into the Derivative</w:t>
      </w:r>
      <w:r w:rsidRPr="00A759EA">
        <w:t xml:space="preserve"> </w:t>
      </w:r>
      <w:r w:rsidRPr="00B51BF2">
        <w:t>until the termination date for the Derivative</w:t>
      </w:r>
      <w:r w:rsidR="00ED0B75">
        <w:t>.</w:t>
      </w:r>
    </w:p>
    <w:tbl>
      <w:tblPr>
        <w:tblW w:w="0" w:type="auto"/>
        <w:tblInd w:w="959" w:type="dxa"/>
        <w:tblBorders>
          <w:top w:val="single" w:sz="4" w:space="0" w:color="999999"/>
          <w:bottom w:val="single" w:sz="4" w:space="0" w:color="999999"/>
          <w:insideH w:val="single" w:sz="4" w:space="0" w:color="999999"/>
        </w:tblBorders>
        <w:tblCellMar>
          <w:bottom w:w="113" w:type="dxa"/>
        </w:tblCellMar>
        <w:tblLook w:val="0000" w:firstRow="0" w:lastRow="0" w:firstColumn="0" w:lastColumn="0" w:noHBand="0" w:noVBand="0"/>
      </w:tblPr>
      <w:tblGrid>
        <w:gridCol w:w="806"/>
        <w:gridCol w:w="1507"/>
        <w:gridCol w:w="3468"/>
        <w:gridCol w:w="2287"/>
      </w:tblGrid>
      <w:tr w:rsidR="00FE01DD" w:rsidRPr="000540E1" w:rsidTr="006E0E78">
        <w:trPr>
          <w:cantSplit/>
          <w:tblHeader/>
        </w:trPr>
        <w:tc>
          <w:tcPr>
            <w:tcW w:w="0" w:type="auto"/>
            <w:gridSpan w:val="4"/>
            <w:shd w:val="clear" w:color="auto" w:fill="C2E3FA"/>
          </w:tcPr>
          <w:p w:rsidR="00FE01DD" w:rsidRDefault="00FE01DD" w:rsidP="00ED0B75">
            <w:pPr>
              <w:pStyle w:val="tablehead"/>
              <w:jc w:val="center"/>
            </w:pPr>
            <w:r>
              <w:t>IRD Class Specifications for Basis Swaps and Fixed-to-Floating Swaps</w:t>
            </w:r>
          </w:p>
        </w:tc>
      </w:tr>
      <w:tr w:rsidR="00FE01DD" w:rsidRPr="000540E1" w:rsidTr="00FE01DD">
        <w:trPr>
          <w:cantSplit/>
          <w:tblHeader/>
        </w:trPr>
        <w:tc>
          <w:tcPr>
            <w:tcW w:w="806" w:type="dxa"/>
            <w:shd w:val="clear" w:color="auto" w:fill="C2E3FA"/>
          </w:tcPr>
          <w:p w:rsidR="00FE01DD" w:rsidDel="008A6947" w:rsidRDefault="00FE01DD" w:rsidP="004F3AD5">
            <w:pPr>
              <w:pStyle w:val="tablehead"/>
            </w:pPr>
            <w:r>
              <w:t>Item</w:t>
            </w:r>
          </w:p>
        </w:tc>
        <w:tc>
          <w:tcPr>
            <w:tcW w:w="0" w:type="auto"/>
            <w:shd w:val="clear" w:color="auto" w:fill="C2E3FA"/>
          </w:tcPr>
          <w:p w:rsidR="00FE01DD" w:rsidRPr="000540E1" w:rsidRDefault="00FE01DD" w:rsidP="004F3AD5">
            <w:pPr>
              <w:pStyle w:val="tablehead"/>
            </w:pPr>
            <w:r w:rsidRPr="00DF3569">
              <w:t>Currency</w:t>
            </w:r>
          </w:p>
        </w:tc>
        <w:tc>
          <w:tcPr>
            <w:tcW w:w="0" w:type="auto"/>
            <w:shd w:val="clear" w:color="auto" w:fill="C2E3FA"/>
          </w:tcPr>
          <w:p w:rsidR="00FE01DD" w:rsidRPr="000540E1" w:rsidRDefault="00FE01DD" w:rsidP="004F3AD5">
            <w:pPr>
              <w:pStyle w:val="tablehead"/>
            </w:pPr>
            <w:r w:rsidRPr="00DF3569">
              <w:t>Floating Rate Index</w:t>
            </w:r>
          </w:p>
        </w:tc>
        <w:tc>
          <w:tcPr>
            <w:tcW w:w="0" w:type="auto"/>
            <w:shd w:val="clear" w:color="auto" w:fill="C2E3FA"/>
          </w:tcPr>
          <w:p w:rsidR="00FE01DD" w:rsidRPr="000540E1" w:rsidRDefault="00FE01DD" w:rsidP="004F3AD5">
            <w:pPr>
              <w:pStyle w:val="tablehead"/>
            </w:pPr>
            <w:r w:rsidRPr="00DF3569">
              <w:t>Termination Date Range</w:t>
            </w:r>
          </w:p>
        </w:tc>
      </w:tr>
      <w:tr w:rsidR="00FE01DD" w:rsidRPr="000540E1" w:rsidTr="00FE01DD">
        <w:trPr>
          <w:cantSplit/>
        </w:trPr>
        <w:tc>
          <w:tcPr>
            <w:tcW w:w="806" w:type="dxa"/>
          </w:tcPr>
          <w:p w:rsidR="00FE01DD" w:rsidRDefault="00FE01DD" w:rsidP="004F3AD5">
            <w:pPr>
              <w:pStyle w:val="tbltext"/>
            </w:pPr>
            <w:r>
              <w:t>1</w:t>
            </w:r>
          </w:p>
        </w:tc>
        <w:tc>
          <w:tcPr>
            <w:tcW w:w="0" w:type="auto"/>
          </w:tcPr>
          <w:p w:rsidR="00FE01DD" w:rsidRPr="00A47E48" w:rsidRDefault="00FE01DD" w:rsidP="004F3AD5">
            <w:pPr>
              <w:pStyle w:val="tbltext"/>
            </w:pPr>
            <w:r>
              <w:t>U</w:t>
            </w:r>
            <w:r w:rsidRPr="00A47E48">
              <w:t>S</w:t>
            </w:r>
            <w:r>
              <w:t xml:space="preserve"> d</w:t>
            </w:r>
            <w:r w:rsidRPr="00A47E48">
              <w:t xml:space="preserve">ollar </w:t>
            </w:r>
          </w:p>
        </w:tc>
        <w:tc>
          <w:tcPr>
            <w:tcW w:w="0" w:type="auto"/>
          </w:tcPr>
          <w:p w:rsidR="00FE01DD" w:rsidRPr="00A47E48" w:rsidRDefault="00FE01DD" w:rsidP="004F3AD5">
            <w:pPr>
              <w:pStyle w:val="tbltext"/>
            </w:pPr>
            <w:r>
              <w:t>London Interbank Offered Rate</w:t>
            </w:r>
            <w:r w:rsidRPr="00A47E48">
              <w:t xml:space="preserve"> </w:t>
            </w:r>
            <w:r>
              <w:t>(</w:t>
            </w:r>
            <w:r w:rsidRPr="00A47E48">
              <w:t>LIBOR</w:t>
            </w:r>
            <w:r>
              <w:t xml:space="preserve">) </w:t>
            </w:r>
          </w:p>
        </w:tc>
        <w:tc>
          <w:tcPr>
            <w:tcW w:w="0" w:type="auto"/>
          </w:tcPr>
          <w:p w:rsidR="00FE01DD" w:rsidRPr="00A47E48" w:rsidRDefault="00FE01DD" w:rsidP="004F3AD5">
            <w:pPr>
              <w:pStyle w:val="tbltext"/>
            </w:pPr>
            <w:r w:rsidRPr="00A47E48">
              <w:t>28 days to 50 years</w:t>
            </w:r>
          </w:p>
        </w:tc>
      </w:tr>
      <w:tr w:rsidR="00FE01DD" w:rsidRPr="000540E1" w:rsidTr="00FE01DD">
        <w:trPr>
          <w:cantSplit/>
        </w:trPr>
        <w:tc>
          <w:tcPr>
            <w:tcW w:w="806" w:type="dxa"/>
          </w:tcPr>
          <w:p w:rsidR="00FE01DD" w:rsidRPr="00A47E48" w:rsidRDefault="00FE01DD" w:rsidP="004F3AD5">
            <w:pPr>
              <w:pStyle w:val="tbltext"/>
            </w:pPr>
            <w:r>
              <w:t>2</w:t>
            </w:r>
          </w:p>
        </w:tc>
        <w:tc>
          <w:tcPr>
            <w:tcW w:w="0" w:type="auto"/>
          </w:tcPr>
          <w:p w:rsidR="00FE01DD" w:rsidRPr="00A47E48" w:rsidRDefault="001B0046" w:rsidP="004F3AD5">
            <w:pPr>
              <w:pStyle w:val="tbltext"/>
            </w:pPr>
            <w:r>
              <w:t>e</w:t>
            </w:r>
            <w:r w:rsidR="00FE01DD" w:rsidRPr="00A47E48">
              <w:t>uro</w:t>
            </w:r>
          </w:p>
        </w:tc>
        <w:tc>
          <w:tcPr>
            <w:tcW w:w="0" w:type="auto"/>
          </w:tcPr>
          <w:p w:rsidR="00FE01DD" w:rsidRPr="00A47E48" w:rsidRDefault="00FE01DD" w:rsidP="004F3AD5">
            <w:pPr>
              <w:pStyle w:val="tbltext"/>
            </w:pPr>
            <w:r w:rsidRPr="00AF361C">
              <w:t>Euro Interbank Offered Rate</w:t>
            </w:r>
            <w:r>
              <w:t xml:space="preserve"> (</w:t>
            </w:r>
            <w:r w:rsidRPr="00A47E48">
              <w:t>EURIBOR</w:t>
            </w:r>
            <w:r>
              <w:t>)</w:t>
            </w:r>
          </w:p>
        </w:tc>
        <w:tc>
          <w:tcPr>
            <w:tcW w:w="0" w:type="auto"/>
          </w:tcPr>
          <w:p w:rsidR="00FE01DD" w:rsidRPr="00A47E48" w:rsidRDefault="00FE01DD" w:rsidP="004F3AD5">
            <w:pPr>
              <w:pStyle w:val="tbltext"/>
            </w:pPr>
            <w:r w:rsidRPr="00A47E48">
              <w:t>28 days to 50 years</w:t>
            </w:r>
          </w:p>
        </w:tc>
      </w:tr>
      <w:tr w:rsidR="00FE01DD" w:rsidRPr="000540E1" w:rsidTr="00FE01DD">
        <w:trPr>
          <w:cantSplit/>
        </w:trPr>
        <w:tc>
          <w:tcPr>
            <w:tcW w:w="806" w:type="dxa"/>
          </w:tcPr>
          <w:p w:rsidR="00FE01DD" w:rsidRDefault="00FE01DD" w:rsidP="004F3AD5">
            <w:pPr>
              <w:pStyle w:val="tbltext"/>
            </w:pPr>
            <w:r>
              <w:t>3</w:t>
            </w:r>
          </w:p>
        </w:tc>
        <w:tc>
          <w:tcPr>
            <w:tcW w:w="0" w:type="auto"/>
          </w:tcPr>
          <w:p w:rsidR="00FE01DD" w:rsidRPr="00A47E48" w:rsidRDefault="00FE01DD" w:rsidP="004F3AD5">
            <w:pPr>
              <w:pStyle w:val="tbltext"/>
            </w:pPr>
            <w:r>
              <w:t>British pound</w:t>
            </w:r>
          </w:p>
        </w:tc>
        <w:tc>
          <w:tcPr>
            <w:tcW w:w="0" w:type="auto"/>
          </w:tcPr>
          <w:p w:rsidR="00FE01DD" w:rsidRPr="00A47E48" w:rsidRDefault="00FE01DD" w:rsidP="004F3AD5">
            <w:pPr>
              <w:pStyle w:val="tbltext"/>
            </w:pPr>
            <w:r>
              <w:t>London Interbank Offered Rate</w:t>
            </w:r>
            <w:r w:rsidRPr="00A47E48">
              <w:t xml:space="preserve"> </w:t>
            </w:r>
            <w:r>
              <w:t>(</w:t>
            </w:r>
            <w:r w:rsidRPr="00A47E48">
              <w:t>LIBOR</w:t>
            </w:r>
            <w:r>
              <w:t>)</w:t>
            </w:r>
          </w:p>
        </w:tc>
        <w:tc>
          <w:tcPr>
            <w:tcW w:w="0" w:type="auto"/>
          </w:tcPr>
          <w:p w:rsidR="00FE01DD" w:rsidRPr="00A47E48" w:rsidRDefault="00FE01DD" w:rsidP="004F3AD5">
            <w:pPr>
              <w:pStyle w:val="tbltext"/>
            </w:pPr>
            <w:r w:rsidRPr="00A47E48">
              <w:t>28 days to 50 years</w:t>
            </w:r>
          </w:p>
        </w:tc>
      </w:tr>
      <w:tr w:rsidR="00FE01DD" w:rsidRPr="000540E1" w:rsidTr="00FE01DD">
        <w:trPr>
          <w:cantSplit/>
        </w:trPr>
        <w:tc>
          <w:tcPr>
            <w:tcW w:w="806" w:type="dxa"/>
          </w:tcPr>
          <w:p w:rsidR="00FE01DD" w:rsidRDefault="00FE01DD" w:rsidP="004F3AD5">
            <w:pPr>
              <w:pStyle w:val="tbltext"/>
            </w:pPr>
            <w:r>
              <w:t>4</w:t>
            </w:r>
          </w:p>
        </w:tc>
        <w:tc>
          <w:tcPr>
            <w:tcW w:w="0" w:type="auto"/>
          </w:tcPr>
          <w:p w:rsidR="00FE01DD" w:rsidRPr="00A47E48" w:rsidRDefault="00FE01DD" w:rsidP="004F3AD5">
            <w:pPr>
              <w:pStyle w:val="tbltext"/>
            </w:pPr>
            <w:r>
              <w:t>Japanese y</w:t>
            </w:r>
            <w:r w:rsidRPr="00A47E48">
              <w:t>en</w:t>
            </w:r>
          </w:p>
        </w:tc>
        <w:tc>
          <w:tcPr>
            <w:tcW w:w="0" w:type="auto"/>
          </w:tcPr>
          <w:p w:rsidR="00FE01DD" w:rsidRPr="00A47E48" w:rsidRDefault="00FE01DD" w:rsidP="004F3AD5">
            <w:pPr>
              <w:pStyle w:val="tbltext"/>
            </w:pPr>
            <w:r>
              <w:t>London Interbank Offered Rate</w:t>
            </w:r>
            <w:r w:rsidRPr="00A47E48">
              <w:t xml:space="preserve"> </w:t>
            </w:r>
            <w:r>
              <w:t>(</w:t>
            </w:r>
            <w:r w:rsidRPr="00A47E48">
              <w:t>LIBOR</w:t>
            </w:r>
            <w:r>
              <w:t>)</w:t>
            </w:r>
          </w:p>
        </w:tc>
        <w:tc>
          <w:tcPr>
            <w:tcW w:w="0" w:type="auto"/>
          </w:tcPr>
          <w:p w:rsidR="00FE01DD" w:rsidRPr="00A47E48" w:rsidRDefault="00FE01DD" w:rsidP="004F3AD5">
            <w:pPr>
              <w:pStyle w:val="tbltext"/>
            </w:pPr>
            <w:r w:rsidRPr="00A47E48">
              <w:t>28 days to 30 years</w:t>
            </w:r>
          </w:p>
        </w:tc>
      </w:tr>
      <w:tr w:rsidR="00FE01DD" w:rsidRPr="000540E1" w:rsidTr="00FE01DD">
        <w:trPr>
          <w:cantSplit/>
        </w:trPr>
        <w:tc>
          <w:tcPr>
            <w:tcW w:w="806" w:type="dxa"/>
          </w:tcPr>
          <w:p w:rsidR="00FE01DD" w:rsidRDefault="00FE01DD" w:rsidP="004F3AD5">
            <w:pPr>
              <w:pStyle w:val="tbltext"/>
            </w:pPr>
            <w:r>
              <w:t>5</w:t>
            </w:r>
          </w:p>
        </w:tc>
        <w:tc>
          <w:tcPr>
            <w:tcW w:w="0" w:type="auto"/>
          </w:tcPr>
          <w:p w:rsidR="00FE01DD" w:rsidRDefault="00FE01DD" w:rsidP="004F3AD5">
            <w:pPr>
              <w:pStyle w:val="tbltext"/>
            </w:pPr>
            <w:r>
              <w:t>Australian dollar</w:t>
            </w:r>
          </w:p>
        </w:tc>
        <w:tc>
          <w:tcPr>
            <w:tcW w:w="0" w:type="auto"/>
          </w:tcPr>
          <w:p w:rsidR="00FE01DD" w:rsidRPr="00A47E48" w:rsidRDefault="00FE01DD" w:rsidP="004F3AD5">
            <w:pPr>
              <w:pStyle w:val="tbltext"/>
            </w:pPr>
            <w:r>
              <w:t>Australian Bank Bill Swap Rate (</w:t>
            </w:r>
            <w:r w:rsidRPr="0059024D">
              <w:t>BBSW)</w:t>
            </w:r>
          </w:p>
        </w:tc>
        <w:tc>
          <w:tcPr>
            <w:tcW w:w="0" w:type="auto"/>
          </w:tcPr>
          <w:p w:rsidR="00FE01DD" w:rsidRPr="00A47E48" w:rsidRDefault="00FE01DD" w:rsidP="00952BFB">
            <w:pPr>
              <w:pStyle w:val="tbltext"/>
            </w:pPr>
            <w:r w:rsidRPr="00A47E48">
              <w:t xml:space="preserve">28 </w:t>
            </w:r>
            <w:r>
              <w:t>days to 30 years</w:t>
            </w:r>
          </w:p>
        </w:tc>
      </w:tr>
    </w:tbl>
    <w:p w:rsidR="00F93784" w:rsidRDefault="00A759EA" w:rsidP="00D718B7">
      <w:pPr>
        <w:pStyle w:val="MIRBodyText"/>
      </w:pPr>
      <w:r w:rsidRPr="00B51BF2">
        <w:t xml:space="preserve">(3) </w:t>
      </w:r>
      <w:r w:rsidR="00ED0B75">
        <w:t xml:space="preserve">A Derivative that is a Forward Rate Agreement </w:t>
      </w:r>
      <w:r w:rsidR="00ED0B75" w:rsidRPr="00563E7F">
        <w:rPr>
          <w:b/>
          <w:i/>
        </w:rPr>
        <w:t>meets the</w:t>
      </w:r>
      <w:r w:rsidR="00ED0B75">
        <w:t xml:space="preserve"> </w:t>
      </w:r>
      <w:r w:rsidR="00ED0B75" w:rsidRPr="00A675ED">
        <w:rPr>
          <w:b/>
          <w:i/>
        </w:rPr>
        <w:t>IRD Class Specifications</w:t>
      </w:r>
      <w:r w:rsidR="00ED0B75">
        <w:t xml:space="preserve"> if </w:t>
      </w:r>
      <w:r w:rsidR="00DC3712">
        <w:t>a row</w:t>
      </w:r>
      <w:r w:rsidR="0049690C">
        <w:t xml:space="preserve"> </w:t>
      </w:r>
      <w:r w:rsidR="00ED0B75" w:rsidRPr="00B51BF2">
        <w:t xml:space="preserve">of the </w:t>
      </w:r>
      <w:r w:rsidR="00ED0B75">
        <w:t>following table</w:t>
      </w:r>
      <w:r w:rsidR="00ED0B75" w:rsidRPr="00B51BF2">
        <w:t xml:space="preserve"> </w:t>
      </w:r>
      <w:r w:rsidR="00DC3712">
        <w:t>contains</w:t>
      </w:r>
      <w:r w:rsidR="00497175">
        <w:t>:</w:t>
      </w:r>
    </w:p>
    <w:p w:rsidR="00F93784" w:rsidRPr="00B51BF2" w:rsidRDefault="00F93784" w:rsidP="00B03495">
      <w:pPr>
        <w:pStyle w:val="MIRSubpara"/>
        <w:spacing w:after="120"/>
      </w:pPr>
      <w:r w:rsidRPr="00B51BF2">
        <w:t xml:space="preserve">the </w:t>
      </w:r>
      <w:r>
        <w:t>Currency</w:t>
      </w:r>
      <w:r w:rsidRPr="00B51BF2">
        <w:t xml:space="preserve"> in which the notional principal amount and payment</w:t>
      </w:r>
      <w:r>
        <w:t>s</w:t>
      </w:r>
      <w:r w:rsidRPr="00B51BF2">
        <w:t xml:space="preserve"> </w:t>
      </w:r>
      <w:r>
        <w:t>under</w:t>
      </w:r>
      <w:r w:rsidRPr="00B51BF2">
        <w:t xml:space="preserve"> the Derivative are denominated; and</w:t>
      </w:r>
    </w:p>
    <w:p w:rsidR="00F93784" w:rsidRDefault="00F93784" w:rsidP="00B03495">
      <w:pPr>
        <w:pStyle w:val="MIRSubpara"/>
        <w:spacing w:after="120"/>
      </w:pPr>
      <w:r w:rsidRPr="00B51BF2">
        <w:t xml:space="preserve">the </w:t>
      </w:r>
      <w:r>
        <w:t>Floating Rate Index</w:t>
      </w:r>
      <w:r w:rsidRPr="00B51BF2">
        <w:t xml:space="preserve"> on which the floating rate for the Derivative is based; and</w:t>
      </w:r>
    </w:p>
    <w:p w:rsidR="00F93784" w:rsidRDefault="00F93784" w:rsidP="00B03495">
      <w:pPr>
        <w:pStyle w:val="MIRSubpara"/>
        <w:spacing w:after="120"/>
      </w:pPr>
      <w:r w:rsidRPr="00B51BF2">
        <w:t xml:space="preserve">a </w:t>
      </w:r>
      <w:r>
        <w:t>Termination Date Range that</w:t>
      </w:r>
      <w:r w:rsidRPr="00B51BF2">
        <w:t xml:space="preserve"> includes the period from entry into the Derivative</w:t>
      </w:r>
      <w:r w:rsidRPr="00A759EA">
        <w:t xml:space="preserve"> </w:t>
      </w:r>
      <w:r w:rsidRPr="00B51BF2">
        <w:t>until the termination date for the Derivative</w:t>
      </w:r>
      <w:r>
        <w:t>.</w:t>
      </w:r>
      <w:r w:rsidRPr="00B51BF2">
        <w:t xml:space="preserve"> </w:t>
      </w:r>
    </w:p>
    <w:tbl>
      <w:tblPr>
        <w:tblW w:w="0" w:type="auto"/>
        <w:tblInd w:w="959" w:type="dxa"/>
        <w:tblBorders>
          <w:top w:val="single" w:sz="4" w:space="0" w:color="999999"/>
          <w:bottom w:val="single" w:sz="4" w:space="0" w:color="999999"/>
          <w:insideH w:val="single" w:sz="4" w:space="0" w:color="999999"/>
        </w:tblBorders>
        <w:tblCellMar>
          <w:bottom w:w="113" w:type="dxa"/>
        </w:tblCellMar>
        <w:tblLook w:val="0000" w:firstRow="0" w:lastRow="0" w:firstColumn="0" w:lastColumn="0" w:noHBand="0" w:noVBand="0"/>
      </w:tblPr>
      <w:tblGrid>
        <w:gridCol w:w="587"/>
        <w:gridCol w:w="1507"/>
        <w:gridCol w:w="3468"/>
        <w:gridCol w:w="2287"/>
      </w:tblGrid>
      <w:tr w:rsidR="00FE01DD" w:rsidRPr="000540E1" w:rsidTr="006E0E78">
        <w:trPr>
          <w:cantSplit/>
          <w:tblHeader/>
        </w:trPr>
        <w:tc>
          <w:tcPr>
            <w:tcW w:w="0" w:type="auto"/>
            <w:gridSpan w:val="4"/>
            <w:shd w:val="clear" w:color="auto" w:fill="C2E3FA"/>
          </w:tcPr>
          <w:p w:rsidR="00FE01DD" w:rsidRDefault="00FE01DD" w:rsidP="00D718B7">
            <w:pPr>
              <w:pStyle w:val="tablehead"/>
              <w:jc w:val="center"/>
            </w:pPr>
            <w:r>
              <w:t>IRD Class Specifications for Forward Rate Agreements</w:t>
            </w:r>
          </w:p>
        </w:tc>
      </w:tr>
      <w:tr w:rsidR="00952BFB" w:rsidRPr="000540E1" w:rsidTr="0049690C">
        <w:trPr>
          <w:cantSplit/>
          <w:tblHeader/>
        </w:trPr>
        <w:tc>
          <w:tcPr>
            <w:tcW w:w="0" w:type="auto"/>
            <w:shd w:val="clear" w:color="auto" w:fill="C2E3FA"/>
          </w:tcPr>
          <w:p w:rsidR="00952BFB" w:rsidRDefault="00952BFB" w:rsidP="00A759EA">
            <w:pPr>
              <w:pStyle w:val="tablehead"/>
            </w:pPr>
            <w:r>
              <w:t>Item</w:t>
            </w:r>
          </w:p>
        </w:tc>
        <w:tc>
          <w:tcPr>
            <w:tcW w:w="0" w:type="auto"/>
            <w:shd w:val="clear" w:color="auto" w:fill="C2E3FA"/>
          </w:tcPr>
          <w:p w:rsidR="00952BFB" w:rsidRPr="000540E1" w:rsidRDefault="00952BFB" w:rsidP="00A759EA">
            <w:pPr>
              <w:pStyle w:val="tablehead"/>
            </w:pPr>
            <w:r w:rsidRPr="00DF3569">
              <w:t>Currency</w:t>
            </w:r>
          </w:p>
        </w:tc>
        <w:tc>
          <w:tcPr>
            <w:tcW w:w="0" w:type="auto"/>
            <w:shd w:val="clear" w:color="auto" w:fill="C2E3FA"/>
          </w:tcPr>
          <w:p w:rsidR="00952BFB" w:rsidRPr="000540E1" w:rsidRDefault="00952BFB" w:rsidP="00A759EA">
            <w:pPr>
              <w:pStyle w:val="tablehead"/>
            </w:pPr>
            <w:r w:rsidRPr="00DF3569">
              <w:t>Floating Rate Index</w:t>
            </w:r>
          </w:p>
        </w:tc>
        <w:tc>
          <w:tcPr>
            <w:tcW w:w="0" w:type="auto"/>
            <w:shd w:val="clear" w:color="auto" w:fill="C2E3FA"/>
          </w:tcPr>
          <w:p w:rsidR="00952BFB" w:rsidRPr="000540E1" w:rsidRDefault="00952BFB" w:rsidP="00A759EA">
            <w:pPr>
              <w:pStyle w:val="tablehead"/>
            </w:pPr>
            <w:r w:rsidRPr="00DF3569">
              <w:t>Termination Date Range</w:t>
            </w:r>
          </w:p>
        </w:tc>
      </w:tr>
      <w:tr w:rsidR="00952BFB" w:rsidRPr="000540E1" w:rsidTr="0049690C">
        <w:trPr>
          <w:cantSplit/>
        </w:trPr>
        <w:tc>
          <w:tcPr>
            <w:tcW w:w="0" w:type="auto"/>
          </w:tcPr>
          <w:p w:rsidR="00952BFB" w:rsidRDefault="00952BFB" w:rsidP="00A759EA">
            <w:pPr>
              <w:pStyle w:val="tbltext"/>
            </w:pPr>
            <w:r>
              <w:t>1</w:t>
            </w:r>
          </w:p>
        </w:tc>
        <w:tc>
          <w:tcPr>
            <w:tcW w:w="0" w:type="auto"/>
          </w:tcPr>
          <w:p w:rsidR="00952BFB" w:rsidRPr="00A47E48" w:rsidRDefault="00952BFB" w:rsidP="00A759EA">
            <w:pPr>
              <w:pStyle w:val="tbltext"/>
            </w:pPr>
            <w:r>
              <w:t>U</w:t>
            </w:r>
            <w:r w:rsidRPr="00A47E48">
              <w:t>S</w:t>
            </w:r>
            <w:r>
              <w:t xml:space="preserve"> d</w:t>
            </w:r>
            <w:r w:rsidRPr="00A47E48">
              <w:t xml:space="preserve">ollar </w:t>
            </w:r>
          </w:p>
        </w:tc>
        <w:tc>
          <w:tcPr>
            <w:tcW w:w="0" w:type="auto"/>
          </w:tcPr>
          <w:p w:rsidR="00952BFB" w:rsidRPr="00A47E48" w:rsidRDefault="00952BFB" w:rsidP="00A759EA">
            <w:pPr>
              <w:pStyle w:val="tbltext"/>
            </w:pPr>
            <w:r>
              <w:t>London Interbank Offered Rate</w:t>
            </w:r>
            <w:r w:rsidRPr="00A47E48">
              <w:t xml:space="preserve"> </w:t>
            </w:r>
            <w:r>
              <w:t>(</w:t>
            </w:r>
            <w:r w:rsidRPr="00A47E48">
              <w:t>LIBOR</w:t>
            </w:r>
            <w:r>
              <w:t>)</w:t>
            </w:r>
          </w:p>
        </w:tc>
        <w:tc>
          <w:tcPr>
            <w:tcW w:w="0" w:type="auto"/>
          </w:tcPr>
          <w:p w:rsidR="00952BFB" w:rsidRPr="008115AA" w:rsidRDefault="00952BFB" w:rsidP="00A759EA">
            <w:pPr>
              <w:pStyle w:val="tbltext"/>
            </w:pPr>
            <w:r w:rsidRPr="008115AA">
              <w:t>3 days to 3 years</w:t>
            </w:r>
          </w:p>
        </w:tc>
      </w:tr>
      <w:tr w:rsidR="00952BFB" w:rsidRPr="000540E1" w:rsidTr="0049690C">
        <w:trPr>
          <w:cantSplit/>
        </w:trPr>
        <w:tc>
          <w:tcPr>
            <w:tcW w:w="0" w:type="auto"/>
          </w:tcPr>
          <w:p w:rsidR="00952BFB" w:rsidRPr="00A47E48" w:rsidRDefault="00952BFB" w:rsidP="00A759EA">
            <w:pPr>
              <w:pStyle w:val="tbltext"/>
            </w:pPr>
            <w:r>
              <w:t>2</w:t>
            </w:r>
          </w:p>
        </w:tc>
        <w:tc>
          <w:tcPr>
            <w:tcW w:w="0" w:type="auto"/>
          </w:tcPr>
          <w:p w:rsidR="00952BFB" w:rsidRPr="00A47E48" w:rsidRDefault="001B0046" w:rsidP="00A759EA">
            <w:pPr>
              <w:pStyle w:val="tbltext"/>
            </w:pPr>
            <w:r>
              <w:t>e</w:t>
            </w:r>
            <w:r w:rsidR="00952BFB" w:rsidRPr="00A47E48">
              <w:t>uro</w:t>
            </w:r>
          </w:p>
        </w:tc>
        <w:tc>
          <w:tcPr>
            <w:tcW w:w="0" w:type="auto"/>
          </w:tcPr>
          <w:p w:rsidR="00952BFB" w:rsidRPr="00A47E48" w:rsidRDefault="00952BFB" w:rsidP="00A759EA">
            <w:pPr>
              <w:pStyle w:val="tbltext"/>
            </w:pPr>
            <w:r w:rsidRPr="00AF361C">
              <w:t>Euro Interbank Offered Rate</w:t>
            </w:r>
            <w:r>
              <w:t xml:space="preserve"> (</w:t>
            </w:r>
            <w:r w:rsidRPr="00A47E48">
              <w:t>EURIBOR</w:t>
            </w:r>
            <w:r>
              <w:t>)</w:t>
            </w:r>
          </w:p>
        </w:tc>
        <w:tc>
          <w:tcPr>
            <w:tcW w:w="0" w:type="auto"/>
          </w:tcPr>
          <w:p w:rsidR="00952BFB" w:rsidRPr="008115AA" w:rsidRDefault="00952BFB" w:rsidP="00A759EA">
            <w:pPr>
              <w:pStyle w:val="tbltext"/>
            </w:pPr>
            <w:r w:rsidRPr="008115AA">
              <w:t>3 days to 3 years</w:t>
            </w:r>
          </w:p>
        </w:tc>
      </w:tr>
      <w:tr w:rsidR="00952BFB" w:rsidRPr="000540E1" w:rsidTr="0049690C">
        <w:trPr>
          <w:cantSplit/>
        </w:trPr>
        <w:tc>
          <w:tcPr>
            <w:tcW w:w="0" w:type="auto"/>
          </w:tcPr>
          <w:p w:rsidR="00952BFB" w:rsidRDefault="00952BFB" w:rsidP="00A759EA">
            <w:pPr>
              <w:pStyle w:val="tbltext"/>
            </w:pPr>
            <w:r>
              <w:t>3</w:t>
            </w:r>
          </w:p>
        </w:tc>
        <w:tc>
          <w:tcPr>
            <w:tcW w:w="0" w:type="auto"/>
          </w:tcPr>
          <w:p w:rsidR="00952BFB" w:rsidRPr="00A47E48" w:rsidRDefault="00952BFB" w:rsidP="00A759EA">
            <w:pPr>
              <w:pStyle w:val="tbltext"/>
            </w:pPr>
            <w:r>
              <w:t>British pound</w:t>
            </w:r>
          </w:p>
        </w:tc>
        <w:tc>
          <w:tcPr>
            <w:tcW w:w="0" w:type="auto"/>
          </w:tcPr>
          <w:p w:rsidR="00952BFB" w:rsidRPr="00A47E48" w:rsidRDefault="00952BFB" w:rsidP="00A759EA">
            <w:pPr>
              <w:pStyle w:val="tbltext"/>
            </w:pPr>
            <w:r>
              <w:t>London Interbank Offered Rate</w:t>
            </w:r>
            <w:r w:rsidRPr="00A47E48">
              <w:t xml:space="preserve"> </w:t>
            </w:r>
            <w:r>
              <w:t>(</w:t>
            </w:r>
            <w:r w:rsidRPr="00A47E48">
              <w:t>LIBOR</w:t>
            </w:r>
            <w:r>
              <w:t>)</w:t>
            </w:r>
          </w:p>
        </w:tc>
        <w:tc>
          <w:tcPr>
            <w:tcW w:w="0" w:type="auto"/>
          </w:tcPr>
          <w:p w:rsidR="00952BFB" w:rsidRPr="008115AA" w:rsidRDefault="00952BFB" w:rsidP="00A759EA">
            <w:pPr>
              <w:pStyle w:val="tbltext"/>
            </w:pPr>
            <w:r w:rsidRPr="008115AA">
              <w:t>3 days to 3 years</w:t>
            </w:r>
          </w:p>
        </w:tc>
      </w:tr>
      <w:tr w:rsidR="00952BFB" w:rsidRPr="000540E1" w:rsidTr="00952BFB">
        <w:trPr>
          <w:cantSplit/>
          <w:trHeight w:val="70"/>
        </w:trPr>
        <w:tc>
          <w:tcPr>
            <w:tcW w:w="0" w:type="auto"/>
          </w:tcPr>
          <w:p w:rsidR="00952BFB" w:rsidRDefault="00952BFB" w:rsidP="00A759EA">
            <w:pPr>
              <w:pStyle w:val="tbltext"/>
            </w:pPr>
            <w:r>
              <w:t>4</w:t>
            </w:r>
          </w:p>
        </w:tc>
        <w:tc>
          <w:tcPr>
            <w:tcW w:w="0" w:type="auto"/>
          </w:tcPr>
          <w:p w:rsidR="00952BFB" w:rsidRPr="00A47E48" w:rsidRDefault="00952BFB" w:rsidP="00A759EA">
            <w:pPr>
              <w:pStyle w:val="tbltext"/>
            </w:pPr>
            <w:r>
              <w:t>Japanese y</w:t>
            </w:r>
            <w:r w:rsidRPr="00A47E48">
              <w:t>en</w:t>
            </w:r>
          </w:p>
        </w:tc>
        <w:tc>
          <w:tcPr>
            <w:tcW w:w="0" w:type="auto"/>
          </w:tcPr>
          <w:p w:rsidR="00952BFB" w:rsidRPr="00A47E48" w:rsidRDefault="00952BFB" w:rsidP="00A759EA">
            <w:pPr>
              <w:pStyle w:val="tbltext"/>
            </w:pPr>
            <w:r>
              <w:t>London Interbank Offered Rate</w:t>
            </w:r>
            <w:r w:rsidRPr="00A47E48">
              <w:t xml:space="preserve"> </w:t>
            </w:r>
            <w:r>
              <w:t>(</w:t>
            </w:r>
            <w:r w:rsidRPr="00A47E48">
              <w:t>LIBOR</w:t>
            </w:r>
            <w:r>
              <w:t>)</w:t>
            </w:r>
          </w:p>
        </w:tc>
        <w:tc>
          <w:tcPr>
            <w:tcW w:w="0" w:type="auto"/>
          </w:tcPr>
          <w:p w:rsidR="00952BFB" w:rsidRDefault="00952BFB" w:rsidP="00A759EA">
            <w:pPr>
              <w:pStyle w:val="tbltext"/>
            </w:pPr>
            <w:r w:rsidRPr="008115AA">
              <w:t>3 days to 3 years</w:t>
            </w:r>
          </w:p>
        </w:tc>
      </w:tr>
      <w:tr w:rsidR="00952BFB" w:rsidRPr="000540E1" w:rsidTr="0049690C">
        <w:trPr>
          <w:cantSplit/>
        </w:trPr>
        <w:tc>
          <w:tcPr>
            <w:tcW w:w="0" w:type="auto"/>
          </w:tcPr>
          <w:p w:rsidR="00952BFB" w:rsidRDefault="00952BFB" w:rsidP="00A759EA">
            <w:pPr>
              <w:pStyle w:val="tbltext"/>
            </w:pPr>
            <w:r>
              <w:t>5</w:t>
            </w:r>
          </w:p>
        </w:tc>
        <w:tc>
          <w:tcPr>
            <w:tcW w:w="0" w:type="auto"/>
          </w:tcPr>
          <w:p w:rsidR="00952BFB" w:rsidRDefault="00952BFB" w:rsidP="00A759EA">
            <w:pPr>
              <w:pStyle w:val="tbltext"/>
            </w:pPr>
            <w:r>
              <w:t>Australian dollar</w:t>
            </w:r>
          </w:p>
        </w:tc>
        <w:tc>
          <w:tcPr>
            <w:tcW w:w="0" w:type="auto"/>
          </w:tcPr>
          <w:p w:rsidR="00952BFB" w:rsidRDefault="00952BFB" w:rsidP="00A759EA">
            <w:pPr>
              <w:pStyle w:val="tbltext"/>
            </w:pPr>
            <w:r>
              <w:t>Australian Bank Bill Swap Rate (</w:t>
            </w:r>
            <w:r w:rsidRPr="0059024D">
              <w:t>BBSW)</w:t>
            </w:r>
          </w:p>
        </w:tc>
        <w:tc>
          <w:tcPr>
            <w:tcW w:w="0" w:type="auto"/>
          </w:tcPr>
          <w:p w:rsidR="00952BFB" w:rsidRPr="008115AA" w:rsidRDefault="00952BFB" w:rsidP="00A759EA">
            <w:pPr>
              <w:pStyle w:val="tbltext"/>
            </w:pPr>
            <w:r>
              <w:t>3 days to 3 years</w:t>
            </w:r>
          </w:p>
        </w:tc>
      </w:tr>
    </w:tbl>
    <w:p w:rsidR="00F93784" w:rsidRDefault="00D718B7" w:rsidP="00D718B7">
      <w:pPr>
        <w:pStyle w:val="MIRBodyText"/>
      </w:pPr>
      <w:r w:rsidRPr="00B51BF2">
        <w:t>(</w:t>
      </w:r>
      <w:r w:rsidR="0044788C">
        <w:t>4</w:t>
      </w:r>
      <w:r w:rsidRPr="00B51BF2">
        <w:t xml:space="preserve">) </w:t>
      </w:r>
      <w:r>
        <w:t xml:space="preserve">A Derivative that is an Overnight Index Swap </w:t>
      </w:r>
      <w:r w:rsidRPr="00563E7F">
        <w:rPr>
          <w:b/>
          <w:i/>
        </w:rPr>
        <w:t>meets the</w:t>
      </w:r>
      <w:r>
        <w:t xml:space="preserve"> </w:t>
      </w:r>
      <w:r w:rsidRPr="00A675ED">
        <w:rPr>
          <w:b/>
          <w:i/>
        </w:rPr>
        <w:t>IRD Class Specifications</w:t>
      </w:r>
      <w:r>
        <w:t xml:space="preserve"> if </w:t>
      </w:r>
      <w:r w:rsidR="00DC3712">
        <w:t>a row</w:t>
      </w:r>
      <w:r w:rsidRPr="00B51BF2">
        <w:t xml:space="preserve"> of the </w:t>
      </w:r>
      <w:r>
        <w:t>following table</w:t>
      </w:r>
      <w:r w:rsidRPr="00B51BF2">
        <w:t xml:space="preserve"> </w:t>
      </w:r>
      <w:r w:rsidR="00DC3712">
        <w:t>contains</w:t>
      </w:r>
      <w:r w:rsidR="00F93784">
        <w:t>:</w:t>
      </w:r>
    </w:p>
    <w:p w:rsidR="00F93784" w:rsidRPr="00B51BF2" w:rsidRDefault="00F93784" w:rsidP="00F93784">
      <w:pPr>
        <w:pStyle w:val="MIRSubpara"/>
      </w:pPr>
      <w:r w:rsidRPr="00B51BF2">
        <w:t xml:space="preserve">the </w:t>
      </w:r>
      <w:r>
        <w:t>Currency</w:t>
      </w:r>
      <w:r w:rsidRPr="00B51BF2">
        <w:t xml:space="preserve"> in which the notional principal amount and payment</w:t>
      </w:r>
      <w:r>
        <w:t>s</w:t>
      </w:r>
      <w:r w:rsidRPr="00B51BF2">
        <w:t xml:space="preserve"> </w:t>
      </w:r>
      <w:r>
        <w:t>under</w:t>
      </w:r>
      <w:r w:rsidRPr="00B51BF2">
        <w:t xml:space="preserve"> the Derivative are denominated; and</w:t>
      </w:r>
    </w:p>
    <w:p w:rsidR="00F93784" w:rsidRDefault="00F93784" w:rsidP="00F93784">
      <w:pPr>
        <w:pStyle w:val="MIRSubpara"/>
      </w:pPr>
      <w:r w:rsidRPr="00B51BF2">
        <w:t xml:space="preserve">the </w:t>
      </w:r>
      <w:r>
        <w:t>Floating Rate Index</w:t>
      </w:r>
      <w:r w:rsidRPr="00B51BF2">
        <w:t xml:space="preserve"> on which the floating rate for the Derivative is based; and</w:t>
      </w:r>
    </w:p>
    <w:p w:rsidR="00F93784" w:rsidRDefault="00F93784" w:rsidP="00FE01DD">
      <w:pPr>
        <w:pStyle w:val="MIRSubpara"/>
        <w:spacing w:after="120"/>
      </w:pPr>
      <w:r w:rsidRPr="00B51BF2">
        <w:t xml:space="preserve">a </w:t>
      </w:r>
      <w:r>
        <w:t>Termination Date Range that</w:t>
      </w:r>
      <w:r w:rsidRPr="00B51BF2">
        <w:t xml:space="preserve"> includes the period from entry into the Derivative</w:t>
      </w:r>
      <w:r w:rsidRPr="00A759EA">
        <w:t xml:space="preserve"> </w:t>
      </w:r>
      <w:r w:rsidRPr="00B51BF2">
        <w:t>until the termination date for the Derivative</w:t>
      </w:r>
      <w:r>
        <w:t>.</w:t>
      </w:r>
    </w:p>
    <w:tbl>
      <w:tblPr>
        <w:tblW w:w="0" w:type="auto"/>
        <w:tblInd w:w="959" w:type="dxa"/>
        <w:tblBorders>
          <w:top w:val="single" w:sz="4" w:space="0" w:color="999999"/>
          <w:bottom w:val="single" w:sz="4" w:space="0" w:color="999999"/>
          <w:insideH w:val="single" w:sz="4" w:space="0" w:color="999999"/>
        </w:tblBorders>
        <w:tblCellMar>
          <w:bottom w:w="113" w:type="dxa"/>
        </w:tblCellMar>
        <w:tblLook w:val="0000" w:firstRow="0" w:lastRow="0" w:firstColumn="0" w:lastColumn="0" w:noHBand="0" w:noVBand="0"/>
      </w:tblPr>
      <w:tblGrid>
        <w:gridCol w:w="788"/>
        <w:gridCol w:w="1508"/>
        <w:gridCol w:w="3470"/>
        <w:gridCol w:w="2489"/>
      </w:tblGrid>
      <w:tr w:rsidR="00FE01DD" w:rsidRPr="000540E1" w:rsidTr="006E0E78">
        <w:trPr>
          <w:cantSplit/>
          <w:tblHeader/>
        </w:trPr>
        <w:tc>
          <w:tcPr>
            <w:tcW w:w="0" w:type="auto"/>
            <w:gridSpan w:val="4"/>
            <w:shd w:val="clear" w:color="auto" w:fill="C2E3FA"/>
          </w:tcPr>
          <w:p w:rsidR="00FE01DD" w:rsidRDefault="00FE01DD" w:rsidP="00D718B7">
            <w:pPr>
              <w:pStyle w:val="tablehead"/>
              <w:jc w:val="center"/>
            </w:pPr>
            <w:r>
              <w:t>IRD Class Specifications for Overnight Index Swaps</w:t>
            </w:r>
          </w:p>
        </w:tc>
      </w:tr>
      <w:tr w:rsidR="00952BFB" w:rsidRPr="000540E1" w:rsidTr="00952BFB">
        <w:trPr>
          <w:cantSplit/>
          <w:tblHeader/>
        </w:trPr>
        <w:tc>
          <w:tcPr>
            <w:tcW w:w="788" w:type="dxa"/>
            <w:shd w:val="clear" w:color="auto" w:fill="C2E3FA"/>
          </w:tcPr>
          <w:p w:rsidR="00952BFB" w:rsidRPr="00952BFB" w:rsidRDefault="00952BFB" w:rsidP="00A759EA">
            <w:pPr>
              <w:pStyle w:val="tablehead"/>
              <w:rPr>
                <w:spacing w:val="-4"/>
              </w:rPr>
            </w:pPr>
            <w:r w:rsidRPr="00952BFB">
              <w:rPr>
                <w:spacing w:val="-4"/>
              </w:rPr>
              <w:t>Item</w:t>
            </w:r>
          </w:p>
        </w:tc>
        <w:tc>
          <w:tcPr>
            <w:tcW w:w="1508" w:type="dxa"/>
            <w:shd w:val="clear" w:color="auto" w:fill="C2E3FA"/>
          </w:tcPr>
          <w:p w:rsidR="00952BFB" w:rsidRPr="000540E1" w:rsidRDefault="00952BFB" w:rsidP="00A759EA">
            <w:pPr>
              <w:pStyle w:val="tablehead"/>
            </w:pPr>
            <w:r w:rsidRPr="00DF3569">
              <w:t>Currency</w:t>
            </w:r>
          </w:p>
        </w:tc>
        <w:tc>
          <w:tcPr>
            <w:tcW w:w="3470" w:type="dxa"/>
            <w:shd w:val="clear" w:color="auto" w:fill="C2E3FA"/>
          </w:tcPr>
          <w:p w:rsidR="00952BFB" w:rsidRPr="000540E1" w:rsidRDefault="00952BFB" w:rsidP="00A759EA">
            <w:pPr>
              <w:pStyle w:val="tablehead"/>
            </w:pPr>
            <w:r w:rsidRPr="00DF3569">
              <w:t>Floating Rate Index</w:t>
            </w:r>
          </w:p>
        </w:tc>
        <w:tc>
          <w:tcPr>
            <w:tcW w:w="2489" w:type="dxa"/>
            <w:shd w:val="clear" w:color="auto" w:fill="C2E3FA"/>
          </w:tcPr>
          <w:p w:rsidR="00952BFB" w:rsidRPr="000540E1" w:rsidRDefault="00952BFB" w:rsidP="00A759EA">
            <w:pPr>
              <w:pStyle w:val="tablehead"/>
            </w:pPr>
            <w:r w:rsidRPr="00DF3569">
              <w:t>Termination Date Range</w:t>
            </w:r>
          </w:p>
        </w:tc>
      </w:tr>
      <w:tr w:rsidR="00952BFB" w:rsidRPr="000540E1" w:rsidTr="00952BFB">
        <w:trPr>
          <w:cantSplit/>
        </w:trPr>
        <w:tc>
          <w:tcPr>
            <w:tcW w:w="788" w:type="dxa"/>
          </w:tcPr>
          <w:p w:rsidR="00952BFB" w:rsidRDefault="00952BFB" w:rsidP="00A759EA">
            <w:pPr>
              <w:pStyle w:val="tbltext"/>
            </w:pPr>
            <w:r>
              <w:t>1</w:t>
            </w:r>
          </w:p>
        </w:tc>
        <w:tc>
          <w:tcPr>
            <w:tcW w:w="1508" w:type="dxa"/>
          </w:tcPr>
          <w:p w:rsidR="00952BFB" w:rsidRPr="00A47E48" w:rsidRDefault="00952BFB" w:rsidP="00A759EA">
            <w:pPr>
              <w:pStyle w:val="tbltext"/>
            </w:pPr>
            <w:r>
              <w:t>U</w:t>
            </w:r>
            <w:r w:rsidRPr="00A47E48">
              <w:t>S</w:t>
            </w:r>
            <w:r>
              <w:t xml:space="preserve"> d</w:t>
            </w:r>
            <w:r w:rsidRPr="00A47E48">
              <w:t xml:space="preserve">ollar </w:t>
            </w:r>
          </w:p>
        </w:tc>
        <w:tc>
          <w:tcPr>
            <w:tcW w:w="3470" w:type="dxa"/>
          </w:tcPr>
          <w:p w:rsidR="00952BFB" w:rsidRPr="00952BFB" w:rsidRDefault="00952BFB" w:rsidP="00A759EA">
            <w:pPr>
              <w:pStyle w:val="tbltext"/>
              <w:rPr>
                <w:spacing w:val="-4"/>
              </w:rPr>
            </w:pPr>
            <w:r w:rsidRPr="00952BFB">
              <w:rPr>
                <w:spacing w:val="-4"/>
              </w:rPr>
              <w:t>Effective Federal Funds Rate (FedFunds)</w:t>
            </w:r>
          </w:p>
        </w:tc>
        <w:tc>
          <w:tcPr>
            <w:tcW w:w="2489" w:type="dxa"/>
          </w:tcPr>
          <w:p w:rsidR="00952BFB" w:rsidRPr="002A7B29" w:rsidRDefault="00952BFB" w:rsidP="00A759EA">
            <w:pPr>
              <w:pStyle w:val="tbltext"/>
            </w:pPr>
            <w:r w:rsidRPr="002A7B29">
              <w:t>7 days to 2 years</w:t>
            </w:r>
          </w:p>
        </w:tc>
      </w:tr>
      <w:tr w:rsidR="00952BFB" w:rsidRPr="000540E1" w:rsidTr="00952BFB">
        <w:trPr>
          <w:cantSplit/>
        </w:trPr>
        <w:tc>
          <w:tcPr>
            <w:tcW w:w="788" w:type="dxa"/>
          </w:tcPr>
          <w:p w:rsidR="00952BFB" w:rsidRPr="00A47E48" w:rsidRDefault="00952BFB" w:rsidP="00A759EA">
            <w:pPr>
              <w:pStyle w:val="tbltext"/>
            </w:pPr>
            <w:r>
              <w:t>2</w:t>
            </w:r>
          </w:p>
        </w:tc>
        <w:tc>
          <w:tcPr>
            <w:tcW w:w="1508" w:type="dxa"/>
          </w:tcPr>
          <w:p w:rsidR="00952BFB" w:rsidRPr="00A47E48" w:rsidRDefault="001B0046" w:rsidP="00A759EA">
            <w:pPr>
              <w:pStyle w:val="tbltext"/>
            </w:pPr>
            <w:r>
              <w:t>e</w:t>
            </w:r>
            <w:r w:rsidR="00952BFB" w:rsidRPr="00A47E48">
              <w:t>uro</w:t>
            </w:r>
          </w:p>
        </w:tc>
        <w:tc>
          <w:tcPr>
            <w:tcW w:w="3470" w:type="dxa"/>
          </w:tcPr>
          <w:p w:rsidR="00952BFB" w:rsidRPr="00952BFB" w:rsidRDefault="00952BFB" w:rsidP="00A759EA">
            <w:pPr>
              <w:pStyle w:val="tbltext"/>
              <w:rPr>
                <w:spacing w:val="-4"/>
              </w:rPr>
            </w:pPr>
            <w:r w:rsidRPr="00952BFB">
              <w:rPr>
                <w:spacing w:val="-4"/>
              </w:rPr>
              <w:t>Euro Overnight Index Average (EONIA)</w:t>
            </w:r>
          </w:p>
        </w:tc>
        <w:tc>
          <w:tcPr>
            <w:tcW w:w="2489" w:type="dxa"/>
          </w:tcPr>
          <w:p w:rsidR="00952BFB" w:rsidRPr="002A7B29" w:rsidRDefault="00952BFB" w:rsidP="00A759EA">
            <w:pPr>
              <w:pStyle w:val="tbltext"/>
            </w:pPr>
            <w:r w:rsidRPr="002A7B29">
              <w:t>7 days to 2 years</w:t>
            </w:r>
          </w:p>
        </w:tc>
      </w:tr>
      <w:tr w:rsidR="00952BFB" w:rsidRPr="000540E1" w:rsidTr="00952BFB">
        <w:trPr>
          <w:cantSplit/>
        </w:trPr>
        <w:tc>
          <w:tcPr>
            <w:tcW w:w="788" w:type="dxa"/>
          </w:tcPr>
          <w:p w:rsidR="00952BFB" w:rsidRDefault="00952BFB" w:rsidP="00A759EA">
            <w:pPr>
              <w:pStyle w:val="tbltext"/>
            </w:pPr>
            <w:r>
              <w:t>3</w:t>
            </w:r>
          </w:p>
        </w:tc>
        <w:tc>
          <w:tcPr>
            <w:tcW w:w="1508" w:type="dxa"/>
          </w:tcPr>
          <w:p w:rsidR="00952BFB" w:rsidRPr="00A47E48" w:rsidRDefault="00952BFB" w:rsidP="00A759EA">
            <w:pPr>
              <w:pStyle w:val="tbltext"/>
            </w:pPr>
            <w:r>
              <w:t>British pound</w:t>
            </w:r>
          </w:p>
        </w:tc>
        <w:tc>
          <w:tcPr>
            <w:tcW w:w="3470" w:type="dxa"/>
          </w:tcPr>
          <w:p w:rsidR="00952BFB" w:rsidRPr="00952BFB" w:rsidRDefault="00952BFB" w:rsidP="00A759EA">
            <w:pPr>
              <w:pStyle w:val="tbltext"/>
              <w:rPr>
                <w:spacing w:val="-4"/>
              </w:rPr>
            </w:pPr>
            <w:r w:rsidRPr="00952BFB">
              <w:rPr>
                <w:spacing w:val="-4"/>
              </w:rPr>
              <w:t>Sterling Overnight Interbank Average Rate (SONIA)</w:t>
            </w:r>
          </w:p>
        </w:tc>
        <w:tc>
          <w:tcPr>
            <w:tcW w:w="2489" w:type="dxa"/>
          </w:tcPr>
          <w:p w:rsidR="00952BFB" w:rsidRDefault="00952BFB" w:rsidP="00A759EA">
            <w:pPr>
              <w:pStyle w:val="tbltext"/>
            </w:pPr>
            <w:r w:rsidRPr="002A7B29">
              <w:t>7 days to 2 years</w:t>
            </w:r>
          </w:p>
        </w:tc>
      </w:tr>
      <w:tr w:rsidR="00952BFB" w:rsidRPr="000540E1" w:rsidTr="00952BFB">
        <w:trPr>
          <w:cantSplit/>
        </w:trPr>
        <w:tc>
          <w:tcPr>
            <w:tcW w:w="788" w:type="dxa"/>
          </w:tcPr>
          <w:p w:rsidR="00952BFB" w:rsidRDefault="00952BFB" w:rsidP="00A759EA">
            <w:pPr>
              <w:pStyle w:val="tbltext"/>
            </w:pPr>
            <w:r>
              <w:t>4</w:t>
            </w:r>
          </w:p>
        </w:tc>
        <w:tc>
          <w:tcPr>
            <w:tcW w:w="1508" w:type="dxa"/>
          </w:tcPr>
          <w:p w:rsidR="00952BFB" w:rsidRDefault="00952BFB" w:rsidP="00A759EA">
            <w:pPr>
              <w:pStyle w:val="tbltext"/>
            </w:pPr>
            <w:r>
              <w:t>Australian dollar</w:t>
            </w:r>
          </w:p>
        </w:tc>
        <w:tc>
          <w:tcPr>
            <w:tcW w:w="3470" w:type="dxa"/>
          </w:tcPr>
          <w:p w:rsidR="00952BFB" w:rsidRPr="00952BFB" w:rsidRDefault="00952BFB" w:rsidP="00A759EA">
            <w:pPr>
              <w:pStyle w:val="tbltext"/>
              <w:rPr>
                <w:spacing w:val="-4"/>
              </w:rPr>
            </w:pPr>
            <w:r w:rsidRPr="00952BFB">
              <w:rPr>
                <w:spacing w:val="-4"/>
              </w:rPr>
              <w:t>RBA Interbank Overnight Cash Rate (IBOC)</w:t>
            </w:r>
          </w:p>
        </w:tc>
        <w:tc>
          <w:tcPr>
            <w:tcW w:w="2489" w:type="dxa"/>
          </w:tcPr>
          <w:p w:rsidR="00952BFB" w:rsidRPr="002A7B29" w:rsidRDefault="00952BFB" w:rsidP="00A759EA">
            <w:pPr>
              <w:pStyle w:val="tbltext"/>
            </w:pPr>
            <w:r>
              <w:t>7 days to 2 years</w:t>
            </w:r>
          </w:p>
        </w:tc>
      </w:tr>
    </w:tbl>
    <w:p w:rsidR="0044788C" w:rsidRDefault="0044788C" w:rsidP="00625181">
      <w:pPr>
        <w:pStyle w:val="MIRBodyText"/>
      </w:pPr>
      <w:r>
        <w:t>(5)</w:t>
      </w:r>
      <w:r w:rsidR="0087458A">
        <w:t xml:space="preserve"> </w:t>
      </w:r>
      <w:r w:rsidR="008F43F8">
        <w:t>A</w:t>
      </w:r>
      <w:r w:rsidRPr="00B51BF2">
        <w:t xml:space="preserve"> reference to a </w:t>
      </w:r>
      <w:r w:rsidR="0087458A">
        <w:t xml:space="preserve">type of </w:t>
      </w:r>
      <w:r w:rsidRPr="00B51BF2">
        <w:t>Floating Rate Index</w:t>
      </w:r>
      <w:r w:rsidR="008F43F8">
        <w:t xml:space="preserve"> in a table in this Rule</w:t>
      </w:r>
      <w:r w:rsidRPr="00B51BF2">
        <w:t xml:space="preserve"> includes a reference to any successor to that Floating Rate Index</w:t>
      </w:r>
      <w:r w:rsidR="008F43F8">
        <w:t>.</w:t>
      </w:r>
    </w:p>
    <w:p w:rsidR="0087458A" w:rsidRDefault="0087458A" w:rsidP="00625181">
      <w:pPr>
        <w:pStyle w:val="MIRBodyText"/>
      </w:pPr>
      <w:r>
        <w:t>(6) A Derivative is not a Clearing Derivative if under the Derivative:</w:t>
      </w:r>
    </w:p>
    <w:p w:rsidR="0087458A" w:rsidRPr="00A759EA" w:rsidRDefault="0087458A" w:rsidP="00100872">
      <w:pPr>
        <w:pStyle w:val="MIRHeading5"/>
      </w:pPr>
      <w:r>
        <w:t>O</w:t>
      </w:r>
      <w:r w:rsidRPr="00A759EA">
        <w:t xml:space="preserve">ptionality </w:t>
      </w:r>
    </w:p>
    <w:p w:rsidR="0087458A" w:rsidRPr="00A759EA" w:rsidRDefault="0087458A" w:rsidP="004C50EA">
      <w:pPr>
        <w:pStyle w:val="MIRSubpara"/>
      </w:pPr>
      <w:r w:rsidRPr="004C50EA">
        <w:rPr>
          <w:rStyle w:val="MIRPenaltyChar"/>
        </w:rPr>
        <w:t>either party is granted an option which, if exercised, would or might affect the amount, timing or form of the consideration that would otherwise be provided under</w:t>
      </w:r>
      <w:r w:rsidRPr="00A759EA">
        <w:t xml:space="preserve"> the Derivative by a party to the Derivative; </w:t>
      </w:r>
      <w:r w:rsidR="00EE5119">
        <w:t>or</w:t>
      </w:r>
    </w:p>
    <w:p w:rsidR="0087458A" w:rsidRPr="00A759EA" w:rsidRDefault="0087458A" w:rsidP="0087458A">
      <w:pPr>
        <w:pStyle w:val="MIRNote"/>
      </w:pPr>
      <w:r w:rsidRPr="00A759EA">
        <w:t>Note: A Derivative that gave a party the ability to change the notional principal amount at its election would be an example of optionality. This type of optionality would also fall within paragraph (</w:t>
      </w:r>
      <w:r w:rsidR="00206331">
        <w:t>c</w:t>
      </w:r>
      <w:r w:rsidRPr="00A759EA">
        <w:t>).</w:t>
      </w:r>
    </w:p>
    <w:p w:rsidR="0087458A" w:rsidRPr="00A759EA" w:rsidRDefault="0087458A" w:rsidP="00100872">
      <w:pPr>
        <w:pStyle w:val="MIRHeading5"/>
      </w:pPr>
      <w:r>
        <w:t>M</w:t>
      </w:r>
      <w:r w:rsidRPr="00A759EA">
        <w:t>ulti-currency</w:t>
      </w:r>
    </w:p>
    <w:p w:rsidR="0087458A" w:rsidRDefault="0087458A" w:rsidP="004C50EA">
      <w:pPr>
        <w:pStyle w:val="MIRSubpara"/>
      </w:pPr>
      <w:r w:rsidRPr="00A759EA">
        <w:t xml:space="preserve">the notional principal amount and </w:t>
      </w:r>
      <w:r>
        <w:t>payments</w:t>
      </w:r>
      <w:r w:rsidRPr="00A759EA">
        <w:t xml:space="preserve"> </w:t>
      </w:r>
      <w:r>
        <w:t xml:space="preserve">under the Derivative are not all </w:t>
      </w:r>
      <w:r w:rsidRPr="00A759EA">
        <w:t xml:space="preserve">denominated in </w:t>
      </w:r>
      <w:r>
        <w:t>the same</w:t>
      </w:r>
      <w:r w:rsidRPr="00A759EA">
        <w:t xml:space="preserve"> currency;</w:t>
      </w:r>
      <w:r w:rsidR="00EE5119">
        <w:t xml:space="preserve"> or</w:t>
      </w:r>
    </w:p>
    <w:p w:rsidR="001F7E68" w:rsidRPr="00A759EA" w:rsidRDefault="001F7E68" w:rsidP="001F7E68">
      <w:pPr>
        <w:pStyle w:val="MIRNote"/>
      </w:pPr>
      <w:r>
        <w:t>Note: Such a Derivative would also not be a Clearing Derivative because it would not meet the IRD Class Specifications: see paragraphs (2)(a), (3)(a) and (4)(a).</w:t>
      </w:r>
    </w:p>
    <w:p w:rsidR="0087458A" w:rsidRPr="00A759EA" w:rsidRDefault="0087458A" w:rsidP="00100872">
      <w:pPr>
        <w:pStyle w:val="MIRHeading5"/>
      </w:pPr>
      <w:r>
        <w:t>C</w:t>
      </w:r>
      <w:r w:rsidRPr="00A759EA">
        <w:t xml:space="preserve">onditional notional principal amount </w:t>
      </w:r>
    </w:p>
    <w:p w:rsidR="0087458A" w:rsidRDefault="0087458A" w:rsidP="004C50EA">
      <w:pPr>
        <w:pStyle w:val="MIRSubpara"/>
      </w:pPr>
      <w:r w:rsidRPr="00A759EA">
        <w:t xml:space="preserve">the notional principal amount </w:t>
      </w:r>
      <w:r>
        <w:t>will or may</w:t>
      </w:r>
      <w:r w:rsidRPr="00A759EA">
        <w:t xml:space="preserve"> change upon the occurrence of a </w:t>
      </w:r>
      <w:r>
        <w:t>specified future event where, at the time of entry into the Derivative, at least one of the following is uncertain:</w:t>
      </w:r>
    </w:p>
    <w:p w:rsidR="0087458A" w:rsidRDefault="0087458A" w:rsidP="004C50EA">
      <w:pPr>
        <w:pStyle w:val="MIRSubsubpara"/>
      </w:pPr>
      <w:r>
        <w:t>when the future event</w:t>
      </w:r>
      <w:r w:rsidR="00C34994">
        <w:t xml:space="preserve"> </w:t>
      </w:r>
      <w:r>
        <w:t>will occur;</w:t>
      </w:r>
    </w:p>
    <w:p w:rsidR="0087458A" w:rsidRDefault="0087458A" w:rsidP="004C50EA">
      <w:pPr>
        <w:pStyle w:val="MIRSubsubpara"/>
      </w:pPr>
      <w:r>
        <w:t>whether the future event</w:t>
      </w:r>
      <w:r w:rsidR="00C34994">
        <w:t xml:space="preserve"> </w:t>
      </w:r>
      <w:r>
        <w:t>will occur.</w:t>
      </w:r>
    </w:p>
    <w:p w:rsidR="00625181" w:rsidRDefault="00625181" w:rsidP="00625181">
      <w:pPr>
        <w:pStyle w:val="MIRBodyText"/>
      </w:pPr>
      <w:r>
        <w:t>(</w:t>
      </w:r>
      <w:r w:rsidR="0087458A">
        <w:t>7</w:t>
      </w:r>
      <w:r>
        <w:t xml:space="preserve">) </w:t>
      </w:r>
      <w:r w:rsidR="00A759EA">
        <w:t xml:space="preserve">A </w:t>
      </w:r>
      <w:r>
        <w:t xml:space="preserve">Derivative is not a </w:t>
      </w:r>
      <w:r w:rsidR="005C3EE7" w:rsidRPr="0087458A">
        <w:rPr>
          <w:bCs/>
          <w:iCs/>
        </w:rPr>
        <w:t>Clearing Derivative</w:t>
      </w:r>
      <w:r>
        <w:t xml:space="preserve"> if:</w:t>
      </w:r>
    </w:p>
    <w:p w:rsidR="00625181" w:rsidRDefault="00625181" w:rsidP="00625181">
      <w:pPr>
        <w:pStyle w:val="MIRSubpara"/>
      </w:pPr>
      <w:r>
        <w:t>the Derivative is able to be traded (within the meaning of section 761A of the Act) on a Part 7.2A Market</w:t>
      </w:r>
      <w:r w:rsidR="004A663C">
        <w:t>,</w:t>
      </w:r>
      <w:r>
        <w:t xml:space="preserve"> a Regulated Foreign Market</w:t>
      </w:r>
      <w:r w:rsidR="004A663C">
        <w:t xml:space="preserve"> or a</w:t>
      </w:r>
      <w:r w:rsidR="00F141B9">
        <w:t>n</w:t>
      </w:r>
      <w:r w:rsidR="004A663C">
        <w:t xml:space="preserve"> </w:t>
      </w:r>
      <w:r w:rsidR="00F141B9">
        <w:t xml:space="preserve">Exempt </w:t>
      </w:r>
      <w:r w:rsidR="004A663C">
        <w:t>Financial Market</w:t>
      </w:r>
      <w:r>
        <w:t>; and</w:t>
      </w:r>
    </w:p>
    <w:p w:rsidR="00625181" w:rsidRPr="00D84720" w:rsidRDefault="00625181" w:rsidP="00625181">
      <w:pPr>
        <w:pStyle w:val="MIRSubpara"/>
        <w:rPr>
          <w:spacing w:val="-2"/>
        </w:rPr>
      </w:pPr>
      <w:r w:rsidRPr="00D84720">
        <w:rPr>
          <w:spacing w:val="-2"/>
        </w:rPr>
        <w:t>in the case of a Part 7.2A Market, the entry into of the arrangement that is the Derivative:</w:t>
      </w:r>
    </w:p>
    <w:p w:rsidR="00625181" w:rsidRDefault="00625181" w:rsidP="00625181">
      <w:pPr>
        <w:pStyle w:val="MIRSubsubpara"/>
      </w:pPr>
      <w:r>
        <w:t xml:space="preserve">takes place on the Part 7.2A Market in accordance with the </w:t>
      </w:r>
      <w:r w:rsidR="00AC145B">
        <w:t>o</w:t>
      </w:r>
      <w:r>
        <w:t xml:space="preserve">perating </w:t>
      </w:r>
      <w:r w:rsidR="00AC145B">
        <w:t>r</w:t>
      </w:r>
      <w:r>
        <w:t xml:space="preserve">ules of the Part 7.2A Market; or </w:t>
      </w:r>
    </w:p>
    <w:p w:rsidR="00625181" w:rsidRPr="00D84720" w:rsidRDefault="00625181" w:rsidP="00625181">
      <w:pPr>
        <w:pStyle w:val="MIRSubsubpara"/>
        <w:rPr>
          <w:spacing w:val="-4"/>
        </w:rPr>
      </w:pPr>
      <w:r w:rsidRPr="00D84720">
        <w:rPr>
          <w:spacing w:val="-4"/>
        </w:rPr>
        <w:t>is reported to the operator of the Part 7.2A Market in its capacity as operator of the Part</w:t>
      </w:r>
      <w:r w:rsidR="001025DC">
        <w:rPr>
          <w:spacing w:val="-4"/>
        </w:rPr>
        <w:t> </w:t>
      </w:r>
      <w:r w:rsidRPr="00D84720">
        <w:rPr>
          <w:spacing w:val="-4"/>
        </w:rPr>
        <w:t xml:space="preserve">7.2A Market, in accordance with the </w:t>
      </w:r>
      <w:r w:rsidR="00AC145B" w:rsidRPr="00D84720">
        <w:rPr>
          <w:spacing w:val="-4"/>
        </w:rPr>
        <w:t>o</w:t>
      </w:r>
      <w:r w:rsidRPr="00D84720">
        <w:rPr>
          <w:spacing w:val="-4"/>
        </w:rPr>
        <w:t xml:space="preserve">perating </w:t>
      </w:r>
      <w:r w:rsidR="00AC145B" w:rsidRPr="00D84720">
        <w:rPr>
          <w:spacing w:val="-4"/>
        </w:rPr>
        <w:t>r</w:t>
      </w:r>
      <w:r w:rsidRPr="00D84720">
        <w:rPr>
          <w:spacing w:val="-4"/>
        </w:rPr>
        <w:t xml:space="preserve">ules of the Part 7.2A Market; </w:t>
      </w:r>
      <w:r w:rsidR="001F7E68" w:rsidRPr="00D84720">
        <w:rPr>
          <w:spacing w:val="-4"/>
        </w:rPr>
        <w:t>and</w:t>
      </w:r>
    </w:p>
    <w:p w:rsidR="00625181" w:rsidRDefault="00625181" w:rsidP="00625181">
      <w:pPr>
        <w:pStyle w:val="MIRSubpara"/>
      </w:pPr>
      <w:r>
        <w:t>in the case of a Regulated Foreign Market</w:t>
      </w:r>
      <w:r w:rsidR="004A663C">
        <w:t xml:space="preserve"> or a</w:t>
      </w:r>
      <w:r w:rsidR="00F141B9">
        <w:t>n</w:t>
      </w:r>
      <w:r w:rsidR="004A663C">
        <w:t xml:space="preserve"> </w:t>
      </w:r>
      <w:r w:rsidR="00F141B9">
        <w:t>Exempt</w:t>
      </w:r>
      <w:r w:rsidR="004A663C">
        <w:t xml:space="preserve"> Financial Market</w:t>
      </w:r>
      <w:r>
        <w:t>, the entry into of the arrangement that is the Derivative takes place on the Regulated Foreign Market</w:t>
      </w:r>
      <w:r w:rsidR="004A663C">
        <w:t xml:space="preserve"> or the </w:t>
      </w:r>
      <w:r w:rsidR="00F141B9">
        <w:t>Exempt</w:t>
      </w:r>
      <w:r w:rsidR="004A663C">
        <w:t xml:space="preserve"> Financial Market</w:t>
      </w:r>
      <w:r>
        <w:t>.</w:t>
      </w:r>
    </w:p>
    <w:p w:rsidR="00996F2E" w:rsidRDefault="00996F2E" w:rsidP="00996F2E">
      <w:pPr>
        <w:pStyle w:val="MIRBodyText"/>
      </w:pPr>
      <w:r>
        <w:t>(</w:t>
      </w:r>
      <w:r w:rsidR="00EC7B6A">
        <w:t>8</w:t>
      </w:r>
      <w:r>
        <w:t xml:space="preserve">) A Derivative is not a </w:t>
      </w:r>
      <w:r w:rsidRPr="0087458A">
        <w:rPr>
          <w:bCs/>
          <w:iCs/>
        </w:rPr>
        <w:t>Clearing Derivative</w:t>
      </w:r>
      <w:r>
        <w:t xml:space="preserve"> if</w:t>
      </w:r>
      <w:r w:rsidR="00C22F25">
        <w:t xml:space="preserve"> both the following are satisfied</w:t>
      </w:r>
      <w:r>
        <w:t>:</w:t>
      </w:r>
    </w:p>
    <w:p w:rsidR="00C22F25" w:rsidRDefault="00C22F25" w:rsidP="00996F2E">
      <w:pPr>
        <w:pStyle w:val="MIRSubpara"/>
      </w:pPr>
      <w:r>
        <w:t xml:space="preserve">the </w:t>
      </w:r>
      <w:r w:rsidRPr="00A759EA">
        <w:t xml:space="preserve">notional principal amount and </w:t>
      </w:r>
      <w:r>
        <w:t>payments</w:t>
      </w:r>
      <w:r w:rsidRPr="00A759EA">
        <w:t xml:space="preserve"> </w:t>
      </w:r>
      <w:r>
        <w:t xml:space="preserve">under the Derivative are </w:t>
      </w:r>
      <w:r w:rsidRPr="00A759EA">
        <w:t xml:space="preserve">denominated in </w:t>
      </w:r>
      <w:r>
        <w:t xml:space="preserve">Australian dollars; </w:t>
      </w:r>
    </w:p>
    <w:p w:rsidR="00C22F25" w:rsidRDefault="00C22F25" w:rsidP="00996F2E">
      <w:pPr>
        <w:pStyle w:val="MIRSubpara"/>
      </w:pPr>
      <w:r>
        <w:t>the Derivative is either:</w:t>
      </w:r>
    </w:p>
    <w:p w:rsidR="00996F2E" w:rsidRDefault="00C22F25" w:rsidP="00C22F25">
      <w:pPr>
        <w:pStyle w:val="MIRSubsubpara"/>
      </w:pPr>
      <w:r>
        <w:t xml:space="preserve">an Overnight Index Swap that was entered into before </w:t>
      </w:r>
      <w:r w:rsidR="00140B28">
        <w:t>3 October</w:t>
      </w:r>
      <w:r w:rsidR="00ED7E05">
        <w:t xml:space="preserve"> 2016</w:t>
      </w:r>
      <w:r w:rsidR="00167219">
        <w:t>; or</w:t>
      </w:r>
    </w:p>
    <w:p w:rsidR="00167219" w:rsidRDefault="00167219" w:rsidP="00C22F25">
      <w:pPr>
        <w:pStyle w:val="MIRSubsubpara"/>
      </w:pPr>
      <w:r>
        <w:t xml:space="preserve">a Forward Rate Agreement that was entered into before </w:t>
      </w:r>
      <w:r w:rsidR="00140B28">
        <w:t>2 April 2018.</w:t>
      </w:r>
    </w:p>
    <w:p w:rsidR="003E6FF5" w:rsidRPr="00F76596" w:rsidRDefault="00167219" w:rsidP="00167219">
      <w:pPr>
        <w:pStyle w:val="MIRHeading3Rule"/>
        <w:ind w:left="0" w:firstLine="0"/>
      </w:pPr>
      <w:r>
        <w:t>1.2.4</w:t>
      </w:r>
      <w:r>
        <w:tab/>
      </w:r>
      <w:r w:rsidR="00D24476">
        <w:t xml:space="preserve">Meaning of Clearing Entity </w:t>
      </w:r>
    </w:p>
    <w:p w:rsidR="00995980" w:rsidRDefault="00B73649" w:rsidP="00995980">
      <w:pPr>
        <w:pStyle w:val="MIRBodyText"/>
      </w:pPr>
      <w:r>
        <w:t xml:space="preserve">(1) </w:t>
      </w:r>
      <w:r w:rsidR="00995980">
        <w:t xml:space="preserve">An entity is a </w:t>
      </w:r>
      <w:r w:rsidR="00995980" w:rsidRPr="00995980">
        <w:rPr>
          <w:b/>
          <w:i/>
        </w:rPr>
        <w:t>Clearing Entity</w:t>
      </w:r>
      <w:r w:rsidR="00995980">
        <w:t xml:space="preserve"> </w:t>
      </w:r>
      <w:r w:rsidR="00B8602C">
        <w:t xml:space="preserve">in relation to a Derivative Transaction </w:t>
      </w:r>
      <w:r w:rsidR="00995980">
        <w:t>if it is an Australian Clearing Entity or a Foreign Clearing Entity</w:t>
      </w:r>
      <w:r w:rsidR="00B8602C">
        <w:t xml:space="preserve"> in relation to the Derivative Transaction</w:t>
      </w:r>
      <w:r w:rsidR="00995980">
        <w:t>.</w:t>
      </w:r>
    </w:p>
    <w:p w:rsidR="00B756E4" w:rsidRDefault="00915FBC" w:rsidP="00915FBC">
      <w:pPr>
        <w:pStyle w:val="MIRBodyText"/>
        <w:numPr>
          <w:ilvl w:val="0"/>
          <w:numId w:val="0"/>
        </w:numPr>
        <w:ind w:left="851"/>
      </w:pPr>
      <w:r>
        <w:t xml:space="preserve">(2) </w:t>
      </w:r>
      <w:r w:rsidR="00276D0E">
        <w:t>A</w:t>
      </w:r>
      <w:r w:rsidR="00EE5119">
        <w:t>n</w:t>
      </w:r>
      <w:r w:rsidR="00995980">
        <w:t xml:space="preserve"> </w:t>
      </w:r>
      <w:r w:rsidR="005A3BB7">
        <w:t xml:space="preserve">entity </w:t>
      </w:r>
      <w:r w:rsidR="00995980">
        <w:t xml:space="preserve">is an </w:t>
      </w:r>
      <w:r w:rsidR="00995980" w:rsidRPr="00995980">
        <w:rPr>
          <w:b/>
          <w:i/>
        </w:rPr>
        <w:t>Australian</w:t>
      </w:r>
      <w:r w:rsidR="00995980">
        <w:t xml:space="preserve"> </w:t>
      </w:r>
      <w:r w:rsidR="00995980" w:rsidRPr="00995980">
        <w:rPr>
          <w:b/>
          <w:i/>
        </w:rPr>
        <w:t>Clearing Entity</w:t>
      </w:r>
      <w:r w:rsidR="00995980">
        <w:t xml:space="preserve"> </w:t>
      </w:r>
      <w:r w:rsidR="00B8602C">
        <w:t xml:space="preserve">in relation to a Derivative Transaction to which it is party </w:t>
      </w:r>
      <w:r w:rsidR="00E330F0">
        <w:t xml:space="preserve">in its Personal Capacity </w:t>
      </w:r>
      <w:r w:rsidR="00B8602C">
        <w:t>if</w:t>
      </w:r>
      <w:r w:rsidR="003E44D1">
        <w:t xml:space="preserve"> the entity is</w:t>
      </w:r>
      <w:r w:rsidR="00FA01AC">
        <w:t>:</w:t>
      </w:r>
      <w:r w:rsidR="00B8602C">
        <w:t xml:space="preserve"> </w:t>
      </w:r>
    </w:p>
    <w:p w:rsidR="00B8602C" w:rsidRDefault="00B8602C" w:rsidP="00B756E4">
      <w:pPr>
        <w:pStyle w:val="MIRSubpara"/>
      </w:pPr>
      <w:r>
        <w:t>an Australian ADI or a financial services licensee that:</w:t>
      </w:r>
    </w:p>
    <w:p w:rsidR="00B8602C" w:rsidRDefault="00B8602C" w:rsidP="00B756E4">
      <w:pPr>
        <w:pStyle w:val="MIRSubsubpara"/>
      </w:pPr>
      <w:r>
        <w:t xml:space="preserve">is incorporated or formed in </w:t>
      </w:r>
      <w:r w:rsidR="00DF6F24">
        <w:t>Australia</w:t>
      </w:r>
      <w:r>
        <w:t>; and</w:t>
      </w:r>
    </w:p>
    <w:p w:rsidR="00995980" w:rsidRDefault="00995980" w:rsidP="00B756E4">
      <w:pPr>
        <w:pStyle w:val="MIRSubsubpara"/>
      </w:pPr>
      <w:r>
        <w:t xml:space="preserve">meets the Clearing Threshold </w:t>
      </w:r>
      <w:r w:rsidR="00E330F0">
        <w:t>in its Personal Capacity</w:t>
      </w:r>
      <w:r>
        <w:t>; or</w:t>
      </w:r>
    </w:p>
    <w:p w:rsidR="00995980" w:rsidRDefault="00995980" w:rsidP="003E44D1">
      <w:pPr>
        <w:pStyle w:val="MIRSubpara"/>
      </w:pPr>
      <w:r>
        <w:t>an Opt-In Australian Clearing Entity</w:t>
      </w:r>
      <w:r w:rsidR="00053EF5">
        <w:t xml:space="preserve"> in its Personal Capacity</w:t>
      </w:r>
      <w:r>
        <w:t>.</w:t>
      </w:r>
    </w:p>
    <w:p w:rsidR="003E44D1" w:rsidRDefault="00E330F0" w:rsidP="003E44D1">
      <w:pPr>
        <w:pStyle w:val="MIRBodyText"/>
      </w:pPr>
      <w:r>
        <w:t>(3)</w:t>
      </w:r>
      <w:r w:rsidR="00915FBC">
        <w:t xml:space="preserve"> </w:t>
      </w:r>
      <w:r>
        <w:t xml:space="preserve">An entity is an </w:t>
      </w:r>
      <w:r w:rsidRPr="00053EF5">
        <w:rPr>
          <w:b/>
          <w:i/>
        </w:rPr>
        <w:t>Australian Clearing Entity</w:t>
      </w:r>
      <w:r>
        <w:t xml:space="preserve"> in relation to a Derivative Transaction to which it is a party in </w:t>
      </w:r>
      <w:r w:rsidR="00CD3944">
        <w:t>a Representative C</w:t>
      </w:r>
      <w:r>
        <w:t>apacity if</w:t>
      </w:r>
      <w:r w:rsidR="003E44D1">
        <w:t>:</w:t>
      </w:r>
    </w:p>
    <w:p w:rsidR="00E330F0" w:rsidRDefault="00E330F0" w:rsidP="003E44D1">
      <w:pPr>
        <w:pStyle w:val="MIRSubpara"/>
      </w:pPr>
      <w:r>
        <w:t xml:space="preserve">the scheme or trust </w:t>
      </w:r>
      <w:r w:rsidR="009A7037">
        <w:t xml:space="preserve">to which the Representative Capacity relates </w:t>
      </w:r>
      <w:r>
        <w:t xml:space="preserve">is </w:t>
      </w:r>
      <w:r w:rsidR="00781280">
        <w:t xml:space="preserve">incorporated or formed in </w:t>
      </w:r>
      <w:r w:rsidR="00CD3944">
        <w:t>Australia</w:t>
      </w:r>
      <w:r w:rsidR="003E44D1">
        <w:t>;</w:t>
      </w:r>
      <w:r w:rsidR="00886A0E">
        <w:t xml:space="preserve"> and</w:t>
      </w:r>
    </w:p>
    <w:p w:rsidR="003E44D1" w:rsidRDefault="00053EF5" w:rsidP="003E44D1">
      <w:pPr>
        <w:pStyle w:val="MIRSubpara"/>
      </w:pPr>
      <w:r>
        <w:t>the en</w:t>
      </w:r>
      <w:r w:rsidR="00B756E4">
        <w:t>tity</w:t>
      </w:r>
      <w:r w:rsidR="003E44D1">
        <w:t xml:space="preserve"> is:</w:t>
      </w:r>
    </w:p>
    <w:p w:rsidR="003E44D1" w:rsidRDefault="00B756E4" w:rsidP="003E44D1">
      <w:pPr>
        <w:pStyle w:val="MIRSubsubpara"/>
      </w:pPr>
      <w:r>
        <w:t xml:space="preserve">a Financial Entity </w:t>
      </w:r>
      <w:r w:rsidR="0015284B">
        <w:t>that:</w:t>
      </w:r>
    </w:p>
    <w:p w:rsidR="003E44D1" w:rsidRPr="00100872" w:rsidRDefault="0015284B" w:rsidP="0015284B">
      <w:pPr>
        <w:pStyle w:val="MIRsubsubsubpara"/>
        <w:rPr>
          <w:spacing w:val="-2"/>
        </w:rPr>
      </w:pPr>
      <w:r w:rsidRPr="00100872">
        <w:rPr>
          <w:spacing w:val="-2"/>
        </w:rPr>
        <w:t xml:space="preserve">is </w:t>
      </w:r>
      <w:r w:rsidR="003E44D1" w:rsidRPr="00100872">
        <w:rPr>
          <w:spacing w:val="-2"/>
        </w:rPr>
        <w:t xml:space="preserve">incorporated or formed in </w:t>
      </w:r>
      <w:r w:rsidR="00CD3944" w:rsidRPr="00100872">
        <w:rPr>
          <w:spacing w:val="-2"/>
        </w:rPr>
        <w:t>Australia</w:t>
      </w:r>
      <w:r w:rsidR="003E44D1" w:rsidRPr="00100872">
        <w:rPr>
          <w:spacing w:val="-2"/>
        </w:rPr>
        <w:t xml:space="preserve"> or</w:t>
      </w:r>
      <w:r w:rsidRPr="00100872">
        <w:rPr>
          <w:spacing w:val="-2"/>
        </w:rPr>
        <w:t xml:space="preserve"> is </w:t>
      </w:r>
      <w:r w:rsidR="003E44D1" w:rsidRPr="00100872">
        <w:rPr>
          <w:spacing w:val="-2"/>
        </w:rPr>
        <w:t>a foreign company; and</w:t>
      </w:r>
    </w:p>
    <w:p w:rsidR="00E330F0" w:rsidRDefault="00053EF5" w:rsidP="0015284B">
      <w:pPr>
        <w:pStyle w:val="MIRsubsubsubpara"/>
      </w:pPr>
      <w:r>
        <w:t>meets the Clearing Threshold in that</w:t>
      </w:r>
      <w:r w:rsidR="00CD3944">
        <w:t xml:space="preserve"> Representative</w:t>
      </w:r>
      <w:r>
        <w:t xml:space="preserve"> </w:t>
      </w:r>
      <w:r w:rsidR="00CD3944">
        <w:t>C</w:t>
      </w:r>
      <w:r>
        <w:t>apacity; or</w:t>
      </w:r>
    </w:p>
    <w:p w:rsidR="00053EF5" w:rsidRDefault="00053EF5" w:rsidP="0015284B">
      <w:pPr>
        <w:pStyle w:val="MIRSubsubpara"/>
      </w:pPr>
      <w:r>
        <w:t xml:space="preserve">an Opt-In Australian Clearing Entity in that </w:t>
      </w:r>
      <w:r w:rsidR="00CD3944">
        <w:t>Representative C</w:t>
      </w:r>
      <w:r>
        <w:t>apacity.</w:t>
      </w:r>
    </w:p>
    <w:p w:rsidR="00781280" w:rsidRDefault="00A25D58" w:rsidP="00995980">
      <w:pPr>
        <w:pStyle w:val="MIRBodyText"/>
      </w:pPr>
      <w:r>
        <w:t>(</w:t>
      </w:r>
      <w:r w:rsidR="00053EF5">
        <w:t>4</w:t>
      </w:r>
      <w:r>
        <w:t>)</w:t>
      </w:r>
      <w:r w:rsidR="00915FBC">
        <w:t xml:space="preserve"> </w:t>
      </w:r>
      <w:r w:rsidR="00995980">
        <w:t>A</w:t>
      </w:r>
      <w:r w:rsidR="005A3BB7">
        <w:t>n entity</w:t>
      </w:r>
      <w:r w:rsidR="00995980">
        <w:t xml:space="preserve"> is a </w:t>
      </w:r>
      <w:r w:rsidR="00995980">
        <w:rPr>
          <w:b/>
          <w:i/>
        </w:rPr>
        <w:t>Foreign</w:t>
      </w:r>
      <w:r w:rsidR="00995980">
        <w:t xml:space="preserve"> </w:t>
      </w:r>
      <w:r w:rsidR="00995980" w:rsidRPr="00995980">
        <w:rPr>
          <w:b/>
          <w:i/>
        </w:rPr>
        <w:t>Clearing Entity</w:t>
      </w:r>
      <w:r w:rsidR="00995980">
        <w:t xml:space="preserve"> </w:t>
      </w:r>
      <w:r w:rsidR="00053EF5">
        <w:t xml:space="preserve">in relation to a Derivative Transaction to which it is party in its Personal Capacity </w:t>
      </w:r>
      <w:r w:rsidR="00995980">
        <w:t>if</w:t>
      </w:r>
      <w:r w:rsidR="00C001F8" w:rsidRPr="00C001F8">
        <w:t xml:space="preserve"> </w:t>
      </w:r>
      <w:r w:rsidR="00C001F8">
        <w:t>the entity is</w:t>
      </w:r>
      <w:r w:rsidR="00781280">
        <w:t>:</w:t>
      </w:r>
      <w:r w:rsidR="00053EF5">
        <w:t xml:space="preserve"> </w:t>
      </w:r>
    </w:p>
    <w:p w:rsidR="00053EF5" w:rsidRDefault="00781280" w:rsidP="00781280">
      <w:pPr>
        <w:pStyle w:val="MIRSubpara"/>
      </w:pPr>
      <w:r>
        <w:t>a Financial Entity</w:t>
      </w:r>
      <w:r w:rsidR="00053EF5">
        <w:t xml:space="preserve"> that:</w:t>
      </w:r>
    </w:p>
    <w:p w:rsidR="00053EF5" w:rsidRDefault="00F60D64" w:rsidP="00781280">
      <w:pPr>
        <w:pStyle w:val="MIRSubsubpara"/>
      </w:pPr>
      <w:r>
        <w:t xml:space="preserve">is a foreign company; </w:t>
      </w:r>
      <w:r w:rsidR="00053EF5">
        <w:t>and</w:t>
      </w:r>
    </w:p>
    <w:p w:rsidR="00053EF5" w:rsidRDefault="00053EF5" w:rsidP="00053EF5">
      <w:pPr>
        <w:pStyle w:val="MIRSubsubpara"/>
      </w:pPr>
      <w:r>
        <w:t>meets the Clearing Threshold in its Personal Capacity; or</w:t>
      </w:r>
    </w:p>
    <w:p w:rsidR="00053EF5" w:rsidRDefault="00053EF5" w:rsidP="003E44D1">
      <w:pPr>
        <w:pStyle w:val="MIRSubpara"/>
      </w:pPr>
      <w:r>
        <w:t>an Opt-In Foreign Clearing Entity in its Personal Capacity.</w:t>
      </w:r>
    </w:p>
    <w:p w:rsidR="00053EF5" w:rsidRDefault="00053EF5" w:rsidP="00053EF5">
      <w:pPr>
        <w:pStyle w:val="MIRBodyText"/>
      </w:pPr>
      <w:r>
        <w:t>(5)</w:t>
      </w:r>
      <w:r w:rsidR="00915FBC">
        <w:t xml:space="preserve"> </w:t>
      </w:r>
      <w:r>
        <w:t xml:space="preserve">An entity is a </w:t>
      </w:r>
      <w:r>
        <w:rPr>
          <w:b/>
          <w:i/>
        </w:rPr>
        <w:t>Foreign</w:t>
      </w:r>
      <w:r w:rsidRPr="00053EF5">
        <w:rPr>
          <w:b/>
          <w:i/>
        </w:rPr>
        <w:t xml:space="preserve"> Clearing Entity</w:t>
      </w:r>
      <w:r>
        <w:t xml:space="preserve"> in relation to a Derivative Transaction to which it is a party in </w:t>
      </w:r>
      <w:r w:rsidR="006A5D36">
        <w:t>a Representative Capacity</w:t>
      </w:r>
      <w:r w:rsidR="009A7037">
        <w:t xml:space="preserve"> if</w:t>
      </w:r>
      <w:r>
        <w:t>:</w:t>
      </w:r>
    </w:p>
    <w:p w:rsidR="00053EF5" w:rsidRDefault="00053EF5" w:rsidP="00053EF5">
      <w:pPr>
        <w:pStyle w:val="MIRSubpara"/>
      </w:pPr>
      <w:r>
        <w:t xml:space="preserve">the scheme or trust </w:t>
      </w:r>
      <w:r w:rsidR="009A7037">
        <w:t xml:space="preserve">to which the Representative Capacity relates </w:t>
      </w:r>
      <w:r>
        <w:t xml:space="preserve">is </w:t>
      </w:r>
      <w:r w:rsidR="00DC5E28">
        <w:t xml:space="preserve">incorporated or formed outside </w:t>
      </w:r>
      <w:r w:rsidR="006A5D36">
        <w:t>Australia</w:t>
      </w:r>
      <w:r>
        <w:t>;</w:t>
      </w:r>
      <w:r w:rsidR="009A7037">
        <w:t xml:space="preserve"> and</w:t>
      </w:r>
    </w:p>
    <w:p w:rsidR="009A7037" w:rsidRDefault="009A7037" w:rsidP="00DC5E28">
      <w:pPr>
        <w:pStyle w:val="MIRSubpara"/>
      </w:pPr>
      <w:r>
        <w:t>the entity is either:</w:t>
      </w:r>
    </w:p>
    <w:p w:rsidR="00053EF5" w:rsidRDefault="00053EF5" w:rsidP="009A7037">
      <w:pPr>
        <w:pStyle w:val="MIRSubsubpara"/>
      </w:pPr>
      <w:r>
        <w:t>a Financial Entity that:</w:t>
      </w:r>
    </w:p>
    <w:p w:rsidR="0015284B" w:rsidRPr="00100872" w:rsidRDefault="0015284B" w:rsidP="009A7037">
      <w:pPr>
        <w:pStyle w:val="MIRsubsubsubpara"/>
        <w:rPr>
          <w:spacing w:val="-2"/>
        </w:rPr>
      </w:pPr>
      <w:r w:rsidRPr="00100872">
        <w:rPr>
          <w:spacing w:val="-2"/>
        </w:rPr>
        <w:t xml:space="preserve">is incorporated or formed in </w:t>
      </w:r>
      <w:r w:rsidR="006A5D36" w:rsidRPr="00100872">
        <w:rPr>
          <w:spacing w:val="-2"/>
        </w:rPr>
        <w:t>Australia</w:t>
      </w:r>
      <w:r w:rsidRPr="00100872">
        <w:rPr>
          <w:spacing w:val="-2"/>
        </w:rPr>
        <w:t xml:space="preserve"> or is a foreign company; and</w:t>
      </w:r>
    </w:p>
    <w:p w:rsidR="00053EF5" w:rsidRDefault="00053EF5" w:rsidP="009A7037">
      <w:pPr>
        <w:pStyle w:val="MIRsubsubsubpara"/>
      </w:pPr>
      <w:r>
        <w:t xml:space="preserve">meets the Clearing Threshold in that </w:t>
      </w:r>
      <w:r w:rsidR="006A5D36">
        <w:t>Representative C</w:t>
      </w:r>
      <w:r>
        <w:t>apacity; or</w:t>
      </w:r>
    </w:p>
    <w:p w:rsidR="00053EF5" w:rsidRPr="00946D81" w:rsidRDefault="00053EF5" w:rsidP="009A7037">
      <w:pPr>
        <w:pStyle w:val="MIRSubsubpara"/>
      </w:pPr>
      <w:r w:rsidRPr="00946D81">
        <w:t xml:space="preserve">an Opt-In Foreign Clearing Entity in that </w:t>
      </w:r>
      <w:r w:rsidR="006A5D36">
        <w:t>Representative C</w:t>
      </w:r>
      <w:r w:rsidRPr="00946D81">
        <w:t>apacity.</w:t>
      </w:r>
    </w:p>
    <w:p w:rsidR="00335B17" w:rsidRPr="00335B17" w:rsidRDefault="007234D4" w:rsidP="00100872">
      <w:pPr>
        <w:pStyle w:val="MIRHeading5"/>
      </w:pPr>
      <w:r>
        <w:t>D</w:t>
      </w:r>
      <w:r w:rsidR="00335B17" w:rsidRPr="00335B17">
        <w:t>efini</w:t>
      </w:r>
      <w:r w:rsidR="00335B17" w:rsidRPr="00100872">
        <w:t xml:space="preserve">tions of </w:t>
      </w:r>
      <w:r w:rsidR="00335B17" w:rsidRPr="00100872">
        <w:rPr>
          <w:i/>
        </w:rPr>
        <w:t>Australian clearing entity</w:t>
      </w:r>
      <w:r w:rsidR="00335B17" w:rsidRPr="00100872">
        <w:t xml:space="preserve"> and </w:t>
      </w:r>
      <w:r w:rsidR="00335B17" w:rsidRPr="001025DC">
        <w:rPr>
          <w:i/>
        </w:rPr>
        <w:t>fo</w:t>
      </w:r>
      <w:r w:rsidR="00335B17" w:rsidRPr="00100872">
        <w:rPr>
          <w:i/>
        </w:rPr>
        <w:t>reign clearing entity</w:t>
      </w:r>
      <w:r w:rsidR="00335B17" w:rsidRPr="00100872">
        <w:t xml:space="preserve"> in </w:t>
      </w:r>
      <w:r w:rsidR="00100872" w:rsidRPr="00100872">
        <w:t xml:space="preserve">the </w:t>
      </w:r>
      <w:r w:rsidR="00335B17" w:rsidRPr="00100872">
        <w:t>Regulations</w:t>
      </w:r>
    </w:p>
    <w:p w:rsidR="00335B17" w:rsidRDefault="00261E2B" w:rsidP="00053EF5">
      <w:pPr>
        <w:pStyle w:val="MIRBodyText"/>
      </w:pPr>
      <w:r>
        <w:t>(</w:t>
      </w:r>
      <w:r w:rsidR="00E65F41">
        <w:t>6</w:t>
      </w:r>
      <w:r>
        <w:t>)</w:t>
      </w:r>
      <w:r w:rsidR="00915FBC">
        <w:t xml:space="preserve"> </w:t>
      </w:r>
      <w:r w:rsidR="00554CEB">
        <w:t>For the purposes of subregulations 7.5A.</w:t>
      </w:r>
      <w:r w:rsidR="006A5D36">
        <w:t>61</w:t>
      </w:r>
      <w:r w:rsidR="00554CEB">
        <w:t>(2) and 7.5A.</w:t>
      </w:r>
      <w:r w:rsidR="006A5D36">
        <w:t>62</w:t>
      </w:r>
      <w:r w:rsidR="00554CEB">
        <w:t>(2) of the Regulations, an</w:t>
      </w:r>
      <w:r w:rsidR="00335B17">
        <w:t xml:space="preserve"> </w:t>
      </w:r>
      <w:r>
        <w:t>entity that is</w:t>
      </w:r>
      <w:r w:rsidR="00335B17">
        <w:t>:</w:t>
      </w:r>
      <w:r>
        <w:t xml:space="preserve"> </w:t>
      </w:r>
    </w:p>
    <w:p w:rsidR="00335B17" w:rsidRDefault="00554CEB" w:rsidP="006D3D4A">
      <w:pPr>
        <w:pStyle w:val="MIRSubpara"/>
      </w:pPr>
      <w:r>
        <w:t>a</w:t>
      </w:r>
      <w:r w:rsidR="00335B17">
        <w:t xml:space="preserve">n Australian Clearing Entity in </w:t>
      </w:r>
      <w:r w:rsidR="006D3D4A">
        <w:t xml:space="preserve">relation to a Derivative Transaction to which it is party in </w:t>
      </w:r>
      <w:r w:rsidR="006A5D36">
        <w:t>a Representative Capacity</w:t>
      </w:r>
      <w:r w:rsidR="00335B17">
        <w:t xml:space="preserve"> </w:t>
      </w:r>
      <w:r w:rsidR="00651F60">
        <w:t>is</w:t>
      </w:r>
      <w:r w:rsidR="00833155">
        <w:t xml:space="preserve"> </w:t>
      </w:r>
      <w:r w:rsidR="00335B17">
        <w:t xml:space="preserve">an </w:t>
      </w:r>
      <w:r w:rsidR="00335B17" w:rsidRPr="00335B17">
        <w:rPr>
          <w:b/>
          <w:i/>
        </w:rPr>
        <w:t>Australian</w:t>
      </w:r>
      <w:r w:rsidR="00335B17">
        <w:t xml:space="preserve"> </w:t>
      </w:r>
      <w:r w:rsidR="00335B17" w:rsidRPr="00335B17">
        <w:rPr>
          <w:b/>
          <w:i/>
        </w:rPr>
        <w:t xml:space="preserve">clearing entity </w:t>
      </w:r>
      <w:r w:rsidR="00335B17">
        <w:t>(as defined in subregulation 7.5A.</w:t>
      </w:r>
      <w:r w:rsidR="006A5D36">
        <w:t>61</w:t>
      </w:r>
      <w:r w:rsidR="00335B17">
        <w:t xml:space="preserve">(2)) in relation to </w:t>
      </w:r>
      <w:r w:rsidR="00561903">
        <w:t xml:space="preserve">the </w:t>
      </w:r>
      <w:r w:rsidR="006D3D4A">
        <w:t>Derivative Transaction</w:t>
      </w:r>
      <w:r w:rsidR="00335B17">
        <w:t>; and</w:t>
      </w:r>
    </w:p>
    <w:p w:rsidR="00170192" w:rsidRDefault="00261E2B" w:rsidP="0048686E">
      <w:pPr>
        <w:pStyle w:val="MIRSubpara"/>
      </w:pPr>
      <w:r>
        <w:t xml:space="preserve">a Foreign Clearing Entity </w:t>
      </w:r>
      <w:r w:rsidR="006D3D4A">
        <w:t xml:space="preserve">in relation to a Derivative Transaction to which it is party </w:t>
      </w:r>
      <w:r w:rsidR="00335B17">
        <w:t xml:space="preserve">in </w:t>
      </w:r>
      <w:r w:rsidR="006A5D36">
        <w:t>a Representative Capacity</w:t>
      </w:r>
      <w:r w:rsidR="00F066BE">
        <w:t xml:space="preserve"> </w:t>
      </w:r>
      <w:r w:rsidR="00335B17">
        <w:t xml:space="preserve">is a </w:t>
      </w:r>
      <w:r w:rsidR="00335B17" w:rsidRPr="00335B17">
        <w:rPr>
          <w:b/>
          <w:i/>
        </w:rPr>
        <w:t xml:space="preserve">foreign clearing entity </w:t>
      </w:r>
      <w:r w:rsidR="00554CEB">
        <w:t>(as defined in subregulation</w:t>
      </w:r>
      <w:r w:rsidR="00100872">
        <w:t> </w:t>
      </w:r>
      <w:r w:rsidR="00554CEB">
        <w:t>7.5A.</w:t>
      </w:r>
      <w:r w:rsidR="00651F60">
        <w:t>62</w:t>
      </w:r>
      <w:r w:rsidR="00554CEB">
        <w:t xml:space="preserve">(2)) </w:t>
      </w:r>
      <w:r w:rsidR="00335B17">
        <w:t xml:space="preserve">in relation to </w:t>
      </w:r>
      <w:r w:rsidR="006D3D4A">
        <w:t>the Derivative</w:t>
      </w:r>
      <w:r w:rsidR="00335B17">
        <w:t xml:space="preserve"> </w:t>
      </w:r>
      <w:r w:rsidR="006D3D4A">
        <w:t>T</w:t>
      </w:r>
      <w:r w:rsidR="00335B17">
        <w:t>ransaction</w:t>
      </w:r>
      <w:r w:rsidR="00554CEB">
        <w:t>.</w:t>
      </w:r>
    </w:p>
    <w:p w:rsidR="00943DB9" w:rsidRPr="00943DB9" w:rsidRDefault="00167219" w:rsidP="00167219">
      <w:pPr>
        <w:pStyle w:val="MIRHeading3Rule"/>
        <w:ind w:left="0" w:firstLine="0"/>
      </w:pPr>
      <w:r>
        <w:t>1.2.5</w:t>
      </w:r>
      <w:r>
        <w:tab/>
      </w:r>
      <w:r w:rsidR="008F43F8">
        <w:t>Meaning of Clearing Transaction</w:t>
      </w:r>
    </w:p>
    <w:p w:rsidR="00D13E2B" w:rsidRPr="002B02BE" w:rsidRDefault="00D13E2B" w:rsidP="005E418A">
      <w:pPr>
        <w:pStyle w:val="MIRBodyText"/>
        <w:rPr>
          <w:i/>
        </w:rPr>
      </w:pPr>
      <w:r>
        <w:t>(1)</w:t>
      </w:r>
      <w:r w:rsidR="00915FBC">
        <w:t xml:space="preserve"> </w:t>
      </w:r>
      <w:r>
        <w:t xml:space="preserve">This Rule defines when a Derivative Transaction is a </w:t>
      </w:r>
      <w:r w:rsidRPr="00D13E2B">
        <w:rPr>
          <w:b/>
          <w:i/>
        </w:rPr>
        <w:t>Clearing Transaction</w:t>
      </w:r>
      <w:r>
        <w:t xml:space="preserve"> for a Clearing Entity in relation to the Derivative Transaction. </w:t>
      </w:r>
    </w:p>
    <w:p w:rsidR="00943DB9" w:rsidRPr="00943DB9" w:rsidRDefault="00943DB9" w:rsidP="00100872">
      <w:pPr>
        <w:pStyle w:val="MIRHeading5"/>
      </w:pPr>
      <w:r w:rsidRPr="00943DB9">
        <w:t xml:space="preserve">Entry into </w:t>
      </w:r>
      <w:r w:rsidR="00651F60">
        <w:t xml:space="preserve">a </w:t>
      </w:r>
      <w:r w:rsidRPr="00943DB9">
        <w:t xml:space="preserve">Clearing Derivative by </w:t>
      </w:r>
      <w:r w:rsidR="00651F60">
        <w:t xml:space="preserve">an </w:t>
      </w:r>
      <w:r w:rsidRPr="00943DB9">
        <w:t>Australian Clearing Entit</w:t>
      </w:r>
      <w:r w:rsidR="00651F60">
        <w:t>y</w:t>
      </w:r>
    </w:p>
    <w:p w:rsidR="003C4A66" w:rsidRPr="00100872" w:rsidRDefault="00943DB9" w:rsidP="00D13E2B">
      <w:pPr>
        <w:pStyle w:val="MIRBodyText"/>
        <w:rPr>
          <w:spacing w:val="-2"/>
        </w:rPr>
      </w:pPr>
      <w:r w:rsidRPr="00100872">
        <w:rPr>
          <w:spacing w:val="-2"/>
        </w:rPr>
        <w:t>(</w:t>
      </w:r>
      <w:r w:rsidR="00F71A79" w:rsidRPr="00100872">
        <w:rPr>
          <w:spacing w:val="-2"/>
        </w:rPr>
        <w:t>2</w:t>
      </w:r>
      <w:r w:rsidRPr="00100872">
        <w:rPr>
          <w:spacing w:val="-2"/>
        </w:rPr>
        <w:t>)</w:t>
      </w:r>
      <w:r w:rsidR="00915FBC">
        <w:rPr>
          <w:spacing w:val="-2"/>
        </w:rPr>
        <w:t xml:space="preserve"> </w:t>
      </w:r>
      <w:r w:rsidR="00996584" w:rsidRPr="00100872">
        <w:rPr>
          <w:spacing w:val="-2"/>
        </w:rPr>
        <w:t xml:space="preserve">Entry into a Clearing Derivative by an </w:t>
      </w:r>
      <w:r w:rsidR="002F353A" w:rsidRPr="00100872">
        <w:rPr>
          <w:spacing w:val="-2"/>
        </w:rPr>
        <w:t>Australian Clearing Entity</w:t>
      </w:r>
      <w:r w:rsidR="002C1CC5" w:rsidRPr="00100872">
        <w:rPr>
          <w:spacing w:val="-2"/>
        </w:rPr>
        <w:t xml:space="preserve"> </w:t>
      </w:r>
      <w:r w:rsidR="002F353A" w:rsidRPr="00100872">
        <w:rPr>
          <w:spacing w:val="-2"/>
        </w:rPr>
        <w:t>is a</w:t>
      </w:r>
      <w:r w:rsidR="003C4A66" w:rsidRPr="00100872">
        <w:rPr>
          <w:spacing w:val="-2"/>
        </w:rPr>
        <w:t xml:space="preserve"> </w:t>
      </w:r>
      <w:r w:rsidR="003C4A66" w:rsidRPr="00100872">
        <w:rPr>
          <w:b/>
          <w:i/>
          <w:spacing w:val="-2"/>
        </w:rPr>
        <w:t>Clearing Transaction</w:t>
      </w:r>
      <w:r w:rsidR="003C4A66" w:rsidRPr="00100872">
        <w:rPr>
          <w:spacing w:val="-2"/>
        </w:rPr>
        <w:t xml:space="preserve"> </w:t>
      </w:r>
      <w:r w:rsidR="00B9216F" w:rsidRPr="00100872">
        <w:rPr>
          <w:spacing w:val="-2"/>
        </w:rPr>
        <w:t>for the</w:t>
      </w:r>
      <w:r w:rsidR="002F353A" w:rsidRPr="00100872">
        <w:rPr>
          <w:spacing w:val="-2"/>
        </w:rPr>
        <w:t xml:space="preserve"> </w:t>
      </w:r>
      <w:r w:rsidR="008F43F8" w:rsidRPr="00100872">
        <w:rPr>
          <w:spacing w:val="-2"/>
        </w:rPr>
        <w:t xml:space="preserve">Australian </w:t>
      </w:r>
      <w:r w:rsidR="003C4A66" w:rsidRPr="00100872">
        <w:rPr>
          <w:spacing w:val="-2"/>
        </w:rPr>
        <w:t>Clearing Entity</w:t>
      </w:r>
      <w:r w:rsidR="002F353A" w:rsidRPr="00100872">
        <w:rPr>
          <w:spacing w:val="-2"/>
        </w:rPr>
        <w:t xml:space="preserve"> if the other party to the Clearing Derivative is</w:t>
      </w:r>
      <w:r w:rsidR="003C4A66" w:rsidRPr="00100872">
        <w:rPr>
          <w:spacing w:val="-2"/>
        </w:rPr>
        <w:t>:</w:t>
      </w:r>
    </w:p>
    <w:p w:rsidR="008F43F8" w:rsidRDefault="00A05954" w:rsidP="002F353A">
      <w:pPr>
        <w:pStyle w:val="MIRSubpara"/>
      </w:pPr>
      <w:r>
        <w:t>an</w:t>
      </w:r>
      <w:r w:rsidR="009E1E52">
        <w:t xml:space="preserve"> Australian Clearing Entity</w:t>
      </w:r>
      <w:r w:rsidR="008F43F8">
        <w:t xml:space="preserve">; </w:t>
      </w:r>
      <w:r w:rsidR="002F353A">
        <w:t>or</w:t>
      </w:r>
    </w:p>
    <w:p w:rsidR="008F43F8" w:rsidRDefault="008F43F8" w:rsidP="002F353A">
      <w:pPr>
        <w:pStyle w:val="MIRSubpara"/>
      </w:pPr>
      <w:r>
        <w:t xml:space="preserve">a Foreign Clearing Entity; </w:t>
      </w:r>
      <w:r w:rsidR="002F353A">
        <w:t>or</w:t>
      </w:r>
    </w:p>
    <w:p w:rsidR="00F82FAB" w:rsidRDefault="008F43F8" w:rsidP="002F353A">
      <w:pPr>
        <w:pStyle w:val="MIRSubpara"/>
      </w:pPr>
      <w:r>
        <w:t>a Foreign Internationally Active</w:t>
      </w:r>
      <w:r w:rsidR="00F03FCC">
        <w:t xml:space="preserve"> Dealer</w:t>
      </w:r>
      <w:r w:rsidR="00A05954">
        <w:t>.</w:t>
      </w:r>
    </w:p>
    <w:p w:rsidR="00943DB9" w:rsidRPr="00943DB9" w:rsidRDefault="00943DB9" w:rsidP="00100872">
      <w:pPr>
        <w:pStyle w:val="MIRHeading5"/>
      </w:pPr>
      <w:r w:rsidRPr="00943DB9">
        <w:t xml:space="preserve">Entry into </w:t>
      </w:r>
      <w:r w:rsidR="00651F60">
        <w:t xml:space="preserve">a </w:t>
      </w:r>
      <w:r w:rsidRPr="00943DB9">
        <w:t xml:space="preserve">Clearing Derivative by </w:t>
      </w:r>
      <w:r w:rsidR="00651F60">
        <w:t xml:space="preserve">a </w:t>
      </w:r>
      <w:r>
        <w:t>Foreign</w:t>
      </w:r>
      <w:r w:rsidRPr="00943DB9">
        <w:t xml:space="preserve"> Clearing Entit</w:t>
      </w:r>
      <w:r w:rsidR="00651F60">
        <w:t>y</w:t>
      </w:r>
    </w:p>
    <w:p w:rsidR="009E1E52" w:rsidRDefault="009E1E52" w:rsidP="009E1E52">
      <w:pPr>
        <w:pStyle w:val="MIRBodyText"/>
      </w:pPr>
      <w:r>
        <w:t>(</w:t>
      </w:r>
      <w:r w:rsidR="00F71A79">
        <w:t>3</w:t>
      </w:r>
      <w:r>
        <w:t>)</w:t>
      </w:r>
      <w:r w:rsidR="00915FBC">
        <w:t xml:space="preserve"> </w:t>
      </w:r>
      <w:r>
        <w:t xml:space="preserve">Entry into a Clearing Derivative by a Foreign Clearing Entity is a </w:t>
      </w:r>
      <w:r w:rsidRPr="0086170E">
        <w:rPr>
          <w:b/>
          <w:i/>
        </w:rPr>
        <w:t>Clearing Transaction</w:t>
      </w:r>
      <w:r>
        <w:t xml:space="preserve"> </w:t>
      </w:r>
      <w:r w:rsidR="00DC3712">
        <w:t>for</w:t>
      </w:r>
      <w:r>
        <w:t xml:space="preserve"> the Foreign Clearing Entity if: </w:t>
      </w:r>
    </w:p>
    <w:p w:rsidR="009E1E52" w:rsidRDefault="009E1E52" w:rsidP="009E1E52">
      <w:pPr>
        <w:pStyle w:val="MIRSubpara"/>
      </w:pPr>
      <w:r>
        <w:t>the other party to the Clearing Derivative is:</w:t>
      </w:r>
    </w:p>
    <w:p w:rsidR="009E1E52" w:rsidRDefault="009E1E52" w:rsidP="009E1E52">
      <w:pPr>
        <w:pStyle w:val="MIRSubsubpara"/>
      </w:pPr>
      <w:r w:rsidRPr="00E15800">
        <w:t>an Australian Cle</w:t>
      </w:r>
      <w:r>
        <w:t xml:space="preserve">aring Entity; </w:t>
      </w:r>
      <w:r w:rsidR="00A05954">
        <w:t>or</w:t>
      </w:r>
    </w:p>
    <w:p w:rsidR="009E1E52" w:rsidRDefault="00A05954" w:rsidP="009E1E52">
      <w:pPr>
        <w:pStyle w:val="MIRSubsubpara"/>
      </w:pPr>
      <w:r>
        <w:t>a</w:t>
      </w:r>
      <w:r w:rsidR="009E1E52" w:rsidRPr="00EF7293">
        <w:t xml:space="preserve"> Foreign Clearing Entity</w:t>
      </w:r>
      <w:r w:rsidR="009E1E52">
        <w:t>;</w:t>
      </w:r>
      <w:r>
        <w:t xml:space="preserve"> or</w:t>
      </w:r>
    </w:p>
    <w:p w:rsidR="009E1E52" w:rsidRDefault="009E1E52" w:rsidP="009E1E52">
      <w:pPr>
        <w:pStyle w:val="MIRSubsubpara"/>
      </w:pPr>
      <w:r>
        <w:t xml:space="preserve">a </w:t>
      </w:r>
      <w:r w:rsidRPr="00EF7293">
        <w:t xml:space="preserve">Foreign </w:t>
      </w:r>
      <w:r>
        <w:t>Internationally Active Dealer</w:t>
      </w:r>
      <w:r w:rsidR="001656BF">
        <w:t>; and</w:t>
      </w:r>
    </w:p>
    <w:p w:rsidR="009E1E52" w:rsidRDefault="00C36AF8" w:rsidP="001F3438">
      <w:pPr>
        <w:pStyle w:val="MIRSubpara"/>
      </w:pPr>
      <w:r>
        <w:t xml:space="preserve">where </w:t>
      </w:r>
      <w:r w:rsidR="00316C7C">
        <w:t>the other party is a Foreign Clearing Entity or a Foreign Internationally Active Dealer</w:t>
      </w:r>
      <w:r w:rsidR="00915FBC">
        <w:t>—</w:t>
      </w:r>
      <w:r w:rsidR="00AC0FCB">
        <w:t>at least one</w:t>
      </w:r>
      <w:r w:rsidR="001656BF">
        <w:t xml:space="preserve"> Foreign Clearing Entity that is party to the Clearing Derivative</w:t>
      </w:r>
      <w:r w:rsidR="009E1E52">
        <w:t xml:space="preserve"> books</w:t>
      </w:r>
      <w:r w:rsidR="009E1E52" w:rsidRPr="00F76596">
        <w:t xml:space="preserve"> t</w:t>
      </w:r>
      <w:r w:rsidR="009E1E52">
        <w:t>he Clearing Derivative t</w:t>
      </w:r>
      <w:r w:rsidR="009E1E52" w:rsidRPr="00F76596">
        <w:t xml:space="preserve">o the profit or loss account of a branch of the </w:t>
      </w:r>
      <w:r w:rsidR="009E1E52">
        <w:t>Foreign Clearing Entity</w:t>
      </w:r>
      <w:r w:rsidR="009E1E52" w:rsidRPr="00F76596">
        <w:t xml:space="preserve"> located in </w:t>
      </w:r>
      <w:r w:rsidR="00082AE2">
        <w:t>Australia</w:t>
      </w:r>
      <w:r w:rsidR="001F3438">
        <w:t>.</w:t>
      </w:r>
      <w:r w:rsidR="009E1E52">
        <w:t xml:space="preserve"> </w:t>
      </w:r>
    </w:p>
    <w:p w:rsidR="007556FD" w:rsidRPr="007556FD" w:rsidRDefault="007556FD" w:rsidP="00FF60AB">
      <w:pPr>
        <w:pStyle w:val="MIRHeading5"/>
      </w:pPr>
      <w:r w:rsidRPr="007556FD">
        <w:t>Clearing Entity that is party to a Clearing Derivative in different capacities</w:t>
      </w:r>
    </w:p>
    <w:p w:rsidR="00A05954" w:rsidRDefault="00A05954" w:rsidP="00A05954">
      <w:pPr>
        <w:pStyle w:val="MIRBodyText"/>
      </w:pPr>
      <w:r>
        <w:t>(</w:t>
      </w:r>
      <w:r w:rsidR="0019605C">
        <w:t>4</w:t>
      </w:r>
      <w:r>
        <w:t>)</w:t>
      </w:r>
      <w:r w:rsidR="00915FBC">
        <w:t xml:space="preserve"> </w:t>
      </w:r>
      <w:r w:rsidR="00C24356">
        <w:t>For the avoidance of doubt, i</w:t>
      </w:r>
      <w:r>
        <w:t xml:space="preserve">f: </w:t>
      </w:r>
    </w:p>
    <w:p w:rsidR="00A05954" w:rsidRDefault="00A05954" w:rsidP="00A05954">
      <w:pPr>
        <w:pStyle w:val="MIRSubpara"/>
      </w:pPr>
      <w:r>
        <w:t>an entity is party</w:t>
      </w:r>
      <w:r w:rsidR="00C24356">
        <w:t>, in different capacities,</w:t>
      </w:r>
      <w:r>
        <w:t xml:space="preserve"> to both sides of a Clearing Derivative; and</w:t>
      </w:r>
    </w:p>
    <w:p w:rsidR="00A05954" w:rsidRDefault="00A05954" w:rsidP="00A05954">
      <w:pPr>
        <w:pStyle w:val="MIRSubpara"/>
      </w:pPr>
      <w:r>
        <w:t xml:space="preserve">the entity is a Clearing Entity in </w:t>
      </w:r>
      <w:r w:rsidR="00C831F2">
        <w:t xml:space="preserve">relation to </w:t>
      </w:r>
      <w:r w:rsidR="00FF44E7">
        <w:t xml:space="preserve">the Clearing Derivative in </w:t>
      </w:r>
      <w:r w:rsidR="00C24356">
        <w:t>each</w:t>
      </w:r>
      <w:r>
        <w:t xml:space="preserve"> of those capacities;</w:t>
      </w:r>
    </w:p>
    <w:p w:rsidR="00A05954" w:rsidRDefault="00A05954" w:rsidP="00C24356">
      <w:pPr>
        <w:pStyle w:val="MIRBodyText"/>
      </w:pPr>
      <w:r>
        <w:t>subrules (</w:t>
      </w:r>
      <w:r w:rsidR="00F71A79">
        <w:t>2</w:t>
      </w:r>
      <w:r>
        <w:t xml:space="preserve">) </w:t>
      </w:r>
      <w:r w:rsidR="0019605C">
        <w:t xml:space="preserve">and </w:t>
      </w:r>
      <w:r>
        <w:t>(</w:t>
      </w:r>
      <w:r w:rsidR="0019605C">
        <w:t>3</w:t>
      </w:r>
      <w:r>
        <w:t xml:space="preserve">) apply as if </w:t>
      </w:r>
      <w:r w:rsidR="00C24356">
        <w:t xml:space="preserve">the Clearing Derivative had two distinct parties, being the entity acting in each of those capacities. </w:t>
      </w:r>
    </w:p>
    <w:p w:rsidR="00996F2E" w:rsidRPr="00CA4BFB" w:rsidRDefault="00C24356" w:rsidP="00996F2E">
      <w:pPr>
        <w:pStyle w:val="MIRNote"/>
        <w:rPr>
          <w:spacing w:val="-4"/>
        </w:rPr>
      </w:pPr>
      <w:r w:rsidRPr="00CA4BFB">
        <w:rPr>
          <w:spacing w:val="-4"/>
        </w:rPr>
        <w:t>Note: This may result in entry into</w:t>
      </w:r>
      <w:r w:rsidR="0019605C" w:rsidRPr="00CA4BFB">
        <w:rPr>
          <w:spacing w:val="-4"/>
        </w:rPr>
        <w:t xml:space="preserve"> </w:t>
      </w:r>
      <w:r w:rsidR="00B116E8" w:rsidRPr="00CA4BFB">
        <w:rPr>
          <w:spacing w:val="-4"/>
        </w:rPr>
        <w:t xml:space="preserve">such </w:t>
      </w:r>
      <w:r w:rsidRPr="00CA4BFB">
        <w:rPr>
          <w:spacing w:val="-4"/>
        </w:rPr>
        <w:t xml:space="preserve">a Clearing Derivative being a Clearing Transaction </w:t>
      </w:r>
      <w:r w:rsidR="00232E0C" w:rsidRPr="00CA4BFB">
        <w:rPr>
          <w:spacing w:val="-4"/>
        </w:rPr>
        <w:t>for</w:t>
      </w:r>
      <w:r w:rsidRPr="00CA4BFB">
        <w:rPr>
          <w:spacing w:val="-4"/>
        </w:rPr>
        <w:t xml:space="preserve"> the entity.</w:t>
      </w:r>
    </w:p>
    <w:p w:rsidR="00D45B15" w:rsidRPr="00F76596" w:rsidRDefault="00D45B15" w:rsidP="00D45B15">
      <w:pPr>
        <w:pStyle w:val="MIRHeading3Rule"/>
        <w:ind w:left="0" w:firstLine="0"/>
      </w:pPr>
      <w:r>
        <w:t>1.2.</w:t>
      </w:r>
      <w:r w:rsidR="00167219">
        <w:t>6</w:t>
      </w:r>
      <w:r>
        <w:tab/>
      </w:r>
      <w:r w:rsidRPr="00F76596">
        <w:t>References to total gross notional outstanding</w:t>
      </w:r>
      <w:r w:rsidR="00332D4F">
        <w:t xml:space="preserve"> positions</w:t>
      </w:r>
      <w:r w:rsidR="00FB13E6">
        <w:t xml:space="preserve"> </w:t>
      </w:r>
    </w:p>
    <w:p w:rsidR="004F43F9" w:rsidRDefault="00EF1FE1" w:rsidP="004F43F9">
      <w:pPr>
        <w:pStyle w:val="MIRBodyText"/>
      </w:pPr>
      <w:r>
        <w:t>(1)</w:t>
      </w:r>
      <w:r w:rsidR="00915FBC">
        <w:t xml:space="preserve"> </w:t>
      </w:r>
      <w:r w:rsidR="00D45B15" w:rsidRPr="00F76596">
        <w:t xml:space="preserve">A reference in </w:t>
      </w:r>
      <w:r w:rsidR="004E2795">
        <w:t xml:space="preserve">these Rules </w:t>
      </w:r>
      <w:r w:rsidR="00D45B15" w:rsidRPr="00F76596">
        <w:t>to the total gross notional outstanding positions held by a</w:t>
      </w:r>
      <w:r w:rsidR="004E2795">
        <w:t>n</w:t>
      </w:r>
      <w:r w:rsidR="00D45B15">
        <w:t xml:space="preserve"> </w:t>
      </w:r>
      <w:r w:rsidR="000C633E">
        <w:t>e</w:t>
      </w:r>
      <w:r w:rsidR="00D45B15" w:rsidRPr="00F76596">
        <w:t xml:space="preserve">ntity </w:t>
      </w:r>
      <w:r>
        <w:t xml:space="preserve">in a particular capacity </w:t>
      </w:r>
      <w:r w:rsidR="00D45B15" w:rsidRPr="00F76596">
        <w:t xml:space="preserve">is a reference to the </w:t>
      </w:r>
      <w:r w:rsidR="000C633E">
        <w:t>e</w:t>
      </w:r>
      <w:r w:rsidR="00D45B15" w:rsidRPr="00F76596">
        <w:t>ntity</w:t>
      </w:r>
      <w:r w:rsidR="007F782A">
        <w:t>’</w:t>
      </w:r>
      <w:r w:rsidR="00D45B15" w:rsidRPr="00F76596">
        <w:t>s total gross notional outstanding positions aggregated across</w:t>
      </w:r>
      <w:r w:rsidR="004F43F9">
        <w:t xml:space="preserve"> </w:t>
      </w:r>
      <w:r w:rsidR="00D45B15" w:rsidRPr="001A5714">
        <w:t>all Derivatives</w:t>
      </w:r>
      <w:r w:rsidR="00AE1785">
        <w:t xml:space="preserve"> </w:t>
      </w:r>
      <w:r w:rsidR="00AE1785" w:rsidRPr="00BB043F">
        <w:t>to which the entity is a party</w:t>
      </w:r>
      <w:r w:rsidRPr="00BB043F">
        <w:t xml:space="preserve"> in that capacity</w:t>
      </w:r>
      <w:r w:rsidR="004F43F9" w:rsidRPr="00BB043F">
        <w:t>,</w:t>
      </w:r>
      <w:r w:rsidR="004F43F9" w:rsidDel="004F43F9">
        <w:t xml:space="preserve"> </w:t>
      </w:r>
      <w:r w:rsidR="00D45B15" w:rsidRPr="00F76596">
        <w:t>but does not include</w:t>
      </w:r>
      <w:r>
        <w:t>:</w:t>
      </w:r>
    </w:p>
    <w:p w:rsidR="000C633E" w:rsidRDefault="00082AE2" w:rsidP="00082AE2">
      <w:pPr>
        <w:pStyle w:val="MIRSubpara"/>
      </w:pPr>
      <w:r>
        <w:t xml:space="preserve">a </w:t>
      </w:r>
      <w:r w:rsidR="004F43F9">
        <w:t xml:space="preserve">position in </w:t>
      </w:r>
      <w:r>
        <w:t xml:space="preserve">a </w:t>
      </w:r>
      <w:r w:rsidR="004F43F9">
        <w:t xml:space="preserve">Derivative </w:t>
      </w:r>
      <w:r w:rsidR="00833155">
        <w:t xml:space="preserve">that </w:t>
      </w:r>
      <w:r>
        <w:t>is</w:t>
      </w:r>
      <w:r w:rsidR="00833155">
        <w:t xml:space="preserve"> not </w:t>
      </w:r>
      <w:r>
        <w:t>a Clearing Derivative</w:t>
      </w:r>
      <w:r w:rsidR="00833155">
        <w:t xml:space="preserve"> because of subrule 1.2.</w:t>
      </w:r>
      <w:r w:rsidR="00167219">
        <w:t>3</w:t>
      </w:r>
      <w:r w:rsidR="00833155">
        <w:t>(7)</w:t>
      </w:r>
      <w:r w:rsidRPr="00082AE2">
        <w:t xml:space="preserve"> (whether or not it is also </w:t>
      </w:r>
      <w:r>
        <w:t>not a Clearing Derivative for other reasons)</w:t>
      </w:r>
      <w:r w:rsidR="004F43F9">
        <w:t>; or</w:t>
      </w:r>
    </w:p>
    <w:p w:rsidR="000C633E" w:rsidRDefault="00082AE2" w:rsidP="000C633E">
      <w:pPr>
        <w:pStyle w:val="MIRSubpara"/>
      </w:pPr>
      <w:r>
        <w:t xml:space="preserve">a </w:t>
      </w:r>
      <w:r w:rsidR="00D45B15" w:rsidRPr="00F76596">
        <w:rPr>
          <w:szCs w:val="20"/>
        </w:rPr>
        <w:t>position</w:t>
      </w:r>
      <w:r w:rsidR="00D45B15" w:rsidRPr="00F76596">
        <w:t xml:space="preserve"> in </w:t>
      </w:r>
      <w:r>
        <w:t xml:space="preserve">a </w:t>
      </w:r>
      <w:r w:rsidR="00D45B15" w:rsidRPr="00F76596">
        <w:t>Derivative</w:t>
      </w:r>
      <w:r w:rsidR="00D45B15">
        <w:t xml:space="preserve"> </w:t>
      </w:r>
      <w:r w:rsidR="00AE1785" w:rsidRPr="00F3416C">
        <w:t>entered into with</w:t>
      </w:r>
      <w:r w:rsidR="0057196A">
        <w:t xml:space="preserve"> a </w:t>
      </w:r>
      <w:r w:rsidR="009A514F">
        <w:t>r</w:t>
      </w:r>
      <w:r w:rsidR="0057196A">
        <w:t xml:space="preserve">elated </w:t>
      </w:r>
      <w:r w:rsidR="009A514F">
        <w:t>b</w:t>
      </w:r>
      <w:r w:rsidR="0057196A">
        <w:t xml:space="preserve">ody </w:t>
      </w:r>
      <w:r w:rsidR="009A514F">
        <w:t>c</w:t>
      </w:r>
      <w:r w:rsidR="00D45B15">
        <w:t xml:space="preserve">orporate of the </w:t>
      </w:r>
      <w:r w:rsidR="000C633E">
        <w:t>e</w:t>
      </w:r>
      <w:r w:rsidR="00D45B15">
        <w:t>ntity</w:t>
      </w:r>
      <w:r w:rsidR="000C633E">
        <w:t>; or</w:t>
      </w:r>
    </w:p>
    <w:p w:rsidR="00AD2AB7" w:rsidRDefault="0053238D" w:rsidP="000C633E">
      <w:pPr>
        <w:pStyle w:val="MIRSubpara"/>
      </w:pPr>
      <w:r>
        <w:t>for an</w:t>
      </w:r>
      <w:r w:rsidR="00AD2AB7">
        <w:t xml:space="preserve"> entity:</w:t>
      </w:r>
    </w:p>
    <w:p w:rsidR="00AD2AB7" w:rsidRDefault="00DC3712" w:rsidP="00AD2AB7">
      <w:pPr>
        <w:pStyle w:val="MIRSubsubpara"/>
      </w:pPr>
      <w:r>
        <w:t xml:space="preserve">that is </w:t>
      </w:r>
      <w:r w:rsidR="00AD2AB7">
        <w:t xml:space="preserve">acting in its Personal Capacity and is </w:t>
      </w:r>
      <w:r w:rsidR="00E2661D" w:rsidRPr="00E65F41">
        <w:t>incorporated or formed outsid</w:t>
      </w:r>
      <w:r w:rsidR="00EF1FE1" w:rsidRPr="00E65F41">
        <w:t xml:space="preserve">e </w:t>
      </w:r>
      <w:r w:rsidR="00082AE2">
        <w:t>Australia</w:t>
      </w:r>
      <w:r w:rsidR="00AD2AB7">
        <w:t>; or</w:t>
      </w:r>
    </w:p>
    <w:p w:rsidR="00AD2AB7" w:rsidRDefault="00DC3712" w:rsidP="00AD2AB7">
      <w:pPr>
        <w:pStyle w:val="MIRSubsubpara"/>
      </w:pPr>
      <w:r>
        <w:t xml:space="preserve">that is </w:t>
      </w:r>
      <w:r w:rsidR="00AD2AB7">
        <w:t>acting in a Representative Capacity</w:t>
      </w:r>
      <w:r w:rsidR="00AD2AB7" w:rsidRPr="00AD2AB7">
        <w:t xml:space="preserve"> </w:t>
      </w:r>
      <w:r>
        <w:t>in relation to a</w:t>
      </w:r>
      <w:r w:rsidR="00AD2AB7">
        <w:t xml:space="preserve"> scheme or trust t</w:t>
      </w:r>
      <w:r>
        <w:t>hat</w:t>
      </w:r>
      <w:r w:rsidR="00AD2AB7">
        <w:t xml:space="preserve"> is incorporated or formed outside Australia;</w:t>
      </w:r>
    </w:p>
    <w:p w:rsidR="000C633E" w:rsidRPr="00E65F41" w:rsidRDefault="000C633E" w:rsidP="00AD2AB7">
      <w:pPr>
        <w:pStyle w:val="MIRSubpara"/>
        <w:numPr>
          <w:ilvl w:val="0"/>
          <w:numId w:val="0"/>
        </w:numPr>
        <w:ind w:left="1276"/>
      </w:pPr>
      <w:r w:rsidRPr="00E65F41">
        <w:t>a position in a</w:t>
      </w:r>
      <w:r w:rsidR="00D572C4" w:rsidRPr="00E65F41">
        <w:t xml:space="preserve"> Derivative</w:t>
      </w:r>
      <w:r w:rsidRPr="00E65F41">
        <w:t>:</w:t>
      </w:r>
    </w:p>
    <w:p w:rsidR="000C633E" w:rsidRPr="00E65F41" w:rsidRDefault="000C633E" w:rsidP="000C633E">
      <w:pPr>
        <w:pStyle w:val="MIRSubsubpara"/>
      </w:pPr>
      <w:r w:rsidRPr="00E65F41">
        <w:t xml:space="preserve">that was not booked to the profit or loss account of a branch of the </w:t>
      </w:r>
      <w:r w:rsidR="00EF1FE1" w:rsidRPr="00E65F41">
        <w:t>entity</w:t>
      </w:r>
      <w:r w:rsidRPr="00E65F41">
        <w:t xml:space="preserve"> located in </w:t>
      </w:r>
      <w:r w:rsidR="00082AE2">
        <w:t>Australia</w:t>
      </w:r>
      <w:r w:rsidRPr="00E65F41">
        <w:t>; and</w:t>
      </w:r>
    </w:p>
    <w:p w:rsidR="006373A4" w:rsidRDefault="00C21386" w:rsidP="000C633E">
      <w:pPr>
        <w:pStyle w:val="MIRSubsubpara"/>
      </w:pPr>
      <w:r>
        <w:t xml:space="preserve">that </w:t>
      </w:r>
      <w:r w:rsidR="006373A4">
        <w:t>either:</w:t>
      </w:r>
    </w:p>
    <w:p w:rsidR="006373A4" w:rsidRDefault="00C21386" w:rsidP="006373A4">
      <w:pPr>
        <w:pStyle w:val="MIRsubsubsubpara"/>
      </w:pPr>
      <w:r>
        <w:t xml:space="preserve">was not entered into in </w:t>
      </w:r>
      <w:r w:rsidR="00082AE2">
        <w:t>Australia</w:t>
      </w:r>
      <w:r w:rsidR="006373A4">
        <w:t>; or</w:t>
      </w:r>
    </w:p>
    <w:p w:rsidR="000C633E" w:rsidRDefault="006373A4" w:rsidP="006373A4">
      <w:pPr>
        <w:pStyle w:val="MIRsubsubsubpara"/>
      </w:pPr>
      <w:r>
        <w:t>was entered into in Australia before 25 February 2015</w:t>
      </w:r>
      <w:r w:rsidR="000C633E" w:rsidRPr="001A5714">
        <w:t>.</w:t>
      </w:r>
      <w:r w:rsidR="009B0E5A">
        <w:t xml:space="preserve"> </w:t>
      </w:r>
    </w:p>
    <w:p w:rsidR="00743F11" w:rsidRDefault="00EF1FE1" w:rsidP="00EF1FE1">
      <w:pPr>
        <w:pStyle w:val="MIRBodyText"/>
      </w:pPr>
      <w:r>
        <w:t>(2)</w:t>
      </w:r>
      <w:r w:rsidR="00915FBC">
        <w:t xml:space="preserve"> </w:t>
      </w:r>
      <w:r>
        <w:t xml:space="preserve">This Rule applies for the purposes of these Rules and </w:t>
      </w:r>
      <w:r w:rsidR="00261E2B">
        <w:t>paragraph</w:t>
      </w:r>
      <w:r w:rsidR="00743F11">
        <w:t xml:space="preserve"> 7.5A.</w:t>
      </w:r>
      <w:r w:rsidR="00700536">
        <w:t>60</w:t>
      </w:r>
      <w:r w:rsidR="00743F11">
        <w:t>(2)</w:t>
      </w:r>
      <w:r w:rsidR="00261E2B">
        <w:t>(a)</w:t>
      </w:r>
      <w:r w:rsidR="00743F11">
        <w:t xml:space="preserve"> of the </w:t>
      </w:r>
      <w:r w:rsidR="00743F11" w:rsidRPr="00335B17">
        <w:t>Regulations.</w:t>
      </w:r>
    </w:p>
    <w:p w:rsidR="007D1D80" w:rsidRPr="00F76596" w:rsidRDefault="007D1D80" w:rsidP="007D1D80">
      <w:pPr>
        <w:pStyle w:val="MIRHeading3Rule"/>
      </w:pPr>
      <w:r>
        <w:t>1.2.</w:t>
      </w:r>
      <w:r w:rsidR="00167219">
        <w:t>7</w:t>
      </w:r>
      <w:r w:rsidRPr="00F76596">
        <w:tab/>
      </w:r>
      <w:r>
        <w:t>Clearing Threshold</w:t>
      </w:r>
    </w:p>
    <w:p w:rsidR="00E330F0" w:rsidRPr="00E330F0" w:rsidRDefault="00E330F0" w:rsidP="00FF60AB">
      <w:pPr>
        <w:pStyle w:val="MIRHeading5"/>
      </w:pPr>
      <w:r w:rsidRPr="00E330F0">
        <w:t xml:space="preserve">Financial Entity acting </w:t>
      </w:r>
      <w:r w:rsidR="00700536">
        <w:t>in its Personal Capacity</w:t>
      </w:r>
    </w:p>
    <w:p w:rsidR="00E330F0" w:rsidRDefault="00E330F0" w:rsidP="00E330F0">
      <w:pPr>
        <w:pStyle w:val="MIRBodyText"/>
        <w:numPr>
          <w:ilvl w:val="0"/>
          <w:numId w:val="0"/>
        </w:numPr>
        <w:ind w:left="851"/>
      </w:pPr>
      <w:r>
        <w:t xml:space="preserve">(1) If a Financial Entity holds total gross notional outstanding positions of AUD $100 billion or more in its </w:t>
      </w:r>
      <w:r w:rsidR="00702413">
        <w:t>Personal C</w:t>
      </w:r>
      <w:r>
        <w:t xml:space="preserve">apacity on each of two consecutive Calculation Dates, the entity </w:t>
      </w:r>
      <w:r w:rsidRPr="005A3BB7">
        <w:rPr>
          <w:b/>
          <w:i/>
        </w:rPr>
        <w:t>meets the</w:t>
      </w:r>
      <w:r>
        <w:t xml:space="preserve"> </w:t>
      </w:r>
      <w:r>
        <w:rPr>
          <w:b/>
          <w:i/>
        </w:rPr>
        <w:t>Clearing Threshold</w:t>
      </w:r>
      <w:r>
        <w:t xml:space="preserve"> in </w:t>
      </w:r>
      <w:r w:rsidR="00700536">
        <w:t>its</w:t>
      </w:r>
      <w:r>
        <w:t xml:space="preserve"> Personal Capacity f</w:t>
      </w:r>
      <w:r w:rsidRPr="004F3286">
        <w:t>rom</w:t>
      </w:r>
      <w:r>
        <w:t xml:space="preserve"> the</w:t>
      </w:r>
      <w:r w:rsidRPr="002D2F84">
        <w:t xml:space="preserve"> </w:t>
      </w:r>
      <w:r>
        <w:t>date (</w:t>
      </w:r>
      <w:r w:rsidRPr="001A07DD">
        <w:rPr>
          <w:b/>
          <w:i/>
        </w:rPr>
        <w:t>Clearing Start Date</w:t>
      </w:r>
      <w:r>
        <w:t xml:space="preserve">) that is </w:t>
      </w:r>
      <w:r w:rsidRPr="00476D21">
        <w:t xml:space="preserve">the first Monday after the </w:t>
      </w:r>
      <w:r>
        <w:t xml:space="preserve">immediately following </w:t>
      </w:r>
      <w:r w:rsidRPr="00476D21">
        <w:t>Calculation Date</w:t>
      </w:r>
      <w:r w:rsidRPr="004F3286">
        <w:t>.</w:t>
      </w:r>
      <w:r>
        <w:t xml:space="preserve"> </w:t>
      </w:r>
    </w:p>
    <w:p w:rsidR="00E330F0" w:rsidRDefault="00E330F0" w:rsidP="00E330F0">
      <w:pPr>
        <w:pStyle w:val="MIRBodyText"/>
      </w:pPr>
      <w:r w:rsidRPr="004F3286">
        <w:t>(</w:t>
      </w:r>
      <w:r>
        <w:t>2</w:t>
      </w:r>
      <w:r w:rsidRPr="004F3286">
        <w:t xml:space="preserve">) </w:t>
      </w:r>
      <w:r>
        <w:t xml:space="preserve">If the Financial Entity meets the Clearing Threshold in its Personal Capacity, but does not hold </w:t>
      </w:r>
      <w:r w:rsidRPr="005F34E7">
        <w:t xml:space="preserve">total gross notional outstanding </w:t>
      </w:r>
      <w:r>
        <w:t xml:space="preserve">positions </w:t>
      </w:r>
      <w:r w:rsidRPr="005F34E7">
        <w:t>of AUD $</w:t>
      </w:r>
      <w:r>
        <w:t>10</w:t>
      </w:r>
      <w:r w:rsidRPr="005F34E7">
        <w:t>0 billion</w:t>
      </w:r>
      <w:r>
        <w:t xml:space="preserve"> or more in its Personal Capacity on each of </w:t>
      </w:r>
      <w:r w:rsidRPr="004F3286">
        <w:t>two consecutive Calculation Dates</w:t>
      </w:r>
      <w:r>
        <w:t>, the Financial Entity ceases to</w:t>
      </w:r>
      <w:r w:rsidRPr="00043E71">
        <w:t xml:space="preserve"> meet the Clearing Threshold</w:t>
      </w:r>
      <w:r>
        <w:t xml:space="preserve"> in its Personal Capacity </w:t>
      </w:r>
      <w:r w:rsidR="008E5836">
        <w:t>on</w:t>
      </w:r>
      <w:r w:rsidR="008E5836" w:rsidRPr="004F3286">
        <w:t xml:space="preserve"> </w:t>
      </w:r>
      <w:r>
        <w:t xml:space="preserve">the </w:t>
      </w:r>
      <w:r w:rsidR="008E5836">
        <w:t xml:space="preserve">day </w:t>
      </w:r>
      <w:r>
        <w:t>(</w:t>
      </w:r>
      <w:r w:rsidRPr="004F3F71">
        <w:rPr>
          <w:b/>
          <w:i/>
        </w:rPr>
        <w:t>Clearing End Date</w:t>
      </w:r>
      <w:r>
        <w:t xml:space="preserve">) </w:t>
      </w:r>
      <w:r w:rsidR="008E5836">
        <w:t>after the second of those</w:t>
      </w:r>
      <w:r>
        <w:t xml:space="preserve"> Calculation Date</w:t>
      </w:r>
      <w:r w:rsidR="008E5836">
        <w:t>s</w:t>
      </w:r>
      <w:r>
        <w:t>.</w:t>
      </w:r>
    </w:p>
    <w:p w:rsidR="00E330F0" w:rsidRPr="00E330F0" w:rsidRDefault="00E330F0" w:rsidP="00FF60AB">
      <w:pPr>
        <w:pStyle w:val="MIRHeading5"/>
      </w:pPr>
      <w:r w:rsidRPr="00E330F0">
        <w:t>Financial Entit</w:t>
      </w:r>
      <w:r w:rsidR="00635A31">
        <w:t xml:space="preserve">y acting in </w:t>
      </w:r>
      <w:r w:rsidR="00BB043F">
        <w:t>a Representative Capacity</w:t>
      </w:r>
    </w:p>
    <w:p w:rsidR="00EC56AC" w:rsidRPr="00FF60AB" w:rsidRDefault="00EC56AC" w:rsidP="00E330F0">
      <w:pPr>
        <w:pStyle w:val="MIRBodyText"/>
        <w:numPr>
          <w:ilvl w:val="0"/>
          <w:numId w:val="0"/>
        </w:numPr>
        <w:ind w:left="850"/>
        <w:rPr>
          <w:spacing w:val="-4"/>
        </w:rPr>
      </w:pPr>
      <w:r w:rsidRPr="00FF60AB">
        <w:rPr>
          <w:spacing w:val="-4"/>
        </w:rPr>
        <w:t>(</w:t>
      </w:r>
      <w:r w:rsidR="00E330F0" w:rsidRPr="00FF60AB">
        <w:rPr>
          <w:spacing w:val="-4"/>
        </w:rPr>
        <w:t>3</w:t>
      </w:r>
      <w:r w:rsidRPr="00FF60AB">
        <w:rPr>
          <w:spacing w:val="-4"/>
        </w:rPr>
        <w:t xml:space="preserve">) If </w:t>
      </w:r>
      <w:r w:rsidR="00B8602C" w:rsidRPr="00FF60AB">
        <w:rPr>
          <w:spacing w:val="-4"/>
        </w:rPr>
        <w:t xml:space="preserve">a </w:t>
      </w:r>
      <w:r w:rsidR="001B1AFA" w:rsidRPr="00FF60AB">
        <w:rPr>
          <w:spacing w:val="-4"/>
        </w:rPr>
        <w:t xml:space="preserve">Financial Entity </w:t>
      </w:r>
      <w:r w:rsidRPr="00FF60AB">
        <w:rPr>
          <w:spacing w:val="-4"/>
        </w:rPr>
        <w:t xml:space="preserve">holds total gross notional outstanding positions of AUD $100 billion or more in </w:t>
      </w:r>
      <w:r w:rsidR="00700536" w:rsidRPr="00FF60AB">
        <w:rPr>
          <w:spacing w:val="-4"/>
        </w:rPr>
        <w:t xml:space="preserve">a Representative Capacity </w:t>
      </w:r>
      <w:r w:rsidRPr="00FF60AB">
        <w:rPr>
          <w:spacing w:val="-4"/>
        </w:rPr>
        <w:t xml:space="preserve">on each of two consecutive Calculation Dates, the </w:t>
      </w:r>
      <w:r w:rsidR="001B1AFA" w:rsidRPr="00FF60AB">
        <w:rPr>
          <w:spacing w:val="-4"/>
        </w:rPr>
        <w:t xml:space="preserve">Financial Entity </w:t>
      </w:r>
      <w:r w:rsidRPr="00FF60AB">
        <w:rPr>
          <w:b/>
          <w:i/>
          <w:spacing w:val="-4"/>
        </w:rPr>
        <w:t>meets the</w:t>
      </w:r>
      <w:r w:rsidRPr="00FF60AB">
        <w:rPr>
          <w:spacing w:val="-4"/>
        </w:rPr>
        <w:t xml:space="preserve"> </w:t>
      </w:r>
      <w:r w:rsidRPr="00FF60AB">
        <w:rPr>
          <w:b/>
          <w:i/>
          <w:spacing w:val="-4"/>
        </w:rPr>
        <w:t>Clearing Threshold</w:t>
      </w:r>
      <w:r w:rsidRPr="00FF60AB">
        <w:rPr>
          <w:spacing w:val="-4"/>
        </w:rPr>
        <w:t xml:space="preserve"> in</w:t>
      </w:r>
      <w:r w:rsidR="00700536" w:rsidRPr="00FF60AB">
        <w:rPr>
          <w:spacing w:val="-4"/>
        </w:rPr>
        <w:t xml:space="preserve"> that Representative Capacity</w:t>
      </w:r>
      <w:r w:rsidRPr="00FF60AB">
        <w:rPr>
          <w:spacing w:val="-4"/>
        </w:rPr>
        <w:t xml:space="preserve"> from the date (</w:t>
      </w:r>
      <w:r w:rsidRPr="00FF60AB">
        <w:rPr>
          <w:b/>
          <w:i/>
          <w:spacing w:val="-4"/>
        </w:rPr>
        <w:t>Clearing Start Date</w:t>
      </w:r>
      <w:r w:rsidRPr="00FF60AB">
        <w:rPr>
          <w:spacing w:val="-4"/>
        </w:rPr>
        <w:t>) that is the first Monday after the immediately following Calculation Date.</w:t>
      </w:r>
    </w:p>
    <w:p w:rsidR="00EC56AC" w:rsidRDefault="00EC56AC" w:rsidP="00EC56AC">
      <w:pPr>
        <w:pStyle w:val="MIRBodyText"/>
      </w:pPr>
      <w:r w:rsidRPr="004F3286">
        <w:t>(</w:t>
      </w:r>
      <w:r w:rsidR="00E330F0">
        <w:t>4</w:t>
      </w:r>
      <w:r w:rsidRPr="004F3286">
        <w:t xml:space="preserve">) </w:t>
      </w:r>
      <w:r>
        <w:t xml:space="preserve">If </w:t>
      </w:r>
      <w:r w:rsidR="00B8602C">
        <w:t xml:space="preserve">a </w:t>
      </w:r>
      <w:r w:rsidR="001B1AFA">
        <w:t xml:space="preserve">Financial Entity </w:t>
      </w:r>
      <w:r>
        <w:t xml:space="preserve">meets the Clearing Threshold in </w:t>
      </w:r>
      <w:r w:rsidR="00700536">
        <w:t>a Representative Cap</w:t>
      </w:r>
      <w:r w:rsidR="00BB043F">
        <w:t>a</w:t>
      </w:r>
      <w:r w:rsidR="00700536">
        <w:t>city</w:t>
      </w:r>
      <w:r w:rsidR="001B1AFA">
        <w:t xml:space="preserve">, but </w:t>
      </w:r>
      <w:r>
        <w:t xml:space="preserve">does not hold </w:t>
      </w:r>
      <w:r w:rsidRPr="005F34E7">
        <w:t xml:space="preserve">total gross notional outstanding </w:t>
      </w:r>
      <w:r>
        <w:t xml:space="preserve">positions </w:t>
      </w:r>
      <w:r w:rsidRPr="005F34E7">
        <w:t>of AUD $</w:t>
      </w:r>
      <w:r>
        <w:t>10</w:t>
      </w:r>
      <w:r w:rsidRPr="005F34E7">
        <w:t>0 billion</w:t>
      </w:r>
      <w:r>
        <w:t xml:space="preserve"> or more in </w:t>
      </w:r>
      <w:r w:rsidR="00B3125B">
        <w:t>that</w:t>
      </w:r>
      <w:r>
        <w:t xml:space="preserve"> </w:t>
      </w:r>
      <w:r w:rsidR="00700536">
        <w:t>Representative C</w:t>
      </w:r>
      <w:r>
        <w:t>apacity o</w:t>
      </w:r>
      <w:r w:rsidR="00F760B7">
        <w:t>n</w:t>
      </w:r>
      <w:r>
        <w:t xml:space="preserve"> each of </w:t>
      </w:r>
      <w:r w:rsidRPr="004F3286">
        <w:t>two consecutive Calculation Dates</w:t>
      </w:r>
      <w:r>
        <w:t xml:space="preserve">, the </w:t>
      </w:r>
      <w:r w:rsidR="001B1AFA">
        <w:t xml:space="preserve">Financial Entity </w:t>
      </w:r>
      <w:r>
        <w:t>ceases to</w:t>
      </w:r>
      <w:r w:rsidRPr="00043E71">
        <w:t xml:space="preserve"> meet the Clearing Threshold</w:t>
      </w:r>
      <w:r>
        <w:t xml:space="preserve"> in </w:t>
      </w:r>
      <w:r w:rsidR="00B3125B">
        <w:t xml:space="preserve">that </w:t>
      </w:r>
      <w:r w:rsidR="00700536">
        <w:t>Representative C</w:t>
      </w:r>
      <w:r w:rsidR="00B3125B">
        <w:t>apacity</w:t>
      </w:r>
      <w:r w:rsidRPr="00043E71">
        <w:t xml:space="preserve"> </w:t>
      </w:r>
      <w:r w:rsidR="008E5836">
        <w:t>on</w:t>
      </w:r>
      <w:r w:rsidR="008E5836" w:rsidRPr="004F3286">
        <w:t xml:space="preserve"> </w:t>
      </w:r>
      <w:r>
        <w:t xml:space="preserve">the </w:t>
      </w:r>
      <w:r w:rsidR="008E5836">
        <w:t>day</w:t>
      </w:r>
      <w:r>
        <w:t xml:space="preserve"> (</w:t>
      </w:r>
      <w:r w:rsidRPr="004F3F71">
        <w:rPr>
          <w:b/>
          <w:i/>
        </w:rPr>
        <w:t>Clearing End Date</w:t>
      </w:r>
      <w:r>
        <w:t xml:space="preserve">) </w:t>
      </w:r>
      <w:r w:rsidR="008E5836">
        <w:t xml:space="preserve">after the second of those </w:t>
      </w:r>
      <w:r>
        <w:t>Calculation Date</w:t>
      </w:r>
      <w:r w:rsidR="008E5836">
        <w:t>s</w:t>
      </w:r>
      <w:r>
        <w:t>.</w:t>
      </w:r>
    </w:p>
    <w:p w:rsidR="00EC56AC" w:rsidRPr="00FF60AB" w:rsidRDefault="00EC56AC" w:rsidP="00EC56AC">
      <w:pPr>
        <w:pStyle w:val="MIRBodyText"/>
        <w:rPr>
          <w:spacing w:val="-2"/>
        </w:rPr>
      </w:pPr>
      <w:r w:rsidRPr="00FF60AB">
        <w:rPr>
          <w:spacing w:val="-2"/>
        </w:rPr>
        <w:t>(</w:t>
      </w:r>
      <w:r w:rsidR="00E330F0" w:rsidRPr="00FF60AB">
        <w:rPr>
          <w:spacing w:val="-2"/>
        </w:rPr>
        <w:t>5</w:t>
      </w:r>
      <w:r w:rsidRPr="00FF60AB">
        <w:rPr>
          <w:spacing w:val="-2"/>
        </w:rPr>
        <w:t xml:space="preserve">) </w:t>
      </w:r>
      <w:r w:rsidR="001B1AFA" w:rsidRPr="00FF60AB">
        <w:rPr>
          <w:spacing w:val="-2"/>
        </w:rPr>
        <w:t>Nothing in this Rule prevents a</w:t>
      </w:r>
      <w:r w:rsidRPr="00FF60AB">
        <w:rPr>
          <w:spacing w:val="-2"/>
        </w:rPr>
        <w:t xml:space="preserve"> </w:t>
      </w:r>
      <w:r w:rsidR="001B1AFA" w:rsidRPr="00FF60AB">
        <w:rPr>
          <w:spacing w:val="-2"/>
        </w:rPr>
        <w:t xml:space="preserve">Financial Entity </w:t>
      </w:r>
      <w:r w:rsidRPr="00FF60AB">
        <w:rPr>
          <w:spacing w:val="-2"/>
        </w:rPr>
        <w:t xml:space="preserve">that has ceased to meet the Clearing Threshold in </w:t>
      </w:r>
      <w:r w:rsidR="00E330F0" w:rsidRPr="00FF60AB">
        <w:rPr>
          <w:spacing w:val="-2"/>
        </w:rPr>
        <w:t>its Personal Capacity under subrule (</w:t>
      </w:r>
      <w:r w:rsidR="00BE00F4" w:rsidRPr="00FF60AB">
        <w:rPr>
          <w:spacing w:val="-2"/>
        </w:rPr>
        <w:t>2</w:t>
      </w:r>
      <w:r w:rsidR="00E330F0" w:rsidRPr="00FF60AB">
        <w:rPr>
          <w:spacing w:val="-2"/>
        </w:rPr>
        <w:t xml:space="preserve">) or </w:t>
      </w:r>
      <w:r w:rsidR="00700536" w:rsidRPr="00FF60AB">
        <w:rPr>
          <w:spacing w:val="-2"/>
        </w:rPr>
        <w:t xml:space="preserve">in a Representative Capacity </w:t>
      </w:r>
      <w:r w:rsidRPr="00FF60AB">
        <w:rPr>
          <w:spacing w:val="-2"/>
        </w:rPr>
        <w:t>under subrule (</w:t>
      </w:r>
      <w:r w:rsidR="00BE00F4" w:rsidRPr="00FF60AB">
        <w:rPr>
          <w:spacing w:val="-2"/>
        </w:rPr>
        <w:t>4</w:t>
      </w:r>
      <w:r w:rsidRPr="00FF60AB">
        <w:rPr>
          <w:spacing w:val="-2"/>
        </w:rPr>
        <w:t xml:space="preserve">) from meeting the Clearing Threshold in </w:t>
      </w:r>
      <w:r w:rsidR="00B3125B" w:rsidRPr="00FF60AB">
        <w:rPr>
          <w:spacing w:val="-2"/>
        </w:rPr>
        <w:t>that capacity</w:t>
      </w:r>
      <w:r w:rsidRPr="00FF60AB">
        <w:rPr>
          <w:spacing w:val="-2"/>
        </w:rPr>
        <w:t xml:space="preserve"> again under subrule (</w:t>
      </w:r>
      <w:r w:rsidR="00BE00F4" w:rsidRPr="00FF60AB">
        <w:rPr>
          <w:spacing w:val="-2"/>
        </w:rPr>
        <w:t>1</w:t>
      </w:r>
      <w:r w:rsidRPr="00FF60AB">
        <w:rPr>
          <w:spacing w:val="-2"/>
        </w:rPr>
        <w:t>) or (</w:t>
      </w:r>
      <w:r w:rsidR="00BE00F4" w:rsidRPr="00FF60AB">
        <w:rPr>
          <w:spacing w:val="-2"/>
        </w:rPr>
        <w:t>3</w:t>
      </w:r>
      <w:r w:rsidRPr="00FF60AB">
        <w:rPr>
          <w:spacing w:val="-2"/>
        </w:rPr>
        <w:t>).</w:t>
      </w:r>
    </w:p>
    <w:p w:rsidR="00EF1FE1" w:rsidRDefault="00EF1FE1" w:rsidP="00EF1FE1">
      <w:pPr>
        <w:pStyle w:val="MIRBodyText"/>
      </w:pPr>
      <w:r>
        <w:t>(6)</w:t>
      </w:r>
      <w:r w:rsidR="00915FBC">
        <w:t xml:space="preserve"> </w:t>
      </w:r>
      <w:r>
        <w:t>This Rule applies for the purposes of these Rules and paragraph 7.5A.</w:t>
      </w:r>
      <w:r w:rsidR="00700536">
        <w:t>60</w:t>
      </w:r>
      <w:r>
        <w:t xml:space="preserve">(2)(b) of the </w:t>
      </w:r>
      <w:r w:rsidRPr="00335B17">
        <w:t>Regulations.</w:t>
      </w:r>
      <w:r>
        <w:t xml:space="preserve"> </w:t>
      </w:r>
    </w:p>
    <w:p w:rsidR="00E330F0" w:rsidRDefault="00E330F0" w:rsidP="00EF1FE1">
      <w:pPr>
        <w:pStyle w:val="MIRNote"/>
      </w:pPr>
      <w:r w:rsidRPr="00FF60AB">
        <w:rPr>
          <w:spacing w:val="-2"/>
        </w:rPr>
        <w:t xml:space="preserve">Note: For example, a Financial Entity that </w:t>
      </w:r>
      <w:r w:rsidR="00155440" w:rsidRPr="00FF60AB">
        <w:rPr>
          <w:spacing w:val="-2"/>
        </w:rPr>
        <w:t>holds total gross notional outstanding positions of AUD</w:t>
      </w:r>
      <w:r w:rsidR="00FF60AB" w:rsidRPr="00FF60AB">
        <w:rPr>
          <w:spacing w:val="-2"/>
        </w:rPr>
        <w:t> </w:t>
      </w:r>
      <w:r w:rsidR="00155440" w:rsidRPr="00FF60AB">
        <w:rPr>
          <w:spacing w:val="-2"/>
        </w:rPr>
        <w:t>$100</w:t>
      </w:r>
      <w:r w:rsidR="00A32D89">
        <w:rPr>
          <w:spacing w:val="-2"/>
        </w:rPr>
        <w:t> </w:t>
      </w:r>
      <w:r w:rsidR="00155440" w:rsidRPr="00FF60AB">
        <w:rPr>
          <w:spacing w:val="-2"/>
        </w:rPr>
        <w:t xml:space="preserve">billion or more in a particular capacity </w:t>
      </w:r>
      <w:r w:rsidRPr="00FF60AB">
        <w:rPr>
          <w:spacing w:val="-2"/>
        </w:rPr>
        <w:t xml:space="preserve">as at both 30 </w:t>
      </w:r>
      <w:r w:rsidR="00DB0D3F" w:rsidRPr="00FF60AB">
        <w:rPr>
          <w:spacing w:val="-2"/>
        </w:rPr>
        <w:t xml:space="preserve">September </w:t>
      </w:r>
      <w:r w:rsidRPr="00FF60AB">
        <w:rPr>
          <w:spacing w:val="-2"/>
        </w:rPr>
        <w:t>2015 and 3</w:t>
      </w:r>
      <w:r w:rsidR="00DB0D3F" w:rsidRPr="00FF60AB">
        <w:rPr>
          <w:spacing w:val="-2"/>
        </w:rPr>
        <w:t>1</w:t>
      </w:r>
      <w:r w:rsidRPr="00FF60AB">
        <w:rPr>
          <w:spacing w:val="-2"/>
        </w:rPr>
        <w:t xml:space="preserve"> </w:t>
      </w:r>
      <w:r w:rsidR="00DB0D3F" w:rsidRPr="00FF60AB">
        <w:rPr>
          <w:spacing w:val="-2"/>
        </w:rPr>
        <w:t xml:space="preserve">December </w:t>
      </w:r>
      <w:r w:rsidRPr="00FF60AB">
        <w:rPr>
          <w:spacing w:val="-2"/>
        </w:rPr>
        <w:t>2015</w:t>
      </w:r>
      <w:r w:rsidRPr="00155440">
        <w:t xml:space="preserve"> </w:t>
      </w:r>
      <w:r w:rsidR="00155440">
        <w:t>meets the Clearing Threshold</w:t>
      </w:r>
      <w:r w:rsidRPr="00155440">
        <w:t xml:space="preserve"> </w:t>
      </w:r>
      <w:r w:rsidR="00155440" w:rsidRPr="00155440">
        <w:t xml:space="preserve">in that capacity </w:t>
      </w:r>
      <w:r w:rsidRPr="00155440">
        <w:t xml:space="preserve">from </w:t>
      </w:r>
      <w:r w:rsidR="00A803D1">
        <w:t>4</w:t>
      </w:r>
      <w:r w:rsidR="00A803D1" w:rsidRPr="00155440">
        <w:t xml:space="preserve"> </w:t>
      </w:r>
      <w:r w:rsidR="00A803D1">
        <w:t>April</w:t>
      </w:r>
      <w:r w:rsidR="00A803D1" w:rsidRPr="00155440">
        <w:t xml:space="preserve"> </w:t>
      </w:r>
      <w:r w:rsidRPr="00155440">
        <w:t xml:space="preserve">2016. If the Financial Entity subsequently </w:t>
      </w:r>
      <w:r w:rsidR="00155440">
        <w:t xml:space="preserve">holds </w:t>
      </w:r>
      <w:r w:rsidR="00155440" w:rsidRPr="005F34E7">
        <w:t xml:space="preserve">total gross notional outstanding </w:t>
      </w:r>
      <w:r w:rsidR="00155440">
        <w:t xml:space="preserve">positions </w:t>
      </w:r>
      <w:r w:rsidR="00155440" w:rsidRPr="005F34E7">
        <w:t xml:space="preserve">of </w:t>
      </w:r>
      <w:r w:rsidR="00155440">
        <w:t xml:space="preserve">less than </w:t>
      </w:r>
      <w:r w:rsidR="00155440" w:rsidRPr="005F34E7">
        <w:t>AUD $</w:t>
      </w:r>
      <w:r w:rsidR="00155440">
        <w:t>10</w:t>
      </w:r>
      <w:r w:rsidR="00155440" w:rsidRPr="005F34E7">
        <w:t>0 billion</w:t>
      </w:r>
      <w:r w:rsidR="00155440">
        <w:t xml:space="preserve"> </w:t>
      </w:r>
      <w:r w:rsidR="00155440" w:rsidRPr="00155440">
        <w:t>in that capacity</w:t>
      </w:r>
      <w:r w:rsidRPr="00155440">
        <w:t xml:space="preserve"> on both 30</w:t>
      </w:r>
      <w:r w:rsidR="00FF60AB">
        <w:t> </w:t>
      </w:r>
      <w:r w:rsidRPr="00155440">
        <w:t xml:space="preserve">September 2016 and 31 December 2016, the Financial Entity will cease to </w:t>
      </w:r>
      <w:r w:rsidR="00155440">
        <w:t xml:space="preserve">meet the Clearing Threshold </w:t>
      </w:r>
      <w:r w:rsidR="00A403E5">
        <w:t xml:space="preserve">in that capacity </w:t>
      </w:r>
      <w:r w:rsidRPr="00155440">
        <w:t xml:space="preserve">on </w:t>
      </w:r>
      <w:r w:rsidR="005E418A">
        <w:t>1 January</w:t>
      </w:r>
      <w:r w:rsidRPr="00155440">
        <w:t xml:space="preserve"> 2017.</w:t>
      </w:r>
    </w:p>
    <w:p w:rsidR="008916B2" w:rsidRDefault="008916B2" w:rsidP="00F55345">
      <w:pPr>
        <w:pStyle w:val="MIRHeading3Rule"/>
      </w:pPr>
      <w:r>
        <w:t>1.2.</w:t>
      </w:r>
      <w:r w:rsidR="00167219">
        <w:t>8</w:t>
      </w:r>
      <w:r>
        <w:tab/>
        <w:t>Opt In to become a Clearing Entity</w:t>
      </w:r>
    </w:p>
    <w:p w:rsidR="008916B2" w:rsidRDefault="008916B2" w:rsidP="000F324E">
      <w:pPr>
        <w:pStyle w:val="MIRBodyText"/>
      </w:pPr>
      <w:bookmarkStart w:id="13" w:name="_Ref403987449"/>
      <w:r>
        <w:t>(1) An entity</w:t>
      </w:r>
      <w:r w:rsidR="004568EA">
        <w:t xml:space="preserve"> </w:t>
      </w:r>
      <w:r>
        <w:t xml:space="preserve">may </w:t>
      </w:r>
      <w:r w:rsidRPr="005C01F0">
        <w:t>lodg</w:t>
      </w:r>
      <w:r>
        <w:t>e</w:t>
      </w:r>
      <w:r w:rsidRPr="005C01F0">
        <w:t xml:space="preserve"> a</w:t>
      </w:r>
      <w:r>
        <w:t xml:space="preserve"> written</w:t>
      </w:r>
      <w:r w:rsidRPr="005C01F0">
        <w:t xml:space="preserve"> notice (an </w:t>
      </w:r>
      <w:r w:rsidRPr="005C01F0">
        <w:rPr>
          <w:b/>
          <w:i/>
        </w:rPr>
        <w:t>Opt-In Notice</w:t>
      </w:r>
      <w:r w:rsidRPr="005C01F0">
        <w:t>) with ASIC setting out</w:t>
      </w:r>
      <w:bookmarkEnd w:id="13"/>
      <w:r w:rsidR="00E45F72">
        <w:t xml:space="preserve"> the following</w:t>
      </w:r>
      <w:r>
        <w:t>:</w:t>
      </w:r>
      <w:r w:rsidR="00EE7263">
        <w:t xml:space="preserve"> </w:t>
      </w:r>
    </w:p>
    <w:p w:rsidR="008916B2" w:rsidRDefault="008916B2" w:rsidP="008916B2">
      <w:pPr>
        <w:pStyle w:val="MIRSubpara"/>
      </w:pPr>
      <w:r w:rsidRPr="00471C67">
        <w:t xml:space="preserve">the name of the </w:t>
      </w:r>
      <w:r>
        <w:t>e</w:t>
      </w:r>
      <w:r w:rsidRPr="00471C67">
        <w:t>ntity</w:t>
      </w:r>
      <w:r w:rsidR="00905ACC">
        <w:t>;</w:t>
      </w:r>
    </w:p>
    <w:p w:rsidR="00280E6C" w:rsidRDefault="00280E6C" w:rsidP="00280E6C">
      <w:pPr>
        <w:pStyle w:val="MIRSubpara"/>
      </w:pPr>
      <w:r>
        <w:t>the entity</w:t>
      </w:r>
      <w:r w:rsidR="007F782A">
        <w:t>’</w:t>
      </w:r>
      <w:r>
        <w:t xml:space="preserve">s LEI or interim entity identifier or, if no LEI or interim entity identifier is available for the entity, </w:t>
      </w:r>
      <w:r w:rsidR="009C4848">
        <w:t>a Designated Business Identifier or, if no Designated Business Identifier is</w:t>
      </w:r>
      <w:r>
        <w:t xml:space="preserve"> available for the entity, a Business Identifier Code</w:t>
      </w:r>
      <w:r w:rsidR="000838C7">
        <w:t xml:space="preserve"> (BIC code)</w:t>
      </w:r>
      <w:r>
        <w:t>;</w:t>
      </w:r>
    </w:p>
    <w:p w:rsidR="003157A2" w:rsidRDefault="003157A2" w:rsidP="003157A2">
      <w:pPr>
        <w:pStyle w:val="MIRSubpara"/>
      </w:pPr>
      <w:r>
        <w:t>which of the following capacities the entity is lodging the notice in:</w:t>
      </w:r>
    </w:p>
    <w:p w:rsidR="003157A2" w:rsidRDefault="003157A2" w:rsidP="003157A2">
      <w:pPr>
        <w:pStyle w:val="MIRSubsubpara"/>
      </w:pPr>
      <w:r>
        <w:t xml:space="preserve">its Personal Capacity; </w:t>
      </w:r>
    </w:p>
    <w:p w:rsidR="003157A2" w:rsidRDefault="00700536" w:rsidP="003157A2">
      <w:pPr>
        <w:pStyle w:val="MIRSubsubpara"/>
      </w:pPr>
      <w:r>
        <w:t>a Representative Capacity</w:t>
      </w:r>
      <w:r w:rsidR="003157A2">
        <w:t>;</w:t>
      </w:r>
    </w:p>
    <w:p w:rsidR="003157A2" w:rsidRDefault="00700536" w:rsidP="003157A2">
      <w:pPr>
        <w:pStyle w:val="MIRSubpara"/>
      </w:pPr>
      <w:r>
        <w:t>if the entity is lodging the notice in a Representative Capacity</w:t>
      </w:r>
      <w:r w:rsidR="00915FBC">
        <w:t>—</w:t>
      </w:r>
      <w:r w:rsidR="003157A2">
        <w:t xml:space="preserve">the </w:t>
      </w:r>
      <w:r w:rsidR="003157A2" w:rsidRPr="003157A2">
        <w:t>name</w:t>
      </w:r>
      <w:r w:rsidR="003157A2">
        <w:t xml:space="preserve"> of </w:t>
      </w:r>
      <w:r w:rsidR="00DC3712">
        <w:t xml:space="preserve">each </w:t>
      </w:r>
      <w:r w:rsidR="003157A2">
        <w:t xml:space="preserve">scheme </w:t>
      </w:r>
      <w:r w:rsidR="009A7037">
        <w:t xml:space="preserve">or </w:t>
      </w:r>
      <w:r w:rsidR="003157A2">
        <w:t xml:space="preserve">trust </w:t>
      </w:r>
      <w:r w:rsidR="009A7037">
        <w:t>to which the Representative Capacity relates</w:t>
      </w:r>
      <w:r w:rsidR="003157A2">
        <w:t xml:space="preserve"> and whether the scheme or trust </w:t>
      </w:r>
      <w:r w:rsidR="00511ED7">
        <w:t>was</w:t>
      </w:r>
      <w:r w:rsidR="003157A2">
        <w:t xml:space="preserve"> </w:t>
      </w:r>
      <w:r w:rsidR="00F1563E">
        <w:t xml:space="preserve">incorporated or formed in </w:t>
      </w:r>
      <w:r w:rsidR="00F3416C">
        <w:t>Australia</w:t>
      </w:r>
      <w:r w:rsidR="00F1563E">
        <w:t xml:space="preserve"> or outside </w:t>
      </w:r>
      <w:r w:rsidR="00F3416C">
        <w:t>Australia</w:t>
      </w:r>
      <w:r w:rsidR="00795BFE">
        <w:t>;</w:t>
      </w:r>
    </w:p>
    <w:p w:rsidR="00E529D3" w:rsidRDefault="008916B2" w:rsidP="00DD5B9A">
      <w:pPr>
        <w:pStyle w:val="MIRSubpara"/>
      </w:pPr>
      <w:r w:rsidRPr="00471C67">
        <w:t>the date (</w:t>
      </w:r>
      <w:r w:rsidRPr="000F305A">
        <w:rPr>
          <w:b/>
          <w:i/>
        </w:rPr>
        <w:t xml:space="preserve">Clearing Start </w:t>
      </w:r>
      <w:r w:rsidRPr="00471C67">
        <w:rPr>
          <w:b/>
          <w:i/>
        </w:rPr>
        <w:t>Date</w:t>
      </w:r>
      <w:r w:rsidRPr="00471C67">
        <w:t xml:space="preserve">) </w:t>
      </w:r>
      <w:r w:rsidR="00430480">
        <w:t>on</w:t>
      </w:r>
      <w:r w:rsidR="00430480" w:rsidRPr="00471C67">
        <w:t xml:space="preserve"> </w:t>
      </w:r>
      <w:r w:rsidRPr="00471C67">
        <w:t>which</w:t>
      </w:r>
      <w:r w:rsidR="00134CAF">
        <w:t xml:space="preserve"> </w:t>
      </w:r>
      <w:r w:rsidR="00123736">
        <w:t>the entity will commence being an Opt-In Clearing Entity</w:t>
      </w:r>
      <w:r w:rsidR="003157A2">
        <w:t xml:space="preserve"> in relation to each capacity in which it is lodging the notice</w:t>
      </w:r>
      <w:r w:rsidR="00134CAF">
        <w:t xml:space="preserve">, </w:t>
      </w:r>
      <w:r w:rsidR="005B593A" w:rsidRPr="00950A6D">
        <w:t xml:space="preserve">being a date not less than 30 days </w:t>
      </w:r>
      <w:r w:rsidR="00BE00F4">
        <w:t xml:space="preserve">from </w:t>
      </w:r>
      <w:r w:rsidR="005B593A" w:rsidRPr="00950A6D">
        <w:t xml:space="preserve">the date the </w:t>
      </w:r>
      <w:r w:rsidR="005B593A">
        <w:t>Opt-In</w:t>
      </w:r>
      <w:r w:rsidR="005B593A" w:rsidRPr="00950A6D">
        <w:t xml:space="preserve"> Notice is lodged</w:t>
      </w:r>
      <w:r w:rsidR="00795BFE">
        <w:t>.</w:t>
      </w:r>
    </w:p>
    <w:p w:rsidR="008916B2" w:rsidRDefault="008916B2" w:rsidP="008916B2">
      <w:pPr>
        <w:pStyle w:val="MIRBodyText"/>
      </w:pPr>
      <w:bookmarkStart w:id="14" w:name="_Ref403987508"/>
      <w:r>
        <w:t xml:space="preserve">(2) </w:t>
      </w:r>
      <w:r w:rsidRPr="005C01F0">
        <w:t>A</w:t>
      </w:r>
      <w:r>
        <w:t>n entity that has lodged an Opt-In Notice under subrule (1)</w:t>
      </w:r>
      <w:r w:rsidRPr="005C01F0">
        <w:t xml:space="preserve"> may withdraw the </w:t>
      </w:r>
      <w:r>
        <w:t>Opt-In Notice by lodging a written notice (</w:t>
      </w:r>
      <w:r w:rsidRPr="00C4753C">
        <w:rPr>
          <w:b/>
          <w:i/>
        </w:rPr>
        <w:t>Withdrawal Notice</w:t>
      </w:r>
      <w:r>
        <w:t>) with ASIC setting out</w:t>
      </w:r>
      <w:r w:rsidR="00E45F72">
        <w:t xml:space="preserve"> the following</w:t>
      </w:r>
      <w:r>
        <w:t>:</w:t>
      </w:r>
    </w:p>
    <w:p w:rsidR="008916B2" w:rsidRDefault="008916B2" w:rsidP="008916B2">
      <w:pPr>
        <w:pStyle w:val="MIRSubpara"/>
      </w:pPr>
      <w:r w:rsidRPr="00950A6D">
        <w:t>th</w:t>
      </w:r>
      <w:r>
        <w:t>e name of the e</w:t>
      </w:r>
      <w:r w:rsidRPr="00950A6D">
        <w:t>ntity</w:t>
      </w:r>
      <w:r>
        <w:t>;</w:t>
      </w:r>
    </w:p>
    <w:p w:rsidR="00280E6C" w:rsidRDefault="00280E6C" w:rsidP="00280E6C">
      <w:pPr>
        <w:pStyle w:val="MIRSubpara"/>
      </w:pPr>
      <w:r>
        <w:t>the entity</w:t>
      </w:r>
      <w:r w:rsidR="007F782A">
        <w:t>’</w:t>
      </w:r>
      <w:r>
        <w:t xml:space="preserve">s LEI or interim entity identifier or, if no LEI or interim entity identifier is available for the entity, </w:t>
      </w:r>
      <w:r w:rsidR="00BF3F0B">
        <w:t xml:space="preserve">a Designated Business Identifier or, if no Designated Business Identifier is </w:t>
      </w:r>
      <w:r>
        <w:t>available for the entity, a Business Identifier Code</w:t>
      </w:r>
      <w:r w:rsidR="000838C7">
        <w:t xml:space="preserve"> (BIC code)</w:t>
      </w:r>
      <w:r>
        <w:t>;</w:t>
      </w:r>
    </w:p>
    <w:p w:rsidR="003157A2" w:rsidRDefault="003157A2" w:rsidP="003157A2">
      <w:pPr>
        <w:pStyle w:val="MIRSubpara"/>
      </w:pPr>
      <w:r>
        <w:t>which of the following capacities the entity is lodging the notice in:</w:t>
      </w:r>
    </w:p>
    <w:p w:rsidR="003157A2" w:rsidRDefault="003157A2" w:rsidP="003157A2">
      <w:pPr>
        <w:pStyle w:val="MIRSubsubpara"/>
      </w:pPr>
      <w:r>
        <w:t xml:space="preserve">its Personal Capacity; </w:t>
      </w:r>
    </w:p>
    <w:p w:rsidR="003157A2" w:rsidRDefault="00F3416C" w:rsidP="003157A2">
      <w:pPr>
        <w:pStyle w:val="MIRSubsubpara"/>
      </w:pPr>
      <w:r>
        <w:t>a Representative Capacity</w:t>
      </w:r>
      <w:r w:rsidR="003157A2">
        <w:t>;</w:t>
      </w:r>
    </w:p>
    <w:p w:rsidR="003157A2" w:rsidRDefault="00F3416C" w:rsidP="00795BFE">
      <w:pPr>
        <w:pStyle w:val="MIRSubpara"/>
      </w:pPr>
      <w:r>
        <w:t>if the entity is lodging the notice in a Representative Capacity</w:t>
      </w:r>
      <w:r w:rsidR="00915FBC">
        <w:t>—</w:t>
      </w:r>
      <w:r w:rsidR="003157A2">
        <w:t xml:space="preserve">the </w:t>
      </w:r>
      <w:r w:rsidR="003157A2" w:rsidRPr="003157A2">
        <w:t>name</w:t>
      </w:r>
      <w:r w:rsidR="003157A2">
        <w:t xml:space="preserve"> of </w:t>
      </w:r>
      <w:r w:rsidR="00DC3712">
        <w:t xml:space="preserve">each </w:t>
      </w:r>
      <w:r w:rsidR="003157A2">
        <w:t xml:space="preserve">scheme </w:t>
      </w:r>
      <w:r w:rsidR="00DB0D3F">
        <w:t xml:space="preserve">or </w:t>
      </w:r>
      <w:r w:rsidR="003157A2">
        <w:t>trust</w:t>
      </w:r>
      <w:r w:rsidR="00DB0D3F">
        <w:t xml:space="preserve"> to which the Representative Capacity relates</w:t>
      </w:r>
      <w:r w:rsidR="003157A2">
        <w:t>;</w:t>
      </w:r>
    </w:p>
    <w:p w:rsidR="008916B2" w:rsidRDefault="008916B2" w:rsidP="00E50555">
      <w:pPr>
        <w:pStyle w:val="MIRSubpara"/>
      </w:pPr>
      <w:r w:rsidRPr="00950A6D">
        <w:t>the date (</w:t>
      </w:r>
      <w:r w:rsidRPr="00E50555">
        <w:rPr>
          <w:b/>
          <w:i/>
        </w:rPr>
        <w:t>Clearing End Date</w:t>
      </w:r>
      <w:r w:rsidRPr="00950A6D">
        <w:t xml:space="preserve">) </w:t>
      </w:r>
      <w:r w:rsidR="00430480">
        <w:t xml:space="preserve">on </w:t>
      </w:r>
      <w:r>
        <w:t>which</w:t>
      </w:r>
      <w:r w:rsidR="00E50555">
        <w:t xml:space="preserve"> </w:t>
      </w:r>
      <w:r w:rsidR="00123736">
        <w:t>the entity will cease being an Opt-In Clearing Entity</w:t>
      </w:r>
      <w:r w:rsidR="003157A2" w:rsidRPr="003157A2">
        <w:t xml:space="preserve"> </w:t>
      </w:r>
      <w:r w:rsidR="003157A2">
        <w:t>in relation to each capacity in which it is lodging the notice</w:t>
      </w:r>
      <w:r w:rsidRPr="00950A6D">
        <w:t>, being a date not less than 30 days from the date the Withdrawal Notice is lodged.</w:t>
      </w:r>
      <w:r w:rsidRPr="00F76596">
        <w:t xml:space="preserve"> </w:t>
      </w:r>
    </w:p>
    <w:p w:rsidR="008916B2" w:rsidRDefault="008916B2" w:rsidP="008916B2">
      <w:pPr>
        <w:pStyle w:val="MIRBodyText"/>
      </w:pPr>
      <w:r w:rsidRPr="00F76596">
        <w:t>(</w:t>
      </w:r>
      <w:r w:rsidR="00BE0D4B">
        <w:t>3</w:t>
      </w:r>
      <w:r w:rsidRPr="00F76596">
        <w:t>) ASIC may publish on its website any Opt-In Notice</w:t>
      </w:r>
      <w:r>
        <w:t xml:space="preserve"> or a Withdrawal Notice</w:t>
      </w:r>
      <w:r w:rsidRPr="00F76596">
        <w:t xml:space="preserve"> g</w:t>
      </w:r>
      <w:r>
        <w:t>iven to it by an entity</w:t>
      </w:r>
      <w:r w:rsidR="00DE436A">
        <w:t xml:space="preserve"> under this Rule</w:t>
      </w:r>
      <w:r w:rsidRPr="00F76596">
        <w:t>.</w:t>
      </w:r>
    </w:p>
    <w:p w:rsidR="00820259" w:rsidRPr="00FF60AB" w:rsidRDefault="008916B2" w:rsidP="00795BFE">
      <w:pPr>
        <w:pStyle w:val="MIRBodyText"/>
        <w:rPr>
          <w:spacing w:val="-2"/>
        </w:rPr>
      </w:pPr>
      <w:r w:rsidRPr="00FF60AB">
        <w:rPr>
          <w:spacing w:val="-2"/>
        </w:rPr>
        <w:t>(</w:t>
      </w:r>
      <w:r w:rsidR="00BE0D4B" w:rsidRPr="00FF60AB">
        <w:rPr>
          <w:spacing w:val="-2"/>
        </w:rPr>
        <w:t>4</w:t>
      </w:r>
      <w:r w:rsidRPr="00FF60AB">
        <w:rPr>
          <w:spacing w:val="-2"/>
        </w:rPr>
        <w:t xml:space="preserve">) </w:t>
      </w:r>
      <w:r w:rsidR="00860598" w:rsidRPr="00FF60AB">
        <w:rPr>
          <w:spacing w:val="-2"/>
        </w:rPr>
        <w:t>If</w:t>
      </w:r>
      <w:r w:rsidR="00E50555" w:rsidRPr="00FF60AB">
        <w:rPr>
          <w:spacing w:val="-2"/>
        </w:rPr>
        <w:t xml:space="preserve"> a</w:t>
      </w:r>
      <w:r w:rsidRPr="00FF60AB">
        <w:rPr>
          <w:spacing w:val="-2"/>
        </w:rPr>
        <w:t xml:space="preserve">n </w:t>
      </w:r>
      <w:r w:rsidR="00F12759" w:rsidRPr="00FF60AB">
        <w:rPr>
          <w:spacing w:val="-2"/>
        </w:rPr>
        <w:t xml:space="preserve">entity </w:t>
      </w:r>
      <w:r w:rsidRPr="00FF60AB">
        <w:rPr>
          <w:spacing w:val="-2"/>
        </w:rPr>
        <w:t xml:space="preserve">lodges an Opt-In Notice with ASIC </w:t>
      </w:r>
      <w:r w:rsidR="00512385" w:rsidRPr="00FF60AB">
        <w:rPr>
          <w:spacing w:val="-2"/>
        </w:rPr>
        <w:t xml:space="preserve">under </w:t>
      </w:r>
      <w:r w:rsidRPr="00FF60AB">
        <w:rPr>
          <w:spacing w:val="-2"/>
        </w:rPr>
        <w:t>subrule (1)</w:t>
      </w:r>
      <w:r w:rsidR="00820259" w:rsidRPr="00FF60AB">
        <w:rPr>
          <w:spacing w:val="-2"/>
        </w:rPr>
        <w:t xml:space="preserve"> in its Personal Capacity: </w:t>
      </w:r>
    </w:p>
    <w:p w:rsidR="00F12759" w:rsidRDefault="00820259" w:rsidP="00795BFE">
      <w:pPr>
        <w:pStyle w:val="MIRSubpara"/>
      </w:pPr>
      <w:r>
        <w:t xml:space="preserve">if the entity is incorporated or formed in </w:t>
      </w:r>
      <w:r w:rsidR="00F3416C">
        <w:t>Australia</w:t>
      </w:r>
      <w:r w:rsidR="00915FBC">
        <w:t>—</w:t>
      </w:r>
      <w:r>
        <w:t xml:space="preserve">it </w:t>
      </w:r>
      <w:r w:rsidR="008916B2">
        <w:t xml:space="preserve">will be an </w:t>
      </w:r>
      <w:r w:rsidR="008916B2" w:rsidRPr="00583FF9">
        <w:rPr>
          <w:b/>
          <w:i/>
        </w:rPr>
        <w:t>Opt-In Australian Clearing Entity</w:t>
      </w:r>
      <w:r w:rsidR="008916B2">
        <w:t xml:space="preserve"> </w:t>
      </w:r>
      <w:r>
        <w:t xml:space="preserve">in its Personal Capacity </w:t>
      </w:r>
      <w:r w:rsidR="008916B2">
        <w:t>from the Clearing Start Date</w:t>
      </w:r>
      <w:r w:rsidR="00E50555">
        <w:t>;</w:t>
      </w:r>
      <w:r w:rsidR="00512385">
        <w:t xml:space="preserve"> </w:t>
      </w:r>
      <w:r w:rsidR="00F12759">
        <w:t>and</w:t>
      </w:r>
      <w:r w:rsidR="00470FE9">
        <w:t xml:space="preserve"> </w:t>
      </w:r>
    </w:p>
    <w:p w:rsidR="00561903" w:rsidRDefault="00561903" w:rsidP="00561903">
      <w:pPr>
        <w:pStyle w:val="MIRNote"/>
      </w:pPr>
      <w:r>
        <w:t xml:space="preserve">Note: For the purposes of the Regulations, the entity will be an </w:t>
      </w:r>
      <w:r w:rsidRPr="007F7C94">
        <w:rPr>
          <w:b/>
          <w:i/>
        </w:rPr>
        <w:t>Australian clearing entity</w:t>
      </w:r>
      <w:r>
        <w:t xml:space="preserve"> (as defined in subregulation 7.5A.</w:t>
      </w:r>
      <w:r w:rsidR="00F3416C">
        <w:t>61</w:t>
      </w:r>
      <w:r>
        <w:t>(</w:t>
      </w:r>
      <w:r w:rsidR="00131868">
        <w:t>1</w:t>
      </w:r>
      <w:r>
        <w:t>) of the Regulations) in relation to a Derivative Transaction to which it is party in its Personal Capacity: see paragraph 7.5A.</w:t>
      </w:r>
      <w:r w:rsidR="00F3416C">
        <w:t>61</w:t>
      </w:r>
      <w:r>
        <w:t xml:space="preserve">(1)(b) of the Regulations. </w:t>
      </w:r>
    </w:p>
    <w:p w:rsidR="00795BFE" w:rsidRDefault="00F12759" w:rsidP="00795BFE">
      <w:pPr>
        <w:pStyle w:val="MIRSubpara"/>
      </w:pPr>
      <w:r>
        <w:t xml:space="preserve">if the entity is </w:t>
      </w:r>
      <w:r w:rsidR="00820259">
        <w:t xml:space="preserve">incorporated or formed outside </w:t>
      </w:r>
      <w:r w:rsidR="00F3416C">
        <w:t>Australia</w:t>
      </w:r>
      <w:r w:rsidR="00915FBC">
        <w:t>—</w:t>
      </w:r>
      <w:r w:rsidR="00820259">
        <w:t>it</w:t>
      </w:r>
      <w:r>
        <w:t xml:space="preserve"> will be an </w:t>
      </w:r>
      <w:r w:rsidRPr="00583FF9">
        <w:rPr>
          <w:b/>
          <w:i/>
        </w:rPr>
        <w:t xml:space="preserve">Opt-In </w:t>
      </w:r>
      <w:r>
        <w:rPr>
          <w:b/>
          <w:i/>
        </w:rPr>
        <w:t>Foreign</w:t>
      </w:r>
      <w:r w:rsidRPr="00583FF9">
        <w:rPr>
          <w:b/>
          <w:i/>
        </w:rPr>
        <w:t xml:space="preserve"> </w:t>
      </w:r>
      <w:r w:rsidR="000F324E">
        <w:rPr>
          <w:b/>
          <w:i/>
        </w:rPr>
        <w:t xml:space="preserve">Clearing </w:t>
      </w:r>
      <w:r w:rsidRPr="00583FF9">
        <w:rPr>
          <w:b/>
          <w:i/>
        </w:rPr>
        <w:t>Entity</w:t>
      </w:r>
      <w:r>
        <w:t xml:space="preserve"> </w:t>
      </w:r>
      <w:r w:rsidR="00820259">
        <w:t xml:space="preserve">in its Personal Capacity </w:t>
      </w:r>
      <w:r>
        <w:t>from the Clearing Start Date</w:t>
      </w:r>
      <w:r w:rsidR="00795BFE">
        <w:t>.</w:t>
      </w:r>
    </w:p>
    <w:p w:rsidR="00561903" w:rsidRDefault="00561903" w:rsidP="00561903">
      <w:pPr>
        <w:pStyle w:val="MIRNote"/>
      </w:pPr>
      <w:r>
        <w:t xml:space="preserve">Note: For the purposes of the Regulations, the entity will be a </w:t>
      </w:r>
      <w:r w:rsidR="00F3416C">
        <w:rPr>
          <w:b/>
          <w:i/>
        </w:rPr>
        <w:t>foreign</w:t>
      </w:r>
      <w:r w:rsidR="00F3416C" w:rsidRPr="007F7C94">
        <w:rPr>
          <w:b/>
          <w:i/>
        </w:rPr>
        <w:t xml:space="preserve"> </w:t>
      </w:r>
      <w:r w:rsidRPr="007F7C94">
        <w:rPr>
          <w:b/>
          <w:i/>
        </w:rPr>
        <w:t>clearing entity</w:t>
      </w:r>
      <w:r>
        <w:t xml:space="preserve"> (as defined in subregulation 7.5A.</w:t>
      </w:r>
      <w:r w:rsidR="00F3416C">
        <w:t>62</w:t>
      </w:r>
      <w:r>
        <w:t>(</w:t>
      </w:r>
      <w:r w:rsidR="00131868">
        <w:t>1</w:t>
      </w:r>
      <w:r>
        <w:t>) of the Regulations) in relation to a Derivative Transaction to which it is party in its Personal Capacity: see paragraph 7.5A.</w:t>
      </w:r>
      <w:r w:rsidR="00F3416C">
        <w:t>62</w:t>
      </w:r>
      <w:r>
        <w:t xml:space="preserve">(1)(c) of the Regulations. </w:t>
      </w:r>
    </w:p>
    <w:p w:rsidR="0050173D" w:rsidRDefault="00795BFE" w:rsidP="00795BFE">
      <w:pPr>
        <w:pStyle w:val="MIRBodyText"/>
      </w:pPr>
      <w:r>
        <w:t>(5)</w:t>
      </w:r>
      <w:r>
        <w:tab/>
        <w:t xml:space="preserve">If an entity lodges an Opt-In Notice with ASIC under subrule (1) </w:t>
      </w:r>
      <w:r w:rsidR="0050173D">
        <w:t>i</w:t>
      </w:r>
      <w:r w:rsidR="00635A31">
        <w:t xml:space="preserve">n </w:t>
      </w:r>
      <w:r w:rsidR="00F3416C">
        <w:t>a Representative Capacity</w:t>
      </w:r>
      <w:r w:rsidR="0050173D">
        <w:t>:</w:t>
      </w:r>
    </w:p>
    <w:p w:rsidR="0050173D" w:rsidRDefault="0050173D" w:rsidP="00795BFE">
      <w:pPr>
        <w:pStyle w:val="MIRSubpara"/>
      </w:pPr>
      <w:r>
        <w:t>if the scheme or trust</w:t>
      </w:r>
      <w:r w:rsidR="009A7037">
        <w:t xml:space="preserve"> to which the Representative Capacity relates</w:t>
      </w:r>
      <w:r>
        <w:t xml:space="preserve"> is incorporated or formed in </w:t>
      </w:r>
      <w:r w:rsidR="00F3416C">
        <w:t>Australia</w:t>
      </w:r>
      <w:r w:rsidR="00915FBC">
        <w:t>—</w:t>
      </w:r>
      <w:r>
        <w:t xml:space="preserve">the entity will be an </w:t>
      </w:r>
      <w:r w:rsidRPr="00583FF9">
        <w:rPr>
          <w:b/>
          <w:i/>
        </w:rPr>
        <w:t>Opt-In Australian Clearing Entity</w:t>
      </w:r>
      <w:r>
        <w:t xml:space="preserve"> in </w:t>
      </w:r>
      <w:r w:rsidR="00344200">
        <w:t xml:space="preserve">that </w:t>
      </w:r>
      <w:r w:rsidR="00BB043F">
        <w:t>Representative C</w:t>
      </w:r>
      <w:r w:rsidR="00344200">
        <w:t>apacity</w:t>
      </w:r>
      <w:r>
        <w:t xml:space="preserve"> from the Clearing Start Date; and </w:t>
      </w:r>
    </w:p>
    <w:p w:rsidR="00512385" w:rsidRPr="00A82846" w:rsidRDefault="0050173D" w:rsidP="00795BFE">
      <w:pPr>
        <w:pStyle w:val="MIRSubpara"/>
        <w:rPr>
          <w:spacing w:val="-4"/>
        </w:rPr>
      </w:pPr>
      <w:r w:rsidRPr="00A82846">
        <w:rPr>
          <w:spacing w:val="-4"/>
        </w:rPr>
        <w:t xml:space="preserve">if the scheme or trust is incorporated or formed outside </w:t>
      </w:r>
      <w:r w:rsidR="00F3416C" w:rsidRPr="00A82846">
        <w:rPr>
          <w:spacing w:val="-4"/>
        </w:rPr>
        <w:t>Australia</w:t>
      </w:r>
      <w:r w:rsidR="00915FBC">
        <w:rPr>
          <w:spacing w:val="-4"/>
        </w:rPr>
        <w:t>—</w:t>
      </w:r>
      <w:r w:rsidRPr="00A82846">
        <w:rPr>
          <w:spacing w:val="-4"/>
        </w:rPr>
        <w:t xml:space="preserve">the entity will be an </w:t>
      </w:r>
      <w:r w:rsidRPr="00A82846">
        <w:rPr>
          <w:b/>
          <w:i/>
          <w:spacing w:val="-4"/>
        </w:rPr>
        <w:t>Opt-In Foreign Clearing Entity</w:t>
      </w:r>
      <w:r w:rsidRPr="00A82846">
        <w:rPr>
          <w:spacing w:val="-4"/>
        </w:rPr>
        <w:t xml:space="preserve"> in that </w:t>
      </w:r>
      <w:r w:rsidR="00BB043F" w:rsidRPr="00A82846">
        <w:rPr>
          <w:spacing w:val="-4"/>
        </w:rPr>
        <w:t>Representative C</w:t>
      </w:r>
      <w:r w:rsidRPr="00A82846">
        <w:rPr>
          <w:spacing w:val="-4"/>
        </w:rPr>
        <w:t>apacity from the Clearing Start Date.</w:t>
      </w:r>
    </w:p>
    <w:p w:rsidR="00860598" w:rsidRDefault="00512385" w:rsidP="00E7491F">
      <w:pPr>
        <w:pStyle w:val="MIRBodyText"/>
      </w:pPr>
      <w:r>
        <w:t>(</w:t>
      </w:r>
      <w:r w:rsidR="00BE00F4">
        <w:t>6</w:t>
      </w:r>
      <w:r>
        <w:t>) If an</w:t>
      </w:r>
      <w:r w:rsidR="00860598">
        <w:t xml:space="preserve"> entity </w:t>
      </w:r>
      <w:r>
        <w:t>lodges a Withdrawal Notice under subrule (2</w:t>
      </w:r>
      <w:r w:rsidR="00860598">
        <w:t>)</w:t>
      </w:r>
      <w:r w:rsidR="00E7491F">
        <w:t>,</w:t>
      </w:r>
      <w:r w:rsidR="00E7491F" w:rsidDel="00E7491F">
        <w:t xml:space="preserve"> </w:t>
      </w:r>
      <w:r w:rsidR="00836D34">
        <w:t xml:space="preserve">the entity ceases to be an Opt-In Australian </w:t>
      </w:r>
      <w:r w:rsidR="00DF3CDB">
        <w:t xml:space="preserve">Clearing </w:t>
      </w:r>
      <w:r w:rsidR="00836D34">
        <w:t xml:space="preserve">Entity or an Opt-In Foreign </w:t>
      </w:r>
      <w:r w:rsidR="00DF3CDB">
        <w:t xml:space="preserve">Clearing </w:t>
      </w:r>
      <w:r w:rsidR="00836D34">
        <w:t>Entity (as the case may be)</w:t>
      </w:r>
      <w:r w:rsidR="0050173D">
        <w:t xml:space="preserve"> in relation to each capacity in which it lodges the notice</w:t>
      </w:r>
      <w:r w:rsidR="00836D34">
        <w:t xml:space="preserve"> from the Clearing End Date.</w:t>
      </w:r>
    </w:p>
    <w:p w:rsidR="008916B2" w:rsidRDefault="008916B2" w:rsidP="00213D8C">
      <w:pPr>
        <w:pStyle w:val="MIRBodyText"/>
      </w:pPr>
      <w:r>
        <w:t>(</w:t>
      </w:r>
      <w:r w:rsidR="00BE00F4">
        <w:t>7</w:t>
      </w:r>
      <w:r>
        <w:t>) Nothing in this Rule</w:t>
      </w:r>
      <w:r w:rsidR="00D428AA">
        <w:t xml:space="preserve"> </w:t>
      </w:r>
      <w:r>
        <w:t xml:space="preserve">affects whether an entity </w:t>
      </w:r>
      <w:r w:rsidR="00583FF9">
        <w:t>is a Clearing Entity under any other Rule.</w:t>
      </w:r>
    </w:p>
    <w:p w:rsidR="003E44D1" w:rsidRDefault="008916B2" w:rsidP="00194D77">
      <w:pPr>
        <w:pStyle w:val="MIRNote"/>
      </w:pPr>
      <w:r w:rsidRPr="00F76596">
        <w:t xml:space="preserve">Note: </w:t>
      </w:r>
      <w:r w:rsidR="00B132E2">
        <w:t xml:space="preserve">An </w:t>
      </w:r>
      <w:r>
        <w:t>e</w:t>
      </w:r>
      <w:r w:rsidRPr="00F76596">
        <w:t>ntity that has lodged an Opt-In Notice</w:t>
      </w:r>
      <w:r w:rsidR="00DF0829">
        <w:t xml:space="preserve"> </w:t>
      </w:r>
      <w:r w:rsidRPr="00F76596">
        <w:t xml:space="preserve">in accordance with this Rule </w:t>
      </w:r>
      <w:r w:rsidR="00B132E2">
        <w:t>will be required to</w:t>
      </w:r>
      <w:r w:rsidRPr="00F76596">
        <w:rPr>
          <w:sz w:val="22"/>
          <w:szCs w:val="20"/>
        </w:rPr>
        <w:t xml:space="preserve"> </w:t>
      </w:r>
      <w:r w:rsidRPr="00F76596">
        <w:t xml:space="preserve">comply with the applicable </w:t>
      </w:r>
      <w:r>
        <w:t>Clearing Requirements</w:t>
      </w:r>
      <w:r w:rsidR="00DF0829">
        <w:t xml:space="preserve"> </w:t>
      </w:r>
      <w:r>
        <w:t xml:space="preserve">from the </w:t>
      </w:r>
      <w:r w:rsidR="00583FF9">
        <w:t>Clearing Start Date</w:t>
      </w:r>
      <w:r>
        <w:t xml:space="preserve"> until the</w:t>
      </w:r>
      <w:r w:rsidR="00583FF9">
        <w:t xml:space="preserve"> Clearing End Date</w:t>
      </w:r>
      <w:r w:rsidRPr="00F76596">
        <w:t>.</w:t>
      </w:r>
      <w:r w:rsidR="00194D77" w:rsidDel="00F60D64">
        <w:t xml:space="preserve"> </w:t>
      </w:r>
    </w:p>
    <w:p w:rsidR="0063375B" w:rsidRPr="00F76596" w:rsidRDefault="0063375B" w:rsidP="00915FBC">
      <w:pPr>
        <w:pStyle w:val="MIRHeading1Chapter"/>
      </w:pPr>
      <w:bookmarkStart w:id="15" w:name="_Toc420327396"/>
      <w:bookmarkStart w:id="16" w:name="_Toc434935752"/>
      <w:bookmarkEnd w:id="14"/>
      <w:r w:rsidRPr="00F76596">
        <w:t>Chapter 2</w:t>
      </w:r>
      <w:r w:rsidR="007870B2" w:rsidRPr="00F76596">
        <w:t>:</w:t>
      </w:r>
      <w:r w:rsidR="00BF683E">
        <w:t xml:space="preserve"> Clear</w:t>
      </w:r>
      <w:r w:rsidR="008074EA" w:rsidRPr="00F76596">
        <w:t>ing Requirements</w:t>
      </w:r>
      <w:bookmarkEnd w:id="15"/>
      <w:bookmarkEnd w:id="16"/>
    </w:p>
    <w:p w:rsidR="00EE2D73" w:rsidRDefault="00D67D78" w:rsidP="00D67D78">
      <w:pPr>
        <w:pStyle w:val="MIRHeading3Rule"/>
        <w:ind w:left="0" w:firstLine="0"/>
      </w:pPr>
      <w:r w:rsidRPr="00F76596">
        <w:t>2.</w:t>
      </w:r>
      <w:r w:rsidR="005C33B4">
        <w:t>1</w:t>
      </w:r>
      <w:r w:rsidRPr="00F76596">
        <w:t>.1</w:t>
      </w:r>
      <w:r w:rsidRPr="00F76596">
        <w:tab/>
      </w:r>
      <w:r w:rsidR="00BF683E">
        <w:t>Clearing</w:t>
      </w:r>
      <w:r w:rsidR="005B1657" w:rsidRPr="00F76596">
        <w:t xml:space="preserve"> Requirement</w:t>
      </w:r>
    </w:p>
    <w:p w:rsidR="00AF7057" w:rsidRPr="00915FBC" w:rsidRDefault="00BC0FE8" w:rsidP="006D3AF2">
      <w:pPr>
        <w:pStyle w:val="MIRBodyText"/>
        <w:rPr>
          <w:spacing w:val="-4"/>
        </w:rPr>
      </w:pPr>
      <w:r w:rsidRPr="00915FBC">
        <w:rPr>
          <w:spacing w:val="-4"/>
        </w:rPr>
        <w:t xml:space="preserve">(1) </w:t>
      </w:r>
      <w:r w:rsidR="008E5C1E" w:rsidRPr="00915FBC">
        <w:rPr>
          <w:spacing w:val="-4"/>
        </w:rPr>
        <w:t xml:space="preserve">A </w:t>
      </w:r>
      <w:r w:rsidR="004E0E72" w:rsidRPr="00915FBC">
        <w:rPr>
          <w:spacing w:val="-4"/>
        </w:rPr>
        <w:t>Clearing Entity must</w:t>
      </w:r>
      <w:r w:rsidR="00FA7992" w:rsidRPr="00915FBC">
        <w:rPr>
          <w:spacing w:val="-4"/>
        </w:rPr>
        <w:t xml:space="preserve"> </w:t>
      </w:r>
      <w:r w:rsidR="00AF7057" w:rsidRPr="00915FBC">
        <w:rPr>
          <w:spacing w:val="-4"/>
        </w:rPr>
        <w:t xml:space="preserve">ensure that </w:t>
      </w:r>
      <w:r w:rsidR="008E5C1E" w:rsidRPr="00915FBC">
        <w:rPr>
          <w:spacing w:val="-4"/>
        </w:rPr>
        <w:t>each of its</w:t>
      </w:r>
      <w:r w:rsidR="00B21410" w:rsidRPr="00915FBC">
        <w:rPr>
          <w:spacing w:val="-4"/>
        </w:rPr>
        <w:t xml:space="preserve"> </w:t>
      </w:r>
      <w:r w:rsidR="00D33ADC" w:rsidRPr="00915FBC">
        <w:rPr>
          <w:spacing w:val="-4"/>
        </w:rPr>
        <w:t>Clearing Transaction</w:t>
      </w:r>
      <w:r w:rsidR="008E5C1E" w:rsidRPr="00915FBC">
        <w:rPr>
          <w:spacing w:val="-4"/>
        </w:rPr>
        <w:t>s</w:t>
      </w:r>
      <w:r w:rsidR="00D33ADC" w:rsidRPr="00915FBC">
        <w:rPr>
          <w:spacing w:val="-4"/>
        </w:rPr>
        <w:t xml:space="preserve"> </w:t>
      </w:r>
      <w:r w:rsidR="00AF7057" w:rsidRPr="00915FBC">
        <w:rPr>
          <w:spacing w:val="-4"/>
        </w:rPr>
        <w:t xml:space="preserve">is </w:t>
      </w:r>
      <w:r w:rsidR="00184F8C" w:rsidRPr="00915FBC">
        <w:rPr>
          <w:spacing w:val="-4"/>
        </w:rPr>
        <w:t xml:space="preserve">Cleared Through </w:t>
      </w:r>
      <w:r w:rsidR="004E0E72" w:rsidRPr="00915FBC">
        <w:rPr>
          <w:spacing w:val="-4"/>
        </w:rPr>
        <w:t>a Clearing Facility</w:t>
      </w:r>
      <w:r w:rsidR="00CA6F1A" w:rsidRPr="00915FBC">
        <w:rPr>
          <w:spacing w:val="-4"/>
        </w:rPr>
        <w:t xml:space="preserve"> </w:t>
      </w:r>
      <w:r w:rsidR="00AF7057" w:rsidRPr="00915FBC">
        <w:rPr>
          <w:spacing w:val="-4"/>
        </w:rPr>
        <w:t xml:space="preserve">as soon as </w:t>
      </w:r>
      <w:r w:rsidR="001B0046" w:rsidRPr="00915FBC">
        <w:rPr>
          <w:spacing w:val="-4"/>
        </w:rPr>
        <w:t xml:space="preserve">reasonably </w:t>
      </w:r>
      <w:r w:rsidR="00AF7057" w:rsidRPr="00915FBC">
        <w:rPr>
          <w:spacing w:val="-4"/>
        </w:rPr>
        <w:t>practicable after the Clearing Transaction is entered into.</w:t>
      </w:r>
    </w:p>
    <w:p w:rsidR="00A34F10" w:rsidRDefault="004F6661" w:rsidP="00BC6C97">
      <w:pPr>
        <w:pStyle w:val="MIRBodyText"/>
      </w:pPr>
      <w:r>
        <w:t>(</w:t>
      </w:r>
      <w:r w:rsidR="006D3AF2">
        <w:t>2</w:t>
      </w:r>
      <w:r>
        <w:t xml:space="preserve">) </w:t>
      </w:r>
      <w:r w:rsidR="00B50A01">
        <w:t xml:space="preserve">A </w:t>
      </w:r>
      <w:r w:rsidR="00A34F10">
        <w:t>Clearing Transaction</w:t>
      </w:r>
      <w:r w:rsidR="000301B3">
        <w:t xml:space="preserve"> </w:t>
      </w:r>
      <w:r w:rsidR="00B3214C">
        <w:t>is</w:t>
      </w:r>
      <w:r w:rsidR="00A34F10">
        <w:t xml:space="preserve"> </w:t>
      </w:r>
      <w:r w:rsidR="00184F8C" w:rsidRPr="00184F8C">
        <w:rPr>
          <w:b/>
          <w:i/>
        </w:rPr>
        <w:t>C</w:t>
      </w:r>
      <w:r w:rsidR="00A34F10" w:rsidRPr="00184F8C">
        <w:rPr>
          <w:b/>
          <w:i/>
        </w:rPr>
        <w:t xml:space="preserve">leared </w:t>
      </w:r>
      <w:r w:rsidR="00184F8C" w:rsidRPr="00184F8C">
        <w:rPr>
          <w:b/>
          <w:i/>
        </w:rPr>
        <w:t>T</w:t>
      </w:r>
      <w:r w:rsidR="00A34F10" w:rsidRPr="00184F8C">
        <w:rPr>
          <w:b/>
          <w:i/>
        </w:rPr>
        <w:t>hrough</w:t>
      </w:r>
      <w:r w:rsidR="00A34F10">
        <w:t xml:space="preserve"> a Clearing Facility</w:t>
      </w:r>
      <w:r w:rsidR="00C279D6">
        <w:t xml:space="preserve"> </w:t>
      </w:r>
      <w:r w:rsidR="00A34F10">
        <w:t>if:</w:t>
      </w:r>
    </w:p>
    <w:p w:rsidR="000B1D9A" w:rsidRDefault="00232E0C" w:rsidP="00BC6C97">
      <w:pPr>
        <w:pStyle w:val="MIRSubpara"/>
      </w:pPr>
      <w:r>
        <w:t>for</w:t>
      </w:r>
      <w:r w:rsidR="00A34F10">
        <w:t xml:space="preserve"> </w:t>
      </w:r>
      <w:r w:rsidR="00C25411">
        <w:t>each</w:t>
      </w:r>
      <w:r w:rsidR="00A34F10">
        <w:t xml:space="preserve"> party to the</w:t>
      </w:r>
      <w:r w:rsidR="007117F7">
        <w:t xml:space="preserve"> </w:t>
      </w:r>
      <w:r w:rsidR="005C3EE7">
        <w:t xml:space="preserve">Clearing </w:t>
      </w:r>
      <w:r>
        <w:t>Transaction</w:t>
      </w:r>
      <w:r w:rsidRPr="006B48E5">
        <w:t xml:space="preserve"> </w:t>
      </w:r>
      <w:r w:rsidR="00A34F10">
        <w:t xml:space="preserve">that is a participant in the Clearing Facility, the </w:t>
      </w:r>
      <w:r w:rsidR="00611DB5">
        <w:t>operator</w:t>
      </w:r>
      <w:r w:rsidR="006D3AF2">
        <w:t xml:space="preserve"> of the Clearing Facility</w:t>
      </w:r>
      <w:r w:rsidR="00611DB5">
        <w:t xml:space="preserve"> </w:t>
      </w:r>
      <w:r w:rsidR="00A34F10">
        <w:t xml:space="preserve">enters into a </w:t>
      </w:r>
      <w:r w:rsidR="002958C4">
        <w:t xml:space="preserve">Central </w:t>
      </w:r>
      <w:r w:rsidR="00A34F10">
        <w:t>Clearing Transaction with</w:t>
      </w:r>
      <w:r w:rsidR="000B1D9A">
        <w:t>:</w:t>
      </w:r>
      <w:r w:rsidR="00A34F10">
        <w:t xml:space="preserve"> </w:t>
      </w:r>
    </w:p>
    <w:p w:rsidR="000B1D9A" w:rsidRDefault="00A34F10" w:rsidP="000B1D9A">
      <w:pPr>
        <w:pStyle w:val="MIRSubsubpara"/>
      </w:pPr>
      <w:r>
        <w:t>that party</w:t>
      </w:r>
      <w:r w:rsidR="000B1D9A">
        <w:t>;</w:t>
      </w:r>
      <w:r w:rsidR="007A009D">
        <w:t xml:space="preserve"> or </w:t>
      </w:r>
    </w:p>
    <w:p w:rsidR="00AA7B9B" w:rsidRDefault="007A009D" w:rsidP="000B1D9A">
      <w:pPr>
        <w:pStyle w:val="MIRSubsubpara"/>
      </w:pPr>
      <w:r>
        <w:t>another participant acting on behalf of that party</w:t>
      </w:r>
      <w:r w:rsidR="00A34F10">
        <w:t>; and</w:t>
      </w:r>
      <w:r w:rsidR="000B1D9A">
        <w:t xml:space="preserve"> </w:t>
      </w:r>
    </w:p>
    <w:p w:rsidR="00C279D6" w:rsidRDefault="00232E0C" w:rsidP="00BC6C97">
      <w:pPr>
        <w:pStyle w:val="MIRSubpara"/>
      </w:pPr>
      <w:r>
        <w:t>for</w:t>
      </w:r>
      <w:r w:rsidR="00A34F10">
        <w:t xml:space="preserve"> </w:t>
      </w:r>
      <w:r w:rsidR="00C25411">
        <w:t>each</w:t>
      </w:r>
      <w:r w:rsidR="00A34F10">
        <w:t xml:space="preserve"> party to the </w:t>
      </w:r>
      <w:r w:rsidR="005C3EE7">
        <w:t xml:space="preserve">Clearing </w:t>
      </w:r>
      <w:r>
        <w:t>Transaction</w:t>
      </w:r>
      <w:r w:rsidRPr="006B48E5">
        <w:t xml:space="preserve"> </w:t>
      </w:r>
      <w:r w:rsidR="00A34F10">
        <w:t xml:space="preserve">that is not a participant in the Clearing Facility, the </w:t>
      </w:r>
      <w:r w:rsidR="006777E4">
        <w:t>operator</w:t>
      </w:r>
      <w:r w:rsidR="00AD7B75">
        <w:t xml:space="preserve"> of the Clearing Facility</w:t>
      </w:r>
      <w:r w:rsidR="006777E4">
        <w:t xml:space="preserve"> </w:t>
      </w:r>
      <w:r w:rsidR="00A34F10">
        <w:t xml:space="preserve">enters into a </w:t>
      </w:r>
      <w:r w:rsidR="002958C4">
        <w:t>Central</w:t>
      </w:r>
      <w:r w:rsidR="00A34F10">
        <w:t xml:space="preserve"> Clearing Transaction with</w:t>
      </w:r>
      <w:r w:rsidR="00C279D6">
        <w:t xml:space="preserve"> a participant:</w:t>
      </w:r>
      <w:r w:rsidR="00A34F10">
        <w:t xml:space="preserve"> </w:t>
      </w:r>
    </w:p>
    <w:p w:rsidR="00C279D6" w:rsidRDefault="00A34F10" w:rsidP="00C279D6">
      <w:pPr>
        <w:pStyle w:val="MIRSubsubpara"/>
      </w:pPr>
      <w:r>
        <w:t xml:space="preserve">acting on behalf of </w:t>
      </w:r>
      <w:r w:rsidR="007A009D">
        <w:t>that p</w:t>
      </w:r>
      <w:r w:rsidR="004060C1">
        <w:t>arty</w:t>
      </w:r>
      <w:r w:rsidR="00C279D6">
        <w:t>; or</w:t>
      </w:r>
    </w:p>
    <w:p w:rsidR="00A34F10" w:rsidRDefault="00C279D6" w:rsidP="00C279D6">
      <w:pPr>
        <w:pStyle w:val="MIRSubsubpara"/>
      </w:pPr>
      <w:r>
        <w:t>acting on behalf of a person who is acting on behalf of</w:t>
      </w:r>
      <w:r w:rsidR="00DC4554">
        <w:t xml:space="preserve"> that pa</w:t>
      </w:r>
      <w:r>
        <w:t>rty</w:t>
      </w:r>
      <w:r w:rsidR="004060C1">
        <w:t>;</w:t>
      </w:r>
      <w:r w:rsidR="00DC07E4">
        <w:t xml:space="preserve"> and</w:t>
      </w:r>
    </w:p>
    <w:p w:rsidR="00CF5A3B" w:rsidRDefault="009351A6" w:rsidP="00BC6C97">
      <w:pPr>
        <w:pStyle w:val="MIRNote"/>
      </w:pPr>
      <w:r>
        <w:t>Note</w:t>
      </w:r>
      <w:r w:rsidR="00CF5A3B">
        <w:t xml:space="preserve">: A participant may be acting on behalf of a </w:t>
      </w:r>
      <w:r w:rsidR="00C279D6">
        <w:t>person</w:t>
      </w:r>
      <w:r w:rsidR="00CF5A3B">
        <w:t xml:space="preserve"> even if it enter</w:t>
      </w:r>
      <w:r w:rsidR="000D0B0C">
        <w:t>s</w:t>
      </w:r>
      <w:r w:rsidR="00CF5A3B">
        <w:t xml:space="preserve"> into a </w:t>
      </w:r>
      <w:r w:rsidR="002958C4">
        <w:t>Central</w:t>
      </w:r>
      <w:r w:rsidR="00605968">
        <w:t xml:space="preserve"> </w:t>
      </w:r>
      <w:r w:rsidR="00CF5A3B">
        <w:t xml:space="preserve">Clearing Transaction </w:t>
      </w:r>
      <w:r w:rsidR="000D0B0C">
        <w:t>as principal</w:t>
      </w:r>
      <w:r w:rsidR="00CF5A3B">
        <w:t>.</w:t>
      </w:r>
    </w:p>
    <w:p w:rsidR="0099066B" w:rsidRDefault="004060C1" w:rsidP="007B39B8">
      <w:pPr>
        <w:pStyle w:val="MIRSubpara"/>
      </w:pPr>
      <w:r>
        <w:t xml:space="preserve">following entry into the </w:t>
      </w:r>
      <w:r w:rsidR="002958C4">
        <w:t>Central</w:t>
      </w:r>
      <w:r>
        <w:t xml:space="preserve"> Clearing Transactions, </w:t>
      </w:r>
      <w:r w:rsidR="0099066B">
        <w:t>each party</w:t>
      </w:r>
      <w:r>
        <w:t xml:space="preserve"> to the </w:t>
      </w:r>
      <w:r w:rsidR="005C3EE7">
        <w:t xml:space="preserve">Clearing </w:t>
      </w:r>
      <w:r w:rsidR="00232E0C">
        <w:t xml:space="preserve">Transaction </w:t>
      </w:r>
      <w:r w:rsidR="009079EC">
        <w:t>has</w:t>
      </w:r>
      <w:r>
        <w:t xml:space="preserve"> </w:t>
      </w:r>
      <w:r w:rsidR="00235D15">
        <w:t xml:space="preserve">no, or substantially </w:t>
      </w:r>
      <w:r>
        <w:t>no</w:t>
      </w:r>
      <w:r w:rsidR="00235D15">
        <w:t>,</w:t>
      </w:r>
      <w:r>
        <w:t xml:space="preserve"> further rights against</w:t>
      </w:r>
      <w:r w:rsidR="003A30E7">
        <w:t>,</w:t>
      </w:r>
      <w:r>
        <w:t xml:space="preserve"> or obligations to</w:t>
      </w:r>
      <w:r w:rsidR="00F3416C">
        <w:t>,</w:t>
      </w:r>
      <w:r>
        <w:t xml:space="preserve"> the other party </w:t>
      </w:r>
      <w:r w:rsidR="007B39B8">
        <w:t>under</w:t>
      </w:r>
      <w:r>
        <w:t xml:space="preserve"> the</w:t>
      </w:r>
      <w:r w:rsidR="001B3C9B">
        <w:t xml:space="preserve"> </w:t>
      </w:r>
      <w:r w:rsidR="005C3EE7">
        <w:t>Clearing Derivative</w:t>
      </w:r>
      <w:r w:rsidR="00232E0C">
        <w:t xml:space="preserve"> to which the Clearing Transaction relates</w:t>
      </w:r>
      <w:r w:rsidR="007B39B8">
        <w:t>.</w:t>
      </w:r>
    </w:p>
    <w:p w:rsidR="00050258" w:rsidRDefault="005B239D" w:rsidP="00050258">
      <w:pPr>
        <w:pStyle w:val="MIRBodyText"/>
      </w:pPr>
      <w:r>
        <w:t>(</w:t>
      </w:r>
      <w:r w:rsidR="006D3AF2">
        <w:t>3</w:t>
      </w:r>
      <w:r>
        <w:t>) In this Rule,</w:t>
      </w:r>
      <w:r w:rsidR="00F71B34">
        <w:t xml:space="preserve"> a</w:t>
      </w:r>
      <w:r w:rsidR="006777E4">
        <w:t>n operator of a Clearing Facility</w:t>
      </w:r>
      <w:r w:rsidR="00F71B34">
        <w:t xml:space="preserve"> enter</w:t>
      </w:r>
      <w:r w:rsidR="00631264">
        <w:t>s</w:t>
      </w:r>
      <w:r w:rsidR="00F71B34">
        <w:t xml:space="preserve"> into a</w:t>
      </w:r>
      <w:r>
        <w:t xml:space="preserve"> </w:t>
      </w:r>
      <w:r w:rsidR="002958C4">
        <w:rPr>
          <w:b/>
          <w:i/>
        </w:rPr>
        <w:t>Central</w:t>
      </w:r>
      <w:r w:rsidRPr="005B239D">
        <w:rPr>
          <w:b/>
          <w:i/>
        </w:rPr>
        <w:t xml:space="preserve"> Clearing Transaction</w:t>
      </w:r>
      <w:r>
        <w:t xml:space="preserve"> </w:t>
      </w:r>
      <w:r w:rsidR="00F71B34">
        <w:t>with</w:t>
      </w:r>
      <w:r w:rsidR="00050258">
        <w:t>:</w:t>
      </w:r>
      <w:r w:rsidR="00F71B34">
        <w:t xml:space="preserve"> </w:t>
      </w:r>
    </w:p>
    <w:p w:rsidR="00AA7B9B" w:rsidRDefault="00F71B34" w:rsidP="00050258">
      <w:pPr>
        <w:pStyle w:val="MIRSubpara"/>
      </w:pPr>
      <w:r>
        <w:t xml:space="preserve">a </w:t>
      </w:r>
      <w:r w:rsidR="00050258">
        <w:t>party to</w:t>
      </w:r>
      <w:r w:rsidR="007A009D">
        <w:t xml:space="preserve"> </w:t>
      </w:r>
      <w:r w:rsidR="00C66E49">
        <w:t>a</w:t>
      </w:r>
      <w:r w:rsidR="007A009D">
        <w:t xml:space="preserve"> </w:t>
      </w:r>
      <w:r w:rsidR="005C3EE7">
        <w:t xml:space="preserve">Clearing </w:t>
      </w:r>
      <w:r w:rsidR="00DA0683">
        <w:t>Transaction</w:t>
      </w:r>
      <w:r w:rsidR="00DA0683" w:rsidRPr="006B48E5">
        <w:t xml:space="preserve"> </w:t>
      </w:r>
      <w:r w:rsidR="00050258">
        <w:t>who is a participant</w:t>
      </w:r>
      <w:r w:rsidR="00605968">
        <w:t xml:space="preserve"> in the Clearing Facility</w:t>
      </w:r>
      <w:r w:rsidR="00050258">
        <w:t xml:space="preserve"> </w:t>
      </w:r>
      <w:r>
        <w:t>if</w:t>
      </w:r>
      <w:r w:rsidR="00050258">
        <w:t xml:space="preserve"> the </w:t>
      </w:r>
      <w:r w:rsidR="006777E4">
        <w:t xml:space="preserve">operator </w:t>
      </w:r>
      <w:r w:rsidR="00050258">
        <w:t xml:space="preserve">is substituted, </w:t>
      </w:r>
      <w:r w:rsidR="00050258" w:rsidRPr="002D7BEC">
        <w:t>by novation</w:t>
      </w:r>
      <w:r w:rsidR="00050258" w:rsidRPr="002C696A">
        <w:t>,</w:t>
      </w:r>
      <w:r w:rsidR="00050258">
        <w:t xml:space="preserve"> as the counterparty to</w:t>
      </w:r>
      <w:r w:rsidR="009351A6">
        <w:t xml:space="preserve"> the</w:t>
      </w:r>
      <w:r w:rsidR="00050258">
        <w:t xml:space="preserve"> </w:t>
      </w:r>
      <w:r w:rsidR="00E71464">
        <w:t>participant</w:t>
      </w:r>
      <w:r w:rsidR="00C66E49">
        <w:t xml:space="preserve"> under the </w:t>
      </w:r>
      <w:r w:rsidR="005C3EE7">
        <w:t>Clearing Derivative</w:t>
      </w:r>
      <w:r w:rsidR="00DA0683">
        <w:t xml:space="preserve"> to which the Clearing Transaction relates</w:t>
      </w:r>
      <w:r w:rsidR="007A009D">
        <w:t>;</w:t>
      </w:r>
      <w:r w:rsidR="007E795A">
        <w:t xml:space="preserve"> </w:t>
      </w:r>
      <w:r w:rsidR="00631264">
        <w:t>and</w:t>
      </w:r>
      <w:r w:rsidR="007E795A">
        <w:t xml:space="preserve"> </w:t>
      </w:r>
    </w:p>
    <w:p w:rsidR="00DA0683" w:rsidRDefault="002F64D2" w:rsidP="00DA0683">
      <w:pPr>
        <w:pStyle w:val="MIRSubpara"/>
      </w:pPr>
      <w:r>
        <w:t xml:space="preserve">a </w:t>
      </w:r>
      <w:r w:rsidRPr="00050258">
        <w:t>participant</w:t>
      </w:r>
      <w:r>
        <w:t xml:space="preserve"> </w:t>
      </w:r>
      <w:r w:rsidR="00050258">
        <w:t>who</w:t>
      </w:r>
      <w:r>
        <w:t xml:space="preserve"> is acting on behalf of </w:t>
      </w:r>
      <w:r w:rsidR="00050258">
        <w:t>a</w:t>
      </w:r>
      <w:r>
        <w:t xml:space="preserve"> party</w:t>
      </w:r>
      <w:r w:rsidR="00050258">
        <w:t xml:space="preserve"> </w:t>
      </w:r>
      <w:r w:rsidR="009351A6">
        <w:t>(</w:t>
      </w:r>
      <w:r w:rsidR="009351A6" w:rsidRPr="00DA0683">
        <w:rPr>
          <w:b/>
          <w:i/>
        </w:rPr>
        <w:t>first party</w:t>
      </w:r>
      <w:r w:rsidR="009351A6">
        <w:t xml:space="preserve">) </w:t>
      </w:r>
      <w:r w:rsidR="00050258">
        <w:t xml:space="preserve">to </w:t>
      </w:r>
      <w:r w:rsidR="00C66E49">
        <w:t xml:space="preserve">a </w:t>
      </w:r>
      <w:r w:rsidR="005C3EE7">
        <w:t xml:space="preserve">Clearing </w:t>
      </w:r>
      <w:r w:rsidR="00DA0683">
        <w:t>Transaction</w:t>
      </w:r>
      <w:r w:rsidR="00DA0683" w:rsidDel="00DA0683">
        <w:t xml:space="preserve"> </w:t>
      </w:r>
      <w:r w:rsidR="00050258">
        <w:t>if</w:t>
      </w:r>
      <w:r w:rsidR="00DA0683">
        <w:t>:</w:t>
      </w:r>
      <w:r>
        <w:t xml:space="preserve"> </w:t>
      </w:r>
    </w:p>
    <w:p w:rsidR="00DA0683" w:rsidRPr="00A32D89" w:rsidRDefault="002F64D2" w:rsidP="00DA0683">
      <w:pPr>
        <w:pStyle w:val="MIRSubsubpara"/>
      </w:pPr>
      <w:r>
        <w:t xml:space="preserve">the </w:t>
      </w:r>
      <w:r w:rsidR="0099066B">
        <w:t>participant is substituted</w:t>
      </w:r>
      <w:r w:rsidR="002B1A4F">
        <w:t>,</w:t>
      </w:r>
      <w:r w:rsidR="0099066B">
        <w:t xml:space="preserve"> by novation, as </w:t>
      </w:r>
      <w:r w:rsidR="009351A6">
        <w:t>the first</w:t>
      </w:r>
      <w:r w:rsidR="0099066B">
        <w:t xml:space="preserve"> party </w:t>
      </w:r>
      <w:r w:rsidR="00C66E49">
        <w:t xml:space="preserve">under the </w:t>
      </w:r>
      <w:r w:rsidR="005C3EE7">
        <w:t>Clearing De</w:t>
      </w:r>
      <w:r w:rsidR="005C3EE7" w:rsidRPr="00A32D89">
        <w:t>rivative</w:t>
      </w:r>
      <w:r w:rsidR="00DA0683" w:rsidRPr="00A32D89">
        <w:t xml:space="preserve"> to which the Clearing Transaction relates;</w:t>
      </w:r>
      <w:r w:rsidR="00C66E49" w:rsidRPr="00A32D89">
        <w:t xml:space="preserve"> </w:t>
      </w:r>
      <w:r w:rsidR="0099066B" w:rsidRPr="00A32D89">
        <w:t xml:space="preserve">and </w:t>
      </w:r>
    </w:p>
    <w:p w:rsidR="00DA0683" w:rsidRPr="00A32D89" w:rsidRDefault="0099066B" w:rsidP="00DA0683">
      <w:pPr>
        <w:pStyle w:val="MIRSubsubpara"/>
      </w:pPr>
      <w:r w:rsidRPr="00A32D89">
        <w:t xml:space="preserve">the </w:t>
      </w:r>
      <w:r w:rsidR="006777E4" w:rsidRPr="00A32D89">
        <w:t xml:space="preserve">operator </w:t>
      </w:r>
      <w:r w:rsidR="002F64D2" w:rsidRPr="00A32D89">
        <w:t xml:space="preserve">is </w:t>
      </w:r>
      <w:r w:rsidR="00BC6C97" w:rsidRPr="00A32D89">
        <w:t xml:space="preserve">substituted, by novation, as </w:t>
      </w:r>
      <w:r w:rsidR="0068064E" w:rsidRPr="00A32D89">
        <w:t xml:space="preserve">the counterparty to </w:t>
      </w:r>
      <w:r w:rsidR="009351A6" w:rsidRPr="00A32D89">
        <w:t>the first</w:t>
      </w:r>
      <w:r w:rsidR="0068064E" w:rsidRPr="00A32D89">
        <w:t xml:space="preserve"> party</w:t>
      </w:r>
      <w:r w:rsidR="00C66E49" w:rsidRPr="00A32D89">
        <w:t xml:space="preserve"> under the </w:t>
      </w:r>
      <w:r w:rsidR="007F782A" w:rsidRPr="00A32D89">
        <w:t>Clearing Derivative</w:t>
      </w:r>
      <w:r w:rsidR="00DA0683" w:rsidRPr="00A32D89">
        <w:t>; and</w:t>
      </w:r>
    </w:p>
    <w:p w:rsidR="00DA0683" w:rsidRDefault="00DA0683" w:rsidP="00DA0683">
      <w:pPr>
        <w:pStyle w:val="MIRSubpara"/>
      </w:pPr>
      <w:r w:rsidRPr="00A32D89">
        <w:t>a participant who is acting on behalf of a person who is acting on behalf of a party (</w:t>
      </w:r>
      <w:r w:rsidRPr="00A32D89">
        <w:rPr>
          <w:b/>
          <w:i/>
        </w:rPr>
        <w:t>first party</w:t>
      </w:r>
      <w:r w:rsidR="00672C33" w:rsidRPr="00A32D89">
        <w:t>) to a Clearing Tr</w:t>
      </w:r>
      <w:r w:rsidR="00672C33">
        <w:t>ansaction if:</w:t>
      </w:r>
    </w:p>
    <w:p w:rsidR="00DA0683" w:rsidRDefault="00DA0683" w:rsidP="00DA0683">
      <w:pPr>
        <w:pStyle w:val="MIRSubsubpara"/>
      </w:pPr>
      <w:r>
        <w:t xml:space="preserve">the participant is substituted, by novation, as the first party under the Clearing Derivative to which the Clearing Transaction relates; and </w:t>
      </w:r>
    </w:p>
    <w:p w:rsidR="00DA0683" w:rsidRDefault="00DA0683" w:rsidP="00966ECC">
      <w:pPr>
        <w:pStyle w:val="MIRSubsubpara"/>
      </w:pPr>
      <w:r>
        <w:t>the operator is substituted, by novation</w:t>
      </w:r>
      <w:r w:rsidRPr="002C696A">
        <w:t>,</w:t>
      </w:r>
      <w:r>
        <w:t xml:space="preserve"> as the counterparty to the first party under the Clearing Derivative</w:t>
      </w:r>
      <w:r w:rsidR="00966ECC">
        <w:t>.</w:t>
      </w:r>
    </w:p>
    <w:p w:rsidR="00BC6C97" w:rsidRDefault="0068064E" w:rsidP="00AA7B9B">
      <w:pPr>
        <w:pStyle w:val="MIRBodyText"/>
      </w:pPr>
      <w:r>
        <w:t>(</w:t>
      </w:r>
      <w:r w:rsidR="006D3AF2">
        <w:t>4</w:t>
      </w:r>
      <w:r w:rsidR="00BC6C97">
        <w:t>)</w:t>
      </w:r>
      <w:r w:rsidR="00915FBC">
        <w:t xml:space="preserve"> </w:t>
      </w:r>
      <w:r w:rsidR="00050258">
        <w:t>In this Rule, a</w:t>
      </w:r>
      <w:r w:rsidR="006777E4">
        <w:t>n</w:t>
      </w:r>
      <w:r w:rsidR="00050258">
        <w:t xml:space="preserve"> </w:t>
      </w:r>
      <w:r w:rsidR="006777E4">
        <w:t xml:space="preserve">operator of </w:t>
      </w:r>
      <w:r w:rsidR="000301B3">
        <w:t xml:space="preserve">a </w:t>
      </w:r>
      <w:r w:rsidR="006777E4">
        <w:t xml:space="preserve">Clearing Facility </w:t>
      </w:r>
      <w:r w:rsidR="00050258">
        <w:t>also enter</w:t>
      </w:r>
      <w:r w:rsidR="00631264">
        <w:t>s</w:t>
      </w:r>
      <w:r w:rsidR="00050258">
        <w:t xml:space="preserve"> into a </w:t>
      </w:r>
      <w:r w:rsidR="002958C4">
        <w:rPr>
          <w:b/>
          <w:i/>
        </w:rPr>
        <w:t>Central</w:t>
      </w:r>
      <w:r w:rsidR="00050258" w:rsidRPr="005B239D">
        <w:rPr>
          <w:b/>
          <w:i/>
        </w:rPr>
        <w:t xml:space="preserve"> Clearing Transaction</w:t>
      </w:r>
      <w:r w:rsidR="00050258">
        <w:t xml:space="preserve"> with a person in relation to </w:t>
      </w:r>
      <w:r w:rsidR="00C66E49">
        <w:t xml:space="preserve">a </w:t>
      </w:r>
      <w:r w:rsidR="005C3EE7">
        <w:t xml:space="preserve">Clearing </w:t>
      </w:r>
      <w:r w:rsidR="00DA0683">
        <w:t xml:space="preserve">Transaction </w:t>
      </w:r>
      <w:r w:rsidR="00050258">
        <w:t xml:space="preserve">if the </w:t>
      </w:r>
      <w:r w:rsidR="006777E4">
        <w:t xml:space="preserve">operator </w:t>
      </w:r>
      <w:r w:rsidR="00631264">
        <w:t>and the person enter</w:t>
      </w:r>
      <w:r w:rsidR="00050258">
        <w:t xml:space="preserve"> into a transaction which has a</w:t>
      </w:r>
      <w:r w:rsidR="002958C4">
        <w:t>n equivalent, or a</w:t>
      </w:r>
      <w:r w:rsidR="007F782A">
        <w:t xml:space="preserve"> substantially</w:t>
      </w:r>
      <w:r w:rsidR="00050258">
        <w:t xml:space="preserve"> equivalent</w:t>
      </w:r>
      <w:r w:rsidR="002958C4">
        <w:t>,</w:t>
      </w:r>
      <w:r w:rsidR="00050258">
        <w:t xml:space="preserve"> </w:t>
      </w:r>
      <w:r w:rsidR="00631264">
        <w:t xml:space="preserve">legal and economic effect as between the </w:t>
      </w:r>
      <w:r w:rsidR="006777E4">
        <w:t xml:space="preserve">operator </w:t>
      </w:r>
      <w:r w:rsidR="00631264">
        <w:t xml:space="preserve">and the person as </w:t>
      </w:r>
      <w:r w:rsidR="00BC6C97">
        <w:t xml:space="preserve">a </w:t>
      </w:r>
      <w:r w:rsidR="0053238D">
        <w:t xml:space="preserve">novation </w:t>
      </w:r>
      <w:r w:rsidR="00BC6C97">
        <w:t>referred to in paragraph</w:t>
      </w:r>
      <w:r w:rsidR="009079EC">
        <w:t xml:space="preserve"> </w:t>
      </w:r>
      <w:r w:rsidR="00631264">
        <w:t>(</w:t>
      </w:r>
      <w:r w:rsidR="00B3214C">
        <w:t>3</w:t>
      </w:r>
      <w:r w:rsidR="00631264">
        <w:t>)</w:t>
      </w:r>
      <w:r w:rsidR="009079EC">
        <w:t>(a)</w:t>
      </w:r>
      <w:r w:rsidR="00966ECC">
        <w:t>, (b) or (c</w:t>
      </w:r>
      <w:r w:rsidR="009079EC">
        <w:t>)</w:t>
      </w:r>
      <w:r w:rsidR="00BC6C97">
        <w:t>.</w:t>
      </w:r>
    </w:p>
    <w:p w:rsidR="0042614E" w:rsidRDefault="00B35303" w:rsidP="0042614E">
      <w:pPr>
        <w:pStyle w:val="MIRPenalty"/>
      </w:pPr>
      <w:r w:rsidRPr="00891AD8">
        <w:t>Penalty amount</w:t>
      </w:r>
      <w:r w:rsidR="00A73534" w:rsidRPr="00891AD8">
        <w:t>: 1,000 penalty units.</w:t>
      </w:r>
      <w:r w:rsidR="00AD2AB7">
        <w:t xml:space="preserve"> </w:t>
      </w:r>
    </w:p>
    <w:p w:rsidR="00B0648A" w:rsidRDefault="00B0648A" w:rsidP="00B0648A">
      <w:pPr>
        <w:pStyle w:val="MIRHeading3Rule"/>
      </w:pPr>
      <w:r>
        <w:t>2.</w:t>
      </w:r>
      <w:r w:rsidR="005C33B4">
        <w:t>1</w:t>
      </w:r>
      <w:r>
        <w:t>.2</w:t>
      </w:r>
      <w:r>
        <w:tab/>
        <w:t xml:space="preserve">Exception where </w:t>
      </w:r>
      <w:r w:rsidR="00E16268">
        <w:t xml:space="preserve">Clearing </w:t>
      </w:r>
      <w:r>
        <w:t xml:space="preserve">Derivative terminated </w:t>
      </w:r>
    </w:p>
    <w:p w:rsidR="00B0648A" w:rsidRPr="00915FBC" w:rsidRDefault="00B0648A" w:rsidP="00B0648A">
      <w:pPr>
        <w:pStyle w:val="MIRBodyText"/>
        <w:rPr>
          <w:spacing w:val="-4"/>
        </w:rPr>
      </w:pPr>
      <w:r w:rsidRPr="00915FBC">
        <w:rPr>
          <w:spacing w:val="-4"/>
        </w:rPr>
        <w:t>A Clearing Entity is not required to comply with Rule 2.</w:t>
      </w:r>
      <w:r w:rsidR="005C33B4" w:rsidRPr="00915FBC">
        <w:rPr>
          <w:spacing w:val="-4"/>
        </w:rPr>
        <w:t>1</w:t>
      </w:r>
      <w:r w:rsidRPr="00915FBC">
        <w:rPr>
          <w:spacing w:val="-4"/>
        </w:rPr>
        <w:t xml:space="preserve">.1 </w:t>
      </w:r>
      <w:r w:rsidR="00DA0683" w:rsidRPr="00915FBC">
        <w:rPr>
          <w:spacing w:val="-4"/>
        </w:rPr>
        <w:t xml:space="preserve">in relation to a Clearing Transaction </w:t>
      </w:r>
      <w:r w:rsidRPr="00915FBC">
        <w:rPr>
          <w:spacing w:val="-4"/>
        </w:rPr>
        <w:t xml:space="preserve">if the </w:t>
      </w:r>
      <w:r w:rsidR="00E16268" w:rsidRPr="00915FBC">
        <w:rPr>
          <w:spacing w:val="-4"/>
        </w:rPr>
        <w:t>Clearing Derivative to which the Clearing Transaction relates</w:t>
      </w:r>
      <w:r w:rsidRPr="00915FBC">
        <w:rPr>
          <w:spacing w:val="-4"/>
        </w:rPr>
        <w:t xml:space="preserve"> is terminated </w:t>
      </w:r>
      <w:r w:rsidR="009079EC" w:rsidRPr="00915FBC">
        <w:rPr>
          <w:spacing w:val="-4"/>
        </w:rPr>
        <w:t>before</w:t>
      </w:r>
      <w:r w:rsidRPr="00915FBC">
        <w:rPr>
          <w:spacing w:val="-4"/>
        </w:rPr>
        <w:t xml:space="preserve"> the time by which the Clearing Transaction must be cleared in accordance with Rule 2.</w:t>
      </w:r>
      <w:r w:rsidR="005C33B4" w:rsidRPr="00915FBC">
        <w:rPr>
          <w:spacing w:val="-4"/>
        </w:rPr>
        <w:t>1</w:t>
      </w:r>
      <w:r w:rsidRPr="00915FBC">
        <w:rPr>
          <w:spacing w:val="-4"/>
        </w:rPr>
        <w:t>.1.</w:t>
      </w:r>
    </w:p>
    <w:p w:rsidR="00EE2D73" w:rsidRDefault="00B0648A" w:rsidP="00995485">
      <w:pPr>
        <w:pStyle w:val="MIRHeading3Rule"/>
      </w:pPr>
      <w:r>
        <w:t>2.</w:t>
      </w:r>
      <w:r w:rsidR="005C33B4">
        <w:t>1</w:t>
      </w:r>
      <w:r>
        <w:t>.3</w:t>
      </w:r>
      <w:r w:rsidR="00995485">
        <w:tab/>
      </w:r>
      <w:r w:rsidR="00EE2D73" w:rsidRPr="00EE2D73">
        <w:t>Exception where no Licensed CS Facility</w:t>
      </w:r>
      <w:r w:rsidR="00CB5EBB">
        <w:t xml:space="preserve"> </w:t>
      </w:r>
      <w:r w:rsidR="00EE2D73" w:rsidRPr="00EE2D73">
        <w:t>or Prescribed CS Facility</w:t>
      </w:r>
    </w:p>
    <w:p w:rsidR="00EE2D73" w:rsidRPr="002D66D9" w:rsidRDefault="00EE2D73" w:rsidP="00EE2D73">
      <w:pPr>
        <w:pStyle w:val="MIRBodyText"/>
        <w:numPr>
          <w:ilvl w:val="0"/>
          <w:numId w:val="0"/>
        </w:numPr>
        <w:ind w:left="851"/>
      </w:pPr>
      <w:r w:rsidRPr="002D66D9">
        <w:t xml:space="preserve">A Clearing Entity is not required to comply with </w:t>
      </w:r>
      <w:r w:rsidR="00291ABC" w:rsidRPr="002D66D9">
        <w:t>Rule 2.</w:t>
      </w:r>
      <w:r w:rsidR="005C33B4">
        <w:t>1</w:t>
      </w:r>
      <w:r w:rsidR="00291ABC" w:rsidRPr="002D66D9">
        <w:t>.1</w:t>
      </w:r>
      <w:r w:rsidRPr="002D66D9">
        <w:t xml:space="preserve"> </w:t>
      </w:r>
      <w:r w:rsidR="00A05E5B">
        <w:t xml:space="preserve">in relation to a Clearing Transaction </w:t>
      </w:r>
      <w:r w:rsidRPr="002D66D9">
        <w:t>if</w:t>
      </w:r>
      <w:r w:rsidR="00F908BF">
        <w:t>:</w:t>
      </w:r>
    </w:p>
    <w:p w:rsidR="00334BF5" w:rsidRPr="002D66D9" w:rsidRDefault="00EE2D73" w:rsidP="009840AF">
      <w:pPr>
        <w:pStyle w:val="MIRSubpara"/>
      </w:pPr>
      <w:r w:rsidRPr="002D66D9">
        <w:t>there is no Licensed CS Facility</w:t>
      </w:r>
      <w:r w:rsidR="00334BF5" w:rsidRPr="002D66D9">
        <w:t xml:space="preserve"> that:</w:t>
      </w:r>
    </w:p>
    <w:p w:rsidR="00EE2D73" w:rsidRPr="002D66D9" w:rsidRDefault="00334BF5" w:rsidP="00334BF5">
      <w:pPr>
        <w:pStyle w:val="MIRSubsubpara"/>
      </w:pPr>
      <w:r w:rsidRPr="002D66D9">
        <w:t xml:space="preserve">is </w:t>
      </w:r>
      <w:r w:rsidR="00EE2D73" w:rsidRPr="002D66D9">
        <w:t xml:space="preserve">authorised to provide </w:t>
      </w:r>
      <w:r w:rsidR="005344AF" w:rsidRPr="002D66D9">
        <w:t xml:space="preserve">clearing </w:t>
      </w:r>
      <w:r w:rsidR="00EE2D73" w:rsidRPr="002D66D9">
        <w:t>services in respect of the class of Derivatives that includes the</w:t>
      </w:r>
      <w:r w:rsidR="00E16268">
        <w:t xml:space="preserve"> Clearing</w:t>
      </w:r>
      <w:r w:rsidR="00EE2D73" w:rsidRPr="002D66D9">
        <w:t xml:space="preserve"> Derivative to which the C</w:t>
      </w:r>
      <w:r w:rsidRPr="002D66D9">
        <w:t xml:space="preserve">learing Transaction relates; </w:t>
      </w:r>
      <w:r w:rsidR="00F43075" w:rsidRPr="002D66D9">
        <w:t>and</w:t>
      </w:r>
    </w:p>
    <w:p w:rsidR="00334BF5" w:rsidRPr="002D66D9" w:rsidRDefault="00334BF5" w:rsidP="00334BF5">
      <w:pPr>
        <w:pStyle w:val="MIRSubsubpara"/>
      </w:pPr>
      <w:r w:rsidRPr="002D66D9">
        <w:t xml:space="preserve">provides </w:t>
      </w:r>
      <w:r w:rsidR="00E905E9" w:rsidRPr="002D66D9">
        <w:t xml:space="preserve">clearing </w:t>
      </w:r>
      <w:r w:rsidRPr="002D66D9">
        <w:t xml:space="preserve">services in respect of the </w:t>
      </w:r>
      <w:r w:rsidR="005C3EE7" w:rsidRPr="002D66D9">
        <w:t>Clearing Derivative</w:t>
      </w:r>
      <w:r w:rsidRPr="002D66D9">
        <w:t xml:space="preserve"> to which the Clearing Transaction relates;</w:t>
      </w:r>
      <w:r w:rsidR="0076280B" w:rsidRPr="002D66D9">
        <w:t xml:space="preserve"> and</w:t>
      </w:r>
      <w:r w:rsidR="00E905E9" w:rsidRPr="002D66D9">
        <w:t xml:space="preserve"> </w:t>
      </w:r>
    </w:p>
    <w:p w:rsidR="00334BF5" w:rsidRPr="002D66D9" w:rsidRDefault="00EE2D73" w:rsidP="009840AF">
      <w:pPr>
        <w:pStyle w:val="MIRSubpara"/>
      </w:pPr>
      <w:r w:rsidRPr="002D66D9">
        <w:t>there is no Prescribed CS Facility that</w:t>
      </w:r>
      <w:r w:rsidR="00334BF5" w:rsidRPr="002D66D9">
        <w:t>:</w:t>
      </w:r>
    </w:p>
    <w:p w:rsidR="00334BF5" w:rsidRPr="002D66D9" w:rsidRDefault="00EE2D73" w:rsidP="00334BF5">
      <w:pPr>
        <w:pStyle w:val="MIRSubsubpara"/>
      </w:pPr>
      <w:r w:rsidRPr="002D66D9">
        <w:t xml:space="preserve">is prescribed in relation to the class of Derivatives that includes the </w:t>
      </w:r>
      <w:r w:rsidR="00E16268">
        <w:t xml:space="preserve">Clearing </w:t>
      </w:r>
      <w:r w:rsidRPr="002D66D9">
        <w:t>Derivative to which the Clearing Transaction relates</w:t>
      </w:r>
      <w:r w:rsidR="00334BF5" w:rsidRPr="002D66D9">
        <w:t>;</w:t>
      </w:r>
      <w:r w:rsidR="00F43075" w:rsidRPr="002D66D9">
        <w:t xml:space="preserve"> and</w:t>
      </w:r>
    </w:p>
    <w:p w:rsidR="00530C10" w:rsidRDefault="00334BF5" w:rsidP="00334BF5">
      <w:pPr>
        <w:pStyle w:val="MIRSubsubpara"/>
      </w:pPr>
      <w:r w:rsidRPr="002D66D9">
        <w:t xml:space="preserve">provides </w:t>
      </w:r>
      <w:r w:rsidR="005344AF" w:rsidRPr="002D66D9">
        <w:t xml:space="preserve">clearing </w:t>
      </w:r>
      <w:r w:rsidRPr="002D66D9">
        <w:t xml:space="preserve">services in respect of the </w:t>
      </w:r>
      <w:r w:rsidR="005C3EE7" w:rsidRPr="002D66D9">
        <w:t>Clearing Derivative</w:t>
      </w:r>
      <w:r w:rsidRPr="002D66D9">
        <w:t xml:space="preserve"> to which the Clearing Transaction relates</w:t>
      </w:r>
      <w:r w:rsidR="00EE2D73" w:rsidRPr="002D66D9">
        <w:t>.</w:t>
      </w:r>
      <w:r w:rsidR="00994491" w:rsidRPr="002D66D9">
        <w:t xml:space="preserve"> </w:t>
      </w:r>
    </w:p>
    <w:p w:rsidR="00D67D78" w:rsidRDefault="00D67D78" w:rsidP="00D67D78">
      <w:pPr>
        <w:pStyle w:val="MIRHeading3Rule"/>
      </w:pPr>
      <w:r w:rsidRPr="002D0E13">
        <w:t>2.</w:t>
      </w:r>
      <w:r w:rsidR="005C33B4">
        <w:t>1</w:t>
      </w:r>
      <w:r w:rsidRPr="002D0E13">
        <w:t>.</w:t>
      </w:r>
      <w:r w:rsidR="00B0648A">
        <w:t>4</w:t>
      </w:r>
      <w:r w:rsidRPr="00D67D78">
        <w:tab/>
      </w:r>
      <w:r>
        <w:t>Exception to Clearing Requirement</w:t>
      </w:r>
      <w:r w:rsidR="00915FBC">
        <w:t>—</w:t>
      </w:r>
      <w:r w:rsidRPr="00D67D78">
        <w:t>Intra-group trades</w:t>
      </w:r>
    </w:p>
    <w:p w:rsidR="003B1BCD" w:rsidRPr="00BC6556" w:rsidRDefault="00C15FB1" w:rsidP="001F3438">
      <w:pPr>
        <w:pStyle w:val="MIRBodyText"/>
        <w:numPr>
          <w:ilvl w:val="0"/>
          <w:numId w:val="0"/>
        </w:numPr>
        <w:spacing w:before="240"/>
        <w:ind w:left="851"/>
      </w:pPr>
      <w:r>
        <w:t xml:space="preserve">(1) </w:t>
      </w:r>
      <w:r w:rsidR="00113547">
        <w:t>A</w:t>
      </w:r>
      <w:r w:rsidR="0008237B">
        <w:t xml:space="preserve"> Clearing </w:t>
      </w:r>
      <w:r w:rsidR="00901D69">
        <w:t>Entity</w:t>
      </w:r>
      <w:r w:rsidR="00B21410">
        <w:t xml:space="preserve"> </w:t>
      </w:r>
      <w:r w:rsidR="00901D69">
        <w:t xml:space="preserve">is not required to comply with </w:t>
      </w:r>
      <w:r w:rsidR="00291ABC">
        <w:t>R</w:t>
      </w:r>
      <w:r w:rsidR="00901D69">
        <w:t>ule 2.</w:t>
      </w:r>
      <w:r w:rsidR="005C33B4">
        <w:t>1</w:t>
      </w:r>
      <w:r w:rsidR="00901D69">
        <w:t>.1</w:t>
      </w:r>
      <w:r w:rsidR="00512B83" w:rsidRPr="00512B83">
        <w:t xml:space="preserve"> </w:t>
      </w:r>
      <w:r w:rsidR="00F908BF">
        <w:t xml:space="preserve">in relation to a Clearing Transaction </w:t>
      </w:r>
      <w:r w:rsidR="00605968">
        <w:t>if</w:t>
      </w:r>
      <w:r w:rsidR="001F3438">
        <w:t xml:space="preserve">, </w:t>
      </w:r>
      <w:r w:rsidR="00524449">
        <w:t xml:space="preserve">at the time the Clearing Transaction is entered into, </w:t>
      </w:r>
      <w:r w:rsidR="004C6095">
        <w:t xml:space="preserve">the </w:t>
      </w:r>
      <w:r w:rsidR="00B95053">
        <w:t>count</w:t>
      </w:r>
      <w:r w:rsidR="00C00116">
        <w:t>erparty to the Clearing Transaction i</w:t>
      </w:r>
      <w:r w:rsidR="00B95053">
        <w:t xml:space="preserve">s a </w:t>
      </w:r>
      <w:r w:rsidR="009A514F">
        <w:t>r</w:t>
      </w:r>
      <w:r w:rsidR="00B95053">
        <w:t xml:space="preserve">elated </w:t>
      </w:r>
      <w:r w:rsidR="009A514F">
        <w:t>b</w:t>
      </w:r>
      <w:r w:rsidR="00B95053">
        <w:t xml:space="preserve">ody </w:t>
      </w:r>
      <w:r w:rsidR="009A514F">
        <w:t>c</w:t>
      </w:r>
      <w:r w:rsidR="00B95053">
        <w:t>orporate of the Clearing Entity</w:t>
      </w:r>
      <w:r w:rsidR="001F3438">
        <w:t>.</w:t>
      </w:r>
    </w:p>
    <w:p w:rsidR="009078F8" w:rsidRDefault="009078F8" w:rsidP="009078F8">
      <w:pPr>
        <w:pStyle w:val="MIRHeading3Rule"/>
      </w:pPr>
      <w:r>
        <w:t>2.</w:t>
      </w:r>
      <w:r w:rsidR="005C33B4">
        <w:t>1</w:t>
      </w:r>
      <w:r>
        <w:t>.5</w:t>
      </w:r>
      <w:r>
        <w:tab/>
      </w:r>
      <w:r w:rsidRPr="00F94965">
        <w:t>Exception to Clearing Requirement</w:t>
      </w:r>
      <w:r w:rsidR="00915FBC">
        <w:t>—</w:t>
      </w:r>
      <w:r w:rsidR="00FB45B6">
        <w:t>Multilateral portfolio</w:t>
      </w:r>
      <w:r>
        <w:t xml:space="preserve"> compression</w:t>
      </w:r>
    </w:p>
    <w:p w:rsidR="00E16268" w:rsidRDefault="00691B10" w:rsidP="006C7689">
      <w:pPr>
        <w:pStyle w:val="MIRBodyText"/>
      </w:pPr>
      <w:r w:rsidRPr="0021667A">
        <w:t>(1) A Clearing Entity is not required to comply with Rule 2.</w:t>
      </w:r>
      <w:r w:rsidR="005C33B4">
        <w:t>1</w:t>
      </w:r>
      <w:r w:rsidRPr="0021667A">
        <w:t xml:space="preserve">.1 </w:t>
      </w:r>
      <w:r w:rsidR="00A05E5B" w:rsidRPr="0021667A">
        <w:t xml:space="preserve">in relation to a Clearing Transaction </w:t>
      </w:r>
      <w:r w:rsidR="00B21410">
        <w:t>if</w:t>
      </w:r>
      <w:r w:rsidR="00E16268">
        <w:t>:</w:t>
      </w:r>
      <w:r w:rsidR="006C7689" w:rsidRPr="0021667A">
        <w:t xml:space="preserve"> </w:t>
      </w:r>
    </w:p>
    <w:p w:rsidR="00691B10" w:rsidRDefault="006C7689" w:rsidP="00E16268">
      <w:pPr>
        <w:pStyle w:val="MIRSubpara"/>
      </w:pPr>
      <w:r w:rsidRPr="0021667A">
        <w:t xml:space="preserve">the Clearing Transaction is entered into by the Clearing Entity as a result of </w:t>
      </w:r>
      <w:r w:rsidR="00966ECC">
        <w:t>the Clearing Entity modifying or terminating and replacing Derivatives under a</w:t>
      </w:r>
      <w:r w:rsidR="00966ECC" w:rsidRPr="0021667A">
        <w:t xml:space="preserve"> </w:t>
      </w:r>
      <w:r w:rsidR="00FB787A" w:rsidRPr="0021667A">
        <w:t>Multilateral Portfolio Compression Cycle</w:t>
      </w:r>
      <w:r w:rsidR="00E16268">
        <w:t>;</w:t>
      </w:r>
      <w:r w:rsidR="00267006" w:rsidRPr="0021667A">
        <w:t xml:space="preserve"> and</w:t>
      </w:r>
    </w:p>
    <w:p w:rsidR="00966ECC" w:rsidRDefault="00902CEF" w:rsidP="00461891">
      <w:pPr>
        <w:pStyle w:val="MIRSubpara"/>
      </w:pPr>
      <w:r>
        <w:t xml:space="preserve">for each of </w:t>
      </w:r>
      <w:r w:rsidR="00966ECC">
        <w:t>th</w:t>
      </w:r>
      <w:r w:rsidR="00791204">
        <w:t xml:space="preserve">e </w:t>
      </w:r>
      <w:r w:rsidR="00966ECC">
        <w:t>Derivatives</w:t>
      </w:r>
      <w:r w:rsidR="00966ECC" w:rsidRPr="0021667A">
        <w:t xml:space="preserve"> </w:t>
      </w:r>
      <w:r>
        <w:t xml:space="preserve">that </w:t>
      </w:r>
      <w:r w:rsidR="00461891">
        <w:t>was</w:t>
      </w:r>
      <w:r>
        <w:t xml:space="preserve"> </w:t>
      </w:r>
      <w:r w:rsidR="00791204">
        <w:t>modified, or terminated and replaced</w:t>
      </w:r>
      <w:r w:rsidR="00461891">
        <w:t>—</w:t>
      </w:r>
      <w:r>
        <w:t xml:space="preserve">entry into the Derivative </w:t>
      </w:r>
      <w:r w:rsidR="00966ECC" w:rsidRPr="0021667A">
        <w:t>w</w:t>
      </w:r>
      <w:r>
        <w:t>as</w:t>
      </w:r>
      <w:r w:rsidR="00966ECC" w:rsidRPr="0021667A">
        <w:t xml:space="preserve"> not </w:t>
      </w:r>
      <w:r>
        <w:t xml:space="preserve">a </w:t>
      </w:r>
      <w:r w:rsidR="00791204">
        <w:t>Clearing Transaction</w:t>
      </w:r>
      <w:r>
        <w:t xml:space="preserve"> that </w:t>
      </w:r>
      <w:r w:rsidR="00461891">
        <w:t xml:space="preserve">was required to be Cleared Through a Clearing Facility </w:t>
      </w:r>
      <w:r w:rsidR="00627488">
        <w:t xml:space="preserve">in accordance with </w:t>
      </w:r>
      <w:r w:rsidR="00966ECC" w:rsidRPr="00F3416C">
        <w:t>Rule 2.</w:t>
      </w:r>
      <w:r w:rsidR="00966ECC">
        <w:t>1</w:t>
      </w:r>
      <w:r w:rsidR="00966ECC" w:rsidRPr="00F3416C">
        <w:t>.1</w:t>
      </w:r>
      <w:r w:rsidR="00461891">
        <w:t xml:space="preserve"> or subrule 2.1.6(2); </w:t>
      </w:r>
      <w:r w:rsidR="00303F3E">
        <w:t>and</w:t>
      </w:r>
    </w:p>
    <w:p w:rsidR="00F908BF" w:rsidRPr="0021667A" w:rsidRDefault="00F908BF" w:rsidP="00F908BF">
      <w:pPr>
        <w:pStyle w:val="MIRSubpara"/>
      </w:pPr>
      <w:r w:rsidRPr="0021667A">
        <w:t xml:space="preserve">the Clearing Transactions entered into by the Clearing Entity as a result of the Multilateral Portfolio Compression Cycle are </w:t>
      </w:r>
      <w:r>
        <w:t xml:space="preserve">only </w:t>
      </w:r>
      <w:r w:rsidRPr="0021667A">
        <w:t xml:space="preserve">entered into with </w:t>
      </w:r>
      <w:r>
        <w:t>persons who were counterparties to those Derivatives; and</w:t>
      </w:r>
    </w:p>
    <w:p w:rsidR="00021BE4" w:rsidRPr="0021667A" w:rsidRDefault="00021BE4" w:rsidP="00A67B36">
      <w:pPr>
        <w:pStyle w:val="MIRSubpara"/>
      </w:pPr>
      <w:r w:rsidRPr="0021667A">
        <w:t xml:space="preserve">the </w:t>
      </w:r>
      <w:r w:rsidR="00FB787A" w:rsidRPr="0021667A">
        <w:t>Multilateral Portfolio Compression Cycle</w:t>
      </w:r>
      <w:r w:rsidR="00267006" w:rsidRPr="0021667A">
        <w:t xml:space="preserve"> was</w:t>
      </w:r>
      <w:r w:rsidRPr="0021667A">
        <w:t xml:space="preserve"> conducted in accordance with the rules of a third-party operator</w:t>
      </w:r>
      <w:r w:rsidR="00F9666A">
        <w:t xml:space="preserve"> of Multilateral Portfolio Compression Cycles</w:t>
      </w:r>
      <w:r w:rsidR="00966ECC">
        <w:t xml:space="preserve"> and involved more than two participants, none of which </w:t>
      </w:r>
      <w:r w:rsidR="005D5C82">
        <w:t>was</w:t>
      </w:r>
      <w:r w:rsidR="00966ECC">
        <w:t xml:space="preserve"> the operator</w:t>
      </w:r>
      <w:r w:rsidRPr="0021667A">
        <w:t>;</w:t>
      </w:r>
      <w:r w:rsidR="00530C10" w:rsidRPr="0021667A">
        <w:t xml:space="preserve"> and</w:t>
      </w:r>
      <w:r w:rsidR="0096490C" w:rsidRPr="0021667A">
        <w:t xml:space="preserve"> </w:t>
      </w:r>
    </w:p>
    <w:p w:rsidR="00021BE4" w:rsidRPr="0021667A" w:rsidRDefault="00021BE4" w:rsidP="00A67B36">
      <w:pPr>
        <w:pStyle w:val="MIRSubpara"/>
      </w:pPr>
      <w:r w:rsidRPr="0021667A">
        <w:t xml:space="preserve">the </w:t>
      </w:r>
      <w:r w:rsidR="00FB787A" w:rsidRPr="0021667A">
        <w:t>Multilateral Portfolio Compression Cycle</w:t>
      </w:r>
      <w:r w:rsidR="00267006" w:rsidRPr="0021667A">
        <w:t xml:space="preserve"> wa</w:t>
      </w:r>
      <w:r w:rsidRPr="0021667A">
        <w:t xml:space="preserve">s conducted in compliance with the counterparty credit risk tolerance levels set by the </w:t>
      </w:r>
      <w:r w:rsidR="00E16268">
        <w:t>participants in</w:t>
      </w:r>
      <w:r w:rsidRPr="0021667A">
        <w:t xml:space="preserve"> the </w:t>
      </w:r>
      <w:r w:rsidR="00FB787A" w:rsidRPr="0021667A">
        <w:t>Multilateral Portfolio Compression Cycle</w:t>
      </w:r>
      <w:r w:rsidR="00F908BF">
        <w:t>.</w:t>
      </w:r>
    </w:p>
    <w:p w:rsidR="00DF432D" w:rsidRPr="0021667A" w:rsidRDefault="00D01CFA" w:rsidP="00966ECC">
      <w:pPr>
        <w:pStyle w:val="MIRBodyText"/>
      </w:pPr>
      <w:r w:rsidRPr="0021667A">
        <w:t xml:space="preserve">(2) </w:t>
      </w:r>
      <w:r w:rsidR="00FB787A" w:rsidRPr="0021667A">
        <w:t xml:space="preserve">In </w:t>
      </w:r>
      <w:r w:rsidRPr="0021667A">
        <w:t>subrule (1)</w:t>
      </w:r>
      <w:r w:rsidR="00FB787A" w:rsidRPr="0021667A">
        <w:t>,</w:t>
      </w:r>
      <w:r w:rsidRPr="0021667A">
        <w:t xml:space="preserve"> </w:t>
      </w:r>
      <w:r w:rsidR="00FB787A" w:rsidRPr="0021667A">
        <w:rPr>
          <w:b/>
          <w:i/>
        </w:rPr>
        <w:t>Multilateral Portfolio Compression Cycle</w:t>
      </w:r>
      <w:r w:rsidRPr="0021667A">
        <w:t xml:space="preserve"> </w:t>
      </w:r>
      <w:r w:rsidR="00FB787A" w:rsidRPr="0021667A">
        <w:t>means a</w:t>
      </w:r>
      <w:r w:rsidR="00D06398" w:rsidRPr="0021667A">
        <w:t xml:space="preserve"> process</w:t>
      </w:r>
      <w:r w:rsidR="00AA4C8E">
        <w:t xml:space="preserve"> </w:t>
      </w:r>
      <w:r w:rsidR="00E905E9">
        <w:t>under which</w:t>
      </w:r>
      <w:r w:rsidR="00E905E9" w:rsidRPr="0021667A">
        <w:t xml:space="preserve"> </w:t>
      </w:r>
      <w:r w:rsidR="00F506C0" w:rsidRPr="0021667A">
        <w:t xml:space="preserve">portfolios of </w:t>
      </w:r>
      <w:r w:rsidR="00D06398" w:rsidRPr="0021667A">
        <w:t>Derivatives between</w:t>
      </w:r>
      <w:r w:rsidR="00BC63D9" w:rsidRPr="0021667A">
        <w:t xml:space="preserve"> </w:t>
      </w:r>
      <w:r w:rsidR="00D06398" w:rsidRPr="0021667A">
        <w:t>parti</w:t>
      </w:r>
      <w:r w:rsidR="00DE6345" w:rsidRPr="0021667A">
        <w:t>cipants</w:t>
      </w:r>
      <w:r w:rsidR="005D5C82">
        <w:t xml:space="preserve"> in the process</w:t>
      </w:r>
      <w:r w:rsidR="00D06398" w:rsidRPr="0021667A">
        <w:t xml:space="preserve"> are </w:t>
      </w:r>
      <w:r w:rsidR="00FB45B6" w:rsidRPr="0021667A">
        <w:t>modified to reduce their notional value</w:t>
      </w:r>
      <w:r w:rsidR="009F7EE8" w:rsidRPr="0021667A">
        <w:t xml:space="preserve"> or </w:t>
      </w:r>
      <w:r w:rsidR="00D06398" w:rsidRPr="0021667A">
        <w:t>terminated and</w:t>
      </w:r>
      <w:r w:rsidR="00905D6D" w:rsidRPr="0021667A">
        <w:t xml:space="preserve"> replaced with</w:t>
      </w:r>
      <w:r w:rsidR="00D06398" w:rsidRPr="0021667A">
        <w:t xml:space="preserve"> </w:t>
      </w:r>
      <w:r w:rsidR="009F7EE8" w:rsidRPr="0021667A">
        <w:t>new</w:t>
      </w:r>
      <w:r w:rsidR="00905D6D" w:rsidRPr="0021667A">
        <w:t xml:space="preserve"> Derivatives</w:t>
      </w:r>
      <w:r w:rsidR="00D06398" w:rsidRPr="0021667A">
        <w:t xml:space="preserve"> </w:t>
      </w:r>
      <w:r w:rsidR="009F7EE8" w:rsidRPr="0021667A">
        <w:t>providing for reduced notional exposure</w:t>
      </w:r>
      <w:r w:rsidR="002A2499" w:rsidRPr="0021667A">
        <w:t>s</w:t>
      </w:r>
      <w:r w:rsidR="009F7EE8" w:rsidRPr="0021667A">
        <w:t xml:space="preserve"> between the </w:t>
      </w:r>
      <w:r w:rsidR="00DE6345" w:rsidRPr="0021667A">
        <w:t>p</w:t>
      </w:r>
      <w:r w:rsidR="001639C7" w:rsidRPr="0021667A">
        <w:t>articipants</w:t>
      </w:r>
      <w:r w:rsidR="002A2499" w:rsidRPr="0021667A">
        <w:t xml:space="preserve">, </w:t>
      </w:r>
      <w:r w:rsidR="00A876BA" w:rsidRPr="0021667A">
        <w:t xml:space="preserve">conducted </w:t>
      </w:r>
      <w:r w:rsidR="00837DF1" w:rsidRPr="0021667A">
        <w:t>for the purposes of</w:t>
      </w:r>
      <w:r w:rsidR="002A2499" w:rsidRPr="0021667A">
        <w:t xml:space="preserve"> reducing operational risk </w:t>
      </w:r>
      <w:r w:rsidR="00CE424B" w:rsidRPr="0021667A">
        <w:t xml:space="preserve">or </w:t>
      </w:r>
      <w:r w:rsidR="002A2499" w:rsidRPr="0021667A">
        <w:t>counterparty credit risk</w:t>
      </w:r>
      <w:r w:rsidR="00A876BA" w:rsidRPr="0021667A">
        <w:t xml:space="preserve"> for </w:t>
      </w:r>
      <w:r w:rsidR="00634D60">
        <w:t xml:space="preserve">the </w:t>
      </w:r>
      <w:r w:rsidR="00A876BA" w:rsidRPr="0021667A">
        <w:t>participants</w:t>
      </w:r>
      <w:r w:rsidR="00D06398" w:rsidRPr="0021667A">
        <w:t>.</w:t>
      </w:r>
    </w:p>
    <w:p w:rsidR="00CE649E" w:rsidRDefault="00A47C7B" w:rsidP="00A47C7B">
      <w:pPr>
        <w:pStyle w:val="MIRHeading3Rule"/>
      </w:pPr>
      <w:r>
        <w:t>2.</w:t>
      </w:r>
      <w:r w:rsidR="005C33B4">
        <w:t>1</w:t>
      </w:r>
      <w:r>
        <w:t>.</w:t>
      </w:r>
      <w:r w:rsidR="009078F8">
        <w:t>6</w:t>
      </w:r>
      <w:r>
        <w:tab/>
      </w:r>
      <w:r w:rsidR="00DD5ACE">
        <w:t xml:space="preserve">T+3 clearing if </w:t>
      </w:r>
      <w:r w:rsidR="00EB33BE">
        <w:t xml:space="preserve">foreign </w:t>
      </w:r>
      <w:r w:rsidR="00DD5ACE">
        <w:t>clearing</w:t>
      </w:r>
      <w:r w:rsidR="00A05E5B">
        <w:t xml:space="preserve"> </w:t>
      </w:r>
      <w:r w:rsidR="00DD5ACE">
        <w:t>requirements</w:t>
      </w:r>
      <w:r w:rsidR="00A05E5B">
        <w:t xml:space="preserve"> </w:t>
      </w:r>
      <w:r w:rsidR="00F908BF">
        <w:t>apply</w:t>
      </w:r>
    </w:p>
    <w:p w:rsidR="00890B3E" w:rsidRDefault="00A47C7B" w:rsidP="000C3F90">
      <w:pPr>
        <w:pStyle w:val="MIRBodyText"/>
        <w:numPr>
          <w:ilvl w:val="0"/>
          <w:numId w:val="0"/>
        </w:numPr>
        <w:ind w:left="851"/>
      </w:pPr>
      <w:r>
        <w:t xml:space="preserve">(1) </w:t>
      </w:r>
      <w:r w:rsidR="008D2D76">
        <w:t xml:space="preserve">A </w:t>
      </w:r>
      <w:r w:rsidR="008D2D76" w:rsidRPr="008D2D76">
        <w:t xml:space="preserve">Clearing Entity is not required to comply with </w:t>
      </w:r>
      <w:r w:rsidR="000947B4">
        <w:t>R</w:t>
      </w:r>
      <w:r w:rsidR="008D2D76" w:rsidRPr="008D2D76">
        <w:t>ule 2.</w:t>
      </w:r>
      <w:r w:rsidR="005C33B4">
        <w:t>1</w:t>
      </w:r>
      <w:r w:rsidR="008D2D76" w:rsidRPr="008D2D76">
        <w:t xml:space="preserve">.1 </w:t>
      </w:r>
      <w:r w:rsidR="00DD5ACE">
        <w:t xml:space="preserve">in relation to a Clearing Transaction </w:t>
      </w:r>
      <w:r w:rsidR="00F43075">
        <w:t>if</w:t>
      </w:r>
      <w:r w:rsidR="00890B3E">
        <w:t xml:space="preserve"> </w:t>
      </w:r>
      <w:r w:rsidR="00521A08" w:rsidRPr="008D2D76">
        <w:t xml:space="preserve">the </w:t>
      </w:r>
      <w:r w:rsidR="008D2D76">
        <w:t>C</w:t>
      </w:r>
      <w:r w:rsidR="00521A08" w:rsidRPr="008D2D76">
        <w:t xml:space="preserve">learing </w:t>
      </w:r>
      <w:r w:rsidR="008D2D76">
        <w:t>E</w:t>
      </w:r>
      <w:r w:rsidR="00521A08" w:rsidRPr="008D2D76">
        <w:t xml:space="preserve">ntity </w:t>
      </w:r>
      <w:r w:rsidR="00B62A62">
        <w:t xml:space="preserve">or its counterparty to the Clearing Transaction </w:t>
      </w:r>
      <w:r w:rsidR="002D1430">
        <w:t>is subject to</w:t>
      </w:r>
      <w:r w:rsidR="00F43075">
        <w:t xml:space="preserve"> </w:t>
      </w:r>
      <w:r w:rsidR="00824A65">
        <w:t xml:space="preserve">a </w:t>
      </w:r>
      <w:r w:rsidR="00F43075">
        <w:t xml:space="preserve">requirement </w:t>
      </w:r>
      <w:r w:rsidR="00824A65" w:rsidRPr="001E5C37">
        <w:t xml:space="preserve">in a foreign jurisdiction </w:t>
      </w:r>
      <w:r w:rsidR="005024FC" w:rsidRPr="001E5C37">
        <w:t>(</w:t>
      </w:r>
      <w:r w:rsidR="005024FC" w:rsidRPr="001E5C37">
        <w:rPr>
          <w:b/>
          <w:i/>
        </w:rPr>
        <w:t>relevant foreign jurisdiction</w:t>
      </w:r>
      <w:r w:rsidR="005024FC" w:rsidRPr="001E5C37">
        <w:t xml:space="preserve">) </w:t>
      </w:r>
      <w:r w:rsidR="00824A65" w:rsidRPr="001E5C37">
        <w:t>which requires the Clearing Transaction</w:t>
      </w:r>
      <w:r w:rsidR="00B50A01" w:rsidRPr="001E5C37">
        <w:t xml:space="preserve"> </w:t>
      </w:r>
      <w:r w:rsidR="001847BA" w:rsidRPr="001E5C37">
        <w:t xml:space="preserve">to be </w:t>
      </w:r>
      <w:r w:rsidR="00B50A01" w:rsidRPr="001E5C37">
        <w:t>C</w:t>
      </w:r>
      <w:r w:rsidR="001847BA" w:rsidRPr="001E5C37">
        <w:t xml:space="preserve">leared </w:t>
      </w:r>
      <w:r w:rsidR="00B50A01" w:rsidRPr="001E5C37">
        <w:t>T</w:t>
      </w:r>
      <w:r w:rsidR="00997E2A" w:rsidRPr="001E5C37">
        <w:t>hrough a Clearing Facility</w:t>
      </w:r>
      <w:r w:rsidR="00095484">
        <w:t xml:space="preserve"> </w:t>
      </w:r>
      <w:r w:rsidR="001847BA">
        <w:t>by no later than three</w:t>
      </w:r>
      <w:r w:rsidR="00EF75FD">
        <w:t xml:space="preserve"> Business D</w:t>
      </w:r>
      <w:r w:rsidR="001847BA">
        <w:t>ays after the date on which the Clearing Transaction was entered into</w:t>
      </w:r>
      <w:r w:rsidR="005024FC">
        <w:t>.</w:t>
      </w:r>
      <w:r w:rsidR="00B27B69">
        <w:t xml:space="preserve"> </w:t>
      </w:r>
    </w:p>
    <w:p w:rsidR="00795EFC" w:rsidRPr="00B27B69" w:rsidRDefault="005024FC" w:rsidP="005024FC">
      <w:pPr>
        <w:pStyle w:val="MIRBodyText"/>
      </w:pPr>
      <w:r>
        <w:t>(2)</w:t>
      </w:r>
      <w:r w:rsidRPr="00A47C7B">
        <w:t xml:space="preserve"> </w:t>
      </w:r>
      <w:r w:rsidR="006312CD">
        <w:t xml:space="preserve">A </w:t>
      </w:r>
      <w:r w:rsidR="00795EFC" w:rsidRPr="00A47C7B">
        <w:t xml:space="preserve">Clearing Entity </w:t>
      </w:r>
      <w:r w:rsidR="006312CD">
        <w:t xml:space="preserve">that relies on the </w:t>
      </w:r>
      <w:r w:rsidR="00C105E9">
        <w:t>exemption</w:t>
      </w:r>
      <w:r w:rsidR="006312CD">
        <w:t xml:space="preserve"> in subrule (1) must </w:t>
      </w:r>
      <w:r w:rsidR="00997E2A">
        <w:t>ensure</w:t>
      </w:r>
      <w:r w:rsidR="00B62A62" w:rsidRPr="00A47C7B">
        <w:t xml:space="preserve"> </w:t>
      </w:r>
      <w:r w:rsidR="00C105E9">
        <w:t xml:space="preserve">that </w:t>
      </w:r>
      <w:r w:rsidR="00B62A62" w:rsidRPr="00A47C7B">
        <w:t>the Clearing Transaction</w:t>
      </w:r>
      <w:r w:rsidR="00997E2A">
        <w:t xml:space="preserve"> is cleared</w:t>
      </w:r>
      <w:r w:rsidR="00B62A62" w:rsidRPr="00A47C7B">
        <w:t xml:space="preserve"> in accor</w:t>
      </w:r>
      <w:r w:rsidR="00B62A62">
        <w:t xml:space="preserve">dance with </w:t>
      </w:r>
      <w:r w:rsidR="00DD5ACE">
        <w:t>the requirements of the relevant foreign jurisdiction</w:t>
      </w:r>
      <w:r w:rsidR="001C054A">
        <w:t xml:space="preserve"> by no later than three Business Days after the date on which the Clearing Transaction was entered into</w:t>
      </w:r>
      <w:r w:rsidR="00B62A62">
        <w:t xml:space="preserve">. </w:t>
      </w:r>
    </w:p>
    <w:p w:rsidR="00B27B69" w:rsidRDefault="00891AD8" w:rsidP="00BC6556">
      <w:pPr>
        <w:pStyle w:val="MIRPenalty"/>
      </w:pPr>
      <w:r w:rsidRPr="00232E0C">
        <w:t>Penalty</w:t>
      </w:r>
      <w:r>
        <w:t xml:space="preserve"> amount</w:t>
      </w:r>
      <w:r w:rsidR="00B27B69" w:rsidRPr="00031375">
        <w:t>: 1,000 penalty units</w:t>
      </w:r>
      <w:r>
        <w:t>.</w:t>
      </w:r>
    </w:p>
    <w:p w:rsidR="00EF75FD" w:rsidRDefault="006A7A6C" w:rsidP="00EF75FD">
      <w:pPr>
        <w:pStyle w:val="MIRBodyText"/>
      </w:pPr>
      <w:r>
        <w:t>(</w:t>
      </w:r>
      <w:r w:rsidR="005024FC">
        <w:t>3</w:t>
      </w:r>
      <w:r>
        <w:t xml:space="preserve">) </w:t>
      </w:r>
      <w:r w:rsidR="00EF75FD">
        <w:t xml:space="preserve">For the purposes of this Rule, </w:t>
      </w:r>
      <w:r w:rsidR="00EF75FD" w:rsidRPr="00EF75FD">
        <w:rPr>
          <w:b/>
          <w:i/>
        </w:rPr>
        <w:t>Business Day</w:t>
      </w:r>
      <w:r w:rsidR="00EF75FD">
        <w:t xml:space="preserve"> </w:t>
      </w:r>
      <w:r w:rsidR="000441D0">
        <w:t>means a</w:t>
      </w:r>
      <w:r w:rsidR="00385A57">
        <w:t xml:space="preserve"> day that is a</w:t>
      </w:r>
      <w:r w:rsidR="000441D0">
        <w:t xml:space="preserve"> </w:t>
      </w:r>
      <w:r w:rsidR="004E0F59">
        <w:t xml:space="preserve">business </w:t>
      </w:r>
      <w:r w:rsidR="000441D0">
        <w:t xml:space="preserve">day </w:t>
      </w:r>
      <w:r w:rsidR="004E0F59">
        <w:t>as that term</w:t>
      </w:r>
      <w:r w:rsidR="000441D0">
        <w:t xml:space="preserve"> is commonly understood </w:t>
      </w:r>
      <w:r w:rsidR="00EF75FD">
        <w:t xml:space="preserve">in the </w:t>
      </w:r>
      <w:r w:rsidR="005024FC">
        <w:t xml:space="preserve">relevant </w:t>
      </w:r>
      <w:r w:rsidR="00530C10">
        <w:t>f</w:t>
      </w:r>
      <w:r w:rsidR="00EF75FD">
        <w:t xml:space="preserve">oreign </w:t>
      </w:r>
      <w:r w:rsidR="00530C10">
        <w:t>j</w:t>
      </w:r>
      <w:r w:rsidR="00EF75FD">
        <w:t>urisdiction.</w:t>
      </w:r>
    </w:p>
    <w:p w:rsidR="005C33B4" w:rsidRPr="005C33B4" w:rsidRDefault="005C33B4" w:rsidP="005C33B4">
      <w:pPr>
        <w:pStyle w:val="MIRHeading1Chapter"/>
      </w:pPr>
      <w:bookmarkStart w:id="17" w:name="_Toc420327397"/>
      <w:bookmarkStart w:id="18" w:name="_Toc434935753"/>
      <w:r>
        <w:t>Chapter 3: Notifications and record keeping</w:t>
      </w:r>
      <w:bookmarkEnd w:id="17"/>
      <w:bookmarkEnd w:id="18"/>
    </w:p>
    <w:p w:rsidR="00036E70" w:rsidRDefault="00036E70" w:rsidP="00036E70">
      <w:pPr>
        <w:pStyle w:val="MIRHeading2Part"/>
      </w:pPr>
      <w:bookmarkStart w:id="19" w:name="_Toc420327398"/>
      <w:bookmarkStart w:id="20" w:name="_Toc434935754"/>
      <w:r w:rsidRPr="00042729">
        <w:t xml:space="preserve">Part </w:t>
      </w:r>
      <w:r w:rsidR="005C33B4">
        <w:t>3</w:t>
      </w:r>
      <w:r w:rsidRPr="00042729">
        <w:t>.</w:t>
      </w:r>
      <w:r w:rsidR="005C33B4">
        <w:t>1</w:t>
      </w:r>
      <w:r>
        <w:tab/>
      </w:r>
      <w:r w:rsidRPr="00042729">
        <w:t>Notifications</w:t>
      </w:r>
      <w:bookmarkEnd w:id="19"/>
      <w:bookmarkEnd w:id="20"/>
    </w:p>
    <w:p w:rsidR="005B3518" w:rsidRDefault="005C33B4" w:rsidP="005B3518">
      <w:pPr>
        <w:pStyle w:val="MIRHeading3Rule"/>
      </w:pPr>
      <w:r>
        <w:t>3</w:t>
      </w:r>
      <w:r w:rsidR="00036E70" w:rsidRPr="00C733D1">
        <w:t>.</w:t>
      </w:r>
      <w:r>
        <w:t>1</w:t>
      </w:r>
      <w:r w:rsidR="00036E70" w:rsidRPr="00C733D1">
        <w:t>.</w:t>
      </w:r>
      <w:r w:rsidR="005B3518">
        <w:t>1</w:t>
      </w:r>
      <w:r w:rsidR="005B3518">
        <w:tab/>
        <w:t xml:space="preserve">Notification </w:t>
      </w:r>
      <w:r w:rsidR="00DD5ACE">
        <w:t>of Clearing Start Dates and Clearing End Dates</w:t>
      </w:r>
    </w:p>
    <w:p w:rsidR="005B3518" w:rsidRDefault="005B3518" w:rsidP="00D547A3">
      <w:pPr>
        <w:pStyle w:val="MIRBodyText"/>
        <w:numPr>
          <w:ilvl w:val="0"/>
          <w:numId w:val="0"/>
        </w:numPr>
        <w:ind w:left="851"/>
      </w:pPr>
      <w:r w:rsidRPr="00042729">
        <w:t>(1)</w:t>
      </w:r>
      <w:r>
        <w:t xml:space="preserve"> A</w:t>
      </w:r>
      <w:r w:rsidR="00CA6AB8">
        <w:t xml:space="preserve"> Financial Entity that is incorporated or formed in Australia or outside Australia</w:t>
      </w:r>
      <w:r w:rsidR="00D547A3">
        <w:t xml:space="preserve"> </w:t>
      </w:r>
      <w:r w:rsidRPr="00D70FE7">
        <w:t>must</w:t>
      </w:r>
      <w:r>
        <w:t xml:space="preserve"> notify ASIC of</w:t>
      </w:r>
      <w:r w:rsidR="00511ED7">
        <w:t xml:space="preserve"> </w:t>
      </w:r>
      <w:r>
        <w:t>each Clearing Start Date and each Clearing End Date that applies to the entity</w:t>
      </w:r>
      <w:r w:rsidR="00AA4C8E">
        <w:t xml:space="preserve"> </w:t>
      </w:r>
      <w:r>
        <w:t>under Rule 1.2.</w:t>
      </w:r>
      <w:r w:rsidR="00167219">
        <w:t>7</w:t>
      </w:r>
      <w:r>
        <w:t>.</w:t>
      </w:r>
      <w:r w:rsidRPr="005B3518">
        <w:rPr>
          <w:b/>
          <w:i/>
        </w:rPr>
        <w:t xml:space="preserve"> </w:t>
      </w:r>
    </w:p>
    <w:p w:rsidR="005B3518" w:rsidRDefault="005B3518" w:rsidP="005B3518">
      <w:pPr>
        <w:pStyle w:val="MIRBodyText"/>
      </w:pPr>
      <w:r>
        <w:t>(2) A notification under subrule (1) must be in writing and must include the following information:</w:t>
      </w:r>
    </w:p>
    <w:p w:rsidR="005B3518" w:rsidRDefault="005B3518" w:rsidP="005B3518">
      <w:pPr>
        <w:pStyle w:val="MIRSubpara"/>
      </w:pPr>
      <w:r>
        <w:t xml:space="preserve">the name of the entity; </w:t>
      </w:r>
    </w:p>
    <w:p w:rsidR="005B3518" w:rsidRDefault="005B3518" w:rsidP="005B3518">
      <w:pPr>
        <w:pStyle w:val="MIRSubpara"/>
      </w:pPr>
      <w:r>
        <w:t>the entity’s</w:t>
      </w:r>
      <w:r w:rsidRPr="00036E70">
        <w:t xml:space="preserve"> </w:t>
      </w:r>
      <w:r>
        <w:t xml:space="preserve">LEI or interim entity identifier or, if no LEI or interim entity identifier is available for the entity, </w:t>
      </w:r>
      <w:r w:rsidR="000633F8">
        <w:t>a Designated Business Identifier, or if no Designated Business Identifier</w:t>
      </w:r>
      <w:r>
        <w:t xml:space="preserve"> is available for the entity, a Business Identifier Code</w:t>
      </w:r>
      <w:r w:rsidR="00BE0D4B">
        <w:t xml:space="preserve"> (BIC code)</w:t>
      </w:r>
      <w:r>
        <w:t xml:space="preserve">; </w:t>
      </w:r>
    </w:p>
    <w:p w:rsidR="00832D29" w:rsidRDefault="00832D29" w:rsidP="005B3518">
      <w:pPr>
        <w:pStyle w:val="MIRSubpara"/>
      </w:pPr>
      <w:r>
        <w:t>whether the entity is giving the notification in its Personal Capacity or in a Representative Capacity;</w:t>
      </w:r>
    </w:p>
    <w:p w:rsidR="00832D29" w:rsidRDefault="00832D29" w:rsidP="005B3518">
      <w:pPr>
        <w:pStyle w:val="MIRSubpara"/>
      </w:pPr>
      <w:r>
        <w:t>if the entity is giving the notification in relation to a Representative Capacity</w:t>
      </w:r>
      <w:r w:rsidR="00915FBC">
        <w:t>—</w:t>
      </w:r>
      <w:r>
        <w:t xml:space="preserve">the name of </w:t>
      </w:r>
      <w:r w:rsidR="00D547A3">
        <w:t xml:space="preserve">each </w:t>
      </w:r>
      <w:r>
        <w:t>scheme or trust</w:t>
      </w:r>
      <w:r w:rsidR="00580147">
        <w:t xml:space="preserve"> to which the Representative Capacity relates;</w:t>
      </w:r>
    </w:p>
    <w:p w:rsidR="00832D29" w:rsidRDefault="00832D29" w:rsidP="005B3518">
      <w:pPr>
        <w:pStyle w:val="MIRSubpara"/>
      </w:pPr>
      <w:r>
        <w:t>if the notification is of a Clearing Start Date</w:t>
      </w:r>
      <w:r w:rsidR="00915FBC">
        <w:t>—</w:t>
      </w:r>
      <w:r w:rsidR="005B3518">
        <w:t xml:space="preserve">the Clearing Start Date </w:t>
      </w:r>
      <w:r>
        <w:t>and whether the entity will become an Australian Clearing Entity or a Foreign Clearing Entity on the Clearing Start Date;</w:t>
      </w:r>
    </w:p>
    <w:p w:rsidR="00832D29" w:rsidRDefault="00832D29" w:rsidP="005B3518">
      <w:pPr>
        <w:pStyle w:val="MIRSubpara"/>
      </w:pPr>
      <w:r>
        <w:t>if the notification is of a Clearing End Date</w:t>
      </w:r>
      <w:r w:rsidR="00915FBC">
        <w:t>—</w:t>
      </w:r>
      <w:r>
        <w:t xml:space="preserve">the Clearing End Date and whether the entity will cease </w:t>
      </w:r>
      <w:r w:rsidR="00C641F6">
        <w:t xml:space="preserve">to be </w:t>
      </w:r>
      <w:r>
        <w:t xml:space="preserve">an Australian Clearing Entity or a Foreign Clearing Entity on the </w:t>
      </w:r>
      <w:r w:rsidR="005B3518">
        <w:t>Clearing End Date</w:t>
      </w:r>
      <w:r w:rsidR="00580147">
        <w:t>.</w:t>
      </w:r>
      <w:r w:rsidRPr="00832D29">
        <w:t xml:space="preserve"> </w:t>
      </w:r>
    </w:p>
    <w:p w:rsidR="00EB33BE" w:rsidRDefault="005B3518" w:rsidP="005B3518">
      <w:pPr>
        <w:pStyle w:val="MIRBodyText"/>
      </w:pPr>
      <w:r>
        <w:t>(3) A notification under subrule (1) must be given to ASIC no later than</w:t>
      </w:r>
      <w:r w:rsidR="00EB33BE">
        <w:t>:</w:t>
      </w:r>
      <w:r>
        <w:t xml:space="preserve"> </w:t>
      </w:r>
    </w:p>
    <w:p w:rsidR="00EB33BE" w:rsidRDefault="00EB33BE" w:rsidP="00EB33BE">
      <w:pPr>
        <w:pStyle w:val="MIRSubpara"/>
      </w:pPr>
      <w:r>
        <w:t>if the notification is of a Clearing Start Date</w:t>
      </w:r>
      <w:r w:rsidR="00915FBC">
        <w:t>—</w:t>
      </w:r>
      <w:r w:rsidR="005B3518">
        <w:t>30 days before the Clearing Start Date</w:t>
      </w:r>
      <w:r>
        <w:t>;</w:t>
      </w:r>
      <w:r w:rsidR="005B3518">
        <w:t xml:space="preserve"> </w:t>
      </w:r>
      <w:r>
        <w:t>and</w:t>
      </w:r>
      <w:r w:rsidR="005B3518">
        <w:t xml:space="preserve"> </w:t>
      </w:r>
    </w:p>
    <w:p w:rsidR="00771766" w:rsidRDefault="00EB33BE" w:rsidP="00EB33BE">
      <w:pPr>
        <w:pStyle w:val="MIRSubpara"/>
      </w:pPr>
      <w:r>
        <w:t>if the notification is of a Clearing End Date</w:t>
      </w:r>
      <w:r w:rsidR="00915FBC">
        <w:t>—</w:t>
      </w:r>
      <w:r>
        <w:t xml:space="preserve">30 days after the </w:t>
      </w:r>
      <w:r w:rsidR="005B3518">
        <w:t>Clearing End Date.</w:t>
      </w:r>
    </w:p>
    <w:p w:rsidR="005B3518" w:rsidRDefault="005B3518" w:rsidP="005B3518">
      <w:pPr>
        <w:pStyle w:val="MIRBodyText"/>
      </w:pPr>
      <w:r>
        <w:t xml:space="preserve">(4) ASIC may publish on its website </w:t>
      </w:r>
      <w:r w:rsidR="009725AF">
        <w:t>any notification given to ASIC under this Rule</w:t>
      </w:r>
      <w:r w:rsidRPr="009725AF">
        <w:t>.</w:t>
      </w:r>
      <w:r w:rsidR="009725AF">
        <w:t xml:space="preserve"> </w:t>
      </w:r>
    </w:p>
    <w:p w:rsidR="005B3518" w:rsidRDefault="00891AD8" w:rsidP="005B3518">
      <w:pPr>
        <w:pStyle w:val="MIRPenalty"/>
      </w:pPr>
      <w:r>
        <w:t>Penalty amount</w:t>
      </w:r>
      <w:r w:rsidR="005B3518" w:rsidRPr="00031375">
        <w:t>: 1,000 penalty units</w:t>
      </w:r>
      <w:r>
        <w:t>.</w:t>
      </w:r>
    </w:p>
    <w:p w:rsidR="00036E70" w:rsidRPr="00C733D1" w:rsidRDefault="005C33B4" w:rsidP="00036E70">
      <w:pPr>
        <w:pStyle w:val="MIRHeading3Rule"/>
      </w:pPr>
      <w:r>
        <w:t>3</w:t>
      </w:r>
      <w:r w:rsidR="005B3518">
        <w:t>.</w:t>
      </w:r>
      <w:r>
        <w:t>1</w:t>
      </w:r>
      <w:r w:rsidR="005B3518">
        <w:t>.2</w:t>
      </w:r>
      <w:r w:rsidR="00036E70" w:rsidRPr="00C733D1">
        <w:tab/>
        <w:t>Notification of Clearing Entity status</w:t>
      </w:r>
      <w:r w:rsidR="00036E70">
        <w:t xml:space="preserve"> to </w:t>
      </w:r>
      <w:r w:rsidR="00DD5ACE">
        <w:t>counterparty</w:t>
      </w:r>
    </w:p>
    <w:p w:rsidR="005F4F7F" w:rsidRPr="0048686E" w:rsidRDefault="006658C8" w:rsidP="000C5ED6">
      <w:pPr>
        <w:pStyle w:val="MIRBodyText"/>
      </w:pPr>
      <w:r w:rsidRPr="0048686E">
        <w:t>(1)</w:t>
      </w:r>
      <w:r w:rsidR="00FA32DB">
        <w:t xml:space="preserve"> </w:t>
      </w:r>
      <w:r w:rsidR="005F4F7F" w:rsidRPr="0048686E">
        <w:t>This Rule applies to a</w:t>
      </w:r>
      <w:r w:rsidR="00522036" w:rsidRPr="0048686E">
        <w:t>n entity that</w:t>
      </w:r>
      <w:r w:rsidR="005F4F7F" w:rsidRPr="0048686E">
        <w:t>:</w:t>
      </w:r>
      <w:r w:rsidR="00522036" w:rsidRPr="0048686E">
        <w:t xml:space="preserve"> </w:t>
      </w:r>
    </w:p>
    <w:p w:rsidR="005F4F7F" w:rsidRPr="0048686E" w:rsidRDefault="00522036" w:rsidP="001B3597">
      <w:pPr>
        <w:pStyle w:val="MIRSubpara"/>
      </w:pPr>
      <w:r w:rsidRPr="0048686E">
        <w:t>is a Clearing Entity</w:t>
      </w:r>
      <w:r w:rsidR="005F4F7F" w:rsidRPr="0048686E">
        <w:t>;</w:t>
      </w:r>
      <w:r w:rsidRPr="0048686E">
        <w:t xml:space="preserve"> </w:t>
      </w:r>
      <w:r w:rsidR="005F4F7F" w:rsidRPr="0048686E">
        <w:t>or</w:t>
      </w:r>
    </w:p>
    <w:p w:rsidR="001B3597" w:rsidRDefault="006658C8" w:rsidP="001B3597">
      <w:pPr>
        <w:pStyle w:val="MIRSubpara"/>
      </w:pPr>
      <w:r>
        <w:t>has given,</w:t>
      </w:r>
      <w:r w:rsidR="001B3597">
        <w:t xml:space="preserve"> or is required to give</w:t>
      </w:r>
      <w:r>
        <w:t>,</w:t>
      </w:r>
      <w:r w:rsidR="001B3597">
        <w:t xml:space="preserve"> a notice </w:t>
      </w:r>
      <w:r w:rsidR="00BB1720">
        <w:t xml:space="preserve">to ASIC </w:t>
      </w:r>
      <w:r w:rsidR="001B3597">
        <w:t xml:space="preserve">under Rule </w:t>
      </w:r>
      <w:r>
        <w:t>1.2.</w:t>
      </w:r>
      <w:r w:rsidR="00167219">
        <w:t>8</w:t>
      </w:r>
      <w:r w:rsidR="001B3597">
        <w:t xml:space="preserve"> or subrule </w:t>
      </w:r>
      <w:r w:rsidR="005C33B4">
        <w:t>3</w:t>
      </w:r>
      <w:r>
        <w:t>.</w:t>
      </w:r>
      <w:r w:rsidR="005C33B4">
        <w:t>1</w:t>
      </w:r>
      <w:r>
        <w:t>.1(1)</w:t>
      </w:r>
      <w:r w:rsidR="001B3597">
        <w:t>.</w:t>
      </w:r>
    </w:p>
    <w:p w:rsidR="00CC2CD3" w:rsidRDefault="00CC2CD3" w:rsidP="006658C8">
      <w:pPr>
        <w:pStyle w:val="MIRBodyText"/>
      </w:pPr>
      <w:r>
        <w:t>(2)</w:t>
      </w:r>
      <w:r w:rsidR="00FA32DB">
        <w:t xml:space="preserve"> </w:t>
      </w:r>
      <w:r w:rsidR="001B3597">
        <w:t xml:space="preserve">An entity to which this </w:t>
      </w:r>
      <w:r>
        <w:t>R</w:t>
      </w:r>
      <w:r w:rsidR="001B3597">
        <w:t xml:space="preserve">ule applies </w:t>
      </w:r>
      <w:r w:rsidR="004B6165">
        <w:t xml:space="preserve">must, </w:t>
      </w:r>
      <w:r w:rsidR="004B6165" w:rsidRPr="00C733D1">
        <w:t>on request by a pers</w:t>
      </w:r>
      <w:r w:rsidR="000C5ED6">
        <w:t xml:space="preserve">on that has entered into or proposes to enter into </w:t>
      </w:r>
      <w:r w:rsidR="009418EF">
        <w:t>a</w:t>
      </w:r>
      <w:r w:rsidR="004B6165" w:rsidRPr="00C733D1">
        <w:t xml:space="preserve"> Derivative Transaction</w:t>
      </w:r>
      <w:r w:rsidR="00F260AA">
        <w:t xml:space="preserve"> </w:t>
      </w:r>
      <w:r w:rsidR="004B6165" w:rsidRPr="00C733D1">
        <w:t xml:space="preserve">with the </w:t>
      </w:r>
      <w:r>
        <w:t>enti</w:t>
      </w:r>
      <w:r w:rsidR="001B3597">
        <w:t>ty</w:t>
      </w:r>
      <w:r w:rsidR="004B6165" w:rsidRPr="00C733D1">
        <w:t xml:space="preserve">, disclose </w:t>
      </w:r>
      <w:r w:rsidR="004B6165">
        <w:t xml:space="preserve">in writing </w:t>
      </w:r>
      <w:r w:rsidR="004B6165" w:rsidRPr="00C733D1">
        <w:t>to the person</w:t>
      </w:r>
      <w:r w:rsidR="00D505BD">
        <w:t xml:space="preserve"> the following</w:t>
      </w:r>
      <w:r w:rsidR="00773DDF">
        <w:t xml:space="preserve"> within a reasonable time after the request</w:t>
      </w:r>
      <w:r w:rsidR="000C5ED6">
        <w:t>:</w:t>
      </w:r>
      <w:r w:rsidR="006658C8">
        <w:t xml:space="preserve"> </w:t>
      </w:r>
    </w:p>
    <w:p w:rsidR="00D431CC" w:rsidRDefault="005F4F7F" w:rsidP="000C5ED6">
      <w:pPr>
        <w:pStyle w:val="MIRSubpara"/>
      </w:pPr>
      <w:r>
        <w:t xml:space="preserve">whether the entity </w:t>
      </w:r>
      <w:r w:rsidR="009418EF">
        <w:t>is</w:t>
      </w:r>
      <w:r w:rsidR="009418EF" w:rsidDel="009418EF">
        <w:t xml:space="preserve"> </w:t>
      </w:r>
      <w:r w:rsidR="00D431CC">
        <w:t>a</w:t>
      </w:r>
      <w:r>
        <w:t>n</w:t>
      </w:r>
      <w:r w:rsidR="00D431CC">
        <w:t xml:space="preserve"> </w:t>
      </w:r>
      <w:r>
        <w:t xml:space="preserve">Australian </w:t>
      </w:r>
      <w:r w:rsidR="00D431CC">
        <w:t>Clearing Entity</w:t>
      </w:r>
      <w:r>
        <w:t xml:space="preserve"> or a Foreign </w:t>
      </w:r>
      <w:r w:rsidR="00CC2CD3">
        <w:t xml:space="preserve">Clearing </w:t>
      </w:r>
      <w:r>
        <w:t>Entity</w:t>
      </w:r>
      <w:r w:rsidR="00D431CC">
        <w:t xml:space="preserve">; </w:t>
      </w:r>
      <w:r w:rsidR="006658C8">
        <w:t>and</w:t>
      </w:r>
    </w:p>
    <w:p w:rsidR="00522036" w:rsidRDefault="005F4F7F" w:rsidP="000C5ED6">
      <w:pPr>
        <w:pStyle w:val="MIRSubpara"/>
      </w:pPr>
      <w:r>
        <w:t xml:space="preserve">if the entity </w:t>
      </w:r>
      <w:r w:rsidR="001B3597">
        <w:t xml:space="preserve">will become </w:t>
      </w:r>
      <w:r w:rsidR="00D547A3">
        <w:t xml:space="preserve">or cease to be </w:t>
      </w:r>
      <w:r w:rsidR="001B3597">
        <w:t>a Clearing Entity on an identifiable future date</w:t>
      </w:r>
      <w:r w:rsidR="00915FBC">
        <w:t>—</w:t>
      </w:r>
      <w:r w:rsidR="001B3597">
        <w:t>that date and whether the entity will become</w:t>
      </w:r>
      <w:r w:rsidR="00D547A3">
        <w:t xml:space="preserve"> or cease to be</w:t>
      </w:r>
      <w:r w:rsidR="001B3597">
        <w:t xml:space="preserve"> an Australian Clearing Entity or a Foreign Clearing Entity on that date</w:t>
      </w:r>
      <w:r w:rsidR="001F3438">
        <w:t>.</w:t>
      </w:r>
    </w:p>
    <w:p w:rsidR="00F25325" w:rsidRDefault="006658C8" w:rsidP="006658C8">
      <w:pPr>
        <w:pStyle w:val="MIRBodyText"/>
      </w:pPr>
      <w:r>
        <w:t>(3)</w:t>
      </w:r>
      <w:r w:rsidR="00FA32DB">
        <w:t xml:space="preserve"> </w:t>
      </w:r>
      <w:r w:rsidR="00F25325">
        <w:t>An entity must disclose information under this Rule in relation to each capacity in which the entity</w:t>
      </w:r>
      <w:r>
        <w:t>:</w:t>
      </w:r>
    </w:p>
    <w:p w:rsidR="006658C8" w:rsidRDefault="006658C8" w:rsidP="006658C8">
      <w:pPr>
        <w:pStyle w:val="MIRSubpara"/>
      </w:pPr>
      <w:r>
        <w:t>is a Clearing Entity; or</w:t>
      </w:r>
    </w:p>
    <w:p w:rsidR="0099562B" w:rsidRDefault="006658C8" w:rsidP="0099562B">
      <w:pPr>
        <w:pStyle w:val="MIRSubpara"/>
      </w:pPr>
      <w:r>
        <w:t>has given, or is required to give, a notice</w:t>
      </w:r>
      <w:r w:rsidR="00BB1720">
        <w:t xml:space="preserve"> to ASIC</w:t>
      </w:r>
      <w:r w:rsidR="00BB6610">
        <w:t xml:space="preserve"> under Rule 1.2.</w:t>
      </w:r>
      <w:r w:rsidR="00167219">
        <w:t>8</w:t>
      </w:r>
      <w:r>
        <w:t xml:space="preserve"> or subrule </w:t>
      </w:r>
      <w:r w:rsidR="005C33B4">
        <w:t>3</w:t>
      </w:r>
      <w:r>
        <w:t>.</w:t>
      </w:r>
      <w:r w:rsidR="005C33B4">
        <w:t>1</w:t>
      </w:r>
      <w:r>
        <w:t>.1(1).</w:t>
      </w:r>
    </w:p>
    <w:p w:rsidR="00036E70" w:rsidRPr="00031375" w:rsidRDefault="00891AD8" w:rsidP="00036E70">
      <w:pPr>
        <w:pStyle w:val="MIRPenalty"/>
      </w:pPr>
      <w:r>
        <w:t>Penalty amount</w:t>
      </w:r>
      <w:r w:rsidR="00036E70" w:rsidRPr="00031375">
        <w:t xml:space="preserve">: 1,000 </w:t>
      </w:r>
      <w:r w:rsidR="00036E70" w:rsidRPr="00036E70">
        <w:t>penalty</w:t>
      </w:r>
      <w:r w:rsidR="00036E70" w:rsidRPr="00031375">
        <w:t xml:space="preserve"> units</w:t>
      </w:r>
      <w:r>
        <w:t>.</w:t>
      </w:r>
    </w:p>
    <w:p w:rsidR="0024678E" w:rsidRPr="00F76596" w:rsidRDefault="0024678E" w:rsidP="0024678E">
      <w:pPr>
        <w:pStyle w:val="MIRHeading2Part"/>
      </w:pPr>
      <w:bookmarkStart w:id="21" w:name="_Toc420327399"/>
      <w:bookmarkStart w:id="22" w:name="_Toc434935755"/>
      <w:r w:rsidRPr="00F76596">
        <w:t xml:space="preserve">Part </w:t>
      </w:r>
      <w:r w:rsidR="005C33B4">
        <w:t>3</w:t>
      </w:r>
      <w:r w:rsidRPr="00F76596">
        <w:t>.</w:t>
      </w:r>
      <w:r w:rsidR="005C33B4">
        <w:t>2</w:t>
      </w:r>
      <w:r w:rsidRPr="00F76596">
        <w:tab/>
        <w:t>Records</w:t>
      </w:r>
      <w:bookmarkEnd w:id="21"/>
      <w:bookmarkEnd w:id="22"/>
    </w:p>
    <w:p w:rsidR="0024678E" w:rsidRPr="00F76596" w:rsidRDefault="005C33B4" w:rsidP="0024678E">
      <w:pPr>
        <w:pStyle w:val="MIRHeading3Rule"/>
      </w:pPr>
      <w:r>
        <w:t>3</w:t>
      </w:r>
      <w:r w:rsidR="000D5660">
        <w:t>.</w:t>
      </w:r>
      <w:r>
        <w:t>2</w:t>
      </w:r>
      <w:r w:rsidR="000D5660">
        <w:t>.</w:t>
      </w:r>
      <w:r w:rsidR="001C2710">
        <w:t>1</w:t>
      </w:r>
      <w:r w:rsidR="0024678E" w:rsidRPr="00F76596">
        <w:tab/>
        <w:t>Keeping of records</w:t>
      </w:r>
    </w:p>
    <w:p w:rsidR="0024678E" w:rsidRPr="00F76596" w:rsidRDefault="00C10CE6" w:rsidP="0024678E">
      <w:pPr>
        <w:pStyle w:val="MIRBodyText"/>
      </w:pPr>
      <w:r>
        <w:t>(1) A</w:t>
      </w:r>
      <w:r w:rsidR="000D5660">
        <w:t xml:space="preserve"> </w:t>
      </w:r>
      <w:r w:rsidR="001C2710">
        <w:t>Clearing E</w:t>
      </w:r>
      <w:r w:rsidR="000D5660">
        <w:t xml:space="preserve">ntity </w:t>
      </w:r>
      <w:r w:rsidR="0024678E" w:rsidRPr="00F76596">
        <w:t>must kee</w:t>
      </w:r>
      <w:r>
        <w:t xml:space="preserve">p records that enable the </w:t>
      </w:r>
      <w:r w:rsidR="001C2710">
        <w:t>Clearing E</w:t>
      </w:r>
      <w:r w:rsidR="000D5660">
        <w:t xml:space="preserve">ntity </w:t>
      </w:r>
      <w:r w:rsidR="0024678E" w:rsidRPr="00F76596">
        <w:t>to demonstrate it has complied with the requirements of these Rules.</w:t>
      </w:r>
    </w:p>
    <w:p w:rsidR="0024678E" w:rsidRDefault="00C10CE6" w:rsidP="0024678E">
      <w:pPr>
        <w:pStyle w:val="MIRBodyText"/>
      </w:pPr>
      <w:r>
        <w:t>(2) A</w:t>
      </w:r>
      <w:r w:rsidR="000D5660">
        <w:t xml:space="preserve"> </w:t>
      </w:r>
      <w:r w:rsidR="001C2710">
        <w:t>Clearing E</w:t>
      </w:r>
      <w:r w:rsidR="000D5660">
        <w:t>ntity</w:t>
      </w:r>
      <w:r>
        <w:t xml:space="preserve"> </w:t>
      </w:r>
      <w:r w:rsidR="0024678E" w:rsidRPr="00F76596">
        <w:t xml:space="preserve">must keep </w:t>
      </w:r>
      <w:r w:rsidR="00E12802">
        <w:t xml:space="preserve">each </w:t>
      </w:r>
      <w:r w:rsidR="0024678E" w:rsidRPr="00F76596">
        <w:t xml:space="preserve">record referred to in subrule (1) for a period of at least </w:t>
      </w:r>
      <w:r w:rsidR="00633525" w:rsidRPr="00F76596">
        <w:t>five</w:t>
      </w:r>
      <w:r w:rsidR="0024678E" w:rsidRPr="00F76596">
        <w:t xml:space="preserve"> years from the date the record is made or amended.</w:t>
      </w:r>
    </w:p>
    <w:p w:rsidR="00B73E99" w:rsidRPr="00F76596" w:rsidRDefault="00B73E99" w:rsidP="00B73E99">
      <w:pPr>
        <w:pStyle w:val="MIRBodyText"/>
      </w:pPr>
      <w:r w:rsidRPr="00F76596">
        <w:t>(</w:t>
      </w:r>
      <w:r>
        <w:t>3</w:t>
      </w:r>
      <w:r w:rsidRPr="00F76596">
        <w:t>) A</w:t>
      </w:r>
      <w:r w:rsidR="000D5660">
        <w:t xml:space="preserve"> </w:t>
      </w:r>
      <w:r w:rsidR="001C2710">
        <w:t>Clearing E</w:t>
      </w:r>
      <w:r w:rsidR="000D5660">
        <w:t>ntity</w:t>
      </w:r>
      <w:r w:rsidRPr="00F76596">
        <w:t xml:space="preserve"> is not required to keep the records </w:t>
      </w:r>
      <w:r>
        <w:t>referred to in subrule (1</w:t>
      </w:r>
      <w:r w:rsidRPr="00F76596">
        <w:t xml:space="preserve">) where the </w:t>
      </w:r>
      <w:r w:rsidR="001C2710">
        <w:t>Clearing E</w:t>
      </w:r>
      <w:r w:rsidR="000D5660">
        <w:t xml:space="preserve">ntity </w:t>
      </w:r>
      <w:r w:rsidRPr="00F76596">
        <w:t xml:space="preserve">has arrangements in place to access those records in a </w:t>
      </w:r>
      <w:r>
        <w:t>Clearing Facility</w:t>
      </w:r>
      <w:r w:rsidRPr="00F76596">
        <w:t>, either directly or through another person, for the period set out in subrule (2).</w:t>
      </w:r>
    </w:p>
    <w:p w:rsidR="003A2EF2" w:rsidRPr="00952BFB" w:rsidRDefault="00891AD8" w:rsidP="00952BFB">
      <w:pPr>
        <w:pStyle w:val="MIRPenalty"/>
      </w:pPr>
      <w:r w:rsidRPr="00952BFB">
        <w:t>Penalty amount</w:t>
      </w:r>
      <w:r w:rsidR="003A2EF2" w:rsidRPr="00952BFB">
        <w:t>: 1,000 penalty units</w:t>
      </w:r>
      <w:r w:rsidRPr="00952BFB">
        <w:t>.</w:t>
      </w:r>
    </w:p>
    <w:p w:rsidR="0024678E" w:rsidRPr="00F76596" w:rsidRDefault="005C33B4" w:rsidP="0024678E">
      <w:pPr>
        <w:pStyle w:val="MIRHeading3Rule"/>
      </w:pPr>
      <w:r>
        <w:t>3</w:t>
      </w:r>
      <w:r w:rsidR="0024678E" w:rsidRPr="00F76596">
        <w:t>.</w:t>
      </w:r>
      <w:r>
        <w:t>2</w:t>
      </w:r>
      <w:r w:rsidR="0024678E" w:rsidRPr="00F76596">
        <w:t>.</w:t>
      </w:r>
      <w:r w:rsidR="001C2710">
        <w:t>2</w:t>
      </w:r>
      <w:r w:rsidR="0024678E" w:rsidRPr="00F76596">
        <w:tab/>
        <w:t>Provision of records or other information</w:t>
      </w:r>
    </w:p>
    <w:p w:rsidR="0024678E" w:rsidRPr="00F76596" w:rsidRDefault="00C10CE6" w:rsidP="0024678E">
      <w:pPr>
        <w:pStyle w:val="MIRBodyText"/>
      </w:pPr>
      <w:r>
        <w:t xml:space="preserve">(1) </w:t>
      </w:r>
      <w:r w:rsidR="000D5660">
        <w:t xml:space="preserve">A </w:t>
      </w:r>
      <w:r w:rsidR="001C2710">
        <w:t>Clearing E</w:t>
      </w:r>
      <w:r w:rsidR="000D5660">
        <w:t>ntity</w:t>
      </w:r>
      <w:r w:rsidR="0024678E" w:rsidRPr="00F76596">
        <w:t xml:space="preserve"> must, on </w:t>
      </w:r>
      <w:r w:rsidR="009B7429">
        <w:t xml:space="preserve">written </w:t>
      </w:r>
      <w:r w:rsidR="0024678E" w:rsidRPr="00F76596">
        <w:t>request by ASIC, provide ASIC</w:t>
      </w:r>
      <w:r w:rsidR="00633525" w:rsidRPr="00F76596">
        <w:t xml:space="preserve"> with</w:t>
      </w:r>
      <w:r w:rsidR="0024678E" w:rsidRPr="00F76596">
        <w:t xml:space="preserve"> records or other information relating to compliance with or determining whether there has been compliance with these Rules.</w:t>
      </w:r>
    </w:p>
    <w:p w:rsidR="009B7429" w:rsidRDefault="00C10CE6" w:rsidP="00714A4E">
      <w:pPr>
        <w:pStyle w:val="MIRBodyText"/>
      </w:pPr>
      <w:r>
        <w:t>(</w:t>
      </w:r>
      <w:r w:rsidR="009B7429">
        <w:t>2</w:t>
      </w:r>
      <w:r>
        <w:t xml:space="preserve">) </w:t>
      </w:r>
      <w:r w:rsidR="001C2710">
        <w:t>A Clearing E</w:t>
      </w:r>
      <w:r w:rsidR="000D5660">
        <w:t>ntity</w:t>
      </w:r>
      <w:r w:rsidR="0024678E" w:rsidRPr="00F76596">
        <w:t xml:space="preserve"> must comply with a request under subrule (1) within the time specified in the request</w:t>
      </w:r>
      <w:r w:rsidR="009B7429">
        <w:t>.</w:t>
      </w:r>
    </w:p>
    <w:p w:rsidR="00092407" w:rsidRPr="006D0123" w:rsidRDefault="00891AD8" w:rsidP="00952BFB">
      <w:pPr>
        <w:pStyle w:val="MIRPenalty"/>
      </w:pPr>
      <w:r>
        <w:t>Penalty amount</w:t>
      </w:r>
      <w:r w:rsidR="003A2EF2" w:rsidRPr="00F76596">
        <w:t>: 1,000 penalty units</w:t>
      </w:r>
      <w:r>
        <w:t>.</w:t>
      </w:r>
    </w:p>
    <w:sectPr w:rsidR="00092407" w:rsidRPr="006D0123" w:rsidSect="00504F11">
      <w:footerReference w:type="default" r:id="rId24"/>
      <w:pgSz w:w="11906" w:h="16838" w:code="9"/>
      <w:pgMar w:top="1644" w:right="1418" w:bottom="1418" w:left="1418" w:header="567"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81E" w:rsidRDefault="00BC681E">
      <w:r>
        <w:separator/>
      </w:r>
    </w:p>
  </w:endnote>
  <w:endnote w:type="continuationSeparator" w:id="0">
    <w:p w:rsidR="00BC681E" w:rsidRDefault="00BC681E">
      <w:r>
        <w:continuationSeparator/>
      </w:r>
    </w:p>
  </w:endnote>
  <w:endnote w:type="continuationNotice" w:id="1">
    <w:p w:rsidR="00BC681E" w:rsidRDefault="00BC681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Neue LT 55 Roman">
    <w:charset w:val="00"/>
    <w:family w:val="auto"/>
    <w:pitch w:val="variable"/>
    <w:sig w:usb0="80000027"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6F8" w:rsidRDefault="00DC56F8" w:rsidP="00E04478">
    <w:pPr>
      <w:pStyle w:val="Footer"/>
      <w:pBdr>
        <w:top w:val="single" w:sz="4" w:space="1" w:color="117DC7"/>
      </w:pBdr>
      <w:rPr>
        <w:b/>
        <w:color w:val="117DC7"/>
      </w:rPr>
    </w:pPr>
    <w:r>
      <w:rPr>
        <w:color w:val="117DC7"/>
      </w:rPr>
      <w:tab/>
    </w:r>
    <w:r w:rsidRPr="00FE43C9">
      <w:rPr>
        <w:color w:val="117DC7"/>
      </w:rPr>
      <w:t xml:space="preserve">Page </w:t>
    </w:r>
    <w:r w:rsidRPr="00FE43C9">
      <w:rPr>
        <w:b/>
        <w:color w:val="117DC7"/>
      </w:rPr>
      <w:fldChar w:fldCharType="begin"/>
    </w:r>
    <w:r w:rsidRPr="00FE43C9">
      <w:rPr>
        <w:b/>
        <w:color w:val="117DC7"/>
      </w:rPr>
      <w:instrText xml:space="preserve"> PAGE </w:instrText>
    </w:r>
    <w:r w:rsidRPr="00FE43C9">
      <w:rPr>
        <w:b/>
        <w:color w:val="117DC7"/>
      </w:rPr>
      <w:fldChar w:fldCharType="separate"/>
    </w:r>
    <w:r w:rsidR="00046BBA">
      <w:rPr>
        <w:b/>
        <w:noProof/>
        <w:color w:val="117DC7"/>
      </w:rPr>
      <w:t>1</w:t>
    </w:r>
    <w:r w:rsidRPr="00FE43C9">
      <w:rPr>
        <w:color w:val="117DC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6F8" w:rsidRDefault="00DC56F8" w:rsidP="005E6777">
    <w:pPr>
      <w:pStyle w:val="Footer"/>
    </w:pPr>
    <w:r>
      <w:rPr>
        <w:color w:val="117DC7"/>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6F8" w:rsidRDefault="00DC56F8" w:rsidP="00E04478">
    <w:pPr>
      <w:pStyle w:val="Footer"/>
      <w:pBdr>
        <w:top w:val="single" w:sz="4" w:space="1" w:color="117DC7"/>
      </w:pBdr>
      <w:rPr>
        <w:b/>
        <w:color w:val="117DC7"/>
      </w:rPr>
    </w:pPr>
    <w:r>
      <w:rPr>
        <w:color w:val="117DC7"/>
      </w:rPr>
      <w:tab/>
    </w:r>
    <w:r w:rsidRPr="00FE43C9">
      <w:rPr>
        <w:color w:val="117DC7"/>
      </w:rPr>
      <w:t xml:space="preserve">Page </w:t>
    </w:r>
    <w:r w:rsidRPr="00FE43C9">
      <w:rPr>
        <w:b/>
        <w:color w:val="117DC7"/>
      </w:rPr>
      <w:fldChar w:fldCharType="begin"/>
    </w:r>
    <w:r w:rsidRPr="00FE43C9">
      <w:rPr>
        <w:b/>
        <w:color w:val="117DC7"/>
      </w:rPr>
      <w:instrText xml:space="preserve"> PAGE </w:instrText>
    </w:r>
    <w:r w:rsidRPr="00FE43C9">
      <w:rPr>
        <w:b/>
        <w:color w:val="117DC7"/>
      </w:rPr>
      <w:fldChar w:fldCharType="separate"/>
    </w:r>
    <w:r w:rsidR="00046BBA">
      <w:rPr>
        <w:b/>
        <w:noProof/>
        <w:color w:val="117DC7"/>
      </w:rPr>
      <w:t>19</w:t>
    </w:r>
    <w:r w:rsidRPr="00FE43C9">
      <w:rPr>
        <w:color w:val="117DC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81E" w:rsidRDefault="00BC681E">
      <w:r>
        <w:separator/>
      </w:r>
    </w:p>
  </w:footnote>
  <w:footnote w:type="continuationSeparator" w:id="0">
    <w:p w:rsidR="00BC681E" w:rsidRDefault="00BC681E">
      <w:r>
        <w:continuationSeparator/>
      </w:r>
    </w:p>
  </w:footnote>
  <w:footnote w:type="continuationNotice" w:id="1">
    <w:p w:rsidR="00BC681E" w:rsidRDefault="00BC681E">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6F8" w:rsidRPr="00806B3F" w:rsidRDefault="00DC56F8" w:rsidP="006E0E78">
    <w:pPr>
      <w:pStyle w:val="Footer"/>
      <w:pBdr>
        <w:bottom w:val="single" w:sz="4" w:space="1" w:color="117DC7"/>
      </w:pBdr>
      <w:rPr>
        <w:color w:val="117DC7"/>
      </w:rPr>
    </w:pPr>
    <w:r>
      <w:rPr>
        <w:color w:val="117DC7"/>
      </w:rPr>
      <w:t>ASIC Derivative Transaction Rules (Clearing) 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6F8" w:rsidRPr="00806B3F" w:rsidRDefault="00DC56F8" w:rsidP="002D2F52">
    <w:pPr>
      <w:pStyle w:val="Footer"/>
      <w:jc w:val="right"/>
      <w:rPr>
        <w:color w:val="117DC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833EF"/>
    <w:multiLevelType w:val="hybridMultilevel"/>
    <w:tmpl w:val="1E085E60"/>
    <w:lvl w:ilvl="0" w:tplc="246223CE">
      <w:start w:val="1"/>
      <w:numFmt w:val="bullet"/>
      <w:pStyle w:val="boxbullet"/>
      <w:lvlText w:val=""/>
      <w:lvlJc w:val="left"/>
      <w:pPr>
        <w:tabs>
          <w:tab w:val="num" w:pos="425"/>
        </w:tabs>
        <w:ind w:left="425"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7569D7"/>
    <w:multiLevelType w:val="hybridMultilevel"/>
    <w:tmpl w:val="6620323A"/>
    <w:lvl w:ilvl="0" w:tplc="AAD2B1CE">
      <w:start w:val="1"/>
      <w:numFmt w:val="bullet"/>
      <w:pStyle w:val="tabledash"/>
      <w:lvlText w:val=""/>
      <w:lvlJc w:val="left"/>
      <w:pPr>
        <w:tabs>
          <w:tab w:val="num" w:pos="340"/>
        </w:tabs>
        <w:ind w:left="340" w:hanging="17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E0C6808"/>
    <w:multiLevelType w:val="multilevel"/>
    <w:tmpl w:val="9CA27EE0"/>
    <w:lvl w:ilvl="0">
      <w:start w:val="1"/>
      <w:numFmt w:val="decimal"/>
      <w:pStyle w:val="BodyText"/>
      <w:lvlText w:val="%1"/>
      <w:lvlJc w:val="left"/>
      <w:pPr>
        <w:tabs>
          <w:tab w:val="num" w:pos="2268"/>
        </w:tabs>
        <w:ind w:left="2268" w:hanging="1134"/>
      </w:pPr>
      <w:rPr>
        <w:rFonts w:hint="default"/>
        <w:b w:val="0"/>
        <w:i w:val="0"/>
        <w:color w:val="auto"/>
        <w:sz w:val="18"/>
        <w:szCs w:val="18"/>
      </w:rPr>
    </w:lvl>
    <w:lvl w:ilvl="1">
      <w:start w:val="1"/>
      <w:numFmt w:val="lowerLetter"/>
      <w:pStyle w:val="subparaa"/>
      <w:lvlText w:val="(%2)"/>
      <w:lvlJc w:val="left"/>
      <w:pPr>
        <w:tabs>
          <w:tab w:val="num" w:pos="2693"/>
        </w:tabs>
        <w:ind w:left="2693" w:hanging="425"/>
      </w:pPr>
      <w:rPr>
        <w:rFonts w:hint="default"/>
        <w:b w:val="0"/>
        <w:i w:val="0"/>
        <w:color w:val="auto"/>
        <w:sz w:val="18"/>
        <w:szCs w:val="18"/>
      </w:rPr>
    </w:lvl>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sub3paraA"/>
      <w:lvlText w:val="(%4)"/>
      <w:lvlJc w:val="left"/>
      <w:pPr>
        <w:tabs>
          <w:tab w:val="num" w:pos="3544"/>
        </w:tabs>
        <w:ind w:left="3544" w:hanging="425"/>
      </w:pPr>
      <w:rPr>
        <w:rFonts w:hint="default"/>
        <w:sz w:val="16"/>
        <w:szCs w:val="16"/>
      </w:rPr>
    </w:lvl>
    <w:lvl w:ilvl="4">
      <w:start w:val="1"/>
      <w:numFmt w:val="upperRoman"/>
      <w:pStyle w:val="sub4paraI"/>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3">
    <w:nsid w:val="21016CE1"/>
    <w:multiLevelType w:val="multilevel"/>
    <w:tmpl w:val="EDF6B062"/>
    <w:name w:val="StandardNumberedList22"/>
    <w:lvl w:ilvl="0">
      <w:start w:val="1"/>
      <w:numFmt w:val="lowerLetter"/>
      <w:pStyle w:val="OutlineNumbered1"/>
      <w:lvlText w:val="%1."/>
      <w:lvlJc w:val="left"/>
      <w:pPr>
        <w:tabs>
          <w:tab w:val="num" w:pos="567"/>
        </w:tabs>
        <w:ind w:left="567" w:hanging="567"/>
      </w:pPr>
      <w:rPr>
        <w:rFonts w:hint="default"/>
      </w:rPr>
    </w:lvl>
    <w:lvl w:ilvl="1">
      <w:start w:val="1"/>
      <w:numFmt w:val="decimal"/>
      <w:pStyle w:val="OutlineNumbered2"/>
      <w:lvlText w:val="%1.%2."/>
      <w:lvlJc w:val="left"/>
      <w:pPr>
        <w:tabs>
          <w:tab w:val="num" w:pos="1134"/>
        </w:tabs>
        <w:ind w:left="1134" w:hanging="567"/>
      </w:pPr>
      <w:rPr>
        <w:rFonts w:hint="default"/>
      </w:rPr>
    </w:lvl>
    <w:lvl w:ilvl="2">
      <w:start w:val="1"/>
      <w:numFmt w:val="decimal"/>
      <w:pStyle w:val="OutlineNumbered3"/>
      <w:lvlText w:val="%1.%2.%3."/>
      <w:lvlJc w:val="left"/>
      <w:pPr>
        <w:tabs>
          <w:tab w:val="num" w:pos="1701"/>
        </w:tabs>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243B1A7D"/>
    <w:multiLevelType w:val="multilevel"/>
    <w:tmpl w:val="2BF2360A"/>
    <w:name w:val="ASIC proposal"/>
    <w:lvl w:ilvl="0">
      <w:start w:val="1"/>
      <w:numFmt w:val="upperLetter"/>
      <w:pStyle w:val="Heading1"/>
      <w:lvlText w:val="%1"/>
      <w:lvlJc w:val="left"/>
      <w:pPr>
        <w:tabs>
          <w:tab w:val="num" w:pos="851"/>
        </w:tabs>
        <w:ind w:left="851" w:hanging="851"/>
      </w:pPr>
      <w:rPr>
        <w:rFonts w:hint="default"/>
        <w:b/>
        <w:i w:val="0"/>
        <w:color w:val="117DC7"/>
        <w:sz w:val="36"/>
        <w:szCs w:val="72"/>
      </w:rPr>
    </w:lvl>
    <w:lvl w:ilvl="1">
      <w:start w:val="1"/>
      <w:numFmt w:val="decimal"/>
      <w:pStyle w:val="Proposaltext"/>
      <w:lvlText w:val="%1%2"/>
      <w:lvlJc w:val="left"/>
      <w:pPr>
        <w:tabs>
          <w:tab w:val="num" w:pos="2693"/>
        </w:tabs>
        <w:ind w:left="2693" w:hanging="425"/>
      </w:pPr>
      <w:rPr>
        <w:rFonts w:hint="default"/>
        <w:b/>
        <w:i w:val="0"/>
        <w:color w:val="auto"/>
        <w:sz w:val="16"/>
        <w:szCs w:val="16"/>
      </w:rPr>
    </w:lvl>
    <w:lvl w:ilvl="2">
      <w:start w:val="1"/>
      <w:numFmt w:val="lowerLetter"/>
      <w:pStyle w:val="Proposaltext"/>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Proposalsubpara"/>
      <w:lvlText w:val="(%4)"/>
      <w:lvlJc w:val="left"/>
      <w:pPr>
        <w:tabs>
          <w:tab w:val="num" w:pos="3544"/>
        </w:tabs>
        <w:ind w:left="3544" w:hanging="425"/>
      </w:pPr>
      <w:rPr>
        <w:rFonts w:hint="default"/>
        <w:sz w:val="18"/>
        <w:szCs w:val="18"/>
      </w:rPr>
    </w:lvl>
    <w:lvl w:ilvl="4">
      <w:start w:val="1"/>
      <w:numFmt w:val="decimal"/>
      <w:pStyle w:val="Feedbackquestion"/>
      <w:lvlText w:val="%1%2Q%5"/>
      <w:lvlJc w:val="left"/>
      <w:pPr>
        <w:tabs>
          <w:tab w:val="num" w:pos="3799"/>
        </w:tabs>
        <w:ind w:left="3799" w:hanging="567"/>
      </w:pPr>
      <w:rPr>
        <w:rFonts w:hint="default"/>
        <w:sz w:val="16"/>
        <w:szCs w:val="16"/>
      </w:rPr>
    </w:lvl>
    <w:lvl w:ilvl="5">
      <w:start w:val="1"/>
      <w:numFmt w:val="lowerLetter"/>
      <w:pStyle w:val="Feedbackquestion"/>
      <w:lvlText w:val="             (%6)"/>
      <w:lvlJc w:val="left"/>
      <w:pPr>
        <w:tabs>
          <w:tab w:val="num" w:pos="4139"/>
        </w:tabs>
        <w:ind w:left="4139" w:hanging="907"/>
      </w:pPr>
      <w:rPr>
        <w:rFonts w:hint="default"/>
        <w:sz w:val="16"/>
        <w:szCs w:val="16"/>
      </w:rPr>
    </w:lvl>
    <w:lvl w:ilvl="6">
      <w:start w:val="1"/>
      <w:numFmt w:val="lowerRoman"/>
      <w:pStyle w:val="Feedbacksubsubquestio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5">
    <w:nsid w:val="2C7D73DE"/>
    <w:multiLevelType w:val="hybridMultilevel"/>
    <w:tmpl w:val="46EAF5A6"/>
    <w:lvl w:ilvl="0" w:tplc="AB988280">
      <w:start w:val="1"/>
      <w:numFmt w:val="bullet"/>
      <w:pStyle w:val="tablebullet"/>
      <w:lvlText w:val=""/>
      <w:lvlJc w:val="left"/>
      <w:pPr>
        <w:tabs>
          <w:tab w:val="num" w:pos="170"/>
        </w:tabs>
        <w:ind w:left="170" w:hanging="17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F3119D7"/>
    <w:multiLevelType w:val="multilevel"/>
    <w:tmpl w:val="8346ADB4"/>
    <w:lvl w:ilvl="0">
      <w:start w:val="1"/>
      <w:numFmt w:val="decimal"/>
      <w:pStyle w:val="RPG-BodyTextNumbered"/>
      <w:lvlText w:val="%1"/>
      <w:lvlJc w:val="left"/>
      <w:pPr>
        <w:tabs>
          <w:tab w:val="num" w:pos="851"/>
        </w:tabs>
        <w:ind w:left="851" w:hanging="426"/>
      </w:pPr>
      <w:rPr>
        <w:rFonts w:hint="default"/>
        <w:b w:val="0"/>
        <w:sz w:val="18"/>
      </w:rPr>
    </w:lvl>
    <w:lvl w:ilvl="1">
      <w:start w:val="1"/>
      <w:numFmt w:val="lowerLetter"/>
      <w:pStyle w:val="RPG-SublistLevel1"/>
      <w:lvlText w:val="(%2)"/>
      <w:lvlJc w:val="left"/>
      <w:pPr>
        <w:tabs>
          <w:tab w:val="num" w:pos="1276"/>
        </w:tabs>
        <w:ind w:left="1276" w:hanging="425"/>
      </w:pPr>
      <w:rPr>
        <w:rFonts w:hint="default"/>
        <w:sz w:val="18"/>
      </w:rPr>
    </w:lvl>
    <w:lvl w:ilvl="2">
      <w:start w:val="1"/>
      <w:numFmt w:val="lowerRoman"/>
      <w:pStyle w:val="RPG-SublistLevel2"/>
      <w:lvlText w:val="(%3)"/>
      <w:lvlJc w:val="left"/>
      <w:pPr>
        <w:tabs>
          <w:tab w:val="num" w:pos="1701"/>
        </w:tabs>
        <w:ind w:left="1701" w:hanging="425"/>
      </w:pPr>
      <w:rPr>
        <w:rFonts w:hint="default"/>
        <w:sz w:val="1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30DA53F4"/>
    <w:multiLevelType w:val="multilevel"/>
    <w:tmpl w:val="7BB8AC98"/>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3C041993"/>
    <w:multiLevelType w:val="multilevel"/>
    <w:tmpl w:val="4680F51A"/>
    <w:lvl w:ilvl="0">
      <w:start w:val="1"/>
      <w:numFmt w:val="decimal"/>
      <w:pStyle w:val="ListNumber1"/>
      <w:lvlText w:val="%1"/>
      <w:lvlJc w:val="left"/>
      <w:pPr>
        <w:tabs>
          <w:tab w:val="num" w:pos="2693"/>
        </w:tabs>
        <w:ind w:left="2693" w:hanging="425"/>
      </w:pPr>
      <w:rPr>
        <w:rFonts w:hint="default"/>
        <w:sz w:val="22"/>
      </w:rPr>
    </w:lvl>
    <w:lvl w:ilvl="1">
      <w:start w:val="1"/>
      <w:numFmt w:val="decimal"/>
      <w:pStyle w:val="listsubnumber"/>
      <w:lvlText w:val="%1.%2"/>
      <w:lvlJc w:val="left"/>
      <w:pPr>
        <w:tabs>
          <w:tab w:val="num" w:pos="3119"/>
        </w:tabs>
        <w:ind w:left="3119" w:hanging="426"/>
      </w:pPr>
      <w:rPr>
        <w:rFonts w:hint="default"/>
      </w:rPr>
    </w:lvl>
    <w:lvl w:ilvl="2">
      <w:start w:val="1"/>
      <w:numFmt w:val="none"/>
      <w:lvlText w:val=""/>
      <w:lvlJc w:val="left"/>
      <w:pPr>
        <w:tabs>
          <w:tab w:val="num" w:pos="4370"/>
        </w:tabs>
        <w:ind w:left="4370" w:hanging="425"/>
      </w:pPr>
      <w:rPr>
        <w:rFonts w:hint="default"/>
      </w:rPr>
    </w:lvl>
    <w:lvl w:ilvl="3">
      <w:start w:val="1"/>
      <w:numFmt w:val="none"/>
      <w:lvlText w:val=""/>
      <w:lvlJc w:val="left"/>
      <w:pPr>
        <w:tabs>
          <w:tab w:val="num" w:pos="4197"/>
        </w:tabs>
        <w:ind w:left="3405" w:hanging="648"/>
      </w:pPr>
      <w:rPr>
        <w:rFonts w:hint="default"/>
      </w:rPr>
    </w:lvl>
    <w:lvl w:ilvl="4">
      <w:start w:val="1"/>
      <w:numFmt w:val="decimal"/>
      <w:lvlText w:val="%1.%2.%3.%4.%5."/>
      <w:lvlJc w:val="left"/>
      <w:pPr>
        <w:tabs>
          <w:tab w:val="num" w:pos="4917"/>
        </w:tabs>
        <w:ind w:left="3909" w:hanging="792"/>
      </w:pPr>
      <w:rPr>
        <w:rFonts w:hint="default"/>
      </w:rPr>
    </w:lvl>
    <w:lvl w:ilvl="5">
      <w:start w:val="1"/>
      <w:numFmt w:val="decimal"/>
      <w:lvlText w:val="%1.%2.%3.%4.%5.%6."/>
      <w:lvlJc w:val="left"/>
      <w:pPr>
        <w:tabs>
          <w:tab w:val="num" w:pos="5637"/>
        </w:tabs>
        <w:ind w:left="4413" w:hanging="936"/>
      </w:pPr>
      <w:rPr>
        <w:rFonts w:hint="default"/>
      </w:rPr>
    </w:lvl>
    <w:lvl w:ilvl="6">
      <w:start w:val="1"/>
      <w:numFmt w:val="decimal"/>
      <w:lvlText w:val="%1.%2.%3.%4.%5.%6.%7."/>
      <w:lvlJc w:val="left"/>
      <w:pPr>
        <w:tabs>
          <w:tab w:val="num" w:pos="5997"/>
        </w:tabs>
        <w:ind w:left="4917" w:hanging="1080"/>
      </w:pPr>
      <w:rPr>
        <w:rFonts w:hint="default"/>
      </w:rPr>
    </w:lvl>
    <w:lvl w:ilvl="7">
      <w:start w:val="1"/>
      <w:numFmt w:val="decimal"/>
      <w:lvlText w:val="%1.%2.%3.%4.%5.%6.%7.%8."/>
      <w:lvlJc w:val="left"/>
      <w:pPr>
        <w:tabs>
          <w:tab w:val="num" w:pos="6717"/>
        </w:tabs>
        <w:ind w:left="5421" w:hanging="1224"/>
      </w:pPr>
      <w:rPr>
        <w:rFonts w:hint="default"/>
      </w:rPr>
    </w:lvl>
    <w:lvl w:ilvl="8">
      <w:start w:val="1"/>
      <w:numFmt w:val="decimal"/>
      <w:lvlText w:val="%1.%2.%3.%4.%5.%6.%7.%8.%9."/>
      <w:lvlJc w:val="left"/>
      <w:pPr>
        <w:tabs>
          <w:tab w:val="num" w:pos="7437"/>
        </w:tabs>
        <w:ind w:left="5997" w:hanging="1440"/>
      </w:pPr>
      <w:rPr>
        <w:rFonts w:hint="default"/>
      </w:rPr>
    </w:lvl>
  </w:abstractNum>
  <w:abstractNum w:abstractNumId="9">
    <w:nsid w:val="536B65CD"/>
    <w:multiLevelType w:val="hybridMultilevel"/>
    <w:tmpl w:val="C8F0255E"/>
    <w:lvl w:ilvl="0" w:tplc="E63C2630">
      <w:start w:val="1"/>
      <w:numFmt w:val="bullet"/>
      <w:lvlText w:val=""/>
      <w:lvlJc w:val="left"/>
      <w:pPr>
        <w:tabs>
          <w:tab w:val="num" w:pos="2693"/>
        </w:tabs>
        <w:ind w:left="2693"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D5E6804C">
      <w:start w:val="1"/>
      <w:numFmt w:val="bullet"/>
      <w:pStyle w:val="Frontbullet"/>
      <w:lvlText w:val=""/>
      <w:lvlJc w:val="left"/>
      <w:pPr>
        <w:tabs>
          <w:tab w:val="num" w:pos="2693"/>
        </w:tabs>
        <w:ind w:left="2693" w:hanging="425"/>
      </w:pPr>
      <w:rPr>
        <w:rFonts w:ascii="Wingdings" w:hAnsi="Wingdings" w:hint="default"/>
        <w:color w:val="auto"/>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5200739"/>
    <w:multiLevelType w:val="multilevel"/>
    <w:tmpl w:val="105AC9D6"/>
    <w:name w:val="StandardNumberedList"/>
    <w:lvl w:ilvl="0">
      <w:start w:val="1"/>
      <w:numFmt w:val="lowerLetter"/>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5BC14F7E"/>
    <w:multiLevelType w:val="hybridMultilevel"/>
    <w:tmpl w:val="B904640E"/>
    <w:lvl w:ilvl="0" w:tplc="03CCF40A">
      <w:start w:val="1"/>
      <w:numFmt w:val="bullet"/>
      <w:pStyle w:val="ListBullet2"/>
      <w:lvlText w:val=""/>
      <w:lvlJc w:val="left"/>
      <w:pPr>
        <w:tabs>
          <w:tab w:val="num" w:pos="851"/>
        </w:tabs>
        <w:ind w:left="851" w:hanging="426"/>
      </w:pPr>
      <w:rPr>
        <w:rFonts w:ascii="Symbol" w:hAnsi="Symbol" w:hint="default"/>
      </w:rPr>
    </w:lvl>
    <w:lvl w:ilvl="1" w:tplc="AB0ED52C" w:tentative="1">
      <w:start w:val="1"/>
      <w:numFmt w:val="bullet"/>
      <w:lvlText w:val="o"/>
      <w:lvlJc w:val="left"/>
      <w:pPr>
        <w:tabs>
          <w:tab w:val="num" w:pos="1440"/>
        </w:tabs>
        <w:ind w:left="1440" w:hanging="360"/>
      </w:pPr>
      <w:rPr>
        <w:rFonts w:ascii="Courier New" w:hAnsi="Courier New" w:cs="Courier New" w:hint="default"/>
      </w:rPr>
    </w:lvl>
    <w:lvl w:ilvl="2" w:tplc="771863C8" w:tentative="1">
      <w:start w:val="1"/>
      <w:numFmt w:val="bullet"/>
      <w:lvlText w:val=""/>
      <w:lvlJc w:val="left"/>
      <w:pPr>
        <w:tabs>
          <w:tab w:val="num" w:pos="2160"/>
        </w:tabs>
        <w:ind w:left="2160" w:hanging="360"/>
      </w:pPr>
      <w:rPr>
        <w:rFonts w:ascii="Wingdings" w:hAnsi="Wingdings" w:hint="default"/>
      </w:rPr>
    </w:lvl>
    <w:lvl w:ilvl="3" w:tplc="6FCEBD2A" w:tentative="1">
      <w:start w:val="1"/>
      <w:numFmt w:val="bullet"/>
      <w:lvlText w:val=""/>
      <w:lvlJc w:val="left"/>
      <w:pPr>
        <w:tabs>
          <w:tab w:val="num" w:pos="2880"/>
        </w:tabs>
        <w:ind w:left="2880" w:hanging="360"/>
      </w:pPr>
      <w:rPr>
        <w:rFonts w:ascii="Symbol" w:hAnsi="Symbol" w:hint="default"/>
      </w:rPr>
    </w:lvl>
    <w:lvl w:ilvl="4" w:tplc="90EC3DCC" w:tentative="1">
      <w:start w:val="1"/>
      <w:numFmt w:val="bullet"/>
      <w:lvlText w:val="o"/>
      <w:lvlJc w:val="left"/>
      <w:pPr>
        <w:tabs>
          <w:tab w:val="num" w:pos="3600"/>
        </w:tabs>
        <w:ind w:left="3600" w:hanging="360"/>
      </w:pPr>
      <w:rPr>
        <w:rFonts w:ascii="Courier New" w:hAnsi="Courier New" w:cs="Courier New" w:hint="default"/>
      </w:rPr>
    </w:lvl>
    <w:lvl w:ilvl="5" w:tplc="456A46F6" w:tentative="1">
      <w:start w:val="1"/>
      <w:numFmt w:val="bullet"/>
      <w:lvlText w:val=""/>
      <w:lvlJc w:val="left"/>
      <w:pPr>
        <w:tabs>
          <w:tab w:val="num" w:pos="4320"/>
        </w:tabs>
        <w:ind w:left="4320" w:hanging="360"/>
      </w:pPr>
      <w:rPr>
        <w:rFonts w:ascii="Wingdings" w:hAnsi="Wingdings" w:hint="default"/>
      </w:rPr>
    </w:lvl>
    <w:lvl w:ilvl="6" w:tplc="987C3F0A" w:tentative="1">
      <w:start w:val="1"/>
      <w:numFmt w:val="bullet"/>
      <w:lvlText w:val=""/>
      <w:lvlJc w:val="left"/>
      <w:pPr>
        <w:tabs>
          <w:tab w:val="num" w:pos="5040"/>
        </w:tabs>
        <w:ind w:left="5040" w:hanging="360"/>
      </w:pPr>
      <w:rPr>
        <w:rFonts w:ascii="Symbol" w:hAnsi="Symbol" w:hint="default"/>
      </w:rPr>
    </w:lvl>
    <w:lvl w:ilvl="7" w:tplc="B43872A0" w:tentative="1">
      <w:start w:val="1"/>
      <w:numFmt w:val="bullet"/>
      <w:lvlText w:val="o"/>
      <w:lvlJc w:val="left"/>
      <w:pPr>
        <w:tabs>
          <w:tab w:val="num" w:pos="5760"/>
        </w:tabs>
        <w:ind w:left="5760" w:hanging="360"/>
      </w:pPr>
      <w:rPr>
        <w:rFonts w:ascii="Courier New" w:hAnsi="Courier New" w:cs="Courier New" w:hint="default"/>
      </w:rPr>
    </w:lvl>
    <w:lvl w:ilvl="8" w:tplc="C62AC398" w:tentative="1">
      <w:start w:val="1"/>
      <w:numFmt w:val="bullet"/>
      <w:lvlText w:val=""/>
      <w:lvlJc w:val="left"/>
      <w:pPr>
        <w:tabs>
          <w:tab w:val="num" w:pos="6480"/>
        </w:tabs>
        <w:ind w:left="6480" w:hanging="360"/>
      </w:pPr>
      <w:rPr>
        <w:rFonts w:ascii="Wingdings" w:hAnsi="Wingdings" w:hint="default"/>
      </w:rPr>
    </w:lvl>
  </w:abstractNum>
  <w:abstractNum w:abstractNumId="12">
    <w:nsid w:val="62756F33"/>
    <w:multiLevelType w:val="hybridMultilevel"/>
    <w:tmpl w:val="76EE0A6E"/>
    <w:lvl w:ilvl="0" w:tplc="EF3E9C7C">
      <w:start w:val="1"/>
      <w:numFmt w:val="bullet"/>
      <w:pStyle w:val="KPbullet"/>
      <w:lvlText w:val=""/>
      <w:lvlJc w:val="left"/>
      <w:pPr>
        <w:tabs>
          <w:tab w:val="num" w:pos="2807"/>
        </w:tabs>
        <w:ind w:left="2807" w:hanging="426"/>
      </w:pPr>
      <w:rPr>
        <w:rFonts w:ascii="Symbol" w:hAnsi="Symbol" w:hint="default"/>
        <w:b w:val="0"/>
        <w:i w:val="0"/>
        <w:color w:val="auto"/>
        <w:sz w:val="20"/>
      </w:rPr>
    </w:lvl>
    <w:lvl w:ilvl="1" w:tplc="D8BC29D8" w:tentative="1">
      <w:start w:val="1"/>
      <w:numFmt w:val="bullet"/>
      <w:lvlText w:val="o"/>
      <w:lvlJc w:val="left"/>
      <w:pPr>
        <w:tabs>
          <w:tab w:val="num" w:pos="1440"/>
        </w:tabs>
        <w:ind w:left="1440" w:hanging="360"/>
      </w:pPr>
      <w:rPr>
        <w:rFonts w:ascii="Courier New" w:hAnsi="Courier New" w:hint="default"/>
      </w:rPr>
    </w:lvl>
    <w:lvl w:ilvl="2" w:tplc="86783058" w:tentative="1">
      <w:start w:val="1"/>
      <w:numFmt w:val="bullet"/>
      <w:lvlText w:val=""/>
      <w:lvlJc w:val="left"/>
      <w:pPr>
        <w:tabs>
          <w:tab w:val="num" w:pos="2160"/>
        </w:tabs>
        <w:ind w:left="2160" w:hanging="360"/>
      </w:pPr>
      <w:rPr>
        <w:rFonts w:ascii="Wingdings" w:hAnsi="Wingdings" w:hint="default"/>
      </w:rPr>
    </w:lvl>
    <w:lvl w:ilvl="3" w:tplc="0A44118E">
      <w:start w:val="1"/>
      <w:numFmt w:val="bullet"/>
      <w:lvlText w:val=""/>
      <w:lvlJc w:val="left"/>
      <w:pPr>
        <w:tabs>
          <w:tab w:val="num" w:pos="2880"/>
        </w:tabs>
        <w:ind w:left="2880" w:hanging="360"/>
      </w:pPr>
      <w:rPr>
        <w:rFonts w:ascii="Symbol" w:hAnsi="Symbol" w:hint="default"/>
      </w:rPr>
    </w:lvl>
    <w:lvl w:ilvl="4" w:tplc="C108C8C6" w:tentative="1">
      <w:start w:val="1"/>
      <w:numFmt w:val="bullet"/>
      <w:lvlText w:val="o"/>
      <w:lvlJc w:val="left"/>
      <w:pPr>
        <w:tabs>
          <w:tab w:val="num" w:pos="3600"/>
        </w:tabs>
        <w:ind w:left="3600" w:hanging="360"/>
      </w:pPr>
      <w:rPr>
        <w:rFonts w:ascii="Courier New" w:hAnsi="Courier New" w:hint="default"/>
      </w:rPr>
    </w:lvl>
    <w:lvl w:ilvl="5" w:tplc="11600634" w:tentative="1">
      <w:start w:val="1"/>
      <w:numFmt w:val="bullet"/>
      <w:lvlText w:val=""/>
      <w:lvlJc w:val="left"/>
      <w:pPr>
        <w:tabs>
          <w:tab w:val="num" w:pos="4320"/>
        </w:tabs>
        <w:ind w:left="4320" w:hanging="360"/>
      </w:pPr>
      <w:rPr>
        <w:rFonts w:ascii="Wingdings" w:hAnsi="Wingdings" w:hint="default"/>
      </w:rPr>
    </w:lvl>
    <w:lvl w:ilvl="6" w:tplc="6A747992" w:tentative="1">
      <w:start w:val="1"/>
      <w:numFmt w:val="bullet"/>
      <w:lvlText w:val=""/>
      <w:lvlJc w:val="left"/>
      <w:pPr>
        <w:tabs>
          <w:tab w:val="num" w:pos="5040"/>
        </w:tabs>
        <w:ind w:left="5040" w:hanging="360"/>
      </w:pPr>
      <w:rPr>
        <w:rFonts w:ascii="Symbol" w:hAnsi="Symbol" w:hint="default"/>
      </w:rPr>
    </w:lvl>
    <w:lvl w:ilvl="7" w:tplc="78EC681C" w:tentative="1">
      <w:start w:val="1"/>
      <w:numFmt w:val="bullet"/>
      <w:lvlText w:val="o"/>
      <w:lvlJc w:val="left"/>
      <w:pPr>
        <w:tabs>
          <w:tab w:val="num" w:pos="5760"/>
        </w:tabs>
        <w:ind w:left="5760" w:hanging="360"/>
      </w:pPr>
      <w:rPr>
        <w:rFonts w:ascii="Courier New" w:hAnsi="Courier New" w:hint="default"/>
      </w:rPr>
    </w:lvl>
    <w:lvl w:ilvl="8" w:tplc="999C8704" w:tentative="1">
      <w:start w:val="1"/>
      <w:numFmt w:val="bullet"/>
      <w:lvlText w:val=""/>
      <w:lvlJc w:val="left"/>
      <w:pPr>
        <w:tabs>
          <w:tab w:val="num" w:pos="6480"/>
        </w:tabs>
        <w:ind w:left="6480" w:hanging="360"/>
      </w:pPr>
      <w:rPr>
        <w:rFonts w:ascii="Wingdings" w:hAnsi="Wingdings" w:hint="default"/>
      </w:rPr>
    </w:lvl>
  </w:abstractNum>
  <w:abstractNum w:abstractNumId="13">
    <w:nsid w:val="69E365C4"/>
    <w:multiLevelType w:val="hybridMultilevel"/>
    <w:tmpl w:val="413E4FAA"/>
    <w:lvl w:ilvl="0" w:tplc="73167A6A">
      <w:start w:val="1"/>
      <w:numFmt w:val="bullet"/>
      <w:pStyle w:val="ListBullet"/>
      <w:lvlText w:val=""/>
      <w:lvlJc w:val="left"/>
      <w:pPr>
        <w:tabs>
          <w:tab w:val="num" w:pos="1418"/>
        </w:tabs>
        <w:ind w:left="1418" w:firstLine="850"/>
      </w:pPr>
      <w:rPr>
        <w:rFonts w:ascii="Wingdings" w:hAnsi="Wingdings" w:hint="default"/>
        <w:color w:val="auto"/>
      </w:rPr>
    </w:lvl>
    <w:lvl w:ilvl="1" w:tplc="DACAFAA4" w:tentative="1">
      <w:start w:val="1"/>
      <w:numFmt w:val="bullet"/>
      <w:lvlText w:val="o"/>
      <w:lvlJc w:val="left"/>
      <w:pPr>
        <w:tabs>
          <w:tab w:val="num" w:pos="1440"/>
        </w:tabs>
        <w:ind w:left="1440" w:hanging="360"/>
      </w:pPr>
      <w:rPr>
        <w:rFonts w:ascii="Courier New" w:hAnsi="Courier New" w:cs="Courier New" w:hint="default"/>
      </w:rPr>
    </w:lvl>
    <w:lvl w:ilvl="2" w:tplc="13620F16" w:tentative="1">
      <w:start w:val="1"/>
      <w:numFmt w:val="bullet"/>
      <w:lvlText w:val=""/>
      <w:lvlJc w:val="left"/>
      <w:pPr>
        <w:tabs>
          <w:tab w:val="num" w:pos="2160"/>
        </w:tabs>
        <w:ind w:left="2160" w:hanging="360"/>
      </w:pPr>
      <w:rPr>
        <w:rFonts w:ascii="Wingdings" w:hAnsi="Wingdings" w:hint="default"/>
      </w:rPr>
    </w:lvl>
    <w:lvl w:ilvl="3" w:tplc="1548CFC8" w:tentative="1">
      <w:start w:val="1"/>
      <w:numFmt w:val="bullet"/>
      <w:lvlText w:val=""/>
      <w:lvlJc w:val="left"/>
      <w:pPr>
        <w:tabs>
          <w:tab w:val="num" w:pos="2880"/>
        </w:tabs>
        <w:ind w:left="2880" w:hanging="360"/>
      </w:pPr>
      <w:rPr>
        <w:rFonts w:ascii="Symbol" w:hAnsi="Symbol" w:hint="default"/>
      </w:rPr>
    </w:lvl>
    <w:lvl w:ilvl="4" w:tplc="DBC4AF9E" w:tentative="1">
      <w:start w:val="1"/>
      <w:numFmt w:val="bullet"/>
      <w:lvlText w:val="o"/>
      <w:lvlJc w:val="left"/>
      <w:pPr>
        <w:tabs>
          <w:tab w:val="num" w:pos="3600"/>
        </w:tabs>
        <w:ind w:left="3600" w:hanging="360"/>
      </w:pPr>
      <w:rPr>
        <w:rFonts w:ascii="Courier New" w:hAnsi="Courier New" w:cs="Courier New" w:hint="default"/>
      </w:rPr>
    </w:lvl>
    <w:lvl w:ilvl="5" w:tplc="E86C01DE" w:tentative="1">
      <w:start w:val="1"/>
      <w:numFmt w:val="bullet"/>
      <w:lvlText w:val=""/>
      <w:lvlJc w:val="left"/>
      <w:pPr>
        <w:tabs>
          <w:tab w:val="num" w:pos="4320"/>
        </w:tabs>
        <w:ind w:left="4320" w:hanging="360"/>
      </w:pPr>
      <w:rPr>
        <w:rFonts w:ascii="Wingdings" w:hAnsi="Wingdings" w:hint="default"/>
      </w:rPr>
    </w:lvl>
    <w:lvl w:ilvl="6" w:tplc="111A5646" w:tentative="1">
      <w:start w:val="1"/>
      <w:numFmt w:val="bullet"/>
      <w:lvlText w:val=""/>
      <w:lvlJc w:val="left"/>
      <w:pPr>
        <w:tabs>
          <w:tab w:val="num" w:pos="5040"/>
        </w:tabs>
        <w:ind w:left="5040" w:hanging="360"/>
      </w:pPr>
      <w:rPr>
        <w:rFonts w:ascii="Symbol" w:hAnsi="Symbol" w:hint="default"/>
      </w:rPr>
    </w:lvl>
    <w:lvl w:ilvl="7" w:tplc="2CCA9452" w:tentative="1">
      <w:start w:val="1"/>
      <w:numFmt w:val="bullet"/>
      <w:lvlText w:val="o"/>
      <w:lvlJc w:val="left"/>
      <w:pPr>
        <w:tabs>
          <w:tab w:val="num" w:pos="5760"/>
        </w:tabs>
        <w:ind w:left="5760" w:hanging="360"/>
      </w:pPr>
      <w:rPr>
        <w:rFonts w:ascii="Courier New" w:hAnsi="Courier New" w:cs="Courier New" w:hint="default"/>
      </w:rPr>
    </w:lvl>
    <w:lvl w:ilvl="8" w:tplc="AB9E5472" w:tentative="1">
      <w:start w:val="1"/>
      <w:numFmt w:val="bullet"/>
      <w:lvlText w:val=""/>
      <w:lvlJc w:val="left"/>
      <w:pPr>
        <w:tabs>
          <w:tab w:val="num" w:pos="6480"/>
        </w:tabs>
        <w:ind w:left="6480" w:hanging="360"/>
      </w:pPr>
      <w:rPr>
        <w:rFonts w:ascii="Wingdings" w:hAnsi="Wingdings" w:hint="default"/>
      </w:rPr>
    </w:lvl>
  </w:abstractNum>
  <w:abstractNum w:abstractNumId="14">
    <w:nsid w:val="766B2ED2"/>
    <w:multiLevelType w:val="multilevel"/>
    <w:tmpl w:val="CC3CA670"/>
    <w:lvl w:ilvl="0">
      <w:start w:val="233"/>
      <w:numFmt w:val="none"/>
      <w:pStyle w:val="MIRBodyText"/>
      <w:lvlText w:val=""/>
      <w:lvlJc w:val="left"/>
      <w:pPr>
        <w:ind w:left="851" w:firstLine="0"/>
      </w:pPr>
      <w:rPr>
        <w:rFonts w:hint="default"/>
        <w:sz w:val="18"/>
      </w:rPr>
    </w:lvl>
    <w:lvl w:ilvl="1">
      <w:start w:val="1"/>
      <w:numFmt w:val="lowerLetter"/>
      <w:pStyle w:val="MIRSubpara"/>
      <w:lvlText w:val="(%2)"/>
      <w:lvlJc w:val="left"/>
      <w:pPr>
        <w:tabs>
          <w:tab w:val="num" w:pos="1276"/>
        </w:tabs>
        <w:ind w:left="1276" w:hanging="425"/>
      </w:pPr>
      <w:rPr>
        <w:rFonts w:hint="default"/>
        <w:sz w:val="18"/>
      </w:rPr>
    </w:lvl>
    <w:lvl w:ilvl="2">
      <w:start w:val="1"/>
      <w:numFmt w:val="lowerRoman"/>
      <w:pStyle w:val="MIRSubsubpara"/>
      <w:lvlText w:val="(%3)"/>
      <w:lvlJc w:val="left"/>
      <w:pPr>
        <w:tabs>
          <w:tab w:val="num" w:pos="1701"/>
        </w:tabs>
        <w:ind w:left="1701" w:hanging="425"/>
      </w:pPr>
      <w:rPr>
        <w:rFonts w:hint="default"/>
        <w:sz w:val="18"/>
      </w:rPr>
    </w:lvl>
    <w:lvl w:ilvl="3">
      <w:start w:val="1"/>
      <w:numFmt w:val="upperLetter"/>
      <w:pStyle w:val="MIRsubsubsubpara"/>
      <w:lvlText w:val="(%4)"/>
      <w:lvlJc w:val="left"/>
      <w:pPr>
        <w:tabs>
          <w:tab w:val="num" w:pos="2126"/>
        </w:tabs>
        <w:ind w:left="2126" w:hanging="425"/>
      </w:pPr>
      <w:rPr>
        <w:rFonts w:hint="default"/>
        <w:sz w:val="16"/>
      </w:rPr>
    </w:lvl>
    <w:lvl w:ilvl="4">
      <w:start w:val="1"/>
      <w:numFmt w:val="lowerLetter"/>
      <w:lvlText w:val="%5."/>
      <w:lvlJc w:val="left"/>
      <w:pPr>
        <w:ind w:left="6804" w:hanging="360"/>
      </w:pPr>
      <w:rPr>
        <w:rFonts w:hint="default"/>
      </w:rPr>
    </w:lvl>
    <w:lvl w:ilvl="5">
      <w:start w:val="1"/>
      <w:numFmt w:val="lowerRoman"/>
      <w:lvlText w:val="%6."/>
      <w:lvlJc w:val="right"/>
      <w:pPr>
        <w:ind w:left="7524" w:hanging="180"/>
      </w:pPr>
      <w:rPr>
        <w:rFonts w:hint="default"/>
      </w:rPr>
    </w:lvl>
    <w:lvl w:ilvl="6">
      <w:start w:val="1"/>
      <w:numFmt w:val="decimal"/>
      <w:lvlText w:val="%7."/>
      <w:lvlJc w:val="left"/>
      <w:pPr>
        <w:ind w:left="8244" w:hanging="360"/>
      </w:pPr>
      <w:rPr>
        <w:rFonts w:hint="default"/>
      </w:rPr>
    </w:lvl>
    <w:lvl w:ilvl="7">
      <w:start w:val="1"/>
      <w:numFmt w:val="lowerLetter"/>
      <w:lvlText w:val="%8."/>
      <w:lvlJc w:val="left"/>
      <w:pPr>
        <w:ind w:left="8964" w:hanging="360"/>
      </w:pPr>
      <w:rPr>
        <w:rFonts w:hint="default"/>
      </w:rPr>
    </w:lvl>
    <w:lvl w:ilvl="8">
      <w:start w:val="1"/>
      <w:numFmt w:val="lowerRoman"/>
      <w:lvlText w:val="%9."/>
      <w:lvlJc w:val="right"/>
      <w:pPr>
        <w:ind w:left="9684" w:hanging="180"/>
      </w:pPr>
      <w:rPr>
        <w:rFonts w:hint="default"/>
      </w:rPr>
    </w:lvl>
  </w:abstractNum>
  <w:abstractNum w:abstractNumId="15">
    <w:nsid w:val="7A04370D"/>
    <w:multiLevelType w:val="hybridMultilevel"/>
    <w:tmpl w:val="94749C48"/>
    <w:lvl w:ilvl="0" w:tplc="8B001500">
      <w:start w:val="1"/>
      <w:numFmt w:val="bullet"/>
      <w:pStyle w:val="Listdash"/>
      <w:lvlText w:val=""/>
      <w:lvlJc w:val="left"/>
      <w:pPr>
        <w:tabs>
          <w:tab w:val="num" w:pos="3119"/>
        </w:tabs>
        <w:ind w:left="3119" w:hanging="426"/>
      </w:pPr>
      <w:rPr>
        <w:rFonts w:ascii="Symbol" w:hAnsi="Symbol" w:hint="default"/>
      </w:rPr>
    </w:lvl>
    <w:lvl w:ilvl="1" w:tplc="F6884246" w:tentative="1">
      <w:start w:val="1"/>
      <w:numFmt w:val="bullet"/>
      <w:lvlText w:val="o"/>
      <w:lvlJc w:val="left"/>
      <w:pPr>
        <w:tabs>
          <w:tab w:val="num" w:pos="1440"/>
        </w:tabs>
        <w:ind w:left="1440" w:hanging="360"/>
      </w:pPr>
      <w:rPr>
        <w:rFonts w:ascii="Courier New" w:hAnsi="Courier New" w:cs="Courier New" w:hint="default"/>
      </w:rPr>
    </w:lvl>
    <w:lvl w:ilvl="2" w:tplc="C6FA1A52" w:tentative="1">
      <w:start w:val="1"/>
      <w:numFmt w:val="bullet"/>
      <w:lvlText w:val=""/>
      <w:lvlJc w:val="left"/>
      <w:pPr>
        <w:tabs>
          <w:tab w:val="num" w:pos="2160"/>
        </w:tabs>
        <w:ind w:left="2160" w:hanging="360"/>
      </w:pPr>
      <w:rPr>
        <w:rFonts w:ascii="Wingdings" w:hAnsi="Wingdings" w:hint="default"/>
      </w:rPr>
    </w:lvl>
    <w:lvl w:ilvl="3" w:tplc="3940AE9C" w:tentative="1">
      <w:start w:val="1"/>
      <w:numFmt w:val="bullet"/>
      <w:lvlText w:val=""/>
      <w:lvlJc w:val="left"/>
      <w:pPr>
        <w:tabs>
          <w:tab w:val="num" w:pos="2880"/>
        </w:tabs>
        <w:ind w:left="2880" w:hanging="360"/>
      </w:pPr>
      <w:rPr>
        <w:rFonts w:ascii="Symbol" w:hAnsi="Symbol" w:hint="default"/>
      </w:rPr>
    </w:lvl>
    <w:lvl w:ilvl="4" w:tplc="0FFA4368" w:tentative="1">
      <w:start w:val="1"/>
      <w:numFmt w:val="bullet"/>
      <w:lvlText w:val="o"/>
      <w:lvlJc w:val="left"/>
      <w:pPr>
        <w:tabs>
          <w:tab w:val="num" w:pos="3600"/>
        </w:tabs>
        <w:ind w:left="3600" w:hanging="360"/>
      </w:pPr>
      <w:rPr>
        <w:rFonts w:ascii="Courier New" w:hAnsi="Courier New" w:cs="Courier New" w:hint="default"/>
      </w:rPr>
    </w:lvl>
    <w:lvl w:ilvl="5" w:tplc="73A6397A" w:tentative="1">
      <w:start w:val="1"/>
      <w:numFmt w:val="bullet"/>
      <w:lvlText w:val=""/>
      <w:lvlJc w:val="left"/>
      <w:pPr>
        <w:tabs>
          <w:tab w:val="num" w:pos="4320"/>
        </w:tabs>
        <w:ind w:left="4320" w:hanging="360"/>
      </w:pPr>
      <w:rPr>
        <w:rFonts w:ascii="Wingdings" w:hAnsi="Wingdings" w:hint="default"/>
      </w:rPr>
    </w:lvl>
    <w:lvl w:ilvl="6" w:tplc="8FA2D458" w:tentative="1">
      <w:start w:val="1"/>
      <w:numFmt w:val="bullet"/>
      <w:lvlText w:val=""/>
      <w:lvlJc w:val="left"/>
      <w:pPr>
        <w:tabs>
          <w:tab w:val="num" w:pos="5040"/>
        </w:tabs>
        <w:ind w:left="5040" w:hanging="360"/>
      </w:pPr>
      <w:rPr>
        <w:rFonts w:ascii="Symbol" w:hAnsi="Symbol" w:hint="default"/>
      </w:rPr>
    </w:lvl>
    <w:lvl w:ilvl="7" w:tplc="C4BA8F60" w:tentative="1">
      <w:start w:val="1"/>
      <w:numFmt w:val="bullet"/>
      <w:lvlText w:val="o"/>
      <w:lvlJc w:val="left"/>
      <w:pPr>
        <w:tabs>
          <w:tab w:val="num" w:pos="5760"/>
        </w:tabs>
        <w:ind w:left="5760" w:hanging="360"/>
      </w:pPr>
      <w:rPr>
        <w:rFonts w:ascii="Courier New" w:hAnsi="Courier New" w:cs="Courier New" w:hint="default"/>
      </w:rPr>
    </w:lvl>
    <w:lvl w:ilvl="8" w:tplc="DFFC7116"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5"/>
  </w:num>
  <w:num w:numId="3">
    <w:abstractNumId w:val="13"/>
  </w:num>
  <w:num w:numId="4">
    <w:abstractNumId w:val="1"/>
  </w:num>
  <w:num w:numId="5">
    <w:abstractNumId w:val="12"/>
  </w:num>
  <w:num w:numId="6">
    <w:abstractNumId w:val="4"/>
  </w:num>
  <w:num w:numId="7">
    <w:abstractNumId w:val="2"/>
  </w:num>
  <w:num w:numId="8">
    <w:abstractNumId w:val="15"/>
  </w:num>
  <w:num w:numId="9">
    <w:abstractNumId w:val="9"/>
  </w:num>
  <w:num w:numId="10">
    <w:abstractNumId w:val="11"/>
  </w:num>
  <w:num w:numId="11">
    <w:abstractNumId w:val="0"/>
  </w:num>
  <w:num w:numId="12">
    <w:abstractNumId w:val="6"/>
  </w:num>
  <w:num w:numId="13">
    <w:abstractNumId w:val="14"/>
  </w:num>
  <w:num w:numId="14">
    <w:abstractNumId w:val="3"/>
  </w:num>
  <w:num w:numId="15">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trackRevisions/>
  <w:doNotTrackFormatting/>
  <w:defaultTabStop w:val="425"/>
  <w:drawingGridHorizontalSpacing w:val="110"/>
  <w:displayHorizontalDrawingGridEvery w:val="0"/>
  <w:displayVerticalDrawingGridEvery w:val="0"/>
  <w:noPunctuationKerning/>
  <w:characterSpacingControl w:val="doNotCompress"/>
  <w:hdrShapeDefaults>
    <o:shapedefaults v:ext="edit" spidmax="6145">
      <o:colormru v:ext="edit" colors="#00a8d0,#008eb0,#1492e8,#1287d6,#117dc7,#c2e3fa"/>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2DB"/>
    <w:rsid w:val="000000DB"/>
    <w:rsid w:val="00000101"/>
    <w:rsid w:val="0000037C"/>
    <w:rsid w:val="00000E7D"/>
    <w:rsid w:val="000012BD"/>
    <w:rsid w:val="000018BA"/>
    <w:rsid w:val="00001CEB"/>
    <w:rsid w:val="00001F01"/>
    <w:rsid w:val="000027B8"/>
    <w:rsid w:val="00002887"/>
    <w:rsid w:val="000030E9"/>
    <w:rsid w:val="00003742"/>
    <w:rsid w:val="00003891"/>
    <w:rsid w:val="000040AE"/>
    <w:rsid w:val="0000421B"/>
    <w:rsid w:val="0000456E"/>
    <w:rsid w:val="000046AD"/>
    <w:rsid w:val="0000476B"/>
    <w:rsid w:val="00004BA9"/>
    <w:rsid w:val="00004C44"/>
    <w:rsid w:val="000054B7"/>
    <w:rsid w:val="00005C08"/>
    <w:rsid w:val="00005EE1"/>
    <w:rsid w:val="0000649D"/>
    <w:rsid w:val="00006696"/>
    <w:rsid w:val="00006ABF"/>
    <w:rsid w:val="00006B54"/>
    <w:rsid w:val="00006CBA"/>
    <w:rsid w:val="00006F2F"/>
    <w:rsid w:val="000072FD"/>
    <w:rsid w:val="0000765E"/>
    <w:rsid w:val="000079D8"/>
    <w:rsid w:val="00007AEF"/>
    <w:rsid w:val="00007B72"/>
    <w:rsid w:val="00007DC6"/>
    <w:rsid w:val="00010243"/>
    <w:rsid w:val="00010968"/>
    <w:rsid w:val="00010B34"/>
    <w:rsid w:val="00010BC4"/>
    <w:rsid w:val="00011358"/>
    <w:rsid w:val="0001137E"/>
    <w:rsid w:val="00011444"/>
    <w:rsid w:val="00011566"/>
    <w:rsid w:val="00011659"/>
    <w:rsid w:val="00011675"/>
    <w:rsid w:val="00011D84"/>
    <w:rsid w:val="00012040"/>
    <w:rsid w:val="000121AF"/>
    <w:rsid w:val="000123E0"/>
    <w:rsid w:val="00012C22"/>
    <w:rsid w:val="0001339C"/>
    <w:rsid w:val="000133CC"/>
    <w:rsid w:val="000139C6"/>
    <w:rsid w:val="00013DDE"/>
    <w:rsid w:val="00013E6C"/>
    <w:rsid w:val="000143B8"/>
    <w:rsid w:val="0001490A"/>
    <w:rsid w:val="00014E65"/>
    <w:rsid w:val="000152FF"/>
    <w:rsid w:val="00015698"/>
    <w:rsid w:val="00015CA0"/>
    <w:rsid w:val="00015FE5"/>
    <w:rsid w:val="00015FEC"/>
    <w:rsid w:val="00016488"/>
    <w:rsid w:val="00016B18"/>
    <w:rsid w:val="00016D48"/>
    <w:rsid w:val="0001718C"/>
    <w:rsid w:val="000174BC"/>
    <w:rsid w:val="00017707"/>
    <w:rsid w:val="0001799A"/>
    <w:rsid w:val="00017D10"/>
    <w:rsid w:val="0002000E"/>
    <w:rsid w:val="0002028C"/>
    <w:rsid w:val="0002047D"/>
    <w:rsid w:val="00020692"/>
    <w:rsid w:val="000207F6"/>
    <w:rsid w:val="000209D0"/>
    <w:rsid w:val="00020E23"/>
    <w:rsid w:val="000211F0"/>
    <w:rsid w:val="000213A1"/>
    <w:rsid w:val="000213A9"/>
    <w:rsid w:val="00021A98"/>
    <w:rsid w:val="00021AB5"/>
    <w:rsid w:val="00021BE4"/>
    <w:rsid w:val="00022134"/>
    <w:rsid w:val="00022214"/>
    <w:rsid w:val="0002223F"/>
    <w:rsid w:val="000226AF"/>
    <w:rsid w:val="00022888"/>
    <w:rsid w:val="000230F1"/>
    <w:rsid w:val="00023423"/>
    <w:rsid w:val="00023437"/>
    <w:rsid w:val="0002387F"/>
    <w:rsid w:val="00023E19"/>
    <w:rsid w:val="00023F7F"/>
    <w:rsid w:val="000240EB"/>
    <w:rsid w:val="0002423F"/>
    <w:rsid w:val="0002464F"/>
    <w:rsid w:val="000246BC"/>
    <w:rsid w:val="0002494D"/>
    <w:rsid w:val="00024AA6"/>
    <w:rsid w:val="00024C37"/>
    <w:rsid w:val="00024D12"/>
    <w:rsid w:val="000254B0"/>
    <w:rsid w:val="000255C5"/>
    <w:rsid w:val="00025A63"/>
    <w:rsid w:val="00025CD6"/>
    <w:rsid w:val="00025DE9"/>
    <w:rsid w:val="000272F8"/>
    <w:rsid w:val="00027563"/>
    <w:rsid w:val="0002766B"/>
    <w:rsid w:val="00027963"/>
    <w:rsid w:val="00027CFD"/>
    <w:rsid w:val="00027F21"/>
    <w:rsid w:val="000301B3"/>
    <w:rsid w:val="00030552"/>
    <w:rsid w:val="00030E24"/>
    <w:rsid w:val="000312FD"/>
    <w:rsid w:val="00031375"/>
    <w:rsid w:val="00031442"/>
    <w:rsid w:val="00031856"/>
    <w:rsid w:val="0003191F"/>
    <w:rsid w:val="00031BBD"/>
    <w:rsid w:val="00031D16"/>
    <w:rsid w:val="00032403"/>
    <w:rsid w:val="00032853"/>
    <w:rsid w:val="00032FA8"/>
    <w:rsid w:val="0003352D"/>
    <w:rsid w:val="00033763"/>
    <w:rsid w:val="00033B6D"/>
    <w:rsid w:val="00034058"/>
    <w:rsid w:val="0003417A"/>
    <w:rsid w:val="0003445F"/>
    <w:rsid w:val="000344EE"/>
    <w:rsid w:val="000345F5"/>
    <w:rsid w:val="00034B33"/>
    <w:rsid w:val="00034EBE"/>
    <w:rsid w:val="00034F1F"/>
    <w:rsid w:val="00034F36"/>
    <w:rsid w:val="000350A7"/>
    <w:rsid w:val="00035365"/>
    <w:rsid w:val="000357BD"/>
    <w:rsid w:val="00035DF6"/>
    <w:rsid w:val="0003618B"/>
    <w:rsid w:val="00036286"/>
    <w:rsid w:val="000363F1"/>
    <w:rsid w:val="0003656B"/>
    <w:rsid w:val="00036BE9"/>
    <w:rsid w:val="00036C7E"/>
    <w:rsid w:val="00036E70"/>
    <w:rsid w:val="00037285"/>
    <w:rsid w:val="000375B3"/>
    <w:rsid w:val="000376FF"/>
    <w:rsid w:val="0003781D"/>
    <w:rsid w:val="00040130"/>
    <w:rsid w:val="00040442"/>
    <w:rsid w:val="00040838"/>
    <w:rsid w:val="00040D7B"/>
    <w:rsid w:val="00040F59"/>
    <w:rsid w:val="000415C0"/>
    <w:rsid w:val="00041873"/>
    <w:rsid w:val="0004262A"/>
    <w:rsid w:val="00042729"/>
    <w:rsid w:val="00042736"/>
    <w:rsid w:val="00042F12"/>
    <w:rsid w:val="00042F7B"/>
    <w:rsid w:val="00043994"/>
    <w:rsid w:val="00043C10"/>
    <w:rsid w:val="00043E71"/>
    <w:rsid w:val="00043F97"/>
    <w:rsid w:val="000441D0"/>
    <w:rsid w:val="000443F2"/>
    <w:rsid w:val="0004471A"/>
    <w:rsid w:val="0004483D"/>
    <w:rsid w:val="00044853"/>
    <w:rsid w:val="00044A51"/>
    <w:rsid w:val="00044DFB"/>
    <w:rsid w:val="00045454"/>
    <w:rsid w:val="00045763"/>
    <w:rsid w:val="000459FA"/>
    <w:rsid w:val="00045B16"/>
    <w:rsid w:val="00045C80"/>
    <w:rsid w:val="00046485"/>
    <w:rsid w:val="00046BBA"/>
    <w:rsid w:val="00046FC7"/>
    <w:rsid w:val="00047349"/>
    <w:rsid w:val="0004752C"/>
    <w:rsid w:val="000475A0"/>
    <w:rsid w:val="000477A2"/>
    <w:rsid w:val="00047978"/>
    <w:rsid w:val="00050258"/>
    <w:rsid w:val="00050B21"/>
    <w:rsid w:val="00050E66"/>
    <w:rsid w:val="000512C2"/>
    <w:rsid w:val="000512ED"/>
    <w:rsid w:val="000513A6"/>
    <w:rsid w:val="0005188D"/>
    <w:rsid w:val="000519AE"/>
    <w:rsid w:val="00051D32"/>
    <w:rsid w:val="000520BD"/>
    <w:rsid w:val="0005225C"/>
    <w:rsid w:val="00052720"/>
    <w:rsid w:val="000528E2"/>
    <w:rsid w:val="00052A6E"/>
    <w:rsid w:val="00052CFD"/>
    <w:rsid w:val="00052DE6"/>
    <w:rsid w:val="00052EF1"/>
    <w:rsid w:val="000531A0"/>
    <w:rsid w:val="000537DB"/>
    <w:rsid w:val="000537F6"/>
    <w:rsid w:val="0005390C"/>
    <w:rsid w:val="00053C95"/>
    <w:rsid w:val="00053D3F"/>
    <w:rsid w:val="00053EF5"/>
    <w:rsid w:val="0005416B"/>
    <w:rsid w:val="0005447F"/>
    <w:rsid w:val="0005456A"/>
    <w:rsid w:val="00054E29"/>
    <w:rsid w:val="0005540E"/>
    <w:rsid w:val="000558BC"/>
    <w:rsid w:val="00055A07"/>
    <w:rsid w:val="00055E09"/>
    <w:rsid w:val="0005646D"/>
    <w:rsid w:val="00056800"/>
    <w:rsid w:val="0005699F"/>
    <w:rsid w:val="00056A7B"/>
    <w:rsid w:val="00056AC1"/>
    <w:rsid w:val="0005714D"/>
    <w:rsid w:val="000571B5"/>
    <w:rsid w:val="00057CC8"/>
    <w:rsid w:val="00057D30"/>
    <w:rsid w:val="0006034F"/>
    <w:rsid w:val="0006114C"/>
    <w:rsid w:val="000613FC"/>
    <w:rsid w:val="00061730"/>
    <w:rsid w:val="00061AEE"/>
    <w:rsid w:val="00061C9F"/>
    <w:rsid w:val="00061CDE"/>
    <w:rsid w:val="00061CFB"/>
    <w:rsid w:val="00061EC3"/>
    <w:rsid w:val="00061F72"/>
    <w:rsid w:val="00062487"/>
    <w:rsid w:val="00062897"/>
    <w:rsid w:val="00062C70"/>
    <w:rsid w:val="00063178"/>
    <w:rsid w:val="000633F8"/>
    <w:rsid w:val="0006343E"/>
    <w:rsid w:val="000638DF"/>
    <w:rsid w:val="000639A8"/>
    <w:rsid w:val="00063DAB"/>
    <w:rsid w:val="00064A6B"/>
    <w:rsid w:val="00064B6A"/>
    <w:rsid w:val="00064C12"/>
    <w:rsid w:val="00064DFF"/>
    <w:rsid w:val="0006503D"/>
    <w:rsid w:val="0006513E"/>
    <w:rsid w:val="0006531D"/>
    <w:rsid w:val="000653E2"/>
    <w:rsid w:val="000654E7"/>
    <w:rsid w:val="00065608"/>
    <w:rsid w:val="0006572A"/>
    <w:rsid w:val="00065ABC"/>
    <w:rsid w:val="00065B3E"/>
    <w:rsid w:val="000660DE"/>
    <w:rsid w:val="00066102"/>
    <w:rsid w:val="0006638B"/>
    <w:rsid w:val="000664C4"/>
    <w:rsid w:val="00066533"/>
    <w:rsid w:val="000665EC"/>
    <w:rsid w:val="00066BB5"/>
    <w:rsid w:val="00066DBE"/>
    <w:rsid w:val="00067167"/>
    <w:rsid w:val="000678AD"/>
    <w:rsid w:val="0006794A"/>
    <w:rsid w:val="000700C0"/>
    <w:rsid w:val="0007053E"/>
    <w:rsid w:val="00070546"/>
    <w:rsid w:val="0007063A"/>
    <w:rsid w:val="0007063D"/>
    <w:rsid w:val="000712A6"/>
    <w:rsid w:val="000716B2"/>
    <w:rsid w:val="000716DA"/>
    <w:rsid w:val="0007176A"/>
    <w:rsid w:val="00071AAD"/>
    <w:rsid w:val="00071C56"/>
    <w:rsid w:val="00071CF7"/>
    <w:rsid w:val="000720C1"/>
    <w:rsid w:val="000723B0"/>
    <w:rsid w:val="000723C4"/>
    <w:rsid w:val="00072601"/>
    <w:rsid w:val="00072B9F"/>
    <w:rsid w:val="0007348A"/>
    <w:rsid w:val="000736E6"/>
    <w:rsid w:val="0007391D"/>
    <w:rsid w:val="000739B0"/>
    <w:rsid w:val="00073B74"/>
    <w:rsid w:val="00074789"/>
    <w:rsid w:val="00074FA4"/>
    <w:rsid w:val="0007526F"/>
    <w:rsid w:val="0007582B"/>
    <w:rsid w:val="00075CA2"/>
    <w:rsid w:val="000761AD"/>
    <w:rsid w:val="0007633F"/>
    <w:rsid w:val="00076577"/>
    <w:rsid w:val="00076703"/>
    <w:rsid w:val="00076B1B"/>
    <w:rsid w:val="00076FCC"/>
    <w:rsid w:val="000771E4"/>
    <w:rsid w:val="00077806"/>
    <w:rsid w:val="000779EB"/>
    <w:rsid w:val="00077DEF"/>
    <w:rsid w:val="00077FF8"/>
    <w:rsid w:val="0008054A"/>
    <w:rsid w:val="00080A11"/>
    <w:rsid w:val="00080A42"/>
    <w:rsid w:val="00080CCD"/>
    <w:rsid w:val="0008126A"/>
    <w:rsid w:val="0008150D"/>
    <w:rsid w:val="000815D8"/>
    <w:rsid w:val="00081725"/>
    <w:rsid w:val="00081B9E"/>
    <w:rsid w:val="00081BC8"/>
    <w:rsid w:val="00081BF8"/>
    <w:rsid w:val="00081CD9"/>
    <w:rsid w:val="00081D68"/>
    <w:rsid w:val="00081DEC"/>
    <w:rsid w:val="00081F96"/>
    <w:rsid w:val="00082179"/>
    <w:rsid w:val="0008237B"/>
    <w:rsid w:val="000823B5"/>
    <w:rsid w:val="000825D5"/>
    <w:rsid w:val="00082899"/>
    <w:rsid w:val="00082AE2"/>
    <w:rsid w:val="00082C5E"/>
    <w:rsid w:val="00082C7B"/>
    <w:rsid w:val="00082F6A"/>
    <w:rsid w:val="000832D6"/>
    <w:rsid w:val="000834F1"/>
    <w:rsid w:val="000836D7"/>
    <w:rsid w:val="000838C7"/>
    <w:rsid w:val="00083BD0"/>
    <w:rsid w:val="00083E4F"/>
    <w:rsid w:val="00084738"/>
    <w:rsid w:val="00084CA4"/>
    <w:rsid w:val="00084F36"/>
    <w:rsid w:val="00085293"/>
    <w:rsid w:val="00085A94"/>
    <w:rsid w:val="000861F7"/>
    <w:rsid w:val="000862DA"/>
    <w:rsid w:val="00086969"/>
    <w:rsid w:val="00086EE4"/>
    <w:rsid w:val="00087296"/>
    <w:rsid w:val="000874D6"/>
    <w:rsid w:val="000875BF"/>
    <w:rsid w:val="000876F7"/>
    <w:rsid w:val="00087756"/>
    <w:rsid w:val="0008790E"/>
    <w:rsid w:val="000879FF"/>
    <w:rsid w:val="00087B50"/>
    <w:rsid w:val="00087EBB"/>
    <w:rsid w:val="000900CF"/>
    <w:rsid w:val="0009011A"/>
    <w:rsid w:val="000902DD"/>
    <w:rsid w:val="00090677"/>
    <w:rsid w:val="0009079B"/>
    <w:rsid w:val="000907BA"/>
    <w:rsid w:val="000907C5"/>
    <w:rsid w:val="000909FC"/>
    <w:rsid w:val="00090A93"/>
    <w:rsid w:val="00090B4D"/>
    <w:rsid w:val="000910CB"/>
    <w:rsid w:val="00091392"/>
    <w:rsid w:val="000914A6"/>
    <w:rsid w:val="000915BE"/>
    <w:rsid w:val="000915DF"/>
    <w:rsid w:val="00091CEA"/>
    <w:rsid w:val="00091F84"/>
    <w:rsid w:val="000921A0"/>
    <w:rsid w:val="00092407"/>
    <w:rsid w:val="00092B10"/>
    <w:rsid w:val="00092B45"/>
    <w:rsid w:val="00092D00"/>
    <w:rsid w:val="0009316C"/>
    <w:rsid w:val="00093D03"/>
    <w:rsid w:val="00093E1D"/>
    <w:rsid w:val="00093F6D"/>
    <w:rsid w:val="00094437"/>
    <w:rsid w:val="00094440"/>
    <w:rsid w:val="000947B4"/>
    <w:rsid w:val="00094FAF"/>
    <w:rsid w:val="00095375"/>
    <w:rsid w:val="0009544F"/>
    <w:rsid w:val="00095484"/>
    <w:rsid w:val="0009568F"/>
    <w:rsid w:val="000959C7"/>
    <w:rsid w:val="00095D03"/>
    <w:rsid w:val="00096006"/>
    <w:rsid w:val="0009677F"/>
    <w:rsid w:val="0009699C"/>
    <w:rsid w:val="00096F26"/>
    <w:rsid w:val="00097139"/>
    <w:rsid w:val="0009744F"/>
    <w:rsid w:val="00097819"/>
    <w:rsid w:val="00097A05"/>
    <w:rsid w:val="000A036C"/>
    <w:rsid w:val="000A05EF"/>
    <w:rsid w:val="000A06C9"/>
    <w:rsid w:val="000A0777"/>
    <w:rsid w:val="000A079F"/>
    <w:rsid w:val="000A08B9"/>
    <w:rsid w:val="000A0C72"/>
    <w:rsid w:val="000A0D6C"/>
    <w:rsid w:val="000A1291"/>
    <w:rsid w:val="000A18C8"/>
    <w:rsid w:val="000A1B16"/>
    <w:rsid w:val="000A1D6E"/>
    <w:rsid w:val="000A1E7D"/>
    <w:rsid w:val="000A1EED"/>
    <w:rsid w:val="000A26C6"/>
    <w:rsid w:val="000A2A27"/>
    <w:rsid w:val="000A2CD8"/>
    <w:rsid w:val="000A2EC1"/>
    <w:rsid w:val="000A3135"/>
    <w:rsid w:val="000A3160"/>
    <w:rsid w:val="000A3510"/>
    <w:rsid w:val="000A3850"/>
    <w:rsid w:val="000A3B49"/>
    <w:rsid w:val="000A3C76"/>
    <w:rsid w:val="000A40A2"/>
    <w:rsid w:val="000A41E5"/>
    <w:rsid w:val="000A4235"/>
    <w:rsid w:val="000A44A7"/>
    <w:rsid w:val="000A44AE"/>
    <w:rsid w:val="000A4AE1"/>
    <w:rsid w:val="000A4C97"/>
    <w:rsid w:val="000A4CE8"/>
    <w:rsid w:val="000A500F"/>
    <w:rsid w:val="000A519A"/>
    <w:rsid w:val="000A5C53"/>
    <w:rsid w:val="000A5DEC"/>
    <w:rsid w:val="000A5F8A"/>
    <w:rsid w:val="000A661C"/>
    <w:rsid w:val="000A667A"/>
    <w:rsid w:val="000A71E5"/>
    <w:rsid w:val="000A727C"/>
    <w:rsid w:val="000A753C"/>
    <w:rsid w:val="000A7BED"/>
    <w:rsid w:val="000A7C07"/>
    <w:rsid w:val="000A7FFD"/>
    <w:rsid w:val="000B003E"/>
    <w:rsid w:val="000B01DC"/>
    <w:rsid w:val="000B0283"/>
    <w:rsid w:val="000B0374"/>
    <w:rsid w:val="000B0597"/>
    <w:rsid w:val="000B0834"/>
    <w:rsid w:val="000B0A99"/>
    <w:rsid w:val="000B1147"/>
    <w:rsid w:val="000B1150"/>
    <w:rsid w:val="000B119F"/>
    <w:rsid w:val="000B157F"/>
    <w:rsid w:val="000B1700"/>
    <w:rsid w:val="000B1CFF"/>
    <w:rsid w:val="000B1D9A"/>
    <w:rsid w:val="000B2179"/>
    <w:rsid w:val="000B228E"/>
    <w:rsid w:val="000B2314"/>
    <w:rsid w:val="000B2419"/>
    <w:rsid w:val="000B2488"/>
    <w:rsid w:val="000B27CD"/>
    <w:rsid w:val="000B2817"/>
    <w:rsid w:val="000B2B13"/>
    <w:rsid w:val="000B2B8E"/>
    <w:rsid w:val="000B2DD7"/>
    <w:rsid w:val="000B3004"/>
    <w:rsid w:val="000B3641"/>
    <w:rsid w:val="000B3AC0"/>
    <w:rsid w:val="000B3F58"/>
    <w:rsid w:val="000B46EB"/>
    <w:rsid w:val="000B494C"/>
    <w:rsid w:val="000B4AAA"/>
    <w:rsid w:val="000B4D85"/>
    <w:rsid w:val="000B518A"/>
    <w:rsid w:val="000B5656"/>
    <w:rsid w:val="000B56C6"/>
    <w:rsid w:val="000B5A76"/>
    <w:rsid w:val="000B5F01"/>
    <w:rsid w:val="000B6059"/>
    <w:rsid w:val="000B6099"/>
    <w:rsid w:val="000B660A"/>
    <w:rsid w:val="000B6E2A"/>
    <w:rsid w:val="000B6FC7"/>
    <w:rsid w:val="000B7897"/>
    <w:rsid w:val="000B7B4D"/>
    <w:rsid w:val="000C000D"/>
    <w:rsid w:val="000C090E"/>
    <w:rsid w:val="000C0AC5"/>
    <w:rsid w:val="000C0E78"/>
    <w:rsid w:val="000C114F"/>
    <w:rsid w:val="000C1AC5"/>
    <w:rsid w:val="000C1CEE"/>
    <w:rsid w:val="000C1DE4"/>
    <w:rsid w:val="000C2193"/>
    <w:rsid w:val="000C2194"/>
    <w:rsid w:val="000C2627"/>
    <w:rsid w:val="000C262F"/>
    <w:rsid w:val="000C29B4"/>
    <w:rsid w:val="000C2F85"/>
    <w:rsid w:val="000C30F2"/>
    <w:rsid w:val="000C3108"/>
    <w:rsid w:val="000C311F"/>
    <w:rsid w:val="000C3C0D"/>
    <w:rsid w:val="000C3E7A"/>
    <w:rsid w:val="000C3F90"/>
    <w:rsid w:val="000C4339"/>
    <w:rsid w:val="000C476C"/>
    <w:rsid w:val="000C49F6"/>
    <w:rsid w:val="000C4DF7"/>
    <w:rsid w:val="000C4EB8"/>
    <w:rsid w:val="000C5066"/>
    <w:rsid w:val="000C5198"/>
    <w:rsid w:val="000C5201"/>
    <w:rsid w:val="000C523B"/>
    <w:rsid w:val="000C5853"/>
    <w:rsid w:val="000C5ED6"/>
    <w:rsid w:val="000C633E"/>
    <w:rsid w:val="000C6438"/>
    <w:rsid w:val="000C66F6"/>
    <w:rsid w:val="000C68A5"/>
    <w:rsid w:val="000C68CE"/>
    <w:rsid w:val="000C6988"/>
    <w:rsid w:val="000C6F99"/>
    <w:rsid w:val="000C6FAB"/>
    <w:rsid w:val="000C7140"/>
    <w:rsid w:val="000C7459"/>
    <w:rsid w:val="000D003E"/>
    <w:rsid w:val="000D025F"/>
    <w:rsid w:val="000D06ED"/>
    <w:rsid w:val="000D0AB1"/>
    <w:rsid w:val="000D0B0C"/>
    <w:rsid w:val="000D0C3F"/>
    <w:rsid w:val="000D1044"/>
    <w:rsid w:val="000D10B7"/>
    <w:rsid w:val="000D15B0"/>
    <w:rsid w:val="000D1A9E"/>
    <w:rsid w:val="000D1D81"/>
    <w:rsid w:val="000D1E71"/>
    <w:rsid w:val="000D25A7"/>
    <w:rsid w:val="000D25E6"/>
    <w:rsid w:val="000D2DA0"/>
    <w:rsid w:val="000D2FC0"/>
    <w:rsid w:val="000D31B8"/>
    <w:rsid w:val="000D4596"/>
    <w:rsid w:val="000D46A1"/>
    <w:rsid w:val="000D4ECD"/>
    <w:rsid w:val="000D4F30"/>
    <w:rsid w:val="000D513C"/>
    <w:rsid w:val="000D5388"/>
    <w:rsid w:val="000D5448"/>
    <w:rsid w:val="000D564A"/>
    <w:rsid w:val="000D5660"/>
    <w:rsid w:val="000D5C7C"/>
    <w:rsid w:val="000D5C87"/>
    <w:rsid w:val="000D63E1"/>
    <w:rsid w:val="000D675B"/>
    <w:rsid w:val="000D6C04"/>
    <w:rsid w:val="000D7021"/>
    <w:rsid w:val="000D728A"/>
    <w:rsid w:val="000D7A12"/>
    <w:rsid w:val="000D7AE0"/>
    <w:rsid w:val="000D7CA1"/>
    <w:rsid w:val="000D7F01"/>
    <w:rsid w:val="000E03E3"/>
    <w:rsid w:val="000E05F3"/>
    <w:rsid w:val="000E08E8"/>
    <w:rsid w:val="000E0D97"/>
    <w:rsid w:val="000E1199"/>
    <w:rsid w:val="000E12C2"/>
    <w:rsid w:val="000E18E9"/>
    <w:rsid w:val="000E1C39"/>
    <w:rsid w:val="000E1CF5"/>
    <w:rsid w:val="000E2737"/>
    <w:rsid w:val="000E2D90"/>
    <w:rsid w:val="000E3110"/>
    <w:rsid w:val="000E3150"/>
    <w:rsid w:val="000E316D"/>
    <w:rsid w:val="000E31A3"/>
    <w:rsid w:val="000E32B5"/>
    <w:rsid w:val="000E3483"/>
    <w:rsid w:val="000E3540"/>
    <w:rsid w:val="000E492E"/>
    <w:rsid w:val="000E4B05"/>
    <w:rsid w:val="000E4D73"/>
    <w:rsid w:val="000E4FCD"/>
    <w:rsid w:val="000E55DE"/>
    <w:rsid w:val="000E562A"/>
    <w:rsid w:val="000E56B0"/>
    <w:rsid w:val="000E59AB"/>
    <w:rsid w:val="000E5A38"/>
    <w:rsid w:val="000E5A99"/>
    <w:rsid w:val="000E5E8E"/>
    <w:rsid w:val="000E6B3A"/>
    <w:rsid w:val="000E6BF1"/>
    <w:rsid w:val="000E6E48"/>
    <w:rsid w:val="000E6E63"/>
    <w:rsid w:val="000E6F60"/>
    <w:rsid w:val="000E70CD"/>
    <w:rsid w:val="000E72DE"/>
    <w:rsid w:val="000E74AC"/>
    <w:rsid w:val="000F088A"/>
    <w:rsid w:val="000F10B7"/>
    <w:rsid w:val="000F18D9"/>
    <w:rsid w:val="000F1996"/>
    <w:rsid w:val="000F242B"/>
    <w:rsid w:val="000F2EAA"/>
    <w:rsid w:val="000F2ED5"/>
    <w:rsid w:val="000F305A"/>
    <w:rsid w:val="000F324E"/>
    <w:rsid w:val="000F3800"/>
    <w:rsid w:val="000F389A"/>
    <w:rsid w:val="000F39F6"/>
    <w:rsid w:val="000F3E06"/>
    <w:rsid w:val="000F416D"/>
    <w:rsid w:val="000F47E2"/>
    <w:rsid w:val="000F4811"/>
    <w:rsid w:val="000F485E"/>
    <w:rsid w:val="000F4A42"/>
    <w:rsid w:val="000F4BA8"/>
    <w:rsid w:val="000F4BC8"/>
    <w:rsid w:val="000F4DBD"/>
    <w:rsid w:val="000F53EC"/>
    <w:rsid w:val="000F544F"/>
    <w:rsid w:val="000F5740"/>
    <w:rsid w:val="000F5BFF"/>
    <w:rsid w:val="000F5DD9"/>
    <w:rsid w:val="000F5F57"/>
    <w:rsid w:val="000F5FE5"/>
    <w:rsid w:val="000F693B"/>
    <w:rsid w:val="000F6C1A"/>
    <w:rsid w:val="000F6D8A"/>
    <w:rsid w:val="000F7845"/>
    <w:rsid w:val="00100096"/>
    <w:rsid w:val="001003D5"/>
    <w:rsid w:val="0010065A"/>
    <w:rsid w:val="00100872"/>
    <w:rsid w:val="00100D53"/>
    <w:rsid w:val="0010182D"/>
    <w:rsid w:val="00101ABC"/>
    <w:rsid w:val="00101E5E"/>
    <w:rsid w:val="00101F8C"/>
    <w:rsid w:val="00101FCF"/>
    <w:rsid w:val="0010245F"/>
    <w:rsid w:val="001025DC"/>
    <w:rsid w:val="00102AEC"/>
    <w:rsid w:val="0010344A"/>
    <w:rsid w:val="0010364B"/>
    <w:rsid w:val="00103729"/>
    <w:rsid w:val="00103F7B"/>
    <w:rsid w:val="00104095"/>
    <w:rsid w:val="00104315"/>
    <w:rsid w:val="0010442C"/>
    <w:rsid w:val="00104511"/>
    <w:rsid w:val="00104A1E"/>
    <w:rsid w:val="00104B33"/>
    <w:rsid w:val="00105804"/>
    <w:rsid w:val="00105D4E"/>
    <w:rsid w:val="00106004"/>
    <w:rsid w:val="0010645F"/>
    <w:rsid w:val="00106CD2"/>
    <w:rsid w:val="00107816"/>
    <w:rsid w:val="00107FDA"/>
    <w:rsid w:val="001100A5"/>
    <w:rsid w:val="001102F1"/>
    <w:rsid w:val="00110D8E"/>
    <w:rsid w:val="00110DF7"/>
    <w:rsid w:val="00111230"/>
    <w:rsid w:val="001116A1"/>
    <w:rsid w:val="001116C3"/>
    <w:rsid w:val="00111738"/>
    <w:rsid w:val="00111C9C"/>
    <w:rsid w:val="00111E42"/>
    <w:rsid w:val="001120BB"/>
    <w:rsid w:val="001124F0"/>
    <w:rsid w:val="00112652"/>
    <w:rsid w:val="00113547"/>
    <w:rsid w:val="001139EF"/>
    <w:rsid w:val="00113F4F"/>
    <w:rsid w:val="0011400E"/>
    <w:rsid w:val="001144B6"/>
    <w:rsid w:val="001146CC"/>
    <w:rsid w:val="00114714"/>
    <w:rsid w:val="00114B6A"/>
    <w:rsid w:val="00114BD6"/>
    <w:rsid w:val="00114F76"/>
    <w:rsid w:val="00115182"/>
    <w:rsid w:val="00115423"/>
    <w:rsid w:val="00115B67"/>
    <w:rsid w:val="00115BF8"/>
    <w:rsid w:val="00115C9F"/>
    <w:rsid w:val="00115F7A"/>
    <w:rsid w:val="00116037"/>
    <w:rsid w:val="0011667E"/>
    <w:rsid w:val="00116819"/>
    <w:rsid w:val="00116D6E"/>
    <w:rsid w:val="0011717A"/>
    <w:rsid w:val="001171D2"/>
    <w:rsid w:val="0011791B"/>
    <w:rsid w:val="00117C6C"/>
    <w:rsid w:val="00117CB8"/>
    <w:rsid w:val="00120095"/>
    <w:rsid w:val="0012013A"/>
    <w:rsid w:val="001206A9"/>
    <w:rsid w:val="00120946"/>
    <w:rsid w:val="001209F8"/>
    <w:rsid w:val="00121578"/>
    <w:rsid w:val="001217D7"/>
    <w:rsid w:val="00121956"/>
    <w:rsid w:val="00121D98"/>
    <w:rsid w:val="00121DBA"/>
    <w:rsid w:val="00122017"/>
    <w:rsid w:val="00122680"/>
    <w:rsid w:val="00122C11"/>
    <w:rsid w:val="00122C8D"/>
    <w:rsid w:val="00122F6C"/>
    <w:rsid w:val="0012305D"/>
    <w:rsid w:val="001230B9"/>
    <w:rsid w:val="001235F3"/>
    <w:rsid w:val="00123736"/>
    <w:rsid w:val="00123800"/>
    <w:rsid w:val="00123CBA"/>
    <w:rsid w:val="00123E21"/>
    <w:rsid w:val="0012404F"/>
    <w:rsid w:val="00124507"/>
    <w:rsid w:val="001248FE"/>
    <w:rsid w:val="00124DB4"/>
    <w:rsid w:val="00124DBD"/>
    <w:rsid w:val="0012502D"/>
    <w:rsid w:val="001251F3"/>
    <w:rsid w:val="00125402"/>
    <w:rsid w:val="00125483"/>
    <w:rsid w:val="001255BB"/>
    <w:rsid w:val="00125963"/>
    <w:rsid w:val="00125B9C"/>
    <w:rsid w:val="00125C56"/>
    <w:rsid w:val="00125CC1"/>
    <w:rsid w:val="00125CE9"/>
    <w:rsid w:val="00125EEA"/>
    <w:rsid w:val="00125F7C"/>
    <w:rsid w:val="00126129"/>
    <w:rsid w:val="001262A5"/>
    <w:rsid w:val="001265BD"/>
    <w:rsid w:val="00127237"/>
    <w:rsid w:val="00127715"/>
    <w:rsid w:val="001277F4"/>
    <w:rsid w:val="00127985"/>
    <w:rsid w:val="00127AA0"/>
    <w:rsid w:val="00127DE6"/>
    <w:rsid w:val="00130518"/>
    <w:rsid w:val="001305FF"/>
    <w:rsid w:val="00130CB7"/>
    <w:rsid w:val="00131868"/>
    <w:rsid w:val="0013199C"/>
    <w:rsid w:val="001319C8"/>
    <w:rsid w:val="00131C6A"/>
    <w:rsid w:val="00131E75"/>
    <w:rsid w:val="00131EE8"/>
    <w:rsid w:val="00132272"/>
    <w:rsid w:val="0013260A"/>
    <w:rsid w:val="00132B26"/>
    <w:rsid w:val="00132B5D"/>
    <w:rsid w:val="00132C92"/>
    <w:rsid w:val="00133284"/>
    <w:rsid w:val="001334C1"/>
    <w:rsid w:val="001338BD"/>
    <w:rsid w:val="00133AF7"/>
    <w:rsid w:val="00133B22"/>
    <w:rsid w:val="00133C07"/>
    <w:rsid w:val="00134225"/>
    <w:rsid w:val="0013454B"/>
    <w:rsid w:val="001348D7"/>
    <w:rsid w:val="00134B91"/>
    <w:rsid w:val="00134BE7"/>
    <w:rsid w:val="00134CAF"/>
    <w:rsid w:val="00134D11"/>
    <w:rsid w:val="00134D19"/>
    <w:rsid w:val="00135471"/>
    <w:rsid w:val="001359A3"/>
    <w:rsid w:val="00135C10"/>
    <w:rsid w:val="00135FAF"/>
    <w:rsid w:val="0013604C"/>
    <w:rsid w:val="0013632D"/>
    <w:rsid w:val="001363CA"/>
    <w:rsid w:val="00136696"/>
    <w:rsid w:val="001366BA"/>
    <w:rsid w:val="00136CFB"/>
    <w:rsid w:val="00136E94"/>
    <w:rsid w:val="0013716C"/>
    <w:rsid w:val="00137205"/>
    <w:rsid w:val="00137445"/>
    <w:rsid w:val="00137712"/>
    <w:rsid w:val="00137722"/>
    <w:rsid w:val="00137C07"/>
    <w:rsid w:val="00137D91"/>
    <w:rsid w:val="00140032"/>
    <w:rsid w:val="0014013E"/>
    <w:rsid w:val="00140789"/>
    <w:rsid w:val="001408FD"/>
    <w:rsid w:val="00140B28"/>
    <w:rsid w:val="00140F91"/>
    <w:rsid w:val="0014105C"/>
    <w:rsid w:val="001419CE"/>
    <w:rsid w:val="00141EF7"/>
    <w:rsid w:val="00141F62"/>
    <w:rsid w:val="00141F66"/>
    <w:rsid w:val="0014268E"/>
    <w:rsid w:val="001429F8"/>
    <w:rsid w:val="00142AA1"/>
    <w:rsid w:val="00142AC3"/>
    <w:rsid w:val="0014300C"/>
    <w:rsid w:val="00143189"/>
    <w:rsid w:val="001433CD"/>
    <w:rsid w:val="0014351A"/>
    <w:rsid w:val="00144247"/>
    <w:rsid w:val="001451B0"/>
    <w:rsid w:val="00145233"/>
    <w:rsid w:val="00145257"/>
    <w:rsid w:val="001454D4"/>
    <w:rsid w:val="0014596D"/>
    <w:rsid w:val="00145B0F"/>
    <w:rsid w:val="00145BDA"/>
    <w:rsid w:val="00145E4C"/>
    <w:rsid w:val="00146135"/>
    <w:rsid w:val="0014659E"/>
    <w:rsid w:val="00146681"/>
    <w:rsid w:val="00146837"/>
    <w:rsid w:val="00146EA4"/>
    <w:rsid w:val="0014734F"/>
    <w:rsid w:val="00147413"/>
    <w:rsid w:val="00147E12"/>
    <w:rsid w:val="001504A8"/>
    <w:rsid w:val="001506E4"/>
    <w:rsid w:val="001506FB"/>
    <w:rsid w:val="0015087A"/>
    <w:rsid w:val="001509E5"/>
    <w:rsid w:val="00150DC1"/>
    <w:rsid w:val="0015128F"/>
    <w:rsid w:val="00151310"/>
    <w:rsid w:val="001514C5"/>
    <w:rsid w:val="0015167C"/>
    <w:rsid w:val="001516D6"/>
    <w:rsid w:val="001516EB"/>
    <w:rsid w:val="001519A0"/>
    <w:rsid w:val="00151D52"/>
    <w:rsid w:val="00151EC2"/>
    <w:rsid w:val="00151F12"/>
    <w:rsid w:val="00151FCD"/>
    <w:rsid w:val="001520B0"/>
    <w:rsid w:val="0015267C"/>
    <w:rsid w:val="0015284B"/>
    <w:rsid w:val="001536EB"/>
    <w:rsid w:val="00153EAF"/>
    <w:rsid w:val="0015416E"/>
    <w:rsid w:val="0015423F"/>
    <w:rsid w:val="0015469C"/>
    <w:rsid w:val="00154A8D"/>
    <w:rsid w:val="00154B59"/>
    <w:rsid w:val="00154D7A"/>
    <w:rsid w:val="00154E73"/>
    <w:rsid w:val="00155440"/>
    <w:rsid w:val="0015569F"/>
    <w:rsid w:val="00155DD6"/>
    <w:rsid w:val="00155F29"/>
    <w:rsid w:val="001562FF"/>
    <w:rsid w:val="0015632B"/>
    <w:rsid w:val="0015648E"/>
    <w:rsid w:val="001565EC"/>
    <w:rsid w:val="00156889"/>
    <w:rsid w:val="001572B9"/>
    <w:rsid w:val="00157328"/>
    <w:rsid w:val="00157574"/>
    <w:rsid w:val="001577B8"/>
    <w:rsid w:val="001601D7"/>
    <w:rsid w:val="00160244"/>
    <w:rsid w:val="001609CD"/>
    <w:rsid w:val="00160AB1"/>
    <w:rsid w:val="00160CAA"/>
    <w:rsid w:val="00160CDC"/>
    <w:rsid w:val="001616B9"/>
    <w:rsid w:val="00161896"/>
    <w:rsid w:val="00161930"/>
    <w:rsid w:val="001619A6"/>
    <w:rsid w:val="00161BBB"/>
    <w:rsid w:val="001621AE"/>
    <w:rsid w:val="00162393"/>
    <w:rsid w:val="001626E7"/>
    <w:rsid w:val="00162B62"/>
    <w:rsid w:val="00162E21"/>
    <w:rsid w:val="00163046"/>
    <w:rsid w:val="0016308A"/>
    <w:rsid w:val="00163783"/>
    <w:rsid w:val="001639A0"/>
    <w:rsid w:val="001639C7"/>
    <w:rsid w:val="001644DB"/>
    <w:rsid w:val="00164505"/>
    <w:rsid w:val="0016476C"/>
    <w:rsid w:val="0016481F"/>
    <w:rsid w:val="0016484C"/>
    <w:rsid w:val="00164E7E"/>
    <w:rsid w:val="00164E8D"/>
    <w:rsid w:val="001656BF"/>
    <w:rsid w:val="001658D3"/>
    <w:rsid w:val="00166173"/>
    <w:rsid w:val="0016685B"/>
    <w:rsid w:val="00166EE0"/>
    <w:rsid w:val="00167219"/>
    <w:rsid w:val="001673BF"/>
    <w:rsid w:val="0016752A"/>
    <w:rsid w:val="0016763D"/>
    <w:rsid w:val="001676A2"/>
    <w:rsid w:val="00167820"/>
    <w:rsid w:val="00167B35"/>
    <w:rsid w:val="00167E57"/>
    <w:rsid w:val="00167F6F"/>
    <w:rsid w:val="00170192"/>
    <w:rsid w:val="00170493"/>
    <w:rsid w:val="00170601"/>
    <w:rsid w:val="0017064E"/>
    <w:rsid w:val="00170BC7"/>
    <w:rsid w:val="00171108"/>
    <w:rsid w:val="00171395"/>
    <w:rsid w:val="00171863"/>
    <w:rsid w:val="00171CA7"/>
    <w:rsid w:val="00172150"/>
    <w:rsid w:val="00172204"/>
    <w:rsid w:val="00172460"/>
    <w:rsid w:val="00172481"/>
    <w:rsid w:val="0017278E"/>
    <w:rsid w:val="00172C58"/>
    <w:rsid w:val="00172E5E"/>
    <w:rsid w:val="00172EE0"/>
    <w:rsid w:val="001732BD"/>
    <w:rsid w:val="00173386"/>
    <w:rsid w:val="00173588"/>
    <w:rsid w:val="001736CD"/>
    <w:rsid w:val="00173912"/>
    <w:rsid w:val="00174768"/>
    <w:rsid w:val="001747B4"/>
    <w:rsid w:val="00174899"/>
    <w:rsid w:val="00174D9E"/>
    <w:rsid w:val="00175011"/>
    <w:rsid w:val="0017510E"/>
    <w:rsid w:val="00175317"/>
    <w:rsid w:val="0017531B"/>
    <w:rsid w:val="00175370"/>
    <w:rsid w:val="001755E6"/>
    <w:rsid w:val="001758DB"/>
    <w:rsid w:val="00175905"/>
    <w:rsid w:val="001759B7"/>
    <w:rsid w:val="00175D41"/>
    <w:rsid w:val="00175E1E"/>
    <w:rsid w:val="00176086"/>
    <w:rsid w:val="0017619E"/>
    <w:rsid w:val="00176502"/>
    <w:rsid w:val="0017668B"/>
    <w:rsid w:val="00176717"/>
    <w:rsid w:val="001769CD"/>
    <w:rsid w:val="00176A7F"/>
    <w:rsid w:val="00176D9D"/>
    <w:rsid w:val="001774C3"/>
    <w:rsid w:val="001777B4"/>
    <w:rsid w:val="0017788C"/>
    <w:rsid w:val="00177EF8"/>
    <w:rsid w:val="0018011E"/>
    <w:rsid w:val="00180131"/>
    <w:rsid w:val="001806EC"/>
    <w:rsid w:val="00180728"/>
    <w:rsid w:val="00181053"/>
    <w:rsid w:val="00181054"/>
    <w:rsid w:val="0018133B"/>
    <w:rsid w:val="00181562"/>
    <w:rsid w:val="001816BF"/>
    <w:rsid w:val="001819E8"/>
    <w:rsid w:val="00181D81"/>
    <w:rsid w:val="00182016"/>
    <w:rsid w:val="0018203E"/>
    <w:rsid w:val="00182B01"/>
    <w:rsid w:val="00182B8D"/>
    <w:rsid w:val="00182CBE"/>
    <w:rsid w:val="00183431"/>
    <w:rsid w:val="001834C8"/>
    <w:rsid w:val="001835E0"/>
    <w:rsid w:val="001838E7"/>
    <w:rsid w:val="001839C6"/>
    <w:rsid w:val="00183C2E"/>
    <w:rsid w:val="00184142"/>
    <w:rsid w:val="001847BA"/>
    <w:rsid w:val="00184DD2"/>
    <w:rsid w:val="00184F8C"/>
    <w:rsid w:val="00184FFA"/>
    <w:rsid w:val="00185368"/>
    <w:rsid w:val="001853F6"/>
    <w:rsid w:val="00185490"/>
    <w:rsid w:val="001854DE"/>
    <w:rsid w:val="0018563B"/>
    <w:rsid w:val="00185677"/>
    <w:rsid w:val="001856CD"/>
    <w:rsid w:val="001856DF"/>
    <w:rsid w:val="0018633D"/>
    <w:rsid w:val="00186440"/>
    <w:rsid w:val="001866DF"/>
    <w:rsid w:val="00186B60"/>
    <w:rsid w:val="001876B6"/>
    <w:rsid w:val="00187A9F"/>
    <w:rsid w:val="00190449"/>
    <w:rsid w:val="0019049C"/>
    <w:rsid w:val="001909C9"/>
    <w:rsid w:val="00190BBB"/>
    <w:rsid w:val="00190CF0"/>
    <w:rsid w:val="00190E35"/>
    <w:rsid w:val="001910A4"/>
    <w:rsid w:val="0019173D"/>
    <w:rsid w:val="00191A38"/>
    <w:rsid w:val="00191B42"/>
    <w:rsid w:val="00191E3E"/>
    <w:rsid w:val="001920CC"/>
    <w:rsid w:val="00193601"/>
    <w:rsid w:val="00193782"/>
    <w:rsid w:val="001938A0"/>
    <w:rsid w:val="00193CAE"/>
    <w:rsid w:val="00193DB1"/>
    <w:rsid w:val="00193DD5"/>
    <w:rsid w:val="00193DFD"/>
    <w:rsid w:val="00193E41"/>
    <w:rsid w:val="00193F90"/>
    <w:rsid w:val="00194061"/>
    <w:rsid w:val="00194344"/>
    <w:rsid w:val="001943AE"/>
    <w:rsid w:val="001943CC"/>
    <w:rsid w:val="001948E2"/>
    <w:rsid w:val="00194D77"/>
    <w:rsid w:val="00194E6D"/>
    <w:rsid w:val="00195102"/>
    <w:rsid w:val="0019515B"/>
    <w:rsid w:val="001951F8"/>
    <w:rsid w:val="001954BD"/>
    <w:rsid w:val="00195656"/>
    <w:rsid w:val="0019605C"/>
    <w:rsid w:val="00196193"/>
    <w:rsid w:val="00196279"/>
    <w:rsid w:val="0019628F"/>
    <w:rsid w:val="00196336"/>
    <w:rsid w:val="00196429"/>
    <w:rsid w:val="00196CD0"/>
    <w:rsid w:val="001971DA"/>
    <w:rsid w:val="00197738"/>
    <w:rsid w:val="00197789"/>
    <w:rsid w:val="001A0381"/>
    <w:rsid w:val="001A07B0"/>
    <w:rsid w:val="001A07DD"/>
    <w:rsid w:val="001A0D11"/>
    <w:rsid w:val="001A11CF"/>
    <w:rsid w:val="001A1490"/>
    <w:rsid w:val="001A15B9"/>
    <w:rsid w:val="001A1D70"/>
    <w:rsid w:val="001A230A"/>
    <w:rsid w:val="001A2AE6"/>
    <w:rsid w:val="001A2AEC"/>
    <w:rsid w:val="001A2BB6"/>
    <w:rsid w:val="001A2C14"/>
    <w:rsid w:val="001A2C78"/>
    <w:rsid w:val="001A2CB9"/>
    <w:rsid w:val="001A2CD4"/>
    <w:rsid w:val="001A3187"/>
    <w:rsid w:val="001A320D"/>
    <w:rsid w:val="001A3828"/>
    <w:rsid w:val="001A47ED"/>
    <w:rsid w:val="001A4A63"/>
    <w:rsid w:val="001A4B95"/>
    <w:rsid w:val="001A4D28"/>
    <w:rsid w:val="001A4D94"/>
    <w:rsid w:val="001A5178"/>
    <w:rsid w:val="001A527F"/>
    <w:rsid w:val="001A5714"/>
    <w:rsid w:val="001A57C0"/>
    <w:rsid w:val="001A58C7"/>
    <w:rsid w:val="001A5A6C"/>
    <w:rsid w:val="001A5B2B"/>
    <w:rsid w:val="001A5CDB"/>
    <w:rsid w:val="001A6107"/>
    <w:rsid w:val="001A63E1"/>
    <w:rsid w:val="001A6568"/>
    <w:rsid w:val="001A685B"/>
    <w:rsid w:val="001A6FD7"/>
    <w:rsid w:val="001A7410"/>
    <w:rsid w:val="001A7979"/>
    <w:rsid w:val="001A7DEB"/>
    <w:rsid w:val="001A7EAE"/>
    <w:rsid w:val="001B0046"/>
    <w:rsid w:val="001B013D"/>
    <w:rsid w:val="001B04E6"/>
    <w:rsid w:val="001B0647"/>
    <w:rsid w:val="001B0682"/>
    <w:rsid w:val="001B07BB"/>
    <w:rsid w:val="001B08E9"/>
    <w:rsid w:val="001B0CE4"/>
    <w:rsid w:val="001B0D00"/>
    <w:rsid w:val="001B0D7A"/>
    <w:rsid w:val="001B100D"/>
    <w:rsid w:val="001B1059"/>
    <w:rsid w:val="001B1AFA"/>
    <w:rsid w:val="001B1B8D"/>
    <w:rsid w:val="001B2230"/>
    <w:rsid w:val="001B2291"/>
    <w:rsid w:val="001B29D8"/>
    <w:rsid w:val="001B29E9"/>
    <w:rsid w:val="001B2A6E"/>
    <w:rsid w:val="001B33F3"/>
    <w:rsid w:val="001B3503"/>
    <w:rsid w:val="001B3597"/>
    <w:rsid w:val="001B360F"/>
    <w:rsid w:val="001B3C9B"/>
    <w:rsid w:val="001B42E9"/>
    <w:rsid w:val="001B462D"/>
    <w:rsid w:val="001B46D4"/>
    <w:rsid w:val="001B4E8B"/>
    <w:rsid w:val="001B5753"/>
    <w:rsid w:val="001B5A7F"/>
    <w:rsid w:val="001B5E13"/>
    <w:rsid w:val="001B609C"/>
    <w:rsid w:val="001B626E"/>
    <w:rsid w:val="001B6537"/>
    <w:rsid w:val="001B6699"/>
    <w:rsid w:val="001B6875"/>
    <w:rsid w:val="001B6DAA"/>
    <w:rsid w:val="001B70AD"/>
    <w:rsid w:val="001B70F1"/>
    <w:rsid w:val="001B71FD"/>
    <w:rsid w:val="001B76A3"/>
    <w:rsid w:val="001B76AE"/>
    <w:rsid w:val="001B7D49"/>
    <w:rsid w:val="001B7F97"/>
    <w:rsid w:val="001C054A"/>
    <w:rsid w:val="001C126B"/>
    <w:rsid w:val="001C12DF"/>
    <w:rsid w:val="001C1517"/>
    <w:rsid w:val="001C15AE"/>
    <w:rsid w:val="001C17A3"/>
    <w:rsid w:val="001C1A57"/>
    <w:rsid w:val="001C1D7C"/>
    <w:rsid w:val="001C1EAB"/>
    <w:rsid w:val="001C23E5"/>
    <w:rsid w:val="001C2710"/>
    <w:rsid w:val="001C2AE3"/>
    <w:rsid w:val="001C3373"/>
    <w:rsid w:val="001C3580"/>
    <w:rsid w:val="001C3A8D"/>
    <w:rsid w:val="001C3F04"/>
    <w:rsid w:val="001C46C7"/>
    <w:rsid w:val="001C4834"/>
    <w:rsid w:val="001C4C64"/>
    <w:rsid w:val="001C4DD0"/>
    <w:rsid w:val="001C5431"/>
    <w:rsid w:val="001C58DA"/>
    <w:rsid w:val="001C5CF7"/>
    <w:rsid w:val="001C5D47"/>
    <w:rsid w:val="001C6297"/>
    <w:rsid w:val="001C6418"/>
    <w:rsid w:val="001C6606"/>
    <w:rsid w:val="001C663E"/>
    <w:rsid w:val="001C7460"/>
    <w:rsid w:val="001C7990"/>
    <w:rsid w:val="001C7E1D"/>
    <w:rsid w:val="001D010B"/>
    <w:rsid w:val="001D013D"/>
    <w:rsid w:val="001D0231"/>
    <w:rsid w:val="001D0849"/>
    <w:rsid w:val="001D0A64"/>
    <w:rsid w:val="001D0AAE"/>
    <w:rsid w:val="001D0CB6"/>
    <w:rsid w:val="001D0F60"/>
    <w:rsid w:val="001D133B"/>
    <w:rsid w:val="001D172A"/>
    <w:rsid w:val="001D1A89"/>
    <w:rsid w:val="001D1A8C"/>
    <w:rsid w:val="001D2314"/>
    <w:rsid w:val="001D23EF"/>
    <w:rsid w:val="001D3537"/>
    <w:rsid w:val="001D374A"/>
    <w:rsid w:val="001D3757"/>
    <w:rsid w:val="001D3ACF"/>
    <w:rsid w:val="001D3DA1"/>
    <w:rsid w:val="001D4044"/>
    <w:rsid w:val="001D4270"/>
    <w:rsid w:val="001D4294"/>
    <w:rsid w:val="001D441E"/>
    <w:rsid w:val="001D4488"/>
    <w:rsid w:val="001D47E6"/>
    <w:rsid w:val="001D4DFD"/>
    <w:rsid w:val="001D5442"/>
    <w:rsid w:val="001D5543"/>
    <w:rsid w:val="001D56E1"/>
    <w:rsid w:val="001D5B0D"/>
    <w:rsid w:val="001D5D09"/>
    <w:rsid w:val="001D5DDD"/>
    <w:rsid w:val="001D5FFD"/>
    <w:rsid w:val="001D676E"/>
    <w:rsid w:val="001D6DFB"/>
    <w:rsid w:val="001D739E"/>
    <w:rsid w:val="001D75AA"/>
    <w:rsid w:val="001D7B0C"/>
    <w:rsid w:val="001D7D25"/>
    <w:rsid w:val="001D7DA2"/>
    <w:rsid w:val="001D7E8E"/>
    <w:rsid w:val="001E009C"/>
    <w:rsid w:val="001E02AE"/>
    <w:rsid w:val="001E02BA"/>
    <w:rsid w:val="001E0AB5"/>
    <w:rsid w:val="001E1130"/>
    <w:rsid w:val="001E1203"/>
    <w:rsid w:val="001E1322"/>
    <w:rsid w:val="001E13F6"/>
    <w:rsid w:val="001E1B4E"/>
    <w:rsid w:val="001E1E70"/>
    <w:rsid w:val="001E24D2"/>
    <w:rsid w:val="001E2856"/>
    <w:rsid w:val="001E2C7D"/>
    <w:rsid w:val="001E2E40"/>
    <w:rsid w:val="001E2F29"/>
    <w:rsid w:val="001E339D"/>
    <w:rsid w:val="001E35FA"/>
    <w:rsid w:val="001E3706"/>
    <w:rsid w:val="001E3999"/>
    <w:rsid w:val="001E3B9B"/>
    <w:rsid w:val="001E3BE0"/>
    <w:rsid w:val="001E3CA1"/>
    <w:rsid w:val="001E4228"/>
    <w:rsid w:val="001E43E1"/>
    <w:rsid w:val="001E4A05"/>
    <w:rsid w:val="001E52D2"/>
    <w:rsid w:val="001E58AD"/>
    <w:rsid w:val="001E5AB7"/>
    <w:rsid w:val="001E5AC9"/>
    <w:rsid w:val="001E5C23"/>
    <w:rsid w:val="001E5C37"/>
    <w:rsid w:val="001E5E90"/>
    <w:rsid w:val="001E664F"/>
    <w:rsid w:val="001E6A15"/>
    <w:rsid w:val="001E6BB3"/>
    <w:rsid w:val="001E7880"/>
    <w:rsid w:val="001E7CDF"/>
    <w:rsid w:val="001E7E39"/>
    <w:rsid w:val="001E7ECB"/>
    <w:rsid w:val="001E7F20"/>
    <w:rsid w:val="001F00C8"/>
    <w:rsid w:val="001F00DD"/>
    <w:rsid w:val="001F04DE"/>
    <w:rsid w:val="001F0908"/>
    <w:rsid w:val="001F09AF"/>
    <w:rsid w:val="001F1645"/>
    <w:rsid w:val="001F1B48"/>
    <w:rsid w:val="001F1E14"/>
    <w:rsid w:val="001F2321"/>
    <w:rsid w:val="001F24BC"/>
    <w:rsid w:val="001F25C5"/>
    <w:rsid w:val="001F2886"/>
    <w:rsid w:val="001F2AB1"/>
    <w:rsid w:val="001F30FC"/>
    <w:rsid w:val="001F3438"/>
    <w:rsid w:val="001F3BC7"/>
    <w:rsid w:val="001F416A"/>
    <w:rsid w:val="001F482E"/>
    <w:rsid w:val="001F49D0"/>
    <w:rsid w:val="001F4B85"/>
    <w:rsid w:val="001F5569"/>
    <w:rsid w:val="001F5B11"/>
    <w:rsid w:val="001F5B83"/>
    <w:rsid w:val="001F5B9E"/>
    <w:rsid w:val="001F5D8E"/>
    <w:rsid w:val="001F5F2C"/>
    <w:rsid w:val="001F6597"/>
    <w:rsid w:val="001F6845"/>
    <w:rsid w:val="001F6A22"/>
    <w:rsid w:val="001F6CDC"/>
    <w:rsid w:val="001F6D23"/>
    <w:rsid w:val="001F6FE6"/>
    <w:rsid w:val="001F7083"/>
    <w:rsid w:val="001F7263"/>
    <w:rsid w:val="001F732B"/>
    <w:rsid w:val="001F75FE"/>
    <w:rsid w:val="001F774F"/>
    <w:rsid w:val="001F7AA3"/>
    <w:rsid w:val="001F7D1A"/>
    <w:rsid w:val="001F7E68"/>
    <w:rsid w:val="002001DA"/>
    <w:rsid w:val="0020024A"/>
    <w:rsid w:val="002009B3"/>
    <w:rsid w:val="00200ACF"/>
    <w:rsid w:val="00200C83"/>
    <w:rsid w:val="00200D1B"/>
    <w:rsid w:val="00200D6F"/>
    <w:rsid w:val="002014B8"/>
    <w:rsid w:val="002017B0"/>
    <w:rsid w:val="00201C43"/>
    <w:rsid w:val="00201D70"/>
    <w:rsid w:val="002022F2"/>
    <w:rsid w:val="00202849"/>
    <w:rsid w:val="00202B76"/>
    <w:rsid w:val="00203606"/>
    <w:rsid w:val="00203688"/>
    <w:rsid w:val="00203C49"/>
    <w:rsid w:val="00203D5C"/>
    <w:rsid w:val="00204138"/>
    <w:rsid w:val="0020429E"/>
    <w:rsid w:val="002042D8"/>
    <w:rsid w:val="0020451F"/>
    <w:rsid w:val="00204665"/>
    <w:rsid w:val="00204BE2"/>
    <w:rsid w:val="00205348"/>
    <w:rsid w:val="002059A7"/>
    <w:rsid w:val="002059CD"/>
    <w:rsid w:val="00205B33"/>
    <w:rsid w:val="0020606B"/>
    <w:rsid w:val="00206331"/>
    <w:rsid w:val="00206417"/>
    <w:rsid w:val="002064A7"/>
    <w:rsid w:val="00206553"/>
    <w:rsid w:val="002067B9"/>
    <w:rsid w:val="002069A5"/>
    <w:rsid w:val="00206C17"/>
    <w:rsid w:val="00206F24"/>
    <w:rsid w:val="002074D6"/>
    <w:rsid w:val="002075EA"/>
    <w:rsid w:val="00207659"/>
    <w:rsid w:val="00207DB3"/>
    <w:rsid w:val="00207E7B"/>
    <w:rsid w:val="00207EC8"/>
    <w:rsid w:val="00207F4C"/>
    <w:rsid w:val="002101CC"/>
    <w:rsid w:val="002103CC"/>
    <w:rsid w:val="002105FA"/>
    <w:rsid w:val="00210F10"/>
    <w:rsid w:val="002110D6"/>
    <w:rsid w:val="0021150D"/>
    <w:rsid w:val="00211799"/>
    <w:rsid w:val="00211C61"/>
    <w:rsid w:val="00211CD8"/>
    <w:rsid w:val="00211EF5"/>
    <w:rsid w:val="0021216D"/>
    <w:rsid w:val="002123ED"/>
    <w:rsid w:val="002123FD"/>
    <w:rsid w:val="00212412"/>
    <w:rsid w:val="00212428"/>
    <w:rsid w:val="0021255E"/>
    <w:rsid w:val="002126AC"/>
    <w:rsid w:val="002127C5"/>
    <w:rsid w:val="0021283E"/>
    <w:rsid w:val="00212BC1"/>
    <w:rsid w:val="00213279"/>
    <w:rsid w:val="00213459"/>
    <w:rsid w:val="0021355A"/>
    <w:rsid w:val="002136A6"/>
    <w:rsid w:val="0021373F"/>
    <w:rsid w:val="002138C8"/>
    <w:rsid w:val="00213913"/>
    <w:rsid w:val="00213AD1"/>
    <w:rsid w:val="00213B81"/>
    <w:rsid w:val="00213B8C"/>
    <w:rsid w:val="00213C44"/>
    <w:rsid w:val="00213CF0"/>
    <w:rsid w:val="00213D8C"/>
    <w:rsid w:val="00213E1D"/>
    <w:rsid w:val="00213E4B"/>
    <w:rsid w:val="002142A9"/>
    <w:rsid w:val="00214DCA"/>
    <w:rsid w:val="00214DCD"/>
    <w:rsid w:val="0021509B"/>
    <w:rsid w:val="0021515B"/>
    <w:rsid w:val="00216046"/>
    <w:rsid w:val="002160BE"/>
    <w:rsid w:val="0021667A"/>
    <w:rsid w:val="002166A4"/>
    <w:rsid w:val="002169A7"/>
    <w:rsid w:val="00216A92"/>
    <w:rsid w:val="00216F79"/>
    <w:rsid w:val="00216FB5"/>
    <w:rsid w:val="0021710A"/>
    <w:rsid w:val="002173CA"/>
    <w:rsid w:val="002179CF"/>
    <w:rsid w:val="00217CFA"/>
    <w:rsid w:val="002205A4"/>
    <w:rsid w:val="00220B38"/>
    <w:rsid w:val="00220DA3"/>
    <w:rsid w:val="00220F8D"/>
    <w:rsid w:val="0022126B"/>
    <w:rsid w:val="0022170D"/>
    <w:rsid w:val="00221ECC"/>
    <w:rsid w:val="0022231C"/>
    <w:rsid w:val="002223C9"/>
    <w:rsid w:val="0022265F"/>
    <w:rsid w:val="0022277B"/>
    <w:rsid w:val="002227CA"/>
    <w:rsid w:val="00222895"/>
    <w:rsid w:val="00222E9B"/>
    <w:rsid w:val="0022321F"/>
    <w:rsid w:val="002235C3"/>
    <w:rsid w:val="00223ECB"/>
    <w:rsid w:val="00223F3D"/>
    <w:rsid w:val="00223F3E"/>
    <w:rsid w:val="002248B5"/>
    <w:rsid w:val="00224D6E"/>
    <w:rsid w:val="00224DAC"/>
    <w:rsid w:val="002253EC"/>
    <w:rsid w:val="00225A73"/>
    <w:rsid w:val="00225C6D"/>
    <w:rsid w:val="00225E9D"/>
    <w:rsid w:val="002260FE"/>
    <w:rsid w:val="0022661D"/>
    <w:rsid w:val="0022685E"/>
    <w:rsid w:val="00226FAD"/>
    <w:rsid w:val="0022733B"/>
    <w:rsid w:val="002274BB"/>
    <w:rsid w:val="002303DE"/>
    <w:rsid w:val="002306A2"/>
    <w:rsid w:val="00230A94"/>
    <w:rsid w:val="00230E8E"/>
    <w:rsid w:val="00231EDF"/>
    <w:rsid w:val="002320BF"/>
    <w:rsid w:val="0023230D"/>
    <w:rsid w:val="00232387"/>
    <w:rsid w:val="00232425"/>
    <w:rsid w:val="00232A1A"/>
    <w:rsid w:val="00232A6D"/>
    <w:rsid w:val="00232C15"/>
    <w:rsid w:val="00232DAD"/>
    <w:rsid w:val="00232E0C"/>
    <w:rsid w:val="00232ED3"/>
    <w:rsid w:val="002332FA"/>
    <w:rsid w:val="002335EA"/>
    <w:rsid w:val="00233953"/>
    <w:rsid w:val="00233DAC"/>
    <w:rsid w:val="00233DF2"/>
    <w:rsid w:val="00234AF9"/>
    <w:rsid w:val="00234D19"/>
    <w:rsid w:val="00235345"/>
    <w:rsid w:val="00235635"/>
    <w:rsid w:val="00235688"/>
    <w:rsid w:val="002356DE"/>
    <w:rsid w:val="00235763"/>
    <w:rsid w:val="00235BF1"/>
    <w:rsid w:val="00235D15"/>
    <w:rsid w:val="002363D7"/>
    <w:rsid w:val="002364ED"/>
    <w:rsid w:val="00236C1F"/>
    <w:rsid w:val="00237494"/>
    <w:rsid w:val="00237790"/>
    <w:rsid w:val="00237978"/>
    <w:rsid w:val="00237D4C"/>
    <w:rsid w:val="00237F97"/>
    <w:rsid w:val="0024022A"/>
    <w:rsid w:val="002404D8"/>
    <w:rsid w:val="00240C08"/>
    <w:rsid w:val="002410CE"/>
    <w:rsid w:val="00241B18"/>
    <w:rsid w:val="00242442"/>
    <w:rsid w:val="002426A2"/>
    <w:rsid w:val="00242920"/>
    <w:rsid w:val="00242C03"/>
    <w:rsid w:val="002432B2"/>
    <w:rsid w:val="00243419"/>
    <w:rsid w:val="00243464"/>
    <w:rsid w:val="00243DD3"/>
    <w:rsid w:val="0024405E"/>
    <w:rsid w:val="0024432E"/>
    <w:rsid w:val="002443CF"/>
    <w:rsid w:val="0024440E"/>
    <w:rsid w:val="002450AC"/>
    <w:rsid w:val="002455E2"/>
    <w:rsid w:val="0024594A"/>
    <w:rsid w:val="002459A2"/>
    <w:rsid w:val="00245B4B"/>
    <w:rsid w:val="00245CB7"/>
    <w:rsid w:val="002462E6"/>
    <w:rsid w:val="00246673"/>
    <w:rsid w:val="00246674"/>
    <w:rsid w:val="00246783"/>
    <w:rsid w:val="0024678E"/>
    <w:rsid w:val="00246995"/>
    <w:rsid w:val="002469E2"/>
    <w:rsid w:val="0024735D"/>
    <w:rsid w:val="002473E2"/>
    <w:rsid w:val="002476ED"/>
    <w:rsid w:val="0024795C"/>
    <w:rsid w:val="00247DC7"/>
    <w:rsid w:val="00247F21"/>
    <w:rsid w:val="0025009D"/>
    <w:rsid w:val="00250BC2"/>
    <w:rsid w:val="00250C3C"/>
    <w:rsid w:val="00251132"/>
    <w:rsid w:val="002512AA"/>
    <w:rsid w:val="002512BE"/>
    <w:rsid w:val="00251FF5"/>
    <w:rsid w:val="002522FD"/>
    <w:rsid w:val="002524E1"/>
    <w:rsid w:val="00252ADB"/>
    <w:rsid w:val="00252E33"/>
    <w:rsid w:val="00253350"/>
    <w:rsid w:val="002535DF"/>
    <w:rsid w:val="002536D3"/>
    <w:rsid w:val="002537E2"/>
    <w:rsid w:val="00253DA6"/>
    <w:rsid w:val="00253E74"/>
    <w:rsid w:val="00254407"/>
    <w:rsid w:val="00254641"/>
    <w:rsid w:val="00254715"/>
    <w:rsid w:val="00254738"/>
    <w:rsid w:val="002547E2"/>
    <w:rsid w:val="002548F2"/>
    <w:rsid w:val="0025559E"/>
    <w:rsid w:val="00255763"/>
    <w:rsid w:val="0025580C"/>
    <w:rsid w:val="0025593C"/>
    <w:rsid w:val="00255C69"/>
    <w:rsid w:val="00255DEB"/>
    <w:rsid w:val="00255F9D"/>
    <w:rsid w:val="002560C2"/>
    <w:rsid w:val="0025624E"/>
    <w:rsid w:val="00256533"/>
    <w:rsid w:val="002566C2"/>
    <w:rsid w:val="002566CA"/>
    <w:rsid w:val="00256709"/>
    <w:rsid w:val="00256D45"/>
    <w:rsid w:val="00257147"/>
    <w:rsid w:val="0025714E"/>
    <w:rsid w:val="0025733D"/>
    <w:rsid w:val="002575C1"/>
    <w:rsid w:val="00257802"/>
    <w:rsid w:val="00257AF8"/>
    <w:rsid w:val="00257BAF"/>
    <w:rsid w:val="00257CA3"/>
    <w:rsid w:val="00260458"/>
    <w:rsid w:val="00260579"/>
    <w:rsid w:val="00260636"/>
    <w:rsid w:val="00260756"/>
    <w:rsid w:val="0026084B"/>
    <w:rsid w:val="00260B30"/>
    <w:rsid w:val="00260CDB"/>
    <w:rsid w:val="00260E7A"/>
    <w:rsid w:val="002614F2"/>
    <w:rsid w:val="00261630"/>
    <w:rsid w:val="0026163E"/>
    <w:rsid w:val="002616A8"/>
    <w:rsid w:val="002616BE"/>
    <w:rsid w:val="00261856"/>
    <w:rsid w:val="0026191F"/>
    <w:rsid w:val="00261CD6"/>
    <w:rsid w:val="00261DF7"/>
    <w:rsid w:val="00261E2B"/>
    <w:rsid w:val="002620BE"/>
    <w:rsid w:val="00262101"/>
    <w:rsid w:val="00262950"/>
    <w:rsid w:val="00262A61"/>
    <w:rsid w:val="00262C46"/>
    <w:rsid w:val="002631CA"/>
    <w:rsid w:val="00263310"/>
    <w:rsid w:val="00263F71"/>
    <w:rsid w:val="00264A63"/>
    <w:rsid w:val="00264B63"/>
    <w:rsid w:val="00264D6C"/>
    <w:rsid w:val="00264E23"/>
    <w:rsid w:val="0026526F"/>
    <w:rsid w:val="002652FE"/>
    <w:rsid w:val="0026535F"/>
    <w:rsid w:val="002658CA"/>
    <w:rsid w:val="00265A0D"/>
    <w:rsid w:val="00265B36"/>
    <w:rsid w:val="00265D40"/>
    <w:rsid w:val="00265DA8"/>
    <w:rsid w:val="00265FF4"/>
    <w:rsid w:val="00266BEA"/>
    <w:rsid w:val="00266EC3"/>
    <w:rsid w:val="00266FC5"/>
    <w:rsid w:val="00267006"/>
    <w:rsid w:val="00270082"/>
    <w:rsid w:val="002700C2"/>
    <w:rsid w:val="00270168"/>
    <w:rsid w:val="002701A0"/>
    <w:rsid w:val="00270226"/>
    <w:rsid w:val="00270319"/>
    <w:rsid w:val="00270382"/>
    <w:rsid w:val="00270773"/>
    <w:rsid w:val="002709B1"/>
    <w:rsid w:val="00270DCD"/>
    <w:rsid w:val="00271106"/>
    <w:rsid w:val="0027138E"/>
    <w:rsid w:val="002714BD"/>
    <w:rsid w:val="00271508"/>
    <w:rsid w:val="002716A0"/>
    <w:rsid w:val="00271EC8"/>
    <w:rsid w:val="0027213A"/>
    <w:rsid w:val="00272189"/>
    <w:rsid w:val="00272390"/>
    <w:rsid w:val="002723B2"/>
    <w:rsid w:val="00272417"/>
    <w:rsid w:val="002725B6"/>
    <w:rsid w:val="002728D6"/>
    <w:rsid w:val="002728F3"/>
    <w:rsid w:val="00272AE2"/>
    <w:rsid w:val="00272BE1"/>
    <w:rsid w:val="002731E0"/>
    <w:rsid w:val="002736C9"/>
    <w:rsid w:val="00273D29"/>
    <w:rsid w:val="00273D55"/>
    <w:rsid w:val="00274A16"/>
    <w:rsid w:val="00274E5D"/>
    <w:rsid w:val="00274ED1"/>
    <w:rsid w:val="00274F88"/>
    <w:rsid w:val="002753EB"/>
    <w:rsid w:val="00275761"/>
    <w:rsid w:val="002757AB"/>
    <w:rsid w:val="00275B4A"/>
    <w:rsid w:val="002765B4"/>
    <w:rsid w:val="00276714"/>
    <w:rsid w:val="00276941"/>
    <w:rsid w:val="00276D0E"/>
    <w:rsid w:val="00276F07"/>
    <w:rsid w:val="00277100"/>
    <w:rsid w:val="002771D9"/>
    <w:rsid w:val="00277A38"/>
    <w:rsid w:val="0028014B"/>
    <w:rsid w:val="0028053E"/>
    <w:rsid w:val="00280568"/>
    <w:rsid w:val="002807DC"/>
    <w:rsid w:val="00280DBD"/>
    <w:rsid w:val="00280E6C"/>
    <w:rsid w:val="00280E76"/>
    <w:rsid w:val="00280E9B"/>
    <w:rsid w:val="0028107B"/>
    <w:rsid w:val="0028145C"/>
    <w:rsid w:val="002815D2"/>
    <w:rsid w:val="002816B3"/>
    <w:rsid w:val="002819B6"/>
    <w:rsid w:val="00281DF6"/>
    <w:rsid w:val="00281FD7"/>
    <w:rsid w:val="00282247"/>
    <w:rsid w:val="002826E1"/>
    <w:rsid w:val="002827AF"/>
    <w:rsid w:val="00282999"/>
    <w:rsid w:val="00282C02"/>
    <w:rsid w:val="00282D94"/>
    <w:rsid w:val="00282EC3"/>
    <w:rsid w:val="00282F46"/>
    <w:rsid w:val="0028351A"/>
    <w:rsid w:val="00283751"/>
    <w:rsid w:val="002839E6"/>
    <w:rsid w:val="00283B5C"/>
    <w:rsid w:val="00283EC2"/>
    <w:rsid w:val="002840A1"/>
    <w:rsid w:val="0028453E"/>
    <w:rsid w:val="00285031"/>
    <w:rsid w:val="002850AD"/>
    <w:rsid w:val="002853E3"/>
    <w:rsid w:val="00285849"/>
    <w:rsid w:val="002859BA"/>
    <w:rsid w:val="00285FA5"/>
    <w:rsid w:val="00286088"/>
    <w:rsid w:val="002863AE"/>
    <w:rsid w:val="00286652"/>
    <w:rsid w:val="00287239"/>
    <w:rsid w:val="002874FD"/>
    <w:rsid w:val="0028751E"/>
    <w:rsid w:val="00287716"/>
    <w:rsid w:val="0028775D"/>
    <w:rsid w:val="00287B5D"/>
    <w:rsid w:val="00287FD0"/>
    <w:rsid w:val="002902CA"/>
    <w:rsid w:val="00290B5F"/>
    <w:rsid w:val="00290C66"/>
    <w:rsid w:val="00290C68"/>
    <w:rsid w:val="00290D74"/>
    <w:rsid w:val="00290F49"/>
    <w:rsid w:val="00291217"/>
    <w:rsid w:val="00291228"/>
    <w:rsid w:val="0029148F"/>
    <w:rsid w:val="002915A2"/>
    <w:rsid w:val="002917DC"/>
    <w:rsid w:val="00291ABC"/>
    <w:rsid w:val="00291C70"/>
    <w:rsid w:val="002922A3"/>
    <w:rsid w:val="00292D19"/>
    <w:rsid w:val="00292D73"/>
    <w:rsid w:val="0029300B"/>
    <w:rsid w:val="00293189"/>
    <w:rsid w:val="0029345E"/>
    <w:rsid w:val="00293585"/>
    <w:rsid w:val="00293A7D"/>
    <w:rsid w:val="00293BC9"/>
    <w:rsid w:val="002940C0"/>
    <w:rsid w:val="00294607"/>
    <w:rsid w:val="00295285"/>
    <w:rsid w:val="00295329"/>
    <w:rsid w:val="002958C4"/>
    <w:rsid w:val="00295A9F"/>
    <w:rsid w:val="00295C2B"/>
    <w:rsid w:val="002964D9"/>
    <w:rsid w:val="002965CF"/>
    <w:rsid w:val="002965D2"/>
    <w:rsid w:val="0029680B"/>
    <w:rsid w:val="0029683A"/>
    <w:rsid w:val="00296917"/>
    <w:rsid w:val="00297682"/>
    <w:rsid w:val="00297723"/>
    <w:rsid w:val="00297C02"/>
    <w:rsid w:val="00297C73"/>
    <w:rsid w:val="002A02FF"/>
    <w:rsid w:val="002A065A"/>
    <w:rsid w:val="002A0861"/>
    <w:rsid w:val="002A0E76"/>
    <w:rsid w:val="002A106A"/>
    <w:rsid w:val="002A1159"/>
    <w:rsid w:val="002A19D1"/>
    <w:rsid w:val="002A1D4E"/>
    <w:rsid w:val="002A2499"/>
    <w:rsid w:val="002A2609"/>
    <w:rsid w:val="002A2B2C"/>
    <w:rsid w:val="002A3126"/>
    <w:rsid w:val="002A33E1"/>
    <w:rsid w:val="002A3430"/>
    <w:rsid w:val="002A3918"/>
    <w:rsid w:val="002A3952"/>
    <w:rsid w:val="002A3BDB"/>
    <w:rsid w:val="002A3C6C"/>
    <w:rsid w:val="002A3D1D"/>
    <w:rsid w:val="002A3DC6"/>
    <w:rsid w:val="002A4717"/>
    <w:rsid w:val="002A4D62"/>
    <w:rsid w:val="002A5599"/>
    <w:rsid w:val="002A56BF"/>
    <w:rsid w:val="002A5850"/>
    <w:rsid w:val="002A5CA5"/>
    <w:rsid w:val="002A5FA8"/>
    <w:rsid w:val="002A6078"/>
    <w:rsid w:val="002A609F"/>
    <w:rsid w:val="002A628C"/>
    <w:rsid w:val="002A664F"/>
    <w:rsid w:val="002A6756"/>
    <w:rsid w:val="002A6805"/>
    <w:rsid w:val="002A6B19"/>
    <w:rsid w:val="002A6CA0"/>
    <w:rsid w:val="002A6DA7"/>
    <w:rsid w:val="002A70C0"/>
    <w:rsid w:val="002A7754"/>
    <w:rsid w:val="002B02BE"/>
    <w:rsid w:val="002B06F2"/>
    <w:rsid w:val="002B0730"/>
    <w:rsid w:val="002B07EF"/>
    <w:rsid w:val="002B0836"/>
    <w:rsid w:val="002B0943"/>
    <w:rsid w:val="002B1422"/>
    <w:rsid w:val="002B14FC"/>
    <w:rsid w:val="002B17EA"/>
    <w:rsid w:val="002B1A4F"/>
    <w:rsid w:val="002B1E97"/>
    <w:rsid w:val="002B2A8B"/>
    <w:rsid w:val="002B2B6F"/>
    <w:rsid w:val="002B2D01"/>
    <w:rsid w:val="002B2F05"/>
    <w:rsid w:val="002B3162"/>
    <w:rsid w:val="002B3308"/>
    <w:rsid w:val="002B3C63"/>
    <w:rsid w:val="002B3C6A"/>
    <w:rsid w:val="002B3D59"/>
    <w:rsid w:val="002B40F4"/>
    <w:rsid w:val="002B446C"/>
    <w:rsid w:val="002B47DE"/>
    <w:rsid w:val="002B4E2B"/>
    <w:rsid w:val="002B4F09"/>
    <w:rsid w:val="002B5174"/>
    <w:rsid w:val="002B5316"/>
    <w:rsid w:val="002B5C10"/>
    <w:rsid w:val="002B5D43"/>
    <w:rsid w:val="002B62EA"/>
    <w:rsid w:val="002B6540"/>
    <w:rsid w:val="002B6855"/>
    <w:rsid w:val="002B7133"/>
    <w:rsid w:val="002B720E"/>
    <w:rsid w:val="002B7E95"/>
    <w:rsid w:val="002C0023"/>
    <w:rsid w:val="002C00D5"/>
    <w:rsid w:val="002C012E"/>
    <w:rsid w:val="002C04EE"/>
    <w:rsid w:val="002C0527"/>
    <w:rsid w:val="002C08EE"/>
    <w:rsid w:val="002C0D1C"/>
    <w:rsid w:val="002C0EF8"/>
    <w:rsid w:val="002C1BA9"/>
    <w:rsid w:val="002C1C02"/>
    <w:rsid w:val="002C1CC5"/>
    <w:rsid w:val="002C1DBE"/>
    <w:rsid w:val="002C250C"/>
    <w:rsid w:val="002C25C5"/>
    <w:rsid w:val="002C270F"/>
    <w:rsid w:val="002C2F48"/>
    <w:rsid w:val="002C32D0"/>
    <w:rsid w:val="002C3512"/>
    <w:rsid w:val="002C3973"/>
    <w:rsid w:val="002C3FB4"/>
    <w:rsid w:val="002C45FE"/>
    <w:rsid w:val="002C4678"/>
    <w:rsid w:val="002C4E03"/>
    <w:rsid w:val="002C4EF0"/>
    <w:rsid w:val="002C4FD1"/>
    <w:rsid w:val="002C5188"/>
    <w:rsid w:val="002C5194"/>
    <w:rsid w:val="002C5224"/>
    <w:rsid w:val="002C5CCA"/>
    <w:rsid w:val="002C5E21"/>
    <w:rsid w:val="002C65EB"/>
    <w:rsid w:val="002C694C"/>
    <w:rsid w:val="002C696A"/>
    <w:rsid w:val="002C70F3"/>
    <w:rsid w:val="002C7137"/>
    <w:rsid w:val="002C7389"/>
    <w:rsid w:val="002C7481"/>
    <w:rsid w:val="002C7F9A"/>
    <w:rsid w:val="002D057A"/>
    <w:rsid w:val="002D065B"/>
    <w:rsid w:val="002D0775"/>
    <w:rsid w:val="002D088D"/>
    <w:rsid w:val="002D0A4A"/>
    <w:rsid w:val="002D0E13"/>
    <w:rsid w:val="002D11E3"/>
    <w:rsid w:val="002D12DC"/>
    <w:rsid w:val="002D1430"/>
    <w:rsid w:val="002D15B4"/>
    <w:rsid w:val="002D1C5C"/>
    <w:rsid w:val="002D1F27"/>
    <w:rsid w:val="002D219A"/>
    <w:rsid w:val="002D236F"/>
    <w:rsid w:val="002D248A"/>
    <w:rsid w:val="002D2DAC"/>
    <w:rsid w:val="002D2F52"/>
    <w:rsid w:val="002D2F84"/>
    <w:rsid w:val="002D2FD5"/>
    <w:rsid w:val="002D36D6"/>
    <w:rsid w:val="002D3E19"/>
    <w:rsid w:val="002D3ECE"/>
    <w:rsid w:val="002D3F9B"/>
    <w:rsid w:val="002D45EA"/>
    <w:rsid w:val="002D475A"/>
    <w:rsid w:val="002D48E9"/>
    <w:rsid w:val="002D4987"/>
    <w:rsid w:val="002D49E5"/>
    <w:rsid w:val="002D4CB2"/>
    <w:rsid w:val="002D55B7"/>
    <w:rsid w:val="002D5E10"/>
    <w:rsid w:val="002D5EE0"/>
    <w:rsid w:val="002D624A"/>
    <w:rsid w:val="002D64D6"/>
    <w:rsid w:val="002D652D"/>
    <w:rsid w:val="002D653A"/>
    <w:rsid w:val="002D65E7"/>
    <w:rsid w:val="002D66B4"/>
    <w:rsid w:val="002D66D9"/>
    <w:rsid w:val="002D697A"/>
    <w:rsid w:val="002D6C3A"/>
    <w:rsid w:val="002D6C90"/>
    <w:rsid w:val="002D724C"/>
    <w:rsid w:val="002D734D"/>
    <w:rsid w:val="002D73EF"/>
    <w:rsid w:val="002D75AC"/>
    <w:rsid w:val="002D7BEC"/>
    <w:rsid w:val="002D7F05"/>
    <w:rsid w:val="002D7F5A"/>
    <w:rsid w:val="002E008E"/>
    <w:rsid w:val="002E08CF"/>
    <w:rsid w:val="002E0931"/>
    <w:rsid w:val="002E0A9D"/>
    <w:rsid w:val="002E0C05"/>
    <w:rsid w:val="002E0E74"/>
    <w:rsid w:val="002E0F08"/>
    <w:rsid w:val="002E12B9"/>
    <w:rsid w:val="002E14A1"/>
    <w:rsid w:val="002E1515"/>
    <w:rsid w:val="002E153D"/>
    <w:rsid w:val="002E15D5"/>
    <w:rsid w:val="002E1709"/>
    <w:rsid w:val="002E1A1F"/>
    <w:rsid w:val="002E1AD2"/>
    <w:rsid w:val="002E1C49"/>
    <w:rsid w:val="002E1EDC"/>
    <w:rsid w:val="002E208F"/>
    <w:rsid w:val="002E2286"/>
    <w:rsid w:val="002E2824"/>
    <w:rsid w:val="002E2A7D"/>
    <w:rsid w:val="002E3455"/>
    <w:rsid w:val="002E357F"/>
    <w:rsid w:val="002E373F"/>
    <w:rsid w:val="002E37F6"/>
    <w:rsid w:val="002E38D2"/>
    <w:rsid w:val="002E3BF5"/>
    <w:rsid w:val="002E3D0C"/>
    <w:rsid w:val="002E3D23"/>
    <w:rsid w:val="002E425F"/>
    <w:rsid w:val="002E43D2"/>
    <w:rsid w:val="002E44A6"/>
    <w:rsid w:val="002E4E42"/>
    <w:rsid w:val="002E4FE9"/>
    <w:rsid w:val="002E5505"/>
    <w:rsid w:val="002E5666"/>
    <w:rsid w:val="002E5789"/>
    <w:rsid w:val="002E5BD8"/>
    <w:rsid w:val="002E5E21"/>
    <w:rsid w:val="002E63B8"/>
    <w:rsid w:val="002E6909"/>
    <w:rsid w:val="002E6BD2"/>
    <w:rsid w:val="002E7067"/>
    <w:rsid w:val="002E72EE"/>
    <w:rsid w:val="002E77E2"/>
    <w:rsid w:val="002F009C"/>
    <w:rsid w:val="002F00C2"/>
    <w:rsid w:val="002F090D"/>
    <w:rsid w:val="002F09F4"/>
    <w:rsid w:val="002F0DC6"/>
    <w:rsid w:val="002F113F"/>
    <w:rsid w:val="002F1445"/>
    <w:rsid w:val="002F14E6"/>
    <w:rsid w:val="002F16EC"/>
    <w:rsid w:val="002F1951"/>
    <w:rsid w:val="002F1BBE"/>
    <w:rsid w:val="002F2000"/>
    <w:rsid w:val="002F2165"/>
    <w:rsid w:val="002F2A0B"/>
    <w:rsid w:val="002F2A13"/>
    <w:rsid w:val="002F2AEC"/>
    <w:rsid w:val="002F2E1B"/>
    <w:rsid w:val="002F2E97"/>
    <w:rsid w:val="002F353A"/>
    <w:rsid w:val="002F372F"/>
    <w:rsid w:val="002F37BE"/>
    <w:rsid w:val="002F3AB0"/>
    <w:rsid w:val="002F3B65"/>
    <w:rsid w:val="002F3C3F"/>
    <w:rsid w:val="002F3CE1"/>
    <w:rsid w:val="002F3D3E"/>
    <w:rsid w:val="002F41B5"/>
    <w:rsid w:val="002F437D"/>
    <w:rsid w:val="002F44EF"/>
    <w:rsid w:val="002F4903"/>
    <w:rsid w:val="002F4928"/>
    <w:rsid w:val="002F4CEB"/>
    <w:rsid w:val="002F4EEB"/>
    <w:rsid w:val="002F4F37"/>
    <w:rsid w:val="002F553F"/>
    <w:rsid w:val="002F5B70"/>
    <w:rsid w:val="002F5CCC"/>
    <w:rsid w:val="002F5E8A"/>
    <w:rsid w:val="002F64D2"/>
    <w:rsid w:val="002F676D"/>
    <w:rsid w:val="002F698F"/>
    <w:rsid w:val="002F7410"/>
    <w:rsid w:val="002F75D6"/>
    <w:rsid w:val="002F7635"/>
    <w:rsid w:val="00300188"/>
    <w:rsid w:val="0030033E"/>
    <w:rsid w:val="003004FC"/>
    <w:rsid w:val="00300A57"/>
    <w:rsid w:val="00300C36"/>
    <w:rsid w:val="00300C39"/>
    <w:rsid w:val="00300EEB"/>
    <w:rsid w:val="00301A9E"/>
    <w:rsid w:val="00301B5C"/>
    <w:rsid w:val="00301CE2"/>
    <w:rsid w:val="00301FAD"/>
    <w:rsid w:val="003020F8"/>
    <w:rsid w:val="00302489"/>
    <w:rsid w:val="00302583"/>
    <w:rsid w:val="0030290B"/>
    <w:rsid w:val="00302D8B"/>
    <w:rsid w:val="00302EC1"/>
    <w:rsid w:val="003034B5"/>
    <w:rsid w:val="00303A24"/>
    <w:rsid w:val="00303F3E"/>
    <w:rsid w:val="0030435A"/>
    <w:rsid w:val="0030496C"/>
    <w:rsid w:val="00304B09"/>
    <w:rsid w:val="00304BFE"/>
    <w:rsid w:val="00304D8F"/>
    <w:rsid w:val="00305C49"/>
    <w:rsid w:val="00306072"/>
    <w:rsid w:val="00306408"/>
    <w:rsid w:val="00306413"/>
    <w:rsid w:val="00306C3A"/>
    <w:rsid w:val="00306C90"/>
    <w:rsid w:val="003070C7"/>
    <w:rsid w:val="003073CB"/>
    <w:rsid w:val="003073F9"/>
    <w:rsid w:val="003077DA"/>
    <w:rsid w:val="00307868"/>
    <w:rsid w:val="0030797D"/>
    <w:rsid w:val="00307AA5"/>
    <w:rsid w:val="00307B49"/>
    <w:rsid w:val="00307BDB"/>
    <w:rsid w:val="00307C40"/>
    <w:rsid w:val="00307FEC"/>
    <w:rsid w:val="003102C6"/>
    <w:rsid w:val="003105B2"/>
    <w:rsid w:val="00310E98"/>
    <w:rsid w:val="003110AD"/>
    <w:rsid w:val="0031130F"/>
    <w:rsid w:val="00311567"/>
    <w:rsid w:val="00311C83"/>
    <w:rsid w:val="00312603"/>
    <w:rsid w:val="00312620"/>
    <w:rsid w:val="003126C4"/>
    <w:rsid w:val="003127BD"/>
    <w:rsid w:val="00313776"/>
    <w:rsid w:val="00313876"/>
    <w:rsid w:val="00314095"/>
    <w:rsid w:val="003145AA"/>
    <w:rsid w:val="003145DA"/>
    <w:rsid w:val="00314963"/>
    <w:rsid w:val="00314D19"/>
    <w:rsid w:val="003152A6"/>
    <w:rsid w:val="003155DA"/>
    <w:rsid w:val="003157A2"/>
    <w:rsid w:val="00315A21"/>
    <w:rsid w:val="00315AFA"/>
    <w:rsid w:val="00315CD6"/>
    <w:rsid w:val="00315DAC"/>
    <w:rsid w:val="00316092"/>
    <w:rsid w:val="00316158"/>
    <w:rsid w:val="003161AA"/>
    <w:rsid w:val="0031662F"/>
    <w:rsid w:val="0031681E"/>
    <w:rsid w:val="00316C13"/>
    <w:rsid w:val="00316C7C"/>
    <w:rsid w:val="00317118"/>
    <w:rsid w:val="00317255"/>
    <w:rsid w:val="00317828"/>
    <w:rsid w:val="003178A0"/>
    <w:rsid w:val="00317A2F"/>
    <w:rsid w:val="00317AB0"/>
    <w:rsid w:val="00317E59"/>
    <w:rsid w:val="0032001A"/>
    <w:rsid w:val="00320182"/>
    <w:rsid w:val="00320335"/>
    <w:rsid w:val="003203B1"/>
    <w:rsid w:val="00320652"/>
    <w:rsid w:val="003208A3"/>
    <w:rsid w:val="00320E76"/>
    <w:rsid w:val="00320ED2"/>
    <w:rsid w:val="00320FD4"/>
    <w:rsid w:val="0032176C"/>
    <w:rsid w:val="003218A1"/>
    <w:rsid w:val="00321925"/>
    <w:rsid w:val="00321A61"/>
    <w:rsid w:val="00321A8E"/>
    <w:rsid w:val="00321DA4"/>
    <w:rsid w:val="00321EBC"/>
    <w:rsid w:val="00321F43"/>
    <w:rsid w:val="003224B3"/>
    <w:rsid w:val="00322990"/>
    <w:rsid w:val="0032332C"/>
    <w:rsid w:val="003233CB"/>
    <w:rsid w:val="0032349B"/>
    <w:rsid w:val="00323BFD"/>
    <w:rsid w:val="00324D6F"/>
    <w:rsid w:val="00324F23"/>
    <w:rsid w:val="00324FAA"/>
    <w:rsid w:val="0032530C"/>
    <w:rsid w:val="00325430"/>
    <w:rsid w:val="0032553A"/>
    <w:rsid w:val="00325572"/>
    <w:rsid w:val="003257DD"/>
    <w:rsid w:val="003259DF"/>
    <w:rsid w:val="0032692D"/>
    <w:rsid w:val="00327482"/>
    <w:rsid w:val="003274D6"/>
    <w:rsid w:val="00327610"/>
    <w:rsid w:val="00327859"/>
    <w:rsid w:val="0032799B"/>
    <w:rsid w:val="00330559"/>
    <w:rsid w:val="00330DA2"/>
    <w:rsid w:val="00330E23"/>
    <w:rsid w:val="003310B0"/>
    <w:rsid w:val="0033119C"/>
    <w:rsid w:val="00331456"/>
    <w:rsid w:val="0033154D"/>
    <w:rsid w:val="0033170A"/>
    <w:rsid w:val="00331851"/>
    <w:rsid w:val="0033186D"/>
    <w:rsid w:val="0033188D"/>
    <w:rsid w:val="00331A11"/>
    <w:rsid w:val="00331A63"/>
    <w:rsid w:val="00331A9F"/>
    <w:rsid w:val="00331AB9"/>
    <w:rsid w:val="00331B38"/>
    <w:rsid w:val="00331D91"/>
    <w:rsid w:val="00331EF1"/>
    <w:rsid w:val="00332225"/>
    <w:rsid w:val="00332D4F"/>
    <w:rsid w:val="003331AB"/>
    <w:rsid w:val="003335DE"/>
    <w:rsid w:val="003335E8"/>
    <w:rsid w:val="00333691"/>
    <w:rsid w:val="003337F8"/>
    <w:rsid w:val="0033399E"/>
    <w:rsid w:val="00333CD4"/>
    <w:rsid w:val="00333DA6"/>
    <w:rsid w:val="00333F5D"/>
    <w:rsid w:val="0033405C"/>
    <w:rsid w:val="003348F1"/>
    <w:rsid w:val="00334BEE"/>
    <w:rsid w:val="00334BF5"/>
    <w:rsid w:val="00334FD7"/>
    <w:rsid w:val="00334FE0"/>
    <w:rsid w:val="00335473"/>
    <w:rsid w:val="003354B8"/>
    <w:rsid w:val="003357F7"/>
    <w:rsid w:val="00335868"/>
    <w:rsid w:val="003359E3"/>
    <w:rsid w:val="00335B17"/>
    <w:rsid w:val="003366BF"/>
    <w:rsid w:val="003366D6"/>
    <w:rsid w:val="00336837"/>
    <w:rsid w:val="00336B4D"/>
    <w:rsid w:val="00336C4B"/>
    <w:rsid w:val="00336F37"/>
    <w:rsid w:val="00336F4E"/>
    <w:rsid w:val="00337280"/>
    <w:rsid w:val="003372B0"/>
    <w:rsid w:val="0033769D"/>
    <w:rsid w:val="00337968"/>
    <w:rsid w:val="00337C18"/>
    <w:rsid w:val="003401C2"/>
    <w:rsid w:val="00340477"/>
    <w:rsid w:val="003406D8"/>
    <w:rsid w:val="0034091D"/>
    <w:rsid w:val="003410AB"/>
    <w:rsid w:val="00341224"/>
    <w:rsid w:val="003413AE"/>
    <w:rsid w:val="003419BE"/>
    <w:rsid w:val="00341DA4"/>
    <w:rsid w:val="00341E5D"/>
    <w:rsid w:val="00341FB5"/>
    <w:rsid w:val="0034209D"/>
    <w:rsid w:val="0034213E"/>
    <w:rsid w:val="0034267E"/>
    <w:rsid w:val="00342A92"/>
    <w:rsid w:val="00342C73"/>
    <w:rsid w:val="003431D4"/>
    <w:rsid w:val="003432A5"/>
    <w:rsid w:val="003433D1"/>
    <w:rsid w:val="003435C0"/>
    <w:rsid w:val="003435D2"/>
    <w:rsid w:val="0034372A"/>
    <w:rsid w:val="003438E5"/>
    <w:rsid w:val="003439AF"/>
    <w:rsid w:val="003439F0"/>
    <w:rsid w:val="00343BE2"/>
    <w:rsid w:val="00344200"/>
    <w:rsid w:val="00344384"/>
    <w:rsid w:val="0034497F"/>
    <w:rsid w:val="00344A58"/>
    <w:rsid w:val="00344AEE"/>
    <w:rsid w:val="00344B5E"/>
    <w:rsid w:val="00344F41"/>
    <w:rsid w:val="003450A6"/>
    <w:rsid w:val="003450F4"/>
    <w:rsid w:val="00345745"/>
    <w:rsid w:val="003457ED"/>
    <w:rsid w:val="00345A2E"/>
    <w:rsid w:val="00345D0B"/>
    <w:rsid w:val="00346615"/>
    <w:rsid w:val="0034690A"/>
    <w:rsid w:val="00346F08"/>
    <w:rsid w:val="0034713B"/>
    <w:rsid w:val="003473A2"/>
    <w:rsid w:val="0034753B"/>
    <w:rsid w:val="003478E6"/>
    <w:rsid w:val="00347A2A"/>
    <w:rsid w:val="00347B5F"/>
    <w:rsid w:val="00347EA4"/>
    <w:rsid w:val="00350181"/>
    <w:rsid w:val="003501D2"/>
    <w:rsid w:val="0035034F"/>
    <w:rsid w:val="00350825"/>
    <w:rsid w:val="00350A7A"/>
    <w:rsid w:val="00351017"/>
    <w:rsid w:val="00351376"/>
    <w:rsid w:val="0035153E"/>
    <w:rsid w:val="00352144"/>
    <w:rsid w:val="00352569"/>
    <w:rsid w:val="00352BA8"/>
    <w:rsid w:val="00352E97"/>
    <w:rsid w:val="003532ED"/>
    <w:rsid w:val="003533C5"/>
    <w:rsid w:val="00353748"/>
    <w:rsid w:val="0035389D"/>
    <w:rsid w:val="003538B2"/>
    <w:rsid w:val="00353A48"/>
    <w:rsid w:val="00353B21"/>
    <w:rsid w:val="00353B73"/>
    <w:rsid w:val="00353C3E"/>
    <w:rsid w:val="00353CD5"/>
    <w:rsid w:val="0035402A"/>
    <w:rsid w:val="003545CE"/>
    <w:rsid w:val="00354951"/>
    <w:rsid w:val="00355323"/>
    <w:rsid w:val="003559BD"/>
    <w:rsid w:val="00356047"/>
    <w:rsid w:val="003560D0"/>
    <w:rsid w:val="00356660"/>
    <w:rsid w:val="0035699B"/>
    <w:rsid w:val="00356CF8"/>
    <w:rsid w:val="00356DBB"/>
    <w:rsid w:val="00357247"/>
    <w:rsid w:val="00357ADC"/>
    <w:rsid w:val="003606FE"/>
    <w:rsid w:val="00360740"/>
    <w:rsid w:val="003608A2"/>
    <w:rsid w:val="00360A13"/>
    <w:rsid w:val="00360B24"/>
    <w:rsid w:val="00360E59"/>
    <w:rsid w:val="0036121F"/>
    <w:rsid w:val="0036141D"/>
    <w:rsid w:val="00361556"/>
    <w:rsid w:val="00361AE5"/>
    <w:rsid w:val="00361C33"/>
    <w:rsid w:val="00361C61"/>
    <w:rsid w:val="00362190"/>
    <w:rsid w:val="00362204"/>
    <w:rsid w:val="003625EB"/>
    <w:rsid w:val="003630D2"/>
    <w:rsid w:val="00363121"/>
    <w:rsid w:val="00363374"/>
    <w:rsid w:val="0036366B"/>
    <w:rsid w:val="003638DE"/>
    <w:rsid w:val="00363EE8"/>
    <w:rsid w:val="0036404F"/>
    <w:rsid w:val="00364231"/>
    <w:rsid w:val="00364320"/>
    <w:rsid w:val="00364826"/>
    <w:rsid w:val="00364930"/>
    <w:rsid w:val="0036527E"/>
    <w:rsid w:val="0036595F"/>
    <w:rsid w:val="00365970"/>
    <w:rsid w:val="00365A54"/>
    <w:rsid w:val="0036601A"/>
    <w:rsid w:val="003662D2"/>
    <w:rsid w:val="00366386"/>
    <w:rsid w:val="003663EF"/>
    <w:rsid w:val="0036645F"/>
    <w:rsid w:val="00366BF8"/>
    <w:rsid w:val="0036723C"/>
    <w:rsid w:val="003674F1"/>
    <w:rsid w:val="0036750F"/>
    <w:rsid w:val="0036755D"/>
    <w:rsid w:val="003677C8"/>
    <w:rsid w:val="003677E8"/>
    <w:rsid w:val="00367B45"/>
    <w:rsid w:val="00367B52"/>
    <w:rsid w:val="00367C85"/>
    <w:rsid w:val="00370263"/>
    <w:rsid w:val="003704C3"/>
    <w:rsid w:val="0037093B"/>
    <w:rsid w:val="0037095C"/>
    <w:rsid w:val="003709E6"/>
    <w:rsid w:val="00370DCD"/>
    <w:rsid w:val="00371675"/>
    <w:rsid w:val="0037176D"/>
    <w:rsid w:val="003719AE"/>
    <w:rsid w:val="00371A4E"/>
    <w:rsid w:val="00372130"/>
    <w:rsid w:val="003721DD"/>
    <w:rsid w:val="00372664"/>
    <w:rsid w:val="00372A1D"/>
    <w:rsid w:val="00372AA0"/>
    <w:rsid w:val="00372DD5"/>
    <w:rsid w:val="00372F8E"/>
    <w:rsid w:val="00373236"/>
    <w:rsid w:val="00373AF4"/>
    <w:rsid w:val="00373DB2"/>
    <w:rsid w:val="00373EFE"/>
    <w:rsid w:val="00374205"/>
    <w:rsid w:val="0037428D"/>
    <w:rsid w:val="0037496E"/>
    <w:rsid w:val="00374C12"/>
    <w:rsid w:val="00375250"/>
    <w:rsid w:val="0037567F"/>
    <w:rsid w:val="003756F3"/>
    <w:rsid w:val="0037570A"/>
    <w:rsid w:val="003757B3"/>
    <w:rsid w:val="003759A4"/>
    <w:rsid w:val="00375ADA"/>
    <w:rsid w:val="00375BB9"/>
    <w:rsid w:val="00375D45"/>
    <w:rsid w:val="0037639F"/>
    <w:rsid w:val="003764B1"/>
    <w:rsid w:val="0037650D"/>
    <w:rsid w:val="00377264"/>
    <w:rsid w:val="00377845"/>
    <w:rsid w:val="00377A24"/>
    <w:rsid w:val="00377E71"/>
    <w:rsid w:val="00380569"/>
    <w:rsid w:val="00380812"/>
    <w:rsid w:val="0038088B"/>
    <w:rsid w:val="003808BA"/>
    <w:rsid w:val="00380A78"/>
    <w:rsid w:val="0038124C"/>
    <w:rsid w:val="0038162B"/>
    <w:rsid w:val="003817A9"/>
    <w:rsid w:val="00381963"/>
    <w:rsid w:val="003819DC"/>
    <w:rsid w:val="0038216A"/>
    <w:rsid w:val="00382B32"/>
    <w:rsid w:val="00382B47"/>
    <w:rsid w:val="00382C6E"/>
    <w:rsid w:val="00383216"/>
    <w:rsid w:val="003832EB"/>
    <w:rsid w:val="0038342B"/>
    <w:rsid w:val="0038380F"/>
    <w:rsid w:val="00383977"/>
    <w:rsid w:val="00383F6A"/>
    <w:rsid w:val="00383F7E"/>
    <w:rsid w:val="0038400A"/>
    <w:rsid w:val="00384771"/>
    <w:rsid w:val="00384A36"/>
    <w:rsid w:val="00384D18"/>
    <w:rsid w:val="00384EF8"/>
    <w:rsid w:val="00385A57"/>
    <w:rsid w:val="00385ACA"/>
    <w:rsid w:val="003863A6"/>
    <w:rsid w:val="003865A1"/>
    <w:rsid w:val="003867D0"/>
    <w:rsid w:val="003869FF"/>
    <w:rsid w:val="00387013"/>
    <w:rsid w:val="00387693"/>
    <w:rsid w:val="003876BC"/>
    <w:rsid w:val="003877DA"/>
    <w:rsid w:val="00387A01"/>
    <w:rsid w:val="00387CEA"/>
    <w:rsid w:val="0039049A"/>
    <w:rsid w:val="00390562"/>
    <w:rsid w:val="00390920"/>
    <w:rsid w:val="00390C7F"/>
    <w:rsid w:val="003918ED"/>
    <w:rsid w:val="0039195A"/>
    <w:rsid w:val="00391B0F"/>
    <w:rsid w:val="00391D0E"/>
    <w:rsid w:val="00391F99"/>
    <w:rsid w:val="00392074"/>
    <w:rsid w:val="0039221E"/>
    <w:rsid w:val="00392224"/>
    <w:rsid w:val="0039275E"/>
    <w:rsid w:val="00392BFF"/>
    <w:rsid w:val="00392C9F"/>
    <w:rsid w:val="00392D66"/>
    <w:rsid w:val="003932B9"/>
    <w:rsid w:val="0039333C"/>
    <w:rsid w:val="00393783"/>
    <w:rsid w:val="00393B8F"/>
    <w:rsid w:val="00393DD9"/>
    <w:rsid w:val="00393DEB"/>
    <w:rsid w:val="00393EEB"/>
    <w:rsid w:val="0039420D"/>
    <w:rsid w:val="003949E1"/>
    <w:rsid w:val="00397342"/>
    <w:rsid w:val="00397377"/>
    <w:rsid w:val="00397AFC"/>
    <w:rsid w:val="00397B12"/>
    <w:rsid w:val="003A01E2"/>
    <w:rsid w:val="003A058B"/>
    <w:rsid w:val="003A070D"/>
    <w:rsid w:val="003A091D"/>
    <w:rsid w:val="003A093C"/>
    <w:rsid w:val="003A0B4F"/>
    <w:rsid w:val="003A130A"/>
    <w:rsid w:val="003A1546"/>
    <w:rsid w:val="003A1563"/>
    <w:rsid w:val="003A170E"/>
    <w:rsid w:val="003A1D9C"/>
    <w:rsid w:val="003A1F4B"/>
    <w:rsid w:val="003A2025"/>
    <w:rsid w:val="003A253C"/>
    <w:rsid w:val="003A258D"/>
    <w:rsid w:val="003A27CE"/>
    <w:rsid w:val="003A2EF2"/>
    <w:rsid w:val="003A304B"/>
    <w:rsid w:val="003A30E7"/>
    <w:rsid w:val="003A31C3"/>
    <w:rsid w:val="003A3522"/>
    <w:rsid w:val="003A3528"/>
    <w:rsid w:val="003A3869"/>
    <w:rsid w:val="003A3BB0"/>
    <w:rsid w:val="003A3D05"/>
    <w:rsid w:val="003A464A"/>
    <w:rsid w:val="003A476A"/>
    <w:rsid w:val="003A4AB5"/>
    <w:rsid w:val="003A4C9D"/>
    <w:rsid w:val="003A4E63"/>
    <w:rsid w:val="003A5E89"/>
    <w:rsid w:val="003A5EF0"/>
    <w:rsid w:val="003A624C"/>
    <w:rsid w:val="003A6A14"/>
    <w:rsid w:val="003A6CF4"/>
    <w:rsid w:val="003A7001"/>
    <w:rsid w:val="003A7A24"/>
    <w:rsid w:val="003A7E95"/>
    <w:rsid w:val="003B084D"/>
    <w:rsid w:val="003B0A92"/>
    <w:rsid w:val="003B153B"/>
    <w:rsid w:val="003B177F"/>
    <w:rsid w:val="003B1BCD"/>
    <w:rsid w:val="003B1BE7"/>
    <w:rsid w:val="003B1E33"/>
    <w:rsid w:val="003B1FDA"/>
    <w:rsid w:val="003B21C6"/>
    <w:rsid w:val="003B24A8"/>
    <w:rsid w:val="003B2953"/>
    <w:rsid w:val="003B2CD7"/>
    <w:rsid w:val="003B2E98"/>
    <w:rsid w:val="003B3479"/>
    <w:rsid w:val="003B3531"/>
    <w:rsid w:val="003B3827"/>
    <w:rsid w:val="003B388F"/>
    <w:rsid w:val="003B38E5"/>
    <w:rsid w:val="003B3937"/>
    <w:rsid w:val="003B3BB3"/>
    <w:rsid w:val="003B4110"/>
    <w:rsid w:val="003B41B5"/>
    <w:rsid w:val="003B43BC"/>
    <w:rsid w:val="003B43C3"/>
    <w:rsid w:val="003B46B2"/>
    <w:rsid w:val="003B4832"/>
    <w:rsid w:val="003B4B07"/>
    <w:rsid w:val="003B4D22"/>
    <w:rsid w:val="003B552B"/>
    <w:rsid w:val="003B5621"/>
    <w:rsid w:val="003B56C3"/>
    <w:rsid w:val="003B575D"/>
    <w:rsid w:val="003B57EC"/>
    <w:rsid w:val="003B5A7F"/>
    <w:rsid w:val="003B5BC9"/>
    <w:rsid w:val="003B625C"/>
    <w:rsid w:val="003B657F"/>
    <w:rsid w:val="003B68AB"/>
    <w:rsid w:val="003B691C"/>
    <w:rsid w:val="003B6FB9"/>
    <w:rsid w:val="003B75AE"/>
    <w:rsid w:val="003B75C0"/>
    <w:rsid w:val="003B779E"/>
    <w:rsid w:val="003B77D9"/>
    <w:rsid w:val="003B7D3E"/>
    <w:rsid w:val="003C02D4"/>
    <w:rsid w:val="003C0395"/>
    <w:rsid w:val="003C03F5"/>
    <w:rsid w:val="003C050A"/>
    <w:rsid w:val="003C0C34"/>
    <w:rsid w:val="003C0C3E"/>
    <w:rsid w:val="003C0C6F"/>
    <w:rsid w:val="003C0ED7"/>
    <w:rsid w:val="003C10A5"/>
    <w:rsid w:val="003C1643"/>
    <w:rsid w:val="003C1A1E"/>
    <w:rsid w:val="003C1C79"/>
    <w:rsid w:val="003C1F26"/>
    <w:rsid w:val="003C2435"/>
    <w:rsid w:val="003C26F0"/>
    <w:rsid w:val="003C2CBF"/>
    <w:rsid w:val="003C2D56"/>
    <w:rsid w:val="003C2EF5"/>
    <w:rsid w:val="003C3019"/>
    <w:rsid w:val="003C3ACD"/>
    <w:rsid w:val="003C4172"/>
    <w:rsid w:val="003C4A66"/>
    <w:rsid w:val="003C4A8E"/>
    <w:rsid w:val="003C4B91"/>
    <w:rsid w:val="003C4C41"/>
    <w:rsid w:val="003C4D16"/>
    <w:rsid w:val="003C57AC"/>
    <w:rsid w:val="003C5AEF"/>
    <w:rsid w:val="003C5B51"/>
    <w:rsid w:val="003C5F18"/>
    <w:rsid w:val="003C6197"/>
    <w:rsid w:val="003C62AD"/>
    <w:rsid w:val="003C6319"/>
    <w:rsid w:val="003C648C"/>
    <w:rsid w:val="003C682B"/>
    <w:rsid w:val="003C6BE5"/>
    <w:rsid w:val="003C6C6A"/>
    <w:rsid w:val="003C76AE"/>
    <w:rsid w:val="003C7837"/>
    <w:rsid w:val="003C7840"/>
    <w:rsid w:val="003D0148"/>
    <w:rsid w:val="003D0B64"/>
    <w:rsid w:val="003D0FD9"/>
    <w:rsid w:val="003D1419"/>
    <w:rsid w:val="003D1539"/>
    <w:rsid w:val="003D16F2"/>
    <w:rsid w:val="003D1785"/>
    <w:rsid w:val="003D1C08"/>
    <w:rsid w:val="003D1E55"/>
    <w:rsid w:val="003D2562"/>
    <w:rsid w:val="003D25C0"/>
    <w:rsid w:val="003D29BF"/>
    <w:rsid w:val="003D2D44"/>
    <w:rsid w:val="003D2FF0"/>
    <w:rsid w:val="003D30C5"/>
    <w:rsid w:val="003D3180"/>
    <w:rsid w:val="003D318A"/>
    <w:rsid w:val="003D3350"/>
    <w:rsid w:val="003D34BA"/>
    <w:rsid w:val="003D3B01"/>
    <w:rsid w:val="003D3FF9"/>
    <w:rsid w:val="003D3FFC"/>
    <w:rsid w:val="003D40ED"/>
    <w:rsid w:val="003D4258"/>
    <w:rsid w:val="003D43CC"/>
    <w:rsid w:val="003D470A"/>
    <w:rsid w:val="003D482B"/>
    <w:rsid w:val="003D48FA"/>
    <w:rsid w:val="003D495A"/>
    <w:rsid w:val="003D4B38"/>
    <w:rsid w:val="003D4C1C"/>
    <w:rsid w:val="003D562A"/>
    <w:rsid w:val="003D5655"/>
    <w:rsid w:val="003D57DD"/>
    <w:rsid w:val="003D58EE"/>
    <w:rsid w:val="003D5AFB"/>
    <w:rsid w:val="003D5E59"/>
    <w:rsid w:val="003D5FA9"/>
    <w:rsid w:val="003D6185"/>
    <w:rsid w:val="003D631D"/>
    <w:rsid w:val="003D73DC"/>
    <w:rsid w:val="003D77CD"/>
    <w:rsid w:val="003D7911"/>
    <w:rsid w:val="003D7AFB"/>
    <w:rsid w:val="003D7F15"/>
    <w:rsid w:val="003E06D8"/>
    <w:rsid w:val="003E1742"/>
    <w:rsid w:val="003E194C"/>
    <w:rsid w:val="003E19E8"/>
    <w:rsid w:val="003E1DD5"/>
    <w:rsid w:val="003E1EB5"/>
    <w:rsid w:val="003E1F22"/>
    <w:rsid w:val="003E2102"/>
    <w:rsid w:val="003E21E1"/>
    <w:rsid w:val="003E230B"/>
    <w:rsid w:val="003E2D8A"/>
    <w:rsid w:val="003E3118"/>
    <w:rsid w:val="003E3AFD"/>
    <w:rsid w:val="003E4014"/>
    <w:rsid w:val="003E4320"/>
    <w:rsid w:val="003E44D1"/>
    <w:rsid w:val="003E49D1"/>
    <w:rsid w:val="003E49E5"/>
    <w:rsid w:val="003E4B55"/>
    <w:rsid w:val="003E4CE7"/>
    <w:rsid w:val="003E517C"/>
    <w:rsid w:val="003E5321"/>
    <w:rsid w:val="003E54B7"/>
    <w:rsid w:val="003E5894"/>
    <w:rsid w:val="003E5C24"/>
    <w:rsid w:val="003E689E"/>
    <w:rsid w:val="003E68E3"/>
    <w:rsid w:val="003E6CA9"/>
    <w:rsid w:val="003E6DEC"/>
    <w:rsid w:val="003E6FF5"/>
    <w:rsid w:val="003E7484"/>
    <w:rsid w:val="003E77D3"/>
    <w:rsid w:val="003E7AB1"/>
    <w:rsid w:val="003F0017"/>
    <w:rsid w:val="003F0141"/>
    <w:rsid w:val="003F01A5"/>
    <w:rsid w:val="003F098B"/>
    <w:rsid w:val="003F0B9B"/>
    <w:rsid w:val="003F0C2B"/>
    <w:rsid w:val="003F0DFE"/>
    <w:rsid w:val="003F134F"/>
    <w:rsid w:val="003F14C8"/>
    <w:rsid w:val="003F1555"/>
    <w:rsid w:val="003F1575"/>
    <w:rsid w:val="003F15F6"/>
    <w:rsid w:val="003F1898"/>
    <w:rsid w:val="003F1E67"/>
    <w:rsid w:val="003F26C9"/>
    <w:rsid w:val="003F30AF"/>
    <w:rsid w:val="003F3562"/>
    <w:rsid w:val="003F3695"/>
    <w:rsid w:val="003F3A0B"/>
    <w:rsid w:val="003F3F5F"/>
    <w:rsid w:val="003F406F"/>
    <w:rsid w:val="003F41A8"/>
    <w:rsid w:val="003F49A4"/>
    <w:rsid w:val="003F4F86"/>
    <w:rsid w:val="003F4FF0"/>
    <w:rsid w:val="003F50BF"/>
    <w:rsid w:val="003F557D"/>
    <w:rsid w:val="003F57B1"/>
    <w:rsid w:val="003F5B33"/>
    <w:rsid w:val="003F5E18"/>
    <w:rsid w:val="003F5E98"/>
    <w:rsid w:val="003F635F"/>
    <w:rsid w:val="003F66D4"/>
    <w:rsid w:val="003F6B6C"/>
    <w:rsid w:val="003F6BD9"/>
    <w:rsid w:val="003F6D98"/>
    <w:rsid w:val="003F6DD6"/>
    <w:rsid w:val="003F6E4B"/>
    <w:rsid w:val="003F6ED8"/>
    <w:rsid w:val="003F7110"/>
    <w:rsid w:val="003F7157"/>
    <w:rsid w:val="003F72F7"/>
    <w:rsid w:val="003F73EF"/>
    <w:rsid w:val="003F73FB"/>
    <w:rsid w:val="003F77BA"/>
    <w:rsid w:val="0040012E"/>
    <w:rsid w:val="00400AED"/>
    <w:rsid w:val="00400BB0"/>
    <w:rsid w:val="00400DAF"/>
    <w:rsid w:val="00401092"/>
    <w:rsid w:val="004012CA"/>
    <w:rsid w:val="004013AD"/>
    <w:rsid w:val="00401555"/>
    <w:rsid w:val="004019D3"/>
    <w:rsid w:val="00401A0F"/>
    <w:rsid w:val="00401D40"/>
    <w:rsid w:val="00401F69"/>
    <w:rsid w:val="0040233C"/>
    <w:rsid w:val="004023F9"/>
    <w:rsid w:val="0040268B"/>
    <w:rsid w:val="00402741"/>
    <w:rsid w:val="004029D0"/>
    <w:rsid w:val="00402FD0"/>
    <w:rsid w:val="00403275"/>
    <w:rsid w:val="004033D6"/>
    <w:rsid w:val="004033F8"/>
    <w:rsid w:val="00403705"/>
    <w:rsid w:val="00403B42"/>
    <w:rsid w:val="00403FED"/>
    <w:rsid w:val="0040406C"/>
    <w:rsid w:val="00404169"/>
    <w:rsid w:val="004041D1"/>
    <w:rsid w:val="004043B2"/>
    <w:rsid w:val="004044CD"/>
    <w:rsid w:val="0040494C"/>
    <w:rsid w:val="00404B7A"/>
    <w:rsid w:val="00404BED"/>
    <w:rsid w:val="00404CC4"/>
    <w:rsid w:val="00404E32"/>
    <w:rsid w:val="0040504F"/>
    <w:rsid w:val="004050D9"/>
    <w:rsid w:val="004050DC"/>
    <w:rsid w:val="0040531B"/>
    <w:rsid w:val="004053C8"/>
    <w:rsid w:val="004057CB"/>
    <w:rsid w:val="004059BC"/>
    <w:rsid w:val="004060C1"/>
    <w:rsid w:val="0040683C"/>
    <w:rsid w:val="00406EB5"/>
    <w:rsid w:val="004074FF"/>
    <w:rsid w:val="0040795B"/>
    <w:rsid w:val="00407ABC"/>
    <w:rsid w:val="004100C9"/>
    <w:rsid w:val="004104CB"/>
    <w:rsid w:val="00410793"/>
    <w:rsid w:val="00410D92"/>
    <w:rsid w:val="00410F4F"/>
    <w:rsid w:val="00411015"/>
    <w:rsid w:val="00411082"/>
    <w:rsid w:val="00411108"/>
    <w:rsid w:val="00411BA1"/>
    <w:rsid w:val="00411D9A"/>
    <w:rsid w:val="00411E89"/>
    <w:rsid w:val="00411EB4"/>
    <w:rsid w:val="00412AEF"/>
    <w:rsid w:val="00412C5A"/>
    <w:rsid w:val="00412DC2"/>
    <w:rsid w:val="00412E9B"/>
    <w:rsid w:val="00412F94"/>
    <w:rsid w:val="00413B4D"/>
    <w:rsid w:val="00413CFD"/>
    <w:rsid w:val="00413D78"/>
    <w:rsid w:val="004141B8"/>
    <w:rsid w:val="00414234"/>
    <w:rsid w:val="00414349"/>
    <w:rsid w:val="00414BAE"/>
    <w:rsid w:val="00414E65"/>
    <w:rsid w:val="00414EFC"/>
    <w:rsid w:val="00415893"/>
    <w:rsid w:val="00415C71"/>
    <w:rsid w:val="004160AD"/>
    <w:rsid w:val="004160F0"/>
    <w:rsid w:val="00416198"/>
    <w:rsid w:val="004163DA"/>
    <w:rsid w:val="004166EA"/>
    <w:rsid w:val="00416779"/>
    <w:rsid w:val="00416D40"/>
    <w:rsid w:val="00417190"/>
    <w:rsid w:val="0041777C"/>
    <w:rsid w:val="004177FB"/>
    <w:rsid w:val="00420BB6"/>
    <w:rsid w:val="00420C4A"/>
    <w:rsid w:val="00420CB6"/>
    <w:rsid w:val="00421743"/>
    <w:rsid w:val="004217D7"/>
    <w:rsid w:val="004219E7"/>
    <w:rsid w:val="00421D0B"/>
    <w:rsid w:val="00422119"/>
    <w:rsid w:val="00422657"/>
    <w:rsid w:val="00422F30"/>
    <w:rsid w:val="00423072"/>
    <w:rsid w:val="0042309C"/>
    <w:rsid w:val="00423102"/>
    <w:rsid w:val="00423281"/>
    <w:rsid w:val="00423E07"/>
    <w:rsid w:val="00424169"/>
    <w:rsid w:val="00424368"/>
    <w:rsid w:val="0042497A"/>
    <w:rsid w:val="00424D5B"/>
    <w:rsid w:val="004252BA"/>
    <w:rsid w:val="0042530D"/>
    <w:rsid w:val="004258CD"/>
    <w:rsid w:val="00425FAE"/>
    <w:rsid w:val="0042614E"/>
    <w:rsid w:val="004261C5"/>
    <w:rsid w:val="00426B0B"/>
    <w:rsid w:val="00426EE8"/>
    <w:rsid w:val="004270DD"/>
    <w:rsid w:val="004272CB"/>
    <w:rsid w:val="004277D8"/>
    <w:rsid w:val="00427CB3"/>
    <w:rsid w:val="0043034A"/>
    <w:rsid w:val="00430480"/>
    <w:rsid w:val="00430913"/>
    <w:rsid w:val="00430B0B"/>
    <w:rsid w:val="00430C81"/>
    <w:rsid w:val="00430DF1"/>
    <w:rsid w:val="00430EF6"/>
    <w:rsid w:val="00431207"/>
    <w:rsid w:val="00431217"/>
    <w:rsid w:val="004312CD"/>
    <w:rsid w:val="0043143F"/>
    <w:rsid w:val="00431975"/>
    <w:rsid w:val="004319E7"/>
    <w:rsid w:val="00432038"/>
    <w:rsid w:val="004321D3"/>
    <w:rsid w:val="00432479"/>
    <w:rsid w:val="00432DAB"/>
    <w:rsid w:val="00432FE3"/>
    <w:rsid w:val="004330C2"/>
    <w:rsid w:val="004332CA"/>
    <w:rsid w:val="004336AA"/>
    <w:rsid w:val="00433E53"/>
    <w:rsid w:val="00433F6B"/>
    <w:rsid w:val="004341B7"/>
    <w:rsid w:val="0043460C"/>
    <w:rsid w:val="00434961"/>
    <w:rsid w:val="00434C9C"/>
    <w:rsid w:val="00434ED0"/>
    <w:rsid w:val="004351B7"/>
    <w:rsid w:val="00435516"/>
    <w:rsid w:val="004356CC"/>
    <w:rsid w:val="00436056"/>
    <w:rsid w:val="00436259"/>
    <w:rsid w:val="00436358"/>
    <w:rsid w:val="00436415"/>
    <w:rsid w:val="00436501"/>
    <w:rsid w:val="0043657D"/>
    <w:rsid w:val="00436591"/>
    <w:rsid w:val="004370A8"/>
    <w:rsid w:val="00437B19"/>
    <w:rsid w:val="00437FB3"/>
    <w:rsid w:val="004403AC"/>
    <w:rsid w:val="00440A81"/>
    <w:rsid w:val="004416FD"/>
    <w:rsid w:val="00441A25"/>
    <w:rsid w:val="00441B16"/>
    <w:rsid w:val="004425AA"/>
    <w:rsid w:val="004426A4"/>
    <w:rsid w:val="004427F8"/>
    <w:rsid w:val="00442BC9"/>
    <w:rsid w:val="00442BDE"/>
    <w:rsid w:val="00442E37"/>
    <w:rsid w:val="00442FD4"/>
    <w:rsid w:val="00443C40"/>
    <w:rsid w:val="00443DD9"/>
    <w:rsid w:val="0044470D"/>
    <w:rsid w:val="0044476F"/>
    <w:rsid w:val="004447CC"/>
    <w:rsid w:val="0044486E"/>
    <w:rsid w:val="00444AEC"/>
    <w:rsid w:val="00444E95"/>
    <w:rsid w:val="00445389"/>
    <w:rsid w:val="004457FE"/>
    <w:rsid w:val="00445951"/>
    <w:rsid w:val="0044621D"/>
    <w:rsid w:val="004466A7"/>
    <w:rsid w:val="00446B0A"/>
    <w:rsid w:val="00446F80"/>
    <w:rsid w:val="00447017"/>
    <w:rsid w:val="004470ED"/>
    <w:rsid w:val="004474DE"/>
    <w:rsid w:val="00447776"/>
    <w:rsid w:val="00447865"/>
    <w:rsid w:val="0044788C"/>
    <w:rsid w:val="004479D3"/>
    <w:rsid w:val="00447C0B"/>
    <w:rsid w:val="00447E52"/>
    <w:rsid w:val="00450C31"/>
    <w:rsid w:val="004510EF"/>
    <w:rsid w:val="00451304"/>
    <w:rsid w:val="004513FC"/>
    <w:rsid w:val="00451B1C"/>
    <w:rsid w:val="00452687"/>
    <w:rsid w:val="00452688"/>
    <w:rsid w:val="00452A09"/>
    <w:rsid w:val="00453003"/>
    <w:rsid w:val="00453073"/>
    <w:rsid w:val="004530A3"/>
    <w:rsid w:val="0045313D"/>
    <w:rsid w:val="0045329A"/>
    <w:rsid w:val="004538C2"/>
    <w:rsid w:val="004539D6"/>
    <w:rsid w:val="004539E2"/>
    <w:rsid w:val="00453FC5"/>
    <w:rsid w:val="0045413A"/>
    <w:rsid w:val="00454213"/>
    <w:rsid w:val="0045428E"/>
    <w:rsid w:val="00454AA9"/>
    <w:rsid w:val="00454F1B"/>
    <w:rsid w:val="004550C7"/>
    <w:rsid w:val="0045532E"/>
    <w:rsid w:val="004556E4"/>
    <w:rsid w:val="00455B6E"/>
    <w:rsid w:val="00455EEC"/>
    <w:rsid w:val="00456296"/>
    <w:rsid w:val="0045635A"/>
    <w:rsid w:val="00456517"/>
    <w:rsid w:val="004568EA"/>
    <w:rsid w:val="0045691C"/>
    <w:rsid w:val="00456ADE"/>
    <w:rsid w:val="00457031"/>
    <w:rsid w:val="00457521"/>
    <w:rsid w:val="0045790B"/>
    <w:rsid w:val="00457AC6"/>
    <w:rsid w:val="00457EAA"/>
    <w:rsid w:val="00460166"/>
    <w:rsid w:val="00460386"/>
    <w:rsid w:val="00460CC1"/>
    <w:rsid w:val="00460DB0"/>
    <w:rsid w:val="00461488"/>
    <w:rsid w:val="004615A1"/>
    <w:rsid w:val="00461891"/>
    <w:rsid w:val="004618E7"/>
    <w:rsid w:val="00461E52"/>
    <w:rsid w:val="004620AD"/>
    <w:rsid w:val="00462337"/>
    <w:rsid w:val="00462436"/>
    <w:rsid w:val="0046264D"/>
    <w:rsid w:val="0046270D"/>
    <w:rsid w:val="00463600"/>
    <w:rsid w:val="0046372A"/>
    <w:rsid w:val="00463A08"/>
    <w:rsid w:val="00463F76"/>
    <w:rsid w:val="004643E2"/>
    <w:rsid w:val="004644B2"/>
    <w:rsid w:val="00464667"/>
    <w:rsid w:val="00464B46"/>
    <w:rsid w:val="00464B6E"/>
    <w:rsid w:val="00464CAF"/>
    <w:rsid w:val="00464F40"/>
    <w:rsid w:val="00465187"/>
    <w:rsid w:val="004657C9"/>
    <w:rsid w:val="00466000"/>
    <w:rsid w:val="00466322"/>
    <w:rsid w:val="00466533"/>
    <w:rsid w:val="00466547"/>
    <w:rsid w:val="0046661C"/>
    <w:rsid w:val="00466A39"/>
    <w:rsid w:val="00466ABA"/>
    <w:rsid w:val="00466BE0"/>
    <w:rsid w:val="00466E5A"/>
    <w:rsid w:val="004673DC"/>
    <w:rsid w:val="00467853"/>
    <w:rsid w:val="00470222"/>
    <w:rsid w:val="00470306"/>
    <w:rsid w:val="00470645"/>
    <w:rsid w:val="00470B18"/>
    <w:rsid w:val="00470BBA"/>
    <w:rsid w:val="00470FE9"/>
    <w:rsid w:val="00471585"/>
    <w:rsid w:val="00471719"/>
    <w:rsid w:val="00471A96"/>
    <w:rsid w:val="00471CA1"/>
    <w:rsid w:val="00471CE9"/>
    <w:rsid w:val="004720D8"/>
    <w:rsid w:val="004722C1"/>
    <w:rsid w:val="004727B6"/>
    <w:rsid w:val="00472A69"/>
    <w:rsid w:val="00472CD7"/>
    <w:rsid w:val="00472D4B"/>
    <w:rsid w:val="00472E91"/>
    <w:rsid w:val="0047336B"/>
    <w:rsid w:val="0047341C"/>
    <w:rsid w:val="00473649"/>
    <w:rsid w:val="00473A57"/>
    <w:rsid w:val="00473AB7"/>
    <w:rsid w:val="00474130"/>
    <w:rsid w:val="00474236"/>
    <w:rsid w:val="00474406"/>
    <w:rsid w:val="0047544F"/>
    <w:rsid w:val="00475A3D"/>
    <w:rsid w:val="00475AB3"/>
    <w:rsid w:val="004762CD"/>
    <w:rsid w:val="004765A3"/>
    <w:rsid w:val="00476D21"/>
    <w:rsid w:val="00476D59"/>
    <w:rsid w:val="00477196"/>
    <w:rsid w:val="0047721D"/>
    <w:rsid w:val="00477A3E"/>
    <w:rsid w:val="00477AB4"/>
    <w:rsid w:val="00477ADE"/>
    <w:rsid w:val="00477AFD"/>
    <w:rsid w:val="00477C1E"/>
    <w:rsid w:val="0048000F"/>
    <w:rsid w:val="004800A0"/>
    <w:rsid w:val="00480B2C"/>
    <w:rsid w:val="00480CA6"/>
    <w:rsid w:val="0048140D"/>
    <w:rsid w:val="00481899"/>
    <w:rsid w:val="00481AD5"/>
    <w:rsid w:val="00481EA9"/>
    <w:rsid w:val="004823BA"/>
    <w:rsid w:val="00482B05"/>
    <w:rsid w:val="00482D37"/>
    <w:rsid w:val="00482FBD"/>
    <w:rsid w:val="0048305F"/>
    <w:rsid w:val="004831DA"/>
    <w:rsid w:val="00483334"/>
    <w:rsid w:val="00483746"/>
    <w:rsid w:val="00483B11"/>
    <w:rsid w:val="00483B85"/>
    <w:rsid w:val="00483C02"/>
    <w:rsid w:val="004841F5"/>
    <w:rsid w:val="0048442E"/>
    <w:rsid w:val="0048479D"/>
    <w:rsid w:val="0048492C"/>
    <w:rsid w:val="00484A0C"/>
    <w:rsid w:val="00484B89"/>
    <w:rsid w:val="00485449"/>
    <w:rsid w:val="004854B4"/>
    <w:rsid w:val="00485858"/>
    <w:rsid w:val="004858E4"/>
    <w:rsid w:val="00485A51"/>
    <w:rsid w:val="00485F32"/>
    <w:rsid w:val="004866BA"/>
    <w:rsid w:val="0048686E"/>
    <w:rsid w:val="00486D69"/>
    <w:rsid w:val="004872D0"/>
    <w:rsid w:val="004873DA"/>
    <w:rsid w:val="00487524"/>
    <w:rsid w:val="004876D4"/>
    <w:rsid w:val="00487B28"/>
    <w:rsid w:val="00487CC9"/>
    <w:rsid w:val="00487DDB"/>
    <w:rsid w:val="00487EE9"/>
    <w:rsid w:val="00490114"/>
    <w:rsid w:val="0049035D"/>
    <w:rsid w:val="004907A8"/>
    <w:rsid w:val="004908AD"/>
    <w:rsid w:val="00491031"/>
    <w:rsid w:val="00491445"/>
    <w:rsid w:val="004915C6"/>
    <w:rsid w:val="004916C7"/>
    <w:rsid w:val="0049185C"/>
    <w:rsid w:val="00491A1F"/>
    <w:rsid w:val="00491A9A"/>
    <w:rsid w:val="004920F2"/>
    <w:rsid w:val="004927B3"/>
    <w:rsid w:val="004929ED"/>
    <w:rsid w:val="00492C34"/>
    <w:rsid w:val="00493002"/>
    <w:rsid w:val="0049309F"/>
    <w:rsid w:val="004930E7"/>
    <w:rsid w:val="004932C6"/>
    <w:rsid w:val="004933EA"/>
    <w:rsid w:val="00493464"/>
    <w:rsid w:val="00493643"/>
    <w:rsid w:val="00493655"/>
    <w:rsid w:val="004937F4"/>
    <w:rsid w:val="00494515"/>
    <w:rsid w:val="00494647"/>
    <w:rsid w:val="00494725"/>
    <w:rsid w:val="0049481F"/>
    <w:rsid w:val="00494B0B"/>
    <w:rsid w:val="00494D54"/>
    <w:rsid w:val="00495346"/>
    <w:rsid w:val="0049570D"/>
    <w:rsid w:val="00495A26"/>
    <w:rsid w:val="00495AE4"/>
    <w:rsid w:val="00495D39"/>
    <w:rsid w:val="00495E9B"/>
    <w:rsid w:val="00495ED8"/>
    <w:rsid w:val="00495F74"/>
    <w:rsid w:val="0049603C"/>
    <w:rsid w:val="00496102"/>
    <w:rsid w:val="00496401"/>
    <w:rsid w:val="00496776"/>
    <w:rsid w:val="0049690C"/>
    <w:rsid w:val="00496DD9"/>
    <w:rsid w:val="00496E7D"/>
    <w:rsid w:val="00496F8B"/>
    <w:rsid w:val="00497001"/>
    <w:rsid w:val="00497175"/>
    <w:rsid w:val="0049717A"/>
    <w:rsid w:val="00497AA0"/>
    <w:rsid w:val="00497CAB"/>
    <w:rsid w:val="004A0041"/>
    <w:rsid w:val="004A01B2"/>
    <w:rsid w:val="004A04DD"/>
    <w:rsid w:val="004A057D"/>
    <w:rsid w:val="004A0909"/>
    <w:rsid w:val="004A0AFA"/>
    <w:rsid w:val="004A0D00"/>
    <w:rsid w:val="004A129F"/>
    <w:rsid w:val="004A1387"/>
    <w:rsid w:val="004A15DA"/>
    <w:rsid w:val="004A1762"/>
    <w:rsid w:val="004A1942"/>
    <w:rsid w:val="004A1CAF"/>
    <w:rsid w:val="004A1D69"/>
    <w:rsid w:val="004A1E58"/>
    <w:rsid w:val="004A1E91"/>
    <w:rsid w:val="004A2046"/>
    <w:rsid w:val="004A2192"/>
    <w:rsid w:val="004A21CD"/>
    <w:rsid w:val="004A29B9"/>
    <w:rsid w:val="004A2CF4"/>
    <w:rsid w:val="004A2DEC"/>
    <w:rsid w:val="004A3820"/>
    <w:rsid w:val="004A3AFB"/>
    <w:rsid w:val="004A3B0A"/>
    <w:rsid w:val="004A4256"/>
    <w:rsid w:val="004A4705"/>
    <w:rsid w:val="004A4715"/>
    <w:rsid w:val="004A4999"/>
    <w:rsid w:val="004A4DDF"/>
    <w:rsid w:val="004A50A1"/>
    <w:rsid w:val="004A50FB"/>
    <w:rsid w:val="004A5230"/>
    <w:rsid w:val="004A52A4"/>
    <w:rsid w:val="004A538C"/>
    <w:rsid w:val="004A543C"/>
    <w:rsid w:val="004A5B28"/>
    <w:rsid w:val="004A5BF3"/>
    <w:rsid w:val="004A663C"/>
    <w:rsid w:val="004B0181"/>
    <w:rsid w:val="004B03A6"/>
    <w:rsid w:val="004B0549"/>
    <w:rsid w:val="004B0807"/>
    <w:rsid w:val="004B0C63"/>
    <w:rsid w:val="004B1267"/>
    <w:rsid w:val="004B194B"/>
    <w:rsid w:val="004B1F7C"/>
    <w:rsid w:val="004B2127"/>
    <w:rsid w:val="004B2322"/>
    <w:rsid w:val="004B2364"/>
    <w:rsid w:val="004B3093"/>
    <w:rsid w:val="004B30BC"/>
    <w:rsid w:val="004B30F7"/>
    <w:rsid w:val="004B3209"/>
    <w:rsid w:val="004B34AD"/>
    <w:rsid w:val="004B34E3"/>
    <w:rsid w:val="004B38BC"/>
    <w:rsid w:val="004B39D5"/>
    <w:rsid w:val="004B3A9A"/>
    <w:rsid w:val="004B44BE"/>
    <w:rsid w:val="004B44F3"/>
    <w:rsid w:val="004B4500"/>
    <w:rsid w:val="004B4792"/>
    <w:rsid w:val="004B490A"/>
    <w:rsid w:val="004B51E0"/>
    <w:rsid w:val="004B5DE8"/>
    <w:rsid w:val="004B5E0C"/>
    <w:rsid w:val="004B6165"/>
    <w:rsid w:val="004B616E"/>
    <w:rsid w:val="004B65E0"/>
    <w:rsid w:val="004B67AB"/>
    <w:rsid w:val="004B67AC"/>
    <w:rsid w:val="004B685B"/>
    <w:rsid w:val="004B6B4A"/>
    <w:rsid w:val="004B718A"/>
    <w:rsid w:val="004B7387"/>
    <w:rsid w:val="004B7519"/>
    <w:rsid w:val="004B7887"/>
    <w:rsid w:val="004B7C2F"/>
    <w:rsid w:val="004C008A"/>
    <w:rsid w:val="004C00D0"/>
    <w:rsid w:val="004C01A0"/>
    <w:rsid w:val="004C0265"/>
    <w:rsid w:val="004C0789"/>
    <w:rsid w:val="004C0C36"/>
    <w:rsid w:val="004C0CB4"/>
    <w:rsid w:val="004C0EB7"/>
    <w:rsid w:val="004C11C1"/>
    <w:rsid w:val="004C1537"/>
    <w:rsid w:val="004C1557"/>
    <w:rsid w:val="004C17BC"/>
    <w:rsid w:val="004C1895"/>
    <w:rsid w:val="004C1D1D"/>
    <w:rsid w:val="004C24AA"/>
    <w:rsid w:val="004C2870"/>
    <w:rsid w:val="004C2C76"/>
    <w:rsid w:val="004C361B"/>
    <w:rsid w:val="004C3821"/>
    <w:rsid w:val="004C3A33"/>
    <w:rsid w:val="004C4E70"/>
    <w:rsid w:val="004C4FEA"/>
    <w:rsid w:val="004C50EA"/>
    <w:rsid w:val="004C5188"/>
    <w:rsid w:val="004C5300"/>
    <w:rsid w:val="004C5A07"/>
    <w:rsid w:val="004C5DE6"/>
    <w:rsid w:val="004C6095"/>
    <w:rsid w:val="004C6524"/>
    <w:rsid w:val="004C66C6"/>
    <w:rsid w:val="004C6760"/>
    <w:rsid w:val="004C72A4"/>
    <w:rsid w:val="004C77E5"/>
    <w:rsid w:val="004C7C9F"/>
    <w:rsid w:val="004C7EB9"/>
    <w:rsid w:val="004D0091"/>
    <w:rsid w:val="004D041E"/>
    <w:rsid w:val="004D0516"/>
    <w:rsid w:val="004D062D"/>
    <w:rsid w:val="004D0784"/>
    <w:rsid w:val="004D0A11"/>
    <w:rsid w:val="004D0B07"/>
    <w:rsid w:val="004D0DCA"/>
    <w:rsid w:val="004D0E04"/>
    <w:rsid w:val="004D1B3B"/>
    <w:rsid w:val="004D1E0B"/>
    <w:rsid w:val="004D22F7"/>
    <w:rsid w:val="004D275D"/>
    <w:rsid w:val="004D2A11"/>
    <w:rsid w:val="004D2E94"/>
    <w:rsid w:val="004D305E"/>
    <w:rsid w:val="004D31C4"/>
    <w:rsid w:val="004D326F"/>
    <w:rsid w:val="004D393A"/>
    <w:rsid w:val="004D3DDD"/>
    <w:rsid w:val="004D4445"/>
    <w:rsid w:val="004D449E"/>
    <w:rsid w:val="004D498B"/>
    <w:rsid w:val="004D4E67"/>
    <w:rsid w:val="004D500C"/>
    <w:rsid w:val="004D51DA"/>
    <w:rsid w:val="004D548D"/>
    <w:rsid w:val="004D55F5"/>
    <w:rsid w:val="004D580A"/>
    <w:rsid w:val="004D5B5E"/>
    <w:rsid w:val="004D610F"/>
    <w:rsid w:val="004D643F"/>
    <w:rsid w:val="004D64B0"/>
    <w:rsid w:val="004D7247"/>
    <w:rsid w:val="004D75FB"/>
    <w:rsid w:val="004D794C"/>
    <w:rsid w:val="004D7980"/>
    <w:rsid w:val="004D7B74"/>
    <w:rsid w:val="004D7B88"/>
    <w:rsid w:val="004D7DD7"/>
    <w:rsid w:val="004D7ECE"/>
    <w:rsid w:val="004E01C6"/>
    <w:rsid w:val="004E02D9"/>
    <w:rsid w:val="004E06D9"/>
    <w:rsid w:val="004E0BE2"/>
    <w:rsid w:val="004E0E72"/>
    <w:rsid w:val="004E0F59"/>
    <w:rsid w:val="004E1355"/>
    <w:rsid w:val="004E1ABE"/>
    <w:rsid w:val="004E1CF7"/>
    <w:rsid w:val="004E1D54"/>
    <w:rsid w:val="004E1D6B"/>
    <w:rsid w:val="004E20B8"/>
    <w:rsid w:val="004E21DB"/>
    <w:rsid w:val="004E2210"/>
    <w:rsid w:val="004E2709"/>
    <w:rsid w:val="004E2795"/>
    <w:rsid w:val="004E344A"/>
    <w:rsid w:val="004E3606"/>
    <w:rsid w:val="004E37B3"/>
    <w:rsid w:val="004E37C4"/>
    <w:rsid w:val="004E3901"/>
    <w:rsid w:val="004E3B3C"/>
    <w:rsid w:val="004E3B42"/>
    <w:rsid w:val="004E4432"/>
    <w:rsid w:val="004E5211"/>
    <w:rsid w:val="004E54B1"/>
    <w:rsid w:val="004E55A5"/>
    <w:rsid w:val="004E56F6"/>
    <w:rsid w:val="004E576D"/>
    <w:rsid w:val="004E5B44"/>
    <w:rsid w:val="004E5EB8"/>
    <w:rsid w:val="004E6085"/>
    <w:rsid w:val="004E60CE"/>
    <w:rsid w:val="004E626B"/>
    <w:rsid w:val="004E64E6"/>
    <w:rsid w:val="004E6562"/>
    <w:rsid w:val="004E6F12"/>
    <w:rsid w:val="004E728C"/>
    <w:rsid w:val="004E75C5"/>
    <w:rsid w:val="004E75CB"/>
    <w:rsid w:val="004E7A32"/>
    <w:rsid w:val="004E7A80"/>
    <w:rsid w:val="004E7B82"/>
    <w:rsid w:val="004E7DBA"/>
    <w:rsid w:val="004F04B0"/>
    <w:rsid w:val="004F053E"/>
    <w:rsid w:val="004F0D7A"/>
    <w:rsid w:val="004F1245"/>
    <w:rsid w:val="004F1981"/>
    <w:rsid w:val="004F1AC9"/>
    <w:rsid w:val="004F1BBB"/>
    <w:rsid w:val="004F1BC3"/>
    <w:rsid w:val="004F2067"/>
    <w:rsid w:val="004F2779"/>
    <w:rsid w:val="004F298E"/>
    <w:rsid w:val="004F29E6"/>
    <w:rsid w:val="004F2D28"/>
    <w:rsid w:val="004F3286"/>
    <w:rsid w:val="004F380C"/>
    <w:rsid w:val="004F3AD5"/>
    <w:rsid w:val="004F3CD2"/>
    <w:rsid w:val="004F3F71"/>
    <w:rsid w:val="004F3F99"/>
    <w:rsid w:val="004F423A"/>
    <w:rsid w:val="004F43F9"/>
    <w:rsid w:val="004F4558"/>
    <w:rsid w:val="004F4C81"/>
    <w:rsid w:val="004F5199"/>
    <w:rsid w:val="004F520C"/>
    <w:rsid w:val="004F5401"/>
    <w:rsid w:val="004F5666"/>
    <w:rsid w:val="004F58ED"/>
    <w:rsid w:val="004F602A"/>
    <w:rsid w:val="004F6559"/>
    <w:rsid w:val="004F65C9"/>
    <w:rsid w:val="004F6661"/>
    <w:rsid w:val="004F683E"/>
    <w:rsid w:val="004F7021"/>
    <w:rsid w:val="004F74AB"/>
    <w:rsid w:val="004F7A8D"/>
    <w:rsid w:val="004F7AB0"/>
    <w:rsid w:val="00500039"/>
    <w:rsid w:val="00500232"/>
    <w:rsid w:val="00500287"/>
    <w:rsid w:val="00500501"/>
    <w:rsid w:val="005007DD"/>
    <w:rsid w:val="00500A60"/>
    <w:rsid w:val="00500CA0"/>
    <w:rsid w:val="00501016"/>
    <w:rsid w:val="005011BF"/>
    <w:rsid w:val="0050123E"/>
    <w:rsid w:val="0050173D"/>
    <w:rsid w:val="00501E18"/>
    <w:rsid w:val="0050222B"/>
    <w:rsid w:val="005024AB"/>
    <w:rsid w:val="005024FC"/>
    <w:rsid w:val="005025D0"/>
    <w:rsid w:val="00502718"/>
    <w:rsid w:val="00502857"/>
    <w:rsid w:val="00502BE0"/>
    <w:rsid w:val="00502CE7"/>
    <w:rsid w:val="00502DA3"/>
    <w:rsid w:val="00502ECE"/>
    <w:rsid w:val="005030F9"/>
    <w:rsid w:val="00503383"/>
    <w:rsid w:val="005034C5"/>
    <w:rsid w:val="00503F69"/>
    <w:rsid w:val="00503FA8"/>
    <w:rsid w:val="00504295"/>
    <w:rsid w:val="0050437A"/>
    <w:rsid w:val="00504492"/>
    <w:rsid w:val="00504CF3"/>
    <w:rsid w:val="00504E4D"/>
    <w:rsid w:val="00504F11"/>
    <w:rsid w:val="005054C7"/>
    <w:rsid w:val="005055BC"/>
    <w:rsid w:val="00505747"/>
    <w:rsid w:val="00505A80"/>
    <w:rsid w:val="0050664D"/>
    <w:rsid w:val="0050680A"/>
    <w:rsid w:val="0050684E"/>
    <w:rsid w:val="0050700D"/>
    <w:rsid w:val="005071B6"/>
    <w:rsid w:val="0050799B"/>
    <w:rsid w:val="00510BE6"/>
    <w:rsid w:val="005110D9"/>
    <w:rsid w:val="00511168"/>
    <w:rsid w:val="00511656"/>
    <w:rsid w:val="00511915"/>
    <w:rsid w:val="00511A52"/>
    <w:rsid w:val="00511ED7"/>
    <w:rsid w:val="00512385"/>
    <w:rsid w:val="005125A7"/>
    <w:rsid w:val="00512B83"/>
    <w:rsid w:val="00512C00"/>
    <w:rsid w:val="00512E20"/>
    <w:rsid w:val="00512E88"/>
    <w:rsid w:val="005134BC"/>
    <w:rsid w:val="00513884"/>
    <w:rsid w:val="005138A5"/>
    <w:rsid w:val="00513A83"/>
    <w:rsid w:val="00515729"/>
    <w:rsid w:val="00515785"/>
    <w:rsid w:val="005160D0"/>
    <w:rsid w:val="0051635A"/>
    <w:rsid w:val="0051692F"/>
    <w:rsid w:val="00516B14"/>
    <w:rsid w:val="00517061"/>
    <w:rsid w:val="0051735F"/>
    <w:rsid w:val="005175DB"/>
    <w:rsid w:val="00517603"/>
    <w:rsid w:val="0051767C"/>
    <w:rsid w:val="00517683"/>
    <w:rsid w:val="00517AE9"/>
    <w:rsid w:val="00517DE1"/>
    <w:rsid w:val="005204C1"/>
    <w:rsid w:val="0052068A"/>
    <w:rsid w:val="0052069F"/>
    <w:rsid w:val="00520937"/>
    <w:rsid w:val="00520BE2"/>
    <w:rsid w:val="00520DD3"/>
    <w:rsid w:val="00520EB1"/>
    <w:rsid w:val="00521071"/>
    <w:rsid w:val="0052108B"/>
    <w:rsid w:val="005210AC"/>
    <w:rsid w:val="00521185"/>
    <w:rsid w:val="005217F3"/>
    <w:rsid w:val="00521A08"/>
    <w:rsid w:val="00522036"/>
    <w:rsid w:val="00522158"/>
    <w:rsid w:val="0052228B"/>
    <w:rsid w:val="005224FF"/>
    <w:rsid w:val="005225A9"/>
    <w:rsid w:val="005227EE"/>
    <w:rsid w:val="00522824"/>
    <w:rsid w:val="0052282E"/>
    <w:rsid w:val="00523259"/>
    <w:rsid w:val="005234C4"/>
    <w:rsid w:val="00523938"/>
    <w:rsid w:val="00523AC8"/>
    <w:rsid w:val="00523BDB"/>
    <w:rsid w:val="00523DAB"/>
    <w:rsid w:val="00523F1D"/>
    <w:rsid w:val="00524106"/>
    <w:rsid w:val="00524255"/>
    <w:rsid w:val="0052429F"/>
    <w:rsid w:val="00524449"/>
    <w:rsid w:val="0052485E"/>
    <w:rsid w:val="005248A9"/>
    <w:rsid w:val="00525126"/>
    <w:rsid w:val="00525222"/>
    <w:rsid w:val="005253C9"/>
    <w:rsid w:val="00525410"/>
    <w:rsid w:val="00525786"/>
    <w:rsid w:val="0052578F"/>
    <w:rsid w:val="00525E28"/>
    <w:rsid w:val="00526111"/>
    <w:rsid w:val="00526958"/>
    <w:rsid w:val="00526979"/>
    <w:rsid w:val="00526C0E"/>
    <w:rsid w:val="00526EB0"/>
    <w:rsid w:val="00526FE6"/>
    <w:rsid w:val="00527009"/>
    <w:rsid w:val="0052708C"/>
    <w:rsid w:val="005273B3"/>
    <w:rsid w:val="005274AB"/>
    <w:rsid w:val="005275F2"/>
    <w:rsid w:val="0052760D"/>
    <w:rsid w:val="005278F5"/>
    <w:rsid w:val="00527E50"/>
    <w:rsid w:val="00527F15"/>
    <w:rsid w:val="0053065A"/>
    <w:rsid w:val="0053098E"/>
    <w:rsid w:val="00530C0C"/>
    <w:rsid w:val="00530C10"/>
    <w:rsid w:val="00530C9A"/>
    <w:rsid w:val="005321A2"/>
    <w:rsid w:val="005322DE"/>
    <w:rsid w:val="0053238D"/>
    <w:rsid w:val="00532A93"/>
    <w:rsid w:val="00532FFC"/>
    <w:rsid w:val="00533222"/>
    <w:rsid w:val="005333C3"/>
    <w:rsid w:val="005334C7"/>
    <w:rsid w:val="00533504"/>
    <w:rsid w:val="00533755"/>
    <w:rsid w:val="005338EE"/>
    <w:rsid w:val="005339D9"/>
    <w:rsid w:val="00533BAC"/>
    <w:rsid w:val="00533E83"/>
    <w:rsid w:val="005340C6"/>
    <w:rsid w:val="00534166"/>
    <w:rsid w:val="005341F2"/>
    <w:rsid w:val="00534488"/>
    <w:rsid w:val="005344AF"/>
    <w:rsid w:val="0053484D"/>
    <w:rsid w:val="00534913"/>
    <w:rsid w:val="00534A6B"/>
    <w:rsid w:val="00535D92"/>
    <w:rsid w:val="005360DA"/>
    <w:rsid w:val="0053640E"/>
    <w:rsid w:val="00537074"/>
    <w:rsid w:val="0053731A"/>
    <w:rsid w:val="00537688"/>
    <w:rsid w:val="005376C2"/>
    <w:rsid w:val="00537C64"/>
    <w:rsid w:val="00537E7B"/>
    <w:rsid w:val="00540023"/>
    <w:rsid w:val="00540256"/>
    <w:rsid w:val="00540344"/>
    <w:rsid w:val="005404F6"/>
    <w:rsid w:val="005407AE"/>
    <w:rsid w:val="00540A00"/>
    <w:rsid w:val="005415D7"/>
    <w:rsid w:val="0054194F"/>
    <w:rsid w:val="00541B7B"/>
    <w:rsid w:val="00541C06"/>
    <w:rsid w:val="00542530"/>
    <w:rsid w:val="005428D3"/>
    <w:rsid w:val="00542AA4"/>
    <w:rsid w:val="00542FAD"/>
    <w:rsid w:val="00543370"/>
    <w:rsid w:val="00543CC6"/>
    <w:rsid w:val="00544663"/>
    <w:rsid w:val="005446B8"/>
    <w:rsid w:val="00544D1C"/>
    <w:rsid w:val="00544DFA"/>
    <w:rsid w:val="00544E9D"/>
    <w:rsid w:val="00544F0A"/>
    <w:rsid w:val="00545089"/>
    <w:rsid w:val="005451C7"/>
    <w:rsid w:val="005451CF"/>
    <w:rsid w:val="005458D5"/>
    <w:rsid w:val="00545960"/>
    <w:rsid w:val="005459DC"/>
    <w:rsid w:val="00545B1C"/>
    <w:rsid w:val="00545D75"/>
    <w:rsid w:val="00545EF1"/>
    <w:rsid w:val="005462BA"/>
    <w:rsid w:val="0054640D"/>
    <w:rsid w:val="00546521"/>
    <w:rsid w:val="00546A79"/>
    <w:rsid w:val="00546C84"/>
    <w:rsid w:val="00546EAB"/>
    <w:rsid w:val="00546EC7"/>
    <w:rsid w:val="00547E41"/>
    <w:rsid w:val="005500F2"/>
    <w:rsid w:val="0055024D"/>
    <w:rsid w:val="005502CF"/>
    <w:rsid w:val="005509D3"/>
    <w:rsid w:val="00550B51"/>
    <w:rsid w:val="00550E4B"/>
    <w:rsid w:val="00550F5F"/>
    <w:rsid w:val="00551819"/>
    <w:rsid w:val="00551839"/>
    <w:rsid w:val="00551F28"/>
    <w:rsid w:val="00552303"/>
    <w:rsid w:val="005528AC"/>
    <w:rsid w:val="00552A14"/>
    <w:rsid w:val="00552E89"/>
    <w:rsid w:val="0055358E"/>
    <w:rsid w:val="00553B2A"/>
    <w:rsid w:val="00554564"/>
    <w:rsid w:val="005545A7"/>
    <w:rsid w:val="00554657"/>
    <w:rsid w:val="00554AF3"/>
    <w:rsid w:val="00554C3F"/>
    <w:rsid w:val="00554CEB"/>
    <w:rsid w:val="00554F8B"/>
    <w:rsid w:val="005551EE"/>
    <w:rsid w:val="0055531B"/>
    <w:rsid w:val="00555369"/>
    <w:rsid w:val="005556D9"/>
    <w:rsid w:val="0055596B"/>
    <w:rsid w:val="005559DF"/>
    <w:rsid w:val="00555C4D"/>
    <w:rsid w:val="00555CE4"/>
    <w:rsid w:val="00555DF8"/>
    <w:rsid w:val="00556562"/>
    <w:rsid w:val="0055661E"/>
    <w:rsid w:val="005569CA"/>
    <w:rsid w:val="00556B7E"/>
    <w:rsid w:val="00556C28"/>
    <w:rsid w:val="00556D64"/>
    <w:rsid w:val="00556F65"/>
    <w:rsid w:val="00556F7C"/>
    <w:rsid w:val="005571B1"/>
    <w:rsid w:val="005575BB"/>
    <w:rsid w:val="00557888"/>
    <w:rsid w:val="00557A51"/>
    <w:rsid w:val="00557AC4"/>
    <w:rsid w:val="00557D29"/>
    <w:rsid w:val="005602A2"/>
    <w:rsid w:val="00560491"/>
    <w:rsid w:val="00560A4E"/>
    <w:rsid w:val="00560CDE"/>
    <w:rsid w:val="00560D2F"/>
    <w:rsid w:val="00561325"/>
    <w:rsid w:val="0056183F"/>
    <w:rsid w:val="00561903"/>
    <w:rsid w:val="00561966"/>
    <w:rsid w:val="00562124"/>
    <w:rsid w:val="005621DA"/>
    <w:rsid w:val="00562253"/>
    <w:rsid w:val="0056226F"/>
    <w:rsid w:val="005623B8"/>
    <w:rsid w:val="005630FD"/>
    <w:rsid w:val="0056315F"/>
    <w:rsid w:val="00563895"/>
    <w:rsid w:val="00563E7F"/>
    <w:rsid w:val="00563FCC"/>
    <w:rsid w:val="0056446E"/>
    <w:rsid w:val="005645D7"/>
    <w:rsid w:val="00564E50"/>
    <w:rsid w:val="00564F2A"/>
    <w:rsid w:val="00565177"/>
    <w:rsid w:val="005652BC"/>
    <w:rsid w:val="0056536C"/>
    <w:rsid w:val="0056566A"/>
    <w:rsid w:val="00565900"/>
    <w:rsid w:val="00565BBF"/>
    <w:rsid w:val="00565D8B"/>
    <w:rsid w:val="00565F8A"/>
    <w:rsid w:val="005662DD"/>
    <w:rsid w:val="005663EE"/>
    <w:rsid w:val="00566603"/>
    <w:rsid w:val="00566736"/>
    <w:rsid w:val="00566966"/>
    <w:rsid w:val="00566AD8"/>
    <w:rsid w:val="00566DEE"/>
    <w:rsid w:val="00566ECE"/>
    <w:rsid w:val="00567010"/>
    <w:rsid w:val="00567426"/>
    <w:rsid w:val="00567449"/>
    <w:rsid w:val="00567849"/>
    <w:rsid w:val="0056793E"/>
    <w:rsid w:val="00567ADE"/>
    <w:rsid w:val="00567C36"/>
    <w:rsid w:val="00567D26"/>
    <w:rsid w:val="00567ECD"/>
    <w:rsid w:val="00567FDC"/>
    <w:rsid w:val="005705EF"/>
    <w:rsid w:val="00570A39"/>
    <w:rsid w:val="00570DBC"/>
    <w:rsid w:val="00570E8A"/>
    <w:rsid w:val="00571220"/>
    <w:rsid w:val="00571425"/>
    <w:rsid w:val="00571787"/>
    <w:rsid w:val="0057196A"/>
    <w:rsid w:val="00571CA6"/>
    <w:rsid w:val="00572132"/>
    <w:rsid w:val="005723EA"/>
    <w:rsid w:val="00572452"/>
    <w:rsid w:val="005724CC"/>
    <w:rsid w:val="0057313C"/>
    <w:rsid w:val="0057318B"/>
    <w:rsid w:val="00573868"/>
    <w:rsid w:val="00573956"/>
    <w:rsid w:val="00573A65"/>
    <w:rsid w:val="00573BA7"/>
    <w:rsid w:val="00573FBE"/>
    <w:rsid w:val="0057423F"/>
    <w:rsid w:val="0057483F"/>
    <w:rsid w:val="005750D9"/>
    <w:rsid w:val="00575351"/>
    <w:rsid w:val="00575BE3"/>
    <w:rsid w:val="00575C60"/>
    <w:rsid w:val="005763C1"/>
    <w:rsid w:val="00576A3B"/>
    <w:rsid w:val="00576F7F"/>
    <w:rsid w:val="00577080"/>
    <w:rsid w:val="005771ED"/>
    <w:rsid w:val="005773C1"/>
    <w:rsid w:val="005773CC"/>
    <w:rsid w:val="00577834"/>
    <w:rsid w:val="00577A1C"/>
    <w:rsid w:val="00577ABB"/>
    <w:rsid w:val="00577B3D"/>
    <w:rsid w:val="00577C65"/>
    <w:rsid w:val="00577CB1"/>
    <w:rsid w:val="00580147"/>
    <w:rsid w:val="005806F6"/>
    <w:rsid w:val="00580A77"/>
    <w:rsid w:val="00580E2C"/>
    <w:rsid w:val="005815D7"/>
    <w:rsid w:val="00581875"/>
    <w:rsid w:val="00581C99"/>
    <w:rsid w:val="00582004"/>
    <w:rsid w:val="00582026"/>
    <w:rsid w:val="005821AE"/>
    <w:rsid w:val="00582301"/>
    <w:rsid w:val="005828A3"/>
    <w:rsid w:val="00583209"/>
    <w:rsid w:val="005833B9"/>
    <w:rsid w:val="0058348C"/>
    <w:rsid w:val="005838BD"/>
    <w:rsid w:val="00583AC4"/>
    <w:rsid w:val="00583B18"/>
    <w:rsid w:val="00583D64"/>
    <w:rsid w:val="00583F20"/>
    <w:rsid w:val="00583FF9"/>
    <w:rsid w:val="0058434B"/>
    <w:rsid w:val="005844DF"/>
    <w:rsid w:val="0058457D"/>
    <w:rsid w:val="005845E7"/>
    <w:rsid w:val="00584676"/>
    <w:rsid w:val="005847A7"/>
    <w:rsid w:val="00584888"/>
    <w:rsid w:val="005849C6"/>
    <w:rsid w:val="00584A43"/>
    <w:rsid w:val="00584B8F"/>
    <w:rsid w:val="00585385"/>
    <w:rsid w:val="005858F7"/>
    <w:rsid w:val="005859CF"/>
    <w:rsid w:val="00585ADD"/>
    <w:rsid w:val="00585E18"/>
    <w:rsid w:val="00585E23"/>
    <w:rsid w:val="00585E9F"/>
    <w:rsid w:val="0058600B"/>
    <w:rsid w:val="00586385"/>
    <w:rsid w:val="005863BE"/>
    <w:rsid w:val="00586666"/>
    <w:rsid w:val="005868BA"/>
    <w:rsid w:val="00586AA2"/>
    <w:rsid w:val="00586BE6"/>
    <w:rsid w:val="00586E72"/>
    <w:rsid w:val="00587966"/>
    <w:rsid w:val="00587AE9"/>
    <w:rsid w:val="00587C54"/>
    <w:rsid w:val="0059024D"/>
    <w:rsid w:val="005907A2"/>
    <w:rsid w:val="005907CC"/>
    <w:rsid w:val="00591328"/>
    <w:rsid w:val="00591750"/>
    <w:rsid w:val="00591BA1"/>
    <w:rsid w:val="00591C71"/>
    <w:rsid w:val="00591E35"/>
    <w:rsid w:val="0059212D"/>
    <w:rsid w:val="0059230D"/>
    <w:rsid w:val="00592543"/>
    <w:rsid w:val="005927CD"/>
    <w:rsid w:val="00592CF4"/>
    <w:rsid w:val="00592EB1"/>
    <w:rsid w:val="00592F97"/>
    <w:rsid w:val="00593534"/>
    <w:rsid w:val="005935B3"/>
    <w:rsid w:val="005937A0"/>
    <w:rsid w:val="005937D5"/>
    <w:rsid w:val="00593A15"/>
    <w:rsid w:val="00593C4D"/>
    <w:rsid w:val="00593D04"/>
    <w:rsid w:val="00594032"/>
    <w:rsid w:val="005942D3"/>
    <w:rsid w:val="005944DC"/>
    <w:rsid w:val="00594668"/>
    <w:rsid w:val="005948B8"/>
    <w:rsid w:val="00594E43"/>
    <w:rsid w:val="00595166"/>
    <w:rsid w:val="005956DF"/>
    <w:rsid w:val="0059599D"/>
    <w:rsid w:val="00595BDD"/>
    <w:rsid w:val="00595D63"/>
    <w:rsid w:val="00595D8F"/>
    <w:rsid w:val="00595FBB"/>
    <w:rsid w:val="0059613F"/>
    <w:rsid w:val="00596294"/>
    <w:rsid w:val="005974DC"/>
    <w:rsid w:val="0059791A"/>
    <w:rsid w:val="00597BBB"/>
    <w:rsid w:val="00597D9B"/>
    <w:rsid w:val="00597EA6"/>
    <w:rsid w:val="00597F23"/>
    <w:rsid w:val="005A03FE"/>
    <w:rsid w:val="005A04D4"/>
    <w:rsid w:val="005A0654"/>
    <w:rsid w:val="005A0879"/>
    <w:rsid w:val="005A0AFE"/>
    <w:rsid w:val="005A108C"/>
    <w:rsid w:val="005A11B0"/>
    <w:rsid w:val="005A1A13"/>
    <w:rsid w:val="005A1BA7"/>
    <w:rsid w:val="005A23A2"/>
    <w:rsid w:val="005A27FF"/>
    <w:rsid w:val="005A293C"/>
    <w:rsid w:val="005A2CC7"/>
    <w:rsid w:val="005A2D9C"/>
    <w:rsid w:val="005A2EF4"/>
    <w:rsid w:val="005A3297"/>
    <w:rsid w:val="005A352E"/>
    <w:rsid w:val="005A37DA"/>
    <w:rsid w:val="005A3BB7"/>
    <w:rsid w:val="005A3F35"/>
    <w:rsid w:val="005A44FE"/>
    <w:rsid w:val="005A47BD"/>
    <w:rsid w:val="005A49CE"/>
    <w:rsid w:val="005A4A3E"/>
    <w:rsid w:val="005A5135"/>
    <w:rsid w:val="005A52E1"/>
    <w:rsid w:val="005A53E0"/>
    <w:rsid w:val="005A540B"/>
    <w:rsid w:val="005A54A8"/>
    <w:rsid w:val="005A57E3"/>
    <w:rsid w:val="005A6D7D"/>
    <w:rsid w:val="005A700E"/>
    <w:rsid w:val="005A71E4"/>
    <w:rsid w:val="005A7709"/>
    <w:rsid w:val="005A7746"/>
    <w:rsid w:val="005A78E2"/>
    <w:rsid w:val="005A7DAD"/>
    <w:rsid w:val="005A7E13"/>
    <w:rsid w:val="005B0583"/>
    <w:rsid w:val="005B063C"/>
    <w:rsid w:val="005B0E11"/>
    <w:rsid w:val="005B1657"/>
    <w:rsid w:val="005B16FC"/>
    <w:rsid w:val="005B183D"/>
    <w:rsid w:val="005B1E1D"/>
    <w:rsid w:val="005B2144"/>
    <w:rsid w:val="005B21BB"/>
    <w:rsid w:val="005B239D"/>
    <w:rsid w:val="005B29C0"/>
    <w:rsid w:val="005B2A64"/>
    <w:rsid w:val="005B30E3"/>
    <w:rsid w:val="005B31BB"/>
    <w:rsid w:val="005B32D0"/>
    <w:rsid w:val="005B33A9"/>
    <w:rsid w:val="005B3518"/>
    <w:rsid w:val="005B3810"/>
    <w:rsid w:val="005B3ABE"/>
    <w:rsid w:val="005B3CB1"/>
    <w:rsid w:val="005B3F9F"/>
    <w:rsid w:val="005B434A"/>
    <w:rsid w:val="005B4464"/>
    <w:rsid w:val="005B4DF7"/>
    <w:rsid w:val="005B4DFC"/>
    <w:rsid w:val="005B528C"/>
    <w:rsid w:val="005B5678"/>
    <w:rsid w:val="005B593A"/>
    <w:rsid w:val="005B5F97"/>
    <w:rsid w:val="005B63BF"/>
    <w:rsid w:val="005B6CF8"/>
    <w:rsid w:val="005B77FE"/>
    <w:rsid w:val="005B7FB4"/>
    <w:rsid w:val="005C076F"/>
    <w:rsid w:val="005C0839"/>
    <w:rsid w:val="005C0B31"/>
    <w:rsid w:val="005C0CB1"/>
    <w:rsid w:val="005C11DD"/>
    <w:rsid w:val="005C1323"/>
    <w:rsid w:val="005C1B5F"/>
    <w:rsid w:val="005C1B9D"/>
    <w:rsid w:val="005C1E47"/>
    <w:rsid w:val="005C1FFF"/>
    <w:rsid w:val="005C254F"/>
    <w:rsid w:val="005C255D"/>
    <w:rsid w:val="005C25BB"/>
    <w:rsid w:val="005C290C"/>
    <w:rsid w:val="005C2D0E"/>
    <w:rsid w:val="005C33B4"/>
    <w:rsid w:val="005C36C3"/>
    <w:rsid w:val="005C38EE"/>
    <w:rsid w:val="005C3E69"/>
    <w:rsid w:val="005C3EE7"/>
    <w:rsid w:val="005C42B2"/>
    <w:rsid w:val="005C4851"/>
    <w:rsid w:val="005C4A04"/>
    <w:rsid w:val="005C4FDF"/>
    <w:rsid w:val="005C5550"/>
    <w:rsid w:val="005C578D"/>
    <w:rsid w:val="005C5F9D"/>
    <w:rsid w:val="005C60D5"/>
    <w:rsid w:val="005C62AE"/>
    <w:rsid w:val="005C65FD"/>
    <w:rsid w:val="005C6E42"/>
    <w:rsid w:val="005C6F1A"/>
    <w:rsid w:val="005C737E"/>
    <w:rsid w:val="005C7A1A"/>
    <w:rsid w:val="005C7E94"/>
    <w:rsid w:val="005C7EF9"/>
    <w:rsid w:val="005D0043"/>
    <w:rsid w:val="005D04BD"/>
    <w:rsid w:val="005D05EF"/>
    <w:rsid w:val="005D1986"/>
    <w:rsid w:val="005D1BB7"/>
    <w:rsid w:val="005D2598"/>
    <w:rsid w:val="005D26B4"/>
    <w:rsid w:val="005D27F9"/>
    <w:rsid w:val="005D286E"/>
    <w:rsid w:val="005D31EC"/>
    <w:rsid w:val="005D3C63"/>
    <w:rsid w:val="005D4D5D"/>
    <w:rsid w:val="005D5195"/>
    <w:rsid w:val="005D5804"/>
    <w:rsid w:val="005D5ACB"/>
    <w:rsid w:val="005D5C82"/>
    <w:rsid w:val="005D603A"/>
    <w:rsid w:val="005D60B8"/>
    <w:rsid w:val="005D6267"/>
    <w:rsid w:val="005D6578"/>
    <w:rsid w:val="005D66A4"/>
    <w:rsid w:val="005D6803"/>
    <w:rsid w:val="005D6A6E"/>
    <w:rsid w:val="005D733B"/>
    <w:rsid w:val="005D75D6"/>
    <w:rsid w:val="005D76A5"/>
    <w:rsid w:val="005D7B33"/>
    <w:rsid w:val="005D7CCA"/>
    <w:rsid w:val="005D7F9D"/>
    <w:rsid w:val="005E0155"/>
    <w:rsid w:val="005E01FF"/>
    <w:rsid w:val="005E0694"/>
    <w:rsid w:val="005E096C"/>
    <w:rsid w:val="005E0A24"/>
    <w:rsid w:val="005E0E12"/>
    <w:rsid w:val="005E175A"/>
    <w:rsid w:val="005E17B0"/>
    <w:rsid w:val="005E1A2F"/>
    <w:rsid w:val="005E1E6B"/>
    <w:rsid w:val="005E2A9A"/>
    <w:rsid w:val="005E2AED"/>
    <w:rsid w:val="005E3365"/>
    <w:rsid w:val="005E34A7"/>
    <w:rsid w:val="005E361B"/>
    <w:rsid w:val="005E4002"/>
    <w:rsid w:val="005E418A"/>
    <w:rsid w:val="005E42EC"/>
    <w:rsid w:val="005E4888"/>
    <w:rsid w:val="005E4954"/>
    <w:rsid w:val="005E496E"/>
    <w:rsid w:val="005E4AC7"/>
    <w:rsid w:val="005E4D73"/>
    <w:rsid w:val="005E5101"/>
    <w:rsid w:val="005E5477"/>
    <w:rsid w:val="005E54FB"/>
    <w:rsid w:val="005E55C2"/>
    <w:rsid w:val="005E57E6"/>
    <w:rsid w:val="005E5817"/>
    <w:rsid w:val="005E5A0D"/>
    <w:rsid w:val="005E5FA2"/>
    <w:rsid w:val="005E609E"/>
    <w:rsid w:val="005E6777"/>
    <w:rsid w:val="005E6F5C"/>
    <w:rsid w:val="005E7105"/>
    <w:rsid w:val="005E7107"/>
    <w:rsid w:val="005E73CF"/>
    <w:rsid w:val="005E768A"/>
    <w:rsid w:val="005E76D0"/>
    <w:rsid w:val="005E7783"/>
    <w:rsid w:val="005E7A6B"/>
    <w:rsid w:val="005E7C6D"/>
    <w:rsid w:val="005F0482"/>
    <w:rsid w:val="005F0593"/>
    <w:rsid w:val="005F0757"/>
    <w:rsid w:val="005F0E96"/>
    <w:rsid w:val="005F125F"/>
    <w:rsid w:val="005F20B5"/>
    <w:rsid w:val="005F2338"/>
    <w:rsid w:val="005F25C2"/>
    <w:rsid w:val="005F270B"/>
    <w:rsid w:val="005F2A30"/>
    <w:rsid w:val="005F2E29"/>
    <w:rsid w:val="005F2F38"/>
    <w:rsid w:val="005F2FCC"/>
    <w:rsid w:val="005F34E7"/>
    <w:rsid w:val="005F3E6B"/>
    <w:rsid w:val="005F43D6"/>
    <w:rsid w:val="005F4465"/>
    <w:rsid w:val="005F4F61"/>
    <w:rsid w:val="005F4F7F"/>
    <w:rsid w:val="005F5164"/>
    <w:rsid w:val="005F5CBB"/>
    <w:rsid w:val="005F623C"/>
    <w:rsid w:val="005F643D"/>
    <w:rsid w:val="005F66E3"/>
    <w:rsid w:val="005F6D68"/>
    <w:rsid w:val="005F6FFA"/>
    <w:rsid w:val="005F70EA"/>
    <w:rsid w:val="005F773A"/>
    <w:rsid w:val="005F7FD4"/>
    <w:rsid w:val="00600026"/>
    <w:rsid w:val="006006DB"/>
    <w:rsid w:val="00600895"/>
    <w:rsid w:val="00600CBE"/>
    <w:rsid w:val="00600D10"/>
    <w:rsid w:val="00600D4A"/>
    <w:rsid w:val="00600F1E"/>
    <w:rsid w:val="00601814"/>
    <w:rsid w:val="00601947"/>
    <w:rsid w:val="00601B89"/>
    <w:rsid w:val="00601E9D"/>
    <w:rsid w:val="0060296A"/>
    <w:rsid w:val="00602A40"/>
    <w:rsid w:val="00602D16"/>
    <w:rsid w:val="006030AB"/>
    <w:rsid w:val="0060333D"/>
    <w:rsid w:val="00603669"/>
    <w:rsid w:val="00603EDE"/>
    <w:rsid w:val="00603F80"/>
    <w:rsid w:val="0060416B"/>
    <w:rsid w:val="00604209"/>
    <w:rsid w:val="0060433F"/>
    <w:rsid w:val="006046E5"/>
    <w:rsid w:val="00605140"/>
    <w:rsid w:val="00605409"/>
    <w:rsid w:val="00605623"/>
    <w:rsid w:val="00605779"/>
    <w:rsid w:val="0060593E"/>
    <w:rsid w:val="00605968"/>
    <w:rsid w:val="00605A8B"/>
    <w:rsid w:val="00605BD8"/>
    <w:rsid w:val="00605CC1"/>
    <w:rsid w:val="00605F79"/>
    <w:rsid w:val="00606166"/>
    <w:rsid w:val="006068D2"/>
    <w:rsid w:val="00606991"/>
    <w:rsid w:val="00606BE5"/>
    <w:rsid w:val="00606D32"/>
    <w:rsid w:val="00606EE7"/>
    <w:rsid w:val="00606FC5"/>
    <w:rsid w:val="006071AD"/>
    <w:rsid w:val="00607398"/>
    <w:rsid w:val="00607432"/>
    <w:rsid w:val="0060779B"/>
    <w:rsid w:val="006078EA"/>
    <w:rsid w:val="00607FB6"/>
    <w:rsid w:val="0061029D"/>
    <w:rsid w:val="006103D4"/>
    <w:rsid w:val="006104CC"/>
    <w:rsid w:val="006105C8"/>
    <w:rsid w:val="0061073C"/>
    <w:rsid w:val="00610A71"/>
    <w:rsid w:val="00610C35"/>
    <w:rsid w:val="006113F8"/>
    <w:rsid w:val="006114C2"/>
    <w:rsid w:val="006114CF"/>
    <w:rsid w:val="00611606"/>
    <w:rsid w:val="006116C7"/>
    <w:rsid w:val="00611A58"/>
    <w:rsid w:val="00611C67"/>
    <w:rsid w:val="00611DB5"/>
    <w:rsid w:val="00612012"/>
    <w:rsid w:val="006122D1"/>
    <w:rsid w:val="006123DC"/>
    <w:rsid w:val="00612E72"/>
    <w:rsid w:val="00612EB0"/>
    <w:rsid w:val="00612EF2"/>
    <w:rsid w:val="006136D1"/>
    <w:rsid w:val="006137EF"/>
    <w:rsid w:val="00613BCD"/>
    <w:rsid w:val="00613D6E"/>
    <w:rsid w:val="00613EAE"/>
    <w:rsid w:val="006144E8"/>
    <w:rsid w:val="006148FE"/>
    <w:rsid w:val="0061492D"/>
    <w:rsid w:val="006151BC"/>
    <w:rsid w:val="00615CB7"/>
    <w:rsid w:val="00615DD1"/>
    <w:rsid w:val="00616088"/>
    <w:rsid w:val="00616357"/>
    <w:rsid w:val="00616AD2"/>
    <w:rsid w:val="00616B5E"/>
    <w:rsid w:val="00616E70"/>
    <w:rsid w:val="006178B3"/>
    <w:rsid w:val="006179CC"/>
    <w:rsid w:val="00617AB7"/>
    <w:rsid w:val="00620058"/>
    <w:rsid w:val="006204DC"/>
    <w:rsid w:val="0062065A"/>
    <w:rsid w:val="006208F5"/>
    <w:rsid w:val="00620B0B"/>
    <w:rsid w:val="00620B4A"/>
    <w:rsid w:val="0062123B"/>
    <w:rsid w:val="0062125A"/>
    <w:rsid w:val="00621609"/>
    <w:rsid w:val="006219B7"/>
    <w:rsid w:val="0062226A"/>
    <w:rsid w:val="006223E6"/>
    <w:rsid w:val="0062288C"/>
    <w:rsid w:val="0062292C"/>
    <w:rsid w:val="00622B0A"/>
    <w:rsid w:val="006230FB"/>
    <w:rsid w:val="00623331"/>
    <w:rsid w:val="00623416"/>
    <w:rsid w:val="006238B0"/>
    <w:rsid w:val="00623AEF"/>
    <w:rsid w:val="00623F80"/>
    <w:rsid w:val="006240AE"/>
    <w:rsid w:val="00624158"/>
    <w:rsid w:val="00624298"/>
    <w:rsid w:val="00624394"/>
    <w:rsid w:val="006246C0"/>
    <w:rsid w:val="00624D4F"/>
    <w:rsid w:val="00624E03"/>
    <w:rsid w:val="00625181"/>
    <w:rsid w:val="00625709"/>
    <w:rsid w:val="006257A6"/>
    <w:rsid w:val="006257C6"/>
    <w:rsid w:val="00625F91"/>
    <w:rsid w:val="00626025"/>
    <w:rsid w:val="006261B0"/>
    <w:rsid w:val="00626F5F"/>
    <w:rsid w:val="0062717C"/>
    <w:rsid w:val="00627488"/>
    <w:rsid w:val="00627D61"/>
    <w:rsid w:val="00627E0D"/>
    <w:rsid w:val="00630417"/>
    <w:rsid w:val="00630859"/>
    <w:rsid w:val="00630A94"/>
    <w:rsid w:val="00630D08"/>
    <w:rsid w:val="00630E66"/>
    <w:rsid w:val="00630E68"/>
    <w:rsid w:val="00631264"/>
    <w:rsid w:val="0063126D"/>
    <w:rsid w:val="006312CD"/>
    <w:rsid w:val="00631795"/>
    <w:rsid w:val="006325D7"/>
    <w:rsid w:val="00632AA7"/>
    <w:rsid w:val="00632E9B"/>
    <w:rsid w:val="00633220"/>
    <w:rsid w:val="00633525"/>
    <w:rsid w:val="0063375B"/>
    <w:rsid w:val="0063377E"/>
    <w:rsid w:val="006337AC"/>
    <w:rsid w:val="00633A70"/>
    <w:rsid w:val="006340F7"/>
    <w:rsid w:val="00634314"/>
    <w:rsid w:val="00634C00"/>
    <w:rsid w:val="00634C86"/>
    <w:rsid w:val="00634D60"/>
    <w:rsid w:val="00634E11"/>
    <w:rsid w:val="00635136"/>
    <w:rsid w:val="006351B5"/>
    <w:rsid w:val="00635232"/>
    <w:rsid w:val="00635502"/>
    <w:rsid w:val="00635549"/>
    <w:rsid w:val="00635723"/>
    <w:rsid w:val="006358DC"/>
    <w:rsid w:val="00635A31"/>
    <w:rsid w:val="00635AFA"/>
    <w:rsid w:val="00635B8B"/>
    <w:rsid w:val="00635CDE"/>
    <w:rsid w:val="0063606F"/>
    <w:rsid w:val="006363DB"/>
    <w:rsid w:val="00636968"/>
    <w:rsid w:val="00636EAE"/>
    <w:rsid w:val="0063739B"/>
    <w:rsid w:val="006373A4"/>
    <w:rsid w:val="00637622"/>
    <w:rsid w:val="006378DD"/>
    <w:rsid w:val="00637A40"/>
    <w:rsid w:val="00637CC3"/>
    <w:rsid w:val="00637FC4"/>
    <w:rsid w:val="006401AB"/>
    <w:rsid w:val="00640523"/>
    <w:rsid w:val="00640AED"/>
    <w:rsid w:val="00640CE7"/>
    <w:rsid w:val="00640F50"/>
    <w:rsid w:val="00641243"/>
    <w:rsid w:val="006412B4"/>
    <w:rsid w:val="006414D7"/>
    <w:rsid w:val="00641C52"/>
    <w:rsid w:val="00641CFB"/>
    <w:rsid w:val="00641F2E"/>
    <w:rsid w:val="00641F96"/>
    <w:rsid w:val="00642303"/>
    <w:rsid w:val="00642364"/>
    <w:rsid w:val="006426A5"/>
    <w:rsid w:val="00642710"/>
    <w:rsid w:val="00642D1A"/>
    <w:rsid w:val="00642D2B"/>
    <w:rsid w:val="00642E1D"/>
    <w:rsid w:val="00642E6B"/>
    <w:rsid w:val="00642FA6"/>
    <w:rsid w:val="0064337D"/>
    <w:rsid w:val="00643708"/>
    <w:rsid w:val="006439AD"/>
    <w:rsid w:val="0064424C"/>
    <w:rsid w:val="0064441F"/>
    <w:rsid w:val="0064446D"/>
    <w:rsid w:val="006447E4"/>
    <w:rsid w:val="00644A74"/>
    <w:rsid w:val="00644D45"/>
    <w:rsid w:val="00644F42"/>
    <w:rsid w:val="0064529E"/>
    <w:rsid w:val="0064587E"/>
    <w:rsid w:val="00645B44"/>
    <w:rsid w:val="006461BF"/>
    <w:rsid w:val="00646325"/>
    <w:rsid w:val="0064640F"/>
    <w:rsid w:val="00646646"/>
    <w:rsid w:val="00646733"/>
    <w:rsid w:val="00646874"/>
    <w:rsid w:val="0064694F"/>
    <w:rsid w:val="00646C72"/>
    <w:rsid w:val="00647509"/>
    <w:rsid w:val="006477A0"/>
    <w:rsid w:val="00647ABA"/>
    <w:rsid w:val="00650420"/>
    <w:rsid w:val="00650491"/>
    <w:rsid w:val="00650493"/>
    <w:rsid w:val="00650824"/>
    <w:rsid w:val="0065087A"/>
    <w:rsid w:val="00650A2B"/>
    <w:rsid w:val="00650A79"/>
    <w:rsid w:val="00650C05"/>
    <w:rsid w:val="00650E5E"/>
    <w:rsid w:val="00650EAE"/>
    <w:rsid w:val="0065125A"/>
    <w:rsid w:val="00651725"/>
    <w:rsid w:val="00651AFD"/>
    <w:rsid w:val="00651C27"/>
    <w:rsid w:val="00651DFB"/>
    <w:rsid w:val="00651F60"/>
    <w:rsid w:val="00652BFA"/>
    <w:rsid w:val="00652EF0"/>
    <w:rsid w:val="00653064"/>
    <w:rsid w:val="0065312F"/>
    <w:rsid w:val="006531DE"/>
    <w:rsid w:val="006535E3"/>
    <w:rsid w:val="00653B03"/>
    <w:rsid w:val="00653DE5"/>
    <w:rsid w:val="00653F0B"/>
    <w:rsid w:val="00653F2B"/>
    <w:rsid w:val="00654604"/>
    <w:rsid w:val="00654AEF"/>
    <w:rsid w:val="00654C59"/>
    <w:rsid w:val="00654D72"/>
    <w:rsid w:val="00654F69"/>
    <w:rsid w:val="00654F92"/>
    <w:rsid w:val="0065510D"/>
    <w:rsid w:val="006551C3"/>
    <w:rsid w:val="0065528F"/>
    <w:rsid w:val="006554FE"/>
    <w:rsid w:val="0065572E"/>
    <w:rsid w:val="00655829"/>
    <w:rsid w:val="00655F12"/>
    <w:rsid w:val="0065603E"/>
    <w:rsid w:val="006560CD"/>
    <w:rsid w:val="00656208"/>
    <w:rsid w:val="006562AE"/>
    <w:rsid w:val="00656BA2"/>
    <w:rsid w:val="00656D66"/>
    <w:rsid w:val="00656F1B"/>
    <w:rsid w:val="00657274"/>
    <w:rsid w:val="0065737C"/>
    <w:rsid w:val="0065738C"/>
    <w:rsid w:val="006573DD"/>
    <w:rsid w:val="006574EE"/>
    <w:rsid w:val="00657B75"/>
    <w:rsid w:val="00657D69"/>
    <w:rsid w:val="0066007A"/>
    <w:rsid w:val="0066017D"/>
    <w:rsid w:val="0066096A"/>
    <w:rsid w:val="00660A6A"/>
    <w:rsid w:val="00660B1A"/>
    <w:rsid w:val="00661947"/>
    <w:rsid w:val="00661DD9"/>
    <w:rsid w:val="00662118"/>
    <w:rsid w:val="006626DA"/>
    <w:rsid w:val="006629E3"/>
    <w:rsid w:val="00662A46"/>
    <w:rsid w:val="00662E0E"/>
    <w:rsid w:val="0066316B"/>
    <w:rsid w:val="006631B9"/>
    <w:rsid w:val="0066324C"/>
    <w:rsid w:val="006632B2"/>
    <w:rsid w:val="00663594"/>
    <w:rsid w:val="006635BD"/>
    <w:rsid w:val="00663B76"/>
    <w:rsid w:val="00663F26"/>
    <w:rsid w:val="0066402C"/>
    <w:rsid w:val="006642A0"/>
    <w:rsid w:val="006643F6"/>
    <w:rsid w:val="006646AA"/>
    <w:rsid w:val="006648D5"/>
    <w:rsid w:val="00664AB4"/>
    <w:rsid w:val="00664D40"/>
    <w:rsid w:val="0066568F"/>
    <w:rsid w:val="006658C8"/>
    <w:rsid w:val="00665B86"/>
    <w:rsid w:val="00665DD8"/>
    <w:rsid w:val="00665DE6"/>
    <w:rsid w:val="00666536"/>
    <w:rsid w:val="0066675F"/>
    <w:rsid w:val="00666AD3"/>
    <w:rsid w:val="00666F5F"/>
    <w:rsid w:val="006672B0"/>
    <w:rsid w:val="00667548"/>
    <w:rsid w:val="006675F8"/>
    <w:rsid w:val="006676AF"/>
    <w:rsid w:val="00667A24"/>
    <w:rsid w:val="00670408"/>
    <w:rsid w:val="00670598"/>
    <w:rsid w:val="0067066A"/>
    <w:rsid w:val="00670771"/>
    <w:rsid w:val="0067079C"/>
    <w:rsid w:val="00670955"/>
    <w:rsid w:val="00670D7B"/>
    <w:rsid w:val="00670FBE"/>
    <w:rsid w:val="0067102C"/>
    <w:rsid w:val="00671491"/>
    <w:rsid w:val="0067170A"/>
    <w:rsid w:val="006718FF"/>
    <w:rsid w:val="006719D4"/>
    <w:rsid w:val="00671D9C"/>
    <w:rsid w:val="00671F6A"/>
    <w:rsid w:val="0067281E"/>
    <w:rsid w:val="00672908"/>
    <w:rsid w:val="00672976"/>
    <w:rsid w:val="00672BA1"/>
    <w:rsid w:val="00672C33"/>
    <w:rsid w:val="00672D40"/>
    <w:rsid w:val="00672D5F"/>
    <w:rsid w:val="00672FD4"/>
    <w:rsid w:val="0067306B"/>
    <w:rsid w:val="006734D1"/>
    <w:rsid w:val="006738AE"/>
    <w:rsid w:val="00673ADA"/>
    <w:rsid w:val="00673B90"/>
    <w:rsid w:val="00673D4A"/>
    <w:rsid w:val="00673F0F"/>
    <w:rsid w:val="00673F34"/>
    <w:rsid w:val="00674082"/>
    <w:rsid w:val="00674470"/>
    <w:rsid w:val="006744B1"/>
    <w:rsid w:val="00674A63"/>
    <w:rsid w:val="00674B46"/>
    <w:rsid w:val="006750F2"/>
    <w:rsid w:val="00675192"/>
    <w:rsid w:val="00675373"/>
    <w:rsid w:val="00675388"/>
    <w:rsid w:val="00675496"/>
    <w:rsid w:val="0067598C"/>
    <w:rsid w:val="006759C4"/>
    <w:rsid w:val="00676542"/>
    <w:rsid w:val="00676919"/>
    <w:rsid w:val="00676B0C"/>
    <w:rsid w:val="00676CDE"/>
    <w:rsid w:val="0067762A"/>
    <w:rsid w:val="00677651"/>
    <w:rsid w:val="006777E4"/>
    <w:rsid w:val="00677B18"/>
    <w:rsid w:val="00677BF1"/>
    <w:rsid w:val="0068014C"/>
    <w:rsid w:val="006804B0"/>
    <w:rsid w:val="006804C3"/>
    <w:rsid w:val="006804FC"/>
    <w:rsid w:val="0068064E"/>
    <w:rsid w:val="00680BD5"/>
    <w:rsid w:val="00680DC1"/>
    <w:rsid w:val="00680FB5"/>
    <w:rsid w:val="00680FC2"/>
    <w:rsid w:val="00681227"/>
    <w:rsid w:val="006812F7"/>
    <w:rsid w:val="00681329"/>
    <w:rsid w:val="006813E5"/>
    <w:rsid w:val="00681892"/>
    <w:rsid w:val="0068189F"/>
    <w:rsid w:val="00681F71"/>
    <w:rsid w:val="00682143"/>
    <w:rsid w:val="006824CB"/>
    <w:rsid w:val="006824DA"/>
    <w:rsid w:val="00682541"/>
    <w:rsid w:val="00682621"/>
    <w:rsid w:val="00682742"/>
    <w:rsid w:val="0068277D"/>
    <w:rsid w:val="00683A99"/>
    <w:rsid w:val="00683C4A"/>
    <w:rsid w:val="00683CB1"/>
    <w:rsid w:val="00683E57"/>
    <w:rsid w:val="00684250"/>
    <w:rsid w:val="00684615"/>
    <w:rsid w:val="00684AB6"/>
    <w:rsid w:val="006850D1"/>
    <w:rsid w:val="00685255"/>
    <w:rsid w:val="00685751"/>
    <w:rsid w:val="0068591D"/>
    <w:rsid w:val="00685AC9"/>
    <w:rsid w:val="00685FFB"/>
    <w:rsid w:val="0068619E"/>
    <w:rsid w:val="006865AE"/>
    <w:rsid w:val="00686872"/>
    <w:rsid w:val="00686CBB"/>
    <w:rsid w:val="00687062"/>
    <w:rsid w:val="0068716D"/>
    <w:rsid w:val="006873A3"/>
    <w:rsid w:val="006875F7"/>
    <w:rsid w:val="0068791E"/>
    <w:rsid w:val="0068794B"/>
    <w:rsid w:val="00687983"/>
    <w:rsid w:val="006879E1"/>
    <w:rsid w:val="00687D94"/>
    <w:rsid w:val="0069022D"/>
    <w:rsid w:val="00690285"/>
    <w:rsid w:val="00690402"/>
    <w:rsid w:val="00690644"/>
    <w:rsid w:val="00690A14"/>
    <w:rsid w:val="00690D19"/>
    <w:rsid w:val="006913EF"/>
    <w:rsid w:val="00691662"/>
    <w:rsid w:val="006917B5"/>
    <w:rsid w:val="00691B00"/>
    <w:rsid w:val="00691B10"/>
    <w:rsid w:val="00691DA1"/>
    <w:rsid w:val="00691ECF"/>
    <w:rsid w:val="00691F7A"/>
    <w:rsid w:val="006921EF"/>
    <w:rsid w:val="0069267C"/>
    <w:rsid w:val="006927FE"/>
    <w:rsid w:val="00692E06"/>
    <w:rsid w:val="00692E0E"/>
    <w:rsid w:val="00692F20"/>
    <w:rsid w:val="00692F54"/>
    <w:rsid w:val="00692F7D"/>
    <w:rsid w:val="006933A5"/>
    <w:rsid w:val="0069370A"/>
    <w:rsid w:val="00693B76"/>
    <w:rsid w:val="00693E8F"/>
    <w:rsid w:val="00694478"/>
    <w:rsid w:val="0069475F"/>
    <w:rsid w:val="0069498F"/>
    <w:rsid w:val="00694EDD"/>
    <w:rsid w:val="00695073"/>
    <w:rsid w:val="006952E8"/>
    <w:rsid w:val="00695BC0"/>
    <w:rsid w:val="0069674C"/>
    <w:rsid w:val="00696881"/>
    <w:rsid w:val="006968AE"/>
    <w:rsid w:val="00696DE6"/>
    <w:rsid w:val="00696F1B"/>
    <w:rsid w:val="00697075"/>
    <w:rsid w:val="006973F3"/>
    <w:rsid w:val="00697566"/>
    <w:rsid w:val="00697687"/>
    <w:rsid w:val="00697791"/>
    <w:rsid w:val="0069785B"/>
    <w:rsid w:val="006978FF"/>
    <w:rsid w:val="00697BB0"/>
    <w:rsid w:val="00697E40"/>
    <w:rsid w:val="00697F8E"/>
    <w:rsid w:val="006A0010"/>
    <w:rsid w:val="006A0AEC"/>
    <w:rsid w:val="006A0AEF"/>
    <w:rsid w:val="006A0CCD"/>
    <w:rsid w:val="006A0E88"/>
    <w:rsid w:val="006A0F84"/>
    <w:rsid w:val="006A1257"/>
    <w:rsid w:val="006A13CC"/>
    <w:rsid w:val="006A19CC"/>
    <w:rsid w:val="006A2069"/>
    <w:rsid w:val="006A26BE"/>
    <w:rsid w:val="006A2DEC"/>
    <w:rsid w:val="006A3886"/>
    <w:rsid w:val="006A3A09"/>
    <w:rsid w:val="006A3B2D"/>
    <w:rsid w:val="006A3BED"/>
    <w:rsid w:val="006A3D94"/>
    <w:rsid w:val="006A406D"/>
    <w:rsid w:val="006A46D8"/>
    <w:rsid w:val="006A4A4B"/>
    <w:rsid w:val="006A4BD7"/>
    <w:rsid w:val="006A515D"/>
    <w:rsid w:val="006A5385"/>
    <w:rsid w:val="006A5854"/>
    <w:rsid w:val="006A5A99"/>
    <w:rsid w:val="006A5D36"/>
    <w:rsid w:val="006A618C"/>
    <w:rsid w:val="006A6307"/>
    <w:rsid w:val="006A6348"/>
    <w:rsid w:val="006A6AF5"/>
    <w:rsid w:val="006A6B99"/>
    <w:rsid w:val="006A6DE4"/>
    <w:rsid w:val="006A6E46"/>
    <w:rsid w:val="006A6FB3"/>
    <w:rsid w:val="006A7061"/>
    <w:rsid w:val="006A7137"/>
    <w:rsid w:val="006A7690"/>
    <w:rsid w:val="006A76E0"/>
    <w:rsid w:val="006A77C0"/>
    <w:rsid w:val="006A7A6C"/>
    <w:rsid w:val="006A7A76"/>
    <w:rsid w:val="006B004D"/>
    <w:rsid w:val="006B0599"/>
    <w:rsid w:val="006B0687"/>
    <w:rsid w:val="006B094C"/>
    <w:rsid w:val="006B1ADA"/>
    <w:rsid w:val="006B1DB5"/>
    <w:rsid w:val="006B230E"/>
    <w:rsid w:val="006B236C"/>
    <w:rsid w:val="006B290D"/>
    <w:rsid w:val="006B2AC0"/>
    <w:rsid w:val="006B2CCD"/>
    <w:rsid w:val="006B3269"/>
    <w:rsid w:val="006B3449"/>
    <w:rsid w:val="006B36F4"/>
    <w:rsid w:val="006B37D7"/>
    <w:rsid w:val="006B389C"/>
    <w:rsid w:val="006B3B31"/>
    <w:rsid w:val="006B3D2C"/>
    <w:rsid w:val="006B41B5"/>
    <w:rsid w:val="006B4347"/>
    <w:rsid w:val="006B4878"/>
    <w:rsid w:val="006B48E5"/>
    <w:rsid w:val="006B4E80"/>
    <w:rsid w:val="006B4F08"/>
    <w:rsid w:val="006B580A"/>
    <w:rsid w:val="006B618B"/>
    <w:rsid w:val="006B64EB"/>
    <w:rsid w:val="006B65A0"/>
    <w:rsid w:val="006B6C2E"/>
    <w:rsid w:val="006B78B7"/>
    <w:rsid w:val="006C0190"/>
    <w:rsid w:val="006C0877"/>
    <w:rsid w:val="006C08D2"/>
    <w:rsid w:val="006C0FDA"/>
    <w:rsid w:val="006C13BA"/>
    <w:rsid w:val="006C166E"/>
    <w:rsid w:val="006C1E14"/>
    <w:rsid w:val="006C1E66"/>
    <w:rsid w:val="006C231E"/>
    <w:rsid w:val="006C2320"/>
    <w:rsid w:val="006C245B"/>
    <w:rsid w:val="006C248B"/>
    <w:rsid w:val="006C2A74"/>
    <w:rsid w:val="006C2B3D"/>
    <w:rsid w:val="006C2DCE"/>
    <w:rsid w:val="006C3249"/>
    <w:rsid w:val="006C3FCB"/>
    <w:rsid w:val="006C42C8"/>
    <w:rsid w:val="006C4818"/>
    <w:rsid w:val="006C4C9B"/>
    <w:rsid w:val="006C4D5A"/>
    <w:rsid w:val="006C4ECF"/>
    <w:rsid w:val="006C554D"/>
    <w:rsid w:val="006C56BA"/>
    <w:rsid w:val="006C59D0"/>
    <w:rsid w:val="006C5AD4"/>
    <w:rsid w:val="006C5C47"/>
    <w:rsid w:val="006C5F37"/>
    <w:rsid w:val="006C61D4"/>
    <w:rsid w:val="006C66B4"/>
    <w:rsid w:val="006C6E1C"/>
    <w:rsid w:val="006C7689"/>
    <w:rsid w:val="006C7849"/>
    <w:rsid w:val="006C7B1E"/>
    <w:rsid w:val="006C7B9E"/>
    <w:rsid w:val="006D0123"/>
    <w:rsid w:val="006D057E"/>
    <w:rsid w:val="006D0759"/>
    <w:rsid w:val="006D0912"/>
    <w:rsid w:val="006D0C96"/>
    <w:rsid w:val="006D0E2C"/>
    <w:rsid w:val="006D14AE"/>
    <w:rsid w:val="006D14B7"/>
    <w:rsid w:val="006D1985"/>
    <w:rsid w:val="006D19E2"/>
    <w:rsid w:val="006D1CF3"/>
    <w:rsid w:val="006D1E77"/>
    <w:rsid w:val="006D2037"/>
    <w:rsid w:val="006D2466"/>
    <w:rsid w:val="006D2520"/>
    <w:rsid w:val="006D2900"/>
    <w:rsid w:val="006D2F2A"/>
    <w:rsid w:val="006D2FBD"/>
    <w:rsid w:val="006D3124"/>
    <w:rsid w:val="006D3155"/>
    <w:rsid w:val="006D31BB"/>
    <w:rsid w:val="006D328B"/>
    <w:rsid w:val="006D3AF2"/>
    <w:rsid w:val="006D3B98"/>
    <w:rsid w:val="006D3D4A"/>
    <w:rsid w:val="006D3DAE"/>
    <w:rsid w:val="006D3EF5"/>
    <w:rsid w:val="006D4932"/>
    <w:rsid w:val="006D4D45"/>
    <w:rsid w:val="006D4D51"/>
    <w:rsid w:val="006D4E4E"/>
    <w:rsid w:val="006D53D7"/>
    <w:rsid w:val="006D56F7"/>
    <w:rsid w:val="006D589A"/>
    <w:rsid w:val="006D5B96"/>
    <w:rsid w:val="006D6234"/>
    <w:rsid w:val="006D636A"/>
    <w:rsid w:val="006D71EB"/>
    <w:rsid w:val="006D7201"/>
    <w:rsid w:val="006D7431"/>
    <w:rsid w:val="006D75A6"/>
    <w:rsid w:val="006D7AEC"/>
    <w:rsid w:val="006D7B4A"/>
    <w:rsid w:val="006E005F"/>
    <w:rsid w:val="006E05C1"/>
    <w:rsid w:val="006E05F3"/>
    <w:rsid w:val="006E0C49"/>
    <w:rsid w:val="006E0D20"/>
    <w:rsid w:val="006E0E78"/>
    <w:rsid w:val="006E12BD"/>
    <w:rsid w:val="006E1654"/>
    <w:rsid w:val="006E16D9"/>
    <w:rsid w:val="006E16F6"/>
    <w:rsid w:val="006E1839"/>
    <w:rsid w:val="006E1990"/>
    <w:rsid w:val="006E1A0E"/>
    <w:rsid w:val="006E1C4B"/>
    <w:rsid w:val="006E1D8B"/>
    <w:rsid w:val="006E1EA0"/>
    <w:rsid w:val="006E1FF0"/>
    <w:rsid w:val="006E24E8"/>
    <w:rsid w:val="006E253D"/>
    <w:rsid w:val="006E26A9"/>
    <w:rsid w:val="006E27E4"/>
    <w:rsid w:val="006E2C13"/>
    <w:rsid w:val="006E32A8"/>
    <w:rsid w:val="006E35C0"/>
    <w:rsid w:val="006E35EE"/>
    <w:rsid w:val="006E3B17"/>
    <w:rsid w:val="006E3DB7"/>
    <w:rsid w:val="006E3EBD"/>
    <w:rsid w:val="006E426D"/>
    <w:rsid w:val="006E44BB"/>
    <w:rsid w:val="006E44F1"/>
    <w:rsid w:val="006E45C9"/>
    <w:rsid w:val="006E4AEE"/>
    <w:rsid w:val="006E4D14"/>
    <w:rsid w:val="006E4FA3"/>
    <w:rsid w:val="006E5488"/>
    <w:rsid w:val="006E57B1"/>
    <w:rsid w:val="006E583A"/>
    <w:rsid w:val="006E5998"/>
    <w:rsid w:val="006E5D6F"/>
    <w:rsid w:val="006E657A"/>
    <w:rsid w:val="006E66E0"/>
    <w:rsid w:val="006E7322"/>
    <w:rsid w:val="006E74A0"/>
    <w:rsid w:val="006E7D0A"/>
    <w:rsid w:val="006F0151"/>
    <w:rsid w:val="006F0565"/>
    <w:rsid w:val="006F07DB"/>
    <w:rsid w:val="006F1172"/>
    <w:rsid w:val="006F1266"/>
    <w:rsid w:val="006F13EA"/>
    <w:rsid w:val="006F14EC"/>
    <w:rsid w:val="006F1525"/>
    <w:rsid w:val="006F17EB"/>
    <w:rsid w:val="006F1D1B"/>
    <w:rsid w:val="006F1F6A"/>
    <w:rsid w:val="006F1FCA"/>
    <w:rsid w:val="006F2134"/>
    <w:rsid w:val="006F21B1"/>
    <w:rsid w:val="006F24BE"/>
    <w:rsid w:val="006F2D21"/>
    <w:rsid w:val="006F2F7D"/>
    <w:rsid w:val="006F303F"/>
    <w:rsid w:val="006F305D"/>
    <w:rsid w:val="006F30B7"/>
    <w:rsid w:val="006F374E"/>
    <w:rsid w:val="006F38DF"/>
    <w:rsid w:val="006F469A"/>
    <w:rsid w:val="006F4F30"/>
    <w:rsid w:val="006F51DC"/>
    <w:rsid w:val="006F581E"/>
    <w:rsid w:val="006F6146"/>
    <w:rsid w:val="006F6564"/>
    <w:rsid w:val="006F6AC5"/>
    <w:rsid w:val="006F70AB"/>
    <w:rsid w:val="006F7474"/>
    <w:rsid w:val="006F77C0"/>
    <w:rsid w:val="006F7A24"/>
    <w:rsid w:val="006F7AAF"/>
    <w:rsid w:val="006F7ABF"/>
    <w:rsid w:val="006F7D88"/>
    <w:rsid w:val="006F7FE5"/>
    <w:rsid w:val="00700360"/>
    <w:rsid w:val="007003AC"/>
    <w:rsid w:val="00700536"/>
    <w:rsid w:val="00700665"/>
    <w:rsid w:val="007006CB"/>
    <w:rsid w:val="00700ABE"/>
    <w:rsid w:val="00700DEE"/>
    <w:rsid w:val="00701190"/>
    <w:rsid w:val="00701370"/>
    <w:rsid w:val="007016C3"/>
    <w:rsid w:val="007017E7"/>
    <w:rsid w:val="00701A75"/>
    <w:rsid w:val="00702413"/>
    <w:rsid w:val="007024EB"/>
    <w:rsid w:val="00702750"/>
    <w:rsid w:val="0070282E"/>
    <w:rsid w:val="00702C68"/>
    <w:rsid w:val="007032BC"/>
    <w:rsid w:val="007032CA"/>
    <w:rsid w:val="00704220"/>
    <w:rsid w:val="00704BA9"/>
    <w:rsid w:val="00704CD3"/>
    <w:rsid w:val="00704F8B"/>
    <w:rsid w:val="00705019"/>
    <w:rsid w:val="00705154"/>
    <w:rsid w:val="00705179"/>
    <w:rsid w:val="007056D7"/>
    <w:rsid w:val="0070589E"/>
    <w:rsid w:val="00705E88"/>
    <w:rsid w:val="00706076"/>
    <w:rsid w:val="00706437"/>
    <w:rsid w:val="007066C4"/>
    <w:rsid w:val="00706A97"/>
    <w:rsid w:val="00706BC7"/>
    <w:rsid w:val="00706E42"/>
    <w:rsid w:val="00706E6B"/>
    <w:rsid w:val="00706F47"/>
    <w:rsid w:val="007070BB"/>
    <w:rsid w:val="00707118"/>
    <w:rsid w:val="00707860"/>
    <w:rsid w:val="00707A21"/>
    <w:rsid w:val="00707B4B"/>
    <w:rsid w:val="00707D20"/>
    <w:rsid w:val="00707E08"/>
    <w:rsid w:val="007100CE"/>
    <w:rsid w:val="0071012F"/>
    <w:rsid w:val="00710532"/>
    <w:rsid w:val="00710559"/>
    <w:rsid w:val="00710718"/>
    <w:rsid w:val="007109DB"/>
    <w:rsid w:val="00710B02"/>
    <w:rsid w:val="00710E98"/>
    <w:rsid w:val="0071106E"/>
    <w:rsid w:val="007112A8"/>
    <w:rsid w:val="00711777"/>
    <w:rsid w:val="007117F7"/>
    <w:rsid w:val="00711AED"/>
    <w:rsid w:val="00711C7E"/>
    <w:rsid w:val="00711CB5"/>
    <w:rsid w:val="007121AA"/>
    <w:rsid w:val="007128F5"/>
    <w:rsid w:val="00712A99"/>
    <w:rsid w:val="0071360C"/>
    <w:rsid w:val="0071393C"/>
    <w:rsid w:val="00713FBB"/>
    <w:rsid w:val="00714173"/>
    <w:rsid w:val="0071444A"/>
    <w:rsid w:val="00714566"/>
    <w:rsid w:val="0071457F"/>
    <w:rsid w:val="00714A4E"/>
    <w:rsid w:val="00714E45"/>
    <w:rsid w:val="00715380"/>
    <w:rsid w:val="00715508"/>
    <w:rsid w:val="007156F4"/>
    <w:rsid w:val="00715BC4"/>
    <w:rsid w:val="00716007"/>
    <w:rsid w:val="00716064"/>
    <w:rsid w:val="007160D1"/>
    <w:rsid w:val="0071686E"/>
    <w:rsid w:val="007169EA"/>
    <w:rsid w:val="00716B61"/>
    <w:rsid w:val="007171F2"/>
    <w:rsid w:val="00717280"/>
    <w:rsid w:val="0071742F"/>
    <w:rsid w:val="00717656"/>
    <w:rsid w:val="007202E9"/>
    <w:rsid w:val="00720440"/>
    <w:rsid w:val="007206F9"/>
    <w:rsid w:val="00720FA0"/>
    <w:rsid w:val="0072169A"/>
    <w:rsid w:val="00721861"/>
    <w:rsid w:val="00721A35"/>
    <w:rsid w:val="00721EDF"/>
    <w:rsid w:val="0072255D"/>
    <w:rsid w:val="007225BD"/>
    <w:rsid w:val="007227F3"/>
    <w:rsid w:val="00722B03"/>
    <w:rsid w:val="00722EB3"/>
    <w:rsid w:val="007230F0"/>
    <w:rsid w:val="0072322C"/>
    <w:rsid w:val="007234D4"/>
    <w:rsid w:val="00723584"/>
    <w:rsid w:val="007236CF"/>
    <w:rsid w:val="00723723"/>
    <w:rsid w:val="00723E7E"/>
    <w:rsid w:val="00723F23"/>
    <w:rsid w:val="0072402E"/>
    <w:rsid w:val="007248F4"/>
    <w:rsid w:val="007249F1"/>
    <w:rsid w:val="00724F29"/>
    <w:rsid w:val="0072540F"/>
    <w:rsid w:val="0072574B"/>
    <w:rsid w:val="00725B90"/>
    <w:rsid w:val="00725C43"/>
    <w:rsid w:val="007263B6"/>
    <w:rsid w:val="00726795"/>
    <w:rsid w:val="0072684A"/>
    <w:rsid w:val="00726912"/>
    <w:rsid w:val="00726DFD"/>
    <w:rsid w:val="0072723E"/>
    <w:rsid w:val="0072799B"/>
    <w:rsid w:val="00727A74"/>
    <w:rsid w:val="00727B37"/>
    <w:rsid w:val="007303AB"/>
    <w:rsid w:val="0073053F"/>
    <w:rsid w:val="0073082B"/>
    <w:rsid w:val="00730E7F"/>
    <w:rsid w:val="007311F6"/>
    <w:rsid w:val="0073146B"/>
    <w:rsid w:val="007319EE"/>
    <w:rsid w:val="00731BA3"/>
    <w:rsid w:val="00731DC5"/>
    <w:rsid w:val="00731F10"/>
    <w:rsid w:val="007320B8"/>
    <w:rsid w:val="007325D3"/>
    <w:rsid w:val="0073263E"/>
    <w:rsid w:val="00732753"/>
    <w:rsid w:val="007327B3"/>
    <w:rsid w:val="007327B9"/>
    <w:rsid w:val="00732F62"/>
    <w:rsid w:val="0073301D"/>
    <w:rsid w:val="007334F8"/>
    <w:rsid w:val="00733615"/>
    <w:rsid w:val="00734068"/>
    <w:rsid w:val="0073436D"/>
    <w:rsid w:val="0073460C"/>
    <w:rsid w:val="00734691"/>
    <w:rsid w:val="0073471D"/>
    <w:rsid w:val="007355FA"/>
    <w:rsid w:val="0073583C"/>
    <w:rsid w:val="00735858"/>
    <w:rsid w:val="007358EB"/>
    <w:rsid w:val="0073597B"/>
    <w:rsid w:val="00735AA5"/>
    <w:rsid w:val="00735B39"/>
    <w:rsid w:val="00735DE8"/>
    <w:rsid w:val="00735E34"/>
    <w:rsid w:val="00735F04"/>
    <w:rsid w:val="00736314"/>
    <w:rsid w:val="007363A8"/>
    <w:rsid w:val="00736682"/>
    <w:rsid w:val="007366DD"/>
    <w:rsid w:val="00736B12"/>
    <w:rsid w:val="00736BD4"/>
    <w:rsid w:val="0073748D"/>
    <w:rsid w:val="0073775A"/>
    <w:rsid w:val="0073776A"/>
    <w:rsid w:val="00740436"/>
    <w:rsid w:val="00740558"/>
    <w:rsid w:val="007406B6"/>
    <w:rsid w:val="00740BCD"/>
    <w:rsid w:val="00740CD2"/>
    <w:rsid w:val="00740E82"/>
    <w:rsid w:val="00740E90"/>
    <w:rsid w:val="00741465"/>
    <w:rsid w:val="007417FD"/>
    <w:rsid w:val="00741DC8"/>
    <w:rsid w:val="007420C9"/>
    <w:rsid w:val="007421E2"/>
    <w:rsid w:val="00742494"/>
    <w:rsid w:val="0074268A"/>
    <w:rsid w:val="007428C2"/>
    <w:rsid w:val="00742F58"/>
    <w:rsid w:val="0074308F"/>
    <w:rsid w:val="007431CA"/>
    <w:rsid w:val="0074326F"/>
    <w:rsid w:val="0074357E"/>
    <w:rsid w:val="007437D1"/>
    <w:rsid w:val="007439B1"/>
    <w:rsid w:val="00743F11"/>
    <w:rsid w:val="00744242"/>
    <w:rsid w:val="00744492"/>
    <w:rsid w:val="00744733"/>
    <w:rsid w:val="00744735"/>
    <w:rsid w:val="00744ADD"/>
    <w:rsid w:val="00744BB6"/>
    <w:rsid w:val="00744F29"/>
    <w:rsid w:val="007453E8"/>
    <w:rsid w:val="0074572E"/>
    <w:rsid w:val="00745C0D"/>
    <w:rsid w:val="00745E6A"/>
    <w:rsid w:val="007461C0"/>
    <w:rsid w:val="0074644C"/>
    <w:rsid w:val="007466A6"/>
    <w:rsid w:val="00746823"/>
    <w:rsid w:val="0074687A"/>
    <w:rsid w:val="00746B5E"/>
    <w:rsid w:val="00746ED9"/>
    <w:rsid w:val="0074706F"/>
    <w:rsid w:val="007470C8"/>
    <w:rsid w:val="007474D9"/>
    <w:rsid w:val="00747C5E"/>
    <w:rsid w:val="00747DF0"/>
    <w:rsid w:val="0075008B"/>
    <w:rsid w:val="00750336"/>
    <w:rsid w:val="00750690"/>
    <w:rsid w:val="007506D6"/>
    <w:rsid w:val="00750B14"/>
    <w:rsid w:val="00750FF5"/>
    <w:rsid w:val="007510AB"/>
    <w:rsid w:val="00751198"/>
    <w:rsid w:val="0075143B"/>
    <w:rsid w:val="00751494"/>
    <w:rsid w:val="00751596"/>
    <w:rsid w:val="007517DA"/>
    <w:rsid w:val="00751C86"/>
    <w:rsid w:val="007522DF"/>
    <w:rsid w:val="0075249D"/>
    <w:rsid w:val="007527EB"/>
    <w:rsid w:val="00752A27"/>
    <w:rsid w:val="00752AF2"/>
    <w:rsid w:val="00752FA5"/>
    <w:rsid w:val="0075316D"/>
    <w:rsid w:val="00753173"/>
    <w:rsid w:val="007535A4"/>
    <w:rsid w:val="00753D45"/>
    <w:rsid w:val="00753D98"/>
    <w:rsid w:val="00753E9B"/>
    <w:rsid w:val="00753F04"/>
    <w:rsid w:val="007541D7"/>
    <w:rsid w:val="007542F5"/>
    <w:rsid w:val="007549C8"/>
    <w:rsid w:val="00754B0F"/>
    <w:rsid w:val="00754C06"/>
    <w:rsid w:val="00754DE2"/>
    <w:rsid w:val="00754F0B"/>
    <w:rsid w:val="00755625"/>
    <w:rsid w:val="007556FD"/>
    <w:rsid w:val="0075572D"/>
    <w:rsid w:val="00755997"/>
    <w:rsid w:val="00755A10"/>
    <w:rsid w:val="00755C48"/>
    <w:rsid w:val="00755DBD"/>
    <w:rsid w:val="00755DBF"/>
    <w:rsid w:val="00756136"/>
    <w:rsid w:val="007562ED"/>
    <w:rsid w:val="007568D1"/>
    <w:rsid w:val="00756CC5"/>
    <w:rsid w:val="00756D57"/>
    <w:rsid w:val="00756EFF"/>
    <w:rsid w:val="0075735E"/>
    <w:rsid w:val="0075759F"/>
    <w:rsid w:val="00757612"/>
    <w:rsid w:val="00757692"/>
    <w:rsid w:val="007576A2"/>
    <w:rsid w:val="00757BD9"/>
    <w:rsid w:val="00757C58"/>
    <w:rsid w:val="007600E7"/>
    <w:rsid w:val="0076035F"/>
    <w:rsid w:val="00760370"/>
    <w:rsid w:val="007606B5"/>
    <w:rsid w:val="00760745"/>
    <w:rsid w:val="00760C60"/>
    <w:rsid w:val="00760FDA"/>
    <w:rsid w:val="007612A9"/>
    <w:rsid w:val="00761503"/>
    <w:rsid w:val="0076181D"/>
    <w:rsid w:val="0076197B"/>
    <w:rsid w:val="00761ADF"/>
    <w:rsid w:val="00762443"/>
    <w:rsid w:val="007626F4"/>
    <w:rsid w:val="007627ED"/>
    <w:rsid w:val="0076280B"/>
    <w:rsid w:val="0076287E"/>
    <w:rsid w:val="00763542"/>
    <w:rsid w:val="007635D2"/>
    <w:rsid w:val="007637F8"/>
    <w:rsid w:val="00763841"/>
    <w:rsid w:val="00763AD6"/>
    <w:rsid w:val="00763DF3"/>
    <w:rsid w:val="00764091"/>
    <w:rsid w:val="007645AD"/>
    <w:rsid w:val="00764735"/>
    <w:rsid w:val="007649EE"/>
    <w:rsid w:val="007650BD"/>
    <w:rsid w:val="00765110"/>
    <w:rsid w:val="00765323"/>
    <w:rsid w:val="00765637"/>
    <w:rsid w:val="00765833"/>
    <w:rsid w:val="00765C4F"/>
    <w:rsid w:val="00765C60"/>
    <w:rsid w:val="007666C9"/>
    <w:rsid w:val="0076677A"/>
    <w:rsid w:val="00766A04"/>
    <w:rsid w:val="00766E94"/>
    <w:rsid w:val="007674F0"/>
    <w:rsid w:val="00767D31"/>
    <w:rsid w:val="00767FD1"/>
    <w:rsid w:val="00770305"/>
    <w:rsid w:val="007705D8"/>
    <w:rsid w:val="00770D1C"/>
    <w:rsid w:val="00770E0E"/>
    <w:rsid w:val="00770FA9"/>
    <w:rsid w:val="00771195"/>
    <w:rsid w:val="00771308"/>
    <w:rsid w:val="0077139C"/>
    <w:rsid w:val="007714E3"/>
    <w:rsid w:val="00771766"/>
    <w:rsid w:val="007717A9"/>
    <w:rsid w:val="00771BEF"/>
    <w:rsid w:val="00771CB0"/>
    <w:rsid w:val="00772223"/>
    <w:rsid w:val="00772355"/>
    <w:rsid w:val="007728BA"/>
    <w:rsid w:val="0077297F"/>
    <w:rsid w:val="00772BA9"/>
    <w:rsid w:val="00772D54"/>
    <w:rsid w:val="00772DF6"/>
    <w:rsid w:val="00772EAA"/>
    <w:rsid w:val="0077319D"/>
    <w:rsid w:val="0077336A"/>
    <w:rsid w:val="007734FA"/>
    <w:rsid w:val="00773605"/>
    <w:rsid w:val="00773635"/>
    <w:rsid w:val="007739A3"/>
    <w:rsid w:val="00773CAC"/>
    <w:rsid w:val="00773DDF"/>
    <w:rsid w:val="00773FC7"/>
    <w:rsid w:val="007742E9"/>
    <w:rsid w:val="00774467"/>
    <w:rsid w:val="007744C0"/>
    <w:rsid w:val="007745B3"/>
    <w:rsid w:val="007745B5"/>
    <w:rsid w:val="00774ADA"/>
    <w:rsid w:val="00774B1C"/>
    <w:rsid w:val="00774B1D"/>
    <w:rsid w:val="00774F93"/>
    <w:rsid w:val="00775574"/>
    <w:rsid w:val="00775D22"/>
    <w:rsid w:val="00775FA7"/>
    <w:rsid w:val="007760D7"/>
    <w:rsid w:val="00776337"/>
    <w:rsid w:val="00776AB1"/>
    <w:rsid w:val="00776BED"/>
    <w:rsid w:val="00776ED9"/>
    <w:rsid w:val="007776F1"/>
    <w:rsid w:val="00777821"/>
    <w:rsid w:val="00777A2D"/>
    <w:rsid w:val="007802C2"/>
    <w:rsid w:val="00780439"/>
    <w:rsid w:val="00780556"/>
    <w:rsid w:val="007806D3"/>
    <w:rsid w:val="00780BE2"/>
    <w:rsid w:val="00781029"/>
    <w:rsid w:val="0078116A"/>
    <w:rsid w:val="00781280"/>
    <w:rsid w:val="0078138B"/>
    <w:rsid w:val="00781508"/>
    <w:rsid w:val="0078153E"/>
    <w:rsid w:val="00781F55"/>
    <w:rsid w:val="00782294"/>
    <w:rsid w:val="007825F9"/>
    <w:rsid w:val="00782808"/>
    <w:rsid w:val="00782B25"/>
    <w:rsid w:val="00782CF0"/>
    <w:rsid w:val="007833CF"/>
    <w:rsid w:val="00783656"/>
    <w:rsid w:val="007836F0"/>
    <w:rsid w:val="00783E1E"/>
    <w:rsid w:val="00783E73"/>
    <w:rsid w:val="00783F02"/>
    <w:rsid w:val="00783F55"/>
    <w:rsid w:val="00784432"/>
    <w:rsid w:val="00784865"/>
    <w:rsid w:val="00785987"/>
    <w:rsid w:val="00785A5A"/>
    <w:rsid w:val="00785CD2"/>
    <w:rsid w:val="007868F0"/>
    <w:rsid w:val="007870B2"/>
    <w:rsid w:val="00787383"/>
    <w:rsid w:val="007874FD"/>
    <w:rsid w:val="00787AA1"/>
    <w:rsid w:val="00787BD0"/>
    <w:rsid w:val="00790A3A"/>
    <w:rsid w:val="00791204"/>
    <w:rsid w:val="00791303"/>
    <w:rsid w:val="00791851"/>
    <w:rsid w:val="00791C33"/>
    <w:rsid w:val="00791C9A"/>
    <w:rsid w:val="00791D87"/>
    <w:rsid w:val="007920E4"/>
    <w:rsid w:val="00792176"/>
    <w:rsid w:val="007921AD"/>
    <w:rsid w:val="007925A2"/>
    <w:rsid w:val="0079289B"/>
    <w:rsid w:val="00792C40"/>
    <w:rsid w:val="00792EFD"/>
    <w:rsid w:val="00793140"/>
    <w:rsid w:val="007931D2"/>
    <w:rsid w:val="00793225"/>
    <w:rsid w:val="007932E7"/>
    <w:rsid w:val="007933B4"/>
    <w:rsid w:val="007934F1"/>
    <w:rsid w:val="00793713"/>
    <w:rsid w:val="00793804"/>
    <w:rsid w:val="00793A21"/>
    <w:rsid w:val="007940C6"/>
    <w:rsid w:val="007941B1"/>
    <w:rsid w:val="00794304"/>
    <w:rsid w:val="00794B25"/>
    <w:rsid w:val="00794B3C"/>
    <w:rsid w:val="00795121"/>
    <w:rsid w:val="00795161"/>
    <w:rsid w:val="00795203"/>
    <w:rsid w:val="007959C1"/>
    <w:rsid w:val="00795B1F"/>
    <w:rsid w:val="00795BFE"/>
    <w:rsid w:val="00795CAB"/>
    <w:rsid w:val="00795EFC"/>
    <w:rsid w:val="007960BB"/>
    <w:rsid w:val="00796636"/>
    <w:rsid w:val="00796765"/>
    <w:rsid w:val="00796B60"/>
    <w:rsid w:val="00796D74"/>
    <w:rsid w:val="00797474"/>
    <w:rsid w:val="00797D40"/>
    <w:rsid w:val="00797D88"/>
    <w:rsid w:val="00797DFF"/>
    <w:rsid w:val="00797F31"/>
    <w:rsid w:val="007A009D"/>
    <w:rsid w:val="007A028D"/>
    <w:rsid w:val="007A0778"/>
    <w:rsid w:val="007A0867"/>
    <w:rsid w:val="007A0D31"/>
    <w:rsid w:val="007A14E6"/>
    <w:rsid w:val="007A1856"/>
    <w:rsid w:val="007A1AEC"/>
    <w:rsid w:val="007A1CD5"/>
    <w:rsid w:val="007A1D40"/>
    <w:rsid w:val="007A221D"/>
    <w:rsid w:val="007A29D7"/>
    <w:rsid w:val="007A2D00"/>
    <w:rsid w:val="007A32C9"/>
    <w:rsid w:val="007A36DE"/>
    <w:rsid w:val="007A36E1"/>
    <w:rsid w:val="007A3A7B"/>
    <w:rsid w:val="007A3CFE"/>
    <w:rsid w:val="007A41DA"/>
    <w:rsid w:val="007A453E"/>
    <w:rsid w:val="007A46E6"/>
    <w:rsid w:val="007A4B95"/>
    <w:rsid w:val="007A4D93"/>
    <w:rsid w:val="007A563B"/>
    <w:rsid w:val="007A5899"/>
    <w:rsid w:val="007A5C52"/>
    <w:rsid w:val="007A5F4C"/>
    <w:rsid w:val="007A6310"/>
    <w:rsid w:val="007A641C"/>
    <w:rsid w:val="007A684B"/>
    <w:rsid w:val="007A69A4"/>
    <w:rsid w:val="007A6ABE"/>
    <w:rsid w:val="007A75CE"/>
    <w:rsid w:val="007A768E"/>
    <w:rsid w:val="007A793D"/>
    <w:rsid w:val="007A79B6"/>
    <w:rsid w:val="007A7C03"/>
    <w:rsid w:val="007A7CA0"/>
    <w:rsid w:val="007A7E77"/>
    <w:rsid w:val="007B039C"/>
    <w:rsid w:val="007B03AF"/>
    <w:rsid w:val="007B03B7"/>
    <w:rsid w:val="007B08EE"/>
    <w:rsid w:val="007B095B"/>
    <w:rsid w:val="007B1436"/>
    <w:rsid w:val="007B158C"/>
    <w:rsid w:val="007B1923"/>
    <w:rsid w:val="007B2109"/>
    <w:rsid w:val="007B21D3"/>
    <w:rsid w:val="007B2C1B"/>
    <w:rsid w:val="007B2F29"/>
    <w:rsid w:val="007B310A"/>
    <w:rsid w:val="007B3194"/>
    <w:rsid w:val="007B32E9"/>
    <w:rsid w:val="007B38B9"/>
    <w:rsid w:val="007B39B8"/>
    <w:rsid w:val="007B47A0"/>
    <w:rsid w:val="007B4C41"/>
    <w:rsid w:val="007B4EF3"/>
    <w:rsid w:val="007B50C7"/>
    <w:rsid w:val="007B51EA"/>
    <w:rsid w:val="007B55CA"/>
    <w:rsid w:val="007B5CB2"/>
    <w:rsid w:val="007B6155"/>
    <w:rsid w:val="007B650A"/>
    <w:rsid w:val="007B6C02"/>
    <w:rsid w:val="007B6D3E"/>
    <w:rsid w:val="007B6DE2"/>
    <w:rsid w:val="007B6F1D"/>
    <w:rsid w:val="007B7118"/>
    <w:rsid w:val="007B72CE"/>
    <w:rsid w:val="007B755E"/>
    <w:rsid w:val="007B7FD4"/>
    <w:rsid w:val="007C0ACC"/>
    <w:rsid w:val="007C0BAD"/>
    <w:rsid w:val="007C0C22"/>
    <w:rsid w:val="007C0D9F"/>
    <w:rsid w:val="007C0DAD"/>
    <w:rsid w:val="007C0DB6"/>
    <w:rsid w:val="007C108C"/>
    <w:rsid w:val="007C151B"/>
    <w:rsid w:val="007C1655"/>
    <w:rsid w:val="007C1B50"/>
    <w:rsid w:val="007C20BC"/>
    <w:rsid w:val="007C2200"/>
    <w:rsid w:val="007C2635"/>
    <w:rsid w:val="007C295C"/>
    <w:rsid w:val="007C299F"/>
    <w:rsid w:val="007C2AA3"/>
    <w:rsid w:val="007C3039"/>
    <w:rsid w:val="007C375D"/>
    <w:rsid w:val="007C3CC0"/>
    <w:rsid w:val="007C3EC0"/>
    <w:rsid w:val="007C417C"/>
    <w:rsid w:val="007C4297"/>
    <w:rsid w:val="007C4DB1"/>
    <w:rsid w:val="007C55DF"/>
    <w:rsid w:val="007C562D"/>
    <w:rsid w:val="007C56D8"/>
    <w:rsid w:val="007C57D8"/>
    <w:rsid w:val="007C58AA"/>
    <w:rsid w:val="007C5A0D"/>
    <w:rsid w:val="007C6429"/>
    <w:rsid w:val="007C6A5B"/>
    <w:rsid w:val="007C6AA9"/>
    <w:rsid w:val="007C6FC8"/>
    <w:rsid w:val="007C72B6"/>
    <w:rsid w:val="007C74F3"/>
    <w:rsid w:val="007C7530"/>
    <w:rsid w:val="007C7558"/>
    <w:rsid w:val="007C75E0"/>
    <w:rsid w:val="007C7B04"/>
    <w:rsid w:val="007C7E4A"/>
    <w:rsid w:val="007C7EB8"/>
    <w:rsid w:val="007D06F8"/>
    <w:rsid w:val="007D06FC"/>
    <w:rsid w:val="007D0B02"/>
    <w:rsid w:val="007D0CE7"/>
    <w:rsid w:val="007D0F32"/>
    <w:rsid w:val="007D0F3C"/>
    <w:rsid w:val="007D0F4D"/>
    <w:rsid w:val="007D1031"/>
    <w:rsid w:val="007D1440"/>
    <w:rsid w:val="007D1542"/>
    <w:rsid w:val="007D15A6"/>
    <w:rsid w:val="007D1661"/>
    <w:rsid w:val="007D16DB"/>
    <w:rsid w:val="007D1B72"/>
    <w:rsid w:val="007D1C4F"/>
    <w:rsid w:val="007D1D80"/>
    <w:rsid w:val="007D216C"/>
    <w:rsid w:val="007D2550"/>
    <w:rsid w:val="007D29D1"/>
    <w:rsid w:val="007D2E56"/>
    <w:rsid w:val="007D3077"/>
    <w:rsid w:val="007D3082"/>
    <w:rsid w:val="007D3165"/>
    <w:rsid w:val="007D3327"/>
    <w:rsid w:val="007D346D"/>
    <w:rsid w:val="007D34A9"/>
    <w:rsid w:val="007D3551"/>
    <w:rsid w:val="007D35D6"/>
    <w:rsid w:val="007D3AE1"/>
    <w:rsid w:val="007D3EA9"/>
    <w:rsid w:val="007D3F72"/>
    <w:rsid w:val="007D4081"/>
    <w:rsid w:val="007D4099"/>
    <w:rsid w:val="007D40D1"/>
    <w:rsid w:val="007D44C0"/>
    <w:rsid w:val="007D46A5"/>
    <w:rsid w:val="007D48EB"/>
    <w:rsid w:val="007D4BDD"/>
    <w:rsid w:val="007D5078"/>
    <w:rsid w:val="007D5382"/>
    <w:rsid w:val="007D55DE"/>
    <w:rsid w:val="007D5A3B"/>
    <w:rsid w:val="007D5A56"/>
    <w:rsid w:val="007D609E"/>
    <w:rsid w:val="007D637E"/>
    <w:rsid w:val="007D64EC"/>
    <w:rsid w:val="007D67BC"/>
    <w:rsid w:val="007D729A"/>
    <w:rsid w:val="007D750A"/>
    <w:rsid w:val="007D7742"/>
    <w:rsid w:val="007D7A5E"/>
    <w:rsid w:val="007D7CCE"/>
    <w:rsid w:val="007D7E15"/>
    <w:rsid w:val="007D7FB6"/>
    <w:rsid w:val="007E00FD"/>
    <w:rsid w:val="007E02F5"/>
    <w:rsid w:val="007E0927"/>
    <w:rsid w:val="007E0B20"/>
    <w:rsid w:val="007E0B5B"/>
    <w:rsid w:val="007E0DFE"/>
    <w:rsid w:val="007E0F18"/>
    <w:rsid w:val="007E0F9D"/>
    <w:rsid w:val="007E169F"/>
    <w:rsid w:val="007E16F9"/>
    <w:rsid w:val="007E1726"/>
    <w:rsid w:val="007E1A9F"/>
    <w:rsid w:val="007E1BD8"/>
    <w:rsid w:val="007E1DF1"/>
    <w:rsid w:val="007E2023"/>
    <w:rsid w:val="007E2443"/>
    <w:rsid w:val="007E2745"/>
    <w:rsid w:val="007E2F42"/>
    <w:rsid w:val="007E3450"/>
    <w:rsid w:val="007E40FD"/>
    <w:rsid w:val="007E415C"/>
    <w:rsid w:val="007E41CD"/>
    <w:rsid w:val="007E4216"/>
    <w:rsid w:val="007E4229"/>
    <w:rsid w:val="007E43ED"/>
    <w:rsid w:val="007E4861"/>
    <w:rsid w:val="007E4C20"/>
    <w:rsid w:val="007E4FE5"/>
    <w:rsid w:val="007E5463"/>
    <w:rsid w:val="007E5843"/>
    <w:rsid w:val="007E61DB"/>
    <w:rsid w:val="007E635A"/>
    <w:rsid w:val="007E63F4"/>
    <w:rsid w:val="007E65D2"/>
    <w:rsid w:val="007E6651"/>
    <w:rsid w:val="007E683B"/>
    <w:rsid w:val="007E74C7"/>
    <w:rsid w:val="007E77D3"/>
    <w:rsid w:val="007E78B2"/>
    <w:rsid w:val="007E795A"/>
    <w:rsid w:val="007E797D"/>
    <w:rsid w:val="007E7B1A"/>
    <w:rsid w:val="007E7C64"/>
    <w:rsid w:val="007F0255"/>
    <w:rsid w:val="007F05E3"/>
    <w:rsid w:val="007F0C5F"/>
    <w:rsid w:val="007F10BE"/>
    <w:rsid w:val="007F1167"/>
    <w:rsid w:val="007F12B3"/>
    <w:rsid w:val="007F1441"/>
    <w:rsid w:val="007F144F"/>
    <w:rsid w:val="007F192F"/>
    <w:rsid w:val="007F1A82"/>
    <w:rsid w:val="007F1B64"/>
    <w:rsid w:val="007F218C"/>
    <w:rsid w:val="007F236D"/>
    <w:rsid w:val="007F2762"/>
    <w:rsid w:val="007F29D2"/>
    <w:rsid w:val="007F2A0B"/>
    <w:rsid w:val="007F2E40"/>
    <w:rsid w:val="007F301E"/>
    <w:rsid w:val="007F3155"/>
    <w:rsid w:val="007F3206"/>
    <w:rsid w:val="007F35D7"/>
    <w:rsid w:val="007F36E0"/>
    <w:rsid w:val="007F39CF"/>
    <w:rsid w:val="007F3AEA"/>
    <w:rsid w:val="007F3C55"/>
    <w:rsid w:val="007F3E40"/>
    <w:rsid w:val="007F419E"/>
    <w:rsid w:val="007F4261"/>
    <w:rsid w:val="007F42C5"/>
    <w:rsid w:val="007F4892"/>
    <w:rsid w:val="007F49DD"/>
    <w:rsid w:val="007F4A26"/>
    <w:rsid w:val="007F50A0"/>
    <w:rsid w:val="007F5391"/>
    <w:rsid w:val="007F5666"/>
    <w:rsid w:val="007F5725"/>
    <w:rsid w:val="007F5890"/>
    <w:rsid w:val="007F5B73"/>
    <w:rsid w:val="007F5C39"/>
    <w:rsid w:val="007F5C81"/>
    <w:rsid w:val="007F5CCF"/>
    <w:rsid w:val="007F63A0"/>
    <w:rsid w:val="007F64DD"/>
    <w:rsid w:val="007F6847"/>
    <w:rsid w:val="007F6C25"/>
    <w:rsid w:val="007F6E20"/>
    <w:rsid w:val="007F6F27"/>
    <w:rsid w:val="007F782A"/>
    <w:rsid w:val="007F78D2"/>
    <w:rsid w:val="007F7A88"/>
    <w:rsid w:val="007F7B90"/>
    <w:rsid w:val="007F7C94"/>
    <w:rsid w:val="007F7D52"/>
    <w:rsid w:val="007F7DDC"/>
    <w:rsid w:val="007F7E9A"/>
    <w:rsid w:val="007F7EB1"/>
    <w:rsid w:val="0080085F"/>
    <w:rsid w:val="008008F1"/>
    <w:rsid w:val="00800902"/>
    <w:rsid w:val="00800B4E"/>
    <w:rsid w:val="00800B82"/>
    <w:rsid w:val="00800DFE"/>
    <w:rsid w:val="00801152"/>
    <w:rsid w:val="008011B2"/>
    <w:rsid w:val="008016AE"/>
    <w:rsid w:val="00801EF3"/>
    <w:rsid w:val="008020E7"/>
    <w:rsid w:val="008021CB"/>
    <w:rsid w:val="008022AB"/>
    <w:rsid w:val="008023B2"/>
    <w:rsid w:val="0080240F"/>
    <w:rsid w:val="00802604"/>
    <w:rsid w:val="00802D54"/>
    <w:rsid w:val="0080320C"/>
    <w:rsid w:val="008033AB"/>
    <w:rsid w:val="00803510"/>
    <w:rsid w:val="008035BD"/>
    <w:rsid w:val="00803759"/>
    <w:rsid w:val="00803CD9"/>
    <w:rsid w:val="00803EA7"/>
    <w:rsid w:val="00803F6B"/>
    <w:rsid w:val="008042D8"/>
    <w:rsid w:val="008043E3"/>
    <w:rsid w:val="00804870"/>
    <w:rsid w:val="00804ACF"/>
    <w:rsid w:val="00804FE2"/>
    <w:rsid w:val="00805517"/>
    <w:rsid w:val="00805CCA"/>
    <w:rsid w:val="00805D71"/>
    <w:rsid w:val="008067AC"/>
    <w:rsid w:val="0080696A"/>
    <w:rsid w:val="00806B3F"/>
    <w:rsid w:val="00806BC3"/>
    <w:rsid w:val="008074EA"/>
    <w:rsid w:val="008078B2"/>
    <w:rsid w:val="00810918"/>
    <w:rsid w:val="00810A40"/>
    <w:rsid w:val="00810F30"/>
    <w:rsid w:val="00811656"/>
    <w:rsid w:val="00811BBF"/>
    <w:rsid w:val="00812576"/>
    <w:rsid w:val="00812CEC"/>
    <w:rsid w:val="008133E4"/>
    <w:rsid w:val="00813779"/>
    <w:rsid w:val="008140A9"/>
    <w:rsid w:val="0081440D"/>
    <w:rsid w:val="008144D8"/>
    <w:rsid w:val="00814664"/>
    <w:rsid w:val="00814AA8"/>
    <w:rsid w:val="00815BB7"/>
    <w:rsid w:val="00815FC5"/>
    <w:rsid w:val="008167A5"/>
    <w:rsid w:val="0081697A"/>
    <w:rsid w:val="00816FBD"/>
    <w:rsid w:val="00817611"/>
    <w:rsid w:val="008178A8"/>
    <w:rsid w:val="008178C4"/>
    <w:rsid w:val="00817975"/>
    <w:rsid w:val="00817A05"/>
    <w:rsid w:val="00817F33"/>
    <w:rsid w:val="00820259"/>
    <w:rsid w:val="00820480"/>
    <w:rsid w:val="008204B4"/>
    <w:rsid w:val="008208BF"/>
    <w:rsid w:val="00820FAB"/>
    <w:rsid w:val="00821259"/>
    <w:rsid w:val="008216C9"/>
    <w:rsid w:val="00821715"/>
    <w:rsid w:val="00821748"/>
    <w:rsid w:val="008217AC"/>
    <w:rsid w:val="00821826"/>
    <w:rsid w:val="00821D21"/>
    <w:rsid w:val="00821D40"/>
    <w:rsid w:val="00821D97"/>
    <w:rsid w:val="00821FA4"/>
    <w:rsid w:val="00822323"/>
    <w:rsid w:val="00822BB7"/>
    <w:rsid w:val="00822ED3"/>
    <w:rsid w:val="00822F7A"/>
    <w:rsid w:val="00823201"/>
    <w:rsid w:val="0082345D"/>
    <w:rsid w:val="00823517"/>
    <w:rsid w:val="00824201"/>
    <w:rsid w:val="008242AE"/>
    <w:rsid w:val="00824891"/>
    <w:rsid w:val="00824A65"/>
    <w:rsid w:val="00824F8A"/>
    <w:rsid w:val="008251D8"/>
    <w:rsid w:val="0082543B"/>
    <w:rsid w:val="00825532"/>
    <w:rsid w:val="008257CE"/>
    <w:rsid w:val="00826151"/>
    <w:rsid w:val="00826605"/>
    <w:rsid w:val="008268CD"/>
    <w:rsid w:val="0082696B"/>
    <w:rsid w:val="00826AB8"/>
    <w:rsid w:val="00826B91"/>
    <w:rsid w:val="00826D7D"/>
    <w:rsid w:val="008270FB"/>
    <w:rsid w:val="00827287"/>
    <w:rsid w:val="00827357"/>
    <w:rsid w:val="00827468"/>
    <w:rsid w:val="00827740"/>
    <w:rsid w:val="008279C3"/>
    <w:rsid w:val="00827AFD"/>
    <w:rsid w:val="00827CE6"/>
    <w:rsid w:val="00830561"/>
    <w:rsid w:val="0083076E"/>
    <w:rsid w:val="008309DA"/>
    <w:rsid w:val="00830D22"/>
    <w:rsid w:val="00830ECF"/>
    <w:rsid w:val="00831143"/>
    <w:rsid w:val="0083142D"/>
    <w:rsid w:val="008316FA"/>
    <w:rsid w:val="008317A2"/>
    <w:rsid w:val="008319B5"/>
    <w:rsid w:val="00831D8C"/>
    <w:rsid w:val="008321F7"/>
    <w:rsid w:val="00832399"/>
    <w:rsid w:val="008324BF"/>
    <w:rsid w:val="00832720"/>
    <w:rsid w:val="00832765"/>
    <w:rsid w:val="00832D29"/>
    <w:rsid w:val="00832D85"/>
    <w:rsid w:val="00832EDF"/>
    <w:rsid w:val="00833155"/>
    <w:rsid w:val="0083326F"/>
    <w:rsid w:val="008337D2"/>
    <w:rsid w:val="008338C0"/>
    <w:rsid w:val="00833D31"/>
    <w:rsid w:val="00833EAA"/>
    <w:rsid w:val="00833EF3"/>
    <w:rsid w:val="00833F19"/>
    <w:rsid w:val="00833FA2"/>
    <w:rsid w:val="008345EF"/>
    <w:rsid w:val="008347F2"/>
    <w:rsid w:val="00834B0A"/>
    <w:rsid w:val="00834C50"/>
    <w:rsid w:val="008351E3"/>
    <w:rsid w:val="0083532C"/>
    <w:rsid w:val="0083553B"/>
    <w:rsid w:val="008359B0"/>
    <w:rsid w:val="00836614"/>
    <w:rsid w:val="008366B8"/>
    <w:rsid w:val="008366CB"/>
    <w:rsid w:val="00836CF1"/>
    <w:rsid w:val="00836D34"/>
    <w:rsid w:val="008370AC"/>
    <w:rsid w:val="00837356"/>
    <w:rsid w:val="00837506"/>
    <w:rsid w:val="008377EF"/>
    <w:rsid w:val="0083798A"/>
    <w:rsid w:val="00837992"/>
    <w:rsid w:val="00837AF8"/>
    <w:rsid w:val="00837B62"/>
    <w:rsid w:val="00837DF1"/>
    <w:rsid w:val="00837F05"/>
    <w:rsid w:val="00840043"/>
    <w:rsid w:val="00840250"/>
    <w:rsid w:val="00840342"/>
    <w:rsid w:val="00840343"/>
    <w:rsid w:val="008410F8"/>
    <w:rsid w:val="008413D7"/>
    <w:rsid w:val="00841DEC"/>
    <w:rsid w:val="00842399"/>
    <w:rsid w:val="008433D2"/>
    <w:rsid w:val="00843910"/>
    <w:rsid w:val="00843B1E"/>
    <w:rsid w:val="00843BDB"/>
    <w:rsid w:val="00843C73"/>
    <w:rsid w:val="00843E32"/>
    <w:rsid w:val="00844194"/>
    <w:rsid w:val="00844766"/>
    <w:rsid w:val="00844E44"/>
    <w:rsid w:val="0084506E"/>
    <w:rsid w:val="00845388"/>
    <w:rsid w:val="00845497"/>
    <w:rsid w:val="008455D1"/>
    <w:rsid w:val="008463EC"/>
    <w:rsid w:val="00846793"/>
    <w:rsid w:val="00846A93"/>
    <w:rsid w:val="00846EB5"/>
    <w:rsid w:val="00846F05"/>
    <w:rsid w:val="008472B3"/>
    <w:rsid w:val="008472C0"/>
    <w:rsid w:val="008476F2"/>
    <w:rsid w:val="0084788F"/>
    <w:rsid w:val="00847916"/>
    <w:rsid w:val="00847C2B"/>
    <w:rsid w:val="008502B7"/>
    <w:rsid w:val="00850BB6"/>
    <w:rsid w:val="00850D8F"/>
    <w:rsid w:val="00851114"/>
    <w:rsid w:val="008522CA"/>
    <w:rsid w:val="0085253D"/>
    <w:rsid w:val="008525A8"/>
    <w:rsid w:val="008525C4"/>
    <w:rsid w:val="00852971"/>
    <w:rsid w:val="00852D58"/>
    <w:rsid w:val="00852D5C"/>
    <w:rsid w:val="00852F35"/>
    <w:rsid w:val="0085310B"/>
    <w:rsid w:val="008533EB"/>
    <w:rsid w:val="00853A28"/>
    <w:rsid w:val="00853C12"/>
    <w:rsid w:val="00853EEB"/>
    <w:rsid w:val="00853F6D"/>
    <w:rsid w:val="0085437B"/>
    <w:rsid w:val="008543A6"/>
    <w:rsid w:val="00854713"/>
    <w:rsid w:val="00854BB5"/>
    <w:rsid w:val="00854C62"/>
    <w:rsid w:val="00854D10"/>
    <w:rsid w:val="00854EAE"/>
    <w:rsid w:val="00854FA1"/>
    <w:rsid w:val="008551A7"/>
    <w:rsid w:val="008553F4"/>
    <w:rsid w:val="00855438"/>
    <w:rsid w:val="00855B2D"/>
    <w:rsid w:val="0085601D"/>
    <w:rsid w:val="0085605A"/>
    <w:rsid w:val="00856A10"/>
    <w:rsid w:val="00856AC8"/>
    <w:rsid w:val="00856EED"/>
    <w:rsid w:val="00857647"/>
    <w:rsid w:val="008579C1"/>
    <w:rsid w:val="008579C5"/>
    <w:rsid w:val="00857AD4"/>
    <w:rsid w:val="00857C14"/>
    <w:rsid w:val="00857C4D"/>
    <w:rsid w:val="00857F50"/>
    <w:rsid w:val="00860038"/>
    <w:rsid w:val="0086011B"/>
    <w:rsid w:val="00860229"/>
    <w:rsid w:val="00860598"/>
    <w:rsid w:val="00860789"/>
    <w:rsid w:val="00860BB1"/>
    <w:rsid w:val="00860C8E"/>
    <w:rsid w:val="00860E3C"/>
    <w:rsid w:val="00860FFD"/>
    <w:rsid w:val="008615B8"/>
    <w:rsid w:val="0086170E"/>
    <w:rsid w:val="00861853"/>
    <w:rsid w:val="00861872"/>
    <w:rsid w:val="00861CA6"/>
    <w:rsid w:val="00862339"/>
    <w:rsid w:val="00862563"/>
    <w:rsid w:val="008625A1"/>
    <w:rsid w:val="008625C5"/>
    <w:rsid w:val="008625D9"/>
    <w:rsid w:val="0086267A"/>
    <w:rsid w:val="00862AC1"/>
    <w:rsid w:val="00862DE8"/>
    <w:rsid w:val="00863035"/>
    <w:rsid w:val="00863564"/>
    <w:rsid w:val="00863609"/>
    <w:rsid w:val="00863ADD"/>
    <w:rsid w:val="00864013"/>
    <w:rsid w:val="00864323"/>
    <w:rsid w:val="008649BC"/>
    <w:rsid w:val="008649C4"/>
    <w:rsid w:val="00864FFD"/>
    <w:rsid w:val="0086570A"/>
    <w:rsid w:val="00865FF3"/>
    <w:rsid w:val="00866096"/>
    <w:rsid w:val="008662FF"/>
    <w:rsid w:val="00866CCF"/>
    <w:rsid w:val="00866D6A"/>
    <w:rsid w:val="00866DC7"/>
    <w:rsid w:val="008670B3"/>
    <w:rsid w:val="00867E28"/>
    <w:rsid w:val="0087004C"/>
    <w:rsid w:val="008700F8"/>
    <w:rsid w:val="00870292"/>
    <w:rsid w:val="008704C7"/>
    <w:rsid w:val="008704E8"/>
    <w:rsid w:val="0087066E"/>
    <w:rsid w:val="00870898"/>
    <w:rsid w:val="008708DD"/>
    <w:rsid w:val="00870B3A"/>
    <w:rsid w:val="00870D22"/>
    <w:rsid w:val="00870EA0"/>
    <w:rsid w:val="0087104E"/>
    <w:rsid w:val="0087195F"/>
    <w:rsid w:val="00871D3D"/>
    <w:rsid w:val="00872356"/>
    <w:rsid w:val="0087244F"/>
    <w:rsid w:val="00872A03"/>
    <w:rsid w:val="00872E03"/>
    <w:rsid w:val="0087312D"/>
    <w:rsid w:val="00873141"/>
    <w:rsid w:val="008732D6"/>
    <w:rsid w:val="00873727"/>
    <w:rsid w:val="00873CCC"/>
    <w:rsid w:val="00873F56"/>
    <w:rsid w:val="00873FFA"/>
    <w:rsid w:val="00874075"/>
    <w:rsid w:val="00874159"/>
    <w:rsid w:val="008743DA"/>
    <w:rsid w:val="0087458A"/>
    <w:rsid w:val="008748ED"/>
    <w:rsid w:val="00874A4B"/>
    <w:rsid w:val="00874C7F"/>
    <w:rsid w:val="00874C89"/>
    <w:rsid w:val="00874F22"/>
    <w:rsid w:val="008752F6"/>
    <w:rsid w:val="008755E2"/>
    <w:rsid w:val="00875910"/>
    <w:rsid w:val="008759DE"/>
    <w:rsid w:val="00875C69"/>
    <w:rsid w:val="00875EEF"/>
    <w:rsid w:val="008760CD"/>
    <w:rsid w:val="008765AA"/>
    <w:rsid w:val="00876D90"/>
    <w:rsid w:val="00876F97"/>
    <w:rsid w:val="00877477"/>
    <w:rsid w:val="00877A7B"/>
    <w:rsid w:val="00877FED"/>
    <w:rsid w:val="008800C3"/>
    <w:rsid w:val="008802A4"/>
    <w:rsid w:val="00880457"/>
    <w:rsid w:val="008806A5"/>
    <w:rsid w:val="008808E6"/>
    <w:rsid w:val="00880B7D"/>
    <w:rsid w:val="00880DEF"/>
    <w:rsid w:val="00880E7B"/>
    <w:rsid w:val="00881107"/>
    <w:rsid w:val="00881284"/>
    <w:rsid w:val="008815BB"/>
    <w:rsid w:val="008818BB"/>
    <w:rsid w:val="00881A42"/>
    <w:rsid w:val="00881EFF"/>
    <w:rsid w:val="00881F66"/>
    <w:rsid w:val="00882AF1"/>
    <w:rsid w:val="00882DC5"/>
    <w:rsid w:val="00882F0F"/>
    <w:rsid w:val="00882FCE"/>
    <w:rsid w:val="008834E0"/>
    <w:rsid w:val="00884F01"/>
    <w:rsid w:val="008850EC"/>
    <w:rsid w:val="00885800"/>
    <w:rsid w:val="0088594B"/>
    <w:rsid w:val="00885B4B"/>
    <w:rsid w:val="00885EB8"/>
    <w:rsid w:val="008869AA"/>
    <w:rsid w:val="00886A0E"/>
    <w:rsid w:val="00886AC0"/>
    <w:rsid w:val="00886D80"/>
    <w:rsid w:val="00887158"/>
    <w:rsid w:val="0088751B"/>
    <w:rsid w:val="00887520"/>
    <w:rsid w:val="0088769F"/>
    <w:rsid w:val="00887DFC"/>
    <w:rsid w:val="00890B3E"/>
    <w:rsid w:val="00890DDD"/>
    <w:rsid w:val="0089130B"/>
    <w:rsid w:val="008916B2"/>
    <w:rsid w:val="00891822"/>
    <w:rsid w:val="00891AD8"/>
    <w:rsid w:val="00891C1F"/>
    <w:rsid w:val="00891C3D"/>
    <w:rsid w:val="00891D63"/>
    <w:rsid w:val="00891D72"/>
    <w:rsid w:val="00891DB9"/>
    <w:rsid w:val="00892219"/>
    <w:rsid w:val="00892334"/>
    <w:rsid w:val="008926AF"/>
    <w:rsid w:val="00892A46"/>
    <w:rsid w:val="0089339F"/>
    <w:rsid w:val="008937FE"/>
    <w:rsid w:val="00893987"/>
    <w:rsid w:val="00893A57"/>
    <w:rsid w:val="00893A9F"/>
    <w:rsid w:val="00893BE0"/>
    <w:rsid w:val="008942D7"/>
    <w:rsid w:val="008942F3"/>
    <w:rsid w:val="0089435A"/>
    <w:rsid w:val="00894551"/>
    <w:rsid w:val="0089469F"/>
    <w:rsid w:val="008948BC"/>
    <w:rsid w:val="00894BA2"/>
    <w:rsid w:val="00894F0A"/>
    <w:rsid w:val="0089511F"/>
    <w:rsid w:val="008954F9"/>
    <w:rsid w:val="008955E0"/>
    <w:rsid w:val="00895906"/>
    <w:rsid w:val="008959A6"/>
    <w:rsid w:val="00895A85"/>
    <w:rsid w:val="00895C8C"/>
    <w:rsid w:val="00895D2C"/>
    <w:rsid w:val="00895E1B"/>
    <w:rsid w:val="00896302"/>
    <w:rsid w:val="0089680F"/>
    <w:rsid w:val="00896967"/>
    <w:rsid w:val="00896B05"/>
    <w:rsid w:val="00896D21"/>
    <w:rsid w:val="00896EA7"/>
    <w:rsid w:val="0089746C"/>
    <w:rsid w:val="00897680"/>
    <w:rsid w:val="0089781D"/>
    <w:rsid w:val="00897ABB"/>
    <w:rsid w:val="00897B9C"/>
    <w:rsid w:val="00897BD1"/>
    <w:rsid w:val="008A0245"/>
    <w:rsid w:val="008A03C4"/>
    <w:rsid w:val="008A0550"/>
    <w:rsid w:val="008A097E"/>
    <w:rsid w:val="008A0B12"/>
    <w:rsid w:val="008A0DEE"/>
    <w:rsid w:val="008A1051"/>
    <w:rsid w:val="008A1053"/>
    <w:rsid w:val="008A1420"/>
    <w:rsid w:val="008A14C8"/>
    <w:rsid w:val="008A1601"/>
    <w:rsid w:val="008A196A"/>
    <w:rsid w:val="008A1A91"/>
    <w:rsid w:val="008A1AB7"/>
    <w:rsid w:val="008A1C92"/>
    <w:rsid w:val="008A1D49"/>
    <w:rsid w:val="008A2286"/>
    <w:rsid w:val="008A22B9"/>
    <w:rsid w:val="008A2AEC"/>
    <w:rsid w:val="008A2B82"/>
    <w:rsid w:val="008A2E2A"/>
    <w:rsid w:val="008A2F75"/>
    <w:rsid w:val="008A3184"/>
    <w:rsid w:val="008A3368"/>
    <w:rsid w:val="008A33E7"/>
    <w:rsid w:val="008A36F0"/>
    <w:rsid w:val="008A38AB"/>
    <w:rsid w:val="008A3993"/>
    <w:rsid w:val="008A3FBA"/>
    <w:rsid w:val="008A4140"/>
    <w:rsid w:val="008A49C7"/>
    <w:rsid w:val="008A4AB2"/>
    <w:rsid w:val="008A4CF5"/>
    <w:rsid w:val="008A522C"/>
    <w:rsid w:val="008A54D1"/>
    <w:rsid w:val="008A574B"/>
    <w:rsid w:val="008A5937"/>
    <w:rsid w:val="008A5947"/>
    <w:rsid w:val="008A5B8F"/>
    <w:rsid w:val="008A5CFE"/>
    <w:rsid w:val="008A6202"/>
    <w:rsid w:val="008A6597"/>
    <w:rsid w:val="008A6754"/>
    <w:rsid w:val="008A6947"/>
    <w:rsid w:val="008A6ABA"/>
    <w:rsid w:val="008A6CDC"/>
    <w:rsid w:val="008A7124"/>
    <w:rsid w:val="008A7C12"/>
    <w:rsid w:val="008B013E"/>
    <w:rsid w:val="008B0713"/>
    <w:rsid w:val="008B077F"/>
    <w:rsid w:val="008B0957"/>
    <w:rsid w:val="008B0C3A"/>
    <w:rsid w:val="008B0CA8"/>
    <w:rsid w:val="008B0D99"/>
    <w:rsid w:val="008B15F0"/>
    <w:rsid w:val="008B15F3"/>
    <w:rsid w:val="008B16D5"/>
    <w:rsid w:val="008B2131"/>
    <w:rsid w:val="008B222A"/>
    <w:rsid w:val="008B23F0"/>
    <w:rsid w:val="008B2501"/>
    <w:rsid w:val="008B2AD8"/>
    <w:rsid w:val="008B2B34"/>
    <w:rsid w:val="008B2D02"/>
    <w:rsid w:val="008B3094"/>
    <w:rsid w:val="008B32A5"/>
    <w:rsid w:val="008B351E"/>
    <w:rsid w:val="008B36E0"/>
    <w:rsid w:val="008B42B3"/>
    <w:rsid w:val="008B48BA"/>
    <w:rsid w:val="008B4B38"/>
    <w:rsid w:val="008B4C0E"/>
    <w:rsid w:val="008B53CB"/>
    <w:rsid w:val="008B5B11"/>
    <w:rsid w:val="008B5B51"/>
    <w:rsid w:val="008B5C90"/>
    <w:rsid w:val="008B5CB2"/>
    <w:rsid w:val="008B613F"/>
    <w:rsid w:val="008B6379"/>
    <w:rsid w:val="008B656B"/>
    <w:rsid w:val="008B67AD"/>
    <w:rsid w:val="008B6809"/>
    <w:rsid w:val="008B6DAF"/>
    <w:rsid w:val="008B6E34"/>
    <w:rsid w:val="008B730F"/>
    <w:rsid w:val="008B7334"/>
    <w:rsid w:val="008B7395"/>
    <w:rsid w:val="008B7706"/>
    <w:rsid w:val="008B7C52"/>
    <w:rsid w:val="008C0208"/>
    <w:rsid w:val="008C06D9"/>
    <w:rsid w:val="008C09AE"/>
    <w:rsid w:val="008C10B5"/>
    <w:rsid w:val="008C16CB"/>
    <w:rsid w:val="008C173C"/>
    <w:rsid w:val="008C1766"/>
    <w:rsid w:val="008C1D56"/>
    <w:rsid w:val="008C1E23"/>
    <w:rsid w:val="008C2290"/>
    <w:rsid w:val="008C281F"/>
    <w:rsid w:val="008C2842"/>
    <w:rsid w:val="008C2E85"/>
    <w:rsid w:val="008C31F5"/>
    <w:rsid w:val="008C3423"/>
    <w:rsid w:val="008C3480"/>
    <w:rsid w:val="008C35DB"/>
    <w:rsid w:val="008C37D0"/>
    <w:rsid w:val="008C37E0"/>
    <w:rsid w:val="008C38CE"/>
    <w:rsid w:val="008C397E"/>
    <w:rsid w:val="008C3A4C"/>
    <w:rsid w:val="008C42AC"/>
    <w:rsid w:val="008C495D"/>
    <w:rsid w:val="008C4D2B"/>
    <w:rsid w:val="008C5234"/>
    <w:rsid w:val="008C5476"/>
    <w:rsid w:val="008C557A"/>
    <w:rsid w:val="008C5F45"/>
    <w:rsid w:val="008C6038"/>
    <w:rsid w:val="008C62A9"/>
    <w:rsid w:val="008C6810"/>
    <w:rsid w:val="008C6B21"/>
    <w:rsid w:val="008C6E91"/>
    <w:rsid w:val="008C6F2B"/>
    <w:rsid w:val="008C7141"/>
    <w:rsid w:val="008C7422"/>
    <w:rsid w:val="008C74D1"/>
    <w:rsid w:val="008C7DCB"/>
    <w:rsid w:val="008C7E49"/>
    <w:rsid w:val="008D04D8"/>
    <w:rsid w:val="008D081E"/>
    <w:rsid w:val="008D082E"/>
    <w:rsid w:val="008D0AE8"/>
    <w:rsid w:val="008D0D7A"/>
    <w:rsid w:val="008D0E50"/>
    <w:rsid w:val="008D0E81"/>
    <w:rsid w:val="008D0F23"/>
    <w:rsid w:val="008D1163"/>
    <w:rsid w:val="008D11F6"/>
    <w:rsid w:val="008D1420"/>
    <w:rsid w:val="008D1C73"/>
    <w:rsid w:val="008D20CD"/>
    <w:rsid w:val="008D23A0"/>
    <w:rsid w:val="008D24D3"/>
    <w:rsid w:val="008D2D76"/>
    <w:rsid w:val="008D2E4F"/>
    <w:rsid w:val="008D3065"/>
    <w:rsid w:val="008D312C"/>
    <w:rsid w:val="008D3C31"/>
    <w:rsid w:val="008D3DE8"/>
    <w:rsid w:val="008D44A8"/>
    <w:rsid w:val="008D4BC0"/>
    <w:rsid w:val="008D569F"/>
    <w:rsid w:val="008D5A1F"/>
    <w:rsid w:val="008D629D"/>
    <w:rsid w:val="008D64BE"/>
    <w:rsid w:val="008D6519"/>
    <w:rsid w:val="008D66B5"/>
    <w:rsid w:val="008D6704"/>
    <w:rsid w:val="008D69BF"/>
    <w:rsid w:val="008D6ACD"/>
    <w:rsid w:val="008D6C00"/>
    <w:rsid w:val="008D768C"/>
    <w:rsid w:val="008D7B4F"/>
    <w:rsid w:val="008D7D5E"/>
    <w:rsid w:val="008D7DEA"/>
    <w:rsid w:val="008E04D1"/>
    <w:rsid w:val="008E05B0"/>
    <w:rsid w:val="008E0BBC"/>
    <w:rsid w:val="008E0C35"/>
    <w:rsid w:val="008E0CF1"/>
    <w:rsid w:val="008E1108"/>
    <w:rsid w:val="008E164E"/>
    <w:rsid w:val="008E170D"/>
    <w:rsid w:val="008E18D7"/>
    <w:rsid w:val="008E1A57"/>
    <w:rsid w:val="008E1BCC"/>
    <w:rsid w:val="008E1C3A"/>
    <w:rsid w:val="008E2008"/>
    <w:rsid w:val="008E2104"/>
    <w:rsid w:val="008E24FA"/>
    <w:rsid w:val="008E273C"/>
    <w:rsid w:val="008E274D"/>
    <w:rsid w:val="008E2EC1"/>
    <w:rsid w:val="008E2EFA"/>
    <w:rsid w:val="008E30EF"/>
    <w:rsid w:val="008E33C8"/>
    <w:rsid w:val="008E39F5"/>
    <w:rsid w:val="008E3D15"/>
    <w:rsid w:val="008E3E03"/>
    <w:rsid w:val="008E3E05"/>
    <w:rsid w:val="008E3F23"/>
    <w:rsid w:val="008E4AEB"/>
    <w:rsid w:val="008E4BE7"/>
    <w:rsid w:val="008E538D"/>
    <w:rsid w:val="008E56C2"/>
    <w:rsid w:val="008E57BA"/>
    <w:rsid w:val="008E5836"/>
    <w:rsid w:val="008E5B3D"/>
    <w:rsid w:val="008E5BA5"/>
    <w:rsid w:val="008E5BC6"/>
    <w:rsid w:val="008E5C1E"/>
    <w:rsid w:val="008E5FBB"/>
    <w:rsid w:val="008E61F3"/>
    <w:rsid w:val="008E6901"/>
    <w:rsid w:val="008E6FD5"/>
    <w:rsid w:val="008E7B77"/>
    <w:rsid w:val="008F0449"/>
    <w:rsid w:val="008F0D45"/>
    <w:rsid w:val="008F0D69"/>
    <w:rsid w:val="008F11E0"/>
    <w:rsid w:val="008F1212"/>
    <w:rsid w:val="008F1807"/>
    <w:rsid w:val="008F1B1F"/>
    <w:rsid w:val="008F1BA9"/>
    <w:rsid w:val="008F1C98"/>
    <w:rsid w:val="008F1D14"/>
    <w:rsid w:val="008F1E13"/>
    <w:rsid w:val="008F1E5A"/>
    <w:rsid w:val="008F1F6B"/>
    <w:rsid w:val="008F2224"/>
    <w:rsid w:val="008F2699"/>
    <w:rsid w:val="008F272D"/>
    <w:rsid w:val="008F28A6"/>
    <w:rsid w:val="008F28DC"/>
    <w:rsid w:val="008F2C9E"/>
    <w:rsid w:val="008F307D"/>
    <w:rsid w:val="008F3863"/>
    <w:rsid w:val="008F3A26"/>
    <w:rsid w:val="008F3F1C"/>
    <w:rsid w:val="008F42BA"/>
    <w:rsid w:val="008F43F8"/>
    <w:rsid w:val="008F44BF"/>
    <w:rsid w:val="008F4518"/>
    <w:rsid w:val="008F4670"/>
    <w:rsid w:val="008F47E2"/>
    <w:rsid w:val="008F490E"/>
    <w:rsid w:val="008F49F0"/>
    <w:rsid w:val="008F54C3"/>
    <w:rsid w:val="008F55C8"/>
    <w:rsid w:val="008F57BC"/>
    <w:rsid w:val="008F586D"/>
    <w:rsid w:val="008F5E38"/>
    <w:rsid w:val="008F5E39"/>
    <w:rsid w:val="008F5FF3"/>
    <w:rsid w:val="008F60A9"/>
    <w:rsid w:val="008F668D"/>
    <w:rsid w:val="008F6996"/>
    <w:rsid w:val="008F6CCF"/>
    <w:rsid w:val="008F723C"/>
    <w:rsid w:val="008F7569"/>
    <w:rsid w:val="008F774A"/>
    <w:rsid w:val="008F7FFB"/>
    <w:rsid w:val="00900079"/>
    <w:rsid w:val="009004A4"/>
    <w:rsid w:val="00900A84"/>
    <w:rsid w:val="00900ABF"/>
    <w:rsid w:val="00900C45"/>
    <w:rsid w:val="00900CDF"/>
    <w:rsid w:val="00900DC0"/>
    <w:rsid w:val="00901293"/>
    <w:rsid w:val="0090168B"/>
    <w:rsid w:val="00901807"/>
    <w:rsid w:val="00901D69"/>
    <w:rsid w:val="00902C4C"/>
    <w:rsid w:val="00902CEF"/>
    <w:rsid w:val="00902EDD"/>
    <w:rsid w:val="0090379E"/>
    <w:rsid w:val="00903BF4"/>
    <w:rsid w:val="00903C0A"/>
    <w:rsid w:val="0090436D"/>
    <w:rsid w:val="009047C7"/>
    <w:rsid w:val="00904879"/>
    <w:rsid w:val="00904CBA"/>
    <w:rsid w:val="009053A7"/>
    <w:rsid w:val="0090551D"/>
    <w:rsid w:val="00905909"/>
    <w:rsid w:val="00905ACC"/>
    <w:rsid w:val="00905BAC"/>
    <w:rsid w:val="00905BC7"/>
    <w:rsid w:val="00905D6D"/>
    <w:rsid w:val="009063B1"/>
    <w:rsid w:val="00906560"/>
    <w:rsid w:val="00906794"/>
    <w:rsid w:val="00906A40"/>
    <w:rsid w:val="00906AC1"/>
    <w:rsid w:val="00907392"/>
    <w:rsid w:val="009074AD"/>
    <w:rsid w:val="0090753A"/>
    <w:rsid w:val="009078F0"/>
    <w:rsid w:val="009078F8"/>
    <w:rsid w:val="009079EC"/>
    <w:rsid w:val="00907B72"/>
    <w:rsid w:val="00907BEF"/>
    <w:rsid w:val="0091038E"/>
    <w:rsid w:val="0091043A"/>
    <w:rsid w:val="0091046E"/>
    <w:rsid w:val="009106BA"/>
    <w:rsid w:val="0091083B"/>
    <w:rsid w:val="00910ED3"/>
    <w:rsid w:val="00911332"/>
    <w:rsid w:val="0091159E"/>
    <w:rsid w:val="0091160D"/>
    <w:rsid w:val="00912196"/>
    <w:rsid w:val="00912521"/>
    <w:rsid w:val="0091271F"/>
    <w:rsid w:val="00912742"/>
    <w:rsid w:val="00912923"/>
    <w:rsid w:val="00912927"/>
    <w:rsid w:val="009129FE"/>
    <w:rsid w:val="00912CD0"/>
    <w:rsid w:val="00912F12"/>
    <w:rsid w:val="009130D5"/>
    <w:rsid w:val="009133B1"/>
    <w:rsid w:val="0091360B"/>
    <w:rsid w:val="009136AA"/>
    <w:rsid w:val="0091383D"/>
    <w:rsid w:val="00913916"/>
    <w:rsid w:val="00913D25"/>
    <w:rsid w:val="00913D8E"/>
    <w:rsid w:val="00913E3D"/>
    <w:rsid w:val="009140A5"/>
    <w:rsid w:val="009141B1"/>
    <w:rsid w:val="009145A5"/>
    <w:rsid w:val="00914D99"/>
    <w:rsid w:val="00914DAE"/>
    <w:rsid w:val="0091502E"/>
    <w:rsid w:val="00915044"/>
    <w:rsid w:val="0091539C"/>
    <w:rsid w:val="00915651"/>
    <w:rsid w:val="009156A5"/>
    <w:rsid w:val="0091574F"/>
    <w:rsid w:val="0091578C"/>
    <w:rsid w:val="00915AD9"/>
    <w:rsid w:val="00915C78"/>
    <w:rsid w:val="00915FBC"/>
    <w:rsid w:val="0091630F"/>
    <w:rsid w:val="0091633B"/>
    <w:rsid w:val="00916540"/>
    <w:rsid w:val="00916997"/>
    <w:rsid w:val="00916ADF"/>
    <w:rsid w:val="0091714F"/>
    <w:rsid w:val="00917369"/>
    <w:rsid w:val="00917415"/>
    <w:rsid w:val="009176BD"/>
    <w:rsid w:val="00917D40"/>
    <w:rsid w:val="00920496"/>
    <w:rsid w:val="00920671"/>
    <w:rsid w:val="0092076E"/>
    <w:rsid w:val="00920C90"/>
    <w:rsid w:val="00920DCC"/>
    <w:rsid w:val="00920EB2"/>
    <w:rsid w:val="00921454"/>
    <w:rsid w:val="009214B0"/>
    <w:rsid w:val="00921748"/>
    <w:rsid w:val="009222E3"/>
    <w:rsid w:val="00922389"/>
    <w:rsid w:val="009226F2"/>
    <w:rsid w:val="00922972"/>
    <w:rsid w:val="009229A1"/>
    <w:rsid w:val="009229C9"/>
    <w:rsid w:val="00922A73"/>
    <w:rsid w:val="00922F3C"/>
    <w:rsid w:val="00923289"/>
    <w:rsid w:val="009237CC"/>
    <w:rsid w:val="00923EEB"/>
    <w:rsid w:val="00924410"/>
    <w:rsid w:val="0092451B"/>
    <w:rsid w:val="0092489C"/>
    <w:rsid w:val="00924C4C"/>
    <w:rsid w:val="00924FC3"/>
    <w:rsid w:val="00925075"/>
    <w:rsid w:val="009255A5"/>
    <w:rsid w:val="00925766"/>
    <w:rsid w:val="00926250"/>
    <w:rsid w:val="009264FB"/>
    <w:rsid w:val="00926CB4"/>
    <w:rsid w:val="00926CF4"/>
    <w:rsid w:val="00926E46"/>
    <w:rsid w:val="009270DC"/>
    <w:rsid w:val="00927303"/>
    <w:rsid w:val="0092739A"/>
    <w:rsid w:val="00927652"/>
    <w:rsid w:val="00927764"/>
    <w:rsid w:val="00927795"/>
    <w:rsid w:val="00927925"/>
    <w:rsid w:val="00927A1F"/>
    <w:rsid w:val="00927AFB"/>
    <w:rsid w:val="00927B57"/>
    <w:rsid w:val="00927BCB"/>
    <w:rsid w:val="00927E2B"/>
    <w:rsid w:val="009300B0"/>
    <w:rsid w:val="0093060E"/>
    <w:rsid w:val="00930865"/>
    <w:rsid w:val="009310C3"/>
    <w:rsid w:val="00931119"/>
    <w:rsid w:val="00931148"/>
    <w:rsid w:val="009317CA"/>
    <w:rsid w:val="009318B6"/>
    <w:rsid w:val="00931C0A"/>
    <w:rsid w:val="00931FC5"/>
    <w:rsid w:val="0093231B"/>
    <w:rsid w:val="0093293C"/>
    <w:rsid w:val="00933039"/>
    <w:rsid w:val="00933175"/>
    <w:rsid w:val="00933189"/>
    <w:rsid w:val="009339AE"/>
    <w:rsid w:val="00933DA8"/>
    <w:rsid w:val="00933F26"/>
    <w:rsid w:val="0093455D"/>
    <w:rsid w:val="00934583"/>
    <w:rsid w:val="0093470E"/>
    <w:rsid w:val="00934712"/>
    <w:rsid w:val="00934D9B"/>
    <w:rsid w:val="00934FCF"/>
    <w:rsid w:val="009351A6"/>
    <w:rsid w:val="009352CB"/>
    <w:rsid w:val="00935508"/>
    <w:rsid w:val="009356D6"/>
    <w:rsid w:val="009357E1"/>
    <w:rsid w:val="009358C6"/>
    <w:rsid w:val="009358EC"/>
    <w:rsid w:val="00935BF0"/>
    <w:rsid w:val="00936649"/>
    <w:rsid w:val="009367F5"/>
    <w:rsid w:val="00936E99"/>
    <w:rsid w:val="00937281"/>
    <w:rsid w:val="0093782D"/>
    <w:rsid w:val="0093786B"/>
    <w:rsid w:val="00937F69"/>
    <w:rsid w:val="009400B9"/>
    <w:rsid w:val="009401C0"/>
    <w:rsid w:val="0094046C"/>
    <w:rsid w:val="00940704"/>
    <w:rsid w:val="009408E7"/>
    <w:rsid w:val="00940944"/>
    <w:rsid w:val="00940C82"/>
    <w:rsid w:val="009410BF"/>
    <w:rsid w:val="00941280"/>
    <w:rsid w:val="00941308"/>
    <w:rsid w:val="0094139F"/>
    <w:rsid w:val="00941836"/>
    <w:rsid w:val="009418EF"/>
    <w:rsid w:val="00941C29"/>
    <w:rsid w:val="00942316"/>
    <w:rsid w:val="009426E8"/>
    <w:rsid w:val="00942944"/>
    <w:rsid w:val="00942A8C"/>
    <w:rsid w:val="00942EDE"/>
    <w:rsid w:val="0094313A"/>
    <w:rsid w:val="00943251"/>
    <w:rsid w:val="00943415"/>
    <w:rsid w:val="00943738"/>
    <w:rsid w:val="00943D49"/>
    <w:rsid w:val="00943DB9"/>
    <w:rsid w:val="00944165"/>
    <w:rsid w:val="00944601"/>
    <w:rsid w:val="00944721"/>
    <w:rsid w:val="0094482F"/>
    <w:rsid w:val="00944C87"/>
    <w:rsid w:val="00944DA4"/>
    <w:rsid w:val="009450B9"/>
    <w:rsid w:val="009453D5"/>
    <w:rsid w:val="009455F0"/>
    <w:rsid w:val="00945A03"/>
    <w:rsid w:val="00945DA1"/>
    <w:rsid w:val="00945EC6"/>
    <w:rsid w:val="009461EA"/>
    <w:rsid w:val="009462DA"/>
    <w:rsid w:val="00946D81"/>
    <w:rsid w:val="00947774"/>
    <w:rsid w:val="00947C78"/>
    <w:rsid w:val="00947DA5"/>
    <w:rsid w:val="009500EA"/>
    <w:rsid w:val="0095024E"/>
    <w:rsid w:val="00950A66"/>
    <w:rsid w:val="00950B7E"/>
    <w:rsid w:val="00950C66"/>
    <w:rsid w:val="00951B74"/>
    <w:rsid w:val="0095211A"/>
    <w:rsid w:val="0095251E"/>
    <w:rsid w:val="00952850"/>
    <w:rsid w:val="00952BFB"/>
    <w:rsid w:val="00952C63"/>
    <w:rsid w:val="0095313B"/>
    <w:rsid w:val="009534A0"/>
    <w:rsid w:val="00953A8A"/>
    <w:rsid w:val="00953B54"/>
    <w:rsid w:val="00953BFC"/>
    <w:rsid w:val="00953D86"/>
    <w:rsid w:val="00953E72"/>
    <w:rsid w:val="00954482"/>
    <w:rsid w:val="009545EB"/>
    <w:rsid w:val="00954626"/>
    <w:rsid w:val="00954B4B"/>
    <w:rsid w:val="00954B71"/>
    <w:rsid w:val="00954F88"/>
    <w:rsid w:val="00955087"/>
    <w:rsid w:val="00955B13"/>
    <w:rsid w:val="00955C38"/>
    <w:rsid w:val="00956082"/>
    <w:rsid w:val="009566F0"/>
    <w:rsid w:val="00956BF6"/>
    <w:rsid w:val="00956E1C"/>
    <w:rsid w:val="00956E99"/>
    <w:rsid w:val="00956F50"/>
    <w:rsid w:val="00957EA1"/>
    <w:rsid w:val="00957FB6"/>
    <w:rsid w:val="00960686"/>
    <w:rsid w:val="009608EF"/>
    <w:rsid w:val="00960F33"/>
    <w:rsid w:val="00960FA9"/>
    <w:rsid w:val="00961469"/>
    <w:rsid w:val="0096178D"/>
    <w:rsid w:val="00961AEC"/>
    <w:rsid w:val="00961D3F"/>
    <w:rsid w:val="0096238A"/>
    <w:rsid w:val="00962477"/>
    <w:rsid w:val="0096282A"/>
    <w:rsid w:val="00962CAB"/>
    <w:rsid w:val="00962F46"/>
    <w:rsid w:val="00963570"/>
    <w:rsid w:val="00963ABD"/>
    <w:rsid w:val="00963BFD"/>
    <w:rsid w:val="00963FE4"/>
    <w:rsid w:val="009647E6"/>
    <w:rsid w:val="0096490C"/>
    <w:rsid w:val="00964CF8"/>
    <w:rsid w:val="00964E25"/>
    <w:rsid w:val="00965202"/>
    <w:rsid w:val="0096524D"/>
    <w:rsid w:val="0096637B"/>
    <w:rsid w:val="00966404"/>
    <w:rsid w:val="00966B72"/>
    <w:rsid w:val="00966EB6"/>
    <w:rsid w:val="00966ECC"/>
    <w:rsid w:val="00966F65"/>
    <w:rsid w:val="009675DB"/>
    <w:rsid w:val="009676B8"/>
    <w:rsid w:val="00967E86"/>
    <w:rsid w:val="00970E2D"/>
    <w:rsid w:val="00970F2A"/>
    <w:rsid w:val="009716FE"/>
    <w:rsid w:val="00971790"/>
    <w:rsid w:val="00971972"/>
    <w:rsid w:val="00971DCC"/>
    <w:rsid w:val="00971F42"/>
    <w:rsid w:val="00971FC8"/>
    <w:rsid w:val="009725AF"/>
    <w:rsid w:val="00972737"/>
    <w:rsid w:val="009729AE"/>
    <w:rsid w:val="00972A51"/>
    <w:rsid w:val="009733ED"/>
    <w:rsid w:val="0097369D"/>
    <w:rsid w:val="00973A21"/>
    <w:rsid w:val="00973BA7"/>
    <w:rsid w:val="00973D0E"/>
    <w:rsid w:val="009740CE"/>
    <w:rsid w:val="009740E9"/>
    <w:rsid w:val="00974184"/>
    <w:rsid w:val="0097446B"/>
    <w:rsid w:val="0097458E"/>
    <w:rsid w:val="00974798"/>
    <w:rsid w:val="0097488F"/>
    <w:rsid w:val="00974A07"/>
    <w:rsid w:val="00974DE6"/>
    <w:rsid w:val="00974F88"/>
    <w:rsid w:val="00975428"/>
    <w:rsid w:val="0097583C"/>
    <w:rsid w:val="00975D29"/>
    <w:rsid w:val="0097609A"/>
    <w:rsid w:val="0097655F"/>
    <w:rsid w:val="0097686F"/>
    <w:rsid w:val="00976AC1"/>
    <w:rsid w:val="00976E37"/>
    <w:rsid w:val="0097775F"/>
    <w:rsid w:val="00977A8B"/>
    <w:rsid w:val="00977EF2"/>
    <w:rsid w:val="00977EF4"/>
    <w:rsid w:val="00977F85"/>
    <w:rsid w:val="009802A7"/>
    <w:rsid w:val="009806BA"/>
    <w:rsid w:val="00980949"/>
    <w:rsid w:val="00980E5A"/>
    <w:rsid w:val="00980EFD"/>
    <w:rsid w:val="009812BC"/>
    <w:rsid w:val="00981310"/>
    <w:rsid w:val="00981A41"/>
    <w:rsid w:val="00981DB1"/>
    <w:rsid w:val="0098202B"/>
    <w:rsid w:val="009820E0"/>
    <w:rsid w:val="009820F8"/>
    <w:rsid w:val="009822C5"/>
    <w:rsid w:val="0098239D"/>
    <w:rsid w:val="009825B1"/>
    <w:rsid w:val="009828F8"/>
    <w:rsid w:val="009829A4"/>
    <w:rsid w:val="00982A51"/>
    <w:rsid w:val="00982B19"/>
    <w:rsid w:val="00983A61"/>
    <w:rsid w:val="00983B7A"/>
    <w:rsid w:val="00983F3C"/>
    <w:rsid w:val="009840AF"/>
    <w:rsid w:val="0098467E"/>
    <w:rsid w:val="009847B9"/>
    <w:rsid w:val="009847FF"/>
    <w:rsid w:val="00984B9B"/>
    <w:rsid w:val="00984BEB"/>
    <w:rsid w:val="0098523B"/>
    <w:rsid w:val="009855D6"/>
    <w:rsid w:val="0098576C"/>
    <w:rsid w:val="009857C6"/>
    <w:rsid w:val="00985ED5"/>
    <w:rsid w:val="009861BC"/>
    <w:rsid w:val="009865EA"/>
    <w:rsid w:val="00986840"/>
    <w:rsid w:val="00986ED5"/>
    <w:rsid w:val="009873F3"/>
    <w:rsid w:val="009874B2"/>
    <w:rsid w:val="0099066B"/>
    <w:rsid w:val="00990835"/>
    <w:rsid w:val="00990AAE"/>
    <w:rsid w:val="00990C13"/>
    <w:rsid w:val="00990C54"/>
    <w:rsid w:val="00990DB8"/>
    <w:rsid w:val="00991227"/>
    <w:rsid w:val="009913E9"/>
    <w:rsid w:val="00991966"/>
    <w:rsid w:val="00991E11"/>
    <w:rsid w:val="0099206B"/>
    <w:rsid w:val="00992307"/>
    <w:rsid w:val="00992319"/>
    <w:rsid w:val="0099256D"/>
    <w:rsid w:val="00992970"/>
    <w:rsid w:val="00992CD8"/>
    <w:rsid w:val="00992D7A"/>
    <w:rsid w:val="00992FCB"/>
    <w:rsid w:val="0099303C"/>
    <w:rsid w:val="009936ED"/>
    <w:rsid w:val="0099386A"/>
    <w:rsid w:val="0099394C"/>
    <w:rsid w:val="00994491"/>
    <w:rsid w:val="00994587"/>
    <w:rsid w:val="00994970"/>
    <w:rsid w:val="00994AFE"/>
    <w:rsid w:val="00995289"/>
    <w:rsid w:val="009952EF"/>
    <w:rsid w:val="00995485"/>
    <w:rsid w:val="00995493"/>
    <w:rsid w:val="00995572"/>
    <w:rsid w:val="0099562B"/>
    <w:rsid w:val="00995951"/>
    <w:rsid w:val="00995952"/>
    <w:rsid w:val="00995980"/>
    <w:rsid w:val="00995A65"/>
    <w:rsid w:val="00995B4F"/>
    <w:rsid w:val="00995BF1"/>
    <w:rsid w:val="00995FD5"/>
    <w:rsid w:val="00996584"/>
    <w:rsid w:val="00996919"/>
    <w:rsid w:val="00996CE0"/>
    <w:rsid w:val="00996F2E"/>
    <w:rsid w:val="00997780"/>
    <w:rsid w:val="00997A3C"/>
    <w:rsid w:val="00997AAF"/>
    <w:rsid w:val="00997E2A"/>
    <w:rsid w:val="009A010E"/>
    <w:rsid w:val="009A09BA"/>
    <w:rsid w:val="009A0E37"/>
    <w:rsid w:val="009A12A5"/>
    <w:rsid w:val="009A143B"/>
    <w:rsid w:val="009A2003"/>
    <w:rsid w:val="009A2063"/>
    <w:rsid w:val="009A222C"/>
    <w:rsid w:val="009A245E"/>
    <w:rsid w:val="009A2C11"/>
    <w:rsid w:val="009A2C36"/>
    <w:rsid w:val="009A2C81"/>
    <w:rsid w:val="009A2F58"/>
    <w:rsid w:val="009A2F9D"/>
    <w:rsid w:val="009A3534"/>
    <w:rsid w:val="009A3D26"/>
    <w:rsid w:val="009A4A22"/>
    <w:rsid w:val="009A4A8B"/>
    <w:rsid w:val="009A4B13"/>
    <w:rsid w:val="009A4C3A"/>
    <w:rsid w:val="009A4D2C"/>
    <w:rsid w:val="009A514F"/>
    <w:rsid w:val="009A55CF"/>
    <w:rsid w:val="009A5622"/>
    <w:rsid w:val="009A57D3"/>
    <w:rsid w:val="009A5924"/>
    <w:rsid w:val="009A5940"/>
    <w:rsid w:val="009A595C"/>
    <w:rsid w:val="009A5DDE"/>
    <w:rsid w:val="009A5F08"/>
    <w:rsid w:val="009A5FFB"/>
    <w:rsid w:val="009A62A6"/>
    <w:rsid w:val="009A6775"/>
    <w:rsid w:val="009A67E0"/>
    <w:rsid w:val="009A6962"/>
    <w:rsid w:val="009A69A1"/>
    <w:rsid w:val="009A6DFF"/>
    <w:rsid w:val="009A7037"/>
    <w:rsid w:val="009A7154"/>
    <w:rsid w:val="009A75B8"/>
    <w:rsid w:val="009A7627"/>
    <w:rsid w:val="009A7701"/>
    <w:rsid w:val="009A7C27"/>
    <w:rsid w:val="009A7F88"/>
    <w:rsid w:val="009B0104"/>
    <w:rsid w:val="009B014A"/>
    <w:rsid w:val="009B03D0"/>
    <w:rsid w:val="009B0543"/>
    <w:rsid w:val="009B0658"/>
    <w:rsid w:val="009B09E1"/>
    <w:rsid w:val="009B0E5A"/>
    <w:rsid w:val="009B1154"/>
    <w:rsid w:val="009B1397"/>
    <w:rsid w:val="009B172C"/>
    <w:rsid w:val="009B1776"/>
    <w:rsid w:val="009B229D"/>
    <w:rsid w:val="009B22A7"/>
    <w:rsid w:val="009B232E"/>
    <w:rsid w:val="009B24AE"/>
    <w:rsid w:val="009B2EB1"/>
    <w:rsid w:val="009B2ECB"/>
    <w:rsid w:val="009B30D7"/>
    <w:rsid w:val="009B37A6"/>
    <w:rsid w:val="009B3833"/>
    <w:rsid w:val="009B390F"/>
    <w:rsid w:val="009B3CB5"/>
    <w:rsid w:val="009B3EFB"/>
    <w:rsid w:val="009B3F2E"/>
    <w:rsid w:val="009B4014"/>
    <w:rsid w:val="009B4143"/>
    <w:rsid w:val="009B48C6"/>
    <w:rsid w:val="009B532E"/>
    <w:rsid w:val="009B5331"/>
    <w:rsid w:val="009B5568"/>
    <w:rsid w:val="009B59BA"/>
    <w:rsid w:val="009B5BFF"/>
    <w:rsid w:val="009B603C"/>
    <w:rsid w:val="009B62A1"/>
    <w:rsid w:val="009B634A"/>
    <w:rsid w:val="009B6568"/>
    <w:rsid w:val="009B6745"/>
    <w:rsid w:val="009B68A2"/>
    <w:rsid w:val="009B6911"/>
    <w:rsid w:val="009B6BA2"/>
    <w:rsid w:val="009B7126"/>
    <w:rsid w:val="009B7264"/>
    <w:rsid w:val="009B7370"/>
    <w:rsid w:val="009B7429"/>
    <w:rsid w:val="009B7625"/>
    <w:rsid w:val="009B765D"/>
    <w:rsid w:val="009B773A"/>
    <w:rsid w:val="009B7D7D"/>
    <w:rsid w:val="009B7E9B"/>
    <w:rsid w:val="009C008E"/>
    <w:rsid w:val="009C035E"/>
    <w:rsid w:val="009C03BC"/>
    <w:rsid w:val="009C047C"/>
    <w:rsid w:val="009C0C10"/>
    <w:rsid w:val="009C0C5E"/>
    <w:rsid w:val="009C12ED"/>
    <w:rsid w:val="009C1454"/>
    <w:rsid w:val="009C14B7"/>
    <w:rsid w:val="009C1649"/>
    <w:rsid w:val="009C1DDC"/>
    <w:rsid w:val="009C203B"/>
    <w:rsid w:val="009C28FC"/>
    <w:rsid w:val="009C2BC6"/>
    <w:rsid w:val="009C315C"/>
    <w:rsid w:val="009C31A4"/>
    <w:rsid w:val="009C3F7A"/>
    <w:rsid w:val="009C4057"/>
    <w:rsid w:val="009C417C"/>
    <w:rsid w:val="009C4190"/>
    <w:rsid w:val="009C4331"/>
    <w:rsid w:val="009C45EA"/>
    <w:rsid w:val="009C4848"/>
    <w:rsid w:val="009C4C2D"/>
    <w:rsid w:val="009C4DC9"/>
    <w:rsid w:val="009C5506"/>
    <w:rsid w:val="009C5CBE"/>
    <w:rsid w:val="009C5E4D"/>
    <w:rsid w:val="009C6B45"/>
    <w:rsid w:val="009C6E56"/>
    <w:rsid w:val="009C6F16"/>
    <w:rsid w:val="009C7123"/>
    <w:rsid w:val="009C7256"/>
    <w:rsid w:val="009C72B6"/>
    <w:rsid w:val="009C77BD"/>
    <w:rsid w:val="009C7A75"/>
    <w:rsid w:val="009C7C61"/>
    <w:rsid w:val="009C7D45"/>
    <w:rsid w:val="009C7EE7"/>
    <w:rsid w:val="009D08A8"/>
    <w:rsid w:val="009D0F7E"/>
    <w:rsid w:val="009D1773"/>
    <w:rsid w:val="009D18F3"/>
    <w:rsid w:val="009D19DE"/>
    <w:rsid w:val="009D1D3C"/>
    <w:rsid w:val="009D2254"/>
    <w:rsid w:val="009D2738"/>
    <w:rsid w:val="009D2814"/>
    <w:rsid w:val="009D2FA5"/>
    <w:rsid w:val="009D2FC5"/>
    <w:rsid w:val="009D30F5"/>
    <w:rsid w:val="009D31B7"/>
    <w:rsid w:val="009D35EF"/>
    <w:rsid w:val="009D39F0"/>
    <w:rsid w:val="009D3DCE"/>
    <w:rsid w:val="009D3F6A"/>
    <w:rsid w:val="009D4217"/>
    <w:rsid w:val="009D43E9"/>
    <w:rsid w:val="009D48BD"/>
    <w:rsid w:val="009D4AB9"/>
    <w:rsid w:val="009D5247"/>
    <w:rsid w:val="009D5520"/>
    <w:rsid w:val="009D559F"/>
    <w:rsid w:val="009D59C2"/>
    <w:rsid w:val="009D5EFA"/>
    <w:rsid w:val="009D6251"/>
    <w:rsid w:val="009D62CE"/>
    <w:rsid w:val="009D6727"/>
    <w:rsid w:val="009D6790"/>
    <w:rsid w:val="009D6B34"/>
    <w:rsid w:val="009D6CC0"/>
    <w:rsid w:val="009D710C"/>
    <w:rsid w:val="009D7544"/>
    <w:rsid w:val="009D75DD"/>
    <w:rsid w:val="009D76C9"/>
    <w:rsid w:val="009D7AD7"/>
    <w:rsid w:val="009D7B07"/>
    <w:rsid w:val="009D7B0F"/>
    <w:rsid w:val="009D7FBD"/>
    <w:rsid w:val="009D7FD6"/>
    <w:rsid w:val="009E0693"/>
    <w:rsid w:val="009E0913"/>
    <w:rsid w:val="009E09BC"/>
    <w:rsid w:val="009E1572"/>
    <w:rsid w:val="009E1B88"/>
    <w:rsid w:val="009E1E52"/>
    <w:rsid w:val="009E1F8B"/>
    <w:rsid w:val="009E1FB7"/>
    <w:rsid w:val="009E2222"/>
    <w:rsid w:val="009E32C8"/>
    <w:rsid w:val="009E32E3"/>
    <w:rsid w:val="009E342F"/>
    <w:rsid w:val="009E3689"/>
    <w:rsid w:val="009E38BD"/>
    <w:rsid w:val="009E390F"/>
    <w:rsid w:val="009E3AA6"/>
    <w:rsid w:val="009E3E35"/>
    <w:rsid w:val="009E3E55"/>
    <w:rsid w:val="009E40AF"/>
    <w:rsid w:val="009E449B"/>
    <w:rsid w:val="009E4AA6"/>
    <w:rsid w:val="009E4BE3"/>
    <w:rsid w:val="009E504A"/>
    <w:rsid w:val="009E508C"/>
    <w:rsid w:val="009E52F0"/>
    <w:rsid w:val="009E5304"/>
    <w:rsid w:val="009E5E8C"/>
    <w:rsid w:val="009E5FC1"/>
    <w:rsid w:val="009E6312"/>
    <w:rsid w:val="009E6CE2"/>
    <w:rsid w:val="009E6F93"/>
    <w:rsid w:val="009E6FCD"/>
    <w:rsid w:val="009E70D2"/>
    <w:rsid w:val="009E761E"/>
    <w:rsid w:val="009E7DE1"/>
    <w:rsid w:val="009E7E95"/>
    <w:rsid w:val="009F015B"/>
    <w:rsid w:val="009F02C0"/>
    <w:rsid w:val="009F03FF"/>
    <w:rsid w:val="009F0452"/>
    <w:rsid w:val="009F053E"/>
    <w:rsid w:val="009F08D1"/>
    <w:rsid w:val="009F0904"/>
    <w:rsid w:val="009F09F1"/>
    <w:rsid w:val="009F0A43"/>
    <w:rsid w:val="009F0C67"/>
    <w:rsid w:val="009F0DEA"/>
    <w:rsid w:val="009F0EAE"/>
    <w:rsid w:val="009F134D"/>
    <w:rsid w:val="009F1CBC"/>
    <w:rsid w:val="009F299C"/>
    <w:rsid w:val="009F2A51"/>
    <w:rsid w:val="009F2BBA"/>
    <w:rsid w:val="009F2CD0"/>
    <w:rsid w:val="009F2E06"/>
    <w:rsid w:val="009F3836"/>
    <w:rsid w:val="009F3F30"/>
    <w:rsid w:val="009F4159"/>
    <w:rsid w:val="009F435D"/>
    <w:rsid w:val="009F4444"/>
    <w:rsid w:val="009F4C68"/>
    <w:rsid w:val="009F5007"/>
    <w:rsid w:val="009F5045"/>
    <w:rsid w:val="009F5457"/>
    <w:rsid w:val="009F58D6"/>
    <w:rsid w:val="009F5A27"/>
    <w:rsid w:val="009F5A29"/>
    <w:rsid w:val="009F5F98"/>
    <w:rsid w:val="009F624B"/>
    <w:rsid w:val="009F6398"/>
    <w:rsid w:val="009F650D"/>
    <w:rsid w:val="009F6D96"/>
    <w:rsid w:val="009F6E2A"/>
    <w:rsid w:val="009F72D4"/>
    <w:rsid w:val="009F79A2"/>
    <w:rsid w:val="009F7CE9"/>
    <w:rsid w:val="009F7EE8"/>
    <w:rsid w:val="00A000DE"/>
    <w:rsid w:val="00A006CB"/>
    <w:rsid w:val="00A00BBC"/>
    <w:rsid w:val="00A00F42"/>
    <w:rsid w:val="00A00F49"/>
    <w:rsid w:val="00A013C5"/>
    <w:rsid w:val="00A014CB"/>
    <w:rsid w:val="00A017EC"/>
    <w:rsid w:val="00A0190B"/>
    <w:rsid w:val="00A01975"/>
    <w:rsid w:val="00A01A6D"/>
    <w:rsid w:val="00A02368"/>
    <w:rsid w:val="00A024A5"/>
    <w:rsid w:val="00A0282E"/>
    <w:rsid w:val="00A02898"/>
    <w:rsid w:val="00A02CC3"/>
    <w:rsid w:val="00A02E22"/>
    <w:rsid w:val="00A03126"/>
    <w:rsid w:val="00A035BE"/>
    <w:rsid w:val="00A0368B"/>
    <w:rsid w:val="00A03BE5"/>
    <w:rsid w:val="00A04461"/>
    <w:rsid w:val="00A04817"/>
    <w:rsid w:val="00A04A82"/>
    <w:rsid w:val="00A04B9B"/>
    <w:rsid w:val="00A05908"/>
    <w:rsid w:val="00A05954"/>
    <w:rsid w:val="00A05AB5"/>
    <w:rsid w:val="00A05AD6"/>
    <w:rsid w:val="00A05BAD"/>
    <w:rsid w:val="00A05E0B"/>
    <w:rsid w:val="00A05E5B"/>
    <w:rsid w:val="00A05FE4"/>
    <w:rsid w:val="00A06512"/>
    <w:rsid w:val="00A06D42"/>
    <w:rsid w:val="00A07225"/>
    <w:rsid w:val="00A0765B"/>
    <w:rsid w:val="00A07901"/>
    <w:rsid w:val="00A07913"/>
    <w:rsid w:val="00A07997"/>
    <w:rsid w:val="00A07B53"/>
    <w:rsid w:val="00A07D27"/>
    <w:rsid w:val="00A07EA0"/>
    <w:rsid w:val="00A103D9"/>
    <w:rsid w:val="00A10A6C"/>
    <w:rsid w:val="00A112B7"/>
    <w:rsid w:val="00A117FB"/>
    <w:rsid w:val="00A1184B"/>
    <w:rsid w:val="00A11A46"/>
    <w:rsid w:val="00A11C30"/>
    <w:rsid w:val="00A12009"/>
    <w:rsid w:val="00A12D8F"/>
    <w:rsid w:val="00A13095"/>
    <w:rsid w:val="00A13401"/>
    <w:rsid w:val="00A136CE"/>
    <w:rsid w:val="00A136DD"/>
    <w:rsid w:val="00A1439F"/>
    <w:rsid w:val="00A143D7"/>
    <w:rsid w:val="00A144ED"/>
    <w:rsid w:val="00A145F3"/>
    <w:rsid w:val="00A14715"/>
    <w:rsid w:val="00A14884"/>
    <w:rsid w:val="00A14E20"/>
    <w:rsid w:val="00A150F4"/>
    <w:rsid w:val="00A151F8"/>
    <w:rsid w:val="00A15265"/>
    <w:rsid w:val="00A15398"/>
    <w:rsid w:val="00A159C3"/>
    <w:rsid w:val="00A159E1"/>
    <w:rsid w:val="00A15A96"/>
    <w:rsid w:val="00A15ECB"/>
    <w:rsid w:val="00A16039"/>
    <w:rsid w:val="00A16B7E"/>
    <w:rsid w:val="00A16C72"/>
    <w:rsid w:val="00A16CEB"/>
    <w:rsid w:val="00A16D55"/>
    <w:rsid w:val="00A17630"/>
    <w:rsid w:val="00A20137"/>
    <w:rsid w:val="00A2025B"/>
    <w:rsid w:val="00A205E5"/>
    <w:rsid w:val="00A20A79"/>
    <w:rsid w:val="00A20B53"/>
    <w:rsid w:val="00A213F8"/>
    <w:rsid w:val="00A21404"/>
    <w:rsid w:val="00A218D7"/>
    <w:rsid w:val="00A219F2"/>
    <w:rsid w:val="00A21B00"/>
    <w:rsid w:val="00A21D08"/>
    <w:rsid w:val="00A22337"/>
    <w:rsid w:val="00A22A18"/>
    <w:rsid w:val="00A22CCB"/>
    <w:rsid w:val="00A22EE3"/>
    <w:rsid w:val="00A23279"/>
    <w:rsid w:val="00A236CD"/>
    <w:rsid w:val="00A238F9"/>
    <w:rsid w:val="00A24249"/>
    <w:rsid w:val="00A24318"/>
    <w:rsid w:val="00A2431D"/>
    <w:rsid w:val="00A246ED"/>
    <w:rsid w:val="00A2483F"/>
    <w:rsid w:val="00A253DB"/>
    <w:rsid w:val="00A253F6"/>
    <w:rsid w:val="00A25989"/>
    <w:rsid w:val="00A25AE1"/>
    <w:rsid w:val="00A25D58"/>
    <w:rsid w:val="00A25FE5"/>
    <w:rsid w:val="00A26149"/>
    <w:rsid w:val="00A261B4"/>
    <w:rsid w:val="00A266BF"/>
    <w:rsid w:val="00A26A3D"/>
    <w:rsid w:val="00A26D9B"/>
    <w:rsid w:val="00A273FA"/>
    <w:rsid w:val="00A27AF0"/>
    <w:rsid w:val="00A30265"/>
    <w:rsid w:val="00A3093B"/>
    <w:rsid w:val="00A3124A"/>
    <w:rsid w:val="00A317AA"/>
    <w:rsid w:val="00A31E07"/>
    <w:rsid w:val="00A31FEE"/>
    <w:rsid w:val="00A32092"/>
    <w:rsid w:val="00A321F1"/>
    <w:rsid w:val="00A326DB"/>
    <w:rsid w:val="00A327D2"/>
    <w:rsid w:val="00A32CBE"/>
    <w:rsid w:val="00A32D89"/>
    <w:rsid w:val="00A3336D"/>
    <w:rsid w:val="00A336DF"/>
    <w:rsid w:val="00A33ED6"/>
    <w:rsid w:val="00A3435A"/>
    <w:rsid w:val="00A3469D"/>
    <w:rsid w:val="00A347AD"/>
    <w:rsid w:val="00A34DD1"/>
    <w:rsid w:val="00A34F10"/>
    <w:rsid w:val="00A350B9"/>
    <w:rsid w:val="00A35301"/>
    <w:rsid w:val="00A35B9C"/>
    <w:rsid w:val="00A3626F"/>
    <w:rsid w:val="00A366CA"/>
    <w:rsid w:val="00A36A36"/>
    <w:rsid w:val="00A36FD1"/>
    <w:rsid w:val="00A3700E"/>
    <w:rsid w:val="00A37209"/>
    <w:rsid w:val="00A37374"/>
    <w:rsid w:val="00A3746B"/>
    <w:rsid w:val="00A377D5"/>
    <w:rsid w:val="00A379A7"/>
    <w:rsid w:val="00A37B6C"/>
    <w:rsid w:val="00A37DA5"/>
    <w:rsid w:val="00A4013B"/>
    <w:rsid w:val="00A403E5"/>
    <w:rsid w:val="00A407DB"/>
    <w:rsid w:val="00A40EF2"/>
    <w:rsid w:val="00A41316"/>
    <w:rsid w:val="00A41350"/>
    <w:rsid w:val="00A414ED"/>
    <w:rsid w:val="00A417A0"/>
    <w:rsid w:val="00A41EB3"/>
    <w:rsid w:val="00A41F8A"/>
    <w:rsid w:val="00A42049"/>
    <w:rsid w:val="00A422D3"/>
    <w:rsid w:val="00A4255E"/>
    <w:rsid w:val="00A42961"/>
    <w:rsid w:val="00A42B24"/>
    <w:rsid w:val="00A433F7"/>
    <w:rsid w:val="00A43407"/>
    <w:rsid w:val="00A43550"/>
    <w:rsid w:val="00A436A7"/>
    <w:rsid w:val="00A4372B"/>
    <w:rsid w:val="00A43AE8"/>
    <w:rsid w:val="00A43C3B"/>
    <w:rsid w:val="00A43F92"/>
    <w:rsid w:val="00A444E6"/>
    <w:rsid w:val="00A4497A"/>
    <w:rsid w:val="00A4523B"/>
    <w:rsid w:val="00A455C3"/>
    <w:rsid w:val="00A45BB1"/>
    <w:rsid w:val="00A45CD4"/>
    <w:rsid w:val="00A45CE5"/>
    <w:rsid w:val="00A461C1"/>
    <w:rsid w:val="00A46257"/>
    <w:rsid w:val="00A46986"/>
    <w:rsid w:val="00A46AE5"/>
    <w:rsid w:val="00A4744F"/>
    <w:rsid w:val="00A4773E"/>
    <w:rsid w:val="00A47BAD"/>
    <w:rsid w:val="00A47C7B"/>
    <w:rsid w:val="00A50014"/>
    <w:rsid w:val="00A505CC"/>
    <w:rsid w:val="00A50601"/>
    <w:rsid w:val="00A50984"/>
    <w:rsid w:val="00A509CE"/>
    <w:rsid w:val="00A50A5A"/>
    <w:rsid w:val="00A50BD2"/>
    <w:rsid w:val="00A50C17"/>
    <w:rsid w:val="00A5119F"/>
    <w:rsid w:val="00A515ED"/>
    <w:rsid w:val="00A517C6"/>
    <w:rsid w:val="00A517C7"/>
    <w:rsid w:val="00A51898"/>
    <w:rsid w:val="00A5211B"/>
    <w:rsid w:val="00A52160"/>
    <w:rsid w:val="00A5298E"/>
    <w:rsid w:val="00A52A33"/>
    <w:rsid w:val="00A5317B"/>
    <w:rsid w:val="00A5325F"/>
    <w:rsid w:val="00A53784"/>
    <w:rsid w:val="00A53B15"/>
    <w:rsid w:val="00A53CE7"/>
    <w:rsid w:val="00A53E57"/>
    <w:rsid w:val="00A5444F"/>
    <w:rsid w:val="00A54510"/>
    <w:rsid w:val="00A546C2"/>
    <w:rsid w:val="00A5588A"/>
    <w:rsid w:val="00A55D27"/>
    <w:rsid w:val="00A56391"/>
    <w:rsid w:val="00A564A5"/>
    <w:rsid w:val="00A56DB2"/>
    <w:rsid w:val="00A56E04"/>
    <w:rsid w:val="00A56FDB"/>
    <w:rsid w:val="00A5712D"/>
    <w:rsid w:val="00A5726E"/>
    <w:rsid w:val="00A575B6"/>
    <w:rsid w:val="00A57B72"/>
    <w:rsid w:val="00A57E35"/>
    <w:rsid w:val="00A57FA5"/>
    <w:rsid w:val="00A57FCA"/>
    <w:rsid w:val="00A6075C"/>
    <w:rsid w:val="00A60CCC"/>
    <w:rsid w:val="00A61127"/>
    <w:rsid w:val="00A61153"/>
    <w:rsid w:val="00A612E0"/>
    <w:rsid w:val="00A614A2"/>
    <w:rsid w:val="00A615EF"/>
    <w:rsid w:val="00A618CF"/>
    <w:rsid w:val="00A61A96"/>
    <w:rsid w:val="00A61B74"/>
    <w:rsid w:val="00A61C98"/>
    <w:rsid w:val="00A61CB9"/>
    <w:rsid w:val="00A625B7"/>
    <w:rsid w:val="00A62929"/>
    <w:rsid w:val="00A62CC2"/>
    <w:rsid w:val="00A62DAA"/>
    <w:rsid w:val="00A634EC"/>
    <w:rsid w:val="00A63718"/>
    <w:rsid w:val="00A63E84"/>
    <w:rsid w:val="00A6408E"/>
    <w:rsid w:val="00A640A8"/>
    <w:rsid w:val="00A641B1"/>
    <w:rsid w:val="00A64DAF"/>
    <w:rsid w:val="00A656BA"/>
    <w:rsid w:val="00A658EB"/>
    <w:rsid w:val="00A6591A"/>
    <w:rsid w:val="00A65EBF"/>
    <w:rsid w:val="00A65F85"/>
    <w:rsid w:val="00A666CC"/>
    <w:rsid w:val="00A66E7C"/>
    <w:rsid w:val="00A66F33"/>
    <w:rsid w:val="00A66F9A"/>
    <w:rsid w:val="00A67236"/>
    <w:rsid w:val="00A675ED"/>
    <w:rsid w:val="00A67706"/>
    <w:rsid w:val="00A67B36"/>
    <w:rsid w:val="00A67DB0"/>
    <w:rsid w:val="00A70015"/>
    <w:rsid w:val="00A708E2"/>
    <w:rsid w:val="00A709AB"/>
    <w:rsid w:val="00A70F28"/>
    <w:rsid w:val="00A70F5C"/>
    <w:rsid w:val="00A710DA"/>
    <w:rsid w:val="00A71106"/>
    <w:rsid w:val="00A716F7"/>
    <w:rsid w:val="00A71BEC"/>
    <w:rsid w:val="00A71C89"/>
    <w:rsid w:val="00A71F87"/>
    <w:rsid w:val="00A72976"/>
    <w:rsid w:val="00A72BCB"/>
    <w:rsid w:val="00A72D67"/>
    <w:rsid w:val="00A730BA"/>
    <w:rsid w:val="00A73202"/>
    <w:rsid w:val="00A733CB"/>
    <w:rsid w:val="00A73534"/>
    <w:rsid w:val="00A73BE3"/>
    <w:rsid w:val="00A73F85"/>
    <w:rsid w:val="00A73FCF"/>
    <w:rsid w:val="00A74316"/>
    <w:rsid w:val="00A7466D"/>
    <w:rsid w:val="00A7468B"/>
    <w:rsid w:val="00A74C5F"/>
    <w:rsid w:val="00A74C6A"/>
    <w:rsid w:val="00A74C7E"/>
    <w:rsid w:val="00A7518C"/>
    <w:rsid w:val="00A759EA"/>
    <w:rsid w:val="00A75EBF"/>
    <w:rsid w:val="00A76529"/>
    <w:rsid w:val="00A76B79"/>
    <w:rsid w:val="00A772C8"/>
    <w:rsid w:val="00A7732F"/>
    <w:rsid w:val="00A779B6"/>
    <w:rsid w:val="00A77A4E"/>
    <w:rsid w:val="00A77D3C"/>
    <w:rsid w:val="00A77D70"/>
    <w:rsid w:val="00A803D1"/>
    <w:rsid w:val="00A80557"/>
    <w:rsid w:val="00A8067A"/>
    <w:rsid w:val="00A80866"/>
    <w:rsid w:val="00A81972"/>
    <w:rsid w:val="00A81AB4"/>
    <w:rsid w:val="00A81ECD"/>
    <w:rsid w:val="00A81F73"/>
    <w:rsid w:val="00A82481"/>
    <w:rsid w:val="00A82512"/>
    <w:rsid w:val="00A82846"/>
    <w:rsid w:val="00A82BBA"/>
    <w:rsid w:val="00A82C72"/>
    <w:rsid w:val="00A82D35"/>
    <w:rsid w:val="00A8302B"/>
    <w:rsid w:val="00A8424C"/>
    <w:rsid w:val="00A84433"/>
    <w:rsid w:val="00A84956"/>
    <w:rsid w:val="00A84DA6"/>
    <w:rsid w:val="00A84E0F"/>
    <w:rsid w:val="00A8512B"/>
    <w:rsid w:val="00A858C6"/>
    <w:rsid w:val="00A85BCC"/>
    <w:rsid w:val="00A85FC6"/>
    <w:rsid w:val="00A8667C"/>
    <w:rsid w:val="00A86C25"/>
    <w:rsid w:val="00A86DDE"/>
    <w:rsid w:val="00A86E67"/>
    <w:rsid w:val="00A86F54"/>
    <w:rsid w:val="00A871B3"/>
    <w:rsid w:val="00A87515"/>
    <w:rsid w:val="00A876BA"/>
    <w:rsid w:val="00A8781A"/>
    <w:rsid w:val="00A8785D"/>
    <w:rsid w:val="00A87CB2"/>
    <w:rsid w:val="00A90284"/>
    <w:rsid w:val="00A904AA"/>
    <w:rsid w:val="00A906DA"/>
    <w:rsid w:val="00A907A7"/>
    <w:rsid w:val="00A91996"/>
    <w:rsid w:val="00A92072"/>
    <w:rsid w:val="00A92216"/>
    <w:rsid w:val="00A9231B"/>
    <w:rsid w:val="00A929B8"/>
    <w:rsid w:val="00A93048"/>
    <w:rsid w:val="00A9357A"/>
    <w:rsid w:val="00A93C57"/>
    <w:rsid w:val="00A93D21"/>
    <w:rsid w:val="00A94526"/>
    <w:rsid w:val="00A95156"/>
    <w:rsid w:val="00A95230"/>
    <w:rsid w:val="00A95238"/>
    <w:rsid w:val="00A954BF"/>
    <w:rsid w:val="00A954D5"/>
    <w:rsid w:val="00A95A0F"/>
    <w:rsid w:val="00A96395"/>
    <w:rsid w:val="00A9648D"/>
    <w:rsid w:val="00A9746D"/>
    <w:rsid w:val="00A978F7"/>
    <w:rsid w:val="00A97ADF"/>
    <w:rsid w:val="00AA0292"/>
    <w:rsid w:val="00AA02C8"/>
    <w:rsid w:val="00AA0A5D"/>
    <w:rsid w:val="00AA1566"/>
    <w:rsid w:val="00AA15EE"/>
    <w:rsid w:val="00AA1AFF"/>
    <w:rsid w:val="00AA1C0D"/>
    <w:rsid w:val="00AA1E65"/>
    <w:rsid w:val="00AA1F20"/>
    <w:rsid w:val="00AA1FDC"/>
    <w:rsid w:val="00AA2209"/>
    <w:rsid w:val="00AA24FA"/>
    <w:rsid w:val="00AA256B"/>
    <w:rsid w:val="00AA2586"/>
    <w:rsid w:val="00AA276E"/>
    <w:rsid w:val="00AA2979"/>
    <w:rsid w:val="00AA2CD7"/>
    <w:rsid w:val="00AA2D75"/>
    <w:rsid w:val="00AA3612"/>
    <w:rsid w:val="00AA38E5"/>
    <w:rsid w:val="00AA3D8C"/>
    <w:rsid w:val="00AA3DC5"/>
    <w:rsid w:val="00AA3FD2"/>
    <w:rsid w:val="00AA4047"/>
    <w:rsid w:val="00AA4381"/>
    <w:rsid w:val="00AA4C8E"/>
    <w:rsid w:val="00AA4CFD"/>
    <w:rsid w:val="00AA4D6C"/>
    <w:rsid w:val="00AA515D"/>
    <w:rsid w:val="00AA547C"/>
    <w:rsid w:val="00AA58D8"/>
    <w:rsid w:val="00AA5913"/>
    <w:rsid w:val="00AA5A73"/>
    <w:rsid w:val="00AA6043"/>
    <w:rsid w:val="00AA60FE"/>
    <w:rsid w:val="00AA6499"/>
    <w:rsid w:val="00AA6610"/>
    <w:rsid w:val="00AA6AC3"/>
    <w:rsid w:val="00AA6E2F"/>
    <w:rsid w:val="00AA6F53"/>
    <w:rsid w:val="00AA6FE3"/>
    <w:rsid w:val="00AA7146"/>
    <w:rsid w:val="00AA7344"/>
    <w:rsid w:val="00AA7382"/>
    <w:rsid w:val="00AA748E"/>
    <w:rsid w:val="00AA778D"/>
    <w:rsid w:val="00AA78C5"/>
    <w:rsid w:val="00AA7B9B"/>
    <w:rsid w:val="00AA7F51"/>
    <w:rsid w:val="00AA7F7B"/>
    <w:rsid w:val="00AA7FB5"/>
    <w:rsid w:val="00AB022F"/>
    <w:rsid w:val="00AB0D78"/>
    <w:rsid w:val="00AB0FF5"/>
    <w:rsid w:val="00AB1624"/>
    <w:rsid w:val="00AB1F9E"/>
    <w:rsid w:val="00AB281F"/>
    <w:rsid w:val="00AB2862"/>
    <w:rsid w:val="00AB28DC"/>
    <w:rsid w:val="00AB293E"/>
    <w:rsid w:val="00AB2A01"/>
    <w:rsid w:val="00AB2F36"/>
    <w:rsid w:val="00AB338E"/>
    <w:rsid w:val="00AB33FF"/>
    <w:rsid w:val="00AB3628"/>
    <w:rsid w:val="00AB372E"/>
    <w:rsid w:val="00AB3C76"/>
    <w:rsid w:val="00AB3D73"/>
    <w:rsid w:val="00AB4268"/>
    <w:rsid w:val="00AB44BB"/>
    <w:rsid w:val="00AB4731"/>
    <w:rsid w:val="00AB478F"/>
    <w:rsid w:val="00AB47BC"/>
    <w:rsid w:val="00AB493F"/>
    <w:rsid w:val="00AB4C09"/>
    <w:rsid w:val="00AB4DED"/>
    <w:rsid w:val="00AB5295"/>
    <w:rsid w:val="00AB58CC"/>
    <w:rsid w:val="00AB5ED5"/>
    <w:rsid w:val="00AB5F2C"/>
    <w:rsid w:val="00AB61EF"/>
    <w:rsid w:val="00AB6496"/>
    <w:rsid w:val="00AB649F"/>
    <w:rsid w:val="00AB6857"/>
    <w:rsid w:val="00AB6918"/>
    <w:rsid w:val="00AB6D3E"/>
    <w:rsid w:val="00AB6E50"/>
    <w:rsid w:val="00AB6EE8"/>
    <w:rsid w:val="00AB7161"/>
    <w:rsid w:val="00AB7617"/>
    <w:rsid w:val="00AB7A71"/>
    <w:rsid w:val="00AB7CD4"/>
    <w:rsid w:val="00AC026E"/>
    <w:rsid w:val="00AC079C"/>
    <w:rsid w:val="00AC084B"/>
    <w:rsid w:val="00AC0C60"/>
    <w:rsid w:val="00AC0F50"/>
    <w:rsid w:val="00AC0FCB"/>
    <w:rsid w:val="00AC129A"/>
    <w:rsid w:val="00AC145B"/>
    <w:rsid w:val="00AC1616"/>
    <w:rsid w:val="00AC1CF1"/>
    <w:rsid w:val="00AC1D72"/>
    <w:rsid w:val="00AC1E89"/>
    <w:rsid w:val="00AC20B0"/>
    <w:rsid w:val="00AC20D1"/>
    <w:rsid w:val="00AC21D8"/>
    <w:rsid w:val="00AC23C4"/>
    <w:rsid w:val="00AC2806"/>
    <w:rsid w:val="00AC28F6"/>
    <w:rsid w:val="00AC2FD7"/>
    <w:rsid w:val="00AC31FF"/>
    <w:rsid w:val="00AC325A"/>
    <w:rsid w:val="00AC3340"/>
    <w:rsid w:val="00AC390F"/>
    <w:rsid w:val="00AC3BEF"/>
    <w:rsid w:val="00AC3E02"/>
    <w:rsid w:val="00AC3E54"/>
    <w:rsid w:val="00AC4168"/>
    <w:rsid w:val="00AC423D"/>
    <w:rsid w:val="00AC42E0"/>
    <w:rsid w:val="00AC45D4"/>
    <w:rsid w:val="00AC4729"/>
    <w:rsid w:val="00AC4D42"/>
    <w:rsid w:val="00AC5266"/>
    <w:rsid w:val="00AC5317"/>
    <w:rsid w:val="00AC537B"/>
    <w:rsid w:val="00AC59E4"/>
    <w:rsid w:val="00AC5A6E"/>
    <w:rsid w:val="00AC5E70"/>
    <w:rsid w:val="00AC5FA1"/>
    <w:rsid w:val="00AC617D"/>
    <w:rsid w:val="00AC64ED"/>
    <w:rsid w:val="00AC6961"/>
    <w:rsid w:val="00AC6A30"/>
    <w:rsid w:val="00AC6BF1"/>
    <w:rsid w:val="00AC718B"/>
    <w:rsid w:val="00AC7307"/>
    <w:rsid w:val="00AC7491"/>
    <w:rsid w:val="00AC77AB"/>
    <w:rsid w:val="00AC78A2"/>
    <w:rsid w:val="00AD03A9"/>
    <w:rsid w:val="00AD0442"/>
    <w:rsid w:val="00AD05CF"/>
    <w:rsid w:val="00AD07E3"/>
    <w:rsid w:val="00AD0830"/>
    <w:rsid w:val="00AD0B6B"/>
    <w:rsid w:val="00AD13F7"/>
    <w:rsid w:val="00AD1436"/>
    <w:rsid w:val="00AD18DB"/>
    <w:rsid w:val="00AD191C"/>
    <w:rsid w:val="00AD1C7E"/>
    <w:rsid w:val="00AD1DC3"/>
    <w:rsid w:val="00AD1E06"/>
    <w:rsid w:val="00AD1F59"/>
    <w:rsid w:val="00AD20FE"/>
    <w:rsid w:val="00AD23F2"/>
    <w:rsid w:val="00AD269D"/>
    <w:rsid w:val="00AD2AB7"/>
    <w:rsid w:val="00AD2B31"/>
    <w:rsid w:val="00AD2E8A"/>
    <w:rsid w:val="00AD32FF"/>
    <w:rsid w:val="00AD34C0"/>
    <w:rsid w:val="00AD39AC"/>
    <w:rsid w:val="00AD3BD0"/>
    <w:rsid w:val="00AD3EAA"/>
    <w:rsid w:val="00AD402C"/>
    <w:rsid w:val="00AD44CE"/>
    <w:rsid w:val="00AD457C"/>
    <w:rsid w:val="00AD4ABA"/>
    <w:rsid w:val="00AD4AE0"/>
    <w:rsid w:val="00AD4B62"/>
    <w:rsid w:val="00AD4CFC"/>
    <w:rsid w:val="00AD4F46"/>
    <w:rsid w:val="00AD50A4"/>
    <w:rsid w:val="00AD5126"/>
    <w:rsid w:val="00AD56B7"/>
    <w:rsid w:val="00AD5B60"/>
    <w:rsid w:val="00AD5D40"/>
    <w:rsid w:val="00AD5F2A"/>
    <w:rsid w:val="00AD6034"/>
    <w:rsid w:val="00AD6176"/>
    <w:rsid w:val="00AD63A8"/>
    <w:rsid w:val="00AD64BC"/>
    <w:rsid w:val="00AD6529"/>
    <w:rsid w:val="00AD654F"/>
    <w:rsid w:val="00AD6931"/>
    <w:rsid w:val="00AD6EF5"/>
    <w:rsid w:val="00AD7590"/>
    <w:rsid w:val="00AD7A22"/>
    <w:rsid w:val="00AD7B75"/>
    <w:rsid w:val="00AD7D0D"/>
    <w:rsid w:val="00AE0841"/>
    <w:rsid w:val="00AE0919"/>
    <w:rsid w:val="00AE0A4B"/>
    <w:rsid w:val="00AE12B0"/>
    <w:rsid w:val="00AE1633"/>
    <w:rsid w:val="00AE16AC"/>
    <w:rsid w:val="00AE1785"/>
    <w:rsid w:val="00AE1CF4"/>
    <w:rsid w:val="00AE1D6E"/>
    <w:rsid w:val="00AE225A"/>
    <w:rsid w:val="00AE2623"/>
    <w:rsid w:val="00AE283E"/>
    <w:rsid w:val="00AE2C6B"/>
    <w:rsid w:val="00AE3205"/>
    <w:rsid w:val="00AE36F2"/>
    <w:rsid w:val="00AE392A"/>
    <w:rsid w:val="00AE3AD2"/>
    <w:rsid w:val="00AE3B28"/>
    <w:rsid w:val="00AE4180"/>
    <w:rsid w:val="00AE43A7"/>
    <w:rsid w:val="00AE481D"/>
    <w:rsid w:val="00AE4B04"/>
    <w:rsid w:val="00AE4C57"/>
    <w:rsid w:val="00AE4F56"/>
    <w:rsid w:val="00AE4FC7"/>
    <w:rsid w:val="00AE5112"/>
    <w:rsid w:val="00AE524D"/>
    <w:rsid w:val="00AE52E9"/>
    <w:rsid w:val="00AE5886"/>
    <w:rsid w:val="00AE599A"/>
    <w:rsid w:val="00AE5A05"/>
    <w:rsid w:val="00AE5F08"/>
    <w:rsid w:val="00AE5F41"/>
    <w:rsid w:val="00AE65FC"/>
    <w:rsid w:val="00AE67A5"/>
    <w:rsid w:val="00AE6B82"/>
    <w:rsid w:val="00AE6F26"/>
    <w:rsid w:val="00AE7342"/>
    <w:rsid w:val="00AE763D"/>
    <w:rsid w:val="00AE780C"/>
    <w:rsid w:val="00AE7CA3"/>
    <w:rsid w:val="00AE7D3D"/>
    <w:rsid w:val="00AE7F3F"/>
    <w:rsid w:val="00AF03CF"/>
    <w:rsid w:val="00AF06DE"/>
    <w:rsid w:val="00AF095A"/>
    <w:rsid w:val="00AF09CA"/>
    <w:rsid w:val="00AF0C99"/>
    <w:rsid w:val="00AF0EED"/>
    <w:rsid w:val="00AF14A7"/>
    <w:rsid w:val="00AF1884"/>
    <w:rsid w:val="00AF1B66"/>
    <w:rsid w:val="00AF1B92"/>
    <w:rsid w:val="00AF222C"/>
    <w:rsid w:val="00AF26CC"/>
    <w:rsid w:val="00AF2ADD"/>
    <w:rsid w:val="00AF2B89"/>
    <w:rsid w:val="00AF30BE"/>
    <w:rsid w:val="00AF361C"/>
    <w:rsid w:val="00AF3A2C"/>
    <w:rsid w:val="00AF3B6E"/>
    <w:rsid w:val="00AF42BD"/>
    <w:rsid w:val="00AF42E1"/>
    <w:rsid w:val="00AF4541"/>
    <w:rsid w:val="00AF47B0"/>
    <w:rsid w:val="00AF4953"/>
    <w:rsid w:val="00AF4B7B"/>
    <w:rsid w:val="00AF4C89"/>
    <w:rsid w:val="00AF4DBE"/>
    <w:rsid w:val="00AF5469"/>
    <w:rsid w:val="00AF559F"/>
    <w:rsid w:val="00AF61F0"/>
    <w:rsid w:val="00AF6248"/>
    <w:rsid w:val="00AF62E2"/>
    <w:rsid w:val="00AF66A2"/>
    <w:rsid w:val="00AF6EBF"/>
    <w:rsid w:val="00AF6ED2"/>
    <w:rsid w:val="00AF7051"/>
    <w:rsid w:val="00AF7057"/>
    <w:rsid w:val="00AF755F"/>
    <w:rsid w:val="00AF7D89"/>
    <w:rsid w:val="00AF7DF6"/>
    <w:rsid w:val="00B00249"/>
    <w:rsid w:val="00B003A5"/>
    <w:rsid w:val="00B003B8"/>
    <w:rsid w:val="00B00483"/>
    <w:rsid w:val="00B006F6"/>
    <w:rsid w:val="00B00B9C"/>
    <w:rsid w:val="00B00DE4"/>
    <w:rsid w:val="00B00E07"/>
    <w:rsid w:val="00B0117A"/>
    <w:rsid w:val="00B019B8"/>
    <w:rsid w:val="00B01B92"/>
    <w:rsid w:val="00B01D0A"/>
    <w:rsid w:val="00B01D3D"/>
    <w:rsid w:val="00B01D7D"/>
    <w:rsid w:val="00B020E6"/>
    <w:rsid w:val="00B02199"/>
    <w:rsid w:val="00B0227E"/>
    <w:rsid w:val="00B02382"/>
    <w:rsid w:val="00B02A29"/>
    <w:rsid w:val="00B02AC7"/>
    <w:rsid w:val="00B02D86"/>
    <w:rsid w:val="00B02F5F"/>
    <w:rsid w:val="00B03495"/>
    <w:rsid w:val="00B0358D"/>
    <w:rsid w:val="00B035C5"/>
    <w:rsid w:val="00B0375D"/>
    <w:rsid w:val="00B03E11"/>
    <w:rsid w:val="00B03FC1"/>
    <w:rsid w:val="00B041AB"/>
    <w:rsid w:val="00B04248"/>
    <w:rsid w:val="00B04368"/>
    <w:rsid w:val="00B04667"/>
    <w:rsid w:val="00B049AC"/>
    <w:rsid w:val="00B04A07"/>
    <w:rsid w:val="00B04C57"/>
    <w:rsid w:val="00B0504C"/>
    <w:rsid w:val="00B0513D"/>
    <w:rsid w:val="00B0532E"/>
    <w:rsid w:val="00B0546A"/>
    <w:rsid w:val="00B05505"/>
    <w:rsid w:val="00B05693"/>
    <w:rsid w:val="00B0589D"/>
    <w:rsid w:val="00B05907"/>
    <w:rsid w:val="00B0594F"/>
    <w:rsid w:val="00B05B63"/>
    <w:rsid w:val="00B05C26"/>
    <w:rsid w:val="00B0648A"/>
    <w:rsid w:val="00B066FB"/>
    <w:rsid w:val="00B06B43"/>
    <w:rsid w:val="00B06D5A"/>
    <w:rsid w:val="00B06D6B"/>
    <w:rsid w:val="00B07231"/>
    <w:rsid w:val="00B0748F"/>
    <w:rsid w:val="00B075FF"/>
    <w:rsid w:val="00B10488"/>
    <w:rsid w:val="00B106B3"/>
    <w:rsid w:val="00B10DC4"/>
    <w:rsid w:val="00B10FA6"/>
    <w:rsid w:val="00B11162"/>
    <w:rsid w:val="00B11329"/>
    <w:rsid w:val="00B116E8"/>
    <w:rsid w:val="00B119B6"/>
    <w:rsid w:val="00B11F4F"/>
    <w:rsid w:val="00B128E2"/>
    <w:rsid w:val="00B132E2"/>
    <w:rsid w:val="00B13313"/>
    <w:rsid w:val="00B14882"/>
    <w:rsid w:val="00B14918"/>
    <w:rsid w:val="00B14C39"/>
    <w:rsid w:val="00B14C7C"/>
    <w:rsid w:val="00B14DA9"/>
    <w:rsid w:val="00B154FE"/>
    <w:rsid w:val="00B15A61"/>
    <w:rsid w:val="00B1654E"/>
    <w:rsid w:val="00B166D7"/>
    <w:rsid w:val="00B169B4"/>
    <w:rsid w:val="00B16C2C"/>
    <w:rsid w:val="00B178E9"/>
    <w:rsid w:val="00B17C3C"/>
    <w:rsid w:val="00B17C6A"/>
    <w:rsid w:val="00B17CF2"/>
    <w:rsid w:val="00B17D22"/>
    <w:rsid w:val="00B17DF9"/>
    <w:rsid w:val="00B201DA"/>
    <w:rsid w:val="00B20234"/>
    <w:rsid w:val="00B20296"/>
    <w:rsid w:val="00B20CA6"/>
    <w:rsid w:val="00B20FC7"/>
    <w:rsid w:val="00B2105F"/>
    <w:rsid w:val="00B210A5"/>
    <w:rsid w:val="00B21315"/>
    <w:rsid w:val="00B21410"/>
    <w:rsid w:val="00B21973"/>
    <w:rsid w:val="00B21A21"/>
    <w:rsid w:val="00B21ABE"/>
    <w:rsid w:val="00B21B12"/>
    <w:rsid w:val="00B21BD9"/>
    <w:rsid w:val="00B21C01"/>
    <w:rsid w:val="00B22672"/>
    <w:rsid w:val="00B2295D"/>
    <w:rsid w:val="00B229E2"/>
    <w:rsid w:val="00B23095"/>
    <w:rsid w:val="00B231B3"/>
    <w:rsid w:val="00B23260"/>
    <w:rsid w:val="00B2350B"/>
    <w:rsid w:val="00B237BC"/>
    <w:rsid w:val="00B237CF"/>
    <w:rsid w:val="00B23BFF"/>
    <w:rsid w:val="00B23C39"/>
    <w:rsid w:val="00B24350"/>
    <w:rsid w:val="00B2448A"/>
    <w:rsid w:val="00B2451B"/>
    <w:rsid w:val="00B2463A"/>
    <w:rsid w:val="00B2480C"/>
    <w:rsid w:val="00B24EE6"/>
    <w:rsid w:val="00B252DB"/>
    <w:rsid w:val="00B2551F"/>
    <w:rsid w:val="00B255DC"/>
    <w:rsid w:val="00B25850"/>
    <w:rsid w:val="00B25A1C"/>
    <w:rsid w:val="00B25B64"/>
    <w:rsid w:val="00B25FE8"/>
    <w:rsid w:val="00B2611A"/>
    <w:rsid w:val="00B26266"/>
    <w:rsid w:val="00B26A1C"/>
    <w:rsid w:val="00B26AA6"/>
    <w:rsid w:val="00B272AF"/>
    <w:rsid w:val="00B2746C"/>
    <w:rsid w:val="00B27AF7"/>
    <w:rsid w:val="00B27B03"/>
    <w:rsid w:val="00B27B69"/>
    <w:rsid w:val="00B27E3B"/>
    <w:rsid w:val="00B3009F"/>
    <w:rsid w:val="00B302B1"/>
    <w:rsid w:val="00B3030A"/>
    <w:rsid w:val="00B30832"/>
    <w:rsid w:val="00B30D51"/>
    <w:rsid w:val="00B30FFA"/>
    <w:rsid w:val="00B3125B"/>
    <w:rsid w:val="00B31ABD"/>
    <w:rsid w:val="00B3214C"/>
    <w:rsid w:val="00B3258C"/>
    <w:rsid w:val="00B328B6"/>
    <w:rsid w:val="00B32932"/>
    <w:rsid w:val="00B336A9"/>
    <w:rsid w:val="00B336C7"/>
    <w:rsid w:val="00B33738"/>
    <w:rsid w:val="00B33744"/>
    <w:rsid w:val="00B3387E"/>
    <w:rsid w:val="00B33B75"/>
    <w:rsid w:val="00B34114"/>
    <w:rsid w:val="00B3432C"/>
    <w:rsid w:val="00B3486F"/>
    <w:rsid w:val="00B35303"/>
    <w:rsid w:val="00B36136"/>
    <w:rsid w:val="00B366EB"/>
    <w:rsid w:val="00B36730"/>
    <w:rsid w:val="00B368C3"/>
    <w:rsid w:val="00B368D6"/>
    <w:rsid w:val="00B368F9"/>
    <w:rsid w:val="00B36B11"/>
    <w:rsid w:val="00B36D8E"/>
    <w:rsid w:val="00B36FCD"/>
    <w:rsid w:val="00B37107"/>
    <w:rsid w:val="00B371A5"/>
    <w:rsid w:val="00B37222"/>
    <w:rsid w:val="00B37386"/>
    <w:rsid w:val="00B376A5"/>
    <w:rsid w:val="00B3775B"/>
    <w:rsid w:val="00B37AB3"/>
    <w:rsid w:val="00B37DAD"/>
    <w:rsid w:val="00B404FC"/>
    <w:rsid w:val="00B40606"/>
    <w:rsid w:val="00B40775"/>
    <w:rsid w:val="00B4088F"/>
    <w:rsid w:val="00B40925"/>
    <w:rsid w:val="00B409AE"/>
    <w:rsid w:val="00B40A5E"/>
    <w:rsid w:val="00B41131"/>
    <w:rsid w:val="00B412E1"/>
    <w:rsid w:val="00B418DD"/>
    <w:rsid w:val="00B41D42"/>
    <w:rsid w:val="00B41DE7"/>
    <w:rsid w:val="00B41E16"/>
    <w:rsid w:val="00B42105"/>
    <w:rsid w:val="00B424D7"/>
    <w:rsid w:val="00B42BD8"/>
    <w:rsid w:val="00B42BE8"/>
    <w:rsid w:val="00B43014"/>
    <w:rsid w:val="00B43141"/>
    <w:rsid w:val="00B43490"/>
    <w:rsid w:val="00B43749"/>
    <w:rsid w:val="00B4391D"/>
    <w:rsid w:val="00B43D2C"/>
    <w:rsid w:val="00B43F95"/>
    <w:rsid w:val="00B44CAF"/>
    <w:rsid w:val="00B450F5"/>
    <w:rsid w:val="00B4560F"/>
    <w:rsid w:val="00B4563E"/>
    <w:rsid w:val="00B45AAD"/>
    <w:rsid w:val="00B45C32"/>
    <w:rsid w:val="00B45C3C"/>
    <w:rsid w:val="00B46266"/>
    <w:rsid w:val="00B4689B"/>
    <w:rsid w:val="00B46DE8"/>
    <w:rsid w:val="00B473AA"/>
    <w:rsid w:val="00B506B8"/>
    <w:rsid w:val="00B50A01"/>
    <w:rsid w:val="00B50A16"/>
    <w:rsid w:val="00B50A91"/>
    <w:rsid w:val="00B50C5D"/>
    <w:rsid w:val="00B50F1E"/>
    <w:rsid w:val="00B51140"/>
    <w:rsid w:val="00B511FE"/>
    <w:rsid w:val="00B5192A"/>
    <w:rsid w:val="00B51BF2"/>
    <w:rsid w:val="00B51E2E"/>
    <w:rsid w:val="00B52E4D"/>
    <w:rsid w:val="00B53880"/>
    <w:rsid w:val="00B53B36"/>
    <w:rsid w:val="00B53BDC"/>
    <w:rsid w:val="00B53E1C"/>
    <w:rsid w:val="00B53E45"/>
    <w:rsid w:val="00B53FF1"/>
    <w:rsid w:val="00B54263"/>
    <w:rsid w:val="00B546F0"/>
    <w:rsid w:val="00B54AA1"/>
    <w:rsid w:val="00B54C38"/>
    <w:rsid w:val="00B54E0B"/>
    <w:rsid w:val="00B54E46"/>
    <w:rsid w:val="00B54FAD"/>
    <w:rsid w:val="00B54FEC"/>
    <w:rsid w:val="00B55144"/>
    <w:rsid w:val="00B55780"/>
    <w:rsid w:val="00B55FD5"/>
    <w:rsid w:val="00B55FE0"/>
    <w:rsid w:val="00B5623A"/>
    <w:rsid w:val="00B56813"/>
    <w:rsid w:val="00B56AA9"/>
    <w:rsid w:val="00B56AE8"/>
    <w:rsid w:val="00B56C51"/>
    <w:rsid w:val="00B56C9A"/>
    <w:rsid w:val="00B570C7"/>
    <w:rsid w:val="00B5713E"/>
    <w:rsid w:val="00B57519"/>
    <w:rsid w:val="00B602E4"/>
    <w:rsid w:val="00B608DF"/>
    <w:rsid w:val="00B6091F"/>
    <w:rsid w:val="00B60D63"/>
    <w:rsid w:val="00B60D78"/>
    <w:rsid w:val="00B610B6"/>
    <w:rsid w:val="00B610DD"/>
    <w:rsid w:val="00B6112A"/>
    <w:rsid w:val="00B6126C"/>
    <w:rsid w:val="00B61860"/>
    <w:rsid w:val="00B61A7A"/>
    <w:rsid w:val="00B61B45"/>
    <w:rsid w:val="00B61DD5"/>
    <w:rsid w:val="00B61DD8"/>
    <w:rsid w:val="00B62033"/>
    <w:rsid w:val="00B623C6"/>
    <w:rsid w:val="00B62597"/>
    <w:rsid w:val="00B62602"/>
    <w:rsid w:val="00B628A5"/>
    <w:rsid w:val="00B6299F"/>
    <w:rsid w:val="00B62A62"/>
    <w:rsid w:val="00B634D3"/>
    <w:rsid w:val="00B63856"/>
    <w:rsid w:val="00B63E1F"/>
    <w:rsid w:val="00B63E38"/>
    <w:rsid w:val="00B64254"/>
    <w:rsid w:val="00B64264"/>
    <w:rsid w:val="00B6460A"/>
    <w:rsid w:val="00B64B70"/>
    <w:rsid w:val="00B653D5"/>
    <w:rsid w:val="00B660F9"/>
    <w:rsid w:val="00B66114"/>
    <w:rsid w:val="00B661BB"/>
    <w:rsid w:val="00B6632D"/>
    <w:rsid w:val="00B6665B"/>
    <w:rsid w:val="00B66BA7"/>
    <w:rsid w:val="00B66F33"/>
    <w:rsid w:val="00B6793C"/>
    <w:rsid w:val="00B67BC4"/>
    <w:rsid w:val="00B67C63"/>
    <w:rsid w:val="00B67CB6"/>
    <w:rsid w:val="00B70159"/>
    <w:rsid w:val="00B702E6"/>
    <w:rsid w:val="00B710DA"/>
    <w:rsid w:val="00B71556"/>
    <w:rsid w:val="00B7175B"/>
    <w:rsid w:val="00B71B22"/>
    <w:rsid w:val="00B71CB0"/>
    <w:rsid w:val="00B71EC9"/>
    <w:rsid w:val="00B72482"/>
    <w:rsid w:val="00B724D8"/>
    <w:rsid w:val="00B7296A"/>
    <w:rsid w:val="00B72A4F"/>
    <w:rsid w:val="00B72B65"/>
    <w:rsid w:val="00B72D38"/>
    <w:rsid w:val="00B7303A"/>
    <w:rsid w:val="00B73336"/>
    <w:rsid w:val="00B735CD"/>
    <w:rsid w:val="00B73649"/>
    <w:rsid w:val="00B738A5"/>
    <w:rsid w:val="00B738C6"/>
    <w:rsid w:val="00B73AE3"/>
    <w:rsid w:val="00B73C87"/>
    <w:rsid w:val="00B73E99"/>
    <w:rsid w:val="00B73ECA"/>
    <w:rsid w:val="00B73F01"/>
    <w:rsid w:val="00B7400E"/>
    <w:rsid w:val="00B742BC"/>
    <w:rsid w:val="00B743AD"/>
    <w:rsid w:val="00B747CC"/>
    <w:rsid w:val="00B74B1F"/>
    <w:rsid w:val="00B756E4"/>
    <w:rsid w:val="00B75792"/>
    <w:rsid w:val="00B757D6"/>
    <w:rsid w:val="00B75C9B"/>
    <w:rsid w:val="00B76024"/>
    <w:rsid w:val="00B76784"/>
    <w:rsid w:val="00B76C2C"/>
    <w:rsid w:val="00B76DAE"/>
    <w:rsid w:val="00B77473"/>
    <w:rsid w:val="00B774A4"/>
    <w:rsid w:val="00B77ADB"/>
    <w:rsid w:val="00B80800"/>
    <w:rsid w:val="00B8081A"/>
    <w:rsid w:val="00B8082E"/>
    <w:rsid w:val="00B80A05"/>
    <w:rsid w:val="00B80FD7"/>
    <w:rsid w:val="00B81258"/>
    <w:rsid w:val="00B81262"/>
    <w:rsid w:val="00B81958"/>
    <w:rsid w:val="00B81A62"/>
    <w:rsid w:val="00B81A9B"/>
    <w:rsid w:val="00B82228"/>
    <w:rsid w:val="00B8223F"/>
    <w:rsid w:val="00B824A7"/>
    <w:rsid w:val="00B824EF"/>
    <w:rsid w:val="00B8266C"/>
    <w:rsid w:val="00B828F4"/>
    <w:rsid w:val="00B82901"/>
    <w:rsid w:val="00B82A63"/>
    <w:rsid w:val="00B82D8C"/>
    <w:rsid w:val="00B82F7B"/>
    <w:rsid w:val="00B82FD7"/>
    <w:rsid w:val="00B84446"/>
    <w:rsid w:val="00B84C3D"/>
    <w:rsid w:val="00B8500A"/>
    <w:rsid w:val="00B851E0"/>
    <w:rsid w:val="00B852F5"/>
    <w:rsid w:val="00B8566B"/>
    <w:rsid w:val="00B856CA"/>
    <w:rsid w:val="00B8602C"/>
    <w:rsid w:val="00B86319"/>
    <w:rsid w:val="00B86614"/>
    <w:rsid w:val="00B868FA"/>
    <w:rsid w:val="00B86A21"/>
    <w:rsid w:val="00B86B0F"/>
    <w:rsid w:val="00B8734C"/>
    <w:rsid w:val="00B8736A"/>
    <w:rsid w:val="00B87662"/>
    <w:rsid w:val="00B87A2C"/>
    <w:rsid w:val="00B87B5B"/>
    <w:rsid w:val="00B90EF4"/>
    <w:rsid w:val="00B90F2B"/>
    <w:rsid w:val="00B90F5E"/>
    <w:rsid w:val="00B91D8B"/>
    <w:rsid w:val="00B91E34"/>
    <w:rsid w:val="00B9216F"/>
    <w:rsid w:val="00B922A6"/>
    <w:rsid w:val="00B922F1"/>
    <w:rsid w:val="00B92311"/>
    <w:rsid w:val="00B9249F"/>
    <w:rsid w:val="00B92542"/>
    <w:rsid w:val="00B93297"/>
    <w:rsid w:val="00B9389B"/>
    <w:rsid w:val="00B93C33"/>
    <w:rsid w:val="00B93D26"/>
    <w:rsid w:val="00B93E8B"/>
    <w:rsid w:val="00B93ED1"/>
    <w:rsid w:val="00B94256"/>
    <w:rsid w:val="00B94651"/>
    <w:rsid w:val="00B95053"/>
    <w:rsid w:val="00B9578B"/>
    <w:rsid w:val="00B95E0B"/>
    <w:rsid w:val="00B95F04"/>
    <w:rsid w:val="00B963F9"/>
    <w:rsid w:val="00B9649F"/>
    <w:rsid w:val="00B965C8"/>
    <w:rsid w:val="00B965F7"/>
    <w:rsid w:val="00B96950"/>
    <w:rsid w:val="00B969B6"/>
    <w:rsid w:val="00B96E0C"/>
    <w:rsid w:val="00B97318"/>
    <w:rsid w:val="00B979E9"/>
    <w:rsid w:val="00B97AA6"/>
    <w:rsid w:val="00BA013B"/>
    <w:rsid w:val="00BA0442"/>
    <w:rsid w:val="00BA059E"/>
    <w:rsid w:val="00BA064A"/>
    <w:rsid w:val="00BA085D"/>
    <w:rsid w:val="00BA0A6E"/>
    <w:rsid w:val="00BA0AB3"/>
    <w:rsid w:val="00BA0B0B"/>
    <w:rsid w:val="00BA0B53"/>
    <w:rsid w:val="00BA1288"/>
    <w:rsid w:val="00BA170C"/>
    <w:rsid w:val="00BA188F"/>
    <w:rsid w:val="00BA2154"/>
    <w:rsid w:val="00BA216D"/>
    <w:rsid w:val="00BA21DB"/>
    <w:rsid w:val="00BA2371"/>
    <w:rsid w:val="00BA24AC"/>
    <w:rsid w:val="00BA2BAF"/>
    <w:rsid w:val="00BA2D3B"/>
    <w:rsid w:val="00BA2D8D"/>
    <w:rsid w:val="00BA2D94"/>
    <w:rsid w:val="00BA3024"/>
    <w:rsid w:val="00BA3140"/>
    <w:rsid w:val="00BA3B89"/>
    <w:rsid w:val="00BA3D5E"/>
    <w:rsid w:val="00BA3FEA"/>
    <w:rsid w:val="00BA3FFD"/>
    <w:rsid w:val="00BA41C2"/>
    <w:rsid w:val="00BA43B4"/>
    <w:rsid w:val="00BA43F6"/>
    <w:rsid w:val="00BA4416"/>
    <w:rsid w:val="00BA4B76"/>
    <w:rsid w:val="00BA4D15"/>
    <w:rsid w:val="00BA4E29"/>
    <w:rsid w:val="00BA4F0D"/>
    <w:rsid w:val="00BA585B"/>
    <w:rsid w:val="00BA5D84"/>
    <w:rsid w:val="00BA608F"/>
    <w:rsid w:val="00BA62A8"/>
    <w:rsid w:val="00BA62D2"/>
    <w:rsid w:val="00BA653C"/>
    <w:rsid w:val="00BA66D8"/>
    <w:rsid w:val="00BA68CC"/>
    <w:rsid w:val="00BA6CC4"/>
    <w:rsid w:val="00BA6DA5"/>
    <w:rsid w:val="00BA6F5D"/>
    <w:rsid w:val="00BA768F"/>
    <w:rsid w:val="00BA7BCD"/>
    <w:rsid w:val="00BA7C88"/>
    <w:rsid w:val="00BB043F"/>
    <w:rsid w:val="00BB06FB"/>
    <w:rsid w:val="00BB0D10"/>
    <w:rsid w:val="00BB0D2C"/>
    <w:rsid w:val="00BB1720"/>
    <w:rsid w:val="00BB189B"/>
    <w:rsid w:val="00BB1B14"/>
    <w:rsid w:val="00BB1B31"/>
    <w:rsid w:val="00BB1C72"/>
    <w:rsid w:val="00BB1D1A"/>
    <w:rsid w:val="00BB1F23"/>
    <w:rsid w:val="00BB24B6"/>
    <w:rsid w:val="00BB258F"/>
    <w:rsid w:val="00BB266E"/>
    <w:rsid w:val="00BB2DEF"/>
    <w:rsid w:val="00BB2EBB"/>
    <w:rsid w:val="00BB301E"/>
    <w:rsid w:val="00BB308C"/>
    <w:rsid w:val="00BB3590"/>
    <w:rsid w:val="00BB3B40"/>
    <w:rsid w:val="00BB3BE8"/>
    <w:rsid w:val="00BB3D75"/>
    <w:rsid w:val="00BB3DFC"/>
    <w:rsid w:val="00BB3F88"/>
    <w:rsid w:val="00BB419E"/>
    <w:rsid w:val="00BB4450"/>
    <w:rsid w:val="00BB47AB"/>
    <w:rsid w:val="00BB4A8F"/>
    <w:rsid w:val="00BB4CDF"/>
    <w:rsid w:val="00BB50DF"/>
    <w:rsid w:val="00BB56D1"/>
    <w:rsid w:val="00BB5BB8"/>
    <w:rsid w:val="00BB6610"/>
    <w:rsid w:val="00BB6E55"/>
    <w:rsid w:val="00BB731A"/>
    <w:rsid w:val="00BB73DA"/>
    <w:rsid w:val="00BB7EA1"/>
    <w:rsid w:val="00BC04BC"/>
    <w:rsid w:val="00BC06E0"/>
    <w:rsid w:val="00BC06F4"/>
    <w:rsid w:val="00BC0B7E"/>
    <w:rsid w:val="00BC0C3C"/>
    <w:rsid w:val="00BC0D1A"/>
    <w:rsid w:val="00BC0E65"/>
    <w:rsid w:val="00BC0FE8"/>
    <w:rsid w:val="00BC1873"/>
    <w:rsid w:val="00BC1DCB"/>
    <w:rsid w:val="00BC1E7F"/>
    <w:rsid w:val="00BC1F1C"/>
    <w:rsid w:val="00BC2164"/>
    <w:rsid w:val="00BC2322"/>
    <w:rsid w:val="00BC2371"/>
    <w:rsid w:val="00BC330F"/>
    <w:rsid w:val="00BC33B8"/>
    <w:rsid w:val="00BC393D"/>
    <w:rsid w:val="00BC3F68"/>
    <w:rsid w:val="00BC425D"/>
    <w:rsid w:val="00BC460E"/>
    <w:rsid w:val="00BC48F9"/>
    <w:rsid w:val="00BC4D48"/>
    <w:rsid w:val="00BC4FA8"/>
    <w:rsid w:val="00BC5659"/>
    <w:rsid w:val="00BC5F81"/>
    <w:rsid w:val="00BC63D9"/>
    <w:rsid w:val="00BC64CE"/>
    <w:rsid w:val="00BC6556"/>
    <w:rsid w:val="00BC66D4"/>
    <w:rsid w:val="00BC681E"/>
    <w:rsid w:val="00BC68AB"/>
    <w:rsid w:val="00BC6A75"/>
    <w:rsid w:val="00BC6C97"/>
    <w:rsid w:val="00BC6DC4"/>
    <w:rsid w:val="00BC7212"/>
    <w:rsid w:val="00BC72C8"/>
    <w:rsid w:val="00BC749D"/>
    <w:rsid w:val="00BC74D7"/>
    <w:rsid w:val="00BC7CDB"/>
    <w:rsid w:val="00BD0268"/>
    <w:rsid w:val="00BD0548"/>
    <w:rsid w:val="00BD06A1"/>
    <w:rsid w:val="00BD06D9"/>
    <w:rsid w:val="00BD0A50"/>
    <w:rsid w:val="00BD0E0B"/>
    <w:rsid w:val="00BD1432"/>
    <w:rsid w:val="00BD14C6"/>
    <w:rsid w:val="00BD15F4"/>
    <w:rsid w:val="00BD1AAE"/>
    <w:rsid w:val="00BD1AE7"/>
    <w:rsid w:val="00BD1B0F"/>
    <w:rsid w:val="00BD2290"/>
    <w:rsid w:val="00BD240E"/>
    <w:rsid w:val="00BD24FF"/>
    <w:rsid w:val="00BD2503"/>
    <w:rsid w:val="00BD29A0"/>
    <w:rsid w:val="00BD2B31"/>
    <w:rsid w:val="00BD2F2A"/>
    <w:rsid w:val="00BD2F73"/>
    <w:rsid w:val="00BD3385"/>
    <w:rsid w:val="00BD3943"/>
    <w:rsid w:val="00BD3B6E"/>
    <w:rsid w:val="00BD3B75"/>
    <w:rsid w:val="00BD3C28"/>
    <w:rsid w:val="00BD3E61"/>
    <w:rsid w:val="00BD42C1"/>
    <w:rsid w:val="00BD468C"/>
    <w:rsid w:val="00BD4D80"/>
    <w:rsid w:val="00BD4DC0"/>
    <w:rsid w:val="00BD5A10"/>
    <w:rsid w:val="00BD6E0B"/>
    <w:rsid w:val="00BD73EF"/>
    <w:rsid w:val="00BD74D9"/>
    <w:rsid w:val="00BD75E6"/>
    <w:rsid w:val="00BD7B16"/>
    <w:rsid w:val="00BD7FD8"/>
    <w:rsid w:val="00BE005A"/>
    <w:rsid w:val="00BE00F4"/>
    <w:rsid w:val="00BE04F2"/>
    <w:rsid w:val="00BE062F"/>
    <w:rsid w:val="00BE0716"/>
    <w:rsid w:val="00BE07D9"/>
    <w:rsid w:val="00BE0D31"/>
    <w:rsid w:val="00BE0D4B"/>
    <w:rsid w:val="00BE0DF2"/>
    <w:rsid w:val="00BE1130"/>
    <w:rsid w:val="00BE1B77"/>
    <w:rsid w:val="00BE1E87"/>
    <w:rsid w:val="00BE21C2"/>
    <w:rsid w:val="00BE235C"/>
    <w:rsid w:val="00BE2AB1"/>
    <w:rsid w:val="00BE32B1"/>
    <w:rsid w:val="00BE32EF"/>
    <w:rsid w:val="00BE3E5C"/>
    <w:rsid w:val="00BE491E"/>
    <w:rsid w:val="00BE4DC5"/>
    <w:rsid w:val="00BE4F2C"/>
    <w:rsid w:val="00BE52E2"/>
    <w:rsid w:val="00BE546A"/>
    <w:rsid w:val="00BE5564"/>
    <w:rsid w:val="00BE5946"/>
    <w:rsid w:val="00BE5AA9"/>
    <w:rsid w:val="00BE6099"/>
    <w:rsid w:val="00BE618B"/>
    <w:rsid w:val="00BE65F4"/>
    <w:rsid w:val="00BE660C"/>
    <w:rsid w:val="00BE6748"/>
    <w:rsid w:val="00BE6C72"/>
    <w:rsid w:val="00BE73D1"/>
    <w:rsid w:val="00BE73DC"/>
    <w:rsid w:val="00BE7736"/>
    <w:rsid w:val="00BE7D28"/>
    <w:rsid w:val="00BE7D31"/>
    <w:rsid w:val="00BF00A3"/>
    <w:rsid w:val="00BF02C2"/>
    <w:rsid w:val="00BF0B1D"/>
    <w:rsid w:val="00BF0B73"/>
    <w:rsid w:val="00BF0BA7"/>
    <w:rsid w:val="00BF0C02"/>
    <w:rsid w:val="00BF0F2B"/>
    <w:rsid w:val="00BF1078"/>
    <w:rsid w:val="00BF10A7"/>
    <w:rsid w:val="00BF10B9"/>
    <w:rsid w:val="00BF11B9"/>
    <w:rsid w:val="00BF165B"/>
    <w:rsid w:val="00BF183C"/>
    <w:rsid w:val="00BF1958"/>
    <w:rsid w:val="00BF1985"/>
    <w:rsid w:val="00BF1D9A"/>
    <w:rsid w:val="00BF1F7E"/>
    <w:rsid w:val="00BF206F"/>
    <w:rsid w:val="00BF2949"/>
    <w:rsid w:val="00BF34B2"/>
    <w:rsid w:val="00BF3AE5"/>
    <w:rsid w:val="00BF3F0B"/>
    <w:rsid w:val="00BF428F"/>
    <w:rsid w:val="00BF42C7"/>
    <w:rsid w:val="00BF440A"/>
    <w:rsid w:val="00BF441C"/>
    <w:rsid w:val="00BF47C7"/>
    <w:rsid w:val="00BF4839"/>
    <w:rsid w:val="00BF4F38"/>
    <w:rsid w:val="00BF5151"/>
    <w:rsid w:val="00BF52DF"/>
    <w:rsid w:val="00BF543B"/>
    <w:rsid w:val="00BF5AE1"/>
    <w:rsid w:val="00BF5BF4"/>
    <w:rsid w:val="00BF5C8D"/>
    <w:rsid w:val="00BF6318"/>
    <w:rsid w:val="00BF6497"/>
    <w:rsid w:val="00BF660B"/>
    <w:rsid w:val="00BF683E"/>
    <w:rsid w:val="00BF6B34"/>
    <w:rsid w:val="00BF6FA7"/>
    <w:rsid w:val="00BF7528"/>
    <w:rsid w:val="00BF762C"/>
    <w:rsid w:val="00BF7653"/>
    <w:rsid w:val="00BF7819"/>
    <w:rsid w:val="00BF7A02"/>
    <w:rsid w:val="00BF7BD5"/>
    <w:rsid w:val="00C00075"/>
    <w:rsid w:val="00C00116"/>
    <w:rsid w:val="00C001F8"/>
    <w:rsid w:val="00C0035A"/>
    <w:rsid w:val="00C00441"/>
    <w:rsid w:val="00C01191"/>
    <w:rsid w:val="00C01680"/>
    <w:rsid w:val="00C01C02"/>
    <w:rsid w:val="00C01D47"/>
    <w:rsid w:val="00C02356"/>
    <w:rsid w:val="00C0255F"/>
    <w:rsid w:val="00C02632"/>
    <w:rsid w:val="00C02760"/>
    <w:rsid w:val="00C028CB"/>
    <w:rsid w:val="00C02A83"/>
    <w:rsid w:val="00C02BFE"/>
    <w:rsid w:val="00C03365"/>
    <w:rsid w:val="00C033F3"/>
    <w:rsid w:val="00C03556"/>
    <w:rsid w:val="00C035CA"/>
    <w:rsid w:val="00C0362B"/>
    <w:rsid w:val="00C03750"/>
    <w:rsid w:val="00C04109"/>
    <w:rsid w:val="00C04352"/>
    <w:rsid w:val="00C044A7"/>
    <w:rsid w:val="00C04517"/>
    <w:rsid w:val="00C057AC"/>
    <w:rsid w:val="00C059CA"/>
    <w:rsid w:val="00C05AD5"/>
    <w:rsid w:val="00C063E6"/>
    <w:rsid w:val="00C06460"/>
    <w:rsid w:val="00C06505"/>
    <w:rsid w:val="00C065BB"/>
    <w:rsid w:val="00C06A5C"/>
    <w:rsid w:val="00C06A61"/>
    <w:rsid w:val="00C06FDD"/>
    <w:rsid w:val="00C076DE"/>
    <w:rsid w:val="00C07A5A"/>
    <w:rsid w:val="00C07C0E"/>
    <w:rsid w:val="00C07F1C"/>
    <w:rsid w:val="00C07F45"/>
    <w:rsid w:val="00C105E9"/>
    <w:rsid w:val="00C1073C"/>
    <w:rsid w:val="00C107F1"/>
    <w:rsid w:val="00C109EA"/>
    <w:rsid w:val="00C10A6F"/>
    <w:rsid w:val="00C10B43"/>
    <w:rsid w:val="00C10CE6"/>
    <w:rsid w:val="00C10E02"/>
    <w:rsid w:val="00C1103F"/>
    <w:rsid w:val="00C11120"/>
    <w:rsid w:val="00C111FE"/>
    <w:rsid w:val="00C11227"/>
    <w:rsid w:val="00C11767"/>
    <w:rsid w:val="00C117D8"/>
    <w:rsid w:val="00C11DAE"/>
    <w:rsid w:val="00C12082"/>
    <w:rsid w:val="00C1210E"/>
    <w:rsid w:val="00C1245F"/>
    <w:rsid w:val="00C124FA"/>
    <w:rsid w:val="00C1269D"/>
    <w:rsid w:val="00C12716"/>
    <w:rsid w:val="00C127CC"/>
    <w:rsid w:val="00C1290A"/>
    <w:rsid w:val="00C12BBF"/>
    <w:rsid w:val="00C131B2"/>
    <w:rsid w:val="00C13644"/>
    <w:rsid w:val="00C136E7"/>
    <w:rsid w:val="00C13F5A"/>
    <w:rsid w:val="00C1421C"/>
    <w:rsid w:val="00C143A7"/>
    <w:rsid w:val="00C14569"/>
    <w:rsid w:val="00C14984"/>
    <w:rsid w:val="00C152AC"/>
    <w:rsid w:val="00C1570C"/>
    <w:rsid w:val="00C1589E"/>
    <w:rsid w:val="00C15C81"/>
    <w:rsid w:val="00C15D82"/>
    <w:rsid w:val="00C15DB4"/>
    <w:rsid w:val="00C15E3D"/>
    <w:rsid w:val="00C15FB1"/>
    <w:rsid w:val="00C1605A"/>
    <w:rsid w:val="00C16108"/>
    <w:rsid w:val="00C1631E"/>
    <w:rsid w:val="00C163A8"/>
    <w:rsid w:val="00C16531"/>
    <w:rsid w:val="00C1656A"/>
    <w:rsid w:val="00C16BF0"/>
    <w:rsid w:val="00C16D21"/>
    <w:rsid w:val="00C16ED6"/>
    <w:rsid w:val="00C16F66"/>
    <w:rsid w:val="00C1736E"/>
    <w:rsid w:val="00C17476"/>
    <w:rsid w:val="00C17B2E"/>
    <w:rsid w:val="00C17BE4"/>
    <w:rsid w:val="00C17C7C"/>
    <w:rsid w:val="00C20407"/>
    <w:rsid w:val="00C2042B"/>
    <w:rsid w:val="00C2043E"/>
    <w:rsid w:val="00C2067C"/>
    <w:rsid w:val="00C20775"/>
    <w:rsid w:val="00C21386"/>
    <w:rsid w:val="00C2174D"/>
    <w:rsid w:val="00C217DD"/>
    <w:rsid w:val="00C21845"/>
    <w:rsid w:val="00C218F3"/>
    <w:rsid w:val="00C21E9E"/>
    <w:rsid w:val="00C2256F"/>
    <w:rsid w:val="00C22F25"/>
    <w:rsid w:val="00C236A5"/>
    <w:rsid w:val="00C2383B"/>
    <w:rsid w:val="00C23C41"/>
    <w:rsid w:val="00C23D45"/>
    <w:rsid w:val="00C23D70"/>
    <w:rsid w:val="00C23F2F"/>
    <w:rsid w:val="00C241DA"/>
    <w:rsid w:val="00C24356"/>
    <w:rsid w:val="00C2446D"/>
    <w:rsid w:val="00C247F2"/>
    <w:rsid w:val="00C2491D"/>
    <w:rsid w:val="00C24A9D"/>
    <w:rsid w:val="00C24B19"/>
    <w:rsid w:val="00C24E50"/>
    <w:rsid w:val="00C2506B"/>
    <w:rsid w:val="00C25411"/>
    <w:rsid w:val="00C25447"/>
    <w:rsid w:val="00C256B5"/>
    <w:rsid w:val="00C25E15"/>
    <w:rsid w:val="00C2613C"/>
    <w:rsid w:val="00C264CC"/>
    <w:rsid w:val="00C26AA2"/>
    <w:rsid w:val="00C26EA8"/>
    <w:rsid w:val="00C27176"/>
    <w:rsid w:val="00C27805"/>
    <w:rsid w:val="00C27818"/>
    <w:rsid w:val="00C279D6"/>
    <w:rsid w:val="00C27D6B"/>
    <w:rsid w:val="00C27F4C"/>
    <w:rsid w:val="00C3019C"/>
    <w:rsid w:val="00C3022E"/>
    <w:rsid w:val="00C303D4"/>
    <w:rsid w:val="00C3067B"/>
    <w:rsid w:val="00C31591"/>
    <w:rsid w:val="00C31F9A"/>
    <w:rsid w:val="00C32044"/>
    <w:rsid w:val="00C320E7"/>
    <w:rsid w:val="00C321BC"/>
    <w:rsid w:val="00C3252D"/>
    <w:rsid w:val="00C3259D"/>
    <w:rsid w:val="00C325C6"/>
    <w:rsid w:val="00C327B4"/>
    <w:rsid w:val="00C32A18"/>
    <w:rsid w:val="00C32A8D"/>
    <w:rsid w:val="00C32B2D"/>
    <w:rsid w:val="00C32C0C"/>
    <w:rsid w:val="00C32CA2"/>
    <w:rsid w:val="00C32CF2"/>
    <w:rsid w:val="00C32D45"/>
    <w:rsid w:val="00C32E92"/>
    <w:rsid w:val="00C331C4"/>
    <w:rsid w:val="00C33321"/>
    <w:rsid w:val="00C333F9"/>
    <w:rsid w:val="00C33A21"/>
    <w:rsid w:val="00C33A7C"/>
    <w:rsid w:val="00C33BD9"/>
    <w:rsid w:val="00C33FE0"/>
    <w:rsid w:val="00C348C5"/>
    <w:rsid w:val="00C348DB"/>
    <w:rsid w:val="00C34994"/>
    <w:rsid w:val="00C34B0E"/>
    <w:rsid w:val="00C34C9C"/>
    <w:rsid w:val="00C34CD6"/>
    <w:rsid w:val="00C35430"/>
    <w:rsid w:val="00C35A9B"/>
    <w:rsid w:val="00C35D74"/>
    <w:rsid w:val="00C35E3D"/>
    <w:rsid w:val="00C36AB4"/>
    <w:rsid w:val="00C36AF8"/>
    <w:rsid w:val="00C36FD0"/>
    <w:rsid w:val="00C3721A"/>
    <w:rsid w:val="00C3744D"/>
    <w:rsid w:val="00C3786D"/>
    <w:rsid w:val="00C37A95"/>
    <w:rsid w:val="00C37CBD"/>
    <w:rsid w:val="00C37CFD"/>
    <w:rsid w:val="00C37EC6"/>
    <w:rsid w:val="00C37F86"/>
    <w:rsid w:val="00C40365"/>
    <w:rsid w:val="00C40A5A"/>
    <w:rsid w:val="00C40BA5"/>
    <w:rsid w:val="00C40BDB"/>
    <w:rsid w:val="00C40D29"/>
    <w:rsid w:val="00C41199"/>
    <w:rsid w:val="00C4190F"/>
    <w:rsid w:val="00C4196D"/>
    <w:rsid w:val="00C41D96"/>
    <w:rsid w:val="00C41EC3"/>
    <w:rsid w:val="00C41FA3"/>
    <w:rsid w:val="00C4203C"/>
    <w:rsid w:val="00C4206F"/>
    <w:rsid w:val="00C42107"/>
    <w:rsid w:val="00C4278B"/>
    <w:rsid w:val="00C4279C"/>
    <w:rsid w:val="00C42842"/>
    <w:rsid w:val="00C42A51"/>
    <w:rsid w:val="00C42BFD"/>
    <w:rsid w:val="00C42EC1"/>
    <w:rsid w:val="00C42F15"/>
    <w:rsid w:val="00C430AD"/>
    <w:rsid w:val="00C4325B"/>
    <w:rsid w:val="00C432DA"/>
    <w:rsid w:val="00C43C57"/>
    <w:rsid w:val="00C44339"/>
    <w:rsid w:val="00C44644"/>
    <w:rsid w:val="00C446F2"/>
    <w:rsid w:val="00C44A98"/>
    <w:rsid w:val="00C44F0C"/>
    <w:rsid w:val="00C44FC2"/>
    <w:rsid w:val="00C451A4"/>
    <w:rsid w:val="00C45232"/>
    <w:rsid w:val="00C4585A"/>
    <w:rsid w:val="00C45A31"/>
    <w:rsid w:val="00C45C24"/>
    <w:rsid w:val="00C45D45"/>
    <w:rsid w:val="00C46E15"/>
    <w:rsid w:val="00C46F97"/>
    <w:rsid w:val="00C470B0"/>
    <w:rsid w:val="00C472E3"/>
    <w:rsid w:val="00C4761D"/>
    <w:rsid w:val="00C47CF4"/>
    <w:rsid w:val="00C50A60"/>
    <w:rsid w:val="00C50A94"/>
    <w:rsid w:val="00C50C07"/>
    <w:rsid w:val="00C50F53"/>
    <w:rsid w:val="00C51143"/>
    <w:rsid w:val="00C513E4"/>
    <w:rsid w:val="00C51E19"/>
    <w:rsid w:val="00C5253C"/>
    <w:rsid w:val="00C526A7"/>
    <w:rsid w:val="00C526AF"/>
    <w:rsid w:val="00C53341"/>
    <w:rsid w:val="00C535E8"/>
    <w:rsid w:val="00C5362F"/>
    <w:rsid w:val="00C53698"/>
    <w:rsid w:val="00C53B85"/>
    <w:rsid w:val="00C541E7"/>
    <w:rsid w:val="00C542AF"/>
    <w:rsid w:val="00C54652"/>
    <w:rsid w:val="00C54689"/>
    <w:rsid w:val="00C54CB0"/>
    <w:rsid w:val="00C55453"/>
    <w:rsid w:val="00C55481"/>
    <w:rsid w:val="00C55913"/>
    <w:rsid w:val="00C55B9C"/>
    <w:rsid w:val="00C55D5E"/>
    <w:rsid w:val="00C55FD7"/>
    <w:rsid w:val="00C55FE7"/>
    <w:rsid w:val="00C5630F"/>
    <w:rsid w:val="00C569B5"/>
    <w:rsid w:val="00C56B25"/>
    <w:rsid w:val="00C56BC0"/>
    <w:rsid w:val="00C56FC5"/>
    <w:rsid w:val="00C57676"/>
    <w:rsid w:val="00C57C71"/>
    <w:rsid w:val="00C57D9F"/>
    <w:rsid w:val="00C6006A"/>
    <w:rsid w:val="00C6014A"/>
    <w:rsid w:val="00C601B5"/>
    <w:rsid w:val="00C604F0"/>
    <w:rsid w:val="00C60A06"/>
    <w:rsid w:val="00C60DCF"/>
    <w:rsid w:val="00C60EDA"/>
    <w:rsid w:val="00C60F21"/>
    <w:rsid w:val="00C60F27"/>
    <w:rsid w:val="00C61758"/>
    <w:rsid w:val="00C61964"/>
    <w:rsid w:val="00C619A1"/>
    <w:rsid w:val="00C619C7"/>
    <w:rsid w:val="00C619F3"/>
    <w:rsid w:val="00C61F46"/>
    <w:rsid w:val="00C62218"/>
    <w:rsid w:val="00C62A3C"/>
    <w:rsid w:val="00C62EF0"/>
    <w:rsid w:val="00C62F51"/>
    <w:rsid w:val="00C6311B"/>
    <w:rsid w:val="00C6313E"/>
    <w:rsid w:val="00C6397C"/>
    <w:rsid w:val="00C641F6"/>
    <w:rsid w:val="00C64562"/>
    <w:rsid w:val="00C645D6"/>
    <w:rsid w:val="00C64A2E"/>
    <w:rsid w:val="00C64ABE"/>
    <w:rsid w:val="00C64B33"/>
    <w:rsid w:val="00C64E34"/>
    <w:rsid w:val="00C65066"/>
    <w:rsid w:val="00C65761"/>
    <w:rsid w:val="00C65994"/>
    <w:rsid w:val="00C659DE"/>
    <w:rsid w:val="00C66032"/>
    <w:rsid w:val="00C660BA"/>
    <w:rsid w:val="00C663F3"/>
    <w:rsid w:val="00C66592"/>
    <w:rsid w:val="00C66806"/>
    <w:rsid w:val="00C668F6"/>
    <w:rsid w:val="00C66AC2"/>
    <w:rsid w:val="00C66BFE"/>
    <w:rsid w:val="00C66D36"/>
    <w:rsid w:val="00C66D3B"/>
    <w:rsid w:val="00C66E49"/>
    <w:rsid w:val="00C6704D"/>
    <w:rsid w:val="00C67ACF"/>
    <w:rsid w:val="00C67F32"/>
    <w:rsid w:val="00C70215"/>
    <w:rsid w:val="00C70E77"/>
    <w:rsid w:val="00C7104C"/>
    <w:rsid w:val="00C713FC"/>
    <w:rsid w:val="00C71546"/>
    <w:rsid w:val="00C71F27"/>
    <w:rsid w:val="00C724EC"/>
    <w:rsid w:val="00C726B5"/>
    <w:rsid w:val="00C726F4"/>
    <w:rsid w:val="00C72B50"/>
    <w:rsid w:val="00C72EEF"/>
    <w:rsid w:val="00C72F84"/>
    <w:rsid w:val="00C73272"/>
    <w:rsid w:val="00C733D1"/>
    <w:rsid w:val="00C733E4"/>
    <w:rsid w:val="00C735A6"/>
    <w:rsid w:val="00C735F0"/>
    <w:rsid w:val="00C73620"/>
    <w:rsid w:val="00C7371B"/>
    <w:rsid w:val="00C73878"/>
    <w:rsid w:val="00C74486"/>
    <w:rsid w:val="00C74563"/>
    <w:rsid w:val="00C7495D"/>
    <w:rsid w:val="00C74B34"/>
    <w:rsid w:val="00C74BB3"/>
    <w:rsid w:val="00C74F2A"/>
    <w:rsid w:val="00C75470"/>
    <w:rsid w:val="00C754A7"/>
    <w:rsid w:val="00C75681"/>
    <w:rsid w:val="00C757D0"/>
    <w:rsid w:val="00C75B17"/>
    <w:rsid w:val="00C75E84"/>
    <w:rsid w:val="00C75E91"/>
    <w:rsid w:val="00C761F5"/>
    <w:rsid w:val="00C76603"/>
    <w:rsid w:val="00C77388"/>
    <w:rsid w:val="00C775A2"/>
    <w:rsid w:val="00C77608"/>
    <w:rsid w:val="00C776AD"/>
    <w:rsid w:val="00C77C25"/>
    <w:rsid w:val="00C77C73"/>
    <w:rsid w:val="00C77ED0"/>
    <w:rsid w:val="00C807BA"/>
    <w:rsid w:val="00C80A1F"/>
    <w:rsid w:val="00C80E9D"/>
    <w:rsid w:val="00C81040"/>
    <w:rsid w:val="00C810A2"/>
    <w:rsid w:val="00C81315"/>
    <w:rsid w:val="00C8139B"/>
    <w:rsid w:val="00C81480"/>
    <w:rsid w:val="00C8168F"/>
    <w:rsid w:val="00C81778"/>
    <w:rsid w:val="00C81814"/>
    <w:rsid w:val="00C81861"/>
    <w:rsid w:val="00C81F3A"/>
    <w:rsid w:val="00C82330"/>
    <w:rsid w:val="00C82810"/>
    <w:rsid w:val="00C8286D"/>
    <w:rsid w:val="00C82B68"/>
    <w:rsid w:val="00C82BCB"/>
    <w:rsid w:val="00C8318F"/>
    <w:rsid w:val="00C831F2"/>
    <w:rsid w:val="00C83209"/>
    <w:rsid w:val="00C83287"/>
    <w:rsid w:val="00C83470"/>
    <w:rsid w:val="00C83C2C"/>
    <w:rsid w:val="00C84560"/>
    <w:rsid w:val="00C84643"/>
    <w:rsid w:val="00C84A23"/>
    <w:rsid w:val="00C84DFC"/>
    <w:rsid w:val="00C851E9"/>
    <w:rsid w:val="00C852DA"/>
    <w:rsid w:val="00C85587"/>
    <w:rsid w:val="00C85590"/>
    <w:rsid w:val="00C858F5"/>
    <w:rsid w:val="00C85D33"/>
    <w:rsid w:val="00C85D96"/>
    <w:rsid w:val="00C85EA4"/>
    <w:rsid w:val="00C85EED"/>
    <w:rsid w:val="00C8618C"/>
    <w:rsid w:val="00C865EF"/>
    <w:rsid w:val="00C867F0"/>
    <w:rsid w:val="00C87401"/>
    <w:rsid w:val="00C87480"/>
    <w:rsid w:val="00C87800"/>
    <w:rsid w:val="00C87D00"/>
    <w:rsid w:val="00C9029F"/>
    <w:rsid w:val="00C904E1"/>
    <w:rsid w:val="00C90AA2"/>
    <w:rsid w:val="00C90AF9"/>
    <w:rsid w:val="00C90F1A"/>
    <w:rsid w:val="00C910B4"/>
    <w:rsid w:val="00C9195F"/>
    <w:rsid w:val="00C919C4"/>
    <w:rsid w:val="00C91A35"/>
    <w:rsid w:val="00C91AB3"/>
    <w:rsid w:val="00C91F5B"/>
    <w:rsid w:val="00C91FB9"/>
    <w:rsid w:val="00C91FD8"/>
    <w:rsid w:val="00C92255"/>
    <w:rsid w:val="00C92436"/>
    <w:rsid w:val="00C926B6"/>
    <w:rsid w:val="00C93490"/>
    <w:rsid w:val="00C936DE"/>
    <w:rsid w:val="00C93BAE"/>
    <w:rsid w:val="00C93CA0"/>
    <w:rsid w:val="00C93F38"/>
    <w:rsid w:val="00C93FA7"/>
    <w:rsid w:val="00C941BD"/>
    <w:rsid w:val="00C945B7"/>
    <w:rsid w:val="00C946FA"/>
    <w:rsid w:val="00C94836"/>
    <w:rsid w:val="00C9498A"/>
    <w:rsid w:val="00C95226"/>
    <w:rsid w:val="00C95C08"/>
    <w:rsid w:val="00C95D1C"/>
    <w:rsid w:val="00C96127"/>
    <w:rsid w:val="00C96933"/>
    <w:rsid w:val="00C96B95"/>
    <w:rsid w:val="00C96D25"/>
    <w:rsid w:val="00C96D58"/>
    <w:rsid w:val="00C96F8B"/>
    <w:rsid w:val="00C972A3"/>
    <w:rsid w:val="00C974A7"/>
    <w:rsid w:val="00C974F3"/>
    <w:rsid w:val="00CA0208"/>
    <w:rsid w:val="00CA03F0"/>
    <w:rsid w:val="00CA0768"/>
    <w:rsid w:val="00CA0B05"/>
    <w:rsid w:val="00CA0CA2"/>
    <w:rsid w:val="00CA0FED"/>
    <w:rsid w:val="00CA101C"/>
    <w:rsid w:val="00CA11B7"/>
    <w:rsid w:val="00CA1387"/>
    <w:rsid w:val="00CA1581"/>
    <w:rsid w:val="00CA168B"/>
    <w:rsid w:val="00CA1869"/>
    <w:rsid w:val="00CA18BC"/>
    <w:rsid w:val="00CA1E09"/>
    <w:rsid w:val="00CA1FAB"/>
    <w:rsid w:val="00CA216F"/>
    <w:rsid w:val="00CA237F"/>
    <w:rsid w:val="00CA252A"/>
    <w:rsid w:val="00CA3117"/>
    <w:rsid w:val="00CA3852"/>
    <w:rsid w:val="00CA3934"/>
    <w:rsid w:val="00CA39A9"/>
    <w:rsid w:val="00CA3E4E"/>
    <w:rsid w:val="00CA42CB"/>
    <w:rsid w:val="00CA4660"/>
    <w:rsid w:val="00CA4873"/>
    <w:rsid w:val="00CA49DB"/>
    <w:rsid w:val="00CA4BFB"/>
    <w:rsid w:val="00CA4BFE"/>
    <w:rsid w:val="00CA5103"/>
    <w:rsid w:val="00CA53BB"/>
    <w:rsid w:val="00CA57D9"/>
    <w:rsid w:val="00CA59A4"/>
    <w:rsid w:val="00CA5F85"/>
    <w:rsid w:val="00CA6226"/>
    <w:rsid w:val="00CA6318"/>
    <w:rsid w:val="00CA6850"/>
    <w:rsid w:val="00CA6AB8"/>
    <w:rsid w:val="00CA6B1D"/>
    <w:rsid w:val="00CA6BA3"/>
    <w:rsid w:val="00CA6BC6"/>
    <w:rsid w:val="00CA6C86"/>
    <w:rsid w:val="00CA6E97"/>
    <w:rsid w:val="00CA6F1A"/>
    <w:rsid w:val="00CA7383"/>
    <w:rsid w:val="00CB01C1"/>
    <w:rsid w:val="00CB029E"/>
    <w:rsid w:val="00CB0771"/>
    <w:rsid w:val="00CB08B1"/>
    <w:rsid w:val="00CB0A78"/>
    <w:rsid w:val="00CB0D38"/>
    <w:rsid w:val="00CB0E21"/>
    <w:rsid w:val="00CB0EBB"/>
    <w:rsid w:val="00CB0FDD"/>
    <w:rsid w:val="00CB1157"/>
    <w:rsid w:val="00CB1510"/>
    <w:rsid w:val="00CB1D7B"/>
    <w:rsid w:val="00CB1E12"/>
    <w:rsid w:val="00CB1E82"/>
    <w:rsid w:val="00CB222E"/>
    <w:rsid w:val="00CB29B1"/>
    <w:rsid w:val="00CB2B66"/>
    <w:rsid w:val="00CB2EEC"/>
    <w:rsid w:val="00CB31F7"/>
    <w:rsid w:val="00CB33CF"/>
    <w:rsid w:val="00CB367D"/>
    <w:rsid w:val="00CB4443"/>
    <w:rsid w:val="00CB4662"/>
    <w:rsid w:val="00CB4E43"/>
    <w:rsid w:val="00CB4F66"/>
    <w:rsid w:val="00CB4FC5"/>
    <w:rsid w:val="00CB5132"/>
    <w:rsid w:val="00CB55A7"/>
    <w:rsid w:val="00CB56E3"/>
    <w:rsid w:val="00CB592D"/>
    <w:rsid w:val="00CB59A7"/>
    <w:rsid w:val="00CB5A8C"/>
    <w:rsid w:val="00CB5B7A"/>
    <w:rsid w:val="00CB5BB7"/>
    <w:rsid w:val="00CB5D63"/>
    <w:rsid w:val="00CB5EBB"/>
    <w:rsid w:val="00CB66CB"/>
    <w:rsid w:val="00CB689D"/>
    <w:rsid w:val="00CB6987"/>
    <w:rsid w:val="00CB6A8B"/>
    <w:rsid w:val="00CB6DD3"/>
    <w:rsid w:val="00CB6E47"/>
    <w:rsid w:val="00CB72C1"/>
    <w:rsid w:val="00CB7831"/>
    <w:rsid w:val="00CB78D6"/>
    <w:rsid w:val="00CB7C17"/>
    <w:rsid w:val="00CC0BDE"/>
    <w:rsid w:val="00CC100E"/>
    <w:rsid w:val="00CC1312"/>
    <w:rsid w:val="00CC13B8"/>
    <w:rsid w:val="00CC1498"/>
    <w:rsid w:val="00CC1A00"/>
    <w:rsid w:val="00CC1A2F"/>
    <w:rsid w:val="00CC1D84"/>
    <w:rsid w:val="00CC20A2"/>
    <w:rsid w:val="00CC2300"/>
    <w:rsid w:val="00CC2C3E"/>
    <w:rsid w:val="00CC2C6E"/>
    <w:rsid w:val="00CC2C9C"/>
    <w:rsid w:val="00CC2CD3"/>
    <w:rsid w:val="00CC308B"/>
    <w:rsid w:val="00CC38EA"/>
    <w:rsid w:val="00CC41F2"/>
    <w:rsid w:val="00CC4675"/>
    <w:rsid w:val="00CC49B0"/>
    <w:rsid w:val="00CC4DCD"/>
    <w:rsid w:val="00CC4E83"/>
    <w:rsid w:val="00CC5452"/>
    <w:rsid w:val="00CC56A8"/>
    <w:rsid w:val="00CC60B1"/>
    <w:rsid w:val="00CC60D1"/>
    <w:rsid w:val="00CC62E8"/>
    <w:rsid w:val="00CC6310"/>
    <w:rsid w:val="00CC7007"/>
    <w:rsid w:val="00CC702B"/>
    <w:rsid w:val="00CC70E2"/>
    <w:rsid w:val="00CC715C"/>
    <w:rsid w:val="00CC7A7E"/>
    <w:rsid w:val="00CC7BEB"/>
    <w:rsid w:val="00CD004C"/>
    <w:rsid w:val="00CD05F1"/>
    <w:rsid w:val="00CD08D5"/>
    <w:rsid w:val="00CD093D"/>
    <w:rsid w:val="00CD0AB3"/>
    <w:rsid w:val="00CD1231"/>
    <w:rsid w:val="00CD14F3"/>
    <w:rsid w:val="00CD151D"/>
    <w:rsid w:val="00CD189F"/>
    <w:rsid w:val="00CD1992"/>
    <w:rsid w:val="00CD2152"/>
    <w:rsid w:val="00CD2643"/>
    <w:rsid w:val="00CD276D"/>
    <w:rsid w:val="00CD2D65"/>
    <w:rsid w:val="00CD30CF"/>
    <w:rsid w:val="00CD321C"/>
    <w:rsid w:val="00CD337C"/>
    <w:rsid w:val="00CD37D5"/>
    <w:rsid w:val="00CD3944"/>
    <w:rsid w:val="00CD3AD2"/>
    <w:rsid w:val="00CD3F9D"/>
    <w:rsid w:val="00CD4069"/>
    <w:rsid w:val="00CD4090"/>
    <w:rsid w:val="00CD4855"/>
    <w:rsid w:val="00CD4901"/>
    <w:rsid w:val="00CD4C82"/>
    <w:rsid w:val="00CD5D8F"/>
    <w:rsid w:val="00CD5F54"/>
    <w:rsid w:val="00CD63D4"/>
    <w:rsid w:val="00CD688E"/>
    <w:rsid w:val="00CD6CFA"/>
    <w:rsid w:val="00CD7121"/>
    <w:rsid w:val="00CD71FF"/>
    <w:rsid w:val="00CD7222"/>
    <w:rsid w:val="00CD78CE"/>
    <w:rsid w:val="00CD798D"/>
    <w:rsid w:val="00CD7B31"/>
    <w:rsid w:val="00CD7CB8"/>
    <w:rsid w:val="00CE0068"/>
    <w:rsid w:val="00CE0221"/>
    <w:rsid w:val="00CE035B"/>
    <w:rsid w:val="00CE1278"/>
    <w:rsid w:val="00CE184B"/>
    <w:rsid w:val="00CE1ABE"/>
    <w:rsid w:val="00CE1B2A"/>
    <w:rsid w:val="00CE1D7D"/>
    <w:rsid w:val="00CE1F2B"/>
    <w:rsid w:val="00CE204D"/>
    <w:rsid w:val="00CE209C"/>
    <w:rsid w:val="00CE232D"/>
    <w:rsid w:val="00CE2341"/>
    <w:rsid w:val="00CE25E4"/>
    <w:rsid w:val="00CE286D"/>
    <w:rsid w:val="00CE3164"/>
    <w:rsid w:val="00CE32A5"/>
    <w:rsid w:val="00CE3408"/>
    <w:rsid w:val="00CE367B"/>
    <w:rsid w:val="00CE3764"/>
    <w:rsid w:val="00CE395A"/>
    <w:rsid w:val="00CE3B26"/>
    <w:rsid w:val="00CE3B3C"/>
    <w:rsid w:val="00CE4085"/>
    <w:rsid w:val="00CE4188"/>
    <w:rsid w:val="00CE424B"/>
    <w:rsid w:val="00CE472C"/>
    <w:rsid w:val="00CE4E99"/>
    <w:rsid w:val="00CE5051"/>
    <w:rsid w:val="00CE5133"/>
    <w:rsid w:val="00CE5242"/>
    <w:rsid w:val="00CE573B"/>
    <w:rsid w:val="00CE582D"/>
    <w:rsid w:val="00CE5999"/>
    <w:rsid w:val="00CE6041"/>
    <w:rsid w:val="00CE649E"/>
    <w:rsid w:val="00CE6EFB"/>
    <w:rsid w:val="00CE6FA7"/>
    <w:rsid w:val="00CE7034"/>
    <w:rsid w:val="00CE7236"/>
    <w:rsid w:val="00CE72A6"/>
    <w:rsid w:val="00CE73DA"/>
    <w:rsid w:val="00CE75F3"/>
    <w:rsid w:val="00CE79B5"/>
    <w:rsid w:val="00CF02A1"/>
    <w:rsid w:val="00CF07B3"/>
    <w:rsid w:val="00CF08A1"/>
    <w:rsid w:val="00CF0E1C"/>
    <w:rsid w:val="00CF1220"/>
    <w:rsid w:val="00CF12A7"/>
    <w:rsid w:val="00CF14D9"/>
    <w:rsid w:val="00CF1A9E"/>
    <w:rsid w:val="00CF1D00"/>
    <w:rsid w:val="00CF2184"/>
    <w:rsid w:val="00CF2282"/>
    <w:rsid w:val="00CF23BB"/>
    <w:rsid w:val="00CF2541"/>
    <w:rsid w:val="00CF2702"/>
    <w:rsid w:val="00CF2AEC"/>
    <w:rsid w:val="00CF2E4D"/>
    <w:rsid w:val="00CF3012"/>
    <w:rsid w:val="00CF34FE"/>
    <w:rsid w:val="00CF375C"/>
    <w:rsid w:val="00CF421F"/>
    <w:rsid w:val="00CF451E"/>
    <w:rsid w:val="00CF4A89"/>
    <w:rsid w:val="00CF4BB3"/>
    <w:rsid w:val="00CF4FCB"/>
    <w:rsid w:val="00CF522D"/>
    <w:rsid w:val="00CF5356"/>
    <w:rsid w:val="00CF5A3B"/>
    <w:rsid w:val="00CF5AD8"/>
    <w:rsid w:val="00CF668E"/>
    <w:rsid w:val="00CF6C16"/>
    <w:rsid w:val="00CF6D42"/>
    <w:rsid w:val="00CF74AB"/>
    <w:rsid w:val="00CF77C1"/>
    <w:rsid w:val="00CF7C07"/>
    <w:rsid w:val="00CF7CF5"/>
    <w:rsid w:val="00CF7EAA"/>
    <w:rsid w:val="00D000DF"/>
    <w:rsid w:val="00D00423"/>
    <w:rsid w:val="00D00CAE"/>
    <w:rsid w:val="00D01044"/>
    <w:rsid w:val="00D010EF"/>
    <w:rsid w:val="00D013D7"/>
    <w:rsid w:val="00D014DF"/>
    <w:rsid w:val="00D01CFA"/>
    <w:rsid w:val="00D020F8"/>
    <w:rsid w:val="00D02745"/>
    <w:rsid w:val="00D028AB"/>
    <w:rsid w:val="00D0293F"/>
    <w:rsid w:val="00D02AAB"/>
    <w:rsid w:val="00D02ECA"/>
    <w:rsid w:val="00D0313E"/>
    <w:rsid w:val="00D0343C"/>
    <w:rsid w:val="00D035D7"/>
    <w:rsid w:val="00D03980"/>
    <w:rsid w:val="00D04106"/>
    <w:rsid w:val="00D0488A"/>
    <w:rsid w:val="00D04C15"/>
    <w:rsid w:val="00D04EF8"/>
    <w:rsid w:val="00D05ACC"/>
    <w:rsid w:val="00D060F0"/>
    <w:rsid w:val="00D06393"/>
    <w:rsid w:val="00D06398"/>
    <w:rsid w:val="00D0664C"/>
    <w:rsid w:val="00D06A81"/>
    <w:rsid w:val="00D06BA4"/>
    <w:rsid w:val="00D06E66"/>
    <w:rsid w:val="00D06ECA"/>
    <w:rsid w:val="00D076F8"/>
    <w:rsid w:val="00D07A47"/>
    <w:rsid w:val="00D07BDE"/>
    <w:rsid w:val="00D07D77"/>
    <w:rsid w:val="00D07F89"/>
    <w:rsid w:val="00D1026A"/>
    <w:rsid w:val="00D10B60"/>
    <w:rsid w:val="00D10D58"/>
    <w:rsid w:val="00D10E06"/>
    <w:rsid w:val="00D10F7D"/>
    <w:rsid w:val="00D115FE"/>
    <w:rsid w:val="00D11B8A"/>
    <w:rsid w:val="00D11F0A"/>
    <w:rsid w:val="00D12169"/>
    <w:rsid w:val="00D12772"/>
    <w:rsid w:val="00D12861"/>
    <w:rsid w:val="00D12A6C"/>
    <w:rsid w:val="00D12AA1"/>
    <w:rsid w:val="00D1383B"/>
    <w:rsid w:val="00D138BF"/>
    <w:rsid w:val="00D13D20"/>
    <w:rsid w:val="00D13E2B"/>
    <w:rsid w:val="00D13F0E"/>
    <w:rsid w:val="00D13F84"/>
    <w:rsid w:val="00D13FFD"/>
    <w:rsid w:val="00D14513"/>
    <w:rsid w:val="00D1473B"/>
    <w:rsid w:val="00D14B7B"/>
    <w:rsid w:val="00D14E96"/>
    <w:rsid w:val="00D157FA"/>
    <w:rsid w:val="00D15881"/>
    <w:rsid w:val="00D1599F"/>
    <w:rsid w:val="00D15C7F"/>
    <w:rsid w:val="00D16040"/>
    <w:rsid w:val="00D16153"/>
    <w:rsid w:val="00D16400"/>
    <w:rsid w:val="00D16547"/>
    <w:rsid w:val="00D16B0D"/>
    <w:rsid w:val="00D16E01"/>
    <w:rsid w:val="00D16E82"/>
    <w:rsid w:val="00D16F42"/>
    <w:rsid w:val="00D17A8D"/>
    <w:rsid w:val="00D2002E"/>
    <w:rsid w:val="00D20182"/>
    <w:rsid w:val="00D20329"/>
    <w:rsid w:val="00D20817"/>
    <w:rsid w:val="00D2084F"/>
    <w:rsid w:val="00D20CAA"/>
    <w:rsid w:val="00D20CBF"/>
    <w:rsid w:val="00D20E58"/>
    <w:rsid w:val="00D211B4"/>
    <w:rsid w:val="00D21255"/>
    <w:rsid w:val="00D2125F"/>
    <w:rsid w:val="00D214A1"/>
    <w:rsid w:val="00D21731"/>
    <w:rsid w:val="00D21C8E"/>
    <w:rsid w:val="00D221A6"/>
    <w:rsid w:val="00D222B3"/>
    <w:rsid w:val="00D223AE"/>
    <w:rsid w:val="00D229A1"/>
    <w:rsid w:val="00D22C71"/>
    <w:rsid w:val="00D2337B"/>
    <w:rsid w:val="00D233E6"/>
    <w:rsid w:val="00D2340B"/>
    <w:rsid w:val="00D24128"/>
    <w:rsid w:val="00D24476"/>
    <w:rsid w:val="00D244A4"/>
    <w:rsid w:val="00D2464E"/>
    <w:rsid w:val="00D24716"/>
    <w:rsid w:val="00D24D8B"/>
    <w:rsid w:val="00D24DB3"/>
    <w:rsid w:val="00D24F8D"/>
    <w:rsid w:val="00D25070"/>
    <w:rsid w:val="00D25278"/>
    <w:rsid w:val="00D253E6"/>
    <w:rsid w:val="00D2598D"/>
    <w:rsid w:val="00D25A40"/>
    <w:rsid w:val="00D25B8E"/>
    <w:rsid w:val="00D26342"/>
    <w:rsid w:val="00D26525"/>
    <w:rsid w:val="00D2692E"/>
    <w:rsid w:val="00D26B4F"/>
    <w:rsid w:val="00D2770A"/>
    <w:rsid w:val="00D27829"/>
    <w:rsid w:val="00D27930"/>
    <w:rsid w:val="00D304B6"/>
    <w:rsid w:val="00D304D9"/>
    <w:rsid w:val="00D3063B"/>
    <w:rsid w:val="00D306BB"/>
    <w:rsid w:val="00D312F2"/>
    <w:rsid w:val="00D313E8"/>
    <w:rsid w:val="00D31654"/>
    <w:rsid w:val="00D31998"/>
    <w:rsid w:val="00D31CE7"/>
    <w:rsid w:val="00D32425"/>
    <w:rsid w:val="00D3289F"/>
    <w:rsid w:val="00D32CA6"/>
    <w:rsid w:val="00D33047"/>
    <w:rsid w:val="00D332F8"/>
    <w:rsid w:val="00D33473"/>
    <w:rsid w:val="00D3396D"/>
    <w:rsid w:val="00D33ADC"/>
    <w:rsid w:val="00D34105"/>
    <w:rsid w:val="00D3415B"/>
    <w:rsid w:val="00D3415E"/>
    <w:rsid w:val="00D34268"/>
    <w:rsid w:val="00D3437B"/>
    <w:rsid w:val="00D34557"/>
    <w:rsid w:val="00D3457C"/>
    <w:rsid w:val="00D34B54"/>
    <w:rsid w:val="00D34FBB"/>
    <w:rsid w:val="00D35091"/>
    <w:rsid w:val="00D35715"/>
    <w:rsid w:val="00D35EBA"/>
    <w:rsid w:val="00D360F7"/>
    <w:rsid w:val="00D364AD"/>
    <w:rsid w:val="00D3669D"/>
    <w:rsid w:val="00D36CCD"/>
    <w:rsid w:val="00D36F30"/>
    <w:rsid w:val="00D3702A"/>
    <w:rsid w:val="00D37275"/>
    <w:rsid w:val="00D374D3"/>
    <w:rsid w:val="00D37619"/>
    <w:rsid w:val="00D37B8E"/>
    <w:rsid w:val="00D37CEB"/>
    <w:rsid w:val="00D37ED5"/>
    <w:rsid w:val="00D40CB1"/>
    <w:rsid w:val="00D410F0"/>
    <w:rsid w:val="00D4135A"/>
    <w:rsid w:val="00D415B3"/>
    <w:rsid w:val="00D41799"/>
    <w:rsid w:val="00D418D5"/>
    <w:rsid w:val="00D422AA"/>
    <w:rsid w:val="00D42336"/>
    <w:rsid w:val="00D42673"/>
    <w:rsid w:val="00D428AA"/>
    <w:rsid w:val="00D42CAE"/>
    <w:rsid w:val="00D42CCF"/>
    <w:rsid w:val="00D42D68"/>
    <w:rsid w:val="00D43153"/>
    <w:rsid w:val="00D431CC"/>
    <w:rsid w:val="00D43AB0"/>
    <w:rsid w:val="00D43F7B"/>
    <w:rsid w:val="00D44126"/>
    <w:rsid w:val="00D44586"/>
    <w:rsid w:val="00D446C0"/>
    <w:rsid w:val="00D44842"/>
    <w:rsid w:val="00D44CA0"/>
    <w:rsid w:val="00D450C8"/>
    <w:rsid w:val="00D45195"/>
    <w:rsid w:val="00D4539A"/>
    <w:rsid w:val="00D45485"/>
    <w:rsid w:val="00D455CC"/>
    <w:rsid w:val="00D45766"/>
    <w:rsid w:val="00D45945"/>
    <w:rsid w:val="00D45B15"/>
    <w:rsid w:val="00D45D64"/>
    <w:rsid w:val="00D45E22"/>
    <w:rsid w:val="00D45E5C"/>
    <w:rsid w:val="00D460F3"/>
    <w:rsid w:val="00D46125"/>
    <w:rsid w:val="00D46630"/>
    <w:rsid w:val="00D467D2"/>
    <w:rsid w:val="00D46D99"/>
    <w:rsid w:val="00D46EC6"/>
    <w:rsid w:val="00D472AE"/>
    <w:rsid w:val="00D47764"/>
    <w:rsid w:val="00D47ADF"/>
    <w:rsid w:val="00D47B5B"/>
    <w:rsid w:val="00D47BE0"/>
    <w:rsid w:val="00D47C70"/>
    <w:rsid w:val="00D47C7E"/>
    <w:rsid w:val="00D502D8"/>
    <w:rsid w:val="00D505BD"/>
    <w:rsid w:val="00D50DF7"/>
    <w:rsid w:val="00D51053"/>
    <w:rsid w:val="00D5109B"/>
    <w:rsid w:val="00D515CB"/>
    <w:rsid w:val="00D517EC"/>
    <w:rsid w:val="00D5235C"/>
    <w:rsid w:val="00D5248D"/>
    <w:rsid w:val="00D52A25"/>
    <w:rsid w:val="00D52C4B"/>
    <w:rsid w:val="00D53362"/>
    <w:rsid w:val="00D53A6D"/>
    <w:rsid w:val="00D53D46"/>
    <w:rsid w:val="00D547A3"/>
    <w:rsid w:val="00D549AF"/>
    <w:rsid w:val="00D54A67"/>
    <w:rsid w:val="00D54F21"/>
    <w:rsid w:val="00D54FDC"/>
    <w:rsid w:val="00D55179"/>
    <w:rsid w:val="00D55529"/>
    <w:rsid w:val="00D555F1"/>
    <w:rsid w:val="00D55A6C"/>
    <w:rsid w:val="00D55FC2"/>
    <w:rsid w:val="00D561EB"/>
    <w:rsid w:val="00D5667A"/>
    <w:rsid w:val="00D56780"/>
    <w:rsid w:val="00D567B4"/>
    <w:rsid w:val="00D56A57"/>
    <w:rsid w:val="00D56EDE"/>
    <w:rsid w:val="00D56F41"/>
    <w:rsid w:val="00D572C4"/>
    <w:rsid w:val="00D57319"/>
    <w:rsid w:val="00D5793B"/>
    <w:rsid w:val="00D57C4F"/>
    <w:rsid w:val="00D57DCB"/>
    <w:rsid w:val="00D57DCF"/>
    <w:rsid w:val="00D57F61"/>
    <w:rsid w:val="00D60030"/>
    <w:rsid w:val="00D60386"/>
    <w:rsid w:val="00D6049A"/>
    <w:rsid w:val="00D60CB3"/>
    <w:rsid w:val="00D60D2E"/>
    <w:rsid w:val="00D60E23"/>
    <w:rsid w:val="00D60FA1"/>
    <w:rsid w:val="00D61018"/>
    <w:rsid w:val="00D610DD"/>
    <w:rsid w:val="00D610E7"/>
    <w:rsid w:val="00D61485"/>
    <w:rsid w:val="00D616B0"/>
    <w:rsid w:val="00D618A6"/>
    <w:rsid w:val="00D61975"/>
    <w:rsid w:val="00D61B07"/>
    <w:rsid w:val="00D621ED"/>
    <w:rsid w:val="00D629E4"/>
    <w:rsid w:val="00D62B6E"/>
    <w:rsid w:val="00D62BB5"/>
    <w:rsid w:val="00D62EED"/>
    <w:rsid w:val="00D633AD"/>
    <w:rsid w:val="00D63629"/>
    <w:rsid w:val="00D639BC"/>
    <w:rsid w:val="00D63A72"/>
    <w:rsid w:val="00D63C00"/>
    <w:rsid w:val="00D63D25"/>
    <w:rsid w:val="00D63E89"/>
    <w:rsid w:val="00D644B3"/>
    <w:rsid w:val="00D64F99"/>
    <w:rsid w:val="00D66029"/>
    <w:rsid w:val="00D66331"/>
    <w:rsid w:val="00D6638F"/>
    <w:rsid w:val="00D6642A"/>
    <w:rsid w:val="00D66532"/>
    <w:rsid w:val="00D667B3"/>
    <w:rsid w:val="00D66860"/>
    <w:rsid w:val="00D66E49"/>
    <w:rsid w:val="00D67138"/>
    <w:rsid w:val="00D67740"/>
    <w:rsid w:val="00D67CA5"/>
    <w:rsid w:val="00D67D78"/>
    <w:rsid w:val="00D701EC"/>
    <w:rsid w:val="00D704FD"/>
    <w:rsid w:val="00D706DF"/>
    <w:rsid w:val="00D7083F"/>
    <w:rsid w:val="00D70A35"/>
    <w:rsid w:val="00D70D87"/>
    <w:rsid w:val="00D70FE7"/>
    <w:rsid w:val="00D711F3"/>
    <w:rsid w:val="00D715B5"/>
    <w:rsid w:val="00D71763"/>
    <w:rsid w:val="00D717FB"/>
    <w:rsid w:val="00D71882"/>
    <w:rsid w:val="00D718A6"/>
    <w:rsid w:val="00D718B7"/>
    <w:rsid w:val="00D71D2F"/>
    <w:rsid w:val="00D71F16"/>
    <w:rsid w:val="00D72086"/>
    <w:rsid w:val="00D727C5"/>
    <w:rsid w:val="00D729E8"/>
    <w:rsid w:val="00D72AF0"/>
    <w:rsid w:val="00D72E63"/>
    <w:rsid w:val="00D7317E"/>
    <w:rsid w:val="00D73A44"/>
    <w:rsid w:val="00D74118"/>
    <w:rsid w:val="00D7421F"/>
    <w:rsid w:val="00D742B7"/>
    <w:rsid w:val="00D743EB"/>
    <w:rsid w:val="00D7447C"/>
    <w:rsid w:val="00D7458C"/>
    <w:rsid w:val="00D745C7"/>
    <w:rsid w:val="00D7466A"/>
    <w:rsid w:val="00D74CF0"/>
    <w:rsid w:val="00D74E31"/>
    <w:rsid w:val="00D75046"/>
    <w:rsid w:val="00D751E7"/>
    <w:rsid w:val="00D7598B"/>
    <w:rsid w:val="00D75BCB"/>
    <w:rsid w:val="00D75D7B"/>
    <w:rsid w:val="00D75F6B"/>
    <w:rsid w:val="00D75FDA"/>
    <w:rsid w:val="00D76212"/>
    <w:rsid w:val="00D76438"/>
    <w:rsid w:val="00D764F7"/>
    <w:rsid w:val="00D76513"/>
    <w:rsid w:val="00D76714"/>
    <w:rsid w:val="00D76C7A"/>
    <w:rsid w:val="00D77089"/>
    <w:rsid w:val="00D77649"/>
    <w:rsid w:val="00D7768C"/>
    <w:rsid w:val="00D77728"/>
    <w:rsid w:val="00D778EB"/>
    <w:rsid w:val="00D77C5B"/>
    <w:rsid w:val="00D77FEB"/>
    <w:rsid w:val="00D800BA"/>
    <w:rsid w:val="00D803E0"/>
    <w:rsid w:val="00D8048F"/>
    <w:rsid w:val="00D80550"/>
    <w:rsid w:val="00D805C3"/>
    <w:rsid w:val="00D8072F"/>
    <w:rsid w:val="00D809CB"/>
    <w:rsid w:val="00D80A91"/>
    <w:rsid w:val="00D80DB9"/>
    <w:rsid w:val="00D81018"/>
    <w:rsid w:val="00D81225"/>
    <w:rsid w:val="00D813C0"/>
    <w:rsid w:val="00D814A3"/>
    <w:rsid w:val="00D814BD"/>
    <w:rsid w:val="00D815F1"/>
    <w:rsid w:val="00D817E1"/>
    <w:rsid w:val="00D822A9"/>
    <w:rsid w:val="00D82519"/>
    <w:rsid w:val="00D826DE"/>
    <w:rsid w:val="00D82A0F"/>
    <w:rsid w:val="00D82B6D"/>
    <w:rsid w:val="00D82E90"/>
    <w:rsid w:val="00D82F29"/>
    <w:rsid w:val="00D82FE8"/>
    <w:rsid w:val="00D83080"/>
    <w:rsid w:val="00D8311C"/>
    <w:rsid w:val="00D83727"/>
    <w:rsid w:val="00D845E9"/>
    <w:rsid w:val="00D84701"/>
    <w:rsid w:val="00D84720"/>
    <w:rsid w:val="00D849FE"/>
    <w:rsid w:val="00D84E89"/>
    <w:rsid w:val="00D850AD"/>
    <w:rsid w:val="00D850DA"/>
    <w:rsid w:val="00D85148"/>
    <w:rsid w:val="00D854EF"/>
    <w:rsid w:val="00D85D89"/>
    <w:rsid w:val="00D85E18"/>
    <w:rsid w:val="00D85E5B"/>
    <w:rsid w:val="00D85FD2"/>
    <w:rsid w:val="00D86176"/>
    <w:rsid w:val="00D862F6"/>
    <w:rsid w:val="00D866CA"/>
    <w:rsid w:val="00D8679E"/>
    <w:rsid w:val="00D8721C"/>
    <w:rsid w:val="00D87622"/>
    <w:rsid w:val="00D87B40"/>
    <w:rsid w:val="00D87D5C"/>
    <w:rsid w:val="00D87FA5"/>
    <w:rsid w:val="00D90548"/>
    <w:rsid w:val="00D90AB7"/>
    <w:rsid w:val="00D90D3C"/>
    <w:rsid w:val="00D916BF"/>
    <w:rsid w:val="00D916CA"/>
    <w:rsid w:val="00D91F3C"/>
    <w:rsid w:val="00D91FEF"/>
    <w:rsid w:val="00D921C1"/>
    <w:rsid w:val="00D92268"/>
    <w:rsid w:val="00D923AC"/>
    <w:rsid w:val="00D929B2"/>
    <w:rsid w:val="00D92D77"/>
    <w:rsid w:val="00D933B8"/>
    <w:rsid w:val="00D93B82"/>
    <w:rsid w:val="00D93BD6"/>
    <w:rsid w:val="00D93CC2"/>
    <w:rsid w:val="00D94114"/>
    <w:rsid w:val="00D9423C"/>
    <w:rsid w:val="00D946D0"/>
    <w:rsid w:val="00D94769"/>
    <w:rsid w:val="00D9499B"/>
    <w:rsid w:val="00D94B5F"/>
    <w:rsid w:val="00D94BE5"/>
    <w:rsid w:val="00D94BE7"/>
    <w:rsid w:val="00D94E42"/>
    <w:rsid w:val="00D951FC"/>
    <w:rsid w:val="00D95231"/>
    <w:rsid w:val="00D95431"/>
    <w:rsid w:val="00D9548E"/>
    <w:rsid w:val="00D95A97"/>
    <w:rsid w:val="00D9614A"/>
    <w:rsid w:val="00D961F3"/>
    <w:rsid w:val="00D96216"/>
    <w:rsid w:val="00D965C9"/>
    <w:rsid w:val="00D969B2"/>
    <w:rsid w:val="00D96E07"/>
    <w:rsid w:val="00D97129"/>
    <w:rsid w:val="00D97364"/>
    <w:rsid w:val="00D976B8"/>
    <w:rsid w:val="00D97711"/>
    <w:rsid w:val="00D979BC"/>
    <w:rsid w:val="00D97C62"/>
    <w:rsid w:val="00DA0250"/>
    <w:rsid w:val="00DA038E"/>
    <w:rsid w:val="00DA0665"/>
    <w:rsid w:val="00DA0683"/>
    <w:rsid w:val="00DA075E"/>
    <w:rsid w:val="00DA0812"/>
    <w:rsid w:val="00DA09BB"/>
    <w:rsid w:val="00DA0B5D"/>
    <w:rsid w:val="00DA0E0D"/>
    <w:rsid w:val="00DA1047"/>
    <w:rsid w:val="00DA125F"/>
    <w:rsid w:val="00DA1380"/>
    <w:rsid w:val="00DA1489"/>
    <w:rsid w:val="00DA1956"/>
    <w:rsid w:val="00DA1D2C"/>
    <w:rsid w:val="00DA1D71"/>
    <w:rsid w:val="00DA2108"/>
    <w:rsid w:val="00DA26B4"/>
    <w:rsid w:val="00DA3298"/>
    <w:rsid w:val="00DA3516"/>
    <w:rsid w:val="00DA3964"/>
    <w:rsid w:val="00DA3A0A"/>
    <w:rsid w:val="00DA3AD4"/>
    <w:rsid w:val="00DA3D2E"/>
    <w:rsid w:val="00DA475D"/>
    <w:rsid w:val="00DA48CE"/>
    <w:rsid w:val="00DA4970"/>
    <w:rsid w:val="00DA4D56"/>
    <w:rsid w:val="00DA4F1E"/>
    <w:rsid w:val="00DA5484"/>
    <w:rsid w:val="00DA554E"/>
    <w:rsid w:val="00DA5D4B"/>
    <w:rsid w:val="00DA5DEA"/>
    <w:rsid w:val="00DA5E02"/>
    <w:rsid w:val="00DA5FCB"/>
    <w:rsid w:val="00DA6875"/>
    <w:rsid w:val="00DA69D0"/>
    <w:rsid w:val="00DA69E0"/>
    <w:rsid w:val="00DA6B26"/>
    <w:rsid w:val="00DA6BA2"/>
    <w:rsid w:val="00DA7327"/>
    <w:rsid w:val="00DA74C1"/>
    <w:rsid w:val="00DA783B"/>
    <w:rsid w:val="00DA7A67"/>
    <w:rsid w:val="00DA7AC4"/>
    <w:rsid w:val="00DB0330"/>
    <w:rsid w:val="00DB06BE"/>
    <w:rsid w:val="00DB07A8"/>
    <w:rsid w:val="00DB0B95"/>
    <w:rsid w:val="00DB0D3F"/>
    <w:rsid w:val="00DB0F31"/>
    <w:rsid w:val="00DB0F70"/>
    <w:rsid w:val="00DB18C7"/>
    <w:rsid w:val="00DB1AC1"/>
    <w:rsid w:val="00DB22C8"/>
    <w:rsid w:val="00DB2EF6"/>
    <w:rsid w:val="00DB2FC5"/>
    <w:rsid w:val="00DB3E50"/>
    <w:rsid w:val="00DB3FE9"/>
    <w:rsid w:val="00DB450B"/>
    <w:rsid w:val="00DB47F3"/>
    <w:rsid w:val="00DB4CDD"/>
    <w:rsid w:val="00DB4D76"/>
    <w:rsid w:val="00DB5241"/>
    <w:rsid w:val="00DB5457"/>
    <w:rsid w:val="00DB5E10"/>
    <w:rsid w:val="00DB5EE2"/>
    <w:rsid w:val="00DB60BD"/>
    <w:rsid w:val="00DB635E"/>
    <w:rsid w:val="00DB6363"/>
    <w:rsid w:val="00DB65B1"/>
    <w:rsid w:val="00DB671B"/>
    <w:rsid w:val="00DB6881"/>
    <w:rsid w:val="00DB6A43"/>
    <w:rsid w:val="00DB6F1C"/>
    <w:rsid w:val="00DB735A"/>
    <w:rsid w:val="00DB7C60"/>
    <w:rsid w:val="00DC0022"/>
    <w:rsid w:val="00DC00D7"/>
    <w:rsid w:val="00DC02C0"/>
    <w:rsid w:val="00DC07E4"/>
    <w:rsid w:val="00DC0855"/>
    <w:rsid w:val="00DC08E1"/>
    <w:rsid w:val="00DC0D5F"/>
    <w:rsid w:val="00DC0D79"/>
    <w:rsid w:val="00DC0DC3"/>
    <w:rsid w:val="00DC0E47"/>
    <w:rsid w:val="00DC0FA4"/>
    <w:rsid w:val="00DC1157"/>
    <w:rsid w:val="00DC12CF"/>
    <w:rsid w:val="00DC1D87"/>
    <w:rsid w:val="00DC1DE3"/>
    <w:rsid w:val="00DC2228"/>
    <w:rsid w:val="00DC249B"/>
    <w:rsid w:val="00DC25DD"/>
    <w:rsid w:val="00DC28D6"/>
    <w:rsid w:val="00DC2922"/>
    <w:rsid w:val="00DC2E1A"/>
    <w:rsid w:val="00DC2FF5"/>
    <w:rsid w:val="00DC30E4"/>
    <w:rsid w:val="00DC32D9"/>
    <w:rsid w:val="00DC3423"/>
    <w:rsid w:val="00DC34E2"/>
    <w:rsid w:val="00DC3712"/>
    <w:rsid w:val="00DC3815"/>
    <w:rsid w:val="00DC3913"/>
    <w:rsid w:val="00DC3C15"/>
    <w:rsid w:val="00DC3E92"/>
    <w:rsid w:val="00DC3F8A"/>
    <w:rsid w:val="00DC452C"/>
    <w:rsid w:val="00DC4554"/>
    <w:rsid w:val="00DC49A3"/>
    <w:rsid w:val="00DC52E1"/>
    <w:rsid w:val="00DC54A6"/>
    <w:rsid w:val="00DC55C2"/>
    <w:rsid w:val="00DC56F8"/>
    <w:rsid w:val="00DC57DC"/>
    <w:rsid w:val="00DC5C84"/>
    <w:rsid w:val="00DC5E28"/>
    <w:rsid w:val="00DC6708"/>
    <w:rsid w:val="00DC6A9B"/>
    <w:rsid w:val="00DC6B1D"/>
    <w:rsid w:val="00DC6C77"/>
    <w:rsid w:val="00DC6DC7"/>
    <w:rsid w:val="00DC752A"/>
    <w:rsid w:val="00DC7656"/>
    <w:rsid w:val="00DC772B"/>
    <w:rsid w:val="00DC77F9"/>
    <w:rsid w:val="00DC7B58"/>
    <w:rsid w:val="00DC7CF2"/>
    <w:rsid w:val="00DC7DFC"/>
    <w:rsid w:val="00DD025F"/>
    <w:rsid w:val="00DD02F3"/>
    <w:rsid w:val="00DD0597"/>
    <w:rsid w:val="00DD05A5"/>
    <w:rsid w:val="00DD0603"/>
    <w:rsid w:val="00DD07E0"/>
    <w:rsid w:val="00DD08B6"/>
    <w:rsid w:val="00DD095E"/>
    <w:rsid w:val="00DD1088"/>
    <w:rsid w:val="00DD1395"/>
    <w:rsid w:val="00DD1C0B"/>
    <w:rsid w:val="00DD1E6D"/>
    <w:rsid w:val="00DD2520"/>
    <w:rsid w:val="00DD27EE"/>
    <w:rsid w:val="00DD2D42"/>
    <w:rsid w:val="00DD2DF1"/>
    <w:rsid w:val="00DD2E22"/>
    <w:rsid w:val="00DD2E2A"/>
    <w:rsid w:val="00DD307E"/>
    <w:rsid w:val="00DD3DB2"/>
    <w:rsid w:val="00DD4172"/>
    <w:rsid w:val="00DD4395"/>
    <w:rsid w:val="00DD43B6"/>
    <w:rsid w:val="00DD4425"/>
    <w:rsid w:val="00DD46B8"/>
    <w:rsid w:val="00DD48BC"/>
    <w:rsid w:val="00DD4C23"/>
    <w:rsid w:val="00DD4F50"/>
    <w:rsid w:val="00DD583D"/>
    <w:rsid w:val="00DD5ACE"/>
    <w:rsid w:val="00DD5B9A"/>
    <w:rsid w:val="00DD5D08"/>
    <w:rsid w:val="00DD64F0"/>
    <w:rsid w:val="00DD6562"/>
    <w:rsid w:val="00DD68D4"/>
    <w:rsid w:val="00DD6BC7"/>
    <w:rsid w:val="00DD708B"/>
    <w:rsid w:val="00DD70E1"/>
    <w:rsid w:val="00DD7567"/>
    <w:rsid w:val="00DD75F6"/>
    <w:rsid w:val="00DD7C7F"/>
    <w:rsid w:val="00DE0827"/>
    <w:rsid w:val="00DE082A"/>
    <w:rsid w:val="00DE109D"/>
    <w:rsid w:val="00DE11F2"/>
    <w:rsid w:val="00DE12DB"/>
    <w:rsid w:val="00DE1399"/>
    <w:rsid w:val="00DE13CE"/>
    <w:rsid w:val="00DE1779"/>
    <w:rsid w:val="00DE1A5C"/>
    <w:rsid w:val="00DE1D6B"/>
    <w:rsid w:val="00DE2362"/>
    <w:rsid w:val="00DE2764"/>
    <w:rsid w:val="00DE331B"/>
    <w:rsid w:val="00DE344A"/>
    <w:rsid w:val="00DE34EF"/>
    <w:rsid w:val="00DE3702"/>
    <w:rsid w:val="00DE3814"/>
    <w:rsid w:val="00DE38E1"/>
    <w:rsid w:val="00DE41C3"/>
    <w:rsid w:val="00DE42FD"/>
    <w:rsid w:val="00DE4308"/>
    <w:rsid w:val="00DE436A"/>
    <w:rsid w:val="00DE43B8"/>
    <w:rsid w:val="00DE43FC"/>
    <w:rsid w:val="00DE43FE"/>
    <w:rsid w:val="00DE4D34"/>
    <w:rsid w:val="00DE53A8"/>
    <w:rsid w:val="00DE53AA"/>
    <w:rsid w:val="00DE5A71"/>
    <w:rsid w:val="00DE5AB9"/>
    <w:rsid w:val="00DE5D14"/>
    <w:rsid w:val="00DE5DD2"/>
    <w:rsid w:val="00DE5EC9"/>
    <w:rsid w:val="00DE6345"/>
    <w:rsid w:val="00DE642C"/>
    <w:rsid w:val="00DE6B31"/>
    <w:rsid w:val="00DE70B1"/>
    <w:rsid w:val="00DE736F"/>
    <w:rsid w:val="00DE77E4"/>
    <w:rsid w:val="00DE78BC"/>
    <w:rsid w:val="00DE7922"/>
    <w:rsid w:val="00DE7A4B"/>
    <w:rsid w:val="00DE7C0E"/>
    <w:rsid w:val="00DF0023"/>
    <w:rsid w:val="00DF0829"/>
    <w:rsid w:val="00DF09CF"/>
    <w:rsid w:val="00DF0E0F"/>
    <w:rsid w:val="00DF14E3"/>
    <w:rsid w:val="00DF14F4"/>
    <w:rsid w:val="00DF155A"/>
    <w:rsid w:val="00DF1634"/>
    <w:rsid w:val="00DF1ADF"/>
    <w:rsid w:val="00DF1F1A"/>
    <w:rsid w:val="00DF1FBF"/>
    <w:rsid w:val="00DF2099"/>
    <w:rsid w:val="00DF24CB"/>
    <w:rsid w:val="00DF2DE5"/>
    <w:rsid w:val="00DF2F34"/>
    <w:rsid w:val="00DF302D"/>
    <w:rsid w:val="00DF3887"/>
    <w:rsid w:val="00DF3BC7"/>
    <w:rsid w:val="00DF3CDB"/>
    <w:rsid w:val="00DF3D59"/>
    <w:rsid w:val="00DF3DDA"/>
    <w:rsid w:val="00DF3F39"/>
    <w:rsid w:val="00DF40EA"/>
    <w:rsid w:val="00DF432D"/>
    <w:rsid w:val="00DF44E2"/>
    <w:rsid w:val="00DF4500"/>
    <w:rsid w:val="00DF4555"/>
    <w:rsid w:val="00DF481E"/>
    <w:rsid w:val="00DF4B9A"/>
    <w:rsid w:val="00DF50C2"/>
    <w:rsid w:val="00DF516C"/>
    <w:rsid w:val="00DF5448"/>
    <w:rsid w:val="00DF550D"/>
    <w:rsid w:val="00DF55AF"/>
    <w:rsid w:val="00DF55D7"/>
    <w:rsid w:val="00DF58C1"/>
    <w:rsid w:val="00DF5923"/>
    <w:rsid w:val="00DF5B29"/>
    <w:rsid w:val="00DF5BE3"/>
    <w:rsid w:val="00DF5CD0"/>
    <w:rsid w:val="00DF62A2"/>
    <w:rsid w:val="00DF6908"/>
    <w:rsid w:val="00DF6C06"/>
    <w:rsid w:val="00DF6DAF"/>
    <w:rsid w:val="00DF6F24"/>
    <w:rsid w:val="00DF7A4D"/>
    <w:rsid w:val="00E0041D"/>
    <w:rsid w:val="00E00581"/>
    <w:rsid w:val="00E00A4A"/>
    <w:rsid w:val="00E00B9A"/>
    <w:rsid w:val="00E00C4E"/>
    <w:rsid w:val="00E00CC4"/>
    <w:rsid w:val="00E00E30"/>
    <w:rsid w:val="00E010E1"/>
    <w:rsid w:val="00E01396"/>
    <w:rsid w:val="00E013F5"/>
    <w:rsid w:val="00E01483"/>
    <w:rsid w:val="00E01ECB"/>
    <w:rsid w:val="00E01F8D"/>
    <w:rsid w:val="00E020DC"/>
    <w:rsid w:val="00E0261E"/>
    <w:rsid w:val="00E029ED"/>
    <w:rsid w:val="00E02B70"/>
    <w:rsid w:val="00E0385F"/>
    <w:rsid w:val="00E03B18"/>
    <w:rsid w:val="00E03F36"/>
    <w:rsid w:val="00E042EC"/>
    <w:rsid w:val="00E04478"/>
    <w:rsid w:val="00E046A8"/>
    <w:rsid w:val="00E0475C"/>
    <w:rsid w:val="00E05289"/>
    <w:rsid w:val="00E0535B"/>
    <w:rsid w:val="00E053B5"/>
    <w:rsid w:val="00E05603"/>
    <w:rsid w:val="00E05616"/>
    <w:rsid w:val="00E058EB"/>
    <w:rsid w:val="00E0603A"/>
    <w:rsid w:val="00E06393"/>
    <w:rsid w:val="00E06509"/>
    <w:rsid w:val="00E06639"/>
    <w:rsid w:val="00E06C52"/>
    <w:rsid w:val="00E06D6C"/>
    <w:rsid w:val="00E06E12"/>
    <w:rsid w:val="00E0718A"/>
    <w:rsid w:val="00E07894"/>
    <w:rsid w:val="00E07AEC"/>
    <w:rsid w:val="00E07BE0"/>
    <w:rsid w:val="00E07E04"/>
    <w:rsid w:val="00E07E33"/>
    <w:rsid w:val="00E07E67"/>
    <w:rsid w:val="00E108D7"/>
    <w:rsid w:val="00E10DBC"/>
    <w:rsid w:val="00E11F4A"/>
    <w:rsid w:val="00E122B7"/>
    <w:rsid w:val="00E12802"/>
    <w:rsid w:val="00E129F9"/>
    <w:rsid w:val="00E12AFE"/>
    <w:rsid w:val="00E12DE9"/>
    <w:rsid w:val="00E12EAF"/>
    <w:rsid w:val="00E132BD"/>
    <w:rsid w:val="00E13340"/>
    <w:rsid w:val="00E13729"/>
    <w:rsid w:val="00E13792"/>
    <w:rsid w:val="00E138BB"/>
    <w:rsid w:val="00E14341"/>
    <w:rsid w:val="00E143BC"/>
    <w:rsid w:val="00E14707"/>
    <w:rsid w:val="00E149C0"/>
    <w:rsid w:val="00E14CC2"/>
    <w:rsid w:val="00E14D12"/>
    <w:rsid w:val="00E15203"/>
    <w:rsid w:val="00E1571B"/>
    <w:rsid w:val="00E15800"/>
    <w:rsid w:val="00E1601D"/>
    <w:rsid w:val="00E16268"/>
    <w:rsid w:val="00E1637E"/>
    <w:rsid w:val="00E1649B"/>
    <w:rsid w:val="00E164BD"/>
    <w:rsid w:val="00E16960"/>
    <w:rsid w:val="00E16A40"/>
    <w:rsid w:val="00E16BB0"/>
    <w:rsid w:val="00E16DC4"/>
    <w:rsid w:val="00E1724B"/>
    <w:rsid w:val="00E17316"/>
    <w:rsid w:val="00E174B3"/>
    <w:rsid w:val="00E17714"/>
    <w:rsid w:val="00E178B5"/>
    <w:rsid w:val="00E17C30"/>
    <w:rsid w:val="00E17DAB"/>
    <w:rsid w:val="00E201BB"/>
    <w:rsid w:val="00E2066A"/>
    <w:rsid w:val="00E210A7"/>
    <w:rsid w:val="00E212B2"/>
    <w:rsid w:val="00E212D2"/>
    <w:rsid w:val="00E214D3"/>
    <w:rsid w:val="00E215D8"/>
    <w:rsid w:val="00E217DC"/>
    <w:rsid w:val="00E21903"/>
    <w:rsid w:val="00E2238A"/>
    <w:rsid w:val="00E22BED"/>
    <w:rsid w:val="00E22D1D"/>
    <w:rsid w:val="00E230D6"/>
    <w:rsid w:val="00E232CE"/>
    <w:rsid w:val="00E23488"/>
    <w:rsid w:val="00E23615"/>
    <w:rsid w:val="00E24FC2"/>
    <w:rsid w:val="00E250FD"/>
    <w:rsid w:val="00E2511A"/>
    <w:rsid w:val="00E25864"/>
    <w:rsid w:val="00E25D8C"/>
    <w:rsid w:val="00E263DA"/>
    <w:rsid w:val="00E26468"/>
    <w:rsid w:val="00E2661D"/>
    <w:rsid w:val="00E2673E"/>
    <w:rsid w:val="00E26AF4"/>
    <w:rsid w:val="00E26CB6"/>
    <w:rsid w:val="00E26FDE"/>
    <w:rsid w:val="00E2704C"/>
    <w:rsid w:val="00E272F6"/>
    <w:rsid w:val="00E2763E"/>
    <w:rsid w:val="00E276A5"/>
    <w:rsid w:val="00E2782C"/>
    <w:rsid w:val="00E2796E"/>
    <w:rsid w:val="00E27AB8"/>
    <w:rsid w:val="00E27B7C"/>
    <w:rsid w:val="00E27CD4"/>
    <w:rsid w:val="00E3066D"/>
    <w:rsid w:val="00E306DD"/>
    <w:rsid w:val="00E30758"/>
    <w:rsid w:val="00E30F84"/>
    <w:rsid w:val="00E30F9E"/>
    <w:rsid w:val="00E30FB5"/>
    <w:rsid w:val="00E315F2"/>
    <w:rsid w:val="00E316B2"/>
    <w:rsid w:val="00E3181C"/>
    <w:rsid w:val="00E31881"/>
    <w:rsid w:val="00E31D2B"/>
    <w:rsid w:val="00E31D5D"/>
    <w:rsid w:val="00E31E78"/>
    <w:rsid w:val="00E32060"/>
    <w:rsid w:val="00E320F0"/>
    <w:rsid w:val="00E3212D"/>
    <w:rsid w:val="00E326F8"/>
    <w:rsid w:val="00E32E8C"/>
    <w:rsid w:val="00E32FE9"/>
    <w:rsid w:val="00E330F0"/>
    <w:rsid w:val="00E34090"/>
    <w:rsid w:val="00E3435E"/>
    <w:rsid w:val="00E34B13"/>
    <w:rsid w:val="00E34C5D"/>
    <w:rsid w:val="00E34CCA"/>
    <w:rsid w:val="00E35229"/>
    <w:rsid w:val="00E3537C"/>
    <w:rsid w:val="00E354B8"/>
    <w:rsid w:val="00E3685C"/>
    <w:rsid w:val="00E36C40"/>
    <w:rsid w:val="00E37008"/>
    <w:rsid w:val="00E370E1"/>
    <w:rsid w:val="00E373DC"/>
    <w:rsid w:val="00E3748F"/>
    <w:rsid w:val="00E377D4"/>
    <w:rsid w:val="00E37962"/>
    <w:rsid w:val="00E37F46"/>
    <w:rsid w:val="00E40080"/>
    <w:rsid w:val="00E4039E"/>
    <w:rsid w:val="00E40B08"/>
    <w:rsid w:val="00E40F02"/>
    <w:rsid w:val="00E410CF"/>
    <w:rsid w:val="00E413C9"/>
    <w:rsid w:val="00E4176C"/>
    <w:rsid w:val="00E4181A"/>
    <w:rsid w:val="00E41A91"/>
    <w:rsid w:val="00E41DD1"/>
    <w:rsid w:val="00E41E59"/>
    <w:rsid w:val="00E41EA8"/>
    <w:rsid w:val="00E42346"/>
    <w:rsid w:val="00E42428"/>
    <w:rsid w:val="00E427A0"/>
    <w:rsid w:val="00E4286B"/>
    <w:rsid w:val="00E434D2"/>
    <w:rsid w:val="00E43560"/>
    <w:rsid w:val="00E435E7"/>
    <w:rsid w:val="00E43600"/>
    <w:rsid w:val="00E437C7"/>
    <w:rsid w:val="00E4417F"/>
    <w:rsid w:val="00E442BF"/>
    <w:rsid w:val="00E4441A"/>
    <w:rsid w:val="00E4458E"/>
    <w:rsid w:val="00E4464C"/>
    <w:rsid w:val="00E451A0"/>
    <w:rsid w:val="00E45548"/>
    <w:rsid w:val="00E458DE"/>
    <w:rsid w:val="00E45F72"/>
    <w:rsid w:val="00E466FB"/>
    <w:rsid w:val="00E470FC"/>
    <w:rsid w:val="00E4738E"/>
    <w:rsid w:val="00E47399"/>
    <w:rsid w:val="00E47504"/>
    <w:rsid w:val="00E47645"/>
    <w:rsid w:val="00E4766A"/>
    <w:rsid w:val="00E477C2"/>
    <w:rsid w:val="00E47981"/>
    <w:rsid w:val="00E47A07"/>
    <w:rsid w:val="00E50455"/>
    <w:rsid w:val="00E50555"/>
    <w:rsid w:val="00E5069F"/>
    <w:rsid w:val="00E5082C"/>
    <w:rsid w:val="00E50AB2"/>
    <w:rsid w:val="00E50E62"/>
    <w:rsid w:val="00E50EFA"/>
    <w:rsid w:val="00E51657"/>
    <w:rsid w:val="00E51C67"/>
    <w:rsid w:val="00E52740"/>
    <w:rsid w:val="00E527EB"/>
    <w:rsid w:val="00E529D3"/>
    <w:rsid w:val="00E52BC0"/>
    <w:rsid w:val="00E53126"/>
    <w:rsid w:val="00E535B9"/>
    <w:rsid w:val="00E536DB"/>
    <w:rsid w:val="00E53F03"/>
    <w:rsid w:val="00E545F8"/>
    <w:rsid w:val="00E554DF"/>
    <w:rsid w:val="00E5579D"/>
    <w:rsid w:val="00E55839"/>
    <w:rsid w:val="00E55A37"/>
    <w:rsid w:val="00E55DE8"/>
    <w:rsid w:val="00E55E11"/>
    <w:rsid w:val="00E56F62"/>
    <w:rsid w:val="00E572CB"/>
    <w:rsid w:val="00E575AC"/>
    <w:rsid w:val="00E57622"/>
    <w:rsid w:val="00E5766F"/>
    <w:rsid w:val="00E57983"/>
    <w:rsid w:val="00E57A5D"/>
    <w:rsid w:val="00E57EA0"/>
    <w:rsid w:val="00E57F34"/>
    <w:rsid w:val="00E600DB"/>
    <w:rsid w:val="00E60BBC"/>
    <w:rsid w:val="00E60BD7"/>
    <w:rsid w:val="00E611FF"/>
    <w:rsid w:val="00E6170C"/>
    <w:rsid w:val="00E618CC"/>
    <w:rsid w:val="00E61A4A"/>
    <w:rsid w:val="00E61B10"/>
    <w:rsid w:val="00E61B96"/>
    <w:rsid w:val="00E61DC9"/>
    <w:rsid w:val="00E622D0"/>
    <w:rsid w:val="00E62309"/>
    <w:rsid w:val="00E6277F"/>
    <w:rsid w:val="00E6291A"/>
    <w:rsid w:val="00E6327E"/>
    <w:rsid w:val="00E63D81"/>
    <w:rsid w:val="00E645C5"/>
    <w:rsid w:val="00E649F9"/>
    <w:rsid w:val="00E64B8F"/>
    <w:rsid w:val="00E64CDD"/>
    <w:rsid w:val="00E64CF6"/>
    <w:rsid w:val="00E64D86"/>
    <w:rsid w:val="00E6556C"/>
    <w:rsid w:val="00E65BE2"/>
    <w:rsid w:val="00E65F41"/>
    <w:rsid w:val="00E66182"/>
    <w:rsid w:val="00E6671D"/>
    <w:rsid w:val="00E66D06"/>
    <w:rsid w:val="00E66DA0"/>
    <w:rsid w:val="00E66E57"/>
    <w:rsid w:val="00E671C4"/>
    <w:rsid w:val="00E671D5"/>
    <w:rsid w:val="00E67D18"/>
    <w:rsid w:val="00E67E61"/>
    <w:rsid w:val="00E70063"/>
    <w:rsid w:val="00E705A6"/>
    <w:rsid w:val="00E708FD"/>
    <w:rsid w:val="00E70AE7"/>
    <w:rsid w:val="00E70D5E"/>
    <w:rsid w:val="00E71073"/>
    <w:rsid w:val="00E7107F"/>
    <w:rsid w:val="00E71464"/>
    <w:rsid w:val="00E71586"/>
    <w:rsid w:val="00E7175E"/>
    <w:rsid w:val="00E71A2B"/>
    <w:rsid w:val="00E72394"/>
    <w:rsid w:val="00E7247E"/>
    <w:rsid w:val="00E72B79"/>
    <w:rsid w:val="00E73F17"/>
    <w:rsid w:val="00E7442D"/>
    <w:rsid w:val="00E744E1"/>
    <w:rsid w:val="00E7491F"/>
    <w:rsid w:val="00E74ECF"/>
    <w:rsid w:val="00E75168"/>
    <w:rsid w:val="00E7589D"/>
    <w:rsid w:val="00E75C74"/>
    <w:rsid w:val="00E75D5D"/>
    <w:rsid w:val="00E75EA5"/>
    <w:rsid w:val="00E76079"/>
    <w:rsid w:val="00E7610C"/>
    <w:rsid w:val="00E76211"/>
    <w:rsid w:val="00E7639B"/>
    <w:rsid w:val="00E76563"/>
    <w:rsid w:val="00E7656E"/>
    <w:rsid w:val="00E769FE"/>
    <w:rsid w:val="00E76BBA"/>
    <w:rsid w:val="00E76C17"/>
    <w:rsid w:val="00E76CE3"/>
    <w:rsid w:val="00E77097"/>
    <w:rsid w:val="00E77391"/>
    <w:rsid w:val="00E774E3"/>
    <w:rsid w:val="00E7776E"/>
    <w:rsid w:val="00E77D56"/>
    <w:rsid w:val="00E77E66"/>
    <w:rsid w:val="00E80033"/>
    <w:rsid w:val="00E800EF"/>
    <w:rsid w:val="00E804D2"/>
    <w:rsid w:val="00E80836"/>
    <w:rsid w:val="00E80C62"/>
    <w:rsid w:val="00E80E52"/>
    <w:rsid w:val="00E80F6B"/>
    <w:rsid w:val="00E80FEF"/>
    <w:rsid w:val="00E8123B"/>
    <w:rsid w:val="00E813CE"/>
    <w:rsid w:val="00E8174C"/>
    <w:rsid w:val="00E81920"/>
    <w:rsid w:val="00E81AE9"/>
    <w:rsid w:val="00E81B16"/>
    <w:rsid w:val="00E81D41"/>
    <w:rsid w:val="00E8204C"/>
    <w:rsid w:val="00E822DF"/>
    <w:rsid w:val="00E826F0"/>
    <w:rsid w:val="00E82B7F"/>
    <w:rsid w:val="00E82D5F"/>
    <w:rsid w:val="00E82D95"/>
    <w:rsid w:val="00E82F08"/>
    <w:rsid w:val="00E83BD1"/>
    <w:rsid w:val="00E83F01"/>
    <w:rsid w:val="00E84003"/>
    <w:rsid w:val="00E847AD"/>
    <w:rsid w:val="00E84984"/>
    <w:rsid w:val="00E84D4E"/>
    <w:rsid w:val="00E84DD4"/>
    <w:rsid w:val="00E84DF3"/>
    <w:rsid w:val="00E8562A"/>
    <w:rsid w:val="00E8578D"/>
    <w:rsid w:val="00E859A1"/>
    <w:rsid w:val="00E85C6A"/>
    <w:rsid w:val="00E85DCF"/>
    <w:rsid w:val="00E8617D"/>
    <w:rsid w:val="00E865E9"/>
    <w:rsid w:val="00E8670B"/>
    <w:rsid w:val="00E867A0"/>
    <w:rsid w:val="00E868F9"/>
    <w:rsid w:val="00E8692B"/>
    <w:rsid w:val="00E86943"/>
    <w:rsid w:val="00E86B95"/>
    <w:rsid w:val="00E87015"/>
    <w:rsid w:val="00E87B64"/>
    <w:rsid w:val="00E87DB0"/>
    <w:rsid w:val="00E87E2A"/>
    <w:rsid w:val="00E903E1"/>
    <w:rsid w:val="00E9046E"/>
    <w:rsid w:val="00E90512"/>
    <w:rsid w:val="00E905E9"/>
    <w:rsid w:val="00E9064C"/>
    <w:rsid w:val="00E912A7"/>
    <w:rsid w:val="00E9148B"/>
    <w:rsid w:val="00E917FD"/>
    <w:rsid w:val="00E918D7"/>
    <w:rsid w:val="00E91DEF"/>
    <w:rsid w:val="00E91ED9"/>
    <w:rsid w:val="00E92185"/>
    <w:rsid w:val="00E92A3F"/>
    <w:rsid w:val="00E92CC3"/>
    <w:rsid w:val="00E92D25"/>
    <w:rsid w:val="00E92FAD"/>
    <w:rsid w:val="00E93324"/>
    <w:rsid w:val="00E933BA"/>
    <w:rsid w:val="00E939E5"/>
    <w:rsid w:val="00E93AC2"/>
    <w:rsid w:val="00E93DCF"/>
    <w:rsid w:val="00E94613"/>
    <w:rsid w:val="00E94CF7"/>
    <w:rsid w:val="00E95687"/>
    <w:rsid w:val="00E95743"/>
    <w:rsid w:val="00E95770"/>
    <w:rsid w:val="00E95B39"/>
    <w:rsid w:val="00E96267"/>
    <w:rsid w:val="00E96594"/>
    <w:rsid w:val="00E96691"/>
    <w:rsid w:val="00E971F7"/>
    <w:rsid w:val="00E97E81"/>
    <w:rsid w:val="00EA0191"/>
    <w:rsid w:val="00EA025B"/>
    <w:rsid w:val="00EA04CB"/>
    <w:rsid w:val="00EA055D"/>
    <w:rsid w:val="00EA05C6"/>
    <w:rsid w:val="00EA0F87"/>
    <w:rsid w:val="00EA113F"/>
    <w:rsid w:val="00EA13D6"/>
    <w:rsid w:val="00EA1BEE"/>
    <w:rsid w:val="00EA1D50"/>
    <w:rsid w:val="00EA241C"/>
    <w:rsid w:val="00EA2690"/>
    <w:rsid w:val="00EA2D03"/>
    <w:rsid w:val="00EA3307"/>
    <w:rsid w:val="00EA3596"/>
    <w:rsid w:val="00EA35EC"/>
    <w:rsid w:val="00EA38D0"/>
    <w:rsid w:val="00EA3B76"/>
    <w:rsid w:val="00EA3CFA"/>
    <w:rsid w:val="00EA3EB0"/>
    <w:rsid w:val="00EA425E"/>
    <w:rsid w:val="00EA42F0"/>
    <w:rsid w:val="00EA431B"/>
    <w:rsid w:val="00EA4676"/>
    <w:rsid w:val="00EA4742"/>
    <w:rsid w:val="00EA4E88"/>
    <w:rsid w:val="00EA4E99"/>
    <w:rsid w:val="00EA4F8E"/>
    <w:rsid w:val="00EA5021"/>
    <w:rsid w:val="00EA5460"/>
    <w:rsid w:val="00EA566A"/>
    <w:rsid w:val="00EA5737"/>
    <w:rsid w:val="00EA59CA"/>
    <w:rsid w:val="00EA5C34"/>
    <w:rsid w:val="00EA63A5"/>
    <w:rsid w:val="00EA6C01"/>
    <w:rsid w:val="00EA6D4D"/>
    <w:rsid w:val="00EA6E26"/>
    <w:rsid w:val="00EA7217"/>
    <w:rsid w:val="00EA7406"/>
    <w:rsid w:val="00EA75F7"/>
    <w:rsid w:val="00EA7E3C"/>
    <w:rsid w:val="00EB089E"/>
    <w:rsid w:val="00EB0AC3"/>
    <w:rsid w:val="00EB0D76"/>
    <w:rsid w:val="00EB0E11"/>
    <w:rsid w:val="00EB0F46"/>
    <w:rsid w:val="00EB10F6"/>
    <w:rsid w:val="00EB1C65"/>
    <w:rsid w:val="00EB1DAA"/>
    <w:rsid w:val="00EB1F94"/>
    <w:rsid w:val="00EB20A0"/>
    <w:rsid w:val="00EB3061"/>
    <w:rsid w:val="00EB33BE"/>
    <w:rsid w:val="00EB36B7"/>
    <w:rsid w:val="00EB3AA4"/>
    <w:rsid w:val="00EB4320"/>
    <w:rsid w:val="00EB435F"/>
    <w:rsid w:val="00EB4696"/>
    <w:rsid w:val="00EB4907"/>
    <w:rsid w:val="00EB494D"/>
    <w:rsid w:val="00EB4B57"/>
    <w:rsid w:val="00EB51FB"/>
    <w:rsid w:val="00EB555C"/>
    <w:rsid w:val="00EB56B3"/>
    <w:rsid w:val="00EB56DD"/>
    <w:rsid w:val="00EB59D5"/>
    <w:rsid w:val="00EB5A22"/>
    <w:rsid w:val="00EB5B69"/>
    <w:rsid w:val="00EB5CAB"/>
    <w:rsid w:val="00EB5D6E"/>
    <w:rsid w:val="00EB5F42"/>
    <w:rsid w:val="00EB5F52"/>
    <w:rsid w:val="00EB6AFC"/>
    <w:rsid w:val="00EB6C00"/>
    <w:rsid w:val="00EB6EFD"/>
    <w:rsid w:val="00EB7370"/>
    <w:rsid w:val="00EB73CF"/>
    <w:rsid w:val="00EB76FB"/>
    <w:rsid w:val="00EB790E"/>
    <w:rsid w:val="00EB792F"/>
    <w:rsid w:val="00EB7D60"/>
    <w:rsid w:val="00EB7F30"/>
    <w:rsid w:val="00EC03A3"/>
    <w:rsid w:val="00EC0B5D"/>
    <w:rsid w:val="00EC0C21"/>
    <w:rsid w:val="00EC0D94"/>
    <w:rsid w:val="00EC0E43"/>
    <w:rsid w:val="00EC0F24"/>
    <w:rsid w:val="00EC1148"/>
    <w:rsid w:val="00EC1484"/>
    <w:rsid w:val="00EC1B24"/>
    <w:rsid w:val="00EC1EB1"/>
    <w:rsid w:val="00EC29A1"/>
    <w:rsid w:val="00EC2FFE"/>
    <w:rsid w:val="00EC30BF"/>
    <w:rsid w:val="00EC329C"/>
    <w:rsid w:val="00EC33C6"/>
    <w:rsid w:val="00EC3421"/>
    <w:rsid w:val="00EC38CF"/>
    <w:rsid w:val="00EC3C5D"/>
    <w:rsid w:val="00EC46FF"/>
    <w:rsid w:val="00EC48CD"/>
    <w:rsid w:val="00EC51D6"/>
    <w:rsid w:val="00EC56AC"/>
    <w:rsid w:val="00EC5A8A"/>
    <w:rsid w:val="00EC6939"/>
    <w:rsid w:val="00EC6ADD"/>
    <w:rsid w:val="00EC6EED"/>
    <w:rsid w:val="00EC746C"/>
    <w:rsid w:val="00EC7B1A"/>
    <w:rsid w:val="00EC7B6A"/>
    <w:rsid w:val="00EC7C36"/>
    <w:rsid w:val="00EC7ECA"/>
    <w:rsid w:val="00EC7F55"/>
    <w:rsid w:val="00ED00D2"/>
    <w:rsid w:val="00ED00FB"/>
    <w:rsid w:val="00ED011D"/>
    <w:rsid w:val="00ED0372"/>
    <w:rsid w:val="00ED0794"/>
    <w:rsid w:val="00ED0AD3"/>
    <w:rsid w:val="00ED0B57"/>
    <w:rsid w:val="00ED0B75"/>
    <w:rsid w:val="00ED11A6"/>
    <w:rsid w:val="00ED1529"/>
    <w:rsid w:val="00ED1A5E"/>
    <w:rsid w:val="00ED201C"/>
    <w:rsid w:val="00ED230A"/>
    <w:rsid w:val="00ED2360"/>
    <w:rsid w:val="00ED2721"/>
    <w:rsid w:val="00ED278C"/>
    <w:rsid w:val="00ED27CE"/>
    <w:rsid w:val="00ED29CD"/>
    <w:rsid w:val="00ED2B60"/>
    <w:rsid w:val="00ED2BF3"/>
    <w:rsid w:val="00ED3168"/>
    <w:rsid w:val="00ED34C0"/>
    <w:rsid w:val="00ED3A25"/>
    <w:rsid w:val="00ED3D05"/>
    <w:rsid w:val="00ED3DBE"/>
    <w:rsid w:val="00ED437D"/>
    <w:rsid w:val="00ED4639"/>
    <w:rsid w:val="00ED48E4"/>
    <w:rsid w:val="00ED49A0"/>
    <w:rsid w:val="00ED4A8C"/>
    <w:rsid w:val="00ED4AF9"/>
    <w:rsid w:val="00ED5342"/>
    <w:rsid w:val="00ED56DE"/>
    <w:rsid w:val="00ED5747"/>
    <w:rsid w:val="00ED590A"/>
    <w:rsid w:val="00ED5950"/>
    <w:rsid w:val="00ED619A"/>
    <w:rsid w:val="00ED6B95"/>
    <w:rsid w:val="00ED71AB"/>
    <w:rsid w:val="00ED75A5"/>
    <w:rsid w:val="00ED7844"/>
    <w:rsid w:val="00ED7CA7"/>
    <w:rsid w:val="00ED7E05"/>
    <w:rsid w:val="00EE028C"/>
    <w:rsid w:val="00EE036D"/>
    <w:rsid w:val="00EE0D31"/>
    <w:rsid w:val="00EE11EF"/>
    <w:rsid w:val="00EE1297"/>
    <w:rsid w:val="00EE1655"/>
    <w:rsid w:val="00EE16CC"/>
    <w:rsid w:val="00EE1AC9"/>
    <w:rsid w:val="00EE228D"/>
    <w:rsid w:val="00EE2733"/>
    <w:rsid w:val="00EE28C9"/>
    <w:rsid w:val="00EE2CBF"/>
    <w:rsid w:val="00EE2D73"/>
    <w:rsid w:val="00EE2E26"/>
    <w:rsid w:val="00EE34ED"/>
    <w:rsid w:val="00EE371B"/>
    <w:rsid w:val="00EE381D"/>
    <w:rsid w:val="00EE3FF5"/>
    <w:rsid w:val="00EE5119"/>
    <w:rsid w:val="00EE52C5"/>
    <w:rsid w:val="00EE5F7C"/>
    <w:rsid w:val="00EE68DF"/>
    <w:rsid w:val="00EE698E"/>
    <w:rsid w:val="00EE6D72"/>
    <w:rsid w:val="00EE6EE8"/>
    <w:rsid w:val="00EE7072"/>
    <w:rsid w:val="00EE7095"/>
    <w:rsid w:val="00EE70AE"/>
    <w:rsid w:val="00EE7263"/>
    <w:rsid w:val="00EE7447"/>
    <w:rsid w:val="00EE7629"/>
    <w:rsid w:val="00EE7764"/>
    <w:rsid w:val="00EE7B21"/>
    <w:rsid w:val="00EF0167"/>
    <w:rsid w:val="00EF06A0"/>
    <w:rsid w:val="00EF087E"/>
    <w:rsid w:val="00EF1842"/>
    <w:rsid w:val="00EF1ABB"/>
    <w:rsid w:val="00EF1BFF"/>
    <w:rsid w:val="00EF1FE1"/>
    <w:rsid w:val="00EF232A"/>
    <w:rsid w:val="00EF2963"/>
    <w:rsid w:val="00EF30D4"/>
    <w:rsid w:val="00EF3270"/>
    <w:rsid w:val="00EF3533"/>
    <w:rsid w:val="00EF3701"/>
    <w:rsid w:val="00EF3831"/>
    <w:rsid w:val="00EF3B1E"/>
    <w:rsid w:val="00EF3C7F"/>
    <w:rsid w:val="00EF4008"/>
    <w:rsid w:val="00EF4684"/>
    <w:rsid w:val="00EF4976"/>
    <w:rsid w:val="00EF49FE"/>
    <w:rsid w:val="00EF4A2C"/>
    <w:rsid w:val="00EF511C"/>
    <w:rsid w:val="00EF5942"/>
    <w:rsid w:val="00EF5963"/>
    <w:rsid w:val="00EF59C7"/>
    <w:rsid w:val="00EF5BBE"/>
    <w:rsid w:val="00EF60B6"/>
    <w:rsid w:val="00EF672A"/>
    <w:rsid w:val="00EF68B7"/>
    <w:rsid w:val="00EF6AED"/>
    <w:rsid w:val="00EF6AF6"/>
    <w:rsid w:val="00EF6B9F"/>
    <w:rsid w:val="00EF7293"/>
    <w:rsid w:val="00EF75FD"/>
    <w:rsid w:val="00EF7739"/>
    <w:rsid w:val="00F004C7"/>
    <w:rsid w:val="00F0094A"/>
    <w:rsid w:val="00F00CFE"/>
    <w:rsid w:val="00F00E33"/>
    <w:rsid w:val="00F01802"/>
    <w:rsid w:val="00F01A75"/>
    <w:rsid w:val="00F01E5C"/>
    <w:rsid w:val="00F01FE1"/>
    <w:rsid w:val="00F020A1"/>
    <w:rsid w:val="00F020EE"/>
    <w:rsid w:val="00F02117"/>
    <w:rsid w:val="00F02598"/>
    <w:rsid w:val="00F02604"/>
    <w:rsid w:val="00F02E43"/>
    <w:rsid w:val="00F030E3"/>
    <w:rsid w:val="00F035FC"/>
    <w:rsid w:val="00F03A4C"/>
    <w:rsid w:val="00F03AF5"/>
    <w:rsid w:val="00F03C2E"/>
    <w:rsid w:val="00F03FCC"/>
    <w:rsid w:val="00F04514"/>
    <w:rsid w:val="00F04692"/>
    <w:rsid w:val="00F0475C"/>
    <w:rsid w:val="00F04830"/>
    <w:rsid w:val="00F05001"/>
    <w:rsid w:val="00F05067"/>
    <w:rsid w:val="00F0508D"/>
    <w:rsid w:val="00F054BA"/>
    <w:rsid w:val="00F056CA"/>
    <w:rsid w:val="00F057CB"/>
    <w:rsid w:val="00F0585A"/>
    <w:rsid w:val="00F059BA"/>
    <w:rsid w:val="00F05B21"/>
    <w:rsid w:val="00F066BE"/>
    <w:rsid w:val="00F06743"/>
    <w:rsid w:val="00F0713D"/>
    <w:rsid w:val="00F07286"/>
    <w:rsid w:val="00F0774D"/>
    <w:rsid w:val="00F07774"/>
    <w:rsid w:val="00F10483"/>
    <w:rsid w:val="00F10634"/>
    <w:rsid w:val="00F10748"/>
    <w:rsid w:val="00F114A9"/>
    <w:rsid w:val="00F115B7"/>
    <w:rsid w:val="00F118C4"/>
    <w:rsid w:val="00F11A13"/>
    <w:rsid w:val="00F11B41"/>
    <w:rsid w:val="00F11F1D"/>
    <w:rsid w:val="00F11F78"/>
    <w:rsid w:val="00F12430"/>
    <w:rsid w:val="00F125A6"/>
    <w:rsid w:val="00F12759"/>
    <w:rsid w:val="00F127B0"/>
    <w:rsid w:val="00F128BD"/>
    <w:rsid w:val="00F132FE"/>
    <w:rsid w:val="00F13632"/>
    <w:rsid w:val="00F13783"/>
    <w:rsid w:val="00F14108"/>
    <w:rsid w:val="00F141B9"/>
    <w:rsid w:val="00F142E6"/>
    <w:rsid w:val="00F147C4"/>
    <w:rsid w:val="00F14B94"/>
    <w:rsid w:val="00F14DC3"/>
    <w:rsid w:val="00F153E9"/>
    <w:rsid w:val="00F1563E"/>
    <w:rsid w:val="00F15690"/>
    <w:rsid w:val="00F15AD2"/>
    <w:rsid w:val="00F15EEC"/>
    <w:rsid w:val="00F1682D"/>
    <w:rsid w:val="00F16C1A"/>
    <w:rsid w:val="00F171AA"/>
    <w:rsid w:val="00F174A6"/>
    <w:rsid w:val="00F1750C"/>
    <w:rsid w:val="00F17568"/>
    <w:rsid w:val="00F175BC"/>
    <w:rsid w:val="00F17732"/>
    <w:rsid w:val="00F17A82"/>
    <w:rsid w:val="00F17BA9"/>
    <w:rsid w:val="00F17F8F"/>
    <w:rsid w:val="00F20008"/>
    <w:rsid w:val="00F2025A"/>
    <w:rsid w:val="00F202AB"/>
    <w:rsid w:val="00F20B9D"/>
    <w:rsid w:val="00F20E91"/>
    <w:rsid w:val="00F20F79"/>
    <w:rsid w:val="00F20FBA"/>
    <w:rsid w:val="00F21119"/>
    <w:rsid w:val="00F21295"/>
    <w:rsid w:val="00F215F6"/>
    <w:rsid w:val="00F2168F"/>
    <w:rsid w:val="00F216DD"/>
    <w:rsid w:val="00F22178"/>
    <w:rsid w:val="00F22203"/>
    <w:rsid w:val="00F22706"/>
    <w:rsid w:val="00F22D60"/>
    <w:rsid w:val="00F23007"/>
    <w:rsid w:val="00F23360"/>
    <w:rsid w:val="00F2340B"/>
    <w:rsid w:val="00F2356E"/>
    <w:rsid w:val="00F23926"/>
    <w:rsid w:val="00F24338"/>
    <w:rsid w:val="00F24FB9"/>
    <w:rsid w:val="00F25325"/>
    <w:rsid w:val="00F2545E"/>
    <w:rsid w:val="00F25609"/>
    <w:rsid w:val="00F2589D"/>
    <w:rsid w:val="00F25A9C"/>
    <w:rsid w:val="00F25FF0"/>
    <w:rsid w:val="00F260AA"/>
    <w:rsid w:val="00F261FF"/>
    <w:rsid w:val="00F26F3E"/>
    <w:rsid w:val="00F27069"/>
    <w:rsid w:val="00F270F1"/>
    <w:rsid w:val="00F274EE"/>
    <w:rsid w:val="00F279B1"/>
    <w:rsid w:val="00F27AE4"/>
    <w:rsid w:val="00F27B35"/>
    <w:rsid w:val="00F27E5A"/>
    <w:rsid w:val="00F27FA5"/>
    <w:rsid w:val="00F3021D"/>
    <w:rsid w:val="00F30647"/>
    <w:rsid w:val="00F30723"/>
    <w:rsid w:val="00F3090F"/>
    <w:rsid w:val="00F30D53"/>
    <w:rsid w:val="00F315F4"/>
    <w:rsid w:val="00F31DCA"/>
    <w:rsid w:val="00F323B3"/>
    <w:rsid w:val="00F32776"/>
    <w:rsid w:val="00F327A9"/>
    <w:rsid w:val="00F328A4"/>
    <w:rsid w:val="00F32929"/>
    <w:rsid w:val="00F32A79"/>
    <w:rsid w:val="00F32ACF"/>
    <w:rsid w:val="00F32FFE"/>
    <w:rsid w:val="00F3328F"/>
    <w:rsid w:val="00F3368B"/>
    <w:rsid w:val="00F336D6"/>
    <w:rsid w:val="00F33782"/>
    <w:rsid w:val="00F339CE"/>
    <w:rsid w:val="00F3416C"/>
    <w:rsid w:val="00F342DF"/>
    <w:rsid w:val="00F34433"/>
    <w:rsid w:val="00F346C2"/>
    <w:rsid w:val="00F346D4"/>
    <w:rsid w:val="00F34DFF"/>
    <w:rsid w:val="00F35061"/>
    <w:rsid w:val="00F353EC"/>
    <w:rsid w:val="00F35A2C"/>
    <w:rsid w:val="00F35B27"/>
    <w:rsid w:val="00F36146"/>
    <w:rsid w:val="00F366D8"/>
    <w:rsid w:val="00F36A6D"/>
    <w:rsid w:val="00F36B50"/>
    <w:rsid w:val="00F36BDA"/>
    <w:rsid w:val="00F36E83"/>
    <w:rsid w:val="00F3712E"/>
    <w:rsid w:val="00F372B7"/>
    <w:rsid w:val="00F37B3D"/>
    <w:rsid w:val="00F37C7F"/>
    <w:rsid w:val="00F4022E"/>
    <w:rsid w:val="00F40359"/>
    <w:rsid w:val="00F40802"/>
    <w:rsid w:val="00F40960"/>
    <w:rsid w:val="00F40DCC"/>
    <w:rsid w:val="00F4101D"/>
    <w:rsid w:val="00F415B1"/>
    <w:rsid w:val="00F41924"/>
    <w:rsid w:val="00F4193E"/>
    <w:rsid w:val="00F420DC"/>
    <w:rsid w:val="00F42134"/>
    <w:rsid w:val="00F42419"/>
    <w:rsid w:val="00F4278F"/>
    <w:rsid w:val="00F429C8"/>
    <w:rsid w:val="00F42C5A"/>
    <w:rsid w:val="00F43075"/>
    <w:rsid w:val="00F439A8"/>
    <w:rsid w:val="00F43A33"/>
    <w:rsid w:val="00F43BCD"/>
    <w:rsid w:val="00F43E3D"/>
    <w:rsid w:val="00F44360"/>
    <w:rsid w:val="00F449EB"/>
    <w:rsid w:val="00F44CC5"/>
    <w:rsid w:val="00F4558E"/>
    <w:rsid w:val="00F45EEB"/>
    <w:rsid w:val="00F462E7"/>
    <w:rsid w:val="00F46469"/>
    <w:rsid w:val="00F46591"/>
    <w:rsid w:val="00F46598"/>
    <w:rsid w:val="00F46641"/>
    <w:rsid w:val="00F46791"/>
    <w:rsid w:val="00F46874"/>
    <w:rsid w:val="00F46CE9"/>
    <w:rsid w:val="00F47355"/>
    <w:rsid w:val="00F475BF"/>
    <w:rsid w:val="00F4768D"/>
    <w:rsid w:val="00F47AA3"/>
    <w:rsid w:val="00F47F30"/>
    <w:rsid w:val="00F50325"/>
    <w:rsid w:val="00F5041E"/>
    <w:rsid w:val="00F5053D"/>
    <w:rsid w:val="00F506C0"/>
    <w:rsid w:val="00F50AA3"/>
    <w:rsid w:val="00F50BBF"/>
    <w:rsid w:val="00F50BD6"/>
    <w:rsid w:val="00F50C17"/>
    <w:rsid w:val="00F50E58"/>
    <w:rsid w:val="00F50FDF"/>
    <w:rsid w:val="00F51194"/>
    <w:rsid w:val="00F518AB"/>
    <w:rsid w:val="00F51D42"/>
    <w:rsid w:val="00F51FF2"/>
    <w:rsid w:val="00F522D9"/>
    <w:rsid w:val="00F5237B"/>
    <w:rsid w:val="00F52883"/>
    <w:rsid w:val="00F52AF3"/>
    <w:rsid w:val="00F52EAA"/>
    <w:rsid w:val="00F533EE"/>
    <w:rsid w:val="00F536AF"/>
    <w:rsid w:val="00F53818"/>
    <w:rsid w:val="00F53BCA"/>
    <w:rsid w:val="00F53DCA"/>
    <w:rsid w:val="00F542C8"/>
    <w:rsid w:val="00F54311"/>
    <w:rsid w:val="00F543B8"/>
    <w:rsid w:val="00F54932"/>
    <w:rsid w:val="00F54A4E"/>
    <w:rsid w:val="00F54C05"/>
    <w:rsid w:val="00F55345"/>
    <w:rsid w:val="00F55A65"/>
    <w:rsid w:val="00F55A6A"/>
    <w:rsid w:val="00F56544"/>
    <w:rsid w:val="00F5689C"/>
    <w:rsid w:val="00F56B93"/>
    <w:rsid w:val="00F56F1E"/>
    <w:rsid w:val="00F574C3"/>
    <w:rsid w:val="00F579D2"/>
    <w:rsid w:val="00F57DA2"/>
    <w:rsid w:val="00F57F33"/>
    <w:rsid w:val="00F6007A"/>
    <w:rsid w:val="00F601A8"/>
    <w:rsid w:val="00F6031B"/>
    <w:rsid w:val="00F60600"/>
    <w:rsid w:val="00F6084D"/>
    <w:rsid w:val="00F60D64"/>
    <w:rsid w:val="00F60DA1"/>
    <w:rsid w:val="00F611B8"/>
    <w:rsid w:val="00F61E09"/>
    <w:rsid w:val="00F62166"/>
    <w:rsid w:val="00F62433"/>
    <w:rsid w:val="00F625BB"/>
    <w:rsid w:val="00F6290A"/>
    <w:rsid w:val="00F62AA2"/>
    <w:rsid w:val="00F62D17"/>
    <w:rsid w:val="00F62E17"/>
    <w:rsid w:val="00F63008"/>
    <w:rsid w:val="00F630F1"/>
    <w:rsid w:val="00F6346C"/>
    <w:rsid w:val="00F63816"/>
    <w:rsid w:val="00F64135"/>
    <w:rsid w:val="00F645EF"/>
    <w:rsid w:val="00F6494B"/>
    <w:rsid w:val="00F64B40"/>
    <w:rsid w:val="00F64CBA"/>
    <w:rsid w:val="00F6583D"/>
    <w:rsid w:val="00F65A3C"/>
    <w:rsid w:val="00F65C12"/>
    <w:rsid w:val="00F65E00"/>
    <w:rsid w:val="00F6640E"/>
    <w:rsid w:val="00F66486"/>
    <w:rsid w:val="00F66878"/>
    <w:rsid w:val="00F670B9"/>
    <w:rsid w:val="00F67196"/>
    <w:rsid w:val="00F67247"/>
    <w:rsid w:val="00F672D9"/>
    <w:rsid w:val="00F67601"/>
    <w:rsid w:val="00F6770C"/>
    <w:rsid w:val="00F679DE"/>
    <w:rsid w:val="00F67AC8"/>
    <w:rsid w:val="00F67CE2"/>
    <w:rsid w:val="00F70055"/>
    <w:rsid w:val="00F70156"/>
    <w:rsid w:val="00F7086C"/>
    <w:rsid w:val="00F708E7"/>
    <w:rsid w:val="00F70B3B"/>
    <w:rsid w:val="00F70E17"/>
    <w:rsid w:val="00F71468"/>
    <w:rsid w:val="00F71A79"/>
    <w:rsid w:val="00F71AE5"/>
    <w:rsid w:val="00F71B34"/>
    <w:rsid w:val="00F71E6D"/>
    <w:rsid w:val="00F722F6"/>
    <w:rsid w:val="00F7251B"/>
    <w:rsid w:val="00F72863"/>
    <w:rsid w:val="00F72871"/>
    <w:rsid w:val="00F72D39"/>
    <w:rsid w:val="00F73188"/>
    <w:rsid w:val="00F74188"/>
    <w:rsid w:val="00F742AB"/>
    <w:rsid w:val="00F749F3"/>
    <w:rsid w:val="00F75094"/>
    <w:rsid w:val="00F756C8"/>
    <w:rsid w:val="00F7592A"/>
    <w:rsid w:val="00F75D45"/>
    <w:rsid w:val="00F75DA9"/>
    <w:rsid w:val="00F760B7"/>
    <w:rsid w:val="00F764B5"/>
    <w:rsid w:val="00F764F1"/>
    <w:rsid w:val="00F76596"/>
    <w:rsid w:val="00F7665D"/>
    <w:rsid w:val="00F76974"/>
    <w:rsid w:val="00F76CB9"/>
    <w:rsid w:val="00F77263"/>
    <w:rsid w:val="00F77302"/>
    <w:rsid w:val="00F774E3"/>
    <w:rsid w:val="00F775F5"/>
    <w:rsid w:val="00F777FE"/>
    <w:rsid w:val="00F77842"/>
    <w:rsid w:val="00F778BD"/>
    <w:rsid w:val="00F779A2"/>
    <w:rsid w:val="00F77BA6"/>
    <w:rsid w:val="00F77E66"/>
    <w:rsid w:val="00F77ED9"/>
    <w:rsid w:val="00F80262"/>
    <w:rsid w:val="00F80411"/>
    <w:rsid w:val="00F805F7"/>
    <w:rsid w:val="00F80998"/>
    <w:rsid w:val="00F80C0E"/>
    <w:rsid w:val="00F80C88"/>
    <w:rsid w:val="00F80FAB"/>
    <w:rsid w:val="00F810A8"/>
    <w:rsid w:val="00F811A0"/>
    <w:rsid w:val="00F819A7"/>
    <w:rsid w:val="00F81C6F"/>
    <w:rsid w:val="00F81CDF"/>
    <w:rsid w:val="00F8230F"/>
    <w:rsid w:val="00F827A3"/>
    <w:rsid w:val="00F827EA"/>
    <w:rsid w:val="00F82DBF"/>
    <w:rsid w:val="00F82FAB"/>
    <w:rsid w:val="00F832FA"/>
    <w:rsid w:val="00F83846"/>
    <w:rsid w:val="00F83A03"/>
    <w:rsid w:val="00F83D87"/>
    <w:rsid w:val="00F84220"/>
    <w:rsid w:val="00F8435E"/>
    <w:rsid w:val="00F84E02"/>
    <w:rsid w:val="00F85000"/>
    <w:rsid w:val="00F854B5"/>
    <w:rsid w:val="00F856B1"/>
    <w:rsid w:val="00F858B6"/>
    <w:rsid w:val="00F85D0B"/>
    <w:rsid w:val="00F85D1E"/>
    <w:rsid w:val="00F85E94"/>
    <w:rsid w:val="00F8652D"/>
    <w:rsid w:val="00F867B0"/>
    <w:rsid w:val="00F86DCD"/>
    <w:rsid w:val="00F870BB"/>
    <w:rsid w:val="00F871E9"/>
    <w:rsid w:val="00F875AA"/>
    <w:rsid w:val="00F87656"/>
    <w:rsid w:val="00F879A3"/>
    <w:rsid w:val="00F904A2"/>
    <w:rsid w:val="00F90574"/>
    <w:rsid w:val="00F90681"/>
    <w:rsid w:val="00F90703"/>
    <w:rsid w:val="00F908BF"/>
    <w:rsid w:val="00F9093F"/>
    <w:rsid w:val="00F90BB5"/>
    <w:rsid w:val="00F90F2D"/>
    <w:rsid w:val="00F9110F"/>
    <w:rsid w:val="00F9127D"/>
    <w:rsid w:val="00F91AB6"/>
    <w:rsid w:val="00F91F0A"/>
    <w:rsid w:val="00F92314"/>
    <w:rsid w:val="00F926E4"/>
    <w:rsid w:val="00F9331D"/>
    <w:rsid w:val="00F935E2"/>
    <w:rsid w:val="00F93784"/>
    <w:rsid w:val="00F93A47"/>
    <w:rsid w:val="00F93F5D"/>
    <w:rsid w:val="00F941C0"/>
    <w:rsid w:val="00F94270"/>
    <w:rsid w:val="00F942E1"/>
    <w:rsid w:val="00F94877"/>
    <w:rsid w:val="00F9489D"/>
    <w:rsid w:val="00F94965"/>
    <w:rsid w:val="00F94A49"/>
    <w:rsid w:val="00F94DE5"/>
    <w:rsid w:val="00F951F7"/>
    <w:rsid w:val="00F955B1"/>
    <w:rsid w:val="00F95CE3"/>
    <w:rsid w:val="00F95D3F"/>
    <w:rsid w:val="00F95E3B"/>
    <w:rsid w:val="00F95FC8"/>
    <w:rsid w:val="00F9666A"/>
    <w:rsid w:val="00F970DC"/>
    <w:rsid w:val="00F974E2"/>
    <w:rsid w:val="00F97556"/>
    <w:rsid w:val="00F97897"/>
    <w:rsid w:val="00F978E8"/>
    <w:rsid w:val="00F97A82"/>
    <w:rsid w:val="00F97B3B"/>
    <w:rsid w:val="00F97B4F"/>
    <w:rsid w:val="00F97DB5"/>
    <w:rsid w:val="00FA013D"/>
    <w:rsid w:val="00FA01AC"/>
    <w:rsid w:val="00FA0728"/>
    <w:rsid w:val="00FA0754"/>
    <w:rsid w:val="00FA0B83"/>
    <w:rsid w:val="00FA0BFD"/>
    <w:rsid w:val="00FA0D27"/>
    <w:rsid w:val="00FA0E33"/>
    <w:rsid w:val="00FA0F97"/>
    <w:rsid w:val="00FA10ED"/>
    <w:rsid w:val="00FA13D6"/>
    <w:rsid w:val="00FA19E5"/>
    <w:rsid w:val="00FA1EC5"/>
    <w:rsid w:val="00FA2082"/>
    <w:rsid w:val="00FA22B8"/>
    <w:rsid w:val="00FA230A"/>
    <w:rsid w:val="00FA24A7"/>
    <w:rsid w:val="00FA2673"/>
    <w:rsid w:val="00FA26A0"/>
    <w:rsid w:val="00FA30E7"/>
    <w:rsid w:val="00FA32DB"/>
    <w:rsid w:val="00FA3A04"/>
    <w:rsid w:val="00FA4A1E"/>
    <w:rsid w:val="00FA4DD1"/>
    <w:rsid w:val="00FA5273"/>
    <w:rsid w:val="00FA559B"/>
    <w:rsid w:val="00FA5638"/>
    <w:rsid w:val="00FA6330"/>
    <w:rsid w:val="00FA6359"/>
    <w:rsid w:val="00FA6701"/>
    <w:rsid w:val="00FA6828"/>
    <w:rsid w:val="00FA68D0"/>
    <w:rsid w:val="00FA6996"/>
    <w:rsid w:val="00FA6FBF"/>
    <w:rsid w:val="00FA70CB"/>
    <w:rsid w:val="00FA7130"/>
    <w:rsid w:val="00FA721F"/>
    <w:rsid w:val="00FA7592"/>
    <w:rsid w:val="00FA7992"/>
    <w:rsid w:val="00FA7C43"/>
    <w:rsid w:val="00FA7F08"/>
    <w:rsid w:val="00FB0001"/>
    <w:rsid w:val="00FB0355"/>
    <w:rsid w:val="00FB0565"/>
    <w:rsid w:val="00FB0A2A"/>
    <w:rsid w:val="00FB0B31"/>
    <w:rsid w:val="00FB0CC4"/>
    <w:rsid w:val="00FB0CC7"/>
    <w:rsid w:val="00FB1159"/>
    <w:rsid w:val="00FB116D"/>
    <w:rsid w:val="00FB13E6"/>
    <w:rsid w:val="00FB2111"/>
    <w:rsid w:val="00FB231E"/>
    <w:rsid w:val="00FB246E"/>
    <w:rsid w:val="00FB2AB7"/>
    <w:rsid w:val="00FB2C38"/>
    <w:rsid w:val="00FB2C52"/>
    <w:rsid w:val="00FB2CCC"/>
    <w:rsid w:val="00FB3185"/>
    <w:rsid w:val="00FB371E"/>
    <w:rsid w:val="00FB38A8"/>
    <w:rsid w:val="00FB390B"/>
    <w:rsid w:val="00FB3944"/>
    <w:rsid w:val="00FB39ED"/>
    <w:rsid w:val="00FB3B49"/>
    <w:rsid w:val="00FB3F07"/>
    <w:rsid w:val="00FB436A"/>
    <w:rsid w:val="00FB45B6"/>
    <w:rsid w:val="00FB4AB1"/>
    <w:rsid w:val="00FB5090"/>
    <w:rsid w:val="00FB51BA"/>
    <w:rsid w:val="00FB569C"/>
    <w:rsid w:val="00FB59AF"/>
    <w:rsid w:val="00FB59BC"/>
    <w:rsid w:val="00FB5B3C"/>
    <w:rsid w:val="00FB5E19"/>
    <w:rsid w:val="00FB65A5"/>
    <w:rsid w:val="00FB6A89"/>
    <w:rsid w:val="00FB6AF2"/>
    <w:rsid w:val="00FB6C60"/>
    <w:rsid w:val="00FB6FF6"/>
    <w:rsid w:val="00FB722A"/>
    <w:rsid w:val="00FB742C"/>
    <w:rsid w:val="00FB787A"/>
    <w:rsid w:val="00FB7C9A"/>
    <w:rsid w:val="00FB7CBD"/>
    <w:rsid w:val="00FC017E"/>
    <w:rsid w:val="00FC02AB"/>
    <w:rsid w:val="00FC0356"/>
    <w:rsid w:val="00FC06CB"/>
    <w:rsid w:val="00FC0EAF"/>
    <w:rsid w:val="00FC110B"/>
    <w:rsid w:val="00FC1500"/>
    <w:rsid w:val="00FC1695"/>
    <w:rsid w:val="00FC16EE"/>
    <w:rsid w:val="00FC1945"/>
    <w:rsid w:val="00FC2B6B"/>
    <w:rsid w:val="00FC2CB1"/>
    <w:rsid w:val="00FC3020"/>
    <w:rsid w:val="00FC36F1"/>
    <w:rsid w:val="00FC3B80"/>
    <w:rsid w:val="00FC3F1D"/>
    <w:rsid w:val="00FC43C9"/>
    <w:rsid w:val="00FC45F5"/>
    <w:rsid w:val="00FC460A"/>
    <w:rsid w:val="00FC4769"/>
    <w:rsid w:val="00FC4867"/>
    <w:rsid w:val="00FC57BA"/>
    <w:rsid w:val="00FC582D"/>
    <w:rsid w:val="00FC59D9"/>
    <w:rsid w:val="00FC6B0D"/>
    <w:rsid w:val="00FC6CB0"/>
    <w:rsid w:val="00FC705C"/>
    <w:rsid w:val="00FC70EF"/>
    <w:rsid w:val="00FC7BCA"/>
    <w:rsid w:val="00FC7D63"/>
    <w:rsid w:val="00FC7EDB"/>
    <w:rsid w:val="00FD0468"/>
    <w:rsid w:val="00FD06E4"/>
    <w:rsid w:val="00FD0B01"/>
    <w:rsid w:val="00FD0B04"/>
    <w:rsid w:val="00FD127E"/>
    <w:rsid w:val="00FD196F"/>
    <w:rsid w:val="00FD1CAF"/>
    <w:rsid w:val="00FD1D03"/>
    <w:rsid w:val="00FD1FAC"/>
    <w:rsid w:val="00FD20B7"/>
    <w:rsid w:val="00FD21AE"/>
    <w:rsid w:val="00FD239D"/>
    <w:rsid w:val="00FD23F0"/>
    <w:rsid w:val="00FD2793"/>
    <w:rsid w:val="00FD2804"/>
    <w:rsid w:val="00FD286F"/>
    <w:rsid w:val="00FD28DE"/>
    <w:rsid w:val="00FD2E06"/>
    <w:rsid w:val="00FD2E4A"/>
    <w:rsid w:val="00FD2FBB"/>
    <w:rsid w:val="00FD31BC"/>
    <w:rsid w:val="00FD3304"/>
    <w:rsid w:val="00FD3399"/>
    <w:rsid w:val="00FD33CB"/>
    <w:rsid w:val="00FD33D4"/>
    <w:rsid w:val="00FD342A"/>
    <w:rsid w:val="00FD343C"/>
    <w:rsid w:val="00FD3493"/>
    <w:rsid w:val="00FD34F3"/>
    <w:rsid w:val="00FD42C6"/>
    <w:rsid w:val="00FD4381"/>
    <w:rsid w:val="00FD463D"/>
    <w:rsid w:val="00FD480E"/>
    <w:rsid w:val="00FD49ED"/>
    <w:rsid w:val="00FD4FBF"/>
    <w:rsid w:val="00FD4FFD"/>
    <w:rsid w:val="00FD5272"/>
    <w:rsid w:val="00FD53EC"/>
    <w:rsid w:val="00FD5B43"/>
    <w:rsid w:val="00FD5D0C"/>
    <w:rsid w:val="00FD5FC0"/>
    <w:rsid w:val="00FD6290"/>
    <w:rsid w:val="00FD645F"/>
    <w:rsid w:val="00FD655F"/>
    <w:rsid w:val="00FD699B"/>
    <w:rsid w:val="00FD6CBD"/>
    <w:rsid w:val="00FD72F1"/>
    <w:rsid w:val="00FD75FA"/>
    <w:rsid w:val="00FD78AF"/>
    <w:rsid w:val="00FD7989"/>
    <w:rsid w:val="00FE0001"/>
    <w:rsid w:val="00FE01DD"/>
    <w:rsid w:val="00FE0300"/>
    <w:rsid w:val="00FE0444"/>
    <w:rsid w:val="00FE061C"/>
    <w:rsid w:val="00FE076F"/>
    <w:rsid w:val="00FE0C2B"/>
    <w:rsid w:val="00FE0C68"/>
    <w:rsid w:val="00FE0D03"/>
    <w:rsid w:val="00FE0D92"/>
    <w:rsid w:val="00FE0ECC"/>
    <w:rsid w:val="00FE11CA"/>
    <w:rsid w:val="00FE11D7"/>
    <w:rsid w:val="00FE13F4"/>
    <w:rsid w:val="00FE14A9"/>
    <w:rsid w:val="00FE1738"/>
    <w:rsid w:val="00FE1991"/>
    <w:rsid w:val="00FE1A9C"/>
    <w:rsid w:val="00FE1E3F"/>
    <w:rsid w:val="00FE1F44"/>
    <w:rsid w:val="00FE2091"/>
    <w:rsid w:val="00FE20E1"/>
    <w:rsid w:val="00FE233C"/>
    <w:rsid w:val="00FE2593"/>
    <w:rsid w:val="00FE26C0"/>
    <w:rsid w:val="00FE2A8D"/>
    <w:rsid w:val="00FE2BDD"/>
    <w:rsid w:val="00FE3021"/>
    <w:rsid w:val="00FE3153"/>
    <w:rsid w:val="00FE34D0"/>
    <w:rsid w:val="00FE36A6"/>
    <w:rsid w:val="00FE3732"/>
    <w:rsid w:val="00FE38EC"/>
    <w:rsid w:val="00FE38F0"/>
    <w:rsid w:val="00FE3E18"/>
    <w:rsid w:val="00FE3F91"/>
    <w:rsid w:val="00FE430A"/>
    <w:rsid w:val="00FE43C9"/>
    <w:rsid w:val="00FE52F0"/>
    <w:rsid w:val="00FE5613"/>
    <w:rsid w:val="00FE5783"/>
    <w:rsid w:val="00FE58B6"/>
    <w:rsid w:val="00FE58F7"/>
    <w:rsid w:val="00FE5B8B"/>
    <w:rsid w:val="00FE5CD1"/>
    <w:rsid w:val="00FE5DC8"/>
    <w:rsid w:val="00FE6141"/>
    <w:rsid w:val="00FE6492"/>
    <w:rsid w:val="00FE649B"/>
    <w:rsid w:val="00FE6784"/>
    <w:rsid w:val="00FE6E50"/>
    <w:rsid w:val="00FE6EEB"/>
    <w:rsid w:val="00FE7305"/>
    <w:rsid w:val="00FE7511"/>
    <w:rsid w:val="00FE7B83"/>
    <w:rsid w:val="00FE7E8B"/>
    <w:rsid w:val="00FF05F7"/>
    <w:rsid w:val="00FF08EF"/>
    <w:rsid w:val="00FF1094"/>
    <w:rsid w:val="00FF1269"/>
    <w:rsid w:val="00FF137C"/>
    <w:rsid w:val="00FF1AB1"/>
    <w:rsid w:val="00FF1D66"/>
    <w:rsid w:val="00FF2402"/>
    <w:rsid w:val="00FF263F"/>
    <w:rsid w:val="00FF2646"/>
    <w:rsid w:val="00FF2940"/>
    <w:rsid w:val="00FF3067"/>
    <w:rsid w:val="00FF3261"/>
    <w:rsid w:val="00FF371E"/>
    <w:rsid w:val="00FF3B01"/>
    <w:rsid w:val="00FF3F19"/>
    <w:rsid w:val="00FF4262"/>
    <w:rsid w:val="00FF4436"/>
    <w:rsid w:val="00FF44E7"/>
    <w:rsid w:val="00FF45DA"/>
    <w:rsid w:val="00FF4B75"/>
    <w:rsid w:val="00FF53C4"/>
    <w:rsid w:val="00FF5C11"/>
    <w:rsid w:val="00FF60AB"/>
    <w:rsid w:val="00FF6630"/>
    <w:rsid w:val="00FF6643"/>
    <w:rsid w:val="00FF6C36"/>
    <w:rsid w:val="00FF6E26"/>
    <w:rsid w:val="00FF6E76"/>
    <w:rsid w:val="00FF6ED0"/>
    <w:rsid w:val="00FF723A"/>
    <w:rsid w:val="00FF73B3"/>
    <w:rsid w:val="00FF74BA"/>
    <w:rsid w:val="00FF74F6"/>
    <w:rsid w:val="00FF7B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00a8d0,#008eb0,#1492e8,#1287d6,#117dc7,#c2e3f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footnote reference" w:uiPriority="0"/>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095"/>
    <w:pPr>
      <w:spacing w:after="240"/>
    </w:pPr>
    <w:rPr>
      <w:sz w:val="22"/>
    </w:rPr>
  </w:style>
  <w:style w:type="paragraph" w:styleId="Heading1">
    <w:name w:val="heading 1"/>
    <w:basedOn w:val="Normal"/>
    <w:next w:val="BodyText"/>
    <w:link w:val="Heading1Char"/>
    <w:qFormat/>
    <w:rsid w:val="00EE7095"/>
    <w:pPr>
      <w:keepNext/>
      <w:pageBreakBefore/>
      <w:numPr>
        <w:numId w:val="6"/>
      </w:numPr>
      <w:spacing w:after="400" w:line="280" w:lineRule="atLeast"/>
      <w:outlineLvl w:val="0"/>
    </w:pPr>
    <w:rPr>
      <w:rFonts w:ascii="Arial" w:hAnsi="Arial" w:cs="Arial"/>
      <w:b/>
      <w:kern w:val="28"/>
      <w:sz w:val="36"/>
      <w:szCs w:val="36"/>
    </w:rPr>
  </w:style>
  <w:style w:type="paragraph" w:styleId="Heading2">
    <w:name w:val="heading 2"/>
    <w:basedOn w:val="Normal"/>
    <w:next w:val="BodyText"/>
    <w:link w:val="Heading2Char"/>
    <w:qFormat/>
    <w:rsid w:val="00EE7095"/>
    <w:pPr>
      <w:keepNext/>
      <w:spacing w:before="720" w:after="0" w:line="280" w:lineRule="atLeast"/>
      <w:outlineLvl w:val="1"/>
    </w:pPr>
    <w:rPr>
      <w:rFonts w:ascii="Arial" w:hAnsi="Arial" w:cs="Arial"/>
      <w:b/>
      <w:sz w:val="28"/>
      <w:szCs w:val="28"/>
    </w:rPr>
  </w:style>
  <w:style w:type="paragraph" w:styleId="Heading3">
    <w:name w:val="heading 3"/>
    <w:basedOn w:val="Normal"/>
    <w:next w:val="BodyText"/>
    <w:link w:val="Heading3Char"/>
    <w:qFormat/>
    <w:rsid w:val="00EE7095"/>
    <w:pPr>
      <w:keepNext/>
      <w:spacing w:before="400" w:after="0" w:line="280" w:lineRule="atLeast"/>
      <w:ind w:left="2268"/>
      <w:outlineLvl w:val="2"/>
    </w:pPr>
    <w:rPr>
      <w:rFonts w:ascii="Arial" w:hAnsi="Arial" w:cs="Arial"/>
      <w:b/>
      <w:sz w:val="24"/>
      <w:szCs w:val="24"/>
    </w:rPr>
  </w:style>
  <w:style w:type="paragraph" w:styleId="Heading4">
    <w:name w:val="heading 4"/>
    <w:basedOn w:val="Normal"/>
    <w:next w:val="BodyText"/>
    <w:link w:val="Heading4Char"/>
    <w:qFormat/>
    <w:rsid w:val="00EE7095"/>
    <w:pPr>
      <w:keepNext/>
      <w:spacing w:before="280" w:after="0" w:line="280" w:lineRule="atLeast"/>
      <w:ind w:left="2268"/>
      <w:outlineLvl w:val="3"/>
    </w:pPr>
    <w:rPr>
      <w:rFonts w:ascii="Arial" w:hAnsi="Arial" w:cs="Arial"/>
      <w:b/>
      <w:sz w:val="20"/>
      <w:szCs w:val="22"/>
    </w:rPr>
  </w:style>
  <w:style w:type="paragraph" w:styleId="Heading5">
    <w:name w:val="heading 5"/>
    <w:basedOn w:val="Normal"/>
    <w:next w:val="BodyText"/>
    <w:qFormat/>
    <w:rsid w:val="00EE7095"/>
    <w:pPr>
      <w:keepNext/>
      <w:spacing w:before="280" w:after="0" w:line="280" w:lineRule="atLeast"/>
      <w:ind w:left="2268"/>
      <w:outlineLvl w:val="4"/>
    </w:pPr>
    <w:rPr>
      <w:rFonts w:ascii="Arial" w:hAnsi="Arial" w:cs="Arial"/>
      <w:i/>
      <w:sz w:val="20"/>
    </w:rPr>
  </w:style>
  <w:style w:type="paragraph" w:styleId="Heading6">
    <w:name w:val="heading 6"/>
    <w:basedOn w:val="Normal"/>
    <w:next w:val="Bodytextplain"/>
    <w:unhideWhenUsed/>
    <w:qFormat/>
    <w:rsid w:val="00EE7095"/>
    <w:pPr>
      <w:keepNext/>
      <w:pageBreakBefore/>
      <w:spacing w:after="400" w:line="280" w:lineRule="atLeast"/>
      <w:outlineLvl w:val="5"/>
    </w:pPr>
    <w:rPr>
      <w:rFonts w:ascii="Arial" w:hAnsi="Arial" w:cs="Arial"/>
      <w:b/>
      <w:kern w:val="28"/>
      <w:sz w:val="36"/>
      <w:szCs w:val="36"/>
    </w:rPr>
  </w:style>
  <w:style w:type="paragraph" w:styleId="Heading7">
    <w:name w:val="heading 7"/>
    <w:basedOn w:val="Normal"/>
    <w:next w:val="Bodytextplain"/>
    <w:unhideWhenUsed/>
    <w:qFormat/>
    <w:rsid w:val="00EE7095"/>
    <w:pPr>
      <w:spacing w:before="720" w:after="0" w:line="300" w:lineRule="atLeast"/>
      <w:outlineLvl w:val="6"/>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E7095"/>
    <w:pPr>
      <w:numPr>
        <w:numId w:val="7"/>
      </w:numPr>
      <w:spacing w:before="200" w:after="0" w:line="300" w:lineRule="atLeast"/>
    </w:pPr>
    <w:rPr>
      <w:szCs w:val="22"/>
    </w:rPr>
  </w:style>
  <w:style w:type="character" w:customStyle="1" w:styleId="BodyTextChar">
    <w:name w:val="Body Text Char"/>
    <w:basedOn w:val="DefaultParagraphFont"/>
    <w:link w:val="BodyText"/>
    <w:rsid w:val="00AA6499"/>
    <w:rPr>
      <w:sz w:val="22"/>
      <w:szCs w:val="22"/>
    </w:rPr>
  </w:style>
  <w:style w:type="character" w:customStyle="1" w:styleId="Heading1Char">
    <w:name w:val="Heading 1 Char"/>
    <w:basedOn w:val="DefaultParagraphFont"/>
    <w:link w:val="Heading1"/>
    <w:rsid w:val="00AA6499"/>
    <w:rPr>
      <w:rFonts w:ascii="Arial" w:hAnsi="Arial" w:cs="Arial"/>
      <w:b/>
      <w:kern w:val="28"/>
      <w:sz w:val="36"/>
      <w:szCs w:val="36"/>
    </w:rPr>
  </w:style>
  <w:style w:type="character" w:customStyle="1" w:styleId="Heading2Char">
    <w:name w:val="Heading 2 Char"/>
    <w:basedOn w:val="DefaultParagraphFont"/>
    <w:link w:val="Heading2"/>
    <w:rsid w:val="00AA6499"/>
    <w:rPr>
      <w:rFonts w:ascii="Arial" w:hAnsi="Arial" w:cs="Arial"/>
      <w:b/>
      <w:sz w:val="28"/>
      <w:szCs w:val="28"/>
    </w:rPr>
  </w:style>
  <w:style w:type="character" w:customStyle="1" w:styleId="Heading3Char">
    <w:name w:val="Heading 3 Char"/>
    <w:basedOn w:val="DefaultParagraphFont"/>
    <w:link w:val="Heading3"/>
    <w:rsid w:val="00AA6499"/>
    <w:rPr>
      <w:rFonts w:ascii="Arial" w:hAnsi="Arial" w:cs="Arial"/>
      <w:b/>
      <w:sz w:val="24"/>
      <w:szCs w:val="24"/>
    </w:rPr>
  </w:style>
  <w:style w:type="character" w:customStyle="1" w:styleId="Heading4Char">
    <w:name w:val="Heading 4 Char"/>
    <w:basedOn w:val="DefaultParagraphFont"/>
    <w:link w:val="Heading4"/>
    <w:rsid w:val="00AA6499"/>
    <w:rPr>
      <w:rFonts w:ascii="Arial" w:hAnsi="Arial" w:cs="Arial"/>
      <w:b/>
      <w:szCs w:val="22"/>
    </w:rPr>
  </w:style>
  <w:style w:type="paragraph" w:customStyle="1" w:styleId="Bodytextplain">
    <w:name w:val="Body text plain"/>
    <w:basedOn w:val="BodyText"/>
    <w:link w:val="BodytextplainChar"/>
    <w:rsid w:val="00EE7095"/>
    <w:pPr>
      <w:numPr>
        <w:numId w:val="0"/>
      </w:numPr>
      <w:ind w:left="2268"/>
    </w:pPr>
  </w:style>
  <w:style w:type="character" w:customStyle="1" w:styleId="BodytextplainChar">
    <w:name w:val="Body text plain Char"/>
    <w:basedOn w:val="DefaultParagraphFont"/>
    <w:link w:val="Bodytextplain"/>
    <w:rsid w:val="00B252DB"/>
    <w:rPr>
      <w:sz w:val="22"/>
      <w:szCs w:val="22"/>
    </w:rPr>
  </w:style>
  <w:style w:type="paragraph" w:customStyle="1" w:styleId="Tiptext">
    <w:name w:val="Tip text"/>
    <w:basedOn w:val="Fronttext"/>
    <w:next w:val="Bodytextplain"/>
    <w:rsid w:val="002426A2"/>
    <w:rPr>
      <w:vanish/>
      <w:color w:val="800000"/>
    </w:rPr>
  </w:style>
  <w:style w:type="paragraph" w:customStyle="1" w:styleId="Fronttext">
    <w:name w:val="Front text"/>
    <w:basedOn w:val="Bodytextplain"/>
    <w:rsid w:val="00EE7095"/>
    <w:pPr>
      <w:spacing w:line="260" w:lineRule="atLeast"/>
    </w:pPr>
    <w:rPr>
      <w:rFonts w:ascii="Arial" w:hAnsi="Arial" w:cs="Arial"/>
      <w:sz w:val="20"/>
      <w:szCs w:val="20"/>
    </w:rPr>
  </w:style>
  <w:style w:type="paragraph" w:customStyle="1" w:styleId="tblnote">
    <w:name w:val="tbl note"/>
    <w:basedOn w:val="sourcenotefullwidth"/>
    <w:next w:val="tbltext"/>
    <w:qFormat/>
    <w:rsid w:val="00EE7095"/>
    <w:pPr>
      <w:ind w:left="425"/>
    </w:pPr>
  </w:style>
  <w:style w:type="paragraph" w:customStyle="1" w:styleId="sourcenotefullwidth">
    <w:name w:val="source note full width"/>
    <w:rsid w:val="00EE7095"/>
    <w:pPr>
      <w:spacing w:before="120"/>
    </w:pPr>
    <w:rPr>
      <w:rFonts w:ascii="Arial" w:hAnsi="Arial"/>
      <w:sz w:val="16"/>
      <w:szCs w:val="22"/>
    </w:rPr>
  </w:style>
  <w:style w:type="paragraph" w:customStyle="1" w:styleId="tbltext">
    <w:name w:val="tbl text"/>
    <w:basedOn w:val="Bodytextplain"/>
    <w:rsid w:val="00EE7095"/>
    <w:pPr>
      <w:widowControl w:val="0"/>
      <w:spacing w:before="120" w:line="240" w:lineRule="atLeast"/>
      <w:ind w:left="0"/>
    </w:pPr>
    <w:rPr>
      <w:rFonts w:ascii="Arial" w:hAnsi="Arial" w:cs="Arial"/>
      <w:sz w:val="18"/>
      <w:szCs w:val="18"/>
    </w:rPr>
  </w:style>
  <w:style w:type="paragraph" w:styleId="Footer">
    <w:name w:val="footer"/>
    <w:basedOn w:val="Normal"/>
    <w:link w:val="FooterChar"/>
    <w:semiHidden/>
    <w:rsid w:val="00EE7095"/>
    <w:pPr>
      <w:tabs>
        <w:tab w:val="right" w:pos="9070"/>
      </w:tabs>
      <w:spacing w:after="0"/>
    </w:pPr>
    <w:rPr>
      <w:rFonts w:ascii="Arial" w:hAnsi="Arial"/>
      <w:sz w:val="16"/>
      <w:szCs w:val="16"/>
    </w:rPr>
  </w:style>
  <w:style w:type="character" w:customStyle="1" w:styleId="FooterChar">
    <w:name w:val="Footer Char"/>
    <w:basedOn w:val="DefaultParagraphFont"/>
    <w:link w:val="Footer"/>
    <w:semiHidden/>
    <w:rsid w:val="00B252DB"/>
    <w:rPr>
      <w:rFonts w:ascii="Arial" w:hAnsi="Arial"/>
      <w:sz w:val="16"/>
      <w:szCs w:val="16"/>
    </w:rPr>
  </w:style>
  <w:style w:type="character" w:styleId="PageNumber">
    <w:name w:val="page number"/>
    <w:basedOn w:val="DefaultParagraphFont"/>
    <w:rsid w:val="00EE7095"/>
    <w:rPr>
      <w:b/>
      <w:sz w:val="20"/>
    </w:rPr>
  </w:style>
  <w:style w:type="paragraph" w:styleId="Header">
    <w:name w:val="header"/>
    <w:basedOn w:val="Normal"/>
    <w:link w:val="HeaderChar"/>
    <w:uiPriority w:val="99"/>
    <w:rsid w:val="00EE7095"/>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B252DB"/>
    <w:rPr>
      <w:rFonts w:ascii="Arial" w:hAnsi="Arial" w:cs="Arial"/>
      <w:caps/>
      <w:color w:val="008291"/>
      <w:sz w:val="16"/>
      <w:szCs w:val="16"/>
    </w:rPr>
  </w:style>
  <w:style w:type="paragraph" w:styleId="ListBullet">
    <w:name w:val="List Bullet"/>
    <w:basedOn w:val="Normal"/>
    <w:rsid w:val="00EE7095"/>
    <w:pPr>
      <w:numPr>
        <w:numId w:val="3"/>
      </w:numPr>
      <w:tabs>
        <w:tab w:val="clear" w:pos="1418"/>
        <w:tab w:val="num" w:pos="2694"/>
      </w:tabs>
      <w:spacing w:before="100" w:after="0" w:line="300" w:lineRule="atLeast"/>
      <w:ind w:left="2693" w:hanging="425"/>
    </w:pPr>
    <w:rPr>
      <w:szCs w:val="22"/>
    </w:rPr>
  </w:style>
  <w:style w:type="paragraph" w:customStyle="1" w:styleId="listsubnumber">
    <w:name w:val="list sub number"/>
    <w:basedOn w:val="ListNumber1"/>
    <w:rsid w:val="00EE7095"/>
    <w:pPr>
      <w:numPr>
        <w:ilvl w:val="1"/>
      </w:numPr>
    </w:pPr>
  </w:style>
  <w:style w:type="paragraph" w:customStyle="1" w:styleId="ListNumber1">
    <w:name w:val="List Number1"/>
    <w:basedOn w:val="Normal"/>
    <w:rsid w:val="00EE7095"/>
    <w:pPr>
      <w:numPr>
        <w:numId w:val="1"/>
      </w:numPr>
      <w:spacing w:before="100" w:after="0" w:line="300" w:lineRule="atLeast"/>
    </w:pPr>
    <w:rPr>
      <w:szCs w:val="24"/>
    </w:rPr>
  </w:style>
  <w:style w:type="paragraph" w:customStyle="1" w:styleId="figuretitleindented">
    <w:name w:val="figure title indented"/>
    <w:basedOn w:val="figuretitlefullwidth"/>
    <w:rsid w:val="00EE7095"/>
    <w:pPr>
      <w:ind w:left="3260"/>
    </w:pPr>
  </w:style>
  <w:style w:type="paragraph" w:customStyle="1" w:styleId="figuretitlefullwidth">
    <w:name w:val="figure title full width"/>
    <w:basedOn w:val="tabletitlefullwidth"/>
    <w:next w:val="figuretext"/>
    <w:rsid w:val="00EE7095"/>
    <w:rPr>
      <w:szCs w:val="22"/>
    </w:rPr>
  </w:style>
  <w:style w:type="paragraph" w:customStyle="1" w:styleId="tabletitlefullwidth">
    <w:name w:val="table title full width"/>
    <w:basedOn w:val="Normal"/>
    <w:rsid w:val="00EE7095"/>
    <w:pPr>
      <w:keepNext/>
      <w:spacing w:before="360" w:after="120" w:line="240" w:lineRule="atLeast"/>
      <w:ind w:left="992" w:hanging="992"/>
    </w:pPr>
    <w:rPr>
      <w:rFonts w:ascii="Arial" w:hAnsi="Arial" w:cs="Arial"/>
      <w:b/>
      <w:sz w:val="20"/>
    </w:rPr>
  </w:style>
  <w:style w:type="paragraph" w:customStyle="1" w:styleId="figuretext">
    <w:name w:val="figure text"/>
    <w:basedOn w:val="Normal"/>
    <w:rsid w:val="00EE7095"/>
    <w:pPr>
      <w:widowControl w:val="0"/>
      <w:spacing w:after="0" w:line="240" w:lineRule="atLeast"/>
    </w:pPr>
    <w:rPr>
      <w:rFonts w:ascii="Arial" w:hAnsi="Arial" w:cs="Arial"/>
      <w:sz w:val="18"/>
      <w:szCs w:val="18"/>
    </w:rPr>
  </w:style>
  <w:style w:type="paragraph" w:customStyle="1" w:styleId="tablehead">
    <w:name w:val="table head"/>
    <w:basedOn w:val="Normal"/>
    <w:rsid w:val="00EE7095"/>
    <w:pPr>
      <w:keepNext/>
      <w:spacing w:before="120" w:after="0" w:line="240" w:lineRule="atLeast"/>
    </w:pPr>
    <w:rPr>
      <w:rFonts w:ascii="Arial" w:hAnsi="Arial" w:cs="Arial"/>
      <w:b/>
      <w:sz w:val="18"/>
      <w:szCs w:val="18"/>
    </w:rPr>
  </w:style>
  <w:style w:type="paragraph" w:styleId="ListBullet2">
    <w:name w:val="List Bullet 2"/>
    <w:basedOn w:val="Normal"/>
    <w:rsid w:val="00EE7095"/>
    <w:pPr>
      <w:numPr>
        <w:numId w:val="10"/>
      </w:numPr>
      <w:tabs>
        <w:tab w:val="clear" w:pos="851"/>
        <w:tab w:val="left" w:pos="3119"/>
      </w:tabs>
      <w:spacing w:before="100" w:after="0" w:line="300" w:lineRule="atLeast"/>
      <w:ind w:left="3118" w:hanging="425"/>
    </w:pPr>
  </w:style>
  <w:style w:type="character" w:styleId="Hyperlink">
    <w:name w:val="Hyperlink"/>
    <w:basedOn w:val="DefaultParagraphFont"/>
    <w:uiPriority w:val="99"/>
    <w:rsid w:val="00EE7095"/>
    <w:rPr>
      <w:color w:val="0000FF"/>
      <w:u w:val="single"/>
    </w:rPr>
  </w:style>
  <w:style w:type="paragraph" w:customStyle="1" w:styleId="tablebullet">
    <w:name w:val="table bullet"/>
    <w:basedOn w:val="Normal"/>
    <w:rsid w:val="00EE7095"/>
    <w:pPr>
      <w:widowControl w:val="0"/>
      <w:numPr>
        <w:numId w:val="2"/>
      </w:numPr>
      <w:spacing w:before="60" w:after="0" w:line="240" w:lineRule="atLeast"/>
    </w:pPr>
    <w:rPr>
      <w:rFonts w:ascii="Arial" w:hAnsi="Arial" w:cs="Arial"/>
      <w:sz w:val="18"/>
      <w:szCs w:val="18"/>
    </w:rPr>
  </w:style>
  <w:style w:type="paragraph" w:styleId="FootnoteText">
    <w:name w:val="footnote text"/>
    <w:basedOn w:val="Normal"/>
    <w:semiHidden/>
    <w:rsid w:val="00EE7095"/>
    <w:pPr>
      <w:spacing w:after="0"/>
    </w:pPr>
    <w:rPr>
      <w:sz w:val="18"/>
    </w:rPr>
  </w:style>
  <w:style w:type="character" w:styleId="FootnoteReference">
    <w:name w:val="footnote reference"/>
    <w:basedOn w:val="DefaultParagraphFont"/>
    <w:semiHidden/>
    <w:rsid w:val="00EE7095"/>
    <w:rPr>
      <w:vertAlign w:val="superscript"/>
    </w:rPr>
  </w:style>
  <w:style w:type="paragraph" w:styleId="TOC1">
    <w:name w:val="toc 1"/>
    <w:basedOn w:val="Normal"/>
    <w:next w:val="Normal"/>
    <w:autoRedefine/>
    <w:uiPriority w:val="39"/>
    <w:rsid w:val="00EE7095"/>
    <w:pPr>
      <w:tabs>
        <w:tab w:val="left" w:pos="2694"/>
        <w:tab w:val="right" w:leader="dot" w:pos="9072"/>
      </w:tabs>
      <w:spacing w:before="100" w:after="0"/>
      <w:ind w:left="2694" w:right="284" w:hanging="425"/>
    </w:pPr>
    <w:rPr>
      <w:rFonts w:ascii="Arial" w:hAnsi="Arial" w:cs="Arial"/>
      <w:b/>
      <w:noProof/>
      <w:sz w:val="20"/>
    </w:rPr>
  </w:style>
  <w:style w:type="paragraph" w:styleId="TOC2">
    <w:name w:val="toc 2"/>
    <w:basedOn w:val="Normal"/>
    <w:next w:val="Normal"/>
    <w:autoRedefine/>
    <w:uiPriority w:val="39"/>
    <w:rsid w:val="00994587"/>
    <w:pPr>
      <w:tabs>
        <w:tab w:val="left" w:pos="2694"/>
        <w:tab w:val="left" w:pos="3748"/>
        <w:tab w:val="right" w:leader="dot" w:pos="9072"/>
      </w:tabs>
      <w:spacing w:before="20" w:after="0"/>
      <w:ind w:left="2693" w:right="284" w:firstLine="1"/>
    </w:pPr>
    <w:rPr>
      <w:rFonts w:ascii="Arial" w:hAnsi="Arial" w:cs="Arial"/>
      <w:noProof/>
      <w:sz w:val="20"/>
    </w:rPr>
  </w:style>
  <w:style w:type="paragraph" w:styleId="TOC3">
    <w:name w:val="toc 3"/>
    <w:basedOn w:val="Normal"/>
    <w:next w:val="Normal"/>
    <w:autoRedefine/>
    <w:rsid w:val="00EE7095"/>
    <w:pPr>
      <w:tabs>
        <w:tab w:val="left" w:pos="3261"/>
        <w:tab w:val="right" w:leader="dot" w:pos="9072"/>
      </w:tabs>
      <w:spacing w:after="0"/>
      <w:ind w:left="3260" w:right="284" w:hanging="567"/>
    </w:pPr>
    <w:rPr>
      <w:rFonts w:ascii="Arial" w:hAnsi="Arial" w:cs="Arial"/>
      <w:noProof/>
      <w:sz w:val="18"/>
      <w:szCs w:val="18"/>
    </w:rPr>
  </w:style>
  <w:style w:type="paragraph" w:styleId="TOC4">
    <w:name w:val="toc 4"/>
    <w:basedOn w:val="Normal"/>
    <w:next w:val="Normal"/>
    <w:autoRedefine/>
    <w:rsid w:val="00EE7095"/>
    <w:pPr>
      <w:tabs>
        <w:tab w:val="right" w:leader="dot" w:pos="8364"/>
      </w:tabs>
      <w:spacing w:after="0"/>
      <w:ind w:left="1134" w:right="565"/>
    </w:pPr>
    <w:rPr>
      <w:rFonts w:ascii="Arial" w:hAnsi="Arial" w:cs="Arial"/>
      <w:noProof/>
      <w:sz w:val="18"/>
      <w:szCs w:val="18"/>
      <w:lang w:val="en-ZW"/>
    </w:rPr>
  </w:style>
  <w:style w:type="paragraph" w:customStyle="1" w:styleId="Heading1nonumber">
    <w:name w:val="Heading 1 no number"/>
    <w:basedOn w:val="Heading1"/>
    <w:next w:val="Bodytextplain"/>
    <w:link w:val="Heading1nonumberChar"/>
    <w:rsid w:val="0000649D"/>
    <w:pPr>
      <w:numPr>
        <w:numId w:val="0"/>
      </w:numPr>
    </w:pPr>
  </w:style>
  <w:style w:type="character" w:customStyle="1" w:styleId="Heading1nonumberChar">
    <w:name w:val="Heading 1 no number Char"/>
    <w:basedOn w:val="DefaultParagraphFont"/>
    <w:link w:val="Heading1nonumber"/>
    <w:rsid w:val="00B252DB"/>
    <w:rPr>
      <w:rFonts w:ascii="Arial" w:hAnsi="Arial" w:cs="Arial"/>
      <w:b/>
      <w:kern w:val="28"/>
      <w:sz w:val="36"/>
      <w:szCs w:val="36"/>
    </w:rPr>
  </w:style>
  <w:style w:type="paragraph" w:customStyle="1" w:styleId="tabletitleindented">
    <w:name w:val="table title indented"/>
    <w:basedOn w:val="tabletitlefullwidth"/>
    <w:rsid w:val="00EE7095"/>
    <w:pPr>
      <w:ind w:left="3260"/>
    </w:pPr>
  </w:style>
  <w:style w:type="paragraph" w:styleId="Caption">
    <w:name w:val="caption"/>
    <w:basedOn w:val="Normal"/>
    <w:next w:val="Normal"/>
    <w:qFormat/>
    <w:rsid w:val="00EE7095"/>
    <w:pPr>
      <w:spacing w:before="120" w:after="120"/>
    </w:pPr>
    <w:rPr>
      <w:b/>
      <w:bCs/>
      <w:sz w:val="20"/>
    </w:rPr>
  </w:style>
  <w:style w:type="paragraph" w:customStyle="1" w:styleId="tabledash">
    <w:name w:val="table dash"/>
    <w:basedOn w:val="tablebullet"/>
    <w:rsid w:val="00EE7095"/>
    <w:pPr>
      <w:numPr>
        <w:numId w:val="4"/>
      </w:numPr>
    </w:pPr>
  </w:style>
  <w:style w:type="paragraph" w:customStyle="1" w:styleId="Tablebody">
    <w:name w:val="Table body"/>
    <w:basedOn w:val="Normal"/>
    <w:semiHidden/>
    <w:rsid w:val="00EE7095"/>
    <w:pPr>
      <w:overflowPunct w:val="0"/>
      <w:autoSpaceDE w:val="0"/>
      <w:autoSpaceDN w:val="0"/>
      <w:adjustRightInd w:val="0"/>
      <w:spacing w:before="40" w:after="120" w:line="260" w:lineRule="atLeast"/>
      <w:textAlignment w:val="baseline"/>
    </w:pPr>
    <w:rPr>
      <w:rFonts w:ascii="Arial" w:hAnsi="Arial" w:cs="Arial"/>
      <w:sz w:val="20"/>
      <w:lang w:eastAsia="en-US"/>
    </w:rPr>
  </w:style>
  <w:style w:type="paragraph" w:customStyle="1" w:styleId="KPbold">
    <w:name w:val="KP bold"/>
    <w:basedOn w:val="KPhead"/>
    <w:next w:val="Normal"/>
    <w:rsid w:val="00EE7095"/>
    <w:pPr>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rsid w:val="00EE7095"/>
    <w:pPr>
      <w:keepNext/>
      <w:pBdr>
        <w:top w:val="single" w:sz="6" w:space="1" w:color="117DC7"/>
        <w:left w:val="single" w:sz="6" w:space="4" w:color="117DC7"/>
        <w:bottom w:val="single" w:sz="6" w:space="3" w:color="117DC7"/>
        <w:right w:val="single" w:sz="6" w:space="4" w:color="117DC7"/>
      </w:pBdr>
      <w:shd w:val="clear" w:color="auto" w:fill="117DC7"/>
      <w:spacing w:before="720" w:after="0"/>
      <w:ind w:left="2381" w:right="5613"/>
    </w:pPr>
    <w:rPr>
      <w:rFonts w:ascii="Arial" w:hAnsi="Arial" w:cs="Arial"/>
      <w:b/>
      <w:color w:val="FFFFFF"/>
      <w:sz w:val="20"/>
    </w:rPr>
  </w:style>
  <w:style w:type="paragraph" w:customStyle="1" w:styleId="KPtext">
    <w:name w:val="KP text"/>
    <w:basedOn w:val="KPbold"/>
    <w:rsid w:val="00EE7095"/>
    <w:rPr>
      <w:b w:val="0"/>
    </w:rPr>
  </w:style>
  <w:style w:type="character" w:customStyle="1" w:styleId="KPboldChar">
    <w:name w:val="KP bold Char"/>
    <w:basedOn w:val="DefaultParagraphFont"/>
    <w:rsid w:val="0000649D"/>
    <w:rPr>
      <w:rFonts w:ascii="Arial" w:hAnsi="Arial" w:cs="Arial"/>
      <w:b/>
      <w:lang w:val="en-AU" w:eastAsia="en-AU" w:bidi="ar-SA"/>
    </w:rPr>
  </w:style>
  <w:style w:type="paragraph" w:customStyle="1" w:styleId="KPbullet">
    <w:name w:val="KP bullet"/>
    <w:basedOn w:val="KPtext"/>
    <w:rsid w:val="00EE7095"/>
    <w:pPr>
      <w:numPr>
        <w:numId w:val="5"/>
      </w:numPr>
      <w:tabs>
        <w:tab w:val="clear" w:pos="2807"/>
        <w:tab w:val="left" w:pos="2665"/>
      </w:tabs>
      <w:spacing w:before="100"/>
      <w:ind w:left="2665" w:hanging="284"/>
    </w:pPr>
  </w:style>
  <w:style w:type="paragraph" w:customStyle="1" w:styleId="Note">
    <w:name w:val="Note"/>
    <w:basedOn w:val="BodyText"/>
    <w:next w:val="BodyText"/>
    <w:rsid w:val="00EE7095"/>
    <w:pPr>
      <w:numPr>
        <w:numId w:val="0"/>
      </w:numPr>
      <w:spacing w:line="240" w:lineRule="atLeast"/>
      <w:ind w:left="2693"/>
    </w:pPr>
    <w:rPr>
      <w:sz w:val="18"/>
    </w:rPr>
  </w:style>
  <w:style w:type="paragraph" w:customStyle="1" w:styleId="subparaa">
    <w:name w:val="sub para (a)"/>
    <w:basedOn w:val="BodyText"/>
    <w:rsid w:val="00EE7095"/>
    <w:pPr>
      <w:numPr>
        <w:ilvl w:val="1"/>
      </w:numPr>
      <w:spacing w:before="100"/>
    </w:pPr>
  </w:style>
  <w:style w:type="paragraph" w:customStyle="1" w:styleId="Listdash">
    <w:name w:val="List dash"/>
    <w:basedOn w:val="Normal"/>
    <w:rsid w:val="0000649D"/>
    <w:pPr>
      <w:numPr>
        <w:numId w:val="8"/>
      </w:numPr>
      <w:spacing w:before="100" w:after="0" w:line="300" w:lineRule="atLeast"/>
      <w:ind w:left="3118" w:hanging="425"/>
    </w:pPr>
  </w:style>
  <w:style w:type="paragraph" w:customStyle="1" w:styleId="Feedbackhead">
    <w:name w:val="Feedback head"/>
    <w:basedOn w:val="KPhead"/>
    <w:next w:val="Feedbackquestion"/>
    <w:rsid w:val="00EE7095"/>
    <w:pPr>
      <w:pBdr>
        <w:left w:val="single" w:sz="6" w:space="2" w:color="117DC7"/>
        <w:bottom w:val="none" w:sz="0" w:space="0" w:color="auto"/>
        <w:right w:val="none" w:sz="0" w:space="0" w:color="auto"/>
      </w:pBdr>
      <w:shd w:val="clear" w:color="auto" w:fill="auto"/>
      <w:spacing w:before="200"/>
      <w:ind w:left="3232" w:right="4536"/>
    </w:pPr>
    <w:rPr>
      <w:b w:val="0"/>
      <w:i/>
      <w:color w:val="auto"/>
    </w:rPr>
  </w:style>
  <w:style w:type="paragraph" w:customStyle="1" w:styleId="Feedbackquestion">
    <w:name w:val="Feedback question"/>
    <w:basedOn w:val="Feedbackhead"/>
    <w:rsid w:val="00EE7095"/>
    <w:pPr>
      <w:keepNext w:val="0"/>
      <w:keepLines/>
      <w:numPr>
        <w:ilvl w:val="4"/>
        <w:numId w:val="6"/>
      </w:numPr>
      <w:pBdr>
        <w:top w:val="none" w:sz="0" w:space="0" w:color="auto"/>
      </w:pBdr>
      <w:spacing w:before="100" w:line="260" w:lineRule="atLeast"/>
      <w:ind w:right="0"/>
    </w:pPr>
    <w:rPr>
      <w:i w:val="0"/>
    </w:rPr>
  </w:style>
  <w:style w:type="paragraph" w:customStyle="1" w:styleId="Feedbacksubquestion">
    <w:name w:val="Feedback subquestion"/>
    <w:basedOn w:val="Feedbackquestion"/>
    <w:rsid w:val="00EE7095"/>
    <w:pPr>
      <w:numPr>
        <w:ilvl w:val="5"/>
      </w:numPr>
    </w:pPr>
  </w:style>
  <w:style w:type="paragraph" w:customStyle="1" w:styleId="figuretitle">
    <w:name w:val="figure title"/>
    <w:basedOn w:val="Normal"/>
    <w:next w:val="figuretext"/>
    <w:rsid w:val="0000649D"/>
    <w:pPr>
      <w:keepNext/>
      <w:spacing w:before="360" w:after="60"/>
      <w:ind w:left="2268" w:hanging="1276"/>
    </w:pPr>
    <w:rPr>
      <w:rFonts w:ascii="Arial" w:hAnsi="Arial"/>
      <w:b/>
      <w:sz w:val="20"/>
    </w:rPr>
  </w:style>
  <w:style w:type="paragraph" w:customStyle="1" w:styleId="subsubparai">
    <w:name w:val="sub sub para (i)"/>
    <w:basedOn w:val="subparaa"/>
    <w:rsid w:val="00EE7095"/>
    <w:pPr>
      <w:numPr>
        <w:ilvl w:val="2"/>
      </w:numPr>
    </w:pPr>
  </w:style>
  <w:style w:type="paragraph" w:customStyle="1" w:styleId="DescriptorRG">
    <w:name w:val="Descriptor RG"/>
    <w:basedOn w:val="Normal"/>
    <w:next w:val="Normal"/>
    <w:rsid w:val="00EE7095"/>
    <w:pPr>
      <w:pBdr>
        <w:top w:val="single" w:sz="4" w:space="4" w:color="117DC7"/>
        <w:left w:val="single" w:sz="4" w:space="4" w:color="117DC7"/>
        <w:bottom w:val="single" w:sz="4" w:space="4" w:color="117DC7"/>
        <w:right w:val="single" w:sz="4" w:space="4" w:color="117DC7"/>
      </w:pBdr>
      <w:shd w:val="clear" w:color="auto" w:fill="117DC7"/>
      <w:spacing w:before="960"/>
      <w:ind w:left="2268"/>
    </w:pPr>
    <w:rPr>
      <w:rFonts w:ascii="Arial" w:hAnsi="Arial" w:cs="Arial"/>
      <w:caps/>
      <w:color w:val="FFFFFF"/>
      <w:sz w:val="28"/>
      <w:szCs w:val="28"/>
    </w:rPr>
  </w:style>
  <w:style w:type="paragraph" w:customStyle="1" w:styleId="tabletext">
    <w:name w:val="table text"/>
    <w:basedOn w:val="tablehead"/>
    <w:rsid w:val="002426A2"/>
    <w:pPr>
      <w:keepNext w:val="0"/>
    </w:pPr>
    <w:rPr>
      <w:b w:val="0"/>
    </w:rPr>
  </w:style>
  <w:style w:type="paragraph" w:customStyle="1" w:styleId="DescriptorCP">
    <w:name w:val="Descriptor CP"/>
    <w:basedOn w:val="DescriptorRG"/>
    <w:next w:val="Normal"/>
    <w:rsid w:val="00EE7095"/>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bullet">
    <w:name w:val="Front bullet"/>
    <w:basedOn w:val="Fronttext"/>
    <w:rsid w:val="00EE7095"/>
    <w:pPr>
      <w:numPr>
        <w:ilvl w:val="5"/>
        <w:numId w:val="9"/>
      </w:numPr>
      <w:spacing w:before="120"/>
    </w:pPr>
  </w:style>
  <w:style w:type="paragraph" w:customStyle="1" w:styleId="Frontheading">
    <w:name w:val="Front heading"/>
    <w:basedOn w:val="Heading3"/>
    <w:next w:val="Fronttext"/>
    <w:rsid w:val="00EE7095"/>
  </w:style>
  <w:style w:type="paragraph" w:customStyle="1" w:styleId="Blockquote">
    <w:name w:val="Block quote"/>
    <w:basedOn w:val="Bodytextplain"/>
    <w:rsid w:val="00EE7095"/>
    <w:pPr>
      <w:spacing w:before="100" w:line="240" w:lineRule="auto"/>
      <w:ind w:left="2693"/>
    </w:pPr>
    <w:rPr>
      <w:sz w:val="21"/>
      <w:szCs w:val="21"/>
    </w:rPr>
  </w:style>
  <w:style w:type="paragraph" w:customStyle="1" w:styleId="Heading2noToC">
    <w:name w:val="Heading 2 no ToC"/>
    <w:basedOn w:val="Bodytextplain"/>
    <w:next w:val="Bodytextplain"/>
    <w:rsid w:val="0000649D"/>
    <w:pPr>
      <w:spacing w:before="720"/>
      <w:ind w:left="0"/>
    </w:pPr>
    <w:rPr>
      <w:rFonts w:ascii="Arial" w:hAnsi="Arial" w:cs="Arial"/>
      <w:b/>
      <w:sz w:val="28"/>
      <w:szCs w:val="28"/>
    </w:rPr>
  </w:style>
  <w:style w:type="paragraph" w:customStyle="1" w:styleId="Proposalhead">
    <w:name w:val="Proposal head"/>
    <w:basedOn w:val="Bodytextplain"/>
    <w:next w:val="Proposaltext"/>
    <w:rsid w:val="00EE7095"/>
    <w:pPr>
      <w:pBdr>
        <w:top w:val="single" w:sz="18" w:space="1" w:color="117DC7"/>
        <w:left w:val="single" w:sz="4" w:space="4" w:color="117DC7"/>
      </w:pBdr>
      <w:spacing w:line="240" w:lineRule="auto"/>
      <w:ind w:right="5812"/>
    </w:pPr>
    <w:rPr>
      <w:rFonts w:ascii="Arial" w:hAnsi="Arial" w:cs="Arial"/>
      <w:b/>
    </w:rPr>
  </w:style>
  <w:style w:type="paragraph" w:customStyle="1" w:styleId="Proposaltext">
    <w:name w:val="Proposal text"/>
    <w:basedOn w:val="Bodytextplain"/>
    <w:rsid w:val="00EE7095"/>
    <w:pPr>
      <w:numPr>
        <w:ilvl w:val="1"/>
        <w:numId w:val="6"/>
      </w:numPr>
      <w:tabs>
        <w:tab w:val="clear" w:pos="2693"/>
        <w:tab w:val="num" w:pos="425"/>
      </w:tabs>
      <w:spacing w:line="260" w:lineRule="atLeast"/>
    </w:pPr>
    <w:rPr>
      <w:rFonts w:ascii="Arial" w:hAnsi="Arial" w:cs="Arial"/>
      <w:sz w:val="20"/>
      <w:szCs w:val="20"/>
    </w:rPr>
  </w:style>
  <w:style w:type="paragraph" w:customStyle="1" w:styleId="Proposalsubpara">
    <w:name w:val="Proposal sub para"/>
    <w:basedOn w:val="Proposaltext"/>
    <w:rsid w:val="00EE7095"/>
    <w:pPr>
      <w:numPr>
        <w:ilvl w:val="2"/>
      </w:numPr>
      <w:spacing w:before="100"/>
    </w:pPr>
  </w:style>
  <w:style w:type="paragraph" w:customStyle="1" w:styleId="Proposalsubsubpara">
    <w:name w:val="Proposal sub sub para"/>
    <w:basedOn w:val="Proposaltext"/>
    <w:rsid w:val="00EE7095"/>
    <w:pPr>
      <w:numPr>
        <w:ilvl w:val="0"/>
        <w:numId w:val="0"/>
      </w:numPr>
      <w:tabs>
        <w:tab w:val="num" w:pos="3544"/>
      </w:tabs>
      <w:spacing w:before="100"/>
      <w:ind w:left="3544" w:hanging="425"/>
    </w:pPr>
  </w:style>
  <w:style w:type="paragraph" w:customStyle="1" w:styleId="Proposalnote">
    <w:name w:val="Proposal note"/>
    <w:basedOn w:val="Note"/>
    <w:rsid w:val="00EE7095"/>
    <w:pPr>
      <w:spacing w:before="100"/>
      <w:ind w:left="3119"/>
    </w:pPr>
    <w:rPr>
      <w:rFonts w:ascii="Arial" w:hAnsi="Arial" w:cs="Arial"/>
      <w:sz w:val="16"/>
      <w:szCs w:val="16"/>
    </w:rPr>
  </w:style>
  <w:style w:type="character" w:styleId="CommentReference">
    <w:name w:val="annotation reference"/>
    <w:basedOn w:val="DefaultParagraphFont"/>
    <w:uiPriority w:val="99"/>
    <w:semiHidden/>
    <w:rsid w:val="00EE7095"/>
    <w:rPr>
      <w:sz w:val="16"/>
      <w:szCs w:val="16"/>
    </w:rPr>
  </w:style>
  <w:style w:type="paragraph" w:styleId="CommentText">
    <w:name w:val="annotation text"/>
    <w:basedOn w:val="Normal"/>
    <w:link w:val="CommentTextChar"/>
    <w:uiPriority w:val="99"/>
    <w:semiHidden/>
    <w:rsid w:val="00EE7095"/>
    <w:rPr>
      <w:sz w:val="20"/>
    </w:rPr>
  </w:style>
  <w:style w:type="character" w:customStyle="1" w:styleId="CommentTextChar">
    <w:name w:val="Comment Text Char"/>
    <w:basedOn w:val="DefaultParagraphFont"/>
    <w:link w:val="CommentText"/>
    <w:uiPriority w:val="99"/>
    <w:semiHidden/>
    <w:rsid w:val="000F4DBD"/>
  </w:style>
  <w:style w:type="paragraph" w:customStyle="1" w:styleId="issueddate">
    <w:name w:val="issued date"/>
    <w:rsid w:val="0000649D"/>
    <w:pPr>
      <w:overflowPunct w:val="0"/>
      <w:autoSpaceDE w:val="0"/>
      <w:autoSpaceDN w:val="0"/>
      <w:adjustRightInd w:val="0"/>
      <w:spacing w:after="360"/>
      <w:textAlignment w:val="baseline"/>
    </w:pPr>
    <w:rPr>
      <w:i/>
      <w:noProof/>
      <w:sz w:val="24"/>
      <w:lang w:eastAsia="en-US"/>
    </w:rPr>
  </w:style>
  <w:style w:type="paragraph" w:styleId="BalloonText">
    <w:name w:val="Balloon Text"/>
    <w:basedOn w:val="Normal"/>
    <w:semiHidden/>
    <w:rsid w:val="00EE7095"/>
    <w:rPr>
      <w:rFonts w:ascii="Tahoma" w:hAnsi="Tahoma" w:cs="Tahoma"/>
      <w:sz w:val="16"/>
      <w:szCs w:val="16"/>
    </w:rPr>
  </w:style>
  <w:style w:type="paragraph" w:customStyle="1" w:styleId="boxbullet">
    <w:name w:val="box bullet"/>
    <w:basedOn w:val="Frontbullet"/>
    <w:rsid w:val="00EE7095"/>
    <w:pPr>
      <w:numPr>
        <w:ilvl w:val="0"/>
        <w:numId w:val="11"/>
      </w:numPr>
      <w:spacing w:before="60"/>
    </w:pPr>
  </w:style>
  <w:style w:type="paragraph" w:customStyle="1" w:styleId="boxtext">
    <w:name w:val="box text"/>
    <w:basedOn w:val="Fronttext"/>
    <w:rsid w:val="00EE7095"/>
    <w:pPr>
      <w:spacing w:before="120"/>
      <w:ind w:left="0"/>
    </w:pPr>
  </w:style>
  <w:style w:type="paragraph" w:customStyle="1" w:styleId="MIRSubpara">
    <w:name w:val="MIR Subpara"/>
    <w:basedOn w:val="Normal"/>
    <w:link w:val="MIRSubparaChar"/>
    <w:qFormat/>
    <w:rsid w:val="00B252DB"/>
    <w:pPr>
      <w:numPr>
        <w:ilvl w:val="1"/>
        <w:numId w:val="13"/>
      </w:numPr>
      <w:spacing w:before="100" w:after="0" w:line="300" w:lineRule="atLeast"/>
    </w:pPr>
    <w:rPr>
      <w:szCs w:val="22"/>
    </w:rPr>
  </w:style>
  <w:style w:type="character" w:customStyle="1" w:styleId="MIRSubparaChar">
    <w:name w:val="MIR Subpara Char"/>
    <w:basedOn w:val="DefaultParagraphFont"/>
    <w:link w:val="MIRSubpara"/>
    <w:rsid w:val="00C16108"/>
    <w:rPr>
      <w:sz w:val="22"/>
      <w:szCs w:val="22"/>
    </w:rPr>
  </w:style>
  <w:style w:type="paragraph" w:customStyle="1" w:styleId="MIRsubsubsubpara">
    <w:name w:val="MIR subsubsubpara"/>
    <w:basedOn w:val="Normal"/>
    <w:link w:val="MIRsubsubsubparaChar"/>
    <w:qFormat/>
    <w:rsid w:val="00B252DB"/>
    <w:pPr>
      <w:numPr>
        <w:ilvl w:val="3"/>
        <w:numId w:val="13"/>
      </w:numPr>
      <w:spacing w:before="100" w:after="0" w:line="300" w:lineRule="atLeast"/>
    </w:pPr>
    <w:rPr>
      <w:szCs w:val="22"/>
    </w:rPr>
  </w:style>
  <w:style w:type="character" w:customStyle="1" w:styleId="MIRsubsubsubparaChar">
    <w:name w:val="MIR subsubsubpara Char"/>
    <w:basedOn w:val="DefaultParagraphFont"/>
    <w:link w:val="MIRsubsubsubpara"/>
    <w:rsid w:val="00AA6499"/>
    <w:rPr>
      <w:sz w:val="22"/>
      <w:szCs w:val="22"/>
    </w:rPr>
  </w:style>
  <w:style w:type="paragraph" w:customStyle="1" w:styleId="MIRBodyText">
    <w:name w:val="MIR Body Text"/>
    <w:basedOn w:val="Bodytextplain"/>
    <w:link w:val="MIRBodyTextChar"/>
    <w:qFormat/>
    <w:rsid w:val="00F420DC"/>
    <w:pPr>
      <w:numPr>
        <w:numId w:val="13"/>
      </w:numPr>
      <w:tabs>
        <w:tab w:val="left" w:pos="851"/>
      </w:tabs>
    </w:pPr>
  </w:style>
  <w:style w:type="character" w:customStyle="1" w:styleId="MIRBodyTextChar">
    <w:name w:val="MIR Body Text Char"/>
    <w:basedOn w:val="BodytextplainChar"/>
    <w:link w:val="MIRBodyText"/>
    <w:rsid w:val="00F420DC"/>
    <w:rPr>
      <w:sz w:val="22"/>
      <w:szCs w:val="22"/>
    </w:rPr>
  </w:style>
  <w:style w:type="paragraph" w:customStyle="1" w:styleId="MIRPenalty">
    <w:name w:val="MIR Penalty"/>
    <w:basedOn w:val="Normal"/>
    <w:link w:val="MIRPenaltyChar"/>
    <w:qFormat/>
    <w:rsid w:val="004C0CB4"/>
    <w:pPr>
      <w:tabs>
        <w:tab w:val="left" w:pos="10773"/>
      </w:tabs>
      <w:spacing w:before="360" w:after="0"/>
      <w:ind w:left="851"/>
    </w:pPr>
    <w:rPr>
      <w:szCs w:val="22"/>
      <w:lang w:val="en-GB"/>
    </w:rPr>
  </w:style>
  <w:style w:type="character" w:customStyle="1" w:styleId="MIRPenaltyChar">
    <w:name w:val="MIR Penalty Char"/>
    <w:basedOn w:val="DefaultParagraphFont"/>
    <w:link w:val="MIRPenalty"/>
    <w:rsid w:val="004C0CB4"/>
    <w:rPr>
      <w:sz w:val="22"/>
      <w:szCs w:val="22"/>
      <w:lang w:val="en-GB"/>
    </w:rPr>
  </w:style>
  <w:style w:type="paragraph" w:styleId="TOCHeading">
    <w:name w:val="TOC Heading"/>
    <w:basedOn w:val="Heading1"/>
    <w:next w:val="Normal"/>
    <w:uiPriority w:val="39"/>
    <w:semiHidden/>
    <w:unhideWhenUsed/>
    <w:qFormat/>
    <w:rsid w:val="00D00423"/>
    <w:pPr>
      <w:keepLines/>
      <w:pageBreakBefore w:val="0"/>
      <w:numPr>
        <w:numId w:val="0"/>
      </w:numPr>
      <w:spacing w:before="480" w:after="0" w:line="276" w:lineRule="auto"/>
      <w:outlineLvl w:val="9"/>
    </w:pPr>
    <w:rPr>
      <w:rFonts w:ascii="Cambria" w:hAnsi="Cambria" w:cs="Times New Roman"/>
      <w:bCs/>
      <w:color w:val="365F91"/>
      <w:kern w:val="0"/>
      <w:sz w:val="28"/>
      <w:szCs w:val="28"/>
      <w:lang w:val="en-US" w:eastAsia="en-US"/>
    </w:rPr>
  </w:style>
  <w:style w:type="paragraph" w:customStyle="1" w:styleId="MIRSubsubpara">
    <w:name w:val="MIR Subsubpara"/>
    <w:basedOn w:val="Normal"/>
    <w:link w:val="MIRSubsubparaChar"/>
    <w:qFormat/>
    <w:rsid w:val="00B252DB"/>
    <w:pPr>
      <w:numPr>
        <w:ilvl w:val="2"/>
        <w:numId w:val="13"/>
      </w:numPr>
      <w:spacing w:before="100" w:after="0" w:line="300" w:lineRule="atLeast"/>
    </w:pPr>
    <w:rPr>
      <w:szCs w:val="22"/>
    </w:rPr>
  </w:style>
  <w:style w:type="character" w:customStyle="1" w:styleId="MIRSubsubparaChar">
    <w:name w:val="MIR Subsubpara Char"/>
    <w:basedOn w:val="DefaultParagraphFont"/>
    <w:link w:val="MIRSubsubpara"/>
    <w:rsid w:val="00B252DB"/>
    <w:rPr>
      <w:sz w:val="22"/>
      <w:szCs w:val="22"/>
    </w:rPr>
  </w:style>
  <w:style w:type="paragraph" w:styleId="TOC5">
    <w:name w:val="toc 5"/>
    <w:basedOn w:val="Normal"/>
    <w:next w:val="Normal"/>
    <w:autoRedefine/>
    <w:uiPriority w:val="39"/>
    <w:unhideWhenUsed/>
    <w:rsid w:val="00E42346"/>
    <w:pPr>
      <w:spacing w:after="100" w:line="276" w:lineRule="auto"/>
      <w:ind w:left="880"/>
    </w:pPr>
    <w:rPr>
      <w:rFonts w:ascii="Calibri" w:hAnsi="Calibri"/>
      <w:szCs w:val="22"/>
    </w:rPr>
  </w:style>
  <w:style w:type="paragraph" w:customStyle="1" w:styleId="MIRNote">
    <w:name w:val="MIR Note"/>
    <w:basedOn w:val="Normal"/>
    <w:link w:val="MIRNoteChar"/>
    <w:qFormat/>
    <w:rsid w:val="00B252DB"/>
    <w:pPr>
      <w:spacing w:before="200" w:after="0" w:line="240" w:lineRule="atLeast"/>
      <w:ind w:left="1701"/>
    </w:pPr>
    <w:rPr>
      <w:sz w:val="18"/>
      <w:szCs w:val="22"/>
    </w:rPr>
  </w:style>
  <w:style w:type="character" w:customStyle="1" w:styleId="MIRNoteChar">
    <w:name w:val="MIR Note Char"/>
    <w:basedOn w:val="DefaultParagraphFont"/>
    <w:link w:val="MIRNote"/>
    <w:rsid w:val="00AA6499"/>
    <w:rPr>
      <w:sz w:val="18"/>
      <w:szCs w:val="22"/>
    </w:rPr>
  </w:style>
  <w:style w:type="paragraph" w:styleId="TOC6">
    <w:name w:val="toc 6"/>
    <w:basedOn w:val="Normal"/>
    <w:next w:val="Normal"/>
    <w:autoRedefine/>
    <w:uiPriority w:val="39"/>
    <w:unhideWhenUsed/>
    <w:rsid w:val="00E42346"/>
    <w:pPr>
      <w:spacing w:after="100" w:line="276" w:lineRule="auto"/>
      <w:ind w:left="1100"/>
    </w:pPr>
    <w:rPr>
      <w:rFonts w:ascii="Calibri" w:hAnsi="Calibri"/>
      <w:szCs w:val="22"/>
    </w:rPr>
  </w:style>
  <w:style w:type="paragraph" w:styleId="TOC7">
    <w:name w:val="toc 7"/>
    <w:basedOn w:val="Normal"/>
    <w:next w:val="Normal"/>
    <w:autoRedefine/>
    <w:uiPriority w:val="39"/>
    <w:unhideWhenUsed/>
    <w:rsid w:val="00E42346"/>
    <w:pPr>
      <w:spacing w:after="100" w:line="276" w:lineRule="auto"/>
      <w:ind w:left="1320"/>
    </w:pPr>
    <w:rPr>
      <w:rFonts w:ascii="Calibri" w:hAnsi="Calibri"/>
      <w:szCs w:val="22"/>
    </w:rPr>
  </w:style>
  <w:style w:type="paragraph" w:customStyle="1" w:styleId="MIRHeading5">
    <w:name w:val="MIR Heading 5"/>
    <w:basedOn w:val="Heading4"/>
    <w:link w:val="MIRHeading5Char"/>
    <w:qFormat/>
    <w:rsid w:val="00B252DB"/>
    <w:pPr>
      <w:ind w:left="851"/>
    </w:pPr>
  </w:style>
  <w:style w:type="character" w:customStyle="1" w:styleId="MIRHeading5Char">
    <w:name w:val="MIR Heading 5 Char"/>
    <w:basedOn w:val="DefaultParagraphFont"/>
    <w:link w:val="MIRHeading5"/>
    <w:rsid w:val="00B252DB"/>
    <w:rPr>
      <w:rFonts w:ascii="Arial" w:hAnsi="Arial" w:cs="Arial"/>
      <w:b/>
      <w:szCs w:val="22"/>
    </w:rPr>
  </w:style>
  <w:style w:type="paragraph" w:customStyle="1" w:styleId="MIRHeading2Part">
    <w:name w:val="MIR Heading 2 (Part)"/>
    <w:basedOn w:val="Heading2"/>
    <w:next w:val="Normal"/>
    <w:link w:val="MIRHeading2PartChar"/>
    <w:qFormat/>
    <w:rsid w:val="00C16108"/>
    <w:pPr>
      <w:tabs>
        <w:tab w:val="left" w:pos="851"/>
      </w:tabs>
      <w:spacing w:before="480"/>
      <w:ind w:left="1134" w:hanging="1134"/>
    </w:pPr>
  </w:style>
  <w:style w:type="character" w:customStyle="1" w:styleId="MIRHeading2PartChar">
    <w:name w:val="MIR Heading 2 (Part) Char"/>
    <w:basedOn w:val="DefaultParagraphFont"/>
    <w:link w:val="MIRHeading2Part"/>
    <w:rsid w:val="00C16108"/>
    <w:rPr>
      <w:rFonts w:ascii="Arial" w:hAnsi="Arial" w:cs="Arial"/>
      <w:b/>
      <w:sz w:val="28"/>
      <w:szCs w:val="28"/>
    </w:rPr>
  </w:style>
  <w:style w:type="paragraph" w:customStyle="1" w:styleId="MIRHeading1Chapter">
    <w:name w:val="MIR Heading 1 (Chapter)"/>
    <w:basedOn w:val="Heading1nonumber"/>
    <w:next w:val="MIRHeading2Part"/>
    <w:link w:val="MIRHeading1ChapterChar"/>
    <w:qFormat/>
    <w:rsid w:val="00C16108"/>
    <w:pPr>
      <w:spacing w:after="0"/>
    </w:pPr>
  </w:style>
  <w:style w:type="character" w:customStyle="1" w:styleId="MIRHeading1ChapterChar">
    <w:name w:val="MIR Heading 1 (Chapter) Char"/>
    <w:basedOn w:val="Heading1nonumberChar"/>
    <w:link w:val="MIRHeading1Chapter"/>
    <w:rsid w:val="00C16108"/>
    <w:rPr>
      <w:rFonts w:ascii="Arial" w:hAnsi="Arial" w:cs="Arial"/>
      <w:b/>
      <w:kern w:val="28"/>
      <w:sz w:val="36"/>
      <w:szCs w:val="36"/>
    </w:rPr>
  </w:style>
  <w:style w:type="paragraph" w:customStyle="1" w:styleId="AutoCorrect">
    <w:name w:val="AutoCorrect"/>
    <w:rsid w:val="00AA6499"/>
    <w:pPr>
      <w:spacing w:after="200" w:line="276" w:lineRule="auto"/>
    </w:pPr>
    <w:rPr>
      <w:rFonts w:ascii="Calibri" w:hAnsi="Calibri"/>
      <w:sz w:val="22"/>
      <w:szCs w:val="22"/>
    </w:rPr>
  </w:style>
  <w:style w:type="paragraph" w:customStyle="1" w:styleId="MIRCPNote">
    <w:name w:val="MIR CP Note"/>
    <w:basedOn w:val="MIRSubpara"/>
    <w:link w:val="MIRCPNoteChar"/>
    <w:qFormat/>
    <w:rsid w:val="00AA6499"/>
    <w:pPr>
      <w:keepLines/>
      <w:widowControl w:val="0"/>
      <w:numPr>
        <w:ilvl w:val="0"/>
        <w:numId w:val="0"/>
      </w:numPr>
      <w:pBdr>
        <w:top w:val="single" w:sz="4" w:space="1" w:color="auto"/>
        <w:left w:val="single" w:sz="4" w:space="4" w:color="auto"/>
        <w:bottom w:val="single" w:sz="4" w:space="1" w:color="auto"/>
        <w:right w:val="single" w:sz="4" w:space="4" w:color="auto"/>
      </w:pBdr>
      <w:adjustRightInd w:val="0"/>
      <w:ind w:left="851"/>
      <w:textAlignment w:val="baseline"/>
    </w:pPr>
    <w:rPr>
      <w:noProof/>
    </w:rPr>
  </w:style>
  <w:style w:type="character" w:customStyle="1" w:styleId="MIRCPNoteChar">
    <w:name w:val="MIR CP Note Char"/>
    <w:basedOn w:val="MIRSubparaChar"/>
    <w:link w:val="MIRCPNote"/>
    <w:rsid w:val="00AA6499"/>
    <w:rPr>
      <w:noProof/>
      <w:sz w:val="22"/>
      <w:szCs w:val="22"/>
    </w:rPr>
  </w:style>
  <w:style w:type="paragraph" w:customStyle="1" w:styleId="MIRHeading1Section">
    <w:name w:val="MIR Heading 1 (Section)"/>
    <w:basedOn w:val="Heading1"/>
    <w:next w:val="MIRHeading1Chapter"/>
    <w:link w:val="MIRHeading1SectionChar"/>
    <w:rsid w:val="00FE1991"/>
  </w:style>
  <w:style w:type="character" w:customStyle="1" w:styleId="MIRHeading1SectionChar">
    <w:name w:val="MIR Heading 1 (Section) Char"/>
    <w:basedOn w:val="Heading1Char"/>
    <w:link w:val="MIRHeading1Section"/>
    <w:rsid w:val="00FE1991"/>
    <w:rPr>
      <w:rFonts w:ascii="Arial" w:hAnsi="Arial" w:cs="Arial"/>
      <w:b/>
      <w:kern w:val="28"/>
      <w:sz w:val="36"/>
      <w:szCs w:val="36"/>
    </w:rPr>
  </w:style>
  <w:style w:type="paragraph" w:styleId="TOC8">
    <w:name w:val="toc 8"/>
    <w:basedOn w:val="Normal"/>
    <w:next w:val="Normal"/>
    <w:autoRedefine/>
    <w:uiPriority w:val="39"/>
    <w:unhideWhenUsed/>
    <w:rsid w:val="00E42346"/>
    <w:pPr>
      <w:spacing w:after="100" w:line="276" w:lineRule="auto"/>
      <w:ind w:left="1540"/>
    </w:pPr>
    <w:rPr>
      <w:rFonts w:ascii="Calibri" w:hAnsi="Calibri"/>
      <w:szCs w:val="22"/>
    </w:rPr>
  </w:style>
  <w:style w:type="paragraph" w:styleId="TOC9">
    <w:name w:val="toc 9"/>
    <w:basedOn w:val="Normal"/>
    <w:next w:val="Normal"/>
    <w:autoRedefine/>
    <w:uiPriority w:val="39"/>
    <w:unhideWhenUsed/>
    <w:rsid w:val="00E42346"/>
    <w:pPr>
      <w:spacing w:after="100" w:line="276" w:lineRule="auto"/>
      <w:ind w:left="1760"/>
    </w:pPr>
    <w:rPr>
      <w:rFonts w:ascii="Calibri" w:hAnsi="Calibri"/>
      <w:szCs w:val="22"/>
    </w:rPr>
  </w:style>
  <w:style w:type="paragraph" w:styleId="ListParagraph">
    <w:name w:val="List Paragraph"/>
    <w:basedOn w:val="Normal"/>
    <w:uiPriority w:val="34"/>
    <w:qFormat/>
    <w:rsid w:val="00333F5D"/>
    <w:pPr>
      <w:ind w:left="720"/>
    </w:pPr>
  </w:style>
  <w:style w:type="paragraph" w:styleId="CommentSubject">
    <w:name w:val="annotation subject"/>
    <w:basedOn w:val="CommentText"/>
    <w:next w:val="CommentText"/>
    <w:link w:val="CommentSubjectChar"/>
    <w:uiPriority w:val="99"/>
    <w:semiHidden/>
    <w:unhideWhenUsed/>
    <w:rsid w:val="000F4DBD"/>
    <w:rPr>
      <w:b/>
      <w:bCs/>
    </w:rPr>
  </w:style>
  <w:style w:type="character" w:customStyle="1" w:styleId="CommentSubjectChar">
    <w:name w:val="Comment Subject Char"/>
    <w:basedOn w:val="CommentTextChar"/>
    <w:link w:val="CommentSubject"/>
    <w:rsid w:val="000F4DBD"/>
  </w:style>
  <w:style w:type="paragraph" w:customStyle="1" w:styleId="mirbodytext0">
    <w:name w:val="mirbodytext"/>
    <w:basedOn w:val="Normal"/>
    <w:rsid w:val="00C84643"/>
    <w:pPr>
      <w:spacing w:before="100" w:beforeAutospacing="1" w:after="100" w:afterAutospacing="1"/>
    </w:pPr>
    <w:rPr>
      <w:sz w:val="24"/>
      <w:szCs w:val="24"/>
    </w:rPr>
  </w:style>
  <w:style w:type="paragraph" w:customStyle="1" w:styleId="mirsubpara0">
    <w:name w:val="mirsubpara"/>
    <w:basedOn w:val="Normal"/>
    <w:rsid w:val="00C84643"/>
    <w:pPr>
      <w:spacing w:before="100" w:beforeAutospacing="1" w:after="100" w:afterAutospacing="1"/>
    </w:pPr>
    <w:rPr>
      <w:sz w:val="24"/>
      <w:szCs w:val="24"/>
    </w:rPr>
  </w:style>
  <w:style w:type="paragraph" w:styleId="Revision">
    <w:name w:val="Revision"/>
    <w:hidden/>
    <w:uiPriority w:val="99"/>
    <w:semiHidden/>
    <w:rsid w:val="006E05F3"/>
    <w:rPr>
      <w:sz w:val="22"/>
    </w:rPr>
  </w:style>
  <w:style w:type="paragraph" w:customStyle="1" w:styleId="sub3paraA">
    <w:name w:val="sub3para (A)"/>
    <w:basedOn w:val="subsubparai"/>
    <w:qFormat/>
    <w:rsid w:val="00EE7095"/>
    <w:pPr>
      <w:numPr>
        <w:ilvl w:val="3"/>
      </w:numPr>
    </w:pPr>
  </w:style>
  <w:style w:type="paragraph" w:customStyle="1" w:styleId="sub4paraI">
    <w:name w:val="sub4para (I)"/>
    <w:basedOn w:val="subsubparai"/>
    <w:qFormat/>
    <w:rsid w:val="00EE7095"/>
    <w:pPr>
      <w:numPr>
        <w:ilvl w:val="4"/>
      </w:numPr>
    </w:pPr>
  </w:style>
  <w:style w:type="paragraph" w:customStyle="1" w:styleId="Feedbacksubsubquestion">
    <w:name w:val="Feedback subsubquestion"/>
    <w:basedOn w:val="Feedbacksubquestion"/>
    <w:qFormat/>
    <w:rsid w:val="00EE7095"/>
    <w:pPr>
      <w:numPr>
        <w:ilvl w:val="6"/>
      </w:numPr>
    </w:pPr>
  </w:style>
  <w:style w:type="paragraph" w:customStyle="1" w:styleId="sourcenoteindented">
    <w:name w:val="source note indented"/>
    <w:basedOn w:val="sourcenotefullwidth"/>
    <w:qFormat/>
    <w:rsid w:val="00EE7095"/>
    <w:pPr>
      <w:ind w:left="2268"/>
    </w:pPr>
  </w:style>
  <w:style w:type="paragraph" w:customStyle="1" w:styleId="tblProposalsubpara">
    <w:name w:val="tbl Proposal sub para"/>
    <w:basedOn w:val="tbltext"/>
    <w:qFormat/>
    <w:rsid w:val="00EE7095"/>
    <w:pPr>
      <w:ind w:left="885" w:hanging="425"/>
    </w:pPr>
  </w:style>
  <w:style w:type="paragraph" w:customStyle="1" w:styleId="tblProposalsubsubpara">
    <w:name w:val="tbl Proposal sub sub para"/>
    <w:basedOn w:val="tbltext"/>
    <w:qFormat/>
    <w:rsid w:val="00EE7095"/>
    <w:pPr>
      <w:ind w:left="1310" w:hanging="425"/>
    </w:pPr>
  </w:style>
  <w:style w:type="paragraph" w:customStyle="1" w:styleId="tblProposaltext">
    <w:name w:val="tbl Proposal text"/>
    <w:basedOn w:val="tbltext"/>
    <w:qFormat/>
    <w:rsid w:val="00EE7095"/>
    <w:pPr>
      <w:ind w:left="425" w:hanging="425"/>
    </w:pPr>
  </w:style>
  <w:style w:type="paragraph" w:customStyle="1" w:styleId="tblProposaltextnonumber">
    <w:name w:val="tbl Proposal text no number"/>
    <w:basedOn w:val="tbltext"/>
    <w:qFormat/>
    <w:rsid w:val="00EE7095"/>
    <w:pPr>
      <w:ind w:left="425"/>
    </w:pPr>
  </w:style>
  <w:style w:type="paragraph" w:customStyle="1" w:styleId="tblFeedbackquestion">
    <w:name w:val="tbl Feedback question"/>
    <w:basedOn w:val="Proposaltext"/>
    <w:qFormat/>
    <w:rsid w:val="00EE7095"/>
    <w:pPr>
      <w:numPr>
        <w:ilvl w:val="0"/>
        <w:numId w:val="0"/>
      </w:numPr>
      <w:spacing w:before="120" w:line="240" w:lineRule="atLeast"/>
      <w:ind w:left="624" w:hanging="624"/>
    </w:pPr>
    <w:rPr>
      <w:sz w:val="18"/>
      <w:szCs w:val="18"/>
    </w:rPr>
  </w:style>
  <w:style w:type="paragraph" w:customStyle="1" w:styleId="tblProposalnotenonumber">
    <w:name w:val="tbl Proposal note no number"/>
    <w:basedOn w:val="tblProposalsubsubpara"/>
    <w:qFormat/>
    <w:rsid w:val="00EE7095"/>
    <w:rPr>
      <w:sz w:val="16"/>
      <w:szCs w:val="16"/>
    </w:rPr>
  </w:style>
  <w:style w:type="paragraph" w:customStyle="1" w:styleId="tblFeedbacksubquestion">
    <w:name w:val="tbl Feedback subquestion"/>
    <w:basedOn w:val="tblProposalsubpara"/>
    <w:rsid w:val="00EE7095"/>
    <w:pPr>
      <w:ind w:left="964" w:hanging="340"/>
    </w:pPr>
  </w:style>
  <w:style w:type="paragraph" w:customStyle="1" w:styleId="tblFeedbacksubsubquestion">
    <w:name w:val="tbl Feedback subsubquestion"/>
    <w:basedOn w:val="tblProposalsubsubpara"/>
    <w:qFormat/>
    <w:rsid w:val="00EE7095"/>
    <w:pPr>
      <w:ind w:left="1304" w:hanging="340"/>
    </w:pPr>
  </w:style>
  <w:style w:type="table" w:styleId="TableGrid">
    <w:name w:val="Table Grid"/>
    <w:basedOn w:val="TableNormal"/>
    <w:uiPriority w:val="59"/>
    <w:rsid w:val="003310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rpenalty0">
    <w:name w:val="mirpenalty"/>
    <w:basedOn w:val="Normal"/>
    <w:rsid w:val="005F3E6B"/>
    <w:pPr>
      <w:spacing w:before="100" w:beforeAutospacing="1" w:after="100" w:afterAutospacing="1"/>
    </w:pPr>
    <w:rPr>
      <w:sz w:val="24"/>
      <w:szCs w:val="24"/>
    </w:rPr>
  </w:style>
  <w:style w:type="paragraph" w:styleId="NormalWeb">
    <w:name w:val="Normal (Web)"/>
    <w:basedOn w:val="Normal"/>
    <w:uiPriority w:val="99"/>
    <w:semiHidden/>
    <w:unhideWhenUsed/>
    <w:rsid w:val="00F871E9"/>
    <w:rPr>
      <w:sz w:val="24"/>
      <w:szCs w:val="24"/>
    </w:rPr>
  </w:style>
  <w:style w:type="paragraph" w:customStyle="1" w:styleId="MIRHeading3Rule">
    <w:name w:val="MIR Heading 3 (Rule)"/>
    <w:basedOn w:val="Heading3"/>
    <w:link w:val="MIRHeading3RuleChar"/>
    <w:qFormat/>
    <w:rsid w:val="001C17A3"/>
    <w:pPr>
      <w:ind w:left="851" w:hanging="851"/>
    </w:pPr>
  </w:style>
  <w:style w:type="character" w:customStyle="1" w:styleId="MIRHeading3RuleChar">
    <w:name w:val="MIR Heading 3 (Rule) Char"/>
    <w:basedOn w:val="DefaultParagraphFont"/>
    <w:link w:val="MIRHeading3Rule"/>
    <w:rsid w:val="001C17A3"/>
    <w:rPr>
      <w:rFonts w:ascii="Arial" w:hAnsi="Arial" w:cs="Arial"/>
      <w:b/>
      <w:sz w:val="24"/>
      <w:szCs w:val="24"/>
    </w:rPr>
  </w:style>
  <w:style w:type="paragraph" w:customStyle="1" w:styleId="definition">
    <w:name w:val="definition"/>
    <w:basedOn w:val="Normal"/>
    <w:rsid w:val="00E4286B"/>
    <w:pPr>
      <w:spacing w:before="100" w:beforeAutospacing="1" w:after="100" w:afterAutospacing="1"/>
    </w:pPr>
    <w:rPr>
      <w:sz w:val="24"/>
      <w:szCs w:val="24"/>
    </w:rPr>
  </w:style>
  <w:style w:type="paragraph" w:customStyle="1" w:styleId="paragraph">
    <w:name w:val="paragraph"/>
    <w:basedOn w:val="Normal"/>
    <w:rsid w:val="00E4286B"/>
    <w:pPr>
      <w:spacing w:before="100" w:beforeAutospacing="1" w:after="100" w:afterAutospacing="1"/>
    </w:pPr>
    <w:rPr>
      <w:sz w:val="24"/>
      <w:szCs w:val="24"/>
    </w:rPr>
  </w:style>
  <w:style w:type="paragraph" w:customStyle="1" w:styleId="subsection">
    <w:name w:val="subsection"/>
    <w:basedOn w:val="Normal"/>
    <w:rsid w:val="00327859"/>
    <w:pPr>
      <w:spacing w:before="100" w:beforeAutospacing="1" w:after="100" w:afterAutospacing="1"/>
    </w:pPr>
    <w:rPr>
      <w:sz w:val="24"/>
      <w:szCs w:val="24"/>
    </w:rPr>
  </w:style>
  <w:style w:type="paragraph" w:customStyle="1" w:styleId="acthead5">
    <w:name w:val="acthead5"/>
    <w:basedOn w:val="Normal"/>
    <w:rsid w:val="00F61E09"/>
    <w:pPr>
      <w:spacing w:before="100" w:beforeAutospacing="1" w:after="100" w:afterAutospacing="1"/>
    </w:pPr>
    <w:rPr>
      <w:sz w:val="24"/>
      <w:szCs w:val="24"/>
    </w:rPr>
  </w:style>
  <w:style w:type="character" w:customStyle="1" w:styleId="charsectno">
    <w:name w:val="charsectno"/>
    <w:basedOn w:val="DefaultParagraphFont"/>
    <w:rsid w:val="00F61E09"/>
  </w:style>
  <w:style w:type="paragraph" w:customStyle="1" w:styleId="subsectionhead">
    <w:name w:val="subsectionhead"/>
    <w:basedOn w:val="Normal"/>
    <w:rsid w:val="00F61E09"/>
    <w:pPr>
      <w:spacing w:before="100" w:beforeAutospacing="1" w:after="100" w:afterAutospacing="1"/>
    </w:pPr>
    <w:rPr>
      <w:sz w:val="24"/>
      <w:szCs w:val="24"/>
    </w:rPr>
  </w:style>
  <w:style w:type="paragraph" w:customStyle="1" w:styleId="notetext">
    <w:name w:val="notetext"/>
    <w:basedOn w:val="Normal"/>
    <w:rsid w:val="00F61E09"/>
    <w:pPr>
      <w:spacing w:before="100" w:beforeAutospacing="1" w:after="100" w:afterAutospacing="1"/>
    </w:pPr>
    <w:rPr>
      <w:sz w:val="24"/>
      <w:szCs w:val="24"/>
    </w:rPr>
  </w:style>
  <w:style w:type="paragraph" w:customStyle="1" w:styleId="notepara">
    <w:name w:val="notepara"/>
    <w:basedOn w:val="Normal"/>
    <w:rsid w:val="00F61E09"/>
    <w:pPr>
      <w:spacing w:before="100" w:beforeAutospacing="1" w:after="100" w:afterAutospacing="1"/>
    </w:pPr>
    <w:rPr>
      <w:sz w:val="24"/>
      <w:szCs w:val="24"/>
    </w:rPr>
  </w:style>
  <w:style w:type="paragraph" w:customStyle="1" w:styleId="paragraphsub">
    <w:name w:val="paragraphsub"/>
    <w:basedOn w:val="Normal"/>
    <w:rsid w:val="00F61E09"/>
    <w:pPr>
      <w:spacing w:before="100" w:beforeAutospacing="1" w:after="100" w:afterAutospacing="1"/>
    </w:pPr>
    <w:rPr>
      <w:sz w:val="24"/>
      <w:szCs w:val="24"/>
    </w:rPr>
  </w:style>
  <w:style w:type="paragraph" w:styleId="NoSpacing">
    <w:name w:val="No Spacing"/>
    <w:uiPriority w:val="1"/>
    <w:qFormat/>
    <w:rsid w:val="00EC6ADD"/>
    <w:rPr>
      <w:sz w:val="22"/>
    </w:rPr>
  </w:style>
  <w:style w:type="paragraph" w:customStyle="1" w:styleId="RPG-BodyTextNumbered">
    <w:name w:val="RPG - Body Text (Numbered)"/>
    <w:basedOn w:val="Normal"/>
    <w:link w:val="RPG-BodyTextNumberedChar"/>
    <w:qFormat/>
    <w:rsid w:val="004A129F"/>
    <w:pPr>
      <w:numPr>
        <w:numId w:val="12"/>
      </w:numPr>
      <w:spacing w:before="200" w:after="0"/>
    </w:pPr>
    <w:rPr>
      <w:rFonts w:eastAsia="Calibri"/>
      <w:szCs w:val="22"/>
      <w:lang w:eastAsia="en-US"/>
    </w:rPr>
  </w:style>
  <w:style w:type="paragraph" w:customStyle="1" w:styleId="RPG-SublistLevel1">
    <w:name w:val="RPG - Sublist Level 1"/>
    <w:basedOn w:val="RPG-BodyTextNumbered"/>
    <w:qFormat/>
    <w:rsid w:val="004A129F"/>
    <w:pPr>
      <w:numPr>
        <w:ilvl w:val="1"/>
      </w:numPr>
      <w:tabs>
        <w:tab w:val="clear" w:pos="1276"/>
      </w:tabs>
      <w:spacing w:before="120"/>
      <w:ind w:left="1440" w:hanging="360"/>
    </w:pPr>
  </w:style>
  <w:style w:type="paragraph" w:customStyle="1" w:styleId="RPG-SublistLevel2">
    <w:name w:val="RPG - Sublist Level 2"/>
    <w:basedOn w:val="RPG-SublistLevel1"/>
    <w:qFormat/>
    <w:rsid w:val="004A129F"/>
    <w:pPr>
      <w:numPr>
        <w:ilvl w:val="2"/>
      </w:numPr>
      <w:tabs>
        <w:tab w:val="clear" w:pos="1701"/>
      </w:tabs>
      <w:ind w:left="2160" w:hanging="360"/>
    </w:pPr>
  </w:style>
  <w:style w:type="character" w:customStyle="1" w:styleId="RPG-BodyTextNumberedChar">
    <w:name w:val="RPG - Body Text (Numbered) Char"/>
    <w:basedOn w:val="DefaultParagraphFont"/>
    <w:link w:val="RPG-BodyTextNumbered"/>
    <w:rsid w:val="004A129F"/>
    <w:rPr>
      <w:rFonts w:eastAsia="Calibri"/>
      <w:sz w:val="22"/>
      <w:szCs w:val="22"/>
      <w:lang w:eastAsia="en-US"/>
    </w:rPr>
  </w:style>
  <w:style w:type="paragraph" w:customStyle="1" w:styleId="Default">
    <w:name w:val="Default"/>
    <w:rsid w:val="00ED278C"/>
    <w:pPr>
      <w:autoSpaceDE w:val="0"/>
      <w:autoSpaceDN w:val="0"/>
      <w:adjustRightInd w:val="0"/>
    </w:pPr>
    <w:rPr>
      <w:color w:val="000000"/>
      <w:sz w:val="24"/>
      <w:szCs w:val="24"/>
    </w:rPr>
  </w:style>
  <w:style w:type="paragraph" w:customStyle="1" w:styleId="MIRCPNoteSublist">
    <w:name w:val="MIR CP Note Sublist"/>
    <w:basedOn w:val="MIRCPNote"/>
    <w:link w:val="MIRCPNoteSublistChar"/>
    <w:qFormat/>
    <w:rsid w:val="00FE43C9"/>
    <w:pPr>
      <w:ind w:left="1276" w:hanging="425"/>
    </w:pPr>
  </w:style>
  <w:style w:type="character" w:customStyle="1" w:styleId="MIRCPNoteSublistChar">
    <w:name w:val="MIR CP Note Sublist Char"/>
    <w:basedOn w:val="MIRCPNoteChar"/>
    <w:link w:val="MIRCPNoteSublist"/>
    <w:rsid w:val="00FE43C9"/>
    <w:rPr>
      <w:noProof/>
      <w:sz w:val="22"/>
      <w:szCs w:val="22"/>
    </w:rPr>
  </w:style>
  <w:style w:type="character" w:styleId="FollowedHyperlink">
    <w:name w:val="FollowedHyperlink"/>
    <w:basedOn w:val="DefaultParagraphFont"/>
    <w:uiPriority w:val="99"/>
    <w:semiHidden/>
    <w:unhideWhenUsed/>
    <w:rsid w:val="009C77BD"/>
    <w:rPr>
      <w:color w:val="800080" w:themeColor="followedHyperlink"/>
      <w:u w:val="single"/>
    </w:rPr>
  </w:style>
  <w:style w:type="paragraph" w:customStyle="1" w:styleId="OutlineNumbered1">
    <w:name w:val="Outline Numbered 1"/>
    <w:basedOn w:val="Normal"/>
    <w:link w:val="OutlineNumbered1Char"/>
    <w:rsid w:val="003D4B38"/>
    <w:pPr>
      <w:numPr>
        <w:numId w:val="14"/>
      </w:numPr>
      <w:spacing w:after="120" w:line="276" w:lineRule="auto"/>
    </w:pPr>
    <w:rPr>
      <w:sz w:val="24"/>
      <w:szCs w:val="24"/>
      <w:lang w:eastAsia="en-US"/>
    </w:rPr>
  </w:style>
  <w:style w:type="character" w:customStyle="1" w:styleId="OutlineNumbered1Char">
    <w:name w:val="Outline Numbered 1 Char"/>
    <w:basedOn w:val="DefaultParagraphFont"/>
    <w:link w:val="OutlineNumbered1"/>
    <w:rsid w:val="003D4B38"/>
    <w:rPr>
      <w:sz w:val="24"/>
      <w:szCs w:val="24"/>
      <w:lang w:eastAsia="en-US"/>
    </w:rPr>
  </w:style>
  <w:style w:type="paragraph" w:customStyle="1" w:styleId="OutlineNumbered2">
    <w:name w:val="Outline Numbered 2"/>
    <w:basedOn w:val="Normal"/>
    <w:rsid w:val="003D4B38"/>
    <w:pPr>
      <w:numPr>
        <w:ilvl w:val="1"/>
        <w:numId w:val="14"/>
      </w:numPr>
      <w:spacing w:after="120" w:line="276" w:lineRule="auto"/>
    </w:pPr>
    <w:rPr>
      <w:sz w:val="24"/>
      <w:szCs w:val="24"/>
      <w:lang w:eastAsia="en-US"/>
    </w:rPr>
  </w:style>
  <w:style w:type="paragraph" w:customStyle="1" w:styleId="OutlineNumbered3">
    <w:name w:val="Outline Numbered 3"/>
    <w:basedOn w:val="Normal"/>
    <w:rsid w:val="003D4B38"/>
    <w:pPr>
      <w:numPr>
        <w:ilvl w:val="2"/>
        <w:numId w:val="14"/>
      </w:numPr>
      <w:spacing w:after="120" w:line="276" w:lineRule="auto"/>
    </w:pPr>
    <w:rPr>
      <w:sz w:val="24"/>
      <w:szCs w:val="24"/>
      <w:lang w:eastAsia="en-US"/>
    </w:rPr>
  </w:style>
  <w:style w:type="paragraph" w:customStyle="1" w:styleId="Bullet">
    <w:name w:val="Bullet"/>
    <w:basedOn w:val="Normal"/>
    <w:rsid w:val="00B62602"/>
    <w:pPr>
      <w:numPr>
        <w:numId w:val="15"/>
      </w:numPr>
      <w:spacing w:after="0"/>
    </w:pPr>
    <w:rPr>
      <w:rFonts w:ascii="Calibri" w:hAnsi="Calibri"/>
      <w:szCs w:val="22"/>
      <w:lang w:eastAsia="en-US"/>
    </w:rPr>
  </w:style>
  <w:style w:type="paragraph" w:customStyle="1" w:styleId="Dash">
    <w:name w:val="Dash"/>
    <w:basedOn w:val="Normal"/>
    <w:rsid w:val="00B62602"/>
    <w:pPr>
      <w:numPr>
        <w:ilvl w:val="1"/>
        <w:numId w:val="15"/>
      </w:numPr>
      <w:spacing w:after="0"/>
    </w:pPr>
    <w:rPr>
      <w:rFonts w:ascii="Calibri" w:hAnsi="Calibri"/>
      <w:szCs w:val="22"/>
      <w:lang w:eastAsia="en-US"/>
    </w:rPr>
  </w:style>
  <w:style w:type="paragraph" w:customStyle="1" w:styleId="DoubleDot">
    <w:name w:val="Double Dot"/>
    <w:basedOn w:val="Normal"/>
    <w:rsid w:val="00B62602"/>
    <w:pPr>
      <w:numPr>
        <w:ilvl w:val="2"/>
        <w:numId w:val="15"/>
      </w:numPr>
      <w:spacing w:after="0"/>
    </w:pPr>
    <w:rPr>
      <w:rFonts w:ascii="Calibri" w:hAnsi="Calibri"/>
      <w:szCs w:val="22"/>
      <w:lang w:eastAsia="en-US"/>
    </w:rPr>
  </w:style>
  <w:style w:type="paragraph" w:customStyle="1" w:styleId="mirsubsubpara0">
    <w:name w:val="mirsubsubpara"/>
    <w:basedOn w:val="Normal"/>
    <w:rsid w:val="00625181"/>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footnote reference" w:uiPriority="0"/>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095"/>
    <w:pPr>
      <w:spacing w:after="240"/>
    </w:pPr>
    <w:rPr>
      <w:sz w:val="22"/>
    </w:rPr>
  </w:style>
  <w:style w:type="paragraph" w:styleId="Heading1">
    <w:name w:val="heading 1"/>
    <w:basedOn w:val="Normal"/>
    <w:next w:val="BodyText"/>
    <w:link w:val="Heading1Char"/>
    <w:qFormat/>
    <w:rsid w:val="00EE7095"/>
    <w:pPr>
      <w:keepNext/>
      <w:pageBreakBefore/>
      <w:numPr>
        <w:numId w:val="6"/>
      </w:numPr>
      <w:spacing w:after="400" w:line="280" w:lineRule="atLeast"/>
      <w:outlineLvl w:val="0"/>
    </w:pPr>
    <w:rPr>
      <w:rFonts w:ascii="Arial" w:hAnsi="Arial" w:cs="Arial"/>
      <w:b/>
      <w:kern w:val="28"/>
      <w:sz w:val="36"/>
      <w:szCs w:val="36"/>
    </w:rPr>
  </w:style>
  <w:style w:type="paragraph" w:styleId="Heading2">
    <w:name w:val="heading 2"/>
    <w:basedOn w:val="Normal"/>
    <w:next w:val="BodyText"/>
    <w:link w:val="Heading2Char"/>
    <w:qFormat/>
    <w:rsid w:val="00EE7095"/>
    <w:pPr>
      <w:keepNext/>
      <w:spacing w:before="720" w:after="0" w:line="280" w:lineRule="atLeast"/>
      <w:outlineLvl w:val="1"/>
    </w:pPr>
    <w:rPr>
      <w:rFonts w:ascii="Arial" w:hAnsi="Arial" w:cs="Arial"/>
      <w:b/>
      <w:sz w:val="28"/>
      <w:szCs w:val="28"/>
    </w:rPr>
  </w:style>
  <w:style w:type="paragraph" w:styleId="Heading3">
    <w:name w:val="heading 3"/>
    <w:basedOn w:val="Normal"/>
    <w:next w:val="BodyText"/>
    <w:link w:val="Heading3Char"/>
    <w:qFormat/>
    <w:rsid w:val="00EE7095"/>
    <w:pPr>
      <w:keepNext/>
      <w:spacing w:before="400" w:after="0" w:line="280" w:lineRule="atLeast"/>
      <w:ind w:left="2268"/>
      <w:outlineLvl w:val="2"/>
    </w:pPr>
    <w:rPr>
      <w:rFonts w:ascii="Arial" w:hAnsi="Arial" w:cs="Arial"/>
      <w:b/>
      <w:sz w:val="24"/>
      <w:szCs w:val="24"/>
    </w:rPr>
  </w:style>
  <w:style w:type="paragraph" w:styleId="Heading4">
    <w:name w:val="heading 4"/>
    <w:basedOn w:val="Normal"/>
    <w:next w:val="BodyText"/>
    <w:link w:val="Heading4Char"/>
    <w:qFormat/>
    <w:rsid w:val="00EE7095"/>
    <w:pPr>
      <w:keepNext/>
      <w:spacing w:before="280" w:after="0" w:line="280" w:lineRule="atLeast"/>
      <w:ind w:left="2268"/>
      <w:outlineLvl w:val="3"/>
    </w:pPr>
    <w:rPr>
      <w:rFonts w:ascii="Arial" w:hAnsi="Arial" w:cs="Arial"/>
      <w:b/>
      <w:sz w:val="20"/>
      <w:szCs w:val="22"/>
    </w:rPr>
  </w:style>
  <w:style w:type="paragraph" w:styleId="Heading5">
    <w:name w:val="heading 5"/>
    <w:basedOn w:val="Normal"/>
    <w:next w:val="BodyText"/>
    <w:qFormat/>
    <w:rsid w:val="00EE7095"/>
    <w:pPr>
      <w:keepNext/>
      <w:spacing w:before="280" w:after="0" w:line="280" w:lineRule="atLeast"/>
      <w:ind w:left="2268"/>
      <w:outlineLvl w:val="4"/>
    </w:pPr>
    <w:rPr>
      <w:rFonts w:ascii="Arial" w:hAnsi="Arial" w:cs="Arial"/>
      <w:i/>
      <w:sz w:val="20"/>
    </w:rPr>
  </w:style>
  <w:style w:type="paragraph" w:styleId="Heading6">
    <w:name w:val="heading 6"/>
    <w:basedOn w:val="Normal"/>
    <w:next w:val="Bodytextplain"/>
    <w:unhideWhenUsed/>
    <w:qFormat/>
    <w:rsid w:val="00EE7095"/>
    <w:pPr>
      <w:keepNext/>
      <w:pageBreakBefore/>
      <w:spacing w:after="400" w:line="280" w:lineRule="atLeast"/>
      <w:outlineLvl w:val="5"/>
    </w:pPr>
    <w:rPr>
      <w:rFonts w:ascii="Arial" w:hAnsi="Arial" w:cs="Arial"/>
      <w:b/>
      <w:kern w:val="28"/>
      <w:sz w:val="36"/>
      <w:szCs w:val="36"/>
    </w:rPr>
  </w:style>
  <w:style w:type="paragraph" w:styleId="Heading7">
    <w:name w:val="heading 7"/>
    <w:basedOn w:val="Normal"/>
    <w:next w:val="Bodytextplain"/>
    <w:unhideWhenUsed/>
    <w:qFormat/>
    <w:rsid w:val="00EE7095"/>
    <w:pPr>
      <w:spacing w:before="720" w:after="0" w:line="300" w:lineRule="atLeast"/>
      <w:outlineLvl w:val="6"/>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E7095"/>
    <w:pPr>
      <w:numPr>
        <w:numId w:val="7"/>
      </w:numPr>
      <w:spacing w:before="200" w:after="0" w:line="300" w:lineRule="atLeast"/>
    </w:pPr>
    <w:rPr>
      <w:szCs w:val="22"/>
    </w:rPr>
  </w:style>
  <w:style w:type="character" w:customStyle="1" w:styleId="BodyTextChar">
    <w:name w:val="Body Text Char"/>
    <w:basedOn w:val="DefaultParagraphFont"/>
    <w:link w:val="BodyText"/>
    <w:rsid w:val="00AA6499"/>
    <w:rPr>
      <w:sz w:val="22"/>
      <w:szCs w:val="22"/>
    </w:rPr>
  </w:style>
  <w:style w:type="character" w:customStyle="1" w:styleId="Heading1Char">
    <w:name w:val="Heading 1 Char"/>
    <w:basedOn w:val="DefaultParagraphFont"/>
    <w:link w:val="Heading1"/>
    <w:rsid w:val="00AA6499"/>
    <w:rPr>
      <w:rFonts w:ascii="Arial" w:hAnsi="Arial" w:cs="Arial"/>
      <w:b/>
      <w:kern w:val="28"/>
      <w:sz w:val="36"/>
      <w:szCs w:val="36"/>
    </w:rPr>
  </w:style>
  <w:style w:type="character" w:customStyle="1" w:styleId="Heading2Char">
    <w:name w:val="Heading 2 Char"/>
    <w:basedOn w:val="DefaultParagraphFont"/>
    <w:link w:val="Heading2"/>
    <w:rsid w:val="00AA6499"/>
    <w:rPr>
      <w:rFonts w:ascii="Arial" w:hAnsi="Arial" w:cs="Arial"/>
      <w:b/>
      <w:sz w:val="28"/>
      <w:szCs w:val="28"/>
    </w:rPr>
  </w:style>
  <w:style w:type="character" w:customStyle="1" w:styleId="Heading3Char">
    <w:name w:val="Heading 3 Char"/>
    <w:basedOn w:val="DefaultParagraphFont"/>
    <w:link w:val="Heading3"/>
    <w:rsid w:val="00AA6499"/>
    <w:rPr>
      <w:rFonts w:ascii="Arial" w:hAnsi="Arial" w:cs="Arial"/>
      <w:b/>
      <w:sz w:val="24"/>
      <w:szCs w:val="24"/>
    </w:rPr>
  </w:style>
  <w:style w:type="character" w:customStyle="1" w:styleId="Heading4Char">
    <w:name w:val="Heading 4 Char"/>
    <w:basedOn w:val="DefaultParagraphFont"/>
    <w:link w:val="Heading4"/>
    <w:rsid w:val="00AA6499"/>
    <w:rPr>
      <w:rFonts w:ascii="Arial" w:hAnsi="Arial" w:cs="Arial"/>
      <w:b/>
      <w:szCs w:val="22"/>
    </w:rPr>
  </w:style>
  <w:style w:type="paragraph" w:customStyle="1" w:styleId="Bodytextplain">
    <w:name w:val="Body text plain"/>
    <w:basedOn w:val="BodyText"/>
    <w:link w:val="BodytextplainChar"/>
    <w:rsid w:val="00EE7095"/>
    <w:pPr>
      <w:numPr>
        <w:numId w:val="0"/>
      </w:numPr>
      <w:ind w:left="2268"/>
    </w:pPr>
  </w:style>
  <w:style w:type="character" w:customStyle="1" w:styleId="BodytextplainChar">
    <w:name w:val="Body text plain Char"/>
    <w:basedOn w:val="DefaultParagraphFont"/>
    <w:link w:val="Bodytextplain"/>
    <w:rsid w:val="00B252DB"/>
    <w:rPr>
      <w:sz w:val="22"/>
      <w:szCs w:val="22"/>
    </w:rPr>
  </w:style>
  <w:style w:type="paragraph" w:customStyle="1" w:styleId="Tiptext">
    <w:name w:val="Tip text"/>
    <w:basedOn w:val="Fronttext"/>
    <w:next w:val="Bodytextplain"/>
    <w:rsid w:val="002426A2"/>
    <w:rPr>
      <w:vanish/>
      <w:color w:val="800000"/>
    </w:rPr>
  </w:style>
  <w:style w:type="paragraph" w:customStyle="1" w:styleId="Fronttext">
    <w:name w:val="Front text"/>
    <w:basedOn w:val="Bodytextplain"/>
    <w:rsid w:val="00EE7095"/>
    <w:pPr>
      <w:spacing w:line="260" w:lineRule="atLeast"/>
    </w:pPr>
    <w:rPr>
      <w:rFonts w:ascii="Arial" w:hAnsi="Arial" w:cs="Arial"/>
      <w:sz w:val="20"/>
      <w:szCs w:val="20"/>
    </w:rPr>
  </w:style>
  <w:style w:type="paragraph" w:customStyle="1" w:styleId="tblnote">
    <w:name w:val="tbl note"/>
    <w:basedOn w:val="sourcenotefullwidth"/>
    <w:next w:val="tbltext"/>
    <w:qFormat/>
    <w:rsid w:val="00EE7095"/>
    <w:pPr>
      <w:ind w:left="425"/>
    </w:pPr>
  </w:style>
  <w:style w:type="paragraph" w:customStyle="1" w:styleId="sourcenotefullwidth">
    <w:name w:val="source note full width"/>
    <w:rsid w:val="00EE7095"/>
    <w:pPr>
      <w:spacing w:before="120"/>
    </w:pPr>
    <w:rPr>
      <w:rFonts w:ascii="Arial" w:hAnsi="Arial"/>
      <w:sz w:val="16"/>
      <w:szCs w:val="22"/>
    </w:rPr>
  </w:style>
  <w:style w:type="paragraph" w:customStyle="1" w:styleId="tbltext">
    <w:name w:val="tbl text"/>
    <w:basedOn w:val="Bodytextplain"/>
    <w:rsid w:val="00EE7095"/>
    <w:pPr>
      <w:widowControl w:val="0"/>
      <w:spacing w:before="120" w:line="240" w:lineRule="atLeast"/>
      <w:ind w:left="0"/>
    </w:pPr>
    <w:rPr>
      <w:rFonts w:ascii="Arial" w:hAnsi="Arial" w:cs="Arial"/>
      <w:sz w:val="18"/>
      <w:szCs w:val="18"/>
    </w:rPr>
  </w:style>
  <w:style w:type="paragraph" w:styleId="Footer">
    <w:name w:val="footer"/>
    <w:basedOn w:val="Normal"/>
    <w:link w:val="FooterChar"/>
    <w:semiHidden/>
    <w:rsid w:val="00EE7095"/>
    <w:pPr>
      <w:tabs>
        <w:tab w:val="right" w:pos="9070"/>
      </w:tabs>
      <w:spacing w:after="0"/>
    </w:pPr>
    <w:rPr>
      <w:rFonts w:ascii="Arial" w:hAnsi="Arial"/>
      <w:sz w:val="16"/>
      <w:szCs w:val="16"/>
    </w:rPr>
  </w:style>
  <w:style w:type="character" w:customStyle="1" w:styleId="FooterChar">
    <w:name w:val="Footer Char"/>
    <w:basedOn w:val="DefaultParagraphFont"/>
    <w:link w:val="Footer"/>
    <w:semiHidden/>
    <w:rsid w:val="00B252DB"/>
    <w:rPr>
      <w:rFonts w:ascii="Arial" w:hAnsi="Arial"/>
      <w:sz w:val="16"/>
      <w:szCs w:val="16"/>
    </w:rPr>
  </w:style>
  <w:style w:type="character" w:styleId="PageNumber">
    <w:name w:val="page number"/>
    <w:basedOn w:val="DefaultParagraphFont"/>
    <w:rsid w:val="00EE7095"/>
    <w:rPr>
      <w:b/>
      <w:sz w:val="20"/>
    </w:rPr>
  </w:style>
  <w:style w:type="paragraph" w:styleId="Header">
    <w:name w:val="header"/>
    <w:basedOn w:val="Normal"/>
    <w:link w:val="HeaderChar"/>
    <w:uiPriority w:val="99"/>
    <w:rsid w:val="00EE7095"/>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B252DB"/>
    <w:rPr>
      <w:rFonts w:ascii="Arial" w:hAnsi="Arial" w:cs="Arial"/>
      <w:caps/>
      <w:color w:val="008291"/>
      <w:sz w:val="16"/>
      <w:szCs w:val="16"/>
    </w:rPr>
  </w:style>
  <w:style w:type="paragraph" w:styleId="ListBullet">
    <w:name w:val="List Bullet"/>
    <w:basedOn w:val="Normal"/>
    <w:rsid w:val="00EE7095"/>
    <w:pPr>
      <w:numPr>
        <w:numId w:val="3"/>
      </w:numPr>
      <w:tabs>
        <w:tab w:val="clear" w:pos="1418"/>
        <w:tab w:val="num" w:pos="2694"/>
      </w:tabs>
      <w:spacing w:before="100" w:after="0" w:line="300" w:lineRule="atLeast"/>
      <w:ind w:left="2693" w:hanging="425"/>
    </w:pPr>
    <w:rPr>
      <w:szCs w:val="22"/>
    </w:rPr>
  </w:style>
  <w:style w:type="paragraph" w:customStyle="1" w:styleId="listsubnumber">
    <w:name w:val="list sub number"/>
    <w:basedOn w:val="ListNumber1"/>
    <w:rsid w:val="00EE7095"/>
    <w:pPr>
      <w:numPr>
        <w:ilvl w:val="1"/>
      </w:numPr>
    </w:pPr>
  </w:style>
  <w:style w:type="paragraph" w:customStyle="1" w:styleId="ListNumber1">
    <w:name w:val="List Number1"/>
    <w:basedOn w:val="Normal"/>
    <w:rsid w:val="00EE7095"/>
    <w:pPr>
      <w:numPr>
        <w:numId w:val="1"/>
      </w:numPr>
      <w:spacing w:before="100" w:after="0" w:line="300" w:lineRule="atLeast"/>
    </w:pPr>
    <w:rPr>
      <w:szCs w:val="24"/>
    </w:rPr>
  </w:style>
  <w:style w:type="paragraph" w:customStyle="1" w:styleId="figuretitleindented">
    <w:name w:val="figure title indented"/>
    <w:basedOn w:val="figuretitlefullwidth"/>
    <w:rsid w:val="00EE7095"/>
    <w:pPr>
      <w:ind w:left="3260"/>
    </w:pPr>
  </w:style>
  <w:style w:type="paragraph" w:customStyle="1" w:styleId="figuretitlefullwidth">
    <w:name w:val="figure title full width"/>
    <w:basedOn w:val="tabletitlefullwidth"/>
    <w:next w:val="figuretext"/>
    <w:rsid w:val="00EE7095"/>
    <w:rPr>
      <w:szCs w:val="22"/>
    </w:rPr>
  </w:style>
  <w:style w:type="paragraph" w:customStyle="1" w:styleId="tabletitlefullwidth">
    <w:name w:val="table title full width"/>
    <w:basedOn w:val="Normal"/>
    <w:rsid w:val="00EE7095"/>
    <w:pPr>
      <w:keepNext/>
      <w:spacing w:before="360" w:after="120" w:line="240" w:lineRule="atLeast"/>
      <w:ind w:left="992" w:hanging="992"/>
    </w:pPr>
    <w:rPr>
      <w:rFonts w:ascii="Arial" w:hAnsi="Arial" w:cs="Arial"/>
      <w:b/>
      <w:sz w:val="20"/>
    </w:rPr>
  </w:style>
  <w:style w:type="paragraph" w:customStyle="1" w:styleId="figuretext">
    <w:name w:val="figure text"/>
    <w:basedOn w:val="Normal"/>
    <w:rsid w:val="00EE7095"/>
    <w:pPr>
      <w:widowControl w:val="0"/>
      <w:spacing w:after="0" w:line="240" w:lineRule="atLeast"/>
    </w:pPr>
    <w:rPr>
      <w:rFonts w:ascii="Arial" w:hAnsi="Arial" w:cs="Arial"/>
      <w:sz w:val="18"/>
      <w:szCs w:val="18"/>
    </w:rPr>
  </w:style>
  <w:style w:type="paragraph" w:customStyle="1" w:styleId="tablehead">
    <w:name w:val="table head"/>
    <w:basedOn w:val="Normal"/>
    <w:rsid w:val="00EE7095"/>
    <w:pPr>
      <w:keepNext/>
      <w:spacing w:before="120" w:after="0" w:line="240" w:lineRule="atLeast"/>
    </w:pPr>
    <w:rPr>
      <w:rFonts w:ascii="Arial" w:hAnsi="Arial" w:cs="Arial"/>
      <w:b/>
      <w:sz w:val="18"/>
      <w:szCs w:val="18"/>
    </w:rPr>
  </w:style>
  <w:style w:type="paragraph" w:styleId="ListBullet2">
    <w:name w:val="List Bullet 2"/>
    <w:basedOn w:val="Normal"/>
    <w:rsid w:val="00EE7095"/>
    <w:pPr>
      <w:numPr>
        <w:numId w:val="10"/>
      </w:numPr>
      <w:tabs>
        <w:tab w:val="clear" w:pos="851"/>
        <w:tab w:val="left" w:pos="3119"/>
      </w:tabs>
      <w:spacing w:before="100" w:after="0" w:line="300" w:lineRule="atLeast"/>
      <w:ind w:left="3118" w:hanging="425"/>
    </w:pPr>
  </w:style>
  <w:style w:type="character" w:styleId="Hyperlink">
    <w:name w:val="Hyperlink"/>
    <w:basedOn w:val="DefaultParagraphFont"/>
    <w:uiPriority w:val="99"/>
    <w:rsid w:val="00EE7095"/>
    <w:rPr>
      <w:color w:val="0000FF"/>
      <w:u w:val="single"/>
    </w:rPr>
  </w:style>
  <w:style w:type="paragraph" w:customStyle="1" w:styleId="tablebullet">
    <w:name w:val="table bullet"/>
    <w:basedOn w:val="Normal"/>
    <w:rsid w:val="00EE7095"/>
    <w:pPr>
      <w:widowControl w:val="0"/>
      <w:numPr>
        <w:numId w:val="2"/>
      </w:numPr>
      <w:spacing w:before="60" w:after="0" w:line="240" w:lineRule="atLeast"/>
    </w:pPr>
    <w:rPr>
      <w:rFonts w:ascii="Arial" w:hAnsi="Arial" w:cs="Arial"/>
      <w:sz w:val="18"/>
      <w:szCs w:val="18"/>
    </w:rPr>
  </w:style>
  <w:style w:type="paragraph" w:styleId="FootnoteText">
    <w:name w:val="footnote text"/>
    <w:basedOn w:val="Normal"/>
    <w:semiHidden/>
    <w:rsid w:val="00EE7095"/>
    <w:pPr>
      <w:spacing w:after="0"/>
    </w:pPr>
    <w:rPr>
      <w:sz w:val="18"/>
    </w:rPr>
  </w:style>
  <w:style w:type="character" w:styleId="FootnoteReference">
    <w:name w:val="footnote reference"/>
    <w:basedOn w:val="DefaultParagraphFont"/>
    <w:semiHidden/>
    <w:rsid w:val="00EE7095"/>
    <w:rPr>
      <w:vertAlign w:val="superscript"/>
    </w:rPr>
  </w:style>
  <w:style w:type="paragraph" w:styleId="TOC1">
    <w:name w:val="toc 1"/>
    <w:basedOn w:val="Normal"/>
    <w:next w:val="Normal"/>
    <w:autoRedefine/>
    <w:uiPriority w:val="39"/>
    <w:rsid w:val="00EE7095"/>
    <w:pPr>
      <w:tabs>
        <w:tab w:val="left" w:pos="2694"/>
        <w:tab w:val="right" w:leader="dot" w:pos="9072"/>
      </w:tabs>
      <w:spacing w:before="100" w:after="0"/>
      <w:ind w:left="2694" w:right="284" w:hanging="425"/>
    </w:pPr>
    <w:rPr>
      <w:rFonts w:ascii="Arial" w:hAnsi="Arial" w:cs="Arial"/>
      <w:b/>
      <w:noProof/>
      <w:sz w:val="20"/>
    </w:rPr>
  </w:style>
  <w:style w:type="paragraph" w:styleId="TOC2">
    <w:name w:val="toc 2"/>
    <w:basedOn w:val="Normal"/>
    <w:next w:val="Normal"/>
    <w:autoRedefine/>
    <w:uiPriority w:val="39"/>
    <w:rsid w:val="00994587"/>
    <w:pPr>
      <w:tabs>
        <w:tab w:val="left" w:pos="2694"/>
        <w:tab w:val="left" w:pos="3748"/>
        <w:tab w:val="right" w:leader="dot" w:pos="9072"/>
      </w:tabs>
      <w:spacing w:before="20" w:after="0"/>
      <w:ind w:left="2693" w:right="284" w:firstLine="1"/>
    </w:pPr>
    <w:rPr>
      <w:rFonts w:ascii="Arial" w:hAnsi="Arial" w:cs="Arial"/>
      <w:noProof/>
      <w:sz w:val="20"/>
    </w:rPr>
  </w:style>
  <w:style w:type="paragraph" w:styleId="TOC3">
    <w:name w:val="toc 3"/>
    <w:basedOn w:val="Normal"/>
    <w:next w:val="Normal"/>
    <w:autoRedefine/>
    <w:rsid w:val="00EE7095"/>
    <w:pPr>
      <w:tabs>
        <w:tab w:val="left" w:pos="3261"/>
        <w:tab w:val="right" w:leader="dot" w:pos="9072"/>
      </w:tabs>
      <w:spacing w:after="0"/>
      <w:ind w:left="3260" w:right="284" w:hanging="567"/>
    </w:pPr>
    <w:rPr>
      <w:rFonts w:ascii="Arial" w:hAnsi="Arial" w:cs="Arial"/>
      <w:noProof/>
      <w:sz w:val="18"/>
      <w:szCs w:val="18"/>
    </w:rPr>
  </w:style>
  <w:style w:type="paragraph" w:styleId="TOC4">
    <w:name w:val="toc 4"/>
    <w:basedOn w:val="Normal"/>
    <w:next w:val="Normal"/>
    <w:autoRedefine/>
    <w:rsid w:val="00EE7095"/>
    <w:pPr>
      <w:tabs>
        <w:tab w:val="right" w:leader="dot" w:pos="8364"/>
      </w:tabs>
      <w:spacing w:after="0"/>
      <w:ind w:left="1134" w:right="565"/>
    </w:pPr>
    <w:rPr>
      <w:rFonts w:ascii="Arial" w:hAnsi="Arial" w:cs="Arial"/>
      <w:noProof/>
      <w:sz w:val="18"/>
      <w:szCs w:val="18"/>
      <w:lang w:val="en-ZW"/>
    </w:rPr>
  </w:style>
  <w:style w:type="paragraph" w:customStyle="1" w:styleId="Heading1nonumber">
    <w:name w:val="Heading 1 no number"/>
    <w:basedOn w:val="Heading1"/>
    <w:next w:val="Bodytextplain"/>
    <w:link w:val="Heading1nonumberChar"/>
    <w:rsid w:val="0000649D"/>
    <w:pPr>
      <w:numPr>
        <w:numId w:val="0"/>
      </w:numPr>
    </w:pPr>
  </w:style>
  <w:style w:type="character" w:customStyle="1" w:styleId="Heading1nonumberChar">
    <w:name w:val="Heading 1 no number Char"/>
    <w:basedOn w:val="DefaultParagraphFont"/>
    <w:link w:val="Heading1nonumber"/>
    <w:rsid w:val="00B252DB"/>
    <w:rPr>
      <w:rFonts w:ascii="Arial" w:hAnsi="Arial" w:cs="Arial"/>
      <w:b/>
      <w:kern w:val="28"/>
      <w:sz w:val="36"/>
      <w:szCs w:val="36"/>
    </w:rPr>
  </w:style>
  <w:style w:type="paragraph" w:customStyle="1" w:styleId="tabletitleindented">
    <w:name w:val="table title indented"/>
    <w:basedOn w:val="tabletitlefullwidth"/>
    <w:rsid w:val="00EE7095"/>
    <w:pPr>
      <w:ind w:left="3260"/>
    </w:pPr>
  </w:style>
  <w:style w:type="paragraph" w:styleId="Caption">
    <w:name w:val="caption"/>
    <w:basedOn w:val="Normal"/>
    <w:next w:val="Normal"/>
    <w:qFormat/>
    <w:rsid w:val="00EE7095"/>
    <w:pPr>
      <w:spacing w:before="120" w:after="120"/>
    </w:pPr>
    <w:rPr>
      <w:b/>
      <w:bCs/>
      <w:sz w:val="20"/>
    </w:rPr>
  </w:style>
  <w:style w:type="paragraph" w:customStyle="1" w:styleId="tabledash">
    <w:name w:val="table dash"/>
    <w:basedOn w:val="tablebullet"/>
    <w:rsid w:val="00EE7095"/>
    <w:pPr>
      <w:numPr>
        <w:numId w:val="4"/>
      </w:numPr>
    </w:pPr>
  </w:style>
  <w:style w:type="paragraph" w:customStyle="1" w:styleId="Tablebody">
    <w:name w:val="Table body"/>
    <w:basedOn w:val="Normal"/>
    <w:semiHidden/>
    <w:rsid w:val="00EE7095"/>
    <w:pPr>
      <w:overflowPunct w:val="0"/>
      <w:autoSpaceDE w:val="0"/>
      <w:autoSpaceDN w:val="0"/>
      <w:adjustRightInd w:val="0"/>
      <w:spacing w:before="40" w:after="120" w:line="260" w:lineRule="atLeast"/>
      <w:textAlignment w:val="baseline"/>
    </w:pPr>
    <w:rPr>
      <w:rFonts w:ascii="Arial" w:hAnsi="Arial" w:cs="Arial"/>
      <w:sz w:val="20"/>
      <w:lang w:eastAsia="en-US"/>
    </w:rPr>
  </w:style>
  <w:style w:type="paragraph" w:customStyle="1" w:styleId="KPbold">
    <w:name w:val="KP bold"/>
    <w:basedOn w:val="KPhead"/>
    <w:next w:val="Normal"/>
    <w:rsid w:val="00EE7095"/>
    <w:pPr>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rsid w:val="00EE7095"/>
    <w:pPr>
      <w:keepNext/>
      <w:pBdr>
        <w:top w:val="single" w:sz="6" w:space="1" w:color="117DC7"/>
        <w:left w:val="single" w:sz="6" w:space="4" w:color="117DC7"/>
        <w:bottom w:val="single" w:sz="6" w:space="3" w:color="117DC7"/>
        <w:right w:val="single" w:sz="6" w:space="4" w:color="117DC7"/>
      </w:pBdr>
      <w:shd w:val="clear" w:color="auto" w:fill="117DC7"/>
      <w:spacing w:before="720" w:after="0"/>
      <w:ind w:left="2381" w:right="5613"/>
    </w:pPr>
    <w:rPr>
      <w:rFonts w:ascii="Arial" w:hAnsi="Arial" w:cs="Arial"/>
      <w:b/>
      <w:color w:val="FFFFFF"/>
      <w:sz w:val="20"/>
    </w:rPr>
  </w:style>
  <w:style w:type="paragraph" w:customStyle="1" w:styleId="KPtext">
    <w:name w:val="KP text"/>
    <w:basedOn w:val="KPbold"/>
    <w:rsid w:val="00EE7095"/>
    <w:rPr>
      <w:b w:val="0"/>
    </w:rPr>
  </w:style>
  <w:style w:type="character" w:customStyle="1" w:styleId="KPboldChar">
    <w:name w:val="KP bold Char"/>
    <w:basedOn w:val="DefaultParagraphFont"/>
    <w:rsid w:val="0000649D"/>
    <w:rPr>
      <w:rFonts w:ascii="Arial" w:hAnsi="Arial" w:cs="Arial"/>
      <w:b/>
      <w:lang w:val="en-AU" w:eastAsia="en-AU" w:bidi="ar-SA"/>
    </w:rPr>
  </w:style>
  <w:style w:type="paragraph" w:customStyle="1" w:styleId="KPbullet">
    <w:name w:val="KP bullet"/>
    <w:basedOn w:val="KPtext"/>
    <w:rsid w:val="00EE7095"/>
    <w:pPr>
      <w:numPr>
        <w:numId w:val="5"/>
      </w:numPr>
      <w:tabs>
        <w:tab w:val="clear" w:pos="2807"/>
        <w:tab w:val="left" w:pos="2665"/>
      </w:tabs>
      <w:spacing w:before="100"/>
      <w:ind w:left="2665" w:hanging="284"/>
    </w:pPr>
  </w:style>
  <w:style w:type="paragraph" w:customStyle="1" w:styleId="Note">
    <w:name w:val="Note"/>
    <w:basedOn w:val="BodyText"/>
    <w:next w:val="BodyText"/>
    <w:rsid w:val="00EE7095"/>
    <w:pPr>
      <w:numPr>
        <w:numId w:val="0"/>
      </w:numPr>
      <w:spacing w:line="240" w:lineRule="atLeast"/>
      <w:ind w:left="2693"/>
    </w:pPr>
    <w:rPr>
      <w:sz w:val="18"/>
    </w:rPr>
  </w:style>
  <w:style w:type="paragraph" w:customStyle="1" w:styleId="subparaa">
    <w:name w:val="sub para (a)"/>
    <w:basedOn w:val="BodyText"/>
    <w:rsid w:val="00EE7095"/>
    <w:pPr>
      <w:numPr>
        <w:ilvl w:val="1"/>
      </w:numPr>
      <w:spacing w:before="100"/>
    </w:pPr>
  </w:style>
  <w:style w:type="paragraph" w:customStyle="1" w:styleId="Listdash">
    <w:name w:val="List dash"/>
    <w:basedOn w:val="Normal"/>
    <w:rsid w:val="0000649D"/>
    <w:pPr>
      <w:numPr>
        <w:numId w:val="8"/>
      </w:numPr>
      <w:spacing w:before="100" w:after="0" w:line="300" w:lineRule="atLeast"/>
      <w:ind w:left="3118" w:hanging="425"/>
    </w:pPr>
  </w:style>
  <w:style w:type="paragraph" w:customStyle="1" w:styleId="Feedbackhead">
    <w:name w:val="Feedback head"/>
    <w:basedOn w:val="KPhead"/>
    <w:next w:val="Feedbackquestion"/>
    <w:rsid w:val="00EE7095"/>
    <w:pPr>
      <w:pBdr>
        <w:left w:val="single" w:sz="6" w:space="2" w:color="117DC7"/>
        <w:bottom w:val="none" w:sz="0" w:space="0" w:color="auto"/>
        <w:right w:val="none" w:sz="0" w:space="0" w:color="auto"/>
      </w:pBdr>
      <w:shd w:val="clear" w:color="auto" w:fill="auto"/>
      <w:spacing w:before="200"/>
      <w:ind w:left="3232" w:right="4536"/>
    </w:pPr>
    <w:rPr>
      <w:b w:val="0"/>
      <w:i/>
      <w:color w:val="auto"/>
    </w:rPr>
  </w:style>
  <w:style w:type="paragraph" w:customStyle="1" w:styleId="Feedbackquestion">
    <w:name w:val="Feedback question"/>
    <w:basedOn w:val="Feedbackhead"/>
    <w:rsid w:val="00EE7095"/>
    <w:pPr>
      <w:keepNext w:val="0"/>
      <w:keepLines/>
      <w:numPr>
        <w:ilvl w:val="4"/>
        <w:numId w:val="6"/>
      </w:numPr>
      <w:pBdr>
        <w:top w:val="none" w:sz="0" w:space="0" w:color="auto"/>
      </w:pBdr>
      <w:spacing w:before="100" w:line="260" w:lineRule="atLeast"/>
      <w:ind w:right="0"/>
    </w:pPr>
    <w:rPr>
      <w:i w:val="0"/>
    </w:rPr>
  </w:style>
  <w:style w:type="paragraph" w:customStyle="1" w:styleId="Feedbacksubquestion">
    <w:name w:val="Feedback subquestion"/>
    <w:basedOn w:val="Feedbackquestion"/>
    <w:rsid w:val="00EE7095"/>
    <w:pPr>
      <w:numPr>
        <w:ilvl w:val="5"/>
      </w:numPr>
    </w:pPr>
  </w:style>
  <w:style w:type="paragraph" w:customStyle="1" w:styleId="figuretitle">
    <w:name w:val="figure title"/>
    <w:basedOn w:val="Normal"/>
    <w:next w:val="figuretext"/>
    <w:rsid w:val="0000649D"/>
    <w:pPr>
      <w:keepNext/>
      <w:spacing w:before="360" w:after="60"/>
      <w:ind w:left="2268" w:hanging="1276"/>
    </w:pPr>
    <w:rPr>
      <w:rFonts w:ascii="Arial" w:hAnsi="Arial"/>
      <w:b/>
      <w:sz w:val="20"/>
    </w:rPr>
  </w:style>
  <w:style w:type="paragraph" w:customStyle="1" w:styleId="subsubparai">
    <w:name w:val="sub sub para (i)"/>
    <w:basedOn w:val="subparaa"/>
    <w:rsid w:val="00EE7095"/>
    <w:pPr>
      <w:numPr>
        <w:ilvl w:val="2"/>
      </w:numPr>
    </w:pPr>
  </w:style>
  <w:style w:type="paragraph" w:customStyle="1" w:styleId="DescriptorRG">
    <w:name w:val="Descriptor RG"/>
    <w:basedOn w:val="Normal"/>
    <w:next w:val="Normal"/>
    <w:rsid w:val="00EE7095"/>
    <w:pPr>
      <w:pBdr>
        <w:top w:val="single" w:sz="4" w:space="4" w:color="117DC7"/>
        <w:left w:val="single" w:sz="4" w:space="4" w:color="117DC7"/>
        <w:bottom w:val="single" w:sz="4" w:space="4" w:color="117DC7"/>
        <w:right w:val="single" w:sz="4" w:space="4" w:color="117DC7"/>
      </w:pBdr>
      <w:shd w:val="clear" w:color="auto" w:fill="117DC7"/>
      <w:spacing w:before="960"/>
      <w:ind w:left="2268"/>
    </w:pPr>
    <w:rPr>
      <w:rFonts w:ascii="Arial" w:hAnsi="Arial" w:cs="Arial"/>
      <w:caps/>
      <w:color w:val="FFFFFF"/>
      <w:sz w:val="28"/>
      <w:szCs w:val="28"/>
    </w:rPr>
  </w:style>
  <w:style w:type="paragraph" w:customStyle="1" w:styleId="tabletext">
    <w:name w:val="table text"/>
    <w:basedOn w:val="tablehead"/>
    <w:rsid w:val="002426A2"/>
    <w:pPr>
      <w:keepNext w:val="0"/>
    </w:pPr>
    <w:rPr>
      <w:b w:val="0"/>
    </w:rPr>
  </w:style>
  <w:style w:type="paragraph" w:customStyle="1" w:styleId="DescriptorCP">
    <w:name w:val="Descriptor CP"/>
    <w:basedOn w:val="DescriptorRG"/>
    <w:next w:val="Normal"/>
    <w:rsid w:val="00EE7095"/>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bullet">
    <w:name w:val="Front bullet"/>
    <w:basedOn w:val="Fronttext"/>
    <w:rsid w:val="00EE7095"/>
    <w:pPr>
      <w:numPr>
        <w:ilvl w:val="5"/>
        <w:numId w:val="9"/>
      </w:numPr>
      <w:spacing w:before="120"/>
    </w:pPr>
  </w:style>
  <w:style w:type="paragraph" w:customStyle="1" w:styleId="Frontheading">
    <w:name w:val="Front heading"/>
    <w:basedOn w:val="Heading3"/>
    <w:next w:val="Fronttext"/>
    <w:rsid w:val="00EE7095"/>
  </w:style>
  <w:style w:type="paragraph" w:customStyle="1" w:styleId="Blockquote">
    <w:name w:val="Block quote"/>
    <w:basedOn w:val="Bodytextplain"/>
    <w:rsid w:val="00EE7095"/>
    <w:pPr>
      <w:spacing w:before="100" w:line="240" w:lineRule="auto"/>
      <w:ind w:left="2693"/>
    </w:pPr>
    <w:rPr>
      <w:sz w:val="21"/>
      <w:szCs w:val="21"/>
    </w:rPr>
  </w:style>
  <w:style w:type="paragraph" w:customStyle="1" w:styleId="Heading2noToC">
    <w:name w:val="Heading 2 no ToC"/>
    <w:basedOn w:val="Bodytextplain"/>
    <w:next w:val="Bodytextplain"/>
    <w:rsid w:val="0000649D"/>
    <w:pPr>
      <w:spacing w:before="720"/>
      <w:ind w:left="0"/>
    </w:pPr>
    <w:rPr>
      <w:rFonts w:ascii="Arial" w:hAnsi="Arial" w:cs="Arial"/>
      <w:b/>
      <w:sz w:val="28"/>
      <w:szCs w:val="28"/>
    </w:rPr>
  </w:style>
  <w:style w:type="paragraph" w:customStyle="1" w:styleId="Proposalhead">
    <w:name w:val="Proposal head"/>
    <w:basedOn w:val="Bodytextplain"/>
    <w:next w:val="Proposaltext"/>
    <w:rsid w:val="00EE7095"/>
    <w:pPr>
      <w:pBdr>
        <w:top w:val="single" w:sz="18" w:space="1" w:color="117DC7"/>
        <w:left w:val="single" w:sz="4" w:space="4" w:color="117DC7"/>
      </w:pBdr>
      <w:spacing w:line="240" w:lineRule="auto"/>
      <w:ind w:right="5812"/>
    </w:pPr>
    <w:rPr>
      <w:rFonts w:ascii="Arial" w:hAnsi="Arial" w:cs="Arial"/>
      <w:b/>
    </w:rPr>
  </w:style>
  <w:style w:type="paragraph" w:customStyle="1" w:styleId="Proposaltext">
    <w:name w:val="Proposal text"/>
    <w:basedOn w:val="Bodytextplain"/>
    <w:rsid w:val="00EE7095"/>
    <w:pPr>
      <w:numPr>
        <w:ilvl w:val="1"/>
        <w:numId w:val="6"/>
      </w:numPr>
      <w:tabs>
        <w:tab w:val="clear" w:pos="2693"/>
        <w:tab w:val="num" w:pos="425"/>
      </w:tabs>
      <w:spacing w:line="260" w:lineRule="atLeast"/>
    </w:pPr>
    <w:rPr>
      <w:rFonts w:ascii="Arial" w:hAnsi="Arial" w:cs="Arial"/>
      <w:sz w:val="20"/>
      <w:szCs w:val="20"/>
    </w:rPr>
  </w:style>
  <w:style w:type="paragraph" w:customStyle="1" w:styleId="Proposalsubpara">
    <w:name w:val="Proposal sub para"/>
    <w:basedOn w:val="Proposaltext"/>
    <w:rsid w:val="00EE7095"/>
    <w:pPr>
      <w:numPr>
        <w:ilvl w:val="2"/>
      </w:numPr>
      <w:spacing w:before="100"/>
    </w:pPr>
  </w:style>
  <w:style w:type="paragraph" w:customStyle="1" w:styleId="Proposalsubsubpara">
    <w:name w:val="Proposal sub sub para"/>
    <w:basedOn w:val="Proposaltext"/>
    <w:rsid w:val="00EE7095"/>
    <w:pPr>
      <w:numPr>
        <w:ilvl w:val="0"/>
        <w:numId w:val="0"/>
      </w:numPr>
      <w:tabs>
        <w:tab w:val="num" w:pos="3544"/>
      </w:tabs>
      <w:spacing w:before="100"/>
      <w:ind w:left="3544" w:hanging="425"/>
    </w:pPr>
  </w:style>
  <w:style w:type="paragraph" w:customStyle="1" w:styleId="Proposalnote">
    <w:name w:val="Proposal note"/>
    <w:basedOn w:val="Note"/>
    <w:rsid w:val="00EE7095"/>
    <w:pPr>
      <w:spacing w:before="100"/>
      <w:ind w:left="3119"/>
    </w:pPr>
    <w:rPr>
      <w:rFonts w:ascii="Arial" w:hAnsi="Arial" w:cs="Arial"/>
      <w:sz w:val="16"/>
      <w:szCs w:val="16"/>
    </w:rPr>
  </w:style>
  <w:style w:type="character" w:styleId="CommentReference">
    <w:name w:val="annotation reference"/>
    <w:basedOn w:val="DefaultParagraphFont"/>
    <w:uiPriority w:val="99"/>
    <w:semiHidden/>
    <w:rsid w:val="00EE7095"/>
    <w:rPr>
      <w:sz w:val="16"/>
      <w:szCs w:val="16"/>
    </w:rPr>
  </w:style>
  <w:style w:type="paragraph" w:styleId="CommentText">
    <w:name w:val="annotation text"/>
    <w:basedOn w:val="Normal"/>
    <w:link w:val="CommentTextChar"/>
    <w:uiPriority w:val="99"/>
    <w:semiHidden/>
    <w:rsid w:val="00EE7095"/>
    <w:rPr>
      <w:sz w:val="20"/>
    </w:rPr>
  </w:style>
  <w:style w:type="character" w:customStyle="1" w:styleId="CommentTextChar">
    <w:name w:val="Comment Text Char"/>
    <w:basedOn w:val="DefaultParagraphFont"/>
    <w:link w:val="CommentText"/>
    <w:uiPriority w:val="99"/>
    <w:semiHidden/>
    <w:rsid w:val="000F4DBD"/>
  </w:style>
  <w:style w:type="paragraph" w:customStyle="1" w:styleId="issueddate">
    <w:name w:val="issued date"/>
    <w:rsid w:val="0000649D"/>
    <w:pPr>
      <w:overflowPunct w:val="0"/>
      <w:autoSpaceDE w:val="0"/>
      <w:autoSpaceDN w:val="0"/>
      <w:adjustRightInd w:val="0"/>
      <w:spacing w:after="360"/>
      <w:textAlignment w:val="baseline"/>
    </w:pPr>
    <w:rPr>
      <w:i/>
      <w:noProof/>
      <w:sz w:val="24"/>
      <w:lang w:eastAsia="en-US"/>
    </w:rPr>
  </w:style>
  <w:style w:type="paragraph" w:styleId="BalloonText">
    <w:name w:val="Balloon Text"/>
    <w:basedOn w:val="Normal"/>
    <w:semiHidden/>
    <w:rsid w:val="00EE7095"/>
    <w:rPr>
      <w:rFonts w:ascii="Tahoma" w:hAnsi="Tahoma" w:cs="Tahoma"/>
      <w:sz w:val="16"/>
      <w:szCs w:val="16"/>
    </w:rPr>
  </w:style>
  <w:style w:type="paragraph" w:customStyle="1" w:styleId="boxbullet">
    <w:name w:val="box bullet"/>
    <w:basedOn w:val="Frontbullet"/>
    <w:rsid w:val="00EE7095"/>
    <w:pPr>
      <w:numPr>
        <w:ilvl w:val="0"/>
        <w:numId w:val="11"/>
      </w:numPr>
      <w:spacing w:before="60"/>
    </w:pPr>
  </w:style>
  <w:style w:type="paragraph" w:customStyle="1" w:styleId="boxtext">
    <w:name w:val="box text"/>
    <w:basedOn w:val="Fronttext"/>
    <w:rsid w:val="00EE7095"/>
    <w:pPr>
      <w:spacing w:before="120"/>
      <w:ind w:left="0"/>
    </w:pPr>
  </w:style>
  <w:style w:type="paragraph" w:customStyle="1" w:styleId="MIRSubpara">
    <w:name w:val="MIR Subpara"/>
    <w:basedOn w:val="Normal"/>
    <w:link w:val="MIRSubparaChar"/>
    <w:qFormat/>
    <w:rsid w:val="00B252DB"/>
    <w:pPr>
      <w:numPr>
        <w:ilvl w:val="1"/>
        <w:numId w:val="13"/>
      </w:numPr>
      <w:spacing w:before="100" w:after="0" w:line="300" w:lineRule="atLeast"/>
    </w:pPr>
    <w:rPr>
      <w:szCs w:val="22"/>
    </w:rPr>
  </w:style>
  <w:style w:type="character" w:customStyle="1" w:styleId="MIRSubparaChar">
    <w:name w:val="MIR Subpara Char"/>
    <w:basedOn w:val="DefaultParagraphFont"/>
    <w:link w:val="MIRSubpara"/>
    <w:rsid w:val="00C16108"/>
    <w:rPr>
      <w:sz w:val="22"/>
      <w:szCs w:val="22"/>
    </w:rPr>
  </w:style>
  <w:style w:type="paragraph" w:customStyle="1" w:styleId="MIRsubsubsubpara">
    <w:name w:val="MIR subsubsubpara"/>
    <w:basedOn w:val="Normal"/>
    <w:link w:val="MIRsubsubsubparaChar"/>
    <w:qFormat/>
    <w:rsid w:val="00B252DB"/>
    <w:pPr>
      <w:numPr>
        <w:ilvl w:val="3"/>
        <w:numId w:val="13"/>
      </w:numPr>
      <w:spacing w:before="100" w:after="0" w:line="300" w:lineRule="atLeast"/>
    </w:pPr>
    <w:rPr>
      <w:szCs w:val="22"/>
    </w:rPr>
  </w:style>
  <w:style w:type="character" w:customStyle="1" w:styleId="MIRsubsubsubparaChar">
    <w:name w:val="MIR subsubsubpara Char"/>
    <w:basedOn w:val="DefaultParagraphFont"/>
    <w:link w:val="MIRsubsubsubpara"/>
    <w:rsid w:val="00AA6499"/>
    <w:rPr>
      <w:sz w:val="22"/>
      <w:szCs w:val="22"/>
    </w:rPr>
  </w:style>
  <w:style w:type="paragraph" w:customStyle="1" w:styleId="MIRBodyText">
    <w:name w:val="MIR Body Text"/>
    <w:basedOn w:val="Bodytextplain"/>
    <w:link w:val="MIRBodyTextChar"/>
    <w:qFormat/>
    <w:rsid w:val="00F420DC"/>
    <w:pPr>
      <w:numPr>
        <w:numId w:val="13"/>
      </w:numPr>
      <w:tabs>
        <w:tab w:val="left" w:pos="851"/>
      </w:tabs>
    </w:pPr>
  </w:style>
  <w:style w:type="character" w:customStyle="1" w:styleId="MIRBodyTextChar">
    <w:name w:val="MIR Body Text Char"/>
    <w:basedOn w:val="BodytextplainChar"/>
    <w:link w:val="MIRBodyText"/>
    <w:rsid w:val="00F420DC"/>
    <w:rPr>
      <w:sz w:val="22"/>
      <w:szCs w:val="22"/>
    </w:rPr>
  </w:style>
  <w:style w:type="paragraph" w:customStyle="1" w:styleId="MIRPenalty">
    <w:name w:val="MIR Penalty"/>
    <w:basedOn w:val="Normal"/>
    <w:link w:val="MIRPenaltyChar"/>
    <w:qFormat/>
    <w:rsid w:val="004C0CB4"/>
    <w:pPr>
      <w:tabs>
        <w:tab w:val="left" w:pos="10773"/>
      </w:tabs>
      <w:spacing w:before="360" w:after="0"/>
      <w:ind w:left="851"/>
    </w:pPr>
    <w:rPr>
      <w:szCs w:val="22"/>
      <w:lang w:val="en-GB"/>
    </w:rPr>
  </w:style>
  <w:style w:type="character" w:customStyle="1" w:styleId="MIRPenaltyChar">
    <w:name w:val="MIR Penalty Char"/>
    <w:basedOn w:val="DefaultParagraphFont"/>
    <w:link w:val="MIRPenalty"/>
    <w:rsid w:val="004C0CB4"/>
    <w:rPr>
      <w:sz w:val="22"/>
      <w:szCs w:val="22"/>
      <w:lang w:val="en-GB"/>
    </w:rPr>
  </w:style>
  <w:style w:type="paragraph" w:styleId="TOCHeading">
    <w:name w:val="TOC Heading"/>
    <w:basedOn w:val="Heading1"/>
    <w:next w:val="Normal"/>
    <w:uiPriority w:val="39"/>
    <w:semiHidden/>
    <w:unhideWhenUsed/>
    <w:qFormat/>
    <w:rsid w:val="00D00423"/>
    <w:pPr>
      <w:keepLines/>
      <w:pageBreakBefore w:val="0"/>
      <w:numPr>
        <w:numId w:val="0"/>
      </w:numPr>
      <w:spacing w:before="480" w:after="0" w:line="276" w:lineRule="auto"/>
      <w:outlineLvl w:val="9"/>
    </w:pPr>
    <w:rPr>
      <w:rFonts w:ascii="Cambria" w:hAnsi="Cambria" w:cs="Times New Roman"/>
      <w:bCs/>
      <w:color w:val="365F91"/>
      <w:kern w:val="0"/>
      <w:sz w:val="28"/>
      <w:szCs w:val="28"/>
      <w:lang w:val="en-US" w:eastAsia="en-US"/>
    </w:rPr>
  </w:style>
  <w:style w:type="paragraph" w:customStyle="1" w:styleId="MIRSubsubpara">
    <w:name w:val="MIR Subsubpara"/>
    <w:basedOn w:val="Normal"/>
    <w:link w:val="MIRSubsubparaChar"/>
    <w:qFormat/>
    <w:rsid w:val="00B252DB"/>
    <w:pPr>
      <w:numPr>
        <w:ilvl w:val="2"/>
        <w:numId w:val="13"/>
      </w:numPr>
      <w:spacing w:before="100" w:after="0" w:line="300" w:lineRule="atLeast"/>
    </w:pPr>
    <w:rPr>
      <w:szCs w:val="22"/>
    </w:rPr>
  </w:style>
  <w:style w:type="character" w:customStyle="1" w:styleId="MIRSubsubparaChar">
    <w:name w:val="MIR Subsubpara Char"/>
    <w:basedOn w:val="DefaultParagraphFont"/>
    <w:link w:val="MIRSubsubpara"/>
    <w:rsid w:val="00B252DB"/>
    <w:rPr>
      <w:sz w:val="22"/>
      <w:szCs w:val="22"/>
    </w:rPr>
  </w:style>
  <w:style w:type="paragraph" w:styleId="TOC5">
    <w:name w:val="toc 5"/>
    <w:basedOn w:val="Normal"/>
    <w:next w:val="Normal"/>
    <w:autoRedefine/>
    <w:uiPriority w:val="39"/>
    <w:unhideWhenUsed/>
    <w:rsid w:val="00E42346"/>
    <w:pPr>
      <w:spacing w:after="100" w:line="276" w:lineRule="auto"/>
      <w:ind w:left="880"/>
    </w:pPr>
    <w:rPr>
      <w:rFonts w:ascii="Calibri" w:hAnsi="Calibri"/>
      <w:szCs w:val="22"/>
    </w:rPr>
  </w:style>
  <w:style w:type="paragraph" w:customStyle="1" w:styleId="MIRNote">
    <w:name w:val="MIR Note"/>
    <w:basedOn w:val="Normal"/>
    <w:link w:val="MIRNoteChar"/>
    <w:qFormat/>
    <w:rsid w:val="00B252DB"/>
    <w:pPr>
      <w:spacing w:before="200" w:after="0" w:line="240" w:lineRule="atLeast"/>
      <w:ind w:left="1701"/>
    </w:pPr>
    <w:rPr>
      <w:sz w:val="18"/>
      <w:szCs w:val="22"/>
    </w:rPr>
  </w:style>
  <w:style w:type="character" w:customStyle="1" w:styleId="MIRNoteChar">
    <w:name w:val="MIR Note Char"/>
    <w:basedOn w:val="DefaultParagraphFont"/>
    <w:link w:val="MIRNote"/>
    <w:rsid w:val="00AA6499"/>
    <w:rPr>
      <w:sz w:val="18"/>
      <w:szCs w:val="22"/>
    </w:rPr>
  </w:style>
  <w:style w:type="paragraph" w:styleId="TOC6">
    <w:name w:val="toc 6"/>
    <w:basedOn w:val="Normal"/>
    <w:next w:val="Normal"/>
    <w:autoRedefine/>
    <w:uiPriority w:val="39"/>
    <w:unhideWhenUsed/>
    <w:rsid w:val="00E42346"/>
    <w:pPr>
      <w:spacing w:after="100" w:line="276" w:lineRule="auto"/>
      <w:ind w:left="1100"/>
    </w:pPr>
    <w:rPr>
      <w:rFonts w:ascii="Calibri" w:hAnsi="Calibri"/>
      <w:szCs w:val="22"/>
    </w:rPr>
  </w:style>
  <w:style w:type="paragraph" w:styleId="TOC7">
    <w:name w:val="toc 7"/>
    <w:basedOn w:val="Normal"/>
    <w:next w:val="Normal"/>
    <w:autoRedefine/>
    <w:uiPriority w:val="39"/>
    <w:unhideWhenUsed/>
    <w:rsid w:val="00E42346"/>
    <w:pPr>
      <w:spacing w:after="100" w:line="276" w:lineRule="auto"/>
      <w:ind w:left="1320"/>
    </w:pPr>
    <w:rPr>
      <w:rFonts w:ascii="Calibri" w:hAnsi="Calibri"/>
      <w:szCs w:val="22"/>
    </w:rPr>
  </w:style>
  <w:style w:type="paragraph" w:customStyle="1" w:styleId="MIRHeading5">
    <w:name w:val="MIR Heading 5"/>
    <w:basedOn w:val="Heading4"/>
    <w:link w:val="MIRHeading5Char"/>
    <w:qFormat/>
    <w:rsid w:val="00B252DB"/>
    <w:pPr>
      <w:ind w:left="851"/>
    </w:pPr>
  </w:style>
  <w:style w:type="character" w:customStyle="1" w:styleId="MIRHeading5Char">
    <w:name w:val="MIR Heading 5 Char"/>
    <w:basedOn w:val="DefaultParagraphFont"/>
    <w:link w:val="MIRHeading5"/>
    <w:rsid w:val="00B252DB"/>
    <w:rPr>
      <w:rFonts w:ascii="Arial" w:hAnsi="Arial" w:cs="Arial"/>
      <w:b/>
      <w:szCs w:val="22"/>
    </w:rPr>
  </w:style>
  <w:style w:type="paragraph" w:customStyle="1" w:styleId="MIRHeading2Part">
    <w:name w:val="MIR Heading 2 (Part)"/>
    <w:basedOn w:val="Heading2"/>
    <w:next w:val="Normal"/>
    <w:link w:val="MIRHeading2PartChar"/>
    <w:qFormat/>
    <w:rsid w:val="00C16108"/>
    <w:pPr>
      <w:tabs>
        <w:tab w:val="left" w:pos="851"/>
      </w:tabs>
      <w:spacing w:before="480"/>
      <w:ind w:left="1134" w:hanging="1134"/>
    </w:pPr>
  </w:style>
  <w:style w:type="character" w:customStyle="1" w:styleId="MIRHeading2PartChar">
    <w:name w:val="MIR Heading 2 (Part) Char"/>
    <w:basedOn w:val="DefaultParagraphFont"/>
    <w:link w:val="MIRHeading2Part"/>
    <w:rsid w:val="00C16108"/>
    <w:rPr>
      <w:rFonts w:ascii="Arial" w:hAnsi="Arial" w:cs="Arial"/>
      <w:b/>
      <w:sz w:val="28"/>
      <w:szCs w:val="28"/>
    </w:rPr>
  </w:style>
  <w:style w:type="paragraph" w:customStyle="1" w:styleId="MIRHeading1Chapter">
    <w:name w:val="MIR Heading 1 (Chapter)"/>
    <w:basedOn w:val="Heading1nonumber"/>
    <w:next w:val="MIRHeading2Part"/>
    <w:link w:val="MIRHeading1ChapterChar"/>
    <w:qFormat/>
    <w:rsid w:val="00C16108"/>
    <w:pPr>
      <w:spacing w:after="0"/>
    </w:pPr>
  </w:style>
  <w:style w:type="character" w:customStyle="1" w:styleId="MIRHeading1ChapterChar">
    <w:name w:val="MIR Heading 1 (Chapter) Char"/>
    <w:basedOn w:val="Heading1nonumberChar"/>
    <w:link w:val="MIRHeading1Chapter"/>
    <w:rsid w:val="00C16108"/>
    <w:rPr>
      <w:rFonts w:ascii="Arial" w:hAnsi="Arial" w:cs="Arial"/>
      <w:b/>
      <w:kern w:val="28"/>
      <w:sz w:val="36"/>
      <w:szCs w:val="36"/>
    </w:rPr>
  </w:style>
  <w:style w:type="paragraph" w:customStyle="1" w:styleId="AutoCorrect">
    <w:name w:val="AutoCorrect"/>
    <w:rsid w:val="00AA6499"/>
    <w:pPr>
      <w:spacing w:after="200" w:line="276" w:lineRule="auto"/>
    </w:pPr>
    <w:rPr>
      <w:rFonts w:ascii="Calibri" w:hAnsi="Calibri"/>
      <w:sz w:val="22"/>
      <w:szCs w:val="22"/>
    </w:rPr>
  </w:style>
  <w:style w:type="paragraph" w:customStyle="1" w:styleId="MIRCPNote">
    <w:name w:val="MIR CP Note"/>
    <w:basedOn w:val="MIRSubpara"/>
    <w:link w:val="MIRCPNoteChar"/>
    <w:qFormat/>
    <w:rsid w:val="00AA6499"/>
    <w:pPr>
      <w:keepLines/>
      <w:widowControl w:val="0"/>
      <w:numPr>
        <w:ilvl w:val="0"/>
        <w:numId w:val="0"/>
      </w:numPr>
      <w:pBdr>
        <w:top w:val="single" w:sz="4" w:space="1" w:color="auto"/>
        <w:left w:val="single" w:sz="4" w:space="4" w:color="auto"/>
        <w:bottom w:val="single" w:sz="4" w:space="1" w:color="auto"/>
        <w:right w:val="single" w:sz="4" w:space="4" w:color="auto"/>
      </w:pBdr>
      <w:adjustRightInd w:val="0"/>
      <w:ind w:left="851"/>
      <w:textAlignment w:val="baseline"/>
    </w:pPr>
    <w:rPr>
      <w:noProof/>
    </w:rPr>
  </w:style>
  <w:style w:type="character" w:customStyle="1" w:styleId="MIRCPNoteChar">
    <w:name w:val="MIR CP Note Char"/>
    <w:basedOn w:val="MIRSubparaChar"/>
    <w:link w:val="MIRCPNote"/>
    <w:rsid w:val="00AA6499"/>
    <w:rPr>
      <w:noProof/>
      <w:sz w:val="22"/>
      <w:szCs w:val="22"/>
    </w:rPr>
  </w:style>
  <w:style w:type="paragraph" w:customStyle="1" w:styleId="MIRHeading1Section">
    <w:name w:val="MIR Heading 1 (Section)"/>
    <w:basedOn w:val="Heading1"/>
    <w:next w:val="MIRHeading1Chapter"/>
    <w:link w:val="MIRHeading1SectionChar"/>
    <w:rsid w:val="00FE1991"/>
  </w:style>
  <w:style w:type="character" w:customStyle="1" w:styleId="MIRHeading1SectionChar">
    <w:name w:val="MIR Heading 1 (Section) Char"/>
    <w:basedOn w:val="Heading1Char"/>
    <w:link w:val="MIRHeading1Section"/>
    <w:rsid w:val="00FE1991"/>
    <w:rPr>
      <w:rFonts w:ascii="Arial" w:hAnsi="Arial" w:cs="Arial"/>
      <w:b/>
      <w:kern w:val="28"/>
      <w:sz w:val="36"/>
      <w:szCs w:val="36"/>
    </w:rPr>
  </w:style>
  <w:style w:type="paragraph" w:styleId="TOC8">
    <w:name w:val="toc 8"/>
    <w:basedOn w:val="Normal"/>
    <w:next w:val="Normal"/>
    <w:autoRedefine/>
    <w:uiPriority w:val="39"/>
    <w:unhideWhenUsed/>
    <w:rsid w:val="00E42346"/>
    <w:pPr>
      <w:spacing w:after="100" w:line="276" w:lineRule="auto"/>
      <w:ind w:left="1540"/>
    </w:pPr>
    <w:rPr>
      <w:rFonts w:ascii="Calibri" w:hAnsi="Calibri"/>
      <w:szCs w:val="22"/>
    </w:rPr>
  </w:style>
  <w:style w:type="paragraph" w:styleId="TOC9">
    <w:name w:val="toc 9"/>
    <w:basedOn w:val="Normal"/>
    <w:next w:val="Normal"/>
    <w:autoRedefine/>
    <w:uiPriority w:val="39"/>
    <w:unhideWhenUsed/>
    <w:rsid w:val="00E42346"/>
    <w:pPr>
      <w:spacing w:after="100" w:line="276" w:lineRule="auto"/>
      <w:ind w:left="1760"/>
    </w:pPr>
    <w:rPr>
      <w:rFonts w:ascii="Calibri" w:hAnsi="Calibri"/>
      <w:szCs w:val="22"/>
    </w:rPr>
  </w:style>
  <w:style w:type="paragraph" w:styleId="ListParagraph">
    <w:name w:val="List Paragraph"/>
    <w:basedOn w:val="Normal"/>
    <w:uiPriority w:val="34"/>
    <w:qFormat/>
    <w:rsid w:val="00333F5D"/>
    <w:pPr>
      <w:ind w:left="720"/>
    </w:pPr>
  </w:style>
  <w:style w:type="paragraph" w:styleId="CommentSubject">
    <w:name w:val="annotation subject"/>
    <w:basedOn w:val="CommentText"/>
    <w:next w:val="CommentText"/>
    <w:link w:val="CommentSubjectChar"/>
    <w:uiPriority w:val="99"/>
    <w:semiHidden/>
    <w:unhideWhenUsed/>
    <w:rsid w:val="000F4DBD"/>
    <w:rPr>
      <w:b/>
      <w:bCs/>
    </w:rPr>
  </w:style>
  <w:style w:type="character" w:customStyle="1" w:styleId="CommentSubjectChar">
    <w:name w:val="Comment Subject Char"/>
    <w:basedOn w:val="CommentTextChar"/>
    <w:link w:val="CommentSubject"/>
    <w:rsid w:val="000F4DBD"/>
  </w:style>
  <w:style w:type="paragraph" w:customStyle="1" w:styleId="mirbodytext0">
    <w:name w:val="mirbodytext"/>
    <w:basedOn w:val="Normal"/>
    <w:rsid w:val="00C84643"/>
    <w:pPr>
      <w:spacing w:before="100" w:beforeAutospacing="1" w:after="100" w:afterAutospacing="1"/>
    </w:pPr>
    <w:rPr>
      <w:sz w:val="24"/>
      <w:szCs w:val="24"/>
    </w:rPr>
  </w:style>
  <w:style w:type="paragraph" w:customStyle="1" w:styleId="mirsubpara0">
    <w:name w:val="mirsubpara"/>
    <w:basedOn w:val="Normal"/>
    <w:rsid w:val="00C84643"/>
    <w:pPr>
      <w:spacing w:before="100" w:beforeAutospacing="1" w:after="100" w:afterAutospacing="1"/>
    </w:pPr>
    <w:rPr>
      <w:sz w:val="24"/>
      <w:szCs w:val="24"/>
    </w:rPr>
  </w:style>
  <w:style w:type="paragraph" w:styleId="Revision">
    <w:name w:val="Revision"/>
    <w:hidden/>
    <w:uiPriority w:val="99"/>
    <w:semiHidden/>
    <w:rsid w:val="006E05F3"/>
    <w:rPr>
      <w:sz w:val="22"/>
    </w:rPr>
  </w:style>
  <w:style w:type="paragraph" w:customStyle="1" w:styleId="sub3paraA">
    <w:name w:val="sub3para (A)"/>
    <w:basedOn w:val="subsubparai"/>
    <w:qFormat/>
    <w:rsid w:val="00EE7095"/>
    <w:pPr>
      <w:numPr>
        <w:ilvl w:val="3"/>
      </w:numPr>
    </w:pPr>
  </w:style>
  <w:style w:type="paragraph" w:customStyle="1" w:styleId="sub4paraI">
    <w:name w:val="sub4para (I)"/>
    <w:basedOn w:val="subsubparai"/>
    <w:qFormat/>
    <w:rsid w:val="00EE7095"/>
    <w:pPr>
      <w:numPr>
        <w:ilvl w:val="4"/>
      </w:numPr>
    </w:pPr>
  </w:style>
  <w:style w:type="paragraph" w:customStyle="1" w:styleId="Feedbacksubsubquestion">
    <w:name w:val="Feedback subsubquestion"/>
    <w:basedOn w:val="Feedbacksubquestion"/>
    <w:qFormat/>
    <w:rsid w:val="00EE7095"/>
    <w:pPr>
      <w:numPr>
        <w:ilvl w:val="6"/>
      </w:numPr>
    </w:pPr>
  </w:style>
  <w:style w:type="paragraph" w:customStyle="1" w:styleId="sourcenoteindented">
    <w:name w:val="source note indented"/>
    <w:basedOn w:val="sourcenotefullwidth"/>
    <w:qFormat/>
    <w:rsid w:val="00EE7095"/>
    <w:pPr>
      <w:ind w:left="2268"/>
    </w:pPr>
  </w:style>
  <w:style w:type="paragraph" w:customStyle="1" w:styleId="tblProposalsubpara">
    <w:name w:val="tbl Proposal sub para"/>
    <w:basedOn w:val="tbltext"/>
    <w:qFormat/>
    <w:rsid w:val="00EE7095"/>
    <w:pPr>
      <w:ind w:left="885" w:hanging="425"/>
    </w:pPr>
  </w:style>
  <w:style w:type="paragraph" w:customStyle="1" w:styleId="tblProposalsubsubpara">
    <w:name w:val="tbl Proposal sub sub para"/>
    <w:basedOn w:val="tbltext"/>
    <w:qFormat/>
    <w:rsid w:val="00EE7095"/>
    <w:pPr>
      <w:ind w:left="1310" w:hanging="425"/>
    </w:pPr>
  </w:style>
  <w:style w:type="paragraph" w:customStyle="1" w:styleId="tblProposaltext">
    <w:name w:val="tbl Proposal text"/>
    <w:basedOn w:val="tbltext"/>
    <w:qFormat/>
    <w:rsid w:val="00EE7095"/>
    <w:pPr>
      <w:ind w:left="425" w:hanging="425"/>
    </w:pPr>
  </w:style>
  <w:style w:type="paragraph" w:customStyle="1" w:styleId="tblProposaltextnonumber">
    <w:name w:val="tbl Proposal text no number"/>
    <w:basedOn w:val="tbltext"/>
    <w:qFormat/>
    <w:rsid w:val="00EE7095"/>
    <w:pPr>
      <w:ind w:left="425"/>
    </w:pPr>
  </w:style>
  <w:style w:type="paragraph" w:customStyle="1" w:styleId="tblFeedbackquestion">
    <w:name w:val="tbl Feedback question"/>
    <w:basedOn w:val="Proposaltext"/>
    <w:qFormat/>
    <w:rsid w:val="00EE7095"/>
    <w:pPr>
      <w:numPr>
        <w:ilvl w:val="0"/>
        <w:numId w:val="0"/>
      </w:numPr>
      <w:spacing w:before="120" w:line="240" w:lineRule="atLeast"/>
      <w:ind w:left="624" w:hanging="624"/>
    </w:pPr>
    <w:rPr>
      <w:sz w:val="18"/>
      <w:szCs w:val="18"/>
    </w:rPr>
  </w:style>
  <w:style w:type="paragraph" w:customStyle="1" w:styleId="tblProposalnotenonumber">
    <w:name w:val="tbl Proposal note no number"/>
    <w:basedOn w:val="tblProposalsubsubpara"/>
    <w:qFormat/>
    <w:rsid w:val="00EE7095"/>
    <w:rPr>
      <w:sz w:val="16"/>
      <w:szCs w:val="16"/>
    </w:rPr>
  </w:style>
  <w:style w:type="paragraph" w:customStyle="1" w:styleId="tblFeedbacksubquestion">
    <w:name w:val="tbl Feedback subquestion"/>
    <w:basedOn w:val="tblProposalsubpara"/>
    <w:rsid w:val="00EE7095"/>
    <w:pPr>
      <w:ind w:left="964" w:hanging="340"/>
    </w:pPr>
  </w:style>
  <w:style w:type="paragraph" w:customStyle="1" w:styleId="tblFeedbacksubsubquestion">
    <w:name w:val="tbl Feedback subsubquestion"/>
    <w:basedOn w:val="tblProposalsubsubpara"/>
    <w:qFormat/>
    <w:rsid w:val="00EE7095"/>
    <w:pPr>
      <w:ind w:left="1304" w:hanging="340"/>
    </w:pPr>
  </w:style>
  <w:style w:type="table" w:styleId="TableGrid">
    <w:name w:val="Table Grid"/>
    <w:basedOn w:val="TableNormal"/>
    <w:uiPriority w:val="59"/>
    <w:rsid w:val="003310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rpenalty0">
    <w:name w:val="mirpenalty"/>
    <w:basedOn w:val="Normal"/>
    <w:rsid w:val="005F3E6B"/>
    <w:pPr>
      <w:spacing w:before="100" w:beforeAutospacing="1" w:after="100" w:afterAutospacing="1"/>
    </w:pPr>
    <w:rPr>
      <w:sz w:val="24"/>
      <w:szCs w:val="24"/>
    </w:rPr>
  </w:style>
  <w:style w:type="paragraph" w:styleId="NormalWeb">
    <w:name w:val="Normal (Web)"/>
    <w:basedOn w:val="Normal"/>
    <w:uiPriority w:val="99"/>
    <w:semiHidden/>
    <w:unhideWhenUsed/>
    <w:rsid w:val="00F871E9"/>
    <w:rPr>
      <w:sz w:val="24"/>
      <w:szCs w:val="24"/>
    </w:rPr>
  </w:style>
  <w:style w:type="paragraph" w:customStyle="1" w:styleId="MIRHeading3Rule">
    <w:name w:val="MIR Heading 3 (Rule)"/>
    <w:basedOn w:val="Heading3"/>
    <w:link w:val="MIRHeading3RuleChar"/>
    <w:qFormat/>
    <w:rsid w:val="001C17A3"/>
    <w:pPr>
      <w:ind w:left="851" w:hanging="851"/>
    </w:pPr>
  </w:style>
  <w:style w:type="character" w:customStyle="1" w:styleId="MIRHeading3RuleChar">
    <w:name w:val="MIR Heading 3 (Rule) Char"/>
    <w:basedOn w:val="DefaultParagraphFont"/>
    <w:link w:val="MIRHeading3Rule"/>
    <w:rsid w:val="001C17A3"/>
    <w:rPr>
      <w:rFonts w:ascii="Arial" w:hAnsi="Arial" w:cs="Arial"/>
      <w:b/>
      <w:sz w:val="24"/>
      <w:szCs w:val="24"/>
    </w:rPr>
  </w:style>
  <w:style w:type="paragraph" w:customStyle="1" w:styleId="definition">
    <w:name w:val="definition"/>
    <w:basedOn w:val="Normal"/>
    <w:rsid w:val="00E4286B"/>
    <w:pPr>
      <w:spacing w:before="100" w:beforeAutospacing="1" w:after="100" w:afterAutospacing="1"/>
    </w:pPr>
    <w:rPr>
      <w:sz w:val="24"/>
      <w:szCs w:val="24"/>
    </w:rPr>
  </w:style>
  <w:style w:type="paragraph" w:customStyle="1" w:styleId="paragraph">
    <w:name w:val="paragraph"/>
    <w:basedOn w:val="Normal"/>
    <w:rsid w:val="00E4286B"/>
    <w:pPr>
      <w:spacing w:before="100" w:beforeAutospacing="1" w:after="100" w:afterAutospacing="1"/>
    </w:pPr>
    <w:rPr>
      <w:sz w:val="24"/>
      <w:szCs w:val="24"/>
    </w:rPr>
  </w:style>
  <w:style w:type="paragraph" w:customStyle="1" w:styleId="subsection">
    <w:name w:val="subsection"/>
    <w:basedOn w:val="Normal"/>
    <w:rsid w:val="00327859"/>
    <w:pPr>
      <w:spacing w:before="100" w:beforeAutospacing="1" w:after="100" w:afterAutospacing="1"/>
    </w:pPr>
    <w:rPr>
      <w:sz w:val="24"/>
      <w:szCs w:val="24"/>
    </w:rPr>
  </w:style>
  <w:style w:type="paragraph" w:customStyle="1" w:styleId="acthead5">
    <w:name w:val="acthead5"/>
    <w:basedOn w:val="Normal"/>
    <w:rsid w:val="00F61E09"/>
    <w:pPr>
      <w:spacing w:before="100" w:beforeAutospacing="1" w:after="100" w:afterAutospacing="1"/>
    </w:pPr>
    <w:rPr>
      <w:sz w:val="24"/>
      <w:szCs w:val="24"/>
    </w:rPr>
  </w:style>
  <w:style w:type="character" w:customStyle="1" w:styleId="charsectno">
    <w:name w:val="charsectno"/>
    <w:basedOn w:val="DefaultParagraphFont"/>
    <w:rsid w:val="00F61E09"/>
  </w:style>
  <w:style w:type="paragraph" w:customStyle="1" w:styleId="subsectionhead">
    <w:name w:val="subsectionhead"/>
    <w:basedOn w:val="Normal"/>
    <w:rsid w:val="00F61E09"/>
    <w:pPr>
      <w:spacing w:before="100" w:beforeAutospacing="1" w:after="100" w:afterAutospacing="1"/>
    </w:pPr>
    <w:rPr>
      <w:sz w:val="24"/>
      <w:szCs w:val="24"/>
    </w:rPr>
  </w:style>
  <w:style w:type="paragraph" w:customStyle="1" w:styleId="notetext">
    <w:name w:val="notetext"/>
    <w:basedOn w:val="Normal"/>
    <w:rsid w:val="00F61E09"/>
    <w:pPr>
      <w:spacing w:before="100" w:beforeAutospacing="1" w:after="100" w:afterAutospacing="1"/>
    </w:pPr>
    <w:rPr>
      <w:sz w:val="24"/>
      <w:szCs w:val="24"/>
    </w:rPr>
  </w:style>
  <w:style w:type="paragraph" w:customStyle="1" w:styleId="notepara">
    <w:name w:val="notepara"/>
    <w:basedOn w:val="Normal"/>
    <w:rsid w:val="00F61E09"/>
    <w:pPr>
      <w:spacing w:before="100" w:beforeAutospacing="1" w:after="100" w:afterAutospacing="1"/>
    </w:pPr>
    <w:rPr>
      <w:sz w:val="24"/>
      <w:szCs w:val="24"/>
    </w:rPr>
  </w:style>
  <w:style w:type="paragraph" w:customStyle="1" w:styleId="paragraphsub">
    <w:name w:val="paragraphsub"/>
    <w:basedOn w:val="Normal"/>
    <w:rsid w:val="00F61E09"/>
    <w:pPr>
      <w:spacing w:before="100" w:beforeAutospacing="1" w:after="100" w:afterAutospacing="1"/>
    </w:pPr>
    <w:rPr>
      <w:sz w:val="24"/>
      <w:szCs w:val="24"/>
    </w:rPr>
  </w:style>
  <w:style w:type="paragraph" w:styleId="NoSpacing">
    <w:name w:val="No Spacing"/>
    <w:uiPriority w:val="1"/>
    <w:qFormat/>
    <w:rsid w:val="00EC6ADD"/>
    <w:rPr>
      <w:sz w:val="22"/>
    </w:rPr>
  </w:style>
  <w:style w:type="paragraph" w:customStyle="1" w:styleId="RPG-BodyTextNumbered">
    <w:name w:val="RPG - Body Text (Numbered)"/>
    <w:basedOn w:val="Normal"/>
    <w:link w:val="RPG-BodyTextNumberedChar"/>
    <w:qFormat/>
    <w:rsid w:val="004A129F"/>
    <w:pPr>
      <w:numPr>
        <w:numId w:val="12"/>
      </w:numPr>
      <w:spacing w:before="200" w:after="0"/>
    </w:pPr>
    <w:rPr>
      <w:rFonts w:eastAsia="Calibri"/>
      <w:szCs w:val="22"/>
      <w:lang w:eastAsia="en-US"/>
    </w:rPr>
  </w:style>
  <w:style w:type="paragraph" w:customStyle="1" w:styleId="RPG-SublistLevel1">
    <w:name w:val="RPG - Sublist Level 1"/>
    <w:basedOn w:val="RPG-BodyTextNumbered"/>
    <w:qFormat/>
    <w:rsid w:val="004A129F"/>
    <w:pPr>
      <w:numPr>
        <w:ilvl w:val="1"/>
      </w:numPr>
      <w:tabs>
        <w:tab w:val="clear" w:pos="1276"/>
      </w:tabs>
      <w:spacing w:before="120"/>
      <w:ind w:left="1440" w:hanging="360"/>
    </w:pPr>
  </w:style>
  <w:style w:type="paragraph" w:customStyle="1" w:styleId="RPG-SublistLevel2">
    <w:name w:val="RPG - Sublist Level 2"/>
    <w:basedOn w:val="RPG-SublistLevel1"/>
    <w:qFormat/>
    <w:rsid w:val="004A129F"/>
    <w:pPr>
      <w:numPr>
        <w:ilvl w:val="2"/>
      </w:numPr>
      <w:tabs>
        <w:tab w:val="clear" w:pos="1701"/>
      </w:tabs>
      <w:ind w:left="2160" w:hanging="360"/>
    </w:pPr>
  </w:style>
  <w:style w:type="character" w:customStyle="1" w:styleId="RPG-BodyTextNumberedChar">
    <w:name w:val="RPG - Body Text (Numbered) Char"/>
    <w:basedOn w:val="DefaultParagraphFont"/>
    <w:link w:val="RPG-BodyTextNumbered"/>
    <w:rsid w:val="004A129F"/>
    <w:rPr>
      <w:rFonts w:eastAsia="Calibri"/>
      <w:sz w:val="22"/>
      <w:szCs w:val="22"/>
      <w:lang w:eastAsia="en-US"/>
    </w:rPr>
  </w:style>
  <w:style w:type="paragraph" w:customStyle="1" w:styleId="Default">
    <w:name w:val="Default"/>
    <w:rsid w:val="00ED278C"/>
    <w:pPr>
      <w:autoSpaceDE w:val="0"/>
      <w:autoSpaceDN w:val="0"/>
      <w:adjustRightInd w:val="0"/>
    </w:pPr>
    <w:rPr>
      <w:color w:val="000000"/>
      <w:sz w:val="24"/>
      <w:szCs w:val="24"/>
    </w:rPr>
  </w:style>
  <w:style w:type="paragraph" w:customStyle="1" w:styleId="MIRCPNoteSublist">
    <w:name w:val="MIR CP Note Sublist"/>
    <w:basedOn w:val="MIRCPNote"/>
    <w:link w:val="MIRCPNoteSublistChar"/>
    <w:qFormat/>
    <w:rsid w:val="00FE43C9"/>
    <w:pPr>
      <w:ind w:left="1276" w:hanging="425"/>
    </w:pPr>
  </w:style>
  <w:style w:type="character" w:customStyle="1" w:styleId="MIRCPNoteSublistChar">
    <w:name w:val="MIR CP Note Sublist Char"/>
    <w:basedOn w:val="MIRCPNoteChar"/>
    <w:link w:val="MIRCPNoteSublist"/>
    <w:rsid w:val="00FE43C9"/>
    <w:rPr>
      <w:noProof/>
      <w:sz w:val="22"/>
      <w:szCs w:val="22"/>
    </w:rPr>
  </w:style>
  <w:style w:type="character" w:styleId="FollowedHyperlink">
    <w:name w:val="FollowedHyperlink"/>
    <w:basedOn w:val="DefaultParagraphFont"/>
    <w:uiPriority w:val="99"/>
    <w:semiHidden/>
    <w:unhideWhenUsed/>
    <w:rsid w:val="009C77BD"/>
    <w:rPr>
      <w:color w:val="800080" w:themeColor="followedHyperlink"/>
      <w:u w:val="single"/>
    </w:rPr>
  </w:style>
  <w:style w:type="paragraph" w:customStyle="1" w:styleId="OutlineNumbered1">
    <w:name w:val="Outline Numbered 1"/>
    <w:basedOn w:val="Normal"/>
    <w:link w:val="OutlineNumbered1Char"/>
    <w:rsid w:val="003D4B38"/>
    <w:pPr>
      <w:numPr>
        <w:numId w:val="14"/>
      </w:numPr>
      <w:spacing w:after="120" w:line="276" w:lineRule="auto"/>
    </w:pPr>
    <w:rPr>
      <w:sz w:val="24"/>
      <w:szCs w:val="24"/>
      <w:lang w:eastAsia="en-US"/>
    </w:rPr>
  </w:style>
  <w:style w:type="character" w:customStyle="1" w:styleId="OutlineNumbered1Char">
    <w:name w:val="Outline Numbered 1 Char"/>
    <w:basedOn w:val="DefaultParagraphFont"/>
    <w:link w:val="OutlineNumbered1"/>
    <w:rsid w:val="003D4B38"/>
    <w:rPr>
      <w:sz w:val="24"/>
      <w:szCs w:val="24"/>
      <w:lang w:eastAsia="en-US"/>
    </w:rPr>
  </w:style>
  <w:style w:type="paragraph" w:customStyle="1" w:styleId="OutlineNumbered2">
    <w:name w:val="Outline Numbered 2"/>
    <w:basedOn w:val="Normal"/>
    <w:rsid w:val="003D4B38"/>
    <w:pPr>
      <w:numPr>
        <w:ilvl w:val="1"/>
        <w:numId w:val="14"/>
      </w:numPr>
      <w:spacing w:after="120" w:line="276" w:lineRule="auto"/>
    </w:pPr>
    <w:rPr>
      <w:sz w:val="24"/>
      <w:szCs w:val="24"/>
      <w:lang w:eastAsia="en-US"/>
    </w:rPr>
  </w:style>
  <w:style w:type="paragraph" w:customStyle="1" w:styleId="OutlineNumbered3">
    <w:name w:val="Outline Numbered 3"/>
    <w:basedOn w:val="Normal"/>
    <w:rsid w:val="003D4B38"/>
    <w:pPr>
      <w:numPr>
        <w:ilvl w:val="2"/>
        <w:numId w:val="14"/>
      </w:numPr>
      <w:spacing w:after="120" w:line="276" w:lineRule="auto"/>
    </w:pPr>
    <w:rPr>
      <w:sz w:val="24"/>
      <w:szCs w:val="24"/>
      <w:lang w:eastAsia="en-US"/>
    </w:rPr>
  </w:style>
  <w:style w:type="paragraph" w:customStyle="1" w:styleId="Bullet">
    <w:name w:val="Bullet"/>
    <w:basedOn w:val="Normal"/>
    <w:rsid w:val="00B62602"/>
    <w:pPr>
      <w:numPr>
        <w:numId w:val="15"/>
      </w:numPr>
      <w:spacing w:after="0"/>
    </w:pPr>
    <w:rPr>
      <w:rFonts w:ascii="Calibri" w:hAnsi="Calibri"/>
      <w:szCs w:val="22"/>
      <w:lang w:eastAsia="en-US"/>
    </w:rPr>
  </w:style>
  <w:style w:type="paragraph" w:customStyle="1" w:styleId="Dash">
    <w:name w:val="Dash"/>
    <w:basedOn w:val="Normal"/>
    <w:rsid w:val="00B62602"/>
    <w:pPr>
      <w:numPr>
        <w:ilvl w:val="1"/>
        <w:numId w:val="15"/>
      </w:numPr>
      <w:spacing w:after="0"/>
    </w:pPr>
    <w:rPr>
      <w:rFonts w:ascii="Calibri" w:hAnsi="Calibri"/>
      <w:szCs w:val="22"/>
      <w:lang w:eastAsia="en-US"/>
    </w:rPr>
  </w:style>
  <w:style w:type="paragraph" w:customStyle="1" w:styleId="DoubleDot">
    <w:name w:val="Double Dot"/>
    <w:basedOn w:val="Normal"/>
    <w:rsid w:val="00B62602"/>
    <w:pPr>
      <w:numPr>
        <w:ilvl w:val="2"/>
        <w:numId w:val="15"/>
      </w:numPr>
      <w:spacing w:after="0"/>
    </w:pPr>
    <w:rPr>
      <w:rFonts w:ascii="Calibri" w:hAnsi="Calibri"/>
      <w:szCs w:val="22"/>
      <w:lang w:eastAsia="en-US"/>
    </w:rPr>
  </w:style>
  <w:style w:type="paragraph" w:customStyle="1" w:styleId="mirsubsubpara0">
    <w:name w:val="mirsubsubpara"/>
    <w:basedOn w:val="Normal"/>
    <w:rsid w:val="0062518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37094">
      <w:bodyDiv w:val="1"/>
      <w:marLeft w:val="0"/>
      <w:marRight w:val="0"/>
      <w:marTop w:val="0"/>
      <w:marBottom w:val="0"/>
      <w:divBdr>
        <w:top w:val="none" w:sz="0" w:space="0" w:color="auto"/>
        <w:left w:val="none" w:sz="0" w:space="0" w:color="auto"/>
        <w:bottom w:val="none" w:sz="0" w:space="0" w:color="auto"/>
        <w:right w:val="none" w:sz="0" w:space="0" w:color="auto"/>
      </w:divBdr>
      <w:divsChild>
        <w:div w:id="1651400611">
          <w:marLeft w:val="0"/>
          <w:marRight w:val="0"/>
          <w:marTop w:val="0"/>
          <w:marBottom w:val="0"/>
          <w:divBdr>
            <w:top w:val="none" w:sz="0" w:space="0" w:color="auto"/>
            <w:left w:val="none" w:sz="0" w:space="0" w:color="auto"/>
            <w:bottom w:val="none" w:sz="0" w:space="0" w:color="auto"/>
            <w:right w:val="none" w:sz="0" w:space="0" w:color="auto"/>
          </w:divBdr>
          <w:divsChild>
            <w:div w:id="1252468408">
              <w:marLeft w:val="0"/>
              <w:marRight w:val="0"/>
              <w:marTop w:val="0"/>
              <w:marBottom w:val="0"/>
              <w:divBdr>
                <w:top w:val="none" w:sz="0" w:space="0" w:color="auto"/>
                <w:left w:val="none" w:sz="0" w:space="0" w:color="auto"/>
                <w:bottom w:val="none" w:sz="0" w:space="0" w:color="auto"/>
                <w:right w:val="none" w:sz="0" w:space="0" w:color="auto"/>
              </w:divBdr>
              <w:divsChild>
                <w:div w:id="844899092">
                  <w:marLeft w:val="0"/>
                  <w:marRight w:val="0"/>
                  <w:marTop w:val="0"/>
                  <w:marBottom w:val="0"/>
                  <w:divBdr>
                    <w:top w:val="none" w:sz="0" w:space="0" w:color="auto"/>
                    <w:left w:val="none" w:sz="0" w:space="0" w:color="auto"/>
                    <w:bottom w:val="none" w:sz="0" w:space="0" w:color="auto"/>
                    <w:right w:val="none" w:sz="0" w:space="0" w:color="auto"/>
                  </w:divBdr>
                  <w:divsChild>
                    <w:div w:id="1307977702">
                      <w:marLeft w:val="0"/>
                      <w:marRight w:val="0"/>
                      <w:marTop w:val="0"/>
                      <w:marBottom w:val="0"/>
                      <w:divBdr>
                        <w:top w:val="none" w:sz="0" w:space="0" w:color="auto"/>
                        <w:left w:val="none" w:sz="0" w:space="0" w:color="auto"/>
                        <w:bottom w:val="none" w:sz="0" w:space="0" w:color="auto"/>
                        <w:right w:val="none" w:sz="0" w:space="0" w:color="auto"/>
                      </w:divBdr>
                      <w:divsChild>
                        <w:div w:id="2129741824">
                          <w:marLeft w:val="0"/>
                          <w:marRight w:val="0"/>
                          <w:marTop w:val="0"/>
                          <w:marBottom w:val="0"/>
                          <w:divBdr>
                            <w:top w:val="single" w:sz="6" w:space="0" w:color="828282"/>
                            <w:left w:val="single" w:sz="6" w:space="0" w:color="828282"/>
                            <w:bottom w:val="single" w:sz="6" w:space="0" w:color="828282"/>
                            <w:right w:val="single" w:sz="6" w:space="0" w:color="828282"/>
                          </w:divBdr>
                          <w:divsChild>
                            <w:div w:id="1808693810">
                              <w:marLeft w:val="0"/>
                              <w:marRight w:val="0"/>
                              <w:marTop w:val="0"/>
                              <w:marBottom w:val="0"/>
                              <w:divBdr>
                                <w:top w:val="none" w:sz="0" w:space="0" w:color="auto"/>
                                <w:left w:val="none" w:sz="0" w:space="0" w:color="auto"/>
                                <w:bottom w:val="none" w:sz="0" w:space="0" w:color="auto"/>
                                <w:right w:val="none" w:sz="0" w:space="0" w:color="auto"/>
                              </w:divBdr>
                              <w:divsChild>
                                <w:div w:id="1654722263">
                                  <w:marLeft w:val="0"/>
                                  <w:marRight w:val="0"/>
                                  <w:marTop w:val="0"/>
                                  <w:marBottom w:val="0"/>
                                  <w:divBdr>
                                    <w:top w:val="none" w:sz="0" w:space="0" w:color="auto"/>
                                    <w:left w:val="none" w:sz="0" w:space="0" w:color="auto"/>
                                    <w:bottom w:val="none" w:sz="0" w:space="0" w:color="auto"/>
                                    <w:right w:val="none" w:sz="0" w:space="0" w:color="auto"/>
                                  </w:divBdr>
                                  <w:divsChild>
                                    <w:div w:id="1090857546">
                                      <w:marLeft w:val="0"/>
                                      <w:marRight w:val="0"/>
                                      <w:marTop w:val="0"/>
                                      <w:marBottom w:val="0"/>
                                      <w:divBdr>
                                        <w:top w:val="none" w:sz="0" w:space="0" w:color="auto"/>
                                        <w:left w:val="none" w:sz="0" w:space="0" w:color="auto"/>
                                        <w:bottom w:val="none" w:sz="0" w:space="0" w:color="auto"/>
                                        <w:right w:val="none" w:sz="0" w:space="0" w:color="auto"/>
                                      </w:divBdr>
                                      <w:divsChild>
                                        <w:div w:id="1465268790">
                                          <w:marLeft w:val="0"/>
                                          <w:marRight w:val="0"/>
                                          <w:marTop w:val="0"/>
                                          <w:marBottom w:val="0"/>
                                          <w:divBdr>
                                            <w:top w:val="none" w:sz="0" w:space="0" w:color="auto"/>
                                            <w:left w:val="none" w:sz="0" w:space="0" w:color="auto"/>
                                            <w:bottom w:val="none" w:sz="0" w:space="0" w:color="auto"/>
                                            <w:right w:val="none" w:sz="0" w:space="0" w:color="auto"/>
                                          </w:divBdr>
                                          <w:divsChild>
                                            <w:div w:id="477456857">
                                              <w:marLeft w:val="0"/>
                                              <w:marRight w:val="0"/>
                                              <w:marTop w:val="0"/>
                                              <w:marBottom w:val="0"/>
                                              <w:divBdr>
                                                <w:top w:val="none" w:sz="0" w:space="0" w:color="auto"/>
                                                <w:left w:val="none" w:sz="0" w:space="0" w:color="auto"/>
                                                <w:bottom w:val="none" w:sz="0" w:space="0" w:color="auto"/>
                                                <w:right w:val="none" w:sz="0" w:space="0" w:color="auto"/>
                                              </w:divBdr>
                                              <w:divsChild>
                                                <w:div w:id="21047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686233">
      <w:bodyDiv w:val="1"/>
      <w:marLeft w:val="0"/>
      <w:marRight w:val="0"/>
      <w:marTop w:val="0"/>
      <w:marBottom w:val="0"/>
      <w:divBdr>
        <w:top w:val="none" w:sz="0" w:space="0" w:color="auto"/>
        <w:left w:val="none" w:sz="0" w:space="0" w:color="auto"/>
        <w:bottom w:val="none" w:sz="0" w:space="0" w:color="auto"/>
        <w:right w:val="none" w:sz="0" w:space="0" w:color="auto"/>
      </w:divBdr>
      <w:divsChild>
        <w:div w:id="1371489141">
          <w:marLeft w:val="0"/>
          <w:marRight w:val="0"/>
          <w:marTop w:val="0"/>
          <w:marBottom w:val="0"/>
          <w:divBdr>
            <w:top w:val="none" w:sz="0" w:space="0" w:color="auto"/>
            <w:left w:val="none" w:sz="0" w:space="0" w:color="auto"/>
            <w:bottom w:val="none" w:sz="0" w:space="0" w:color="auto"/>
            <w:right w:val="none" w:sz="0" w:space="0" w:color="auto"/>
          </w:divBdr>
          <w:divsChild>
            <w:div w:id="1140919052">
              <w:marLeft w:val="0"/>
              <w:marRight w:val="0"/>
              <w:marTop w:val="0"/>
              <w:marBottom w:val="0"/>
              <w:divBdr>
                <w:top w:val="none" w:sz="0" w:space="0" w:color="auto"/>
                <w:left w:val="none" w:sz="0" w:space="0" w:color="auto"/>
                <w:bottom w:val="none" w:sz="0" w:space="0" w:color="auto"/>
                <w:right w:val="none" w:sz="0" w:space="0" w:color="auto"/>
              </w:divBdr>
              <w:divsChild>
                <w:div w:id="1670016960">
                  <w:marLeft w:val="0"/>
                  <w:marRight w:val="0"/>
                  <w:marTop w:val="0"/>
                  <w:marBottom w:val="0"/>
                  <w:divBdr>
                    <w:top w:val="none" w:sz="0" w:space="0" w:color="auto"/>
                    <w:left w:val="none" w:sz="0" w:space="0" w:color="auto"/>
                    <w:bottom w:val="none" w:sz="0" w:space="0" w:color="auto"/>
                    <w:right w:val="none" w:sz="0" w:space="0" w:color="auto"/>
                  </w:divBdr>
                  <w:divsChild>
                    <w:div w:id="2074427062">
                      <w:marLeft w:val="0"/>
                      <w:marRight w:val="0"/>
                      <w:marTop w:val="0"/>
                      <w:marBottom w:val="0"/>
                      <w:divBdr>
                        <w:top w:val="none" w:sz="0" w:space="0" w:color="auto"/>
                        <w:left w:val="none" w:sz="0" w:space="0" w:color="auto"/>
                        <w:bottom w:val="none" w:sz="0" w:space="0" w:color="auto"/>
                        <w:right w:val="none" w:sz="0" w:space="0" w:color="auto"/>
                      </w:divBdr>
                      <w:divsChild>
                        <w:div w:id="708846077">
                          <w:marLeft w:val="0"/>
                          <w:marRight w:val="0"/>
                          <w:marTop w:val="0"/>
                          <w:marBottom w:val="0"/>
                          <w:divBdr>
                            <w:top w:val="single" w:sz="6" w:space="0" w:color="828282"/>
                            <w:left w:val="single" w:sz="6" w:space="0" w:color="828282"/>
                            <w:bottom w:val="single" w:sz="6" w:space="0" w:color="828282"/>
                            <w:right w:val="single" w:sz="6" w:space="0" w:color="828282"/>
                          </w:divBdr>
                          <w:divsChild>
                            <w:div w:id="926113373">
                              <w:marLeft w:val="0"/>
                              <w:marRight w:val="0"/>
                              <w:marTop w:val="0"/>
                              <w:marBottom w:val="0"/>
                              <w:divBdr>
                                <w:top w:val="none" w:sz="0" w:space="0" w:color="auto"/>
                                <w:left w:val="none" w:sz="0" w:space="0" w:color="auto"/>
                                <w:bottom w:val="none" w:sz="0" w:space="0" w:color="auto"/>
                                <w:right w:val="none" w:sz="0" w:space="0" w:color="auto"/>
                              </w:divBdr>
                              <w:divsChild>
                                <w:div w:id="2124879968">
                                  <w:marLeft w:val="0"/>
                                  <w:marRight w:val="0"/>
                                  <w:marTop w:val="0"/>
                                  <w:marBottom w:val="0"/>
                                  <w:divBdr>
                                    <w:top w:val="none" w:sz="0" w:space="0" w:color="auto"/>
                                    <w:left w:val="none" w:sz="0" w:space="0" w:color="auto"/>
                                    <w:bottom w:val="none" w:sz="0" w:space="0" w:color="auto"/>
                                    <w:right w:val="none" w:sz="0" w:space="0" w:color="auto"/>
                                  </w:divBdr>
                                  <w:divsChild>
                                    <w:div w:id="2023048460">
                                      <w:marLeft w:val="0"/>
                                      <w:marRight w:val="0"/>
                                      <w:marTop w:val="0"/>
                                      <w:marBottom w:val="0"/>
                                      <w:divBdr>
                                        <w:top w:val="none" w:sz="0" w:space="0" w:color="auto"/>
                                        <w:left w:val="none" w:sz="0" w:space="0" w:color="auto"/>
                                        <w:bottom w:val="none" w:sz="0" w:space="0" w:color="auto"/>
                                        <w:right w:val="none" w:sz="0" w:space="0" w:color="auto"/>
                                      </w:divBdr>
                                      <w:divsChild>
                                        <w:div w:id="939676577">
                                          <w:marLeft w:val="0"/>
                                          <w:marRight w:val="0"/>
                                          <w:marTop w:val="0"/>
                                          <w:marBottom w:val="0"/>
                                          <w:divBdr>
                                            <w:top w:val="none" w:sz="0" w:space="0" w:color="auto"/>
                                            <w:left w:val="none" w:sz="0" w:space="0" w:color="auto"/>
                                            <w:bottom w:val="none" w:sz="0" w:space="0" w:color="auto"/>
                                            <w:right w:val="none" w:sz="0" w:space="0" w:color="auto"/>
                                          </w:divBdr>
                                          <w:divsChild>
                                            <w:div w:id="1351300048">
                                              <w:marLeft w:val="0"/>
                                              <w:marRight w:val="0"/>
                                              <w:marTop w:val="0"/>
                                              <w:marBottom w:val="0"/>
                                              <w:divBdr>
                                                <w:top w:val="none" w:sz="0" w:space="0" w:color="auto"/>
                                                <w:left w:val="none" w:sz="0" w:space="0" w:color="auto"/>
                                                <w:bottom w:val="none" w:sz="0" w:space="0" w:color="auto"/>
                                                <w:right w:val="none" w:sz="0" w:space="0" w:color="auto"/>
                                              </w:divBdr>
                                              <w:divsChild>
                                                <w:div w:id="143389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04237">
      <w:bodyDiv w:val="1"/>
      <w:marLeft w:val="0"/>
      <w:marRight w:val="0"/>
      <w:marTop w:val="0"/>
      <w:marBottom w:val="0"/>
      <w:divBdr>
        <w:top w:val="none" w:sz="0" w:space="0" w:color="auto"/>
        <w:left w:val="none" w:sz="0" w:space="0" w:color="auto"/>
        <w:bottom w:val="none" w:sz="0" w:space="0" w:color="auto"/>
        <w:right w:val="none" w:sz="0" w:space="0" w:color="auto"/>
      </w:divBdr>
      <w:divsChild>
        <w:div w:id="718020260">
          <w:marLeft w:val="0"/>
          <w:marRight w:val="0"/>
          <w:marTop w:val="0"/>
          <w:marBottom w:val="0"/>
          <w:divBdr>
            <w:top w:val="none" w:sz="0" w:space="0" w:color="auto"/>
            <w:left w:val="none" w:sz="0" w:space="0" w:color="auto"/>
            <w:bottom w:val="none" w:sz="0" w:space="0" w:color="auto"/>
            <w:right w:val="none" w:sz="0" w:space="0" w:color="auto"/>
          </w:divBdr>
          <w:divsChild>
            <w:div w:id="1053582174">
              <w:marLeft w:val="0"/>
              <w:marRight w:val="0"/>
              <w:marTop w:val="0"/>
              <w:marBottom w:val="0"/>
              <w:divBdr>
                <w:top w:val="none" w:sz="0" w:space="0" w:color="auto"/>
                <w:left w:val="none" w:sz="0" w:space="0" w:color="auto"/>
                <w:bottom w:val="none" w:sz="0" w:space="0" w:color="auto"/>
                <w:right w:val="none" w:sz="0" w:space="0" w:color="auto"/>
              </w:divBdr>
              <w:divsChild>
                <w:div w:id="901600380">
                  <w:marLeft w:val="0"/>
                  <w:marRight w:val="0"/>
                  <w:marTop w:val="0"/>
                  <w:marBottom w:val="0"/>
                  <w:divBdr>
                    <w:top w:val="none" w:sz="0" w:space="0" w:color="auto"/>
                    <w:left w:val="none" w:sz="0" w:space="0" w:color="auto"/>
                    <w:bottom w:val="none" w:sz="0" w:space="0" w:color="auto"/>
                    <w:right w:val="none" w:sz="0" w:space="0" w:color="auto"/>
                  </w:divBdr>
                  <w:divsChild>
                    <w:div w:id="1231579308">
                      <w:marLeft w:val="0"/>
                      <w:marRight w:val="0"/>
                      <w:marTop w:val="0"/>
                      <w:marBottom w:val="0"/>
                      <w:divBdr>
                        <w:top w:val="none" w:sz="0" w:space="0" w:color="auto"/>
                        <w:left w:val="none" w:sz="0" w:space="0" w:color="auto"/>
                        <w:bottom w:val="none" w:sz="0" w:space="0" w:color="auto"/>
                        <w:right w:val="none" w:sz="0" w:space="0" w:color="auto"/>
                      </w:divBdr>
                      <w:divsChild>
                        <w:div w:id="72171463">
                          <w:marLeft w:val="0"/>
                          <w:marRight w:val="0"/>
                          <w:marTop w:val="0"/>
                          <w:marBottom w:val="0"/>
                          <w:divBdr>
                            <w:top w:val="none" w:sz="0" w:space="0" w:color="auto"/>
                            <w:left w:val="none" w:sz="0" w:space="0" w:color="auto"/>
                            <w:bottom w:val="none" w:sz="0" w:space="0" w:color="auto"/>
                            <w:right w:val="none" w:sz="0" w:space="0" w:color="auto"/>
                          </w:divBdr>
                          <w:divsChild>
                            <w:div w:id="417361034">
                              <w:marLeft w:val="0"/>
                              <w:marRight w:val="0"/>
                              <w:marTop w:val="0"/>
                              <w:marBottom w:val="0"/>
                              <w:divBdr>
                                <w:top w:val="none" w:sz="0" w:space="0" w:color="auto"/>
                                <w:left w:val="none" w:sz="0" w:space="0" w:color="auto"/>
                                <w:bottom w:val="none" w:sz="0" w:space="0" w:color="auto"/>
                                <w:right w:val="none" w:sz="0" w:space="0" w:color="auto"/>
                              </w:divBdr>
                              <w:divsChild>
                                <w:div w:id="176822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636721">
      <w:bodyDiv w:val="1"/>
      <w:marLeft w:val="0"/>
      <w:marRight w:val="0"/>
      <w:marTop w:val="0"/>
      <w:marBottom w:val="0"/>
      <w:divBdr>
        <w:top w:val="none" w:sz="0" w:space="0" w:color="auto"/>
        <w:left w:val="none" w:sz="0" w:space="0" w:color="auto"/>
        <w:bottom w:val="none" w:sz="0" w:space="0" w:color="auto"/>
        <w:right w:val="none" w:sz="0" w:space="0" w:color="auto"/>
      </w:divBdr>
      <w:divsChild>
        <w:div w:id="564991985">
          <w:marLeft w:val="0"/>
          <w:marRight w:val="0"/>
          <w:marTop w:val="0"/>
          <w:marBottom w:val="0"/>
          <w:divBdr>
            <w:top w:val="none" w:sz="0" w:space="0" w:color="auto"/>
            <w:left w:val="none" w:sz="0" w:space="0" w:color="auto"/>
            <w:bottom w:val="none" w:sz="0" w:space="0" w:color="auto"/>
            <w:right w:val="none" w:sz="0" w:space="0" w:color="auto"/>
          </w:divBdr>
          <w:divsChild>
            <w:div w:id="200476977">
              <w:marLeft w:val="0"/>
              <w:marRight w:val="0"/>
              <w:marTop w:val="0"/>
              <w:marBottom w:val="0"/>
              <w:divBdr>
                <w:top w:val="none" w:sz="0" w:space="0" w:color="auto"/>
                <w:left w:val="none" w:sz="0" w:space="0" w:color="auto"/>
                <w:bottom w:val="none" w:sz="0" w:space="0" w:color="auto"/>
                <w:right w:val="none" w:sz="0" w:space="0" w:color="auto"/>
              </w:divBdr>
              <w:divsChild>
                <w:div w:id="1020399724">
                  <w:marLeft w:val="0"/>
                  <w:marRight w:val="0"/>
                  <w:marTop w:val="0"/>
                  <w:marBottom w:val="0"/>
                  <w:divBdr>
                    <w:top w:val="none" w:sz="0" w:space="0" w:color="auto"/>
                    <w:left w:val="none" w:sz="0" w:space="0" w:color="auto"/>
                    <w:bottom w:val="none" w:sz="0" w:space="0" w:color="auto"/>
                    <w:right w:val="none" w:sz="0" w:space="0" w:color="auto"/>
                  </w:divBdr>
                  <w:divsChild>
                    <w:div w:id="1122964790">
                      <w:marLeft w:val="0"/>
                      <w:marRight w:val="0"/>
                      <w:marTop w:val="0"/>
                      <w:marBottom w:val="0"/>
                      <w:divBdr>
                        <w:top w:val="none" w:sz="0" w:space="0" w:color="auto"/>
                        <w:left w:val="none" w:sz="0" w:space="0" w:color="auto"/>
                        <w:bottom w:val="none" w:sz="0" w:space="0" w:color="auto"/>
                        <w:right w:val="none" w:sz="0" w:space="0" w:color="auto"/>
                      </w:divBdr>
                      <w:divsChild>
                        <w:div w:id="1588878681">
                          <w:marLeft w:val="0"/>
                          <w:marRight w:val="0"/>
                          <w:marTop w:val="0"/>
                          <w:marBottom w:val="0"/>
                          <w:divBdr>
                            <w:top w:val="single" w:sz="6" w:space="0" w:color="828282"/>
                            <w:left w:val="single" w:sz="6" w:space="0" w:color="828282"/>
                            <w:bottom w:val="single" w:sz="6" w:space="0" w:color="828282"/>
                            <w:right w:val="single" w:sz="6" w:space="0" w:color="828282"/>
                          </w:divBdr>
                          <w:divsChild>
                            <w:div w:id="1530951634">
                              <w:marLeft w:val="0"/>
                              <w:marRight w:val="0"/>
                              <w:marTop w:val="0"/>
                              <w:marBottom w:val="0"/>
                              <w:divBdr>
                                <w:top w:val="none" w:sz="0" w:space="0" w:color="auto"/>
                                <w:left w:val="none" w:sz="0" w:space="0" w:color="auto"/>
                                <w:bottom w:val="none" w:sz="0" w:space="0" w:color="auto"/>
                                <w:right w:val="none" w:sz="0" w:space="0" w:color="auto"/>
                              </w:divBdr>
                              <w:divsChild>
                                <w:div w:id="1555506481">
                                  <w:marLeft w:val="0"/>
                                  <w:marRight w:val="0"/>
                                  <w:marTop w:val="0"/>
                                  <w:marBottom w:val="0"/>
                                  <w:divBdr>
                                    <w:top w:val="none" w:sz="0" w:space="0" w:color="auto"/>
                                    <w:left w:val="none" w:sz="0" w:space="0" w:color="auto"/>
                                    <w:bottom w:val="none" w:sz="0" w:space="0" w:color="auto"/>
                                    <w:right w:val="none" w:sz="0" w:space="0" w:color="auto"/>
                                  </w:divBdr>
                                  <w:divsChild>
                                    <w:div w:id="392848176">
                                      <w:marLeft w:val="0"/>
                                      <w:marRight w:val="0"/>
                                      <w:marTop w:val="0"/>
                                      <w:marBottom w:val="0"/>
                                      <w:divBdr>
                                        <w:top w:val="none" w:sz="0" w:space="0" w:color="auto"/>
                                        <w:left w:val="none" w:sz="0" w:space="0" w:color="auto"/>
                                        <w:bottom w:val="none" w:sz="0" w:space="0" w:color="auto"/>
                                        <w:right w:val="none" w:sz="0" w:space="0" w:color="auto"/>
                                      </w:divBdr>
                                      <w:divsChild>
                                        <w:div w:id="334840774">
                                          <w:marLeft w:val="0"/>
                                          <w:marRight w:val="0"/>
                                          <w:marTop w:val="0"/>
                                          <w:marBottom w:val="0"/>
                                          <w:divBdr>
                                            <w:top w:val="none" w:sz="0" w:space="0" w:color="auto"/>
                                            <w:left w:val="none" w:sz="0" w:space="0" w:color="auto"/>
                                            <w:bottom w:val="none" w:sz="0" w:space="0" w:color="auto"/>
                                            <w:right w:val="none" w:sz="0" w:space="0" w:color="auto"/>
                                          </w:divBdr>
                                          <w:divsChild>
                                            <w:div w:id="924606494">
                                              <w:marLeft w:val="0"/>
                                              <w:marRight w:val="0"/>
                                              <w:marTop w:val="0"/>
                                              <w:marBottom w:val="0"/>
                                              <w:divBdr>
                                                <w:top w:val="none" w:sz="0" w:space="0" w:color="auto"/>
                                                <w:left w:val="none" w:sz="0" w:space="0" w:color="auto"/>
                                                <w:bottom w:val="none" w:sz="0" w:space="0" w:color="auto"/>
                                                <w:right w:val="none" w:sz="0" w:space="0" w:color="auto"/>
                                              </w:divBdr>
                                              <w:divsChild>
                                                <w:div w:id="42920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349390">
      <w:bodyDiv w:val="1"/>
      <w:marLeft w:val="0"/>
      <w:marRight w:val="0"/>
      <w:marTop w:val="0"/>
      <w:marBottom w:val="0"/>
      <w:divBdr>
        <w:top w:val="none" w:sz="0" w:space="0" w:color="auto"/>
        <w:left w:val="none" w:sz="0" w:space="0" w:color="auto"/>
        <w:bottom w:val="none" w:sz="0" w:space="0" w:color="auto"/>
        <w:right w:val="none" w:sz="0" w:space="0" w:color="auto"/>
      </w:divBdr>
      <w:divsChild>
        <w:div w:id="295063518">
          <w:marLeft w:val="0"/>
          <w:marRight w:val="0"/>
          <w:marTop w:val="0"/>
          <w:marBottom w:val="0"/>
          <w:divBdr>
            <w:top w:val="none" w:sz="0" w:space="0" w:color="auto"/>
            <w:left w:val="none" w:sz="0" w:space="0" w:color="auto"/>
            <w:bottom w:val="none" w:sz="0" w:space="0" w:color="auto"/>
            <w:right w:val="none" w:sz="0" w:space="0" w:color="auto"/>
          </w:divBdr>
          <w:divsChild>
            <w:div w:id="42876599">
              <w:marLeft w:val="0"/>
              <w:marRight w:val="0"/>
              <w:marTop w:val="0"/>
              <w:marBottom w:val="0"/>
              <w:divBdr>
                <w:top w:val="none" w:sz="0" w:space="0" w:color="auto"/>
                <w:left w:val="none" w:sz="0" w:space="0" w:color="auto"/>
                <w:bottom w:val="none" w:sz="0" w:space="0" w:color="auto"/>
                <w:right w:val="none" w:sz="0" w:space="0" w:color="auto"/>
              </w:divBdr>
              <w:divsChild>
                <w:div w:id="1646550192">
                  <w:marLeft w:val="60"/>
                  <w:marRight w:val="0"/>
                  <w:marTop w:val="0"/>
                  <w:marBottom w:val="45"/>
                  <w:divBdr>
                    <w:top w:val="none" w:sz="0" w:space="0" w:color="auto"/>
                    <w:left w:val="none" w:sz="0" w:space="0" w:color="auto"/>
                    <w:bottom w:val="none" w:sz="0" w:space="0" w:color="auto"/>
                    <w:right w:val="none" w:sz="0" w:space="0" w:color="auto"/>
                  </w:divBdr>
                  <w:divsChild>
                    <w:div w:id="1638024189">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59028">
      <w:bodyDiv w:val="1"/>
      <w:marLeft w:val="0"/>
      <w:marRight w:val="0"/>
      <w:marTop w:val="0"/>
      <w:marBottom w:val="0"/>
      <w:divBdr>
        <w:top w:val="none" w:sz="0" w:space="0" w:color="auto"/>
        <w:left w:val="none" w:sz="0" w:space="0" w:color="auto"/>
        <w:bottom w:val="none" w:sz="0" w:space="0" w:color="auto"/>
        <w:right w:val="none" w:sz="0" w:space="0" w:color="auto"/>
      </w:divBdr>
      <w:divsChild>
        <w:div w:id="273678630">
          <w:marLeft w:val="0"/>
          <w:marRight w:val="0"/>
          <w:marTop w:val="0"/>
          <w:marBottom w:val="0"/>
          <w:divBdr>
            <w:top w:val="none" w:sz="0" w:space="0" w:color="auto"/>
            <w:left w:val="none" w:sz="0" w:space="0" w:color="auto"/>
            <w:bottom w:val="none" w:sz="0" w:space="0" w:color="auto"/>
            <w:right w:val="none" w:sz="0" w:space="0" w:color="auto"/>
          </w:divBdr>
          <w:divsChild>
            <w:div w:id="1668089260">
              <w:marLeft w:val="0"/>
              <w:marRight w:val="0"/>
              <w:marTop w:val="0"/>
              <w:marBottom w:val="0"/>
              <w:divBdr>
                <w:top w:val="none" w:sz="0" w:space="0" w:color="auto"/>
                <w:left w:val="none" w:sz="0" w:space="0" w:color="auto"/>
                <w:bottom w:val="none" w:sz="0" w:space="0" w:color="auto"/>
                <w:right w:val="none" w:sz="0" w:space="0" w:color="auto"/>
              </w:divBdr>
              <w:divsChild>
                <w:div w:id="2091808362">
                  <w:marLeft w:val="0"/>
                  <w:marRight w:val="0"/>
                  <w:marTop w:val="0"/>
                  <w:marBottom w:val="0"/>
                  <w:divBdr>
                    <w:top w:val="none" w:sz="0" w:space="0" w:color="auto"/>
                    <w:left w:val="none" w:sz="0" w:space="0" w:color="auto"/>
                    <w:bottom w:val="none" w:sz="0" w:space="0" w:color="auto"/>
                    <w:right w:val="none" w:sz="0" w:space="0" w:color="auto"/>
                  </w:divBdr>
                  <w:divsChild>
                    <w:div w:id="2024475842">
                      <w:marLeft w:val="0"/>
                      <w:marRight w:val="0"/>
                      <w:marTop w:val="0"/>
                      <w:marBottom w:val="0"/>
                      <w:divBdr>
                        <w:top w:val="none" w:sz="0" w:space="0" w:color="auto"/>
                        <w:left w:val="none" w:sz="0" w:space="0" w:color="auto"/>
                        <w:bottom w:val="none" w:sz="0" w:space="0" w:color="auto"/>
                        <w:right w:val="none" w:sz="0" w:space="0" w:color="auto"/>
                      </w:divBdr>
                      <w:divsChild>
                        <w:div w:id="700596118">
                          <w:marLeft w:val="0"/>
                          <w:marRight w:val="0"/>
                          <w:marTop w:val="0"/>
                          <w:marBottom w:val="0"/>
                          <w:divBdr>
                            <w:top w:val="single" w:sz="6" w:space="0" w:color="828282"/>
                            <w:left w:val="single" w:sz="6" w:space="0" w:color="828282"/>
                            <w:bottom w:val="single" w:sz="6" w:space="0" w:color="828282"/>
                            <w:right w:val="single" w:sz="6" w:space="0" w:color="828282"/>
                          </w:divBdr>
                          <w:divsChild>
                            <w:div w:id="334963949">
                              <w:marLeft w:val="0"/>
                              <w:marRight w:val="0"/>
                              <w:marTop w:val="0"/>
                              <w:marBottom w:val="0"/>
                              <w:divBdr>
                                <w:top w:val="none" w:sz="0" w:space="0" w:color="auto"/>
                                <w:left w:val="none" w:sz="0" w:space="0" w:color="auto"/>
                                <w:bottom w:val="none" w:sz="0" w:space="0" w:color="auto"/>
                                <w:right w:val="none" w:sz="0" w:space="0" w:color="auto"/>
                              </w:divBdr>
                              <w:divsChild>
                                <w:div w:id="669256295">
                                  <w:marLeft w:val="0"/>
                                  <w:marRight w:val="0"/>
                                  <w:marTop w:val="0"/>
                                  <w:marBottom w:val="0"/>
                                  <w:divBdr>
                                    <w:top w:val="none" w:sz="0" w:space="0" w:color="auto"/>
                                    <w:left w:val="none" w:sz="0" w:space="0" w:color="auto"/>
                                    <w:bottom w:val="none" w:sz="0" w:space="0" w:color="auto"/>
                                    <w:right w:val="none" w:sz="0" w:space="0" w:color="auto"/>
                                  </w:divBdr>
                                  <w:divsChild>
                                    <w:div w:id="754471339">
                                      <w:marLeft w:val="0"/>
                                      <w:marRight w:val="0"/>
                                      <w:marTop w:val="0"/>
                                      <w:marBottom w:val="0"/>
                                      <w:divBdr>
                                        <w:top w:val="none" w:sz="0" w:space="0" w:color="auto"/>
                                        <w:left w:val="none" w:sz="0" w:space="0" w:color="auto"/>
                                        <w:bottom w:val="none" w:sz="0" w:space="0" w:color="auto"/>
                                        <w:right w:val="none" w:sz="0" w:space="0" w:color="auto"/>
                                      </w:divBdr>
                                      <w:divsChild>
                                        <w:div w:id="465200129">
                                          <w:marLeft w:val="0"/>
                                          <w:marRight w:val="0"/>
                                          <w:marTop w:val="0"/>
                                          <w:marBottom w:val="0"/>
                                          <w:divBdr>
                                            <w:top w:val="none" w:sz="0" w:space="0" w:color="auto"/>
                                            <w:left w:val="none" w:sz="0" w:space="0" w:color="auto"/>
                                            <w:bottom w:val="none" w:sz="0" w:space="0" w:color="auto"/>
                                            <w:right w:val="none" w:sz="0" w:space="0" w:color="auto"/>
                                          </w:divBdr>
                                          <w:divsChild>
                                            <w:div w:id="568804808">
                                              <w:marLeft w:val="0"/>
                                              <w:marRight w:val="0"/>
                                              <w:marTop w:val="0"/>
                                              <w:marBottom w:val="0"/>
                                              <w:divBdr>
                                                <w:top w:val="none" w:sz="0" w:space="0" w:color="auto"/>
                                                <w:left w:val="none" w:sz="0" w:space="0" w:color="auto"/>
                                                <w:bottom w:val="none" w:sz="0" w:space="0" w:color="auto"/>
                                                <w:right w:val="none" w:sz="0" w:space="0" w:color="auto"/>
                                              </w:divBdr>
                                              <w:divsChild>
                                                <w:div w:id="206120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441508">
      <w:bodyDiv w:val="1"/>
      <w:marLeft w:val="0"/>
      <w:marRight w:val="0"/>
      <w:marTop w:val="0"/>
      <w:marBottom w:val="0"/>
      <w:divBdr>
        <w:top w:val="none" w:sz="0" w:space="0" w:color="auto"/>
        <w:left w:val="none" w:sz="0" w:space="0" w:color="auto"/>
        <w:bottom w:val="none" w:sz="0" w:space="0" w:color="auto"/>
        <w:right w:val="none" w:sz="0" w:space="0" w:color="auto"/>
      </w:divBdr>
      <w:divsChild>
        <w:div w:id="637493238">
          <w:marLeft w:val="0"/>
          <w:marRight w:val="0"/>
          <w:marTop w:val="0"/>
          <w:marBottom w:val="0"/>
          <w:divBdr>
            <w:top w:val="none" w:sz="0" w:space="0" w:color="auto"/>
            <w:left w:val="none" w:sz="0" w:space="0" w:color="auto"/>
            <w:bottom w:val="none" w:sz="0" w:space="0" w:color="auto"/>
            <w:right w:val="none" w:sz="0" w:space="0" w:color="auto"/>
          </w:divBdr>
          <w:divsChild>
            <w:div w:id="481429339">
              <w:marLeft w:val="0"/>
              <w:marRight w:val="0"/>
              <w:marTop w:val="0"/>
              <w:marBottom w:val="0"/>
              <w:divBdr>
                <w:top w:val="none" w:sz="0" w:space="0" w:color="auto"/>
                <w:left w:val="none" w:sz="0" w:space="0" w:color="auto"/>
                <w:bottom w:val="none" w:sz="0" w:space="0" w:color="auto"/>
                <w:right w:val="none" w:sz="0" w:space="0" w:color="auto"/>
              </w:divBdr>
              <w:divsChild>
                <w:div w:id="1638339256">
                  <w:marLeft w:val="0"/>
                  <w:marRight w:val="0"/>
                  <w:marTop w:val="0"/>
                  <w:marBottom w:val="0"/>
                  <w:divBdr>
                    <w:top w:val="none" w:sz="0" w:space="0" w:color="auto"/>
                    <w:left w:val="none" w:sz="0" w:space="0" w:color="auto"/>
                    <w:bottom w:val="none" w:sz="0" w:space="0" w:color="auto"/>
                    <w:right w:val="none" w:sz="0" w:space="0" w:color="auto"/>
                  </w:divBdr>
                  <w:divsChild>
                    <w:div w:id="2076925194">
                      <w:marLeft w:val="0"/>
                      <w:marRight w:val="0"/>
                      <w:marTop w:val="0"/>
                      <w:marBottom w:val="0"/>
                      <w:divBdr>
                        <w:top w:val="none" w:sz="0" w:space="0" w:color="auto"/>
                        <w:left w:val="none" w:sz="0" w:space="0" w:color="auto"/>
                        <w:bottom w:val="none" w:sz="0" w:space="0" w:color="auto"/>
                        <w:right w:val="none" w:sz="0" w:space="0" w:color="auto"/>
                      </w:divBdr>
                      <w:divsChild>
                        <w:div w:id="1287547741">
                          <w:marLeft w:val="0"/>
                          <w:marRight w:val="0"/>
                          <w:marTop w:val="0"/>
                          <w:marBottom w:val="0"/>
                          <w:divBdr>
                            <w:top w:val="none" w:sz="0" w:space="0" w:color="auto"/>
                            <w:left w:val="none" w:sz="0" w:space="0" w:color="auto"/>
                            <w:bottom w:val="none" w:sz="0" w:space="0" w:color="auto"/>
                            <w:right w:val="none" w:sz="0" w:space="0" w:color="auto"/>
                          </w:divBdr>
                          <w:divsChild>
                            <w:div w:id="600844399">
                              <w:marLeft w:val="0"/>
                              <w:marRight w:val="0"/>
                              <w:marTop w:val="0"/>
                              <w:marBottom w:val="0"/>
                              <w:divBdr>
                                <w:top w:val="none" w:sz="0" w:space="0" w:color="auto"/>
                                <w:left w:val="none" w:sz="0" w:space="0" w:color="auto"/>
                                <w:bottom w:val="none" w:sz="0" w:space="0" w:color="auto"/>
                                <w:right w:val="none" w:sz="0" w:space="0" w:color="auto"/>
                              </w:divBdr>
                              <w:divsChild>
                                <w:div w:id="2069451249">
                                  <w:marLeft w:val="0"/>
                                  <w:marRight w:val="0"/>
                                  <w:marTop w:val="0"/>
                                  <w:marBottom w:val="0"/>
                                  <w:divBdr>
                                    <w:top w:val="none" w:sz="0" w:space="0" w:color="auto"/>
                                    <w:left w:val="none" w:sz="0" w:space="0" w:color="auto"/>
                                    <w:bottom w:val="none" w:sz="0" w:space="0" w:color="auto"/>
                                    <w:right w:val="none" w:sz="0" w:space="0" w:color="auto"/>
                                  </w:divBdr>
                                  <w:divsChild>
                                    <w:div w:id="1296569625">
                                      <w:marLeft w:val="0"/>
                                      <w:marRight w:val="0"/>
                                      <w:marTop w:val="0"/>
                                      <w:marBottom w:val="0"/>
                                      <w:divBdr>
                                        <w:top w:val="none" w:sz="0" w:space="0" w:color="auto"/>
                                        <w:left w:val="none" w:sz="0" w:space="0" w:color="auto"/>
                                        <w:bottom w:val="none" w:sz="0" w:space="0" w:color="auto"/>
                                        <w:right w:val="none" w:sz="0" w:space="0" w:color="auto"/>
                                      </w:divBdr>
                                      <w:divsChild>
                                        <w:div w:id="1206527117">
                                          <w:marLeft w:val="0"/>
                                          <w:marRight w:val="0"/>
                                          <w:marTop w:val="0"/>
                                          <w:marBottom w:val="0"/>
                                          <w:divBdr>
                                            <w:top w:val="none" w:sz="0" w:space="0" w:color="auto"/>
                                            <w:left w:val="none" w:sz="0" w:space="0" w:color="auto"/>
                                            <w:bottom w:val="none" w:sz="0" w:space="0" w:color="auto"/>
                                            <w:right w:val="none" w:sz="0" w:space="0" w:color="auto"/>
                                          </w:divBdr>
                                          <w:divsChild>
                                            <w:div w:id="1472212743">
                                              <w:marLeft w:val="0"/>
                                              <w:marRight w:val="0"/>
                                              <w:marTop w:val="0"/>
                                              <w:marBottom w:val="0"/>
                                              <w:divBdr>
                                                <w:top w:val="none" w:sz="0" w:space="0" w:color="auto"/>
                                                <w:left w:val="none" w:sz="0" w:space="0" w:color="auto"/>
                                                <w:bottom w:val="none" w:sz="0" w:space="0" w:color="auto"/>
                                                <w:right w:val="none" w:sz="0" w:space="0" w:color="auto"/>
                                              </w:divBdr>
                                              <w:divsChild>
                                                <w:div w:id="164515484">
                                                  <w:marLeft w:val="0"/>
                                                  <w:marRight w:val="0"/>
                                                  <w:marTop w:val="0"/>
                                                  <w:marBottom w:val="0"/>
                                                  <w:divBdr>
                                                    <w:top w:val="none" w:sz="0" w:space="0" w:color="auto"/>
                                                    <w:left w:val="none" w:sz="0" w:space="0" w:color="auto"/>
                                                    <w:bottom w:val="none" w:sz="0" w:space="0" w:color="auto"/>
                                                    <w:right w:val="none" w:sz="0" w:space="0" w:color="auto"/>
                                                  </w:divBdr>
                                                  <w:divsChild>
                                                    <w:div w:id="1903179530">
                                                      <w:marLeft w:val="0"/>
                                                      <w:marRight w:val="0"/>
                                                      <w:marTop w:val="0"/>
                                                      <w:marBottom w:val="0"/>
                                                      <w:divBdr>
                                                        <w:top w:val="none" w:sz="0" w:space="0" w:color="auto"/>
                                                        <w:left w:val="none" w:sz="0" w:space="0" w:color="auto"/>
                                                        <w:bottom w:val="none" w:sz="0" w:space="0" w:color="auto"/>
                                                        <w:right w:val="none" w:sz="0" w:space="0" w:color="auto"/>
                                                      </w:divBdr>
                                                      <w:divsChild>
                                                        <w:div w:id="957444310">
                                                          <w:marLeft w:val="0"/>
                                                          <w:marRight w:val="0"/>
                                                          <w:marTop w:val="0"/>
                                                          <w:marBottom w:val="0"/>
                                                          <w:divBdr>
                                                            <w:top w:val="none" w:sz="0" w:space="0" w:color="auto"/>
                                                            <w:left w:val="none" w:sz="0" w:space="0" w:color="auto"/>
                                                            <w:bottom w:val="none" w:sz="0" w:space="0" w:color="auto"/>
                                                            <w:right w:val="none" w:sz="0" w:space="0" w:color="auto"/>
                                                          </w:divBdr>
                                                          <w:divsChild>
                                                            <w:div w:id="1598519052">
                                                              <w:marLeft w:val="0"/>
                                                              <w:marRight w:val="0"/>
                                                              <w:marTop w:val="0"/>
                                                              <w:marBottom w:val="0"/>
                                                              <w:divBdr>
                                                                <w:top w:val="none" w:sz="0" w:space="0" w:color="auto"/>
                                                                <w:left w:val="none" w:sz="0" w:space="0" w:color="auto"/>
                                                                <w:bottom w:val="none" w:sz="0" w:space="0" w:color="auto"/>
                                                                <w:right w:val="none" w:sz="0" w:space="0" w:color="auto"/>
                                                              </w:divBdr>
                                                              <w:divsChild>
                                                                <w:div w:id="1523741890">
                                                                  <w:marLeft w:val="0"/>
                                                                  <w:marRight w:val="0"/>
                                                                  <w:marTop w:val="0"/>
                                                                  <w:marBottom w:val="0"/>
                                                                  <w:divBdr>
                                                                    <w:top w:val="none" w:sz="0" w:space="0" w:color="auto"/>
                                                                    <w:left w:val="none" w:sz="0" w:space="0" w:color="auto"/>
                                                                    <w:bottom w:val="none" w:sz="0" w:space="0" w:color="auto"/>
                                                                    <w:right w:val="none" w:sz="0" w:space="0" w:color="auto"/>
                                                                  </w:divBdr>
                                                                  <w:divsChild>
                                                                    <w:div w:id="687489004">
                                                                      <w:marLeft w:val="0"/>
                                                                      <w:marRight w:val="0"/>
                                                                      <w:marTop w:val="0"/>
                                                                      <w:marBottom w:val="0"/>
                                                                      <w:divBdr>
                                                                        <w:top w:val="none" w:sz="0" w:space="0" w:color="auto"/>
                                                                        <w:left w:val="none" w:sz="0" w:space="0" w:color="auto"/>
                                                                        <w:bottom w:val="none" w:sz="0" w:space="0" w:color="auto"/>
                                                                        <w:right w:val="none" w:sz="0" w:space="0" w:color="auto"/>
                                                                      </w:divBdr>
                                                                    </w:div>
                                                                    <w:div w:id="1575432538">
                                                                      <w:marLeft w:val="0"/>
                                                                      <w:marRight w:val="0"/>
                                                                      <w:marTop w:val="0"/>
                                                                      <w:marBottom w:val="0"/>
                                                                      <w:divBdr>
                                                                        <w:top w:val="none" w:sz="0" w:space="0" w:color="auto"/>
                                                                        <w:left w:val="none" w:sz="0" w:space="0" w:color="auto"/>
                                                                        <w:bottom w:val="none" w:sz="0" w:space="0" w:color="auto"/>
                                                                        <w:right w:val="none" w:sz="0" w:space="0" w:color="auto"/>
                                                                      </w:divBdr>
                                                                      <w:divsChild>
                                                                        <w:div w:id="1427730492">
                                                                          <w:marLeft w:val="0"/>
                                                                          <w:marRight w:val="0"/>
                                                                          <w:marTop w:val="0"/>
                                                                          <w:marBottom w:val="0"/>
                                                                          <w:divBdr>
                                                                            <w:top w:val="none" w:sz="0" w:space="0" w:color="auto"/>
                                                                            <w:left w:val="none" w:sz="0" w:space="0" w:color="auto"/>
                                                                            <w:bottom w:val="none" w:sz="0" w:space="0" w:color="auto"/>
                                                                            <w:right w:val="none" w:sz="0" w:space="0" w:color="auto"/>
                                                                          </w:divBdr>
                                                                          <w:divsChild>
                                                                            <w:div w:id="723330533">
                                                                              <w:marLeft w:val="0"/>
                                                                              <w:marRight w:val="0"/>
                                                                              <w:marTop w:val="0"/>
                                                                              <w:marBottom w:val="0"/>
                                                                              <w:divBdr>
                                                                                <w:top w:val="none" w:sz="0" w:space="0" w:color="auto"/>
                                                                                <w:left w:val="none" w:sz="0" w:space="0" w:color="auto"/>
                                                                                <w:bottom w:val="none" w:sz="0" w:space="0" w:color="auto"/>
                                                                                <w:right w:val="none" w:sz="0" w:space="0" w:color="auto"/>
                                                                              </w:divBdr>
                                                                            </w:div>
                                                                            <w:div w:id="1296788358">
                                                                              <w:marLeft w:val="0"/>
                                                                              <w:marRight w:val="0"/>
                                                                              <w:marTop w:val="0"/>
                                                                              <w:marBottom w:val="0"/>
                                                                              <w:divBdr>
                                                                                <w:top w:val="none" w:sz="0" w:space="0" w:color="auto"/>
                                                                                <w:left w:val="none" w:sz="0" w:space="0" w:color="auto"/>
                                                                                <w:bottom w:val="none" w:sz="0" w:space="0" w:color="auto"/>
                                                                                <w:right w:val="none" w:sz="0" w:space="0" w:color="auto"/>
                                                                              </w:divBdr>
                                                                            </w:div>
                                                                          </w:divsChild>
                                                                        </w:div>
                                                                        <w:div w:id="1495299322">
                                                                          <w:marLeft w:val="0"/>
                                                                          <w:marRight w:val="0"/>
                                                                          <w:marTop w:val="0"/>
                                                                          <w:marBottom w:val="0"/>
                                                                          <w:divBdr>
                                                                            <w:top w:val="none" w:sz="0" w:space="0" w:color="auto"/>
                                                                            <w:left w:val="none" w:sz="0" w:space="0" w:color="auto"/>
                                                                            <w:bottom w:val="none" w:sz="0" w:space="0" w:color="auto"/>
                                                                            <w:right w:val="none" w:sz="0" w:space="0" w:color="auto"/>
                                                                          </w:divBdr>
                                                                          <w:divsChild>
                                                                            <w:div w:id="377049580">
                                                                              <w:marLeft w:val="0"/>
                                                                              <w:marRight w:val="0"/>
                                                                              <w:marTop w:val="0"/>
                                                                              <w:marBottom w:val="0"/>
                                                                              <w:divBdr>
                                                                                <w:top w:val="none" w:sz="0" w:space="0" w:color="auto"/>
                                                                                <w:left w:val="none" w:sz="0" w:space="0" w:color="auto"/>
                                                                                <w:bottom w:val="none" w:sz="0" w:space="0" w:color="auto"/>
                                                                                <w:right w:val="none" w:sz="0" w:space="0" w:color="auto"/>
                                                                              </w:divBdr>
                                                                            </w:div>
                                                                            <w:div w:id="129698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545166">
      <w:bodyDiv w:val="1"/>
      <w:marLeft w:val="0"/>
      <w:marRight w:val="0"/>
      <w:marTop w:val="0"/>
      <w:marBottom w:val="0"/>
      <w:divBdr>
        <w:top w:val="none" w:sz="0" w:space="0" w:color="auto"/>
        <w:left w:val="none" w:sz="0" w:space="0" w:color="auto"/>
        <w:bottom w:val="none" w:sz="0" w:space="0" w:color="auto"/>
        <w:right w:val="none" w:sz="0" w:space="0" w:color="auto"/>
      </w:divBdr>
    </w:div>
    <w:div w:id="122424508">
      <w:bodyDiv w:val="1"/>
      <w:marLeft w:val="0"/>
      <w:marRight w:val="0"/>
      <w:marTop w:val="0"/>
      <w:marBottom w:val="0"/>
      <w:divBdr>
        <w:top w:val="none" w:sz="0" w:space="0" w:color="auto"/>
        <w:left w:val="none" w:sz="0" w:space="0" w:color="auto"/>
        <w:bottom w:val="none" w:sz="0" w:space="0" w:color="auto"/>
        <w:right w:val="none" w:sz="0" w:space="0" w:color="auto"/>
      </w:divBdr>
      <w:divsChild>
        <w:div w:id="1136727865">
          <w:marLeft w:val="0"/>
          <w:marRight w:val="0"/>
          <w:marTop w:val="0"/>
          <w:marBottom w:val="0"/>
          <w:divBdr>
            <w:top w:val="none" w:sz="0" w:space="0" w:color="auto"/>
            <w:left w:val="none" w:sz="0" w:space="0" w:color="auto"/>
            <w:bottom w:val="none" w:sz="0" w:space="0" w:color="auto"/>
            <w:right w:val="none" w:sz="0" w:space="0" w:color="auto"/>
          </w:divBdr>
          <w:divsChild>
            <w:div w:id="1614165274">
              <w:marLeft w:val="0"/>
              <w:marRight w:val="0"/>
              <w:marTop w:val="0"/>
              <w:marBottom w:val="0"/>
              <w:divBdr>
                <w:top w:val="none" w:sz="0" w:space="0" w:color="auto"/>
                <w:left w:val="none" w:sz="0" w:space="0" w:color="auto"/>
                <w:bottom w:val="none" w:sz="0" w:space="0" w:color="auto"/>
                <w:right w:val="none" w:sz="0" w:space="0" w:color="auto"/>
              </w:divBdr>
              <w:divsChild>
                <w:div w:id="2056151710">
                  <w:marLeft w:val="0"/>
                  <w:marRight w:val="0"/>
                  <w:marTop w:val="0"/>
                  <w:marBottom w:val="0"/>
                  <w:divBdr>
                    <w:top w:val="none" w:sz="0" w:space="0" w:color="auto"/>
                    <w:left w:val="none" w:sz="0" w:space="0" w:color="auto"/>
                    <w:bottom w:val="none" w:sz="0" w:space="0" w:color="auto"/>
                    <w:right w:val="none" w:sz="0" w:space="0" w:color="auto"/>
                  </w:divBdr>
                  <w:divsChild>
                    <w:div w:id="1628923844">
                      <w:marLeft w:val="0"/>
                      <w:marRight w:val="0"/>
                      <w:marTop w:val="0"/>
                      <w:marBottom w:val="0"/>
                      <w:divBdr>
                        <w:top w:val="none" w:sz="0" w:space="0" w:color="auto"/>
                        <w:left w:val="none" w:sz="0" w:space="0" w:color="auto"/>
                        <w:bottom w:val="none" w:sz="0" w:space="0" w:color="auto"/>
                        <w:right w:val="none" w:sz="0" w:space="0" w:color="auto"/>
                      </w:divBdr>
                      <w:divsChild>
                        <w:div w:id="1894802648">
                          <w:marLeft w:val="0"/>
                          <w:marRight w:val="0"/>
                          <w:marTop w:val="0"/>
                          <w:marBottom w:val="0"/>
                          <w:divBdr>
                            <w:top w:val="single" w:sz="6" w:space="0" w:color="828282"/>
                            <w:left w:val="single" w:sz="6" w:space="0" w:color="828282"/>
                            <w:bottom w:val="single" w:sz="6" w:space="0" w:color="828282"/>
                            <w:right w:val="single" w:sz="6" w:space="0" w:color="828282"/>
                          </w:divBdr>
                          <w:divsChild>
                            <w:div w:id="1793091637">
                              <w:marLeft w:val="0"/>
                              <w:marRight w:val="0"/>
                              <w:marTop w:val="0"/>
                              <w:marBottom w:val="0"/>
                              <w:divBdr>
                                <w:top w:val="none" w:sz="0" w:space="0" w:color="auto"/>
                                <w:left w:val="none" w:sz="0" w:space="0" w:color="auto"/>
                                <w:bottom w:val="none" w:sz="0" w:space="0" w:color="auto"/>
                                <w:right w:val="none" w:sz="0" w:space="0" w:color="auto"/>
                              </w:divBdr>
                              <w:divsChild>
                                <w:div w:id="1027289608">
                                  <w:marLeft w:val="0"/>
                                  <w:marRight w:val="0"/>
                                  <w:marTop w:val="0"/>
                                  <w:marBottom w:val="0"/>
                                  <w:divBdr>
                                    <w:top w:val="none" w:sz="0" w:space="0" w:color="auto"/>
                                    <w:left w:val="none" w:sz="0" w:space="0" w:color="auto"/>
                                    <w:bottom w:val="none" w:sz="0" w:space="0" w:color="auto"/>
                                    <w:right w:val="none" w:sz="0" w:space="0" w:color="auto"/>
                                  </w:divBdr>
                                  <w:divsChild>
                                    <w:div w:id="1013259704">
                                      <w:marLeft w:val="0"/>
                                      <w:marRight w:val="0"/>
                                      <w:marTop w:val="0"/>
                                      <w:marBottom w:val="0"/>
                                      <w:divBdr>
                                        <w:top w:val="none" w:sz="0" w:space="0" w:color="auto"/>
                                        <w:left w:val="none" w:sz="0" w:space="0" w:color="auto"/>
                                        <w:bottom w:val="none" w:sz="0" w:space="0" w:color="auto"/>
                                        <w:right w:val="none" w:sz="0" w:space="0" w:color="auto"/>
                                      </w:divBdr>
                                      <w:divsChild>
                                        <w:div w:id="1000621142">
                                          <w:marLeft w:val="0"/>
                                          <w:marRight w:val="0"/>
                                          <w:marTop w:val="0"/>
                                          <w:marBottom w:val="0"/>
                                          <w:divBdr>
                                            <w:top w:val="none" w:sz="0" w:space="0" w:color="auto"/>
                                            <w:left w:val="none" w:sz="0" w:space="0" w:color="auto"/>
                                            <w:bottom w:val="none" w:sz="0" w:space="0" w:color="auto"/>
                                            <w:right w:val="none" w:sz="0" w:space="0" w:color="auto"/>
                                          </w:divBdr>
                                          <w:divsChild>
                                            <w:div w:id="190270301">
                                              <w:marLeft w:val="0"/>
                                              <w:marRight w:val="0"/>
                                              <w:marTop w:val="0"/>
                                              <w:marBottom w:val="0"/>
                                              <w:divBdr>
                                                <w:top w:val="none" w:sz="0" w:space="0" w:color="auto"/>
                                                <w:left w:val="none" w:sz="0" w:space="0" w:color="auto"/>
                                                <w:bottom w:val="none" w:sz="0" w:space="0" w:color="auto"/>
                                                <w:right w:val="none" w:sz="0" w:space="0" w:color="auto"/>
                                              </w:divBdr>
                                              <w:divsChild>
                                                <w:div w:id="6196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20603">
      <w:bodyDiv w:val="1"/>
      <w:marLeft w:val="0"/>
      <w:marRight w:val="0"/>
      <w:marTop w:val="0"/>
      <w:marBottom w:val="0"/>
      <w:divBdr>
        <w:top w:val="none" w:sz="0" w:space="0" w:color="auto"/>
        <w:left w:val="none" w:sz="0" w:space="0" w:color="auto"/>
        <w:bottom w:val="none" w:sz="0" w:space="0" w:color="auto"/>
        <w:right w:val="none" w:sz="0" w:space="0" w:color="auto"/>
      </w:divBdr>
      <w:divsChild>
        <w:div w:id="2091996470">
          <w:marLeft w:val="0"/>
          <w:marRight w:val="0"/>
          <w:marTop w:val="0"/>
          <w:marBottom w:val="0"/>
          <w:divBdr>
            <w:top w:val="none" w:sz="0" w:space="0" w:color="auto"/>
            <w:left w:val="none" w:sz="0" w:space="0" w:color="auto"/>
            <w:bottom w:val="none" w:sz="0" w:space="0" w:color="auto"/>
            <w:right w:val="none" w:sz="0" w:space="0" w:color="auto"/>
          </w:divBdr>
          <w:divsChild>
            <w:div w:id="872111174">
              <w:marLeft w:val="0"/>
              <w:marRight w:val="0"/>
              <w:marTop w:val="0"/>
              <w:marBottom w:val="0"/>
              <w:divBdr>
                <w:top w:val="none" w:sz="0" w:space="0" w:color="auto"/>
                <w:left w:val="none" w:sz="0" w:space="0" w:color="auto"/>
                <w:bottom w:val="none" w:sz="0" w:space="0" w:color="auto"/>
                <w:right w:val="none" w:sz="0" w:space="0" w:color="auto"/>
              </w:divBdr>
              <w:divsChild>
                <w:div w:id="1846089998">
                  <w:marLeft w:val="0"/>
                  <w:marRight w:val="0"/>
                  <w:marTop w:val="0"/>
                  <w:marBottom w:val="0"/>
                  <w:divBdr>
                    <w:top w:val="none" w:sz="0" w:space="0" w:color="auto"/>
                    <w:left w:val="none" w:sz="0" w:space="0" w:color="auto"/>
                    <w:bottom w:val="none" w:sz="0" w:space="0" w:color="auto"/>
                    <w:right w:val="none" w:sz="0" w:space="0" w:color="auto"/>
                  </w:divBdr>
                  <w:divsChild>
                    <w:div w:id="506793037">
                      <w:marLeft w:val="0"/>
                      <w:marRight w:val="0"/>
                      <w:marTop w:val="0"/>
                      <w:marBottom w:val="0"/>
                      <w:divBdr>
                        <w:top w:val="none" w:sz="0" w:space="0" w:color="auto"/>
                        <w:left w:val="none" w:sz="0" w:space="0" w:color="auto"/>
                        <w:bottom w:val="none" w:sz="0" w:space="0" w:color="auto"/>
                        <w:right w:val="none" w:sz="0" w:space="0" w:color="auto"/>
                      </w:divBdr>
                      <w:divsChild>
                        <w:div w:id="563101825">
                          <w:marLeft w:val="0"/>
                          <w:marRight w:val="0"/>
                          <w:marTop w:val="0"/>
                          <w:marBottom w:val="0"/>
                          <w:divBdr>
                            <w:top w:val="single" w:sz="6" w:space="0" w:color="828282"/>
                            <w:left w:val="single" w:sz="6" w:space="0" w:color="828282"/>
                            <w:bottom w:val="single" w:sz="6" w:space="0" w:color="828282"/>
                            <w:right w:val="single" w:sz="6" w:space="0" w:color="828282"/>
                          </w:divBdr>
                          <w:divsChild>
                            <w:div w:id="186331190">
                              <w:marLeft w:val="0"/>
                              <w:marRight w:val="0"/>
                              <w:marTop w:val="0"/>
                              <w:marBottom w:val="0"/>
                              <w:divBdr>
                                <w:top w:val="none" w:sz="0" w:space="0" w:color="auto"/>
                                <w:left w:val="none" w:sz="0" w:space="0" w:color="auto"/>
                                <w:bottom w:val="none" w:sz="0" w:space="0" w:color="auto"/>
                                <w:right w:val="none" w:sz="0" w:space="0" w:color="auto"/>
                              </w:divBdr>
                              <w:divsChild>
                                <w:div w:id="1094473377">
                                  <w:marLeft w:val="0"/>
                                  <w:marRight w:val="0"/>
                                  <w:marTop w:val="0"/>
                                  <w:marBottom w:val="0"/>
                                  <w:divBdr>
                                    <w:top w:val="none" w:sz="0" w:space="0" w:color="auto"/>
                                    <w:left w:val="none" w:sz="0" w:space="0" w:color="auto"/>
                                    <w:bottom w:val="none" w:sz="0" w:space="0" w:color="auto"/>
                                    <w:right w:val="none" w:sz="0" w:space="0" w:color="auto"/>
                                  </w:divBdr>
                                  <w:divsChild>
                                    <w:div w:id="1180388142">
                                      <w:marLeft w:val="0"/>
                                      <w:marRight w:val="0"/>
                                      <w:marTop w:val="0"/>
                                      <w:marBottom w:val="0"/>
                                      <w:divBdr>
                                        <w:top w:val="none" w:sz="0" w:space="0" w:color="auto"/>
                                        <w:left w:val="none" w:sz="0" w:space="0" w:color="auto"/>
                                        <w:bottom w:val="none" w:sz="0" w:space="0" w:color="auto"/>
                                        <w:right w:val="none" w:sz="0" w:space="0" w:color="auto"/>
                                      </w:divBdr>
                                      <w:divsChild>
                                        <w:div w:id="1607925995">
                                          <w:marLeft w:val="0"/>
                                          <w:marRight w:val="0"/>
                                          <w:marTop w:val="0"/>
                                          <w:marBottom w:val="0"/>
                                          <w:divBdr>
                                            <w:top w:val="none" w:sz="0" w:space="0" w:color="auto"/>
                                            <w:left w:val="none" w:sz="0" w:space="0" w:color="auto"/>
                                            <w:bottom w:val="none" w:sz="0" w:space="0" w:color="auto"/>
                                            <w:right w:val="none" w:sz="0" w:space="0" w:color="auto"/>
                                          </w:divBdr>
                                          <w:divsChild>
                                            <w:div w:id="1945111498">
                                              <w:marLeft w:val="0"/>
                                              <w:marRight w:val="0"/>
                                              <w:marTop w:val="0"/>
                                              <w:marBottom w:val="0"/>
                                              <w:divBdr>
                                                <w:top w:val="none" w:sz="0" w:space="0" w:color="auto"/>
                                                <w:left w:val="none" w:sz="0" w:space="0" w:color="auto"/>
                                                <w:bottom w:val="none" w:sz="0" w:space="0" w:color="auto"/>
                                                <w:right w:val="none" w:sz="0" w:space="0" w:color="auto"/>
                                              </w:divBdr>
                                              <w:divsChild>
                                                <w:div w:id="204782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833018">
      <w:bodyDiv w:val="1"/>
      <w:marLeft w:val="0"/>
      <w:marRight w:val="0"/>
      <w:marTop w:val="0"/>
      <w:marBottom w:val="0"/>
      <w:divBdr>
        <w:top w:val="none" w:sz="0" w:space="0" w:color="auto"/>
        <w:left w:val="none" w:sz="0" w:space="0" w:color="auto"/>
        <w:bottom w:val="none" w:sz="0" w:space="0" w:color="auto"/>
        <w:right w:val="none" w:sz="0" w:space="0" w:color="auto"/>
      </w:divBdr>
      <w:divsChild>
        <w:div w:id="1111247127">
          <w:marLeft w:val="0"/>
          <w:marRight w:val="0"/>
          <w:marTop w:val="0"/>
          <w:marBottom w:val="0"/>
          <w:divBdr>
            <w:top w:val="none" w:sz="0" w:space="0" w:color="auto"/>
            <w:left w:val="none" w:sz="0" w:space="0" w:color="auto"/>
            <w:bottom w:val="none" w:sz="0" w:space="0" w:color="auto"/>
            <w:right w:val="none" w:sz="0" w:space="0" w:color="auto"/>
          </w:divBdr>
          <w:divsChild>
            <w:div w:id="1569609993">
              <w:marLeft w:val="0"/>
              <w:marRight w:val="0"/>
              <w:marTop w:val="0"/>
              <w:marBottom w:val="0"/>
              <w:divBdr>
                <w:top w:val="none" w:sz="0" w:space="0" w:color="auto"/>
                <w:left w:val="none" w:sz="0" w:space="0" w:color="auto"/>
                <w:bottom w:val="none" w:sz="0" w:space="0" w:color="auto"/>
                <w:right w:val="none" w:sz="0" w:space="0" w:color="auto"/>
              </w:divBdr>
              <w:divsChild>
                <w:div w:id="489370173">
                  <w:marLeft w:val="60"/>
                  <w:marRight w:val="0"/>
                  <w:marTop w:val="0"/>
                  <w:marBottom w:val="45"/>
                  <w:divBdr>
                    <w:top w:val="none" w:sz="0" w:space="0" w:color="auto"/>
                    <w:left w:val="none" w:sz="0" w:space="0" w:color="auto"/>
                    <w:bottom w:val="none" w:sz="0" w:space="0" w:color="auto"/>
                    <w:right w:val="none" w:sz="0" w:space="0" w:color="auto"/>
                  </w:divBdr>
                  <w:divsChild>
                    <w:div w:id="358316952">
                      <w:marLeft w:val="1500"/>
                      <w:marRight w:val="0"/>
                      <w:marTop w:val="0"/>
                      <w:marBottom w:val="0"/>
                      <w:divBdr>
                        <w:top w:val="none" w:sz="0" w:space="0" w:color="auto"/>
                        <w:left w:val="none" w:sz="0" w:space="0" w:color="auto"/>
                        <w:bottom w:val="none" w:sz="0" w:space="0" w:color="auto"/>
                        <w:right w:val="none" w:sz="0" w:space="0" w:color="auto"/>
                      </w:divBdr>
                    </w:div>
                    <w:div w:id="64994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00693">
      <w:bodyDiv w:val="1"/>
      <w:marLeft w:val="0"/>
      <w:marRight w:val="0"/>
      <w:marTop w:val="0"/>
      <w:marBottom w:val="0"/>
      <w:divBdr>
        <w:top w:val="none" w:sz="0" w:space="0" w:color="auto"/>
        <w:left w:val="none" w:sz="0" w:space="0" w:color="auto"/>
        <w:bottom w:val="none" w:sz="0" w:space="0" w:color="auto"/>
        <w:right w:val="none" w:sz="0" w:space="0" w:color="auto"/>
      </w:divBdr>
      <w:divsChild>
        <w:div w:id="856040537">
          <w:marLeft w:val="0"/>
          <w:marRight w:val="0"/>
          <w:marTop w:val="0"/>
          <w:marBottom w:val="0"/>
          <w:divBdr>
            <w:top w:val="none" w:sz="0" w:space="0" w:color="auto"/>
            <w:left w:val="none" w:sz="0" w:space="0" w:color="auto"/>
            <w:bottom w:val="none" w:sz="0" w:space="0" w:color="auto"/>
            <w:right w:val="none" w:sz="0" w:space="0" w:color="auto"/>
          </w:divBdr>
          <w:divsChild>
            <w:div w:id="1297762737">
              <w:marLeft w:val="0"/>
              <w:marRight w:val="0"/>
              <w:marTop w:val="0"/>
              <w:marBottom w:val="0"/>
              <w:divBdr>
                <w:top w:val="none" w:sz="0" w:space="0" w:color="auto"/>
                <w:left w:val="none" w:sz="0" w:space="0" w:color="auto"/>
                <w:bottom w:val="none" w:sz="0" w:space="0" w:color="auto"/>
                <w:right w:val="none" w:sz="0" w:space="0" w:color="auto"/>
              </w:divBdr>
              <w:divsChild>
                <w:div w:id="528569672">
                  <w:marLeft w:val="0"/>
                  <w:marRight w:val="0"/>
                  <w:marTop w:val="0"/>
                  <w:marBottom w:val="0"/>
                  <w:divBdr>
                    <w:top w:val="none" w:sz="0" w:space="0" w:color="auto"/>
                    <w:left w:val="none" w:sz="0" w:space="0" w:color="auto"/>
                    <w:bottom w:val="none" w:sz="0" w:space="0" w:color="auto"/>
                    <w:right w:val="none" w:sz="0" w:space="0" w:color="auto"/>
                  </w:divBdr>
                  <w:divsChild>
                    <w:div w:id="258368239">
                      <w:marLeft w:val="0"/>
                      <w:marRight w:val="0"/>
                      <w:marTop w:val="0"/>
                      <w:marBottom w:val="0"/>
                      <w:divBdr>
                        <w:top w:val="none" w:sz="0" w:space="0" w:color="auto"/>
                        <w:left w:val="none" w:sz="0" w:space="0" w:color="auto"/>
                        <w:bottom w:val="none" w:sz="0" w:space="0" w:color="auto"/>
                        <w:right w:val="none" w:sz="0" w:space="0" w:color="auto"/>
                      </w:divBdr>
                      <w:divsChild>
                        <w:div w:id="1132557834">
                          <w:marLeft w:val="0"/>
                          <w:marRight w:val="0"/>
                          <w:marTop w:val="0"/>
                          <w:marBottom w:val="0"/>
                          <w:divBdr>
                            <w:top w:val="single" w:sz="6" w:space="0" w:color="828282"/>
                            <w:left w:val="single" w:sz="6" w:space="0" w:color="828282"/>
                            <w:bottom w:val="single" w:sz="6" w:space="0" w:color="828282"/>
                            <w:right w:val="single" w:sz="6" w:space="0" w:color="828282"/>
                          </w:divBdr>
                          <w:divsChild>
                            <w:div w:id="2064913481">
                              <w:marLeft w:val="0"/>
                              <w:marRight w:val="0"/>
                              <w:marTop w:val="0"/>
                              <w:marBottom w:val="0"/>
                              <w:divBdr>
                                <w:top w:val="none" w:sz="0" w:space="0" w:color="auto"/>
                                <w:left w:val="none" w:sz="0" w:space="0" w:color="auto"/>
                                <w:bottom w:val="none" w:sz="0" w:space="0" w:color="auto"/>
                                <w:right w:val="none" w:sz="0" w:space="0" w:color="auto"/>
                              </w:divBdr>
                              <w:divsChild>
                                <w:div w:id="615913297">
                                  <w:marLeft w:val="0"/>
                                  <w:marRight w:val="0"/>
                                  <w:marTop w:val="0"/>
                                  <w:marBottom w:val="0"/>
                                  <w:divBdr>
                                    <w:top w:val="none" w:sz="0" w:space="0" w:color="auto"/>
                                    <w:left w:val="none" w:sz="0" w:space="0" w:color="auto"/>
                                    <w:bottom w:val="none" w:sz="0" w:space="0" w:color="auto"/>
                                    <w:right w:val="none" w:sz="0" w:space="0" w:color="auto"/>
                                  </w:divBdr>
                                  <w:divsChild>
                                    <w:div w:id="1851791072">
                                      <w:marLeft w:val="0"/>
                                      <w:marRight w:val="0"/>
                                      <w:marTop w:val="0"/>
                                      <w:marBottom w:val="0"/>
                                      <w:divBdr>
                                        <w:top w:val="none" w:sz="0" w:space="0" w:color="auto"/>
                                        <w:left w:val="none" w:sz="0" w:space="0" w:color="auto"/>
                                        <w:bottom w:val="none" w:sz="0" w:space="0" w:color="auto"/>
                                        <w:right w:val="none" w:sz="0" w:space="0" w:color="auto"/>
                                      </w:divBdr>
                                      <w:divsChild>
                                        <w:div w:id="1014380677">
                                          <w:marLeft w:val="0"/>
                                          <w:marRight w:val="0"/>
                                          <w:marTop w:val="0"/>
                                          <w:marBottom w:val="0"/>
                                          <w:divBdr>
                                            <w:top w:val="none" w:sz="0" w:space="0" w:color="auto"/>
                                            <w:left w:val="none" w:sz="0" w:space="0" w:color="auto"/>
                                            <w:bottom w:val="none" w:sz="0" w:space="0" w:color="auto"/>
                                            <w:right w:val="none" w:sz="0" w:space="0" w:color="auto"/>
                                          </w:divBdr>
                                          <w:divsChild>
                                            <w:div w:id="477842165">
                                              <w:marLeft w:val="0"/>
                                              <w:marRight w:val="0"/>
                                              <w:marTop w:val="0"/>
                                              <w:marBottom w:val="0"/>
                                              <w:divBdr>
                                                <w:top w:val="none" w:sz="0" w:space="0" w:color="auto"/>
                                                <w:left w:val="none" w:sz="0" w:space="0" w:color="auto"/>
                                                <w:bottom w:val="none" w:sz="0" w:space="0" w:color="auto"/>
                                                <w:right w:val="none" w:sz="0" w:space="0" w:color="auto"/>
                                              </w:divBdr>
                                              <w:divsChild>
                                                <w:div w:id="136552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740302">
      <w:bodyDiv w:val="1"/>
      <w:marLeft w:val="0"/>
      <w:marRight w:val="0"/>
      <w:marTop w:val="0"/>
      <w:marBottom w:val="0"/>
      <w:divBdr>
        <w:top w:val="none" w:sz="0" w:space="0" w:color="auto"/>
        <w:left w:val="none" w:sz="0" w:space="0" w:color="auto"/>
        <w:bottom w:val="none" w:sz="0" w:space="0" w:color="auto"/>
        <w:right w:val="none" w:sz="0" w:space="0" w:color="auto"/>
      </w:divBdr>
      <w:divsChild>
        <w:div w:id="44450914">
          <w:marLeft w:val="0"/>
          <w:marRight w:val="0"/>
          <w:marTop w:val="0"/>
          <w:marBottom w:val="0"/>
          <w:divBdr>
            <w:top w:val="none" w:sz="0" w:space="0" w:color="auto"/>
            <w:left w:val="none" w:sz="0" w:space="0" w:color="auto"/>
            <w:bottom w:val="none" w:sz="0" w:space="0" w:color="auto"/>
            <w:right w:val="none" w:sz="0" w:space="0" w:color="auto"/>
          </w:divBdr>
          <w:divsChild>
            <w:div w:id="147719986">
              <w:marLeft w:val="0"/>
              <w:marRight w:val="0"/>
              <w:marTop w:val="0"/>
              <w:marBottom w:val="0"/>
              <w:divBdr>
                <w:top w:val="none" w:sz="0" w:space="0" w:color="auto"/>
                <w:left w:val="none" w:sz="0" w:space="0" w:color="auto"/>
                <w:bottom w:val="none" w:sz="0" w:space="0" w:color="auto"/>
                <w:right w:val="none" w:sz="0" w:space="0" w:color="auto"/>
              </w:divBdr>
              <w:divsChild>
                <w:div w:id="256989878">
                  <w:marLeft w:val="0"/>
                  <w:marRight w:val="0"/>
                  <w:marTop w:val="0"/>
                  <w:marBottom w:val="0"/>
                  <w:divBdr>
                    <w:top w:val="none" w:sz="0" w:space="0" w:color="auto"/>
                    <w:left w:val="none" w:sz="0" w:space="0" w:color="auto"/>
                    <w:bottom w:val="none" w:sz="0" w:space="0" w:color="auto"/>
                    <w:right w:val="none" w:sz="0" w:space="0" w:color="auto"/>
                  </w:divBdr>
                  <w:divsChild>
                    <w:div w:id="207644403">
                      <w:marLeft w:val="0"/>
                      <w:marRight w:val="0"/>
                      <w:marTop w:val="0"/>
                      <w:marBottom w:val="0"/>
                      <w:divBdr>
                        <w:top w:val="none" w:sz="0" w:space="0" w:color="auto"/>
                        <w:left w:val="none" w:sz="0" w:space="0" w:color="auto"/>
                        <w:bottom w:val="none" w:sz="0" w:space="0" w:color="auto"/>
                        <w:right w:val="none" w:sz="0" w:space="0" w:color="auto"/>
                      </w:divBdr>
                      <w:divsChild>
                        <w:div w:id="1188639144">
                          <w:marLeft w:val="0"/>
                          <w:marRight w:val="0"/>
                          <w:marTop w:val="0"/>
                          <w:marBottom w:val="0"/>
                          <w:divBdr>
                            <w:top w:val="single" w:sz="6" w:space="0" w:color="828282"/>
                            <w:left w:val="single" w:sz="6" w:space="0" w:color="828282"/>
                            <w:bottom w:val="single" w:sz="6" w:space="0" w:color="828282"/>
                            <w:right w:val="single" w:sz="6" w:space="0" w:color="828282"/>
                          </w:divBdr>
                          <w:divsChild>
                            <w:div w:id="1755348222">
                              <w:marLeft w:val="0"/>
                              <w:marRight w:val="0"/>
                              <w:marTop w:val="0"/>
                              <w:marBottom w:val="0"/>
                              <w:divBdr>
                                <w:top w:val="none" w:sz="0" w:space="0" w:color="auto"/>
                                <w:left w:val="none" w:sz="0" w:space="0" w:color="auto"/>
                                <w:bottom w:val="none" w:sz="0" w:space="0" w:color="auto"/>
                                <w:right w:val="none" w:sz="0" w:space="0" w:color="auto"/>
                              </w:divBdr>
                              <w:divsChild>
                                <w:div w:id="878660539">
                                  <w:marLeft w:val="0"/>
                                  <w:marRight w:val="0"/>
                                  <w:marTop w:val="0"/>
                                  <w:marBottom w:val="0"/>
                                  <w:divBdr>
                                    <w:top w:val="none" w:sz="0" w:space="0" w:color="auto"/>
                                    <w:left w:val="none" w:sz="0" w:space="0" w:color="auto"/>
                                    <w:bottom w:val="none" w:sz="0" w:space="0" w:color="auto"/>
                                    <w:right w:val="none" w:sz="0" w:space="0" w:color="auto"/>
                                  </w:divBdr>
                                  <w:divsChild>
                                    <w:div w:id="1756240472">
                                      <w:marLeft w:val="0"/>
                                      <w:marRight w:val="0"/>
                                      <w:marTop w:val="0"/>
                                      <w:marBottom w:val="0"/>
                                      <w:divBdr>
                                        <w:top w:val="none" w:sz="0" w:space="0" w:color="auto"/>
                                        <w:left w:val="none" w:sz="0" w:space="0" w:color="auto"/>
                                        <w:bottom w:val="none" w:sz="0" w:space="0" w:color="auto"/>
                                        <w:right w:val="none" w:sz="0" w:space="0" w:color="auto"/>
                                      </w:divBdr>
                                      <w:divsChild>
                                        <w:div w:id="1898470419">
                                          <w:marLeft w:val="0"/>
                                          <w:marRight w:val="0"/>
                                          <w:marTop w:val="0"/>
                                          <w:marBottom w:val="0"/>
                                          <w:divBdr>
                                            <w:top w:val="none" w:sz="0" w:space="0" w:color="auto"/>
                                            <w:left w:val="none" w:sz="0" w:space="0" w:color="auto"/>
                                            <w:bottom w:val="none" w:sz="0" w:space="0" w:color="auto"/>
                                            <w:right w:val="none" w:sz="0" w:space="0" w:color="auto"/>
                                          </w:divBdr>
                                          <w:divsChild>
                                            <w:div w:id="782530878">
                                              <w:marLeft w:val="0"/>
                                              <w:marRight w:val="0"/>
                                              <w:marTop w:val="0"/>
                                              <w:marBottom w:val="0"/>
                                              <w:divBdr>
                                                <w:top w:val="none" w:sz="0" w:space="0" w:color="auto"/>
                                                <w:left w:val="none" w:sz="0" w:space="0" w:color="auto"/>
                                                <w:bottom w:val="none" w:sz="0" w:space="0" w:color="auto"/>
                                                <w:right w:val="none" w:sz="0" w:space="0" w:color="auto"/>
                                              </w:divBdr>
                                              <w:divsChild>
                                                <w:div w:id="186313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569004">
      <w:bodyDiv w:val="1"/>
      <w:marLeft w:val="0"/>
      <w:marRight w:val="0"/>
      <w:marTop w:val="0"/>
      <w:marBottom w:val="0"/>
      <w:divBdr>
        <w:top w:val="none" w:sz="0" w:space="0" w:color="auto"/>
        <w:left w:val="none" w:sz="0" w:space="0" w:color="auto"/>
        <w:bottom w:val="none" w:sz="0" w:space="0" w:color="auto"/>
        <w:right w:val="none" w:sz="0" w:space="0" w:color="auto"/>
      </w:divBdr>
      <w:divsChild>
        <w:div w:id="1710303562">
          <w:marLeft w:val="0"/>
          <w:marRight w:val="0"/>
          <w:marTop w:val="0"/>
          <w:marBottom w:val="0"/>
          <w:divBdr>
            <w:top w:val="none" w:sz="0" w:space="0" w:color="auto"/>
            <w:left w:val="none" w:sz="0" w:space="0" w:color="auto"/>
            <w:bottom w:val="none" w:sz="0" w:space="0" w:color="auto"/>
            <w:right w:val="none" w:sz="0" w:space="0" w:color="auto"/>
          </w:divBdr>
          <w:divsChild>
            <w:div w:id="1875999265">
              <w:marLeft w:val="0"/>
              <w:marRight w:val="0"/>
              <w:marTop w:val="0"/>
              <w:marBottom w:val="0"/>
              <w:divBdr>
                <w:top w:val="none" w:sz="0" w:space="0" w:color="auto"/>
                <w:left w:val="none" w:sz="0" w:space="0" w:color="auto"/>
                <w:bottom w:val="none" w:sz="0" w:space="0" w:color="auto"/>
                <w:right w:val="none" w:sz="0" w:space="0" w:color="auto"/>
              </w:divBdr>
              <w:divsChild>
                <w:div w:id="189344500">
                  <w:marLeft w:val="0"/>
                  <w:marRight w:val="0"/>
                  <w:marTop w:val="0"/>
                  <w:marBottom w:val="0"/>
                  <w:divBdr>
                    <w:top w:val="none" w:sz="0" w:space="0" w:color="auto"/>
                    <w:left w:val="none" w:sz="0" w:space="0" w:color="auto"/>
                    <w:bottom w:val="none" w:sz="0" w:space="0" w:color="auto"/>
                    <w:right w:val="none" w:sz="0" w:space="0" w:color="auto"/>
                  </w:divBdr>
                  <w:divsChild>
                    <w:div w:id="786003670">
                      <w:marLeft w:val="0"/>
                      <w:marRight w:val="0"/>
                      <w:marTop w:val="0"/>
                      <w:marBottom w:val="0"/>
                      <w:divBdr>
                        <w:top w:val="none" w:sz="0" w:space="0" w:color="auto"/>
                        <w:left w:val="none" w:sz="0" w:space="0" w:color="auto"/>
                        <w:bottom w:val="none" w:sz="0" w:space="0" w:color="auto"/>
                        <w:right w:val="none" w:sz="0" w:space="0" w:color="auto"/>
                      </w:divBdr>
                      <w:divsChild>
                        <w:div w:id="1383404893">
                          <w:marLeft w:val="0"/>
                          <w:marRight w:val="0"/>
                          <w:marTop w:val="0"/>
                          <w:marBottom w:val="0"/>
                          <w:divBdr>
                            <w:top w:val="single" w:sz="6" w:space="0" w:color="828282"/>
                            <w:left w:val="single" w:sz="6" w:space="0" w:color="828282"/>
                            <w:bottom w:val="single" w:sz="6" w:space="0" w:color="828282"/>
                            <w:right w:val="single" w:sz="6" w:space="0" w:color="828282"/>
                          </w:divBdr>
                          <w:divsChild>
                            <w:div w:id="1319069338">
                              <w:marLeft w:val="0"/>
                              <w:marRight w:val="0"/>
                              <w:marTop w:val="0"/>
                              <w:marBottom w:val="0"/>
                              <w:divBdr>
                                <w:top w:val="none" w:sz="0" w:space="0" w:color="auto"/>
                                <w:left w:val="none" w:sz="0" w:space="0" w:color="auto"/>
                                <w:bottom w:val="none" w:sz="0" w:space="0" w:color="auto"/>
                                <w:right w:val="none" w:sz="0" w:space="0" w:color="auto"/>
                              </w:divBdr>
                              <w:divsChild>
                                <w:div w:id="1702590788">
                                  <w:marLeft w:val="0"/>
                                  <w:marRight w:val="0"/>
                                  <w:marTop w:val="0"/>
                                  <w:marBottom w:val="0"/>
                                  <w:divBdr>
                                    <w:top w:val="none" w:sz="0" w:space="0" w:color="auto"/>
                                    <w:left w:val="none" w:sz="0" w:space="0" w:color="auto"/>
                                    <w:bottom w:val="none" w:sz="0" w:space="0" w:color="auto"/>
                                    <w:right w:val="none" w:sz="0" w:space="0" w:color="auto"/>
                                  </w:divBdr>
                                  <w:divsChild>
                                    <w:div w:id="2129352082">
                                      <w:marLeft w:val="0"/>
                                      <w:marRight w:val="0"/>
                                      <w:marTop w:val="0"/>
                                      <w:marBottom w:val="0"/>
                                      <w:divBdr>
                                        <w:top w:val="none" w:sz="0" w:space="0" w:color="auto"/>
                                        <w:left w:val="none" w:sz="0" w:space="0" w:color="auto"/>
                                        <w:bottom w:val="none" w:sz="0" w:space="0" w:color="auto"/>
                                        <w:right w:val="none" w:sz="0" w:space="0" w:color="auto"/>
                                      </w:divBdr>
                                      <w:divsChild>
                                        <w:div w:id="1806385717">
                                          <w:marLeft w:val="0"/>
                                          <w:marRight w:val="0"/>
                                          <w:marTop w:val="0"/>
                                          <w:marBottom w:val="0"/>
                                          <w:divBdr>
                                            <w:top w:val="none" w:sz="0" w:space="0" w:color="auto"/>
                                            <w:left w:val="none" w:sz="0" w:space="0" w:color="auto"/>
                                            <w:bottom w:val="none" w:sz="0" w:space="0" w:color="auto"/>
                                            <w:right w:val="none" w:sz="0" w:space="0" w:color="auto"/>
                                          </w:divBdr>
                                          <w:divsChild>
                                            <w:div w:id="1928879650">
                                              <w:marLeft w:val="0"/>
                                              <w:marRight w:val="0"/>
                                              <w:marTop w:val="0"/>
                                              <w:marBottom w:val="0"/>
                                              <w:divBdr>
                                                <w:top w:val="none" w:sz="0" w:space="0" w:color="auto"/>
                                                <w:left w:val="none" w:sz="0" w:space="0" w:color="auto"/>
                                                <w:bottom w:val="none" w:sz="0" w:space="0" w:color="auto"/>
                                                <w:right w:val="none" w:sz="0" w:space="0" w:color="auto"/>
                                              </w:divBdr>
                                              <w:divsChild>
                                                <w:div w:id="10068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764066">
      <w:bodyDiv w:val="1"/>
      <w:marLeft w:val="0"/>
      <w:marRight w:val="0"/>
      <w:marTop w:val="0"/>
      <w:marBottom w:val="0"/>
      <w:divBdr>
        <w:top w:val="none" w:sz="0" w:space="0" w:color="auto"/>
        <w:left w:val="none" w:sz="0" w:space="0" w:color="auto"/>
        <w:bottom w:val="none" w:sz="0" w:space="0" w:color="auto"/>
        <w:right w:val="none" w:sz="0" w:space="0" w:color="auto"/>
      </w:divBdr>
      <w:divsChild>
        <w:div w:id="1091895783">
          <w:marLeft w:val="0"/>
          <w:marRight w:val="0"/>
          <w:marTop w:val="0"/>
          <w:marBottom w:val="0"/>
          <w:divBdr>
            <w:top w:val="none" w:sz="0" w:space="0" w:color="auto"/>
            <w:left w:val="none" w:sz="0" w:space="0" w:color="auto"/>
            <w:bottom w:val="none" w:sz="0" w:space="0" w:color="auto"/>
            <w:right w:val="none" w:sz="0" w:space="0" w:color="auto"/>
          </w:divBdr>
          <w:divsChild>
            <w:div w:id="1361475037">
              <w:marLeft w:val="0"/>
              <w:marRight w:val="0"/>
              <w:marTop w:val="0"/>
              <w:marBottom w:val="0"/>
              <w:divBdr>
                <w:top w:val="none" w:sz="0" w:space="0" w:color="auto"/>
                <w:left w:val="none" w:sz="0" w:space="0" w:color="auto"/>
                <w:bottom w:val="none" w:sz="0" w:space="0" w:color="auto"/>
                <w:right w:val="none" w:sz="0" w:space="0" w:color="auto"/>
              </w:divBdr>
              <w:divsChild>
                <w:div w:id="1243754108">
                  <w:marLeft w:val="0"/>
                  <w:marRight w:val="0"/>
                  <w:marTop w:val="0"/>
                  <w:marBottom w:val="0"/>
                  <w:divBdr>
                    <w:top w:val="none" w:sz="0" w:space="0" w:color="auto"/>
                    <w:left w:val="none" w:sz="0" w:space="0" w:color="auto"/>
                    <w:bottom w:val="none" w:sz="0" w:space="0" w:color="auto"/>
                    <w:right w:val="none" w:sz="0" w:space="0" w:color="auto"/>
                  </w:divBdr>
                  <w:divsChild>
                    <w:div w:id="2083602458">
                      <w:marLeft w:val="0"/>
                      <w:marRight w:val="0"/>
                      <w:marTop w:val="0"/>
                      <w:marBottom w:val="0"/>
                      <w:divBdr>
                        <w:top w:val="none" w:sz="0" w:space="0" w:color="auto"/>
                        <w:left w:val="none" w:sz="0" w:space="0" w:color="auto"/>
                        <w:bottom w:val="none" w:sz="0" w:space="0" w:color="auto"/>
                        <w:right w:val="none" w:sz="0" w:space="0" w:color="auto"/>
                      </w:divBdr>
                      <w:divsChild>
                        <w:div w:id="125770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26472">
      <w:bodyDiv w:val="1"/>
      <w:marLeft w:val="0"/>
      <w:marRight w:val="0"/>
      <w:marTop w:val="0"/>
      <w:marBottom w:val="0"/>
      <w:divBdr>
        <w:top w:val="none" w:sz="0" w:space="0" w:color="auto"/>
        <w:left w:val="none" w:sz="0" w:space="0" w:color="auto"/>
        <w:bottom w:val="none" w:sz="0" w:space="0" w:color="auto"/>
        <w:right w:val="none" w:sz="0" w:space="0" w:color="auto"/>
      </w:divBdr>
      <w:divsChild>
        <w:div w:id="1598438635">
          <w:marLeft w:val="0"/>
          <w:marRight w:val="0"/>
          <w:marTop w:val="0"/>
          <w:marBottom w:val="0"/>
          <w:divBdr>
            <w:top w:val="none" w:sz="0" w:space="0" w:color="auto"/>
            <w:left w:val="none" w:sz="0" w:space="0" w:color="auto"/>
            <w:bottom w:val="none" w:sz="0" w:space="0" w:color="auto"/>
            <w:right w:val="none" w:sz="0" w:space="0" w:color="auto"/>
          </w:divBdr>
          <w:divsChild>
            <w:div w:id="1007093146">
              <w:marLeft w:val="0"/>
              <w:marRight w:val="0"/>
              <w:marTop w:val="0"/>
              <w:marBottom w:val="0"/>
              <w:divBdr>
                <w:top w:val="none" w:sz="0" w:space="0" w:color="auto"/>
                <w:left w:val="none" w:sz="0" w:space="0" w:color="auto"/>
                <w:bottom w:val="none" w:sz="0" w:space="0" w:color="auto"/>
                <w:right w:val="none" w:sz="0" w:space="0" w:color="auto"/>
              </w:divBdr>
              <w:divsChild>
                <w:div w:id="1691834683">
                  <w:marLeft w:val="0"/>
                  <w:marRight w:val="0"/>
                  <w:marTop w:val="0"/>
                  <w:marBottom w:val="0"/>
                  <w:divBdr>
                    <w:top w:val="none" w:sz="0" w:space="0" w:color="auto"/>
                    <w:left w:val="none" w:sz="0" w:space="0" w:color="auto"/>
                    <w:bottom w:val="none" w:sz="0" w:space="0" w:color="auto"/>
                    <w:right w:val="none" w:sz="0" w:space="0" w:color="auto"/>
                  </w:divBdr>
                  <w:divsChild>
                    <w:div w:id="1194072232">
                      <w:marLeft w:val="0"/>
                      <w:marRight w:val="0"/>
                      <w:marTop w:val="0"/>
                      <w:marBottom w:val="0"/>
                      <w:divBdr>
                        <w:top w:val="none" w:sz="0" w:space="0" w:color="auto"/>
                        <w:left w:val="none" w:sz="0" w:space="0" w:color="auto"/>
                        <w:bottom w:val="none" w:sz="0" w:space="0" w:color="auto"/>
                        <w:right w:val="none" w:sz="0" w:space="0" w:color="auto"/>
                      </w:divBdr>
                      <w:divsChild>
                        <w:div w:id="1869296268">
                          <w:marLeft w:val="0"/>
                          <w:marRight w:val="0"/>
                          <w:marTop w:val="0"/>
                          <w:marBottom w:val="0"/>
                          <w:divBdr>
                            <w:top w:val="single" w:sz="6" w:space="0" w:color="828282"/>
                            <w:left w:val="single" w:sz="6" w:space="0" w:color="828282"/>
                            <w:bottom w:val="single" w:sz="6" w:space="0" w:color="828282"/>
                            <w:right w:val="single" w:sz="6" w:space="0" w:color="828282"/>
                          </w:divBdr>
                          <w:divsChild>
                            <w:div w:id="1470201167">
                              <w:marLeft w:val="0"/>
                              <w:marRight w:val="0"/>
                              <w:marTop w:val="0"/>
                              <w:marBottom w:val="0"/>
                              <w:divBdr>
                                <w:top w:val="none" w:sz="0" w:space="0" w:color="auto"/>
                                <w:left w:val="none" w:sz="0" w:space="0" w:color="auto"/>
                                <w:bottom w:val="none" w:sz="0" w:space="0" w:color="auto"/>
                                <w:right w:val="none" w:sz="0" w:space="0" w:color="auto"/>
                              </w:divBdr>
                              <w:divsChild>
                                <w:div w:id="574167227">
                                  <w:marLeft w:val="0"/>
                                  <w:marRight w:val="0"/>
                                  <w:marTop w:val="0"/>
                                  <w:marBottom w:val="0"/>
                                  <w:divBdr>
                                    <w:top w:val="none" w:sz="0" w:space="0" w:color="auto"/>
                                    <w:left w:val="none" w:sz="0" w:space="0" w:color="auto"/>
                                    <w:bottom w:val="none" w:sz="0" w:space="0" w:color="auto"/>
                                    <w:right w:val="none" w:sz="0" w:space="0" w:color="auto"/>
                                  </w:divBdr>
                                  <w:divsChild>
                                    <w:div w:id="3559040">
                                      <w:marLeft w:val="0"/>
                                      <w:marRight w:val="0"/>
                                      <w:marTop w:val="0"/>
                                      <w:marBottom w:val="0"/>
                                      <w:divBdr>
                                        <w:top w:val="none" w:sz="0" w:space="0" w:color="auto"/>
                                        <w:left w:val="none" w:sz="0" w:space="0" w:color="auto"/>
                                        <w:bottom w:val="none" w:sz="0" w:space="0" w:color="auto"/>
                                        <w:right w:val="none" w:sz="0" w:space="0" w:color="auto"/>
                                      </w:divBdr>
                                      <w:divsChild>
                                        <w:div w:id="1645889591">
                                          <w:marLeft w:val="0"/>
                                          <w:marRight w:val="0"/>
                                          <w:marTop w:val="0"/>
                                          <w:marBottom w:val="0"/>
                                          <w:divBdr>
                                            <w:top w:val="none" w:sz="0" w:space="0" w:color="auto"/>
                                            <w:left w:val="none" w:sz="0" w:space="0" w:color="auto"/>
                                            <w:bottom w:val="none" w:sz="0" w:space="0" w:color="auto"/>
                                            <w:right w:val="none" w:sz="0" w:space="0" w:color="auto"/>
                                          </w:divBdr>
                                          <w:divsChild>
                                            <w:div w:id="680860710">
                                              <w:marLeft w:val="0"/>
                                              <w:marRight w:val="0"/>
                                              <w:marTop w:val="0"/>
                                              <w:marBottom w:val="0"/>
                                              <w:divBdr>
                                                <w:top w:val="none" w:sz="0" w:space="0" w:color="auto"/>
                                                <w:left w:val="none" w:sz="0" w:space="0" w:color="auto"/>
                                                <w:bottom w:val="none" w:sz="0" w:space="0" w:color="auto"/>
                                                <w:right w:val="none" w:sz="0" w:space="0" w:color="auto"/>
                                              </w:divBdr>
                                              <w:divsChild>
                                                <w:div w:id="5272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471592">
      <w:bodyDiv w:val="1"/>
      <w:marLeft w:val="0"/>
      <w:marRight w:val="0"/>
      <w:marTop w:val="0"/>
      <w:marBottom w:val="0"/>
      <w:divBdr>
        <w:top w:val="none" w:sz="0" w:space="0" w:color="auto"/>
        <w:left w:val="none" w:sz="0" w:space="0" w:color="auto"/>
        <w:bottom w:val="none" w:sz="0" w:space="0" w:color="auto"/>
        <w:right w:val="none" w:sz="0" w:space="0" w:color="auto"/>
      </w:divBdr>
      <w:divsChild>
        <w:div w:id="854877929">
          <w:marLeft w:val="0"/>
          <w:marRight w:val="0"/>
          <w:marTop w:val="0"/>
          <w:marBottom w:val="0"/>
          <w:divBdr>
            <w:top w:val="none" w:sz="0" w:space="0" w:color="auto"/>
            <w:left w:val="none" w:sz="0" w:space="0" w:color="auto"/>
            <w:bottom w:val="none" w:sz="0" w:space="0" w:color="auto"/>
            <w:right w:val="none" w:sz="0" w:space="0" w:color="auto"/>
          </w:divBdr>
          <w:divsChild>
            <w:div w:id="1371222311">
              <w:marLeft w:val="0"/>
              <w:marRight w:val="0"/>
              <w:marTop w:val="0"/>
              <w:marBottom w:val="0"/>
              <w:divBdr>
                <w:top w:val="none" w:sz="0" w:space="0" w:color="auto"/>
                <w:left w:val="none" w:sz="0" w:space="0" w:color="auto"/>
                <w:bottom w:val="none" w:sz="0" w:space="0" w:color="auto"/>
                <w:right w:val="none" w:sz="0" w:space="0" w:color="auto"/>
              </w:divBdr>
              <w:divsChild>
                <w:div w:id="1285964913">
                  <w:marLeft w:val="0"/>
                  <w:marRight w:val="0"/>
                  <w:marTop w:val="0"/>
                  <w:marBottom w:val="0"/>
                  <w:divBdr>
                    <w:top w:val="none" w:sz="0" w:space="0" w:color="auto"/>
                    <w:left w:val="none" w:sz="0" w:space="0" w:color="auto"/>
                    <w:bottom w:val="none" w:sz="0" w:space="0" w:color="auto"/>
                    <w:right w:val="none" w:sz="0" w:space="0" w:color="auto"/>
                  </w:divBdr>
                  <w:divsChild>
                    <w:div w:id="832112365">
                      <w:marLeft w:val="0"/>
                      <w:marRight w:val="0"/>
                      <w:marTop w:val="0"/>
                      <w:marBottom w:val="0"/>
                      <w:divBdr>
                        <w:top w:val="none" w:sz="0" w:space="0" w:color="auto"/>
                        <w:left w:val="none" w:sz="0" w:space="0" w:color="auto"/>
                        <w:bottom w:val="none" w:sz="0" w:space="0" w:color="auto"/>
                        <w:right w:val="none" w:sz="0" w:space="0" w:color="auto"/>
                      </w:divBdr>
                      <w:divsChild>
                        <w:div w:id="583606816">
                          <w:marLeft w:val="0"/>
                          <w:marRight w:val="0"/>
                          <w:marTop w:val="0"/>
                          <w:marBottom w:val="0"/>
                          <w:divBdr>
                            <w:top w:val="single" w:sz="6" w:space="0" w:color="828282"/>
                            <w:left w:val="single" w:sz="6" w:space="0" w:color="828282"/>
                            <w:bottom w:val="single" w:sz="6" w:space="0" w:color="828282"/>
                            <w:right w:val="single" w:sz="6" w:space="0" w:color="828282"/>
                          </w:divBdr>
                          <w:divsChild>
                            <w:div w:id="1270813908">
                              <w:marLeft w:val="0"/>
                              <w:marRight w:val="0"/>
                              <w:marTop w:val="0"/>
                              <w:marBottom w:val="0"/>
                              <w:divBdr>
                                <w:top w:val="none" w:sz="0" w:space="0" w:color="auto"/>
                                <w:left w:val="none" w:sz="0" w:space="0" w:color="auto"/>
                                <w:bottom w:val="none" w:sz="0" w:space="0" w:color="auto"/>
                                <w:right w:val="none" w:sz="0" w:space="0" w:color="auto"/>
                              </w:divBdr>
                              <w:divsChild>
                                <w:div w:id="1086920147">
                                  <w:marLeft w:val="0"/>
                                  <w:marRight w:val="0"/>
                                  <w:marTop w:val="0"/>
                                  <w:marBottom w:val="0"/>
                                  <w:divBdr>
                                    <w:top w:val="none" w:sz="0" w:space="0" w:color="auto"/>
                                    <w:left w:val="none" w:sz="0" w:space="0" w:color="auto"/>
                                    <w:bottom w:val="none" w:sz="0" w:space="0" w:color="auto"/>
                                    <w:right w:val="none" w:sz="0" w:space="0" w:color="auto"/>
                                  </w:divBdr>
                                  <w:divsChild>
                                    <w:div w:id="1816679852">
                                      <w:marLeft w:val="0"/>
                                      <w:marRight w:val="0"/>
                                      <w:marTop w:val="0"/>
                                      <w:marBottom w:val="0"/>
                                      <w:divBdr>
                                        <w:top w:val="none" w:sz="0" w:space="0" w:color="auto"/>
                                        <w:left w:val="none" w:sz="0" w:space="0" w:color="auto"/>
                                        <w:bottom w:val="none" w:sz="0" w:space="0" w:color="auto"/>
                                        <w:right w:val="none" w:sz="0" w:space="0" w:color="auto"/>
                                      </w:divBdr>
                                      <w:divsChild>
                                        <w:div w:id="241961414">
                                          <w:marLeft w:val="0"/>
                                          <w:marRight w:val="0"/>
                                          <w:marTop w:val="0"/>
                                          <w:marBottom w:val="0"/>
                                          <w:divBdr>
                                            <w:top w:val="none" w:sz="0" w:space="0" w:color="auto"/>
                                            <w:left w:val="none" w:sz="0" w:space="0" w:color="auto"/>
                                            <w:bottom w:val="none" w:sz="0" w:space="0" w:color="auto"/>
                                            <w:right w:val="none" w:sz="0" w:space="0" w:color="auto"/>
                                          </w:divBdr>
                                          <w:divsChild>
                                            <w:div w:id="2087410761">
                                              <w:marLeft w:val="0"/>
                                              <w:marRight w:val="0"/>
                                              <w:marTop w:val="0"/>
                                              <w:marBottom w:val="0"/>
                                              <w:divBdr>
                                                <w:top w:val="none" w:sz="0" w:space="0" w:color="auto"/>
                                                <w:left w:val="none" w:sz="0" w:space="0" w:color="auto"/>
                                                <w:bottom w:val="none" w:sz="0" w:space="0" w:color="auto"/>
                                                <w:right w:val="none" w:sz="0" w:space="0" w:color="auto"/>
                                              </w:divBdr>
                                              <w:divsChild>
                                                <w:div w:id="179957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7673375">
      <w:bodyDiv w:val="1"/>
      <w:marLeft w:val="0"/>
      <w:marRight w:val="0"/>
      <w:marTop w:val="0"/>
      <w:marBottom w:val="0"/>
      <w:divBdr>
        <w:top w:val="none" w:sz="0" w:space="0" w:color="auto"/>
        <w:left w:val="none" w:sz="0" w:space="0" w:color="auto"/>
        <w:bottom w:val="none" w:sz="0" w:space="0" w:color="auto"/>
        <w:right w:val="none" w:sz="0" w:space="0" w:color="auto"/>
      </w:divBdr>
      <w:divsChild>
        <w:div w:id="1222903352">
          <w:marLeft w:val="0"/>
          <w:marRight w:val="0"/>
          <w:marTop w:val="0"/>
          <w:marBottom w:val="0"/>
          <w:divBdr>
            <w:top w:val="none" w:sz="0" w:space="0" w:color="auto"/>
            <w:left w:val="none" w:sz="0" w:space="0" w:color="auto"/>
            <w:bottom w:val="none" w:sz="0" w:space="0" w:color="auto"/>
            <w:right w:val="none" w:sz="0" w:space="0" w:color="auto"/>
          </w:divBdr>
          <w:divsChild>
            <w:div w:id="979382717">
              <w:marLeft w:val="0"/>
              <w:marRight w:val="0"/>
              <w:marTop w:val="0"/>
              <w:marBottom w:val="0"/>
              <w:divBdr>
                <w:top w:val="none" w:sz="0" w:space="0" w:color="auto"/>
                <w:left w:val="none" w:sz="0" w:space="0" w:color="auto"/>
                <w:bottom w:val="none" w:sz="0" w:space="0" w:color="auto"/>
                <w:right w:val="none" w:sz="0" w:space="0" w:color="auto"/>
              </w:divBdr>
              <w:divsChild>
                <w:div w:id="129175137">
                  <w:marLeft w:val="0"/>
                  <w:marRight w:val="0"/>
                  <w:marTop w:val="0"/>
                  <w:marBottom w:val="0"/>
                  <w:divBdr>
                    <w:top w:val="none" w:sz="0" w:space="0" w:color="auto"/>
                    <w:left w:val="none" w:sz="0" w:space="0" w:color="auto"/>
                    <w:bottom w:val="none" w:sz="0" w:space="0" w:color="auto"/>
                    <w:right w:val="none" w:sz="0" w:space="0" w:color="auto"/>
                  </w:divBdr>
                  <w:divsChild>
                    <w:div w:id="1937203517">
                      <w:marLeft w:val="0"/>
                      <w:marRight w:val="0"/>
                      <w:marTop w:val="0"/>
                      <w:marBottom w:val="0"/>
                      <w:divBdr>
                        <w:top w:val="none" w:sz="0" w:space="0" w:color="auto"/>
                        <w:left w:val="none" w:sz="0" w:space="0" w:color="auto"/>
                        <w:bottom w:val="none" w:sz="0" w:space="0" w:color="auto"/>
                        <w:right w:val="none" w:sz="0" w:space="0" w:color="auto"/>
                      </w:divBdr>
                      <w:divsChild>
                        <w:div w:id="488984825">
                          <w:marLeft w:val="0"/>
                          <w:marRight w:val="0"/>
                          <w:marTop w:val="0"/>
                          <w:marBottom w:val="0"/>
                          <w:divBdr>
                            <w:top w:val="single" w:sz="6" w:space="0" w:color="828282"/>
                            <w:left w:val="single" w:sz="6" w:space="0" w:color="828282"/>
                            <w:bottom w:val="single" w:sz="6" w:space="0" w:color="828282"/>
                            <w:right w:val="single" w:sz="6" w:space="0" w:color="828282"/>
                          </w:divBdr>
                          <w:divsChild>
                            <w:div w:id="2010207462">
                              <w:marLeft w:val="0"/>
                              <w:marRight w:val="0"/>
                              <w:marTop w:val="0"/>
                              <w:marBottom w:val="0"/>
                              <w:divBdr>
                                <w:top w:val="none" w:sz="0" w:space="0" w:color="auto"/>
                                <w:left w:val="none" w:sz="0" w:space="0" w:color="auto"/>
                                <w:bottom w:val="none" w:sz="0" w:space="0" w:color="auto"/>
                                <w:right w:val="none" w:sz="0" w:space="0" w:color="auto"/>
                              </w:divBdr>
                              <w:divsChild>
                                <w:div w:id="1422146704">
                                  <w:marLeft w:val="0"/>
                                  <w:marRight w:val="0"/>
                                  <w:marTop w:val="0"/>
                                  <w:marBottom w:val="0"/>
                                  <w:divBdr>
                                    <w:top w:val="none" w:sz="0" w:space="0" w:color="auto"/>
                                    <w:left w:val="none" w:sz="0" w:space="0" w:color="auto"/>
                                    <w:bottom w:val="none" w:sz="0" w:space="0" w:color="auto"/>
                                    <w:right w:val="none" w:sz="0" w:space="0" w:color="auto"/>
                                  </w:divBdr>
                                  <w:divsChild>
                                    <w:div w:id="592396438">
                                      <w:marLeft w:val="0"/>
                                      <w:marRight w:val="0"/>
                                      <w:marTop w:val="0"/>
                                      <w:marBottom w:val="0"/>
                                      <w:divBdr>
                                        <w:top w:val="none" w:sz="0" w:space="0" w:color="auto"/>
                                        <w:left w:val="none" w:sz="0" w:space="0" w:color="auto"/>
                                        <w:bottom w:val="none" w:sz="0" w:space="0" w:color="auto"/>
                                        <w:right w:val="none" w:sz="0" w:space="0" w:color="auto"/>
                                      </w:divBdr>
                                      <w:divsChild>
                                        <w:div w:id="413404692">
                                          <w:marLeft w:val="0"/>
                                          <w:marRight w:val="0"/>
                                          <w:marTop w:val="0"/>
                                          <w:marBottom w:val="0"/>
                                          <w:divBdr>
                                            <w:top w:val="none" w:sz="0" w:space="0" w:color="auto"/>
                                            <w:left w:val="none" w:sz="0" w:space="0" w:color="auto"/>
                                            <w:bottom w:val="none" w:sz="0" w:space="0" w:color="auto"/>
                                            <w:right w:val="none" w:sz="0" w:space="0" w:color="auto"/>
                                          </w:divBdr>
                                          <w:divsChild>
                                            <w:div w:id="2109304990">
                                              <w:marLeft w:val="0"/>
                                              <w:marRight w:val="0"/>
                                              <w:marTop w:val="0"/>
                                              <w:marBottom w:val="0"/>
                                              <w:divBdr>
                                                <w:top w:val="none" w:sz="0" w:space="0" w:color="auto"/>
                                                <w:left w:val="none" w:sz="0" w:space="0" w:color="auto"/>
                                                <w:bottom w:val="none" w:sz="0" w:space="0" w:color="auto"/>
                                                <w:right w:val="none" w:sz="0" w:space="0" w:color="auto"/>
                                              </w:divBdr>
                                              <w:divsChild>
                                                <w:div w:id="6272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9825778">
      <w:bodyDiv w:val="1"/>
      <w:marLeft w:val="0"/>
      <w:marRight w:val="0"/>
      <w:marTop w:val="0"/>
      <w:marBottom w:val="0"/>
      <w:divBdr>
        <w:top w:val="none" w:sz="0" w:space="0" w:color="auto"/>
        <w:left w:val="none" w:sz="0" w:space="0" w:color="auto"/>
        <w:bottom w:val="none" w:sz="0" w:space="0" w:color="auto"/>
        <w:right w:val="none" w:sz="0" w:space="0" w:color="auto"/>
      </w:divBdr>
      <w:divsChild>
        <w:div w:id="1116173754">
          <w:marLeft w:val="0"/>
          <w:marRight w:val="0"/>
          <w:marTop w:val="0"/>
          <w:marBottom w:val="0"/>
          <w:divBdr>
            <w:top w:val="none" w:sz="0" w:space="0" w:color="auto"/>
            <w:left w:val="none" w:sz="0" w:space="0" w:color="auto"/>
            <w:bottom w:val="none" w:sz="0" w:space="0" w:color="auto"/>
            <w:right w:val="none" w:sz="0" w:space="0" w:color="auto"/>
          </w:divBdr>
          <w:divsChild>
            <w:div w:id="815998430">
              <w:marLeft w:val="0"/>
              <w:marRight w:val="0"/>
              <w:marTop w:val="0"/>
              <w:marBottom w:val="0"/>
              <w:divBdr>
                <w:top w:val="none" w:sz="0" w:space="0" w:color="auto"/>
                <w:left w:val="none" w:sz="0" w:space="0" w:color="auto"/>
                <w:bottom w:val="none" w:sz="0" w:space="0" w:color="auto"/>
                <w:right w:val="none" w:sz="0" w:space="0" w:color="auto"/>
              </w:divBdr>
              <w:divsChild>
                <w:div w:id="1775319539">
                  <w:marLeft w:val="0"/>
                  <w:marRight w:val="0"/>
                  <w:marTop w:val="0"/>
                  <w:marBottom w:val="0"/>
                  <w:divBdr>
                    <w:top w:val="none" w:sz="0" w:space="0" w:color="auto"/>
                    <w:left w:val="none" w:sz="0" w:space="0" w:color="auto"/>
                    <w:bottom w:val="none" w:sz="0" w:space="0" w:color="auto"/>
                    <w:right w:val="none" w:sz="0" w:space="0" w:color="auto"/>
                  </w:divBdr>
                  <w:divsChild>
                    <w:div w:id="1006789592">
                      <w:marLeft w:val="0"/>
                      <w:marRight w:val="0"/>
                      <w:marTop w:val="0"/>
                      <w:marBottom w:val="0"/>
                      <w:divBdr>
                        <w:top w:val="none" w:sz="0" w:space="0" w:color="auto"/>
                        <w:left w:val="none" w:sz="0" w:space="0" w:color="auto"/>
                        <w:bottom w:val="none" w:sz="0" w:space="0" w:color="auto"/>
                        <w:right w:val="none" w:sz="0" w:space="0" w:color="auto"/>
                      </w:divBdr>
                      <w:divsChild>
                        <w:div w:id="845048858">
                          <w:marLeft w:val="0"/>
                          <w:marRight w:val="0"/>
                          <w:marTop w:val="0"/>
                          <w:marBottom w:val="0"/>
                          <w:divBdr>
                            <w:top w:val="single" w:sz="6" w:space="0" w:color="828282"/>
                            <w:left w:val="single" w:sz="6" w:space="0" w:color="828282"/>
                            <w:bottom w:val="single" w:sz="6" w:space="0" w:color="828282"/>
                            <w:right w:val="single" w:sz="6" w:space="0" w:color="828282"/>
                          </w:divBdr>
                          <w:divsChild>
                            <w:div w:id="398602608">
                              <w:marLeft w:val="0"/>
                              <w:marRight w:val="0"/>
                              <w:marTop w:val="0"/>
                              <w:marBottom w:val="0"/>
                              <w:divBdr>
                                <w:top w:val="none" w:sz="0" w:space="0" w:color="auto"/>
                                <w:left w:val="none" w:sz="0" w:space="0" w:color="auto"/>
                                <w:bottom w:val="none" w:sz="0" w:space="0" w:color="auto"/>
                                <w:right w:val="none" w:sz="0" w:space="0" w:color="auto"/>
                              </w:divBdr>
                              <w:divsChild>
                                <w:div w:id="1074745790">
                                  <w:marLeft w:val="0"/>
                                  <w:marRight w:val="0"/>
                                  <w:marTop w:val="0"/>
                                  <w:marBottom w:val="0"/>
                                  <w:divBdr>
                                    <w:top w:val="none" w:sz="0" w:space="0" w:color="auto"/>
                                    <w:left w:val="none" w:sz="0" w:space="0" w:color="auto"/>
                                    <w:bottom w:val="none" w:sz="0" w:space="0" w:color="auto"/>
                                    <w:right w:val="none" w:sz="0" w:space="0" w:color="auto"/>
                                  </w:divBdr>
                                  <w:divsChild>
                                    <w:div w:id="1200430687">
                                      <w:marLeft w:val="0"/>
                                      <w:marRight w:val="0"/>
                                      <w:marTop w:val="0"/>
                                      <w:marBottom w:val="0"/>
                                      <w:divBdr>
                                        <w:top w:val="none" w:sz="0" w:space="0" w:color="auto"/>
                                        <w:left w:val="none" w:sz="0" w:space="0" w:color="auto"/>
                                        <w:bottom w:val="none" w:sz="0" w:space="0" w:color="auto"/>
                                        <w:right w:val="none" w:sz="0" w:space="0" w:color="auto"/>
                                      </w:divBdr>
                                      <w:divsChild>
                                        <w:div w:id="1111784742">
                                          <w:marLeft w:val="0"/>
                                          <w:marRight w:val="0"/>
                                          <w:marTop w:val="0"/>
                                          <w:marBottom w:val="0"/>
                                          <w:divBdr>
                                            <w:top w:val="none" w:sz="0" w:space="0" w:color="auto"/>
                                            <w:left w:val="none" w:sz="0" w:space="0" w:color="auto"/>
                                            <w:bottom w:val="none" w:sz="0" w:space="0" w:color="auto"/>
                                            <w:right w:val="none" w:sz="0" w:space="0" w:color="auto"/>
                                          </w:divBdr>
                                          <w:divsChild>
                                            <w:div w:id="850141838">
                                              <w:marLeft w:val="0"/>
                                              <w:marRight w:val="0"/>
                                              <w:marTop w:val="0"/>
                                              <w:marBottom w:val="0"/>
                                              <w:divBdr>
                                                <w:top w:val="none" w:sz="0" w:space="0" w:color="auto"/>
                                                <w:left w:val="none" w:sz="0" w:space="0" w:color="auto"/>
                                                <w:bottom w:val="none" w:sz="0" w:space="0" w:color="auto"/>
                                                <w:right w:val="none" w:sz="0" w:space="0" w:color="auto"/>
                                              </w:divBdr>
                                              <w:divsChild>
                                                <w:div w:id="94026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2178676">
      <w:bodyDiv w:val="1"/>
      <w:marLeft w:val="0"/>
      <w:marRight w:val="0"/>
      <w:marTop w:val="0"/>
      <w:marBottom w:val="0"/>
      <w:divBdr>
        <w:top w:val="none" w:sz="0" w:space="0" w:color="auto"/>
        <w:left w:val="none" w:sz="0" w:space="0" w:color="auto"/>
        <w:bottom w:val="none" w:sz="0" w:space="0" w:color="auto"/>
        <w:right w:val="none" w:sz="0" w:space="0" w:color="auto"/>
      </w:divBdr>
      <w:divsChild>
        <w:div w:id="422996966">
          <w:marLeft w:val="0"/>
          <w:marRight w:val="0"/>
          <w:marTop w:val="0"/>
          <w:marBottom w:val="0"/>
          <w:divBdr>
            <w:top w:val="none" w:sz="0" w:space="0" w:color="auto"/>
            <w:left w:val="none" w:sz="0" w:space="0" w:color="auto"/>
            <w:bottom w:val="none" w:sz="0" w:space="0" w:color="auto"/>
            <w:right w:val="none" w:sz="0" w:space="0" w:color="auto"/>
          </w:divBdr>
          <w:divsChild>
            <w:div w:id="2146846489">
              <w:marLeft w:val="0"/>
              <w:marRight w:val="0"/>
              <w:marTop w:val="0"/>
              <w:marBottom w:val="0"/>
              <w:divBdr>
                <w:top w:val="none" w:sz="0" w:space="0" w:color="auto"/>
                <w:left w:val="none" w:sz="0" w:space="0" w:color="auto"/>
                <w:bottom w:val="none" w:sz="0" w:space="0" w:color="auto"/>
                <w:right w:val="none" w:sz="0" w:space="0" w:color="auto"/>
              </w:divBdr>
              <w:divsChild>
                <w:div w:id="2021345779">
                  <w:marLeft w:val="0"/>
                  <w:marRight w:val="0"/>
                  <w:marTop w:val="0"/>
                  <w:marBottom w:val="0"/>
                  <w:divBdr>
                    <w:top w:val="none" w:sz="0" w:space="0" w:color="auto"/>
                    <w:left w:val="none" w:sz="0" w:space="0" w:color="auto"/>
                    <w:bottom w:val="none" w:sz="0" w:space="0" w:color="auto"/>
                    <w:right w:val="none" w:sz="0" w:space="0" w:color="auto"/>
                  </w:divBdr>
                  <w:divsChild>
                    <w:div w:id="1786970165">
                      <w:marLeft w:val="0"/>
                      <w:marRight w:val="0"/>
                      <w:marTop w:val="0"/>
                      <w:marBottom w:val="0"/>
                      <w:divBdr>
                        <w:top w:val="none" w:sz="0" w:space="0" w:color="auto"/>
                        <w:left w:val="none" w:sz="0" w:space="0" w:color="auto"/>
                        <w:bottom w:val="none" w:sz="0" w:space="0" w:color="auto"/>
                        <w:right w:val="none" w:sz="0" w:space="0" w:color="auto"/>
                      </w:divBdr>
                      <w:divsChild>
                        <w:div w:id="1193764560">
                          <w:marLeft w:val="0"/>
                          <w:marRight w:val="0"/>
                          <w:marTop w:val="0"/>
                          <w:marBottom w:val="0"/>
                          <w:divBdr>
                            <w:top w:val="single" w:sz="6" w:space="0" w:color="828282"/>
                            <w:left w:val="single" w:sz="6" w:space="0" w:color="828282"/>
                            <w:bottom w:val="single" w:sz="6" w:space="0" w:color="828282"/>
                            <w:right w:val="single" w:sz="6" w:space="0" w:color="828282"/>
                          </w:divBdr>
                          <w:divsChild>
                            <w:div w:id="356784495">
                              <w:marLeft w:val="0"/>
                              <w:marRight w:val="0"/>
                              <w:marTop w:val="0"/>
                              <w:marBottom w:val="0"/>
                              <w:divBdr>
                                <w:top w:val="none" w:sz="0" w:space="0" w:color="auto"/>
                                <w:left w:val="none" w:sz="0" w:space="0" w:color="auto"/>
                                <w:bottom w:val="none" w:sz="0" w:space="0" w:color="auto"/>
                                <w:right w:val="none" w:sz="0" w:space="0" w:color="auto"/>
                              </w:divBdr>
                              <w:divsChild>
                                <w:div w:id="2130204145">
                                  <w:marLeft w:val="0"/>
                                  <w:marRight w:val="0"/>
                                  <w:marTop w:val="0"/>
                                  <w:marBottom w:val="0"/>
                                  <w:divBdr>
                                    <w:top w:val="none" w:sz="0" w:space="0" w:color="auto"/>
                                    <w:left w:val="none" w:sz="0" w:space="0" w:color="auto"/>
                                    <w:bottom w:val="none" w:sz="0" w:space="0" w:color="auto"/>
                                    <w:right w:val="none" w:sz="0" w:space="0" w:color="auto"/>
                                  </w:divBdr>
                                  <w:divsChild>
                                    <w:div w:id="1796866632">
                                      <w:marLeft w:val="0"/>
                                      <w:marRight w:val="0"/>
                                      <w:marTop w:val="0"/>
                                      <w:marBottom w:val="0"/>
                                      <w:divBdr>
                                        <w:top w:val="none" w:sz="0" w:space="0" w:color="auto"/>
                                        <w:left w:val="none" w:sz="0" w:space="0" w:color="auto"/>
                                        <w:bottom w:val="none" w:sz="0" w:space="0" w:color="auto"/>
                                        <w:right w:val="none" w:sz="0" w:space="0" w:color="auto"/>
                                      </w:divBdr>
                                      <w:divsChild>
                                        <w:div w:id="1327441682">
                                          <w:marLeft w:val="0"/>
                                          <w:marRight w:val="0"/>
                                          <w:marTop w:val="0"/>
                                          <w:marBottom w:val="0"/>
                                          <w:divBdr>
                                            <w:top w:val="none" w:sz="0" w:space="0" w:color="auto"/>
                                            <w:left w:val="none" w:sz="0" w:space="0" w:color="auto"/>
                                            <w:bottom w:val="none" w:sz="0" w:space="0" w:color="auto"/>
                                            <w:right w:val="none" w:sz="0" w:space="0" w:color="auto"/>
                                          </w:divBdr>
                                          <w:divsChild>
                                            <w:div w:id="1826119789">
                                              <w:marLeft w:val="0"/>
                                              <w:marRight w:val="0"/>
                                              <w:marTop w:val="0"/>
                                              <w:marBottom w:val="0"/>
                                              <w:divBdr>
                                                <w:top w:val="none" w:sz="0" w:space="0" w:color="auto"/>
                                                <w:left w:val="none" w:sz="0" w:space="0" w:color="auto"/>
                                                <w:bottom w:val="none" w:sz="0" w:space="0" w:color="auto"/>
                                                <w:right w:val="none" w:sz="0" w:space="0" w:color="auto"/>
                                              </w:divBdr>
                                              <w:divsChild>
                                                <w:div w:id="40988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7571725">
      <w:bodyDiv w:val="1"/>
      <w:marLeft w:val="0"/>
      <w:marRight w:val="0"/>
      <w:marTop w:val="0"/>
      <w:marBottom w:val="0"/>
      <w:divBdr>
        <w:top w:val="none" w:sz="0" w:space="0" w:color="auto"/>
        <w:left w:val="none" w:sz="0" w:space="0" w:color="auto"/>
        <w:bottom w:val="none" w:sz="0" w:space="0" w:color="auto"/>
        <w:right w:val="none" w:sz="0" w:space="0" w:color="auto"/>
      </w:divBdr>
      <w:divsChild>
        <w:div w:id="1314140704">
          <w:marLeft w:val="0"/>
          <w:marRight w:val="0"/>
          <w:marTop w:val="0"/>
          <w:marBottom w:val="0"/>
          <w:divBdr>
            <w:top w:val="none" w:sz="0" w:space="0" w:color="auto"/>
            <w:left w:val="none" w:sz="0" w:space="0" w:color="auto"/>
            <w:bottom w:val="none" w:sz="0" w:space="0" w:color="auto"/>
            <w:right w:val="none" w:sz="0" w:space="0" w:color="auto"/>
          </w:divBdr>
          <w:divsChild>
            <w:div w:id="1412242432">
              <w:marLeft w:val="0"/>
              <w:marRight w:val="0"/>
              <w:marTop w:val="0"/>
              <w:marBottom w:val="0"/>
              <w:divBdr>
                <w:top w:val="none" w:sz="0" w:space="0" w:color="auto"/>
                <w:left w:val="none" w:sz="0" w:space="0" w:color="auto"/>
                <w:bottom w:val="none" w:sz="0" w:space="0" w:color="auto"/>
                <w:right w:val="none" w:sz="0" w:space="0" w:color="auto"/>
              </w:divBdr>
              <w:divsChild>
                <w:div w:id="1884830539">
                  <w:marLeft w:val="0"/>
                  <w:marRight w:val="0"/>
                  <w:marTop w:val="0"/>
                  <w:marBottom w:val="0"/>
                  <w:divBdr>
                    <w:top w:val="none" w:sz="0" w:space="0" w:color="auto"/>
                    <w:left w:val="none" w:sz="0" w:space="0" w:color="auto"/>
                    <w:bottom w:val="none" w:sz="0" w:space="0" w:color="auto"/>
                    <w:right w:val="none" w:sz="0" w:space="0" w:color="auto"/>
                  </w:divBdr>
                  <w:divsChild>
                    <w:div w:id="2064986735">
                      <w:marLeft w:val="0"/>
                      <w:marRight w:val="0"/>
                      <w:marTop w:val="0"/>
                      <w:marBottom w:val="0"/>
                      <w:divBdr>
                        <w:top w:val="none" w:sz="0" w:space="0" w:color="auto"/>
                        <w:left w:val="none" w:sz="0" w:space="0" w:color="auto"/>
                        <w:bottom w:val="none" w:sz="0" w:space="0" w:color="auto"/>
                        <w:right w:val="none" w:sz="0" w:space="0" w:color="auto"/>
                      </w:divBdr>
                      <w:divsChild>
                        <w:div w:id="850489221">
                          <w:marLeft w:val="0"/>
                          <w:marRight w:val="0"/>
                          <w:marTop w:val="0"/>
                          <w:marBottom w:val="0"/>
                          <w:divBdr>
                            <w:top w:val="single" w:sz="6" w:space="0" w:color="828282"/>
                            <w:left w:val="single" w:sz="6" w:space="0" w:color="828282"/>
                            <w:bottom w:val="single" w:sz="6" w:space="0" w:color="828282"/>
                            <w:right w:val="single" w:sz="6" w:space="0" w:color="828282"/>
                          </w:divBdr>
                          <w:divsChild>
                            <w:div w:id="665666763">
                              <w:marLeft w:val="0"/>
                              <w:marRight w:val="0"/>
                              <w:marTop w:val="0"/>
                              <w:marBottom w:val="0"/>
                              <w:divBdr>
                                <w:top w:val="none" w:sz="0" w:space="0" w:color="auto"/>
                                <w:left w:val="none" w:sz="0" w:space="0" w:color="auto"/>
                                <w:bottom w:val="none" w:sz="0" w:space="0" w:color="auto"/>
                                <w:right w:val="none" w:sz="0" w:space="0" w:color="auto"/>
                              </w:divBdr>
                              <w:divsChild>
                                <w:div w:id="1214193797">
                                  <w:marLeft w:val="0"/>
                                  <w:marRight w:val="0"/>
                                  <w:marTop w:val="0"/>
                                  <w:marBottom w:val="0"/>
                                  <w:divBdr>
                                    <w:top w:val="none" w:sz="0" w:space="0" w:color="auto"/>
                                    <w:left w:val="none" w:sz="0" w:space="0" w:color="auto"/>
                                    <w:bottom w:val="none" w:sz="0" w:space="0" w:color="auto"/>
                                    <w:right w:val="none" w:sz="0" w:space="0" w:color="auto"/>
                                  </w:divBdr>
                                  <w:divsChild>
                                    <w:div w:id="788167717">
                                      <w:marLeft w:val="0"/>
                                      <w:marRight w:val="0"/>
                                      <w:marTop w:val="0"/>
                                      <w:marBottom w:val="0"/>
                                      <w:divBdr>
                                        <w:top w:val="none" w:sz="0" w:space="0" w:color="auto"/>
                                        <w:left w:val="none" w:sz="0" w:space="0" w:color="auto"/>
                                        <w:bottom w:val="none" w:sz="0" w:space="0" w:color="auto"/>
                                        <w:right w:val="none" w:sz="0" w:space="0" w:color="auto"/>
                                      </w:divBdr>
                                      <w:divsChild>
                                        <w:div w:id="1470391838">
                                          <w:marLeft w:val="0"/>
                                          <w:marRight w:val="0"/>
                                          <w:marTop w:val="0"/>
                                          <w:marBottom w:val="0"/>
                                          <w:divBdr>
                                            <w:top w:val="none" w:sz="0" w:space="0" w:color="auto"/>
                                            <w:left w:val="none" w:sz="0" w:space="0" w:color="auto"/>
                                            <w:bottom w:val="none" w:sz="0" w:space="0" w:color="auto"/>
                                            <w:right w:val="none" w:sz="0" w:space="0" w:color="auto"/>
                                          </w:divBdr>
                                          <w:divsChild>
                                            <w:div w:id="1591769089">
                                              <w:marLeft w:val="0"/>
                                              <w:marRight w:val="0"/>
                                              <w:marTop w:val="0"/>
                                              <w:marBottom w:val="0"/>
                                              <w:divBdr>
                                                <w:top w:val="none" w:sz="0" w:space="0" w:color="auto"/>
                                                <w:left w:val="none" w:sz="0" w:space="0" w:color="auto"/>
                                                <w:bottom w:val="none" w:sz="0" w:space="0" w:color="auto"/>
                                                <w:right w:val="none" w:sz="0" w:space="0" w:color="auto"/>
                                              </w:divBdr>
                                              <w:divsChild>
                                                <w:div w:id="14596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6786846">
      <w:bodyDiv w:val="1"/>
      <w:marLeft w:val="0"/>
      <w:marRight w:val="0"/>
      <w:marTop w:val="0"/>
      <w:marBottom w:val="0"/>
      <w:divBdr>
        <w:top w:val="none" w:sz="0" w:space="0" w:color="auto"/>
        <w:left w:val="none" w:sz="0" w:space="0" w:color="auto"/>
        <w:bottom w:val="none" w:sz="0" w:space="0" w:color="auto"/>
        <w:right w:val="none" w:sz="0" w:space="0" w:color="auto"/>
      </w:divBdr>
      <w:divsChild>
        <w:div w:id="751581535">
          <w:marLeft w:val="0"/>
          <w:marRight w:val="0"/>
          <w:marTop w:val="0"/>
          <w:marBottom w:val="0"/>
          <w:divBdr>
            <w:top w:val="none" w:sz="0" w:space="0" w:color="auto"/>
            <w:left w:val="none" w:sz="0" w:space="0" w:color="auto"/>
            <w:bottom w:val="none" w:sz="0" w:space="0" w:color="auto"/>
            <w:right w:val="none" w:sz="0" w:space="0" w:color="auto"/>
          </w:divBdr>
          <w:divsChild>
            <w:div w:id="1262757265">
              <w:marLeft w:val="0"/>
              <w:marRight w:val="0"/>
              <w:marTop w:val="0"/>
              <w:marBottom w:val="0"/>
              <w:divBdr>
                <w:top w:val="none" w:sz="0" w:space="0" w:color="auto"/>
                <w:left w:val="none" w:sz="0" w:space="0" w:color="auto"/>
                <w:bottom w:val="none" w:sz="0" w:space="0" w:color="auto"/>
                <w:right w:val="none" w:sz="0" w:space="0" w:color="auto"/>
              </w:divBdr>
              <w:divsChild>
                <w:div w:id="243993189">
                  <w:marLeft w:val="0"/>
                  <w:marRight w:val="0"/>
                  <w:marTop w:val="0"/>
                  <w:marBottom w:val="0"/>
                  <w:divBdr>
                    <w:top w:val="none" w:sz="0" w:space="0" w:color="auto"/>
                    <w:left w:val="none" w:sz="0" w:space="0" w:color="auto"/>
                    <w:bottom w:val="none" w:sz="0" w:space="0" w:color="auto"/>
                    <w:right w:val="none" w:sz="0" w:space="0" w:color="auto"/>
                  </w:divBdr>
                  <w:divsChild>
                    <w:div w:id="11733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172717">
      <w:bodyDiv w:val="1"/>
      <w:marLeft w:val="0"/>
      <w:marRight w:val="0"/>
      <w:marTop w:val="0"/>
      <w:marBottom w:val="0"/>
      <w:divBdr>
        <w:top w:val="none" w:sz="0" w:space="0" w:color="auto"/>
        <w:left w:val="none" w:sz="0" w:space="0" w:color="auto"/>
        <w:bottom w:val="none" w:sz="0" w:space="0" w:color="auto"/>
        <w:right w:val="none" w:sz="0" w:space="0" w:color="auto"/>
      </w:divBdr>
      <w:divsChild>
        <w:div w:id="1245720256">
          <w:marLeft w:val="0"/>
          <w:marRight w:val="0"/>
          <w:marTop w:val="0"/>
          <w:marBottom w:val="0"/>
          <w:divBdr>
            <w:top w:val="none" w:sz="0" w:space="0" w:color="auto"/>
            <w:left w:val="none" w:sz="0" w:space="0" w:color="auto"/>
            <w:bottom w:val="none" w:sz="0" w:space="0" w:color="auto"/>
            <w:right w:val="none" w:sz="0" w:space="0" w:color="auto"/>
          </w:divBdr>
          <w:divsChild>
            <w:div w:id="943924872">
              <w:marLeft w:val="0"/>
              <w:marRight w:val="0"/>
              <w:marTop w:val="0"/>
              <w:marBottom w:val="0"/>
              <w:divBdr>
                <w:top w:val="none" w:sz="0" w:space="0" w:color="auto"/>
                <w:left w:val="none" w:sz="0" w:space="0" w:color="auto"/>
                <w:bottom w:val="none" w:sz="0" w:space="0" w:color="auto"/>
                <w:right w:val="none" w:sz="0" w:space="0" w:color="auto"/>
              </w:divBdr>
              <w:divsChild>
                <w:div w:id="1059326134">
                  <w:marLeft w:val="0"/>
                  <w:marRight w:val="0"/>
                  <w:marTop w:val="0"/>
                  <w:marBottom w:val="0"/>
                  <w:divBdr>
                    <w:top w:val="none" w:sz="0" w:space="0" w:color="auto"/>
                    <w:left w:val="none" w:sz="0" w:space="0" w:color="auto"/>
                    <w:bottom w:val="none" w:sz="0" w:space="0" w:color="auto"/>
                    <w:right w:val="none" w:sz="0" w:space="0" w:color="auto"/>
                  </w:divBdr>
                  <w:divsChild>
                    <w:div w:id="599485613">
                      <w:marLeft w:val="0"/>
                      <w:marRight w:val="0"/>
                      <w:marTop w:val="0"/>
                      <w:marBottom w:val="0"/>
                      <w:divBdr>
                        <w:top w:val="none" w:sz="0" w:space="0" w:color="auto"/>
                        <w:left w:val="none" w:sz="0" w:space="0" w:color="auto"/>
                        <w:bottom w:val="none" w:sz="0" w:space="0" w:color="auto"/>
                        <w:right w:val="none" w:sz="0" w:space="0" w:color="auto"/>
                      </w:divBdr>
                      <w:divsChild>
                        <w:div w:id="267392549">
                          <w:marLeft w:val="0"/>
                          <w:marRight w:val="0"/>
                          <w:marTop w:val="0"/>
                          <w:marBottom w:val="0"/>
                          <w:divBdr>
                            <w:top w:val="single" w:sz="6" w:space="0" w:color="828282"/>
                            <w:left w:val="single" w:sz="6" w:space="0" w:color="828282"/>
                            <w:bottom w:val="single" w:sz="6" w:space="0" w:color="828282"/>
                            <w:right w:val="single" w:sz="6" w:space="0" w:color="828282"/>
                          </w:divBdr>
                          <w:divsChild>
                            <w:div w:id="1611623822">
                              <w:marLeft w:val="0"/>
                              <w:marRight w:val="0"/>
                              <w:marTop w:val="0"/>
                              <w:marBottom w:val="0"/>
                              <w:divBdr>
                                <w:top w:val="none" w:sz="0" w:space="0" w:color="auto"/>
                                <w:left w:val="none" w:sz="0" w:space="0" w:color="auto"/>
                                <w:bottom w:val="none" w:sz="0" w:space="0" w:color="auto"/>
                                <w:right w:val="none" w:sz="0" w:space="0" w:color="auto"/>
                              </w:divBdr>
                              <w:divsChild>
                                <w:div w:id="273906646">
                                  <w:marLeft w:val="0"/>
                                  <w:marRight w:val="0"/>
                                  <w:marTop w:val="0"/>
                                  <w:marBottom w:val="0"/>
                                  <w:divBdr>
                                    <w:top w:val="none" w:sz="0" w:space="0" w:color="auto"/>
                                    <w:left w:val="none" w:sz="0" w:space="0" w:color="auto"/>
                                    <w:bottom w:val="none" w:sz="0" w:space="0" w:color="auto"/>
                                    <w:right w:val="none" w:sz="0" w:space="0" w:color="auto"/>
                                  </w:divBdr>
                                  <w:divsChild>
                                    <w:div w:id="864635306">
                                      <w:marLeft w:val="0"/>
                                      <w:marRight w:val="0"/>
                                      <w:marTop w:val="0"/>
                                      <w:marBottom w:val="0"/>
                                      <w:divBdr>
                                        <w:top w:val="none" w:sz="0" w:space="0" w:color="auto"/>
                                        <w:left w:val="none" w:sz="0" w:space="0" w:color="auto"/>
                                        <w:bottom w:val="none" w:sz="0" w:space="0" w:color="auto"/>
                                        <w:right w:val="none" w:sz="0" w:space="0" w:color="auto"/>
                                      </w:divBdr>
                                      <w:divsChild>
                                        <w:div w:id="1820806678">
                                          <w:marLeft w:val="0"/>
                                          <w:marRight w:val="0"/>
                                          <w:marTop w:val="0"/>
                                          <w:marBottom w:val="0"/>
                                          <w:divBdr>
                                            <w:top w:val="none" w:sz="0" w:space="0" w:color="auto"/>
                                            <w:left w:val="none" w:sz="0" w:space="0" w:color="auto"/>
                                            <w:bottom w:val="none" w:sz="0" w:space="0" w:color="auto"/>
                                            <w:right w:val="none" w:sz="0" w:space="0" w:color="auto"/>
                                          </w:divBdr>
                                          <w:divsChild>
                                            <w:div w:id="1098716454">
                                              <w:marLeft w:val="0"/>
                                              <w:marRight w:val="0"/>
                                              <w:marTop w:val="0"/>
                                              <w:marBottom w:val="0"/>
                                              <w:divBdr>
                                                <w:top w:val="none" w:sz="0" w:space="0" w:color="auto"/>
                                                <w:left w:val="none" w:sz="0" w:space="0" w:color="auto"/>
                                                <w:bottom w:val="none" w:sz="0" w:space="0" w:color="auto"/>
                                                <w:right w:val="none" w:sz="0" w:space="0" w:color="auto"/>
                                              </w:divBdr>
                                              <w:divsChild>
                                                <w:div w:id="85604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7273361">
      <w:bodyDiv w:val="1"/>
      <w:marLeft w:val="0"/>
      <w:marRight w:val="0"/>
      <w:marTop w:val="0"/>
      <w:marBottom w:val="0"/>
      <w:divBdr>
        <w:top w:val="none" w:sz="0" w:space="0" w:color="auto"/>
        <w:left w:val="none" w:sz="0" w:space="0" w:color="auto"/>
        <w:bottom w:val="none" w:sz="0" w:space="0" w:color="auto"/>
        <w:right w:val="none" w:sz="0" w:space="0" w:color="auto"/>
      </w:divBdr>
      <w:divsChild>
        <w:div w:id="1216741523">
          <w:marLeft w:val="0"/>
          <w:marRight w:val="0"/>
          <w:marTop w:val="0"/>
          <w:marBottom w:val="0"/>
          <w:divBdr>
            <w:top w:val="none" w:sz="0" w:space="0" w:color="auto"/>
            <w:left w:val="none" w:sz="0" w:space="0" w:color="auto"/>
            <w:bottom w:val="none" w:sz="0" w:space="0" w:color="auto"/>
            <w:right w:val="none" w:sz="0" w:space="0" w:color="auto"/>
          </w:divBdr>
          <w:divsChild>
            <w:div w:id="1824198789">
              <w:marLeft w:val="0"/>
              <w:marRight w:val="0"/>
              <w:marTop w:val="0"/>
              <w:marBottom w:val="0"/>
              <w:divBdr>
                <w:top w:val="none" w:sz="0" w:space="0" w:color="auto"/>
                <w:left w:val="none" w:sz="0" w:space="0" w:color="auto"/>
                <w:bottom w:val="none" w:sz="0" w:space="0" w:color="auto"/>
                <w:right w:val="none" w:sz="0" w:space="0" w:color="auto"/>
              </w:divBdr>
              <w:divsChild>
                <w:div w:id="506216702">
                  <w:marLeft w:val="0"/>
                  <w:marRight w:val="0"/>
                  <w:marTop w:val="0"/>
                  <w:marBottom w:val="0"/>
                  <w:divBdr>
                    <w:top w:val="none" w:sz="0" w:space="0" w:color="auto"/>
                    <w:left w:val="none" w:sz="0" w:space="0" w:color="auto"/>
                    <w:bottom w:val="none" w:sz="0" w:space="0" w:color="auto"/>
                    <w:right w:val="none" w:sz="0" w:space="0" w:color="auto"/>
                  </w:divBdr>
                  <w:divsChild>
                    <w:div w:id="21535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867885">
      <w:bodyDiv w:val="1"/>
      <w:marLeft w:val="0"/>
      <w:marRight w:val="0"/>
      <w:marTop w:val="0"/>
      <w:marBottom w:val="0"/>
      <w:divBdr>
        <w:top w:val="none" w:sz="0" w:space="0" w:color="auto"/>
        <w:left w:val="none" w:sz="0" w:space="0" w:color="auto"/>
        <w:bottom w:val="none" w:sz="0" w:space="0" w:color="auto"/>
        <w:right w:val="none" w:sz="0" w:space="0" w:color="auto"/>
      </w:divBdr>
      <w:divsChild>
        <w:div w:id="1670013509">
          <w:marLeft w:val="0"/>
          <w:marRight w:val="0"/>
          <w:marTop w:val="0"/>
          <w:marBottom w:val="0"/>
          <w:divBdr>
            <w:top w:val="none" w:sz="0" w:space="0" w:color="auto"/>
            <w:left w:val="none" w:sz="0" w:space="0" w:color="auto"/>
            <w:bottom w:val="none" w:sz="0" w:space="0" w:color="auto"/>
            <w:right w:val="none" w:sz="0" w:space="0" w:color="auto"/>
          </w:divBdr>
          <w:divsChild>
            <w:div w:id="1370228225">
              <w:marLeft w:val="0"/>
              <w:marRight w:val="0"/>
              <w:marTop w:val="0"/>
              <w:marBottom w:val="0"/>
              <w:divBdr>
                <w:top w:val="none" w:sz="0" w:space="0" w:color="auto"/>
                <w:left w:val="none" w:sz="0" w:space="0" w:color="auto"/>
                <w:bottom w:val="none" w:sz="0" w:space="0" w:color="auto"/>
                <w:right w:val="none" w:sz="0" w:space="0" w:color="auto"/>
              </w:divBdr>
              <w:divsChild>
                <w:div w:id="1726030569">
                  <w:marLeft w:val="0"/>
                  <w:marRight w:val="0"/>
                  <w:marTop w:val="0"/>
                  <w:marBottom w:val="0"/>
                  <w:divBdr>
                    <w:top w:val="none" w:sz="0" w:space="0" w:color="auto"/>
                    <w:left w:val="none" w:sz="0" w:space="0" w:color="auto"/>
                    <w:bottom w:val="none" w:sz="0" w:space="0" w:color="auto"/>
                    <w:right w:val="none" w:sz="0" w:space="0" w:color="auto"/>
                  </w:divBdr>
                  <w:divsChild>
                    <w:div w:id="1797988867">
                      <w:marLeft w:val="0"/>
                      <w:marRight w:val="0"/>
                      <w:marTop w:val="0"/>
                      <w:marBottom w:val="0"/>
                      <w:divBdr>
                        <w:top w:val="none" w:sz="0" w:space="0" w:color="auto"/>
                        <w:left w:val="none" w:sz="0" w:space="0" w:color="auto"/>
                        <w:bottom w:val="none" w:sz="0" w:space="0" w:color="auto"/>
                        <w:right w:val="none" w:sz="0" w:space="0" w:color="auto"/>
                      </w:divBdr>
                      <w:divsChild>
                        <w:div w:id="790782835">
                          <w:marLeft w:val="0"/>
                          <w:marRight w:val="0"/>
                          <w:marTop w:val="0"/>
                          <w:marBottom w:val="0"/>
                          <w:divBdr>
                            <w:top w:val="single" w:sz="6" w:space="0" w:color="828282"/>
                            <w:left w:val="single" w:sz="6" w:space="0" w:color="828282"/>
                            <w:bottom w:val="single" w:sz="6" w:space="0" w:color="828282"/>
                            <w:right w:val="single" w:sz="6" w:space="0" w:color="828282"/>
                          </w:divBdr>
                          <w:divsChild>
                            <w:div w:id="41371224">
                              <w:marLeft w:val="0"/>
                              <w:marRight w:val="0"/>
                              <w:marTop w:val="0"/>
                              <w:marBottom w:val="0"/>
                              <w:divBdr>
                                <w:top w:val="none" w:sz="0" w:space="0" w:color="auto"/>
                                <w:left w:val="none" w:sz="0" w:space="0" w:color="auto"/>
                                <w:bottom w:val="none" w:sz="0" w:space="0" w:color="auto"/>
                                <w:right w:val="none" w:sz="0" w:space="0" w:color="auto"/>
                              </w:divBdr>
                              <w:divsChild>
                                <w:div w:id="428744312">
                                  <w:marLeft w:val="0"/>
                                  <w:marRight w:val="0"/>
                                  <w:marTop w:val="0"/>
                                  <w:marBottom w:val="0"/>
                                  <w:divBdr>
                                    <w:top w:val="none" w:sz="0" w:space="0" w:color="auto"/>
                                    <w:left w:val="none" w:sz="0" w:space="0" w:color="auto"/>
                                    <w:bottom w:val="none" w:sz="0" w:space="0" w:color="auto"/>
                                    <w:right w:val="none" w:sz="0" w:space="0" w:color="auto"/>
                                  </w:divBdr>
                                  <w:divsChild>
                                    <w:div w:id="924805598">
                                      <w:marLeft w:val="0"/>
                                      <w:marRight w:val="0"/>
                                      <w:marTop w:val="0"/>
                                      <w:marBottom w:val="0"/>
                                      <w:divBdr>
                                        <w:top w:val="none" w:sz="0" w:space="0" w:color="auto"/>
                                        <w:left w:val="none" w:sz="0" w:space="0" w:color="auto"/>
                                        <w:bottom w:val="none" w:sz="0" w:space="0" w:color="auto"/>
                                        <w:right w:val="none" w:sz="0" w:space="0" w:color="auto"/>
                                      </w:divBdr>
                                      <w:divsChild>
                                        <w:div w:id="323363540">
                                          <w:marLeft w:val="0"/>
                                          <w:marRight w:val="0"/>
                                          <w:marTop w:val="0"/>
                                          <w:marBottom w:val="0"/>
                                          <w:divBdr>
                                            <w:top w:val="none" w:sz="0" w:space="0" w:color="auto"/>
                                            <w:left w:val="none" w:sz="0" w:space="0" w:color="auto"/>
                                            <w:bottom w:val="none" w:sz="0" w:space="0" w:color="auto"/>
                                            <w:right w:val="none" w:sz="0" w:space="0" w:color="auto"/>
                                          </w:divBdr>
                                          <w:divsChild>
                                            <w:div w:id="1037659764">
                                              <w:marLeft w:val="0"/>
                                              <w:marRight w:val="0"/>
                                              <w:marTop w:val="0"/>
                                              <w:marBottom w:val="0"/>
                                              <w:divBdr>
                                                <w:top w:val="none" w:sz="0" w:space="0" w:color="auto"/>
                                                <w:left w:val="none" w:sz="0" w:space="0" w:color="auto"/>
                                                <w:bottom w:val="none" w:sz="0" w:space="0" w:color="auto"/>
                                                <w:right w:val="none" w:sz="0" w:space="0" w:color="auto"/>
                                              </w:divBdr>
                                              <w:divsChild>
                                                <w:div w:id="16713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8235339">
      <w:bodyDiv w:val="1"/>
      <w:marLeft w:val="0"/>
      <w:marRight w:val="0"/>
      <w:marTop w:val="0"/>
      <w:marBottom w:val="0"/>
      <w:divBdr>
        <w:top w:val="none" w:sz="0" w:space="0" w:color="auto"/>
        <w:left w:val="none" w:sz="0" w:space="0" w:color="auto"/>
        <w:bottom w:val="none" w:sz="0" w:space="0" w:color="auto"/>
        <w:right w:val="none" w:sz="0" w:space="0" w:color="auto"/>
      </w:divBdr>
      <w:divsChild>
        <w:div w:id="1020662212">
          <w:marLeft w:val="0"/>
          <w:marRight w:val="0"/>
          <w:marTop w:val="0"/>
          <w:marBottom w:val="0"/>
          <w:divBdr>
            <w:top w:val="none" w:sz="0" w:space="0" w:color="auto"/>
            <w:left w:val="none" w:sz="0" w:space="0" w:color="auto"/>
            <w:bottom w:val="none" w:sz="0" w:space="0" w:color="auto"/>
            <w:right w:val="none" w:sz="0" w:space="0" w:color="auto"/>
          </w:divBdr>
          <w:divsChild>
            <w:div w:id="346564699">
              <w:marLeft w:val="0"/>
              <w:marRight w:val="0"/>
              <w:marTop w:val="0"/>
              <w:marBottom w:val="0"/>
              <w:divBdr>
                <w:top w:val="none" w:sz="0" w:space="0" w:color="auto"/>
                <w:left w:val="none" w:sz="0" w:space="0" w:color="auto"/>
                <w:bottom w:val="none" w:sz="0" w:space="0" w:color="auto"/>
                <w:right w:val="none" w:sz="0" w:space="0" w:color="auto"/>
              </w:divBdr>
              <w:divsChild>
                <w:div w:id="1583875286">
                  <w:marLeft w:val="0"/>
                  <w:marRight w:val="0"/>
                  <w:marTop w:val="0"/>
                  <w:marBottom w:val="0"/>
                  <w:divBdr>
                    <w:top w:val="none" w:sz="0" w:space="0" w:color="auto"/>
                    <w:left w:val="none" w:sz="0" w:space="0" w:color="auto"/>
                    <w:bottom w:val="none" w:sz="0" w:space="0" w:color="auto"/>
                    <w:right w:val="none" w:sz="0" w:space="0" w:color="auto"/>
                  </w:divBdr>
                  <w:divsChild>
                    <w:div w:id="136338808">
                      <w:marLeft w:val="0"/>
                      <w:marRight w:val="0"/>
                      <w:marTop w:val="0"/>
                      <w:marBottom w:val="0"/>
                      <w:divBdr>
                        <w:top w:val="none" w:sz="0" w:space="0" w:color="auto"/>
                        <w:left w:val="none" w:sz="0" w:space="0" w:color="auto"/>
                        <w:bottom w:val="none" w:sz="0" w:space="0" w:color="auto"/>
                        <w:right w:val="none" w:sz="0" w:space="0" w:color="auto"/>
                      </w:divBdr>
                      <w:divsChild>
                        <w:div w:id="500049119">
                          <w:marLeft w:val="0"/>
                          <w:marRight w:val="0"/>
                          <w:marTop w:val="0"/>
                          <w:marBottom w:val="0"/>
                          <w:divBdr>
                            <w:top w:val="single" w:sz="6" w:space="0" w:color="828282"/>
                            <w:left w:val="single" w:sz="6" w:space="0" w:color="828282"/>
                            <w:bottom w:val="single" w:sz="6" w:space="0" w:color="828282"/>
                            <w:right w:val="single" w:sz="6" w:space="0" w:color="828282"/>
                          </w:divBdr>
                          <w:divsChild>
                            <w:div w:id="51006400">
                              <w:marLeft w:val="0"/>
                              <w:marRight w:val="0"/>
                              <w:marTop w:val="0"/>
                              <w:marBottom w:val="0"/>
                              <w:divBdr>
                                <w:top w:val="none" w:sz="0" w:space="0" w:color="auto"/>
                                <w:left w:val="none" w:sz="0" w:space="0" w:color="auto"/>
                                <w:bottom w:val="none" w:sz="0" w:space="0" w:color="auto"/>
                                <w:right w:val="none" w:sz="0" w:space="0" w:color="auto"/>
                              </w:divBdr>
                              <w:divsChild>
                                <w:div w:id="1043095749">
                                  <w:marLeft w:val="0"/>
                                  <w:marRight w:val="0"/>
                                  <w:marTop w:val="0"/>
                                  <w:marBottom w:val="0"/>
                                  <w:divBdr>
                                    <w:top w:val="none" w:sz="0" w:space="0" w:color="auto"/>
                                    <w:left w:val="none" w:sz="0" w:space="0" w:color="auto"/>
                                    <w:bottom w:val="none" w:sz="0" w:space="0" w:color="auto"/>
                                    <w:right w:val="none" w:sz="0" w:space="0" w:color="auto"/>
                                  </w:divBdr>
                                  <w:divsChild>
                                    <w:div w:id="1346178014">
                                      <w:marLeft w:val="0"/>
                                      <w:marRight w:val="0"/>
                                      <w:marTop w:val="0"/>
                                      <w:marBottom w:val="0"/>
                                      <w:divBdr>
                                        <w:top w:val="none" w:sz="0" w:space="0" w:color="auto"/>
                                        <w:left w:val="none" w:sz="0" w:space="0" w:color="auto"/>
                                        <w:bottom w:val="none" w:sz="0" w:space="0" w:color="auto"/>
                                        <w:right w:val="none" w:sz="0" w:space="0" w:color="auto"/>
                                      </w:divBdr>
                                      <w:divsChild>
                                        <w:div w:id="969671182">
                                          <w:marLeft w:val="0"/>
                                          <w:marRight w:val="0"/>
                                          <w:marTop w:val="0"/>
                                          <w:marBottom w:val="0"/>
                                          <w:divBdr>
                                            <w:top w:val="none" w:sz="0" w:space="0" w:color="auto"/>
                                            <w:left w:val="none" w:sz="0" w:space="0" w:color="auto"/>
                                            <w:bottom w:val="none" w:sz="0" w:space="0" w:color="auto"/>
                                            <w:right w:val="none" w:sz="0" w:space="0" w:color="auto"/>
                                          </w:divBdr>
                                          <w:divsChild>
                                            <w:div w:id="837572646">
                                              <w:marLeft w:val="0"/>
                                              <w:marRight w:val="0"/>
                                              <w:marTop w:val="0"/>
                                              <w:marBottom w:val="0"/>
                                              <w:divBdr>
                                                <w:top w:val="none" w:sz="0" w:space="0" w:color="auto"/>
                                                <w:left w:val="none" w:sz="0" w:space="0" w:color="auto"/>
                                                <w:bottom w:val="none" w:sz="0" w:space="0" w:color="auto"/>
                                                <w:right w:val="none" w:sz="0" w:space="0" w:color="auto"/>
                                              </w:divBdr>
                                              <w:divsChild>
                                                <w:div w:id="181398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1763834">
      <w:bodyDiv w:val="1"/>
      <w:marLeft w:val="0"/>
      <w:marRight w:val="0"/>
      <w:marTop w:val="0"/>
      <w:marBottom w:val="0"/>
      <w:divBdr>
        <w:top w:val="none" w:sz="0" w:space="0" w:color="auto"/>
        <w:left w:val="none" w:sz="0" w:space="0" w:color="auto"/>
        <w:bottom w:val="none" w:sz="0" w:space="0" w:color="auto"/>
        <w:right w:val="none" w:sz="0" w:space="0" w:color="auto"/>
      </w:divBdr>
      <w:divsChild>
        <w:div w:id="672418902">
          <w:marLeft w:val="0"/>
          <w:marRight w:val="0"/>
          <w:marTop w:val="0"/>
          <w:marBottom w:val="0"/>
          <w:divBdr>
            <w:top w:val="none" w:sz="0" w:space="0" w:color="auto"/>
            <w:left w:val="none" w:sz="0" w:space="0" w:color="auto"/>
            <w:bottom w:val="none" w:sz="0" w:space="0" w:color="auto"/>
            <w:right w:val="none" w:sz="0" w:space="0" w:color="auto"/>
          </w:divBdr>
          <w:divsChild>
            <w:div w:id="465128161">
              <w:marLeft w:val="0"/>
              <w:marRight w:val="0"/>
              <w:marTop w:val="0"/>
              <w:marBottom w:val="0"/>
              <w:divBdr>
                <w:top w:val="none" w:sz="0" w:space="0" w:color="auto"/>
                <w:left w:val="none" w:sz="0" w:space="0" w:color="auto"/>
                <w:bottom w:val="none" w:sz="0" w:space="0" w:color="auto"/>
                <w:right w:val="none" w:sz="0" w:space="0" w:color="auto"/>
              </w:divBdr>
              <w:divsChild>
                <w:div w:id="1755316291">
                  <w:marLeft w:val="0"/>
                  <w:marRight w:val="0"/>
                  <w:marTop w:val="0"/>
                  <w:marBottom w:val="0"/>
                  <w:divBdr>
                    <w:top w:val="none" w:sz="0" w:space="0" w:color="auto"/>
                    <w:left w:val="none" w:sz="0" w:space="0" w:color="auto"/>
                    <w:bottom w:val="none" w:sz="0" w:space="0" w:color="auto"/>
                    <w:right w:val="none" w:sz="0" w:space="0" w:color="auto"/>
                  </w:divBdr>
                  <w:divsChild>
                    <w:div w:id="1512643679">
                      <w:marLeft w:val="0"/>
                      <w:marRight w:val="0"/>
                      <w:marTop w:val="0"/>
                      <w:marBottom w:val="0"/>
                      <w:divBdr>
                        <w:top w:val="none" w:sz="0" w:space="0" w:color="auto"/>
                        <w:left w:val="none" w:sz="0" w:space="0" w:color="auto"/>
                        <w:bottom w:val="none" w:sz="0" w:space="0" w:color="auto"/>
                        <w:right w:val="none" w:sz="0" w:space="0" w:color="auto"/>
                      </w:divBdr>
                      <w:divsChild>
                        <w:div w:id="1226650303">
                          <w:marLeft w:val="0"/>
                          <w:marRight w:val="0"/>
                          <w:marTop w:val="0"/>
                          <w:marBottom w:val="0"/>
                          <w:divBdr>
                            <w:top w:val="single" w:sz="6" w:space="0" w:color="828282"/>
                            <w:left w:val="single" w:sz="6" w:space="0" w:color="828282"/>
                            <w:bottom w:val="single" w:sz="6" w:space="0" w:color="828282"/>
                            <w:right w:val="single" w:sz="6" w:space="0" w:color="828282"/>
                          </w:divBdr>
                          <w:divsChild>
                            <w:div w:id="107816574">
                              <w:marLeft w:val="0"/>
                              <w:marRight w:val="0"/>
                              <w:marTop w:val="0"/>
                              <w:marBottom w:val="0"/>
                              <w:divBdr>
                                <w:top w:val="none" w:sz="0" w:space="0" w:color="auto"/>
                                <w:left w:val="none" w:sz="0" w:space="0" w:color="auto"/>
                                <w:bottom w:val="none" w:sz="0" w:space="0" w:color="auto"/>
                                <w:right w:val="none" w:sz="0" w:space="0" w:color="auto"/>
                              </w:divBdr>
                              <w:divsChild>
                                <w:div w:id="1818380413">
                                  <w:marLeft w:val="0"/>
                                  <w:marRight w:val="0"/>
                                  <w:marTop w:val="0"/>
                                  <w:marBottom w:val="0"/>
                                  <w:divBdr>
                                    <w:top w:val="none" w:sz="0" w:space="0" w:color="auto"/>
                                    <w:left w:val="none" w:sz="0" w:space="0" w:color="auto"/>
                                    <w:bottom w:val="none" w:sz="0" w:space="0" w:color="auto"/>
                                    <w:right w:val="none" w:sz="0" w:space="0" w:color="auto"/>
                                  </w:divBdr>
                                  <w:divsChild>
                                    <w:div w:id="1005014127">
                                      <w:marLeft w:val="0"/>
                                      <w:marRight w:val="0"/>
                                      <w:marTop w:val="0"/>
                                      <w:marBottom w:val="0"/>
                                      <w:divBdr>
                                        <w:top w:val="none" w:sz="0" w:space="0" w:color="auto"/>
                                        <w:left w:val="none" w:sz="0" w:space="0" w:color="auto"/>
                                        <w:bottom w:val="none" w:sz="0" w:space="0" w:color="auto"/>
                                        <w:right w:val="none" w:sz="0" w:space="0" w:color="auto"/>
                                      </w:divBdr>
                                      <w:divsChild>
                                        <w:div w:id="759252658">
                                          <w:marLeft w:val="0"/>
                                          <w:marRight w:val="0"/>
                                          <w:marTop w:val="0"/>
                                          <w:marBottom w:val="0"/>
                                          <w:divBdr>
                                            <w:top w:val="none" w:sz="0" w:space="0" w:color="auto"/>
                                            <w:left w:val="none" w:sz="0" w:space="0" w:color="auto"/>
                                            <w:bottom w:val="none" w:sz="0" w:space="0" w:color="auto"/>
                                            <w:right w:val="none" w:sz="0" w:space="0" w:color="auto"/>
                                          </w:divBdr>
                                          <w:divsChild>
                                            <w:div w:id="584997986">
                                              <w:marLeft w:val="0"/>
                                              <w:marRight w:val="0"/>
                                              <w:marTop w:val="0"/>
                                              <w:marBottom w:val="0"/>
                                              <w:divBdr>
                                                <w:top w:val="none" w:sz="0" w:space="0" w:color="auto"/>
                                                <w:left w:val="none" w:sz="0" w:space="0" w:color="auto"/>
                                                <w:bottom w:val="none" w:sz="0" w:space="0" w:color="auto"/>
                                                <w:right w:val="none" w:sz="0" w:space="0" w:color="auto"/>
                                              </w:divBdr>
                                              <w:divsChild>
                                                <w:div w:id="82196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7075791">
      <w:bodyDiv w:val="1"/>
      <w:marLeft w:val="0"/>
      <w:marRight w:val="0"/>
      <w:marTop w:val="0"/>
      <w:marBottom w:val="0"/>
      <w:divBdr>
        <w:top w:val="none" w:sz="0" w:space="0" w:color="auto"/>
        <w:left w:val="none" w:sz="0" w:space="0" w:color="auto"/>
        <w:bottom w:val="none" w:sz="0" w:space="0" w:color="auto"/>
        <w:right w:val="none" w:sz="0" w:space="0" w:color="auto"/>
      </w:divBdr>
      <w:divsChild>
        <w:div w:id="1231844364">
          <w:marLeft w:val="0"/>
          <w:marRight w:val="0"/>
          <w:marTop w:val="0"/>
          <w:marBottom w:val="0"/>
          <w:divBdr>
            <w:top w:val="none" w:sz="0" w:space="0" w:color="auto"/>
            <w:left w:val="none" w:sz="0" w:space="0" w:color="auto"/>
            <w:bottom w:val="none" w:sz="0" w:space="0" w:color="auto"/>
            <w:right w:val="none" w:sz="0" w:space="0" w:color="auto"/>
          </w:divBdr>
          <w:divsChild>
            <w:div w:id="118384325">
              <w:marLeft w:val="0"/>
              <w:marRight w:val="0"/>
              <w:marTop w:val="0"/>
              <w:marBottom w:val="0"/>
              <w:divBdr>
                <w:top w:val="none" w:sz="0" w:space="0" w:color="auto"/>
                <w:left w:val="none" w:sz="0" w:space="0" w:color="auto"/>
                <w:bottom w:val="none" w:sz="0" w:space="0" w:color="auto"/>
                <w:right w:val="none" w:sz="0" w:space="0" w:color="auto"/>
              </w:divBdr>
              <w:divsChild>
                <w:div w:id="48118048">
                  <w:marLeft w:val="0"/>
                  <w:marRight w:val="0"/>
                  <w:marTop w:val="0"/>
                  <w:marBottom w:val="0"/>
                  <w:divBdr>
                    <w:top w:val="none" w:sz="0" w:space="0" w:color="auto"/>
                    <w:left w:val="none" w:sz="0" w:space="0" w:color="auto"/>
                    <w:bottom w:val="none" w:sz="0" w:space="0" w:color="auto"/>
                    <w:right w:val="none" w:sz="0" w:space="0" w:color="auto"/>
                  </w:divBdr>
                  <w:divsChild>
                    <w:div w:id="2014333860">
                      <w:marLeft w:val="0"/>
                      <w:marRight w:val="0"/>
                      <w:marTop w:val="0"/>
                      <w:marBottom w:val="0"/>
                      <w:divBdr>
                        <w:top w:val="none" w:sz="0" w:space="0" w:color="auto"/>
                        <w:left w:val="none" w:sz="0" w:space="0" w:color="auto"/>
                        <w:bottom w:val="none" w:sz="0" w:space="0" w:color="auto"/>
                        <w:right w:val="none" w:sz="0" w:space="0" w:color="auto"/>
                      </w:divBdr>
                      <w:divsChild>
                        <w:div w:id="677586783">
                          <w:marLeft w:val="0"/>
                          <w:marRight w:val="0"/>
                          <w:marTop w:val="0"/>
                          <w:marBottom w:val="0"/>
                          <w:divBdr>
                            <w:top w:val="single" w:sz="6" w:space="0" w:color="828282"/>
                            <w:left w:val="single" w:sz="6" w:space="0" w:color="828282"/>
                            <w:bottom w:val="single" w:sz="6" w:space="0" w:color="828282"/>
                            <w:right w:val="single" w:sz="6" w:space="0" w:color="828282"/>
                          </w:divBdr>
                          <w:divsChild>
                            <w:div w:id="1979147045">
                              <w:marLeft w:val="0"/>
                              <w:marRight w:val="0"/>
                              <w:marTop w:val="0"/>
                              <w:marBottom w:val="0"/>
                              <w:divBdr>
                                <w:top w:val="none" w:sz="0" w:space="0" w:color="auto"/>
                                <w:left w:val="none" w:sz="0" w:space="0" w:color="auto"/>
                                <w:bottom w:val="none" w:sz="0" w:space="0" w:color="auto"/>
                                <w:right w:val="none" w:sz="0" w:space="0" w:color="auto"/>
                              </w:divBdr>
                              <w:divsChild>
                                <w:div w:id="1800682059">
                                  <w:marLeft w:val="0"/>
                                  <w:marRight w:val="0"/>
                                  <w:marTop w:val="0"/>
                                  <w:marBottom w:val="0"/>
                                  <w:divBdr>
                                    <w:top w:val="none" w:sz="0" w:space="0" w:color="auto"/>
                                    <w:left w:val="none" w:sz="0" w:space="0" w:color="auto"/>
                                    <w:bottom w:val="none" w:sz="0" w:space="0" w:color="auto"/>
                                    <w:right w:val="none" w:sz="0" w:space="0" w:color="auto"/>
                                  </w:divBdr>
                                  <w:divsChild>
                                    <w:div w:id="841042261">
                                      <w:marLeft w:val="0"/>
                                      <w:marRight w:val="0"/>
                                      <w:marTop w:val="0"/>
                                      <w:marBottom w:val="0"/>
                                      <w:divBdr>
                                        <w:top w:val="none" w:sz="0" w:space="0" w:color="auto"/>
                                        <w:left w:val="none" w:sz="0" w:space="0" w:color="auto"/>
                                        <w:bottom w:val="none" w:sz="0" w:space="0" w:color="auto"/>
                                        <w:right w:val="none" w:sz="0" w:space="0" w:color="auto"/>
                                      </w:divBdr>
                                      <w:divsChild>
                                        <w:div w:id="1890801922">
                                          <w:marLeft w:val="0"/>
                                          <w:marRight w:val="0"/>
                                          <w:marTop w:val="0"/>
                                          <w:marBottom w:val="0"/>
                                          <w:divBdr>
                                            <w:top w:val="none" w:sz="0" w:space="0" w:color="auto"/>
                                            <w:left w:val="none" w:sz="0" w:space="0" w:color="auto"/>
                                            <w:bottom w:val="none" w:sz="0" w:space="0" w:color="auto"/>
                                            <w:right w:val="none" w:sz="0" w:space="0" w:color="auto"/>
                                          </w:divBdr>
                                          <w:divsChild>
                                            <w:div w:id="488638324">
                                              <w:marLeft w:val="0"/>
                                              <w:marRight w:val="0"/>
                                              <w:marTop w:val="0"/>
                                              <w:marBottom w:val="0"/>
                                              <w:divBdr>
                                                <w:top w:val="none" w:sz="0" w:space="0" w:color="auto"/>
                                                <w:left w:val="none" w:sz="0" w:space="0" w:color="auto"/>
                                                <w:bottom w:val="none" w:sz="0" w:space="0" w:color="auto"/>
                                                <w:right w:val="none" w:sz="0" w:space="0" w:color="auto"/>
                                              </w:divBdr>
                                              <w:divsChild>
                                                <w:div w:id="74083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8741066">
      <w:bodyDiv w:val="1"/>
      <w:marLeft w:val="0"/>
      <w:marRight w:val="0"/>
      <w:marTop w:val="0"/>
      <w:marBottom w:val="0"/>
      <w:divBdr>
        <w:top w:val="none" w:sz="0" w:space="0" w:color="auto"/>
        <w:left w:val="none" w:sz="0" w:space="0" w:color="auto"/>
        <w:bottom w:val="none" w:sz="0" w:space="0" w:color="auto"/>
        <w:right w:val="none" w:sz="0" w:space="0" w:color="auto"/>
      </w:divBdr>
      <w:divsChild>
        <w:div w:id="1813713885">
          <w:marLeft w:val="0"/>
          <w:marRight w:val="0"/>
          <w:marTop w:val="0"/>
          <w:marBottom w:val="0"/>
          <w:divBdr>
            <w:top w:val="none" w:sz="0" w:space="0" w:color="auto"/>
            <w:left w:val="none" w:sz="0" w:space="0" w:color="auto"/>
            <w:bottom w:val="none" w:sz="0" w:space="0" w:color="auto"/>
            <w:right w:val="none" w:sz="0" w:space="0" w:color="auto"/>
          </w:divBdr>
          <w:divsChild>
            <w:div w:id="426003794">
              <w:marLeft w:val="0"/>
              <w:marRight w:val="0"/>
              <w:marTop w:val="0"/>
              <w:marBottom w:val="0"/>
              <w:divBdr>
                <w:top w:val="none" w:sz="0" w:space="0" w:color="auto"/>
                <w:left w:val="none" w:sz="0" w:space="0" w:color="auto"/>
                <w:bottom w:val="none" w:sz="0" w:space="0" w:color="auto"/>
                <w:right w:val="none" w:sz="0" w:space="0" w:color="auto"/>
              </w:divBdr>
              <w:divsChild>
                <w:div w:id="1862084641">
                  <w:marLeft w:val="0"/>
                  <w:marRight w:val="0"/>
                  <w:marTop w:val="0"/>
                  <w:marBottom w:val="0"/>
                  <w:divBdr>
                    <w:top w:val="none" w:sz="0" w:space="0" w:color="auto"/>
                    <w:left w:val="none" w:sz="0" w:space="0" w:color="auto"/>
                    <w:bottom w:val="none" w:sz="0" w:space="0" w:color="auto"/>
                    <w:right w:val="none" w:sz="0" w:space="0" w:color="auto"/>
                  </w:divBdr>
                  <w:divsChild>
                    <w:div w:id="1828939529">
                      <w:marLeft w:val="0"/>
                      <w:marRight w:val="0"/>
                      <w:marTop w:val="0"/>
                      <w:marBottom w:val="0"/>
                      <w:divBdr>
                        <w:top w:val="none" w:sz="0" w:space="0" w:color="auto"/>
                        <w:left w:val="none" w:sz="0" w:space="0" w:color="auto"/>
                        <w:bottom w:val="none" w:sz="0" w:space="0" w:color="auto"/>
                        <w:right w:val="none" w:sz="0" w:space="0" w:color="auto"/>
                      </w:divBdr>
                      <w:divsChild>
                        <w:div w:id="833758196">
                          <w:marLeft w:val="0"/>
                          <w:marRight w:val="0"/>
                          <w:marTop w:val="0"/>
                          <w:marBottom w:val="0"/>
                          <w:divBdr>
                            <w:top w:val="single" w:sz="6" w:space="0" w:color="828282"/>
                            <w:left w:val="single" w:sz="6" w:space="0" w:color="828282"/>
                            <w:bottom w:val="single" w:sz="6" w:space="0" w:color="828282"/>
                            <w:right w:val="single" w:sz="6" w:space="0" w:color="828282"/>
                          </w:divBdr>
                          <w:divsChild>
                            <w:div w:id="83038677">
                              <w:marLeft w:val="0"/>
                              <w:marRight w:val="0"/>
                              <w:marTop w:val="0"/>
                              <w:marBottom w:val="0"/>
                              <w:divBdr>
                                <w:top w:val="none" w:sz="0" w:space="0" w:color="auto"/>
                                <w:left w:val="none" w:sz="0" w:space="0" w:color="auto"/>
                                <w:bottom w:val="none" w:sz="0" w:space="0" w:color="auto"/>
                                <w:right w:val="none" w:sz="0" w:space="0" w:color="auto"/>
                              </w:divBdr>
                              <w:divsChild>
                                <w:div w:id="2144540247">
                                  <w:marLeft w:val="0"/>
                                  <w:marRight w:val="0"/>
                                  <w:marTop w:val="0"/>
                                  <w:marBottom w:val="0"/>
                                  <w:divBdr>
                                    <w:top w:val="none" w:sz="0" w:space="0" w:color="auto"/>
                                    <w:left w:val="none" w:sz="0" w:space="0" w:color="auto"/>
                                    <w:bottom w:val="none" w:sz="0" w:space="0" w:color="auto"/>
                                    <w:right w:val="none" w:sz="0" w:space="0" w:color="auto"/>
                                  </w:divBdr>
                                  <w:divsChild>
                                    <w:div w:id="1274166676">
                                      <w:marLeft w:val="0"/>
                                      <w:marRight w:val="0"/>
                                      <w:marTop w:val="0"/>
                                      <w:marBottom w:val="0"/>
                                      <w:divBdr>
                                        <w:top w:val="none" w:sz="0" w:space="0" w:color="auto"/>
                                        <w:left w:val="none" w:sz="0" w:space="0" w:color="auto"/>
                                        <w:bottom w:val="none" w:sz="0" w:space="0" w:color="auto"/>
                                        <w:right w:val="none" w:sz="0" w:space="0" w:color="auto"/>
                                      </w:divBdr>
                                      <w:divsChild>
                                        <w:div w:id="411437082">
                                          <w:marLeft w:val="0"/>
                                          <w:marRight w:val="0"/>
                                          <w:marTop w:val="0"/>
                                          <w:marBottom w:val="0"/>
                                          <w:divBdr>
                                            <w:top w:val="none" w:sz="0" w:space="0" w:color="auto"/>
                                            <w:left w:val="none" w:sz="0" w:space="0" w:color="auto"/>
                                            <w:bottom w:val="none" w:sz="0" w:space="0" w:color="auto"/>
                                            <w:right w:val="none" w:sz="0" w:space="0" w:color="auto"/>
                                          </w:divBdr>
                                          <w:divsChild>
                                            <w:div w:id="1273198381">
                                              <w:marLeft w:val="0"/>
                                              <w:marRight w:val="0"/>
                                              <w:marTop w:val="0"/>
                                              <w:marBottom w:val="0"/>
                                              <w:divBdr>
                                                <w:top w:val="none" w:sz="0" w:space="0" w:color="auto"/>
                                                <w:left w:val="none" w:sz="0" w:space="0" w:color="auto"/>
                                                <w:bottom w:val="none" w:sz="0" w:space="0" w:color="auto"/>
                                                <w:right w:val="none" w:sz="0" w:space="0" w:color="auto"/>
                                              </w:divBdr>
                                              <w:divsChild>
                                                <w:div w:id="21298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1704183">
      <w:bodyDiv w:val="1"/>
      <w:marLeft w:val="0"/>
      <w:marRight w:val="0"/>
      <w:marTop w:val="0"/>
      <w:marBottom w:val="0"/>
      <w:divBdr>
        <w:top w:val="none" w:sz="0" w:space="0" w:color="auto"/>
        <w:left w:val="none" w:sz="0" w:space="0" w:color="auto"/>
        <w:bottom w:val="none" w:sz="0" w:space="0" w:color="auto"/>
        <w:right w:val="none" w:sz="0" w:space="0" w:color="auto"/>
      </w:divBdr>
    </w:div>
    <w:div w:id="499928680">
      <w:bodyDiv w:val="1"/>
      <w:marLeft w:val="0"/>
      <w:marRight w:val="0"/>
      <w:marTop w:val="0"/>
      <w:marBottom w:val="0"/>
      <w:divBdr>
        <w:top w:val="none" w:sz="0" w:space="0" w:color="auto"/>
        <w:left w:val="none" w:sz="0" w:space="0" w:color="auto"/>
        <w:bottom w:val="none" w:sz="0" w:space="0" w:color="auto"/>
        <w:right w:val="none" w:sz="0" w:space="0" w:color="auto"/>
      </w:divBdr>
      <w:divsChild>
        <w:div w:id="909004299">
          <w:marLeft w:val="0"/>
          <w:marRight w:val="0"/>
          <w:marTop w:val="0"/>
          <w:marBottom w:val="0"/>
          <w:divBdr>
            <w:top w:val="none" w:sz="0" w:space="0" w:color="auto"/>
            <w:left w:val="none" w:sz="0" w:space="0" w:color="auto"/>
            <w:bottom w:val="none" w:sz="0" w:space="0" w:color="auto"/>
            <w:right w:val="none" w:sz="0" w:space="0" w:color="auto"/>
          </w:divBdr>
          <w:divsChild>
            <w:div w:id="518661654">
              <w:marLeft w:val="0"/>
              <w:marRight w:val="0"/>
              <w:marTop w:val="0"/>
              <w:marBottom w:val="0"/>
              <w:divBdr>
                <w:top w:val="none" w:sz="0" w:space="0" w:color="auto"/>
                <w:left w:val="none" w:sz="0" w:space="0" w:color="auto"/>
                <w:bottom w:val="none" w:sz="0" w:space="0" w:color="auto"/>
                <w:right w:val="none" w:sz="0" w:space="0" w:color="auto"/>
              </w:divBdr>
              <w:divsChild>
                <w:div w:id="1154757263">
                  <w:marLeft w:val="0"/>
                  <w:marRight w:val="0"/>
                  <w:marTop w:val="0"/>
                  <w:marBottom w:val="0"/>
                  <w:divBdr>
                    <w:top w:val="none" w:sz="0" w:space="0" w:color="auto"/>
                    <w:left w:val="none" w:sz="0" w:space="0" w:color="auto"/>
                    <w:bottom w:val="none" w:sz="0" w:space="0" w:color="auto"/>
                    <w:right w:val="none" w:sz="0" w:space="0" w:color="auto"/>
                  </w:divBdr>
                  <w:divsChild>
                    <w:div w:id="1463887226">
                      <w:marLeft w:val="0"/>
                      <w:marRight w:val="0"/>
                      <w:marTop w:val="0"/>
                      <w:marBottom w:val="0"/>
                      <w:divBdr>
                        <w:top w:val="none" w:sz="0" w:space="0" w:color="auto"/>
                        <w:left w:val="none" w:sz="0" w:space="0" w:color="auto"/>
                        <w:bottom w:val="none" w:sz="0" w:space="0" w:color="auto"/>
                        <w:right w:val="none" w:sz="0" w:space="0" w:color="auto"/>
                      </w:divBdr>
                      <w:divsChild>
                        <w:div w:id="722144055">
                          <w:marLeft w:val="0"/>
                          <w:marRight w:val="0"/>
                          <w:marTop w:val="0"/>
                          <w:marBottom w:val="0"/>
                          <w:divBdr>
                            <w:top w:val="single" w:sz="6" w:space="0" w:color="828282"/>
                            <w:left w:val="single" w:sz="6" w:space="0" w:color="828282"/>
                            <w:bottom w:val="single" w:sz="6" w:space="0" w:color="828282"/>
                            <w:right w:val="single" w:sz="6" w:space="0" w:color="828282"/>
                          </w:divBdr>
                          <w:divsChild>
                            <w:div w:id="524564315">
                              <w:marLeft w:val="0"/>
                              <w:marRight w:val="0"/>
                              <w:marTop w:val="0"/>
                              <w:marBottom w:val="0"/>
                              <w:divBdr>
                                <w:top w:val="none" w:sz="0" w:space="0" w:color="auto"/>
                                <w:left w:val="none" w:sz="0" w:space="0" w:color="auto"/>
                                <w:bottom w:val="none" w:sz="0" w:space="0" w:color="auto"/>
                                <w:right w:val="none" w:sz="0" w:space="0" w:color="auto"/>
                              </w:divBdr>
                              <w:divsChild>
                                <w:div w:id="1251545830">
                                  <w:marLeft w:val="0"/>
                                  <w:marRight w:val="0"/>
                                  <w:marTop w:val="0"/>
                                  <w:marBottom w:val="0"/>
                                  <w:divBdr>
                                    <w:top w:val="none" w:sz="0" w:space="0" w:color="auto"/>
                                    <w:left w:val="none" w:sz="0" w:space="0" w:color="auto"/>
                                    <w:bottom w:val="none" w:sz="0" w:space="0" w:color="auto"/>
                                    <w:right w:val="none" w:sz="0" w:space="0" w:color="auto"/>
                                  </w:divBdr>
                                  <w:divsChild>
                                    <w:div w:id="1579827136">
                                      <w:marLeft w:val="0"/>
                                      <w:marRight w:val="0"/>
                                      <w:marTop w:val="0"/>
                                      <w:marBottom w:val="0"/>
                                      <w:divBdr>
                                        <w:top w:val="none" w:sz="0" w:space="0" w:color="auto"/>
                                        <w:left w:val="none" w:sz="0" w:space="0" w:color="auto"/>
                                        <w:bottom w:val="none" w:sz="0" w:space="0" w:color="auto"/>
                                        <w:right w:val="none" w:sz="0" w:space="0" w:color="auto"/>
                                      </w:divBdr>
                                      <w:divsChild>
                                        <w:div w:id="990913317">
                                          <w:marLeft w:val="0"/>
                                          <w:marRight w:val="0"/>
                                          <w:marTop w:val="0"/>
                                          <w:marBottom w:val="0"/>
                                          <w:divBdr>
                                            <w:top w:val="none" w:sz="0" w:space="0" w:color="auto"/>
                                            <w:left w:val="none" w:sz="0" w:space="0" w:color="auto"/>
                                            <w:bottom w:val="none" w:sz="0" w:space="0" w:color="auto"/>
                                            <w:right w:val="none" w:sz="0" w:space="0" w:color="auto"/>
                                          </w:divBdr>
                                          <w:divsChild>
                                            <w:div w:id="1568957475">
                                              <w:marLeft w:val="0"/>
                                              <w:marRight w:val="0"/>
                                              <w:marTop w:val="0"/>
                                              <w:marBottom w:val="0"/>
                                              <w:divBdr>
                                                <w:top w:val="none" w:sz="0" w:space="0" w:color="auto"/>
                                                <w:left w:val="none" w:sz="0" w:space="0" w:color="auto"/>
                                                <w:bottom w:val="none" w:sz="0" w:space="0" w:color="auto"/>
                                                <w:right w:val="none" w:sz="0" w:space="0" w:color="auto"/>
                                              </w:divBdr>
                                              <w:divsChild>
                                                <w:div w:id="1385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3756448">
      <w:bodyDiv w:val="1"/>
      <w:marLeft w:val="0"/>
      <w:marRight w:val="0"/>
      <w:marTop w:val="0"/>
      <w:marBottom w:val="0"/>
      <w:divBdr>
        <w:top w:val="none" w:sz="0" w:space="0" w:color="auto"/>
        <w:left w:val="none" w:sz="0" w:space="0" w:color="auto"/>
        <w:bottom w:val="none" w:sz="0" w:space="0" w:color="auto"/>
        <w:right w:val="none" w:sz="0" w:space="0" w:color="auto"/>
      </w:divBdr>
      <w:divsChild>
        <w:div w:id="145829358">
          <w:marLeft w:val="0"/>
          <w:marRight w:val="0"/>
          <w:marTop w:val="0"/>
          <w:marBottom w:val="0"/>
          <w:divBdr>
            <w:top w:val="none" w:sz="0" w:space="0" w:color="auto"/>
            <w:left w:val="none" w:sz="0" w:space="0" w:color="auto"/>
            <w:bottom w:val="none" w:sz="0" w:space="0" w:color="auto"/>
            <w:right w:val="none" w:sz="0" w:space="0" w:color="auto"/>
          </w:divBdr>
          <w:divsChild>
            <w:div w:id="1259867387">
              <w:marLeft w:val="0"/>
              <w:marRight w:val="0"/>
              <w:marTop w:val="0"/>
              <w:marBottom w:val="0"/>
              <w:divBdr>
                <w:top w:val="none" w:sz="0" w:space="0" w:color="auto"/>
                <w:left w:val="none" w:sz="0" w:space="0" w:color="auto"/>
                <w:bottom w:val="none" w:sz="0" w:space="0" w:color="auto"/>
                <w:right w:val="none" w:sz="0" w:space="0" w:color="auto"/>
              </w:divBdr>
              <w:divsChild>
                <w:div w:id="298269605">
                  <w:marLeft w:val="0"/>
                  <w:marRight w:val="0"/>
                  <w:marTop w:val="0"/>
                  <w:marBottom w:val="0"/>
                  <w:divBdr>
                    <w:top w:val="none" w:sz="0" w:space="0" w:color="auto"/>
                    <w:left w:val="none" w:sz="0" w:space="0" w:color="auto"/>
                    <w:bottom w:val="none" w:sz="0" w:space="0" w:color="auto"/>
                    <w:right w:val="none" w:sz="0" w:space="0" w:color="auto"/>
                  </w:divBdr>
                  <w:divsChild>
                    <w:div w:id="983777628">
                      <w:marLeft w:val="0"/>
                      <w:marRight w:val="0"/>
                      <w:marTop w:val="0"/>
                      <w:marBottom w:val="0"/>
                      <w:divBdr>
                        <w:top w:val="none" w:sz="0" w:space="0" w:color="auto"/>
                        <w:left w:val="none" w:sz="0" w:space="0" w:color="auto"/>
                        <w:bottom w:val="none" w:sz="0" w:space="0" w:color="auto"/>
                        <w:right w:val="none" w:sz="0" w:space="0" w:color="auto"/>
                      </w:divBdr>
                      <w:divsChild>
                        <w:div w:id="1401711378">
                          <w:marLeft w:val="0"/>
                          <w:marRight w:val="0"/>
                          <w:marTop w:val="0"/>
                          <w:marBottom w:val="0"/>
                          <w:divBdr>
                            <w:top w:val="single" w:sz="6" w:space="0" w:color="828282"/>
                            <w:left w:val="single" w:sz="6" w:space="0" w:color="828282"/>
                            <w:bottom w:val="single" w:sz="6" w:space="0" w:color="828282"/>
                            <w:right w:val="single" w:sz="6" w:space="0" w:color="828282"/>
                          </w:divBdr>
                          <w:divsChild>
                            <w:div w:id="445078783">
                              <w:marLeft w:val="0"/>
                              <w:marRight w:val="0"/>
                              <w:marTop w:val="0"/>
                              <w:marBottom w:val="0"/>
                              <w:divBdr>
                                <w:top w:val="none" w:sz="0" w:space="0" w:color="auto"/>
                                <w:left w:val="none" w:sz="0" w:space="0" w:color="auto"/>
                                <w:bottom w:val="none" w:sz="0" w:space="0" w:color="auto"/>
                                <w:right w:val="none" w:sz="0" w:space="0" w:color="auto"/>
                              </w:divBdr>
                              <w:divsChild>
                                <w:div w:id="1789932361">
                                  <w:marLeft w:val="0"/>
                                  <w:marRight w:val="0"/>
                                  <w:marTop w:val="0"/>
                                  <w:marBottom w:val="0"/>
                                  <w:divBdr>
                                    <w:top w:val="none" w:sz="0" w:space="0" w:color="auto"/>
                                    <w:left w:val="none" w:sz="0" w:space="0" w:color="auto"/>
                                    <w:bottom w:val="none" w:sz="0" w:space="0" w:color="auto"/>
                                    <w:right w:val="none" w:sz="0" w:space="0" w:color="auto"/>
                                  </w:divBdr>
                                  <w:divsChild>
                                    <w:div w:id="1226254829">
                                      <w:marLeft w:val="0"/>
                                      <w:marRight w:val="0"/>
                                      <w:marTop w:val="0"/>
                                      <w:marBottom w:val="0"/>
                                      <w:divBdr>
                                        <w:top w:val="none" w:sz="0" w:space="0" w:color="auto"/>
                                        <w:left w:val="none" w:sz="0" w:space="0" w:color="auto"/>
                                        <w:bottom w:val="none" w:sz="0" w:space="0" w:color="auto"/>
                                        <w:right w:val="none" w:sz="0" w:space="0" w:color="auto"/>
                                      </w:divBdr>
                                      <w:divsChild>
                                        <w:div w:id="831724935">
                                          <w:marLeft w:val="0"/>
                                          <w:marRight w:val="0"/>
                                          <w:marTop w:val="0"/>
                                          <w:marBottom w:val="0"/>
                                          <w:divBdr>
                                            <w:top w:val="none" w:sz="0" w:space="0" w:color="auto"/>
                                            <w:left w:val="none" w:sz="0" w:space="0" w:color="auto"/>
                                            <w:bottom w:val="none" w:sz="0" w:space="0" w:color="auto"/>
                                            <w:right w:val="none" w:sz="0" w:space="0" w:color="auto"/>
                                          </w:divBdr>
                                          <w:divsChild>
                                            <w:div w:id="825246759">
                                              <w:marLeft w:val="0"/>
                                              <w:marRight w:val="0"/>
                                              <w:marTop w:val="0"/>
                                              <w:marBottom w:val="0"/>
                                              <w:divBdr>
                                                <w:top w:val="none" w:sz="0" w:space="0" w:color="auto"/>
                                                <w:left w:val="none" w:sz="0" w:space="0" w:color="auto"/>
                                                <w:bottom w:val="none" w:sz="0" w:space="0" w:color="auto"/>
                                                <w:right w:val="none" w:sz="0" w:space="0" w:color="auto"/>
                                              </w:divBdr>
                                              <w:divsChild>
                                                <w:div w:id="18589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8676149">
      <w:bodyDiv w:val="1"/>
      <w:marLeft w:val="0"/>
      <w:marRight w:val="0"/>
      <w:marTop w:val="0"/>
      <w:marBottom w:val="0"/>
      <w:divBdr>
        <w:top w:val="none" w:sz="0" w:space="0" w:color="auto"/>
        <w:left w:val="none" w:sz="0" w:space="0" w:color="auto"/>
        <w:bottom w:val="none" w:sz="0" w:space="0" w:color="auto"/>
        <w:right w:val="none" w:sz="0" w:space="0" w:color="auto"/>
      </w:divBdr>
      <w:divsChild>
        <w:div w:id="1084300034">
          <w:marLeft w:val="0"/>
          <w:marRight w:val="0"/>
          <w:marTop w:val="0"/>
          <w:marBottom w:val="0"/>
          <w:divBdr>
            <w:top w:val="none" w:sz="0" w:space="0" w:color="auto"/>
            <w:left w:val="none" w:sz="0" w:space="0" w:color="auto"/>
            <w:bottom w:val="none" w:sz="0" w:space="0" w:color="auto"/>
            <w:right w:val="none" w:sz="0" w:space="0" w:color="auto"/>
          </w:divBdr>
          <w:divsChild>
            <w:div w:id="542715208">
              <w:marLeft w:val="0"/>
              <w:marRight w:val="0"/>
              <w:marTop w:val="0"/>
              <w:marBottom w:val="0"/>
              <w:divBdr>
                <w:top w:val="none" w:sz="0" w:space="0" w:color="auto"/>
                <w:left w:val="none" w:sz="0" w:space="0" w:color="auto"/>
                <w:bottom w:val="none" w:sz="0" w:space="0" w:color="auto"/>
                <w:right w:val="none" w:sz="0" w:space="0" w:color="auto"/>
              </w:divBdr>
              <w:divsChild>
                <w:div w:id="685526229">
                  <w:marLeft w:val="0"/>
                  <w:marRight w:val="0"/>
                  <w:marTop w:val="0"/>
                  <w:marBottom w:val="0"/>
                  <w:divBdr>
                    <w:top w:val="none" w:sz="0" w:space="0" w:color="auto"/>
                    <w:left w:val="none" w:sz="0" w:space="0" w:color="auto"/>
                    <w:bottom w:val="none" w:sz="0" w:space="0" w:color="auto"/>
                    <w:right w:val="none" w:sz="0" w:space="0" w:color="auto"/>
                  </w:divBdr>
                  <w:divsChild>
                    <w:div w:id="1260795639">
                      <w:marLeft w:val="0"/>
                      <w:marRight w:val="0"/>
                      <w:marTop w:val="0"/>
                      <w:marBottom w:val="0"/>
                      <w:divBdr>
                        <w:top w:val="none" w:sz="0" w:space="0" w:color="auto"/>
                        <w:left w:val="none" w:sz="0" w:space="0" w:color="auto"/>
                        <w:bottom w:val="none" w:sz="0" w:space="0" w:color="auto"/>
                        <w:right w:val="none" w:sz="0" w:space="0" w:color="auto"/>
                      </w:divBdr>
                      <w:divsChild>
                        <w:div w:id="1332416155">
                          <w:marLeft w:val="0"/>
                          <w:marRight w:val="0"/>
                          <w:marTop w:val="0"/>
                          <w:marBottom w:val="0"/>
                          <w:divBdr>
                            <w:top w:val="single" w:sz="6" w:space="0" w:color="828282"/>
                            <w:left w:val="single" w:sz="6" w:space="0" w:color="828282"/>
                            <w:bottom w:val="single" w:sz="6" w:space="0" w:color="828282"/>
                            <w:right w:val="single" w:sz="6" w:space="0" w:color="828282"/>
                          </w:divBdr>
                          <w:divsChild>
                            <w:div w:id="754981191">
                              <w:marLeft w:val="0"/>
                              <w:marRight w:val="0"/>
                              <w:marTop w:val="0"/>
                              <w:marBottom w:val="0"/>
                              <w:divBdr>
                                <w:top w:val="none" w:sz="0" w:space="0" w:color="auto"/>
                                <w:left w:val="none" w:sz="0" w:space="0" w:color="auto"/>
                                <w:bottom w:val="none" w:sz="0" w:space="0" w:color="auto"/>
                                <w:right w:val="none" w:sz="0" w:space="0" w:color="auto"/>
                              </w:divBdr>
                              <w:divsChild>
                                <w:div w:id="518743051">
                                  <w:marLeft w:val="0"/>
                                  <w:marRight w:val="0"/>
                                  <w:marTop w:val="0"/>
                                  <w:marBottom w:val="0"/>
                                  <w:divBdr>
                                    <w:top w:val="none" w:sz="0" w:space="0" w:color="auto"/>
                                    <w:left w:val="none" w:sz="0" w:space="0" w:color="auto"/>
                                    <w:bottom w:val="none" w:sz="0" w:space="0" w:color="auto"/>
                                    <w:right w:val="none" w:sz="0" w:space="0" w:color="auto"/>
                                  </w:divBdr>
                                  <w:divsChild>
                                    <w:div w:id="1184975004">
                                      <w:marLeft w:val="0"/>
                                      <w:marRight w:val="0"/>
                                      <w:marTop w:val="0"/>
                                      <w:marBottom w:val="0"/>
                                      <w:divBdr>
                                        <w:top w:val="none" w:sz="0" w:space="0" w:color="auto"/>
                                        <w:left w:val="none" w:sz="0" w:space="0" w:color="auto"/>
                                        <w:bottom w:val="none" w:sz="0" w:space="0" w:color="auto"/>
                                        <w:right w:val="none" w:sz="0" w:space="0" w:color="auto"/>
                                      </w:divBdr>
                                      <w:divsChild>
                                        <w:div w:id="1290743743">
                                          <w:marLeft w:val="0"/>
                                          <w:marRight w:val="0"/>
                                          <w:marTop w:val="0"/>
                                          <w:marBottom w:val="0"/>
                                          <w:divBdr>
                                            <w:top w:val="none" w:sz="0" w:space="0" w:color="auto"/>
                                            <w:left w:val="none" w:sz="0" w:space="0" w:color="auto"/>
                                            <w:bottom w:val="none" w:sz="0" w:space="0" w:color="auto"/>
                                            <w:right w:val="none" w:sz="0" w:space="0" w:color="auto"/>
                                          </w:divBdr>
                                          <w:divsChild>
                                            <w:div w:id="1214388501">
                                              <w:marLeft w:val="0"/>
                                              <w:marRight w:val="0"/>
                                              <w:marTop w:val="0"/>
                                              <w:marBottom w:val="0"/>
                                              <w:divBdr>
                                                <w:top w:val="none" w:sz="0" w:space="0" w:color="auto"/>
                                                <w:left w:val="none" w:sz="0" w:space="0" w:color="auto"/>
                                                <w:bottom w:val="none" w:sz="0" w:space="0" w:color="auto"/>
                                                <w:right w:val="none" w:sz="0" w:space="0" w:color="auto"/>
                                              </w:divBdr>
                                              <w:divsChild>
                                                <w:div w:id="194584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0527895">
      <w:bodyDiv w:val="1"/>
      <w:marLeft w:val="0"/>
      <w:marRight w:val="0"/>
      <w:marTop w:val="0"/>
      <w:marBottom w:val="0"/>
      <w:divBdr>
        <w:top w:val="none" w:sz="0" w:space="0" w:color="auto"/>
        <w:left w:val="none" w:sz="0" w:space="0" w:color="auto"/>
        <w:bottom w:val="none" w:sz="0" w:space="0" w:color="auto"/>
        <w:right w:val="none" w:sz="0" w:space="0" w:color="auto"/>
      </w:divBdr>
      <w:divsChild>
        <w:div w:id="1142186769">
          <w:marLeft w:val="0"/>
          <w:marRight w:val="0"/>
          <w:marTop w:val="0"/>
          <w:marBottom w:val="0"/>
          <w:divBdr>
            <w:top w:val="none" w:sz="0" w:space="0" w:color="auto"/>
            <w:left w:val="none" w:sz="0" w:space="0" w:color="auto"/>
            <w:bottom w:val="none" w:sz="0" w:space="0" w:color="auto"/>
            <w:right w:val="none" w:sz="0" w:space="0" w:color="auto"/>
          </w:divBdr>
          <w:divsChild>
            <w:div w:id="1013261496">
              <w:marLeft w:val="0"/>
              <w:marRight w:val="0"/>
              <w:marTop w:val="0"/>
              <w:marBottom w:val="0"/>
              <w:divBdr>
                <w:top w:val="none" w:sz="0" w:space="0" w:color="auto"/>
                <w:left w:val="none" w:sz="0" w:space="0" w:color="auto"/>
                <w:bottom w:val="none" w:sz="0" w:space="0" w:color="auto"/>
                <w:right w:val="none" w:sz="0" w:space="0" w:color="auto"/>
              </w:divBdr>
              <w:divsChild>
                <w:div w:id="1402752691">
                  <w:marLeft w:val="0"/>
                  <w:marRight w:val="0"/>
                  <w:marTop w:val="0"/>
                  <w:marBottom w:val="0"/>
                  <w:divBdr>
                    <w:top w:val="none" w:sz="0" w:space="0" w:color="auto"/>
                    <w:left w:val="none" w:sz="0" w:space="0" w:color="auto"/>
                    <w:bottom w:val="none" w:sz="0" w:space="0" w:color="auto"/>
                    <w:right w:val="none" w:sz="0" w:space="0" w:color="auto"/>
                  </w:divBdr>
                  <w:divsChild>
                    <w:div w:id="19480990">
                      <w:marLeft w:val="0"/>
                      <w:marRight w:val="0"/>
                      <w:marTop w:val="0"/>
                      <w:marBottom w:val="0"/>
                      <w:divBdr>
                        <w:top w:val="none" w:sz="0" w:space="0" w:color="auto"/>
                        <w:left w:val="none" w:sz="0" w:space="0" w:color="auto"/>
                        <w:bottom w:val="none" w:sz="0" w:space="0" w:color="auto"/>
                        <w:right w:val="none" w:sz="0" w:space="0" w:color="auto"/>
                      </w:divBdr>
                      <w:divsChild>
                        <w:div w:id="1728914424">
                          <w:marLeft w:val="0"/>
                          <w:marRight w:val="0"/>
                          <w:marTop w:val="0"/>
                          <w:marBottom w:val="0"/>
                          <w:divBdr>
                            <w:top w:val="single" w:sz="6" w:space="0" w:color="828282"/>
                            <w:left w:val="single" w:sz="6" w:space="0" w:color="828282"/>
                            <w:bottom w:val="single" w:sz="6" w:space="0" w:color="828282"/>
                            <w:right w:val="single" w:sz="6" w:space="0" w:color="828282"/>
                          </w:divBdr>
                          <w:divsChild>
                            <w:div w:id="1900171783">
                              <w:marLeft w:val="0"/>
                              <w:marRight w:val="0"/>
                              <w:marTop w:val="0"/>
                              <w:marBottom w:val="0"/>
                              <w:divBdr>
                                <w:top w:val="none" w:sz="0" w:space="0" w:color="auto"/>
                                <w:left w:val="none" w:sz="0" w:space="0" w:color="auto"/>
                                <w:bottom w:val="none" w:sz="0" w:space="0" w:color="auto"/>
                                <w:right w:val="none" w:sz="0" w:space="0" w:color="auto"/>
                              </w:divBdr>
                              <w:divsChild>
                                <w:div w:id="1848057571">
                                  <w:marLeft w:val="0"/>
                                  <w:marRight w:val="0"/>
                                  <w:marTop w:val="0"/>
                                  <w:marBottom w:val="0"/>
                                  <w:divBdr>
                                    <w:top w:val="none" w:sz="0" w:space="0" w:color="auto"/>
                                    <w:left w:val="none" w:sz="0" w:space="0" w:color="auto"/>
                                    <w:bottom w:val="none" w:sz="0" w:space="0" w:color="auto"/>
                                    <w:right w:val="none" w:sz="0" w:space="0" w:color="auto"/>
                                  </w:divBdr>
                                  <w:divsChild>
                                    <w:div w:id="1620334431">
                                      <w:marLeft w:val="0"/>
                                      <w:marRight w:val="0"/>
                                      <w:marTop w:val="0"/>
                                      <w:marBottom w:val="0"/>
                                      <w:divBdr>
                                        <w:top w:val="none" w:sz="0" w:space="0" w:color="auto"/>
                                        <w:left w:val="none" w:sz="0" w:space="0" w:color="auto"/>
                                        <w:bottom w:val="none" w:sz="0" w:space="0" w:color="auto"/>
                                        <w:right w:val="none" w:sz="0" w:space="0" w:color="auto"/>
                                      </w:divBdr>
                                      <w:divsChild>
                                        <w:div w:id="748306989">
                                          <w:marLeft w:val="0"/>
                                          <w:marRight w:val="0"/>
                                          <w:marTop w:val="0"/>
                                          <w:marBottom w:val="0"/>
                                          <w:divBdr>
                                            <w:top w:val="none" w:sz="0" w:space="0" w:color="auto"/>
                                            <w:left w:val="none" w:sz="0" w:space="0" w:color="auto"/>
                                            <w:bottom w:val="none" w:sz="0" w:space="0" w:color="auto"/>
                                            <w:right w:val="none" w:sz="0" w:space="0" w:color="auto"/>
                                          </w:divBdr>
                                          <w:divsChild>
                                            <w:div w:id="690882915">
                                              <w:marLeft w:val="0"/>
                                              <w:marRight w:val="0"/>
                                              <w:marTop w:val="0"/>
                                              <w:marBottom w:val="0"/>
                                              <w:divBdr>
                                                <w:top w:val="none" w:sz="0" w:space="0" w:color="auto"/>
                                                <w:left w:val="none" w:sz="0" w:space="0" w:color="auto"/>
                                                <w:bottom w:val="none" w:sz="0" w:space="0" w:color="auto"/>
                                                <w:right w:val="none" w:sz="0" w:space="0" w:color="auto"/>
                                              </w:divBdr>
                                              <w:divsChild>
                                                <w:div w:id="1085763156">
                                                  <w:marLeft w:val="0"/>
                                                  <w:marRight w:val="0"/>
                                                  <w:marTop w:val="0"/>
                                                  <w:marBottom w:val="0"/>
                                                  <w:divBdr>
                                                    <w:top w:val="none" w:sz="0" w:space="0" w:color="auto"/>
                                                    <w:left w:val="none" w:sz="0" w:space="0" w:color="auto"/>
                                                    <w:bottom w:val="none" w:sz="0" w:space="0" w:color="auto"/>
                                                    <w:right w:val="none" w:sz="0" w:space="0" w:color="auto"/>
                                                  </w:divBdr>
                                                </w:div>
                                                <w:div w:id="213689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6350300">
      <w:bodyDiv w:val="1"/>
      <w:marLeft w:val="0"/>
      <w:marRight w:val="0"/>
      <w:marTop w:val="0"/>
      <w:marBottom w:val="0"/>
      <w:divBdr>
        <w:top w:val="none" w:sz="0" w:space="0" w:color="auto"/>
        <w:left w:val="none" w:sz="0" w:space="0" w:color="auto"/>
        <w:bottom w:val="none" w:sz="0" w:space="0" w:color="auto"/>
        <w:right w:val="none" w:sz="0" w:space="0" w:color="auto"/>
      </w:divBdr>
      <w:divsChild>
        <w:div w:id="1884706393">
          <w:marLeft w:val="0"/>
          <w:marRight w:val="0"/>
          <w:marTop w:val="0"/>
          <w:marBottom w:val="0"/>
          <w:divBdr>
            <w:top w:val="none" w:sz="0" w:space="0" w:color="auto"/>
            <w:left w:val="none" w:sz="0" w:space="0" w:color="auto"/>
            <w:bottom w:val="none" w:sz="0" w:space="0" w:color="auto"/>
            <w:right w:val="none" w:sz="0" w:space="0" w:color="auto"/>
          </w:divBdr>
          <w:divsChild>
            <w:div w:id="352996640">
              <w:marLeft w:val="0"/>
              <w:marRight w:val="0"/>
              <w:marTop w:val="0"/>
              <w:marBottom w:val="0"/>
              <w:divBdr>
                <w:top w:val="none" w:sz="0" w:space="0" w:color="auto"/>
                <w:left w:val="none" w:sz="0" w:space="0" w:color="auto"/>
                <w:bottom w:val="none" w:sz="0" w:space="0" w:color="auto"/>
                <w:right w:val="none" w:sz="0" w:space="0" w:color="auto"/>
              </w:divBdr>
              <w:divsChild>
                <w:div w:id="1157841361">
                  <w:marLeft w:val="0"/>
                  <w:marRight w:val="0"/>
                  <w:marTop w:val="0"/>
                  <w:marBottom w:val="0"/>
                  <w:divBdr>
                    <w:top w:val="none" w:sz="0" w:space="0" w:color="auto"/>
                    <w:left w:val="none" w:sz="0" w:space="0" w:color="auto"/>
                    <w:bottom w:val="none" w:sz="0" w:space="0" w:color="auto"/>
                    <w:right w:val="none" w:sz="0" w:space="0" w:color="auto"/>
                  </w:divBdr>
                  <w:divsChild>
                    <w:div w:id="1936552086">
                      <w:marLeft w:val="0"/>
                      <w:marRight w:val="0"/>
                      <w:marTop w:val="0"/>
                      <w:marBottom w:val="0"/>
                      <w:divBdr>
                        <w:top w:val="none" w:sz="0" w:space="0" w:color="auto"/>
                        <w:left w:val="none" w:sz="0" w:space="0" w:color="auto"/>
                        <w:bottom w:val="none" w:sz="0" w:space="0" w:color="auto"/>
                        <w:right w:val="none" w:sz="0" w:space="0" w:color="auto"/>
                      </w:divBdr>
                      <w:divsChild>
                        <w:div w:id="2025591125">
                          <w:marLeft w:val="0"/>
                          <w:marRight w:val="0"/>
                          <w:marTop w:val="0"/>
                          <w:marBottom w:val="0"/>
                          <w:divBdr>
                            <w:top w:val="single" w:sz="6" w:space="0" w:color="828282"/>
                            <w:left w:val="single" w:sz="6" w:space="0" w:color="828282"/>
                            <w:bottom w:val="single" w:sz="6" w:space="0" w:color="828282"/>
                            <w:right w:val="single" w:sz="6" w:space="0" w:color="828282"/>
                          </w:divBdr>
                          <w:divsChild>
                            <w:div w:id="443548001">
                              <w:marLeft w:val="0"/>
                              <w:marRight w:val="0"/>
                              <w:marTop w:val="0"/>
                              <w:marBottom w:val="0"/>
                              <w:divBdr>
                                <w:top w:val="none" w:sz="0" w:space="0" w:color="auto"/>
                                <w:left w:val="none" w:sz="0" w:space="0" w:color="auto"/>
                                <w:bottom w:val="none" w:sz="0" w:space="0" w:color="auto"/>
                                <w:right w:val="none" w:sz="0" w:space="0" w:color="auto"/>
                              </w:divBdr>
                              <w:divsChild>
                                <w:div w:id="1910646874">
                                  <w:marLeft w:val="0"/>
                                  <w:marRight w:val="0"/>
                                  <w:marTop w:val="0"/>
                                  <w:marBottom w:val="0"/>
                                  <w:divBdr>
                                    <w:top w:val="none" w:sz="0" w:space="0" w:color="auto"/>
                                    <w:left w:val="none" w:sz="0" w:space="0" w:color="auto"/>
                                    <w:bottom w:val="none" w:sz="0" w:space="0" w:color="auto"/>
                                    <w:right w:val="none" w:sz="0" w:space="0" w:color="auto"/>
                                  </w:divBdr>
                                  <w:divsChild>
                                    <w:div w:id="1752577734">
                                      <w:marLeft w:val="0"/>
                                      <w:marRight w:val="0"/>
                                      <w:marTop w:val="0"/>
                                      <w:marBottom w:val="0"/>
                                      <w:divBdr>
                                        <w:top w:val="none" w:sz="0" w:space="0" w:color="auto"/>
                                        <w:left w:val="none" w:sz="0" w:space="0" w:color="auto"/>
                                        <w:bottom w:val="none" w:sz="0" w:space="0" w:color="auto"/>
                                        <w:right w:val="none" w:sz="0" w:space="0" w:color="auto"/>
                                      </w:divBdr>
                                      <w:divsChild>
                                        <w:div w:id="1562058874">
                                          <w:marLeft w:val="0"/>
                                          <w:marRight w:val="0"/>
                                          <w:marTop w:val="0"/>
                                          <w:marBottom w:val="0"/>
                                          <w:divBdr>
                                            <w:top w:val="none" w:sz="0" w:space="0" w:color="auto"/>
                                            <w:left w:val="none" w:sz="0" w:space="0" w:color="auto"/>
                                            <w:bottom w:val="none" w:sz="0" w:space="0" w:color="auto"/>
                                            <w:right w:val="none" w:sz="0" w:space="0" w:color="auto"/>
                                          </w:divBdr>
                                          <w:divsChild>
                                            <w:div w:id="1995639127">
                                              <w:marLeft w:val="0"/>
                                              <w:marRight w:val="0"/>
                                              <w:marTop w:val="0"/>
                                              <w:marBottom w:val="0"/>
                                              <w:divBdr>
                                                <w:top w:val="none" w:sz="0" w:space="0" w:color="auto"/>
                                                <w:left w:val="none" w:sz="0" w:space="0" w:color="auto"/>
                                                <w:bottom w:val="none" w:sz="0" w:space="0" w:color="auto"/>
                                                <w:right w:val="none" w:sz="0" w:space="0" w:color="auto"/>
                                              </w:divBdr>
                                              <w:divsChild>
                                                <w:div w:id="170539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1392759">
      <w:bodyDiv w:val="1"/>
      <w:marLeft w:val="0"/>
      <w:marRight w:val="0"/>
      <w:marTop w:val="0"/>
      <w:marBottom w:val="0"/>
      <w:divBdr>
        <w:top w:val="none" w:sz="0" w:space="0" w:color="auto"/>
        <w:left w:val="none" w:sz="0" w:space="0" w:color="auto"/>
        <w:bottom w:val="none" w:sz="0" w:space="0" w:color="auto"/>
        <w:right w:val="none" w:sz="0" w:space="0" w:color="auto"/>
      </w:divBdr>
    </w:div>
    <w:div w:id="694965989">
      <w:bodyDiv w:val="1"/>
      <w:marLeft w:val="0"/>
      <w:marRight w:val="0"/>
      <w:marTop w:val="0"/>
      <w:marBottom w:val="0"/>
      <w:divBdr>
        <w:top w:val="none" w:sz="0" w:space="0" w:color="auto"/>
        <w:left w:val="none" w:sz="0" w:space="0" w:color="auto"/>
        <w:bottom w:val="none" w:sz="0" w:space="0" w:color="auto"/>
        <w:right w:val="none" w:sz="0" w:space="0" w:color="auto"/>
      </w:divBdr>
      <w:divsChild>
        <w:div w:id="1596403256">
          <w:marLeft w:val="0"/>
          <w:marRight w:val="0"/>
          <w:marTop w:val="0"/>
          <w:marBottom w:val="0"/>
          <w:divBdr>
            <w:top w:val="none" w:sz="0" w:space="0" w:color="auto"/>
            <w:left w:val="none" w:sz="0" w:space="0" w:color="auto"/>
            <w:bottom w:val="none" w:sz="0" w:space="0" w:color="auto"/>
            <w:right w:val="none" w:sz="0" w:space="0" w:color="auto"/>
          </w:divBdr>
          <w:divsChild>
            <w:div w:id="1433817159">
              <w:marLeft w:val="0"/>
              <w:marRight w:val="0"/>
              <w:marTop w:val="0"/>
              <w:marBottom w:val="0"/>
              <w:divBdr>
                <w:top w:val="none" w:sz="0" w:space="0" w:color="auto"/>
                <w:left w:val="none" w:sz="0" w:space="0" w:color="auto"/>
                <w:bottom w:val="none" w:sz="0" w:space="0" w:color="auto"/>
                <w:right w:val="none" w:sz="0" w:space="0" w:color="auto"/>
              </w:divBdr>
              <w:divsChild>
                <w:div w:id="1383944710">
                  <w:marLeft w:val="0"/>
                  <w:marRight w:val="0"/>
                  <w:marTop w:val="0"/>
                  <w:marBottom w:val="0"/>
                  <w:divBdr>
                    <w:top w:val="none" w:sz="0" w:space="0" w:color="auto"/>
                    <w:left w:val="none" w:sz="0" w:space="0" w:color="auto"/>
                    <w:bottom w:val="none" w:sz="0" w:space="0" w:color="auto"/>
                    <w:right w:val="none" w:sz="0" w:space="0" w:color="auto"/>
                  </w:divBdr>
                  <w:divsChild>
                    <w:div w:id="640770731">
                      <w:marLeft w:val="0"/>
                      <w:marRight w:val="0"/>
                      <w:marTop w:val="0"/>
                      <w:marBottom w:val="0"/>
                      <w:divBdr>
                        <w:top w:val="none" w:sz="0" w:space="0" w:color="auto"/>
                        <w:left w:val="none" w:sz="0" w:space="0" w:color="auto"/>
                        <w:bottom w:val="none" w:sz="0" w:space="0" w:color="auto"/>
                        <w:right w:val="none" w:sz="0" w:space="0" w:color="auto"/>
                      </w:divBdr>
                      <w:divsChild>
                        <w:div w:id="1768386255">
                          <w:marLeft w:val="0"/>
                          <w:marRight w:val="0"/>
                          <w:marTop w:val="0"/>
                          <w:marBottom w:val="0"/>
                          <w:divBdr>
                            <w:top w:val="single" w:sz="6" w:space="0" w:color="828282"/>
                            <w:left w:val="single" w:sz="6" w:space="0" w:color="828282"/>
                            <w:bottom w:val="single" w:sz="6" w:space="0" w:color="828282"/>
                            <w:right w:val="single" w:sz="6" w:space="0" w:color="828282"/>
                          </w:divBdr>
                          <w:divsChild>
                            <w:div w:id="1392147898">
                              <w:marLeft w:val="0"/>
                              <w:marRight w:val="0"/>
                              <w:marTop w:val="0"/>
                              <w:marBottom w:val="0"/>
                              <w:divBdr>
                                <w:top w:val="none" w:sz="0" w:space="0" w:color="auto"/>
                                <w:left w:val="none" w:sz="0" w:space="0" w:color="auto"/>
                                <w:bottom w:val="none" w:sz="0" w:space="0" w:color="auto"/>
                                <w:right w:val="none" w:sz="0" w:space="0" w:color="auto"/>
                              </w:divBdr>
                              <w:divsChild>
                                <w:div w:id="1556621193">
                                  <w:marLeft w:val="0"/>
                                  <w:marRight w:val="0"/>
                                  <w:marTop w:val="0"/>
                                  <w:marBottom w:val="0"/>
                                  <w:divBdr>
                                    <w:top w:val="none" w:sz="0" w:space="0" w:color="auto"/>
                                    <w:left w:val="none" w:sz="0" w:space="0" w:color="auto"/>
                                    <w:bottom w:val="none" w:sz="0" w:space="0" w:color="auto"/>
                                    <w:right w:val="none" w:sz="0" w:space="0" w:color="auto"/>
                                  </w:divBdr>
                                  <w:divsChild>
                                    <w:div w:id="1632709397">
                                      <w:marLeft w:val="0"/>
                                      <w:marRight w:val="0"/>
                                      <w:marTop w:val="0"/>
                                      <w:marBottom w:val="0"/>
                                      <w:divBdr>
                                        <w:top w:val="none" w:sz="0" w:space="0" w:color="auto"/>
                                        <w:left w:val="none" w:sz="0" w:space="0" w:color="auto"/>
                                        <w:bottom w:val="none" w:sz="0" w:space="0" w:color="auto"/>
                                        <w:right w:val="none" w:sz="0" w:space="0" w:color="auto"/>
                                      </w:divBdr>
                                      <w:divsChild>
                                        <w:div w:id="1630043304">
                                          <w:marLeft w:val="0"/>
                                          <w:marRight w:val="0"/>
                                          <w:marTop w:val="0"/>
                                          <w:marBottom w:val="0"/>
                                          <w:divBdr>
                                            <w:top w:val="none" w:sz="0" w:space="0" w:color="auto"/>
                                            <w:left w:val="none" w:sz="0" w:space="0" w:color="auto"/>
                                            <w:bottom w:val="none" w:sz="0" w:space="0" w:color="auto"/>
                                            <w:right w:val="none" w:sz="0" w:space="0" w:color="auto"/>
                                          </w:divBdr>
                                          <w:divsChild>
                                            <w:div w:id="736980699">
                                              <w:marLeft w:val="0"/>
                                              <w:marRight w:val="0"/>
                                              <w:marTop w:val="0"/>
                                              <w:marBottom w:val="0"/>
                                              <w:divBdr>
                                                <w:top w:val="none" w:sz="0" w:space="0" w:color="auto"/>
                                                <w:left w:val="none" w:sz="0" w:space="0" w:color="auto"/>
                                                <w:bottom w:val="none" w:sz="0" w:space="0" w:color="auto"/>
                                                <w:right w:val="none" w:sz="0" w:space="0" w:color="auto"/>
                                              </w:divBdr>
                                              <w:divsChild>
                                                <w:div w:id="112947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9741385">
      <w:bodyDiv w:val="1"/>
      <w:marLeft w:val="0"/>
      <w:marRight w:val="0"/>
      <w:marTop w:val="0"/>
      <w:marBottom w:val="0"/>
      <w:divBdr>
        <w:top w:val="none" w:sz="0" w:space="0" w:color="auto"/>
        <w:left w:val="none" w:sz="0" w:space="0" w:color="auto"/>
        <w:bottom w:val="none" w:sz="0" w:space="0" w:color="auto"/>
        <w:right w:val="none" w:sz="0" w:space="0" w:color="auto"/>
      </w:divBdr>
      <w:divsChild>
        <w:div w:id="1751391672">
          <w:marLeft w:val="0"/>
          <w:marRight w:val="0"/>
          <w:marTop w:val="0"/>
          <w:marBottom w:val="0"/>
          <w:divBdr>
            <w:top w:val="none" w:sz="0" w:space="0" w:color="auto"/>
            <w:left w:val="none" w:sz="0" w:space="0" w:color="auto"/>
            <w:bottom w:val="none" w:sz="0" w:space="0" w:color="auto"/>
            <w:right w:val="none" w:sz="0" w:space="0" w:color="auto"/>
          </w:divBdr>
          <w:divsChild>
            <w:div w:id="2024699098">
              <w:marLeft w:val="0"/>
              <w:marRight w:val="0"/>
              <w:marTop w:val="0"/>
              <w:marBottom w:val="0"/>
              <w:divBdr>
                <w:top w:val="none" w:sz="0" w:space="0" w:color="auto"/>
                <w:left w:val="none" w:sz="0" w:space="0" w:color="auto"/>
                <w:bottom w:val="none" w:sz="0" w:space="0" w:color="auto"/>
                <w:right w:val="none" w:sz="0" w:space="0" w:color="auto"/>
              </w:divBdr>
              <w:divsChild>
                <w:div w:id="790903578">
                  <w:marLeft w:val="0"/>
                  <w:marRight w:val="0"/>
                  <w:marTop w:val="0"/>
                  <w:marBottom w:val="0"/>
                  <w:divBdr>
                    <w:top w:val="none" w:sz="0" w:space="0" w:color="auto"/>
                    <w:left w:val="none" w:sz="0" w:space="0" w:color="auto"/>
                    <w:bottom w:val="none" w:sz="0" w:space="0" w:color="auto"/>
                    <w:right w:val="none" w:sz="0" w:space="0" w:color="auto"/>
                  </w:divBdr>
                  <w:divsChild>
                    <w:div w:id="703678894">
                      <w:marLeft w:val="0"/>
                      <w:marRight w:val="0"/>
                      <w:marTop w:val="0"/>
                      <w:marBottom w:val="0"/>
                      <w:divBdr>
                        <w:top w:val="none" w:sz="0" w:space="0" w:color="auto"/>
                        <w:left w:val="none" w:sz="0" w:space="0" w:color="auto"/>
                        <w:bottom w:val="none" w:sz="0" w:space="0" w:color="auto"/>
                        <w:right w:val="none" w:sz="0" w:space="0" w:color="auto"/>
                      </w:divBdr>
                      <w:divsChild>
                        <w:div w:id="1658530443">
                          <w:marLeft w:val="0"/>
                          <w:marRight w:val="0"/>
                          <w:marTop w:val="0"/>
                          <w:marBottom w:val="0"/>
                          <w:divBdr>
                            <w:top w:val="single" w:sz="6" w:space="0" w:color="828282"/>
                            <w:left w:val="single" w:sz="6" w:space="0" w:color="828282"/>
                            <w:bottom w:val="single" w:sz="6" w:space="0" w:color="828282"/>
                            <w:right w:val="single" w:sz="6" w:space="0" w:color="828282"/>
                          </w:divBdr>
                          <w:divsChild>
                            <w:div w:id="905991116">
                              <w:marLeft w:val="0"/>
                              <w:marRight w:val="0"/>
                              <w:marTop w:val="0"/>
                              <w:marBottom w:val="0"/>
                              <w:divBdr>
                                <w:top w:val="none" w:sz="0" w:space="0" w:color="auto"/>
                                <w:left w:val="none" w:sz="0" w:space="0" w:color="auto"/>
                                <w:bottom w:val="none" w:sz="0" w:space="0" w:color="auto"/>
                                <w:right w:val="none" w:sz="0" w:space="0" w:color="auto"/>
                              </w:divBdr>
                              <w:divsChild>
                                <w:div w:id="1919705430">
                                  <w:marLeft w:val="0"/>
                                  <w:marRight w:val="0"/>
                                  <w:marTop w:val="0"/>
                                  <w:marBottom w:val="0"/>
                                  <w:divBdr>
                                    <w:top w:val="none" w:sz="0" w:space="0" w:color="auto"/>
                                    <w:left w:val="none" w:sz="0" w:space="0" w:color="auto"/>
                                    <w:bottom w:val="none" w:sz="0" w:space="0" w:color="auto"/>
                                    <w:right w:val="none" w:sz="0" w:space="0" w:color="auto"/>
                                  </w:divBdr>
                                  <w:divsChild>
                                    <w:div w:id="659162886">
                                      <w:marLeft w:val="0"/>
                                      <w:marRight w:val="0"/>
                                      <w:marTop w:val="0"/>
                                      <w:marBottom w:val="0"/>
                                      <w:divBdr>
                                        <w:top w:val="none" w:sz="0" w:space="0" w:color="auto"/>
                                        <w:left w:val="none" w:sz="0" w:space="0" w:color="auto"/>
                                        <w:bottom w:val="none" w:sz="0" w:space="0" w:color="auto"/>
                                        <w:right w:val="none" w:sz="0" w:space="0" w:color="auto"/>
                                      </w:divBdr>
                                      <w:divsChild>
                                        <w:div w:id="301271365">
                                          <w:marLeft w:val="0"/>
                                          <w:marRight w:val="0"/>
                                          <w:marTop w:val="0"/>
                                          <w:marBottom w:val="0"/>
                                          <w:divBdr>
                                            <w:top w:val="none" w:sz="0" w:space="0" w:color="auto"/>
                                            <w:left w:val="none" w:sz="0" w:space="0" w:color="auto"/>
                                            <w:bottom w:val="none" w:sz="0" w:space="0" w:color="auto"/>
                                            <w:right w:val="none" w:sz="0" w:space="0" w:color="auto"/>
                                          </w:divBdr>
                                          <w:divsChild>
                                            <w:div w:id="840893751">
                                              <w:marLeft w:val="0"/>
                                              <w:marRight w:val="0"/>
                                              <w:marTop w:val="0"/>
                                              <w:marBottom w:val="0"/>
                                              <w:divBdr>
                                                <w:top w:val="none" w:sz="0" w:space="0" w:color="auto"/>
                                                <w:left w:val="none" w:sz="0" w:space="0" w:color="auto"/>
                                                <w:bottom w:val="none" w:sz="0" w:space="0" w:color="auto"/>
                                                <w:right w:val="none" w:sz="0" w:space="0" w:color="auto"/>
                                              </w:divBdr>
                                              <w:divsChild>
                                                <w:div w:id="2070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4908661">
      <w:bodyDiv w:val="1"/>
      <w:marLeft w:val="0"/>
      <w:marRight w:val="0"/>
      <w:marTop w:val="0"/>
      <w:marBottom w:val="0"/>
      <w:divBdr>
        <w:top w:val="none" w:sz="0" w:space="0" w:color="auto"/>
        <w:left w:val="none" w:sz="0" w:space="0" w:color="auto"/>
        <w:bottom w:val="none" w:sz="0" w:space="0" w:color="auto"/>
        <w:right w:val="none" w:sz="0" w:space="0" w:color="auto"/>
      </w:divBdr>
      <w:divsChild>
        <w:div w:id="1144738579">
          <w:marLeft w:val="0"/>
          <w:marRight w:val="0"/>
          <w:marTop w:val="0"/>
          <w:marBottom w:val="0"/>
          <w:divBdr>
            <w:top w:val="none" w:sz="0" w:space="0" w:color="auto"/>
            <w:left w:val="none" w:sz="0" w:space="0" w:color="auto"/>
            <w:bottom w:val="none" w:sz="0" w:space="0" w:color="auto"/>
            <w:right w:val="none" w:sz="0" w:space="0" w:color="auto"/>
          </w:divBdr>
          <w:divsChild>
            <w:div w:id="1694577903">
              <w:marLeft w:val="0"/>
              <w:marRight w:val="0"/>
              <w:marTop w:val="0"/>
              <w:marBottom w:val="0"/>
              <w:divBdr>
                <w:top w:val="none" w:sz="0" w:space="0" w:color="auto"/>
                <w:left w:val="none" w:sz="0" w:space="0" w:color="auto"/>
                <w:bottom w:val="none" w:sz="0" w:space="0" w:color="auto"/>
                <w:right w:val="none" w:sz="0" w:space="0" w:color="auto"/>
              </w:divBdr>
              <w:divsChild>
                <w:div w:id="1963491256">
                  <w:marLeft w:val="0"/>
                  <w:marRight w:val="0"/>
                  <w:marTop w:val="0"/>
                  <w:marBottom w:val="0"/>
                  <w:divBdr>
                    <w:top w:val="none" w:sz="0" w:space="0" w:color="auto"/>
                    <w:left w:val="none" w:sz="0" w:space="0" w:color="auto"/>
                    <w:bottom w:val="none" w:sz="0" w:space="0" w:color="auto"/>
                    <w:right w:val="none" w:sz="0" w:space="0" w:color="auto"/>
                  </w:divBdr>
                  <w:divsChild>
                    <w:div w:id="961108741">
                      <w:marLeft w:val="0"/>
                      <w:marRight w:val="0"/>
                      <w:marTop w:val="0"/>
                      <w:marBottom w:val="0"/>
                      <w:divBdr>
                        <w:top w:val="none" w:sz="0" w:space="0" w:color="auto"/>
                        <w:left w:val="none" w:sz="0" w:space="0" w:color="auto"/>
                        <w:bottom w:val="none" w:sz="0" w:space="0" w:color="auto"/>
                        <w:right w:val="none" w:sz="0" w:space="0" w:color="auto"/>
                      </w:divBdr>
                      <w:divsChild>
                        <w:div w:id="1146360488">
                          <w:marLeft w:val="0"/>
                          <w:marRight w:val="0"/>
                          <w:marTop w:val="0"/>
                          <w:marBottom w:val="0"/>
                          <w:divBdr>
                            <w:top w:val="single" w:sz="6" w:space="0" w:color="828282"/>
                            <w:left w:val="single" w:sz="6" w:space="0" w:color="828282"/>
                            <w:bottom w:val="single" w:sz="6" w:space="0" w:color="828282"/>
                            <w:right w:val="single" w:sz="6" w:space="0" w:color="828282"/>
                          </w:divBdr>
                          <w:divsChild>
                            <w:div w:id="1921325563">
                              <w:marLeft w:val="0"/>
                              <w:marRight w:val="0"/>
                              <w:marTop w:val="0"/>
                              <w:marBottom w:val="0"/>
                              <w:divBdr>
                                <w:top w:val="none" w:sz="0" w:space="0" w:color="auto"/>
                                <w:left w:val="none" w:sz="0" w:space="0" w:color="auto"/>
                                <w:bottom w:val="none" w:sz="0" w:space="0" w:color="auto"/>
                                <w:right w:val="none" w:sz="0" w:space="0" w:color="auto"/>
                              </w:divBdr>
                              <w:divsChild>
                                <w:div w:id="1042898273">
                                  <w:marLeft w:val="0"/>
                                  <w:marRight w:val="0"/>
                                  <w:marTop w:val="0"/>
                                  <w:marBottom w:val="0"/>
                                  <w:divBdr>
                                    <w:top w:val="none" w:sz="0" w:space="0" w:color="auto"/>
                                    <w:left w:val="none" w:sz="0" w:space="0" w:color="auto"/>
                                    <w:bottom w:val="none" w:sz="0" w:space="0" w:color="auto"/>
                                    <w:right w:val="none" w:sz="0" w:space="0" w:color="auto"/>
                                  </w:divBdr>
                                  <w:divsChild>
                                    <w:div w:id="1958872840">
                                      <w:marLeft w:val="0"/>
                                      <w:marRight w:val="0"/>
                                      <w:marTop w:val="0"/>
                                      <w:marBottom w:val="0"/>
                                      <w:divBdr>
                                        <w:top w:val="none" w:sz="0" w:space="0" w:color="auto"/>
                                        <w:left w:val="none" w:sz="0" w:space="0" w:color="auto"/>
                                        <w:bottom w:val="none" w:sz="0" w:space="0" w:color="auto"/>
                                        <w:right w:val="none" w:sz="0" w:space="0" w:color="auto"/>
                                      </w:divBdr>
                                      <w:divsChild>
                                        <w:div w:id="107434933">
                                          <w:marLeft w:val="0"/>
                                          <w:marRight w:val="0"/>
                                          <w:marTop w:val="0"/>
                                          <w:marBottom w:val="0"/>
                                          <w:divBdr>
                                            <w:top w:val="none" w:sz="0" w:space="0" w:color="auto"/>
                                            <w:left w:val="none" w:sz="0" w:space="0" w:color="auto"/>
                                            <w:bottom w:val="none" w:sz="0" w:space="0" w:color="auto"/>
                                            <w:right w:val="none" w:sz="0" w:space="0" w:color="auto"/>
                                          </w:divBdr>
                                          <w:divsChild>
                                            <w:div w:id="909583009">
                                              <w:marLeft w:val="0"/>
                                              <w:marRight w:val="0"/>
                                              <w:marTop w:val="0"/>
                                              <w:marBottom w:val="0"/>
                                              <w:divBdr>
                                                <w:top w:val="none" w:sz="0" w:space="0" w:color="auto"/>
                                                <w:left w:val="none" w:sz="0" w:space="0" w:color="auto"/>
                                                <w:bottom w:val="none" w:sz="0" w:space="0" w:color="auto"/>
                                                <w:right w:val="none" w:sz="0" w:space="0" w:color="auto"/>
                                              </w:divBdr>
                                              <w:divsChild>
                                                <w:div w:id="87046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3228741">
      <w:bodyDiv w:val="1"/>
      <w:marLeft w:val="0"/>
      <w:marRight w:val="0"/>
      <w:marTop w:val="0"/>
      <w:marBottom w:val="0"/>
      <w:divBdr>
        <w:top w:val="none" w:sz="0" w:space="0" w:color="auto"/>
        <w:left w:val="none" w:sz="0" w:space="0" w:color="auto"/>
        <w:bottom w:val="none" w:sz="0" w:space="0" w:color="auto"/>
        <w:right w:val="none" w:sz="0" w:space="0" w:color="auto"/>
      </w:divBdr>
    </w:div>
    <w:div w:id="785738053">
      <w:bodyDiv w:val="1"/>
      <w:marLeft w:val="0"/>
      <w:marRight w:val="0"/>
      <w:marTop w:val="0"/>
      <w:marBottom w:val="0"/>
      <w:divBdr>
        <w:top w:val="none" w:sz="0" w:space="0" w:color="auto"/>
        <w:left w:val="none" w:sz="0" w:space="0" w:color="auto"/>
        <w:bottom w:val="none" w:sz="0" w:space="0" w:color="auto"/>
        <w:right w:val="none" w:sz="0" w:space="0" w:color="auto"/>
      </w:divBdr>
      <w:divsChild>
        <w:div w:id="1385594600">
          <w:marLeft w:val="0"/>
          <w:marRight w:val="0"/>
          <w:marTop w:val="0"/>
          <w:marBottom w:val="0"/>
          <w:divBdr>
            <w:top w:val="none" w:sz="0" w:space="0" w:color="auto"/>
            <w:left w:val="none" w:sz="0" w:space="0" w:color="auto"/>
            <w:bottom w:val="none" w:sz="0" w:space="0" w:color="auto"/>
            <w:right w:val="none" w:sz="0" w:space="0" w:color="auto"/>
          </w:divBdr>
          <w:divsChild>
            <w:div w:id="1728453946">
              <w:marLeft w:val="0"/>
              <w:marRight w:val="0"/>
              <w:marTop w:val="0"/>
              <w:marBottom w:val="0"/>
              <w:divBdr>
                <w:top w:val="none" w:sz="0" w:space="0" w:color="auto"/>
                <w:left w:val="none" w:sz="0" w:space="0" w:color="auto"/>
                <w:bottom w:val="none" w:sz="0" w:space="0" w:color="auto"/>
                <w:right w:val="none" w:sz="0" w:space="0" w:color="auto"/>
              </w:divBdr>
              <w:divsChild>
                <w:div w:id="1615014063">
                  <w:marLeft w:val="0"/>
                  <w:marRight w:val="0"/>
                  <w:marTop w:val="0"/>
                  <w:marBottom w:val="0"/>
                  <w:divBdr>
                    <w:top w:val="none" w:sz="0" w:space="0" w:color="auto"/>
                    <w:left w:val="none" w:sz="0" w:space="0" w:color="auto"/>
                    <w:bottom w:val="none" w:sz="0" w:space="0" w:color="auto"/>
                    <w:right w:val="none" w:sz="0" w:space="0" w:color="auto"/>
                  </w:divBdr>
                  <w:divsChild>
                    <w:div w:id="990327537">
                      <w:marLeft w:val="0"/>
                      <w:marRight w:val="0"/>
                      <w:marTop w:val="0"/>
                      <w:marBottom w:val="0"/>
                      <w:divBdr>
                        <w:top w:val="none" w:sz="0" w:space="0" w:color="auto"/>
                        <w:left w:val="none" w:sz="0" w:space="0" w:color="auto"/>
                        <w:bottom w:val="none" w:sz="0" w:space="0" w:color="auto"/>
                        <w:right w:val="none" w:sz="0" w:space="0" w:color="auto"/>
                      </w:divBdr>
                      <w:divsChild>
                        <w:div w:id="3076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785502">
      <w:bodyDiv w:val="1"/>
      <w:marLeft w:val="0"/>
      <w:marRight w:val="0"/>
      <w:marTop w:val="0"/>
      <w:marBottom w:val="0"/>
      <w:divBdr>
        <w:top w:val="none" w:sz="0" w:space="0" w:color="auto"/>
        <w:left w:val="none" w:sz="0" w:space="0" w:color="auto"/>
        <w:bottom w:val="none" w:sz="0" w:space="0" w:color="auto"/>
        <w:right w:val="none" w:sz="0" w:space="0" w:color="auto"/>
      </w:divBdr>
      <w:divsChild>
        <w:div w:id="589511182">
          <w:marLeft w:val="0"/>
          <w:marRight w:val="0"/>
          <w:marTop w:val="0"/>
          <w:marBottom w:val="0"/>
          <w:divBdr>
            <w:top w:val="none" w:sz="0" w:space="0" w:color="auto"/>
            <w:left w:val="none" w:sz="0" w:space="0" w:color="auto"/>
            <w:bottom w:val="none" w:sz="0" w:space="0" w:color="auto"/>
            <w:right w:val="none" w:sz="0" w:space="0" w:color="auto"/>
          </w:divBdr>
          <w:divsChild>
            <w:div w:id="1780757035">
              <w:marLeft w:val="0"/>
              <w:marRight w:val="0"/>
              <w:marTop w:val="0"/>
              <w:marBottom w:val="0"/>
              <w:divBdr>
                <w:top w:val="none" w:sz="0" w:space="0" w:color="auto"/>
                <w:left w:val="none" w:sz="0" w:space="0" w:color="auto"/>
                <w:bottom w:val="none" w:sz="0" w:space="0" w:color="auto"/>
                <w:right w:val="none" w:sz="0" w:space="0" w:color="auto"/>
              </w:divBdr>
              <w:divsChild>
                <w:div w:id="810950781">
                  <w:marLeft w:val="0"/>
                  <w:marRight w:val="0"/>
                  <w:marTop w:val="0"/>
                  <w:marBottom w:val="0"/>
                  <w:divBdr>
                    <w:top w:val="none" w:sz="0" w:space="0" w:color="auto"/>
                    <w:left w:val="none" w:sz="0" w:space="0" w:color="auto"/>
                    <w:bottom w:val="none" w:sz="0" w:space="0" w:color="auto"/>
                    <w:right w:val="none" w:sz="0" w:space="0" w:color="auto"/>
                  </w:divBdr>
                  <w:divsChild>
                    <w:div w:id="540099049">
                      <w:marLeft w:val="0"/>
                      <w:marRight w:val="0"/>
                      <w:marTop w:val="0"/>
                      <w:marBottom w:val="0"/>
                      <w:divBdr>
                        <w:top w:val="none" w:sz="0" w:space="0" w:color="auto"/>
                        <w:left w:val="none" w:sz="0" w:space="0" w:color="auto"/>
                        <w:bottom w:val="none" w:sz="0" w:space="0" w:color="auto"/>
                        <w:right w:val="none" w:sz="0" w:space="0" w:color="auto"/>
                      </w:divBdr>
                      <w:divsChild>
                        <w:div w:id="625552031">
                          <w:marLeft w:val="0"/>
                          <w:marRight w:val="0"/>
                          <w:marTop w:val="0"/>
                          <w:marBottom w:val="0"/>
                          <w:divBdr>
                            <w:top w:val="single" w:sz="6" w:space="0" w:color="828282"/>
                            <w:left w:val="single" w:sz="6" w:space="0" w:color="828282"/>
                            <w:bottom w:val="single" w:sz="6" w:space="0" w:color="828282"/>
                            <w:right w:val="single" w:sz="6" w:space="0" w:color="828282"/>
                          </w:divBdr>
                          <w:divsChild>
                            <w:div w:id="1625502568">
                              <w:marLeft w:val="0"/>
                              <w:marRight w:val="0"/>
                              <w:marTop w:val="0"/>
                              <w:marBottom w:val="0"/>
                              <w:divBdr>
                                <w:top w:val="none" w:sz="0" w:space="0" w:color="auto"/>
                                <w:left w:val="none" w:sz="0" w:space="0" w:color="auto"/>
                                <w:bottom w:val="none" w:sz="0" w:space="0" w:color="auto"/>
                                <w:right w:val="none" w:sz="0" w:space="0" w:color="auto"/>
                              </w:divBdr>
                              <w:divsChild>
                                <w:div w:id="2030594234">
                                  <w:marLeft w:val="0"/>
                                  <w:marRight w:val="0"/>
                                  <w:marTop w:val="0"/>
                                  <w:marBottom w:val="0"/>
                                  <w:divBdr>
                                    <w:top w:val="none" w:sz="0" w:space="0" w:color="auto"/>
                                    <w:left w:val="none" w:sz="0" w:space="0" w:color="auto"/>
                                    <w:bottom w:val="none" w:sz="0" w:space="0" w:color="auto"/>
                                    <w:right w:val="none" w:sz="0" w:space="0" w:color="auto"/>
                                  </w:divBdr>
                                  <w:divsChild>
                                    <w:div w:id="1088429618">
                                      <w:marLeft w:val="0"/>
                                      <w:marRight w:val="0"/>
                                      <w:marTop w:val="0"/>
                                      <w:marBottom w:val="0"/>
                                      <w:divBdr>
                                        <w:top w:val="none" w:sz="0" w:space="0" w:color="auto"/>
                                        <w:left w:val="none" w:sz="0" w:space="0" w:color="auto"/>
                                        <w:bottom w:val="none" w:sz="0" w:space="0" w:color="auto"/>
                                        <w:right w:val="none" w:sz="0" w:space="0" w:color="auto"/>
                                      </w:divBdr>
                                      <w:divsChild>
                                        <w:div w:id="133526664">
                                          <w:marLeft w:val="0"/>
                                          <w:marRight w:val="0"/>
                                          <w:marTop w:val="0"/>
                                          <w:marBottom w:val="0"/>
                                          <w:divBdr>
                                            <w:top w:val="none" w:sz="0" w:space="0" w:color="auto"/>
                                            <w:left w:val="none" w:sz="0" w:space="0" w:color="auto"/>
                                            <w:bottom w:val="none" w:sz="0" w:space="0" w:color="auto"/>
                                            <w:right w:val="none" w:sz="0" w:space="0" w:color="auto"/>
                                          </w:divBdr>
                                          <w:divsChild>
                                            <w:div w:id="771631417">
                                              <w:marLeft w:val="0"/>
                                              <w:marRight w:val="0"/>
                                              <w:marTop w:val="0"/>
                                              <w:marBottom w:val="0"/>
                                              <w:divBdr>
                                                <w:top w:val="none" w:sz="0" w:space="0" w:color="auto"/>
                                                <w:left w:val="none" w:sz="0" w:space="0" w:color="auto"/>
                                                <w:bottom w:val="none" w:sz="0" w:space="0" w:color="auto"/>
                                                <w:right w:val="none" w:sz="0" w:space="0" w:color="auto"/>
                                              </w:divBdr>
                                              <w:divsChild>
                                                <w:div w:id="136775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3589098">
      <w:bodyDiv w:val="1"/>
      <w:marLeft w:val="0"/>
      <w:marRight w:val="0"/>
      <w:marTop w:val="0"/>
      <w:marBottom w:val="0"/>
      <w:divBdr>
        <w:top w:val="none" w:sz="0" w:space="0" w:color="auto"/>
        <w:left w:val="none" w:sz="0" w:space="0" w:color="auto"/>
        <w:bottom w:val="none" w:sz="0" w:space="0" w:color="auto"/>
        <w:right w:val="none" w:sz="0" w:space="0" w:color="auto"/>
      </w:divBdr>
      <w:divsChild>
        <w:div w:id="273248836">
          <w:marLeft w:val="0"/>
          <w:marRight w:val="0"/>
          <w:marTop w:val="0"/>
          <w:marBottom w:val="0"/>
          <w:divBdr>
            <w:top w:val="none" w:sz="0" w:space="0" w:color="auto"/>
            <w:left w:val="none" w:sz="0" w:space="0" w:color="auto"/>
            <w:bottom w:val="none" w:sz="0" w:space="0" w:color="auto"/>
            <w:right w:val="none" w:sz="0" w:space="0" w:color="auto"/>
          </w:divBdr>
          <w:divsChild>
            <w:div w:id="729621937">
              <w:marLeft w:val="0"/>
              <w:marRight w:val="0"/>
              <w:marTop w:val="0"/>
              <w:marBottom w:val="0"/>
              <w:divBdr>
                <w:top w:val="none" w:sz="0" w:space="0" w:color="auto"/>
                <w:left w:val="none" w:sz="0" w:space="0" w:color="auto"/>
                <w:bottom w:val="none" w:sz="0" w:space="0" w:color="auto"/>
                <w:right w:val="none" w:sz="0" w:space="0" w:color="auto"/>
              </w:divBdr>
              <w:divsChild>
                <w:div w:id="597450059">
                  <w:marLeft w:val="0"/>
                  <w:marRight w:val="0"/>
                  <w:marTop w:val="0"/>
                  <w:marBottom w:val="0"/>
                  <w:divBdr>
                    <w:top w:val="none" w:sz="0" w:space="0" w:color="auto"/>
                    <w:left w:val="none" w:sz="0" w:space="0" w:color="auto"/>
                    <w:bottom w:val="none" w:sz="0" w:space="0" w:color="auto"/>
                    <w:right w:val="none" w:sz="0" w:space="0" w:color="auto"/>
                  </w:divBdr>
                  <w:divsChild>
                    <w:div w:id="1778717782">
                      <w:marLeft w:val="0"/>
                      <w:marRight w:val="0"/>
                      <w:marTop w:val="0"/>
                      <w:marBottom w:val="0"/>
                      <w:divBdr>
                        <w:top w:val="none" w:sz="0" w:space="0" w:color="auto"/>
                        <w:left w:val="none" w:sz="0" w:space="0" w:color="auto"/>
                        <w:bottom w:val="none" w:sz="0" w:space="0" w:color="auto"/>
                        <w:right w:val="none" w:sz="0" w:space="0" w:color="auto"/>
                      </w:divBdr>
                      <w:divsChild>
                        <w:div w:id="1637101994">
                          <w:marLeft w:val="0"/>
                          <w:marRight w:val="0"/>
                          <w:marTop w:val="0"/>
                          <w:marBottom w:val="0"/>
                          <w:divBdr>
                            <w:top w:val="single" w:sz="6" w:space="0" w:color="828282"/>
                            <w:left w:val="single" w:sz="6" w:space="0" w:color="828282"/>
                            <w:bottom w:val="single" w:sz="6" w:space="0" w:color="828282"/>
                            <w:right w:val="single" w:sz="6" w:space="0" w:color="828282"/>
                          </w:divBdr>
                          <w:divsChild>
                            <w:div w:id="1348751415">
                              <w:marLeft w:val="0"/>
                              <w:marRight w:val="0"/>
                              <w:marTop w:val="0"/>
                              <w:marBottom w:val="0"/>
                              <w:divBdr>
                                <w:top w:val="none" w:sz="0" w:space="0" w:color="auto"/>
                                <w:left w:val="none" w:sz="0" w:space="0" w:color="auto"/>
                                <w:bottom w:val="none" w:sz="0" w:space="0" w:color="auto"/>
                                <w:right w:val="none" w:sz="0" w:space="0" w:color="auto"/>
                              </w:divBdr>
                              <w:divsChild>
                                <w:div w:id="1712265997">
                                  <w:marLeft w:val="0"/>
                                  <w:marRight w:val="0"/>
                                  <w:marTop w:val="0"/>
                                  <w:marBottom w:val="0"/>
                                  <w:divBdr>
                                    <w:top w:val="none" w:sz="0" w:space="0" w:color="auto"/>
                                    <w:left w:val="none" w:sz="0" w:space="0" w:color="auto"/>
                                    <w:bottom w:val="none" w:sz="0" w:space="0" w:color="auto"/>
                                    <w:right w:val="none" w:sz="0" w:space="0" w:color="auto"/>
                                  </w:divBdr>
                                  <w:divsChild>
                                    <w:div w:id="814179414">
                                      <w:marLeft w:val="0"/>
                                      <w:marRight w:val="0"/>
                                      <w:marTop w:val="0"/>
                                      <w:marBottom w:val="0"/>
                                      <w:divBdr>
                                        <w:top w:val="none" w:sz="0" w:space="0" w:color="auto"/>
                                        <w:left w:val="none" w:sz="0" w:space="0" w:color="auto"/>
                                        <w:bottom w:val="none" w:sz="0" w:space="0" w:color="auto"/>
                                        <w:right w:val="none" w:sz="0" w:space="0" w:color="auto"/>
                                      </w:divBdr>
                                      <w:divsChild>
                                        <w:div w:id="642586947">
                                          <w:marLeft w:val="0"/>
                                          <w:marRight w:val="0"/>
                                          <w:marTop w:val="0"/>
                                          <w:marBottom w:val="0"/>
                                          <w:divBdr>
                                            <w:top w:val="none" w:sz="0" w:space="0" w:color="auto"/>
                                            <w:left w:val="none" w:sz="0" w:space="0" w:color="auto"/>
                                            <w:bottom w:val="none" w:sz="0" w:space="0" w:color="auto"/>
                                            <w:right w:val="none" w:sz="0" w:space="0" w:color="auto"/>
                                          </w:divBdr>
                                          <w:divsChild>
                                            <w:div w:id="1362628800">
                                              <w:marLeft w:val="0"/>
                                              <w:marRight w:val="0"/>
                                              <w:marTop w:val="0"/>
                                              <w:marBottom w:val="0"/>
                                              <w:divBdr>
                                                <w:top w:val="none" w:sz="0" w:space="0" w:color="auto"/>
                                                <w:left w:val="none" w:sz="0" w:space="0" w:color="auto"/>
                                                <w:bottom w:val="none" w:sz="0" w:space="0" w:color="auto"/>
                                                <w:right w:val="none" w:sz="0" w:space="0" w:color="auto"/>
                                              </w:divBdr>
                                              <w:divsChild>
                                                <w:div w:id="61441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6912408">
      <w:bodyDiv w:val="1"/>
      <w:marLeft w:val="0"/>
      <w:marRight w:val="0"/>
      <w:marTop w:val="0"/>
      <w:marBottom w:val="0"/>
      <w:divBdr>
        <w:top w:val="none" w:sz="0" w:space="0" w:color="auto"/>
        <w:left w:val="none" w:sz="0" w:space="0" w:color="auto"/>
        <w:bottom w:val="none" w:sz="0" w:space="0" w:color="auto"/>
        <w:right w:val="none" w:sz="0" w:space="0" w:color="auto"/>
      </w:divBdr>
    </w:div>
    <w:div w:id="1059669872">
      <w:bodyDiv w:val="1"/>
      <w:marLeft w:val="0"/>
      <w:marRight w:val="0"/>
      <w:marTop w:val="0"/>
      <w:marBottom w:val="0"/>
      <w:divBdr>
        <w:top w:val="none" w:sz="0" w:space="0" w:color="auto"/>
        <w:left w:val="none" w:sz="0" w:space="0" w:color="auto"/>
        <w:bottom w:val="none" w:sz="0" w:space="0" w:color="auto"/>
        <w:right w:val="none" w:sz="0" w:space="0" w:color="auto"/>
      </w:divBdr>
      <w:divsChild>
        <w:div w:id="434911388">
          <w:marLeft w:val="0"/>
          <w:marRight w:val="0"/>
          <w:marTop w:val="0"/>
          <w:marBottom w:val="0"/>
          <w:divBdr>
            <w:top w:val="none" w:sz="0" w:space="0" w:color="auto"/>
            <w:left w:val="none" w:sz="0" w:space="0" w:color="auto"/>
            <w:bottom w:val="none" w:sz="0" w:space="0" w:color="auto"/>
            <w:right w:val="none" w:sz="0" w:space="0" w:color="auto"/>
          </w:divBdr>
          <w:divsChild>
            <w:div w:id="1305116358">
              <w:marLeft w:val="0"/>
              <w:marRight w:val="0"/>
              <w:marTop w:val="100"/>
              <w:marBottom w:val="100"/>
              <w:divBdr>
                <w:top w:val="none" w:sz="0" w:space="0" w:color="auto"/>
                <w:left w:val="none" w:sz="0" w:space="0" w:color="auto"/>
                <w:bottom w:val="none" w:sz="0" w:space="0" w:color="auto"/>
                <w:right w:val="none" w:sz="0" w:space="0" w:color="auto"/>
              </w:divBdr>
              <w:divsChild>
                <w:div w:id="307710339">
                  <w:marLeft w:val="0"/>
                  <w:marRight w:val="0"/>
                  <w:marTop w:val="0"/>
                  <w:marBottom w:val="0"/>
                  <w:divBdr>
                    <w:top w:val="none" w:sz="0" w:space="0" w:color="auto"/>
                    <w:left w:val="none" w:sz="0" w:space="0" w:color="auto"/>
                    <w:bottom w:val="none" w:sz="0" w:space="0" w:color="auto"/>
                    <w:right w:val="none" w:sz="0" w:space="0" w:color="auto"/>
                  </w:divBdr>
                  <w:divsChild>
                    <w:div w:id="945887604">
                      <w:marLeft w:val="0"/>
                      <w:marRight w:val="0"/>
                      <w:marTop w:val="0"/>
                      <w:marBottom w:val="0"/>
                      <w:divBdr>
                        <w:top w:val="none" w:sz="0" w:space="0" w:color="auto"/>
                        <w:left w:val="none" w:sz="0" w:space="0" w:color="auto"/>
                        <w:bottom w:val="none" w:sz="0" w:space="0" w:color="auto"/>
                        <w:right w:val="none" w:sz="0" w:space="0" w:color="auto"/>
                      </w:divBdr>
                      <w:divsChild>
                        <w:div w:id="1689258620">
                          <w:marLeft w:val="0"/>
                          <w:marRight w:val="0"/>
                          <w:marTop w:val="0"/>
                          <w:marBottom w:val="0"/>
                          <w:divBdr>
                            <w:top w:val="none" w:sz="0" w:space="0" w:color="auto"/>
                            <w:left w:val="none" w:sz="0" w:space="0" w:color="auto"/>
                            <w:bottom w:val="none" w:sz="0" w:space="0" w:color="auto"/>
                            <w:right w:val="none" w:sz="0" w:space="0" w:color="auto"/>
                          </w:divBdr>
                          <w:divsChild>
                            <w:div w:id="1180505225">
                              <w:marLeft w:val="0"/>
                              <w:marRight w:val="0"/>
                              <w:marTop w:val="0"/>
                              <w:marBottom w:val="0"/>
                              <w:divBdr>
                                <w:top w:val="none" w:sz="0" w:space="0" w:color="auto"/>
                                <w:left w:val="none" w:sz="0" w:space="0" w:color="auto"/>
                                <w:bottom w:val="none" w:sz="0" w:space="0" w:color="auto"/>
                                <w:right w:val="none" w:sz="0" w:space="0" w:color="auto"/>
                              </w:divBdr>
                              <w:divsChild>
                                <w:div w:id="165348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6363316">
      <w:bodyDiv w:val="1"/>
      <w:marLeft w:val="0"/>
      <w:marRight w:val="0"/>
      <w:marTop w:val="0"/>
      <w:marBottom w:val="0"/>
      <w:divBdr>
        <w:top w:val="none" w:sz="0" w:space="0" w:color="auto"/>
        <w:left w:val="none" w:sz="0" w:space="0" w:color="auto"/>
        <w:bottom w:val="none" w:sz="0" w:space="0" w:color="auto"/>
        <w:right w:val="none" w:sz="0" w:space="0" w:color="auto"/>
      </w:divBdr>
      <w:divsChild>
        <w:div w:id="1907639492">
          <w:marLeft w:val="0"/>
          <w:marRight w:val="0"/>
          <w:marTop w:val="0"/>
          <w:marBottom w:val="0"/>
          <w:divBdr>
            <w:top w:val="none" w:sz="0" w:space="0" w:color="auto"/>
            <w:left w:val="none" w:sz="0" w:space="0" w:color="auto"/>
            <w:bottom w:val="none" w:sz="0" w:space="0" w:color="auto"/>
            <w:right w:val="none" w:sz="0" w:space="0" w:color="auto"/>
          </w:divBdr>
          <w:divsChild>
            <w:div w:id="1180966800">
              <w:marLeft w:val="0"/>
              <w:marRight w:val="0"/>
              <w:marTop w:val="0"/>
              <w:marBottom w:val="0"/>
              <w:divBdr>
                <w:top w:val="none" w:sz="0" w:space="0" w:color="auto"/>
                <w:left w:val="none" w:sz="0" w:space="0" w:color="auto"/>
                <w:bottom w:val="none" w:sz="0" w:space="0" w:color="auto"/>
                <w:right w:val="none" w:sz="0" w:space="0" w:color="auto"/>
              </w:divBdr>
              <w:divsChild>
                <w:div w:id="2127388393">
                  <w:marLeft w:val="0"/>
                  <w:marRight w:val="0"/>
                  <w:marTop w:val="0"/>
                  <w:marBottom w:val="0"/>
                  <w:divBdr>
                    <w:top w:val="none" w:sz="0" w:space="0" w:color="auto"/>
                    <w:left w:val="none" w:sz="0" w:space="0" w:color="auto"/>
                    <w:bottom w:val="none" w:sz="0" w:space="0" w:color="auto"/>
                    <w:right w:val="none" w:sz="0" w:space="0" w:color="auto"/>
                  </w:divBdr>
                  <w:divsChild>
                    <w:div w:id="560792676">
                      <w:marLeft w:val="0"/>
                      <w:marRight w:val="0"/>
                      <w:marTop w:val="0"/>
                      <w:marBottom w:val="0"/>
                      <w:divBdr>
                        <w:top w:val="none" w:sz="0" w:space="0" w:color="auto"/>
                        <w:left w:val="none" w:sz="0" w:space="0" w:color="auto"/>
                        <w:bottom w:val="none" w:sz="0" w:space="0" w:color="auto"/>
                        <w:right w:val="none" w:sz="0" w:space="0" w:color="auto"/>
                      </w:divBdr>
                      <w:divsChild>
                        <w:div w:id="1231968119">
                          <w:marLeft w:val="0"/>
                          <w:marRight w:val="0"/>
                          <w:marTop w:val="0"/>
                          <w:marBottom w:val="0"/>
                          <w:divBdr>
                            <w:top w:val="single" w:sz="6" w:space="0" w:color="828282"/>
                            <w:left w:val="single" w:sz="6" w:space="0" w:color="828282"/>
                            <w:bottom w:val="single" w:sz="6" w:space="0" w:color="828282"/>
                            <w:right w:val="single" w:sz="6" w:space="0" w:color="828282"/>
                          </w:divBdr>
                          <w:divsChild>
                            <w:div w:id="784808312">
                              <w:marLeft w:val="0"/>
                              <w:marRight w:val="0"/>
                              <w:marTop w:val="0"/>
                              <w:marBottom w:val="0"/>
                              <w:divBdr>
                                <w:top w:val="none" w:sz="0" w:space="0" w:color="auto"/>
                                <w:left w:val="none" w:sz="0" w:space="0" w:color="auto"/>
                                <w:bottom w:val="none" w:sz="0" w:space="0" w:color="auto"/>
                                <w:right w:val="none" w:sz="0" w:space="0" w:color="auto"/>
                              </w:divBdr>
                              <w:divsChild>
                                <w:div w:id="1876308790">
                                  <w:marLeft w:val="0"/>
                                  <w:marRight w:val="0"/>
                                  <w:marTop w:val="0"/>
                                  <w:marBottom w:val="0"/>
                                  <w:divBdr>
                                    <w:top w:val="none" w:sz="0" w:space="0" w:color="auto"/>
                                    <w:left w:val="none" w:sz="0" w:space="0" w:color="auto"/>
                                    <w:bottom w:val="none" w:sz="0" w:space="0" w:color="auto"/>
                                    <w:right w:val="none" w:sz="0" w:space="0" w:color="auto"/>
                                  </w:divBdr>
                                  <w:divsChild>
                                    <w:div w:id="350574374">
                                      <w:marLeft w:val="0"/>
                                      <w:marRight w:val="0"/>
                                      <w:marTop w:val="0"/>
                                      <w:marBottom w:val="0"/>
                                      <w:divBdr>
                                        <w:top w:val="none" w:sz="0" w:space="0" w:color="auto"/>
                                        <w:left w:val="none" w:sz="0" w:space="0" w:color="auto"/>
                                        <w:bottom w:val="none" w:sz="0" w:space="0" w:color="auto"/>
                                        <w:right w:val="none" w:sz="0" w:space="0" w:color="auto"/>
                                      </w:divBdr>
                                      <w:divsChild>
                                        <w:div w:id="1300066205">
                                          <w:marLeft w:val="0"/>
                                          <w:marRight w:val="0"/>
                                          <w:marTop w:val="0"/>
                                          <w:marBottom w:val="0"/>
                                          <w:divBdr>
                                            <w:top w:val="none" w:sz="0" w:space="0" w:color="auto"/>
                                            <w:left w:val="none" w:sz="0" w:space="0" w:color="auto"/>
                                            <w:bottom w:val="none" w:sz="0" w:space="0" w:color="auto"/>
                                            <w:right w:val="none" w:sz="0" w:space="0" w:color="auto"/>
                                          </w:divBdr>
                                          <w:divsChild>
                                            <w:div w:id="1599634236">
                                              <w:marLeft w:val="0"/>
                                              <w:marRight w:val="0"/>
                                              <w:marTop w:val="0"/>
                                              <w:marBottom w:val="0"/>
                                              <w:divBdr>
                                                <w:top w:val="none" w:sz="0" w:space="0" w:color="auto"/>
                                                <w:left w:val="none" w:sz="0" w:space="0" w:color="auto"/>
                                                <w:bottom w:val="none" w:sz="0" w:space="0" w:color="auto"/>
                                                <w:right w:val="none" w:sz="0" w:space="0" w:color="auto"/>
                                              </w:divBdr>
                                              <w:divsChild>
                                                <w:div w:id="134770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7750305">
      <w:bodyDiv w:val="1"/>
      <w:marLeft w:val="0"/>
      <w:marRight w:val="0"/>
      <w:marTop w:val="0"/>
      <w:marBottom w:val="0"/>
      <w:divBdr>
        <w:top w:val="none" w:sz="0" w:space="0" w:color="auto"/>
        <w:left w:val="none" w:sz="0" w:space="0" w:color="auto"/>
        <w:bottom w:val="none" w:sz="0" w:space="0" w:color="auto"/>
        <w:right w:val="none" w:sz="0" w:space="0" w:color="auto"/>
      </w:divBdr>
      <w:divsChild>
        <w:div w:id="437990769">
          <w:marLeft w:val="0"/>
          <w:marRight w:val="0"/>
          <w:marTop w:val="0"/>
          <w:marBottom w:val="0"/>
          <w:divBdr>
            <w:top w:val="none" w:sz="0" w:space="0" w:color="auto"/>
            <w:left w:val="none" w:sz="0" w:space="0" w:color="auto"/>
            <w:bottom w:val="none" w:sz="0" w:space="0" w:color="auto"/>
            <w:right w:val="none" w:sz="0" w:space="0" w:color="auto"/>
          </w:divBdr>
          <w:divsChild>
            <w:div w:id="825247236">
              <w:marLeft w:val="0"/>
              <w:marRight w:val="0"/>
              <w:marTop w:val="0"/>
              <w:marBottom w:val="0"/>
              <w:divBdr>
                <w:top w:val="none" w:sz="0" w:space="0" w:color="auto"/>
                <w:left w:val="none" w:sz="0" w:space="0" w:color="auto"/>
                <w:bottom w:val="none" w:sz="0" w:space="0" w:color="auto"/>
                <w:right w:val="none" w:sz="0" w:space="0" w:color="auto"/>
              </w:divBdr>
              <w:divsChild>
                <w:div w:id="685449656">
                  <w:marLeft w:val="0"/>
                  <w:marRight w:val="0"/>
                  <w:marTop w:val="0"/>
                  <w:marBottom w:val="0"/>
                  <w:divBdr>
                    <w:top w:val="none" w:sz="0" w:space="0" w:color="auto"/>
                    <w:left w:val="none" w:sz="0" w:space="0" w:color="auto"/>
                    <w:bottom w:val="none" w:sz="0" w:space="0" w:color="auto"/>
                    <w:right w:val="none" w:sz="0" w:space="0" w:color="auto"/>
                  </w:divBdr>
                  <w:divsChild>
                    <w:div w:id="2024092310">
                      <w:marLeft w:val="0"/>
                      <w:marRight w:val="0"/>
                      <w:marTop w:val="0"/>
                      <w:marBottom w:val="0"/>
                      <w:divBdr>
                        <w:top w:val="none" w:sz="0" w:space="0" w:color="auto"/>
                        <w:left w:val="none" w:sz="0" w:space="0" w:color="auto"/>
                        <w:bottom w:val="none" w:sz="0" w:space="0" w:color="auto"/>
                        <w:right w:val="none" w:sz="0" w:space="0" w:color="auto"/>
                      </w:divBdr>
                      <w:divsChild>
                        <w:div w:id="740517985">
                          <w:marLeft w:val="0"/>
                          <w:marRight w:val="0"/>
                          <w:marTop w:val="0"/>
                          <w:marBottom w:val="0"/>
                          <w:divBdr>
                            <w:top w:val="single" w:sz="6" w:space="0" w:color="828282"/>
                            <w:left w:val="single" w:sz="6" w:space="0" w:color="828282"/>
                            <w:bottom w:val="single" w:sz="6" w:space="0" w:color="828282"/>
                            <w:right w:val="single" w:sz="6" w:space="0" w:color="828282"/>
                          </w:divBdr>
                          <w:divsChild>
                            <w:div w:id="508905251">
                              <w:marLeft w:val="0"/>
                              <w:marRight w:val="0"/>
                              <w:marTop w:val="0"/>
                              <w:marBottom w:val="0"/>
                              <w:divBdr>
                                <w:top w:val="none" w:sz="0" w:space="0" w:color="auto"/>
                                <w:left w:val="none" w:sz="0" w:space="0" w:color="auto"/>
                                <w:bottom w:val="none" w:sz="0" w:space="0" w:color="auto"/>
                                <w:right w:val="none" w:sz="0" w:space="0" w:color="auto"/>
                              </w:divBdr>
                              <w:divsChild>
                                <w:div w:id="1925063913">
                                  <w:marLeft w:val="0"/>
                                  <w:marRight w:val="0"/>
                                  <w:marTop w:val="0"/>
                                  <w:marBottom w:val="0"/>
                                  <w:divBdr>
                                    <w:top w:val="none" w:sz="0" w:space="0" w:color="auto"/>
                                    <w:left w:val="none" w:sz="0" w:space="0" w:color="auto"/>
                                    <w:bottom w:val="none" w:sz="0" w:space="0" w:color="auto"/>
                                    <w:right w:val="none" w:sz="0" w:space="0" w:color="auto"/>
                                  </w:divBdr>
                                  <w:divsChild>
                                    <w:div w:id="1798832194">
                                      <w:marLeft w:val="0"/>
                                      <w:marRight w:val="0"/>
                                      <w:marTop w:val="0"/>
                                      <w:marBottom w:val="0"/>
                                      <w:divBdr>
                                        <w:top w:val="none" w:sz="0" w:space="0" w:color="auto"/>
                                        <w:left w:val="none" w:sz="0" w:space="0" w:color="auto"/>
                                        <w:bottom w:val="none" w:sz="0" w:space="0" w:color="auto"/>
                                        <w:right w:val="none" w:sz="0" w:space="0" w:color="auto"/>
                                      </w:divBdr>
                                      <w:divsChild>
                                        <w:div w:id="697659579">
                                          <w:marLeft w:val="0"/>
                                          <w:marRight w:val="0"/>
                                          <w:marTop w:val="0"/>
                                          <w:marBottom w:val="0"/>
                                          <w:divBdr>
                                            <w:top w:val="none" w:sz="0" w:space="0" w:color="auto"/>
                                            <w:left w:val="none" w:sz="0" w:space="0" w:color="auto"/>
                                            <w:bottom w:val="none" w:sz="0" w:space="0" w:color="auto"/>
                                            <w:right w:val="none" w:sz="0" w:space="0" w:color="auto"/>
                                          </w:divBdr>
                                          <w:divsChild>
                                            <w:div w:id="35857598">
                                              <w:marLeft w:val="0"/>
                                              <w:marRight w:val="0"/>
                                              <w:marTop w:val="0"/>
                                              <w:marBottom w:val="0"/>
                                              <w:divBdr>
                                                <w:top w:val="none" w:sz="0" w:space="0" w:color="auto"/>
                                                <w:left w:val="none" w:sz="0" w:space="0" w:color="auto"/>
                                                <w:bottom w:val="none" w:sz="0" w:space="0" w:color="auto"/>
                                                <w:right w:val="none" w:sz="0" w:space="0" w:color="auto"/>
                                              </w:divBdr>
                                              <w:divsChild>
                                                <w:div w:id="109151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4861478">
      <w:bodyDiv w:val="1"/>
      <w:marLeft w:val="0"/>
      <w:marRight w:val="0"/>
      <w:marTop w:val="0"/>
      <w:marBottom w:val="0"/>
      <w:divBdr>
        <w:top w:val="none" w:sz="0" w:space="0" w:color="auto"/>
        <w:left w:val="none" w:sz="0" w:space="0" w:color="auto"/>
        <w:bottom w:val="none" w:sz="0" w:space="0" w:color="auto"/>
        <w:right w:val="none" w:sz="0" w:space="0" w:color="auto"/>
      </w:divBdr>
      <w:divsChild>
        <w:div w:id="1579359666">
          <w:marLeft w:val="0"/>
          <w:marRight w:val="0"/>
          <w:marTop w:val="0"/>
          <w:marBottom w:val="0"/>
          <w:divBdr>
            <w:top w:val="none" w:sz="0" w:space="0" w:color="auto"/>
            <w:left w:val="none" w:sz="0" w:space="0" w:color="auto"/>
            <w:bottom w:val="none" w:sz="0" w:space="0" w:color="auto"/>
            <w:right w:val="none" w:sz="0" w:space="0" w:color="auto"/>
          </w:divBdr>
          <w:divsChild>
            <w:div w:id="1814174194">
              <w:marLeft w:val="0"/>
              <w:marRight w:val="0"/>
              <w:marTop w:val="100"/>
              <w:marBottom w:val="100"/>
              <w:divBdr>
                <w:top w:val="none" w:sz="0" w:space="0" w:color="auto"/>
                <w:left w:val="none" w:sz="0" w:space="0" w:color="auto"/>
                <w:bottom w:val="none" w:sz="0" w:space="0" w:color="auto"/>
                <w:right w:val="none" w:sz="0" w:space="0" w:color="auto"/>
              </w:divBdr>
              <w:divsChild>
                <w:div w:id="266623258">
                  <w:marLeft w:val="0"/>
                  <w:marRight w:val="0"/>
                  <w:marTop w:val="0"/>
                  <w:marBottom w:val="0"/>
                  <w:divBdr>
                    <w:top w:val="none" w:sz="0" w:space="0" w:color="auto"/>
                    <w:left w:val="none" w:sz="0" w:space="0" w:color="auto"/>
                    <w:bottom w:val="none" w:sz="0" w:space="0" w:color="auto"/>
                    <w:right w:val="none" w:sz="0" w:space="0" w:color="auto"/>
                  </w:divBdr>
                  <w:divsChild>
                    <w:div w:id="1090079146">
                      <w:marLeft w:val="0"/>
                      <w:marRight w:val="0"/>
                      <w:marTop w:val="0"/>
                      <w:marBottom w:val="0"/>
                      <w:divBdr>
                        <w:top w:val="none" w:sz="0" w:space="0" w:color="auto"/>
                        <w:left w:val="none" w:sz="0" w:space="0" w:color="auto"/>
                        <w:bottom w:val="none" w:sz="0" w:space="0" w:color="auto"/>
                        <w:right w:val="none" w:sz="0" w:space="0" w:color="auto"/>
                      </w:divBdr>
                      <w:divsChild>
                        <w:div w:id="973603255">
                          <w:marLeft w:val="0"/>
                          <w:marRight w:val="0"/>
                          <w:marTop w:val="0"/>
                          <w:marBottom w:val="0"/>
                          <w:divBdr>
                            <w:top w:val="none" w:sz="0" w:space="0" w:color="auto"/>
                            <w:left w:val="none" w:sz="0" w:space="0" w:color="auto"/>
                            <w:bottom w:val="none" w:sz="0" w:space="0" w:color="auto"/>
                            <w:right w:val="none" w:sz="0" w:space="0" w:color="auto"/>
                          </w:divBdr>
                          <w:divsChild>
                            <w:div w:id="1251548657">
                              <w:marLeft w:val="0"/>
                              <w:marRight w:val="0"/>
                              <w:marTop w:val="0"/>
                              <w:marBottom w:val="0"/>
                              <w:divBdr>
                                <w:top w:val="none" w:sz="0" w:space="0" w:color="auto"/>
                                <w:left w:val="none" w:sz="0" w:space="0" w:color="auto"/>
                                <w:bottom w:val="none" w:sz="0" w:space="0" w:color="auto"/>
                                <w:right w:val="none" w:sz="0" w:space="0" w:color="auto"/>
                              </w:divBdr>
                              <w:divsChild>
                                <w:div w:id="13803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0607318">
      <w:bodyDiv w:val="1"/>
      <w:marLeft w:val="0"/>
      <w:marRight w:val="0"/>
      <w:marTop w:val="0"/>
      <w:marBottom w:val="0"/>
      <w:divBdr>
        <w:top w:val="none" w:sz="0" w:space="0" w:color="auto"/>
        <w:left w:val="none" w:sz="0" w:space="0" w:color="auto"/>
        <w:bottom w:val="none" w:sz="0" w:space="0" w:color="auto"/>
        <w:right w:val="none" w:sz="0" w:space="0" w:color="auto"/>
      </w:divBdr>
      <w:divsChild>
        <w:div w:id="438185202">
          <w:marLeft w:val="0"/>
          <w:marRight w:val="0"/>
          <w:marTop w:val="0"/>
          <w:marBottom w:val="0"/>
          <w:divBdr>
            <w:top w:val="none" w:sz="0" w:space="0" w:color="auto"/>
            <w:left w:val="none" w:sz="0" w:space="0" w:color="auto"/>
            <w:bottom w:val="none" w:sz="0" w:space="0" w:color="auto"/>
            <w:right w:val="none" w:sz="0" w:space="0" w:color="auto"/>
          </w:divBdr>
          <w:divsChild>
            <w:div w:id="1390568135">
              <w:marLeft w:val="0"/>
              <w:marRight w:val="0"/>
              <w:marTop w:val="0"/>
              <w:marBottom w:val="0"/>
              <w:divBdr>
                <w:top w:val="none" w:sz="0" w:space="0" w:color="auto"/>
                <w:left w:val="none" w:sz="0" w:space="0" w:color="auto"/>
                <w:bottom w:val="none" w:sz="0" w:space="0" w:color="auto"/>
                <w:right w:val="none" w:sz="0" w:space="0" w:color="auto"/>
              </w:divBdr>
              <w:divsChild>
                <w:div w:id="114755210">
                  <w:marLeft w:val="0"/>
                  <w:marRight w:val="0"/>
                  <w:marTop w:val="0"/>
                  <w:marBottom w:val="0"/>
                  <w:divBdr>
                    <w:top w:val="none" w:sz="0" w:space="0" w:color="auto"/>
                    <w:left w:val="none" w:sz="0" w:space="0" w:color="auto"/>
                    <w:bottom w:val="none" w:sz="0" w:space="0" w:color="auto"/>
                    <w:right w:val="none" w:sz="0" w:space="0" w:color="auto"/>
                  </w:divBdr>
                  <w:divsChild>
                    <w:div w:id="777263966">
                      <w:marLeft w:val="0"/>
                      <w:marRight w:val="0"/>
                      <w:marTop w:val="0"/>
                      <w:marBottom w:val="0"/>
                      <w:divBdr>
                        <w:top w:val="none" w:sz="0" w:space="0" w:color="auto"/>
                        <w:left w:val="none" w:sz="0" w:space="0" w:color="auto"/>
                        <w:bottom w:val="none" w:sz="0" w:space="0" w:color="auto"/>
                        <w:right w:val="none" w:sz="0" w:space="0" w:color="auto"/>
                      </w:divBdr>
                      <w:divsChild>
                        <w:div w:id="605699855">
                          <w:marLeft w:val="0"/>
                          <w:marRight w:val="0"/>
                          <w:marTop w:val="0"/>
                          <w:marBottom w:val="0"/>
                          <w:divBdr>
                            <w:top w:val="single" w:sz="6" w:space="0" w:color="828282"/>
                            <w:left w:val="single" w:sz="6" w:space="0" w:color="828282"/>
                            <w:bottom w:val="single" w:sz="6" w:space="0" w:color="828282"/>
                            <w:right w:val="single" w:sz="6" w:space="0" w:color="828282"/>
                          </w:divBdr>
                          <w:divsChild>
                            <w:div w:id="501773658">
                              <w:marLeft w:val="0"/>
                              <w:marRight w:val="0"/>
                              <w:marTop w:val="0"/>
                              <w:marBottom w:val="0"/>
                              <w:divBdr>
                                <w:top w:val="none" w:sz="0" w:space="0" w:color="auto"/>
                                <w:left w:val="none" w:sz="0" w:space="0" w:color="auto"/>
                                <w:bottom w:val="none" w:sz="0" w:space="0" w:color="auto"/>
                                <w:right w:val="none" w:sz="0" w:space="0" w:color="auto"/>
                              </w:divBdr>
                              <w:divsChild>
                                <w:div w:id="1404375369">
                                  <w:marLeft w:val="0"/>
                                  <w:marRight w:val="0"/>
                                  <w:marTop w:val="0"/>
                                  <w:marBottom w:val="0"/>
                                  <w:divBdr>
                                    <w:top w:val="none" w:sz="0" w:space="0" w:color="auto"/>
                                    <w:left w:val="none" w:sz="0" w:space="0" w:color="auto"/>
                                    <w:bottom w:val="none" w:sz="0" w:space="0" w:color="auto"/>
                                    <w:right w:val="none" w:sz="0" w:space="0" w:color="auto"/>
                                  </w:divBdr>
                                  <w:divsChild>
                                    <w:div w:id="1201354207">
                                      <w:marLeft w:val="0"/>
                                      <w:marRight w:val="0"/>
                                      <w:marTop w:val="0"/>
                                      <w:marBottom w:val="0"/>
                                      <w:divBdr>
                                        <w:top w:val="none" w:sz="0" w:space="0" w:color="auto"/>
                                        <w:left w:val="none" w:sz="0" w:space="0" w:color="auto"/>
                                        <w:bottom w:val="none" w:sz="0" w:space="0" w:color="auto"/>
                                        <w:right w:val="none" w:sz="0" w:space="0" w:color="auto"/>
                                      </w:divBdr>
                                      <w:divsChild>
                                        <w:div w:id="1704208655">
                                          <w:marLeft w:val="0"/>
                                          <w:marRight w:val="0"/>
                                          <w:marTop w:val="0"/>
                                          <w:marBottom w:val="0"/>
                                          <w:divBdr>
                                            <w:top w:val="none" w:sz="0" w:space="0" w:color="auto"/>
                                            <w:left w:val="none" w:sz="0" w:space="0" w:color="auto"/>
                                            <w:bottom w:val="none" w:sz="0" w:space="0" w:color="auto"/>
                                            <w:right w:val="none" w:sz="0" w:space="0" w:color="auto"/>
                                          </w:divBdr>
                                          <w:divsChild>
                                            <w:div w:id="189227478">
                                              <w:marLeft w:val="0"/>
                                              <w:marRight w:val="0"/>
                                              <w:marTop w:val="0"/>
                                              <w:marBottom w:val="0"/>
                                              <w:divBdr>
                                                <w:top w:val="none" w:sz="0" w:space="0" w:color="auto"/>
                                                <w:left w:val="none" w:sz="0" w:space="0" w:color="auto"/>
                                                <w:bottom w:val="none" w:sz="0" w:space="0" w:color="auto"/>
                                                <w:right w:val="none" w:sz="0" w:space="0" w:color="auto"/>
                                              </w:divBdr>
                                              <w:divsChild>
                                                <w:div w:id="4036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9086059">
      <w:bodyDiv w:val="1"/>
      <w:marLeft w:val="0"/>
      <w:marRight w:val="0"/>
      <w:marTop w:val="0"/>
      <w:marBottom w:val="0"/>
      <w:divBdr>
        <w:top w:val="none" w:sz="0" w:space="0" w:color="auto"/>
        <w:left w:val="none" w:sz="0" w:space="0" w:color="auto"/>
        <w:bottom w:val="none" w:sz="0" w:space="0" w:color="auto"/>
        <w:right w:val="none" w:sz="0" w:space="0" w:color="auto"/>
      </w:divBdr>
      <w:divsChild>
        <w:div w:id="1271473343">
          <w:marLeft w:val="0"/>
          <w:marRight w:val="0"/>
          <w:marTop w:val="0"/>
          <w:marBottom w:val="0"/>
          <w:divBdr>
            <w:top w:val="none" w:sz="0" w:space="0" w:color="auto"/>
            <w:left w:val="none" w:sz="0" w:space="0" w:color="auto"/>
            <w:bottom w:val="none" w:sz="0" w:space="0" w:color="auto"/>
            <w:right w:val="none" w:sz="0" w:space="0" w:color="auto"/>
          </w:divBdr>
          <w:divsChild>
            <w:div w:id="1427653769">
              <w:marLeft w:val="0"/>
              <w:marRight w:val="0"/>
              <w:marTop w:val="0"/>
              <w:marBottom w:val="0"/>
              <w:divBdr>
                <w:top w:val="none" w:sz="0" w:space="0" w:color="auto"/>
                <w:left w:val="none" w:sz="0" w:space="0" w:color="auto"/>
                <w:bottom w:val="none" w:sz="0" w:space="0" w:color="auto"/>
                <w:right w:val="none" w:sz="0" w:space="0" w:color="auto"/>
              </w:divBdr>
              <w:divsChild>
                <w:div w:id="258023038">
                  <w:marLeft w:val="0"/>
                  <w:marRight w:val="0"/>
                  <w:marTop w:val="0"/>
                  <w:marBottom w:val="0"/>
                  <w:divBdr>
                    <w:top w:val="none" w:sz="0" w:space="0" w:color="auto"/>
                    <w:left w:val="none" w:sz="0" w:space="0" w:color="auto"/>
                    <w:bottom w:val="none" w:sz="0" w:space="0" w:color="auto"/>
                    <w:right w:val="none" w:sz="0" w:space="0" w:color="auto"/>
                  </w:divBdr>
                  <w:divsChild>
                    <w:div w:id="918176903">
                      <w:marLeft w:val="0"/>
                      <w:marRight w:val="0"/>
                      <w:marTop w:val="0"/>
                      <w:marBottom w:val="0"/>
                      <w:divBdr>
                        <w:top w:val="none" w:sz="0" w:space="0" w:color="auto"/>
                        <w:left w:val="none" w:sz="0" w:space="0" w:color="auto"/>
                        <w:bottom w:val="none" w:sz="0" w:space="0" w:color="auto"/>
                        <w:right w:val="none" w:sz="0" w:space="0" w:color="auto"/>
                      </w:divBdr>
                      <w:divsChild>
                        <w:div w:id="72858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072581">
      <w:bodyDiv w:val="1"/>
      <w:marLeft w:val="0"/>
      <w:marRight w:val="0"/>
      <w:marTop w:val="0"/>
      <w:marBottom w:val="0"/>
      <w:divBdr>
        <w:top w:val="none" w:sz="0" w:space="0" w:color="auto"/>
        <w:left w:val="none" w:sz="0" w:space="0" w:color="auto"/>
        <w:bottom w:val="none" w:sz="0" w:space="0" w:color="auto"/>
        <w:right w:val="none" w:sz="0" w:space="0" w:color="auto"/>
      </w:divBdr>
      <w:divsChild>
        <w:div w:id="984040801">
          <w:marLeft w:val="0"/>
          <w:marRight w:val="0"/>
          <w:marTop w:val="0"/>
          <w:marBottom w:val="0"/>
          <w:divBdr>
            <w:top w:val="none" w:sz="0" w:space="0" w:color="auto"/>
            <w:left w:val="none" w:sz="0" w:space="0" w:color="auto"/>
            <w:bottom w:val="none" w:sz="0" w:space="0" w:color="auto"/>
            <w:right w:val="none" w:sz="0" w:space="0" w:color="auto"/>
          </w:divBdr>
          <w:divsChild>
            <w:div w:id="550919890">
              <w:marLeft w:val="0"/>
              <w:marRight w:val="0"/>
              <w:marTop w:val="0"/>
              <w:marBottom w:val="0"/>
              <w:divBdr>
                <w:top w:val="none" w:sz="0" w:space="0" w:color="auto"/>
                <w:left w:val="none" w:sz="0" w:space="0" w:color="auto"/>
                <w:bottom w:val="none" w:sz="0" w:space="0" w:color="auto"/>
                <w:right w:val="none" w:sz="0" w:space="0" w:color="auto"/>
              </w:divBdr>
              <w:divsChild>
                <w:div w:id="2036685738">
                  <w:marLeft w:val="67"/>
                  <w:marRight w:val="0"/>
                  <w:marTop w:val="0"/>
                  <w:marBottom w:val="50"/>
                  <w:divBdr>
                    <w:top w:val="none" w:sz="0" w:space="0" w:color="auto"/>
                    <w:left w:val="none" w:sz="0" w:space="0" w:color="auto"/>
                    <w:bottom w:val="none" w:sz="0" w:space="0" w:color="auto"/>
                    <w:right w:val="none" w:sz="0" w:space="0" w:color="auto"/>
                  </w:divBdr>
                  <w:divsChild>
                    <w:div w:id="480777691">
                      <w:marLeft w:val="167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529141">
      <w:bodyDiv w:val="1"/>
      <w:marLeft w:val="0"/>
      <w:marRight w:val="0"/>
      <w:marTop w:val="0"/>
      <w:marBottom w:val="0"/>
      <w:divBdr>
        <w:top w:val="none" w:sz="0" w:space="0" w:color="auto"/>
        <w:left w:val="none" w:sz="0" w:space="0" w:color="auto"/>
        <w:bottom w:val="none" w:sz="0" w:space="0" w:color="auto"/>
        <w:right w:val="none" w:sz="0" w:space="0" w:color="auto"/>
      </w:divBdr>
      <w:divsChild>
        <w:div w:id="42994550">
          <w:marLeft w:val="0"/>
          <w:marRight w:val="0"/>
          <w:marTop w:val="0"/>
          <w:marBottom w:val="0"/>
          <w:divBdr>
            <w:top w:val="none" w:sz="0" w:space="0" w:color="auto"/>
            <w:left w:val="none" w:sz="0" w:space="0" w:color="auto"/>
            <w:bottom w:val="none" w:sz="0" w:space="0" w:color="auto"/>
            <w:right w:val="none" w:sz="0" w:space="0" w:color="auto"/>
          </w:divBdr>
          <w:divsChild>
            <w:div w:id="2076851241">
              <w:marLeft w:val="0"/>
              <w:marRight w:val="0"/>
              <w:marTop w:val="0"/>
              <w:marBottom w:val="0"/>
              <w:divBdr>
                <w:top w:val="none" w:sz="0" w:space="0" w:color="auto"/>
                <w:left w:val="none" w:sz="0" w:space="0" w:color="auto"/>
                <w:bottom w:val="none" w:sz="0" w:space="0" w:color="auto"/>
                <w:right w:val="none" w:sz="0" w:space="0" w:color="auto"/>
              </w:divBdr>
              <w:divsChild>
                <w:div w:id="1512061702">
                  <w:marLeft w:val="0"/>
                  <w:marRight w:val="0"/>
                  <w:marTop w:val="0"/>
                  <w:marBottom w:val="0"/>
                  <w:divBdr>
                    <w:top w:val="none" w:sz="0" w:space="0" w:color="auto"/>
                    <w:left w:val="none" w:sz="0" w:space="0" w:color="auto"/>
                    <w:bottom w:val="none" w:sz="0" w:space="0" w:color="auto"/>
                    <w:right w:val="none" w:sz="0" w:space="0" w:color="auto"/>
                  </w:divBdr>
                  <w:divsChild>
                    <w:div w:id="1311783869">
                      <w:marLeft w:val="0"/>
                      <w:marRight w:val="0"/>
                      <w:marTop w:val="0"/>
                      <w:marBottom w:val="0"/>
                      <w:divBdr>
                        <w:top w:val="none" w:sz="0" w:space="0" w:color="auto"/>
                        <w:left w:val="none" w:sz="0" w:space="0" w:color="auto"/>
                        <w:bottom w:val="none" w:sz="0" w:space="0" w:color="auto"/>
                        <w:right w:val="none" w:sz="0" w:space="0" w:color="auto"/>
                      </w:divBdr>
                      <w:divsChild>
                        <w:div w:id="1619489111">
                          <w:marLeft w:val="0"/>
                          <w:marRight w:val="0"/>
                          <w:marTop w:val="0"/>
                          <w:marBottom w:val="0"/>
                          <w:divBdr>
                            <w:top w:val="single" w:sz="6" w:space="0" w:color="828282"/>
                            <w:left w:val="single" w:sz="6" w:space="0" w:color="828282"/>
                            <w:bottom w:val="single" w:sz="6" w:space="0" w:color="828282"/>
                            <w:right w:val="single" w:sz="6" w:space="0" w:color="828282"/>
                          </w:divBdr>
                          <w:divsChild>
                            <w:div w:id="150415055">
                              <w:marLeft w:val="0"/>
                              <w:marRight w:val="0"/>
                              <w:marTop w:val="0"/>
                              <w:marBottom w:val="0"/>
                              <w:divBdr>
                                <w:top w:val="none" w:sz="0" w:space="0" w:color="auto"/>
                                <w:left w:val="none" w:sz="0" w:space="0" w:color="auto"/>
                                <w:bottom w:val="none" w:sz="0" w:space="0" w:color="auto"/>
                                <w:right w:val="none" w:sz="0" w:space="0" w:color="auto"/>
                              </w:divBdr>
                              <w:divsChild>
                                <w:div w:id="1596476885">
                                  <w:marLeft w:val="0"/>
                                  <w:marRight w:val="0"/>
                                  <w:marTop w:val="0"/>
                                  <w:marBottom w:val="0"/>
                                  <w:divBdr>
                                    <w:top w:val="none" w:sz="0" w:space="0" w:color="auto"/>
                                    <w:left w:val="none" w:sz="0" w:space="0" w:color="auto"/>
                                    <w:bottom w:val="none" w:sz="0" w:space="0" w:color="auto"/>
                                    <w:right w:val="none" w:sz="0" w:space="0" w:color="auto"/>
                                  </w:divBdr>
                                  <w:divsChild>
                                    <w:div w:id="326598133">
                                      <w:marLeft w:val="0"/>
                                      <w:marRight w:val="0"/>
                                      <w:marTop w:val="0"/>
                                      <w:marBottom w:val="0"/>
                                      <w:divBdr>
                                        <w:top w:val="none" w:sz="0" w:space="0" w:color="auto"/>
                                        <w:left w:val="none" w:sz="0" w:space="0" w:color="auto"/>
                                        <w:bottom w:val="none" w:sz="0" w:space="0" w:color="auto"/>
                                        <w:right w:val="none" w:sz="0" w:space="0" w:color="auto"/>
                                      </w:divBdr>
                                      <w:divsChild>
                                        <w:div w:id="965161394">
                                          <w:marLeft w:val="0"/>
                                          <w:marRight w:val="0"/>
                                          <w:marTop w:val="0"/>
                                          <w:marBottom w:val="0"/>
                                          <w:divBdr>
                                            <w:top w:val="none" w:sz="0" w:space="0" w:color="auto"/>
                                            <w:left w:val="none" w:sz="0" w:space="0" w:color="auto"/>
                                            <w:bottom w:val="none" w:sz="0" w:space="0" w:color="auto"/>
                                            <w:right w:val="none" w:sz="0" w:space="0" w:color="auto"/>
                                          </w:divBdr>
                                          <w:divsChild>
                                            <w:div w:id="492063934">
                                              <w:marLeft w:val="0"/>
                                              <w:marRight w:val="0"/>
                                              <w:marTop w:val="0"/>
                                              <w:marBottom w:val="0"/>
                                              <w:divBdr>
                                                <w:top w:val="none" w:sz="0" w:space="0" w:color="auto"/>
                                                <w:left w:val="none" w:sz="0" w:space="0" w:color="auto"/>
                                                <w:bottom w:val="none" w:sz="0" w:space="0" w:color="auto"/>
                                                <w:right w:val="none" w:sz="0" w:space="0" w:color="auto"/>
                                              </w:divBdr>
                                              <w:divsChild>
                                                <w:div w:id="24125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6844031">
      <w:bodyDiv w:val="1"/>
      <w:marLeft w:val="0"/>
      <w:marRight w:val="0"/>
      <w:marTop w:val="0"/>
      <w:marBottom w:val="0"/>
      <w:divBdr>
        <w:top w:val="none" w:sz="0" w:space="0" w:color="auto"/>
        <w:left w:val="none" w:sz="0" w:space="0" w:color="auto"/>
        <w:bottom w:val="none" w:sz="0" w:space="0" w:color="auto"/>
        <w:right w:val="none" w:sz="0" w:space="0" w:color="auto"/>
      </w:divBdr>
      <w:divsChild>
        <w:div w:id="1998261484">
          <w:marLeft w:val="0"/>
          <w:marRight w:val="0"/>
          <w:marTop w:val="0"/>
          <w:marBottom w:val="0"/>
          <w:divBdr>
            <w:top w:val="none" w:sz="0" w:space="0" w:color="auto"/>
            <w:left w:val="none" w:sz="0" w:space="0" w:color="auto"/>
            <w:bottom w:val="none" w:sz="0" w:space="0" w:color="auto"/>
            <w:right w:val="none" w:sz="0" w:space="0" w:color="auto"/>
          </w:divBdr>
          <w:divsChild>
            <w:div w:id="1231691291">
              <w:marLeft w:val="0"/>
              <w:marRight w:val="0"/>
              <w:marTop w:val="0"/>
              <w:marBottom w:val="0"/>
              <w:divBdr>
                <w:top w:val="none" w:sz="0" w:space="0" w:color="auto"/>
                <w:left w:val="none" w:sz="0" w:space="0" w:color="auto"/>
                <w:bottom w:val="none" w:sz="0" w:space="0" w:color="auto"/>
                <w:right w:val="none" w:sz="0" w:space="0" w:color="auto"/>
              </w:divBdr>
              <w:divsChild>
                <w:div w:id="1590848681">
                  <w:marLeft w:val="0"/>
                  <w:marRight w:val="0"/>
                  <w:marTop w:val="0"/>
                  <w:marBottom w:val="0"/>
                  <w:divBdr>
                    <w:top w:val="none" w:sz="0" w:space="0" w:color="auto"/>
                    <w:left w:val="none" w:sz="0" w:space="0" w:color="auto"/>
                    <w:bottom w:val="none" w:sz="0" w:space="0" w:color="auto"/>
                    <w:right w:val="none" w:sz="0" w:space="0" w:color="auto"/>
                  </w:divBdr>
                  <w:divsChild>
                    <w:div w:id="2023698004">
                      <w:marLeft w:val="0"/>
                      <w:marRight w:val="0"/>
                      <w:marTop w:val="0"/>
                      <w:marBottom w:val="0"/>
                      <w:divBdr>
                        <w:top w:val="none" w:sz="0" w:space="0" w:color="auto"/>
                        <w:left w:val="none" w:sz="0" w:space="0" w:color="auto"/>
                        <w:bottom w:val="none" w:sz="0" w:space="0" w:color="auto"/>
                        <w:right w:val="none" w:sz="0" w:space="0" w:color="auto"/>
                      </w:divBdr>
                      <w:divsChild>
                        <w:div w:id="427123195">
                          <w:marLeft w:val="0"/>
                          <w:marRight w:val="0"/>
                          <w:marTop w:val="0"/>
                          <w:marBottom w:val="0"/>
                          <w:divBdr>
                            <w:top w:val="single" w:sz="6" w:space="0" w:color="828282"/>
                            <w:left w:val="single" w:sz="6" w:space="0" w:color="828282"/>
                            <w:bottom w:val="single" w:sz="6" w:space="0" w:color="828282"/>
                            <w:right w:val="single" w:sz="6" w:space="0" w:color="828282"/>
                          </w:divBdr>
                          <w:divsChild>
                            <w:div w:id="1786540708">
                              <w:marLeft w:val="0"/>
                              <w:marRight w:val="0"/>
                              <w:marTop w:val="0"/>
                              <w:marBottom w:val="0"/>
                              <w:divBdr>
                                <w:top w:val="none" w:sz="0" w:space="0" w:color="auto"/>
                                <w:left w:val="none" w:sz="0" w:space="0" w:color="auto"/>
                                <w:bottom w:val="none" w:sz="0" w:space="0" w:color="auto"/>
                                <w:right w:val="none" w:sz="0" w:space="0" w:color="auto"/>
                              </w:divBdr>
                              <w:divsChild>
                                <w:div w:id="65038800">
                                  <w:marLeft w:val="0"/>
                                  <w:marRight w:val="0"/>
                                  <w:marTop w:val="0"/>
                                  <w:marBottom w:val="0"/>
                                  <w:divBdr>
                                    <w:top w:val="none" w:sz="0" w:space="0" w:color="auto"/>
                                    <w:left w:val="none" w:sz="0" w:space="0" w:color="auto"/>
                                    <w:bottom w:val="none" w:sz="0" w:space="0" w:color="auto"/>
                                    <w:right w:val="none" w:sz="0" w:space="0" w:color="auto"/>
                                  </w:divBdr>
                                  <w:divsChild>
                                    <w:div w:id="244534898">
                                      <w:marLeft w:val="0"/>
                                      <w:marRight w:val="0"/>
                                      <w:marTop w:val="0"/>
                                      <w:marBottom w:val="0"/>
                                      <w:divBdr>
                                        <w:top w:val="none" w:sz="0" w:space="0" w:color="auto"/>
                                        <w:left w:val="none" w:sz="0" w:space="0" w:color="auto"/>
                                        <w:bottom w:val="none" w:sz="0" w:space="0" w:color="auto"/>
                                        <w:right w:val="none" w:sz="0" w:space="0" w:color="auto"/>
                                      </w:divBdr>
                                      <w:divsChild>
                                        <w:div w:id="1470705261">
                                          <w:marLeft w:val="0"/>
                                          <w:marRight w:val="0"/>
                                          <w:marTop w:val="0"/>
                                          <w:marBottom w:val="0"/>
                                          <w:divBdr>
                                            <w:top w:val="none" w:sz="0" w:space="0" w:color="auto"/>
                                            <w:left w:val="none" w:sz="0" w:space="0" w:color="auto"/>
                                            <w:bottom w:val="none" w:sz="0" w:space="0" w:color="auto"/>
                                            <w:right w:val="none" w:sz="0" w:space="0" w:color="auto"/>
                                          </w:divBdr>
                                          <w:divsChild>
                                            <w:div w:id="1892766147">
                                              <w:marLeft w:val="0"/>
                                              <w:marRight w:val="0"/>
                                              <w:marTop w:val="0"/>
                                              <w:marBottom w:val="0"/>
                                              <w:divBdr>
                                                <w:top w:val="none" w:sz="0" w:space="0" w:color="auto"/>
                                                <w:left w:val="none" w:sz="0" w:space="0" w:color="auto"/>
                                                <w:bottom w:val="none" w:sz="0" w:space="0" w:color="auto"/>
                                                <w:right w:val="none" w:sz="0" w:space="0" w:color="auto"/>
                                              </w:divBdr>
                                              <w:divsChild>
                                                <w:div w:id="101896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6041213">
      <w:bodyDiv w:val="1"/>
      <w:marLeft w:val="0"/>
      <w:marRight w:val="0"/>
      <w:marTop w:val="0"/>
      <w:marBottom w:val="0"/>
      <w:divBdr>
        <w:top w:val="none" w:sz="0" w:space="0" w:color="auto"/>
        <w:left w:val="none" w:sz="0" w:space="0" w:color="auto"/>
        <w:bottom w:val="none" w:sz="0" w:space="0" w:color="auto"/>
        <w:right w:val="none" w:sz="0" w:space="0" w:color="auto"/>
      </w:divBdr>
      <w:divsChild>
        <w:div w:id="1523783517">
          <w:marLeft w:val="0"/>
          <w:marRight w:val="0"/>
          <w:marTop w:val="0"/>
          <w:marBottom w:val="0"/>
          <w:divBdr>
            <w:top w:val="none" w:sz="0" w:space="0" w:color="auto"/>
            <w:left w:val="none" w:sz="0" w:space="0" w:color="auto"/>
            <w:bottom w:val="none" w:sz="0" w:space="0" w:color="auto"/>
            <w:right w:val="none" w:sz="0" w:space="0" w:color="auto"/>
          </w:divBdr>
          <w:divsChild>
            <w:div w:id="1857503449">
              <w:marLeft w:val="0"/>
              <w:marRight w:val="0"/>
              <w:marTop w:val="0"/>
              <w:marBottom w:val="0"/>
              <w:divBdr>
                <w:top w:val="none" w:sz="0" w:space="0" w:color="auto"/>
                <w:left w:val="none" w:sz="0" w:space="0" w:color="auto"/>
                <w:bottom w:val="none" w:sz="0" w:space="0" w:color="auto"/>
                <w:right w:val="none" w:sz="0" w:space="0" w:color="auto"/>
              </w:divBdr>
              <w:divsChild>
                <w:div w:id="1360087108">
                  <w:marLeft w:val="60"/>
                  <w:marRight w:val="0"/>
                  <w:marTop w:val="0"/>
                  <w:marBottom w:val="45"/>
                  <w:divBdr>
                    <w:top w:val="none" w:sz="0" w:space="0" w:color="auto"/>
                    <w:left w:val="none" w:sz="0" w:space="0" w:color="auto"/>
                    <w:bottom w:val="none" w:sz="0" w:space="0" w:color="auto"/>
                    <w:right w:val="none" w:sz="0" w:space="0" w:color="auto"/>
                  </w:divBdr>
                  <w:divsChild>
                    <w:div w:id="102114405">
                      <w:marLeft w:val="1500"/>
                      <w:marRight w:val="0"/>
                      <w:marTop w:val="0"/>
                      <w:marBottom w:val="0"/>
                      <w:divBdr>
                        <w:top w:val="none" w:sz="0" w:space="0" w:color="auto"/>
                        <w:left w:val="none" w:sz="0" w:space="0" w:color="auto"/>
                        <w:bottom w:val="none" w:sz="0" w:space="0" w:color="auto"/>
                        <w:right w:val="none" w:sz="0" w:space="0" w:color="auto"/>
                      </w:divBdr>
                    </w:div>
                    <w:div w:id="76934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765003">
      <w:bodyDiv w:val="1"/>
      <w:marLeft w:val="0"/>
      <w:marRight w:val="0"/>
      <w:marTop w:val="0"/>
      <w:marBottom w:val="0"/>
      <w:divBdr>
        <w:top w:val="none" w:sz="0" w:space="0" w:color="auto"/>
        <w:left w:val="none" w:sz="0" w:space="0" w:color="auto"/>
        <w:bottom w:val="none" w:sz="0" w:space="0" w:color="auto"/>
        <w:right w:val="none" w:sz="0" w:space="0" w:color="auto"/>
      </w:divBdr>
      <w:divsChild>
        <w:div w:id="1909152706">
          <w:marLeft w:val="0"/>
          <w:marRight w:val="0"/>
          <w:marTop w:val="0"/>
          <w:marBottom w:val="0"/>
          <w:divBdr>
            <w:top w:val="none" w:sz="0" w:space="0" w:color="auto"/>
            <w:left w:val="none" w:sz="0" w:space="0" w:color="auto"/>
            <w:bottom w:val="none" w:sz="0" w:space="0" w:color="auto"/>
            <w:right w:val="none" w:sz="0" w:space="0" w:color="auto"/>
          </w:divBdr>
          <w:divsChild>
            <w:div w:id="1111627800">
              <w:marLeft w:val="0"/>
              <w:marRight w:val="0"/>
              <w:marTop w:val="0"/>
              <w:marBottom w:val="0"/>
              <w:divBdr>
                <w:top w:val="none" w:sz="0" w:space="0" w:color="auto"/>
                <w:left w:val="none" w:sz="0" w:space="0" w:color="auto"/>
                <w:bottom w:val="none" w:sz="0" w:space="0" w:color="auto"/>
                <w:right w:val="none" w:sz="0" w:space="0" w:color="auto"/>
              </w:divBdr>
              <w:divsChild>
                <w:div w:id="1800876060">
                  <w:marLeft w:val="0"/>
                  <w:marRight w:val="0"/>
                  <w:marTop w:val="0"/>
                  <w:marBottom w:val="0"/>
                  <w:divBdr>
                    <w:top w:val="none" w:sz="0" w:space="0" w:color="auto"/>
                    <w:left w:val="none" w:sz="0" w:space="0" w:color="auto"/>
                    <w:bottom w:val="none" w:sz="0" w:space="0" w:color="auto"/>
                    <w:right w:val="none" w:sz="0" w:space="0" w:color="auto"/>
                  </w:divBdr>
                  <w:divsChild>
                    <w:div w:id="235435169">
                      <w:marLeft w:val="0"/>
                      <w:marRight w:val="0"/>
                      <w:marTop w:val="0"/>
                      <w:marBottom w:val="0"/>
                      <w:divBdr>
                        <w:top w:val="none" w:sz="0" w:space="0" w:color="auto"/>
                        <w:left w:val="none" w:sz="0" w:space="0" w:color="auto"/>
                        <w:bottom w:val="none" w:sz="0" w:space="0" w:color="auto"/>
                        <w:right w:val="none" w:sz="0" w:space="0" w:color="auto"/>
                      </w:divBdr>
                      <w:divsChild>
                        <w:div w:id="2078429223">
                          <w:marLeft w:val="0"/>
                          <w:marRight w:val="0"/>
                          <w:marTop w:val="0"/>
                          <w:marBottom w:val="0"/>
                          <w:divBdr>
                            <w:top w:val="single" w:sz="6" w:space="0" w:color="828282"/>
                            <w:left w:val="single" w:sz="6" w:space="0" w:color="828282"/>
                            <w:bottom w:val="single" w:sz="6" w:space="0" w:color="828282"/>
                            <w:right w:val="single" w:sz="6" w:space="0" w:color="828282"/>
                          </w:divBdr>
                          <w:divsChild>
                            <w:div w:id="1552301694">
                              <w:marLeft w:val="0"/>
                              <w:marRight w:val="0"/>
                              <w:marTop w:val="0"/>
                              <w:marBottom w:val="0"/>
                              <w:divBdr>
                                <w:top w:val="none" w:sz="0" w:space="0" w:color="auto"/>
                                <w:left w:val="none" w:sz="0" w:space="0" w:color="auto"/>
                                <w:bottom w:val="none" w:sz="0" w:space="0" w:color="auto"/>
                                <w:right w:val="none" w:sz="0" w:space="0" w:color="auto"/>
                              </w:divBdr>
                              <w:divsChild>
                                <w:div w:id="458493178">
                                  <w:marLeft w:val="0"/>
                                  <w:marRight w:val="0"/>
                                  <w:marTop w:val="0"/>
                                  <w:marBottom w:val="0"/>
                                  <w:divBdr>
                                    <w:top w:val="none" w:sz="0" w:space="0" w:color="auto"/>
                                    <w:left w:val="none" w:sz="0" w:space="0" w:color="auto"/>
                                    <w:bottom w:val="none" w:sz="0" w:space="0" w:color="auto"/>
                                    <w:right w:val="none" w:sz="0" w:space="0" w:color="auto"/>
                                  </w:divBdr>
                                  <w:divsChild>
                                    <w:div w:id="907307967">
                                      <w:marLeft w:val="0"/>
                                      <w:marRight w:val="0"/>
                                      <w:marTop w:val="0"/>
                                      <w:marBottom w:val="0"/>
                                      <w:divBdr>
                                        <w:top w:val="none" w:sz="0" w:space="0" w:color="auto"/>
                                        <w:left w:val="none" w:sz="0" w:space="0" w:color="auto"/>
                                        <w:bottom w:val="none" w:sz="0" w:space="0" w:color="auto"/>
                                        <w:right w:val="none" w:sz="0" w:space="0" w:color="auto"/>
                                      </w:divBdr>
                                      <w:divsChild>
                                        <w:div w:id="1555846198">
                                          <w:marLeft w:val="0"/>
                                          <w:marRight w:val="0"/>
                                          <w:marTop w:val="0"/>
                                          <w:marBottom w:val="0"/>
                                          <w:divBdr>
                                            <w:top w:val="none" w:sz="0" w:space="0" w:color="auto"/>
                                            <w:left w:val="none" w:sz="0" w:space="0" w:color="auto"/>
                                            <w:bottom w:val="none" w:sz="0" w:space="0" w:color="auto"/>
                                            <w:right w:val="none" w:sz="0" w:space="0" w:color="auto"/>
                                          </w:divBdr>
                                          <w:divsChild>
                                            <w:div w:id="850025110">
                                              <w:marLeft w:val="0"/>
                                              <w:marRight w:val="0"/>
                                              <w:marTop w:val="0"/>
                                              <w:marBottom w:val="0"/>
                                              <w:divBdr>
                                                <w:top w:val="none" w:sz="0" w:space="0" w:color="auto"/>
                                                <w:left w:val="none" w:sz="0" w:space="0" w:color="auto"/>
                                                <w:bottom w:val="none" w:sz="0" w:space="0" w:color="auto"/>
                                                <w:right w:val="none" w:sz="0" w:space="0" w:color="auto"/>
                                              </w:divBdr>
                                              <w:divsChild>
                                                <w:div w:id="112449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2655752">
      <w:bodyDiv w:val="1"/>
      <w:marLeft w:val="0"/>
      <w:marRight w:val="0"/>
      <w:marTop w:val="0"/>
      <w:marBottom w:val="0"/>
      <w:divBdr>
        <w:top w:val="none" w:sz="0" w:space="0" w:color="auto"/>
        <w:left w:val="none" w:sz="0" w:space="0" w:color="auto"/>
        <w:bottom w:val="none" w:sz="0" w:space="0" w:color="auto"/>
        <w:right w:val="none" w:sz="0" w:space="0" w:color="auto"/>
      </w:divBdr>
      <w:divsChild>
        <w:div w:id="186066265">
          <w:marLeft w:val="0"/>
          <w:marRight w:val="0"/>
          <w:marTop w:val="0"/>
          <w:marBottom w:val="0"/>
          <w:divBdr>
            <w:top w:val="none" w:sz="0" w:space="0" w:color="auto"/>
            <w:left w:val="none" w:sz="0" w:space="0" w:color="auto"/>
            <w:bottom w:val="none" w:sz="0" w:space="0" w:color="auto"/>
            <w:right w:val="none" w:sz="0" w:space="0" w:color="auto"/>
          </w:divBdr>
          <w:divsChild>
            <w:div w:id="816070137">
              <w:marLeft w:val="0"/>
              <w:marRight w:val="0"/>
              <w:marTop w:val="0"/>
              <w:marBottom w:val="0"/>
              <w:divBdr>
                <w:top w:val="none" w:sz="0" w:space="0" w:color="auto"/>
                <w:left w:val="none" w:sz="0" w:space="0" w:color="auto"/>
                <w:bottom w:val="none" w:sz="0" w:space="0" w:color="auto"/>
                <w:right w:val="none" w:sz="0" w:space="0" w:color="auto"/>
              </w:divBdr>
              <w:divsChild>
                <w:div w:id="275479932">
                  <w:marLeft w:val="0"/>
                  <w:marRight w:val="0"/>
                  <w:marTop w:val="0"/>
                  <w:marBottom w:val="0"/>
                  <w:divBdr>
                    <w:top w:val="none" w:sz="0" w:space="0" w:color="auto"/>
                    <w:left w:val="none" w:sz="0" w:space="0" w:color="auto"/>
                    <w:bottom w:val="none" w:sz="0" w:space="0" w:color="auto"/>
                    <w:right w:val="none" w:sz="0" w:space="0" w:color="auto"/>
                  </w:divBdr>
                  <w:divsChild>
                    <w:div w:id="1758360638">
                      <w:marLeft w:val="0"/>
                      <w:marRight w:val="0"/>
                      <w:marTop w:val="0"/>
                      <w:marBottom w:val="0"/>
                      <w:divBdr>
                        <w:top w:val="none" w:sz="0" w:space="0" w:color="auto"/>
                        <w:left w:val="none" w:sz="0" w:space="0" w:color="auto"/>
                        <w:bottom w:val="none" w:sz="0" w:space="0" w:color="auto"/>
                        <w:right w:val="none" w:sz="0" w:space="0" w:color="auto"/>
                      </w:divBdr>
                      <w:divsChild>
                        <w:div w:id="1520898839">
                          <w:marLeft w:val="0"/>
                          <w:marRight w:val="0"/>
                          <w:marTop w:val="0"/>
                          <w:marBottom w:val="0"/>
                          <w:divBdr>
                            <w:top w:val="single" w:sz="6" w:space="0" w:color="828282"/>
                            <w:left w:val="single" w:sz="6" w:space="0" w:color="828282"/>
                            <w:bottom w:val="single" w:sz="6" w:space="0" w:color="828282"/>
                            <w:right w:val="single" w:sz="6" w:space="0" w:color="828282"/>
                          </w:divBdr>
                          <w:divsChild>
                            <w:div w:id="1447387765">
                              <w:marLeft w:val="0"/>
                              <w:marRight w:val="0"/>
                              <w:marTop w:val="0"/>
                              <w:marBottom w:val="0"/>
                              <w:divBdr>
                                <w:top w:val="none" w:sz="0" w:space="0" w:color="auto"/>
                                <w:left w:val="none" w:sz="0" w:space="0" w:color="auto"/>
                                <w:bottom w:val="none" w:sz="0" w:space="0" w:color="auto"/>
                                <w:right w:val="none" w:sz="0" w:space="0" w:color="auto"/>
                              </w:divBdr>
                              <w:divsChild>
                                <w:div w:id="742533826">
                                  <w:marLeft w:val="0"/>
                                  <w:marRight w:val="0"/>
                                  <w:marTop w:val="0"/>
                                  <w:marBottom w:val="0"/>
                                  <w:divBdr>
                                    <w:top w:val="none" w:sz="0" w:space="0" w:color="auto"/>
                                    <w:left w:val="none" w:sz="0" w:space="0" w:color="auto"/>
                                    <w:bottom w:val="none" w:sz="0" w:space="0" w:color="auto"/>
                                    <w:right w:val="none" w:sz="0" w:space="0" w:color="auto"/>
                                  </w:divBdr>
                                  <w:divsChild>
                                    <w:div w:id="1066105665">
                                      <w:marLeft w:val="0"/>
                                      <w:marRight w:val="0"/>
                                      <w:marTop w:val="0"/>
                                      <w:marBottom w:val="0"/>
                                      <w:divBdr>
                                        <w:top w:val="none" w:sz="0" w:space="0" w:color="auto"/>
                                        <w:left w:val="none" w:sz="0" w:space="0" w:color="auto"/>
                                        <w:bottom w:val="none" w:sz="0" w:space="0" w:color="auto"/>
                                        <w:right w:val="none" w:sz="0" w:space="0" w:color="auto"/>
                                      </w:divBdr>
                                      <w:divsChild>
                                        <w:div w:id="1005327947">
                                          <w:marLeft w:val="0"/>
                                          <w:marRight w:val="0"/>
                                          <w:marTop w:val="0"/>
                                          <w:marBottom w:val="0"/>
                                          <w:divBdr>
                                            <w:top w:val="none" w:sz="0" w:space="0" w:color="auto"/>
                                            <w:left w:val="none" w:sz="0" w:space="0" w:color="auto"/>
                                            <w:bottom w:val="none" w:sz="0" w:space="0" w:color="auto"/>
                                            <w:right w:val="none" w:sz="0" w:space="0" w:color="auto"/>
                                          </w:divBdr>
                                          <w:divsChild>
                                            <w:div w:id="1580212665">
                                              <w:marLeft w:val="0"/>
                                              <w:marRight w:val="0"/>
                                              <w:marTop w:val="0"/>
                                              <w:marBottom w:val="0"/>
                                              <w:divBdr>
                                                <w:top w:val="none" w:sz="0" w:space="0" w:color="auto"/>
                                                <w:left w:val="none" w:sz="0" w:space="0" w:color="auto"/>
                                                <w:bottom w:val="none" w:sz="0" w:space="0" w:color="auto"/>
                                                <w:right w:val="none" w:sz="0" w:space="0" w:color="auto"/>
                                              </w:divBdr>
                                              <w:divsChild>
                                                <w:div w:id="19631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924078">
      <w:bodyDiv w:val="1"/>
      <w:marLeft w:val="0"/>
      <w:marRight w:val="0"/>
      <w:marTop w:val="0"/>
      <w:marBottom w:val="0"/>
      <w:divBdr>
        <w:top w:val="none" w:sz="0" w:space="0" w:color="auto"/>
        <w:left w:val="none" w:sz="0" w:space="0" w:color="auto"/>
        <w:bottom w:val="none" w:sz="0" w:space="0" w:color="auto"/>
        <w:right w:val="none" w:sz="0" w:space="0" w:color="auto"/>
      </w:divBdr>
      <w:divsChild>
        <w:div w:id="1483423724">
          <w:marLeft w:val="0"/>
          <w:marRight w:val="0"/>
          <w:marTop w:val="0"/>
          <w:marBottom w:val="0"/>
          <w:divBdr>
            <w:top w:val="none" w:sz="0" w:space="0" w:color="auto"/>
            <w:left w:val="none" w:sz="0" w:space="0" w:color="auto"/>
            <w:bottom w:val="none" w:sz="0" w:space="0" w:color="auto"/>
            <w:right w:val="none" w:sz="0" w:space="0" w:color="auto"/>
          </w:divBdr>
          <w:divsChild>
            <w:div w:id="668295844">
              <w:marLeft w:val="0"/>
              <w:marRight w:val="0"/>
              <w:marTop w:val="0"/>
              <w:marBottom w:val="0"/>
              <w:divBdr>
                <w:top w:val="none" w:sz="0" w:space="0" w:color="auto"/>
                <w:left w:val="none" w:sz="0" w:space="0" w:color="auto"/>
                <w:bottom w:val="none" w:sz="0" w:space="0" w:color="auto"/>
                <w:right w:val="none" w:sz="0" w:space="0" w:color="auto"/>
              </w:divBdr>
              <w:divsChild>
                <w:div w:id="467208817">
                  <w:marLeft w:val="0"/>
                  <w:marRight w:val="0"/>
                  <w:marTop w:val="0"/>
                  <w:marBottom w:val="0"/>
                  <w:divBdr>
                    <w:top w:val="none" w:sz="0" w:space="0" w:color="auto"/>
                    <w:left w:val="none" w:sz="0" w:space="0" w:color="auto"/>
                    <w:bottom w:val="none" w:sz="0" w:space="0" w:color="auto"/>
                    <w:right w:val="none" w:sz="0" w:space="0" w:color="auto"/>
                  </w:divBdr>
                  <w:divsChild>
                    <w:div w:id="1979454062">
                      <w:marLeft w:val="0"/>
                      <w:marRight w:val="0"/>
                      <w:marTop w:val="0"/>
                      <w:marBottom w:val="0"/>
                      <w:divBdr>
                        <w:top w:val="none" w:sz="0" w:space="0" w:color="auto"/>
                        <w:left w:val="none" w:sz="0" w:space="0" w:color="auto"/>
                        <w:bottom w:val="none" w:sz="0" w:space="0" w:color="auto"/>
                        <w:right w:val="none" w:sz="0" w:space="0" w:color="auto"/>
                      </w:divBdr>
                      <w:divsChild>
                        <w:div w:id="1877506390">
                          <w:marLeft w:val="0"/>
                          <w:marRight w:val="0"/>
                          <w:marTop w:val="0"/>
                          <w:marBottom w:val="0"/>
                          <w:divBdr>
                            <w:top w:val="single" w:sz="6" w:space="0" w:color="828282"/>
                            <w:left w:val="single" w:sz="6" w:space="0" w:color="828282"/>
                            <w:bottom w:val="single" w:sz="6" w:space="0" w:color="828282"/>
                            <w:right w:val="single" w:sz="6" w:space="0" w:color="828282"/>
                          </w:divBdr>
                          <w:divsChild>
                            <w:div w:id="1278220736">
                              <w:marLeft w:val="0"/>
                              <w:marRight w:val="0"/>
                              <w:marTop w:val="0"/>
                              <w:marBottom w:val="0"/>
                              <w:divBdr>
                                <w:top w:val="none" w:sz="0" w:space="0" w:color="auto"/>
                                <w:left w:val="none" w:sz="0" w:space="0" w:color="auto"/>
                                <w:bottom w:val="none" w:sz="0" w:space="0" w:color="auto"/>
                                <w:right w:val="none" w:sz="0" w:space="0" w:color="auto"/>
                              </w:divBdr>
                              <w:divsChild>
                                <w:div w:id="1958834379">
                                  <w:marLeft w:val="0"/>
                                  <w:marRight w:val="0"/>
                                  <w:marTop w:val="0"/>
                                  <w:marBottom w:val="0"/>
                                  <w:divBdr>
                                    <w:top w:val="none" w:sz="0" w:space="0" w:color="auto"/>
                                    <w:left w:val="none" w:sz="0" w:space="0" w:color="auto"/>
                                    <w:bottom w:val="none" w:sz="0" w:space="0" w:color="auto"/>
                                    <w:right w:val="none" w:sz="0" w:space="0" w:color="auto"/>
                                  </w:divBdr>
                                  <w:divsChild>
                                    <w:div w:id="1760132798">
                                      <w:marLeft w:val="0"/>
                                      <w:marRight w:val="0"/>
                                      <w:marTop w:val="0"/>
                                      <w:marBottom w:val="0"/>
                                      <w:divBdr>
                                        <w:top w:val="none" w:sz="0" w:space="0" w:color="auto"/>
                                        <w:left w:val="none" w:sz="0" w:space="0" w:color="auto"/>
                                        <w:bottom w:val="none" w:sz="0" w:space="0" w:color="auto"/>
                                        <w:right w:val="none" w:sz="0" w:space="0" w:color="auto"/>
                                      </w:divBdr>
                                      <w:divsChild>
                                        <w:div w:id="1690911491">
                                          <w:marLeft w:val="0"/>
                                          <w:marRight w:val="0"/>
                                          <w:marTop w:val="0"/>
                                          <w:marBottom w:val="0"/>
                                          <w:divBdr>
                                            <w:top w:val="none" w:sz="0" w:space="0" w:color="auto"/>
                                            <w:left w:val="none" w:sz="0" w:space="0" w:color="auto"/>
                                            <w:bottom w:val="none" w:sz="0" w:space="0" w:color="auto"/>
                                            <w:right w:val="none" w:sz="0" w:space="0" w:color="auto"/>
                                          </w:divBdr>
                                          <w:divsChild>
                                            <w:div w:id="1417632603">
                                              <w:marLeft w:val="0"/>
                                              <w:marRight w:val="0"/>
                                              <w:marTop w:val="0"/>
                                              <w:marBottom w:val="0"/>
                                              <w:divBdr>
                                                <w:top w:val="none" w:sz="0" w:space="0" w:color="auto"/>
                                                <w:left w:val="none" w:sz="0" w:space="0" w:color="auto"/>
                                                <w:bottom w:val="none" w:sz="0" w:space="0" w:color="auto"/>
                                                <w:right w:val="none" w:sz="0" w:space="0" w:color="auto"/>
                                              </w:divBdr>
                                              <w:divsChild>
                                                <w:div w:id="21096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4160682">
      <w:bodyDiv w:val="1"/>
      <w:marLeft w:val="0"/>
      <w:marRight w:val="0"/>
      <w:marTop w:val="0"/>
      <w:marBottom w:val="0"/>
      <w:divBdr>
        <w:top w:val="none" w:sz="0" w:space="0" w:color="auto"/>
        <w:left w:val="none" w:sz="0" w:space="0" w:color="auto"/>
        <w:bottom w:val="none" w:sz="0" w:space="0" w:color="auto"/>
        <w:right w:val="none" w:sz="0" w:space="0" w:color="auto"/>
      </w:divBdr>
      <w:divsChild>
        <w:div w:id="271786265">
          <w:marLeft w:val="0"/>
          <w:marRight w:val="0"/>
          <w:marTop w:val="0"/>
          <w:marBottom w:val="0"/>
          <w:divBdr>
            <w:top w:val="none" w:sz="0" w:space="0" w:color="auto"/>
            <w:left w:val="none" w:sz="0" w:space="0" w:color="auto"/>
            <w:bottom w:val="none" w:sz="0" w:space="0" w:color="auto"/>
            <w:right w:val="none" w:sz="0" w:space="0" w:color="auto"/>
          </w:divBdr>
          <w:divsChild>
            <w:div w:id="527719711">
              <w:marLeft w:val="0"/>
              <w:marRight w:val="0"/>
              <w:marTop w:val="0"/>
              <w:marBottom w:val="0"/>
              <w:divBdr>
                <w:top w:val="none" w:sz="0" w:space="0" w:color="auto"/>
                <w:left w:val="none" w:sz="0" w:space="0" w:color="auto"/>
                <w:bottom w:val="none" w:sz="0" w:space="0" w:color="auto"/>
                <w:right w:val="none" w:sz="0" w:space="0" w:color="auto"/>
              </w:divBdr>
              <w:divsChild>
                <w:div w:id="62260208">
                  <w:marLeft w:val="0"/>
                  <w:marRight w:val="0"/>
                  <w:marTop w:val="0"/>
                  <w:marBottom w:val="0"/>
                  <w:divBdr>
                    <w:top w:val="none" w:sz="0" w:space="0" w:color="auto"/>
                    <w:left w:val="none" w:sz="0" w:space="0" w:color="auto"/>
                    <w:bottom w:val="none" w:sz="0" w:space="0" w:color="auto"/>
                    <w:right w:val="none" w:sz="0" w:space="0" w:color="auto"/>
                  </w:divBdr>
                  <w:divsChild>
                    <w:div w:id="698236872">
                      <w:marLeft w:val="0"/>
                      <w:marRight w:val="0"/>
                      <w:marTop w:val="0"/>
                      <w:marBottom w:val="0"/>
                      <w:divBdr>
                        <w:top w:val="none" w:sz="0" w:space="0" w:color="auto"/>
                        <w:left w:val="none" w:sz="0" w:space="0" w:color="auto"/>
                        <w:bottom w:val="none" w:sz="0" w:space="0" w:color="auto"/>
                        <w:right w:val="none" w:sz="0" w:space="0" w:color="auto"/>
                      </w:divBdr>
                      <w:divsChild>
                        <w:div w:id="1584878128">
                          <w:marLeft w:val="0"/>
                          <w:marRight w:val="0"/>
                          <w:marTop w:val="0"/>
                          <w:marBottom w:val="0"/>
                          <w:divBdr>
                            <w:top w:val="none" w:sz="0" w:space="0" w:color="auto"/>
                            <w:left w:val="none" w:sz="0" w:space="0" w:color="auto"/>
                            <w:bottom w:val="none" w:sz="0" w:space="0" w:color="auto"/>
                            <w:right w:val="none" w:sz="0" w:space="0" w:color="auto"/>
                          </w:divBdr>
                          <w:divsChild>
                            <w:div w:id="1704591906">
                              <w:marLeft w:val="0"/>
                              <w:marRight w:val="0"/>
                              <w:marTop w:val="0"/>
                              <w:marBottom w:val="0"/>
                              <w:divBdr>
                                <w:top w:val="none" w:sz="0" w:space="0" w:color="auto"/>
                                <w:left w:val="none" w:sz="0" w:space="0" w:color="auto"/>
                                <w:bottom w:val="none" w:sz="0" w:space="0" w:color="auto"/>
                                <w:right w:val="none" w:sz="0" w:space="0" w:color="auto"/>
                              </w:divBdr>
                              <w:divsChild>
                                <w:div w:id="449592420">
                                  <w:marLeft w:val="0"/>
                                  <w:marRight w:val="0"/>
                                  <w:marTop w:val="0"/>
                                  <w:marBottom w:val="0"/>
                                  <w:divBdr>
                                    <w:top w:val="none" w:sz="0" w:space="0" w:color="auto"/>
                                    <w:left w:val="none" w:sz="0" w:space="0" w:color="auto"/>
                                    <w:bottom w:val="none" w:sz="0" w:space="0" w:color="auto"/>
                                    <w:right w:val="none" w:sz="0" w:space="0" w:color="auto"/>
                                  </w:divBdr>
                                  <w:divsChild>
                                    <w:div w:id="402265323">
                                      <w:marLeft w:val="0"/>
                                      <w:marRight w:val="0"/>
                                      <w:marTop w:val="0"/>
                                      <w:marBottom w:val="0"/>
                                      <w:divBdr>
                                        <w:top w:val="none" w:sz="0" w:space="0" w:color="auto"/>
                                        <w:left w:val="none" w:sz="0" w:space="0" w:color="auto"/>
                                        <w:bottom w:val="none" w:sz="0" w:space="0" w:color="auto"/>
                                        <w:right w:val="none" w:sz="0" w:space="0" w:color="auto"/>
                                      </w:divBdr>
                                      <w:divsChild>
                                        <w:div w:id="480196239">
                                          <w:marLeft w:val="0"/>
                                          <w:marRight w:val="0"/>
                                          <w:marTop w:val="0"/>
                                          <w:marBottom w:val="0"/>
                                          <w:divBdr>
                                            <w:top w:val="none" w:sz="0" w:space="0" w:color="auto"/>
                                            <w:left w:val="none" w:sz="0" w:space="0" w:color="auto"/>
                                            <w:bottom w:val="none" w:sz="0" w:space="0" w:color="auto"/>
                                            <w:right w:val="none" w:sz="0" w:space="0" w:color="auto"/>
                                          </w:divBdr>
                                          <w:divsChild>
                                            <w:div w:id="2021813980">
                                              <w:marLeft w:val="0"/>
                                              <w:marRight w:val="0"/>
                                              <w:marTop w:val="0"/>
                                              <w:marBottom w:val="0"/>
                                              <w:divBdr>
                                                <w:top w:val="none" w:sz="0" w:space="0" w:color="auto"/>
                                                <w:left w:val="none" w:sz="0" w:space="0" w:color="auto"/>
                                                <w:bottom w:val="none" w:sz="0" w:space="0" w:color="auto"/>
                                                <w:right w:val="none" w:sz="0" w:space="0" w:color="auto"/>
                                              </w:divBdr>
                                              <w:divsChild>
                                                <w:div w:id="1322924453">
                                                  <w:marLeft w:val="0"/>
                                                  <w:marRight w:val="0"/>
                                                  <w:marTop w:val="0"/>
                                                  <w:marBottom w:val="0"/>
                                                  <w:divBdr>
                                                    <w:top w:val="none" w:sz="0" w:space="0" w:color="auto"/>
                                                    <w:left w:val="none" w:sz="0" w:space="0" w:color="auto"/>
                                                    <w:bottom w:val="none" w:sz="0" w:space="0" w:color="auto"/>
                                                    <w:right w:val="none" w:sz="0" w:space="0" w:color="auto"/>
                                                  </w:divBdr>
                                                  <w:divsChild>
                                                    <w:div w:id="2102220568">
                                                      <w:marLeft w:val="0"/>
                                                      <w:marRight w:val="0"/>
                                                      <w:marTop w:val="0"/>
                                                      <w:marBottom w:val="0"/>
                                                      <w:divBdr>
                                                        <w:top w:val="none" w:sz="0" w:space="0" w:color="auto"/>
                                                        <w:left w:val="none" w:sz="0" w:space="0" w:color="auto"/>
                                                        <w:bottom w:val="none" w:sz="0" w:space="0" w:color="auto"/>
                                                        <w:right w:val="none" w:sz="0" w:space="0" w:color="auto"/>
                                                      </w:divBdr>
                                                      <w:divsChild>
                                                        <w:div w:id="2029406550">
                                                          <w:marLeft w:val="0"/>
                                                          <w:marRight w:val="0"/>
                                                          <w:marTop w:val="0"/>
                                                          <w:marBottom w:val="0"/>
                                                          <w:divBdr>
                                                            <w:top w:val="none" w:sz="0" w:space="0" w:color="auto"/>
                                                            <w:left w:val="none" w:sz="0" w:space="0" w:color="auto"/>
                                                            <w:bottom w:val="none" w:sz="0" w:space="0" w:color="auto"/>
                                                            <w:right w:val="none" w:sz="0" w:space="0" w:color="auto"/>
                                                          </w:divBdr>
                                                          <w:divsChild>
                                                            <w:div w:id="1099522321">
                                                              <w:marLeft w:val="0"/>
                                                              <w:marRight w:val="0"/>
                                                              <w:marTop w:val="0"/>
                                                              <w:marBottom w:val="0"/>
                                                              <w:divBdr>
                                                                <w:top w:val="none" w:sz="0" w:space="0" w:color="auto"/>
                                                                <w:left w:val="none" w:sz="0" w:space="0" w:color="auto"/>
                                                                <w:bottom w:val="none" w:sz="0" w:space="0" w:color="auto"/>
                                                                <w:right w:val="none" w:sz="0" w:space="0" w:color="auto"/>
                                                              </w:divBdr>
                                                              <w:divsChild>
                                                                <w:div w:id="1688603770">
                                                                  <w:marLeft w:val="0"/>
                                                                  <w:marRight w:val="0"/>
                                                                  <w:marTop w:val="0"/>
                                                                  <w:marBottom w:val="0"/>
                                                                  <w:divBdr>
                                                                    <w:top w:val="none" w:sz="0" w:space="0" w:color="auto"/>
                                                                    <w:left w:val="none" w:sz="0" w:space="0" w:color="auto"/>
                                                                    <w:bottom w:val="none" w:sz="0" w:space="0" w:color="auto"/>
                                                                    <w:right w:val="none" w:sz="0" w:space="0" w:color="auto"/>
                                                                  </w:divBdr>
                                                                  <w:divsChild>
                                                                    <w:div w:id="282541830">
                                                                      <w:marLeft w:val="0"/>
                                                                      <w:marRight w:val="0"/>
                                                                      <w:marTop w:val="0"/>
                                                                      <w:marBottom w:val="0"/>
                                                                      <w:divBdr>
                                                                        <w:top w:val="none" w:sz="0" w:space="0" w:color="auto"/>
                                                                        <w:left w:val="none" w:sz="0" w:space="0" w:color="auto"/>
                                                                        <w:bottom w:val="none" w:sz="0" w:space="0" w:color="auto"/>
                                                                        <w:right w:val="none" w:sz="0" w:space="0" w:color="auto"/>
                                                                      </w:divBdr>
                                                                      <w:divsChild>
                                                                        <w:div w:id="168057656">
                                                                          <w:marLeft w:val="0"/>
                                                                          <w:marRight w:val="0"/>
                                                                          <w:marTop w:val="0"/>
                                                                          <w:marBottom w:val="0"/>
                                                                          <w:divBdr>
                                                                            <w:top w:val="none" w:sz="0" w:space="0" w:color="auto"/>
                                                                            <w:left w:val="none" w:sz="0" w:space="0" w:color="auto"/>
                                                                            <w:bottom w:val="none" w:sz="0" w:space="0" w:color="auto"/>
                                                                            <w:right w:val="none" w:sz="0" w:space="0" w:color="auto"/>
                                                                          </w:divBdr>
                                                                          <w:divsChild>
                                                                            <w:div w:id="190263917">
                                                                              <w:marLeft w:val="0"/>
                                                                              <w:marRight w:val="0"/>
                                                                              <w:marTop w:val="0"/>
                                                                              <w:marBottom w:val="0"/>
                                                                              <w:divBdr>
                                                                                <w:top w:val="none" w:sz="0" w:space="0" w:color="auto"/>
                                                                                <w:left w:val="none" w:sz="0" w:space="0" w:color="auto"/>
                                                                                <w:bottom w:val="none" w:sz="0" w:space="0" w:color="auto"/>
                                                                                <w:right w:val="none" w:sz="0" w:space="0" w:color="auto"/>
                                                                              </w:divBdr>
                                                                            </w:div>
                                                                            <w:div w:id="900335443">
                                                                              <w:marLeft w:val="0"/>
                                                                              <w:marRight w:val="0"/>
                                                                              <w:marTop w:val="0"/>
                                                                              <w:marBottom w:val="0"/>
                                                                              <w:divBdr>
                                                                                <w:top w:val="none" w:sz="0" w:space="0" w:color="auto"/>
                                                                                <w:left w:val="none" w:sz="0" w:space="0" w:color="auto"/>
                                                                                <w:bottom w:val="none" w:sz="0" w:space="0" w:color="auto"/>
                                                                                <w:right w:val="none" w:sz="0" w:space="0" w:color="auto"/>
                                                                              </w:divBdr>
                                                                            </w:div>
                                                                          </w:divsChild>
                                                                        </w:div>
                                                                        <w:div w:id="1692564203">
                                                                          <w:marLeft w:val="0"/>
                                                                          <w:marRight w:val="0"/>
                                                                          <w:marTop w:val="0"/>
                                                                          <w:marBottom w:val="0"/>
                                                                          <w:divBdr>
                                                                            <w:top w:val="none" w:sz="0" w:space="0" w:color="auto"/>
                                                                            <w:left w:val="none" w:sz="0" w:space="0" w:color="auto"/>
                                                                            <w:bottom w:val="none" w:sz="0" w:space="0" w:color="auto"/>
                                                                            <w:right w:val="none" w:sz="0" w:space="0" w:color="auto"/>
                                                                          </w:divBdr>
                                                                          <w:divsChild>
                                                                            <w:div w:id="1041369842">
                                                                              <w:marLeft w:val="0"/>
                                                                              <w:marRight w:val="0"/>
                                                                              <w:marTop w:val="0"/>
                                                                              <w:marBottom w:val="0"/>
                                                                              <w:divBdr>
                                                                                <w:top w:val="none" w:sz="0" w:space="0" w:color="auto"/>
                                                                                <w:left w:val="none" w:sz="0" w:space="0" w:color="auto"/>
                                                                                <w:bottom w:val="none" w:sz="0" w:space="0" w:color="auto"/>
                                                                                <w:right w:val="none" w:sz="0" w:space="0" w:color="auto"/>
                                                                              </w:divBdr>
                                                                            </w:div>
                                                                            <w:div w:id="186613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91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55445831">
      <w:bodyDiv w:val="1"/>
      <w:marLeft w:val="0"/>
      <w:marRight w:val="0"/>
      <w:marTop w:val="0"/>
      <w:marBottom w:val="0"/>
      <w:divBdr>
        <w:top w:val="none" w:sz="0" w:space="0" w:color="auto"/>
        <w:left w:val="none" w:sz="0" w:space="0" w:color="auto"/>
        <w:bottom w:val="none" w:sz="0" w:space="0" w:color="auto"/>
        <w:right w:val="none" w:sz="0" w:space="0" w:color="auto"/>
      </w:divBdr>
      <w:divsChild>
        <w:div w:id="310184733">
          <w:marLeft w:val="0"/>
          <w:marRight w:val="0"/>
          <w:marTop w:val="0"/>
          <w:marBottom w:val="0"/>
          <w:divBdr>
            <w:top w:val="none" w:sz="0" w:space="0" w:color="auto"/>
            <w:left w:val="none" w:sz="0" w:space="0" w:color="auto"/>
            <w:bottom w:val="none" w:sz="0" w:space="0" w:color="auto"/>
            <w:right w:val="none" w:sz="0" w:space="0" w:color="auto"/>
          </w:divBdr>
          <w:divsChild>
            <w:div w:id="114101399">
              <w:marLeft w:val="0"/>
              <w:marRight w:val="0"/>
              <w:marTop w:val="0"/>
              <w:marBottom w:val="0"/>
              <w:divBdr>
                <w:top w:val="none" w:sz="0" w:space="0" w:color="auto"/>
                <w:left w:val="none" w:sz="0" w:space="0" w:color="auto"/>
                <w:bottom w:val="none" w:sz="0" w:space="0" w:color="auto"/>
                <w:right w:val="none" w:sz="0" w:space="0" w:color="auto"/>
              </w:divBdr>
              <w:divsChild>
                <w:div w:id="266667889">
                  <w:marLeft w:val="0"/>
                  <w:marRight w:val="0"/>
                  <w:marTop w:val="0"/>
                  <w:marBottom w:val="0"/>
                  <w:divBdr>
                    <w:top w:val="none" w:sz="0" w:space="0" w:color="auto"/>
                    <w:left w:val="none" w:sz="0" w:space="0" w:color="auto"/>
                    <w:bottom w:val="none" w:sz="0" w:space="0" w:color="auto"/>
                    <w:right w:val="none" w:sz="0" w:space="0" w:color="auto"/>
                  </w:divBdr>
                  <w:divsChild>
                    <w:div w:id="1354305334">
                      <w:marLeft w:val="0"/>
                      <w:marRight w:val="0"/>
                      <w:marTop w:val="0"/>
                      <w:marBottom w:val="0"/>
                      <w:divBdr>
                        <w:top w:val="none" w:sz="0" w:space="0" w:color="auto"/>
                        <w:left w:val="none" w:sz="0" w:space="0" w:color="auto"/>
                        <w:bottom w:val="none" w:sz="0" w:space="0" w:color="auto"/>
                        <w:right w:val="none" w:sz="0" w:space="0" w:color="auto"/>
                      </w:divBdr>
                      <w:divsChild>
                        <w:div w:id="1681204028">
                          <w:marLeft w:val="0"/>
                          <w:marRight w:val="0"/>
                          <w:marTop w:val="0"/>
                          <w:marBottom w:val="0"/>
                          <w:divBdr>
                            <w:top w:val="none" w:sz="0" w:space="0" w:color="auto"/>
                            <w:left w:val="none" w:sz="0" w:space="0" w:color="auto"/>
                            <w:bottom w:val="none" w:sz="0" w:space="0" w:color="auto"/>
                            <w:right w:val="none" w:sz="0" w:space="0" w:color="auto"/>
                          </w:divBdr>
                          <w:divsChild>
                            <w:div w:id="93837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7915051">
      <w:bodyDiv w:val="1"/>
      <w:marLeft w:val="0"/>
      <w:marRight w:val="0"/>
      <w:marTop w:val="0"/>
      <w:marBottom w:val="0"/>
      <w:divBdr>
        <w:top w:val="none" w:sz="0" w:space="0" w:color="auto"/>
        <w:left w:val="none" w:sz="0" w:space="0" w:color="auto"/>
        <w:bottom w:val="none" w:sz="0" w:space="0" w:color="auto"/>
        <w:right w:val="none" w:sz="0" w:space="0" w:color="auto"/>
      </w:divBdr>
      <w:divsChild>
        <w:div w:id="966357746">
          <w:marLeft w:val="0"/>
          <w:marRight w:val="0"/>
          <w:marTop w:val="0"/>
          <w:marBottom w:val="0"/>
          <w:divBdr>
            <w:top w:val="none" w:sz="0" w:space="0" w:color="auto"/>
            <w:left w:val="none" w:sz="0" w:space="0" w:color="auto"/>
            <w:bottom w:val="none" w:sz="0" w:space="0" w:color="auto"/>
            <w:right w:val="none" w:sz="0" w:space="0" w:color="auto"/>
          </w:divBdr>
          <w:divsChild>
            <w:div w:id="289409356">
              <w:marLeft w:val="0"/>
              <w:marRight w:val="0"/>
              <w:marTop w:val="0"/>
              <w:marBottom w:val="0"/>
              <w:divBdr>
                <w:top w:val="none" w:sz="0" w:space="0" w:color="auto"/>
                <w:left w:val="none" w:sz="0" w:space="0" w:color="auto"/>
                <w:bottom w:val="none" w:sz="0" w:space="0" w:color="auto"/>
                <w:right w:val="none" w:sz="0" w:space="0" w:color="auto"/>
              </w:divBdr>
              <w:divsChild>
                <w:div w:id="558251890">
                  <w:marLeft w:val="0"/>
                  <w:marRight w:val="0"/>
                  <w:marTop w:val="0"/>
                  <w:marBottom w:val="0"/>
                  <w:divBdr>
                    <w:top w:val="none" w:sz="0" w:space="0" w:color="auto"/>
                    <w:left w:val="none" w:sz="0" w:space="0" w:color="auto"/>
                    <w:bottom w:val="none" w:sz="0" w:space="0" w:color="auto"/>
                    <w:right w:val="none" w:sz="0" w:space="0" w:color="auto"/>
                  </w:divBdr>
                  <w:divsChild>
                    <w:div w:id="1455446443">
                      <w:marLeft w:val="0"/>
                      <w:marRight w:val="0"/>
                      <w:marTop w:val="0"/>
                      <w:marBottom w:val="0"/>
                      <w:divBdr>
                        <w:top w:val="none" w:sz="0" w:space="0" w:color="auto"/>
                        <w:left w:val="none" w:sz="0" w:space="0" w:color="auto"/>
                        <w:bottom w:val="none" w:sz="0" w:space="0" w:color="auto"/>
                        <w:right w:val="none" w:sz="0" w:space="0" w:color="auto"/>
                      </w:divBdr>
                      <w:divsChild>
                        <w:div w:id="1546984912">
                          <w:marLeft w:val="0"/>
                          <w:marRight w:val="0"/>
                          <w:marTop w:val="0"/>
                          <w:marBottom w:val="0"/>
                          <w:divBdr>
                            <w:top w:val="single" w:sz="6" w:space="0" w:color="828282"/>
                            <w:left w:val="single" w:sz="6" w:space="0" w:color="828282"/>
                            <w:bottom w:val="single" w:sz="6" w:space="0" w:color="828282"/>
                            <w:right w:val="single" w:sz="6" w:space="0" w:color="828282"/>
                          </w:divBdr>
                          <w:divsChild>
                            <w:div w:id="560094340">
                              <w:marLeft w:val="0"/>
                              <w:marRight w:val="0"/>
                              <w:marTop w:val="0"/>
                              <w:marBottom w:val="0"/>
                              <w:divBdr>
                                <w:top w:val="none" w:sz="0" w:space="0" w:color="auto"/>
                                <w:left w:val="none" w:sz="0" w:space="0" w:color="auto"/>
                                <w:bottom w:val="none" w:sz="0" w:space="0" w:color="auto"/>
                                <w:right w:val="none" w:sz="0" w:space="0" w:color="auto"/>
                              </w:divBdr>
                              <w:divsChild>
                                <w:div w:id="570387214">
                                  <w:marLeft w:val="0"/>
                                  <w:marRight w:val="0"/>
                                  <w:marTop w:val="0"/>
                                  <w:marBottom w:val="0"/>
                                  <w:divBdr>
                                    <w:top w:val="none" w:sz="0" w:space="0" w:color="auto"/>
                                    <w:left w:val="none" w:sz="0" w:space="0" w:color="auto"/>
                                    <w:bottom w:val="none" w:sz="0" w:space="0" w:color="auto"/>
                                    <w:right w:val="none" w:sz="0" w:space="0" w:color="auto"/>
                                  </w:divBdr>
                                  <w:divsChild>
                                    <w:div w:id="1449348165">
                                      <w:marLeft w:val="0"/>
                                      <w:marRight w:val="0"/>
                                      <w:marTop w:val="0"/>
                                      <w:marBottom w:val="0"/>
                                      <w:divBdr>
                                        <w:top w:val="none" w:sz="0" w:space="0" w:color="auto"/>
                                        <w:left w:val="none" w:sz="0" w:space="0" w:color="auto"/>
                                        <w:bottom w:val="none" w:sz="0" w:space="0" w:color="auto"/>
                                        <w:right w:val="none" w:sz="0" w:space="0" w:color="auto"/>
                                      </w:divBdr>
                                      <w:divsChild>
                                        <w:div w:id="1034305419">
                                          <w:marLeft w:val="0"/>
                                          <w:marRight w:val="0"/>
                                          <w:marTop w:val="0"/>
                                          <w:marBottom w:val="0"/>
                                          <w:divBdr>
                                            <w:top w:val="none" w:sz="0" w:space="0" w:color="auto"/>
                                            <w:left w:val="none" w:sz="0" w:space="0" w:color="auto"/>
                                            <w:bottom w:val="none" w:sz="0" w:space="0" w:color="auto"/>
                                            <w:right w:val="none" w:sz="0" w:space="0" w:color="auto"/>
                                          </w:divBdr>
                                          <w:divsChild>
                                            <w:div w:id="2007200371">
                                              <w:marLeft w:val="0"/>
                                              <w:marRight w:val="0"/>
                                              <w:marTop w:val="0"/>
                                              <w:marBottom w:val="0"/>
                                              <w:divBdr>
                                                <w:top w:val="none" w:sz="0" w:space="0" w:color="auto"/>
                                                <w:left w:val="none" w:sz="0" w:space="0" w:color="auto"/>
                                                <w:bottom w:val="none" w:sz="0" w:space="0" w:color="auto"/>
                                                <w:right w:val="none" w:sz="0" w:space="0" w:color="auto"/>
                                              </w:divBdr>
                                              <w:divsChild>
                                                <w:div w:id="52995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7325554">
      <w:bodyDiv w:val="1"/>
      <w:marLeft w:val="0"/>
      <w:marRight w:val="0"/>
      <w:marTop w:val="0"/>
      <w:marBottom w:val="0"/>
      <w:divBdr>
        <w:top w:val="none" w:sz="0" w:space="0" w:color="auto"/>
        <w:left w:val="none" w:sz="0" w:space="0" w:color="auto"/>
        <w:bottom w:val="none" w:sz="0" w:space="0" w:color="auto"/>
        <w:right w:val="none" w:sz="0" w:space="0" w:color="auto"/>
      </w:divBdr>
      <w:divsChild>
        <w:div w:id="393966189">
          <w:marLeft w:val="0"/>
          <w:marRight w:val="0"/>
          <w:marTop w:val="0"/>
          <w:marBottom w:val="0"/>
          <w:divBdr>
            <w:top w:val="none" w:sz="0" w:space="0" w:color="auto"/>
            <w:left w:val="none" w:sz="0" w:space="0" w:color="auto"/>
            <w:bottom w:val="none" w:sz="0" w:space="0" w:color="auto"/>
            <w:right w:val="none" w:sz="0" w:space="0" w:color="auto"/>
          </w:divBdr>
          <w:divsChild>
            <w:div w:id="1339194257">
              <w:marLeft w:val="0"/>
              <w:marRight w:val="0"/>
              <w:marTop w:val="0"/>
              <w:marBottom w:val="0"/>
              <w:divBdr>
                <w:top w:val="none" w:sz="0" w:space="0" w:color="auto"/>
                <w:left w:val="none" w:sz="0" w:space="0" w:color="auto"/>
                <w:bottom w:val="none" w:sz="0" w:space="0" w:color="auto"/>
                <w:right w:val="none" w:sz="0" w:space="0" w:color="auto"/>
              </w:divBdr>
              <w:divsChild>
                <w:div w:id="221066839">
                  <w:marLeft w:val="0"/>
                  <w:marRight w:val="0"/>
                  <w:marTop w:val="0"/>
                  <w:marBottom w:val="0"/>
                  <w:divBdr>
                    <w:top w:val="none" w:sz="0" w:space="0" w:color="auto"/>
                    <w:left w:val="none" w:sz="0" w:space="0" w:color="auto"/>
                    <w:bottom w:val="none" w:sz="0" w:space="0" w:color="auto"/>
                    <w:right w:val="none" w:sz="0" w:space="0" w:color="auto"/>
                  </w:divBdr>
                  <w:divsChild>
                    <w:div w:id="123817429">
                      <w:marLeft w:val="0"/>
                      <w:marRight w:val="0"/>
                      <w:marTop w:val="0"/>
                      <w:marBottom w:val="0"/>
                      <w:divBdr>
                        <w:top w:val="none" w:sz="0" w:space="0" w:color="auto"/>
                        <w:left w:val="none" w:sz="0" w:space="0" w:color="auto"/>
                        <w:bottom w:val="none" w:sz="0" w:space="0" w:color="auto"/>
                        <w:right w:val="none" w:sz="0" w:space="0" w:color="auto"/>
                      </w:divBdr>
                      <w:divsChild>
                        <w:div w:id="1274435797">
                          <w:marLeft w:val="0"/>
                          <w:marRight w:val="0"/>
                          <w:marTop w:val="0"/>
                          <w:marBottom w:val="0"/>
                          <w:divBdr>
                            <w:top w:val="single" w:sz="6" w:space="0" w:color="828282"/>
                            <w:left w:val="single" w:sz="6" w:space="0" w:color="828282"/>
                            <w:bottom w:val="single" w:sz="6" w:space="0" w:color="828282"/>
                            <w:right w:val="single" w:sz="6" w:space="0" w:color="828282"/>
                          </w:divBdr>
                          <w:divsChild>
                            <w:div w:id="559829266">
                              <w:marLeft w:val="0"/>
                              <w:marRight w:val="0"/>
                              <w:marTop w:val="0"/>
                              <w:marBottom w:val="0"/>
                              <w:divBdr>
                                <w:top w:val="none" w:sz="0" w:space="0" w:color="auto"/>
                                <w:left w:val="none" w:sz="0" w:space="0" w:color="auto"/>
                                <w:bottom w:val="none" w:sz="0" w:space="0" w:color="auto"/>
                                <w:right w:val="none" w:sz="0" w:space="0" w:color="auto"/>
                              </w:divBdr>
                              <w:divsChild>
                                <w:div w:id="1082289948">
                                  <w:marLeft w:val="0"/>
                                  <w:marRight w:val="0"/>
                                  <w:marTop w:val="0"/>
                                  <w:marBottom w:val="0"/>
                                  <w:divBdr>
                                    <w:top w:val="none" w:sz="0" w:space="0" w:color="auto"/>
                                    <w:left w:val="none" w:sz="0" w:space="0" w:color="auto"/>
                                    <w:bottom w:val="none" w:sz="0" w:space="0" w:color="auto"/>
                                    <w:right w:val="none" w:sz="0" w:space="0" w:color="auto"/>
                                  </w:divBdr>
                                  <w:divsChild>
                                    <w:div w:id="1056470853">
                                      <w:marLeft w:val="0"/>
                                      <w:marRight w:val="0"/>
                                      <w:marTop w:val="0"/>
                                      <w:marBottom w:val="0"/>
                                      <w:divBdr>
                                        <w:top w:val="none" w:sz="0" w:space="0" w:color="auto"/>
                                        <w:left w:val="none" w:sz="0" w:space="0" w:color="auto"/>
                                        <w:bottom w:val="none" w:sz="0" w:space="0" w:color="auto"/>
                                        <w:right w:val="none" w:sz="0" w:space="0" w:color="auto"/>
                                      </w:divBdr>
                                      <w:divsChild>
                                        <w:div w:id="890112072">
                                          <w:marLeft w:val="0"/>
                                          <w:marRight w:val="0"/>
                                          <w:marTop w:val="0"/>
                                          <w:marBottom w:val="0"/>
                                          <w:divBdr>
                                            <w:top w:val="none" w:sz="0" w:space="0" w:color="auto"/>
                                            <w:left w:val="none" w:sz="0" w:space="0" w:color="auto"/>
                                            <w:bottom w:val="none" w:sz="0" w:space="0" w:color="auto"/>
                                            <w:right w:val="none" w:sz="0" w:space="0" w:color="auto"/>
                                          </w:divBdr>
                                          <w:divsChild>
                                            <w:div w:id="1885436130">
                                              <w:marLeft w:val="0"/>
                                              <w:marRight w:val="0"/>
                                              <w:marTop w:val="0"/>
                                              <w:marBottom w:val="0"/>
                                              <w:divBdr>
                                                <w:top w:val="none" w:sz="0" w:space="0" w:color="auto"/>
                                                <w:left w:val="none" w:sz="0" w:space="0" w:color="auto"/>
                                                <w:bottom w:val="none" w:sz="0" w:space="0" w:color="auto"/>
                                                <w:right w:val="none" w:sz="0" w:space="0" w:color="auto"/>
                                              </w:divBdr>
                                              <w:divsChild>
                                                <w:div w:id="210988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0375588">
      <w:bodyDiv w:val="1"/>
      <w:marLeft w:val="0"/>
      <w:marRight w:val="0"/>
      <w:marTop w:val="0"/>
      <w:marBottom w:val="0"/>
      <w:divBdr>
        <w:top w:val="none" w:sz="0" w:space="0" w:color="auto"/>
        <w:left w:val="none" w:sz="0" w:space="0" w:color="auto"/>
        <w:bottom w:val="none" w:sz="0" w:space="0" w:color="auto"/>
        <w:right w:val="none" w:sz="0" w:space="0" w:color="auto"/>
      </w:divBdr>
      <w:divsChild>
        <w:div w:id="1280912383">
          <w:marLeft w:val="0"/>
          <w:marRight w:val="0"/>
          <w:marTop w:val="0"/>
          <w:marBottom w:val="0"/>
          <w:divBdr>
            <w:top w:val="none" w:sz="0" w:space="0" w:color="auto"/>
            <w:left w:val="none" w:sz="0" w:space="0" w:color="auto"/>
            <w:bottom w:val="none" w:sz="0" w:space="0" w:color="auto"/>
            <w:right w:val="none" w:sz="0" w:space="0" w:color="auto"/>
          </w:divBdr>
          <w:divsChild>
            <w:div w:id="1721398452">
              <w:marLeft w:val="0"/>
              <w:marRight w:val="0"/>
              <w:marTop w:val="0"/>
              <w:marBottom w:val="0"/>
              <w:divBdr>
                <w:top w:val="none" w:sz="0" w:space="0" w:color="auto"/>
                <w:left w:val="none" w:sz="0" w:space="0" w:color="auto"/>
                <w:bottom w:val="none" w:sz="0" w:space="0" w:color="auto"/>
                <w:right w:val="none" w:sz="0" w:space="0" w:color="auto"/>
              </w:divBdr>
              <w:divsChild>
                <w:div w:id="519778860">
                  <w:marLeft w:val="0"/>
                  <w:marRight w:val="0"/>
                  <w:marTop w:val="0"/>
                  <w:marBottom w:val="0"/>
                  <w:divBdr>
                    <w:top w:val="none" w:sz="0" w:space="0" w:color="auto"/>
                    <w:left w:val="none" w:sz="0" w:space="0" w:color="auto"/>
                    <w:bottom w:val="none" w:sz="0" w:space="0" w:color="auto"/>
                    <w:right w:val="none" w:sz="0" w:space="0" w:color="auto"/>
                  </w:divBdr>
                  <w:divsChild>
                    <w:div w:id="371731346">
                      <w:marLeft w:val="0"/>
                      <w:marRight w:val="0"/>
                      <w:marTop w:val="0"/>
                      <w:marBottom w:val="0"/>
                      <w:divBdr>
                        <w:top w:val="none" w:sz="0" w:space="0" w:color="auto"/>
                        <w:left w:val="none" w:sz="0" w:space="0" w:color="auto"/>
                        <w:bottom w:val="none" w:sz="0" w:space="0" w:color="auto"/>
                        <w:right w:val="none" w:sz="0" w:space="0" w:color="auto"/>
                      </w:divBdr>
                      <w:divsChild>
                        <w:div w:id="705134214">
                          <w:marLeft w:val="0"/>
                          <w:marRight w:val="0"/>
                          <w:marTop w:val="0"/>
                          <w:marBottom w:val="0"/>
                          <w:divBdr>
                            <w:top w:val="single" w:sz="2" w:space="0" w:color="828282"/>
                            <w:left w:val="single" w:sz="2" w:space="0" w:color="828282"/>
                            <w:bottom w:val="single" w:sz="2" w:space="0" w:color="828282"/>
                            <w:right w:val="single" w:sz="2" w:space="0" w:color="828282"/>
                          </w:divBdr>
                          <w:divsChild>
                            <w:div w:id="1485003820">
                              <w:marLeft w:val="0"/>
                              <w:marRight w:val="0"/>
                              <w:marTop w:val="0"/>
                              <w:marBottom w:val="0"/>
                              <w:divBdr>
                                <w:top w:val="none" w:sz="0" w:space="0" w:color="auto"/>
                                <w:left w:val="none" w:sz="0" w:space="0" w:color="auto"/>
                                <w:bottom w:val="none" w:sz="0" w:space="0" w:color="auto"/>
                                <w:right w:val="none" w:sz="0" w:space="0" w:color="auto"/>
                              </w:divBdr>
                              <w:divsChild>
                                <w:div w:id="1910535929">
                                  <w:marLeft w:val="0"/>
                                  <w:marRight w:val="0"/>
                                  <w:marTop w:val="0"/>
                                  <w:marBottom w:val="0"/>
                                  <w:divBdr>
                                    <w:top w:val="none" w:sz="0" w:space="0" w:color="auto"/>
                                    <w:left w:val="none" w:sz="0" w:space="0" w:color="auto"/>
                                    <w:bottom w:val="none" w:sz="0" w:space="0" w:color="auto"/>
                                    <w:right w:val="none" w:sz="0" w:space="0" w:color="auto"/>
                                  </w:divBdr>
                                  <w:divsChild>
                                    <w:div w:id="1401437361">
                                      <w:marLeft w:val="0"/>
                                      <w:marRight w:val="0"/>
                                      <w:marTop w:val="0"/>
                                      <w:marBottom w:val="0"/>
                                      <w:divBdr>
                                        <w:top w:val="none" w:sz="0" w:space="0" w:color="auto"/>
                                        <w:left w:val="none" w:sz="0" w:space="0" w:color="auto"/>
                                        <w:bottom w:val="none" w:sz="0" w:space="0" w:color="auto"/>
                                        <w:right w:val="none" w:sz="0" w:space="0" w:color="auto"/>
                                      </w:divBdr>
                                      <w:divsChild>
                                        <w:div w:id="1887378089">
                                          <w:marLeft w:val="0"/>
                                          <w:marRight w:val="0"/>
                                          <w:marTop w:val="0"/>
                                          <w:marBottom w:val="0"/>
                                          <w:divBdr>
                                            <w:top w:val="none" w:sz="0" w:space="0" w:color="auto"/>
                                            <w:left w:val="none" w:sz="0" w:space="0" w:color="auto"/>
                                            <w:bottom w:val="none" w:sz="0" w:space="0" w:color="auto"/>
                                            <w:right w:val="none" w:sz="0" w:space="0" w:color="auto"/>
                                          </w:divBdr>
                                          <w:divsChild>
                                            <w:div w:id="1738019224">
                                              <w:marLeft w:val="0"/>
                                              <w:marRight w:val="0"/>
                                              <w:marTop w:val="0"/>
                                              <w:marBottom w:val="0"/>
                                              <w:divBdr>
                                                <w:top w:val="none" w:sz="0" w:space="0" w:color="auto"/>
                                                <w:left w:val="none" w:sz="0" w:space="0" w:color="auto"/>
                                                <w:bottom w:val="none" w:sz="0" w:space="0" w:color="auto"/>
                                                <w:right w:val="none" w:sz="0" w:space="0" w:color="auto"/>
                                              </w:divBdr>
                                              <w:divsChild>
                                                <w:div w:id="110067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1448907">
      <w:bodyDiv w:val="1"/>
      <w:marLeft w:val="0"/>
      <w:marRight w:val="0"/>
      <w:marTop w:val="0"/>
      <w:marBottom w:val="0"/>
      <w:divBdr>
        <w:top w:val="none" w:sz="0" w:space="0" w:color="auto"/>
        <w:left w:val="none" w:sz="0" w:space="0" w:color="auto"/>
        <w:bottom w:val="none" w:sz="0" w:space="0" w:color="auto"/>
        <w:right w:val="none" w:sz="0" w:space="0" w:color="auto"/>
      </w:divBdr>
      <w:divsChild>
        <w:div w:id="525027532">
          <w:marLeft w:val="0"/>
          <w:marRight w:val="0"/>
          <w:marTop w:val="0"/>
          <w:marBottom w:val="0"/>
          <w:divBdr>
            <w:top w:val="none" w:sz="0" w:space="0" w:color="auto"/>
            <w:left w:val="none" w:sz="0" w:space="0" w:color="auto"/>
            <w:bottom w:val="none" w:sz="0" w:space="0" w:color="auto"/>
            <w:right w:val="none" w:sz="0" w:space="0" w:color="auto"/>
          </w:divBdr>
          <w:divsChild>
            <w:div w:id="1203324276">
              <w:marLeft w:val="0"/>
              <w:marRight w:val="0"/>
              <w:marTop w:val="0"/>
              <w:marBottom w:val="0"/>
              <w:divBdr>
                <w:top w:val="none" w:sz="0" w:space="0" w:color="auto"/>
                <w:left w:val="none" w:sz="0" w:space="0" w:color="auto"/>
                <w:bottom w:val="none" w:sz="0" w:space="0" w:color="auto"/>
                <w:right w:val="none" w:sz="0" w:space="0" w:color="auto"/>
              </w:divBdr>
              <w:divsChild>
                <w:div w:id="70082128">
                  <w:marLeft w:val="0"/>
                  <w:marRight w:val="0"/>
                  <w:marTop w:val="0"/>
                  <w:marBottom w:val="0"/>
                  <w:divBdr>
                    <w:top w:val="none" w:sz="0" w:space="0" w:color="auto"/>
                    <w:left w:val="none" w:sz="0" w:space="0" w:color="auto"/>
                    <w:bottom w:val="none" w:sz="0" w:space="0" w:color="auto"/>
                    <w:right w:val="none" w:sz="0" w:space="0" w:color="auto"/>
                  </w:divBdr>
                  <w:divsChild>
                    <w:div w:id="1043405085">
                      <w:marLeft w:val="0"/>
                      <w:marRight w:val="0"/>
                      <w:marTop w:val="0"/>
                      <w:marBottom w:val="0"/>
                      <w:divBdr>
                        <w:top w:val="none" w:sz="0" w:space="0" w:color="auto"/>
                        <w:left w:val="none" w:sz="0" w:space="0" w:color="auto"/>
                        <w:bottom w:val="none" w:sz="0" w:space="0" w:color="auto"/>
                        <w:right w:val="none" w:sz="0" w:space="0" w:color="auto"/>
                      </w:divBdr>
                      <w:divsChild>
                        <w:div w:id="1077750832">
                          <w:marLeft w:val="0"/>
                          <w:marRight w:val="0"/>
                          <w:marTop w:val="0"/>
                          <w:marBottom w:val="0"/>
                          <w:divBdr>
                            <w:top w:val="single" w:sz="6" w:space="0" w:color="828282"/>
                            <w:left w:val="single" w:sz="6" w:space="0" w:color="828282"/>
                            <w:bottom w:val="single" w:sz="6" w:space="0" w:color="828282"/>
                            <w:right w:val="single" w:sz="6" w:space="0" w:color="828282"/>
                          </w:divBdr>
                          <w:divsChild>
                            <w:div w:id="967509448">
                              <w:marLeft w:val="0"/>
                              <w:marRight w:val="0"/>
                              <w:marTop w:val="0"/>
                              <w:marBottom w:val="0"/>
                              <w:divBdr>
                                <w:top w:val="none" w:sz="0" w:space="0" w:color="auto"/>
                                <w:left w:val="none" w:sz="0" w:space="0" w:color="auto"/>
                                <w:bottom w:val="none" w:sz="0" w:space="0" w:color="auto"/>
                                <w:right w:val="none" w:sz="0" w:space="0" w:color="auto"/>
                              </w:divBdr>
                              <w:divsChild>
                                <w:div w:id="1109742216">
                                  <w:marLeft w:val="0"/>
                                  <w:marRight w:val="0"/>
                                  <w:marTop w:val="0"/>
                                  <w:marBottom w:val="0"/>
                                  <w:divBdr>
                                    <w:top w:val="none" w:sz="0" w:space="0" w:color="auto"/>
                                    <w:left w:val="none" w:sz="0" w:space="0" w:color="auto"/>
                                    <w:bottom w:val="none" w:sz="0" w:space="0" w:color="auto"/>
                                    <w:right w:val="none" w:sz="0" w:space="0" w:color="auto"/>
                                  </w:divBdr>
                                  <w:divsChild>
                                    <w:div w:id="86850846">
                                      <w:marLeft w:val="0"/>
                                      <w:marRight w:val="0"/>
                                      <w:marTop w:val="0"/>
                                      <w:marBottom w:val="0"/>
                                      <w:divBdr>
                                        <w:top w:val="none" w:sz="0" w:space="0" w:color="auto"/>
                                        <w:left w:val="none" w:sz="0" w:space="0" w:color="auto"/>
                                        <w:bottom w:val="none" w:sz="0" w:space="0" w:color="auto"/>
                                        <w:right w:val="none" w:sz="0" w:space="0" w:color="auto"/>
                                      </w:divBdr>
                                      <w:divsChild>
                                        <w:div w:id="628241645">
                                          <w:marLeft w:val="0"/>
                                          <w:marRight w:val="0"/>
                                          <w:marTop w:val="0"/>
                                          <w:marBottom w:val="0"/>
                                          <w:divBdr>
                                            <w:top w:val="none" w:sz="0" w:space="0" w:color="auto"/>
                                            <w:left w:val="none" w:sz="0" w:space="0" w:color="auto"/>
                                            <w:bottom w:val="none" w:sz="0" w:space="0" w:color="auto"/>
                                            <w:right w:val="none" w:sz="0" w:space="0" w:color="auto"/>
                                          </w:divBdr>
                                          <w:divsChild>
                                            <w:div w:id="1296907222">
                                              <w:marLeft w:val="0"/>
                                              <w:marRight w:val="0"/>
                                              <w:marTop w:val="0"/>
                                              <w:marBottom w:val="0"/>
                                              <w:divBdr>
                                                <w:top w:val="none" w:sz="0" w:space="0" w:color="auto"/>
                                                <w:left w:val="none" w:sz="0" w:space="0" w:color="auto"/>
                                                <w:bottom w:val="none" w:sz="0" w:space="0" w:color="auto"/>
                                                <w:right w:val="none" w:sz="0" w:space="0" w:color="auto"/>
                                              </w:divBdr>
                                              <w:divsChild>
                                                <w:div w:id="153199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1308364">
      <w:bodyDiv w:val="1"/>
      <w:marLeft w:val="0"/>
      <w:marRight w:val="0"/>
      <w:marTop w:val="0"/>
      <w:marBottom w:val="0"/>
      <w:divBdr>
        <w:top w:val="none" w:sz="0" w:space="0" w:color="auto"/>
        <w:left w:val="none" w:sz="0" w:space="0" w:color="auto"/>
        <w:bottom w:val="none" w:sz="0" w:space="0" w:color="auto"/>
        <w:right w:val="none" w:sz="0" w:space="0" w:color="auto"/>
      </w:divBdr>
      <w:divsChild>
        <w:div w:id="1515916612">
          <w:marLeft w:val="0"/>
          <w:marRight w:val="0"/>
          <w:marTop w:val="0"/>
          <w:marBottom w:val="0"/>
          <w:divBdr>
            <w:top w:val="none" w:sz="0" w:space="0" w:color="auto"/>
            <w:left w:val="none" w:sz="0" w:space="0" w:color="auto"/>
            <w:bottom w:val="none" w:sz="0" w:space="0" w:color="auto"/>
            <w:right w:val="none" w:sz="0" w:space="0" w:color="auto"/>
          </w:divBdr>
          <w:divsChild>
            <w:div w:id="1751543625">
              <w:marLeft w:val="0"/>
              <w:marRight w:val="0"/>
              <w:marTop w:val="0"/>
              <w:marBottom w:val="0"/>
              <w:divBdr>
                <w:top w:val="none" w:sz="0" w:space="0" w:color="auto"/>
                <w:left w:val="none" w:sz="0" w:space="0" w:color="auto"/>
                <w:bottom w:val="none" w:sz="0" w:space="0" w:color="auto"/>
                <w:right w:val="none" w:sz="0" w:space="0" w:color="auto"/>
              </w:divBdr>
              <w:divsChild>
                <w:div w:id="1872568004">
                  <w:marLeft w:val="0"/>
                  <w:marRight w:val="0"/>
                  <w:marTop w:val="0"/>
                  <w:marBottom w:val="0"/>
                  <w:divBdr>
                    <w:top w:val="none" w:sz="0" w:space="0" w:color="auto"/>
                    <w:left w:val="none" w:sz="0" w:space="0" w:color="auto"/>
                    <w:bottom w:val="none" w:sz="0" w:space="0" w:color="auto"/>
                    <w:right w:val="none" w:sz="0" w:space="0" w:color="auto"/>
                  </w:divBdr>
                  <w:divsChild>
                    <w:div w:id="1109740629">
                      <w:marLeft w:val="0"/>
                      <w:marRight w:val="0"/>
                      <w:marTop w:val="0"/>
                      <w:marBottom w:val="0"/>
                      <w:divBdr>
                        <w:top w:val="none" w:sz="0" w:space="0" w:color="auto"/>
                        <w:left w:val="none" w:sz="0" w:space="0" w:color="auto"/>
                        <w:bottom w:val="none" w:sz="0" w:space="0" w:color="auto"/>
                        <w:right w:val="none" w:sz="0" w:space="0" w:color="auto"/>
                      </w:divBdr>
                      <w:divsChild>
                        <w:div w:id="1438452398">
                          <w:marLeft w:val="0"/>
                          <w:marRight w:val="0"/>
                          <w:marTop w:val="0"/>
                          <w:marBottom w:val="0"/>
                          <w:divBdr>
                            <w:top w:val="single" w:sz="2" w:space="0" w:color="828282"/>
                            <w:left w:val="single" w:sz="2" w:space="0" w:color="828282"/>
                            <w:bottom w:val="single" w:sz="2" w:space="0" w:color="828282"/>
                            <w:right w:val="single" w:sz="2" w:space="0" w:color="828282"/>
                          </w:divBdr>
                          <w:divsChild>
                            <w:div w:id="815151127">
                              <w:marLeft w:val="0"/>
                              <w:marRight w:val="0"/>
                              <w:marTop w:val="0"/>
                              <w:marBottom w:val="0"/>
                              <w:divBdr>
                                <w:top w:val="none" w:sz="0" w:space="0" w:color="auto"/>
                                <w:left w:val="none" w:sz="0" w:space="0" w:color="auto"/>
                                <w:bottom w:val="none" w:sz="0" w:space="0" w:color="auto"/>
                                <w:right w:val="none" w:sz="0" w:space="0" w:color="auto"/>
                              </w:divBdr>
                              <w:divsChild>
                                <w:div w:id="66997218">
                                  <w:marLeft w:val="0"/>
                                  <w:marRight w:val="0"/>
                                  <w:marTop w:val="0"/>
                                  <w:marBottom w:val="0"/>
                                  <w:divBdr>
                                    <w:top w:val="none" w:sz="0" w:space="0" w:color="auto"/>
                                    <w:left w:val="none" w:sz="0" w:space="0" w:color="auto"/>
                                    <w:bottom w:val="none" w:sz="0" w:space="0" w:color="auto"/>
                                    <w:right w:val="none" w:sz="0" w:space="0" w:color="auto"/>
                                  </w:divBdr>
                                  <w:divsChild>
                                    <w:div w:id="2082676812">
                                      <w:marLeft w:val="0"/>
                                      <w:marRight w:val="0"/>
                                      <w:marTop w:val="0"/>
                                      <w:marBottom w:val="0"/>
                                      <w:divBdr>
                                        <w:top w:val="none" w:sz="0" w:space="0" w:color="auto"/>
                                        <w:left w:val="none" w:sz="0" w:space="0" w:color="auto"/>
                                        <w:bottom w:val="none" w:sz="0" w:space="0" w:color="auto"/>
                                        <w:right w:val="none" w:sz="0" w:space="0" w:color="auto"/>
                                      </w:divBdr>
                                      <w:divsChild>
                                        <w:div w:id="2106684971">
                                          <w:marLeft w:val="0"/>
                                          <w:marRight w:val="0"/>
                                          <w:marTop w:val="0"/>
                                          <w:marBottom w:val="0"/>
                                          <w:divBdr>
                                            <w:top w:val="none" w:sz="0" w:space="0" w:color="auto"/>
                                            <w:left w:val="none" w:sz="0" w:space="0" w:color="auto"/>
                                            <w:bottom w:val="none" w:sz="0" w:space="0" w:color="auto"/>
                                            <w:right w:val="none" w:sz="0" w:space="0" w:color="auto"/>
                                          </w:divBdr>
                                          <w:divsChild>
                                            <w:div w:id="1037971186">
                                              <w:marLeft w:val="0"/>
                                              <w:marRight w:val="0"/>
                                              <w:marTop w:val="0"/>
                                              <w:marBottom w:val="0"/>
                                              <w:divBdr>
                                                <w:top w:val="none" w:sz="0" w:space="0" w:color="auto"/>
                                                <w:left w:val="none" w:sz="0" w:space="0" w:color="auto"/>
                                                <w:bottom w:val="none" w:sz="0" w:space="0" w:color="auto"/>
                                                <w:right w:val="none" w:sz="0" w:space="0" w:color="auto"/>
                                              </w:divBdr>
                                              <w:divsChild>
                                                <w:div w:id="129783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1853115">
      <w:bodyDiv w:val="1"/>
      <w:marLeft w:val="0"/>
      <w:marRight w:val="0"/>
      <w:marTop w:val="0"/>
      <w:marBottom w:val="0"/>
      <w:divBdr>
        <w:top w:val="none" w:sz="0" w:space="0" w:color="auto"/>
        <w:left w:val="none" w:sz="0" w:space="0" w:color="auto"/>
        <w:bottom w:val="none" w:sz="0" w:space="0" w:color="auto"/>
        <w:right w:val="none" w:sz="0" w:space="0" w:color="auto"/>
      </w:divBdr>
      <w:divsChild>
        <w:div w:id="2145349689">
          <w:marLeft w:val="0"/>
          <w:marRight w:val="0"/>
          <w:marTop w:val="0"/>
          <w:marBottom w:val="0"/>
          <w:divBdr>
            <w:top w:val="none" w:sz="0" w:space="0" w:color="auto"/>
            <w:left w:val="none" w:sz="0" w:space="0" w:color="auto"/>
            <w:bottom w:val="none" w:sz="0" w:space="0" w:color="auto"/>
            <w:right w:val="none" w:sz="0" w:space="0" w:color="auto"/>
          </w:divBdr>
          <w:divsChild>
            <w:div w:id="1341157958">
              <w:marLeft w:val="0"/>
              <w:marRight w:val="0"/>
              <w:marTop w:val="0"/>
              <w:marBottom w:val="0"/>
              <w:divBdr>
                <w:top w:val="none" w:sz="0" w:space="0" w:color="auto"/>
                <w:left w:val="none" w:sz="0" w:space="0" w:color="auto"/>
                <w:bottom w:val="none" w:sz="0" w:space="0" w:color="auto"/>
                <w:right w:val="none" w:sz="0" w:space="0" w:color="auto"/>
              </w:divBdr>
              <w:divsChild>
                <w:div w:id="1564027282">
                  <w:marLeft w:val="0"/>
                  <w:marRight w:val="0"/>
                  <w:marTop w:val="0"/>
                  <w:marBottom w:val="0"/>
                  <w:divBdr>
                    <w:top w:val="none" w:sz="0" w:space="0" w:color="auto"/>
                    <w:left w:val="none" w:sz="0" w:space="0" w:color="auto"/>
                    <w:bottom w:val="none" w:sz="0" w:space="0" w:color="auto"/>
                    <w:right w:val="none" w:sz="0" w:space="0" w:color="auto"/>
                  </w:divBdr>
                  <w:divsChild>
                    <w:div w:id="1680280402">
                      <w:marLeft w:val="0"/>
                      <w:marRight w:val="0"/>
                      <w:marTop w:val="0"/>
                      <w:marBottom w:val="0"/>
                      <w:divBdr>
                        <w:top w:val="none" w:sz="0" w:space="0" w:color="auto"/>
                        <w:left w:val="none" w:sz="0" w:space="0" w:color="auto"/>
                        <w:bottom w:val="none" w:sz="0" w:space="0" w:color="auto"/>
                        <w:right w:val="none" w:sz="0" w:space="0" w:color="auto"/>
                      </w:divBdr>
                      <w:divsChild>
                        <w:div w:id="2050299288">
                          <w:marLeft w:val="0"/>
                          <w:marRight w:val="0"/>
                          <w:marTop w:val="0"/>
                          <w:marBottom w:val="0"/>
                          <w:divBdr>
                            <w:top w:val="none" w:sz="0" w:space="0" w:color="auto"/>
                            <w:left w:val="none" w:sz="0" w:space="0" w:color="auto"/>
                            <w:bottom w:val="none" w:sz="0" w:space="0" w:color="auto"/>
                            <w:right w:val="none" w:sz="0" w:space="0" w:color="auto"/>
                          </w:divBdr>
                          <w:divsChild>
                            <w:div w:id="865561504">
                              <w:marLeft w:val="0"/>
                              <w:marRight w:val="0"/>
                              <w:marTop w:val="0"/>
                              <w:marBottom w:val="0"/>
                              <w:divBdr>
                                <w:top w:val="none" w:sz="0" w:space="0" w:color="auto"/>
                                <w:left w:val="none" w:sz="0" w:space="0" w:color="auto"/>
                                <w:bottom w:val="none" w:sz="0" w:space="0" w:color="auto"/>
                                <w:right w:val="none" w:sz="0" w:space="0" w:color="auto"/>
                              </w:divBdr>
                              <w:divsChild>
                                <w:div w:id="1427114780">
                                  <w:marLeft w:val="0"/>
                                  <w:marRight w:val="0"/>
                                  <w:marTop w:val="0"/>
                                  <w:marBottom w:val="0"/>
                                  <w:divBdr>
                                    <w:top w:val="none" w:sz="0" w:space="0" w:color="auto"/>
                                    <w:left w:val="none" w:sz="0" w:space="0" w:color="auto"/>
                                    <w:bottom w:val="none" w:sz="0" w:space="0" w:color="auto"/>
                                    <w:right w:val="none" w:sz="0" w:space="0" w:color="auto"/>
                                  </w:divBdr>
                                  <w:divsChild>
                                    <w:div w:id="56713675">
                                      <w:marLeft w:val="0"/>
                                      <w:marRight w:val="0"/>
                                      <w:marTop w:val="0"/>
                                      <w:marBottom w:val="0"/>
                                      <w:divBdr>
                                        <w:top w:val="none" w:sz="0" w:space="0" w:color="auto"/>
                                        <w:left w:val="none" w:sz="0" w:space="0" w:color="auto"/>
                                        <w:bottom w:val="none" w:sz="0" w:space="0" w:color="auto"/>
                                        <w:right w:val="none" w:sz="0" w:space="0" w:color="auto"/>
                                      </w:divBdr>
                                      <w:divsChild>
                                        <w:div w:id="783036102">
                                          <w:marLeft w:val="0"/>
                                          <w:marRight w:val="0"/>
                                          <w:marTop w:val="0"/>
                                          <w:marBottom w:val="0"/>
                                          <w:divBdr>
                                            <w:top w:val="none" w:sz="0" w:space="0" w:color="auto"/>
                                            <w:left w:val="none" w:sz="0" w:space="0" w:color="auto"/>
                                            <w:bottom w:val="none" w:sz="0" w:space="0" w:color="auto"/>
                                            <w:right w:val="none" w:sz="0" w:space="0" w:color="auto"/>
                                          </w:divBdr>
                                          <w:divsChild>
                                            <w:div w:id="1878228791">
                                              <w:marLeft w:val="0"/>
                                              <w:marRight w:val="0"/>
                                              <w:marTop w:val="0"/>
                                              <w:marBottom w:val="0"/>
                                              <w:divBdr>
                                                <w:top w:val="none" w:sz="0" w:space="0" w:color="auto"/>
                                                <w:left w:val="none" w:sz="0" w:space="0" w:color="auto"/>
                                                <w:bottom w:val="none" w:sz="0" w:space="0" w:color="auto"/>
                                                <w:right w:val="none" w:sz="0" w:space="0" w:color="auto"/>
                                              </w:divBdr>
                                              <w:divsChild>
                                                <w:div w:id="852064808">
                                                  <w:marLeft w:val="0"/>
                                                  <w:marRight w:val="0"/>
                                                  <w:marTop w:val="0"/>
                                                  <w:marBottom w:val="0"/>
                                                  <w:divBdr>
                                                    <w:top w:val="none" w:sz="0" w:space="0" w:color="auto"/>
                                                    <w:left w:val="none" w:sz="0" w:space="0" w:color="auto"/>
                                                    <w:bottom w:val="none" w:sz="0" w:space="0" w:color="auto"/>
                                                    <w:right w:val="none" w:sz="0" w:space="0" w:color="auto"/>
                                                  </w:divBdr>
                                                  <w:divsChild>
                                                    <w:div w:id="762528160">
                                                      <w:marLeft w:val="0"/>
                                                      <w:marRight w:val="0"/>
                                                      <w:marTop w:val="0"/>
                                                      <w:marBottom w:val="0"/>
                                                      <w:divBdr>
                                                        <w:top w:val="none" w:sz="0" w:space="0" w:color="auto"/>
                                                        <w:left w:val="none" w:sz="0" w:space="0" w:color="auto"/>
                                                        <w:bottom w:val="none" w:sz="0" w:space="0" w:color="auto"/>
                                                        <w:right w:val="none" w:sz="0" w:space="0" w:color="auto"/>
                                                      </w:divBdr>
                                                      <w:divsChild>
                                                        <w:div w:id="28142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6745796">
      <w:bodyDiv w:val="1"/>
      <w:marLeft w:val="0"/>
      <w:marRight w:val="0"/>
      <w:marTop w:val="0"/>
      <w:marBottom w:val="0"/>
      <w:divBdr>
        <w:top w:val="none" w:sz="0" w:space="0" w:color="auto"/>
        <w:left w:val="none" w:sz="0" w:space="0" w:color="auto"/>
        <w:bottom w:val="none" w:sz="0" w:space="0" w:color="auto"/>
        <w:right w:val="none" w:sz="0" w:space="0" w:color="auto"/>
      </w:divBdr>
      <w:divsChild>
        <w:div w:id="248584313">
          <w:marLeft w:val="0"/>
          <w:marRight w:val="0"/>
          <w:marTop w:val="0"/>
          <w:marBottom w:val="0"/>
          <w:divBdr>
            <w:top w:val="none" w:sz="0" w:space="0" w:color="auto"/>
            <w:left w:val="none" w:sz="0" w:space="0" w:color="auto"/>
            <w:bottom w:val="none" w:sz="0" w:space="0" w:color="auto"/>
            <w:right w:val="none" w:sz="0" w:space="0" w:color="auto"/>
          </w:divBdr>
          <w:divsChild>
            <w:div w:id="213546176">
              <w:marLeft w:val="0"/>
              <w:marRight w:val="0"/>
              <w:marTop w:val="0"/>
              <w:marBottom w:val="0"/>
              <w:divBdr>
                <w:top w:val="none" w:sz="0" w:space="0" w:color="auto"/>
                <w:left w:val="none" w:sz="0" w:space="0" w:color="auto"/>
                <w:bottom w:val="none" w:sz="0" w:space="0" w:color="auto"/>
                <w:right w:val="none" w:sz="0" w:space="0" w:color="auto"/>
              </w:divBdr>
              <w:divsChild>
                <w:div w:id="438262784">
                  <w:marLeft w:val="0"/>
                  <w:marRight w:val="0"/>
                  <w:marTop w:val="0"/>
                  <w:marBottom w:val="0"/>
                  <w:divBdr>
                    <w:top w:val="none" w:sz="0" w:space="0" w:color="auto"/>
                    <w:left w:val="none" w:sz="0" w:space="0" w:color="auto"/>
                    <w:bottom w:val="none" w:sz="0" w:space="0" w:color="auto"/>
                    <w:right w:val="none" w:sz="0" w:space="0" w:color="auto"/>
                  </w:divBdr>
                  <w:divsChild>
                    <w:div w:id="2041474049">
                      <w:marLeft w:val="0"/>
                      <w:marRight w:val="0"/>
                      <w:marTop w:val="0"/>
                      <w:marBottom w:val="0"/>
                      <w:divBdr>
                        <w:top w:val="none" w:sz="0" w:space="0" w:color="auto"/>
                        <w:left w:val="none" w:sz="0" w:space="0" w:color="auto"/>
                        <w:bottom w:val="none" w:sz="0" w:space="0" w:color="auto"/>
                        <w:right w:val="none" w:sz="0" w:space="0" w:color="auto"/>
                      </w:divBdr>
                      <w:divsChild>
                        <w:div w:id="63377102">
                          <w:marLeft w:val="0"/>
                          <w:marRight w:val="0"/>
                          <w:marTop w:val="0"/>
                          <w:marBottom w:val="0"/>
                          <w:divBdr>
                            <w:top w:val="single" w:sz="6" w:space="0" w:color="828282"/>
                            <w:left w:val="single" w:sz="6" w:space="0" w:color="828282"/>
                            <w:bottom w:val="single" w:sz="6" w:space="0" w:color="828282"/>
                            <w:right w:val="single" w:sz="6" w:space="0" w:color="828282"/>
                          </w:divBdr>
                          <w:divsChild>
                            <w:div w:id="1103569522">
                              <w:marLeft w:val="0"/>
                              <w:marRight w:val="0"/>
                              <w:marTop w:val="0"/>
                              <w:marBottom w:val="0"/>
                              <w:divBdr>
                                <w:top w:val="none" w:sz="0" w:space="0" w:color="auto"/>
                                <w:left w:val="none" w:sz="0" w:space="0" w:color="auto"/>
                                <w:bottom w:val="none" w:sz="0" w:space="0" w:color="auto"/>
                                <w:right w:val="none" w:sz="0" w:space="0" w:color="auto"/>
                              </w:divBdr>
                              <w:divsChild>
                                <w:div w:id="770004389">
                                  <w:marLeft w:val="0"/>
                                  <w:marRight w:val="0"/>
                                  <w:marTop w:val="0"/>
                                  <w:marBottom w:val="0"/>
                                  <w:divBdr>
                                    <w:top w:val="none" w:sz="0" w:space="0" w:color="auto"/>
                                    <w:left w:val="none" w:sz="0" w:space="0" w:color="auto"/>
                                    <w:bottom w:val="none" w:sz="0" w:space="0" w:color="auto"/>
                                    <w:right w:val="none" w:sz="0" w:space="0" w:color="auto"/>
                                  </w:divBdr>
                                  <w:divsChild>
                                    <w:div w:id="98185117">
                                      <w:marLeft w:val="0"/>
                                      <w:marRight w:val="0"/>
                                      <w:marTop w:val="0"/>
                                      <w:marBottom w:val="0"/>
                                      <w:divBdr>
                                        <w:top w:val="none" w:sz="0" w:space="0" w:color="auto"/>
                                        <w:left w:val="none" w:sz="0" w:space="0" w:color="auto"/>
                                        <w:bottom w:val="none" w:sz="0" w:space="0" w:color="auto"/>
                                        <w:right w:val="none" w:sz="0" w:space="0" w:color="auto"/>
                                      </w:divBdr>
                                      <w:divsChild>
                                        <w:div w:id="1081441115">
                                          <w:marLeft w:val="0"/>
                                          <w:marRight w:val="0"/>
                                          <w:marTop w:val="0"/>
                                          <w:marBottom w:val="0"/>
                                          <w:divBdr>
                                            <w:top w:val="none" w:sz="0" w:space="0" w:color="auto"/>
                                            <w:left w:val="none" w:sz="0" w:space="0" w:color="auto"/>
                                            <w:bottom w:val="none" w:sz="0" w:space="0" w:color="auto"/>
                                            <w:right w:val="none" w:sz="0" w:space="0" w:color="auto"/>
                                          </w:divBdr>
                                          <w:divsChild>
                                            <w:div w:id="1111437564">
                                              <w:marLeft w:val="0"/>
                                              <w:marRight w:val="0"/>
                                              <w:marTop w:val="0"/>
                                              <w:marBottom w:val="0"/>
                                              <w:divBdr>
                                                <w:top w:val="none" w:sz="0" w:space="0" w:color="auto"/>
                                                <w:left w:val="none" w:sz="0" w:space="0" w:color="auto"/>
                                                <w:bottom w:val="none" w:sz="0" w:space="0" w:color="auto"/>
                                                <w:right w:val="none" w:sz="0" w:space="0" w:color="auto"/>
                                              </w:divBdr>
                                              <w:divsChild>
                                                <w:div w:id="100899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4897418">
      <w:bodyDiv w:val="1"/>
      <w:marLeft w:val="0"/>
      <w:marRight w:val="0"/>
      <w:marTop w:val="0"/>
      <w:marBottom w:val="0"/>
      <w:divBdr>
        <w:top w:val="none" w:sz="0" w:space="0" w:color="auto"/>
        <w:left w:val="none" w:sz="0" w:space="0" w:color="auto"/>
        <w:bottom w:val="none" w:sz="0" w:space="0" w:color="auto"/>
        <w:right w:val="none" w:sz="0" w:space="0" w:color="auto"/>
      </w:divBdr>
      <w:divsChild>
        <w:div w:id="2066175645">
          <w:marLeft w:val="0"/>
          <w:marRight w:val="0"/>
          <w:marTop w:val="0"/>
          <w:marBottom w:val="0"/>
          <w:divBdr>
            <w:top w:val="none" w:sz="0" w:space="0" w:color="auto"/>
            <w:left w:val="none" w:sz="0" w:space="0" w:color="auto"/>
            <w:bottom w:val="none" w:sz="0" w:space="0" w:color="auto"/>
            <w:right w:val="none" w:sz="0" w:space="0" w:color="auto"/>
          </w:divBdr>
          <w:divsChild>
            <w:div w:id="749695407">
              <w:marLeft w:val="0"/>
              <w:marRight w:val="0"/>
              <w:marTop w:val="0"/>
              <w:marBottom w:val="0"/>
              <w:divBdr>
                <w:top w:val="none" w:sz="0" w:space="0" w:color="auto"/>
                <w:left w:val="none" w:sz="0" w:space="0" w:color="auto"/>
                <w:bottom w:val="none" w:sz="0" w:space="0" w:color="auto"/>
                <w:right w:val="none" w:sz="0" w:space="0" w:color="auto"/>
              </w:divBdr>
              <w:divsChild>
                <w:div w:id="1760829887">
                  <w:marLeft w:val="0"/>
                  <w:marRight w:val="0"/>
                  <w:marTop w:val="0"/>
                  <w:marBottom w:val="0"/>
                  <w:divBdr>
                    <w:top w:val="none" w:sz="0" w:space="0" w:color="auto"/>
                    <w:left w:val="none" w:sz="0" w:space="0" w:color="auto"/>
                    <w:bottom w:val="none" w:sz="0" w:space="0" w:color="auto"/>
                    <w:right w:val="none" w:sz="0" w:space="0" w:color="auto"/>
                  </w:divBdr>
                  <w:divsChild>
                    <w:div w:id="1149248357">
                      <w:marLeft w:val="0"/>
                      <w:marRight w:val="0"/>
                      <w:marTop w:val="0"/>
                      <w:marBottom w:val="0"/>
                      <w:divBdr>
                        <w:top w:val="none" w:sz="0" w:space="0" w:color="auto"/>
                        <w:left w:val="none" w:sz="0" w:space="0" w:color="auto"/>
                        <w:bottom w:val="none" w:sz="0" w:space="0" w:color="auto"/>
                        <w:right w:val="none" w:sz="0" w:space="0" w:color="auto"/>
                      </w:divBdr>
                      <w:divsChild>
                        <w:div w:id="674769838">
                          <w:marLeft w:val="0"/>
                          <w:marRight w:val="0"/>
                          <w:marTop w:val="0"/>
                          <w:marBottom w:val="0"/>
                          <w:divBdr>
                            <w:top w:val="single" w:sz="4" w:space="0" w:color="828282"/>
                            <w:left w:val="single" w:sz="4" w:space="0" w:color="828282"/>
                            <w:bottom w:val="single" w:sz="4" w:space="0" w:color="828282"/>
                            <w:right w:val="single" w:sz="4" w:space="0" w:color="828282"/>
                          </w:divBdr>
                          <w:divsChild>
                            <w:div w:id="14045287">
                              <w:marLeft w:val="0"/>
                              <w:marRight w:val="0"/>
                              <w:marTop w:val="0"/>
                              <w:marBottom w:val="0"/>
                              <w:divBdr>
                                <w:top w:val="none" w:sz="0" w:space="0" w:color="auto"/>
                                <w:left w:val="none" w:sz="0" w:space="0" w:color="auto"/>
                                <w:bottom w:val="none" w:sz="0" w:space="0" w:color="auto"/>
                                <w:right w:val="none" w:sz="0" w:space="0" w:color="auto"/>
                              </w:divBdr>
                              <w:divsChild>
                                <w:div w:id="2112359501">
                                  <w:marLeft w:val="0"/>
                                  <w:marRight w:val="0"/>
                                  <w:marTop w:val="0"/>
                                  <w:marBottom w:val="0"/>
                                  <w:divBdr>
                                    <w:top w:val="none" w:sz="0" w:space="0" w:color="auto"/>
                                    <w:left w:val="none" w:sz="0" w:space="0" w:color="auto"/>
                                    <w:bottom w:val="none" w:sz="0" w:space="0" w:color="auto"/>
                                    <w:right w:val="none" w:sz="0" w:space="0" w:color="auto"/>
                                  </w:divBdr>
                                  <w:divsChild>
                                    <w:div w:id="1585333903">
                                      <w:marLeft w:val="0"/>
                                      <w:marRight w:val="0"/>
                                      <w:marTop w:val="0"/>
                                      <w:marBottom w:val="0"/>
                                      <w:divBdr>
                                        <w:top w:val="none" w:sz="0" w:space="0" w:color="auto"/>
                                        <w:left w:val="none" w:sz="0" w:space="0" w:color="auto"/>
                                        <w:bottom w:val="none" w:sz="0" w:space="0" w:color="auto"/>
                                        <w:right w:val="none" w:sz="0" w:space="0" w:color="auto"/>
                                      </w:divBdr>
                                      <w:divsChild>
                                        <w:div w:id="1076437067">
                                          <w:marLeft w:val="0"/>
                                          <w:marRight w:val="0"/>
                                          <w:marTop w:val="0"/>
                                          <w:marBottom w:val="0"/>
                                          <w:divBdr>
                                            <w:top w:val="none" w:sz="0" w:space="0" w:color="auto"/>
                                            <w:left w:val="none" w:sz="0" w:space="0" w:color="auto"/>
                                            <w:bottom w:val="none" w:sz="0" w:space="0" w:color="auto"/>
                                            <w:right w:val="none" w:sz="0" w:space="0" w:color="auto"/>
                                          </w:divBdr>
                                          <w:divsChild>
                                            <w:div w:id="932973801">
                                              <w:marLeft w:val="0"/>
                                              <w:marRight w:val="0"/>
                                              <w:marTop w:val="0"/>
                                              <w:marBottom w:val="0"/>
                                              <w:divBdr>
                                                <w:top w:val="none" w:sz="0" w:space="0" w:color="auto"/>
                                                <w:left w:val="none" w:sz="0" w:space="0" w:color="auto"/>
                                                <w:bottom w:val="none" w:sz="0" w:space="0" w:color="auto"/>
                                                <w:right w:val="none" w:sz="0" w:space="0" w:color="auto"/>
                                              </w:divBdr>
                                              <w:divsChild>
                                                <w:div w:id="122599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3415533">
      <w:bodyDiv w:val="1"/>
      <w:marLeft w:val="0"/>
      <w:marRight w:val="0"/>
      <w:marTop w:val="0"/>
      <w:marBottom w:val="0"/>
      <w:divBdr>
        <w:top w:val="none" w:sz="0" w:space="0" w:color="auto"/>
        <w:left w:val="none" w:sz="0" w:space="0" w:color="auto"/>
        <w:bottom w:val="none" w:sz="0" w:space="0" w:color="auto"/>
        <w:right w:val="none" w:sz="0" w:space="0" w:color="auto"/>
      </w:divBdr>
      <w:divsChild>
        <w:div w:id="419180864">
          <w:marLeft w:val="0"/>
          <w:marRight w:val="0"/>
          <w:marTop w:val="0"/>
          <w:marBottom w:val="0"/>
          <w:divBdr>
            <w:top w:val="none" w:sz="0" w:space="0" w:color="auto"/>
            <w:left w:val="none" w:sz="0" w:space="0" w:color="auto"/>
            <w:bottom w:val="none" w:sz="0" w:space="0" w:color="auto"/>
            <w:right w:val="none" w:sz="0" w:space="0" w:color="auto"/>
          </w:divBdr>
          <w:divsChild>
            <w:div w:id="1856768051">
              <w:marLeft w:val="0"/>
              <w:marRight w:val="0"/>
              <w:marTop w:val="0"/>
              <w:marBottom w:val="0"/>
              <w:divBdr>
                <w:top w:val="none" w:sz="0" w:space="0" w:color="auto"/>
                <w:left w:val="none" w:sz="0" w:space="0" w:color="auto"/>
                <w:bottom w:val="none" w:sz="0" w:space="0" w:color="auto"/>
                <w:right w:val="none" w:sz="0" w:space="0" w:color="auto"/>
              </w:divBdr>
              <w:divsChild>
                <w:div w:id="97797838">
                  <w:marLeft w:val="0"/>
                  <w:marRight w:val="0"/>
                  <w:marTop w:val="0"/>
                  <w:marBottom w:val="0"/>
                  <w:divBdr>
                    <w:top w:val="none" w:sz="0" w:space="0" w:color="auto"/>
                    <w:left w:val="none" w:sz="0" w:space="0" w:color="auto"/>
                    <w:bottom w:val="none" w:sz="0" w:space="0" w:color="auto"/>
                    <w:right w:val="none" w:sz="0" w:space="0" w:color="auto"/>
                  </w:divBdr>
                  <w:divsChild>
                    <w:div w:id="1822237095">
                      <w:marLeft w:val="0"/>
                      <w:marRight w:val="0"/>
                      <w:marTop w:val="0"/>
                      <w:marBottom w:val="0"/>
                      <w:divBdr>
                        <w:top w:val="none" w:sz="0" w:space="0" w:color="auto"/>
                        <w:left w:val="none" w:sz="0" w:space="0" w:color="auto"/>
                        <w:bottom w:val="none" w:sz="0" w:space="0" w:color="auto"/>
                        <w:right w:val="none" w:sz="0" w:space="0" w:color="auto"/>
                      </w:divBdr>
                      <w:divsChild>
                        <w:div w:id="1421173253">
                          <w:marLeft w:val="0"/>
                          <w:marRight w:val="0"/>
                          <w:marTop w:val="0"/>
                          <w:marBottom w:val="0"/>
                          <w:divBdr>
                            <w:top w:val="single" w:sz="6" w:space="0" w:color="828282"/>
                            <w:left w:val="single" w:sz="6" w:space="0" w:color="828282"/>
                            <w:bottom w:val="single" w:sz="6" w:space="0" w:color="828282"/>
                            <w:right w:val="single" w:sz="6" w:space="0" w:color="828282"/>
                          </w:divBdr>
                          <w:divsChild>
                            <w:div w:id="842622952">
                              <w:marLeft w:val="0"/>
                              <w:marRight w:val="0"/>
                              <w:marTop w:val="0"/>
                              <w:marBottom w:val="0"/>
                              <w:divBdr>
                                <w:top w:val="none" w:sz="0" w:space="0" w:color="auto"/>
                                <w:left w:val="none" w:sz="0" w:space="0" w:color="auto"/>
                                <w:bottom w:val="none" w:sz="0" w:space="0" w:color="auto"/>
                                <w:right w:val="none" w:sz="0" w:space="0" w:color="auto"/>
                              </w:divBdr>
                              <w:divsChild>
                                <w:div w:id="712193983">
                                  <w:marLeft w:val="0"/>
                                  <w:marRight w:val="0"/>
                                  <w:marTop w:val="0"/>
                                  <w:marBottom w:val="0"/>
                                  <w:divBdr>
                                    <w:top w:val="none" w:sz="0" w:space="0" w:color="auto"/>
                                    <w:left w:val="none" w:sz="0" w:space="0" w:color="auto"/>
                                    <w:bottom w:val="none" w:sz="0" w:space="0" w:color="auto"/>
                                    <w:right w:val="none" w:sz="0" w:space="0" w:color="auto"/>
                                  </w:divBdr>
                                  <w:divsChild>
                                    <w:div w:id="1794522271">
                                      <w:marLeft w:val="0"/>
                                      <w:marRight w:val="0"/>
                                      <w:marTop w:val="0"/>
                                      <w:marBottom w:val="0"/>
                                      <w:divBdr>
                                        <w:top w:val="none" w:sz="0" w:space="0" w:color="auto"/>
                                        <w:left w:val="none" w:sz="0" w:space="0" w:color="auto"/>
                                        <w:bottom w:val="none" w:sz="0" w:space="0" w:color="auto"/>
                                        <w:right w:val="none" w:sz="0" w:space="0" w:color="auto"/>
                                      </w:divBdr>
                                      <w:divsChild>
                                        <w:div w:id="1096830897">
                                          <w:marLeft w:val="0"/>
                                          <w:marRight w:val="0"/>
                                          <w:marTop w:val="0"/>
                                          <w:marBottom w:val="0"/>
                                          <w:divBdr>
                                            <w:top w:val="none" w:sz="0" w:space="0" w:color="auto"/>
                                            <w:left w:val="none" w:sz="0" w:space="0" w:color="auto"/>
                                            <w:bottom w:val="none" w:sz="0" w:space="0" w:color="auto"/>
                                            <w:right w:val="none" w:sz="0" w:space="0" w:color="auto"/>
                                          </w:divBdr>
                                          <w:divsChild>
                                            <w:div w:id="1404064258">
                                              <w:marLeft w:val="0"/>
                                              <w:marRight w:val="0"/>
                                              <w:marTop w:val="0"/>
                                              <w:marBottom w:val="0"/>
                                              <w:divBdr>
                                                <w:top w:val="none" w:sz="0" w:space="0" w:color="auto"/>
                                                <w:left w:val="none" w:sz="0" w:space="0" w:color="auto"/>
                                                <w:bottom w:val="none" w:sz="0" w:space="0" w:color="auto"/>
                                                <w:right w:val="none" w:sz="0" w:space="0" w:color="auto"/>
                                              </w:divBdr>
                                              <w:divsChild>
                                                <w:div w:id="206001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9311145">
      <w:bodyDiv w:val="1"/>
      <w:marLeft w:val="0"/>
      <w:marRight w:val="0"/>
      <w:marTop w:val="0"/>
      <w:marBottom w:val="0"/>
      <w:divBdr>
        <w:top w:val="none" w:sz="0" w:space="0" w:color="auto"/>
        <w:left w:val="none" w:sz="0" w:space="0" w:color="auto"/>
        <w:bottom w:val="none" w:sz="0" w:space="0" w:color="auto"/>
        <w:right w:val="none" w:sz="0" w:space="0" w:color="auto"/>
      </w:divBdr>
      <w:divsChild>
        <w:div w:id="805976731">
          <w:marLeft w:val="0"/>
          <w:marRight w:val="0"/>
          <w:marTop w:val="0"/>
          <w:marBottom w:val="0"/>
          <w:divBdr>
            <w:top w:val="none" w:sz="0" w:space="0" w:color="auto"/>
            <w:left w:val="none" w:sz="0" w:space="0" w:color="auto"/>
            <w:bottom w:val="none" w:sz="0" w:space="0" w:color="auto"/>
            <w:right w:val="none" w:sz="0" w:space="0" w:color="auto"/>
          </w:divBdr>
          <w:divsChild>
            <w:div w:id="1615793204">
              <w:marLeft w:val="0"/>
              <w:marRight w:val="0"/>
              <w:marTop w:val="0"/>
              <w:marBottom w:val="0"/>
              <w:divBdr>
                <w:top w:val="none" w:sz="0" w:space="0" w:color="auto"/>
                <w:left w:val="none" w:sz="0" w:space="0" w:color="auto"/>
                <w:bottom w:val="none" w:sz="0" w:space="0" w:color="auto"/>
                <w:right w:val="none" w:sz="0" w:space="0" w:color="auto"/>
              </w:divBdr>
              <w:divsChild>
                <w:div w:id="484391779">
                  <w:marLeft w:val="0"/>
                  <w:marRight w:val="0"/>
                  <w:marTop w:val="0"/>
                  <w:marBottom w:val="0"/>
                  <w:divBdr>
                    <w:top w:val="none" w:sz="0" w:space="0" w:color="auto"/>
                    <w:left w:val="none" w:sz="0" w:space="0" w:color="auto"/>
                    <w:bottom w:val="none" w:sz="0" w:space="0" w:color="auto"/>
                    <w:right w:val="none" w:sz="0" w:space="0" w:color="auto"/>
                  </w:divBdr>
                  <w:divsChild>
                    <w:div w:id="932468296">
                      <w:marLeft w:val="0"/>
                      <w:marRight w:val="0"/>
                      <w:marTop w:val="0"/>
                      <w:marBottom w:val="0"/>
                      <w:divBdr>
                        <w:top w:val="none" w:sz="0" w:space="0" w:color="auto"/>
                        <w:left w:val="none" w:sz="0" w:space="0" w:color="auto"/>
                        <w:bottom w:val="none" w:sz="0" w:space="0" w:color="auto"/>
                        <w:right w:val="none" w:sz="0" w:space="0" w:color="auto"/>
                      </w:divBdr>
                      <w:divsChild>
                        <w:div w:id="1822042099">
                          <w:marLeft w:val="0"/>
                          <w:marRight w:val="0"/>
                          <w:marTop w:val="0"/>
                          <w:marBottom w:val="0"/>
                          <w:divBdr>
                            <w:top w:val="single" w:sz="6" w:space="0" w:color="828282"/>
                            <w:left w:val="single" w:sz="6" w:space="0" w:color="828282"/>
                            <w:bottom w:val="single" w:sz="6" w:space="0" w:color="828282"/>
                            <w:right w:val="single" w:sz="6" w:space="0" w:color="828282"/>
                          </w:divBdr>
                          <w:divsChild>
                            <w:div w:id="1822772596">
                              <w:marLeft w:val="0"/>
                              <w:marRight w:val="0"/>
                              <w:marTop w:val="0"/>
                              <w:marBottom w:val="0"/>
                              <w:divBdr>
                                <w:top w:val="none" w:sz="0" w:space="0" w:color="auto"/>
                                <w:left w:val="none" w:sz="0" w:space="0" w:color="auto"/>
                                <w:bottom w:val="none" w:sz="0" w:space="0" w:color="auto"/>
                                <w:right w:val="none" w:sz="0" w:space="0" w:color="auto"/>
                              </w:divBdr>
                              <w:divsChild>
                                <w:div w:id="1092778139">
                                  <w:marLeft w:val="0"/>
                                  <w:marRight w:val="0"/>
                                  <w:marTop w:val="0"/>
                                  <w:marBottom w:val="0"/>
                                  <w:divBdr>
                                    <w:top w:val="none" w:sz="0" w:space="0" w:color="auto"/>
                                    <w:left w:val="none" w:sz="0" w:space="0" w:color="auto"/>
                                    <w:bottom w:val="none" w:sz="0" w:space="0" w:color="auto"/>
                                    <w:right w:val="none" w:sz="0" w:space="0" w:color="auto"/>
                                  </w:divBdr>
                                  <w:divsChild>
                                    <w:div w:id="568616612">
                                      <w:marLeft w:val="0"/>
                                      <w:marRight w:val="0"/>
                                      <w:marTop w:val="0"/>
                                      <w:marBottom w:val="0"/>
                                      <w:divBdr>
                                        <w:top w:val="none" w:sz="0" w:space="0" w:color="auto"/>
                                        <w:left w:val="none" w:sz="0" w:space="0" w:color="auto"/>
                                        <w:bottom w:val="none" w:sz="0" w:space="0" w:color="auto"/>
                                        <w:right w:val="none" w:sz="0" w:space="0" w:color="auto"/>
                                      </w:divBdr>
                                      <w:divsChild>
                                        <w:div w:id="1849056273">
                                          <w:marLeft w:val="0"/>
                                          <w:marRight w:val="0"/>
                                          <w:marTop w:val="0"/>
                                          <w:marBottom w:val="0"/>
                                          <w:divBdr>
                                            <w:top w:val="none" w:sz="0" w:space="0" w:color="auto"/>
                                            <w:left w:val="none" w:sz="0" w:space="0" w:color="auto"/>
                                            <w:bottom w:val="none" w:sz="0" w:space="0" w:color="auto"/>
                                            <w:right w:val="none" w:sz="0" w:space="0" w:color="auto"/>
                                          </w:divBdr>
                                          <w:divsChild>
                                            <w:div w:id="707414568">
                                              <w:marLeft w:val="0"/>
                                              <w:marRight w:val="0"/>
                                              <w:marTop w:val="0"/>
                                              <w:marBottom w:val="0"/>
                                              <w:divBdr>
                                                <w:top w:val="none" w:sz="0" w:space="0" w:color="auto"/>
                                                <w:left w:val="none" w:sz="0" w:space="0" w:color="auto"/>
                                                <w:bottom w:val="none" w:sz="0" w:space="0" w:color="auto"/>
                                                <w:right w:val="none" w:sz="0" w:space="0" w:color="auto"/>
                                              </w:divBdr>
                                              <w:divsChild>
                                                <w:div w:id="137311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6543459">
      <w:bodyDiv w:val="1"/>
      <w:marLeft w:val="0"/>
      <w:marRight w:val="0"/>
      <w:marTop w:val="0"/>
      <w:marBottom w:val="0"/>
      <w:divBdr>
        <w:top w:val="none" w:sz="0" w:space="0" w:color="auto"/>
        <w:left w:val="none" w:sz="0" w:space="0" w:color="auto"/>
        <w:bottom w:val="none" w:sz="0" w:space="0" w:color="auto"/>
        <w:right w:val="none" w:sz="0" w:space="0" w:color="auto"/>
      </w:divBdr>
      <w:divsChild>
        <w:div w:id="633023267">
          <w:marLeft w:val="0"/>
          <w:marRight w:val="0"/>
          <w:marTop w:val="0"/>
          <w:marBottom w:val="0"/>
          <w:divBdr>
            <w:top w:val="none" w:sz="0" w:space="0" w:color="auto"/>
            <w:left w:val="none" w:sz="0" w:space="0" w:color="auto"/>
            <w:bottom w:val="none" w:sz="0" w:space="0" w:color="auto"/>
            <w:right w:val="none" w:sz="0" w:space="0" w:color="auto"/>
          </w:divBdr>
          <w:divsChild>
            <w:div w:id="109008936">
              <w:marLeft w:val="0"/>
              <w:marRight w:val="0"/>
              <w:marTop w:val="0"/>
              <w:marBottom w:val="0"/>
              <w:divBdr>
                <w:top w:val="none" w:sz="0" w:space="0" w:color="auto"/>
                <w:left w:val="none" w:sz="0" w:space="0" w:color="auto"/>
                <w:bottom w:val="none" w:sz="0" w:space="0" w:color="auto"/>
                <w:right w:val="none" w:sz="0" w:space="0" w:color="auto"/>
              </w:divBdr>
              <w:divsChild>
                <w:div w:id="1390155391">
                  <w:marLeft w:val="0"/>
                  <w:marRight w:val="0"/>
                  <w:marTop w:val="0"/>
                  <w:marBottom w:val="0"/>
                  <w:divBdr>
                    <w:top w:val="none" w:sz="0" w:space="0" w:color="auto"/>
                    <w:left w:val="none" w:sz="0" w:space="0" w:color="auto"/>
                    <w:bottom w:val="none" w:sz="0" w:space="0" w:color="auto"/>
                    <w:right w:val="none" w:sz="0" w:space="0" w:color="auto"/>
                  </w:divBdr>
                  <w:divsChild>
                    <w:div w:id="85075559">
                      <w:marLeft w:val="0"/>
                      <w:marRight w:val="0"/>
                      <w:marTop w:val="0"/>
                      <w:marBottom w:val="0"/>
                      <w:divBdr>
                        <w:top w:val="none" w:sz="0" w:space="0" w:color="auto"/>
                        <w:left w:val="none" w:sz="0" w:space="0" w:color="auto"/>
                        <w:bottom w:val="none" w:sz="0" w:space="0" w:color="auto"/>
                        <w:right w:val="none" w:sz="0" w:space="0" w:color="auto"/>
                      </w:divBdr>
                      <w:divsChild>
                        <w:div w:id="148061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4200470">
      <w:bodyDiv w:val="1"/>
      <w:marLeft w:val="0"/>
      <w:marRight w:val="0"/>
      <w:marTop w:val="0"/>
      <w:marBottom w:val="0"/>
      <w:divBdr>
        <w:top w:val="none" w:sz="0" w:space="0" w:color="auto"/>
        <w:left w:val="none" w:sz="0" w:space="0" w:color="auto"/>
        <w:bottom w:val="none" w:sz="0" w:space="0" w:color="auto"/>
        <w:right w:val="none" w:sz="0" w:space="0" w:color="auto"/>
      </w:divBdr>
      <w:divsChild>
        <w:div w:id="1284076549">
          <w:marLeft w:val="0"/>
          <w:marRight w:val="0"/>
          <w:marTop w:val="0"/>
          <w:marBottom w:val="0"/>
          <w:divBdr>
            <w:top w:val="none" w:sz="0" w:space="0" w:color="auto"/>
            <w:left w:val="none" w:sz="0" w:space="0" w:color="auto"/>
            <w:bottom w:val="none" w:sz="0" w:space="0" w:color="auto"/>
            <w:right w:val="none" w:sz="0" w:space="0" w:color="auto"/>
          </w:divBdr>
          <w:divsChild>
            <w:div w:id="1749886517">
              <w:marLeft w:val="0"/>
              <w:marRight w:val="0"/>
              <w:marTop w:val="0"/>
              <w:marBottom w:val="0"/>
              <w:divBdr>
                <w:top w:val="none" w:sz="0" w:space="0" w:color="auto"/>
                <w:left w:val="none" w:sz="0" w:space="0" w:color="auto"/>
                <w:bottom w:val="none" w:sz="0" w:space="0" w:color="auto"/>
                <w:right w:val="none" w:sz="0" w:space="0" w:color="auto"/>
              </w:divBdr>
              <w:divsChild>
                <w:div w:id="1108231132">
                  <w:marLeft w:val="0"/>
                  <w:marRight w:val="0"/>
                  <w:marTop w:val="0"/>
                  <w:marBottom w:val="0"/>
                  <w:divBdr>
                    <w:top w:val="none" w:sz="0" w:space="0" w:color="auto"/>
                    <w:left w:val="none" w:sz="0" w:space="0" w:color="auto"/>
                    <w:bottom w:val="none" w:sz="0" w:space="0" w:color="auto"/>
                    <w:right w:val="none" w:sz="0" w:space="0" w:color="auto"/>
                  </w:divBdr>
                  <w:divsChild>
                    <w:div w:id="15473824">
                      <w:marLeft w:val="0"/>
                      <w:marRight w:val="0"/>
                      <w:marTop w:val="0"/>
                      <w:marBottom w:val="0"/>
                      <w:divBdr>
                        <w:top w:val="none" w:sz="0" w:space="0" w:color="auto"/>
                        <w:left w:val="none" w:sz="0" w:space="0" w:color="auto"/>
                        <w:bottom w:val="none" w:sz="0" w:space="0" w:color="auto"/>
                        <w:right w:val="none" w:sz="0" w:space="0" w:color="auto"/>
                      </w:divBdr>
                      <w:divsChild>
                        <w:div w:id="645552081">
                          <w:marLeft w:val="0"/>
                          <w:marRight w:val="0"/>
                          <w:marTop w:val="0"/>
                          <w:marBottom w:val="0"/>
                          <w:divBdr>
                            <w:top w:val="none" w:sz="0" w:space="0" w:color="auto"/>
                            <w:left w:val="none" w:sz="0" w:space="0" w:color="auto"/>
                            <w:bottom w:val="none" w:sz="0" w:space="0" w:color="auto"/>
                            <w:right w:val="none" w:sz="0" w:space="0" w:color="auto"/>
                          </w:divBdr>
                          <w:divsChild>
                            <w:div w:id="9413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hyperlink" Target="http://www.comlaw.gov.au" TargetMode="External"/><Relationship Id="rId10" Type="http://schemas.microsoft.com/office/2007/relationships/stylesWithEffects" Target="stylesWithEffect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o:\msoffice2007\template\RegDocs\ASIC%20Reg%20Docs%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419C2-1995-4A7F-89CA-691E36B1082E}">
  <ds:schemaRefs>
    <ds:schemaRef ds:uri="http://schemas.openxmlformats.org/officeDocument/2006/bibliography"/>
  </ds:schemaRefs>
</ds:datastoreItem>
</file>

<file path=customXml/itemProps2.xml><?xml version="1.0" encoding="utf-8"?>
<ds:datastoreItem xmlns:ds="http://schemas.openxmlformats.org/officeDocument/2006/customXml" ds:itemID="{ED35088C-529F-4948-B6AF-AF0E13F5DD95}">
  <ds:schemaRefs>
    <ds:schemaRef ds:uri="http://schemas.openxmlformats.org/officeDocument/2006/bibliography"/>
  </ds:schemaRefs>
</ds:datastoreItem>
</file>

<file path=customXml/itemProps3.xml><?xml version="1.0" encoding="utf-8"?>
<ds:datastoreItem xmlns:ds="http://schemas.openxmlformats.org/officeDocument/2006/customXml" ds:itemID="{077206F3-D1AC-4F17-90DD-037605D3B857}">
  <ds:schemaRefs>
    <ds:schemaRef ds:uri="http://schemas.openxmlformats.org/officeDocument/2006/bibliography"/>
  </ds:schemaRefs>
</ds:datastoreItem>
</file>

<file path=customXml/itemProps4.xml><?xml version="1.0" encoding="utf-8"?>
<ds:datastoreItem xmlns:ds="http://schemas.openxmlformats.org/officeDocument/2006/customXml" ds:itemID="{D7781060-640C-4E9C-A629-6EABE0B7004A}">
  <ds:schemaRefs>
    <ds:schemaRef ds:uri="http://schemas.openxmlformats.org/officeDocument/2006/bibliography"/>
  </ds:schemaRefs>
</ds:datastoreItem>
</file>

<file path=customXml/itemProps5.xml><?xml version="1.0" encoding="utf-8"?>
<ds:datastoreItem xmlns:ds="http://schemas.openxmlformats.org/officeDocument/2006/customXml" ds:itemID="{1981C687-276E-40CF-B56D-16438450D717}">
  <ds:schemaRefs>
    <ds:schemaRef ds:uri="http://schemas.openxmlformats.org/officeDocument/2006/bibliography"/>
  </ds:schemaRefs>
</ds:datastoreItem>
</file>

<file path=customXml/itemProps6.xml><?xml version="1.0" encoding="utf-8"?>
<ds:datastoreItem xmlns:ds="http://schemas.openxmlformats.org/officeDocument/2006/customXml" ds:itemID="{25881137-1250-4F70-9639-A960E8DBA794}">
  <ds:schemaRefs>
    <ds:schemaRef ds:uri="http://schemas.openxmlformats.org/officeDocument/2006/bibliography"/>
  </ds:schemaRefs>
</ds:datastoreItem>
</file>

<file path=customXml/itemProps7.xml><?xml version="1.0" encoding="utf-8"?>
<ds:datastoreItem xmlns:ds="http://schemas.openxmlformats.org/officeDocument/2006/customXml" ds:itemID="{398B291A-9879-4D7C-8769-EB27E6E74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ASIC Reg Docs Template.dotm</Template>
  <TotalTime>0</TotalTime>
  <Pages>21</Pages>
  <Words>6518</Words>
  <Characters>33514</Characters>
  <Application>Microsoft Office Word</Application>
  <DocSecurity>0</DocSecurity>
  <Lines>279</Lines>
  <Paragraphs>79</Paragraphs>
  <ScaleCrop>false</ScaleCrop>
  <HeadingPairs>
    <vt:vector size="2" baseType="variant">
      <vt:variant>
        <vt:lpstr>Title</vt:lpstr>
      </vt:variant>
      <vt:variant>
        <vt:i4>1</vt:i4>
      </vt:variant>
    </vt:vector>
  </HeadingPairs>
  <TitlesOfParts>
    <vt:vector size="1" baseType="lpstr">
      <vt:lpstr/>
    </vt:vector>
  </TitlesOfParts>
  <Company>King &amp; Wood Mallesons</Company>
  <LinksUpToDate>false</LinksUpToDate>
  <CharactersWithSpaces>39953</CharactersWithSpaces>
  <SharedDoc>false</SharedDoc>
  <HyperlinkBase/>
  <HLinks>
    <vt:vector size="66" baseType="variant">
      <vt:variant>
        <vt:i4>3145825</vt:i4>
      </vt:variant>
      <vt:variant>
        <vt:i4>81</vt:i4>
      </vt:variant>
      <vt:variant>
        <vt:i4>0</vt:i4>
      </vt:variant>
      <vt:variant>
        <vt:i4>5</vt:i4>
      </vt:variant>
      <vt:variant>
        <vt:lpwstr>http://www.asic.gov.au/markets</vt:lpwstr>
      </vt:variant>
      <vt:variant>
        <vt:lpwstr/>
      </vt:variant>
      <vt:variant>
        <vt:i4>1572922</vt:i4>
      </vt:variant>
      <vt:variant>
        <vt:i4>74</vt:i4>
      </vt:variant>
      <vt:variant>
        <vt:i4>0</vt:i4>
      </vt:variant>
      <vt:variant>
        <vt:i4>5</vt:i4>
      </vt:variant>
      <vt:variant>
        <vt:lpwstr/>
      </vt:variant>
      <vt:variant>
        <vt:lpwstr>_Toc329945414</vt:lpwstr>
      </vt:variant>
      <vt:variant>
        <vt:i4>1572922</vt:i4>
      </vt:variant>
      <vt:variant>
        <vt:i4>68</vt:i4>
      </vt:variant>
      <vt:variant>
        <vt:i4>0</vt:i4>
      </vt:variant>
      <vt:variant>
        <vt:i4>5</vt:i4>
      </vt:variant>
      <vt:variant>
        <vt:lpwstr/>
      </vt:variant>
      <vt:variant>
        <vt:lpwstr>_Toc329945413</vt:lpwstr>
      </vt:variant>
      <vt:variant>
        <vt:i4>1572922</vt:i4>
      </vt:variant>
      <vt:variant>
        <vt:i4>62</vt:i4>
      </vt:variant>
      <vt:variant>
        <vt:i4>0</vt:i4>
      </vt:variant>
      <vt:variant>
        <vt:i4>5</vt:i4>
      </vt:variant>
      <vt:variant>
        <vt:lpwstr/>
      </vt:variant>
      <vt:variant>
        <vt:lpwstr>_Toc329945412</vt:lpwstr>
      </vt:variant>
      <vt:variant>
        <vt:i4>1572922</vt:i4>
      </vt:variant>
      <vt:variant>
        <vt:i4>56</vt:i4>
      </vt:variant>
      <vt:variant>
        <vt:i4>0</vt:i4>
      </vt:variant>
      <vt:variant>
        <vt:i4>5</vt:i4>
      </vt:variant>
      <vt:variant>
        <vt:lpwstr/>
      </vt:variant>
      <vt:variant>
        <vt:lpwstr>_Toc329945411</vt:lpwstr>
      </vt:variant>
      <vt:variant>
        <vt:i4>1572922</vt:i4>
      </vt:variant>
      <vt:variant>
        <vt:i4>50</vt:i4>
      </vt:variant>
      <vt:variant>
        <vt:i4>0</vt:i4>
      </vt:variant>
      <vt:variant>
        <vt:i4>5</vt:i4>
      </vt:variant>
      <vt:variant>
        <vt:lpwstr/>
      </vt:variant>
      <vt:variant>
        <vt:lpwstr>_Toc329945410</vt:lpwstr>
      </vt:variant>
      <vt:variant>
        <vt:i4>1638458</vt:i4>
      </vt:variant>
      <vt:variant>
        <vt:i4>44</vt:i4>
      </vt:variant>
      <vt:variant>
        <vt:i4>0</vt:i4>
      </vt:variant>
      <vt:variant>
        <vt:i4>5</vt:i4>
      </vt:variant>
      <vt:variant>
        <vt:lpwstr/>
      </vt:variant>
      <vt:variant>
        <vt:lpwstr>_Toc329945409</vt:lpwstr>
      </vt:variant>
      <vt:variant>
        <vt:i4>1638458</vt:i4>
      </vt:variant>
      <vt:variant>
        <vt:i4>38</vt:i4>
      </vt:variant>
      <vt:variant>
        <vt:i4>0</vt:i4>
      </vt:variant>
      <vt:variant>
        <vt:i4>5</vt:i4>
      </vt:variant>
      <vt:variant>
        <vt:lpwstr/>
      </vt:variant>
      <vt:variant>
        <vt:lpwstr>_Toc329945408</vt:lpwstr>
      </vt:variant>
      <vt:variant>
        <vt:i4>1638458</vt:i4>
      </vt:variant>
      <vt:variant>
        <vt:i4>32</vt:i4>
      </vt:variant>
      <vt:variant>
        <vt:i4>0</vt:i4>
      </vt:variant>
      <vt:variant>
        <vt:i4>5</vt:i4>
      </vt:variant>
      <vt:variant>
        <vt:lpwstr/>
      </vt:variant>
      <vt:variant>
        <vt:lpwstr>_Toc329945407</vt:lpwstr>
      </vt:variant>
      <vt:variant>
        <vt:i4>1638458</vt:i4>
      </vt:variant>
      <vt:variant>
        <vt:i4>26</vt:i4>
      </vt:variant>
      <vt:variant>
        <vt:i4>0</vt:i4>
      </vt:variant>
      <vt:variant>
        <vt:i4>5</vt:i4>
      </vt:variant>
      <vt:variant>
        <vt:lpwstr/>
      </vt:variant>
      <vt:variant>
        <vt:lpwstr>_Toc329945406</vt:lpwstr>
      </vt:variant>
      <vt:variant>
        <vt:i4>5898271</vt:i4>
      </vt:variant>
      <vt:variant>
        <vt:i4>21</vt:i4>
      </vt:variant>
      <vt:variant>
        <vt:i4>0</vt:i4>
      </vt:variant>
      <vt:variant>
        <vt:i4>5</vt:i4>
      </vt:variant>
      <vt:variant>
        <vt:lpwstr>http://www.asic.gov.au/cp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ASIC Reg Docs Template Ver 1.10</dc:subject>
  <dc:creator>Cassie Murphy</dc:creator>
  <cp:lastModifiedBy>Hui-Xian.Chong</cp:lastModifiedBy>
  <cp:revision>2</cp:revision>
  <cp:lastPrinted>2015-05-24T23:27:00Z</cp:lastPrinted>
  <dcterms:created xsi:type="dcterms:W3CDTF">2015-12-02T02:58:00Z</dcterms:created>
  <dcterms:modified xsi:type="dcterms:W3CDTF">2015-12-02T02:58:00Z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REPORT</vt:lpwstr>
  </property>
  <property fmtid="{D5CDD505-2E9C-101B-9397-08002B2CF9AE}" pid="3" name="Document title">
    <vt:lpwstr>ASIC Derivative Transaction Rules (Clearing) 2015</vt:lpwstr>
  </property>
  <property fmtid="{D5CDD505-2E9C-101B-9397-08002B2CF9AE}" pid="4" name="Document num">
    <vt:lpwstr>000</vt:lpwstr>
  </property>
  <property fmtid="{D5CDD505-2E9C-101B-9397-08002B2CF9AE}" pid="5" name="Issue date">
    <vt:lpwstr>May 2015</vt:lpwstr>
  </property>
  <property fmtid="{D5CDD505-2E9C-101B-9397-08002B2CF9AE}" pid="6" name="Source file type">
    <vt:lpwstr>RR</vt:lpwstr>
  </property>
  <property fmtid="{D5CDD505-2E9C-101B-9397-08002B2CF9AE}" pid="7" name="Objective-Id">
    <vt:lpwstr>A4650293</vt:lpwstr>
  </property>
  <property fmtid="{D5CDD505-2E9C-101B-9397-08002B2CF9AE}" pid="8" name="Objective-Title">
    <vt:lpwstr>Draft ASIC Derivative Transaction Rules - Clearing - 20151110 - Edited (Clean)</vt:lpwstr>
  </property>
  <property fmtid="{D5CDD505-2E9C-101B-9397-08002B2CF9AE}" pid="9" name="Objective-Comment">
    <vt:lpwstr>
    </vt:lpwstr>
  </property>
  <property fmtid="{D5CDD505-2E9C-101B-9397-08002B2CF9AE}" pid="10" name="Objective-CreationStamp">
    <vt:filetime>2015-11-10T05:24:37Z</vt:filetime>
  </property>
  <property fmtid="{D5CDD505-2E9C-101B-9397-08002B2CF9AE}" pid="11" name="Objective-IsApproved">
    <vt:bool>false</vt:bool>
  </property>
  <property fmtid="{D5CDD505-2E9C-101B-9397-08002B2CF9AE}" pid="12" name="Objective-IsPublished">
    <vt:bool>false</vt:bool>
  </property>
  <property fmtid="{D5CDD505-2E9C-101B-9397-08002B2CF9AE}" pid="13" name="Objective-DatePublished">
    <vt:lpwstr>
    </vt:lpwstr>
  </property>
  <property fmtid="{D5CDD505-2E9C-101B-9397-08002B2CF9AE}" pid="14" name="Objective-ModificationStamp">
    <vt:filetime>2015-11-10T05:24:49Z</vt:filetime>
  </property>
  <property fmtid="{D5CDD505-2E9C-101B-9397-08002B2CF9AE}" pid="15" name="Objective-Owner">
    <vt:lpwstr>Caroline Konkol</vt:lpwstr>
  </property>
  <property fmtid="{D5CDD505-2E9C-101B-9397-08002B2CF9AE}" pid="16" name="Objective-Path">
    <vt:lpwstr>BCS:ASIC:CORPORATE COMMUNICATION &amp; RELATIONS:Publications:Editing:Market Integrity Rules:Derivative Transaction Clearing:1. Main Rulebook:</vt:lpwstr>
  </property>
  <property fmtid="{D5CDD505-2E9C-101B-9397-08002B2CF9AE}" pid="17" name="Objective-Parent">
    <vt:lpwstr>1. Main Rulebook</vt:lpwstr>
  </property>
  <property fmtid="{D5CDD505-2E9C-101B-9397-08002B2CF9AE}" pid="18" name="Objective-State">
    <vt:lpwstr>Being Drafted</vt:lpwstr>
  </property>
  <property fmtid="{D5CDD505-2E9C-101B-9397-08002B2CF9AE}" pid="19" name="Objective-Version">
    <vt:lpwstr>0.2</vt:lpwstr>
  </property>
  <property fmtid="{D5CDD505-2E9C-101B-9397-08002B2CF9AE}" pid="20" name="Objective-VersionNumber">
    <vt:i4>2</vt:i4>
  </property>
  <property fmtid="{D5CDD505-2E9C-101B-9397-08002B2CF9AE}" pid="21" name="Objective-VersionComment">
    <vt:lpwstr>Version 2</vt:lpwstr>
  </property>
  <property fmtid="{D5CDD505-2E9C-101B-9397-08002B2CF9AE}" pid="22" name="Objective-FileNumber">
    <vt:lpwstr>
    </vt:lpwstr>
  </property>
  <property fmtid="{D5CDD505-2E9C-101B-9397-08002B2CF9AE}" pid="23" name="Objective-Classification">
    <vt:lpwstr>IN-CONFIDENCE</vt:lpwstr>
  </property>
  <property fmtid="{D5CDD505-2E9C-101B-9397-08002B2CF9AE}" pid="24" name="Objective-Caveats">
    <vt:lpwstr>
    </vt:lpwstr>
  </property>
  <property fmtid="{D5CDD505-2E9C-101B-9397-08002B2CF9AE}" pid="25" name="Objective-Category [system]">
    <vt:lpwstr>
    </vt:lpwstr>
  </property>
</Properties>
</file>