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86" w:rsidRDefault="00BE5786"/>
    <w:p w:rsidR="00731A33" w:rsidRDefault="00731A33" w:rsidP="00731A33">
      <w:pPr>
        <w:pStyle w:val="TxtParagraphChar"/>
        <w:spacing w:before="0" w:after="0" w:line="240" w:lineRule="auto"/>
        <w:jc w:val="center"/>
        <w:rPr>
          <w:b/>
          <w:u w:val="single"/>
        </w:rPr>
      </w:pPr>
      <w:r>
        <w:rPr>
          <w:b/>
          <w:u w:val="single"/>
        </w:rPr>
        <w:t>EXPLANATORY STATEMENT</w:t>
      </w:r>
    </w:p>
    <w:p w:rsidR="00731A33" w:rsidRPr="00A1550C" w:rsidRDefault="00731A33" w:rsidP="00731A33">
      <w:pPr>
        <w:pStyle w:val="TxtParagraphChar"/>
        <w:spacing w:before="0" w:after="0" w:line="240" w:lineRule="auto"/>
        <w:jc w:val="center"/>
        <w:rPr>
          <w:b/>
          <w:u w:val="single"/>
        </w:rPr>
      </w:pPr>
    </w:p>
    <w:p w:rsidR="00731A33" w:rsidRPr="00591A88" w:rsidRDefault="00731A33" w:rsidP="00731A33">
      <w:pPr>
        <w:pStyle w:val="TxtParagraphChar"/>
        <w:spacing w:before="0" w:after="0" w:line="240" w:lineRule="auto"/>
        <w:jc w:val="center"/>
        <w:rPr>
          <w:b/>
          <w:u w:val="single"/>
        </w:rPr>
      </w:pPr>
      <w:r w:rsidRPr="00591A88">
        <w:rPr>
          <w:b/>
          <w:u w:val="single"/>
        </w:rPr>
        <w:t xml:space="preserve">SELECT LEGISLATIVE INSTRUMENT </w:t>
      </w:r>
      <w:r w:rsidR="00591A88" w:rsidRPr="00591A88">
        <w:rPr>
          <w:b/>
          <w:u w:val="single"/>
        </w:rPr>
        <w:t xml:space="preserve">No. 239, </w:t>
      </w:r>
      <w:r w:rsidR="003E48EE" w:rsidRPr="00591A88">
        <w:rPr>
          <w:b/>
          <w:u w:val="single"/>
        </w:rPr>
        <w:t>201</w:t>
      </w:r>
      <w:r w:rsidR="003237FE" w:rsidRPr="00591A88">
        <w:rPr>
          <w:b/>
          <w:u w:val="single"/>
        </w:rPr>
        <w:t>5</w:t>
      </w:r>
      <w:r w:rsidRPr="00591A88">
        <w:rPr>
          <w:b/>
          <w:u w:val="single"/>
        </w:rPr>
        <w:t xml:space="preserve"> </w:t>
      </w:r>
    </w:p>
    <w:p w:rsidR="00731A33" w:rsidRPr="00A1550C" w:rsidRDefault="00731A33" w:rsidP="00731A33">
      <w:pPr>
        <w:pStyle w:val="TxtParagraphChar"/>
        <w:spacing w:before="0" w:after="0" w:line="240" w:lineRule="auto"/>
        <w:jc w:val="center"/>
        <w:rPr>
          <w:u w:val="single"/>
        </w:rPr>
      </w:pPr>
    </w:p>
    <w:p w:rsidR="00731A33" w:rsidRPr="00A1550C" w:rsidRDefault="00731A33" w:rsidP="00731A33">
      <w:pPr>
        <w:pStyle w:val="TxtParagraphChar"/>
        <w:spacing w:before="0" w:after="0" w:line="240" w:lineRule="auto"/>
        <w:jc w:val="center"/>
      </w:pPr>
      <w:r w:rsidRPr="00A1550C">
        <w:t xml:space="preserve">Issued by the Authority of the Minister for </w:t>
      </w:r>
      <w:r w:rsidR="00E423CC">
        <w:t>Immigration and Border Protection</w:t>
      </w:r>
    </w:p>
    <w:p w:rsidR="00731A33" w:rsidRPr="00A1550C" w:rsidRDefault="00731A33" w:rsidP="00731A33">
      <w:pPr>
        <w:pStyle w:val="TxtParagraphChar"/>
        <w:spacing w:before="0" w:after="0" w:line="240" w:lineRule="auto"/>
        <w:jc w:val="center"/>
      </w:pPr>
    </w:p>
    <w:p w:rsidR="00731A33" w:rsidRPr="00A1550C" w:rsidRDefault="00731A33" w:rsidP="00731A33">
      <w:pPr>
        <w:pStyle w:val="TxtParagraphChar"/>
        <w:spacing w:before="0" w:after="0" w:line="240" w:lineRule="auto"/>
        <w:jc w:val="center"/>
        <w:rPr>
          <w:i/>
        </w:rPr>
      </w:pPr>
      <w:r w:rsidRPr="00A1550C">
        <w:rPr>
          <w:i/>
        </w:rPr>
        <w:t>Customs Act 1901</w:t>
      </w:r>
    </w:p>
    <w:p w:rsidR="00731A33" w:rsidRPr="00A1550C" w:rsidRDefault="00731A33" w:rsidP="00731A33">
      <w:pPr>
        <w:pStyle w:val="TxtParagraphChar"/>
        <w:spacing w:before="0" w:after="0" w:line="240" w:lineRule="auto"/>
        <w:jc w:val="center"/>
        <w:rPr>
          <w:i/>
        </w:rPr>
      </w:pPr>
    </w:p>
    <w:p w:rsidR="003237FE" w:rsidRDefault="00B266A5" w:rsidP="00B266A5">
      <w:pPr>
        <w:pStyle w:val="TxtParagraphChar"/>
        <w:spacing w:before="0" w:after="0"/>
        <w:jc w:val="center"/>
        <w:rPr>
          <w:i/>
          <w:szCs w:val="24"/>
        </w:rPr>
      </w:pPr>
      <w:bookmarkStart w:id="0" w:name="_GoBack"/>
      <w:r w:rsidRPr="00CA591B">
        <w:rPr>
          <w:i/>
          <w:szCs w:val="24"/>
        </w:rPr>
        <w:t>Customs Amendment</w:t>
      </w:r>
      <w:r w:rsidRPr="00DC5145">
        <w:rPr>
          <w:i/>
          <w:szCs w:val="24"/>
        </w:rPr>
        <w:t xml:space="preserve"> (</w:t>
      </w:r>
      <w:r>
        <w:rPr>
          <w:i/>
          <w:szCs w:val="24"/>
        </w:rPr>
        <w:t>Fees and Charges</w:t>
      </w:r>
      <w:r w:rsidRPr="00DC5145">
        <w:rPr>
          <w:i/>
          <w:szCs w:val="24"/>
        </w:rPr>
        <w:t>) Regulation 20</w:t>
      </w:r>
      <w:r>
        <w:rPr>
          <w:i/>
          <w:szCs w:val="24"/>
        </w:rPr>
        <w:t>15</w:t>
      </w:r>
      <w:bookmarkEnd w:id="0"/>
    </w:p>
    <w:p w:rsidR="00B266A5" w:rsidRDefault="00B266A5" w:rsidP="00731A33">
      <w:pPr>
        <w:pStyle w:val="TxtParagraphChar"/>
        <w:spacing w:before="0" w:after="0"/>
        <w:jc w:val="left"/>
      </w:pPr>
    </w:p>
    <w:p w:rsidR="00B266A5" w:rsidRDefault="00B266A5" w:rsidP="00B266A5">
      <w:r>
        <w:t xml:space="preserve">The </w:t>
      </w:r>
      <w:r>
        <w:rPr>
          <w:i/>
        </w:rPr>
        <w:t>Customs Act 1901</w:t>
      </w:r>
      <w:r>
        <w:t xml:space="preserve"> (the Act) concerns customs related functions and is the legislative authority that sets out the customs requirements for the importation, and exportation, of goods to and from Australia.</w:t>
      </w:r>
    </w:p>
    <w:p w:rsidR="00B266A5" w:rsidRDefault="00B266A5" w:rsidP="00B266A5"/>
    <w:p w:rsidR="00B266A5" w:rsidRPr="007D3A3B" w:rsidRDefault="00B266A5" w:rsidP="00B266A5">
      <w:r w:rsidRPr="007D3A3B">
        <w:t>Subsection 270(1) of the Customs Act provides, in part, that the Governor</w:t>
      </w:r>
      <w:r w:rsidRPr="007D3A3B">
        <w:noBreakHyphen/>
        <w:t>General may make regulat</w:t>
      </w:r>
      <w:r>
        <w:t>ions, not inconsistent with that</w:t>
      </w:r>
      <w:r w:rsidRPr="007D3A3B">
        <w:t xml:space="preserve"> Act, prescribing all matters which by this Act are required or permitted to be prescribed, or which are necessary or convenient to be prescribed</w:t>
      </w:r>
      <w:r>
        <w:t xml:space="preserve"> for giving effect to that Act.</w:t>
      </w:r>
    </w:p>
    <w:p w:rsidR="00B266A5" w:rsidRPr="007D3A3B" w:rsidRDefault="00B266A5" w:rsidP="00B266A5"/>
    <w:p w:rsidR="00B266A5" w:rsidRDefault="00B266A5" w:rsidP="00B266A5">
      <w:r w:rsidRPr="007D3A3B">
        <w:t xml:space="preserve">The </w:t>
      </w:r>
      <w:r w:rsidRPr="00FC47AE">
        <w:t xml:space="preserve">purpose of the </w:t>
      </w:r>
      <w:r w:rsidRPr="00FC47AE">
        <w:rPr>
          <w:i/>
        </w:rPr>
        <w:t>Customs Amendment (Fees and Charges) Regulation 2015</w:t>
      </w:r>
      <w:r w:rsidRPr="00FC47AE">
        <w:t xml:space="preserve"> (the </w:t>
      </w:r>
      <w:r>
        <w:t xml:space="preserve">amending </w:t>
      </w:r>
      <w:r w:rsidRPr="00FC47AE">
        <w:t xml:space="preserve">Regulation) is to amend the </w:t>
      </w:r>
      <w:r w:rsidRPr="00FC47AE">
        <w:rPr>
          <w:i/>
        </w:rPr>
        <w:t>Customs Regulation 2015</w:t>
      </w:r>
      <w:r w:rsidRPr="00FC47AE">
        <w:t xml:space="preserve"> (the Customs Regulation) </w:t>
      </w:r>
      <w:r>
        <w:t xml:space="preserve">as a consequence of amendments to the Customs Act </w:t>
      </w:r>
      <w:r w:rsidRPr="00E75EAE">
        <w:t>by</w:t>
      </w:r>
      <w:r>
        <w:t xml:space="preserve"> the </w:t>
      </w:r>
      <w:r w:rsidRPr="00ED2FB5">
        <w:rPr>
          <w:i/>
        </w:rPr>
        <w:t>Customs Amendment (Fees and Charges) Act 2015</w:t>
      </w:r>
      <w:r w:rsidRPr="00D849E2">
        <w:t>,</w:t>
      </w:r>
      <w:r>
        <w:t xml:space="preserve"> and amendments to the </w:t>
      </w:r>
      <w:r>
        <w:rPr>
          <w:i/>
        </w:rPr>
        <w:t>Customs Depot Licensing Charges Act </w:t>
      </w:r>
      <w:r w:rsidRPr="00E75EAE">
        <w:rPr>
          <w:i/>
        </w:rPr>
        <w:t>1997</w:t>
      </w:r>
      <w:r>
        <w:rPr>
          <w:i/>
        </w:rPr>
        <w:t xml:space="preserve"> </w:t>
      </w:r>
      <w:r>
        <w:t xml:space="preserve">by the </w:t>
      </w:r>
      <w:r w:rsidRPr="00E75EAE">
        <w:rPr>
          <w:i/>
        </w:rPr>
        <w:t>Customs</w:t>
      </w:r>
      <w:r w:rsidRPr="00861966">
        <w:rPr>
          <w:i/>
        </w:rPr>
        <w:t xml:space="preserve"> Depot Licensing Charges Amendment Act 2015</w:t>
      </w:r>
      <w:r>
        <w:t xml:space="preserve"> the (the Amendment Acts).</w:t>
      </w:r>
    </w:p>
    <w:p w:rsidR="00B266A5" w:rsidRDefault="00B266A5" w:rsidP="00B266A5"/>
    <w:p w:rsidR="00B266A5" w:rsidRDefault="00B266A5" w:rsidP="00B266A5">
      <w:r w:rsidRPr="00C15D65">
        <w:t>The Amendment Act</w:t>
      </w:r>
      <w:r>
        <w:t xml:space="preserve">s give effect to recommendations made by the </w:t>
      </w:r>
      <w:r w:rsidRPr="0092122F">
        <w:rPr>
          <w:i/>
        </w:rPr>
        <w:t>Joint Review of Border Fees, Charges and Taxes</w:t>
      </w:r>
      <w:r>
        <w:t xml:space="preserve">.  </w:t>
      </w:r>
      <w:r w:rsidRPr="00B01A44">
        <w:t xml:space="preserve">The Joint Review </w:t>
      </w:r>
      <w:r>
        <w:t>identified</w:t>
      </w:r>
      <w:r w:rsidRPr="00B01A44">
        <w:t xml:space="preserve"> and recommend</w:t>
      </w:r>
      <w:r>
        <w:t>ed</w:t>
      </w:r>
      <w:r w:rsidRPr="00B01A44">
        <w:t xml:space="preserve"> to Government how charging arrangements could be improved to better support future border operations and industry outcomes.</w:t>
      </w:r>
      <w:r>
        <w:t xml:space="preserve"> </w:t>
      </w:r>
      <w:r w:rsidRPr="00B01A44">
        <w:t xml:space="preserve"> </w:t>
      </w:r>
      <w:r>
        <w:t>In particular, t</w:t>
      </w:r>
      <w:r w:rsidRPr="00C15D65">
        <w:t>he Amendment Act</w:t>
      </w:r>
      <w:r>
        <w:t>s</w:t>
      </w:r>
      <w:r w:rsidRPr="00C15D65">
        <w:t xml:space="preserve"> consolidate </w:t>
      </w:r>
      <w:r>
        <w:t xml:space="preserve">the imposition of </w:t>
      </w:r>
      <w:r w:rsidRPr="00C15D65">
        <w:t xml:space="preserve">charges payable in relation to warehouse licences and customs broker licences into the </w:t>
      </w:r>
      <w:r w:rsidRPr="00C15D65">
        <w:rPr>
          <w:i/>
        </w:rPr>
        <w:t>Customs Depot Licensing Charge Act 1997</w:t>
      </w:r>
      <w:r>
        <w:t>.</w:t>
      </w:r>
    </w:p>
    <w:p w:rsidR="00B266A5" w:rsidRDefault="00B266A5" w:rsidP="00B266A5"/>
    <w:p w:rsidR="00B266A5" w:rsidRDefault="00B266A5" w:rsidP="00B266A5">
      <w:r>
        <w:t xml:space="preserve">However, the provisions relating to how and when the licence charges are to be paid, or refunded, will remain in the Customs Act. </w:t>
      </w:r>
    </w:p>
    <w:p w:rsidR="00B266A5" w:rsidRDefault="00B266A5" w:rsidP="00B266A5"/>
    <w:p w:rsidR="00B266A5" w:rsidRDefault="00B266A5" w:rsidP="00B266A5">
      <w:r>
        <w:t xml:space="preserve">New </w:t>
      </w:r>
      <w:r w:rsidRPr="00D849E2">
        <w:t>section 85A</w:t>
      </w:r>
      <w:r>
        <w:t xml:space="preserve"> of the Customs Act</w:t>
      </w:r>
      <w:r w:rsidRPr="00D849E2">
        <w:t xml:space="preserve"> provides that </w:t>
      </w:r>
      <w:r>
        <w:t xml:space="preserve">the </w:t>
      </w:r>
      <w:r w:rsidRPr="00D849E2">
        <w:t>warehouse licence charge in respect of the grant or renewal of a warehouse licence must be paid in accordance with the regulations.</w:t>
      </w:r>
      <w:r>
        <w:t xml:space="preserve">  The amending Regulation inserts a new section 35 of the Customs Regulation which sets out these circumstances for the purposes of section 85A in respect of the grant of a warehouse licence.  The amending Regulation inserts a new section 36 of the Customs Regulation which sets out these circumstances for the purposes of section 85A in respect of the renewal of a warehouse licence. </w:t>
      </w:r>
    </w:p>
    <w:p w:rsidR="00B266A5" w:rsidRDefault="00B266A5" w:rsidP="00B266A5"/>
    <w:p w:rsidR="00B266A5" w:rsidRDefault="00B266A5" w:rsidP="00B266A5">
      <w:r>
        <w:t>New s</w:t>
      </w:r>
      <w:r w:rsidRPr="00BC17AC">
        <w:t>ection 87A</w:t>
      </w:r>
      <w:r>
        <w:t xml:space="preserve"> of the Customs Act</w:t>
      </w:r>
      <w:r w:rsidRPr="00D849E2">
        <w:t xml:space="preserve"> authorises the refund of the warehouse licence charge where a warehouse licence is cancelled during its term, and provides for the amount</w:t>
      </w:r>
      <w:r>
        <w:t xml:space="preserve"> of the refund to be</w:t>
      </w:r>
      <w:r w:rsidRPr="00D849E2">
        <w:t xml:space="preserve"> worked out in accordance with the</w:t>
      </w:r>
      <w:r>
        <w:t xml:space="preserve"> regulations.  The </w:t>
      </w:r>
      <w:r>
        <w:lastRenderedPageBreak/>
        <w:t>amending Regulation inserts a new section 37 of the Customs Regulation which sets out how the amount of the refund is calculated for the purposes of section 87A.</w:t>
      </w:r>
    </w:p>
    <w:p w:rsidR="00B266A5" w:rsidRDefault="00B266A5" w:rsidP="00B266A5"/>
    <w:p w:rsidR="00B266A5" w:rsidRDefault="00B266A5" w:rsidP="00B266A5">
      <w:r>
        <w:t xml:space="preserve">The amending Regulation also repeals sections 115 and 116 of the Customs Regulation.  These sections prescribed the amounts of fees associated with the granting and renewal of a customs broker licence.  As these fees are to be imposed as charges under the </w:t>
      </w:r>
      <w:r w:rsidRPr="00C15D65">
        <w:rPr>
          <w:i/>
        </w:rPr>
        <w:t>Customs Depot Licensing Charge Act 1997</w:t>
      </w:r>
      <w:r>
        <w:t>, these sections are now redundant.</w:t>
      </w:r>
    </w:p>
    <w:p w:rsidR="00B266A5" w:rsidRDefault="00B266A5" w:rsidP="00B266A5"/>
    <w:p w:rsidR="00B266A5" w:rsidRDefault="00B266A5" w:rsidP="00B266A5">
      <w:r w:rsidRPr="00FF7BBB">
        <w:t>There was significant industry engagement and consultation during the Fees Review throughout 2014-15.  It included:</w:t>
      </w:r>
    </w:p>
    <w:p w:rsidR="00B266A5" w:rsidRPr="00FF7BBB" w:rsidRDefault="00B266A5" w:rsidP="00B266A5">
      <w:pPr>
        <w:pStyle w:val="ListParagraph"/>
        <w:numPr>
          <w:ilvl w:val="0"/>
          <w:numId w:val="6"/>
        </w:numPr>
        <w:rPr>
          <w:szCs w:val="24"/>
        </w:rPr>
      </w:pPr>
      <w:r w:rsidRPr="00FF7BBB">
        <w:rPr>
          <w:szCs w:val="24"/>
        </w:rPr>
        <w:t>The publication of an Industry Consultation Paper.</w:t>
      </w:r>
    </w:p>
    <w:p w:rsidR="00B266A5" w:rsidRPr="00FF7BBB" w:rsidRDefault="00B266A5" w:rsidP="00B266A5">
      <w:pPr>
        <w:pStyle w:val="ListParagraph"/>
        <w:numPr>
          <w:ilvl w:val="0"/>
          <w:numId w:val="6"/>
        </w:numPr>
        <w:rPr>
          <w:szCs w:val="24"/>
        </w:rPr>
      </w:pPr>
      <w:r w:rsidRPr="00FF7BBB">
        <w:rPr>
          <w:szCs w:val="24"/>
        </w:rPr>
        <w:t>The publication of Position Papers which addressed key issues raised in submissions.</w:t>
      </w:r>
    </w:p>
    <w:p w:rsidR="00B266A5" w:rsidRPr="00FF7BBB" w:rsidRDefault="00B266A5" w:rsidP="00B266A5">
      <w:pPr>
        <w:pStyle w:val="ListParagraph"/>
        <w:numPr>
          <w:ilvl w:val="0"/>
          <w:numId w:val="6"/>
        </w:numPr>
        <w:rPr>
          <w:szCs w:val="24"/>
        </w:rPr>
      </w:pPr>
      <w:r w:rsidRPr="00FF7BBB">
        <w:rPr>
          <w:szCs w:val="24"/>
        </w:rPr>
        <w:t>Workshop sessions with industry to discuss the Position Papers.</w:t>
      </w:r>
    </w:p>
    <w:p w:rsidR="00B266A5" w:rsidRPr="00FF7BBB" w:rsidRDefault="00B266A5" w:rsidP="00B266A5">
      <w:pPr>
        <w:pStyle w:val="ListParagraph"/>
        <w:numPr>
          <w:ilvl w:val="0"/>
          <w:numId w:val="6"/>
        </w:numPr>
        <w:rPr>
          <w:szCs w:val="24"/>
        </w:rPr>
      </w:pPr>
      <w:r w:rsidRPr="00FF7BBB">
        <w:rPr>
          <w:szCs w:val="24"/>
        </w:rPr>
        <w:t xml:space="preserve">Publication of the outcomes from the 2015-16 Budget in the form of external fact sheets, advising the public of the scope of the changes agreed to by Government. </w:t>
      </w:r>
    </w:p>
    <w:p w:rsidR="00B266A5" w:rsidRPr="00FF7BBB" w:rsidRDefault="00B266A5" w:rsidP="00B266A5">
      <w:pPr>
        <w:pStyle w:val="ListParagraph"/>
        <w:numPr>
          <w:ilvl w:val="0"/>
          <w:numId w:val="6"/>
        </w:numPr>
        <w:rPr>
          <w:szCs w:val="24"/>
        </w:rPr>
      </w:pPr>
      <w:r w:rsidRPr="00FF7BBB">
        <w:rPr>
          <w:szCs w:val="24"/>
        </w:rPr>
        <w:t>Once the comprehensive review of the licensing cost base was completed, the outcomes were shared with industry through information sessions, and industry was invited to provide feedback.</w:t>
      </w:r>
    </w:p>
    <w:p w:rsidR="00B266A5" w:rsidRPr="00FF7BBB" w:rsidRDefault="00B266A5" w:rsidP="00B266A5"/>
    <w:p w:rsidR="00B266A5" w:rsidRPr="00E75EAE" w:rsidRDefault="00B266A5" w:rsidP="00B266A5">
      <w:r w:rsidRPr="00FF7BBB">
        <w:t>An interdepartmental committee was also established to undertake consultation across the Commonwealth and included all central agencies and impacted agencies.</w:t>
      </w:r>
    </w:p>
    <w:p w:rsidR="00B266A5" w:rsidRDefault="00B266A5" w:rsidP="00B266A5"/>
    <w:p w:rsidR="00B266A5" w:rsidRDefault="00B266A5" w:rsidP="00B266A5">
      <w:r w:rsidRPr="007D3A3B">
        <w:t xml:space="preserve">The </w:t>
      </w:r>
      <w:r>
        <w:t xml:space="preserve">Amendment Regulation </w:t>
      </w:r>
      <w:r w:rsidRPr="007D3A3B">
        <w:t>commence</w:t>
      </w:r>
      <w:r>
        <w:t>s</w:t>
      </w:r>
      <w:r w:rsidRPr="007D3A3B">
        <w:t xml:space="preserve"> </w:t>
      </w:r>
      <w:r>
        <w:t xml:space="preserve">at the same time as Schedule 1 to the </w:t>
      </w:r>
      <w:r w:rsidRPr="00ED2FB5">
        <w:rPr>
          <w:i/>
        </w:rPr>
        <w:t>Customs Amendment (Fees and Charges) Act 2015</w:t>
      </w:r>
      <w:r>
        <w:t xml:space="preserve"> (the Fees and Charges Amendment Act)</w:t>
      </w:r>
      <w:r w:rsidRPr="007D3A3B">
        <w:t>.</w:t>
      </w:r>
      <w:r>
        <w:t xml:space="preserve">  The Fees and Charges Amendment Act is expressed to commence on 1 January 2016.</w:t>
      </w:r>
    </w:p>
    <w:p w:rsidR="00B266A5" w:rsidRDefault="00B266A5" w:rsidP="00B266A5"/>
    <w:p w:rsidR="00894509" w:rsidRDefault="00894509" w:rsidP="00894509">
      <w:r>
        <w:t>OPC61609 - A</w:t>
      </w:r>
    </w:p>
    <w:p w:rsidR="00B266A5" w:rsidRDefault="00B266A5" w:rsidP="00B266A5"/>
    <w:p w:rsidR="00B266A5" w:rsidRDefault="00B266A5" w:rsidP="00B266A5"/>
    <w:p w:rsidR="00731A33" w:rsidRDefault="00731A33" w:rsidP="003E46E1">
      <w:pPr>
        <w:pStyle w:val="TxtParagraph"/>
        <w:spacing w:before="0" w:after="0"/>
        <w:jc w:val="left"/>
      </w:pPr>
      <w:r>
        <w:br w:type="page"/>
      </w:r>
    </w:p>
    <w:p w:rsidR="00731A33" w:rsidRDefault="00731A33" w:rsidP="00731A33">
      <w:pPr>
        <w:jc w:val="center"/>
        <w:rPr>
          <w:b/>
        </w:rPr>
      </w:pPr>
      <w:r w:rsidRPr="00D91D69">
        <w:rPr>
          <w:b/>
        </w:rPr>
        <w:lastRenderedPageBreak/>
        <w:t>Statement of Compatibility with Human Rights</w:t>
      </w:r>
    </w:p>
    <w:p w:rsidR="00731A33" w:rsidRPr="00D91D69" w:rsidRDefault="00731A33" w:rsidP="00731A33">
      <w:pPr>
        <w:ind w:right="534"/>
        <w:jc w:val="center"/>
        <w:rPr>
          <w:b/>
        </w:rPr>
      </w:pPr>
    </w:p>
    <w:p w:rsidR="00731A33" w:rsidRDefault="00731A33" w:rsidP="00731A33">
      <w:pPr>
        <w:ind w:right="534"/>
        <w:jc w:val="center"/>
      </w:pPr>
      <w:r w:rsidRPr="00D91D69">
        <w:t xml:space="preserve">(Prepared in accordance with Part 3 of the </w:t>
      </w:r>
      <w:r w:rsidRPr="003C66C8">
        <w:rPr>
          <w:i/>
        </w:rPr>
        <w:t>Human Rights (Parliamentary Scrutiny) Act 2011</w:t>
      </w:r>
      <w:r w:rsidRPr="00D91D69">
        <w:t>)</w:t>
      </w:r>
    </w:p>
    <w:p w:rsidR="00731A33" w:rsidRPr="004C5677" w:rsidRDefault="00731A33" w:rsidP="00731A33">
      <w:pPr>
        <w:ind w:right="534"/>
        <w:jc w:val="center"/>
        <w:rPr>
          <w:b/>
        </w:rPr>
      </w:pPr>
    </w:p>
    <w:p w:rsidR="00731A33" w:rsidRDefault="00B266A5" w:rsidP="00731A33">
      <w:pPr>
        <w:ind w:right="534"/>
        <w:jc w:val="center"/>
        <w:rPr>
          <w:b/>
          <w:i/>
        </w:rPr>
      </w:pPr>
      <w:r w:rsidRPr="00B266A5">
        <w:rPr>
          <w:b/>
          <w:i/>
        </w:rPr>
        <w:t>Customs Amendment (Fees and Charges) Regulation 2015</w:t>
      </w:r>
    </w:p>
    <w:p w:rsidR="00B266A5" w:rsidRPr="00E92E3B" w:rsidRDefault="00B266A5" w:rsidP="00731A33">
      <w:pPr>
        <w:ind w:right="534"/>
        <w:jc w:val="center"/>
        <w:rPr>
          <w:b/>
          <w:i/>
        </w:rPr>
      </w:pPr>
    </w:p>
    <w:p w:rsidR="00731A33" w:rsidRDefault="00731A33" w:rsidP="00731A33">
      <w:pPr>
        <w:ind w:right="534"/>
        <w:rPr>
          <w:i/>
        </w:rPr>
      </w:pPr>
      <w:r>
        <w:t xml:space="preserve">This legislative instrument is compatible with the human rights and freedoms recognised or declared in the international instruments listed in the definition of human rights in section 3 of the </w:t>
      </w:r>
      <w:r w:rsidRPr="00F35D98">
        <w:rPr>
          <w:i/>
        </w:rPr>
        <w:t>Human Rights (Parliamentary Scrutiny) Act 2011</w:t>
      </w:r>
      <w:r>
        <w:rPr>
          <w:i/>
        </w:rPr>
        <w:t>.</w:t>
      </w:r>
    </w:p>
    <w:p w:rsidR="00731A33" w:rsidRDefault="00731A33" w:rsidP="00731A33">
      <w:pPr>
        <w:ind w:right="534"/>
      </w:pPr>
    </w:p>
    <w:p w:rsidR="00731A33" w:rsidRDefault="00731A33" w:rsidP="00731A33">
      <w:pPr>
        <w:ind w:right="533"/>
        <w:rPr>
          <w:i/>
        </w:rPr>
      </w:pPr>
      <w:r>
        <w:rPr>
          <w:i/>
        </w:rPr>
        <w:t>Overview of the Regulation</w:t>
      </w:r>
    </w:p>
    <w:p w:rsidR="004004C9" w:rsidRDefault="004004C9" w:rsidP="00731A33">
      <w:pPr>
        <w:ind w:right="533"/>
        <w:rPr>
          <w:i/>
        </w:rPr>
      </w:pPr>
    </w:p>
    <w:p w:rsidR="00153D24" w:rsidRDefault="00153D24" w:rsidP="00153D24">
      <w:r w:rsidRPr="007D3A3B">
        <w:t xml:space="preserve">The </w:t>
      </w:r>
      <w:r w:rsidRPr="00FC47AE">
        <w:t xml:space="preserve">purpose of the </w:t>
      </w:r>
      <w:r w:rsidRPr="00FC47AE">
        <w:rPr>
          <w:i/>
        </w:rPr>
        <w:t>Customs Amendment (Fees and Charges) Regulation 2015</w:t>
      </w:r>
      <w:r w:rsidRPr="00FC47AE">
        <w:t xml:space="preserve"> (the </w:t>
      </w:r>
      <w:r>
        <w:t xml:space="preserve">amending </w:t>
      </w:r>
      <w:r w:rsidRPr="00FC47AE">
        <w:t xml:space="preserve">Regulation) is to amend the </w:t>
      </w:r>
      <w:r w:rsidRPr="00FC47AE">
        <w:rPr>
          <w:i/>
        </w:rPr>
        <w:t>Customs Regulation 2015</w:t>
      </w:r>
      <w:r w:rsidRPr="00FC47AE">
        <w:t xml:space="preserve"> (the Customs Regulation) </w:t>
      </w:r>
      <w:r>
        <w:t xml:space="preserve">as a consequence of amendments to the Customs Act </w:t>
      </w:r>
      <w:r w:rsidRPr="00E75EAE">
        <w:t>by</w:t>
      </w:r>
      <w:r>
        <w:t xml:space="preserve"> the </w:t>
      </w:r>
      <w:r w:rsidRPr="00ED2FB5">
        <w:rPr>
          <w:i/>
        </w:rPr>
        <w:t>Customs Amendment (Fees and Charges) Act 2015</w:t>
      </w:r>
      <w:r w:rsidRPr="00D849E2">
        <w:t>,</w:t>
      </w:r>
      <w:r>
        <w:t xml:space="preserve"> and amendments to the </w:t>
      </w:r>
      <w:r>
        <w:rPr>
          <w:i/>
        </w:rPr>
        <w:t>Customs Depot Licensing Charges Act </w:t>
      </w:r>
      <w:r w:rsidRPr="00E75EAE">
        <w:rPr>
          <w:i/>
        </w:rPr>
        <w:t>1997</w:t>
      </w:r>
      <w:r>
        <w:rPr>
          <w:i/>
        </w:rPr>
        <w:t xml:space="preserve"> </w:t>
      </w:r>
      <w:r>
        <w:t xml:space="preserve">by the </w:t>
      </w:r>
      <w:r w:rsidRPr="00E75EAE">
        <w:rPr>
          <w:i/>
        </w:rPr>
        <w:t>Customs</w:t>
      </w:r>
      <w:r w:rsidRPr="00861966">
        <w:rPr>
          <w:i/>
        </w:rPr>
        <w:t xml:space="preserve"> Depot Licensing Charges Amendment Act 2015</w:t>
      </w:r>
      <w:r>
        <w:t xml:space="preserve"> the (the Amendment Acts).</w:t>
      </w:r>
    </w:p>
    <w:p w:rsidR="00153D24" w:rsidRDefault="00153D24" w:rsidP="00153D24"/>
    <w:p w:rsidR="00153D24" w:rsidRDefault="00153D24" w:rsidP="00153D24">
      <w:r w:rsidRPr="00C15D65">
        <w:t>The Amendment Act</w:t>
      </w:r>
      <w:r>
        <w:t xml:space="preserve">s give effect to recommendations made by the </w:t>
      </w:r>
      <w:r w:rsidRPr="0092122F">
        <w:rPr>
          <w:i/>
        </w:rPr>
        <w:t>Joint Review of Border Fees, Charges and Taxes</w:t>
      </w:r>
      <w:r>
        <w:t xml:space="preserve">.   </w:t>
      </w:r>
      <w:r w:rsidRPr="00B01A44">
        <w:t xml:space="preserve"> </w:t>
      </w:r>
      <w:r>
        <w:t>In particular, t</w:t>
      </w:r>
      <w:r w:rsidRPr="00C15D65">
        <w:t>he Amendment Act</w:t>
      </w:r>
      <w:r>
        <w:t>s</w:t>
      </w:r>
      <w:r w:rsidRPr="00C15D65">
        <w:t xml:space="preserve"> consolidate </w:t>
      </w:r>
      <w:r>
        <w:t xml:space="preserve">the imposition of </w:t>
      </w:r>
      <w:r w:rsidRPr="00C15D65">
        <w:t xml:space="preserve">charges payable in relation to warehouse licences and customs broker licences into the </w:t>
      </w:r>
      <w:r w:rsidRPr="00C15D65">
        <w:rPr>
          <w:i/>
        </w:rPr>
        <w:t>Customs Depot Licensing Charge Act 1997</w:t>
      </w:r>
      <w:r>
        <w:t>.</w:t>
      </w:r>
    </w:p>
    <w:p w:rsidR="00153D24" w:rsidRDefault="00153D24" w:rsidP="00153D24"/>
    <w:p w:rsidR="00153D24" w:rsidRDefault="00153D24" w:rsidP="00153D24">
      <w:r>
        <w:t xml:space="preserve">The amending Regulation inserts a new section 35 of the Customs Regulation which sets out these circumstances in which a </w:t>
      </w:r>
      <w:r w:rsidR="00FC4BCA">
        <w:t xml:space="preserve">charge for the grant of a </w:t>
      </w:r>
      <w:r>
        <w:t>warehouse licence for the purposes of section </w:t>
      </w:r>
      <w:r w:rsidR="00FC4BCA">
        <w:t>is payable</w:t>
      </w:r>
      <w:r>
        <w:t xml:space="preserve">.  The amending Regulation inserts a new section 36 of the Customs Regulation which sets out these circumstances </w:t>
      </w:r>
      <w:r w:rsidR="00FC4BCA">
        <w:t xml:space="preserve">in which the charge </w:t>
      </w:r>
      <w:r>
        <w:t>for the renewal of a warehouse licence</w:t>
      </w:r>
      <w:r w:rsidR="00FC4BCA">
        <w:t xml:space="preserve"> is paid</w:t>
      </w:r>
      <w:r>
        <w:t>.</w:t>
      </w:r>
      <w:r w:rsidR="005C156B">
        <w:t xml:space="preserve">  </w:t>
      </w:r>
      <w:r w:rsidR="005C156B" w:rsidRPr="005C156B">
        <w:t xml:space="preserve">The amending Regulation inserts a new section 37 of the Customs Regulation which sets out how the amount of the refund </w:t>
      </w:r>
      <w:r w:rsidR="005C156B" w:rsidRPr="00D849E2">
        <w:t>of the warehouse licence charge where a warehouse licence is cancelled during its term</w:t>
      </w:r>
      <w:r w:rsidR="005C156B" w:rsidRPr="005C156B">
        <w:t xml:space="preserve"> is calculated.</w:t>
      </w:r>
      <w:r w:rsidR="005C156B">
        <w:t xml:space="preserve">  The amending Regulation also repeals redundant sections of the Customs Regulations in relation to customs broker licences.</w:t>
      </w:r>
    </w:p>
    <w:p w:rsidR="004004C9" w:rsidRPr="00340B55" w:rsidRDefault="004004C9" w:rsidP="00731A33">
      <w:pPr>
        <w:pStyle w:val="NumberLevel1"/>
        <w:numPr>
          <w:ilvl w:val="0"/>
          <w:numId w:val="0"/>
        </w:numPr>
        <w:spacing w:before="0" w:after="0"/>
        <w:ind w:right="534"/>
        <w:rPr>
          <w:rFonts w:ascii="Times New Roman" w:hAnsi="Times New Roman" w:cs="Times New Roman"/>
          <w:sz w:val="24"/>
          <w:szCs w:val="24"/>
        </w:rPr>
      </w:pPr>
    </w:p>
    <w:p w:rsidR="00731A33" w:rsidRDefault="00731A33" w:rsidP="00731A33">
      <w:pPr>
        <w:ind w:right="533"/>
        <w:rPr>
          <w:i/>
        </w:rPr>
      </w:pPr>
      <w:r w:rsidRPr="003C66C8">
        <w:rPr>
          <w:i/>
        </w:rPr>
        <w:t xml:space="preserve">Human Rights </w:t>
      </w:r>
      <w:r>
        <w:rPr>
          <w:i/>
        </w:rPr>
        <w:t>implication</w:t>
      </w:r>
      <w:r w:rsidRPr="003C66C8">
        <w:rPr>
          <w:i/>
        </w:rPr>
        <w:t>s</w:t>
      </w:r>
    </w:p>
    <w:p w:rsidR="00731A33" w:rsidRDefault="00731A33" w:rsidP="00731A33">
      <w:pPr>
        <w:ind w:right="534"/>
      </w:pPr>
    </w:p>
    <w:p w:rsidR="00731A33" w:rsidRDefault="00731A33" w:rsidP="00731A33">
      <w:pPr>
        <w:ind w:right="534"/>
      </w:pPr>
      <w:r>
        <w:t xml:space="preserve">This legislative instrument does not engage, impact on or limit in any way, the human rights and freedoms recognised or declared in the international instruments listed in the definition of human rights at section 3 of the </w:t>
      </w:r>
      <w:r w:rsidRPr="009F1329">
        <w:rPr>
          <w:i/>
        </w:rPr>
        <w:t>Human Rights (Parliamentary Scrutiny) Act 2011</w:t>
      </w:r>
      <w:r>
        <w:t xml:space="preserve">. </w:t>
      </w:r>
    </w:p>
    <w:p w:rsidR="00731A33" w:rsidRDefault="00731A33" w:rsidP="00731A33">
      <w:pPr>
        <w:ind w:right="534"/>
      </w:pPr>
    </w:p>
    <w:p w:rsidR="00731A33" w:rsidRDefault="00731A33" w:rsidP="00731A33">
      <w:pPr>
        <w:ind w:right="533"/>
        <w:rPr>
          <w:i/>
        </w:rPr>
      </w:pPr>
      <w:r>
        <w:rPr>
          <w:i/>
        </w:rPr>
        <w:t>Conclusion</w:t>
      </w:r>
    </w:p>
    <w:p w:rsidR="00731A33" w:rsidRDefault="00731A33" w:rsidP="00731A33">
      <w:pPr>
        <w:ind w:right="534"/>
      </w:pPr>
    </w:p>
    <w:p w:rsidR="00731A33" w:rsidRDefault="00731A33" w:rsidP="00731A33">
      <w:pPr>
        <w:ind w:right="534"/>
      </w:pPr>
      <w:r>
        <w:t>This legislative instrument does not raise any human rights issues.</w:t>
      </w:r>
    </w:p>
    <w:p w:rsidR="00731A33" w:rsidRDefault="00731A33" w:rsidP="00731A33">
      <w:pPr>
        <w:ind w:right="534"/>
      </w:pPr>
    </w:p>
    <w:p w:rsidR="00731A33" w:rsidRDefault="00731A33" w:rsidP="00731A33">
      <w:pPr>
        <w:ind w:right="534"/>
      </w:pPr>
    </w:p>
    <w:p w:rsidR="00731A33" w:rsidRPr="00221246" w:rsidRDefault="00731A33" w:rsidP="00731A33">
      <w:pPr>
        <w:ind w:right="534"/>
        <w:rPr>
          <w:b/>
        </w:rPr>
      </w:pPr>
    </w:p>
    <w:p w:rsidR="00731A33" w:rsidRPr="00221246" w:rsidRDefault="00731A33" w:rsidP="00221246">
      <w:pPr>
        <w:ind w:right="534"/>
        <w:jc w:val="center"/>
        <w:rPr>
          <w:b/>
        </w:rPr>
      </w:pPr>
      <w:r w:rsidRPr="00221246">
        <w:rPr>
          <w:b/>
        </w:rPr>
        <w:t xml:space="preserve">Minister for </w:t>
      </w:r>
      <w:r w:rsidR="003E48EE">
        <w:rPr>
          <w:b/>
        </w:rPr>
        <w:t>Immigration and Border Protection</w:t>
      </w:r>
    </w:p>
    <w:p w:rsidR="00890801" w:rsidRPr="00C0231C" w:rsidRDefault="00890801" w:rsidP="00890801">
      <w:pPr>
        <w:jc w:val="right"/>
        <w:rPr>
          <w:b/>
          <w:u w:val="single"/>
        </w:rPr>
      </w:pPr>
    </w:p>
    <w:sectPr w:rsidR="00890801" w:rsidRPr="00C023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A5" w:rsidRDefault="00B266A5" w:rsidP="00B266A5">
      <w:r>
        <w:separator/>
      </w:r>
    </w:p>
  </w:endnote>
  <w:endnote w:type="continuationSeparator" w:id="0">
    <w:p w:rsidR="00B266A5" w:rsidRDefault="00B266A5" w:rsidP="00B2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A5" w:rsidRDefault="00B266A5" w:rsidP="00B266A5">
      <w:r>
        <w:separator/>
      </w:r>
    </w:p>
  </w:footnote>
  <w:footnote w:type="continuationSeparator" w:id="0">
    <w:p w:rsidR="00B266A5" w:rsidRDefault="00B266A5" w:rsidP="00B26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7664"/>
    <w:multiLevelType w:val="multilevel"/>
    <w:tmpl w:val="EF2ABA28"/>
    <w:name w:val="AGSCorp"/>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abstractNum w:abstractNumId="1">
    <w:nsid w:val="265B1B49"/>
    <w:multiLevelType w:val="multilevel"/>
    <w:tmpl w:val="55B093F8"/>
    <w:name w:val="AGSQuote"/>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
    <w:nsid w:val="29C53796"/>
    <w:multiLevelType w:val="hybridMultilevel"/>
    <w:tmpl w:val="5226CBF6"/>
    <w:lvl w:ilvl="0" w:tplc="03285432">
      <w:start w:val="29"/>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66D2D11"/>
    <w:multiLevelType w:val="hybridMultilevel"/>
    <w:tmpl w:val="06FE7F76"/>
    <w:lvl w:ilvl="0" w:tplc="18F85E5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nsid w:val="37352C2A"/>
    <w:multiLevelType w:val="hybridMultilevel"/>
    <w:tmpl w:val="E58CC2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91B2AE1"/>
    <w:multiLevelType w:val="hybridMultilevel"/>
    <w:tmpl w:val="6E122C9E"/>
    <w:lvl w:ilvl="0" w:tplc="F11419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33"/>
    <w:rsid w:val="001316AF"/>
    <w:rsid w:val="00153D24"/>
    <w:rsid w:val="001C68F4"/>
    <w:rsid w:val="00221246"/>
    <w:rsid w:val="002B5E35"/>
    <w:rsid w:val="00313AC7"/>
    <w:rsid w:val="003237FE"/>
    <w:rsid w:val="00350C62"/>
    <w:rsid w:val="003E46E1"/>
    <w:rsid w:val="003E48EE"/>
    <w:rsid w:val="004004C9"/>
    <w:rsid w:val="004478FF"/>
    <w:rsid w:val="00487B79"/>
    <w:rsid w:val="004C390A"/>
    <w:rsid w:val="004C5677"/>
    <w:rsid w:val="005138F8"/>
    <w:rsid w:val="005162E0"/>
    <w:rsid w:val="00591A88"/>
    <w:rsid w:val="005B081D"/>
    <w:rsid w:val="005C156B"/>
    <w:rsid w:val="00653CC4"/>
    <w:rsid w:val="00731A33"/>
    <w:rsid w:val="00770CE7"/>
    <w:rsid w:val="007971A5"/>
    <w:rsid w:val="007F4B8D"/>
    <w:rsid w:val="00840E9F"/>
    <w:rsid w:val="0085761A"/>
    <w:rsid w:val="00890801"/>
    <w:rsid w:val="00894509"/>
    <w:rsid w:val="008C5F9C"/>
    <w:rsid w:val="00931EBF"/>
    <w:rsid w:val="009F7872"/>
    <w:rsid w:val="00A96D33"/>
    <w:rsid w:val="00AD25F9"/>
    <w:rsid w:val="00B266A5"/>
    <w:rsid w:val="00B336C9"/>
    <w:rsid w:val="00B71003"/>
    <w:rsid w:val="00BE5786"/>
    <w:rsid w:val="00BF2DCA"/>
    <w:rsid w:val="00C453EE"/>
    <w:rsid w:val="00D74CA8"/>
    <w:rsid w:val="00DC3D8B"/>
    <w:rsid w:val="00E244A2"/>
    <w:rsid w:val="00E423CC"/>
    <w:rsid w:val="00E6146C"/>
    <w:rsid w:val="00E851F1"/>
    <w:rsid w:val="00EE6DF9"/>
    <w:rsid w:val="00F835BF"/>
    <w:rsid w:val="00F85804"/>
    <w:rsid w:val="00FC4B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A33"/>
    <w:rPr>
      <w:sz w:val="24"/>
      <w:szCs w:val="24"/>
    </w:rPr>
  </w:style>
  <w:style w:type="paragraph" w:styleId="Heading3">
    <w:name w:val="heading 3"/>
    <w:basedOn w:val="Normal"/>
    <w:link w:val="Heading3Char"/>
    <w:uiPriority w:val="9"/>
    <w:qFormat/>
    <w:rsid w:val="008908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731A33"/>
    <w:pPr>
      <w:tabs>
        <w:tab w:val="left" w:pos="567"/>
      </w:tabs>
      <w:spacing w:before="120" w:after="120" w:line="300" w:lineRule="atLeast"/>
      <w:jc w:val="both"/>
    </w:pPr>
    <w:rPr>
      <w:color w:val="000000"/>
      <w:szCs w:val="20"/>
      <w:lang w:eastAsia="en-US"/>
    </w:rPr>
  </w:style>
  <w:style w:type="paragraph" w:customStyle="1" w:styleId="TxtParagraph">
    <w:name w:val="Txt  Paragraph"/>
    <w:basedOn w:val="Normal"/>
    <w:rsid w:val="00731A33"/>
    <w:pPr>
      <w:tabs>
        <w:tab w:val="left" w:pos="567"/>
      </w:tabs>
      <w:overflowPunct w:val="0"/>
      <w:autoSpaceDE w:val="0"/>
      <w:autoSpaceDN w:val="0"/>
      <w:adjustRightInd w:val="0"/>
      <w:spacing w:before="120" w:after="120" w:line="300" w:lineRule="atLeast"/>
      <w:jc w:val="both"/>
      <w:textAlignment w:val="baseline"/>
    </w:pPr>
    <w:rPr>
      <w:rFonts w:ascii="Times" w:hAnsi="Times"/>
      <w:color w:val="000000"/>
      <w:szCs w:val="20"/>
    </w:rPr>
  </w:style>
  <w:style w:type="paragraph" w:customStyle="1" w:styleId="NumberLevel1">
    <w:name w:val="Number Level 1"/>
    <w:basedOn w:val="Normal"/>
    <w:link w:val="NumberLevel1Char"/>
    <w:rsid w:val="00731A33"/>
    <w:pPr>
      <w:numPr>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2">
    <w:name w:val="Number Level 2"/>
    <w:basedOn w:val="Normal"/>
    <w:rsid w:val="00731A33"/>
    <w:pPr>
      <w:numPr>
        <w:ilvl w:val="1"/>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3">
    <w:name w:val="Number Level 3"/>
    <w:basedOn w:val="Normal"/>
    <w:rsid w:val="00731A33"/>
    <w:pPr>
      <w:numPr>
        <w:ilvl w:val="2"/>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4">
    <w:name w:val="Number Level 4"/>
    <w:basedOn w:val="Normal"/>
    <w:rsid w:val="00731A33"/>
    <w:pPr>
      <w:numPr>
        <w:ilvl w:val="3"/>
        <w:numId w:val="1"/>
      </w:numPr>
      <w:tabs>
        <w:tab w:val="clear" w:pos="1134"/>
        <w:tab w:val="num" w:pos="360"/>
      </w:tabs>
      <w:spacing w:after="140" w:line="280" w:lineRule="atLeast"/>
      <w:ind w:left="0" w:firstLine="0"/>
    </w:pPr>
    <w:rPr>
      <w:rFonts w:ascii="Arial" w:hAnsi="Arial" w:cs="Arial"/>
      <w:sz w:val="22"/>
      <w:szCs w:val="22"/>
    </w:rPr>
  </w:style>
  <w:style w:type="paragraph" w:customStyle="1" w:styleId="NumberLevel5">
    <w:name w:val="Number Level 5"/>
    <w:basedOn w:val="Normal"/>
    <w:semiHidden/>
    <w:rsid w:val="00731A33"/>
    <w:pPr>
      <w:numPr>
        <w:ilvl w:val="4"/>
        <w:numId w:val="1"/>
      </w:numPr>
      <w:tabs>
        <w:tab w:val="clear" w:pos="1559"/>
        <w:tab w:val="num" w:pos="360"/>
      </w:tabs>
      <w:spacing w:after="140" w:line="280" w:lineRule="atLeast"/>
      <w:ind w:left="0" w:firstLine="0"/>
    </w:pPr>
    <w:rPr>
      <w:rFonts w:ascii="Arial" w:hAnsi="Arial" w:cs="Arial"/>
      <w:sz w:val="22"/>
      <w:szCs w:val="22"/>
    </w:rPr>
  </w:style>
  <w:style w:type="paragraph" w:customStyle="1" w:styleId="NumberLevel6">
    <w:name w:val="Number Level 6"/>
    <w:basedOn w:val="NumberLevel5"/>
    <w:semiHidden/>
    <w:rsid w:val="00731A33"/>
    <w:pPr>
      <w:numPr>
        <w:ilvl w:val="5"/>
      </w:numPr>
      <w:tabs>
        <w:tab w:val="clear" w:pos="1985"/>
        <w:tab w:val="num" w:pos="360"/>
      </w:tabs>
    </w:pPr>
  </w:style>
  <w:style w:type="paragraph" w:customStyle="1" w:styleId="NumberLevel7">
    <w:name w:val="Number Level 7"/>
    <w:basedOn w:val="NumberLevel6"/>
    <w:semiHidden/>
    <w:rsid w:val="00731A33"/>
    <w:pPr>
      <w:numPr>
        <w:ilvl w:val="6"/>
      </w:numPr>
      <w:tabs>
        <w:tab w:val="clear" w:pos="2410"/>
        <w:tab w:val="num" w:pos="360"/>
      </w:tabs>
    </w:pPr>
  </w:style>
  <w:style w:type="paragraph" w:customStyle="1" w:styleId="NumberLevel8">
    <w:name w:val="Number Level 8"/>
    <w:basedOn w:val="NumberLevel7"/>
    <w:semiHidden/>
    <w:rsid w:val="00731A33"/>
    <w:pPr>
      <w:numPr>
        <w:ilvl w:val="7"/>
      </w:numPr>
      <w:tabs>
        <w:tab w:val="clear" w:pos="2835"/>
        <w:tab w:val="num" w:pos="360"/>
      </w:tabs>
    </w:pPr>
  </w:style>
  <w:style w:type="paragraph" w:customStyle="1" w:styleId="NumberLevel9">
    <w:name w:val="Number Level 9"/>
    <w:basedOn w:val="NumberLevel8"/>
    <w:semiHidden/>
    <w:rsid w:val="00731A33"/>
    <w:pPr>
      <w:numPr>
        <w:ilvl w:val="8"/>
      </w:numPr>
      <w:tabs>
        <w:tab w:val="clear" w:pos="3260"/>
        <w:tab w:val="num" w:pos="360"/>
      </w:tabs>
    </w:pPr>
  </w:style>
  <w:style w:type="character" w:customStyle="1" w:styleId="NumberLevel1Char">
    <w:name w:val="Number Level 1 Char"/>
    <w:link w:val="NumberLevel1"/>
    <w:rsid w:val="00731A33"/>
    <w:rPr>
      <w:rFonts w:ascii="Arial" w:hAnsi="Arial" w:cs="Arial"/>
      <w:sz w:val="22"/>
      <w:szCs w:val="22"/>
      <w:lang w:val="en-AU" w:eastAsia="en-AU" w:bidi="ar-SA"/>
    </w:rPr>
  </w:style>
  <w:style w:type="paragraph" w:customStyle="1" w:styleId="plainparagraph">
    <w:name w:val="plainparagraph"/>
    <w:basedOn w:val="Normal"/>
    <w:rsid w:val="00890801"/>
    <w:pPr>
      <w:spacing w:before="100" w:beforeAutospacing="1" w:after="100" w:afterAutospacing="1"/>
    </w:pPr>
  </w:style>
  <w:style w:type="character" w:customStyle="1" w:styleId="Heading3Char">
    <w:name w:val="Heading 3 Char"/>
    <w:link w:val="Heading3"/>
    <w:uiPriority w:val="9"/>
    <w:rsid w:val="00890801"/>
    <w:rPr>
      <w:b/>
      <w:bCs/>
      <w:sz w:val="27"/>
      <w:szCs w:val="27"/>
    </w:rPr>
  </w:style>
  <w:style w:type="character" w:styleId="CommentReference">
    <w:name w:val="annotation reference"/>
    <w:basedOn w:val="DefaultParagraphFont"/>
    <w:rsid w:val="00931EBF"/>
    <w:rPr>
      <w:sz w:val="16"/>
      <w:szCs w:val="16"/>
    </w:rPr>
  </w:style>
  <w:style w:type="paragraph" w:styleId="CommentText">
    <w:name w:val="annotation text"/>
    <w:basedOn w:val="Normal"/>
    <w:link w:val="CommentTextChar"/>
    <w:rsid w:val="00931EBF"/>
    <w:rPr>
      <w:sz w:val="20"/>
      <w:szCs w:val="20"/>
    </w:rPr>
  </w:style>
  <w:style w:type="character" w:customStyle="1" w:styleId="CommentTextChar">
    <w:name w:val="Comment Text Char"/>
    <w:basedOn w:val="DefaultParagraphFont"/>
    <w:link w:val="CommentText"/>
    <w:rsid w:val="00931EBF"/>
  </w:style>
  <w:style w:type="paragraph" w:styleId="CommentSubject">
    <w:name w:val="annotation subject"/>
    <w:basedOn w:val="CommentText"/>
    <w:next w:val="CommentText"/>
    <w:link w:val="CommentSubjectChar"/>
    <w:rsid w:val="00931EBF"/>
    <w:rPr>
      <w:b/>
      <w:bCs/>
    </w:rPr>
  </w:style>
  <w:style w:type="character" w:customStyle="1" w:styleId="CommentSubjectChar">
    <w:name w:val="Comment Subject Char"/>
    <w:basedOn w:val="CommentTextChar"/>
    <w:link w:val="CommentSubject"/>
    <w:rsid w:val="00931EBF"/>
    <w:rPr>
      <w:b/>
      <w:bCs/>
    </w:rPr>
  </w:style>
  <w:style w:type="paragraph" w:styleId="BalloonText">
    <w:name w:val="Balloon Text"/>
    <w:basedOn w:val="Normal"/>
    <w:link w:val="BalloonTextChar"/>
    <w:rsid w:val="00931EBF"/>
    <w:rPr>
      <w:rFonts w:ascii="Tahoma" w:hAnsi="Tahoma" w:cs="Tahoma"/>
      <w:sz w:val="16"/>
      <w:szCs w:val="16"/>
    </w:rPr>
  </w:style>
  <w:style w:type="character" w:customStyle="1" w:styleId="BalloonTextChar">
    <w:name w:val="Balloon Text Char"/>
    <w:basedOn w:val="DefaultParagraphFont"/>
    <w:link w:val="BalloonText"/>
    <w:rsid w:val="00931EBF"/>
    <w:rPr>
      <w:rFonts w:ascii="Tahoma" w:hAnsi="Tahoma" w:cs="Tahoma"/>
      <w:sz w:val="16"/>
      <w:szCs w:val="16"/>
    </w:rPr>
  </w:style>
  <w:style w:type="paragraph" w:customStyle="1" w:styleId="Definition">
    <w:name w:val="Definition"/>
    <w:aliases w:val="dd"/>
    <w:basedOn w:val="Normal"/>
    <w:rsid w:val="004C5677"/>
    <w:pPr>
      <w:spacing w:before="180"/>
      <w:ind w:left="1134"/>
    </w:pPr>
    <w:rPr>
      <w:sz w:val="22"/>
      <w:szCs w:val="20"/>
    </w:rPr>
  </w:style>
  <w:style w:type="paragraph" w:customStyle="1" w:styleId="paragraph">
    <w:name w:val="paragraph"/>
    <w:aliases w:val="a"/>
    <w:basedOn w:val="Normal"/>
    <w:link w:val="paragraphChar"/>
    <w:rsid w:val="004C5677"/>
    <w:pPr>
      <w:tabs>
        <w:tab w:val="right" w:pos="1531"/>
      </w:tabs>
      <w:spacing w:before="40"/>
      <w:ind w:left="1644" w:hanging="1644"/>
    </w:pPr>
    <w:rPr>
      <w:sz w:val="22"/>
      <w:szCs w:val="20"/>
    </w:rPr>
  </w:style>
  <w:style w:type="character" w:customStyle="1" w:styleId="paragraphChar">
    <w:name w:val="paragraph Char"/>
    <w:aliases w:val="a Char"/>
    <w:link w:val="paragraph"/>
    <w:locked/>
    <w:rsid w:val="004C5677"/>
    <w:rPr>
      <w:sz w:val="22"/>
    </w:rPr>
  </w:style>
  <w:style w:type="paragraph" w:customStyle="1" w:styleId="Tablea">
    <w:name w:val="Table(a)"/>
    <w:aliases w:val="ta"/>
    <w:basedOn w:val="Normal"/>
    <w:rsid w:val="004C5677"/>
    <w:pPr>
      <w:spacing w:before="60"/>
      <w:ind w:left="284" w:hanging="284"/>
    </w:pPr>
    <w:rPr>
      <w:sz w:val="20"/>
      <w:szCs w:val="20"/>
    </w:rPr>
  </w:style>
  <w:style w:type="paragraph" w:customStyle="1" w:styleId="Tabletext">
    <w:name w:val="Tabletext"/>
    <w:aliases w:val="tt"/>
    <w:basedOn w:val="Normal"/>
    <w:rsid w:val="004C5677"/>
    <w:pPr>
      <w:spacing w:before="60" w:line="240" w:lineRule="atLeast"/>
    </w:pPr>
    <w:rPr>
      <w:sz w:val="20"/>
      <w:szCs w:val="20"/>
    </w:rPr>
  </w:style>
  <w:style w:type="paragraph" w:customStyle="1" w:styleId="Quotation">
    <w:name w:val="Quotation"/>
    <w:basedOn w:val="Normal"/>
    <w:semiHidden/>
    <w:rsid w:val="002B5E35"/>
    <w:pPr>
      <w:numPr>
        <w:numId w:val="3"/>
      </w:numPr>
      <w:spacing w:after="140" w:line="260" w:lineRule="atLeast"/>
    </w:pPr>
    <w:rPr>
      <w:rFonts w:ascii="Arial" w:hAnsi="Arial" w:cs="Arial"/>
      <w:sz w:val="20"/>
      <w:szCs w:val="22"/>
    </w:rPr>
  </w:style>
  <w:style w:type="paragraph" w:customStyle="1" w:styleId="Quotation1">
    <w:name w:val="Quotation 1"/>
    <w:basedOn w:val="Normal"/>
    <w:rsid w:val="002B5E35"/>
    <w:pPr>
      <w:numPr>
        <w:ilvl w:val="1"/>
        <w:numId w:val="3"/>
      </w:numPr>
      <w:spacing w:after="140" w:line="260" w:lineRule="atLeast"/>
    </w:pPr>
    <w:rPr>
      <w:rFonts w:ascii="Arial" w:hAnsi="Arial" w:cs="Arial"/>
      <w:sz w:val="20"/>
      <w:szCs w:val="22"/>
    </w:rPr>
  </w:style>
  <w:style w:type="paragraph" w:customStyle="1" w:styleId="Quotation2">
    <w:name w:val="Quotation 2"/>
    <w:basedOn w:val="Normal"/>
    <w:semiHidden/>
    <w:rsid w:val="002B5E35"/>
    <w:pPr>
      <w:numPr>
        <w:ilvl w:val="2"/>
        <w:numId w:val="3"/>
      </w:numPr>
      <w:spacing w:after="140" w:line="260" w:lineRule="atLeast"/>
    </w:pPr>
    <w:rPr>
      <w:rFonts w:ascii="Arial" w:hAnsi="Arial" w:cs="Arial"/>
      <w:sz w:val="20"/>
      <w:szCs w:val="22"/>
    </w:rPr>
  </w:style>
  <w:style w:type="paragraph" w:customStyle="1" w:styleId="Quotation3">
    <w:name w:val="Quotation 3"/>
    <w:basedOn w:val="Normal"/>
    <w:semiHidden/>
    <w:rsid w:val="002B5E35"/>
    <w:pPr>
      <w:numPr>
        <w:ilvl w:val="3"/>
        <w:numId w:val="3"/>
      </w:numPr>
      <w:spacing w:after="140" w:line="260" w:lineRule="atLeast"/>
    </w:pPr>
    <w:rPr>
      <w:rFonts w:ascii="Arial" w:hAnsi="Arial" w:cs="Arial"/>
      <w:sz w:val="20"/>
      <w:szCs w:val="22"/>
    </w:rPr>
  </w:style>
  <w:style w:type="paragraph" w:customStyle="1" w:styleId="Quotation4">
    <w:name w:val="Quotation 4"/>
    <w:basedOn w:val="Normal"/>
    <w:semiHidden/>
    <w:rsid w:val="002B5E35"/>
    <w:pPr>
      <w:numPr>
        <w:ilvl w:val="4"/>
        <w:numId w:val="3"/>
      </w:numPr>
      <w:spacing w:after="140" w:line="260" w:lineRule="atLeast"/>
    </w:pPr>
    <w:rPr>
      <w:rFonts w:ascii="Arial" w:hAnsi="Arial" w:cs="Arial"/>
      <w:sz w:val="20"/>
      <w:szCs w:val="22"/>
    </w:rPr>
  </w:style>
  <w:style w:type="paragraph" w:customStyle="1" w:styleId="Quotation5">
    <w:name w:val="Quotation 5"/>
    <w:basedOn w:val="Normal"/>
    <w:semiHidden/>
    <w:rsid w:val="002B5E35"/>
    <w:pPr>
      <w:numPr>
        <w:ilvl w:val="5"/>
        <w:numId w:val="3"/>
      </w:numPr>
      <w:spacing w:after="140" w:line="260" w:lineRule="atLeast"/>
    </w:pPr>
    <w:rPr>
      <w:rFonts w:ascii="Arial" w:hAnsi="Arial" w:cs="Arial"/>
      <w:sz w:val="20"/>
      <w:szCs w:val="22"/>
    </w:rPr>
  </w:style>
  <w:style w:type="paragraph" w:customStyle="1" w:styleId="Quotation6">
    <w:name w:val="Quotation 6"/>
    <w:basedOn w:val="Normal"/>
    <w:semiHidden/>
    <w:rsid w:val="002B5E35"/>
    <w:pPr>
      <w:numPr>
        <w:ilvl w:val="6"/>
        <w:numId w:val="3"/>
      </w:numPr>
      <w:spacing w:after="140" w:line="260" w:lineRule="atLeast"/>
    </w:pPr>
    <w:rPr>
      <w:rFonts w:ascii="Arial" w:hAnsi="Arial" w:cs="Arial"/>
      <w:sz w:val="20"/>
      <w:szCs w:val="22"/>
    </w:rPr>
  </w:style>
  <w:style w:type="paragraph" w:customStyle="1" w:styleId="Quotation7">
    <w:name w:val="Quotation 7"/>
    <w:basedOn w:val="Normal"/>
    <w:semiHidden/>
    <w:rsid w:val="002B5E35"/>
    <w:pPr>
      <w:numPr>
        <w:ilvl w:val="7"/>
        <w:numId w:val="3"/>
      </w:numPr>
      <w:spacing w:after="140" w:line="260" w:lineRule="atLeast"/>
    </w:pPr>
    <w:rPr>
      <w:rFonts w:ascii="Arial" w:hAnsi="Arial" w:cs="Arial"/>
      <w:sz w:val="20"/>
      <w:szCs w:val="22"/>
    </w:rPr>
  </w:style>
  <w:style w:type="paragraph" w:customStyle="1" w:styleId="Quotation8">
    <w:name w:val="Quotation 8"/>
    <w:basedOn w:val="Normal"/>
    <w:semiHidden/>
    <w:rsid w:val="002B5E35"/>
    <w:pPr>
      <w:numPr>
        <w:ilvl w:val="8"/>
        <w:numId w:val="3"/>
      </w:numPr>
      <w:spacing w:after="140" w:line="260" w:lineRule="atLeast"/>
    </w:pPr>
    <w:rPr>
      <w:rFonts w:ascii="Arial" w:hAnsi="Arial" w:cs="Arial"/>
      <w:sz w:val="20"/>
      <w:szCs w:val="22"/>
    </w:rPr>
  </w:style>
  <w:style w:type="paragraph" w:styleId="ListParagraph">
    <w:name w:val="List Paragraph"/>
    <w:basedOn w:val="Normal"/>
    <w:uiPriority w:val="34"/>
    <w:qFormat/>
    <w:rsid w:val="00B266A5"/>
    <w:pPr>
      <w:spacing w:before="240"/>
      <w:ind w:left="720"/>
      <w:contextualSpacing/>
    </w:pPr>
    <w:rPr>
      <w:szCs w:val="20"/>
    </w:rPr>
  </w:style>
  <w:style w:type="paragraph" w:styleId="Header">
    <w:name w:val="header"/>
    <w:basedOn w:val="Normal"/>
    <w:link w:val="HeaderChar"/>
    <w:rsid w:val="00B266A5"/>
    <w:pPr>
      <w:tabs>
        <w:tab w:val="center" w:pos="4513"/>
        <w:tab w:val="right" w:pos="9026"/>
      </w:tabs>
    </w:pPr>
  </w:style>
  <w:style w:type="character" w:customStyle="1" w:styleId="HeaderChar">
    <w:name w:val="Header Char"/>
    <w:basedOn w:val="DefaultParagraphFont"/>
    <w:link w:val="Header"/>
    <w:rsid w:val="00B266A5"/>
    <w:rPr>
      <w:sz w:val="24"/>
      <w:szCs w:val="24"/>
    </w:rPr>
  </w:style>
  <w:style w:type="paragraph" w:styleId="Footer">
    <w:name w:val="footer"/>
    <w:basedOn w:val="Normal"/>
    <w:link w:val="FooterChar"/>
    <w:rsid w:val="00B266A5"/>
    <w:pPr>
      <w:tabs>
        <w:tab w:val="center" w:pos="4513"/>
        <w:tab w:val="right" w:pos="9026"/>
      </w:tabs>
    </w:pPr>
  </w:style>
  <w:style w:type="character" w:customStyle="1" w:styleId="FooterChar">
    <w:name w:val="Footer Char"/>
    <w:basedOn w:val="DefaultParagraphFont"/>
    <w:link w:val="Footer"/>
    <w:rsid w:val="00B266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A33"/>
    <w:rPr>
      <w:sz w:val="24"/>
      <w:szCs w:val="24"/>
    </w:rPr>
  </w:style>
  <w:style w:type="paragraph" w:styleId="Heading3">
    <w:name w:val="heading 3"/>
    <w:basedOn w:val="Normal"/>
    <w:link w:val="Heading3Char"/>
    <w:uiPriority w:val="9"/>
    <w:qFormat/>
    <w:rsid w:val="008908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731A33"/>
    <w:pPr>
      <w:tabs>
        <w:tab w:val="left" w:pos="567"/>
      </w:tabs>
      <w:spacing w:before="120" w:after="120" w:line="300" w:lineRule="atLeast"/>
      <w:jc w:val="both"/>
    </w:pPr>
    <w:rPr>
      <w:color w:val="000000"/>
      <w:szCs w:val="20"/>
      <w:lang w:eastAsia="en-US"/>
    </w:rPr>
  </w:style>
  <w:style w:type="paragraph" w:customStyle="1" w:styleId="TxtParagraph">
    <w:name w:val="Txt  Paragraph"/>
    <w:basedOn w:val="Normal"/>
    <w:rsid w:val="00731A33"/>
    <w:pPr>
      <w:tabs>
        <w:tab w:val="left" w:pos="567"/>
      </w:tabs>
      <w:overflowPunct w:val="0"/>
      <w:autoSpaceDE w:val="0"/>
      <w:autoSpaceDN w:val="0"/>
      <w:adjustRightInd w:val="0"/>
      <w:spacing w:before="120" w:after="120" w:line="300" w:lineRule="atLeast"/>
      <w:jc w:val="both"/>
      <w:textAlignment w:val="baseline"/>
    </w:pPr>
    <w:rPr>
      <w:rFonts w:ascii="Times" w:hAnsi="Times"/>
      <w:color w:val="000000"/>
      <w:szCs w:val="20"/>
    </w:rPr>
  </w:style>
  <w:style w:type="paragraph" w:customStyle="1" w:styleId="NumberLevel1">
    <w:name w:val="Number Level 1"/>
    <w:basedOn w:val="Normal"/>
    <w:link w:val="NumberLevel1Char"/>
    <w:rsid w:val="00731A33"/>
    <w:pPr>
      <w:numPr>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2">
    <w:name w:val="Number Level 2"/>
    <w:basedOn w:val="Normal"/>
    <w:rsid w:val="00731A33"/>
    <w:pPr>
      <w:numPr>
        <w:ilvl w:val="1"/>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3">
    <w:name w:val="Number Level 3"/>
    <w:basedOn w:val="Normal"/>
    <w:rsid w:val="00731A33"/>
    <w:pPr>
      <w:numPr>
        <w:ilvl w:val="2"/>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4">
    <w:name w:val="Number Level 4"/>
    <w:basedOn w:val="Normal"/>
    <w:rsid w:val="00731A33"/>
    <w:pPr>
      <w:numPr>
        <w:ilvl w:val="3"/>
        <w:numId w:val="1"/>
      </w:numPr>
      <w:tabs>
        <w:tab w:val="clear" w:pos="1134"/>
        <w:tab w:val="num" w:pos="360"/>
      </w:tabs>
      <w:spacing w:after="140" w:line="280" w:lineRule="atLeast"/>
      <w:ind w:left="0" w:firstLine="0"/>
    </w:pPr>
    <w:rPr>
      <w:rFonts w:ascii="Arial" w:hAnsi="Arial" w:cs="Arial"/>
      <w:sz w:val="22"/>
      <w:szCs w:val="22"/>
    </w:rPr>
  </w:style>
  <w:style w:type="paragraph" w:customStyle="1" w:styleId="NumberLevel5">
    <w:name w:val="Number Level 5"/>
    <w:basedOn w:val="Normal"/>
    <w:semiHidden/>
    <w:rsid w:val="00731A33"/>
    <w:pPr>
      <w:numPr>
        <w:ilvl w:val="4"/>
        <w:numId w:val="1"/>
      </w:numPr>
      <w:tabs>
        <w:tab w:val="clear" w:pos="1559"/>
        <w:tab w:val="num" w:pos="360"/>
      </w:tabs>
      <w:spacing w:after="140" w:line="280" w:lineRule="atLeast"/>
      <w:ind w:left="0" w:firstLine="0"/>
    </w:pPr>
    <w:rPr>
      <w:rFonts w:ascii="Arial" w:hAnsi="Arial" w:cs="Arial"/>
      <w:sz w:val="22"/>
      <w:szCs w:val="22"/>
    </w:rPr>
  </w:style>
  <w:style w:type="paragraph" w:customStyle="1" w:styleId="NumberLevel6">
    <w:name w:val="Number Level 6"/>
    <w:basedOn w:val="NumberLevel5"/>
    <w:semiHidden/>
    <w:rsid w:val="00731A33"/>
    <w:pPr>
      <w:numPr>
        <w:ilvl w:val="5"/>
      </w:numPr>
      <w:tabs>
        <w:tab w:val="clear" w:pos="1985"/>
        <w:tab w:val="num" w:pos="360"/>
      </w:tabs>
    </w:pPr>
  </w:style>
  <w:style w:type="paragraph" w:customStyle="1" w:styleId="NumberLevel7">
    <w:name w:val="Number Level 7"/>
    <w:basedOn w:val="NumberLevel6"/>
    <w:semiHidden/>
    <w:rsid w:val="00731A33"/>
    <w:pPr>
      <w:numPr>
        <w:ilvl w:val="6"/>
      </w:numPr>
      <w:tabs>
        <w:tab w:val="clear" w:pos="2410"/>
        <w:tab w:val="num" w:pos="360"/>
      </w:tabs>
    </w:pPr>
  </w:style>
  <w:style w:type="paragraph" w:customStyle="1" w:styleId="NumberLevel8">
    <w:name w:val="Number Level 8"/>
    <w:basedOn w:val="NumberLevel7"/>
    <w:semiHidden/>
    <w:rsid w:val="00731A33"/>
    <w:pPr>
      <w:numPr>
        <w:ilvl w:val="7"/>
      </w:numPr>
      <w:tabs>
        <w:tab w:val="clear" w:pos="2835"/>
        <w:tab w:val="num" w:pos="360"/>
      </w:tabs>
    </w:pPr>
  </w:style>
  <w:style w:type="paragraph" w:customStyle="1" w:styleId="NumberLevel9">
    <w:name w:val="Number Level 9"/>
    <w:basedOn w:val="NumberLevel8"/>
    <w:semiHidden/>
    <w:rsid w:val="00731A33"/>
    <w:pPr>
      <w:numPr>
        <w:ilvl w:val="8"/>
      </w:numPr>
      <w:tabs>
        <w:tab w:val="clear" w:pos="3260"/>
        <w:tab w:val="num" w:pos="360"/>
      </w:tabs>
    </w:pPr>
  </w:style>
  <w:style w:type="character" w:customStyle="1" w:styleId="NumberLevel1Char">
    <w:name w:val="Number Level 1 Char"/>
    <w:link w:val="NumberLevel1"/>
    <w:rsid w:val="00731A33"/>
    <w:rPr>
      <w:rFonts w:ascii="Arial" w:hAnsi="Arial" w:cs="Arial"/>
      <w:sz w:val="22"/>
      <w:szCs w:val="22"/>
      <w:lang w:val="en-AU" w:eastAsia="en-AU" w:bidi="ar-SA"/>
    </w:rPr>
  </w:style>
  <w:style w:type="paragraph" w:customStyle="1" w:styleId="plainparagraph">
    <w:name w:val="plainparagraph"/>
    <w:basedOn w:val="Normal"/>
    <w:rsid w:val="00890801"/>
    <w:pPr>
      <w:spacing w:before="100" w:beforeAutospacing="1" w:after="100" w:afterAutospacing="1"/>
    </w:pPr>
  </w:style>
  <w:style w:type="character" w:customStyle="1" w:styleId="Heading3Char">
    <w:name w:val="Heading 3 Char"/>
    <w:link w:val="Heading3"/>
    <w:uiPriority w:val="9"/>
    <w:rsid w:val="00890801"/>
    <w:rPr>
      <w:b/>
      <w:bCs/>
      <w:sz w:val="27"/>
      <w:szCs w:val="27"/>
    </w:rPr>
  </w:style>
  <w:style w:type="character" w:styleId="CommentReference">
    <w:name w:val="annotation reference"/>
    <w:basedOn w:val="DefaultParagraphFont"/>
    <w:rsid w:val="00931EBF"/>
    <w:rPr>
      <w:sz w:val="16"/>
      <w:szCs w:val="16"/>
    </w:rPr>
  </w:style>
  <w:style w:type="paragraph" w:styleId="CommentText">
    <w:name w:val="annotation text"/>
    <w:basedOn w:val="Normal"/>
    <w:link w:val="CommentTextChar"/>
    <w:rsid w:val="00931EBF"/>
    <w:rPr>
      <w:sz w:val="20"/>
      <w:szCs w:val="20"/>
    </w:rPr>
  </w:style>
  <w:style w:type="character" w:customStyle="1" w:styleId="CommentTextChar">
    <w:name w:val="Comment Text Char"/>
    <w:basedOn w:val="DefaultParagraphFont"/>
    <w:link w:val="CommentText"/>
    <w:rsid w:val="00931EBF"/>
  </w:style>
  <w:style w:type="paragraph" w:styleId="CommentSubject">
    <w:name w:val="annotation subject"/>
    <w:basedOn w:val="CommentText"/>
    <w:next w:val="CommentText"/>
    <w:link w:val="CommentSubjectChar"/>
    <w:rsid w:val="00931EBF"/>
    <w:rPr>
      <w:b/>
      <w:bCs/>
    </w:rPr>
  </w:style>
  <w:style w:type="character" w:customStyle="1" w:styleId="CommentSubjectChar">
    <w:name w:val="Comment Subject Char"/>
    <w:basedOn w:val="CommentTextChar"/>
    <w:link w:val="CommentSubject"/>
    <w:rsid w:val="00931EBF"/>
    <w:rPr>
      <w:b/>
      <w:bCs/>
    </w:rPr>
  </w:style>
  <w:style w:type="paragraph" w:styleId="BalloonText">
    <w:name w:val="Balloon Text"/>
    <w:basedOn w:val="Normal"/>
    <w:link w:val="BalloonTextChar"/>
    <w:rsid w:val="00931EBF"/>
    <w:rPr>
      <w:rFonts w:ascii="Tahoma" w:hAnsi="Tahoma" w:cs="Tahoma"/>
      <w:sz w:val="16"/>
      <w:szCs w:val="16"/>
    </w:rPr>
  </w:style>
  <w:style w:type="character" w:customStyle="1" w:styleId="BalloonTextChar">
    <w:name w:val="Balloon Text Char"/>
    <w:basedOn w:val="DefaultParagraphFont"/>
    <w:link w:val="BalloonText"/>
    <w:rsid w:val="00931EBF"/>
    <w:rPr>
      <w:rFonts w:ascii="Tahoma" w:hAnsi="Tahoma" w:cs="Tahoma"/>
      <w:sz w:val="16"/>
      <w:szCs w:val="16"/>
    </w:rPr>
  </w:style>
  <w:style w:type="paragraph" w:customStyle="1" w:styleId="Definition">
    <w:name w:val="Definition"/>
    <w:aliases w:val="dd"/>
    <w:basedOn w:val="Normal"/>
    <w:rsid w:val="004C5677"/>
    <w:pPr>
      <w:spacing w:before="180"/>
      <w:ind w:left="1134"/>
    </w:pPr>
    <w:rPr>
      <w:sz w:val="22"/>
      <w:szCs w:val="20"/>
    </w:rPr>
  </w:style>
  <w:style w:type="paragraph" w:customStyle="1" w:styleId="paragraph">
    <w:name w:val="paragraph"/>
    <w:aliases w:val="a"/>
    <w:basedOn w:val="Normal"/>
    <w:link w:val="paragraphChar"/>
    <w:rsid w:val="004C5677"/>
    <w:pPr>
      <w:tabs>
        <w:tab w:val="right" w:pos="1531"/>
      </w:tabs>
      <w:spacing w:before="40"/>
      <w:ind w:left="1644" w:hanging="1644"/>
    </w:pPr>
    <w:rPr>
      <w:sz w:val="22"/>
      <w:szCs w:val="20"/>
    </w:rPr>
  </w:style>
  <w:style w:type="character" w:customStyle="1" w:styleId="paragraphChar">
    <w:name w:val="paragraph Char"/>
    <w:aliases w:val="a Char"/>
    <w:link w:val="paragraph"/>
    <w:locked/>
    <w:rsid w:val="004C5677"/>
    <w:rPr>
      <w:sz w:val="22"/>
    </w:rPr>
  </w:style>
  <w:style w:type="paragraph" w:customStyle="1" w:styleId="Tablea">
    <w:name w:val="Table(a)"/>
    <w:aliases w:val="ta"/>
    <w:basedOn w:val="Normal"/>
    <w:rsid w:val="004C5677"/>
    <w:pPr>
      <w:spacing w:before="60"/>
      <w:ind w:left="284" w:hanging="284"/>
    </w:pPr>
    <w:rPr>
      <w:sz w:val="20"/>
      <w:szCs w:val="20"/>
    </w:rPr>
  </w:style>
  <w:style w:type="paragraph" w:customStyle="1" w:styleId="Tabletext">
    <w:name w:val="Tabletext"/>
    <w:aliases w:val="tt"/>
    <w:basedOn w:val="Normal"/>
    <w:rsid w:val="004C5677"/>
    <w:pPr>
      <w:spacing w:before="60" w:line="240" w:lineRule="atLeast"/>
    </w:pPr>
    <w:rPr>
      <w:sz w:val="20"/>
      <w:szCs w:val="20"/>
    </w:rPr>
  </w:style>
  <w:style w:type="paragraph" w:customStyle="1" w:styleId="Quotation">
    <w:name w:val="Quotation"/>
    <w:basedOn w:val="Normal"/>
    <w:semiHidden/>
    <w:rsid w:val="002B5E35"/>
    <w:pPr>
      <w:numPr>
        <w:numId w:val="3"/>
      </w:numPr>
      <w:spacing w:after="140" w:line="260" w:lineRule="atLeast"/>
    </w:pPr>
    <w:rPr>
      <w:rFonts w:ascii="Arial" w:hAnsi="Arial" w:cs="Arial"/>
      <w:sz w:val="20"/>
      <w:szCs w:val="22"/>
    </w:rPr>
  </w:style>
  <w:style w:type="paragraph" w:customStyle="1" w:styleId="Quotation1">
    <w:name w:val="Quotation 1"/>
    <w:basedOn w:val="Normal"/>
    <w:rsid w:val="002B5E35"/>
    <w:pPr>
      <w:numPr>
        <w:ilvl w:val="1"/>
        <w:numId w:val="3"/>
      </w:numPr>
      <w:spacing w:after="140" w:line="260" w:lineRule="atLeast"/>
    </w:pPr>
    <w:rPr>
      <w:rFonts w:ascii="Arial" w:hAnsi="Arial" w:cs="Arial"/>
      <w:sz w:val="20"/>
      <w:szCs w:val="22"/>
    </w:rPr>
  </w:style>
  <w:style w:type="paragraph" w:customStyle="1" w:styleId="Quotation2">
    <w:name w:val="Quotation 2"/>
    <w:basedOn w:val="Normal"/>
    <w:semiHidden/>
    <w:rsid w:val="002B5E35"/>
    <w:pPr>
      <w:numPr>
        <w:ilvl w:val="2"/>
        <w:numId w:val="3"/>
      </w:numPr>
      <w:spacing w:after="140" w:line="260" w:lineRule="atLeast"/>
    </w:pPr>
    <w:rPr>
      <w:rFonts w:ascii="Arial" w:hAnsi="Arial" w:cs="Arial"/>
      <w:sz w:val="20"/>
      <w:szCs w:val="22"/>
    </w:rPr>
  </w:style>
  <w:style w:type="paragraph" w:customStyle="1" w:styleId="Quotation3">
    <w:name w:val="Quotation 3"/>
    <w:basedOn w:val="Normal"/>
    <w:semiHidden/>
    <w:rsid w:val="002B5E35"/>
    <w:pPr>
      <w:numPr>
        <w:ilvl w:val="3"/>
        <w:numId w:val="3"/>
      </w:numPr>
      <w:spacing w:after="140" w:line="260" w:lineRule="atLeast"/>
    </w:pPr>
    <w:rPr>
      <w:rFonts w:ascii="Arial" w:hAnsi="Arial" w:cs="Arial"/>
      <w:sz w:val="20"/>
      <w:szCs w:val="22"/>
    </w:rPr>
  </w:style>
  <w:style w:type="paragraph" w:customStyle="1" w:styleId="Quotation4">
    <w:name w:val="Quotation 4"/>
    <w:basedOn w:val="Normal"/>
    <w:semiHidden/>
    <w:rsid w:val="002B5E35"/>
    <w:pPr>
      <w:numPr>
        <w:ilvl w:val="4"/>
        <w:numId w:val="3"/>
      </w:numPr>
      <w:spacing w:after="140" w:line="260" w:lineRule="atLeast"/>
    </w:pPr>
    <w:rPr>
      <w:rFonts w:ascii="Arial" w:hAnsi="Arial" w:cs="Arial"/>
      <w:sz w:val="20"/>
      <w:szCs w:val="22"/>
    </w:rPr>
  </w:style>
  <w:style w:type="paragraph" w:customStyle="1" w:styleId="Quotation5">
    <w:name w:val="Quotation 5"/>
    <w:basedOn w:val="Normal"/>
    <w:semiHidden/>
    <w:rsid w:val="002B5E35"/>
    <w:pPr>
      <w:numPr>
        <w:ilvl w:val="5"/>
        <w:numId w:val="3"/>
      </w:numPr>
      <w:spacing w:after="140" w:line="260" w:lineRule="atLeast"/>
    </w:pPr>
    <w:rPr>
      <w:rFonts w:ascii="Arial" w:hAnsi="Arial" w:cs="Arial"/>
      <w:sz w:val="20"/>
      <w:szCs w:val="22"/>
    </w:rPr>
  </w:style>
  <w:style w:type="paragraph" w:customStyle="1" w:styleId="Quotation6">
    <w:name w:val="Quotation 6"/>
    <w:basedOn w:val="Normal"/>
    <w:semiHidden/>
    <w:rsid w:val="002B5E35"/>
    <w:pPr>
      <w:numPr>
        <w:ilvl w:val="6"/>
        <w:numId w:val="3"/>
      </w:numPr>
      <w:spacing w:after="140" w:line="260" w:lineRule="atLeast"/>
    </w:pPr>
    <w:rPr>
      <w:rFonts w:ascii="Arial" w:hAnsi="Arial" w:cs="Arial"/>
      <w:sz w:val="20"/>
      <w:szCs w:val="22"/>
    </w:rPr>
  </w:style>
  <w:style w:type="paragraph" w:customStyle="1" w:styleId="Quotation7">
    <w:name w:val="Quotation 7"/>
    <w:basedOn w:val="Normal"/>
    <w:semiHidden/>
    <w:rsid w:val="002B5E35"/>
    <w:pPr>
      <w:numPr>
        <w:ilvl w:val="7"/>
        <w:numId w:val="3"/>
      </w:numPr>
      <w:spacing w:after="140" w:line="260" w:lineRule="atLeast"/>
    </w:pPr>
    <w:rPr>
      <w:rFonts w:ascii="Arial" w:hAnsi="Arial" w:cs="Arial"/>
      <w:sz w:val="20"/>
      <w:szCs w:val="22"/>
    </w:rPr>
  </w:style>
  <w:style w:type="paragraph" w:customStyle="1" w:styleId="Quotation8">
    <w:name w:val="Quotation 8"/>
    <w:basedOn w:val="Normal"/>
    <w:semiHidden/>
    <w:rsid w:val="002B5E35"/>
    <w:pPr>
      <w:numPr>
        <w:ilvl w:val="8"/>
        <w:numId w:val="3"/>
      </w:numPr>
      <w:spacing w:after="140" w:line="260" w:lineRule="atLeast"/>
    </w:pPr>
    <w:rPr>
      <w:rFonts w:ascii="Arial" w:hAnsi="Arial" w:cs="Arial"/>
      <w:sz w:val="20"/>
      <w:szCs w:val="22"/>
    </w:rPr>
  </w:style>
  <w:style w:type="paragraph" w:styleId="ListParagraph">
    <w:name w:val="List Paragraph"/>
    <w:basedOn w:val="Normal"/>
    <w:uiPriority w:val="34"/>
    <w:qFormat/>
    <w:rsid w:val="00B266A5"/>
    <w:pPr>
      <w:spacing w:before="240"/>
      <w:ind w:left="720"/>
      <w:contextualSpacing/>
    </w:pPr>
    <w:rPr>
      <w:szCs w:val="20"/>
    </w:rPr>
  </w:style>
  <w:style w:type="paragraph" w:styleId="Header">
    <w:name w:val="header"/>
    <w:basedOn w:val="Normal"/>
    <w:link w:val="HeaderChar"/>
    <w:rsid w:val="00B266A5"/>
    <w:pPr>
      <w:tabs>
        <w:tab w:val="center" w:pos="4513"/>
        <w:tab w:val="right" w:pos="9026"/>
      </w:tabs>
    </w:pPr>
  </w:style>
  <w:style w:type="character" w:customStyle="1" w:styleId="HeaderChar">
    <w:name w:val="Header Char"/>
    <w:basedOn w:val="DefaultParagraphFont"/>
    <w:link w:val="Header"/>
    <w:rsid w:val="00B266A5"/>
    <w:rPr>
      <w:sz w:val="24"/>
      <w:szCs w:val="24"/>
    </w:rPr>
  </w:style>
  <w:style w:type="paragraph" w:styleId="Footer">
    <w:name w:val="footer"/>
    <w:basedOn w:val="Normal"/>
    <w:link w:val="FooterChar"/>
    <w:rsid w:val="00B266A5"/>
    <w:pPr>
      <w:tabs>
        <w:tab w:val="center" w:pos="4513"/>
        <w:tab w:val="right" w:pos="9026"/>
      </w:tabs>
    </w:pPr>
  </w:style>
  <w:style w:type="character" w:customStyle="1" w:styleId="FooterChar">
    <w:name w:val="Footer Char"/>
    <w:basedOn w:val="DefaultParagraphFont"/>
    <w:link w:val="Footer"/>
    <w:rsid w:val="00B266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7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5528</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Customs Service</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Brett Harris</dc:creator>
  <cp:lastModifiedBy>Alabaster, John</cp:lastModifiedBy>
  <cp:revision>2</cp:revision>
  <dcterms:created xsi:type="dcterms:W3CDTF">2015-12-08T02:56:00Z</dcterms:created>
  <dcterms:modified xsi:type="dcterms:W3CDTF">2015-12-08T02:56:00Z</dcterms:modified>
</cp:coreProperties>
</file>