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6BD" w:rsidRPr="002C6D26" w:rsidRDefault="00E62E09" w:rsidP="001A2234">
      <w:pPr>
        <w:pStyle w:val="Heading"/>
        <w:spacing w:after="240"/>
        <w:jc w:val="center"/>
        <w:rPr>
          <w:rFonts w:ascii="Times New Roman" w:hAnsi="Times New Roman"/>
          <w:sz w:val="24"/>
          <w:szCs w:val="24"/>
        </w:rPr>
      </w:pPr>
      <w:bookmarkStart w:id="0" w:name="_GoBack"/>
      <w:bookmarkEnd w:id="0"/>
      <w:r w:rsidRPr="00E62E09">
        <w:rPr>
          <w:rFonts w:ascii="Times New Roman" w:hAnsi="Times New Roman"/>
          <w:sz w:val="24"/>
          <w:szCs w:val="24"/>
        </w:rPr>
        <w:t>Financial Sector (Collection of Data) (reporting standard)</w:t>
      </w:r>
      <w:r w:rsidR="001A2ADB">
        <w:rPr>
          <w:rFonts w:ascii="Times New Roman" w:hAnsi="Times New Roman"/>
          <w:sz w:val="24"/>
          <w:szCs w:val="24"/>
        </w:rPr>
        <w:t xml:space="preserve"> </w:t>
      </w:r>
      <w:r w:rsidR="002436BD" w:rsidRPr="002C6D26">
        <w:rPr>
          <w:rFonts w:ascii="Times New Roman" w:hAnsi="Times New Roman"/>
          <w:sz w:val="24"/>
          <w:szCs w:val="24"/>
        </w:rPr>
        <w:t>determination</w:t>
      </w:r>
      <w:r w:rsidR="00DC4155">
        <w:rPr>
          <w:rFonts w:ascii="Times New Roman" w:hAnsi="Times New Roman"/>
          <w:sz w:val="24"/>
          <w:szCs w:val="24"/>
        </w:rPr>
        <w:t>s</w:t>
      </w:r>
      <w:r w:rsidR="002436BD" w:rsidRPr="002C6D26">
        <w:rPr>
          <w:rFonts w:ascii="Times New Roman" w:hAnsi="Times New Roman"/>
          <w:sz w:val="24"/>
          <w:szCs w:val="24"/>
        </w:rPr>
        <w:t xml:space="preserve"> </w:t>
      </w:r>
      <w:r w:rsidR="001E638F" w:rsidRPr="00823B13">
        <w:rPr>
          <w:rFonts w:ascii="Times New Roman" w:hAnsi="Times New Roman"/>
          <w:sz w:val="24"/>
          <w:szCs w:val="24"/>
        </w:rPr>
        <w:t>No. 3</w:t>
      </w:r>
      <w:r w:rsidR="001E638F">
        <w:rPr>
          <w:rFonts w:ascii="Times New Roman" w:hAnsi="Times New Roman"/>
          <w:sz w:val="24"/>
          <w:szCs w:val="24"/>
        </w:rPr>
        <w:t>7</w:t>
      </w:r>
      <w:r w:rsidR="001E638F" w:rsidRPr="00823B13">
        <w:rPr>
          <w:rFonts w:ascii="Times New Roman" w:hAnsi="Times New Roman"/>
          <w:sz w:val="24"/>
          <w:szCs w:val="24"/>
        </w:rPr>
        <w:t>,</w:t>
      </w:r>
      <w:r w:rsidR="001E638F">
        <w:rPr>
          <w:rFonts w:ascii="Times New Roman" w:hAnsi="Times New Roman"/>
          <w:sz w:val="24"/>
          <w:szCs w:val="24"/>
        </w:rPr>
        <w:t xml:space="preserve"> 38, 39, 40 and 41</w:t>
      </w:r>
      <w:r w:rsidR="001E638F" w:rsidRPr="00823B13">
        <w:rPr>
          <w:rFonts w:ascii="Times New Roman" w:hAnsi="Times New Roman"/>
          <w:sz w:val="24"/>
          <w:szCs w:val="24"/>
        </w:rPr>
        <w:t xml:space="preserve"> </w:t>
      </w:r>
      <w:r w:rsidR="002436BD" w:rsidRPr="00DC4155">
        <w:rPr>
          <w:rFonts w:ascii="Times New Roman" w:hAnsi="Times New Roman"/>
          <w:sz w:val="24"/>
          <w:szCs w:val="24"/>
        </w:rPr>
        <w:t>20</w:t>
      </w:r>
      <w:r w:rsidR="00DC4155" w:rsidRPr="00DC4155">
        <w:rPr>
          <w:rFonts w:ascii="Times New Roman" w:hAnsi="Times New Roman"/>
          <w:sz w:val="24"/>
          <w:szCs w:val="24"/>
        </w:rPr>
        <w:t>15</w:t>
      </w:r>
      <w:r w:rsidR="00B43670">
        <w:rPr>
          <w:rFonts w:ascii="Times New Roman" w:hAnsi="Times New Roman"/>
          <w:sz w:val="24"/>
          <w:szCs w:val="24"/>
        </w:rPr>
        <w:t xml:space="preserve"> </w:t>
      </w:r>
    </w:p>
    <w:p w:rsidR="002436BD" w:rsidRPr="002C6D26" w:rsidRDefault="002436BD" w:rsidP="001A2234">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rsidR="002436BD" w:rsidRPr="002C6D26" w:rsidRDefault="002436BD" w:rsidP="001A2234">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rsidR="001A2ADB" w:rsidRDefault="001A2ADB" w:rsidP="001A2234">
      <w:pPr>
        <w:pStyle w:val="heading0"/>
        <w:spacing w:before="0" w:beforeAutospacing="0" w:after="240" w:afterAutospacing="0"/>
        <w:jc w:val="center"/>
      </w:pPr>
      <w:r>
        <w:rPr>
          <w:i/>
          <w:iCs/>
        </w:rPr>
        <w:t>Financial Sector (Collection of Data) Act 2001</w:t>
      </w:r>
      <w:r>
        <w:t>, sections 13 and 15</w:t>
      </w:r>
    </w:p>
    <w:p w:rsidR="00380068" w:rsidRDefault="00380068" w:rsidP="001A2234">
      <w:pPr>
        <w:pStyle w:val="heading0"/>
        <w:spacing w:before="0" w:beforeAutospacing="0" w:after="240" w:afterAutospacing="0"/>
        <w:jc w:val="center"/>
      </w:pPr>
      <w:r w:rsidRPr="00380068">
        <w:rPr>
          <w:i/>
        </w:rPr>
        <w:t>Acts Interpretation Act 1901</w:t>
      </w:r>
      <w:r>
        <w:t>, section 33</w:t>
      </w:r>
    </w:p>
    <w:p w:rsidR="002436BD" w:rsidRPr="002C6D26" w:rsidRDefault="002436BD" w:rsidP="001A2234">
      <w:pPr>
        <w:widowControl w:val="0"/>
        <w:spacing w:after="240"/>
        <w:jc w:val="both"/>
        <w:rPr>
          <w:rFonts w:ascii="Times New Roman" w:hAnsi="Times New Roman"/>
          <w:sz w:val="24"/>
          <w:szCs w:val="24"/>
        </w:rPr>
      </w:pPr>
      <w:bookmarkStart w:id="2" w:name="bkAct"/>
      <w:bookmarkStart w:id="3" w:name="bkExplanatory"/>
      <w:bookmarkEnd w:id="2"/>
      <w:bookmarkEnd w:id="3"/>
      <w:r w:rsidRPr="002C6D26">
        <w:rPr>
          <w:rFonts w:ascii="Times New Roman" w:hAnsi="Times New Roman"/>
          <w:sz w:val="24"/>
          <w:szCs w:val="24"/>
        </w:rPr>
        <w:t xml:space="preserve">Under subsection </w:t>
      </w:r>
      <w:r w:rsidR="001A2ADB">
        <w:rPr>
          <w:rFonts w:ascii="Times New Roman" w:hAnsi="Times New Roman"/>
          <w:sz w:val="24"/>
          <w:szCs w:val="24"/>
        </w:rPr>
        <w:t>13</w:t>
      </w:r>
      <w:r w:rsidRPr="002C6D26">
        <w:rPr>
          <w:rFonts w:ascii="Times New Roman" w:hAnsi="Times New Roman"/>
          <w:sz w:val="24"/>
          <w:szCs w:val="24"/>
        </w:rPr>
        <w:t xml:space="preserve">(1) of the </w:t>
      </w:r>
      <w:r w:rsidR="001A2ADB"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001A2ADB" w:rsidRPr="001A2ADB">
        <w:rPr>
          <w:rFonts w:ascii="Times New Roman" w:hAnsi="Times New Roman"/>
          <w:sz w:val="24"/>
          <w:szCs w:val="24"/>
        </w:rPr>
        <w:t>has the power to determine reporting standards, in writing, with which financial sector entities must comply.  Such standards relate to reporting financial or accounting data and other information regarding the business or activities of the entities.</w:t>
      </w:r>
      <w:r w:rsidR="00BD6360">
        <w:rPr>
          <w:rFonts w:ascii="Times New Roman" w:hAnsi="Times New Roman"/>
          <w:sz w:val="24"/>
          <w:szCs w:val="24"/>
        </w:rPr>
        <w:t xml:space="preserve"> </w:t>
      </w:r>
      <w:r w:rsidR="00BD6360" w:rsidRPr="00BD6360">
        <w:t xml:space="preserve"> </w:t>
      </w:r>
      <w:r w:rsidR="00BD6360" w:rsidRPr="00BD6360">
        <w:rPr>
          <w:rFonts w:ascii="Times New Roman" w:hAnsi="Times New Roman"/>
          <w:sz w:val="24"/>
          <w:szCs w:val="24"/>
        </w:rPr>
        <w:t xml:space="preserve">Subsection 33(3) of the </w:t>
      </w:r>
      <w:r w:rsidR="00BD6360" w:rsidRPr="00BD6360">
        <w:rPr>
          <w:rFonts w:ascii="Times New Roman" w:hAnsi="Times New Roman"/>
          <w:i/>
          <w:sz w:val="24"/>
          <w:szCs w:val="24"/>
        </w:rPr>
        <w:t>Acts Interpretation Act 1901</w:t>
      </w:r>
      <w:r w:rsidR="00BD6360"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rsidR="00246723" w:rsidRPr="00246723" w:rsidRDefault="00246723" w:rsidP="001A2234">
      <w:pPr>
        <w:spacing w:after="240"/>
        <w:jc w:val="both"/>
        <w:rPr>
          <w:rFonts w:ascii="Times New Roman" w:hAnsi="Times New Roman"/>
          <w:sz w:val="24"/>
          <w:szCs w:val="24"/>
        </w:rPr>
      </w:pPr>
      <w:r w:rsidRPr="00246723">
        <w:rPr>
          <w:rFonts w:ascii="Times New Roman" w:hAnsi="Times New Roman"/>
          <w:sz w:val="24"/>
          <w:szCs w:val="24"/>
        </w:rPr>
        <w:t xml:space="preserve">On </w:t>
      </w:r>
      <w:r w:rsidR="00896BA4">
        <w:rPr>
          <w:rFonts w:ascii="Times New Roman" w:hAnsi="Times New Roman"/>
          <w:sz w:val="24"/>
          <w:szCs w:val="24"/>
        </w:rPr>
        <w:t>10</w:t>
      </w:r>
      <w:r w:rsidR="00B43670">
        <w:rPr>
          <w:rFonts w:ascii="Times New Roman" w:hAnsi="Times New Roman"/>
          <w:sz w:val="24"/>
          <w:szCs w:val="24"/>
        </w:rPr>
        <w:t xml:space="preserve"> December 2015,</w:t>
      </w:r>
      <w:r w:rsidRPr="00246723">
        <w:rPr>
          <w:rFonts w:ascii="Times New Roman" w:hAnsi="Times New Roman"/>
          <w:sz w:val="24"/>
          <w:szCs w:val="24"/>
        </w:rPr>
        <w:t xml:space="preserve"> APRA made the following determinations (the instruments):</w:t>
      </w:r>
    </w:p>
    <w:p w:rsidR="00736D41" w:rsidRDefault="000B14BD" w:rsidP="001A2234">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sidR="00736D41">
        <w:rPr>
          <w:rFonts w:ascii="Times New Roman" w:hAnsi="Times New Roman"/>
          <w:sz w:val="24"/>
          <w:szCs w:val="24"/>
        </w:rPr>
        <w:t xml:space="preserve">g standard) determination </w:t>
      </w:r>
      <w:r w:rsidR="00736D41" w:rsidRPr="0059483A">
        <w:rPr>
          <w:rFonts w:ascii="Times New Roman" w:hAnsi="Times New Roman"/>
          <w:sz w:val="24"/>
          <w:szCs w:val="24"/>
        </w:rPr>
        <w:t xml:space="preserve">No. </w:t>
      </w:r>
      <w:r w:rsidR="0059483A" w:rsidRPr="0059483A">
        <w:rPr>
          <w:rFonts w:ascii="Times New Roman" w:hAnsi="Times New Roman"/>
          <w:sz w:val="24"/>
          <w:szCs w:val="24"/>
        </w:rPr>
        <w:t>3</w:t>
      </w:r>
      <w:r w:rsidR="00832B4B">
        <w:rPr>
          <w:rFonts w:ascii="Times New Roman" w:hAnsi="Times New Roman"/>
          <w:sz w:val="24"/>
          <w:szCs w:val="24"/>
        </w:rPr>
        <w:t>7</w:t>
      </w:r>
      <w:r w:rsidR="00736D41" w:rsidRPr="0059483A">
        <w:rPr>
          <w:rFonts w:ascii="Times New Roman" w:hAnsi="Times New Roman"/>
          <w:sz w:val="24"/>
          <w:szCs w:val="24"/>
        </w:rPr>
        <w:t xml:space="preserve"> </w:t>
      </w:r>
      <w:r w:rsidRPr="0059483A">
        <w:rPr>
          <w:rFonts w:ascii="Times New Roman" w:hAnsi="Times New Roman"/>
          <w:sz w:val="24"/>
          <w:szCs w:val="24"/>
        </w:rPr>
        <w:t>of 20</w:t>
      </w:r>
      <w:r w:rsidR="0059483A" w:rsidRPr="0059483A">
        <w:rPr>
          <w:rFonts w:ascii="Times New Roman" w:hAnsi="Times New Roman"/>
          <w:sz w:val="24"/>
          <w:szCs w:val="24"/>
        </w:rPr>
        <w:t>15</w:t>
      </w:r>
      <w:r w:rsidR="0059483A">
        <w:rPr>
          <w:rFonts w:ascii="Times New Roman" w:hAnsi="Times New Roman"/>
          <w:sz w:val="24"/>
          <w:szCs w:val="24"/>
        </w:rPr>
        <w:t xml:space="preserve"> </w:t>
      </w:r>
      <w:r w:rsidRPr="000B14BD">
        <w:rPr>
          <w:rFonts w:ascii="Times New Roman" w:hAnsi="Times New Roman"/>
          <w:sz w:val="24"/>
          <w:szCs w:val="24"/>
        </w:rPr>
        <w:t>which</w:t>
      </w:r>
      <w:r w:rsidR="00736D41">
        <w:rPr>
          <w:rFonts w:ascii="Times New Roman" w:hAnsi="Times New Roman"/>
          <w:sz w:val="24"/>
          <w:szCs w:val="24"/>
        </w:rPr>
        <w:t>:</w:t>
      </w:r>
    </w:p>
    <w:p w:rsidR="00736D41" w:rsidRDefault="00832B4B" w:rsidP="00832B4B">
      <w:pPr>
        <w:widowControl w:val="0"/>
        <w:numPr>
          <w:ilvl w:val="1"/>
          <w:numId w:val="4"/>
        </w:numPr>
        <w:spacing w:after="240"/>
        <w:jc w:val="both"/>
        <w:rPr>
          <w:rFonts w:ascii="Times New Roman" w:hAnsi="Times New Roman"/>
          <w:sz w:val="24"/>
          <w:szCs w:val="24"/>
        </w:rPr>
      </w:pPr>
      <w:r>
        <w:rPr>
          <w:rFonts w:ascii="Times New Roman" w:hAnsi="Times New Roman"/>
          <w:sz w:val="24"/>
          <w:szCs w:val="24"/>
        </w:rPr>
        <w:t xml:space="preserve">revokes </w:t>
      </w:r>
      <w:r w:rsidRPr="00832B4B">
        <w:rPr>
          <w:rFonts w:ascii="Times New Roman" w:hAnsi="Times New Roman"/>
          <w:i/>
          <w:sz w:val="24"/>
          <w:szCs w:val="24"/>
        </w:rPr>
        <w:t>Reporting Standard SRS 532.0 Investment Exposure Concentrations</w:t>
      </w:r>
      <w:r w:rsidR="001E638F">
        <w:rPr>
          <w:rFonts w:ascii="Times New Roman" w:hAnsi="Times New Roman"/>
          <w:i/>
          <w:sz w:val="24"/>
          <w:szCs w:val="24"/>
        </w:rPr>
        <w:t xml:space="preserve"> </w:t>
      </w:r>
      <w:r w:rsidR="001E638F" w:rsidRPr="000B14BD">
        <w:rPr>
          <w:rFonts w:ascii="Times New Roman" w:hAnsi="Times New Roman"/>
          <w:sz w:val="24"/>
          <w:szCs w:val="24"/>
        </w:rPr>
        <w:t>(</w:t>
      </w:r>
      <w:r w:rsidR="001E638F">
        <w:rPr>
          <w:rFonts w:ascii="Times New Roman" w:hAnsi="Times New Roman"/>
          <w:sz w:val="24"/>
          <w:szCs w:val="24"/>
        </w:rPr>
        <w:t>S</w:t>
      </w:r>
      <w:r w:rsidR="001E638F" w:rsidRPr="000B14BD">
        <w:rPr>
          <w:rFonts w:ascii="Times New Roman" w:hAnsi="Times New Roman"/>
          <w:sz w:val="24"/>
          <w:szCs w:val="24"/>
        </w:rPr>
        <w:t xml:space="preserve">RS </w:t>
      </w:r>
      <w:r w:rsidR="001E638F">
        <w:rPr>
          <w:rFonts w:ascii="Times New Roman" w:hAnsi="Times New Roman"/>
          <w:sz w:val="24"/>
          <w:szCs w:val="24"/>
        </w:rPr>
        <w:t>532.0</w:t>
      </w:r>
      <w:r w:rsidR="001E638F" w:rsidRPr="000B14BD">
        <w:rPr>
          <w:rFonts w:ascii="Times New Roman" w:hAnsi="Times New Roman"/>
          <w:sz w:val="24"/>
          <w:szCs w:val="24"/>
        </w:rPr>
        <w:t>)</w:t>
      </w:r>
      <w:r w:rsidRPr="00832B4B">
        <w:rPr>
          <w:rFonts w:ascii="Times New Roman" w:hAnsi="Times New Roman"/>
          <w:i/>
          <w:sz w:val="24"/>
          <w:szCs w:val="24"/>
        </w:rPr>
        <w:t xml:space="preserve"> </w:t>
      </w:r>
      <w:r w:rsidR="00736D41" w:rsidRPr="00736D41">
        <w:rPr>
          <w:rFonts w:ascii="Times New Roman" w:hAnsi="Times New Roman"/>
          <w:sz w:val="24"/>
          <w:szCs w:val="24"/>
        </w:rPr>
        <w:t xml:space="preserve">made under Financial Sector (Collection of Data) (reporting standard) determination </w:t>
      </w:r>
      <w:r w:rsidR="00E22593" w:rsidRPr="00E22593">
        <w:rPr>
          <w:rFonts w:ascii="Times New Roman" w:hAnsi="Times New Roman"/>
          <w:sz w:val="24"/>
          <w:szCs w:val="24"/>
        </w:rPr>
        <w:t xml:space="preserve">No. </w:t>
      </w:r>
      <w:r>
        <w:rPr>
          <w:rFonts w:ascii="Times New Roman" w:hAnsi="Times New Roman"/>
          <w:sz w:val="24"/>
          <w:szCs w:val="24"/>
        </w:rPr>
        <w:t>27</w:t>
      </w:r>
      <w:r w:rsidR="00E22593" w:rsidRPr="00E22593">
        <w:rPr>
          <w:rFonts w:ascii="Times New Roman" w:hAnsi="Times New Roman"/>
          <w:sz w:val="24"/>
          <w:szCs w:val="24"/>
        </w:rPr>
        <w:t xml:space="preserve"> of 2014</w:t>
      </w:r>
      <w:r w:rsidR="00736D41">
        <w:rPr>
          <w:rFonts w:ascii="Times New Roman" w:hAnsi="Times New Roman"/>
          <w:sz w:val="24"/>
          <w:szCs w:val="24"/>
        </w:rPr>
        <w:t>; and</w:t>
      </w:r>
    </w:p>
    <w:p w:rsidR="00AC7A56" w:rsidRDefault="000B14BD" w:rsidP="00E22593">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 xml:space="preserve">determines </w:t>
      </w:r>
      <w:r w:rsidR="00832B4B" w:rsidRPr="00832B4B">
        <w:rPr>
          <w:rFonts w:ascii="Times New Roman" w:hAnsi="Times New Roman"/>
          <w:i/>
          <w:sz w:val="24"/>
          <w:szCs w:val="24"/>
        </w:rPr>
        <w:t>Reporting Standard SRS 532.0 Inv</w:t>
      </w:r>
      <w:r w:rsidR="001E638F">
        <w:rPr>
          <w:rFonts w:ascii="Times New Roman" w:hAnsi="Times New Roman"/>
          <w:i/>
          <w:sz w:val="24"/>
          <w:szCs w:val="24"/>
        </w:rPr>
        <w:t>estment Exposure Concentrations</w:t>
      </w:r>
      <w:r w:rsidR="001E638F" w:rsidRPr="001E638F">
        <w:rPr>
          <w:rFonts w:ascii="Times New Roman" w:hAnsi="Times New Roman"/>
          <w:sz w:val="24"/>
          <w:szCs w:val="24"/>
        </w:rPr>
        <w:t>;</w:t>
      </w:r>
    </w:p>
    <w:p w:rsidR="00CC7FBE" w:rsidRDefault="00CC7FBE" w:rsidP="00CC7FBE">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 xml:space="preserve">Financial Sector (Collection of Data) (reporting standard) determination </w:t>
      </w:r>
      <w:r w:rsidRPr="00BF6207">
        <w:rPr>
          <w:rFonts w:ascii="Times New Roman" w:hAnsi="Times New Roman"/>
          <w:sz w:val="24"/>
          <w:szCs w:val="24"/>
        </w:rPr>
        <w:t xml:space="preserve">No. </w:t>
      </w:r>
      <w:r>
        <w:rPr>
          <w:rFonts w:ascii="Times New Roman" w:hAnsi="Times New Roman"/>
          <w:sz w:val="24"/>
          <w:szCs w:val="24"/>
        </w:rPr>
        <w:t xml:space="preserve">38 </w:t>
      </w:r>
      <w:r w:rsidRPr="00BF6207">
        <w:rPr>
          <w:rFonts w:ascii="Times New Roman" w:hAnsi="Times New Roman"/>
          <w:sz w:val="24"/>
          <w:szCs w:val="24"/>
        </w:rPr>
        <w:t>of 2015</w:t>
      </w:r>
      <w:r w:rsidRPr="000B14BD">
        <w:rPr>
          <w:rFonts w:ascii="Times New Roman" w:hAnsi="Times New Roman"/>
          <w:sz w:val="24"/>
          <w:szCs w:val="24"/>
        </w:rPr>
        <w:t xml:space="preserve"> which</w:t>
      </w:r>
      <w:r>
        <w:rPr>
          <w:rFonts w:ascii="Times New Roman" w:hAnsi="Times New Roman"/>
          <w:sz w:val="24"/>
          <w:szCs w:val="24"/>
        </w:rPr>
        <w:t xml:space="preserve"> </w:t>
      </w:r>
      <w:r w:rsidRPr="00207B92">
        <w:rPr>
          <w:rFonts w:ascii="Times New Roman" w:hAnsi="Times New Roman"/>
          <w:sz w:val="24"/>
          <w:szCs w:val="24"/>
        </w:rPr>
        <w:t xml:space="preserve">determines </w:t>
      </w:r>
      <w:r w:rsidRPr="00CC7FBE">
        <w:rPr>
          <w:rFonts w:ascii="Times New Roman" w:hAnsi="Times New Roman"/>
          <w:i/>
          <w:sz w:val="24"/>
          <w:szCs w:val="24"/>
        </w:rPr>
        <w:t xml:space="preserve">Reporting Standard SRS 533.1 Asset Allocation and Members’ Benefits Flows </w:t>
      </w:r>
      <w:r w:rsidRPr="00207B92">
        <w:rPr>
          <w:rFonts w:ascii="Times New Roman" w:hAnsi="Times New Roman"/>
          <w:sz w:val="24"/>
          <w:szCs w:val="24"/>
        </w:rPr>
        <w:t xml:space="preserve">(SRS </w:t>
      </w:r>
      <w:r>
        <w:rPr>
          <w:rFonts w:ascii="Times New Roman" w:hAnsi="Times New Roman"/>
          <w:sz w:val="24"/>
          <w:szCs w:val="24"/>
        </w:rPr>
        <w:t>533.1</w:t>
      </w:r>
      <w:r w:rsidRPr="00207B92">
        <w:rPr>
          <w:rFonts w:ascii="Times New Roman" w:hAnsi="Times New Roman"/>
          <w:sz w:val="24"/>
          <w:szCs w:val="24"/>
        </w:rPr>
        <w:t xml:space="preserve">); </w:t>
      </w:r>
    </w:p>
    <w:p w:rsidR="00832B4B" w:rsidRDefault="00832B4B" w:rsidP="00832B4B">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 xml:space="preserve">g standard) determination </w:t>
      </w:r>
      <w:r w:rsidRPr="0059483A">
        <w:rPr>
          <w:rFonts w:ascii="Times New Roman" w:hAnsi="Times New Roman"/>
          <w:sz w:val="24"/>
          <w:szCs w:val="24"/>
        </w:rPr>
        <w:t>No. 3</w:t>
      </w:r>
      <w:r w:rsidR="00CC7FBE">
        <w:rPr>
          <w:rFonts w:ascii="Times New Roman" w:hAnsi="Times New Roman"/>
          <w:sz w:val="24"/>
          <w:szCs w:val="24"/>
        </w:rPr>
        <w:t>9</w:t>
      </w:r>
      <w:r w:rsidRPr="0059483A">
        <w:rPr>
          <w:rFonts w:ascii="Times New Roman" w:hAnsi="Times New Roman"/>
          <w:sz w:val="24"/>
          <w:szCs w:val="24"/>
        </w:rPr>
        <w:t xml:space="preserve"> of 2015</w:t>
      </w:r>
      <w:r>
        <w:rPr>
          <w:rFonts w:ascii="Times New Roman" w:hAnsi="Times New Roman"/>
          <w:sz w:val="24"/>
          <w:szCs w:val="24"/>
        </w:rPr>
        <w:t xml:space="preserve"> </w:t>
      </w:r>
      <w:r w:rsidRPr="000B14BD">
        <w:rPr>
          <w:rFonts w:ascii="Times New Roman" w:hAnsi="Times New Roman"/>
          <w:sz w:val="24"/>
          <w:szCs w:val="24"/>
        </w:rPr>
        <w:t>which</w:t>
      </w:r>
      <w:r w:rsidR="008B0E30">
        <w:rPr>
          <w:rFonts w:ascii="Times New Roman" w:hAnsi="Times New Roman"/>
          <w:sz w:val="24"/>
          <w:szCs w:val="24"/>
        </w:rPr>
        <w:t xml:space="preserve"> determines </w:t>
      </w:r>
      <w:r w:rsidR="008B0E30">
        <w:rPr>
          <w:rFonts w:ascii="Times New Roman" w:hAnsi="Times New Roman"/>
          <w:i/>
          <w:sz w:val="24"/>
          <w:szCs w:val="24"/>
        </w:rPr>
        <w:t>Reporting Standard SRS 534.0 Derivative Financial Instruments</w:t>
      </w:r>
      <w:r w:rsidR="008B0E30">
        <w:rPr>
          <w:rFonts w:ascii="Times New Roman" w:hAnsi="Times New Roman"/>
          <w:sz w:val="24"/>
          <w:szCs w:val="24"/>
        </w:rPr>
        <w:t xml:space="preserve">; </w:t>
      </w:r>
    </w:p>
    <w:p w:rsidR="00CA0564" w:rsidRDefault="00CA0564" w:rsidP="00CA0564">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 xml:space="preserve">g standard) determination </w:t>
      </w:r>
      <w:r w:rsidRPr="0059483A">
        <w:rPr>
          <w:rFonts w:ascii="Times New Roman" w:hAnsi="Times New Roman"/>
          <w:sz w:val="24"/>
          <w:szCs w:val="24"/>
        </w:rPr>
        <w:t xml:space="preserve">No. </w:t>
      </w:r>
      <w:r>
        <w:rPr>
          <w:rFonts w:ascii="Times New Roman" w:hAnsi="Times New Roman"/>
          <w:sz w:val="24"/>
          <w:szCs w:val="24"/>
        </w:rPr>
        <w:t>40</w:t>
      </w:r>
      <w:r w:rsidRPr="0059483A">
        <w:rPr>
          <w:rFonts w:ascii="Times New Roman" w:hAnsi="Times New Roman"/>
          <w:sz w:val="24"/>
          <w:szCs w:val="24"/>
        </w:rPr>
        <w:t xml:space="preserve"> of 2015</w:t>
      </w:r>
      <w:r>
        <w:rPr>
          <w:rFonts w:ascii="Times New Roman" w:hAnsi="Times New Roman"/>
          <w:sz w:val="24"/>
          <w:szCs w:val="24"/>
        </w:rPr>
        <w:t xml:space="preserve"> </w:t>
      </w:r>
      <w:r w:rsidRPr="000B14BD">
        <w:rPr>
          <w:rFonts w:ascii="Times New Roman" w:hAnsi="Times New Roman"/>
          <w:sz w:val="24"/>
          <w:szCs w:val="24"/>
        </w:rPr>
        <w:t>which</w:t>
      </w:r>
      <w:r>
        <w:rPr>
          <w:rFonts w:ascii="Times New Roman" w:hAnsi="Times New Roman"/>
          <w:sz w:val="24"/>
          <w:szCs w:val="24"/>
        </w:rPr>
        <w:t>:</w:t>
      </w:r>
    </w:p>
    <w:p w:rsidR="00CA0564" w:rsidRDefault="00CA0564" w:rsidP="00CA0564">
      <w:pPr>
        <w:widowControl w:val="0"/>
        <w:numPr>
          <w:ilvl w:val="1"/>
          <w:numId w:val="4"/>
        </w:numPr>
        <w:spacing w:after="240"/>
        <w:jc w:val="both"/>
        <w:rPr>
          <w:rFonts w:ascii="Times New Roman" w:hAnsi="Times New Roman"/>
          <w:sz w:val="24"/>
          <w:szCs w:val="24"/>
        </w:rPr>
      </w:pPr>
      <w:r>
        <w:rPr>
          <w:rFonts w:ascii="Times New Roman" w:hAnsi="Times New Roman"/>
          <w:sz w:val="24"/>
          <w:szCs w:val="24"/>
        </w:rPr>
        <w:t xml:space="preserve">revokes </w:t>
      </w:r>
      <w:r w:rsidRPr="00CA0564">
        <w:rPr>
          <w:rFonts w:ascii="Times New Roman" w:hAnsi="Times New Roman"/>
          <w:i/>
          <w:sz w:val="24"/>
          <w:szCs w:val="24"/>
        </w:rPr>
        <w:t>Reporting Standard SRS 702.0 Investment Performance</w:t>
      </w:r>
      <w:r w:rsidR="001E638F">
        <w:rPr>
          <w:rFonts w:ascii="Times New Roman" w:hAnsi="Times New Roman"/>
          <w:i/>
          <w:sz w:val="24"/>
          <w:szCs w:val="24"/>
        </w:rPr>
        <w:t xml:space="preserve"> </w:t>
      </w:r>
      <w:r w:rsidR="001E638F" w:rsidRPr="000B14BD">
        <w:rPr>
          <w:rFonts w:ascii="Times New Roman" w:hAnsi="Times New Roman"/>
          <w:sz w:val="24"/>
          <w:szCs w:val="24"/>
        </w:rPr>
        <w:t>(</w:t>
      </w:r>
      <w:r w:rsidR="001E638F">
        <w:rPr>
          <w:rFonts w:ascii="Times New Roman" w:hAnsi="Times New Roman"/>
          <w:sz w:val="24"/>
          <w:szCs w:val="24"/>
        </w:rPr>
        <w:t>S</w:t>
      </w:r>
      <w:r w:rsidR="001E638F" w:rsidRPr="000B14BD">
        <w:rPr>
          <w:rFonts w:ascii="Times New Roman" w:hAnsi="Times New Roman"/>
          <w:sz w:val="24"/>
          <w:szCs w:val="24"/>
        </w:rPr>
        <w:t xml:space="preserve">RS </w:t>
      </w:r>
      <w:r w:rsidR="001E638F">
        <w:rPr>
          <w:rFonts w:ascii="Times New Roman" w:hAnsi="Times New Roman"/>
          <w:sz w:val="24"/>
          <w:szCs w:val="24"/>
        </w:rPr>
        <w:t>702.0</w:t>
      </w:r>
      <w:r w:rsidR="001E638F" w:rsidRPr="000B14BD">
        <w:rPr>
          <w:rFonts w:ascii="Times New Roman" w:hAnsi="Times New Roman"/>
          <w:sz w:val="24"/>
          <w:szCs w:val="24"/>
        </w:rPr>
        <w:t>)</w:t>
      </w:r>
      <w:r w:rsidRPr="00CA0564">
        <w:rPr>
          <w:rFonts w:ascii="Times New Roman" w:hAnsi="Times New Roman"/>
          <w:i/>
          <w:sz w:val="24"/>
          <w:szCs w:val="24"/>
        </w:rPr>
        <w:t xml:space="preserve"> </w:t>
      </w:r>
      <w:r w:rsidRPr="00736D41">
        <w:rPr>
          <w:rFonts w:ascii="Times New Roman" w:hAnsi="Times New Roman"/>
          <w:sz w:val="24"/>
          <w:szCs w:val="24"/>
        </w:rPr>
        <w:t xml:space="preserve">made under Financial Sector (Collection of Data) (reporting standard) determination </w:t>
      </w:r>
      <w:r w:rsidRPr="00E22593">
        <w:rPr>
          <w:rFonts w:ascii="Times New Roman" w:hAnsi="Times New Roman"/>
          <w:sz w:val="24"/>
          <w:szCs w:val="24"/>
        </w:rPr>
        <w:t xml:space="preserve">No. </w:t>
      </w:r>
      <w:r>
        <w:rPr>
          <w:rFonts w:ascii="Times New Roman" w:hAnsi="Times New Roman"/>
          <w:sz w:val="24"/>
          <w:szCs w:val="24"/>
        </w:rPr>
        <w:t>26</w:t>
      </w:r>
      <w:r w:rsidRPr="00E22593">
        <w:rPr>
          <w:rFonts w:ascii="Times New Roman" w:hAnsi="Times New Roman"/>
          <w:sz w:val="24"/>
          <w:szCs w:val="24"/>
        </w:rPr>
        <w:t xml:space="preserve"> of 201</w:t>
      </w:r>
      <w:r>
        <w:rPr>
          <w:rFonts w:ascii="Times New Roman" w:hAnsi="Times New Roman"/>
          <w:sz w:val="24"/>
          <w:szCs w:val="24"/>
        </w:rPr>
        <w:t>4; and</w:t>
      </w:r>
    </w:p>
    <w:p w:rsidR="00CA0564" w:rsidRDefault="00CA0564" w:rsidP="00CA0564">
      <w:pPr>
        <w:widowControl w:val="0"/>
        <w:numPr>
          <w:ilvl w:val="1"/>
          <w:numId w:val="4"/>
        </w:numPr>
        <w:spacing w:after="240"/>
        <w:jc w:val="both"/>
        <w:rPr>
          <w:rFonts w:ascii="Times New Roman" w:hAnsi="Times New Roman"/>
          <w:sz w:val="24"/>
          <w:szCs w:val="24"/>
        </w:rPr>
      </w:pPr>
      <w:r w:rsidRPr="000B14BD">
        <w:rPr>
          <w:rFonts w:ascii="Times New Roman" w:hAnsi="Times New Roman"/>
          <w:sz w:val="24"/>
          <w:szCs w:val="24"/>
        </w:rPr>
        <w:t xml:space="preserve">determines </w:t>
      </w:r>
      <w:r w:rsidRPr="00CA0564">
        <w:rPr>
          <w:rFonts w:ascii="Times New Roman" w:hAnsi="Times New Roman"/>
          <w:i/>
          <w:sz w:val="24"/>
          <w:szCs w:val="24"/>
        </w:rPr>
        <w:t>Reporting Standard S</w:t>
      </w:r>
      <w:r w:rsidR="001E638F">
        <w:rPr>
          <w:rFonts w:ascii="Times New Roman" w:hAnsi="Times New Roman"/>
          <w:i/>
          <w:sz w:val="24"/>
          <w:szCs w:val="24"/>
        </w:rPr>
        <w:t>RS 702.0 Investment Performance</w:t>
      </w:r>
      <w:r>
        <w:rPr>
          <w:rFonts w:ascii="Times New Roman" w:hAnsi="Times New Roman"/>
          <w:sz w:val="24"/>
          <w:szCs w:val="24"/>
        </w:rPr>
        <w:t>;</w:t>
      </w:r>
      <w:r w:rsidR="008B0E30">
        <w:rPr>
          <w:rFonts w:ascii="Times New Roman" w:hAnsi="Times New Roman"/>
          <w:sz w:val="24"/>
          <w:szCs w:val="24"/>
        </w:rPr>
        <w:t xml:space="preserve"> and</w:t>
      </w:r>
    </w:p>
    <w:p w:rsidR="00CA0564" w:rsidRDefault="00CA0564" w:rsidP="00CA0564">
      <w:pPr>
        <w:widowControl w:val="0"/>
        <w:numPr>
          <w:ilvl w:val="0"/>
          <w:numId w:val="4"/>
        </w:numPr>
        <w:spacing w:after="240"/>
        <w:ind w:left="567" w:hanging="567"/>
        <w:jc w:val="both"/>
        <w:rPr>
          <w:rFonts w:ascii="Times New Roman" w:hAnsi="Times New Roman"/>
          <w:sz w:val="24"/>
          <w:szCs w:val="24"/>
        </w:rPr>
      </w:pPr>
      <w:r w:rsidRPr="000B14BD">
        <w:rPr>
          <w:rFonts w:ascii="Times New Roman" w:hAnsi="Times New Roman"/>
          <w:sz w:val="24"/>
          <w:szCs w:val="24"/>
        </w:rPr>
        <w:t>Financial Sector (Collection of Data) (reportin</w:t>
      </w:r>
      <w:r>
        <w:rPr>
          <w:rFonts w:ascii="Times New Roman" w:hAnsi="Times New Roman"/>
          <w:sz w:val="24"/>
          <w:szCs w:val="24"/>
        </w:rPr>
        <w:t xml:space="preserve">g standard) determination </w:t>
      </w:r>
      <w:r w:rsidRPr="0059483A">
        <w:rPr>
          <w:rFonts w:ascii="Times New Roman" w:hAnsi="Times New Roman"/>
          <w:sz w:val="24"/>
          <w:szCs w:val="24"/>
        </w:rPr>
        <w:t xml:space="preserve">No. </w:t>
      </w:r>
      <w:r>
        <w:rPr>
          <w:rFonts w:ascii="Times New Roman" w:hAnsi="Times New Roman"/>
          <w:sz w:val="24"/>
          <w:szCs w:val="24"/>
        </w:rPr>
        <w:t xml:space="preserve">41 </w:t>
      </w:r>
      <w:r w:rsidRPr="0059483A">
        <w:rPr>
          <w:rFonts w:ascii="Times New Roman" w:hAnsi="Times New Roman"/>
          <w:sz w:val="24"/>
          <w:szCs w:val="24"/>
        </w:rPr>
        <w:t>of 2015</w:t>
      </w:r>
      <w:r>
        <w:rPr>
          <w:rFonts w:ascii="Times New Roman" w:hAnsi="Times New Roman"/>
          <w:sz w:val="24"/>
          <w:szCs w:val="24"/>
        </w:rPr>
        <w:t xml:space="preserve"> </w:t>
      </w:r>
      <w:r w:rsidRPr="000B14BD">
        <w:rPr>
          <w:rFonts w:ascii="Times New Roman" w:hAnsi="Times New Roman"/>
          <w:sz w:val="24"/>
          <w:szCs w:val="24"/>
        </w:rPr>
        <w:t>which</w:t>
      </w:r>
      <w:r>
        <w:rPr>
          <w:rFonts w:ascii="Times New Roman" w:hAnsi="Times New Roman"/>
          <w:sz w:val="24"/>
          <w:szCs w:val="24"/>
        </w:rPr>
        <w:t>:</w:t>
      </w:r>
    </w:p>
    <w:p w:rsidR="00CA0564" w:rsidRDefault="00CA0564" w:rsidP="00CA0564">
      <w:pPr>
        <w:widowControl w:val="0"/>
        <w:numPr>
          <w:ilvl w:val="1"/>
          <w:numId w:val="4"/>
        </w:numPr>
        <w:spacing w:after="240"/>
        <w:jc w:val="both"/>
        <w:rPr>
          <w:rFonts w:ascii="Times New Roman" w:hAnsi="Times New Roman"/>
          <w:sz w:val="24"/>
          <w:szCs w:val="24"/>
        </w:rPr>
      </w:pPr>
      <w:r>
        <w:rPr>
          <w:rFonts w:ascii="Times New Roman" w:hAnsi="Times New Roman"/>
          <w:sz w:val="24"/>
          <w:szCs w:val="24"/>
        </w:rPr>
        <w:lastRenderedPageBreak/>
        <w:t xml:space="preserve">revokes </w:t>
      </w:r>
      <w:r w:rsidRPr="00CA0564">
        <w:rPr>
          <w:rFonts w:ascii="Times New Roman" w:hAnsi="Times New Roman"/>
          <w:i/>
          <w:sz w:val="24"/>
          <w:szCs w:val="24"/>
        </w:rPr>
        <w:t>Reporting Standard SRS 703.0 Fees Disclosed</w:t>
      </w:r>
      <w:r w:rsidR="001E638F">
        <w:rPr>
          <w:rFonts w:ascii="Times New Roman" w:hAnsi="Times New Roman"/>
          <w:i/>
          <w:sz w:val="24"/>
          <w:szCs w:val="24"/>
        </w:rPr>
        <w:t xml:space="preserve"> </w:t>
      </w:r>
      <w:r w:rsidR="001E638F" w:rsidRPr="000B14BD">
        <w:rPr>
          <w:rFonts w:ascii="Times New Roman" w:hAnsi="Times New Roman"/>
          <w:sz w:val="24"/>
          <w:szCs w:val="24"/>
        </w:rPr>
        <w:t>(</w:t>
      </w:r>
      <w:r w:rsidR="001E638F">
        <w:rPr>
          <w:rFonts w:ascii="Times New Roman" w:hAnsi="Times New Roman"/>
          <w:sz w:val="24"/>
          <w:szCs w:val="24"/>
        </w:rPr>
        <w:t>S</w:t>
      </w:r>
      <w:r w:rsidR="001E638F" w:rsidRPr="000B14BD">
        <w:rPr>
          <w:rFonts w:ascii="Times New Roman" w:hAnsi="Times New Roman"/>
          <w:sz w:val="24"/>
          <w:szCs w:val="24"/>
        </w:rPr>
        <w:t xml:space="preserve">RS </w:t>
      </w:r>
      <w:r w:rsidR="001E638F">
        <w:rPr>
          <w:rFonts w:ascii="Times New Roman" w:hAnsi="Times New Roman"/>
          <w:sz w:val="24"/>
          <w:szCs w:val="24"/>
        </w:rPr>
        <w:t>703.0</w:t>
      </w:r>
      <w:r w:rsidR="001E638F" w:rsidRPr="000B14BD">
        <w:rPr>
          <w:rFonts w:ascii="Times New Roman" w:hAnsi="Times New Roman"/>
          <w:sz w:val="24"/>
          <w:szCs w:val="24"/>
        </w:rPr>
        <w:t>)</w:t>
      </w:r>
      <w:r w:rsidRPr="00CA0564">
        <w:rPr>
          <w:rFonts w:ascii="Times New Roman" w:hAnsi="Times New Roman"/>
          <w:i/>
          <w:sz w:val="24"/>
          <w:szCs w:val="24"/>
        </w:rPr>
        <w:t xml:space="preserve"> </w:t>
      </w:r>
      <w:r w:rsidRPr="00736D41">
        <w:rPr>
          <w:rFonts w:ascii="Times New Roman" w:hAnsi="Times New Roman"/>
          <w:sz w:val="24"/>
          <w:szCs w:val="24"/>
        </w:rPr>
        <w:t xml:space="preserve">made under Financial Sector (Collection of Data) (reporting standard) determination </w:t>
      </w:r>
      <w:r w:rsidRPr="00E22593">
        <w:rPr>
          <w:rFonts w:ascii="Times New Roman" w:hAnsi="Times New Roman"/>
          <w:sz w:val="24"/>
          <w:szCs w:val="24"/>
        </w:rPr>
        <w:t>No.</w:t>
      </w:r>
      <w:r>
        <w:rPr>
          <w:rFonts w:ascii="Times New Roman" w:hAnsi="Times New Roman"/>
          <w:sz w:val="24"/>
          <w:szCs w:val="24"/>
        </w:rPr>
        <w:t>100</w:t>
      </w:r>
      <w:r w:rsidRPr="00E22593">
        <w:rPr>
          <w:rFonts w:ascii="Times New Roman" w:hAnsi="Times New Roman"/>
          <w:sz w:val="24"/>
          <w:szCs w:val="24"/>
        </w:rPr>
        <w:t xml:space="preserve"> of 201</w:t>
      </w:r>
      <w:r>
        <w:rPr>
          <w:rFonts w:ascii="Times New Roman" w:hAnsi="Times New Roman"/>
          <w:sz w:val="24"/>
          <w:szCs w:val="24"/>
        </w:rPr>
        <w:t>3; and</w:t>
      </w:r>
    </w:p>
    <w:p w:rsidR="00CA0564" w:rsidRDefault="00CA0564" w:rsidP="00CA0564">
      <w:pPr>
        <w:widowControl w:val="0"/>
        <w:numPr>
          <w:ilvl w:val="1"/>
          <w:numId w:val="4"/>
        </w:numPr>
        <w:spacing w:after="240"/>
        <w:jc w:val="both"/>
        <w:rPr>
          <w:rFonts w:ascii="Times New Roman" w:hAnsi="Times New Roman"/>
          <w:sz w:val="24"/>
          <w:szCs w:val="24"/>
        </w:rPr>
      </w:pPr>
      <w:proofErr w:type="gramStart"/>
      <w:r w:rsidRPr="000B14BD">
        <w:rPr>
          <w:rFonts w:ascii="Times New Roman" w:hAnsi="Times New Roman"/>
          <w:sz w:val="24"/>
          <w:szCs w:val="24"/>
        </w:rPr>
        <w:t>determines</w:t>
      </w:r>
      <w:proofErr w:type="gramEnd"/>
      <w:r w:rsidRPr="000B14BD">
        <w:rPr>
          <w:rFonts w:ascii="Times New Roman" w:hAnsi="Times New Roman"/>
          <w:sz w:val="24"/>
          <w:szCs w:val="24"/>
        </w:rPr>
        <w:t xml:space="preserve"> </w:t>
      </w:r>
      <w:r w:rsidRPr="00CA0564">
        <w:rPr>
          <w:rFonts w:ascii="Times New Roman" w:hAnsi="Times New Roman"/>
          <w:i/>
          <w:sz w:val="24"/>
          <w:szCs w:val="24"/>
        </w:rPr>
        <w:t>Reporting St</w:t>
      </w:r>
      <w:r w:rsidR="001E638F">
        <w:rPr>
          <w:rFonts w:ascii="Times New Roman" w:hAnsi="Times New Roman"/>
          <w:i/>
          <w:sz w:val="24"/>
          <w:szCs w:val="24"/>
        </w:rPr>
        <w:t>andard SRS 703.0 Fees Disclosed</w:t>
      </w:r>
      <w:r w:rsidR="007D3C71">
        <w:rPr>
          <w:rFonts w:ascii="Times New Roman" w:hAnsi="Times New Roman"/>
          <w:sz w:val="24"/>
          <w:szCs w:val="24"/>
        </w:rPr>
        <w:t xml:space="preserve">. </w:t>
      </w:r>
    </w:p>
    <w:p w:rsidR="00585E06" w:rsidRPr="00585E06" w:rsidRDefault="00585E06" w:rsidP="00585E06">
      <w:pPr>
        <w:pStyle w:val="Heading"/>
        <w:keepNext/>
        <w:spacing w:after="240"/>
        <w:outlineLvl w:val="0"/>
        <w:rPr>
          <w:rFonts w:ascii="Times New Roman" w:hAnsi="Times New Roman"/>
          <w:sz w:val="24"/>
          <w:szCs w:val="24"/>
        </w:rPr>
      </w:pPr>
      <w:r w:rsidRPr="00585E06">
        <w:rPr>
          <w:rFonts w:ascii="Times New Roman" w:hAnsi="Times New Roman"/>
          <w:b w:val="0"/>
          <w:sz w:val="24"/>
          <w:szCs w:val="24"/>
        </w:rPr>
        <w:t>This instrument commences on date of registration on the Federal Register of Legislative Instruments.</w:t>
      </w:r>
    </w:p>
    <w:p w:rsidR="000F7AAB" w:rsidRDefault="002436BD" w:rsidP="00585E06">
      <w:pPr>
        <w:pStyle w:val="Heading"/>
        <w:keepNext/>
        <w:numPr>
          <w:ilvl w:val="0"/>
          <w:numId w:val="2"/>
        </w:numPr>
        <w:spacing w:after="240"/>
        <w:outlineLvl w:val="0"/>
        <w:rPr>
          <w:rFonts w:ascii="Times New Roman" w:hAnsi="Times New Roman"/>
          <w:sz w:val="24"/>
          <w:szCs w:val="24"/>
        </w:rPr>
      </w:pPr>
      <w:r w:rsidRPr="002C6D26">
        <w:rPr>
          <w:rFonts w:ascii="Times New Roman" w:hAnsi="Times New Roman"/>
          <w:sz w:val="24"/>
          <w:szCs w:val="24"/>
        </w:rPr>
        <w:t>Background</w:t>
      </w:r>
    </w:p>
    <w:p w:rsidR="00F76A83" w:rsidRDefault="00F76A83" w:rsidP="009C75F6">
      <w:pPr>
        <w:spacing w:after="240"/>
        <w:jc w:val="both"/>
        <w:rPr>
          <w:rFonts w:ascii="Times New Roman" w:hAnsi="Times New Roman"/>
          <w:sz w:val="24"/>
          <w:szCs w:val="24"/>
        </w:rPr>
      </w:pPr>
      <w:bookmarkStart w:id="4" w:name="bkBackground"/>
      <w:bookmarkEnd w:id="4"/>
      <w:r w:rsidRPr="00F76A83">
        <w:rPr>
          <w:rFonts w:ascii="Times New Roman" w:hAnsi="Times New Roman"/>
          <w:sz w:val="24"/>
          <w:szCs w:val="24"/>
        </w:rPr>
        <w:t xml:space="preserve">APRA is empowered to make reporting standards under the Act, which require regulated institutions, including RSE licensees, to submit specified data through various reporting forms. Data from these forms is used by APRA to assist with APRA’s supervisory functions, and also by Government and other agencies such as the Australian Bureau of Statistics and the Australian Securities and Investments Commission. </w:t>
      </w:r>
    </w:p>
    <w:p w:rsidR="004767B6" w:rsidRPr="004767B6" w:rsidRDefault="004767B6" w:rsidP="009C75F6">
      <w:pPr>
        <w:spacing w:after="240"/>
        <w:jc w:val="both"/>
        <w:rPr>
          <w:rFonts w:ascii="Times New Roman" w:hAnsi="Times New Roman"/>
          <w:sz w:val="24"/>
          <w:szCs w:val="24"/>
        </w:rPr>
      </w:pPr>
      <w:r w:rsidRPr="004767B6">
        <w:rPr>
          <w:rFonts w:ascii="Times New Roman" w:hAnsi="Times New Roman"/>
          <w:sz w:val="24"/>
          <w:szCs w:val="24"/>
        </w:rPr>
        <w:t>In 2013 and 2014, APRA released a new suite of reporting standards applying to the superannuation industry. Since the commencement of the new reporting requirements, APRA has received industry feedback on some of these standards, as well as a number of requests for clarification and guidance on interpretation.</w:t>
      </w:r>
    </w:p>
    <w:p w:rsidR="002436BD" w:rsidRDefault="002436BD" w:rsidP="008B0E3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 xml:space="preserve">Purpose </w:t>
      </w:r>
      <w:r w:rsidR="00DF524E">
        <w:rPr>
          <w:rFonts w:ascii="Times New Roman" w:hAnsi="Times New Roman"/>
          <w:sz w:val="24"/>
          <w:szCs w:val="24"/>
        </w:rPr>
        <w:t xml:space="preserve">and operation </w:t>
      </w:r>
      <w:r w:rsidRPr="002C6D26">
        <w:rPr>
          <w:rFonts w:ascii="Times New Roman" w:hAnsi="Times New Roman"/>
          <w:sz w:val="24"/>
          <w:szCs w:val="24"/>
        </w:rPr>
        <w:t>of the instrument</w:t>
      </w:r>
      <w:r w:rsidR="000F7AAB">
        <w:rPr>
          <w:rFonts w:ascii="Times New Roman" w:hAnsi="Times New Roman"/>
          <w:sz w:val="24"/>
          <w:szCs w:val="24"/>
        </w:rPr>
        <w:t>s</w:t>
      </w:r>
    </w:p>
    <w:p w:rsidR="000D6252" w:rsidRDefault="000D6252" w:rsidP="009C75F6">
      <w:pPr>
        <w:spacing w:after="240"/>
        <w:jc w:val="both"/>
        <w:rPr>
          <w:rFonts w:ascii="Times New Roman" w:hAnsi="Times New Roman"/>
          <w:sz w:val="24"/>
          <w:szCs w:val="24"/>
        </w:rPr>
      </w:pPr>
      <w:r w:rsidRPr="000D6252">
        <w:rPr>
          <w:rFonts w:ascii="Times New Roman" w:hAnsi="Times New Roman"/>
          <w:sz w:val="24"/>
          <w:szCs w:val="24"/>
        </w:rPr>
        <w:t xml:space="preserve">The purpose of making these instruments is to make minor revisions to </w:t>
      </w:r>
      <w:r w:rsidR="00581B67">
        <w:rPr>
          <w:rFonts w:ascii="Times New Roman" w:hAnsi="Times New Roman"/>
          <w:sz w:val="24"/>
          <w:szCs w:val="24"/>
        </w:rPr>
        <w:t>five</w:t>
      </w:r>
      <w:r w:rsidRPr="000D6252">
        <w:rPr>
          <w:rFonts w:ascii="Times New Roman" w:hAnsi="Times New Roman"/>
          <w:sz w:val="24"/>
          <w:szCs w:val="24"/>
        </w:rPr>
        <w:t xml:space="preserve"> of the existing reporting standards for superannuation to clarify and provide further guidance on </w:t>
      </w:r>
      <w:r w:rsidR="008B0E30">
        <w:rPr>
          <w:rFonts w:ascii="Times New Roman" w:hAnsi="Times New Roman"/>
          <w:sz w:val="24"/>
          <w:szCs w:val="24"/>
        </w:rPr>
        <w:t>the</w:t>
      </w:r>
      <w:r w:rsidR="008B0E30" w:rsidRPr="000D6252">
        <w:rPr>
          <w:rFonts w:ascii="Times New Roman" w:hAnsi="Times New Roman"/>
          <w:sz w:val="24"/>
          <w:szCs w:val="24"/>
        </w:rPr>
        <w:t xml:space="preserve"> </w:t>
      </w:r>
      <w:r w:rsidRPr="000D6252">
        <w:rPr>
          <w:rFonts w:ascii="Times New Roman" w:hAnsi="Times New Roman"/>
          <w:sz w:val="24"/>
          <w:szCs w:val="24"/>
        </w:rPr>
        <w:t>reporting requirements</w:t>
      </w:r>
      <w:r w:rsidR="008B0E30">
        <w:rPr>
          <w:rFonts w:ascii="Times New Roman" w:hAnsi="Times New Roman"/>
          <w:sz w:val="24"/>
          <w:szCs w:val="24"/>
        </w:rPr>
        <w:t xml:space="preserve"> applying to the superannuation industry</w:t>
      </w:r>
      <w:r w:rsidRPr="000D6252">
        <w:rPr>
          <w:rFonts w:ascii="Times New Roman" w:hAnsi="Times New Roman"/>
          <w:sz w:val="24"/>
          <w:szCs w:val="24"/>
        </w:rPr>
        <w:t xml:space="preserve">. </w:t>
      </w:r>
    </w:p>
    <w:p w:rsidR="00857A92" w:rsidRDefault="00857A92" w:rsidP="009C75F6">
      <w:pPr>
        <w:spacing w:after="240"/>
        <w:jc w:val="both"/>
        <w:rPr>
          <w:rFonts w:ascii="Times New Roman" w:hAnsi="Times New Roman"/>
          <w:sz w:val="24"/>
          <w:szCs w:val="24"/>
        </w:rPr>
      </w:pPr>
      <w:r>
        <w:rPr>
          <w:rFonts w:ascii="Times New Roman" w:hAnsi="Times New Roman"/>
          <w:sz w:val="24"/>
          <w:szCs w:val="24"/>
        </w:rPr>
        <w:t>The issues that APRA has addressed in the revisions to the five reporting standards include, but are not limited to:</w:t>
      </w:r>
    </w:p>
    <w:p w:rsidR="0013667C" w:rsidRDefault="000830E4" w:rsidP="009C75F6">
      <w:pPr>
        <w:pStyle w:val="ListParagraph"/>
        <w:numPr>
          <w:ilvl w:val="0"/>
          <w:numId w:val="8"/>
        </w:numPr>
        <w:spacing w:after="240"/>
        <w:ind w:left="357" w:hanging="357"/>
        <w:jc w:val="both"/>
        <w:rPr>
          <w:rFonts w:ascii="Times New Roman" w:hAnsi="Times New Roman"/>
          <w:sz w:val="24"/>
          <w:szCs w:val="24"/>
        </w:rPr>
      </w:pPr>
      <w:r>
        <w:rPr>
          <w:rFonts w:ascii="Times New Roman" w:hAnsi="Times New Roman"/>
          <w:sz w:val="24"/>
          <w:szCs w:val="24"/>
        </w:rPr>
        <w:t xml:space="preserve">changes to the definitions and reporting </w:t>
      </w:r>
      <w:r w:rsidR="00656B02">
        <w:rPr>
          <w:rFonts w:ascii="Times New Roman" w:hAnsi="Times New Roman"/>
          <w:sz w:val="24"/>
          <w:szCs w:val="24"/>
        </w:rPr>
        <w:t>of</w:t>
      </w:r>
      <w:r>
        <w:rPr>
          <w:rFonts w:ascii="Times New Roman" w:hAnsi="Times New Roman"/>
          <w:sz w:val="24"/>
          <w:szCs w:val="24"/>
        </w:rPr>
        <w:t xml:space="preserve"> certain asset </w:t>
      </w:r>
      <w:r w:rsidR="00656B02">
        <w:rPr>
          <w:rFonts w:ascii="Times New Roman" w:hAnsi="Times New Roman"/>
          <w:sz w:val="24"/>
          <w:szCs w:val="24"/>
        </w:rPr>
        <w:t xml:space="preserve">types or </w:t>
      </w:r>
      <w:r w:rsidR="00BE1D0E">
        <w:rPr>
          <w:rFonts w:ascii="Times New Roman" w:hAnsi="Times New Roman"/>
          <w:sz w:val="24"/>
          <w:szCs w:val="24"/>
        </w:rPr>
        <w:t xml:space="preserve">asset </w:t>
      </w:r>
      <w:r>
        <w:rPr>
          <w:rFonts w:ascii="Times New Roman" w:hAnsi="Times New Roman"/>
          <w:sz w:val="24"/>
          <w:szCs w:val="24"/>
        </w:rPr>
        <w:t>classes</w:t>
      </w:r>
      <w:r w:rsidR="00656B02">
        <w:rPr>
          <w:rFonts w:ascii="Times New Roman" w:hAnsi="Times New Roman"/>
          <w:sz w:val="24"/>
          <w:szCs w:val="24"/>
        </w:rPr>
        <w:t xml:space="preserve"> to clarify APRA’s requirements and to reduce complexity</w:t>
      </w:r>
      <w:r>
        <w:rPr>
          <w:rFonts w:ascii="Times New Roman" w:hAnsi="Times New Roman"/>
          <w:sz w:val="24"/>
          <w:szCs w:val="24"/>
        </w:rPr>
        <w:t>;</w:t>
      </w:r>
    </w:p>
    <w:p w:rsidR="000830E4" w:rsidRDefault="000830E4" w:rsidP="009C75F6">
      <w:pPr>
        <w:pStyle w:val="ListParagraph"/>
        <w:numPr>
          <w:ilvl w:val="0"/>
          <w:numId w:val="8"/>
        </w:numPr>
        <w:spacing w:after="240"/>
        <w:ind w:left="357" w:hanging="357"/>
        <w:jc w:val="both"/>
        <w:rPr>
          <w:rFonts w:ascii="Times New Roman" w:hAnsi="Times New Roman"/>
          <w:sz w:val="24"/>
          <w:szCs w:val="24"/>
        </w:rPr>
      </w:pPr>
      <w:r>
        <w:rPr>
          <w:rFonts w:ascii="Times New Roman" w:hAnsi="Times New Roman"/>
          <w:sz w:val="24"/>
          <w:szCs w:val="24"/>
        </w:rPr>
        <w:t>ensure consistency in reporting certain items with other reporting standards;</w:t>
      </w:r>
    </w:p>
    <w:p w:rsidR="00656B02" w:rsidRDefault="00656B02" w:rsidP="009C75F6">
      <w:pPr>
        <w:pStyle w:val="ListParagraph"/>
        <w:numPr>
          <w:ilvl w:val="0"/>
          <w:numId w:val="8"/>
        </w:numPr>
        <w:spacing w:after="240"/>
        <w:ind w:left="357" w:hanging="357"/>
        <w:jc w:val="both"/>
        <w:rPr>
          <w:rFonts w:ascii="Times New Roman" w:hAnsi="Times New Roman"/>
          <w:sz w:val="24"/>
          <w:szCs w:val="24"/>
        </w:rPr>
      </w:pPr>
      <w:r>
        <w:rPr>
          <w:rFonts w:ascii="Times New Roman" w:hAnsi="Times New Roman"/>
          <w:sz w:val="24"/>
          <w:szCs w:val="24"/>
        </w:rPr>
        <w:t>clarify and updat</w:t>
      </w:r>
      <w:r w:rsidR="008B0E30">
        <w:rPr>
          <w:rFonts w:ascii="Times New Roman" w:hAnsi="Times New Roman"/>
          <w:sz w:val="24"/>
          <w:szCs w:val="24"/>
        </w:rPr>
        <w:t>e</w:t>
      </w:r>
      <w:r>
        <w:rPr>
          <w:rFonts w:ascii="Times New Roman" w:hAnsi="Times New Roman"/>
          <w:sz w:val="24"/>
          <w:szCs w:val="24"/>
        </w:rPr>
        <w:t xml:space="preserve"> the reporting of certain items on an APRA look-through basis; and</w:t>
      </w:r>
    </w:p>
    <w:p w:rsidR="00532D49" w:rsidRPr="00857A92" w:rsidRDefault="008B0E30" w:rsidP="009C75F6">
      <w:pPr>
        <w:pStyle w:val="ListParagraph"/>
        <w:numPr>
          <w:ilvl w:val="0"/>
          <w:numId w:val="8"/>
        </w:numPr>
        <w:spacing w:after="240"/>
        <w:ind w:left="357" w:hanging="357"/>
        <w:jc w:val="both"/>
        <w:rPr>
          <w:rFonts w:ascii="Times New Roman" w:hAnsi="Times New Roman"/>
          <w:sz w:val="24"/>
          <w:szCs w:val="24"/>
        </w:rPr>
      </w:pPr>
      <w:proofErr w:type="gramStart"/>
      <w:r>
        <w:rPr>
          <w:rFonts w:ascii="Times New Roman" w:hAnsi="Times New Roman"/>
          <w:sz w:val="24"/>
          <w:szCs w:val="24"/>
        </w:rPr>
        <w:t>clarify</w:t>
      </w:r>
      <w:proofErr w:type="gramEnd"/>
      <w:r>
        <w:rPr>
          <w:rFonts w:ascii="Times New Roman" w:hAnsi="Times New Roman"/>
          <w:sz w:val="24"/>
          <w:szCs w:val="24"/>
        </w:rPr>
        <w:t xml:space="preserve"> </w:t>
      </w:r>
      <w:r w:rsidR="00532D49">
        <w:rPr>
          <w:rFonts w:ascii="Times New Roman" w:hAnsi="Times New Roman"/>
          <w:sz w:val="24"/>
          <w:szCs w:val="24"/>
        </w:rPr>
        <w:t xml:space="preserve">the reporting of certain items with reference to </w:t>
      </w:r>
      <w:r w:rsidR="00532D49" w:rsidRPr="00532D49">
        <w:rPr>
          <w:rFonts w:ascii="Times New Roman" w:hAnsi="Times New Roman"/>
          <w:sz w:val="24"/>
          <w:szCs w:val="24"/>
        </w:rPr>
        <w:t>Australian Accounting Standards.</w:t>
      </w:r>
    </w:p>
    <w:p w:rsidR="002436BD" w:rsidRDefault="002436BD" w:rsidP="008B0E3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t>Consultation</w:t>
      </w:r>
    </w:p>
    <w:p w:rsidR="002436BD" w:rsidRDefault="002436BD" w:rsidP="008B0E30">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APRA </w:t>
      </w:r>
      <w:r w:rsidR="005C3252">
        <w:rPr>
          <w:rFonts w:ascii="Times New Roman" w:hAnsi="Times New Roman"/>
          <w:b w:val="0"/>
          <w:sz w:val="24"/>
          <w:szCs w:val="24"/>
        </w:rPr>
        <w:t>consult</w:t>
      </w:r>
      <w:r w:rsidR="008B0E30">
        <w:rPr>
          <w:rFonts w:ascii="Times New Roman" w:hAnsi="Times New Roman"/>
          <w:b w:val="0"/>
          <w:sz w:val="24"/>
          <w:szCs w:val="24"/>
        </w:rPr>
        <w:t>ed</w:t>
      </w:r>
      <w:r w:rsidR="005C3252">
        <w:rPr>
          <w:rFonts w:ascii="Times New Roman" w:hAnsi="Times New Roman"/>
          <w:b w:val="0"/>
          <w:sz w:val="24"/>
          <w:szCs w:val="24"/>
        </w:rPr>
        <w:t xml:space="preserve"> on the</w:t>
      </w:r>
      <w:r>
        <w:rPr>
          <w:rFonts w:ascii="Times New Roman" w:hAnsi="Times New Roman"/>
          <w:b w:val="0"/>
          <w:sz w:val="24"/>
          <w:szCs w:val="24"/>
        </w:rPr>
        <w:t xml:space="preserve"> proposed </w:t>
      </w:r>
      <w:r w:rsidR="005C3252">
        <w:rPr>
          <w:rFonts w:ascii="Times New Roman" w:hAnsi="Times New Roman"/>
          <w:b w:val="0"/>
          <w:sz w:val="24"/>
          <w:szCs w:val="24"/>
        </w:rPr>
        <w:t xml:space="preserve">reporting standards </w:t>
      </w:r>
      <w:r>
        <w:rPr>
          <w:rFonts w:ascii="Times New Roman" w:hAnsi="Times New Roman"/>
          <w:b w:val="0"/>
          <w:sz w:val="24"/>
          <w:szCs w:val="24"/>
        </w:rPr>
        <w:t xml:space="preserve">between </w:t>
      </w:r>
      <w:r w:rsidR="00532D49">
        <w:rPr>
          <w:rFonts w:ascii="Times New Roman" w:hAnsi="Times New Roman"/>
          <w:b w:val="0"/>
          <w:sz w:val="24"/>
          <w:szCs w:val="24"/>
        </w:rPr>
        <w:t>April and June 2016</w:t>
      </w:r>
      <w:r>
        <w:rPr>
          <w:rFonts w:ascii="Times New Roman" w:hAnsi="Times New Roman"/>
          <w:b w:val="0"/>
          <w:sz w:val="24"/>
          <w:szCs w:val="24"/>
        </w:rPr>
        <w:t>. Submissions were received f</w:t>
      </w:r>
      <w:r w:rsidR="003B4DDD">
        <w:rPr>
          <w:rFonts w:ascii="Times New Roman" w:hAnsi="Times New Roman"/>
          <w:b w:val="0"/>
          <w:sz w:val="24"/>
          <w:szCs w:val="24"/>
        </w:rPr>
        <w:t>rom, and discussions</w:t>
      </w:r>
      <w:r w:rsidR="008B0E30">
        <w:rPr>
          <w:rFonts w:ascii="Times New Roman" w:hAnsi="Times New Roman"/>
          <w:b w:val="0"/>
          <w:sz w:val="24"/>
          <w:szCs w:val="24"/>
        </w:rPr>
        <w:t xml:space="preserve"> were</w:t>
      </w:r>
      <w:r w:rsidR="003B4DDD">
        <w:rPr>
          <w:rFonts w:ascii="Times New Roman" w:hAnsi="Times New Roman"/>
          <w:b w:val="0"/>
          <w:sz w:val="24"/>
          <w:szCs w:val="24"/>
        </w:rPr>
        <w:t xml:space="preserve"> held with</w:t>
      </w:r>
      <w:r w:rsidR="008B0E30">
        <w:rPr>
          <w:rFonts w:ascii="Times New Roman" w:hAnsi="Times New Roman"/>
          <w:b w:val="0"/>
          <w:sz w:val="24"/>
          <w:szCs w:val="24"/>
        </w:rPr>
        <w:t>,</w:t>
      </w:r>
      <w:r w:rsidR="003B4DDD">
        <w:rPr>
          <w:rFonts w:ascii="Times New Roman" w:hAnsi="Times New Roman"/>
          <w:b w:val="0"/>
          <w:sz w:val="24"/>
          <w:szCs w:val="24"/>
        </w:rPr>
        <w:t xml:space="preserve"> </w:t>
      </w:r>
      <w:r w:rsidR="005C3252">
        <w:rPr>
          <w:rFonts w:ascii="Times New Roman" w:hAnsi="Times New Roman"/>
          <w:b w:val="0"/>
          <w:sz w:val="24"/>
          <w:szCs w:val="24"/>
        </w:rPr>
        <w:t>RSE licensees</w:t>
      </w:r>
      <w:r>
        <w:rPr>
          <w:rFonts w:ascii="Times New Roman" w:hAnsi="Times New Roman"/>
          <w:b w:val="0"/>
          <w:sz w:val="24"/>
          <w:szCs w:val="24"/>
        </w:rPr>
        <w:t xml:space="preserve">, industry bodies and </w:t>
      </w:r>
      <w:r w:rsidR="005C3252">
        <w:rPr>
          <w:rFonts w:ascii="Times New Roman" w:hAnsi="Times New Roman"/>
          <w:b w:val="0"/>
          <w:sz w:val="24"/>
          <w:szCs w:val="24"/>
        </w:rPr>
        <w:t xml:space="preserve">other interested parties. </w:t>
      </w:r>
    </w:p>
    <w:p w:rsidR="003B4DDD" w:rsidRDefault="003B4DDD">
      <w:pPr>
        <w:pStyle w:val="Heading"/>
        <w:tabs>
          <w:tab w:val="left" w:pos="360"/>
        </w:tabs>
        <w:spacing w:after="240"/>
        <w:rPr>
          <w:rFonts w:ascii="Times New Roman" w:hAnsi="Times New Roman"/>
          <w:b w:val="0"/>
          <w:sz w:val="24"/>
          <w:szCs w:val="24"/>
        </w:rPr>
      </w:pPr>
      <w:r w:rsidRPr="003B4DDD">
        <w:rPr>
          <w:rFonts w:ascii="Times New Roman" w:hAnsi="Times New Roman"/>
          <w:b w:val="0"/>
          <w:sz w:val="24"/>
          <w:szCs w:val="24"/>
        </w:rPr>
        <w:t xml:space="preserve">On 28 April 2015, APRA released a package of 31 draft reporting standards. The majority of changes outlined in this package related to minor revisions to the </w:t>
      </w:r>
      <w:r w:rsidRPr="003B4DDD">
        <w:rPr>
          <w:rFonts w:ascii="Times New Roman" w:hAnsi="Times New Roman"/>
          <w:b w:val="0"/>
          <w:sz w:val="24"/>
          <w:szCs w:val="24"/>
        </w:rPr>
        <w:lastRenderedPageBreak/>
        <w:t xml:space="preserve">reporting standards to incorporate material previously issued by APRA as frequently asked questions. </w:t>
      </w:r>
    </w:p>
    <w:p w:rsidR="003B4DDD" w:rsidRPr="003B4DDD" w:rsidRDefault="003B4DDD">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At this time </w:t>
      </w:r>
      <w:r w:rsidRPr="003B4DDD">
        <w:rPr>
          <w:rFonts w:ascii="Times New Roman" w:hAnsi="Times New Roman"/>
          <w:b w:val="0"/>
          <w:sz w:val="24"/>
          <w:szCs w:val="24"/>
        </w:rPr>
        <w:t xml:space="preserve">APRA </w:t>
      </w:r>
      <w:r w:rsidR="00581013">
        <w:rPr>
          <w:rFonts w:ascii="Times New Roman" w:hAnsi="Times New Roman"/>
          <w:b w:val="0"/>
          <w:sz w:val="24"/>
          <w:szCs w:val="24"/>
        </w:rPr>
        <w:t xml:space="preserve">also </w:t>
      </w:r>
      <w:r w:rsidRPr="003B4DDD">
        <w:rPr>
          <w:rFonts w:ascii="Times New Roman" w:hAnsi="Times New Roman"/>
          <w:b w:val="0"/>
          <w:sz w:val="24"/>
          <w:szCs w:val="24"/>
        </w:rPr>
        <w:t xml:space="preserve">sought industry feedback </w:t>
      </w:r>
      <w:r>
        <w:rPr>
          <w:rFonts w:ascii="Times New Roman" w:hAnsi="Times New Roman"/>
          <w:b w:val="0"/>
          <w:sz w:val="24"/>
          <w:szCs w:val="24"/>
        </w:rPr>
        <w:t>on proposed changes to five reporting standards</w:t>
      </w:r>
      <w:r w:rsidR="001E638F">
        <w:rPr>
          <w:rFonts w:ascii="Times New Roman" w:hAnsi="Times New Roman"/>
          <w:b w:val="0"/>
          <w:sz w:val="24"/>
          <w:szCs w:val="24"/>
        </w:rPr>
        <w:t xml:space="preserve"> (</w:t>
      </w:r>
      <w:r w:rsidR="001E638F" w:rsidRPr="001E638F">
        <w:rPr>
          <w:rFonts w:ascii="Times New Roman" w:hAnsi="Times New Roman"/>
          <w:b w:val="0"/>
          <w:sz w:val="24"/>
          <w:szCs w:val="24"/>
        </w:rPr>
        <w:t>SRS 532.0, SRS 533.1, SRS 534.0, SRS 702.0 and SRS 703.0)</w:t>
      </w:r>
      <w:r>
        <w:rPr>
          <w:rFonts w:ascii="Times New Roman" w:hAnsi="Times New Roman"/>
          <w:b w:val="0"/>
          <w:sz w:val="24"/>
          <w:szCs w:val="24"/>
        </w:rPr>
        <w:t xml:space="preserve">. </w:t>
      </w:r>
      <w:r w:rsidRPr="003B4DDD">
        <w:rPr>
          <w:rFonts w:ascii="Times New Roman" w:hAnsi="Times New Roman"/>
          <w:b w:val="0"/>
          <w:sz w:val="24"/>
          <w:szCs w:val="24"/>
        </w:rPr>
        <w:t>Consultation</w:t>
      </w:r>
      <w:r>
        <w:rPr>
          <w:rFonts w:ascii="Times New Roman" w:hAnsi="Times New Roman"/>
          <w:b w:val="0"/>
          <w:sz w:val="24"/>
          <w:szCs w:val="24"/>
        </w:rPr>
        <w:t xml:space="preserve"> on these proposed changes</w:t>
      </w:r>
      <w:r w:rsidRPr="003B4DDD">
        <w:rPr>
          <w:rFonts w:ascii="Times New Roman" w:hAnsi="Times New Roman"/>
          <w:b w:val="0"/>
          <w:sz w:val="24"/>
          <w:szCs w:val="24"/>
        </w:rPr>
        <w:t xml:space="preserve"> closed on 19 June 2015. </w:t>
      </w:r>
    </w:p>
    <w:p w:rsidR="009C75F6" w:rsidRDefault="00581013">
      <w:pPr>
        <w:widowControl w:val="0"/>
        <w:spacing w:after="240"/>
        <w:jc w:val="both"/>
        <w:rPr>
          <w:rFonts w:ascii="Times New Roman" w:hAnsi="Times New Roman"/>
          <w:sz w:val="24"/>
          <w:szCs w:val="24"/>
        </w:rPr>
      </w:pPr>
      <w:r>
        <w:rPr>
          <w:rFonts w:ascii="Times New Roman" w:hAnsi="Times New Roman"/>
          <w:sz w:val="24"/>
          <w:szCs w:val="24"/>
        </w:rPr>
        <w:t>In a letter on 31 July 2015</w:t>
      </w:r>
      <w:r w:rsidR="008B0E30">
        <w:rPr>
          <w:rFonts w:ascii="Times New Roman" w:hAnsi="Times New Roman"/>
          <w:sz w:val="24"/>
          <w:szCs w:val="24"/>
        </w:rPr>
        <w:t>,</w:t>
      </w:r>
      <w:r>
        <w:rPr>
          <w:rFonts w:ascii="Times New Roman" w:hAnsi="Times New Roman"/>
          <w:sz w:val="24"/>
          <w:szCs w:val="24"/>
        </w:rPr>
        <w:t xml:space="preserve"> APRA responded to the submissions </w:t>
      </w:r>
      <w:r w:rsidR="008B0E30">
        <w:rPr>
          <w:rFonts w:ascii="Times New Roman" w:hAnsi="Times New Roman"/>
          <w:sz w:val="24"/>
          <w:szCs w:val="24"/>
        </w:rPr>
        <w:t xml:space="preserve">on these five reporting standards </w:t>
      </w:r>
      <w:r>
        <w:rPr>
          <w:rFonts w:ascii="Times New Roman" w:hAnsi="Times New Roman"/>
          <w:sz w:val="24"/>
          <w:szCs w:val="24"/>
        </w:rPr>
        <w:t xml:space="preserve">and </w:t>
      </w:r>
      <w:r w:rsidR="008B0E30">
        <w:rPr>
          <w:rFonts w:ascii="Times New Roman" w:hAnsi="Times New Roman"/>
          <w:sz w:val="24"/>
          <w:szCs w:val="24"/>
        </w:rPr>
        <w:t xml:space="preserve">released </w:t>
      </w:r>
      <w:r w:rsidR="006538C6">
        <w:rPr>
          <w:rFonts w:ascii="Times New Roman" w:hAnsi="Times New Roman"/>
          <w:sz w:val="24"/>
          <w:szCs w:val="24"/>
        </w:rPr>
        <w:t xml:space="preserve">revised </w:t>
      </w:r>
      <w:r w:rsidR="008B0E30">
        <w:rPr>
          <w:rFonts w:ascii="Times New Roman" w:hAnsi="Times New Roman"/>
          <w:sz w:val="24"/>
          <w:szCs w:val="24"/>
        </w:rPr>
        <w:t xml:space="preserve">versions of these </w:t>
      </w:r>
      <w:r w:rsidR="006538C6">
        <w:rPr>
          <w:rFonts w:ascii="Times New Roman" w:hAnsi="Times New Roman"/>
          <w:sz w:val="24"/>
          <w:szCs w:val="24"/>
        </w:rPr>
        <w:t xml:space="preserve">reporting standards. </w:t>
      </w:r>
      <w:r w:rsidR="002F13DF">
        <w:rPr>
          <w:rFonts w:ascii="Times New Roman" w:hAnsi="Times New Roman"/>
          <w:sz w:val="24"/>
          <w:szCs w:val="24"/>
        </w:rPr>
        <w:t xml:space="preserve">Submissions did not raise any material issues about the reporting standards; they instead sought further clarification on the intent of APRA’s requirements and requested that APRA reduce certain reporting complexity in the standards. </w:t>
      </w:r>
      <w:r w:rsidR="009C75F6">
        <w:rPr>
          <w:rFonts w:ascii="Times New Roman" w:hAnsi="Times New Roman"/>
          <w:sz w:val="24"/>
          <w:szCs w:val="24"/>
        </w:rPr>
        <w:t>These comments included:</w:t>
      </w:r>
    </w:p>
    <w:p w:rsidR="009C75F6" w:rsidRDefault="00D2620A" w:rsidP="009C75F6">
      <w:pPr>
        <w:pStyle w:val="ListParagraph"/>
        <w:widowControl w:val="0"/>
        <w:numPr>
          <w:ilvl w:val="0"/>
          <w:numId w:val="10"/>
        </w:numPr>
        <w:spacing w:after="240"/>
        <w:jc w:val="both"/>
        <w:rPr>
          <w:rFonts w:ascii="Times New Roman" w:hAnsi="Times New Roman"/>
          <w:sz w:val="24"/>
          <w:szCs w:val="24"/>
        </w:rPr>
      </w:pPr>
      <w:r>
        <w:rPr>
          <w:rFonts w:ascii="Times New Roman" w:hAnsi="Times New Roman"/>
          <w:sz w:val="24"/>
          <w:szCs w:val="24"/>
        </w:rPr>
        <w:t>mis</w:t>
      </w:r>
      <w:r w:rsidR="009F4237">
        <w:rPr>
          <w:rFonts w:ascii="Times New Roman" w:hAnsi="Times New Roman"/>
          <w:sz w:val="24"/>
          <w:szCs w:val="24"/>
        </w:rPr>
        <w:t>alignment between</w:t>
      </w:r>
      <w:r w:rsidR="009C75F6">
        <w:rPr>
          <w:rFonts w:ascii="Times New Roman" w:hAnsi="Times New Roman"/>
          <w:sz w:val="24"/>
          <w:szCs w:val="24"/>
        </w:rPr>
        <w:t xml:space="preserve"> the reporting of direct and indirectly held investments under </w:t>
      </w:r>
      <w:r w:rsidR="009C75F6" w:rsidRPr="009C75F6">
        <w:rPr>
          <w:rFonts w:ascii="Times New Roman" w:hAnsi="Times New Roman"/>
          <w:sz w:val="24"/>
          <w:szCs w:val="24"/>
        </w:rPr>
        <w:t xml:space="preserve">SRS 533.1 with the equivalent reporting for </w:t>
      </w:r>
      <w:proofErr w:type="spellStart"/>
      <w:r w:rsidR="009C75F6" w:rsidRPr="009C75F6">
        <w:rPr>
          <w:rFonts w:ascii="Times New Roman" w:hAnsi="Times New Roman"/>
          <w:sz w:val="24"/>
          <w:szCs w:val="24"/>
        </w:rPr>
        <w:t>MySuper</w:t>
      </w:r>
      <w:proofErr w:type="spellEnd"/>
      <w:r w:rsidR="009C75F6" w:rsidRPr="009C75F6">
        <w:rPr>
          <w:rFonts w:ascii="Times New Roman" w:hAnsi="Times New Roman"/>
          <w:sz w:val="24"/>
          <w:szCs w:val="24"/>
        </w:rPr>
        <w:t xml:space="preserve"> products under </w:t>
      </w:r>
      <w:r w:rsidR="009C75F6" w:rsidRPr="009C75F6">
        <w:rPr>
          <w:rFonts w:ascii="Times New Roman" w:hAnsi="Times New Roman"/>
          <w:i/>
          <w:sz w:val="24"/>
          <w:szCs w:val="24"/>
        </w:rPr>
        <w:t>Reporting Standard SRS 533.0 Asset Allocation</w:t>
      </w:r>
      <w:r w:rsidR="009C75F6">
        <w:rPr>
          <w:rFonts w:ascii="Times New Roman" w:hAnsi="Times New Roman"/>
          <w:sz w:val="24"/>
          <w:szCs w:val="24"/>
        </w:rPr>
        <w:t>;</w:t>
      </w:r>
    </w:p>
    <w:p w:rsidR="009C75F6" w:rsidRDefault="009F4237" w:rsidP="009C75F6">
      <w:pPr>
        <w:pStyle w:val="ListParagraph"/>
        <w:widowControl w:val="0"/>
        <w:numPr>
          <w:ilvl w:val="0"/>
          <w:numId w:val="10"/>
        </w:numPr>
        <w:spacing w:after="240"/>
        <w:jc w:val="both"/>
        <w:rPr>
          <w:rFonts w:ascii="Times New Roman" w:hAnsi="Times New Roman"/>
          <w:sz w:val="24"/>
          <w:szCs w:val="24"/>
        </w:rPr>
      </w:pPr>
      <w:r>
        <w:rPr>
          <w:rFonts w:ascii="Times New Roman" w:hAnsi="Times New Roman"/>
          <w:sz w:val="24"/>
          <w:szCs w:val="24"/>
        </w:rPr>
        <w:t>difficulties in obtaining information on netting arrangements from third parties for certain asset classes;</w:t>
      </w:r>
      <w:r w:rsidR="00296944">
        <w:rPr>
          <w:rFonts w:ascii="Times New Roman" w:hAnsi="Times New Roman"/>
          <w:sz w:val="24"/>
          <w:szCs w:val="24"/>
        </w:rPr>
        <w:t xml:space="preserve"> and</w:t>
      </w:r>
    </w:p>
    <w:p w:rsidR="009F4237" w:rsidRPr="009F4237" w:rsidRDefault="00D2620A" w:rsidP="00296944">
      <w:pPr>
        <w:pStyle w:val="ListParagraph"/>
        <w:widowControl w:val="0"/>
        <w:numPr>
          <w:ilvl w:val="0"/>
          <w:numId w:val="10"/>
        </w:numPr>
        <w:spacing w:after="240"/>
        <w:jc w:val="both"/>
        <w:rPr>
          <w:rFonts w:ascii="Times New Roman" w:hAnsi="Times New Roman"/>
          <w:sz w:val="24"/>
          <w:szCs w:val="24"/>
        </w:rPr>
      </w:pPr>
      <w:proofErr w:type="gramStart"/>
      <w:r>
        <w:rPr>
          <w:rFonts w:ascii="Times New Roman" w:hAnsi="Times New Roman"/>
          <w:sz w:val="24"/>
          <w:szCs w:val="24"/>
        </w:rPr>
        <w:t>issues</w:t>
      </w:r>
      <w:proofErr w:type="gramEnd"/>
      <w:r>
        <w:rPr>
          <w:rFonts w:ascii="Times New Roman" w:hAnsi="Times New Roman"/>
          <w:sz w:val="24"/>
          <w:szCs w:val="24"/>
        </w:rPr>
        <w:t xml:space="preserve"> with the </w:t>
      </w:r>
      <w:r w:rsidR="00296944">
        <w:rPr>
          <w:rFonts w:ascii="Times New Roman" w:hAnsi="Times New Roman"/>
          <w:sz w:val="24"/>
          <w:szCs w:val="24"/>
        </w:rPr>
        <w:t xml:space="preserve">approach to reporting indirect costs on SRS 702.0 for </w:t>
      </w:r>
      <w:r w:rsidR="00296944" w:rsidRPr="00D2620A">
        <w:rPr>
          <w:rFonts w:ascii="Times New Roman" w:hAnsi="Times New Roman"/>
          <w:sz w:val="24"/>
          <w:szCs w:val="24"/>
        </w:rPr>
        <w:t xml:space="preserve">real estate investment trusts </w:t>
      </w:r>
      <w:r w:rsidR="00296944">
        <w:rPr>
          <w:rFonts w:ascii="Times New Roman" w:hAnsi="Times New Roman"/>
          <w:sz w:val="24"/>
          <w:szCs w:val="24"/>
        </w:rPr>
        <w:t xml:space="preserve">under APRA look-through reporting </w:t>
      </w:r>
      <w:r w:rsidR="00FC24AB">
        <w:rPr>
          <w:rFonts w:ascii="Times New Roman" w:hAnsi="Times New Roman"/>
          <w:sz w:val="24"/>
          <w:szCs w:val="24"/>
        </w:rPr>
        <w:t>and whether to report items under SRS 702.0 on a gross of tax basis</w:t>
      </w:r>
      <w:r w:rsidR="00296944">
        <w:rPr>
          <w:rFonts w:ascii="Times New Roman" w:hAnsi="Times New Roman"/>
          <w:sz w:val="24"/>
          <w:szCs w:val="24"/>
        </w:rPr>
        <w:t xml:space="preserve">. </w:t>
      </w:r>
    </w:p>
    <w:p w:rsidR="002F13DF" w:rsidRDefault="002F13DF">
      <w:pPr>
        <w:widowControl w:val="0"/>
        <w:spacing w:after="240"/>
        <w:jc w:val="both"/>
        <w:rPr>
          <w:rFonts w:ascii="Times New Roman" w:hAnsi="Times New Roman"/>
          <w:sz w:val="24"/>
          <w:szCs w:val="24"/>
        </w:rPr>
      </w:pPr>
      <w:r>
        <w:rPr>
          <w:rFonts w:ascii="Times New Roman" w:hAnsi="Times New Roman"/>
          <w:sz w:val="24"/>
          <w:szCs w:val="24"/>
        </w:rPr>
        <w:t xml:space="preserve">APRA has made changes to respond to these concerns. </w:t>
      </w:r>
    </w:p>
    <w:p w:rsidR="00322EE4" w:rsidRPr="00322EE4" w:rsidRDefault="00322EE4">
      <w:pPr>
        <w:widowControl w:val="0"/>
        <w:spacing w:after="240"/>
        <w:jc w:val="both"/>
        <w:rPr>
          <w:rFonts w:ascii="Times New Roman" w:hAnsi="Times New Roman"/>
          <w:sz w:val="24"/>
          <w:szCs w:val="24"/>
        </w:rPr>
      </w:pPr>
      <w:r w:rsidRPr="00322EE4">
        <w:rPr>
          <w:rFonts w:ascii="Times New Roman" w:hAnsi="Times New Roman"/>
          <w:sz w:val="24"/>
          <w:szCs w:val="24"/>
        </w:rPr>
        <w:t xml:space="preserve">The instruments </w:t>
      </w:r>
      <w:r>
        <w:rPr>
          <w:rFonts w:ascii="Times New Roman" w:hAnsi="Times New Roman"/>
          <w:sz w:val="24"/>
          <w:szCs w:val="24"/>
        </w:rPr>
        <w:t xml:space="preserve">will be effective on </w:t>
      </w:r>
      <w:r w:rsidRPr="00322EE4">
        <w:rPr>
          <w:rFonts w:ascii="Times New Roman" w:hAnsi="Times New Roman"/>
          <w:sz w:val="24"/>
          <w:szCs w:val="24"/>
        </w:rPr>
        <w:t xml:space="preserve">1 July 2016. </w:t>
      </w:r>
      <w:r w:rsidRPr="00322EE4">
        <w:rPr>
          <w:rFonts w:ascii="Times New Roman" w:hAnsi="Times New Roman"/>
          <w:sz w:val="24"/>
          <w:szCs w:val="24"/>
        </w:rPr>
        <w:tab/>
      </w:r>
    </w:p>
    <w:p w:rsidR="002436BD" w:rsidRDefault="00DF524E">
      <w:pPr>
        <w:pStyle w:val="Heading"/>
        <w:tabs>
          <w:tab w:val="left" w:pos="360"/>
        </w:tabs>
        <w:spacing w:after="240"/>
        <w:rPr>
          <w:rFonts w:ascii="Times New Roman" w:hAnsi="Times New Roman"/>
          <w:sz w:val="24"/>
          <w:szCs w:val="24"/>
        </w:rPr>
      </w:pPr>
      <w:bookmarkStart w:id="5" w:name="bkConsultation"/>
      <w:bookmarkStart w:id="6" w:name="bkRISNO"/>
      <w:bookmarkStart w:id="7" w:name="bkRIS"/>
      <w:bookmarkEnd w:id="5"/>
      <w:bookmarkEnd w:id="6"/>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7"/>
    <w:p w:rsidR="0047260A" w:rsidRPr="0047260A" w:rsidRDefault="0047260A">
      <w:pPr>
        <w:widowControl w:val="0"/>
        <w:spacing w:after="240"/>
        <w:jc w:val="both"/>
        <w:rPr>
          <w:rFonts w:ascii="Times New Roman" w:hAnsi="Times New Roman"/>
          <w:sz w:val="24"/>
          <w:szCs w:val="24"/>
        </w:rPr>
      </w:pPr>
      <w:r w:rsidRPr="0047260A">
        <w:rPr>
          <w:rFonts w:ascii="Times New Roman" w:hAnsi="Times New Roman"/>
          <w:sz w:val="24"/>
          <w:szCs w:val="24"/>
        </w:rPr>
        <w:t>The Office of Best Practice Regulation has advised that a Regulation Impact Statement is not required for these legislative instruments.</w:t>
      </w:r>
    </w:p>
    <w:p w:rsidR="002436BD" w:rsidRPr="00B3165F" w:rsidRDefault="00DF524E">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rsidR="00B04B20" w:rsidRDefault="0030506B">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rsidR="008B0E30" w:rsidRDefault="008B0E30">
      <w:pPr>
        <w:rPr>
          <w:rFonts w:ascii="Times New Roman" w:hAnsi="Times New Roman"/>
          <w:b/>
          <w:sz w:val="24"/>
          <w:szCs w:val="24"/>
          <w:u w:val="single"/>
          <w:lang w:val="en-GB"/>
        </w:rPr>
      </w:pPr>
      <w:r>
        <w:rPr>
          <w:rFonts w:ascii="Times New Roman" w:hAnsi="Times New Roman"/>
          <w:b/>
          <w:sz w:val="24"/>
          <w:szCs w:val="24"/>
          <w:u w:val="single"/>
          <w:lang w:val="en-GB"/>
        </w:rPr>
        <w:br w:type="page"/>
      </w:r>
    </w:p>
    <w:p w:rsidR="007D3C71" w:rsidRPr="004276FE" w:rsidRDefault="007D3C71" w:rsidP="007D3C71">
      <w:pPr>
        <w:rPr>
          <w:rFonts w:ascii="Times New Roman" w:hAnsi="Times New Roman"/>
          <w:b/>
          <w:sz w:val="24"/>
          <w:szCs w:val="24"/>
          <w:u w:val="single"/>
          <w:lang w:val="en-GB"/>
        </w:rPr>
      </w:pPr>
      <w:r w:rsidRPr="004276FE">
        <w:rPr>
          <w:rFonts w:ascii="Times New Roman" w:hAnsi="Times New Roman"/>
          <w:b/>
          <w:sz w:val="24"/>
          <w:szCs w:val="24"/>
          <w:u w:val="single"/>
          <w:lang w:val="en-GB"/>
        </w:rPr>
        <w:lastRenderedPageBreak/>
        <w:t>ATTACHMENT A</w:t>
      </w:r>
    </w:p>
    <w:p w:rsidR="007D3C71" w:rsidRDefault="007D3C71" w:rsidP="007D3C71"/>
    <w:p w:rsidR="007D3C71" w:rsidRDefault="007D3C71" w:rsidP="009C75F6">
      <w:pPr>
        <w:spacing w:after="240"/>
        <w:jc w:val="center"/>
        <w:rPr>
          <w:rFonts w:ascii="Times New Roman" w:hAnsi="Times New Roman"/>
          <w:b/>
          <w:sz w:val="24"/>
          <w:szCs w:val="24"/>
        </w:rPr>
      </w:pPr>
      <w:r w:rsidRPr="00823B13">
        <w:rPr>
          <w:rFonts w:ascii="Times New Roman" w:hAnsi="Times New Roman"/>
          <w:b/>
          <w:sz w:val="24"/>
          <w:szCs w:val="24"/>
        </w:rPr>
        <w:t>Statement of Compatibility with Human Rights</w:t>
      </w:r>
    </w:p>
    <w:p w:rsidR="007D3C71" w:rsidRDefault="007D3C71" w:rsidP="008B0E30">
      <w:pPr>
        <w:pStyle w:val="Heading1"/>
        <w:spacing w:after="240"/>
        <w:jc w:val="center"/>
        <w:rPr>
          <w:rFonts w:ascii="Times New Roman" w:hAnsi="Times New Roman"/>
          <w:b w:val="0"/>
          <w:sz w:val="24"/>
          <w:szCs w:val="24"/>
        </w:rPr>
      </w:pPr>
      <w:r w:rsidRPr="00533FD5">
        <w:rPr>
          <w:rFonts w:ascii="Times New Roman" w:hAnsi="Times New Roman"/>
          <w:b w:val="0"/>
          <w:sz w:val="24"/>
          <w:szCs w:val="24"/>
        </w:rPr>
        <w:t xml:space="preserve">Prepared in </w:t>
      </w:r>
      <w:r>
        <w:rPr>
          <w:rFonts w:ascii="Times New Roman" w:hAnsi="Times New Roman"/>
          <w:b w:val="0"/>
          <w:sz w:val="24"/>
          <w:szCs w:val="24"/>
        </w:rPr>
        <w:t xml:space="preserve">accordance with Part 3 of the </w:t>
      </w:r>
      <w:r w:rsidRPr="00ED0B51">
        <w:rPr>
          <w:rFonts w:ascii="Times New Roman" w:hAnsi="Times New Roman"/>
          <w:b w:val="0"/>
          <w:i/>
          <w:sz w:val="24"/>
          <w:szCs w:val="24"/>
        </w:rPr>
        <w:t>Human Rights (Parliamentary Scrutiny) Act 2011</w:t>
      </w:r>
    </w:p>
    <w:p w:rsidR="007D3C71" w:rsidRPr="00823B13" w:rsidRDefault="007D3C71" w:rsidP="009C75F6">
      <w:pPr>
        <w:spacing w:after="240"/>
        <w:jc w:val="center"/>
        <w:rPr>
          <w:rFonts w:ascii="Times New Roman" w:hAnsi="Times New Roman"/>
          <w:sz w:val="24"/>
          <w:szCs w:val="24"/>
        </w:rPr>
      </w:pPr>
      <w:r w:rsidRPr="00823B13">
        <w:rPr>
          <w:rFonts w:ascii="Times New Roman" w:hAnsi="Times New Roman"/>
          <w:b/>
          <w:sz w:val="24"/>
          <w:szCs w:val="24"/>
        </w:rPr>
        <w:t xml:space="preserve">Financial Sector (Collection of Data) (reporting standard) determinations </w:t>
      </w:r>
      <w:r w:rsidR="004276FE" w:rsidRPr="004276FE">
        <w:rPr>
          <w:rFonts w:ascii="Times New Roman" w:hAnsi="Times New Roman"/>
          <w:b/>
          <w:sz w:val="24"/>
          <w:szCs w:val="24"/>
        </w:rPr>
        <w:t>No. 37 – No. 41 2015</w:t>
      </w:r>
    </w:p>
    <w:p w:rsidR="007D3C71" w:rsidRPr="00823B13" w:rsidRDefault="007D3C71" w:rsidP="002F13DF">
      <w:pPr>
        <w:pStyle w:val="Heading"/>
        <w:spacing w:after="240"/>
        <w:rPr>
          <w:rFonts w:ascii="Times New Roman" w:hAnsi="Times New Roman"/>
          <w:b w:val="0"/>
          <w:sz w:val="24"/>
          <w:szCs w:val="24"/>
        </w:rPr>
      </w:pPr>
      <w:r w:rsidRPr="00823B13">
        <w:rPr>
          <w:rFonts w:ascii="Times New Roman" w:hAnsi="Times New Roman"/>
          <w:b w:val="0"/>
          <w:sz w:val="24"/>
          <w:szCs w:val="24"/>
        </w:rPr>
        <w:t>These Legislative Instruments are compatible with the human rights and freedoms recognised or declared in the international instrument listed in section 3 of the Human Rights (Parliamentary Scrutiny) Act 2011 (HRPS Act).</w:t>
      </w:r>
    </w:p>
    <w:p w:rsidR="007D3C71" w:rsidRDefault="007D3C71" w:rsidP="009C75F6">
      <w:pPr>
        <w:spacing w:after="240"/>
        <w:jc w:val="both"/>
        <w:rPr>
          <w:rFonts w:ascii="Times New Roman" w:hAnsi="Times New Roman"/>
          <w:b/>
          <w:sz w:val="24"/>
          <w:szCs w:val="24"/>
        </w:rPr>
      </w:pPr>
      <w:r w:rsidRPr="00823B13">
        <w:rPr>
          <w:rFonts w:ascii="Times New Roman" w:hAnsi="Times New Roman"/>
          <w:b/>
          <w:sz w:val="24"/>
          <w:szCs w:val="24"/>
        </w:rPr>
        <w:t>Overview of the Legislative Instruments</w:t>
      </w:r>
    </w:p>
    <w:p w:rsidR="004276FE" w:rsidRPr="004276FE" w:rsidRDefault="007D3C71" w:rsidP="009C75F6">
      <w:pPr>
        <w:spacing w:after="240"/>
        <w:jc w:val="both"/>
        <w:rPr>
          <w:rFonts w:ascii="Times New Roman" w:hAnsi="Times New Roman"/>
          <w:sz w:val="24"/>
          <w:szCs w:val="24"/>
        </w:rPr>
      </w:pPr>
      <w:r w:rsidRPr="00823B13">
        <w:rPr>
          <w:rFonts w:ascii="Times New Roman" w:hAnsi="Times New Roman"/>
          <w:sz w:val="24"/>
          <w:szCs w:val="24"/>
        </w:rPr>
        <w:t xml:space="preserve">The purpose of making these legislative instruments </w:t>
      </w:r>
      <w:r w:rsidR="004276FE" w:rsidRPr="000D6252">
        <w:rPr>
          <w:rFonts w:ascii="Times New Roman" w:hAnsi="Times New Roman"/>
          <w:sz w:val="24"/>
          <w:szCs w:val="24"/>
        </w:rPr>
        <w:t xml:space="preserve">is to make minor revisions to </w:t>
      </w:r>
      <w:r w:rsidR="004276FE">
        <w:rPr>
          <w:rFonts w:ascii="Times New Roman" w:hAnsi="Times New Roman"/>
          <w:sz w:val="24"/>
          <w:szCs w:val="24"/>
        </w:rPr>
        <w:t>five</w:t>
      </w:r>
      <w:r w:rsidR="004276FE" w:rsidRPr="000D6252">
        <w:rPr>
          <w:rFonts w:ascii="Times New Roman" w:hAnsi="Times New Roman"/>
          <w:sz w:val="24"/>
          <w:szCs w:val="24"/>
        </w:rPr>
        <w:t xml:space="preserve"> reporting standards</w:t>
      </w:r>
      <w:r w:rsidR="004276FE">
        <w:rPr>
          <w:rFonts w:ascii="Times New Roman" w:hAnsi="Times New Roman"/>
          <w:sz w:val="24"/>
          <w:szCs w:val="24"/>
        </w:rPr>
        <w:t xml:space="preserve"> S</w:t>
      </w:r>
      <w:r w:rsidR="004276FE" w:rsidRPr="000B14BD">
        <w:rPr>
          <w:rFonts w:ascii="Times New Roman" w:hAnsi="Times New Roman"/>
          <w:sz w:val="24"/>
          <w:szCs w:val="24"/>
        </w:rPr>
        <w:t xml:space="preserve">RS </w:t>
      </w:r>
      <w:r w:rsidR="004276FE">
        <w:rPr>
          <w:rFonts w:ascii="Times New Roman" w:hAnsi="Times New Roman"/>
          <w:sz w:val="24"/>
          <w:szCs w:val="24"/>
        </w:rPr>
        <w:t xml:space="preserve">532.0, </w:t>
      </w:r>
      <w:r w:rsidR="004276FE" w:rsidRPr="00207B92">
        <w:rPr>
          <w:rFonts w:ascii="Times New Roman" w:hAnsi="Times New Roman"/>
          <w:sz w:val="24"/>
          <w:szCs w:val="24"/>
        </w:rPr>
        <w:t xml:space="preserve">SRS </w:t>
      </w:r>
      <w:r w:rsidR="004276FE">
        <w:rPr>
          <w:rFonts w:ascii="Times New Roman" w:hAnsi="Times New Roman"/>
          <w:sz w:val="24"/>
          <w:szCs w:val="24"/>
        </w:rPr>
        <w:t>533.1, S</w:t>
      </w:r>
      <w:r w:rsidR="004276FE" w:rsidRPr="000B14BD">
        <w:rPr>
          <w:rFonts w:ascii="Times New Roman" w:hAnsi="Times New Roman"/>
          <w:sz w:val="24"/>
          <w:szCs w:val="24"/>
        </w:rPr>
        <w:t xml:space="preserve">RS </w:t>
      </w:r>
      <w:r w:rsidR="004276FE">
        <w:rPr>
          <w:rFonts w:ascii="Times New Roman" w:hAnsi="Times New Roman"/>
          <w:sz w:val="24"/>
          <w:szCs w:val="24"/>
        </w:rPr>
        <w:t>534.0</w:t>
      </w:r>
      <w:r w:rsidR="00BE1D0E">
        <w:rPr>
          <w:rFonts w:ascii="Times New Roman" w:hAnsi="Times New Roman"/>
          <w:sz w:val="24"/>
          <w:szCs w:val="24"/>
        </w:rPr>
        <w:t>, S</w:t>
      </w:r>
      <w:r w:rsidR="00BE1D0E" w:rsidRPr="000B14BD">
        <w:rPr>
          <w:rFonts w:ascii="Times New Roman" w:hAnsi="Times New Roman"/>
          <w:sz w:val="24"/>
          <w:szCs w:val="24"/>
        </w:rPr>
        <w:t xml:space="preserve">RS </w:t>
      </w:r>
      <w:r w:rsidR="00BE1D0E">
        <w:rPr>
          <w:rFonts w:ascii="Times New Roman" w:hAnsi="Times New Roman"/>
          <w:sz w:val="24"/>
          <w:szCs w:val="24"/>
        </w:rPr>
        <w:t>702.0 and S</w:t>
      </w:r>
      <w:r w:rsidR="00BE1D0E" w:rsidRPr="000B14BD">
        <w:rPr>
          <w:rFonts w:ascii="Times New Roman" w:hAnsi="Times New Roman"/>
          <w:sz w:val="24"/>
          <w:szCs w:val="24"/>
        </w:rPr>
        <w:t xml:space="preserve">RS </w:t>
      </w:r>
      <w:r w:rsidR="00BE1D0E">
        <w:rPr>
          <w:rFonts w:ascii="Times New Roman" w:hAnsi="Times New Roman"/>
          <w:sz w:val="24"/>
          <w:szCs w:val="24"/>
        </w:rPr>
        <w:t>703.0</w:t>
      </w:r>
      <w:r w:rsidR="004276FE" w:rsidRPr="000D6252">
        <w:rPr>
          <w:rFonts w:ascii="Times New Roman" w:hAnsi="Times New Roman"/>
          <w:sz w:val="24"/>
          <w:szCs w:val="24"/>
        </w:rPr>
        <w:t xml:space="preserve"> to clarify and provide further guidance on existing reporting requirements. The changes are being released to simplify the superannuation in</w:t>
      </w:r>
      <w:r w:rsidR="004276FE">
        <w:rPr>
          <w:rFonts w:ascii="Times New Roman" w:hAnsi="Times New Roman"/>
          <w:sz w:val="24"/>
          <w:szCs w:val="24"/>
        </w:rPr>
        <w:t>dustry’s reporting requirements</w:t>
      </w:r>
      <w:r w:rsidR="00BE1D0E">
        <w:rPr>
          <w:rFonts w:ascii="Times New Roman" w:hAnsi="Times New Roman"/>
          <w:sz w:val="24"/>
          <w:szCs w:val="24"/>
        </w:rPr>
        <w:t xml:space="preserve"> and ensure consistency across </w:t>
      </w:r>
      <w:r w:rsidR="002F13DF">
        <w:rPr>
          <w:rFonts w:ascii="Times New Roman" w:hAnsi="Times New Roman"/>
          <w:sz w:val="24"/>
          <w:szCs w:val="24"/>
        </w:rPr>
        <w:t xml:space="preserve">the entire suite of </w:t>
      </w:r>
      <w:r w:rsidR="00BE1D0E">
        <w:rPr>
          <w:rFonts w:ascii="Times New Roman" w:hAnsi="Times New Roman"/>
          <w:sz w:val="24"/>
          <w:szCs w:val="24"/>
        </w:rPr>
        <w:t>reporting standards</w:t>
      </w:r>
      <w:r w:rsidR="004276FE">
        <w:rPr>
          <w:rFonts w:ascii="Times New Roman" w:hAnsi="Times New Roman"/>
          <w:sz w:val="24"/>
          <w:szCs w:val="24"/>
        </w:rPr>
        <w:t>.</w:t>
      </w:r>
    </w:p>
    <w:p w:rsidR="007D3C71" w:rsidRDefault="007D3C71" w:rsidP="009C75F6">
      <w:pPr>
        <w:spacing w:after="240"/>
        <w:jc w:val="both"/>
        <w:rPr>
          <w:rFonts w:ascii="Times New Roman" w:hAnsi="Times New Roman"/>
          <w:b/>
          <w:sz w:val="24"/>
          <w:szCs w:val="24"/>
        </w:rPr>
      </w:pPr>
      <w:r w:rsidRPr="00823B13">
        <w:rPr>
          <w:rFonts w:ascii="Times New Roman" w:hAnsi="Times New Roman"/>
          <w:b/>
          <w:sz w:val="24"/>
          <w:szCs w:val="24"/>
        </w:rPr>
        <w:t>Human rights implications</w:t>
      </w:r>
    </w:p>
    <w:p w:rsidR="007D3C71" w:rsidRPr="00823B13" w:rsidRDefault="007D3C71" w:rsidP="002F13DF">
      <w:pPr>
        <w:pStyle w:val="Heading"/>
        <w:spacing w:after="240"/>
        <w:rPr>
          <w:rFonts w:ascii="Times New Roman" w:hAnsi="Times New Roman"/>
          <w:b w:val="0"/>
          <w:sz w:val="24"/>
          <w:szCs w:val="24"/>
        </w:rPr>
      </w:pPr>
      <w:r w:rsidRPr="00823B13">
        <w:rPr>
          <w:rFonts w:ascii="Times New Roman" w:hAnsi="Times New Roman"/>
          <w:b w:val="0"/>
          <w:sz w:val="24"/>
          <w:szCs w:val="24"/>
        </w:rPr>
        <w:t>APRA has assessed the instrument against the international instruments listed in section 3 of the HRPS Act and determined that only Article 17 of the International Covenant on Civil and Political Rights (ICCPR) is conceivably potentially of relevance to the instrument.</w:t>
      </w:r>
    </w:p>
    <w:p w:rsidR="007D3C71" w:rsidRPr="00823B13" w:rsidRDefault="007D3C71">
      <w:pPr>
        <w:pStyle w:val="Heading"/>
        <w:spacing w:after="240"/>
        <w:rPr>
          <w:rFonts w:ascii="Times New Roman" w:hAnsi="Times New Roman"/>
          <w:b w:val="0"/>
          <w:sz w:val="24"/>
          <w:szCs w:val="24"/>
        </w:rPr>
      </w:pPr>
      <w:r w:rsidRPr="00823B13">
        <w:rPr>
          <w:rFonts w:ascii="Times New Roman" w:hAnsi="Times New Roman"/>
          <w:b w:val="0"/>
          <w:sz w:val="24"/>
          <w:szCs w:val="24"/>
        </w:rPr>
        <w:t>Article 17 of the ICCPR prohibits the arbitrary or unlawful interference with a person’s privacy, family, home and correspondence, and attacks on reputation. Article 17 is exclusively concerned with prohibiting interference with the privacy and/or reputation of individual persons. It does not extend to the privacy and/or reputation of corporate entities.</w:t>
      </w:r>
    </w:p>
    <w:p w:rsidR="007D3C71" w:rsidRPr="00823B13" w:rsidRDefault="007D3C71">
      <w:pPr>
        <w:pStyle w:val="Heading"/>
        <w:spacing w:after="240"/>
        <w:rPr>
          <w:rFonts w:ascii="Times New Roman" w:hAnsi="Times New Roman"/>
          <w:b w:val="0"/>
          <w:sz w:val="24"/>
          <w:szCs w:val="24"/>
        </w:rPr>
      </w:pPr>
      <w:r w:rsidRPr="00823B13">
        <w:rPr>
          <w:rFonts w:ascii="Times New Roman" w:hAnsi="Times New Roman"/>
          <w:b w:val="0"/>
          <w:sz w:val="24"/>
          <w:szCs w:val="24"/>
        </w:rPr>
        <w:t>The information collected will be about each RSE licensee’s business operations, focusing on aggregate transactions information. The information collected does not relate to individuals or persons.</w:t>
      </w:r>
    </w:p>
    <w:p w:rsidR="007D3C71" w:rsidRPr="00823B13" w:rsidRDefault="007D3C71">
      <w:pPr>
        <w:pStyle w:val="Heading"/>
        <w:spacing w:after="240"/>
        <w:rPr>
          <w:rFonts w:ascii="Times New Roman" w:hAnsi="Times New Roman"/>
          <w:b w:val="0"/>
          <w:sz w:val="24"/>
          <w:szCs w:val="24"/>
        </w:rPr>
      </w:pPr>
      <w:r w:rsidRPr="00823B13">
        <w:rPr>
          <w:rFonts w:ascii="Times New Roman" w:hAnsi="Times New Roman"/>
          <w:b w:val="0"/>
          <w:sz w:val="24"/>
          <w:szCs w:val="24"/>
        </w:rPr>
        <w:t>This information ultimately supports APRA achieving its mission of ensuring that, under all reasonable circumstances, financial promises made by the institutions APRA supervises are met within a stable, efficient and competitive financial system.</w:t>
      </w:r>
    </w:p>
    <w:p w:rsidR="007D3C71" w:rsidRPr="00823B13" w:rsidRDefault="007D3C71">
      <w:pPr>
        <w:pStyle w:val="Heading"/>
        <w:spacing w:after="240"/>
        <w:rPr>
          <w:rFonts w:ascii="Times New Roman" w:hAnsi="Times New Roman"/>
          <w:b w:val="0"/>
          <w:sz w:val="24"/>
          <w:szCs w:val="24"/>
        </w:rPr>
      </w:pPr>
      <w:r w:rsidRPr="00823B13">
        <w:rPr>
          <w:rFonts w:ascii="Times New Roman" w:hAnsi="Times New Roman"/>
          <w:b w:val="0"/>
          <w:sz w:val="24"/>
          <w:szCs w:val="24"/>
        </w:rPr>
        <w:t xml:space="preserve">APRA does not publish the personal information which it collects. Information provided to APRA under reporting standards is protected information for the purposes of section 56 of the Australian Prudential Regulation Authority Act 1998 (APRA Act) and cannot be disclosed except under a limited range of circumstances provided for under that section. While APRA does publish some protected information gathered under reporting standards, APRA reviews all releases of data received under reporting standards to ensure that no information pertaining to an individual person can be deduced from the data. </w:t>
      </w:r>
    </w:p>
    <w:p w:rsidR="007D3C71" w:rsidRDefault="007D3C71" w:rsidP="009C75F6">
      <w:pPr>
        <w:spacing w:after="240"/>
        <w:rPr>
          <w:rFonts w:ascii="Times New Roman" w:hAnsi="Times New Roman"/>
          <w:b/>
          <w:sz w:val="24"/>
          <w:szCs w:val="24"/>
        </w:rPr>
      </w:pPr>
      <w:r w:rsidRPr="00823B13">
        <w:rPr>
          <w:rFonts w:ascii="Times New Roman" w:hAnsi="Times New Roman"/>
          <w:b/>
          <w:sz w:val="24"/>
          <w:szCs w:val="24"/>
        </w:rPr>
        <w:lastRenderedPageBreak/>
        <w:t>Conclusion</w:t>
      </w:r>
    </w:p>
    <w:p w:rsidR="007D3C71" w:rsidRPr="00823B13" w:rsidRDefault="007D3C71" w:rsidP="008B0E30">
      <w:pPr>
        <w:spacing w:after="240"/>
        <w:jc w:val="both"/>
        <w:rPr>
          <w:rFonts w:ascii="Times New Roman" w:hAnsi="Times New Roman"/>
          <w:sz w:val="24"/>
          <w:szCs w:val="24"/>
        </w:rPr>
      </w:pPr>
      <w:r w:rsidRPr="00823B13">
        <w:rPr>
          <w:rFonts w:ascii="Times New Roman" w:hAnsi="Times New Roman"/>
          <w:sz w:val="24"/>
          <w:szCs w:val="24"/>
        </w:rPr>
        <w:t xml:space="preserve">Financial Sector (Collection of Data) (reporting standard) determinations No. </w:t>
      </w:r>
      <w:r w:rsidR="001E638F" w:rsidRPr="00823B13">
        <w:rPr>
          <w:rFonts w:ascii="Times New Roman" w:hAnsi="Times New Roman"/>
          <w:sz w:val="24"/>
          <w:szCs w:val="24"/>
        </w:rPr>
        <w:t>3</w:t>
      </w:r>
      <w:r w:rsidR="001E638F">
        <w:rPr>
          <w:rFonts w:ascii="Times New Roman" w:hAnsi="Times New Roman"/>
          <w:sz w:val="24"/>
          <w:szCs w:val="24"/>
        </w:rPr>
        <w:t>7</w:t>
      </w:r>
      <w:r w:rsidRPr="00823B13">
        <w:rPr>
          <w:rFonts w:ascii="Times New Roman" w:hAnsi="Times New Roman"/>
          <w:sz w:val="24"/>
          <w:szCs w:val="24"/>
        </w:rPr>
        <w:t>,</w:t>
      </w:r>
      <w:r w:rsidR="001E638F">
        <w:rPr>
          <w:rFonts w:ascii="Times New Roman" w:hAnsi="Times New Roman"/>
          <w:sz w:val="24"/>
          <w:szCs w:val="24"/>
        </w:rPr>
        <w:t xml:space="preserve"> 38, 39, 40 and 41</w:t>
      </w:r>
      <w:r w:rsidRPr="00823B13">
        <w:rPr>
          <w:rFonts w:ascii="Times New Roman" w:hAnsi="Times New Roman"/>
          <w:sz w:val="24"/>
          <w:szCs w:val="24"/>
        </w:rPr>
        <w:t xml:space="preserve"> are compatible with human rights because:</w:t>
      </w:r>
    </w:p>
    <w:p w:rsidR="007D3C71" w:rsidRPr="00823B13" w:rsidRDefault="007D3C71" w:rsidP="002F13DF">
      <w:pPr>
        <w:pStyle w:val="ListParagraph"/>
        <w:numPr>
          <w:ilvl w:val="0"/>
          <w:numId w:val="9"/>
        </w:numPr>
        <w:spacing w:after="240"/>
        <w:jc w:val="both"/>
        <w:rPr>
          <w:rFonts w:ascii="Times New Roman" w:hAnsi="Times New Roman"/>
          <w:sz w:val="24"/>
          <w:szCs w:val="24"/>
        </w:rPr>
      </w:pPr>
      <w:r w:rsidRPr="00823B13">
        <w:rPr>
          <w:rFonts w:ascii="Times New Roman" w:hAnsi="Times New Roman"/>
          <w:sz w:val="24"/>
          <w:szCs w:val="24"/>
        </w:rPr>
        <w:t xml:space="preserve">to the extent that determinations </w:t>
      </w:r>
      <w:r w:rsidR="001E638F" w:rsidRPr="00823B13">
        <w:rPr>
          <w:rFonts w:ascii="Times New Roman" w:hAnsi="Times New Roman"/>
          <w:sz w:val="24"/>
          <w:szCs w:val="24"/>
        </w:rPr>
        <w:t>No. 3</w:t>
      </w:r>
      <w:r w:rsidR="001E638F">
        <w:rPr>
          <w:rFonts w:ascii="Times New Roman" w:hAnsi="Times New Roman"/>
          <w:sz w:val="24"/>
          <w:szCs w:val="24"/>
        </w:rPr>
        <w:t>7</w:t>
      </w:r>
      <w:r w:rsidR="001E638F" w:rsidRPr="00823B13">
        <w:rPr>
          <w:rFonts w:ascii="Times New Roman" w:hAnsi="Times New Roman"/>
          <w:sz w:val="24"/>
          <w:szCs w:val="24"/>
        </w:rPr>
        <w:t>,</w:t>
      </w:r>
      <w:r w:rsidR="001E638F">
        <w:rPr>
          <w:rFonts w:ascii="Times New Roman" w:hAnsi="Times New Roman"/>
          <w:sz w:val="24"/>
          <w:szCs w:val="24"/>
        </w:rPr>
        <w:t xml:space="preserve"> 38, 39, 40 and 41</w:t>
      </w:r>
      <w:r w:rsidR="001E638F" w:rsidRPr="00823B13">
        <w:rPr>
          <w:rFonts w:ascii="Times New Roman" w:hAnsi="Times New Roman"/>
          <w:sz w:val="24"/>
          <w:szCs w:val="24"/>
        </w:rPr>
        <w:t xml:space="preserve"> </w:t>
      </w:r>
      <w:r w:rsidRPr="00823B13">
        <w:rPr>
          <w:rFonts w:ascii="Times New Roman" w:hAnsi="Times New Roman"/>
          <w:sz w:val="24"/>
          <w:szCs w:val="24"/>
        </w:rPr>
        <w:t>of 2015 limit human rights, those limitations are reasonable, necessary and proportionate; and</w:t>
      </w:r>
    </w:p>
    <w:p w:rsidR="007D3C71" w:rsidRPr="00823B13" w:rsidRDefault="007D3C71">
      <w:pPr>
        <w:pStyle w:val="ListParagraph"/>
        <w:numPr>
          <w:ilvl w:val="0"/>
          <w:numId w:val="9"/>
        </w:numPr>
        <w:spacing w:after="240"/>
        <w:jc w:val="both"/>
        <w:rPr>
          <w:rFonts w:ascii="Times New Roman" w:hAnsi="Times New Roman"/>
          <w:sz w:val="24"/>
          <w:szCs w:val="24"/>
        </w:rPr>
      </w:pPr>
      <w:proofErr w:type="gramStart"/>
      <w:r w:rsidRPr="00823B13">
        <w:rPr>
          <w:rFonts w:ascii="Times New Roman" w:hAnsi="Times New Roman"/>
          <w:sz w:val="24"/>
          <w:szCs w:val="24"/>
        </w:rPr>
        <w:t>the</w:t>
      </w:r>
      <w:proofErr w:type="gramEnd"/>
      <w:r w:rsidRPr="00823B13">
        <w:rPr>
          <w:rFonts w:ascii="Times New Roman" w:hAnsi="Times New Roman"/>
          <w:sz w:val="24"/>
          <w:szCs w:val="24"/>
        </w:rPr>
        <w:t xml:space="preserve"> remaining parts of the determinations do not raise human rights issues.</w:t>
      </w:r>
    </w:p>
    <w:p w:rsidR="007D3C71" w:rsidRDefault="007D3C71">
      <w:pPr>
        <w:spacing w:after="240"/>
        <w:jc w:val="both"/>
        <w:rPr>
          <w:sz w:val="24"/>
          <w:szCs w:val="24"/>
        </w:rPr>
      </w:pPr>
    </w:p>
    <w:p w:rsidR="007D3C71" w:rsidRPr="00FA5345" w:rsidRDefault="007D3C71">
      <w:pPr>
        <w:pStyle w:val="Heading"/>
        <w:spacing w:after="240"/>
      </w:pPr>
    </w:p>
    <w:sectPr w:rsidR="007D3C71" w:rsidRPr="00FA5345" w:rsidSect="003D5032">
      <w:footerReference w:type="default" r:id="rId9"/>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70" w:rsidRDefault="00B43670" w:rsidP="001A2234">
      <w:r>
        <w:separator/>
      </w:r>
    </w:p>
  </w:endnote>
  <w:endnote w:type="continuationSeparator" w:id="0">
    <w:p w:rsidR="00B43670" w:rsidRDefault="00B43670" w:rsidP="001A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rPr>
        <w:rFonts w:ascii="Times New Roman" w:hAnsi="Times New Roman"/>
        <w:sz w:val="24"/>
        <w:szCs w:val="24"/>
      </w:rPr>
    </w:sdtEndPr>
    <w:sdtContent>
      <w:p w:rsidR="001A2234" w:rsidRPr="001A2234" w:rsidRDefault="001A2234" w:rsidP="001A2234">
        <w:pPr>
          <w:pStyle w:val="Footer"/>
          <w:jc w:val="center"/>
          <w:rPr>
            <w:rFonts w:ascii="Times New Roman" w:hAnsi="Times New Roman"/>
            <w:sz w:val="24"/>
            <w:szCs w:val="24"/>
          </w:rPr>
        </w:pPr>
        <w:r w:rsidRPr="001A2234">
          <w:rPr>
            <w:rFonts w:ascii="Times New Roman" w:hAnsi="Times New Roman"/>
            <w:bCs/>
            <w:sz w:val="24"/>
            <w:szCs w:val="24"/>
          </w:rPr>
          <w:fldChar w:fldCharType="begin"/>
        </w:r>
        <w:r w:rsidRPr="001A2234">
          <w:rPr>
            <w:rFonts w:ascii="Times New Roman" w:hAnsi="Times New Roman"/>
            <w:bCs/>
            <w:sz w:val="24"/>
            <w:szCs w:val="24"/>
          </w:rPr>
          <w:instrText xml:space="preserve"> PAGE </w:instrText>
        </w:r>
        <w:r w:rsidRPr="001A2234">
          <w:rPr>
            <w:rFonts w:ascii="Times New Roman" w:hAnsi="Times New Roman"/>
            <w:bCs/>
            <w:sz w:val="24"/>
            <w:szCs w:val="24"/>
          </w:rPr>
          <w:fldChar w:fldCharType="separate"/>
        </w:r>
        <w:r w:rsidR="00D60EB3">
          <w:rPr>
            <w:rFonts w:ascii="Times New Roman" w:hAnsi="Times New Roman"/>
            <w:bCs/>
            <w:noProof/>
            <w:sz w:val="24"/>
            <w:szCs w:val="24"/>
          </w:rPr>
          <w:t>5</w:t>
        </w:r>
        <w:r w:rsidRPr="001A2234">
          <w:rPr>
            <w:rFonts w:ascii="Times New Roman" w:hAnsi="Times New Roman"/>
            <w:bCs/>
            <w:sz w:val="24"/>
            <w:szCs w:val="24"/>
          </w:rPr>
          <w:fldChar w:fldCharType="end"/>
        </w:r>
      </w:p>
    </w:sdtContent>
  </w:sdt>
  <w:p w:rsidR="001A2234" w:rsidRDefault="001A22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70" w:rsidRDefault="00B43670" w:rsidP="001A2234">
      <w:r>
        <w:separator/>
      </w:r>
    </w:p>
  </w:footnote>
  <w:footnote w:type="continuationSeparator" w:id="0">
    <w:p w:rsidR="00B43670" w:rsidRDefault="00B43670" w:rsidP="001A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D42"/>
    <w:multiLevelType w:val="hybridMultilevel"/>
    <w:tmpl w:val="6FA81BB2"/>
    <w:lvl w:ilvl="0" w:tplc="8FAAD7E8">
      <w:start w:val="1"/>
      <w:numFmt w:val="lowerRoman"/>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6502760"/>
    <w:multiLevelType w:val="hybridMultilevel"/>
    <w:tmpl w:val="FE44102A"/>
    <w:lvl w:ilvl="0" w:tplc="DF5EDD5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1DF87BC0"/>
    <w:multiLevelType w:val="hybridMultilevel"/>
    <w:tmpl w:val="EFECDC84"/>
    <w:lvl w:ilvl="0" w:tplc="6F8CE888">
      <w:start w:val="1"/>
      <w:numFmt w:val="decimal"/>
      <w:lvlText w:val="(%1)"/>
      <w:lvlJc w:val="left"/>
      <w:pPr>
        <w:ind w:left="1080" w:hanging="360"/>
      </w:pPr>
      <w:rPr>
        <w:rFonts w:hint="default"/>
      </w:rPr>
    </w:lvl>
    <w:lvl w:ilvl="1" w:tplc="4D424FDA">
      <w:start w:val="1"/>
      <w:numFmt w:val="lowerRoman"/>
      <w:lvlText w:val="(%2)"/>
      <w:lvlJc w:val="left"/>
      <w:pPr>
        <w:tabs>
          <w:tab w:val="num" w:pos="1134"/>
        </w:tabs>
        <w:ind w:left="1134" w:hanging="567"/>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32413538"/>
    <w:multiLevelType w:val="hybridMultilevel"/>
    <w:tmpl w:val="3184E936"/>
    <w:lvl w:ilvl="0" w:tplc="B916154A">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5">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0F01FE"/>
    <w:multiLevelType w:val="hybridMultilevel"/>
    <w:tmpl w:val="15FCD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71C3ED5"/>
    <w:multiLevelType w:val="hybridMultilevel"/>
    <w:tmpl w:val="7332A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CC02E32"/>
    <w:multiLevelType w:val="hybridMultilevel"/>
    <w:tmpl w:val="00F4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A3D61"/>
    <w:multiLevelType w:val="hybridMultilevel"/>
    <w:tmpl w:val="1590B1A6"/>
    <w:lvl w:ilvl="0" w:tplc="02245D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4"/>
  </w:num>
  <w:num w:numId="6">
    <w:abstractNumId w:val="2"/>
  </w:num>
  <w:num w:numId="7">
    <w:abstractNumId w:val="8"/>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70"/>
    <w:rsid w:val="0000182A"/>
    <w:rsid w:val="00005DA3"/>
    <w:rsid w:val="000401FC"/>
    <w:rsid w:val="000830E4"/>
    <w:rsid w:val="000B14BD"/>
    <w:rsid w:val="000D3013"/>
    <w:rsid w:val="000D6252"/>
    <w:rsid w:val="000E369C"/>
    <w:rsid w:val="000F7AAB"/>
    <w:rsid w:val="0013667C"/>
    <w:rsid w:val="0016164A"/>
    <w:rsid w:val="00182FA1"/>
    <w:rsid w:val="001851DC"/>
    <w:rsid w:val="001A2234"/>
    <w:rsid w:val="001A2ADB"/>
    <w:rsid w:val="001A33A8"/>
    <w:rsid w:val="001E638F"/>
    <w:rsid w:val="00207792"/>
    <w:rsid w:val="00207B92"/>
    <w:rsid w:val="00226AD1"/>
    <w:rsid w:val="002436BD"/>
    <w:rsid w:val="00246723"/>
    <w:rsid w:val="00296944"/>
    <w:rsid w:val="002A6EC3"/>
    <w:rsid w:val="002A73BD"/>
    <w:rsid w:val="002F13DF"/>
    <w:rsid w:val="002F193A"/>
    <w:rsid w:val="0030506B"/>
    <w:rsid w:val="00310CF8"/>
    <w:rsid w:val="00322EE4"/>
    <w:rsid w:val="00354CB8"/>
    <w:rsid w:val="003641E2"/>
    <w:rsid w:val="00380068"/>
    <w:rsid w:val="003866AD"/>
    <w:rsid w:val="003A52A5"/>
    <w:rsid w:val="003B4DDD"/>
    <w:rsid w:val="003D5032"/>
    <w:rsid w:val="0040175E"/>
    <w:rsid w:val="00422164"/>
    <w:rsid w:val="004276FE"/>
    <w:rsid w:val="00427A88"/>
    <w:rsid w:val="0044192F"/>
    <w:rsid w:val="00443A02"/>
    <w:rsid w:val="00464570"/>
    <w:rsid w:val="0047260A"/>
    <w:rsid w:val="004767B6"/>
    <w:rsid w:val="004C3D07"/>
    <w:rsid w:val="004E2008"/>
    <w:rsid w:val="0051575B"/>
    <w:rsid w:val="00532D49"/>
    <w:rsid w:val="005508F4"/>
    <w:rsid w:val="0056141D"/>
    <w:rsid w:val="00581013"/>
    <w:rsid w:val="00581B67"/>
    <w:rsid w:val="00585E06"/>
    <w:rsid w:val="0059483A"/>
    <w:rsid w:val="005B51D7"/>
    <w:rsid w:val="005C3252"/>
    <w:rsid w:val="005D4287"/>
    <w:rsid w:val="005E5910"/>
    <w:rsid w:val="00622480"/>
    <w:rsid w:val="00646DAA"/>
    <w:rsid w:val="00647D58"/>
    <w:rsid w:val="006538C6"/>
    <w:rsid w:val="00656B02"/>
    <w:rsid w:val="00657678"/>
    <w:rsid w:val="00682865"/>
    <w:rsid w:val="00684F73"/>
    <w:rsid w:val="006976A1"/>
    <w:rsid w:val="006B093F"/>
    <w:rsid w:val="006C591F"/>
    <w:rsid w:val="007031F4"/>
    <w:rsid w:val="007049CF"/>
    <w:rsid w:val="007368AD"/>
    <w:rsid w:val="00736D41"/>
    <w:rsid w:val="007428D4"/>
    <w:rsid w:val="00747AFF"/>
    <w:rsid w:val="00785CDC"/>
    <w:rsid w:val="007C2298"/>
    <w:rsid w:val="007D3C71"/>
    <w:rsid w:val="007E3007"/>
    <w:rsid w:val="007E4B2A"/>
    <w:rsid w:val="007F2935"/>
    <w:rsid w:val="008269C2"/>
    <w:rsid w:val="00830F66"/>
    <w:rsid w:val="00832B4B"/>
    <w:rsid w:val="00834676"/>
    <w:rsid w:val="00857A92"/>
    <w:rsid w:val="00896BA4"/>
    <w:rsid w:val="008B0E30"/>
    <w:rsid w:val="008D451F"/>
    <w:rsid w:val="00932EFA"/>
    <w:rsid w:val="00933D12"/>
    <w:rsid w:val="00967D16"/>
    <w:rsid w:val="009B67A8"/>
    <w:rsid w:val="009C5368"/>
    <w:rsid w:val="009C75F6"/>
    <w:rsid w:val="009D78AA"/>
    <w:rsid w:val="009E612B"/>
    <w:rsid w:val="009F4237"/>
    <w:rsid w:val="00A279AF"/>
    <w:rsid w:val="00A4133B"/>
    <w:rsid w:val="00A63A2B"/>
    <w:rsid w:val="00AC2517"/>
    <w:rsid w:val="00AC7A56"/>
    <w:rsid w:val="00AD1CB7"/>
    <w:rsid w:val="00AE298E"/>
    <w:rsid w:val="00B0486E"/>
    <w:rsid w:val="00B04B20"/>
    <w:rsid w:val="00B43670"/>
    <w:rsid w:val="00B64B2E"/>
    <w:rsid w:val="00B731B6"/>
    <w:rsid w:val="00B85B6E"/>
    <w:rsid w:val="00BA7DA6"/>
    <w:rsid w:val="00BB1678"/>
    <w:rsid w:val="00BB3EBE"/>
    <w:rsid w:val="00BD6360"/>
    <w:rsid w:val="00BE1D0E"/>
    <w:rsid w:val="00BF2953"/>
    <w:rsid w:val="00BF6207"/>
    <w:rsid w:val="00C302FA"/>
    <w:rsid w:val="00C54959"/>
    <w:rsid w:val="00C948AA"/>
    <w:rsid w:val="00CA0564"/>
    <w:rsid w:val="00CA6CB3"/>
    <w:rsid w:val="00CB384A"/>
    <w:rsid w:val="00CC7FBE"/>
    <w:rsid w:val="00CD1947"/>
    <w:rsid w:val="00CE3EF2"/>
    <w:rsid w:val="00D119F5"/>
    <w:rsid w:val="00D2620A"/>
    <w:rsid w:val="00D3484E"/>
    <w:rsid w:val="00D60EB3"/>
    <w:rsid w:val="00D61C83"/>
    <w:rsid w:val="00D64906"/>
    <w:rsid w:val="00D74DC3"/>
    <w:rsid w:val="00D83531"/>
    <w:rsid w:val="00D87E36"/>
    <w:rsid w:val="00D912B0"/>
    <w:rsid w:val="00DB3D3B"/>
    <w:rsid w:val="00DC02D0"/>
    <w:rsid w:val="00DC4155"/>
    <w:rsid w:val="00DF524E"/>
    <w:rsid w:val="00E15497"/>
    <w:rsid w:val="00E154A3"/>
    <w:rsid w:val="00E16789"/>
    <w:rsid w:val="00E201A8"/>
    <w:rsid w:val="00E22593"/>
    <w:rsid w:val="00E52DFE"/>
    <w:rsid w:val="00E61B19"/>
    <w:rsid w:val="00E62E09"/>
    <w:rsid w:val="00E73F46"/>
    <w:rsid w:val="00E83B84"/>
    <w:rsid w:val="00E90C89"/>
    <w:rsid w:val="00EC5653"/>
    <w:rsid w:val="00EE6AF1"/>
    <w:rsid w:val="00F436BC"/>
    <w:rsid w:val="00F76A83"/>
    <w:rsid w:val="00F7706D"/>
    <w:rsid w:val="00FA5345"/>
    <w:rsid w:val="00FC24AB"/>
    <w:rsid w:val="00FC3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customStyle="1" w:styleId="Default">
    <w:name w:val="Default"/>
    <w:rsid w:val="009C75F6"/>
    <w:pPr>
      <w:autoSpaceDE w:val="0"/>
      <w:autoSpaceDN w:val="0"/>
      <w:adjustRightInd w:val="0"/>
    </w:pPr>
    <w:rPr>
      <w:rFonts w:ascii="Trebuchet MS" w:hAnsi="Trebuchet MS" w:cs="Trebuchet MS"/>
      <w:color w:val="000000"/>
      <w:sz w:val="24"/>
      <w:szCs w:val="24"/>
    </w:rPr>
  </w:style>
  <w:style w:type="paragraph" w:styleId="Revision">
    <w:name w:val="Revision"/>
    <w:hidden/>
    <w:uiPriority w:val="99"/>
    <w:semiHidden/>
    <w:rsid w:val="00207792"/>
    <w:rPr>
      <w:rFonts w:ascii="Trebuchet MS" w:eastAsia="Times New Roman" w:hAnsi="Trebuchet M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customStyle="1" w:styleId="heading0">
    <w:name w:val="heading"/>
    <w:basedOn w:val="Normal"/>
    <w:rsid w:val="001A2ADB"/>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1A2234"/>
    <w:pPr>
      <w:tabs>
        <w:tab w:val="center" w:pos="4513"/>
        <w:tab w:val="right" w:pos="9026"/>
      </w:tabs>
    </w:pPr>
  </w:style>
  <w:style w:type="character" w:customStyle="1" w:styleId="HeaderChar">
    <w:name w:val="Header Char"/>
    <w:basedOn w:val="DefaultParagraphFont"/>
    <w:link w:val="Header"/>
    <w:uiPriority w:val="99"/>
    <w:rsid w:val="001A2234"/>
    <w:rPr>
      <w:rFonts w:ascii="Trebuchet MS" w:eastAsia="Times New Roman" w:hAnsi="Trebuchet MS"/>
      <w:sz w:val="22"/>
    </w:rPr>
  </w:style>
  <w:style w:type="paragraph" w:styleId="Footer">
    <w:name w:val="footer"/>
    <w:basedOn w:val="Normal"/>
    <w:link w:val="FooterChar"/>
    <w:uiPriority w:val="99"/>
    <w:unhideWhenUsed/>
    <w:rsid w:val="001A2234"/>
    <w:pPr>
      <w:tabs>
        <w:tab w:val="center" w:pos="4513"/>
        <w:tab w:val="right" w:pos="9026"/>
      </w:tabs>
    </w:pPr>
  </w:style>
  <w:style w:type="character" w:customStyle="1" w:styleId="FooterChar">
    <w:name w:val="Footer Char"/>
    <w:basedOn w:val="DefaultParagraphFont"/>
    <w:link w:val="Footer"/>
    <w:uiPriority w:val="99"/>
    <w:rsid w:val="001A2234"/>
    <w:rPr>
      <w:rFonts w:ascii="Trebuchet MS" w:eastAsia="Times New Roman" w:hAnsi="Trebuchet MS"/>
      <w:sz w:val="22"/>
    </w:rPr>
  </w:style>
  <w:style w:type="paragraph" w:customStyle="1" w:styleId="Default">
    <w:name w:val="Default"/>
    <w:rsid w:val="009C75F6"/>
    <w:pPr>
      <w:autoSpaceDE w:val="0"/>
      <w:autoSpaceDN w:val="0"/>
      <w:adjustRightInd w:val="0"/>
    </w:pPr>
    <w:rPr>
      <w:rFonts w:ascii="Trebuchet MS" w:hAnsi="Trebuchet MS" w:cs="Trebuchet MS"/>
      <w:color w:val="000000"/>
      <w:sz w:val="24"/>
      <w:szCs w:val="24"/>
    </w:rPr>
  </w:style>
  <w:style w:type="paragraph" w:styleId="Revision">
    <w:name w:val="Revision"/>
    <w:hidden/>
    <w:uiPriority w:val="99"/>
    <w:semiHidden/>
    <w:rsid w:val="00207792"/>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93740">
      <w:bodyDiv w:val="1"/>
      <w:marLeft w:val="0"/>
      <w:marRight w:val="0"/>
      <w:marTop w:val="0"/>
      <w:marBottom w:val="0"/>
      <w:divBdr>
        <w:top w:val="none" w:sz="0" w:space="0" w:color="auto"/>
        <w:left w:val="none" w:sz="0" w:space="0" w:color="auto"/>
        <w:bottom w:val="none" w:sz="0" w:space="0" w:color="auto"/>
        <w:right w:val="none" w:sz="0" w:space="0" w:color="auto"/>
      </w:divBdr>
      <w:divsChild>
        <w:div w:id="573199765">
          <w:marLeft w:val="0"/>
          <w:marRight w:val="0"/>
          <w:marTop w:val="0"/>
          <w:marBottom w:val="0"/>
          <w:divBdr>
            <w:top w:val="none" w:sz="0" w:space="0" w:color="auto"/>
            <w:left w:val="none" w:sz="0" w:space="0" w:color="auto"/>
            <w:bottom w:val="none" w:sz="0" w:space="0" w:color="auto"/>
            <w:right w:val="none" w:sz="0" w:space="0" w:color="auto"/>
          </w:divBdr>
          <w:divsChild>
            <w:div w:id="1756517109">
              <w:marLeft w:val="0"/>
              <w:marRight w:val="0"/>
              <w:marTop w:val="0"/>
              <w:marBottom w:val="0"/>
              <w:divBdr>
                <w:top w:val="none" w:sz="0" w:space="0" w:color="auto"/>
                <w:left w:val="none" w:sz="0" w:space="0" w:color="auto"/>
                <w:bottom w:val="none" w:sz="0" w:space="0" w:color="auto"/>
                <w:right w:val="none" w:sz="0" w:space="0" w:color="auto"/>
              </w:divBdr>
              <w:divsChild>
                <w:div w:id="726145315">
                  <w:marLeft w:val="0"/>
                  <w:marRight w:val="0"/>
                  <w:marTop w:val="0"/>
                  <w:marBottom w:val="0"/>
                  <w:divBdr>
                    <w:top w:val="none" w:sz="0" w:space="0" w:color="auto"/>
                    <w:left w:val="none" w:sz="0" w:space="0" w:color="auto"/>
                    <w:bottom w:val="none" w:sz="0" w:space="0" w:color="auto"/>
                    <w:right w:val="none" w:sz="0" w:space="0" w:color="auto"/>
                  </w:divBdr>
                  <w:divsChild>
                    <w:div w:id="1193955011">
                      <w:marLeft w:val="0"/>
                      <w:marRight w:val="0"/>
                      <w:marTop w:val="0"/>
                      <w:marBottom w:val="0"/>
                      <w:divBdr>
                        <w:top w:val="none" w:sz="0" w:space="0" w:color="auto"/>
                        <w:left w:val="none" w:sz="0" w:space="0" w:color="auto"/>
                        <w:bottom w:val="none" w:sz="0" w:space="0" w:color="auto"/>
                        <w:right w:val="none" w:sz="0" w:space="0" w:color="auto"/>
                      </w:divBdr>
                      <w:divsChild>
                        <w:div w:id="742290262">
                          <w:marLeft w:val="0"/>
                          <w:marRight w:val="0"/>
                          <w:marTop w:val="0"/>
                          <w:marBottom w:val="0"/>
                          <w:divBdr>
                            <w:top w:val="single" w:sz="6" w:space="0" w:color="828282"/>
                            <w:left w:val="single" w:sz="6" w:space="0" w:color="828282"/>
                            <w:bottom w:val="single" w:sz="6" w:space="0" w:color="828282"/>
                            <w:right w:val="single" w:sz="6" w:space="0" w:color="828282"/>
                          </w:divBdr>
                          <w:divsChild>
                            <w:div w:id="1622147667">
                              <w:marLeft w:val="0"/>
                              <w:marRight w:val="0"/>
                              <w:marTop w:val="0"/>
                              <w:marBottom w:val="0"/>
                              <w:divBdr>
                                <w:top w:val="none" w:sz="0" w:space="0" w:color="auto"/>
                                <w:left w:val="none" w:sz="0" w:space="0" w:color="auto"/>
                                <w:bottom w:val="none" w:sz="0" w:space="0" w:color="auto"/>
                                <w:right w:val="none" w:sz="0" w:space="0" w:color="auto"/>
                              </w:divBdr>
                              <w:divsChild>
                                <w:div w:id="108164630">
                                  <w:marLeft w:val="0"/>
                                  <w:marRight w:val="0"/>
                                  <w:marTop w:val="0"/>
                                  <w:marBottom w:val="0"/>
                                  <w:divBdr>
                                    <w:top w:val="none" w:sz="0" w:space="0" w:color="auto"/>
                                    <w:left w:val="none" w:sz="0" w:space="0" w:color="auto"/>
                                    <w:bottom w:val="none" w:sz="0" w:space="0" w:color="auto"/>
                                    <w:right w:val="none" w:sz="0" w:space="0" w:color="auto"/>
                                  </w:divBdr>
                                  <w:divsChild>
                                    <w:div w:id="477498711">
                                      <w:marLeft w:val="0"/>
                                      <w:marRight w:val="0"/>
                                      <w:marTop w:val="0"/>
                                      <w:marBottom w:val="0"/>
                                      <w:divBdr>
                                        <w:top w:val="none" w:sz="0" w:space="0" w:color="auto"/>
                                        <w:left w:val="none" w:sz="0" w:space="0" w:color="auto"/>
                                        <w:bottom w:val="none" w:sz="0" w:space="0" w:color="auto"/>
                                        <w:right w:val="none" w:sz="0" w:space="0" w:color="auto"/>
                                      </w:divBdr>
                                      <w:divsChild>
                                        <w:div w:id="78527543">
                                          <w:marLeft w:val="0"/>
                                          <w:marRight w:val="0"/>
                                          <w:marTop w:val="0"/>
                                          <w:marBottom w:val="0"/>
                                          <w:divBdr>
                                            <w:top w:val="none" w:sz="0" w:space="0" w:color="auto"/>
                                            <w:left w:val="none" w:sz="0" w:space="0" w:color="auto"/>
                                            <w:bottom w:val="none" w:sz="0" w:space="0" w:color="auto"/>
                                            <w:right w:val="none" w:sz="0" w:space="0" w:color="auto"/>
                                          </w:divBdr>
                                          <w:divsChild>
                                            <w:div w:id="108356869">
                                              <w:marLeft w:val="0"/>
                                              <w:marRight w:val="0"/>
                                              <w:marTop w:val="0"/>
                                              <w:marBottom w:val="0"/>
                                              <w:divBdr>
                                                <w:top w:val="none" w:sz="0" w:space="0" w:color="auto"/>
                                                <w:left w:val="none" w:sz="0" w:space="0" w:color="auto"/>
                                                <w:bottom w:val="none" w:sz="0" w:space="0" w:color="auto"/>
                                                <w:right w:val="none" w:sz="0" w:space="0" w:color="auto"/>
                                              </w:divBdr>
                                              <w:divsChild>
                                                <w:div w:id="10274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Workgroup\Policy\PD2012\PD%20INTERNAL\Policy%20templates%20and%20agreed%20wording\ES%20templates\Template%20-%20ES%20for%20revoke%20and%20remake%20reporting%20standard%20(Novem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DC3F-1FA8-4AC9-ACD6-15112167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reporting standard (November 2013).dotx</Template>
  <TotalTime>0</TotalTime>
  <Pages>5</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Simon</dc:creator>
  <cp:lastModifiedBy>Watson, Jill</cp:lastModifiedBy>
  <cp:revision>2</cp:revision>
  <cp:lastPrinted>2012-11-13T01:53:00Z</cp:lastPrinted>
  <dcterms:created xsi:type="dcterms:W3CDTF">2015-12-10T22:49:00Z</dcterms:created>
  <dcterms:modified xsi:type="dcterms:W3CDTF">2015-12-10T22:49:00Z</dcterms:modified>
</cp:coreProperties>
</file>