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3" w:rsidRDefault="00184423" w:rsidP="00184423">
      <w:pPr>
        <w:jc w:val="both"/>
        <w:rPr>
          <w:b/>
        </w:rPr>
      </w:pPr>
    </w:p>
    <w:p w:rsidR="00184423" w:rsidRPr="00E532BD" w:rsidRDefault="00184423" w:rsidP="00184423">
      <w:pPr>
        <w:jc w:val="center"/>
        <w:rPr>
          <w:b/>
        </w:rPr>
      </w:pPr>
      <w:r w:rsidRPr="00E532BD">
        <w:rPr>
          <w:b/>
        </w:rPr>
        <w:t>Australian Securities and Investments Commission</w:t>
      </w:r>
      <w:r w:rsidRPr="00E532BD">
        <w:rPr>
          <w:b/>
        </w:rPr>
        <w:br/>
        <w:t>ASIC Market Integrity Rules (</w:t>
      </w:r>
      <w:r>
        <w:rPr>
          <w:b/>
        </w:rPr>
        <w:t>ASX Market</w:t>
      </w:r>
      <w:r w:rsidRPr="00E532BD">
        <w:rPr>
          <w:b/>
        </w:rPr>
        <w:t>) 201</w:t>
      </w:r>
      <w:r>
        <w:rPr>
          <w:b/>
        </w:rPr>
        <w:t>0</w:t>
      </w:r>
      <w:r w:rsidRPr="00E532BD">
        <w:rPr>
          <w:b/>
        </w:rPr>
        <w:t xml:space="preserve"> –</w:t>
      </w:r>
    </w:p>
    <w:p w:rsidR="00184423" w:rsidRPr="00E532BD" w:rsidRDefault="00184423" w:rsidP="00184423">
      <w:pPr>
        <w:jc w:val="center"/>
        <w:rPr>
          <w:b/>
        </w:rPr>
      </w:pPr>
      <w:proofErr w:type="spellStart"/>
      <w:r w:rsidRPr="00E532BD">
        <w:rPr>
          <w:b/>
        </w:rPr>
        <w:t>Subrule</w:t>
      </w:r>
      <w:proofErr w:type="spellEnd"/>
      <w:r w:rsidRPr="00E532BD">
        <w:rPr>
          <w:b/>
        </w:rPr>
        <w:t xml:space="preserve"> 1.2.1(1) – Class Rule Waiver</w:t>
      </w:r>
    </w:p>
    <w:p w:rsidR="00184423" w:rsidRPr="00E532BD" w:rsidRDefault="00184423" w:rsidP="00184423">
      <w:pPr>
        <w:jc w:val="both"/>
        <w:rPr>
          <w:b/>
          <w:lang w:val="en-US"/>
        </w:rPr>
      </w:pPr>
    </w:p>
    <w:p w:rsidR="00184423" w:rsidRPr="00E532BD" w:rsidRDefault="00184423" w:rsidP="00184423">
      <w:pPr>
        <w:ind w:firstLine="360"/>
        <w:jc w:val="both"/>
        <w:rPr>
          <w:b/>
          <w:lang w:val="en-US"/>
        </w:rPr>
      </w:pPr>
    </w:p>
    <w:p w:rsidR="00184423" w:rsidRPr="00E532BD" w:rsidRDefault="00184423" w:rsidP="00184423">
      <w:pPr>
        <w:jc w:val="both"/>
        <w:rPr>
          <w:b/>
          <w:lang w:val="en-US"/>
        </w:rPr>
      </w:pPr>
      <w:r w:rsidRPr="00E532BD">
        <w:rPr>
          <w:b/>
          <w:lang w:val="en-US"/>
        </w:rPr>
        <w:t>Enabling provision</w:t>
      </w:r>
    </w:p>
    <w:p w:rsidR="00184423" w:rsidRPr="00E532BD" w:rsidRDefault="00184423" w:rsidP="00184423">
      <w:pPr>
        <w:jc w:val="both"/>
        <w:rPr>
          <w:b/>
          <w:bCs/>
          <w:lang w:val="en-US"/>
        </w:rPr>
      </w:pPr>
    </w:p>
    <w:p w:rsidR="00184423" w:rsidRPr="00E532BD" w:rsidRDefault="00184423" w:rsidP="00184423">
      <w:pPr>
        <w:numPr>
          <w:ilvl w:val="0"/>
          <w:numId w:val="1"/>
        </w:numPr>
        <w:ind w:left="567" w:hanging="567"/>
        <w:jc w:val="both"/>
      </w:pPr>
      <w:r w:rsidRPr="00E532BD">
        <w:rPr>
          <w:bCs/>
          <w:lang w:val="en-US"/>
        </w:rPr>
        <w:t>The Australian Securities and Investments Commission (</w:t>
      </w:r>
      <w:r w:rsidRPr="00E532BD">
        <w:rPr>
          <w:b/>
          <w:bCs/>
          <w:i/>
          <w:lang w:val="en-US"/>
        </w:rPr>
        <w:t>ASIC</w:t>
      </w:r>
      <w:r w:rsidRPr="00E532BD">
        <w:rPr>
          <w:bCs/>
          <w:lang w:val="en-US"/>
        </w:rPr>
        <w:t xml:space="preserve">) </w:t>
      </w:r>
      <w:proofErr w:type="gramStart"/>
      <w:r w:rsidRPr="00E532BD">
        <w:rPr>
          <w:bCs/>
          <w:lang w:val="en-US"/>
        </w:rPr>
        <w:t>makes</w:t>
      </w:r>
      <w:proofErr w:type="gramEnd"/>
      <w:r w:rsidRPr="00E532BD">
        <w:rPr>
          <w:bCs/>
          <w:lang w:val="en-US"/>
        </w:rPr>
        <w:t xml:space="preserve"> this instrument under </w:t>
      </w:r>
      <w:proofErr w:type="spellStart"/>
      <w:r w:rsidRPr="00E532BD">
        <w:rPr>
          <w:bCs/>
          <w:lang w:val="en-US"/>
        </w:rPr>
        <w:t>subrule</w:t>
      </w:r>
      <w:proofErr w:type="spellEnd"/>
      <w:r w:rsidRPr="00E532BD">
        <w:rPr>
          <w:bCs/>
          <w:lang w:val="en-US"/>
        </w:rPr>
        <w:t xml:space="preserve"> 1.2.1(1) of the </w:t>
      </w:r>
      <w:r w:rsidRPr="00E532BD">
        <w:rPr>
          <w:bCs/>
          <w:i/>
          <w:lang w:val="en-US"/>
        </w:rPr>
        <w:t>ASIC Market Integrity Rules (</w:t>
      </w:r>
      <w:r>
        <w:rPr>
          <w:bCs/>
          <w:i/>
          <w:lang w:val="en-US"/>
        </w:rPr>
        <w:t>ASX Market</w:t>
      </w:r>
      <w:r w:rsidRPr="00E532BD">
        <w:rPr>
          <w:bCs/>
          <w:i/>
          <w:lang w:val="en-US"/>
        </w:rPr>
        <w:t>) 201</w:t>
      </w:r>
      <w:r>
        <w:rPr>
          <w:bCs/>
          <w:i/>
          <w:lang w:val="en-US"/>
        </w:rPr>
        <w:t>0</w:t>
      </w:r>
      <w:r w:rsidRPr="00E532BD">
        <w:rPr>
          <w:bCs/>
          <w:lang w:val="en-US"/>
        </w:rPr>
        <w:t xml:space="preserve"> (the </w:t>
      </w:r>
      <w:r w:rsidRPr="00184423">
        <w:rPr>
          <w:b/>
          <w:bCs/>
          <w:i/>
          <w:lang w:val="en-US"/>
        </w:rPr>
        <w:t>ASIC Market Integrity Rules (</w:t>
      </w:r>
      <w:r>
        <w:rPr>
          <w:b/>
          <w:bCs/>
          <w:i/>
          <w:lang w:val="en-US"/>
        </w:rPr>
        <w:t>ASX</w:t>
      </w:r>
      <w:r w:rsidRPr="00184423">
        <w:rPr>
          <w:b/>
          <w:bCs/>
          <w:i/>
          <w:lang w:val="en-US"/>
        </w:rPr>
        <w:t>)</w:t>
      </w:r>
      <w:r w:rsidRPr="00E532BD">
        <w:rPr>
          <w:bCs/>
          <w:lang w:val="en-US"/>
        </w:rPr>
        <w:t>).</w:t>
      </w:r>
    </w:p>
    <w:p w:rsidR="00184423" w:rsidRPr="00E532BD" w:rsidRDefault="00184423" w:rsidP="00184423">
      <w:pPr>
        <w:jc w:val="both"/>
      </w:pPr>
    </w:p>
    <w:p w:rsidR="00184423" w:rsidRPr="00E532BD" w:rsidRDefault="00184423" w:rsidP="00184423">
      <w:pPr>
        <w:jc w:val="both"/>
        <w:rPr>
          <w:b/>
          <w:bCs/>
          <w:lang w:val="en-US"/>
        </w:rPr>
      </w:pPr>
      <w:r w:rsidRPr="00E532BD">
        <w:rPr>
          <w:b/>
          <w:bCs/>
          <w:lang w:val="en-US"/>
        </w:rPr>
        <w:t>Title</w:t>
      </w:r>
    </w:p>
    <w:p w:rsidR="00184423" w:rsidRPr="00E532BD" w:rsidRDefault="00184423" w:rsidP="00184423">
      <w:pPr>
        <w:jc w:val="both"/>
      </w:pPr>
    </w:p>
    <w:p w:rsidR="00184423" w:rsidRPr="00E532BD" w:rsidRDefault="00184423" w:rsidP="00184423">
      <w:pPr>
        <w:numPr>
          <w:ilvl w:val="0"/>
          <w:numId w:val="1"/>
        </w:numPr>
        <w:ind w:left="567" w:hanging="567"/>
        <w:jc w:val="both"/>
      </w:pPr>
      <w:r w:rsidRPr="00E532BD">
        <w:t xml:space="preserve">This instrument is ASIC Class Rule Waiver [CW </w:t>
      </w:r>
      <w:r w:rsidR="00A94270">
        <w:t>15/932</w:t>
      </w:r>
      <w:r w:rsidRPr="00E532BD">
        <w:t>].</w:t>
      </w:r>
    </w:p>
    <w:p w:rsidR="00184423" w:rsidRPr="00E532BD" w:rsidRDefault="00184423" w:rsidP="00184423">
      <w:pPr>
        <w:jc w:val="both"/>
        <w:rPr>
          <w:b/>
        </w:rPr>
      </w:pPr>
    </w:p>
    <w:p w:rsidR="00184423" w:rsidRPr="00E532BD" w:rsidRDefault="00184423" w:rsidP="00184423">
      <w:pPr>
        <w:jc w:val="both"/>
        <w:rPr>
          <w:b/>
        </w:rPr>
      </w:pPr>
      <w:r w:rsidRPr="00E532BD">
        <w:rPr>
          <w:b/>
        </w:rPr>
        <w:t>Commencement</w:t>
      </w:r>
    </w:p>
    <w:p w:rsidR="00184423" w:rsidRPr="00E532BD" w:rsidRDefault="00184423" w:rsidP="00184423">
      <w:pPr>
        <w:jc w:val="both"/>
      </w:pPr>
    </w:p>
    <w:p w:rsidR="00184423" w:rsidRDefault="00184423" w:rsidP="00184423">
      <w:pPr>
        <w:numPr>
          <w:ilvl w:val="0"/>
          <w:numId w:val="1"/>
        </w:numPr>
        <w:spacing w:after="120"/>
        <w:ind w:left="567" w:hanging="567"/>
        <w:jc w:val="both"/>
      </w:pPr>
      <w:r w:rsidRPr="00E532BD">
        <w:t xml:space="preserve">This instrument commences on the day on which this instrument is registered under the </w:t>
      </w:r>
      <w:r w:rsidRPr="00352E54">
        <w:rPr>
          <w:i/>
        </w:rPr>
        <w:t>Legislative Instruments Act 2003</w:t>
      </w:r>
      <w:r>
        <w:t>.</w:t>
      </w:r>
    </w:p>
    <w:p w:rsidR="00184423" w:rsidRPr="00E532BD" w:rsidRDefault="00184423" w:rsidP="00184423">
      <w:pPr>
        <w:ind w:left="709"/>
        <w:jc w:val="both"/>
        <w:rPr>
          <w:sz w:val="18"/>
          <w:szCs w:val="18"/>
        </w:rPr>
      </w:pPr>
    </w:p>
    <w:p w:rsidR="00184423" w:rsidRPr="00E532BD" w:rsidRDefault="00184423" w:rsidP="00184423">
      <w:pPr>
        <w:ind w:left="709"/>
        <w:jc w:val="both"/>
        <w:rPr>
          <w:sz w:val="20"/>
          <w:u w:val="single"/>
        </w:rPr>
      </w:pPr>
      <w:r w:rsidRPr="00E532BD">
        <w:rPr>
          <w:sz w:val="18"/>
          <w:szCs w:val="18"/>
        </w:rPr>
        <w:t>Note: An instrument is registered when it is recorded on the Federal Register of Legislative Instruments (</w:t>
      </w:r>
      <w:r w:rsidRPr="00E532BD">
        <w:rPr>
          <w:b/>
          <w:bCs/>
          <w:i/>
          <w:iCs/>
          <w:sz w:val="18"/>
          <w:szCs w:val="18"/>
        </w:rPr>
        <w:t>FRLI</w:t>
      </w:r>
      <w:r w:rsidRPr="00E532BD">
        <w:rPr>
          <w:sz w:val="18"/>
          <w:szCs w:val="18"/>
        </w:rPr>
        <w:t xml:space="preserve">) in electronic form: see </w:t>
      </w:r>
      <w:r w:rsidRPr="00E532BD">
        <w:rPr>
          <w:i/>
          <w:iCs/>
          <w:sz w:val="18"/>
          <w:szCs w:val="18"/>
        </w:rPr>
        <w:t>Legislative Instruments Act 2003</w:t>
      </w:r>
      <w:r w:rsidRPr="00E532BD">
        <w:rPr>
          <w:sz w:val="18"/>
          <w:szCs w:val="18"/>
        </w:rPr>
        <w:t xml:space="preserve">, section 4 (definition of </w:t>
      </w:r>
      <w:r w:rsidRPr="00E532BD">
        <w:rPr>
          <w:b/>
          <w:bCs/>
          <w:i/>
          <w:iCs/>
          <w:sz w:val="18"/>
          <w:szCs w:val="18"/>
        </w:rPr>
        <w:t>register</w:t>
      </w:r>
      <w:r w:rsidRPr="00E532BD">
        <w:rPr>
          <w:sz w:val="18"/>
          <w:szCs w:val="18"/>
        </w:rPr>
        <w:t xml:space="preserve">). The FRLI may be accessed at </w:t>
      </w:r>
      <w:r w:rsidRPr="00E532BD">
        <w:rPr>
          <w:sz w:val="20"/>
          <w:u w:val="single"/>
        </w:rPr>
        <w:t>http://www.frli.gov.au/</w:t>
      </w:r>
      <w:r w:rsidRPr="00E532BD">
        <w:rPr>
          <w:sz w:val="18"/>
          <w:szCs w:val="18"/>
        </w:rPr>
        <w:t>.</w:t>
      </w:r>
    </w:p>
    <w:p w:rsidR="00184423" w:rsidRPr="00E532BD" w:rsidRDefault="00184423" w:rsidP="00184423">
      <w:pPr>
        <w:tabs>
          <w:tab w:val="left" w:pos="3717"/>
        </w:tabs>
        <w:jc w:val="both"/>
      </w:pPr>
      <w:r w:rsidRPr="00E532BD">
        <w:tab/>
      </w:r>
    </w:p>
    <w:p w:rsidR="00184423" w:rsidRPr="00E532BD" w:rsidRDefault="00184423" w:rsidP="00184423">
      <w:pPr>
        <w:jc w:val="both"/>
        <w:rPr>
          <w:lang w:val="en-US"/>
        </w:rPr>
      </w:pPr>
      <w:r w:rsidRPr="00E532BD">
        <w:rPr>
          <w:b/>
          <w:lang w:val="en-US"/>
        </w:rPr>
        <w:t>Waiver</w:t>
      </w:r>
    </w:p>
    <w:p w:rsidR="00184423" w:rsidRPr="00E532BD" w:rsidRDefault="00184423" w:rsidP="00184423">
      <w:pPr>
        <w:tabs>
          <w:tab w:val="left" w:pos="3717"/>
        </w:tabs>
        <w:jc w:val="both"/>
      </w:pPr>
      <w:bookmarkStart w:id="0" w:name="_Ref378775498"/>
      <w:bookmarkStart w:id="1" w:name="_Ref307482448"/>
      <w:bookmarkStart w:id="2" w:name="_Ref377116585"/>
      <w:r w:rsidRPr="00E532BD">
        <w:tab/>
      </w:r>
    </w:p>
    <w:p w:rsidR="00325097" w:rsidRDefault="00184423" w:rsidP="00A321CB">
      <w:pPr>
        <w:numPr>
          <w:ilvl w:val="0"/>
          <w:numId w:val="1"/>
        </w:numPr>
        <w:ind w:left="567" w:hanging="567"/>
        <w:jc w:val="both"/>
      </w:pPr>
      <w:bookmarkStart w:id="3" w:name="_Ref399414353"/>
      <w:r w:rsidRPr="00EF4DB8">
        <w:t xml:space="preserve">ASIC relieves a </w:t>
      </w:r>
      <w:r w:rsidR="00EF4DB8" w:rsidRPr="00EF4DB8">
        <w:t xml:space="preserve">Market </w:t>
      </w:r>
      <w:r w:rsidRPr="00EF4DB8">
        <w:t>Participant</w:t>
      </w:r>
      <w:r w:rsidR="00A321CB">
        <w:t xml:space="preserve"> </w:t>
      </w:r>
      <w:r w:rsidR="00A321CB" w:rsidRPr="00A321CB">
        <w:t xml:space="preserve">from the obligation to comply with </w:t>
      </w:r>
      <w:proofErr w:type="spellStart"/>
      <w:r w:rsidR="00A321CB" w:rsidRPr="00A321CB">
        <w:t>subrule</w:t>
      </w:r>
      <w:proofErr w:type="spellEnd"/>
      <w:r w:rsidR="00A321CB" w:rsidRPr="00A321CB">
        <w:t xml:space="preserve"> 3.5.8(1) of the ASIC Market Integrity Rules (ASX)</w:t>
      </w:r>
      <w:r w:rsidR="00325097">
        <w:t xml:space="preserve"> only to the extent that </w:t>
      </w:r>
      <w:proofErr w:type="spellStart"/>
      <w:r w:rsidR="00325097">
        <w:t>subrule</w:t>
      </w:r>
      <w:proofErr w:type="spellEnd"/>
      <w:r w:rsidR="00325097">
        <w:t xml:space="preserve"> requires the </w:t>
      </w:r>
      <w:r w:rsidR="00246A14">
        <w:t xml:space="preserve">Market </w:t>
      </w:r>
      <w:r w:rsidR="00325097">
        <w:t xml:space="preserve">Participant to perform the reconciliation referred to in that </w:t>
      </w:r>
      <w:proofErr w:type="spellStart"/>
      <w:r w:rsidR="00325097">
        <w:t>subrule</w:t>
      </w:r>
      <w:proofErr w:type="spellEnd"/>
      <w:r w:rsidR="00325097">
        <w:t xml:space="preserve"> by 7.00pm on the Trading Day after the Trading Day to which the reconciliation relates</w:t>
      </w:r>
      <w:r w:rsidR="00835360">
        <w:t>,</w:t>
      </w:r>
      <w:r w:rsidR="00835360" w:rsidRPr="00835360">
        <w:t xml:space="preserve"> </w:t>
      </w:r>
      <w:r w:rsidR="00835360">
        <w:t xml:space="preserve">for so long as the Market Participant performs the reconciliation referred to in that </w:t>
      </w:r>
      <w:proofErr w:type="spellStart"/>
      <w:r w:rsidR="00835360">
        <w:t>subrule</w:t>
      </w:r>
      <w:proofErr w:type="spellEnd"/>
      <w:r w:rsidR="00835360">
        <w:t xml:space="preserve"> by 12.00pm on the second Trading Day after the Trading Day to which the reconciliation relates</w:t>
      </w:r>
      <w:r w:rsidR="00325097">
        <w:t>.</w:t>
      </w:r>
      <w:bookmarkEnd w:id="3"/>
    </w:p>
    <w:p w:rsidR="00495254" w:rsidRDefault="00495254" w:rsidP="0058769B">
      <w:pPr>
        <w:jc w:val="both"/>
        <w:rPr>
          <w:b/>
          <w:lang w:val="en-US"/>
        </w:rPr>
      </w:pPr>
    </w:p>
    <w:p w:rsidR="000D1F6D" w:rsidRDefault="00FA1810" w:rsidP="000D1F6D">
      <w:pPr>
        <w:numPr>
          <w:ilvl w:val="0"/>
          <w:numId w:val="1"/>
        </w:numPr>
        <w:ind w:left="567" w:hanging="567"/>
        <w:jc w:val="both"/>
      </w:pPr>
      <w:bookmarkStart w:id="4" w:name="_Ref399415632"/>
      <w:r>
        <w:t xml:space="preserve">The relief in paragraph 4 </w:t>
      </w:r>
      <w:r w:rsidR="000D1F6D">
        <w:t xml:space="preserve">of this instrument applies in the case where the Market Participant is ordinarily unable to perform the reconciliation referred to in </w:t>
      </w:r>
      <w:proofErr w:type="spellStart"/>
      <w:r w:rsidR="000D1F6D">
        <w:t>subrule</w:t>
      </w:r>
      <w:proofErr w:type="spellEnd"/>
      <w:r w:rsidR="000D1F6D">
        <w:t xml:space="preserve"> 3.5.8(1) </w:t>
      </w:r>
      <w:r w:rsidR="000D1F6D" w:rsidRPr="000D1F6D">
        <w:t>of the ASIC Market Integrity Rules (ASX)</w:t>
      </w:r>
      <w:r w:rsidR="000D1F6D">
        <w:t xml:space="preserve"> by 7.00pm on the Trading Day after the Trading Day to which the reconciliation relate</w:t>
      </w:r>
      <w:bookmarkStart w:id="5" w:name="_GoBack"/>
      <w:bookmarkEnd w:id="5"/>
      <w:r w:rsidR="000D1F6D">
        <w:t xml:space="preserve">s, because the Market Participant relies on information obtained from a person located outside Australia to perform the reconciliation referred to in that </w:t>
      </w:r>
      <w:proofErr w:type="spellStart"/>
      <w:r w:rsidR="000D1F6D">
        <w:t>subrule</w:t>
      </w:r>
      <w:proofErr w:type="spellEnd"/>
      <w:r w:rsidR="000D1F6D">
        <w:t xml:space="preserve">. </w:t>
      </w:r>
    </w:p>
    <w:p w:rsidR="000D1F6D" w:rsidRDefault="000D1F6D" w:rsidP="000D1F6D">
      <w:pPr>
        <w:spacing w:after="120"/>
        <w:ind w:left="360"/>
        <w:jc w:val="both"/>
      </w:pPr>
    </w:p>
    <w:p w:rsidR="00460B7A" w:rsidRDefault="00460B7A" w:rsidP="00460B7A">
      <w:pPr>
        <w:numPr>
          <w:ilvl w:val="0"/>
          <w:numId w:val="1"/>
        </w:numPr>
        <w:spacing w:after="120"/>
        <w:jc w:val="both"/>
      </w:pPr>
      <w:r>
        <w:t>It is a condition of the relief</w:t>
      </w:r>
      <w:r w:rsidRPr="00460B7A">
        <w:t xml:space="preserve"> </w:t>
      </w:r>
      <w:r>
        <w:t xml:space="preserve">in paragraph </w:t>
      </w:r>
      <w:r>
        <w:fldChar w:fldCharType="begin"/>
      </w:r>
      <w:r>
        <w:instrText xml:space="preserve"> REF _Ref399414353 \r \h </w:instrText>
      </w:r>
      <w:r>
        <w:fldChar w:fldCharType="separate"/>
      </w:r>
      <w:r w:rsidR="00FA1810">
        <w:t>4</w:t>
      </w:r>
      <w:r>
        <w:fldChar w:fldCharType="end"/>
      </w:r>
      <w:r>
        <w:t xml:space="preserve"> of this instrument that</w:t>
      </w:r>
      <w:r w:rsidR="00CB59FB">
        <w:t xml:space="preserve"> where</w:t>
      </w:r>
      <w:r>
        <w:t xml:space="preserve"> the Market Participant</w:t>
      </w:r>
      <w:r w:rsidR="00CB59FB">
        <w:t xml:space="preserve"> performs the reconciliation</w:t>
      </w:r>
      <w:r w:rsidR="00807C8C">
        <w:t xml:space="preserve"> referred to in </w:t>
      </w:r>
      <w:proofErr w:type="spellStart"/>
      <w:r w:rsidR="00807C8C">
        <w:t>subrule</w:t>
      </w:r>
      <w:proofErr w:type="spellEnd"/>
      <w:r w:rsidR="00807C8C">
        <w:t xml:space="preserve"> 3.5.8(1)</w:t>
      </w:r>
      <w:r w:rsidR="00CB59FB">
        <w:t xml:space="preserve"> on the second Trading Day after the Trading Day to which the reconciliation relates, the Market Participant</w:t>
      </w:r>
      <w:r>
        <w:t xml:space="preserve"> must notify ASIC, in writing, within 1 Business Day if:</w:t>
      </w:r>
    </w:p>
    <w:p w:rsidR="00460B7A" w:rsidRDefault="00E979BB" w:rsidP="00460B7A">
      <w:pPr>
        <w:pStyle w:val="ListParagraph"/>
        <w:numPr>
          <w:ilvl w:val="1"/>
          <w:numId w:val="1"/>
        </w:numPr>
        <w:spacing w:after="120"/>
        <w:ind w:left="924" w:hanging="357"/>
        <w:contextualSpacing w:val="0"/>
        <w:jc w:val="both"/>
      </w:pPr>
      <w:r>
        <w:t>the</w:t>
      </w:r>
      <w:r w:rsidR="00460B7A">
        <w:t xml:space="preserve"> reconciliation has not been performed in accordance with Rule 3.5.8 </w:t>
      </w:r>
      <w:r>
        <w:t>(</w:t>
      </w:r>
      <w:r w:rsidR="00460B7A">
        <w:t>except to the extent that Rule requires the Market Participant to notify ASIC that a reconciliation has not been performed by 7.00pm on the Trading Day after the Trading Day to which the reconciliation relates</w:t>
      </w:r>
      <w:r>
        <w:t>)</w:t>
      </w:r>
      <w:r w:rsidR="00460B7A">
        <w:t>; or</w:t>
      </w:r>
    </w:p>
    <w:p w:rsidR="00460B7A" w:rsidRDefault="00460B7A" w:rsidP="00460B7A">
      <w:pPr>
        <w:pStyle w:val="ListParagraph"/>
        <w:numPr>
          <w:ilvl w:val="1"/>
          <w:numId w:val="1"/>
        </w:numPr>
        <w:jc w:val="both"/>
      </w:pPr>
      <w:proofErr w:type="gramStart"/>
      <w:r>
        <w:lastRenderedPageBreak/>
        <w:t>according</w:t>
      </w:r>
      <w:proofErr w:type="gramEnd"/>
      <w:r>
        <w:t xml:space="preserve"> to </w:t>
      </w:r>
      <w:r w:rsidR="00E979BB">
        <w:t>the</w:t>
      </w:r>
      <w:r>
        <w:t xml:space="preserve"> reconciliation</w:t>
      </w:r>
      <w:r w:rsidR="00807C8C">
        <w:t>,</w:t>
      </w:r>
      <w:r>
        <w:t xml:space="preserve"> Total Deposits is less than Total Third Party Client Monies.</w:t>
      </w:r>
    </w:p>
    <w:p w:rsidR="00460B7A" w:rsidRDefault="00460B7A" w:rsidP="00460B7A">
      <w:pPr>
        <w:ind w:left="567"/>
        <w:jc w:val="both"/>
      </w:pPr>
      <w:r>
        <w:t xml:space="preserve"> </w:t>
      </w:r>
    </w:p>
    <w:p w:rsidR="00AA1C6A" w:rsidRDefault="00E33B2B" w:rsidP="005752C8">
      <w:pPr>
        <w:numPr>
          <w:ilvl w:val="0"/>
          <w:numId w:val="1"/>
        </w:numPr>
        <w:ind w:left="567" w:hanging="567"/>
        <w:jc w:val="both"/>
      </w:pPr>
      <w:r>
        <w:t>ASIC relieves a Market Participant from the obligation to comply with paragraph 3.5.10</w:t>
      </w:r>
      <w:r w:rsidR="004B77AF">
        <w:t>(a)</w:t>
      </w:r>
      <w:r>
        <w:t xml:space="preserve"> of the </w:t>
      </w:r>
      <w:r w:rsidRPr="00A321CB">
        <w:t>ASIC Market Integrity Rules (ASX)</w:t>
      </w:r>
      <w:r>
        <w:t xml:space="preserve"> only to the extent that paragraph requires the Market Participant to notify ASIC that a reconciliation has not been performed by 7.00pm on the Trading Day after the Trading Day to which the reconciliation </w:t>
      </w:r>
      <w:bookmarkEnd w:id="4"/>
      <w:r w:rsidR="005752C8">
        <w:t xml:space="preserve">relates, for so long as </w:t>
      </w:r>
      <w:r w:rsidR="008A3D19">
        <w:t xml:space="preserve">the </w:t>
      </w:r>
      <w:r>
        <w:t xml:space="preserve">Market Participant notifies ASIC, in writing, within </w:t>
      </w:r>
      <w:r w:rsidR="001B2F01">
        <w:t>1</w:t>
      </w:r>
      <w:r>
        <w:t xml:space="preserve"> Business Day if a reconciliation has not been performed </w:t>
      </w:r>
      <w:r w:rsidR="007B6C9D">
        <w:t>by 12.00pm on the second Trading Day after the Trading Day to which the reconciliation relates</w:t>
      </w:r>
      <w:r w:rsidR="00AA1C6A">
        <w:t>.</w:t>
      </w:r>
    </w:p>
    <w:p w:rsidR="00AA1C6A" w:rsidRPr="0058769B" w:rsidRDefault="00AA1C6A" w:rsidP="0058769B">
      <w:pPr>
        <w:jc w:val="both"/>
        <w:rPr>
          <w:b/>
          <w:lang w:val="en-US"/>
        </w:rPr>
      </w:pPr>
    </w:p>
    <w:bookmarkEnd w:id="0"/>
    <w:bookmarkEnd w:id="1"/>
    <w:bookmarkEnd w:id="2"/>
    <w:p w:rsidR="00A321CB" w:rsidRDefault="00A321CB" w:rsidP="00184423">
      <w:pPr>
        <w:overflowPunct/>
        <w:autoSpaceDE/>
        <w:autoSpaceDN/>
        <w:adjustRightInd/>
        <w:jc w:val="both"/>
        <w:textAlignment w:val="auto"/>
        <w:rPr>
          <w:b/>
          <w:bCs/>
          <w:lang w:val="en-US"/>
        </w:rPr>
      </w:pPr>
    </w:p>
    <w:p w:rsidR="00184423" w:rsidRDefault="00184423" w:rsidP="00184423">
      <w:pPr>
        <w:overflowPunct/>
        <w:autoSpaceDE/>
        <w:autoSpaceDN/>
        <w:adjustRightInd/>
        <w:jc w:val="both"/>
        <w:textAlignment w:val="auto"/>
        <w:rPr>
          <w:b/>
          <w:bCs/>
          <w:lang w:val="en-US"/>
        </w:rPr>
      </w:pPr>
      <w:r w:rsidRPr="00E532BD">
        <w:rPr>
          <w:b/>
          <w:bCs/>
          <w:lang w:val="en-US"/>
        </w:rPr>
        <w:t>Interpretation</w:t>
      </w:r>
    </w:p>
    <w:p w:rsidR="00184423" w:rsidRPr="00E532BD" w:rsidRDefault="00184423" w:rsidP="00184423">
      <w:pPr>
        <w:tabs>
          <w:tab w:val="left" w:pos="3717"/>
        </w:tabs>
        <w:jc w:val="both"/>
      </w:pPr>
      <w:r w:rsidRPr="00E532BD">
        <w:tab/>
      </w:r>
    </w:p>
    <w:p w:rsidR="00184423" w:rsidRPr="00E532BD" w:rsidRDefault="00184423" w:rsidP="00184423">
      <w:pPr>
        <w:numPr>
          <w:ilvl w:val="0"/>
          <w:numId w:val="1"/>
        </w:numPr>
        <w:overflowPunct/>
        <w:autoSpaceDE/>
        <w:autoSpaceDN/>
        <w:adjustRightInd/>
        <w:ind w:left="567" w:hanging="567"/>
        <w:jc w:val="both"/>
        <w:textAlignment w:val="auto"/>
        <w:rPr>
          <w:bCs/>
        </w:rPr>
      </w:pPr>
      <w:r w:rsidRPr="00E532BD">
        <w:rPr>
          <w:bCs/>
          <w:lang w:val="en-US"/>
        </w:rPr>
        <w:t xml:space="preserve">In this instrument, unless the contrary intention appears, </w:t>
      </w:r>
      <w:proofErr w:type="spellStart"/>
      <w:r w:rsidRPr="00E532BD">
        <w:rPr>
          <w:bCs/>
          <w:lang w:val="en-US"/>
        </w:rPr>
        <w:t>capitalised</w:t>
      </w:r>
      <w:proofErr w:type="spellEnd"/>
      <w:r w:rsidRPr="00E532BD">
        <w:rPr>
          <w:bCs/>
          <w:lang w:val="en-US"/>
        </w:rPr>
        <w:t xml:space="preserve"> terms have the meaning given by the </w:t>
      </w:r>
      <w:r w:rsidRPr="00184423">
        <w:rPr>
          <w:bCs/>
          <w:lang w:val="en-US"/>
        </w:rPr>
        <w:t>ASIC Market Integrity Rules (ASX)</w:t>
      </w:r>
      <w:r w:rsidRPr="00E532BD">
        <w:rPr>
          <w:bCs/>
          <w:lang w:val="en-US"/>
        </w:rPr>
        <w:t>.</w:t>
      </w: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  <w:lang w:val="en-US"/>
        </w:rPr>
      </w:pPr>
      <w:r w:rsidRPr="00E532BD">
        <w:rPr>
          <w:bCs/>
          <w:lang w:val="en-US"/>
        </w:rPr>
        <w:t xml:space="preserve">Dated this </w:t>
      </w:r>
      <w:r w:rsidR="00FA1810">
        <w:rPr>
          <w:bCs/>
          <w:lang w:val="en-US"/>
        </w:rPr>
        <w:t>8</w:t>
      </w:r>
      <w:r w:rsidRPr="00E532BD">
        <w:rPr>
          <w:bCs/>
          <w:vertAlign w:val="superscript"/>
          <w:lang w:val="en-US"/>
        </w:rPr>
        <w:t>th</w:t>
      </w:r>
      <w:r w:rsidRPr="00E532BD">
        <w:rPr>
          <w:bCs/>
          <w:lang w:val="en-US"/>
        </w:rPr>
        <w:t xml:space="preserve"> day of </w:t>
      </w:r>
      <w:r w:rsidR="00F13574">
        <w:rPr>
          <w:bCs/>
          <w:lang w:val="en-US"/>
        </w:rPr>
        <w:t>December</w:t>
      </w:r>
      <w:r w:rsidR="000D1F6D">
        <w:rPr>
          <w:bCs/>
          <w:lang w:val="en-US"/>
        </w:rPr>
        <w:t xml:space="preserve"> 2015</w:t>
      </w: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Pr="00E532BD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E532BD">
        <w:rPr>
          <w:bCs/>
        </w:rPr>
        <w:t xml:space="preserve">Signed by </w:t>
      </w:r>
      <w:r w:rsidR="00CF42C8">
        <w:rPr>
          <w:bCs/>
        </w:rPr>
        <w:t>Greg Yanco</w:t>
      </w:r>
    </w:p>
    <w:p w:rsidR="00184423" w:rsidRPr="007711D9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  <w:proofErr w:type="gramStart"/>
      <w:r w:rsidRPr="00E532BD">
        <w:rPr>
          <w:bCs/>
        </w:rPr>
        <w:t>as</w:t>
      </w:r>
      <w:proofErr w:type="gramEnd"/>
      <w:r w:rsidRPr="00E532BD">
        <w:rPr>
          <w:bCs/>
        </w:rPr>
        <w:t xml:space="preserve"> a delegate of the Australian Securities and Investments Commission</w:t>
      </w:r>
    </w:p>
    <w:p w:rsidR="00184423" w:rsidRPr="001629A3" w:rsidRDefault="00184423" w:rsidP="00184423">
      <w:pPr>
        <w:overflowPunct/>
        <w:autoSpaceDE/>
        <w:autoSpaceDN/>
        <w:adjustRightInd/>
        <w:jc w:val="both"/>
        <w:textAlignment w:val="auto"/>
        <w:rPr>
          <w:bCs/>
        </w:rPr>
      </w:pPr>
    </w:p>
    <w:p w:rsidR="00184423" w:rsidRDefault="00184423" w:rsidP="00184423"/>
    <w:sectPr w:rsidR="00184423" w:rsidSect="00235F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B6" w:rsidRDefault="007670B6" w:rsidP="00352E54">
      <w:r>
        <w:separator/>
      </w:r>
    </w:p>
  </w:endnote>
  <w:endnote w:type="continuationSeparator" w:id="0">
    <w:p w:rsidR="007670B6" w:rsidRDefault="007670B6" w:rsidP="0035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99" w:rsidRDefault="00911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41899" w:rsidRDefault="00767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5095"/>
      <w:docPartObj>
        <w:docPartGallery w:val="Page Numbers (Bottom of Page)"/>
        <w:docPartUnique/>
      </w:docPartObj>
    </w:sdtPr>
    <w:sdtEndPr/>
    <w:sdtContent>
      <w:p w:rsidR="00E41899" w:rsidRDefault="00911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899" w:rsidRDefault="007670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5094"/>
      <w:docPartObj>
        <w:docPartGallery w:val="Page Numbers (Bottom of Page)"/>
        <w:docPartUnique/>
      </w:docPartObj>
    </w:sdtPr>
    <w:sdtEndPr/>
    <w:sdtContent>
      <w:p w:rsidR="00E41899" w:rsidRDefault="00911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899" w:rsidRDefault="00767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B6" w:rsidRDefault="007670B6" w:rsidP="00352E54">
      <w:r>
        <w:separator/>
      </w:r>
    </w:p>
  </w:footnote>
  <w:footnote w:type="continuationSeparator" w:id="0">
    <w:p w:rsidR="007670B6" w:rsidRDefault="007670B6" w:rsidP="0035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99" w:rsidRPr="003E78FA" w:rsidRDefault="00911E88" w:rsidP="003E78FA">
    <w:pPr>
      <w:pStyle w:val="Header"/>
      <w:jc w:val="right"/>
      <w:rPr>
        <w:sz w:val="28"/>
        <w:szCs w:val="28"/>
        <w:lang w:val="en-US"/>
      </w:rPr>
    </w:pPr>
    <w:r w:rsidRPr="00024F24">
      <w:rPr>
        <w:sz w:val="28"/>
        <w:szCs w:val="28"/>
        <w:lang w:val="en-US"/>
      </w:rPr>
      <w:t xml:space="preserve">CW </w:t>
    </w:r>
    <w:r w:rsidR="00A94270">
      <w:rPr>
        <w:sz w:val="28"/>
        <w:szCs w:val="28"/>
        <w:lang w:val="en-US"/>
      </w:rPr>
      <w:t>15/932</w:t>
    </w:r>
  </w:p>
  <w:p w:rsidR="00E41899" w:rsidRDefault="00767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99" w:rsidRPr="002F4653" w:rsidRDefault="00911E88" w:rsidP="00B245B5">
    <w:pPr>
      <w:pStyle w:val="Header"/>
      <w:jc w:val="right"/>
      <w:rPr>
        <w:color w:val="808080" w:themeColor="background1" w:themeShade="80"/>
        <w:sz w:val="28"/>
        <w:szCs w:val="28"/>
        <w:lang w:val="en-US"/>
      </w:rPr>
    </w:pPr>
    <w:r w:rsidRPr="004D6B63">
      <w:rPr>
        <w:color w:val="808080" w:themeColor="background1" w:themeShade="80"/>
        <w:sz w:val="28"/>
        <w:szCs w:val="28"/>
        <w:highlight w:val="lightGray"/>
        <w:lang w:val="en-US"/>
      </w:rPr>
      <w:t>CW 14/XXX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7F8D1D91"/>
    <w:multiLevelType w:val="hybridMultilevel"/>
    <w:tmpl w:val="CFAEF88C"/>
    <w:lvl w:ilvl="0" w:tplc="BA9A5A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6F607E4">
      <w:start w:val="1"/>
      <w:numFmt w:val="lowerLetter"/>
      <w:lvlText w:val="(%2)"/>
      <w:lvlJc w:val="left"/>
      <w:pPr>
        <w:ind w:left="928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4"/>
    <w:rsid w:val="000464D7"/>
    <w:rsid w:val="000625D3"/>
    <w:rsid w:val="000B0A8E"/>
    <w:rsid w:val="000C5841"/>
    <w:rsid w:val="000D1F6D"/>
    <w:rsid w:val="0013082C"/>
    <w:rsid w:val="001503A4"/>
    <w:rsid w:val="0016015F"/>
    <w:rsid w:val="00184423"/>
    <w:rsid w:val="00194E38"/>
    <w:rsid w:val="001B2F01"/>
    <w:rsid w:val="001D384B"/>
    <w:rsid w:val="002074D6"/>
    <w:rsid w:val="0020763E"/>
    <w:rsid w:val="00245502"/>
    <w:rsid w:val="00246A14"/>
    <w:rsid w:val="002612EA"/>
    <w:rsid w:val="002828AF"/>
    <w:rsid w:val="00282A19"/>
    <w:rsid w:val="002A17A7"/>
    <w:rsid w:val="002C321B"/>
    <w:rsid w:val="002D42C6"/>
    <w:rsid w:val="00325097"/>
    <w:rsid w:val="0035056F"/>
    <w:rsid w:val="00352E54"/>
    <w:rsid w:val="003C2521"/>
    <w:rsid w:val="00460B7A"/>
    <w:rsid w:val="004938FB"/>
    <w:rsid w:val="00495254"/>
    <w:rsid w:val="004B77AF"/>
    <w:rsid w:val="004D6241"/>
    <w:rsid w:val="0051177C"/>
    <w:rsid w:val="005574CD"/>
    <w:rsid w:val="005752C8"/>
    <w:rsid w:val="0058769B"/>
    <w:rsid w:val="005A1F18"/>
    <w:rsid w:val="005B134B"/>
    <w:rsid w:val="005C2DF6"/>
    <w:rsid w:val="006019AD"/>
    <w:rsid w:val="00635C98"/>
    <w:rsid w:val="006940A0"/>
    <w:rsid w:val="006F78D9"/>
    <w:rsid w:val="007670B6"/>
    <w:rsid w:val="007B6C9D"/>
    <w:rsid w:val="007C39C1"/>
    <w:rsid w:val="007C3A7B"/>
    <w:rsid w:val="00807C8C"/>
    <w:rsid w:val="008303D8"/>
    <w:rsid w:val="00835360"/>
    <w:rsid w:val="00864CD5"/>
    <w:rsid w:val="008861E4"/>
    <w:rsid w:val="008A3D19"/>
    <w:rsid w:val="00911E88"/>
    <w:rsid w:val="009469E2"/>
    <w:rsid w:val="0098763D"/>
    <w:rsid w:val="009E4631"/>
    <w:rsid w:val="00A103C7"/>
    <w:rsid w:val="00A321CB"/>
    <w:rsid w:val="00A3526D"/>
    <w:rsid w:val="00A85CD7"/>
    <w:rsid w:val="00A87F3B"/>
    <w:rsid w:val="00A93A25"/>
    <w:rsid w:val="00A94270"/>
    <w:rsid w:val="00AA1C6A"/>
    <w:rsid w:val="00AD02A2"/>
    <w:rsid w:val="00AD05B9"/>
    <w:rsid w:val="00AE000C"/>
    <w:rsid w:val="00AF410B"/>
    <w:rsid w:val="00B11AB5"/>
    <w:rsid w:val="00B11E07"/>
    <w:rsid w:val="00B25C7C"/>
    <w:rsid w:val="00B63ABE"/>
    <w:rsid w:val="00B8525F"/>
    <w:rsid w:val="00B90B17"/>
    <w:rsid w:val="00BA59FB"/>
    <w:rsid w:val="00BD0456"/>
    <w:rsid w:val="00C00D99"/>
    <w:rsid w:val="00C4022B"/>
    <w:rsid w:val="00C63E4D"/>
    <w:rsid w:val="00C85202"/>
    <w:rsid w:val="00C8532A"/>
    <w:rsid w:val="00CB0A42"/>
    <w:rsid w:val="00CB59FB"/>
    <w:rsid w:val="00CB6FB6"/>
    <w:rsid w:val="00CC4788"/>
    <w:rsid w:val="00CD1E6D"/>
    <w:rsid w:val="00CF42C8"/>
    <w:rsid w:val="00D02534"/>
    <w:rsid w:val="00D43E67"/>
    <w:rsid w:val="00D615BC"/>
    <w:rsid w:val="00D77088"/>
    <w:rsid w:val="00D8039C"/>
    <w:rsid w:val="00DE3D2C"/>
    <w:rsid w:val="00E33B2B"/>
    <w:rsid w:val="00E37C36"/>
    <w:rsid w:val="00E45385"/>
    <w:rsid w:val="00E96C86"/>
    <w:rsid w:val="00E979BB"/>
    <w:rsid w:val="00ED270B"/>
    <w:rsid w:val="00EF4DB8"/>
    <w:rsid w:val="00F13574"/>
    <w:rsid w:val="00F235C9"/>
    <w:rsid w:val="00F43DAE"/>
    <w:rsid w:val="00F6491C"/>
    <w:rsid w:val="00FA1810"/>
    <w:rsid w:val="00FA706A"/>
    <w:rsid w:val="00FC78D4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2E54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52E54"/>
  </w:style>
  <w:style w:type="paragraph" w:styleId="Header">
    <w:name w:val="header"/>
    <w:basedOn w:val="Normal"/>
    <w:link w:val="HeaderChar"/>
    <w:uiPriority w:val="99"/>
    <w:unhideWhenUsed/>
    <w:rsid w:val="00352E5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E54"/>
    <w:pPr>
      <w:ind w:left="720"/>
      <w:contextualSpacing/>
    </w:pPr>
  </w:style>
  <w:style w:type="paragraph" w:customStyle="1" w:styleId="MIRBodyText">
    <w:name w:val="MIR Body Text"/>
    <w:basedOn w:val="Normal"/>
    <w:link w:val="MIRBodyTextChar"/>
    <w:qFormat/>
    <w:rsid w:val="00352E54"/>
    <w:pPr>
      <w:numPr>
        <w:numId w:val="2"/>
      </w:numPr>
      <w:tabs>
        <w:tab w:val="left" w:pos="2205"/>
      </w:tabs>
      <w:overflowPunct/>
      <w:autoSpaceDE/>
      <w:autoSpaceDN/>
      <w:adjustRightInd/>
      <w:spacing w:before="200" w:line="300" w:lineRule="atLeast"/>
      <w:textAlignment w:val="auto"/>
    </w:pPr>
    <w:rPr>
      <w:sz w:val="22"/>
      <w:szCs w:val="22"/>
      <w:lang w:eastAsia="en-AU"/>
    </w:rPr>
  </w:style>
  <w:style w:type="paragraph" w:customStyle="1" w:styleId="MIRSubsubpara">
    <w:name w:val="MIR Subsubpara"/>
    <w:basedOn w:val="Normal"/>
    <w:qFormat/>
    <w:rsid w:val="00352E54"/>
    <w:pPr>
      <w:numPr>
        <w:ilvl w:val="2"/>
        <w:numId w:val="2"/>
      </w:numPr>
      <w:overflowPunct/>
      <w:autoSpaceDE/>
      <w:autoSpaceDN/>
      <w:adjustRightInd/>
      <w:spacing w:before="100" w:line="300" w:lineRule="atLeast"/>
      <w:textAlignment w:val="auto"/>
    </w:pPr>
    <w:rPr>
      <w:sz w:val="22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352E54"/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1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1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1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2E54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52E54"/>
  </w:style>
  <w:style w:type="paragraph" w:styleId="Header">
    <w:name w:val="header"/>
    <w:basedOn w:val="Normal"/>
    <w:link w:val="HeaderChar"/>
    <w:uiPriority w:val="99"/>
    <w:unhideWhenUsed/>
    <w:rsid w:val="00352E5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2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E54"/>
    <w:pPr>
      <w:ind w:left="720"/>
      <w:contextualSpacing/>
    </w:pPr>
  </w:style>
  <w:style w:type="paragraph" w:customStyle="1" w:styleId="MIRBodyText">
    <w:name w:val="MIR Body Text"/>
    <w:basedOn w:val="Normal"/>
    <w:link w:val="MIRBodyTextChar"/>
    <w:qFormat/>
    <w:rsid w:val="00352E54"/>
    <w:pPr>
      <w:numPr>
        <w:numId w:val="2"/>
      </w:numPr>
      <w:tabs>
        <w:tab w:val="left" w:pos="2205"/>
      </w:tabs>
      <w:overflowPunct/>
      <w:autoSpaceDE/>
      <w:autoSpaceDN/>
      <w:adjustRightInd/>
      <w:spacing w:before="200" w:line="300" w:lineRule="atLeast"/>
      <w:textAlignment w:val="auto"/>
    </w:pPr>
    <w:rPr>
      <w:sz w:val="22"/>
      <w:szCs w:val="22"/>
      <w:lang w:eastAsia="en-AU"/>
    </w:rPr>
  </w:style>
  <w:style w:type="paragraph" w:customStyle="1" w:styleId="MIRSubsubpara">
    <w:name w:val="MIR Subsubpara"/>
    <w:basedOn w:val="Normal"/>
    <w:qFormat/>
    <w:rsid w:val="00352E54"/>
    <w:pPr>
      <w:numPr>
        <w:ilvl w:val="2"/>
        <w:numId w:val="2"/>
      </w:numPr>
      <w:overflowPunct/>
      <w:autoSpaceDE/>
      <w:autoSpaceDN/>
      <w:adjustRightInd/>
      <w:spacing w:before="100" w:line="300" w:lineRule="atLeast"/>
      <w:textAlignment w:val="auto"/>
    </w:pPr>
    <w:rPr>
      <w:sz w:val="22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352E54"/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6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1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1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1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natalie.boulizos</cp:lastModifiedBy>
  <cp:revision>6</cp:revision>
  <cp:lastPrinted>2015-12-08T02:52:00Z</cp:lastPrinted>
  <dcterms:created xsi:type="dcterms:W3CDTF">2015-10-09T03:09:00Z</dcterms:created>
  <dcterms:modified xsi:type="dcterms:W3CDTF">2015-12-08T02:59:00Z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A4622372</vt:lpwstr>
  </property>
  <property fmtid="{D5CDD505-2E9C-101B-9397-08002B2CF9AE}" pid="4" name="Objective-Title">
    <vt:lpwstr>ASIC Class Waiver CW [15-932] - Rule 3.5.8(1) - ASX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2015-10-09T03:09:04Z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2015-12-08T03:13:28Z</vt:filetime>
  </property>
  <property fmtid="{D5CDD505-2E9C-101B-9397-08002B2CF9AE}" pid="10" name="Objective-ModificationStamp">
    <vt:filetime>2015-12-08T03:13:30Z</vt:filetime>
  </property>
  <property fmtid="{D5CDD505-2E9C-101B-9397-08002B2CF9AE}" pid="11" name="Objective-Owner">
    <vt:lpwstr>Natalie Boulizos</vt:lpwstr>
  </property>
  <property fmtid="{D5CDD505-2E9C-101B-9397-08002B2CF9AE}" pid="12" name="Objective-Path">
    <vt:lpwstr>BCS:ASIC:REGULATION &amp; COMPLIANCE:Assessments, Surveillance &amp; Supervision:Market &amp; Participant Supervision:Legal &amp; Policy:09d. Relief Applications and waivers  - 2013:Macquarie Bank Limited - Waiver Rule 2.3.2 (ASX 24) and Rule 3.5.8 (ASX):04. Final Class Waivers and Explanatory Statements:</vt:lpwstr>
  </property>
  <property fmtid="{D5CDD505-2E9C-101B-9397-08002B2CF9AE}" pid="13" name="Objective-Parent">
    <vt:lpwstr>04. Final Class Waivers and Explanatory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2013 - 005540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